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D54ED" w14:textId="77777777" w:rsidR="00C27ED9" w:rsidRDefault="00E46099" w:rsidP="00E46099">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14:paraId="1D9FD6C6" w14:textId="77777777" w:rsidR="00E46099" w:rsidRDefault="00E46099" w:rsidP="00E46099">
      <w:pPr>
        <w:tabs>
          <w:tab w:val="left" w:pos="1440"/>
          <w:tab w:val="left" w:pos="4680"/>
          <w:tab w:val="center" w:pos="7200"/>
        </w:tabs>
        <w:spacing w:after="0"/>
        <w:jc w:val="center"/>
      </w:pPr>
    </w:p>
    <w:p w14:paraId="17FF3922" w14:textId="77777777" w:rsidR="00E46099" w:rsidRDefault="00E46099" w:rsidP="00E46099">
      <w:pPr>
        <w:tabs>
          <w:tab w:val="left" w:pos="1440"/>
          <w:tab w:val="left" w:pos="4680"/>
          <w:tab w:val="center" w:pos="7200"/>
        </w:tabs>
        <w:spacing w:after="0"/>
        <w:jc w:val="center"/>
      </w:pPr>
      <w:r>
        <w:t>FILMON.COM</w:t>
      </w:r>
      <w:r w:rsidR="001D5C38">
        <w:t xml:space="preserve"> INC.</w:t>
      </w:r>
      <w:r>
        <w:t>,</w:t>
      </w:r>
      <w:r w:rsidR="001D5C38">
        <w:t xml:space="preserve"> </w:t>
      </w:r>
    </w:p>
    <w:p w14:paraId="353F809A" w14:textId="77777777" w:rsidR="00E46099" w:rsidRDefault="00E46099" w:rsidP="00E46099">
      <w:pPr>
        <w:tabs>
          <w:tab w:val="left" w:pos="1440"/>
          <w:tab w:val="left" w:pos="4680"/>
          <w:tab w:val="center" w:pos="7200"/>
        </w:tabs>
        <w:spacing w:after="0"/>
        <w:jc w:val="center"/>
      </w:pPr>
      <w:r>
        <w:t xml:space="preserve">Plaintiff and </w:t>
      </w:r>
      <w:r w:rsidR="001D5C38">
        <w:t>Appellant,</w:t>
      </w:r>
    </w:p>
    <w:p w14:paraId="60357713" w14:textId="77777777" w:rsidR="00E46099" w:rsidRDefault="00E46099" w:rsidP="00E46099">
      <w:pPr>
        <w:tabs>
          <w:tab w:val="left" w:pos="1440"/>
          <w:tab w:val="left" w:pos="4680"/>
          <w:tab w:val="center" w:pos="7200"/>
        </w:tabs>
        <w:spacing w:after="0"/>
        <w:jc w:val="center"/>
      </w:pPr>
      <w:r>
        <w:t>v.</w:t>
      </w:r>
    </w:p>
    <w:p w14:paraId="7E25F9A7" w14:textId="77777777" w:rsidR="00E46099" w:rsidRDefault="00E46099" w:rsidP="00E46099">
      <w:pPr>
        <w:tabs>
          <w:tab w:val="left" w:pos="1440"/>
          <w:tab w:val="left" w:pos="4680"/>
          <w:tab w:val="center" w:pos="7200"/>
        </w:tabs>
        <w:spacing w:after="0"/>
        <w:jc w:val="center"/>
      </w:pPr>
      <w:r>
        <w:t>DOUBLEVERIFY INC.,</w:t>
      </w:r>
    </w:p>
    <w:p w14:paraId="11E76F23" w14:textId="77777777" w:rsidR="00E46099" w:rsidRDefault="00E46099" w:rsidP="00E46099">
      <w:pPr>
        <w:tabs>
          <w:tab w:val="left" w:pos="1440"/>
          <w:tab w:val="left" w:pos="4680"/>
          <w:tab w:val="center" w:pos="7200"/>
        </w:tabs>
        <w:spacing w:after="0"/>
        <w:jc w:val="center"/>
      </w:pPr>
      <w:r>
        <w:t xml:space="preserve">Defendant and </w:t>
      </w:r>
      <w:r w:rsidR="001D5C38">
        <w:t>Respondent</w:t>
      </w:r>
      <w:r>
        <w:t>.</w:t>
      </w:r>
    </w:p>
    <w:p w14:paraId="769F41BE" w14:textId="77777777" w:rsidR="00E46099" w:rsidRDefault="00E46099" w:rsidP="00E46099">
      <w:pPr>
        <w:tabs>
          <w:tab w:val="left" w:pos="1440"/>
          <w:tab w:val="left" w:pos="4680"/>
          <w:tab w:val="center" w:pos="7200"/>
        </w:tabs>
        <w:spacing w:after="0"/>
        <w:jc w:val="center"/>
      </w:pPr>
    </w:p>
    <w:p w14:paraId="56AA006C" w14:textId="77777777" w:rsidR="00E46099" w:rsidRDefault="00E46099" w:rsidP="00E46099">
      <w:pPr>
        <w:tabs>
          <w:tab w:val="left" w:pos="1440"/>
          <w:tab w:val="left" w:pos="4680"/>
          <w:tab w:val="center" w:pos="7200"/>
        </w:tabs>
        <w:spacing w:after="0"/>
        <w:jc w:val="center"/>
      </w:pPr>
      <w:r>
        <w:t>S244157</w:t>
      </w:r>
    </w:p>
    <w:p w14:paraId="52DF0660" w14:textId="77777777" w:rsidR="00E46099" w:rsidRDefault="00E46099" w:rsidP="00E46099">
      <w:pPr>
        <w:tabs>
          <w:tab w:val="left" w:pos="1440"/>
          <w:tab w:val="left" w:pos="4680"/>
          <w:tab w:val="center" w:pos="7200"/>
        </w:tabs>
        <w:spacing w:after="0"/>
        <w:jc w:val="center"/>
      </w:pPr>
    </w:p>
    <w:p w14:paraId="5104743B" w14:textId="77777777" w:rsidR="00E46099" w:rsidRDefault="00E46099" w:rsidP="00E46099">
      <w:pPr>
        <w:tabs>
          <w:tab w:val="left" w:pos="1440"/>
          <w:tab w:val="left" w:pos="4680"/>
          <w:tab w:val="center" w:pos="7200"/>
        </w:tabs>
        <w:spacing w:after="0"/>
        <w:jc w:val="center"/>
      </w:pPr>
      <w:r>
        <w:t>Second Appellate District, Division Three</w:t>
      </w:r>
    </w:p>
    <w:p w14:paraId="32EBCFBB" w14:textId="77777777" w:rsidR="00E46099" w:rsidRDefault="00E46099" w:rsidP="00E46099">
      <w:pPr>
        <w:tabs>
          <w:tab w:val="left" w:pos="1440"/>
          <w:tab w:val="left" w:pos="4680"/>
          <w:tab w:val="center" w:pos="7200"/>
        </w:tabs>
        <w:spacing w:after="0"/>
        <w:jc w:val="center"/>
      </w:pPr>
      <w:r>
        <w:t>B264074</w:t>
      </w:r>
    </w:p>
    <w:p w14:paraId="1B8CF9AD" w14:textId="77777777" w:rsidR="00E46099" w:rsidRDefault="00E46099" w:rsidP="00E46099">
      <w:pPr>
        <w:tabs>
          <w:tab w:val="left" w:pos="1440"/>
          <w:tab w:val="left" w:pos="4680"/>
          <w:tab w:val="center" w:pos="7200"/>
        </w:tabs>
        <w:spacing w:after="0"/>
        <w:jc w:val="center"/>
      </w:pPr>
    </w:p>
    <w:p w14:paraId="0A5312EE" w14:textId="77777777" w:rsidR="00E46099" w:rsidRDefault="00E46099" w:rsidP="00E46099">
      <w:pPr>
        <w:tabs>
          <w:tab w:val="left" w:pos="1440"/>
          <w:tab w:val="left" w:pos="4680"/>
          <w:tab w:val="center" w:pos="7200"/>
        </w:tabs>
        <w:spacing w:after="0"/>
        <w:jc w:val="center"/>
      </w:pPr>
      <w:r>
        <w:t>Los Angeles County</w:t>
      </w:r>
      <w:r w:rsidR="009A18F9">
        <w:t xml:space="preserve"> Superior Court</w:t>
      </w:r>
    </w:p>
    <w:p w14:paraId="3009E6F7" w14:textId="77777777" w:rsidR="00E46099" w:rsidRDefault="00E46099" w:rsidP="00E46099">
      <w:pPr>
        <w:tabs>
          <w:tab w:val="left" w:pos="1440"/>
          <w:tab w:val="left" w:pos="4680"/>
          <w:tab w:val="center" w:pos="7200"/>
        </w:tabs>
        <w:spacing w:after="0"/>
        <w:jc w:val="center"/>
      </w:pPr>
      <w:r>
        <w:t>BC561987</w:t>
      </w:r>
    </w:p>
    <w:p w14:paraId="06EE558B" w14:textId="77777777" w:rsidR="00E46099" w:rsidRDefault="00E46099" w:rsidP="00E46099">
      <w:pPr>
        <w:pBdr>
          <w:bottom w:val="single" w:sz="4" w:space="1" w:color="auto"/>
        </w:pBdr>
        <w:tabs>
          <w:tab w:val="left" w:pos="1440"/>
          <w:tab w:val="left" w:pos="4680"/>
          <w:tab w:val="center" w:pos="7200"/>
        </w:tabs>
        <w:spacing w:after="0"/>
        <w:jc w:val="center"/>
      </w:pPr>
    </w:p>
    <w:p w14:paraId="005477BD" w14:textId="77777777" w:rsidR="00E46099" w:rsidRDefault="00E46099" w:rsidP="00E46099">
      <w:pPr>
        <w:tabs>
          <w:tab w:val="left" w:pos="1440"/>
          <w:tab w:val="left" w:pos="4680"/>
          <w:tab w:val="center" w:pos="7200"/>
        </w:tabs>
        <w:spacing w:after="0"/>
        <w:jc w:val="center"/>
      </w:pPr>
    </w:p>
    <w:p w14:paraId="438230A7" w14:textId="77777777" w:rsidR="00E46099" w:rsidRDefault="00B965BA" w:rsidP="00E46099">
      <w:pPr>
        <w:tabs>
          <w:tab w:val="left" w:pos="1440"/>
          <w:tab w:val="left" w:pos="4680"/>
          <w:tab w:val="center" w:pos="7200"/>
        </w:tabs>
        <w:spacing w:after="0"/>
        <w:jc w:val="center"/>
      </w:pPr>
      <w:r>
        <w:t>May 6</w:t>
      </w:r>
      <w:r w:rsidR="00E46099">
        <w:t>, 2019</w:t>
      </w:r>
    </w:p>
    <w:p w14:paraId="749149D6" w14:textId="77777777" w:rsidR="00E46099" w:rsidRDefault="00E46099" w:rsidP="00E46099">
      <w:pPr>
        <w:tabs>
          <w:tab w:val="left" w:pos="1440"/>
          <w:tab w:val="left" w:pos="4680"/>
          <w:tab w:val="center" w:pos="7200"/>
        </w:tabs>
        <w:spacing w:after="0"/>
        <w:jc w:val="center"/>
      </w:pPr>
    </w:p>
    <w:p w14:paraId="04CA96CC" w14:textId="77777777" w:rsidR="00E46099" w:rsidRDefault="00E46099" w:rsidP="00E46099">
      <w:pPr>
        <w:tabs>
          <w:tab w:val="left" w:pos="1440"/>
          <w:tab w:val="left" w:pos="4680"/>
          <w:tab w:val="center" w:pos="7200"/>
        </w:tabs>
        <w:spacing w:after="0"/>
        <w:jc w:val="left"/>
      </w:pPr>
      <w:r>
        <w:t>Justice Cu</w:t>
      </w:r>
      <w:r w:rsidR="009A18F9">
        <w:t>é</w:t>
      </w:r>
      <w:r>
        <w:t xml:space="preserve">llar authored the opinion of the court, in which </w:t>
      </w:r>
      <w:r w:rsidR="00977685">
        <w:t xml:space="preserve">Chief Justice Cantil-Sakauye and Justices </w:t>
      </w:r>
      <w:r w:rsidR="00457C61">
        <w:t>Chin, Corrigan, Liu, Kruger, and Groban</w:t>
      </w:r>
      <w:r>
        <w:t xml:space="preserve"> concurred.</w:t>
      </w:r>
    </w:p>
    <w:p w14:paraId="6B07D3EB" w14:textId="77777777" w:rsidR="00E46099" w:rsidRDefault="00E46099" w:rsidP="00E46099">
      <w:pPr>
        <w:pBdr>
          <w:bottom w:val="single" w:sz="4" w:space="1" w:color="auto"/>
        </w:pBdr>
        <w:tabs>
          <w:tab w:val="left" w:pos="1440"/>
          <w:tab w:val="left" w:pos="4680"/>
          <w:tab w:val="center" w:pos="7200"/>
        </w:tabs>
        <w:spacing w:after="0"/>
        <w:jc w:val="left"/>
      </w:pPr>
    </w:p>
    <w:p w14:paraId="2659C6F9" w14:textId="77777777" w:rsidR="00E46099" w:rsidRPr="00E46099" w:rsidRDefault="00E46099" w:rsidP="00E46099">
      <w:pPr>
        <w:pBdr>
          <w:bottom w:val="single" w:sz="4" w:space="1" w:color="auto"/>
        </w:pBdr>
        <w:tabs>
          <w:tab w:val="left" w:pos="1440"/>
          <w:tab w:val="left" w:pos="4680"/>
          <w:tab w:val="center" w:pos="7200"/>
        </w:tabs>
        <w:spacing w:line="480" w:lineRule="atLeast"/>
        <w:jc w:val="left"/>
      </w:pPr>
      <w:bookmarkStart w:id="2" w:name="Return"/>
      <w:bookmarkEnd w:id="2"/>
    </w:p>
    <w:p w14:paraId="5D3307CF" w14:textId="77777777" w:rsidR="00E46099" w:rsidRDefault="00E46099">
      <w:pPr>
        <w:tabs>
          <w:tab w:val="left" w:pos="1440"/>
          <w:tab w:val="left" w:pos="4680"/>
          <w:tab w:val="center" w:pos="7200"/>
        </w:tabs>
        <w:spacing w:line="480" w:lineRule="atLeast"/>
        <w:sectPr w:rsidR="00E46099" w:rsidSect="00E46099">
          <w:headerReference w:type="default" r:id="rId7"/>
          <w:footerReference w:type="default" r:id="rId8"/>
          <w:pgSz w:w="12240" w:h="15840"/>
          <w:pgMar w:top="1800" w:right="2160" w:bottom="1440" w:left="2160" w:header="720" w:footer="720" w:gutter="0"/>
          <w:cols w:space="720"/>
          <w:titlePg/>
          <w:docGrid w:linePitch="367"/>
        </w:sectPr>
      </w:pPr>
    </w:p>
    <w:p w14:paraId="09BF89BD" w14:textId="77777777" w:rsidR="00E46099" w:rsidRDefault="00E46099" w:rsidP="00E46099">
      <w:pPr>
        <w:tabs>
          <w:tab w:val="left" w:pos="1440"/>
          <w:tab w:val="left" w:pos="4680"/>
          <w:tab w:val="center" w:pos="7200"/>
        </w:tabs>
        <w:jc w:val="center"/>
      </w:pPr>
      <w:r>
        <w:lastRenderedPageBreak/>
        <w:t>FILMON.COM</w:t>
      </w:r>
      <w:r w:rsidR="001D5C38">
        <w:t xml:space="preserve"> INC.</w:t>
      </w:r>
      <w:r>
        <w:t xml:space="preserve"> v. DOUBLEVERIFY INC.</w:t>
      </w:r>
    </w:p>
    <w:p w14:paraId="1413BC9A" w14:textId="77777777" w:rsidR="00E46099" w:rsidRDefault="00E46099" w:rsidP="00E46099">
      <w:pPr>
        <w:tabs>
          <w:tab w:val="left" w:pos="1440"/>
          <w:tab w:val="left" w:pos="4680"/>
          <w:tab w:val="center" w:pos="7200"/>
        </w:tabs>
        <w:jc w:val="center"/>
      </w:pPr>
      <w:r>
        <w:t>S244157</w:t>
      </w:r>
    </w:p>
    <w:p w14:paraId="5437287A" w14:textId="77777777" w:rsidR="00E46099" w:rsidRDefault="00E46099" w:rsidP="00E46099">
      <w:pPr>
        <w:tabs>
          <w:tab w:val="left" w:pos="1440"/>
          <w:tab w:val="left" w:pos="4680"/>
          <w:tab w:val="center" w:pos="7200"/>
        </w:tabs>
        <w:jc w:val="center"/>
      </w:pPr>
      <w:r>
        <w:t>Opinion of the Court by Cu</w:t>
      </w:r>
      <w:r w:rsidR="009A18F9">
        <w:t>é</w:t>
      </w:r>
      <w:r>
        <w:t>llar, J.</w:t>
      </w:r>
    </w:p>
    <w:p w14:paraId="6318A390" w14:textId="77777777" w:rsidR="00141F66" w:rsidRDefault="006A14FC" w:rsidP="00E46099">
      <w:pPr>
        <w:ind w:firstLine="720"/>
      </w:pPr>
      <w:r>
        <w:t xml:space="preserve">The Legislature enacted </w:t>
      </w:r>
      <w:r w:rsidR="00C930F5" w:rsidRPr="00E46099">
        <w:t>Code of Civil Procedure section 425.16</w:t>
      </w:r>
      <w:r w:rsidR="00603AD3">
        <w:t xml:space="preserve"> </w:t>
      </w:r>
      <w:r w:rsidR="00B276FA" w:rsidRPr="00E46099">
        <w:t xml:space="preserve">to address </w:t>
      </w:r>
      <w:r w:rsidR="001D5C38">
        <w:t xml:space="preserve">so-called </w:t>
      </w:r>
      <w:r w:rsidR="00336A3C" w:rsidRPr="00E46099">
        <w:t>strategic la</w:t>
      </w:r>
      <w:r w:rsidR="00A4330D" w:rsidRPr="00E46099">
        <w:t>wsuit</w:t>
      </w:r>
      <w:r w:rsidR="001D5C38">
        <w:t>s</w:t>
      </w:r>
      <w:r w:rsidR="00A4330D" w:rsidRPr="00E46099">
        <w:t xml:space="preserve"> against public participation</w:t>
      </w:r>
      <w:r w:rsidR="00F6745C" w:rsidRPr="00E46099">
        <w:t xml:space="preserve"> </w:t>
      </w:r>
      <w:r w:rsidR="00A93DCA" w:rsidRPr="00E46099">
        <w:t>(</w:t>
      </w:r>
      <w:r w:rsidR="007A036C" w:rsidRPr="00E46099">
        <w:t>SLAPP</w:t>
      </w:r>
      <w:r w:rsidR="00A93DCA" w:rsidRPr="00E46099">
        <w:t>)</w:t>
      </w:r>
      <w:r w:rsidR="005B722A" w:rsidRPr="00E46099">
        <w:t>.</w:t>
      </w:r>
      <w:r w:rsidR="00B276FA" w:rsidRPr="00E46099">
        <w:t xml:space="preserve">  </w:t>
      </w:r>
      <w:r w:rsidR="00F6745C" w:rsidRPr="00E46099">
        <w:t>(Code Civ. Proc., § </w:t>
      </w:r>
      <w:r w:rsidR="001E61DF" w:rsidRPr="00E46099">
        <w:t>425.16</w:t>
      </w:r>
      <w:r w:rsidR="00F236AA" w:rsidRPr="00E46099">
        <w:t xml:space="preserve"> </w:t>
      </w:r>
      <w:r w:rsidR="001D5C38">
        <w:t>[</w:t>
      </w:r>
      <w:r w:rsidR="00F236AA" w:rsidRPr="00E46099">
        <w:t>the anti-S</w:t>
      </w:r>
      <w:r w:rsidR="005B722A" w:rsidRPr="00E46099">
        <w:t>LAPP sta</w:t>
      </w:r>
      <w:r w:rsidR="00F236AA" w:rsidRPr="00E46099">
        <w:t>tute</w:t>
      </w:r>
      <w:r w:rsidR="001D5C38">
        <w:t>]</w:t>
      </w:r>
      <w:r w:rsidR="001E61DF" w:rsidRPr="00E46099">
        <w:t>.)</w:t>
      </w:r>
      <w:r w:rsidR="001E61DF" w:rsidRPr="00E46099">
        <w:rPr>
          <w:rStyle w:val="FootnoteReference"/>
        </w:rPr>
        <w:footnoteReference w:id="2"/>
      </w:r>
      <w:r w:rsidR="001E61DF" w:rsidRPr="00E46099">
        <w:t xml:space="preserve">  </w:t>
      </w:r>
      <w:r w:rsidR="00B276FA" w:rsidRPr="00E46099">
        <w:t xml:space="preserve">This anti-SLAPP </w:t>
      </w:r>
      <w:r w:rsidR="00336A3C" w:rsidRPr="00E46099">
        <w:t>statute</w:t>
      </w:r>
      <w:r w:rsidR="00B276FA" w:rsidRPr="00E46099">
        <w:t xml:space="preserve"> makes available</w:t>
      </w:r>
      <w:r w:rsidR="00C930F5" w:rsidRPr="00E46099">
        <w:t xml:space="preserve"> a special mo</w:t>
      </w:r>
      <w:r w:rsidR="00D9263D" w:rsidRPr="00E46099">
        <w:t>tion to strike meritless claims</w:t>
      </w:r>
      <w:r w:rsidR="00B276FA" w:rsidRPr="00E46099">
        <w:t xml:space="preserve"> </w:t>
      </w:r>
      <w:r w:rsidR="00F95783" w:rsidRPr="00E46099">
        <w:t>early in litigation</w:t>
      </w:r>
      <w:r w:rsidR="00457C61">
        <w:t> — </w:t>
      </w:r>
      <w:r w:rsidR="00B276FA" w:rsidRPr="00E46099">
        <w:t xml:space="preserve">but only if </w:t>
      </w:r>
      <w:r w:rsidR="00B32480">
        <w:t>the</w:t>
      </w:r>
      <w:r w:rsidR="00B276FA" w:rsidRPr="00E46099">
        <w:t xml:space="preserve"> claims</w:t>
      </w:r>
      <w:r w:rsidR="00C27C28" w:rsidRPr="00E46099">
        <w:t xml:space="preserve"> </w:t>
      </w:r>
      <w:r w:rsidR="00B276FA" w:rsidRPr="00E46099">
        <w:t xml:space="preserve">arise </w:t>
      </w:r>
      <w:r w:rsidR="00C27C28" w:rsidRPr="00E46099">
        <w:t>from acts in furtherance of a person’s</w:t>
      </w:r>
      <w:r w:rsidR="00F03696" w:rsidRPr="00E46099">
        <w:t xml:space="preserve"> </w:t>
      </w:r>
      <w:r w:rsidR="00C930F5" w:rsidRPr="00E46099">
        <w:t xml:space="preserve">“right of petition or free speech under the United States Constitution or the California Constitution in connection with a public issue.”  (§ 425.16, </w:t>
      </w:r>
      <w:proofErr w:type="spellStart"/>
      <w:r w:rsidR="00C930F5" w:rsidRPr="00E46099">
        <w:t>subd</w:t>
      </w:r>
      <w:proofErr w:type="spellEnd"/>
      <w:proofErr w:type="gramStart"/>
      <w:r w:rsidR="00C930F5" w:rsidRPr="00E46099">
        <w:t xml:space="preserve">. </w:t>
      </w:r>
      <w:proofErr w:type="gramEnd"/>
      <w:r w:rsidR="00C930F5" w:rsidRPr="00E46099">
        <w:t>(b).)</w:t>
      </w:r>
      <w:r w:rsidR="001A2160" w:rsidRPr="00E46099">
        <w:t xml:space="preserve">  </w:t>
      </w:r>
      <w:r w:rsidR="00C86C6E">
        <w:t>In a catchall provision</w:t>
      </w:r>
      <w:r w:rsidR="00897C70">
        <w:t xml:space="preserve"> </w:t>
      </w:r>
      <w:r w:rsidR="00580818">
        <w:t>r</w:t>
      </w:r>
      <w:r w:rsidR="004B131B">
        <w:t>elevant to this case</w:t>
      </w:r>
      <w:r w:rsidR="00C86C6E">
        <w:t xml:space="preserve">, the statute specifies that such acts include </w:t>
      </w:r>
      <w:r w:rsidR="001A2160" w:rsidRPr="00E46099">
        <w:t>“conduct in furtherance of the exercise of the constitutional right of petition or the constitutional right of free speech in connection with a public issue</w:t>
      </w:r>
      <w:r w:rsidR="00D74C48" w:rsidRPr="00E46099">
        <w:t xml:space="preserve"> or an issue of public interest</w:t>
      </w:r>
      <w:r w:rsidR="00F05883" w:rsidRPr="00E46099">
        <w:t>.</w:t>
      </w:r>
      <w:r w:rsidR="001A2160" w:rsidRPr="00E46099">
        <w:t>”</w:t>
      </w:r>
      <w:r w:rsidR="00F05883" w:rsidRPr="00E46099">
        <w:t xml:space="preserve"> </w:t>
      </w:r>
      <w:r w:rsidR="001A2160" w:rsidRPr="00E46099">
        <w:t xml:space="preserve"> </w:t>
      </w:r>
      <w:r w:rsidR="00D74C48" w:rsidRPr="00E46099">
        <w:t>(§</w:t>
      </w:r>
      <w:r w:rsidR="00AF0A88">
        <w:t> </w:t>
      </w:r>
      <w:r w:rsidR="00D74C48" w:rsidRPr="00E46099">
        <w:t>425.16</w:t>
      </w:r>
      <w:r w:rsidR="00C66C6B" w:rsidRPr="00E46099">
        <w:t xml:space="preserve">, </w:t>
      </w:r>
      <w:proofErr w:type="spellStart"/>
      <w:r w:rsidR="00C66C6B" w:rsidRPr="00E46099">
        <w:t>subd</w:t>
      </w:r>
      <w:proofErr w:type="spellEnd"/>
      <w:proofErr w:type="gramStart"/>
      <w:r w:rsidR="00C66C6B" w:rsidRPr="00E46099">
        <w:t xml:space="preserve">. </w:t>
      </w:r>
      <w:proofErr w:type="gramEnd"/>
      <w:r w:rsidR="00C66C6B" w:rsidRPr="00E46099">
        <w:t>(e)(4)</w:t>
      </w:r>
      <w:r w:rsidR="00F713DA" w:rsidRPr="00E46099">
        <w:t>.</w:t>
      </w:r>
      <w:r w:rsidR="00C66C6B" w:rsidRPr="00E46099">
        <w:t>)</w:t>
      </w:r>
      <w:r w:rsidR="00D74C48" w:rsidRPr="00E46099">
        <w:t xml:space="preserve"> </w:t>
      </w:r>
      <w:r w:rsidR="00F713DA" w:rsidRPr="00E46099">
        <w:t xml:space="preserve"> </w:t>
      </w:r>
      <w:r w:rsidR="000915C7">
        <w:t>But nowhere</w:t>
      </w:r>
      <w:r w:rsidR="00F713DA" w:rsidRPr="00E46099">
        <w:t xml:space="preserve"> </w:t>
      </w:r>
      <w:r w:rsidR="00FA19EB" w:rsidRPr="00E46099">
        <w:t xml:space="preserve">does </w:t>
      </w:r>
      <w:r w:rsidR="002E54CA">
        <w:t>the statute</w:t>
      </w:r>
      <w:r w:rsidR="00FA19EB" w:rsidRPr="00E46099">
        <w:t xml:space="preserve"> </w:t>
      </w:r>
      <w:r w:rsidR="003E4D74" w:rsidRPr="00E46099">
        <w:t>further define these terms.</w:t>
      </w:r>
      <w:r w:rsidR="00581C6F" w:rsidRPr="00E46099">
        <w:t xml:space="preserve">  </w:t>
      </w:r>
    </w:p>
    <w:p w14:paraId="4347C3F2" w14:textId="77777777" w:rsidR="00603AD3" w:rsidRDefault="00603AD3" w:rsidP="00E46099">
      <w:pPr>
        <w:ind w:firstLine="720"/>
      </w:pPr>
      <w:r>
        <w:t>FilmOn</w:t>
      </w:r>
      <w:r w:rsidR="00C50A4C">
        <w:t>.com</w:t>
      </w:r>
      <w:r w:rsidR="001D5C38">
        <w:t xml:space="preserve"> Inc.</w:t>
      </w:r>
      <w:r w:rsidR="00523967">
        <w:t xml:space="preserve"> (</w:t>
      </w:r>
      <w:proofErr w:type="spellStart"/>
      <w:r w:rsidR="00523967">
        <w:t>FilmOn</w:t>
      </w:r>
      <w:proofErr w:type="spellEnd"/>
      <w:r w:rsidR="00523967">
        <w:t>)</w:t>
      </w:r>
      <w:r w:rsidR="00BA6880">
        <w:t xml:space="preserve"> </w:t>
      </w:r>
      <w:r w:rsidR="00D02D35">
        <w:t xml:space="preserve">is </w:t>
      </w:r>
      <w:r>
        <w:t>a for-profit business entity that distributes web-based entertainment programming</w:t>
      </w:r>
      <w:r w:rsidR="00E10039">
        <w:t xml:space="preserve">.  In this case, </w:t>
      </w:r>
      <w:proofErr w:type="spellStart"/>
      <w:r w:rsidR="00E10039">
        <w:t>FilmOn</w:t>
      </w:r>
      <w:proofErr w:type="spellEnd"/>
      <w:r w:rsidR="00E10039">
        <w:t xml:space="preserve"> </w:t>
      </w:r>
      <w:r>
        <w:t>sue</w:t>
      </w:r>
      <w:r w:rsidR="00694627">
        <w:t>d</w:t>
      </w:r>
      <w:r>
        <w:t xml:space="preserve"> </w:t>
      </w:r>
      <w:proofErr w:type="spellStart"/>
      <w:r>
        <w:t>DoubleVerify</w:t>
      </w:r>
      <w:proofErr w:type="spellEnd"/>
      <w:r w:rsidR="007E0970">
        <w:t xml:space="preserve"> Inc.</w:t>
      </w:r>
      <w:r w:rsidR="001D5C38">
        <w:t xml:space="preserve"> (</w:t>
      </w:r>
      <w:proofErr w:type="spellStart"/>
      <w:r w:rsidR="001D5C38">
        <w:t>DoubleVerify</w:t>
      </w:r>
      <w:proofErr w:type="spellEnd"/>
      <w:r w:rsidR="001D5C38">
        <w:t>)</w:t>
      </w:r>
      <w:r w:rsidR="007E0970">
        <w:t>,</w:t>
      </w:r>
      <w:r>
        <w:t xml:space="preserve"> another for-profit business entity that offers online tracking, verification and “brand safety” services to </w:t>
      </w:r>
      <w:r w:rsidR="001D5C38">
        <w:t>I</w:t>
      </w:r>
      <w:r>
        <w:t xml:space="preserve">nternet advertisers.  </w:t>
      </w:r>
      <w:proofErr w:type="spellStart"/>
      <w:r>
        <w:t>FilmOn</w:t>
      </w:r>
      <w:proofErr w:type="spellEnd"/>
      <w:r>
        <w:t xml:space="preserve"> allege</w:t>
      </w:r>
      <w:r w:rsidR="001D5C38">
        <w:t>d</w:t>
      </w:r>
      <w:r>
        <w:t xml:space="preserve"> that </w:t>
      </w:r>
      <w:proofErr w:type="spellStart"/>
      <w:r>
        <w:t>DoubleVerify</w:t>
      </w:r>
      <w:proofErr w:type="spellEnd"/>
      <w:r>
        <w:t xml:space="preserve"> disparaged its</w:t>
      </w:r>
      <w:r w:rsidR="00031EE5">
        <w:t xml:space="preserve"> digital distribution</w:t>
      </w:r>
      <w:r>
        <w:t xml:space="preserve"> network in confidential reports to </w:t>
      </w:r>
      <w:proofErr w:type="spellStart"/>
      <w:r>
        <w:t>DoubleVerify’s</w:t>
      </w:r>
      <w:proofErr w:type="spellEnd"/>
      <w:r>
        <w:t xml:space="preserve"> paying clients</w:t>
      </w:r>
      <w:r w:rsidR="000873FD">
        <w:t>.</w:t>
      </w:r>
      <w:r>
        <w:t xml:space="preserve"> </w:t>
      </w:r>
      <w:r w:rsidR="00346415">
        <w:t xml:space="preserve"> </w:t>
      </w:r>
      <w:proofErr w:type="spellStart"/>
      <w:r>
        <w:t>DoubleVerify</w:t>
      </w:r>
      <w:proofErr w:type="spellEnd"/>
      <w:r w:rsidR="000873FD">
        <w:t xml:space="preserve"> responded by filing</w:t>
      </w:r>
      <w:r>
        <w:t xml:space="preserve"> an anti-SLAPP motion to strike.</w:t>
      </w:r>
    </w:p>
    <w:p w14:paraId="333505B0" w14:textId="77777777" w:rsidR="00B6704B" w:rsidRDefault="00603AD3" w:rsidP="00B6704B">
      <w:pPr>
        <w:ind w:firstLine="720"/>
      </w:pPr>
      <w:r>
        <w:lastRenderedPageBreak/>
        <w:t xml:space="preserve">We granted review to decide whether the commercial </w:t>
      </w:r>
      <w:r w:rsidR="007E0970">
        <w:t>nature</w:t>
      </w:r>
      <w:r>
        <w:t xml:space="preserve"> of </w:t>
      </w:r>
      <w:r w:rsidR="00A47C8E">
        <w:t>a defendant’s</w:t>
      </w:r>
      <w:r>
        <w:t xml:space="preserve"> speech </w:t>
      </w:r>
      <w:r w:rsidR="00437E0F">
        <w:t xml:space="preserve">is relevant in determining whether that speech merits protection under the </w:t>
      </w:r>
      <w:r w:rsidR="001D5C38">
        <w:t>catchall</w:t>
      </w:r>
      <w:r w:rsidR="00437E0F">
        <w:t xml:space="preserve"> provision.  </w:t>
      </w:r>
      <w:r w:rsidR="009B495C">
        <w:t xml:space="preserve">To resolve </w:t>
      </w:r>
      <w:r w:rsidR="00D12021">
        <w:t xml:space="preserve">this question, we also </w:t>
      </w:r>
      <w:r w:rsidR="00D728BC">
        <w:t xml:space="preserve">clarify </w:t>
      </w:r>
      <w:r w:rsidR="007E0970">
        <w:t xml:space="preserve">how the </w:t>
      </w:r>
      <w:r w:rsidR="007E0970" w:rsidRPr="00E46099">
        <w:t xml:space="preserve">context of a </w:t>
      </w:r>
      <w:r w:rsidR="00B6704B">
        <w:t>statement more broadly</w:t>
      </w:r>
      <w:r w:rsidR="007E0970" w:rsidRPr="00E46099">
        <w:t xml:space="preserve"> — including the identity of the speaker, the audience, and the purpose of the speech</w:t>
      </w:r>
      <w:r w:rsidR="008407E3">
        <w:t> </w:t>
      </w:r>
      <w:r w:rsidR="007E0970" w:rsidRPr="00E46099">
        <w:t>—</w:t>
      </w:r>
      <w:r w:rsidR="008407E3">
        <w:t> </w:t>
      </w:r>
      <w:r w:rsidR="007E0970">
        <w:t>informs</w:t>
      </w:r>
      <w:r w:rsidR="00B6704B">
        <w:t xml:space="preserve"> the same analysis.</w:t>
      </w:r>
      <w:r w:rsidR="007E0970">
        <w:t xml:space="preserve"> </w:t>
      </w:r>
    </w:p>
    <w:p w14:paraId="1428048F" w14:textId="77777777" w:rsidR="00B6704B" w:rsidRDefault="00DE19B9" w:rsidP="00B6704B">
      <w:pPr>
        <w:ind w:firstLine="720"/>
      </w:pPr>
      <w:r>
        <w:t xml:space="preserve">What we hold is that the context of a </w:t>
      </w:r>
      <w:r w:rsidR="00B6704B">
        <w:t xml:space="preserve">defendant’s </w:t>
      </w:r>
      <w:r>
        <w:t xml:space="preserve">statement </w:t>
      </w:r>
      <w:r w:rsidR="00B6704B">
        <w:t xml:space="preserve">is relevant, though not dispositive, in analyzing </w:t>
      </w:r>
      <w:r>
        <w:t xml:space="preserve">whether </w:t>
      </w:r>
      <w:r w:rsidR="00B6704B">
        <w:t xml:space="preserve">the statement was made “in furtherance of” free speech “in connection with” a public issue.  (§ 425.16, </w:t>
      </w:r>
      <w:proofErr w:type="spellStart"/>
      <w:r w:rsidR="00B6704B">
        <w:t>subd</w:t>
      </w:r>
      <w:proofErr w:type="spellEnd"/>
      <w:proofErr w:type="gramStart"/>
      <w:r w:rsidR="00B6704B">
        <w:t xml:space="preserve">. </w:t>
      </w:r>
      <w:proofErr w:type="gramEnd"/>
      <w:r w:rsidR="00B6704B">
        <w:t xml:space="preserve">(e)(4).)  </w:t>
      </w:r>
      <w:r>
        <w:t xml:space="preserve">In </w:t>
      </w:r>
      <w:r w:rsidR="001747E9">
        <w:t xml:space="preserve">an age of easy public </w:t>
      </w:r>
      <w:r w:rsidR="00EC48FF">
        <w:t>access</w:t>
      </w:r>
      <w:r w:rsidR="001747E9">
        <w:t xml:space="preserve"> </w:t>
      </w:r>
      <w:r w:rsidR="00EC48FF">
        <w:t xml:space="preserve">to </w:t>
      </w:r>
      <w:r w:rsidR="003610D9">
        <w:t>previously</w:t>
      </w:r>
      <w:r w:rsidR="001747E9">
        <w:t xml:space="preserve"> </w:t>
      </w:r>
      <w:proofErr w:type="gramStart"/>
      <w:r w:rsidR="001747E9">
        <w:t>private information</w:t>
      </w:r>
      <w:proofErr w:type="gramEnd"/>
      <w:r w:rsidR="000873FD">
        <w:t xml:space="preserve"> through social media and other means</w:t>
      </w:r>
      <w:r w:rsidR="001747E9">
        <w:t xml:space="preserve">, </w:t>
      </w:r>
      <w:r>
        <w:t xml:space="preserve">context allows us to assess the functional relationship between a statement and the issue of public interest </w:t>
      </w:r>
      <w:r w:rsidR="00E92417">
        <w:t>on which it touches</w:t>
      </w:r>
      <w:r w:rsidR="00B6704B">
        <w:t xml:space="preserve"> — deciding, in the process, whether it merits protection under a statute designed to “encourage continued participation in matters of public significance.”  (§ 425.16, </w:t>
      </w:r>
      <w:proofErr w:type="spellStart"/>
      <w:r w:rsidR="00B6704B">
        <w:t>subd</w:t>
      </w:r>
      <w:proofErr w:type="spellEnd"/>
      <w:proofErr w:type="gramStart"/>
      <w:r w:rsidR="00B6704B">
        <w:t xml:space="preserve">. </w:t>
      </w:r>
      <w:proofErr w:type="gramEnd"/>
      <w:r w:rsidR="00B6704B">
        <w:t xml:space="preserve">(a).)  </w:t>
      </w:r>
    </w:p>
    <w:p w14:paraId="5E43B0B3" w14:textId="77777777" w:rsidR="00F26CD6" w:rsidRDefault="00F26CD6" w:rsidP="00F26CD6">
      <w:pPr>
        <w:ind w:firstLine="720"/>
      </w:pPr>
      <w:r>
        <w:t xml:space="preserve">In giving effect to this </w:t>
      </w:r>
      <w:r w:rsidR="006A14FC">
        <w:t xml:space="preserve">statutory purpose, we find that </w:t>
      </w:r>
      <w:proofErr w:type="spellStart"/>
      <w:r w:rsidR="006A14FC">
        <w:t>DoubleVerify’s</w:t>
      </w:r>
      <w:proofErr w:type="spellEnd"/>
      <w:r w:rsidR="006A14FC">
        <w:t xml:space="preserve"> reports — generated for profit</w:t>
      </w:r>
      <w:r w:rsidR="00AC1629">
        <w:t>,</w:t>
      </w:r>
      <w:r w:rsidR="006A14FC">
        <w:t xml:space="preserve"> exchanged confidentially</w:t>
      </w:r>
      <w:r w:rsidR="00AC1629">
        <w:t>,</w:t>
      </w:r>
      <w:r w:rsidR="006A14FC">
        <w:t xml:space="preserve"> without</w:t>
      </w:r>
      <w:r w:rsidR="00B405D4">
        <w:t xml:space="preserve"> being part of</w:t>
      </w:r>
      <w:r>
        <w:t xml:space="preserve"> </w:t>
      </w:r>
      <w:r w:rsidR="006A14FC">
        <w:t xml:space="preserve">any </w:t>
      </w:r>
      <w:r>
        <w:t>attempt to participate in a larger public discussion</w:t>
      </w:r>
      <w:r w:rsidR="006A14FC">
        <w:t xml:space="preserve"> — do not</w:t>
      </w:r>
      <w:r>
        <w:t xml:space="preserve"> qualify for anti-SLAPP protection under the </w:t>
      </w:r>
      <w:r w:rsidR="001D5C38">
        <w:t>catchall</w:t>
      </w:r>
      <w:r>
        <w:t xml:space="preserve"> provision, even where the topic discussed is, broadly speaking, one of public interest.  This is not because confidential statements made to serve business interests are categorically excluded from anti-SLAPP protectio</w:t>
      </w:r>
      <w:r w:rsidR="00FE6509">
        <w:t>n</w:t>
      </w:r>
      <w:r>
        <w:t xml:space="preserve">.  It is instead because </w:t>
      </w:r>
      <w:proofErr w:type="spellStart"/>
      <w:r w:rsidR="006A14FC">
        <w:t>DoubleVerify’s</w:t>
      </w:r>
      <w:proofErr w:type="spellEnd"/>
      <w:r w:rsidR="006A14FC">
        <w:t xml:space="preserve"> reports</w:t>
      </w:r>
      <w:r w:rsidR="004F6900">
        <w:t xml:space="preserve"> </w:t>
      </w:r>
      <w:r w:rsidR="009B373A">
        <w:t>are</w:t>
      </w:r>
      <w:r w:rsidR="006A14FC">
        <w:t xml:space="preserve"> too tenuous</w:t>
      </w:r>
      <w:r w:rsidR="00B97A93">
        <w:t>ly</w:t>
      </w:r>
      <w:r w:rsidR="006A14FC">
        <w:t xml:space="preserve"> </w:t>
      </w:r>
      <w:r w:rsidR="00B2572D">
        <w:t>tether</w:t>
      </w:r>
      <w:r w:rsidR="00B97A93">
        <w:t>ed</w:t>
      </w:r>
      <w:r w:rsidR="006A14FC">
        <w:t xml:space="preserve"> to the issues of public interest they implicate</w:t>
      </w:r>
      <w:r w:rsidR="00F94865">
        <w:t>,</w:t>
      </w:r>
      <w:r w:rsidR="0051707C">
        <w:t xml:space="preserve"> and too remote</w:t>
      </w:r>
      <w:r w:rsidR="00B97A93">
        <w:t>ly</w:t>
      </w:r>
      <w:r w:rsidR="0051707C">
        <w:t xml:space="preserve"> connec</w:t>
      </w:r>
      <w:r w:rsidR="00B97A93">
        <w:t>ted</w:t>
      </w:r>
      <w:r w:rsidR="008248B5">
        <w:t xml:space="preserve"> to </w:t>
      </w:r>
      <w:r w:rsidR="00707BFD">
        <w:t xml:space="preserve">the public conversation </w:t>
      </w:r>
      <w:r w:rsidR="0051707C">
        <w:t xml:space="preserve">about </w:t>
      </w:r>
      <w:r w:rsidR="00707BFD">
        <w:t>those issues,</w:t>
      </w:r>
      <w:r w:rsidR="006A14FC">
        <w:t xml:space="preserve"> to merit protection under the </w:t>
      </w:r>
      <w:r w:rsidR="001D5C38">
        <w:t>catchall</w:t>
      </w:r>
      <w:r w:rsidR="006A14FC">
        <w:t xml:space="preserve"> provision.  </w:t>
      </w:r>
    </w:p>
    <w:p w14:paraId="65DE9931" w14:textId="77777777" w:rsidR="008E1180" w:rsidRDefault="00530B8F" w:rsidP="00530B8F">
      <w:pPr>
        <w:ind w:firstLine="720"/>
      </w:pPr>
      <w:r>
        <w:lastRenderedPageBreak/>
        <w:t>Because the</w:t>
      </w:r>
      <w:r w:rsidR="00EC48FF" w:rsidRPr="00530B8F">
        <w:t xml:space="preserve"> Court of Appeal</w:t>
      </w:r>
      <w:r w:rsidR="007F7D02">
        <w:t xml:space="preserve"> found </w:t>
      </w:r>
      <w:proofErr w:type="spellStart"/>
      <w:r w:rsidR="007F7D02">
        <w:t>DoubleVer</w:t>
      </w:r>
      <w:r w:rsidR="00936A6B">
        <w:t>ify’s</w:t>
      </w:r>
      <w:proofErr w:type="spellEnd"/>
      <w:r w:rsidR="00936A6B">
        <w:t xml:space="preserve"> reports protected under the anti-SLAPP statute, and</w:t>
      </w:r>
      <w:r w:rsidR="00EC48FF" w:rsidRPr="00530B8F">
        <w:t xml:space="preserve"> held that </w:t>
      </w:r>
      <w:r w:rsidRPr="00530B8F">
        <w:t>context is irrelevant to the anti-SLAPP analysis under subdivision (e)(4)</w:t>
      </w:r>
      <w:r>
        <w:t>, w</w:t>
      </w:r>
      <w:r w:rsidRPr="00530B8F">
        <w:t xml:space="preserve">e reverse. </w:t>
      </w:r>
    </w:p>
    <w:p w14:paraId="27A7E8A9" w14:textId="77777777" w:rsidR="00C27ED9" w:rsidRPr="00E46099" w:rsidRDefault="00E93699" w:rsidP="00E46099">
      <w:pPr>
        <w:pStyle w:val="Heading1"/>
      </w:pPr>
      <w:bookmarkStart w:id="3" w:name="mainstory"/>
      <w:bookmarkEnd w:id="3"/>
      <w:r w:rsidRPr="00E46099">
        <w:t>I.</w:t>
      </w:r>
    </w:p>
    <w:p w14:paraId="6F955889" w14:textId="77777777" w:rsidR="003E57EA" w:rsidRPr="00E46099" w:rsidRDefault="00464629" w:rsidP="00E46099">
      <w:pPr>
        <w:ind w:firstLine="720"/>
      </w:pPr>
      <w:r>
        <w:t xml:space="preserve">Internet use has become pervasive in less than a generation, and </w:t>
      </w:r>
      <w:r w:rsidR="00093966">
        <w:t xml:space="preserve">along with it, advertising through online platforms.  </w:t>
      </w:r>
      <w:r w:rsidR="00D61E0E" w:rsidRPr="00E46099">
        <w:t>(</w:t>
      </w:r>
      <w:r w:rsidR="002E6057" w:rsidRPr="00E46099">
        <w:t xml:space="preserve">See </w:t>
      </w:r>
      <w:r w:rsidR="00C30A58" w:rsidRPr="00E46099">
        <w:t xml:space="preserve">Interactive Advertising Bureau, </w:t>
      </w:r>
      <w:r w:rsidR="00C30A58" w:rsidRPr="00E46099">
        <w:rPr>
          <w:i/>
        </w:rPr>
        <w:t>IAB Internet Advertising Revenue Report</w:t>
      </w:r>
      <w:r w:rsidR="00C30A58" w:rsidRPr="00E46099">
        <w:t xml:space="preserve"> </w:t>
      </w:r>
      <w:r w:rsidR="001D5C38">
        <w:t xml:space="preserve">(May 2018) </w:t>
      </w:r>
      <w:r w:rsidR="004C2B4D" w:rsidRPr="00E46099">
        <w:t>&lt;</w:t>
      </w:r>
      <w:r w:rsidR="00D61E0E" w:rsidRPr="00E46099">
        <w:t>https://www.iab.com/wp-content/uploads/2018/05/IAB-2017-Full-Year-Internet-Advertising-Revenue-Report.REV2_.pdf</w:t>
      </w:r>
      <w:r w:rsidR="00E50520" w:rsidRPr="00E46099">
        <w:t>&gt;</w:t>
      </w:r>
      <w:r w:rsidR="00DE7346" w:rsidRPr="00E46099">
        <w:t xml:space="preserve"> [as of</w:t>
      </w:r>
      <w:r w:rsidR="000627F5">
        <w:t xml:space="preserve"> May 2, 2019</w:t>
      </w:r>
      <w:r w:rsidR="00C30A58" w:rsidRPr="00E46099">
        <w:t>]</w:t>
      </w:r>
      <w:r w:rsidR="00D61E0E" w:rsidRPr="00E46099">
        <w:t>.)</w:t>
      </w:r>
      <w:r w:rsidR="001D5C38">
        <w:rPr>
          <w:rStyle w:val="FootnoteReference"/>
        </w:rPr>
        <w:footnoteReference w:id="3"/>
      </w:r>
      <w:r w:rsidR="00D61E0E" w:rsidRPr="00E46099">
        <w:t xml:space="preserve">  </w:t>
      </w:r>
      <w:r w:rsidR="00152FE5" w:rsidRPr="00E46099">
        <w:t xml:space="preserve">To ensure </w:t>
      </w:r>
      <w:r w:rsidR="003F64CB" w:rsidRPr="00E46099">
        <w:t xml:space="preserve">their advertising dollars are wisely spent and </w:t>
      </w:r>
      <w:r w:rsidR="009E1D07" w:rsidRPr="00E46099">
        <w:t xml:space="preserve">the ads </w:t>
      </w:r>
      <w:r w:rsidR="000B407D" w:rsidRPr="00E46099">
        <w:t xml:space="preserve">are placed on </w:t>
      </w:r>
      <w:r w:rsidR="00C30A58" w:rsidRPr="00E46099">
        <w:t xml:space="preserve">sites with content </w:t>
      </w:r>
      <w:r w:rsidR="000B407D" w:rsidRPr="00E46099">
        <w:t xml:space="preserve">appropriate for </w:t>
      </w:r>
      <w:r w:rsidR="003E57EA" w:rsidRPr="00E46099">
        <w:t>their target customers</w:t>
      </w:r>
      <w:r w:rsidR="000B407D" w:rsidRPr="00E46099">
        <w:t>, businesses moni</w:t>
      </w:r>
      <w:r w:rsidR="00E50520" w:rsidRPr="00E46099">
        <w:t xml:space="preserve">tor the </w:t>
      </w:r>
      <w:r w:rsidR="00C30A58" w:rsidRPr="00E46099">
        <w:t>web</w:t>
      </w:r>
      <w:r w:rsidR="00B82152" w:rsidRPr="00E46099">
        <w:t>sites on which they advertise or may wish to advertise</w:t>
      </w:r>
      <w:r w:rsidR="00A951FE">
        <w:t xml:space="preserve">.  </w:t>
      </w:r>
      <w:r w:rsidR="00152FE5" w:rsidRPr="00E46099">
        <w:t xml:space="preserve">One company offering such monitoring services </w:t>
      </w:r>
      <w:r w:rsidR="00813CB6" w:rsidRPr="00E46099">
        <w:t xml:space="preserve">— which include </w:t>
      </w:r>
      <w:r w:rsidR="00CC5DA1">
        <w:t>collecting and packaging information</w:t>
      </w:r>
      <w:r w:rsidR="00813CB6" w:rsidRPr="00E46099">
        <w:t xml:space="preserve"> </w:t>
      </w:r>
      <w:r w:rsidR="00C72F56">
        <w:t>about</w:t>
      </w:r>
      <w:r w:rsidR="00813CB6" w:rsidRPr="00E46099">
        <w:t xml:space="preserve"> </w:t>
      </w:r>
      <w:r w:rsidR="00C72F56">
        <w:t>a</w:t>
      </w:r>
      <w:r w:rsidR="00813CB6" w:rsidRPr="00E46099">
        <w:t xml:space="preserve"> website’s </w:t>
      </w:r>
      <w:r w:rsidR="0060231C" w:rsidRPr="00E46099">
        <w:t xml:space="preserve">content, viewers, and </w:t>
      </w:r>
      <w:r w:rsidR="00813CB6" w:rsidRPr="00E46099">
        <w:t>advertising practice</w:t>
      </w:r>
      <w:r w:rsidR="00C72F56">
        <w:t>s</w:t>
      </w:r>
      <w:r w:rsidR="0060231C" w:rsidRPr="00E46099">
        <w:t xml:space="preserve"> </w:t>
      </w:r>
      <w:r w:rsidR="00813CB6" w:rsidRPr="00E46099">
        <w:t xml:space="preserve">— </w:t>
      </w:r>
      <w:r w:rsidR="00152FE5" w:rsidRPr="00E46099">
        <w:t xml:space="preserve">is defendant </w:t>
      </w:r>
      <w:proofErr w:type="spellStart"/>
      <w:r w:rsidR="00152FE5" w:rsidRPr="00E46099">
        <w:t>DoubleVerify</w:t>
      </w:r>
      <w:proofErr w:type="spellEnd"/>
      <w:r w:rsidR="00152FE5" w:rsidRPr="00E46099">
        <w:t>.</w:t>
      </w:r>
    </w:p>
    <w:p w14:paraId="4F726200" w14:textId="77777777" w:rsidR="002A5921" w:rsidRPr="009F6EDB" w:rsidRDefault="003E57EA" w:rsidP="00E46099">
      <w:pPr>
        <w:ind w:firstLine="720"/>
      </w:pPr>
      <w:r w:rsidRPr="00E46099">
        <w:t xml:space="preserve">For its </w:t>
      </w:r>
      <w:r w:rsidR="00305B6B" w:rsidRPr="00E46099">
        <w:t xml:space="preserve">large </w:t>
      </w:r>
      <w:r w:rsidR="00C1426F">
        <w:t>stab</w:t>
      </w:r>
      <w:r w:rsidR="00FC33F9" w:rsidRPr="00E46099">
        <w:t xml:space="preserve">le </w:t>
      </w:r>
      <w:r w:rsidR="00305B6B" w:rsidRPr="00E46099">
        <w:t>of clients</w:t>
      </w:r>
      <w:r w:rsidRPr="00E46099">
        <w:t xml:space="preserve">, </w:t>
      </w:r>
      <w:proofErr w:type="spellStart"/>
      <w:r w:rsidR="00FE2712" w:rsidRPr="00E46099">
        <w:t>DoubleVerify</w:t>
      </w:r>
      <w:proofErr w:type="spellEnd"/>
      <w:r w:rsidR="00FE2712" w:rsidRPr="00E46099">
        <w:t xml:space="preserve"> gathers and </w:t>
      </w:r>
      <w:r w:rsidR="00DF2237">
        <w:t>provides</w:t>
      </w:r>
      <w:r w:rsidR="00DF2237" w:rsidRPr="00E46099">
        <w:t xml:space="preserve"> </w:t>
      </w:r>
      <w:r w:rsidR="00FE2712" w:rsidRPr="00E46099">
        <w:t xml:space="preserve">information </w:t>
      </w:r>
      <w:r w:rsidR="00035F5C">
        <w:t>about</w:t>
      </w:r>
      <w:r w:rsidR="00FE2712" w:rsidRPr="00E46099">
        <w:t xml:space="preserve"> </w:t>
      </w:r>
      <w:r w:rsidR="00523967">
        <w:t xml:space="preserve">the </w:t>
      </w:r>
      <w:r w:rsidR="004D522C" w:rsidRPr="00E46099">
        <w:t xml:space="preserve">websites </w:t>
      </w:r>
      <w:r w:rsidR="00911D2C">
        <w:t>o</w:t>
      </w:r>
      <w:r w:rsidR="000B0736" w:rsidRPr="00E46099">
        <w:t>n which</w:t>
      </w:r>
      <w:r w:rsidR="004D522C" w:rsidRPr="00E46099">
        <w:t xml:space="preserve"> </w:t>
      </w:r>
      <w:r w:rsidR="008E4BA7" w:rsidRPr="00E46099">
        <w:t>the</w:t>
      </w:r>
      <w:r w:rsidR="004D522C" w:rsidRPr="00E46099">
        <w:t xml:space="preserve"> clients are interested</w:t>
      </w:r>
      <w:r w:rsidR="00523967">
        <w:t xml:space="preserve"> in advertising</w:t>
      </w:r>
      <w:r w:rsidR="00A951FE">
        <w:t xml:space="preserve">.  </w:t>
      </w:r>
      <w:r w:rsidR="00B15F63" w:rsidRPr="00E46099">
        <w:t>The businesses</w:t>
      </w:r>
      <w:r w:rsidR="00FE2712" w:rsidRPr="00E46099">
        <w:t xml:space="preserve"> </w:t>
      </w:r>
      <w:r w:rsidR="00863C2F" w:rsidRPr="00E46099">
        <w:t>pay for the reports</w:t>
      </w:r>
      <w:r w:rsidR="005A7ACB" w:rsidRPr="00E46099">
        <w:t xml:space="preserve"> and </w:t>
      </w:r>
      <w:r w:rsidR="00863C2F" w:rsidRPr="00E46099">
        <w:t>agree to keep them confidential</w:t>
      </w:r>
      <w:r w:rsidR="005A7ACB" w:rsidRPr="00E46099">
        <w:t>.</w:t>
      </w:r>
      <w:r w:rsidR="00863C2F" w:rsidRPr="00E46099">
        <w:t xml:space="preserve"> </w:t>
      </w:r>
      <w:r w:rsidR="005A7ACB" w:rsidRPr="00E46099">
        <w:t xml:space="preserve"> I</w:t>
      </w:r>
      <w:r w:rsidR="00863C2F" w:rsidRPr="00E46099">
        <w:t>n return</w:t>
      </w:r>
      <w:r w:rsidR="005A7ACB" w:rsidRPr="00E46099">
        <w:t xml:space="preserve">, they receive from </w:t>
      </w:r>
      <w:proofErr w:type="spellStart"/>
      <w:r w:rsidR="005A7ACB" w:rsidRPr="00E46099">
        <w:t>DoubleVerify</w:t>
      </w:r>
      <w:proofErr w:type="spellEnd"/>
      <w:r w:rsidR="00863C2F" w:rsidRPr="00E46099">
        <w:t xml:space="preserve"> information on </w:t>
      </w:r>
      <w:r w:rsidR="002F3D8C" w:rsidRPr="00E46099">
        <w:t xml:space="preserve">the </w:t>
      </w:r>
      <w:r w:rsidR="004618C5" w:rsidRPr="00E46099">
        <w:t xml:space="preserve">location of the </w:t>
      </w:r>
      <w:r w:rsidR="002F3D8C" w:rsidRPr="00E46099">
        <w:t>website’s viewers, whether a competitor advertises on the website, where the website displays advertisements,</w:t>
      </w:r>
      <w:r w:rsidR="00FE2712" w:rsidRPr="00E46099">
        <w:t xml:space="preserve"> </w:t>
      </w:r>
      <w:r w:rsidR="00851A1E" w:rsidRPr="00E46099">
        <w:t xml:space="preserve">how long </w:t>
      </w:r>
      <w:r w:rsidR="00076F4B" w:rsidRPr="00E46099">
        <w:t>the advertisements are shown</w:t>
      </w:r>
      <w:r w:rsidR="00E23BE3" w:rsidRPr="00E46099">
        <w:t>, and —</w:t>
      </w:r>
      <w:r w:rsidR="00246FAA" w:rsidRPr="00E46099">
        <w:t xml:space="preserve"> crucial to this litigation</w:t>
      </w:r>
      <w:r w:rsidR="00FB12FC" w:rsidRPr="00E46099">
        <w:t xml:space="preserve"> —</w:t>
      </w:r>
      <w:r w:rsidR="00E23BE3" w:rsidRPr="00E46099">
        <w:t xml:space="preserve"> </w:t>
      </w:r>
      <w:r w:rsidR="00246FAA" w:rsidRPr="00E46099">
        <w:t xml:space="preserve">a description of </w:t>
      </w:r>
      <w:r w:rsidR="009F6EDB">
        <w:t>the</w:t>
      </w:r>
      <w:r w:rsidR="00246FAA" w:rsidRPr="00E46099">
        <w:t xml:space="preserve"> website’s content</w:t>
      </w:r>
      <w:r w:rsidR="002F3D8C" w:rsidRPr="00E46099">
        <w:t>.</w:t>
      </w:r>
      <w:r w:rsidR="00A951FE">
        <w:t xml:space="preserve">  </w:t>
      </w:r>
      <w:r w:rsidR="00D215D9" w:rsidRPr="00E46099">
        <w:t xml:space="preserve">Such a description comes </w:t>
      </w:r>
      <w:r w:rsidR="00D215D9" w:rsidRPr="00E46099">
        <w:lastRenderedPageBreak/>
        <w:t>in the form of a</w:t>
      </w:r>
      <w:r w:rsidR="00863C2F" w:rsidRPr="00E46099">
        <w:t xml:space="preserve"> “</w:t>
      </w:r>
      <w:r w:rsidR="00D215D9" w:rsidRPr="00E46099">
        <w:t>tag</w:t>
      </w:r>
      <w:r w:rsidR="00863C2F" w:rsidRPr="00E46099">
        <w:t>” or “label cla</w:t>
      </w:r>
      <w:r w:rsidR="006200A6" w:rsidRPr="00E46099">
        <w:t>ssifying the website’s content.</w:t>
      </w:r>
      <w:r w:rsidR="006C7987" w:rsidRPr="00E46099">
        <w:t>”</w:t>
      </w:r>
      <w:r w:rsidR="00863C2F" w:rsidRPr="00E46099">
        <w:t xml:space="preserve">  (</w:t>
      </w:r>
      <w:r w:rsidR="00863C2F" w:rsidRPr="00E46099">
        <w:rPr>
          <w:i/>
        </w:rPr>
        <w:t xml:space="preserve">FilmOn.com v. </w:t>
      </w:r>
      <w:proofErr w:type="spellStart"/>
      <w:r w:rsidR="00863C2F" w:rsidRPr="00E46099">
        <w:rPr>
          <w:i/>
        </w:rPr>
        <w:t>DoubleVerify</w:t>
      </w:r>
      <w:proofErr w:type="spellEnd"/>
      <w:r w:rsidR="00863C2F" w:rsidRPr="00E46099">
        <w:rPr>
          <w:i/>
        </w:rPr>
        <w:t>, Inc.</w:t>
      </w:r>
      <w:r w:rsidR="00863C2F" w:rsidRPr="00E46099">
        <w:t> (2017) 13 Cal.App.5th 707, 712 (</w:t>
      </w:r>
      <w:proofErr w:type="spellStart"/>
      <w:r w:rsidR="00863C2F" w:rsidRPr="00E46099">
        <w:rPr>
          <w:i/>
        </w:rPr>
        <w:t>FilmOn</w:t>
      </w:r>
      <w:proofErr w:type="spellEnd"/>
      <w:r w:rsidR="00863C2F" w:rsidRPr="00E46099">
        <w:t>).)  For instance,</w:t>
      </w:r>
      <w:r w:rsidR="00B1017B" w:rsidRPr="00E46099">
        <w:t xml:space="preserve"> </w:t>
      </w:r>
      <w:proofErr w:type="spellStart"/>
      <w:r w:rsidR="00B1017B" w:rsidRPr="00E46099">
        <w:t>DoubleVerify</w:t>
      </w:r>
      <w:proofErr w:type="spellEnd"/>
      <w:r w:rsidR="00B1017B" w:rsidRPr="00E46099">
        <w:t xml:space="preserve"> may tag a website</w:t>
      </w:r>
      <w:r w:rsidR="006200A6" w:rsidRPr="00E46099">
        <w:t xml:space="preserve"> as containing “Adult Content,” which </w:t>
      </w:r>
      <w:r w:rsidR="00A84484" w:rsidRPr="00E46099">
        <w:t>it then defines, in a glossary included in the report,</w:t>
      </w:r>
      <w:r w:rsidR="006200A6" w:rsidRPr="00E46099">
        <w:t xml:space="preserve"> as “ ‘</w:t>
      </w:r>
      <w:r w:rsidR="009F6EDB">
        <w:t xml:space="preserve"> “</w:t>
      </w:r>
      <w:r w:rsidR="006200A6" w:rsidRPr="00E46099">
        <w:t>[m]</w:t>
      </w:r>
      <w:proofErr w:type="spellStart"/>
      <w:r w:rsidR="006200A6" w:rsidRPr="00E46099">
        <w:t>ature</w:t>
      </w:r>
      <w:proofErr w:type="spellEnd"/>
      <w:r w:rsidR="006200A6" w:rsidRPr="00E46099">
        <w:t xml:space="preserve"> topics which are inappropriate viewing for children including explicit language, co</w:t>
      </w:r>
      <w:r w:rsidR="00A951FE">
        <w:t>ntent, sounds and themes.</w:t>
      </w:r>
      <w:r w:rsidR="009F6EDB">
        <w:t xml:space="preserve">” </w:t>
      </w:r>
      <w:r w:rsidR="00A951FE">
        <w:t>’ ”</w:t>
      </w:r>
      <w:r w:rsidR="009F6EDB">
        <w:t xml:space="preserve">  (</w:t>
      </w:r>
      <w:r w:rsidR="009F6EDB">
        <w:rPr>
          <w:i/>
        </w:rPr>
        <w:t>Ibid.</w:t>
      </w:r>
      <w:r w:rsidR="009F6EDB">
        <w:t>)</w:t>
      </w:r>
      <w:r w:rsidR="009F6EDB">
        <w:rPr>
          <w:i/>
        </w:rPr>
        <w:t xml:space="preserve">  </w:t>
      </w:r>
      <w:r w:rsidR="006200A6" w:rsidRPr="00E46099">
        <w:t xml:space="preserve">Similarly, </w:t>
      </w:r>
      <w:proofErr w:type="spellStart"/>
      <w:r w:rsidR="006200A6" w:rsidRPr="00E46099">
        <w:t>DoubleVerify</w:t>
      </w:r>
      <w:proofErr w:type="spellEnd"/>
      <w:r w:rsidR="006200A6" w:rsidRPr="00E46099">
        <w:t xml:space="preserve"> also has a “Copyright Infringement:  Streaming or File Sharing” tag, defined as “ ‘</w:t>
      </w:r>
      <w:r w:rsidR="009F6EDB">
        <w:t xml:space="preserve"> “</w:t>
      </w:r>
      <w:r w:rsidR="006200A6" w:rsidRPr="00E46099">
        <w:t xml:space="preserve">Sites, presently or historically, associated with access to or distribution of copyrighted material without appropriate controls, licensing, or permission; </w:t>
      </w:r>
      <w:proofErr w:type="gramStart"/>
      <w:r w:rsidR="006200A6" w:rsidRPr="00E46099">
        <w:t>including but not limited to</w:t>
      </w:r>
      <w:proofErr w:type="gramEnd"/>
      <w:r w:rsidR="006200A6" w:rsidRPr="00E46099">
        <w:t>, sites electronically streaming or allowing user file sharing of s</w:t>
      </w:r>
      <w:r w:rsidR="00A951FE">
        <w:t>uch material.</w:t>
      </w:r>
      <w:r w:rsidR="009F6EDB">
        <w:t xml:space="preserve">” </w:t>
      </w:r>
      <w:r w:rsidR="00A951FE">
        <w:t>’ ”</w:t>
      </w:r>
      <w:r w:rsidR="009F6EDB">
        <w:t xml:space="preserve">  (</w:t>
      </w:r>
      <w:r w:rsidR="009F6EDB">
        <w:rPr>
          <w:i/>
        </w:rPr>
        <w:t>Ibid.</w:t>
      </w:r>
      <w:r w:rsidR="009F6EDB">
        <w:t>)</w:t>
      </w:r>
    </w:p>
    <w:p w14:paraId="722678EE" w14:textId="77777777" w:rsidR="00CA78FD" w:rsidRPr="00E46099" w:rsidRDefault="006200A6" w:rsidP="00E46099">
      <w:pPr>
        <w:ind w:firstLine="720"/>
      </w:pPr>
      <w:proofErr w:type="gramStart"/>
      <w:r w:rsidRPr="00E46099">
        <w:t>Some of</w:t>
      </w:r>
      <w:proofErr w:type="gramEnd"/>
      <w:r w:rsidRPr="00E46099">
        <w:t xml:space="preserve"> the websites </w:t>
      </w:r>
      <w:proofErr w:type="spellStart"/>
      <w:r w:rsidRPr="00E46099">
        <w:t>DoubleVerify</w:t>
      </w:r>
      <w:proofErr w:type="spellEnd"/>
      <w:r w:rsidRPr="00E46099">
        <w:t xml:space="preserve"> labeled as containing “Adult Content” or “Copyright Infringement”</w:t>
      </w:r>
      <w:r w:rsidR="009F6EDB">
        <w:t xml:space="preserve"> material</w:t>
      </w:r>
      <w:r w:rsidRPr="00E46099">
        <w:t xml:space="preserve"> </w:t>
      </w:r>
      <w:r w:rsidR="00637E45" w:rsidRPr="00E46099">
        <w:t>belonged to</w:t>
      </w:r>
      <w:r w:rsidR="00AD0947" w:rsidRPr="00E46099">
        <w:t xml:space="preserve"> plaintiff </w:t>
      </w:r>
      <w:proofErr w:type="spellStart"/>
      <w:r w:rsidR="00AD0947" w:rsidRPr="00E46099">
        <w:t>FilmOn</w:t>
      </w:r>
      <w:proofErr w:type="spellEnd"/>
      <w:r w:rsidRPr="00E46099">
        <w:t>.</w:t>
      </w:r>
      <w:r w:rsidR="00736EBF" w:rsidRPr="00E46099">
        <w:t xml:space="preserve">  </w:t>
      </w:r>
      <w:proofErr w:type="spellStart"/>
      <w:r w:rsidR="00736EBF" w:rsidRPr="00E46099">
        <w:t>FilmOn</w:t>
      </w:r>
      <w:proofErr w:type="spellEnd"/>
      <w:r w:rsidR="00736EBF" w:rsidRPr="00E46099">
        <w:t xml:space="preserve"> provides</w:t>
      </w:r>
      <w:r w:rsidR="00223D5D" w:rsidRPr="00E46099">
        <w:t xml:space="preserve"> </w:t>
      </w:r>
      <w:r w:rsidR="00736EBF" w:rsidRPr="00E46099">
        <w:t>entertainment content</w:t>
      </w:r>
      <w:r w:rsidR="00C05E97" w:rsidRPr="00E46099">
        <w:t xml:space="preserve"> </w:t>
      </w:r>
      <w:r w:rsidR="00481932" w:rsidRPr="00E46099">
        <w:t>on the web</w:t>
      </w:r>
      <w:r w:rsidR="00736EBF" w:rsidRPr="00E46099">
        <w:t xml:space="preserve">, including </w:t>
      </w:r>
      <w:r w:rsidR="009F6EDB">
        <w:t>“</w:t>
      </w:r>
      <w:r w:rsidR="00736EBF" w:rsidRPr="00E46099">
        <w:t>hundreds of televisions channels, premium movie channels, pay-per-view</w:t>
      </w:r>
      <w:r w:rsidR="009F6EDB">
        <w:t xml:space="preserve"> </w:t>
      </w:r>
      <w:r w:rsidR="00736EBF" w:rsidRPr="00E46099">
        <w:t xml:space="preserve">channels and over </w:t>
      </w:r>
      <w:r w:rsidR="00A951FE">
        <w:t xml:space="preserve">45,000 video-on-demand titles.”  </w:t>
      </w:r>
      <w:r w:rsidR="009F6EDB">
        <w:t>(</w:t>
      </w:r>
      <w:proofErr w:type="spellStart"/>
      <w:r w:rsidR="009F6EDB" w:rsidRPr="009F6EDB">
        <w:rPr>
          <w:i/>
        </w:rPr>
        <w:t>FilmOn</w:t>
      </w:r>
      <w:proofErr w:type="spellEnd"/>
      <w:r w:rsidR="009F6EDB">
        <w:t xml:space="preserve">, </w:t>
      </w:r>
      <w:r w:rsidR="009F6EDB">
        <w:rPr>
          <w:i/>
        </w:rPr>
        <w:t>supra</w:t>
      </w:r>
      <w:r w:rsidR="009F6EDB">
        <w:t xml:space="preserve">, 13 Cal.App.5th at p. 712.)  </w:t>
      </w:r>
      <w:proofErr w:type="spellStart"/>
      <w:r w:rsidR="00736EBF" w:rsidRPr="009F6EDB">
        <w:t>FilmOn</w:t>
      </w:r>
      <w:proofErr w:type="spellEnd"/>
      <w:r w:rsidR="00736EBF" w:rsidRPr="00E46099">
        <w:t xml:space="preserve"> </w:t>
      </w:r>
      <w:r w:rsidR="00A951FE">
        <w:t>brought</w:t>
      </w:r>
      <w:r w:rsidR="00C34CB5" w:rsidRPr="00E46099">
        <w:t xml:space="preserve"> this lawsuit against </w:t>
      </w:r>
      <w:proofErr w:type="spellStart"/>
      <w:r w:rsidR="00C34CB5" w:rsidRPr="00E46099">
        <w:t>DoubleVerify</w:t>
      </w:r>
      <w:proofErr w:type="spellEnd"/>
      <w:r w:rsidR="00C34CB5" w:rsidRPr="00E46099">
        <w:t xml:space="preserve"> </w:t>
      </w:r>
      <w:r w:rsidR="00B70D76" w:rsidRPr="00E46099">
        <w:t>after</w:t>
      </w:r>
      <w:r w:rsidR="005A7ACB" w:rsidRPr="00E46099">
        <w:t xml:space="preserve"> </w:t>
      </w:r>
      <w:proofErr w:type="spellStart"/>
      <w:r w:rsidR="005A7ACB" w:rsidRPr="00E46099">
        <w:t>DoubleVerify</w:t>
      </w:r>
      <w:proofErr w:type="spellEnd"/>
      <w:r w:rsidR="005A7ACB" w:rsidRPr="00E46099">
        <w:t xml:space="preserve"> </w:t>
      </w:r>
      <w:r w:rsidR="00B16141" w:rsidRPr="00E46099">
        <w:t xml:space="preserve">allegedly </w:t>
      </w:r>
      <w:r w:rsidR="005A7ACB" w:rsidRPr="00E46099">
        <w:t>distr</w:t>
      </w:r>
      <w:r w:rsidR="00EC1E95" w:rsidRPr="00E46099">
        <w:t xml:space="preserve">ibuted </w:t>
      </w:r>
      <w:r w:rsidR="00F113B7">
        <w:t xml:space="preserve">confidential </w:t>
      </w:r>
      <w:r w:rsidR="00EC1E95" w:rsidRPr="00E46099">
        <w:t>reports</w:t>
      </w:r>
      <w:r w:rsidR="00F113B7">
        <w:t xml:space="preserve"> to its clients</w:t>
      </w:r>
      <w:r w:rsidR="00EC1E95" w:rsidRPr="00E46099">
        <w:t xml:space="preserve"> “</w:t>
      </w:r>
      <w:r w:rsidR="009F6EDB">
        <w:t xml:space="preserve"> ‘</w:t>
      </w:r>
      <w:r w:rsidR="00EC1E95" w:rsidRPr="00E46099">
        <w:t>falsely classif</w:t>
      </w:r>
      <w:r w:rsidR="00FC33F9" w:rsidRPr="00E46099">
        <w:t>y</w:t>
      </w:r>
      <w:r w:rsidR="00EC1E95" w:rsidRPr="00E46099">
        <w:t>[</w:t>
      </w:r>
      <w:proofErr w:type="spellStart"/>
      <w:r w:rsidR="00FC33F9" w:rsidRPr="00E46099">
        <w:t>ing</w:t>
      </w:r>
      <w:proofErr w:type="spellEnd"/>
      <w:r w:rsidR="005A7ACB" w:rsidRPr="00E46099">
        <w:t xml:space="preserve">] </w:t>
      </w:r>
      <w:proofErr w:type="spellStart"/>
      <w:r w:rsidR="005A7ACB" w:rsidRPr="00E46099">
        <w:t>FilmOn</w:t>
      </w:r>
      <w:proofErr w:type="spellEnd"/>
      <w:r w:rsidR="005A7ACB" w:rsidRPr="00E46099">
        <w:t xml:space="preserve"> Websites under the categories of </w:t>
      </w:r>
      <w:r w:rsidR="009F6EDB">
        <w:t>“</w:t>
      </w:r>
      <w:r w:rsidR="005A7ACB" w:rsidRPr="00E46099">
        <w:t xml:space="preserve">Copyright Infringement-File </w:t>
      </w:r>
      <w:r w:rsidR="00A951FE">
        <w:t>Sharing</w:t>
      </w:r>
      <w:r w:rsidR="009F6EDB">
        <w:t>”</w:t>
      </w:r>
      <w:r w:rsidR="00A951FE">
        <w:t xml:space="preserve"> and </w:t>
      </w:r>
      <w:r w:rsidR="009F6EDB">
        <w:t>“</w:t>
      </w:r>
      <w:r w:rsidR="00A951FE">
        <w:t>Adult Content.</w:t>
      </w:r>
      <w:r w:rsidR="009F6EDB">
        <w:t xml:space="preserve">” </w:t>
      </w:r>
      <w:r w:rsidR="00A951FE">
        <w:t>’ ”</w:t>
      </w:r>
      <w:r w:rsidR="009F6EDB">
        <w:t xml:space="preserve">  (</w:t>
      </w:r>
      <w:r w:rsidR="009F6EDB">
        <w:rPr>
          <w:i/>
        </w:rPr>
        <w:t>Ibid.</w:t>
      </w:r>
      <w:r w:rsidR="009F6EDB">
        <w:t>)</w:t>
      </w:r>
      <w:r w:rsidR="00A951FE">
        <w:t xml:space="preserve">  </w:t>
      </w:r>
      <w:proofErr w:type="spellStart"/>
      <w:r w:rsidR="005A7ACB" w:rsidRPr="00E46099">
        <w:t>FilmOn</w:t>
      </w:r>
      <w:proofErr w:type="spellEnd"/>
      <w:r w:rsidR="005A7ACB" w:rsidRPr="00E46099">
        <w:t xml:space="preserve"> allege</w:t>
      </w:r>
      <w:r w:rsidR="00CA78FD" w:rsidRPr="00E46099">
        <w:t>s</w:t>
      </w:r>
      <w:r w:rsidR="005A7ACB" w:rsidRPr="00E46099">
        <w:t xml:space="preserve"> that </w:t>
      </w:r>
      <w:r w:rsidR="00CA78FD" w:rsidRPr="00E46099">
        <w:t>“as a direct result of [</w:t>
      </w:r>
      <w:proofErr w:type="spellStart"/>
      <w:r w:rsidR="00CA78FD" w:rsidRPr="00E46099">
        <w:t>DoubleVerify’s</w:t>
      </w:r>
      <w:proofErr w:type="spellEnd"/>
      <w:r w:rsidR="00CA78FD" w:rsidRPr="00E46099">
        <w:t xml:space="preserve">] false and disparaging statements published in the [] Reports,” </w:t>
      </w:r>
      <w:proofErr w:type="spellStart"/>
      <w:r w:rsidR="00DD05B0" w:rsidRPr="00E46099">
        <w:t>FilmOn</w:t>
      </w:r>
      <w:proofErr w:type="spellEnd"/>
      <w:r w:rsidR="00DD05B0" w:rsidRPr="00E46099">
        <w:t xml:space="preserve"> incurred damages </w:t>
      </w:r>
      <w:r w:rsidR="00911D2C">
        <w:t>because</w:t>
      </w:r>
      <w:r w:rsidR="00523967">
        <w:t xml:space="preserve"> </w:t>
      </w:r>
      <w:r w:rsidR="00CA78FD" w:rsidRPr="00E46099">
        <w:t xml:space="preserve">“ad partners and potential ad partners </w:t>
      </w:r>
      <w:r w:rsidR="00DD05B0" w:rsidRPr="00E46099">
        <w:t>have</w:t>
      </w:r>
      <w:r w:rsidR="00CA78FD" w:rsidRPr="00E46099">
        <w:t xml:space="preserve"> refused to advertise through</w:t>
      </w:r>
      <w:r w:rsidR="00A951FE">
        <w:t xml:space="preserve"> websites in </w:t>
      </w:r>
      <w:proofErr w:type="spellStart"/>
      <w:r w:rsidR="00A951FE">
        <w:t>FilmOn’s</w:t>
      </w:r>
      <w:proofErr w:type="spellEnd"/>
      <w:r w:rsidR="00A951FE">
        <w:t xml:space="preserve"> network.”  </w:t>
      </w:r>
      <w:r w:rsidR="00357552" w:rsidRPr="00E46099">
        <w:t>Claiming</w:t>
      </w:r>
      <w:r w:rsidR="00CA78FD" w:rsidRPr="00E46099">
        <w:t xml:space="preserve"> that its websites </w:t>
      </w:r>
      <w:r w:rsidR="00F056AD" w:rsidRPr="00E46099">
        <w:t>neither engage</w:t>
      </w:r>
      <w:r w:rsidR="00357552" w:rsidRPr="00E46099">
        <w:t xml:space="preserve"> in copyright infringement</w:t>
      </w:r>
      <w:r w:rsidR="00F056AD" w:rsidRPr="00E46099">
        <w:t xml:space="preserve"> nor feature</w:t>
      </w:r>
      <w:r w:rsidR="00E7710D" w:rsidRPr="00E46099">
        <w:t xml:space="preserve"> adult content</w:t>
      </w:r>
      <w:r w:rsidR="00357552" w:rsidRPr="00E46099">
        <w:t>,</w:t>
      </w:r>
      <w:r w:rsidR="00A951FE">
        <w:t xml:space="preserve"> </w:t>
      </w:r>
      <w:proofErr w:type="spellStart"/>
      <w:r w:rsidR="00A951FE">
        <w:t>FilmOn</w:t>
      </w:r>
      <w:proofErr w:type="spellEnd"/>
      <w:r w:rsidR="00A951FE">
        <w:t xml:space="preserve"> sued</w:t>
      </w:r>
      <w:r w:rsidR="00FB4757" w:rsidRPr="00E46099">
        <w:t xml:space="preserve"> </w:t>
      </w:r>
      <w:proofErr w:type="spellStart"/>
      <w:r w:rsidR="00FB4757" w:rsidRPr="00E46099">
        <w:t>DoubleVerify</w:t>
      </w:r>
      <w:proofErr w:type="spellEnd"/>
      <w:r w:rsidR="00FB4757" w:rsidRPr="00E46099">
        <w:t xml:space="preserve"> for </w:t>
      </w:r>
      <w:r w:rsidR="00CA78FD" w:rsidRPr="00E46099">
        <w:t xml:space="preserve">trade libel, tortious interference with contract, tortious interference with </w:t>
      </w:r>
      <w:r w:rsidR="00CA78FD" w:rsidRPr="00E46099">
        <w:lastRenderedPageBreak/>
        <w:t>prospective economic advantage, and violation of California’s unfair competition law.</w:t>
      </w:r>
      <w:r w:rsidR="00FB4757" w:rsidRPr="00E46099">
        <w:t xml:space="preserve">  </w:t>
      </w:r>
    </w:p>
    <w:p w14:paraId="48FA47FC" w14:textId="77777777" w:rsidR="00995924" w:rsidRPr="00E46099" w:rsidRDefault="00CA78FD" w:rsidP="00E46099">
      <w:pPr>
        <w:ind w:firstLine="720"/>
      </w:pPr>
      <w:proofErr w:type="spellStart"/>
      <w:r w:rsidRPr="00E46099">
        <w:t>Doub</w:t>
      </w:r>
      <w:r w:rsidR="00A951FE">
        <w:t>leVerify</w:t>
      </w:r>
      <w:proofErr w:type="spellEnd"/>
      <w:r w:rsidR="00A951FE">
        <w:t xml:space="preserve"> responded</w:t>
      </w:r>
      <w:r w:rsidR="00FB4757" w:rsidRPr="00E46099">
        <w:t xml:space="preserve"> </w:t>
      </w:r>
      <w:r w:rsidRPr="00E46099">
        <w:t xml:space="preserve">by </w:t>
      </w:r>
      <w:r w:rsidR="00902632">
        <w:t>filing</w:t>
      </w:r>
      <w:r w:rsidR="00FB4757" w:rsidRPr="00E46099">
        <w:t xml:space="preserve"> an anti-SLAPP motion</w:t>
      </w:r>
      <w:r w:rsidRPr="00E46099">
        <w:t>.  The trial court granted the motion, a</w:t>
      </w:r>
      <w:r w:rsidR="00A910E4" w:rsidRPr="00E46099">
        <w:t>nd the Court of Appeal affirmed</w:t>
      </w:r>
      <w:r w:rsidRPr="00E46099">
        <w:t xml:space="preserve">.  </w:t>
      </w:r>
      <w:r w:rsidR="00AC1392" w:rsidRPr="00E46099">
        <w:t>T</w:t>
      </w:r>
      <w:r w:rsidR="00FB4757" w:rsidRPr="00E46099">
        <w:t xml:space="preserve">he </w:t>
      </w:r>
      <w:r w:rsidR="005F08FA" w:rsidRPr="00E46099">
        <w:t>Court of Appeal</w:t>
      </w:r>
      <w:r w:rsidR="00FB4757" w:rsidRPr="00E46099">
        <w:t xml:space="preserve"> agreed with the trial judge that</w:t>
      </w:r>
      <w:r w:rsidR="00995924" w:rsidRPr="00E46099">
        <w:t xml:space="preserve"> </w:t>
      </w:r>
      <w:proofErr w:type="spellStart"/>
      <w:r w:rsidR="00995924" w:rsidRPr="00E46099">
        <w:t>DoubleVerify’s</w:t>
      </w:r>
      <w:proofErr w:type="spellEnd"/>
      <w:r w:rsidR="00995924" w:rsidRPr="00E46099">
        <w:t xml:space="preserve"> reports “concerned issues of interest to the public” because</w:t>
      </w:r>
      <w:r w:rsidR="00FB4757" w:rsidRPr="00E46099">
        <w:t xml:space="preserve"> “the public ha</w:t>
      </w:r>
      <w:r w:rsidR="009F6EDB">
        <w:t>[</w:t>
      </w:r>
      <w:r w:rsidR="00FB4757" w:rsidRPr="00E46099">
        <w:t>s</w:t>
      </w:r>
      <w:r w:rsidR="009F6EDB">
        <w:t>]</w:t>
      </w:r>
      <w:r w:rsidR="00FB4757" w:rsidRPr="00E46099">
        <w:t xml:space="preserve"> a demonstrable interest in knowing what content is available on the Internet, especially with respect to adult content and the illegal distribution of copyrighted materials.”  (</w:t>
      </w:r>
      <w:proofErr w:type="spellStart"/>
      <w:r w:rsidR="00FB4757" w:rsidRPr="00E46099">
        <w:rPr>
          <w:i/>
        </w:rPr>
        <w:t>FilmOn</w:t>
      </w:r>
      <w:proofErr w:type="spellEnd"/>
      <w:r w:rsidR="00FB4757" w:rsidRPr="00E46099">
        <w:t xml:space="preserve">, </w:t>
      </w:r>
      <w:r w:rsidR="00FB4757" w:rsidRPr="00E46099">
        <w:rPr>
          <w:i/>
        </w:rPr>
        <w:t>supra</w:t>
      </w:r>
      <w:r w:rsidR="00FB4757" w:rsidRPr="00E46099">
        <w:t>, 13 Cal.App.5th at p</w:t>
      </w:r>
      <w:r w:rsidR="00995924" w:rsidRPr="00E46099">
        <w:t>p</w:t>
      </w:r>
      <w:r w:rsidR="00FB4757" w:rsidRPr="00E46099">
        <w:t xml:space="preserve">. </w:t>
      </w:r>
      <w:r w:rsidR="00995924" w:rsidRPr="00E46099">
        <w:t xml:space="preserve">719, </w:t>
      </w:r>
      <w:r w:rsidR="00FB4757" w:rsidRPr="00E46099">
        <w:t xml:space="preserve">714.)  </w:t>
      </w:r>
      <w:r w:rsidR="00685ABF" w:rsidRPr="00E46099">
        <w:t>To support its conclusion, the court</w:t>
      </w:r>
      <w:r w:rsidR="00FB4757" w:rsidRPr="00E46099">
        <w:t xml:space="preserve"> analogized </w:t>
      </w:r>
      <w:proofErr w:type="spellStart"/>
      <w:r w:rsidR="00FB4757" w:rsidRPr="00E46099">
        <w:t>DoubleVerify’s</w:t>
      </w:r>
      <w:proofErr w:type="spellEnd"/>
      <w:r w:rsidR="00FB4757" w:rsidRPr="00E46099">
        <w:t xml:space="preserve"> confidential reports to ratings by the Motion Pi</w:t>
      </w:r>
      <w:r w:rsidR="00D961FD" w:rsidRPr="00E46099">
        <w:t xml:space="preserve">cture </w:t>
      </w:r>
      <w:r w:rsidR="000658A4">
        <w:t xml:space="preserve">Association </w:t>
      </w:r>
      <w:r w:rsidR="00D961FD" w:rsidRPr="00E46099">
        <w:t>of America</w:t>
      </w:r>
      <w:r w:rsidR="003F371A" w:rsidRPr="00E46099">
        <w:t>, writing</w:t>
      </w:r>
      <w:r w:rsidR="00B32480">
        <w:t>,</w:t>
      </w:r>
      <w:r w:rsidR="003F371A" w:rsidRPr="00E46099">
        <w:t xml:space="preserve"> </w:t>
      </w:r>
      <w:r w:rsidR="00FB4757" w:rsidRPr="00E46099">
        <w:t xml:space="preserve">“the Motion Picture Association of America (MPAA) engages in conduct quite similar to </w:t>
      </w:r>
      <w:proofErr w:type="spellStart"/>
      <w:r w:rsidR="00FB4757" w:rsidRPr="00E46099">
        <w:t>DoubleVerify’s</w:t>
      </w:r>
      <w:proofErr w:type="spellEnd"/>
      <w:r w:rsidR="00FB4757" w:rsidRPr="00E46099">
        <w:t xml:space="preserve"> activities by rating movies concerning their level of adult content, and the MPAA does so, because th</w:t>
      </w:r>
      <w:r w:rsidR="00995924" w:rsidRPr="00E46099">
        <w:t>e public cares about the issue.”  (</w:t>
      </w:r>
      <w:r w:rsidR="00995924" w:rsidRPr="00E46099">
        <w:rPr>
          <w:i/>
        </w:rPr>
        <w:t xml:space="preserve">Id. </w:t>
      </w:r>
      <w:r w:rsidR="00995924" w:rsidRPr="00E46099">
        <w:t>at p. 720.)</w:t>
      </w:r>
    </w:p>
    <w:p w14:paraId="44A85C66" w14:textId="77777777" w:rsidR="00995924" w:rsidRPr="00E46099" w:rsidRDefault="00995924" w:rsidP="00E46099">
      <w:pPr>
        <w:ind w:firstLine="720"/>
      </w:pPr>
      <w:r w:rsidRPr="00E46099">
        <w:t>As is relevant to our review, the court reject</w:t>
      </w:r>
      <w:r w:rsidR="00523967">
        <w:t>ed</w:t>
      </w:r>
      <w:r w:rsidRPr="00E46099">
        <w:t xml:space="preserve"> the </w:t>
      </w:r>
      <w:r w:rsidR="00C73D29" w:rsidRPr="00E46099">
        <w:t xml:space="preserve">argument that </w:t>
      </w:r>
      <w:proofErr w:type="spellStart"/>
      <w:r w:rsidR="00FC33F9" w:rsidRPr="00E46099">
        <w:t>DoubleVerify’s</w:t>
      </w:r>
      <w:proofErr w:type="spellEnd"/>
      <w:r w:rsidR="00FC33F9" w:rsidRPr="00E46099">
        <w:t xml:space="preserve"> </w:t>
      </w:r>
      <w:r w:rsidR="00653ABB" w:rsidRPr="00E46099">
        <w:t>reports</w:t>
      </w:r>
      <w:r w:rsidR="002D3E4D" w:rsidRPr="00E46099">
        <w:t>,</w:t>
      </w:r>
      <w:r w:rsidR="00653ABB" w:rsidRPr="00E46099">
        <w:t xml:space="preserve"> in fact</w:t>
      </w:r>
      <w:r w:rsidR="002D3E4D" w:rsidRPr="00E46099">
        <w:t>,</w:t>
      </w:r>
      <w:r w:rsidR="00653ABB" w:rsidRPr="00E46099">
        <w:t xml:space="preserve"> are </w:t>
      </w:r>
      <w:r w:rsidR="00FC33F9" w:rsidRPr="00E46099">
        <w:t>different from</w:t>
      </w:r>
      <w:r w:rsidR="00C73D29" w:rsidRPr="00E46099">
        <w:t xml:space="preserve"> MPAA’s ratings</w:t>
      </w:r>
      <w:r w:rsidR="00FC33F9" w:rsidRPr="00E46099">
        <w:t xml:space="preserve">.  </w:t>
      </w:r>
      <w:r w:rsidR="009F6EDB" w:rsidRPr="00E46099">
        <w:t>(</w:t>
      </w:r>
      <w:proofErr w:type="spellStart"/>
      <w:r w:rsidR="009F6EDB" w:rsidRPr="00E46099">
        <w:rPr>
          <w:i/>
        </w:rPr>
        <w:t>FilmOn</w:t>
      </w:r>
      <w:proofErr w:type="spellEnd"/>
      <w:r w:rsidR="009F6EDB" w:rsidRPr="00E46099">
        <w:t xml:space="preserve">, </w:t>
      </w:r>
      <w:r w:rsidR="009F6EDB" w:rsidRPr="00E46099">
        <w:rPr>
          <w:i/>
        </w:rPr>
        <w:t>supra</w:t>
      </w:r>
      <w:r w:rsidR="009F6EDB" w:rsidRPr="00E46099">
        <w:t>, 13 Cal.App.5th at p</w:t>
      </w:r>
      <w:r w:rsidR="009F6EDB">
        <w:t>. 720.)</w:t>
      </w:r>
      <w:r w:rsidR="009F6EDB" w:rsidRPr="00E46099">
        <w:t xml:space="preserve"> </w:t>
      </w:r>
      <w:r w:rsidR="009F6EDB">
        <w:t xml:space="preserve"> </w:t>
      </w:r>
      <w:r w:rsidR="00FC33F9" w:rsidRPr="00E46099">
        <w:t xml:space="preserve">According to </w:t>
      </w:r>
      <w:proofErr w:type="spellStart"/>
      <w:r w:rsidR="00163777">
        <w:t>FilmOn</w:t>
      </w:r>
      <w:proofErr w:type="spellEnd"/>
      <w:r w:rsidR="00FC33F9" w:rsidRPr="00E46099">
        <w:t xml:space="preserve">, </w:t>
      </w:r>
      <w:proofErr w:type="spellStart"/>
      <w:r w:rsidR="00163777">
        <w:t>DoubleVerify’s</w:t>
      </w:r>
      <w:proofErr w:type="spellEnd"/>
      <w:r w:rsidR="00FC33F9" w:rsidRPr="00E46099">
        <w:t xml:space="preserve"> reports differ from the</w:t>
      </w:r>
      <w:r w:rsidRPr="00E46099">
        <w:t xml:space="preserve"> MPAA’</w:t>
      </w:r>
      <w:r w:rsidR="00A10D9B" w:rsidRPr="00E46099">
        <w:t xml:space="preserve">s </w:t>
      </w:r>
      <w:r w:rsidR="00FC33F9" w:rsidRPr="00E46099">
        <w:t xml:space="preserve">film </w:t>
      </w:r>
      <w:r w:rsidR="00A10D9B" w:rsidRPr="00E46099">
        <w:t xml:space="preserve">ratings </w:t>
      </w:r>
      <w:r w:rsidR="00FC33F9" w:rsidRPr="00E46099">
        <w:t>because the latter are made</w:t>
      </w:r>
      <w:r w:rsidR="003B63DE" w:rsidRPr="00E46099">
        <w:t xml:space="preserve"> widely </w:t>
      </w:r>
      <w:r w:rsidR="00A10D9B" w:rsidRPr="00E46099">
        <w:t xml:space="preserve">available to </w:t>
      </w:r>
      <w:r w:rsidR="005E1BDC" w:rsidRPr="00E46099">
        <w:t>the public</w:t>
      </w:r>
      <w:r w:rsidR="00FC33F9" w:rsidRPr="00E46099">
        <w:t xml:space="preserve">, while </w:t>
      </w:r>
      <w:proofErr w:type="spellStart"/>
      <w:r w:rsidRPr="00E46099">
        <w:t>DoubleVerify’s</w:t>
      </w:r>
      <w:proofErr w:type="spellEnd"/>
      <w:r w:rsidRPr="00E46099">
        <w:t xml:space="preserve"> reports are delivered to individual clients</w:t>
      </w:r>
      <w:r w:rsidR="00FC33F9" w:rsidRPr="00E46099">
        <w:t xml:space="preserve">, </w:t>
      </w:r>
      <w:r w:rsidRPr="00E46099">
        <w:t xml:space="preserve">and must be kept confidential.  The court </w:t>
      </w:r>
      <w:r w:rsidR="00FC33F9" w:rsidRPr="00E46099">
        <w:t xml:space="preserve">disagreed, </w:t>
      </w:r>
      <w:r w:rsidRPr="00E46099">
        <w:t>stat</w:t>
      </w:r>
      <w:r w:rsidR="003B63DE" w:rsidRPr="00E46099">
        <w:t>ing</w:t>
      </w:r>
      <w:r w:rsidRPr="00E46099">
        <w:t xml:space="preserve"> its</w:t>
      </w:r>
      <w:r w:rsidR="00A10D9B" w:rsidRPr="00E46099">
        <w:t xml:space="preserve"> conclusion in </w:t>
      </w:r>
      <w:r w:rsidR="00C239DF" w:rsidRPr="00E46099">
        <w:t>absolute terms:</w:t>
      </w:r>
      <w:r w:rsidR="00240F04" w:rsidRPr="00E46099">
        <w:t xml:space="preserve">  </w:t>
      </w:r>
      <w:r w:rsidR="00A10D9B" w:rsidRPr="00E46099">
        <w:t>“</w:t>
      </w:r>
      <w:r w:rsidR="003A7574" w:rsidRPr="00E46099">
        <w:t>i</w:t>
      </w:r>
      <w:r w:rsidRPr="00E46099">
        <w:t xml:space="preserve">t is irrelevant that </w:t>
      </w:r>
      <w:proofErr w:type="spellStart"/>
      <w:r w:rsidRPr="00E46099">
        <w:t>DoubleVerify</w:t>
      </w:r>
      <w:proofErr w:type="spellEnd"/>
      <w:r w:rsidRPr="00E46099">
        <w:t xml:space="preserve"> made its reports confidentially to its subscribers</w:t>
      </w:r>
      <w:r w:rsidR="00ED30BA" w:rsidRPr="00E46099">
        <w:t xml:space="preserve">,” </w:t>
      </w:r>
      <w:r w:rsidR="00266958" w:rsidRPr="00E46099">
        <w:t>since</w:t>
      </w:r>
      <w:r w:rsidR="00240F04" w:rsidRPr="00E46099">
        <w:t xml:space="preserve"> </w:t>
      </w:r>
      <w:r w:rsidR="00C73D29" w:rsidRPr="00E46099">
        <w:t>“[n]</w:t>
      </w:r>
      <w:r w:rsidRPr="00E46099">
        <w:t xml:space="preserve">either the identity of the speaker nor the identity of the audience affects the content of the communication, or whether that content concerns an issue of public interest.”  </w:t>
      </w:r>
      <w:r w:rsidR="00240F04" w:rsidRPr="00E46099">
        <w:t>(</w:t>
      </w:r>
      <w:r w:rsidR="007A3E35" w:rsidRPr="00E46099">
        <w:rPr>
          <w:i/>
        </w:rPr>
        <w:t xml:space="preserve">Id. </w:t>
      </w:r>
      <w:r w:rsidR="007A3E35" w:rsidRPr="00E46099">
        <w:t>at</w:t>
      </w:r>
      <w:r w:rsidR="00240F04" w:rsidRPr="00E46099">
        <w:t xml:space="preserve"> p. 723.)  </w:t>
      </w:r>
      <w:r w:rsidR="00A10D9B" w:rsidRPr="00E46099">
        <w:t xml:space="preserve">So, “if an ‘R’ rating for adult content is a matter of ‘public interest’ when communicated by </w:t>
      </w:r>
      <w:r w:rsidR="00A10D9B" w:rsidRPr="00E46099">
        <w:lastRenderedPageBreak/>
        <w:t xml:space="preserve">the MPAA to the public at large, it remains a matter of public interest when communicated by </w:t>
      </w:r>
      <w:proofErr w:type="spellStart"/>
      <w:r w:rsidR="00A10D9B" w:rsidRPr="00E46099">
        <w:t>DoubleVerify</w:t>
      </w:r>
      <w:proofErr w:type="spellEnd"/>
      <w:r w:rsidR="00A10D9B" w:rsidRPr="00E46099">
        <w:t xml:space="preserve"> in confidential reports to its clients.  Likewise, if </w:t>
      </w:r>
      <w:proofErr w:type="spellStart"/>
      <w:r w:rsidR="00A10D9B" w:rsidRPr="00E46099">
        <w:t>FilmOn’s</w:t>
      </w:r>
      <w:proofErr w:type="spellEnd"/>
      <w:r w:rsidR="00A10D9B" w:rsidRPr="00E46099">
        <w:t xml:space="preserve"> alleged copyright infringement is an issue of public interest when reported by the press, it remains s</w:t>
      </w:r>
      <w:r w:rsidR="00747F9E" w:rsidRPr="00E46099">
        <w:t xml:space="preserve">o when included in </w:t>
      </w:r>
      <w:proofErr w:type="spellStart"/>
      <w:r w:rsidR="00747F9E" w:rsidRPr="00E46099">
        <w:t>DoubleVerify’</w:t>
      </w:r>
      <w:r w:rsidR="00A10D9B" w:rsidRPr="00E46099">
        <w:t>s</w:t>
      </w:r>
      <w:proofErr w:type="spellEnd"/>
      <w:r w:rsidR="00A10D9B" w:rsidRPr="00E46099">
        <w:t xml:space="preserve"> confidential reports.”  (</w:t>
      </w:r>
      <w:r w:rsidR="00A10D9B" w:rsidRPr="00E46099">
        <w:rPr>
          <w:i/>
        </w:rPr>
        <w:t>Ibid.</w:t>
      </w:r>
      <w:r w:rsidR="00A10D9B" w:rsidRPr="00E46099">
        <w:t>)  In short, “[w]</w:t>
      </w:r>
      <w:proofErr w:type="spellStart"/>
      <w:r w:rsidR="00A10D9B" w:rsidRPr="00E46099">
        <w:t>hether</w:t>
      </w:r>
      <w:proofErr w:type="spellEnd"/>
      <w:r w:rsidR="00A10D9B" w:rsidRPr="00E46099">
        <w:t xml:space="preserve"> a statement concerns an issue of public interest depends on the conten</w:t>
      </w:r>
      <w:r w:rsidR="00951758" w:rsidRPr="00E46099">
        <w:t>t of the statement,” and only</w:t>
      </w:r>
      <w:r w:rsidR="00A10D9B" w:rsidRPr="00E46099">
        <w:t xml:space="preserve"> that content</w:t>
      </w:r>
      <w:r w:rsidR="00C30B3D" w:rsidRPr="00E46099">
        <w:t>,</w:t>
      </w:r>
      <w:r w:rsidR="00A10D9B" w:rsidRPr="00E46099">
        <w:t xml:space="preserve"> “not</w:t>
      </w:r>
      <w:r w:rsidR="00C30B3D" w:rsidRPr="00E46099">
        <w:t xml:space="preserve"> </w:t>
      </w:r>
      <w:r w:rsidR="00A10D9B" w:rsidRPr="00E46099">
        <w:t>the statement’s speaker or audience.”  (</w:t>
      </w:r>
      <w:r w:rsidR="00A10D9B" w:rsidRPr="00E46099">
        <w:rPr>
          <w:i/>
        </w:rPr>
        <w:t xml:space="preserve">Id. </w:t>
      </w:r>
      <w:r w:rsidR="00A10D9B" w:rsidRPr="00E46099">
        <w:t>at p. 722.)</w:t>
      </w:r>
    </w:p>
    <w:p w14:paraId="09ED8455" w14:textId="77777777" w:rsidR="00C22225" w:rsidRPr="00E46099" w:rsidRDefault="00EC1E95" w:rsidP="00BA7A73">
      <w:pPr>
        <w:ind w:firstLine="720"/>
      </w:pPr>
      <w:r w:rsidRPr="00E46099">
        <w:t xml:space="preserve">We </w:t>
      </w:r>
      <w:r w:rsidR="000D2249">
        <w:t>granted review to</w:t>
      </w:r>
      <w:r w:rsidRPr="00E46099">
        <w:t xml:space="preserve"> </w:t>
      </w:r>
      <w:r w:rsidR="001574DF">
        <w:t>decide</w:t>
      </w:r>
      <w:r w:rsidRPr="00E46099">
        <w:t xml:space="preserve"> </w:t>
      </w:r>
      <w:r w:rsidR="00A77086">
        <w:t xml:space="preserve">if and </w:t>
      </w:r>
      <w:r w:rsidR="00BD1238">
        <w:t xml:space="preserve">how </w:t>
      </w:r>
      <w:r w:rsidR="00C73D29" w:rsidRPr="00E46099">
        <w:t>the context of a statement — including the identity of the speaker, the audience, and the purpose of the speech —</w:t>
      </w:r>
      <w:r w:rsidR="00BD1238">
        <w:t xml:space="preserve"> i</w:t>
      </w:r>
      <w:r w:rsidR="00A0477E">
        <w:t>nform</w:t>
      </w:r>
      <w:r w:rsidR="00BD1238">
        <w:t>s</w:t>
      </w:r>
      <w:r w:rsidR="00A0477E">
        <w:t xml:space="preserve"> </w:t>
      </w:r>
      <w:r w:rsidR="00A77086">
        <w:t xml:space="preserve">a court’s determination of </w:t>
      </w:r>
      <w:r w:rsidR="00A0477E">
        <w:t xml:space="preserve">whether the statement was made “in furtherance of” free speech “in connection with” a public issue.  (§ 425.16, </w:t>
      </w:r>
      <w:proofErr w:type="spellStart"/>
      <w:r w:rsidR="00A0477E">
        <w:t>subd</w:t>
      </w:r>
      <w:proofErr w:type="spellEnd"/>
      <w:proofErr w:type="gramStart"/>
      <w:r w:rsidR="00A0477E">
        <w:t xml:space="preserve">. </w:t>
      </w:r>
      <w:proofErr w:type="gramEnd"/>
      <w:r w:rsidR="00A0477E">
        <w:t xml:space="preserve">(e)(4).) </w:t>
      </w:r>
    </w:p>
    <w:p w14:paraId="77FA6B18" w14:textId="77777777" w:rsidR="00FC5B81" w:rsidRDefault="00E93699" w:rsidP="00E46099">
      <w:pPr>
        <w:pStyle w:val="Heading1"/>
      </w:pPr>
      <w:r w:rsidRPr="00E46099">
        <w:t>II.</w:t>
      </w:r>
    </w:p>
    <w:p w14:paraId="5CEB7D17" w14:textId="77777777" w:rsidR="005C1E67" w:rsidRPr="005C1E67" w:rsidRDefault="005C1E67" w:rsidP="005C1E67">
      <w:pPr>
        <w:jc w:val="center"/>
      </w:pPr>
      <w:r>
        <w:t>A.</w:t>
      </w:r>
    </w:p>
    <w:p w14:paraId="512AC17B" w14:textId="77777777" w:rsidR="00CB005D" w:rsidRDefault="005659F3" w:rsidP="00CB005D">
      <w:pPr>
        <w:ind w:firstLine="720"/>
      </w:pPr>
      <w:r>
        <w:t xml:space="preserve">The anti-SLAPP law was enacted </w:t>
      </w:r>
      <w:r w:rsidR="00CB005D">
        <w:t>“to protect nonprofit corporations and common citizens ‘from large corporate entities and trade associations’ in petitioning government.</w:t>
      </w:r>
      <w:r w:rsidR="00B363EE">
        <w:t>”</w:t>
      </w:r>
      <w:r w:rsidR="00CB005D">
        <w:t xml:space="preserve">  (</w:t>
      </w:r>
      <w:r w:rsidR="00CB005D">
        <w:rPr>
          <w:i/>
        </w:rPr>
        <w:t>USA Waste of California, Inc. v. City of Irwindale</w:t>
      </w:r>
      <w:r w:rsidR="00CB005D">
        <w:t xml:space="preserve"> (</w:t>
      </w:r>
      <w:r>
        <w:t>2010) 184 Cal.App.4th 53, 66.)  Attempting to protect against “lawsuits brought primarily to chill” the exercise of speech and petition rights, the Legislature embedded context into the statutory preamble, “</w:t>
      </w:r>
      <w:proofErr w:type="spellStart"/>
      <w:r>
        <w:t>declar</w:t>
      </w:r>
      <w:proofErr w:type="spellEnd"/>
      <w:r>
        <w:t>[</w:t>
      </w:r>
      <w:proofErr w:type="spellStart"/>
      <w:r>
        <w:t>ing</w:t>
      </w:r>
      <w:proofErr w:type="spellEnd"/>
      <w:r>
        <w:t>] that it is in the public interest to encourage continued participation in matters of public significance.”  (§</w:t>
      </w:r>
      <w:r w:rsidR="00843E0C">
        <w:t> </w:t>
      </w:r>
      <w:r>
        <w:t>425.16</w:t>
      </w:r>
      <w:r w:rsidR="00AF5033">
        <w:t xml:space="preserve">, </w:t>
      </w:r>
      <w:proofErr w:type="spellStart"/>
      <w:r w:rsidR="00AF5033">
        <w:t>subd</w:t>
      </w:r>
      <w:proofErr w:type="spellEnd"/>
      <w:proofErr w:type="gramStart"/>
      <w:r w:rsidR="00AF5033">
        <w:t xml:space="preserve">. </w:t>
      </w:r>
      <w:proofErr w:type="gramEnd"/>
      <w:r>
        <w:t>(a).)</w:t>
      </w:r>
    </w:p>
    <w:p w14:paraId="704D7BA0" w14:textId="77777777" w:rsidR="00CB005D" w:rsidRDefault="00BA7A73" w:rsidP="00CB005D">
      <w:pPr>
        <w:ind w:firstLine="720"/>
      </w:pPr>
      <w:r>
        <w:t xml:space="preserve">In the paradigmatic SLAPP suit, a well-funded developer limits free expression by imposing litigation costs on citizens who protest, write letters, and distribute flyers in opposition to </w:t>
      </w:r>
      <w:r>
        <w:lastRenderedPageBreak/>
        <w:t xml:space="preserve">a local project.  (See </w:t>
      </w:r>
      <w:proofErr w:type="spellStart"/>
      <w:r>
        <w:t>Assem</w:t>
      </w:r>
      <w:proofErr w:type="spellEnd"/>
      <w:proofErr w:type="gramStart"/>
      <w:r>
        <w:t xml:space="preserve">. </w:t>
      </w:r>
      <w:proofErr w:type="gramEnd"/>
      <w:r>
        <w:t xml:space="preserve">Com. on Judiciary, Analysis of Sen. Bill No. 1296 (1997–1998 Reg. Sess.) as amended June 23, 1997, pp. 2–3; Barker, </w:t>
      </w:r>
      <w:r>
        <w:rPr>
          <w:i/>
        </w:rPr>
        <w:t>Common-Law and Statutory Solutions to the Problem of SLAPPs</w:t>
      </w:r>
      <w:r>
        <w:t xml:space="preserve"> (1993) 26 Loyola L.A. </w:t>
      </w:r>
      <w:proofErr w:type="spellStart"/>
      <w:r>
        <w:t>L.Rev</w:t>
      </w:r>
      <w:proofErr w:type="spellEnd"/>
      <w:r>
        <w:t xml:space="preserve">. 395, 396.)  Identifying the problem as one involving </w:t>
      </w:r>
      <w:proofErr w:type="gramStart"/>
      <w:r>
        <w:t>particular litigants</w:t>
      </w:r>
      <w:proofErr w:type="gramEnd"/>
      <w:r>
        <w:t>, their motivations, and the effects of litigation, the Assembly Committee</w:t>
      </w:r>
      <w:r w:rsidR="00AF5033">
        <w:t xml:space="preserve"> on Judiciary</w:t>
      </w:r>
      <w:r>
        <w:t xml:space="preserve"> observed that approximately 25 percent of SLAPP suits “relate to development and zoning,” while 20 percent “arise out of complaints against public officials and employees.”  (</w:t>
      </w:r>
      <w:proofErr w:type="spellStart"/>
      <w:r>
        <w:t>Assem</w:t>
      </w:r>
      <w:proofErr w:type="spellEnd"/>
      <w:proofErr w:type="gramStart"/>
      <w:r w:rsidR="00A3412B">
        <w:t>.</w:t>
      </w:r>
      <w:r>
        <w:t xml:space="preserve"> </w:t>
      </w:r>
      <w:proofErr w:type="gramEnd"/>
      <w:r w:rsidR="00A3412B">
        <w:t xml:space="preserve">Com. on </w:t>
      </w:r>
      <w:r>
        <w:t>Judiciary</w:t>
      </w:r>
      <w:r w:rsidR="00A3412B">
        <w:t xml:space="preserve">, </w:t>
      </w:r>
      <w:r>
        <w:t xml:space="preserve">Analysis of </w:t>
      </w:r>
      <w:r w:rsidR="00AF5033">
        <w:t>Sen. Bill</w:t>
      </w:r>
      <w:proofErr w:type="gramStart"/>
      <w:r w:rsidR="00AF5033">
        <w:t xml:space="preserve">. </w:t>
      </w:r>
      <w:proofErr w:type="gramEnd"/>
      <w:r w:rsidR="00AF5033">
        <w:t xml:space="preserve">No. </w:t>
      </w:r>
      <w:r>
        <w:t xml:space="preserve">1296, </w:t>
      </w:r>
      <w:r w:rsidR="00A3412B" w:rsidRPr="00A3412B">
        <w:rPr>
          <w:i/>
        </w:rPr>
        <w:t>supra</w:t>
      </w:r>
      <w:r w:rsidR="00A3412B">
        <w:t xml:space="preserve">, </w:t>
      </w:r>
      <w:r w:rsidRPr="00A3412B">
        <w:t>at</w:t>
      </w:r>
      <w:r>
        <w:t xml:space="preserve"> p. 3.)  The Committee recognized</w:t>
      </w:r>
      <w:r w:rsidR="00EC7599">
        <w:t xml:space="preserve"> </w:t>
      </w:r>
      <w:r>
        <w:t>that “such lawsuits are often pernicious, masquerading as standard defamation and interference with prospective economic advantage litigation, while really brought by well-heeled parties who can afford to misuse the civil justice system to chill the exercise of free speech</w:t>
      </w:r>
      <w:r w:rsidR="00DD0DF9">
        <w:t> </w:t>
      </w:r>
      <w:r>
        <w:t xml:space="preserve">. . . by </w:t>
      </w:r>
      <w:r w:rsidR="00AF5033">
        <w:t xml:space="preserve">the threat of </w:t>
      </w:r>
      <w:r>
        <w:t>impoverishing the other party.”  (</w:t>
      </w:r>
      <w:r>
        <w:rPr>
          <w:i/>
        </w:rPr>
        <w:t>Ibid.</w:t>
      </w:r>
      <w:r>
        <w:t>)  To curb what it took to be the “disturbing increase” in such lawsuits</w:t>
      </w:r>
      <w:r w:rsidR="00AF5033">
        <w:t xml:space="preserve"> (§ 425.16, </w:t>
      </w:r>
      <w:proofErr w:type="spellStart"/>
      <w:r w:rsidR="00AF5033">
        <w:t>subd</w:t>
      </w:r>
      <w:proofErr w:type="spellEnd"/>
      <w:proofErr w:type="gramStart"/>
      <w:r w:rsidR="00AF5033">
        <w:t xml:space="preserve">. </w:t>
      </w:r>
      <w:proofErr w:type="gramEnd"/>
      <w:r w:rsidR="00AF5033">
        <w:t>(a)),</w:t>
      </w:r>
      <w:r>
        <w:t xml:space="preserve"> the Legislature</w:t>
      </w:r>
      <w:r w:rsidR="00CB005D">
        <w:t xml:space="preserve"> shifted burdens of proof and fees onto the lawsuit filer to “compensate[] the prevailing defendant for the undue burden of defending against litigation designed to chill the exercise of free speech and petition rights.”  (</w:t>
      </w:r>
      <w:r w:rsidR="00CB005D">
        <w:rPr>
          <w:i/>
        </w:rPr>
        <w:t xml:space="preserve">Barry v. State Bar of </w:t>
      </w:r>
      <w:r w:rsidR="00CB005D" w:rsidRPr="00CB005D">
        <w:rPr>
          <w:i/>
        </w:rPr>
        <w:t>California</w:t>
      </w:r>
      <w:r w:rsidR="00CB005D">
        <w:t xml:space="preserve"> (2017) 2 Cal.5th 318, 328.)  </w:t>
      </w:r>
    </w:p>
    <w:p w14:paraId="678C9133" w14:textId="77777777" w:rsidR="0004160C" w:rsidRPr="00166034" w:rsidRDefault="00CB005D" w:rsidP="0004160C">
      <w:pPr>
        <w:ind w:firstLine="720"/>
      </w:pPr>
      <w:r>
        <w:t xml:space="preserve">Consistent with the statute’s purpose, its text </w:t>
      </w:r>
      <w:r w:rsidR="00BA7A73" w:rsidRPr="00CB005D">
        <w:t>define</w:t>
      </w:r>
      <w:r>
        <w:t>s</w:t>
      </w:r>
      <w:r w:rsidR="00BA7A73">
        <w:t xml:space="preserve"> conduct in furtherance of the rights of petition and free speech on a public issue not only by its content, but also by its location, its audience, and its timing.  (See § 425.16, </w:t>
      </w:r>
      <w:proofErr w:type="spellStart"/>
      <w:r w:rsidR="00BA7A73">
        <w:t>subd</w:t>
      </w:r>
      <w:proofErr w:type="spellEnd"/>
      <w:proofErr w:type="gramStart"/>
      <w:r w:rsidR="00BA7A73">
        <w:t xml:space="preserve">. </w:t>
      </w:r>
      <w:proofErr w:type="gramEnd"/>
      <w:r w:rsidR="00BA7A73">
        <w:t xml:space="preserve">(e)(1) [“before a legislative, executive, or judicial proceeding”]; § 425.16, </w:t>
      </w:r>
      <w:proofErr w:type="spellStart"/>
      <w:r w:rsidR="00BA7A73">
        <w:t>subd</w:t>
      </w:r>
      <w:proofErr w:type="spellEnd"/>
      <w:proofErr w:type="gramStart"/>
      <w:r w:rsidR="00BA7A73">
        <w:t xml:space="preserve">. </w:t>
      </w:r>
      <w:proofErr w:type="gramEnd"/>
      <w:r w:rsidR="00BA7A73">
        <w:t xml:space="preserve">(e)(2) [“in connection with an issue under consideration or review by” a government entity]; § 425.16, </w:t>
      </w:r>
      <w:proofErr w:type="spellStart"/>
      <w:r w:rsidR="00BA7A73">
        <w:t>subd</w:t>
      </w:r>
      <w:proofErr w:type="spellEnd"/>
      <w:proofErr w:type="gramStart"/>
      <w:r w:rsidR="00BA7A73">
        <w:t xml:space="preserve">. </w:t>
      </w:r>
      <w:proofErr w:type="gramEnd"/>
      <w:r w:rsidR="00BA7A73">
        <w:t xml:space="preserve">(e)(3) [“in a place open to the public or a public forum in connection with an </w:t>
      </w:r>
      <w:r w:rsidR="00BA7A73">
        <w:lastRenderedPageBreak/>
        <w:t>issue of public interest”].)</w:t>
      </w:r>
      <w:r w:rsidR="00166034">
        <w:t xml:space="preserve">  Indeed, we have previously noted that the Legislature “</w:t>
      </w:r>
      <w:r w:rsidR="0055593C">
        <w:t> ‘</w:t>
      </w:r>
      <w:r w:rsidR="00166034">
        <w:rPr>
          <w:i/>
        </w:rPr>
        <w:t>equated</w:t>
      </w:r>
      <w:r w:rsidR="00166034">
        <w:t xml:space="preserve"> a public issue with the authorized official proceeding to which it connects</w:t>
      </w:r>
      <w:r w:rsidR="0055593C">
        <w:t xml:space="preserve">,’ ” effectively defining the </w:t>
      </w:r>
      <w:r w:rsidR="004E70E3">
        <w:t>protected status</w:t>
      </w:r>
      <w:r w:rsidR="0055593C">
        <w:t xml:space="preserve"> of the statement by the context in which it was made.  (</w:t>
      </w:r>
      <w:r w:rsidR="0055593C" w:rsidRPr="00E46099">
        <w:rPr>
          <w:i/>
        </w:rPr>
        <w:t>Briggs v. Eden Council for Hope &amp; Opportunity</w:t>
      </w:r>
      <w:r w:rsidR="0055593C" w:rsidRPr="00E46099">
        <w:t xml:space="preserve"> (1999) 19 Cal.4th 1106, 11</w:t>
      </w:r>
      <w:r w:rsidR="0055593C">
        <w:t>17, italics in original</w:t>
      </w:r>
      <w:r w:rsidR="00AF5033">
        <w:t xml:space="preserve"> </w:t>
      </w:r>
      <w:r w:rsidR="00AF5033" w:rsidRPr="00E46099">
        <w:t>(</w:t>
      </w:r>
      <w:r w:rsidR="00AF5033" w:rsidRPr="00E46099">
        <w:rPr>
          <w:i/>
        </w:rPr>
        <w:t>Briggs</w:t>
      </w:r>
      <w:r w:rsidR="00AF5033" w:rsidRPr="00E46099">
        <w:t>)</w:t>
      </w:r>
      <w:r w:rsidR="0055593C">
        <w:t xml:space="preserve">.) </w:t>
      </w:r>
    </w:p>
    <w:p w14:paraId="16AB36E8" w14:textId="77777777" w:rsidR="0004160C" w:rsidRDefault="00BA7A73" w:rsidP="00946C80">
      <w:pPr>
        <w:ind w:firstLine="720"/>
      </w:pPr>
      <w:r>
        <w:t xml:space="preserve">Admittedly, the </w:t>
      </w:r>
      <w:r w:rsidR="001D5C38">
        <w:t>catchall</w:t>
      </w:r>
      <w:r>
        <w:t xml:space="preserve"> provision contains no </w:t>
      </w:r>
      <w:r w:rsidR="0055593C">
        <w:t>similar contextual references</w:t>
      </w:r>
      <w:r>
        <w:t xml:space="preserve"> to help courts discern the type of conduct and speech to protect.  (See § 425.16, </w:t>
      </w:r>
      <w:proofErr w:type="spellStart"/>
      <w:r>
        <w:t>subd</w:t>
      </w:r>
      <w:proofErr w:type="spellEnd"/>
      <w:proofErr w:type="gramStart"/>
      <w:r>
        <w:t xml:space="preserve">. </w:t>
      </w:r>
      <w:proofErr w:type="gramEnd"/>
      <w:r>
        <w:t>(e)(4) [“any other conduct in furtherance of the exercise of the constitutional right</w:t>
      </w:r>
      <w:r w:rsidR="00A96630">
        <w:t> </w:t>
      </w:r>
      <w:r>
        <w:t>. . . of free speech in connection with a public issue</w:t>
      </w:r>
      <w:r w:rsidR="00511B71">
        <w:t xml:space="preserve"> or an issue of public interest</w:t>
      </w:r>
      <w:r>
        <w:t xml:space="preserve">”].)  But we interpret </w:t>
      </w:r>
      <w:r w:rsidR="005E03D9">
        <w:t xml:space="preserve">statutory language within its context, and </w:t>
      </w:r>
      <w:proofErr w:type="gramStart"/>
      <w:r>
        <w:t>in light of</w:t>
      </w:r>
      <w:proofErr w:type="gramEnd"/>
      <w:r>
        <w:t xml:space="preserve"> </w:t>
      </w:r>
      <w:r w:rsidR="005E03D9">
        <w:t xml:space="preserve">its </w:t>
      </w:r>
      <w:r>
        <w:t>structure</w:t>
      </w:r>
      <w:r w:rsidR="00833F7A">
        <w:t>,</w:t>
      </w:r>
      <w:r>
        <w:t xml:space="preserve"> analogous provisions</w:t>
      </w:r>
      <w:r w:rsidR="00A754AA">
        <w:t>, and any other appropriate indicia of its purpose</w:t>
      </w:r>
      <w:r>
        <w:t xml:space="preserve">.  (See </w:t>
      </w:r>
      <w:r>
        <w:rPr>
          <w:i/>
        </w:rPr>
        <w:t>Poole v. Orange County Fire Authority</w:t>
      </w:r>
      <w:r>
        <w:t xml:space="preserve"> (2015) 61 Cal.4th 1378, 1385 [reading the statutory language in the context of its neighboring provisions]; </w:t>
      </w:r>
      <w:r>
        <w:rPr>
          <w:i/>
        </w:rPr>
        <w:t>Lungren v. Deukmejian</w:t>
      </w:r>
      <w:r>
        <w:t xml:space="preserve"> (1988) 45 Cal.3d 727, 735 [“[T]he words must be construed in context, and provisions relating to the same subject matter must be harmonized to the extent possible.”].)  Nothing in subdivision (e)(4) or other portions of the statute supports the conclusion that subdivision (e)(4) is the only </w:t>
      </w:r>
      <w:r w:rsidR="00AF5033">
        <w:t>subdivision</w:t>
      </w:r>
      <w:r>
        <w:t xml:space="preserve"> where contextual information is excluded from consideration in discerning the type of conduct and speech worthy of procedural protection.  </w:t>
      </w:r>
    </w:p>
    <w:p w14:paraId="416632E8" w14:textId="77777777" w:rsidR="0004160C" w:rsidRDefault="00946C80" w:rsidP="0004160C">
      <w:pPr>
        <w:ind w:firstLine="720"/>
      </w:pPr>
      <w:r>
        <w:t xml:space="preserve">Indeed, </w:t>
      </w:r>
      <w:r w:rsidR="00BA7A73">
        <w:t>th</w:t>
      </w:r>
      <w:r>
        <w:t xml:space="preserve">at the </w:t>
      </w:r>
      <w:r w:rsidR="00DA5D9D">
        <w:t xml:space="preserve">language </w:t>
      </w:r>
      <w:r>
        <w:t xml:space="preserve">of the provision refers to </w:t>
      </w:r>
      <w:r w:rsidR="00BA7A73">
        <w:t>“</w:t>
      </w:r>
      <w:r w:rsidR="00BA7A73" w:rsidRPr="00843E0C">
        <w:rPr>
          <w:i/>
        </w:rPr>
        <w:t>other</w:t>
      </w:r>
      <w:r w:rsidR="00BA7A73">
        <w:t xml:space="preserve"> conduct in furtherance” </w:t>
      </w:r>
      <w:r w:rsidR="00462B5A">
        <w:t xml:space="preserve">supports the inference that </w:t>
      </w:r>
      <w:r w:rsidR="00DA5D9D">
        <w:t xml:space="preserve">this provision </w:t>
      </w:r>
      <w:r w:rsidR="00BA7A73">
        <w:t>encompass</w:t>
      </w:r>
      <w:r w:rsidR="00CD5BE4">
        <w:t>es</w:t>
      </w:r>
      <w:r w:rsidR="00BA7A73">
        <w:t xml:space="preserve"> conduct and speech </w:t>
      </w:r>
      <w:proofErr w:type="gramStart"/>
      <w:r w:rsidR="00C10A67">
        <w:t>similar to</w:t>
      </w:r>
      <w:proofErr w:type="gramEnd"/>
      <w:r w:rsidR="00BA7A73">
        <w:t xml:space="preserve"> </w:t>
      </w:r>
      <w:r w:rsidR="00DA5D9D">
        <w:t>what is referenced in</w:t>
      </w:r>
      <w:r w:rsidR="00BA7A73">
        <w:t xml:space="preserve"> subdivision (e)(1) through (e)(3).  (</w:t>
      </w:r>
      <w:r w:rsidR="00843E0C">
        <w:t xml:space="preserve">§ 425.16, </w:t>
      </w:r>
      <w:proofErr w:type="spellStart"/>
      <w:r w:rsidR="00843E0C">
        <w:t>subd</w:t>
      </w:r>
      <w:proofErr w:type="spellEnd"/>
      <w:proofErr w:type="gramStart"/>
      <w:r w:rsidR="00843E0C">
        <w:t xml:space="preserve">. </w:t>
      </w:r>
      <w:proofErr w:type="gramEnd"/>
      <w:r w:rsidR="00843E0C">
        <w:t>(e)(4), italics added; s</w:t>
      </w:r>
      <w:r w:rsidR="00BA7A73">
        <w:t xml:space="preserve">ee </w:t>
      </w:r>
      <w:r w:rsidR="00BA7A73">
        <w:rPr>
          <w:i/>
        </w:rPr>
        <w:t>Internat</w:t>
      </w:r>
      <w:r w:rsidR="003331ED">
        <w:rPr>
          <w:i/>
        </w:rPr>
        <w:t>ional</w:t>
      </w:r>
      <w:r w:rsidR="00BA7A73">
        <w:rPr>
          <w:i/>
        </w:rPr>
        <w:t xml:space="preserve"> Federation of Prof</w:t>
      </w:r>
      <w:r w:rsidR="003331ED">
        <w:rPr>
          <w:i/>
        </w:rPr>
        <w:t>essional</w:t>
      </w:r>
      <w:r w:rsidR="00BA7A73">
        <w:rPr>
          <w:i/>
        </w:rPr>
        <w:t xml:space="preserve"> &amp; Technical Engineers, Local 21, AFL-CIO v. Superior Court</w:t>
      </w:r>
      <w:r w:rsidR="00BA7A73">
        <w:t xml:space="preserve"> (2007) 42 Cal.4th 319, 342 [explaining that where a statute lists </w:t>
      </w:r>
      <w:r w:rsidR="00BA7A73">
        <w:lastRenderedPageBreak/>
        <w:t xml:space="preserve">a series of specific categories followed by a </w:t>
      </w:r>
      <w:r w:rsidR="001D5C38">
        <w:t>catchall</w:t>
      </w:r>
      <w:r w:rsidR="00BA7A73">
        <w:t xml:space="preserve"> category, the </w:t>
      </w:r>
      <w:r w:rsidR="001D5C38">
        <w:t>catchall</w:t>
      </w:r>
      <w:r w:rsidR="00BA7A73">
        <w:t xml:space="preserve"> is “</w:t>
      </w:r>
      <w:r w:rsidR="00843E0C">
        <w:t> </w:t>
      </w:r>
      <w:r w:rsidR="00BA7A73">
        <w:t>‘</w:t>
      </w:r>
      <w:r w:rsidR="00843E0C">
        <w:t> </w:t>
      </w:r>
      <w:r w:rsidR="00BA7A73">
        <w:t>“restricted to those things that are similar to those which are enumerated specifically”</w:t>
      </w:r>
      <w:r w:rsidR="0055593C">
        <w:t> </w:t>
      </w:r>
      <w:r w:rsidR="00BA7A73">
        <w:t>’</w:t>
      </w:r>
      <w:r w:rsidR="0055593C">
        <w:t> </w:t>
      </w:r>
      <w:r w:rsidR="00BA7A73">
        <w:t>”].)</w:t>
      </w:r>
      <w:r w:rsidR="0004160C">
        <w:t xml:space="preserve">  </w:t>
      </w:r>
    </w:p>
    <w:p w14:paraId="08BBB2D8" w14:textId="77777777" w:rsidR="0004160C" w:rsidRDefault="0004160C" w:rsidP="0004160C">
      <w:pPr>
        <w:ind w:firstLine="720"/>
      </w:pPr>
      <w:r w:rsidRPr="00E46099">
        <w:t xml:space="preserve">The reference to “any other conduct” in subdivision (e)(4) </w:t>
      </w:r>
      <w:r>
        <w:t xml:space="preserve">also </w:t>
      </w:r>
      <w:r w:rsidRPr="00E46099">
        <w:t>underscores its role as the “</w:t>
      </w:r>
      <w:r w:rsidR="001D5C38">
        <w:t>catchall</w:t>
      </w:r>
      <w:r w:rsidRPr="00E46099">
        <w:t xml:space="preserve">” provision meant to round out the statutory safeguards for constitutionally protected expression.  (See, e.g., </w:t>
      </w:r>
      <w:r w:rsidRPr="00E46099">
        <w:rPr>
          <w:i/>
        </w:rPr>
        <w:t>Lieberman v. KCOP Television, Inc.</w:t>
      </w:r>
      <w:r w:rsidRPr="00E46099">
        <w:t xml:space="preserve"> (2003) 110 Cal.App.4th 156, 164 [observing that subdivision (e)(4) “provides a </w:t>
      </w:r>
      <w:r w:rsidR="001D5C38">
        <w:t>catchall</w:t>
      </w:r>
      <w:r w:rsidRPr="00E46099">
        <w:t>”].)  In protecting “</w:t>
      </w:r>
      <w:r w:rsidRPr="00E46099">
        <w:rPr>
          <w:i/>
        </w:rPr>
        <w:t xml:space="preserve">any </w:t>
      </w:r>
      <w:r w:rsidRPr="00E46099">
        <w:t xml:space="preserve">other conduct” that meets the requirements laid out in its text (§ 425.16, </w:t>
      </w:r>
      <w:proofErr w:type="spellStart"/>
      <w:r w:rsidRPr="00E46099">
        <w:t>subd</w:t>
      </w:r>
      <w:proofErr w:type="spellEnd"/>
      <w:r w:rsidRPr="00E46099">
        <w:t>.</w:t>
      </w:r>
      <w:r w:rsidR="00DB33A5">
        <w:t> </w:t>
      </w:r>
      <w:r w:rsidRPr="00E46099">
        <w:t xml:space="preserve">(e)(4), italics added), </w:t>
      </w:r>
      <w:r w:rsidR="003331ED">
        <w:t>subdivision</w:t>
      </w:r>
      <w:r w:rsidRPr="00E46099">
        <w:t xml:space="preserve"> (e)(4) proves both broader in scope than the other subdivisions, and less firmly anchored to any </w:t>
      </w:r>
      <w:proofErr w:type="gramStart"/>
      <w:r w:rsidRPr="00E46099">
        <w:t>particular context</w:t>
      </w:r>
      <w:proofErr w:type="gramEnd"/>
      <w:r w:rsidRPr="00E46099">
        <w:t xml:space="preserve">.  (See </w:t>
      </w:r>
      <w:r w:rsidRPr="00E46099">
        <w:rPr>
          <w:i/>
        </w:rPr>
        <w:t>San Diegans for Open Government v. San Diego State University Research Foundation</w:t>
      </w:r>
      <w:r w:rsidRPr="00E46099">
        <w:t> (2017) 13 Cal.App.5th 76, 101 (</w:t>
      </w:r>
      <w:r w:rsidRPr="00E46099">
        <w:rPr>
          <w:i/>
        </w:rPr>
        <w:t>S</w:t>
      </w:r>
      <w:r w:rsidR="003331ED">
        <w:rPr>
          <w:i/>
        </w:rPr>
        <w:t>an Diegans</w:t>
      </w:r>
      <w:r w:rsidRPr="00E46099">
        <w:t>) [characterizing § 425.16, subdivision (e)(4) as “a ‘</w:t>
      </w:r>
      <w:r w:rsidR="001D5C38">
        <w:t>catchall</w:t>
      </w:r>
      <w:r w:rsidRPr="00E46099">
        <w:t xml:space="preserve">’ that extends the anti-SLAPP statutes beyond actual instances of free speech to ‘all conduct in furtherance of the exercise of the right of free speech in connection with a public issue’ ”]; </w:t>
      </w:r>
      <w:r w:rsidRPr="00E46099">
        <w:rPr>
          <w:i/>
        </w:rPr>
        <w:t>Collier v. Harris</w:t>
      </w:r>
      <w:r w:rsidRPr="00E46099">
        <w:t xml:space="preserve"> (2015) 240 Cal.App.4th 41, 51 [same]; accord </w:t>
      </w:r>
      <w:r w:rsidRPr="00E46099">
        <w:rPr>
          <w:i/>
        </w:rPr>
        <w:t>Briggs</w:t>
      </w:r>
      <w:r w:rsidRPr="00E46099">
        <w:t xml:space="preserve">, </w:t>
      </w:r>
      <w:r w:rsidRPr="00E46099">
        <w:rPr>
          <w:i/>
        </w:rPr>
        <w:t>supra</w:t>
      </w:r>
      <w:r w:rsidRPr="00E46099">
        <w:t>, 19 Cal.4th at p.</w:t>
      </w:r>
      <w:r w:rsidR="00DB33A5">
        <w:t> </w:t>
      </w:r>
      <w:r w:rsidRPr="00E46099">
        <w:t xml:space="preserve">1122 [stating that, in contrast to subdivision (e)(3) and (4), the first two </w:t>
      </w:r>
      <w:r w:rsidR="003331ED">
        <w:t>subparts</w:t>
      </w:r>
      <w:r w:rsidRPr="00E46099">
        <w:t xml:space="preserve"> in </w:t>
      </w:r>
      <w:r w:rsidR="003331ED">
        <w:t>subdivision</w:t>
      </w:r>
      <w:r w:rsidRPr="00E46099">
        <w:t xml:space="preserve"> (e) provide “a bright-line ‘official proceeding’ test”].)  This provision consequently suggests that courts should engage in a relatively </w:t>
      </w:r>
      <w:r w:rsidR="004E70E3">
        <w:t>careful</w:t>
      </w:r>
      <w:r w:rsidRPr="00E46099">
        <w:t xml:space="preserve"> analysis of whether a </w:t>
      </w:r>
      <w:proofErr w:type="gramStart"/>
      <w:r w:rsidRPr="00E46099">
        <w:t xml:space="preserve">particular </w:t>
      </w:r>
      <w:r w:rsidR="00B32480">
        <w:t>statement</w:t>
      </w:r>
      <w:proofErr w:type="gramEnd"/>
      <w:r w:rsidRPr="00E46099">
        <w:t xml:space="preserve"> falls within the ambit of “other conduct” encompassed by subdivision (e)(4).</w:t>
      </w:r>
    </w:p>
    <w:p w14:paraId="23C8C3AA" w14:textId="77777777" w:rsidR="0004160C" w:rsidRDefault="00E22C83" w:rsidP="00E57849">
      <w:pPr>
        <w:ind w:firstLine="720"/>
      </w:pPr>
      <w:r>
        <w:t xml:space="preserve">It would be all but impossible, as part of such a careful analysis, to justify ignoring the ordinary contextual cues </w:t>
      </w:r>
      <w:r w:rsidR="00886DF2">
        <w:t>affecting</w:t>
      </w:r>
      <w:r>
        <w:t xml:space="preserve"> how people </w:t>
      </w:r>
      <w:r w:rsidR="00886DF2">
        <w:t xml:space="preserve">generally </w:t>
      </w:r>
      <w:r>
        <w:t xml:space="preserve">evaluate speech. </w:t>
      </w:r>
      <w:r w:rsidR="0004160C" w:rsidRPr="00E46099">
        <w:t xml:space="preserve"> </w:t>
      </w:r>
      <w:r w:rsidR="00F442D0">
        <w:t>O</w:t>
      </w:r>
      <w:r w:rsidR="0004160C" w:rsidRPr="00E46099">
        <w:t xml:space="preserve">ur courts have not ignored such cues.  (See </w:t>
      </w:r>
      <w:r w:rsidR="0004160C" w:rsidRPr="00E46099">
        <w:rPr>
          <w:i/>
        </w:rPr>
        <w:t>S</w:t>
      </w:r>
      <w:r w:rsidR="003331ED">
        <w:rPr>
          <w:i/>
        </w:rPr>
        <w:t>an Diegans</w:t>
      </w:r>
      <w:r w:rsidR="0004160C" w:rsidRPr="00E46099">
        <w:t xml:space="preserve">, </w:t>
      </w:r>
      <w:r w:rsidR="0004160C" w:rsidRPr="00E46099">
        <w:rPr>
          <w:i/>
        </w:rPr>
        <w:t>supra</w:t>
      </w:r>
      <w:r w:rsidR="0004160C" w:rsidRPr="00E46099">
        <w:t xml:space="preserve">, 13 Cal.App.5th </w:t>
      </w:r>
      <w:r w:rsidR="0004160C" w:rsidRPr="00E46099">
        <w:lastRenderedPageBreak/>
        <w:t>at p.</w:t>
      </w:r>
      <w:r w:rsidR="00DB33A5">
        <w:t> </w:t>
      </w:r>
      <w:r w:rsidR="0004160C" w:rsidRPr="00E46099">
        <w:t xml:space="preserve">106 [the identity of the actor matters; “[Defendant] </w:t>
      </w:r>
      <w:proofErr w:type="spellStart"/>
      <w:r w:rsidR="0004160C" w:rsidRPr="00E46099">
        <w:t>Inewsource</w:t>
      </w:r>
      <w:proofErr w:type="spellEnd"/>
      <w:r w:rsidR="0004160C" w:rsidRPr="00E46099">
        <w:t xml:space="preserve"> is not a construction company.  It is in the news reporting business, and the contracts </w:t>
      </w:r>
      <w:r w:rsidR="003331ED">
        <w:t>[San Diegans for Open Government]</w:t>
      </w:r>
      <w:r w:rsidR="0004160C" w:rsidRPr="00E46099">
        <w:t xml:space="preserve"> challenges shape the way </w:t>
      </w:r>
      <w:proofErr w:type="spellStart"/>
      <w:r w:rsidR="0004160C" w:rsidRPr="00E46099">
        <w:t>inewsource</w:t>
      </w:r>
      <w:proofErr w:type="spellEnd"/>
      <w:r w:rsidR="0004160C" w:rsidRPr="00E46099">
        <w:t xml:space="preserve"> and KPBS gather, produce, and report the news”]; </w:t>
      </w:r>
      <w:r w:rsidR="0004160C" w:rsidRPr="00E46099">
        <w:rPr>
          <w:i/>
          <w:iCs/>
        </w:rPr>
        <w:t>Mendoza v. ADP Screening &amp; Selection Services, Inc.</w:t>
      </w:r>
      <w:r w:rsidR="0004160C" w:rsidRPr="00E46099">
        <w:t> (2010) 182 Cal.App.4th 1644, 1653 (</w:t>
      </w:r>
      <w:r w:rsidR="0004160C" w:rsidRPr="00E46099">
        <w:rPr>
          <w:i/>
        </w:rPr>
        <w:t>Mendoza</w:t>
      </w:r>
      <w:r w:rsidR="0004160C" w:rsidRPr="00E46099">
        <w:t>) [the audience of the speech (in this case, an employer) matters; “We are also swayed by the public interest in safe workplaces, and in the liability which may attach to employers who fail to investigate prospective employees where prudence justifies such an investigation.  Thus, as a foundational, broad-based proposition, we conclude that</w:t>
      </w:r>
      <w:r w:rsidR="000658A4">
        <w:t xml:space="preserve"> </w:t>
      </w:r>
      <w:r w:rsidR="0004160C" w:rsidRPr="00E46099">
        <w:t xml:space="preserve">providing employment-screening reports is a constitutionally founded, protected activity within the meaning of the anti-SLAPP statute”]; </w:t>
      </w:r>
      <w:r w:rsidR="0004160C" w:rsidRPr="00E46099">
        <w:rPr>
          <w:i/>
        </w:rPr>
        <w:t>All One God Faith, Inc. v. Organic &amp; Sustainable Industry Standards, Inc.</w:t>
      </w:r>
      <w:r w:rsidR="0004160C" w:rsidRPr="00E46099">
        <w:t> (2010) 183 Cal.App.4th 1186, 1204 (</w:t>
      </w:r>
      <w:r w:rsidR="003331ED">
        <w:rPr>
          <w:i/>
        </w:rPr>
        <w:t>All One</w:t>
      </w:r>
      <w:r w:rsidR="0004160C" w:rsidRPr="00E46099">
        <w:t>) [the purpose of the speech matters; “</w:t>
      </w:r>
      <w:r w:rsidR="00D43FE0">
        <w:t>T</w:t>
      </w:r>
      <w:r w:rsidR="0004160C" w:rsidRPr="00E46099">
        <w:t xml:space="preserve">he purpose of the ‘ “OASIS Organic” seal’ is to promote the sale of the </w:t>
      </w:r>
      <w:r w:rsidR="0004160C" w:rsidRPr="003331ED">
        <w:rPr>
          <w:i/>
        </w:rPr>
        <w:t>product</w:t>
      </w:r>
      <w:r w:rsidR="0004160C" w:rsidRPr="00E46099">
        <w:t xml:space="preserve"> to which it is affixed, not the standard or its elements”].)</w:t>
      </w:r>
    </w:p>
    <w:p w14:paraId="68071743" w14:textId="77777777" w:rsidR="00BA7A73" w:rsidRDefault="007B2F28" w:rsidP="00F127FC">
      <w:pPr>
        <w:ind w:firstLine="720"/>
      </w:pPr>
      <w:r>
        <w:t>Nor are</w:t>
      </w:r>
      <w:r w:rsidR="0004160C">
        <w:t xml:space="preserve"> contextual considerations </w:t>
      </w:r>
      <w:r w:rsidR="004A3470">
        <w:t xml:space="preserve">relevant </w:t>
      </w:r>
      <w:r w:rsidR="00B32480">
        <w:t xml:space="preserve">merely </w:t>
      </w:r>
      <w:r w:rsidR="004A3470">
        <w:t xml:space="preserve">to </w:t>
      </w:r>
      <w:proofErr w:type="gramStart"/>
      <w:r w:rsidR="004A3470">
        <w:t>some</w:t>
      </w:r>
      <w:proofErr w:type="gramEnd"/>
      <w:r w:rsidR="004A3470">
        <w:t xml:space="preserve"> generalized evaluation </w:t>
      </w:r>
      <w:r w:rsidR="0004160C">
        <w:t>impl</w:t>
      </w:r>
      <w:r w:rsidR="00D678A9">
        <w:t xml:space="preserve">icit in the analysis.  In articulating </w:t>
      </w:r>
      <w:r w:rsidR="001C171A">
        <w:t xml:space="preserve">what constitutes a matter of public interest, courts look to </w:t>
      </w:r>
      <w:r w:rsidR="004A3470">
        <w:t>c</w:t>
      </w:r>
      <w:r w:rsidR="000E0F5F">
        <w:t xml:space="preserve">ertain specific considerations, such as </w:t>
      </w:r>
      <w:r w:rsidR="00403307">
        <w:t>whether the subject of the speech or activity “was a person or entity in the public eye”</w:t>
      </w:r>
      <w:r w:rsidR="00896AE9">
        <w:t xml:space="preserve"> or “could affect large numbers of people beyond the direct participants”</w:t>
      </w:r>
      <w:r w:rsidR="00403307">
        <w:t xml:space="preserve"> (</w:t>
      </w:r>
      <w:r w:rsidR="00403307" w:rsidRPr="00E46099">
        <w:rPr>
          <w:i/>
        </w:rPr>
        <w:t xml:space="preserve">Wilbanks v. </w:t>
      </w:r>
      <w:proofErr w:type="spellStart"/>
      <w:r w:rsidR="00403307" w:rsidRPr="00E46099">
        <w:rPr>
          <w:i/>
        </w:rPr>
        <w:t>Wolk</w:t>
      </w:r>
      <w:proofErr w:type="spellEnd"/>
      <w:r w:rsidR="00403307" w:rsidRPr="00E46099">
        <w:t> (2004) 121 Cal.App.4th 883, 898 (</w:t>
      </w:r>
      <w:r w:rsidR="00403307" w:rsidRPr="00E46099">
        <w:rPr>
          <w:i/>
        </w:rPr>
        <w:t>Wilbanks</w:t>
      </w:r>
      <w:r w:rsidR="00403307" w:rsidRPr="00E46099">
        <w:t>)</w:t>
      </w:r>
      <w:r w:rsidR="00403307">
        <w:t xml:space="preserve">); </w:t>
      </w:r>
      <w:r w:rsidR="00896AE9">
        <w:t>and whether the activity “occur[red]</w:t>
      </w:r>
      <w:r w:rsidR="00896AE9" w:rsidRPr="00E46099">
        <w:t xml:space="preserve"> in the context of an ongoing controversy, dispute or discussion</w:t>
      </w:r>
      <w:r w:rsidR="00896AE9">
        <w:t>” (</w:t>
      </w:r>
      <w:r w:rsidR="00896AE9" w:rsidRPr="00E46099">
        <w:rPr>
          <w:i/>
        </w:rPr>
        <w:t xml:space="preserve">Du </w:t>
      </w:r>
      <w:proofErr w:type="spellStart"/>
      <w:r w:rsidR="00896AE9" w:rsidRPr="00E46099">
        <w:rPr>
          <w:i/>
        </w:rPr>
        <w:t>Charme</w:t>
      </w:r>
      <w:proofErr w:type="spellEnd"/>
      <w:r w:rsidR="00896AE9" w:rsidRPr="00E46099">
        <w:rPr>
          <w:i/>
        </w:rPr>
        <w:t xml:space="preserve"> v. International Brotherhood of Electrical Workers</w:t>
      </w:r>
      <w:r w:rsidR="00896AE9" w:rsidRPr="00E46099">
        <w:t> (2003) 110 Cal.App.4th 107, 119</w:t>
      </w:r>
      <w:r w:rsidR="00896AE9">
        <w:t xml:space="preserve"> (</w:t>
      </w:r>
      <w:r w:rsidR="00896AE9">
        <w:rPr>
          <w:i/>
        </w:rPr>
        <w:t xml:space="preserve">Du </w:t>
      </w:r>
      <w:proofErr w:type="spellStart"/>
      <w:r w:rsidR="00896AE9">
        <w:rPr>
          <w:i/>
        </w:rPr>
        <w:t>Charme</w:t>
      </w:r>
      <w:proofErr w:type="spellEnd"/>
      <w:r w:rsidR="00896AE9">
        <w:t>)), or “affect</w:t>
      </w:r>
      <w:r w:rsidR="00C72540">
        <w:t>[ed]</w:t>
      </w:r>
      <w:r w:rsidR="00896AE9">
        <w:t xml:space="preserve"> </w:t>
      </w:r>
      <w:r w:rsidR="00896AE9" w:rsidRPr="00E46099">
        <w:t xml:space="preserve">a community </w:t>
      </w:r>
      <w:r w:rsidR="00896AE9" w:rsidRPr="00E46099">
        <w:lastRenderedPageBreak/>
        <w:t>in a manner similar to that of a governmental entity</w:t>
      </w:r>
      <w:r w:rsidR="00896AE9">
        <w:t>” (</w:t>
      </w:r>
      <w:r w:rsidR="00896AE9" w:rsidRPr="00E46099">
        <w:rPr>
          <w:i/>
        </w:rPr>
        <w:t>Damon v. Ocean Hills Journalism Club</w:t>
      </w:r>
      <w:r w:rsidR="00896AE9" w:rsidRPr="00E46099">
        <w:t> (2000) 85 Cal.App.4th 468, 479</w:t>
      </w:r>
      <w:r w:rsidR="00896AE9">
        <w:t>).</w:t>
      </w:r>
      <w:r w:rsidR="00F127FC">
        <w:t xml:space="preserve"> </w:t>
      </w:r>
    </w:p>
    <w:p w14:paraId="7314629E" w14:textId="77777777" w:rsidR="00402FBC" w:rsidRDefault="005F1F0A" w:rsidP="00402FBC">
      <w:pPr>
        <w:ind w:firstLine="720"/>
      </w:pPr>
      <w:r w:rsidRPr="00E46099">
        <w:t xml:space="preserve">The Court of Appeal’s contrary position </w:t>
      </w:r>
      <w:r w:rsidR="000E0F5F">
        <w:t xml:space="preserve">in this case </w:t>
      </w:r>
      <w:r w:rsidRPr="00E46099">
        <w:t xml:space="preserve">is not supported by the cases on which it relied.  Leaning on </w:t>
      </w:r>
      <w:r w:rsidRPr="00E46099">
        <w:rPr>
          <w:i/>
        </w:rPr>
        <w:t>Terry v. Davis Community Church</w:t>
      </w:r>
      <w:r w:rsidRPr="00E46099">
        <w:t> (2005) 131 Cal.App.4th 1534</w:t>
      </w:r>
      <w:r w:rsidR="003331ED">
        <w:t xml:space="preserve"> (</w:t>
      </w:r>
      <w:r w:rsidR="003331ED">
        <w:rPr>
          <w:i/>
        </w:rPr>
        <w:t>Terry</w:t>
      </w:r>
      <w:r w:rsidR="003331ED">
        <w:t>)</w:t>
      </w:r>
      <w:r w:rsidRPr="00E46099">
        <w:t xml:space="preserve"> and </w:t>
      </w:r>
      <w:proofErr w:type="spellStart"/>
      <w:r w:rsidRPr="00E46099">
        <w:rPr>
          <w:i/>
        </w:rPr>
        <w:t>Hecimovich</w:t>
      </w:r>
      <w:proofErr w:type="spellEnd"/>
      <w:r w:rsidRPr="00E46099">
        <w:rPr>
          <w:i/>
        </w:rPr>
        <w:t xml:space="preserve"> v. Encinal School Parent Teacher Organization</w:t>
      </w:r>
      <w:r w:rsidRPr="00E46099">
        <w:t> (2012) 203 Cal.App.4th 450</w:t>
      </w:r>
      <w:r w:rsidR="003331ED">
        <w:t xml:space="preserve"> (</w:t>
      </w:r>
      <w:proofErr w:type="spellStart"/>
      <w:r w:rsidR="003331ED">
        <w:rPr>
          <w:i/>
        </w:rPr>
        <w:t>Hecimovich</w:t>
      </w:r>
      <w:proofErr w:type="spellEnd"/>
      <w:r w:rsidR="003331ED">
        <w:t>)</w:t>
      </w:r>
      <w:r w:rsidRPr="00E46099">
        <w:t>, the appellate court held that</w:t>
      </w:r>
      <w:r w:rsidRPr="00E46099">
        <w:rPr>
          <w:i/>
        </w:rPr>
        <w:t xml:space="preserve"> </w:t>
      </w:r>
      <w:r w:rsidRPr="00E46099">
        <w:t>“[n]either the identity of the speaker nor the identity of the audience affects the content of the communication, or whether that content concerns an issue of public interest.”  (</w:t>
      </w:r>
      <w:proofErr w:type="spellStart"/>
      <w:r w:rsidRPr="00E46099">
        <w:rPr>
          <w:i/>
        </w:rPr>
        <w:t>FilmOn</w:t>
      </w:r>
      <w:proofErr w:type="spellEnd"/>
      <w:r w:rsidRPr="00E46099">
        <w:t xml:space="preserve">, </w:t>
      </w:r>
      <w:r w:rsidRPr="00E46099">
        <w:rPr>
          <w:i/>
        </w:rPr>
        <w:t>supra</w:t>
      </w:r>
      <w:r w:rsidRPr="00E46099">
        <w:t>, 13 Cal.App.5th at p. 72</w:t>
      </w:r>
      <w:r w:rsidR="00273904">
        <w:t>3</w:t>
      </w:r>
      <w:r w:rsidRPr="00E46099">
        <w:t>.)  But those two decisions stand only for the proposition that section 425.16 could apply “to private communications concerning issues of public interest.”  (</w:t>
      </w:r>
      <w:r w:rsidRPr="00E46099">
        <w:rPr>
          <w:i/>
        </w:rPr>
        <w:t>Terry</w:t>
      </w:r>
      <w:r w:rsidRPr="00E46099">
        <w:t xml:space="preserve">, </w:t>
      </w:r>
      <w:r w:rsidRPr="00E46099">
        <w:rPr>
          <w:i/>
        </w:rPr>
        <w:t>supra</w:t>
      </w:r>
      <w:r w:rsidRPr="00E46099">
        <w:t xml:space="preserve">, 131 Cal.App.4th at p. 1546; see also </w:t>
      </w:r>
      <w:proofErr w:type="spellStart"/>
      <w:r w:rsidRPr="00E46099">
        <w:rPr>
          <w:i/>
        </w:rPr>
        <w:t>Hecimovich</w:t>
      </w:r>
      <w:proofErr w:type="spellEnd"/>
      <w:r w:rsidRPr="00E46099">
        <w:t xml:space="preserve">, </w:t>
      </w:r>
      <w:r w:rsidRPr="00E46099">
        <w:rPr>
          <w:i/>
        </w:rPr>
        <w:t>supra</w:t>
      </w:r>
      <w:r w:rsidRPr="00E46099">
        <w:t>, 203 Cal.App.4th at p. 465 [“</w:t>
      </w:r>
      <w:r w:rsidR="00273904">
        <w:t> ‘ “ ‘[</w:t>
      </w:r>
      <w:r w:rsidRPr="00E46099">
        <w:t>T</w:t>
      </w:r>
      <w:r w:rsidR="00273904">
        <w:t>]</w:t>
      </w:r>
      <w:r w:rsidRPr="00E46099">
        <w:t xml:space="preserve">he </w:t>
      </w:r>
      <w:proofErr w:type="gramStart"/>
      <w:r w:rsidRPr="00E46099">
        <w:t>focus</w:t>
      </w:r>
      <w:proofErr w:type="gramEnd"/>
      <w:r w:rsidRPr="00E46099">
        <w:t xml:space="preserve"> of the speaker’s conduct should be the public interest. . . .</w:t>
      </w:r>
      <w:r w:rsidR="00273904">
        <w:t>’ ”  [Citation.]</w:t>
      </w:r>
      <w:r w:rsidRPr="00E46099">
        <w:t xml:space="preserve">  Nevertheless, it may encompass activity between private people.</w:t>
      </w:r>
      <w:r w:rsidR="00273904">
        <w:t xml:space="preserve">’ </w:t>
      </w:r>
      <w:r w:rsidRPr="00E46099">
        <w:t>”].)</w:t>
      </w:r>
      <w:r w:rsidR="00402FBC">
        <w:t xml:space="preserve">  Long before </w:t>
      </w:r>
      <w:r w:rsidR="00402FBC">
        <w:rPr>
          <w:i/>
        </w:rPr>
        <w:t xml:space="preserve">Terry </w:t>
      </w:r>
      <w:r w:rsidR="00402FBC">
        <w:t xml:space="preserve">and </w:t>
      </w:r>
      <w:proofErr w:type="spellStart"/>
      <w:r w:rsidR="00402FBC">
        <w:rPr>
          <w:i/>
        </w:rPr>
        <w:t>Hecimovich</w:t>
      </w:r>
      <w:proofErr w:type="spellEnd"/>
      <w:r w:rsidR="00402FBC">
        <w:t>, we held that section 425.16 may protect private events and conversations.</w:t>
      </w:r>
      <w:r w:rsidR="00402FBC" w:rsidRPr="00E46099">
        <w:t xml:space="preserve"> </w:t>
      </w:r>
      <w:r w:rsidR="00402FBC">
        <w:t xml:space="preserve"> </w:t>
      </w:r>
      <w:r w:rsidR="00402FBC" w:rsidRPr="00E46099">
        <w:t>(</w:t>
      </w:r>
      <w:proofErr w:type="spellStart"/>
      <w:r w:rsidR="00402FBC" w:rsidRPr="00E46099">
        <w:rPr>
          <w:i/>
        </w:rPr>
        <w:t>Navellier</w:t>
      </w:r>
      <w:proofErr w:type="spellEnd"/>
      <w:r w:rsidR="00402FBC" w:rsidRPr="00E46099">
        <w:rPr>
          <w:i/>
        </w:rPr>
        <w:t xml:space="preserve"> v. Sletten</w:t>
      </w:r>
      <w:r w:rsidR="00402FBC" w:rsidRPr="00E46099">
        <w:t xml:space="preserve"> (2002) 29 Cal.4th 82, 91 [“When previously construing the statute, however, we have declined to hold ‘that section 425.16 does not apply to events that transpire between private individuals’ . . . .” quoting </w:t>
      </w:r>
      <w:r w:rsidR="00402FBC" w:rsidRPr="00E46099">
        <w:rPr>
          <w:i/>
        </w:rPr>
        <w:t>Briggs</w:t>
      </w:r>
      <w:r w:rsidR="00402FBC" w:rsidRPr="00E46099">
        <w:t xml:space="preserve">, </w:t>
      </w:r>
      <w:r w:rsidR="00402FBC" w:rsidRPr="00E46099">
        <w:rPr>
          <w:i/>
        </w:rPr>
        <w:t>supra</w:t>
      </w:r>
      <w:r w:rsidR="00402FBC" w:rsidRPr="00E46099">
        <w:t>, 19 Cal. 4t</w:t>
      </w:r>
      <w:r w:rsidR="00402FBC">
        <w:t>h at p. 1116</w:t>
      </w:r>
      <w:r w:rsidR="00402FBC" w:rsidRPr="00E46099">
        <w:t xml:space="preserve">].)  But we have never suggested quite a different proposition:  that it </w:t>
      </w:r>
      <w:r w:rsidR="004E70E3">
        <w:t>will never</w:t>
      </w:r>
      <w:r w:rsidR="00402FBC" w:rsidRPr="00E46099">
        <w:t xml:space="preserve"> matter whether</w:t>
      </w:r>
      <w:r w:rsidR="00402FBC">
        <w:t xml:space="preserve"> the conversations were private</w:t>
      </w:r>
      <w:r w:rsidR="00402FBC" w:rsidRPr="00E46099">
        <w:t xml:space="preserve"> or w</w:t>
      </w:r>
      <w:r w:rsidR="00402FBC">
        <w:t xml:space="preserve">idely broadcasted and received, and for what purpose. </w:t>
      </w:r>
    </w:p>
    <w:p w14:paraId="70183C36" w14:textId="77777777" w:rsidR="005F1F0A" w:rsidRDefault="00402FBC" w:rsidP="00E06F9E">
      <w:pPr>
        <w:ind w:firstLine="720"/>
      </w:pPr>
      <w:r>
        <w:t xml:space="preserve">Indeed, those contextual factors mattered in both </w:t>
      </w:r>
      <w:r>
        <w:rPr>
          <w:i/>
        </w:rPr>
        <w:t xml:space="preserve">Terry </w:t>
      </w:r>
      <w:r>
        <w:t xml:space="preserve">and </w:t>
      </w:r>
      <w:proofErr w:type="spellStart"/>
      <w:r>
        <w:rPr>
          <w:i/>
        </w:rPr>
        <w:t>Hecimovich</w:t>
      </w:r>
      <w:proofErr w:type="spellEnd"/>
      <w:proofErr w:type="gramStart"/>
      <w:r>
        <w:t>.</w:t>
      </w:r>
      <w:r>
        <w:rPr>
          <w:i/>
        </w:rPr>
        <w:t xml:space="preserve"> </w:t>
      </w:r>
      <w:proofErr w:type="gramEnd"/>
      <w:r>
        <w:t>I</w:t>
      </w:r>
      <w:r w:rsidR="00E06F9E">
        <w:t xml:space="preserve">n </w:t>
      </w:r>
      <w:r w:rsidR="00E06F9E">
        <w:rPr>
          <w:i/>
        </w:rPr>
        <w:t>Terry</w:t>
      </w:r>
      <w:r w:rsidR="00E06F9E">
        <w:t xml:space="preserve">, the court considered that the speakers were church leaders attempting to protect children in the church’s youth groups, as evidenced by the fact that “the </w:t>
      </w:r>
      <w:r w:rsidR="00E06F9E">
        <w:lastRenderedPageBreak/>
        <w:t>matter was referred to the Davis Police Department for investigation.”  (</w:t>
      </w:r>
      <w:r w:rsidR="00DD2717">
        <w:rPr>
          <w:i/>
        </w:rPr>
        <w:t>Terry</w:t>
      </w:r>
      <w:r w:rsidR="00DD2717">
        <w:t xml:space="preserve">, </w:t>
      </w:r>
      <w:r w:rsidR="00DD2717">
        <w:rPr>
          <w:i/>
        </w:rPr>
        <w:t>supra</w:t>
      </w:r>
      <w:r w:rsidR="00DD2717">
        <w:t>,</w:t>
      </w:r>
      <w:r w:rsidR="00DD2717">
        <w:rPr>
          <w:i/>
        </w:rPr>
        <w:t xml:space="preserve"> </w:t>
      </w:r>
      <w:r w:rsidR="00E06F9E">
        <w:t xml:space="preserve">131 Cal.App.4th at </w:t>
      </w:r>
      <w:r w:rsidR="00E06F9E" w:rsidRPr="00E46099">
        <w:t>p. 15</w:t>
      </w:r>
      <w:r w:rsidR="00DD2717">
        <w:t xml:space="preserve">47; </w:t>
      </w:r>
      <w:r w:rsidR="00DD2717">
        <w:rPr>
          <w:i/>
        </w:rPr>
        <w:t>id</w:t>
      </w:r>
      <w:proofErr w:type="gramStart"/>
      <w:r w:rsidR="00DD2717">
        <w:rPr>
          <w:i/>
        </w:rPr>
        <w:t>.</w:t>
      </w:r>
      <w:r w:rsidR="00DD2717">
        <w:t xml:space="preserve"> </w:t>
      </w:r>
      <w:proofErr w:type="gramEnd"/>
      <w:r w:rsidR="00DD2717">
        <w:t>at p. </w:t>
      </w:r>
      <w:r w:rsidR="00E06F9E" w:rsidRPr="00E46099">
        <w:t>1548</w:t>
      </w:r>
      <w:r w:rsidR="00E06F9E">
        <w:t xml:space="preserve">.)  In </w:t>
      </w:r>
      <w:proofErr w:type="spellStart"/>
      <w:r w:rsidR="00E06F9E">
        <w:rPr>
          <w:i/>
        </w:rPr>
        <w:t>Hecimovich</w:t>
      </w:r>
      <w:proofErr w:type="spellEnd"/>
      <w:r w:rsidR="00E06F9E">
        <w:t>, too, the court highlighted the relationship between the speech, the speaker, and the audience.  (</w:t>
      </w:r>
      <w:proofErr w:type="spellStart"/>
      <w:r w:rsidR="00DD2717">
        <w:rPr>
          <w:i/>
        </w:rPr>
        <w:t>Hecimovich</w:t>
      </w:r>
      <w:proofErr w:type="spellEnd"/>
      <w:r w:rsidR="00DD2717">
        <w:t xml:space="preserve">, </w:t>
      </w:r>
      <w:r w:rsidR="00DD2717">
        <w:rPr>
          <w:i/>
        </w:rPr>
        <w:t>supra</w:t>
      </w:r>
      <w:r w:rsidR="00DD2717">
        <w:t>,</w:t>
      </w:r>
      <w:r w:rsidR="00DD2717">
        <w:rPr>
          <w:i/>
        </w:rPr>
        <w:t xml:space="preserve"> </w:t>
      </w:r>
      <w:r w:rsidR="005F1F0A" w:rsidRPr="00E46099">
        <w:t>203 Cal.App.4th at pp. 465–466 [emphasizing that “communications in issue here concern the well-being of young children in an afterschool sports program, as discussed between and among members of the PTO, parents of the young team members, and league officials”].)</w:t>
      </w:r>
      <w:r w:rsidR="000B3409">
        <w:t xml:space="preserve">  The court below erred in using </w:t>
      </w:r>
      <w:r w:rsidR="007D5A8A">
        <w:t>these cases</w:t>
      </w:r>
      <w:r w:rsidR="000B3409">
        <w:t xml:space="preserve"> to </w:t>
      </w:r>
      <w:r w:rsidR="007D5A8A">
        <w:t xml:space="preserve">constrain its inquiry to the content of </w:t>
      </w:r>
      <w:proofErr w:type="spellStart"/>
      <w:r w:rsidR="007D5A8A">
        <w:t>DoubleVerify’s</w:t>
      </w:r>
      <w:proofErr w:type="spellEnd"/>
      <w:r w:rsidR="007D5A8A">
        <w:t xml:space="preserve"> speech, deracinated of context. </w:t>
      </w:r>
    </w:p>
    <w:p w14:paraId="6CCAC459" w14:textId="77777777" w:rsidR="00FA6E6B" w:rsidRDefault="005C1E67" w:rsidP="00FA6E6B">
      <w:pPr>
        <w:jc w:val="center"/>
      </w:pPr>
      <w:r>
        <w:t>B.</w:t>
      </w:r>
    </w:p>
    <w:p w14:paraId="39DB775A" w14:textId="77777777" w:rsidR="00900E07" w:rsidRDefault="00285D84" w:rsidP="00A60E39">
      <w:pPr>
        <w:ind w:firstLine="720"/>
      </w:pPr>
      <w:proofErr w:type="spellStart"/>
      <w:r>
        <w:t>DoubleVerify</w:t>
      </w:r>
      <w:proofErr w:type="spellEnd"/>
      <w:r>
        <w:t xml:space="preserve"> </w:t>
      </w:r>
      <w:r w:rsidR="00FA6E6B">
        <w:t xml:space="preserve">concedes that section 425.16 invites courts to consider the context in which statements were made.  But it argues </w:t>
      </w:r>
      <w:r w:rsidR="00900E07">
        <w:t xml:space="preserve">that </w:t>
      </w:r>
      <w:r w:rsidR="00CD0070">
        <w:t xml:space="preserve">one kind of contextual cue –– </w:t>
      </w:r>
      <w:r w:rsidR="00900E07">
        <w:t>commercial context</w:t>
      </w:r>
      <w:r w:rsidR="00D44025">
        <w:t> — </w:t>
      </w:r>
      <w:r w:rsidR="00900E07">
        <w:t>is irrelevant except as specified in a</w:t>
      </w:r>
      <w:r w:rsidR="00EA7034">
        <w:t xml:space="preserve"> </w:t>
      </w:r>
      <w:r w:rsidR="005C70A2">
        <w:t>neighboring provision, section</w:t>
      </w:r>
      <w:r w:rsidR="00900E07" w:rsidRPr="00E46099">
        <w:t xml:space="preserve"> 425.17, subdivision (c)</w:t>
      </w:r>
      <w:r w:rsidR="00900E07">
        <w:t>.</w:t>
      </w:r>
      <w:r w:rsidR="00EA43BE">
        <w:t xml:space="preserve">  We disagree.</w:t>
      </w:r>
    </w:p>
    <w:p w14:paraId="337E9CA0" w14:textId="77777777" w:rsidR="00900E07" w:rsidRPr="00E46099" w:rsidRDefault="00900E07" w:rsidP="00900E07">
      <w:pPr>
        <w:ind w:firstLine="720"/>
      </w:pPr>
      <w:r w:rsidRPr="00E46099">
        <w:t xml:space="preserve">Section 425.17, subdivision (c) categorically exempts certain expressive actions from the scope of section 425.16.  To fall within the scope of the exemption, the speaker must be “a person primarily engaged in the business of </w:t>
      </w:r>
      <w:r w:rsidRPr="00E231CF">
        <w:rPr>
          <w:szCs w:val="27"/>
        </w:rPr>
        <w:t>selling</w:t>
      </w:r>
      <w:r w:rsidRPr="00E46099">
        <w:t xml:space="preserve"> or leasing goods or services” making “representations of fact about that person’s or a business competitor’s business operations, goods, or services” to “an actual or potential buyer or customer, or a person likely to repeat the statement to, or otherwise influence, an actual or potential buyer or customer</w:t>
      </w:r>
      <w:r w:rsidRPr="00E231CF">
        <w:t xml:space="preserve">” with “the purpose of obtaining approval for, promoting, or securing sales or leases of, or commercial transactions in, the person’s goods or services, </w:t>
      </w:r>
      <w:r w:rsidRPr="000F79B7">
        <w:rPr>
          <w:szCs w:val="27"/>
        </w:rPr>
        <w:t>or</w:t>
      </w:r>
      <w:r w:rsidR="0096609B" w:rsidRPr="000F79B7">
        <w:rPr>
          <w:szCs w:val="27"/>
        </w:rPr>
        <w:t xml:space="preserve"> the statement or conduct was made </w:t>
      </w:r>
      <w:r w:rsidRPr="000F79B7">
        <w:rPr>
          <w:szCs w:val="27"/>
        </w:rPr>
        <w:t>in</w:t>
      </w:r>
      <w:r w:rsidRPr="00E231CF">
        <w:t xml:space="preserve"> the course of delivering </w:t>
      </w:r>
      <w:r w:rsidRPr="00E231CF">
        <w:lastRenderedPageBreak/>
        <w:t>the person’s goods or services.</w:t>
      </w:r>
      <w:r w:rsidRPr="00E46099">
        <w:t>”</w:t>
      </w:r>
      <w:r w:rsidRPr="00E46099">
        <w:rPr>
          <w:rStyle w:val="FootnoteReference"/>
        </w:rPr>
        <w:footnoteReference w:id="4"/>
      </w:r>
      <w:r w:rsidRPr="00E46099">
        <w:t xml:space="preserve">  (§ 425.17, </w:t>
      </w:r>
      <w:proofErr w:type="spellStart"/>
      <w:r w:rsidRPr="00E46099">
        <w:t>subd</w:t>
      </w:r>
      <w:proofErr w:type="spellEnd"/>
      <w:r w:rsidRPr="00E46099">
        <w:t xml:space="preserve">. (c).)  </w:t>
      </w:r>
      <w:proofErr w:type="gramStart"/>
      <w:r w:rsidRPr="00E46099">
        <w:t>So</w:t>
      </w:r>
      <w:proofErr w:type="gramEnd"/>
      <w:r w:rsidRPr="00E46099">
        <w:t xml:space="preserve"> whether </w:t>
      </w:r>
      <w:r w:rsidR="005C70A2">
        <w:t xml:space="preserve">section 425.17, subdivision (c) exempts </w:t>
      </w:r>
      <w:r w:rsidRPr="00E46099">
        <w:t xml:space="preserve">the speech depends not only on </w:t>
      </w:r>
      <w:r w:rsidR="008E6321">
        <w:t>the</w:t>
      </w:r>
      <w:r w:rsidRPr="00E46099">
        <w:t xml:space="preserve"> content</w:t>
      </w:r>
      <w:r w:rsidR="008E6321">
        <w:t xml:space="preserve"> of that speech</w:t>
      </w:r>
      <w:r w:rsidRPr="00E46099">
        <w:t xml:space="preserve"> but also the identity of the speaker, the intended audience, and the purpose of the statement.</w:t>
      </w:r>
    </w:p>
    <w:p w14:paraId="1B4B734E" w14:textId="77777777" w:rsidR="004E40BC" w:rsidRDefault="009C0331" w:rsidP="004E40BC">
      <w:pPr>
        <w:ind w:firstLine="720"/>
      </w:pPr>
      <w:r>
        <w:lastRenderedPageBreak/>
        <w:t>Notice how</w:t>
      </w:r>
      <w:r w:rsidR="00900E07" w:rsidRPr="00E46099">
        <w:t xml:space="preserve"> the </w:t>
      </w:r>
      <w:r w:rsidR="00B55D3F">
        <w:t>language</w:t>
      </w:r>
      <w:r w:rsidR="00900E07" w:rsidRPr="00E46099">
        <w:t xml:space="preserve"> of section 425.17, subdivision (c) and subsequent case</w:t>
      </w:r>
      <w:r w:rsidR="00F04676">
        <w:t xml:space="preserve"> </w:t>
      </w:r>
      <w:r w:rsidR="00900E07" w:rsidRPr="00E46099">
        <w:t>law indicate that</w:t>
      </w:r>
      <w:r w:rsidR="00346590">
        <w:t xml:space="preserve"> the provision exempts</w:t>
      </w:r>
      <w:r w:rsidR="00900E07" w:rsidRPr="00E46099">
        <w:t xml:space="preserve"> “only a subset of commercial speech”</w:t>
      </w:r>
      <w:r w:rsidR="00346590">
        <w:t xml:space="preserve"> — specifically, comparative advertising</w:t>
      </w:r>
      <w:r w:rsidR="00900E07" w:rsidRPr="00E46099">
        <w:t>.</w:t>
      </w:r>
      <w:r w:rsidR="00346590" w:rsidRPr="00E46099">
        <w:rPr>
          <w:rStyle w:val="FootnoteReference"/>
        </w:rPr>
        <w:footnoteReference w:id="5"/>
      </w:r>
      <w:r w:rsidR="00346590" w:rsidRPr="00E46099">
        <w:t xml:space="preserve"> </w:t>
      </w:r>
      <w:r w:rsidR="00900E07" w:rsidRPr="00E46099">
        <w:t xml:space="preserve"> (</w:t>
      </w:r>
      <w:r w:rsidR="00F04676">
        <w:rPr>
          <w:i/>
        </w:rPr>
        <w:t>All One</w:t>
      </w:r>
      <w:r w:rsidR="00900E07" w:rsidRPr="00E46099">
        <w:t xml:space="preserve">, </w:t>
      </w:r>
      <w:r w:rsidR="00900E07" w:rsidRPr="00E46099">
        <w:rPr>
          <w:i/>
        </w:rPr>
        <w:t>supra</w:t>
      </w:r>
      <w:r w:rsidR="00900E07" w:rsidRPr="00E46099">
        <w:t>, 183 Cal.App.4th at p. 1217</w:t>
      </w:r>
      <w:r w:rsidR="00346590">
        <w:t>; s</w:t>
      </w:r>
      <w:r w:rsidR="00346590" w:rsidRPr="00E46099">
        <w:t xml:space="preserve">ee </w:t>
      </w:r>
      <w:r w:rsidR="00346590" w:rsidRPr="00E46099">
        <w:rPr>
          <w:i/>
        </w:rPr>
        <w:t>Simpson</w:t>
      </w:r>
      <w:r w:rsidR="00346590" w:rsidRPr="00E46099">
        <w:t xml:space="preserve">, </w:t>
      </w:r>
      <w:r w:rsidR="00346590" w:rsidRPr="00E46099">
        <w:rPr>
          <w:i/>
        </w:rPr>
        <w:t>supra</w:t>
      </w:r>
      <w:r w:rsidR="00346590" w:rsidRPr="00E46099">
        <w:t xml:space="preserve">, 49 Cal.4th at pp. 32–33 [quoting </w:t>
      </w:r>
      <w:r w:rsidR="00346590" w:rsidRPr="00E46099">
        <w:rPr>
          <w:i/>
        </w:rPr>
        <w:t>Mendoza</w:t>
      </w:r>
      <w:r w:rsidR="00346590" w:rsidRPr="00E46099">
        <w:t xml:space="preserve">, </w:t>
      </w:r>
      <w:r w:rsidR="00346590" w:rsidRPr="00E46099">
        <w:rPr>
          <w:i/>
        </w:rPr>
        <w:t>supra</w:t>
      </w:r>
      <w:r w:rsidR="00346590" w:rsidRPr="00E46099">
        <w:t xml:space="preserve">, </w:t>
      </w:r>
      <w:r w:rsidR="00F04676">
        <w:t>1</w:t>
      </w:r>
      <w:r w:rsidR="00346590" w:rsidRPr="00E46099">
        <w:t>82 Cal.App.4th at p. 1652, for the notion that “ ‘the Legislature appears to have enacted section 425.17, subdivision (c), for the purpose of exempting from the reach of the anti-SLAPP statute cases involving comparative advertising by businesses’ ”</w:t>
      </w:r>
      <w:r w:rsidR="00346590">
        <w:t xml:space="preserve">].)  So certain commercially oriented statements will fall outside the scope of section 425.17, subdivision (c). </w:t>
      </w:r>
      <w:r w:rsidR="00900E07" w:rsidRPr="00E46099">
        <w:t xml:space="preserve"> (</w:t>
      </w:r>
      <w:r w:rsidR="00F04676">
        <w:rPr>
          <w:i/>
        </w:rPr>
        <w:t>All One</w:t>
      </w:r>
      <w:r w:rsidR="00900E07" w:rsidRPr="00E46099">
        <w:t xml:space="preserve">, </w:t>
      </w:r>
      <w:r w:rsidR="00900E07" w:rsidRPr="00E46099">
        <w:rPr>
          <w:i/>
        </w:rPr>
        <w:t>supra</w:t>
      </w:r>
      <w:r w:rsidR="00900E07" w:rsidRPr="00E46099">
        <w:t>, 183 Cal.App.4th at p. 1217 [“the better understanding of section 425.17, subdivision (c), is that all of the speech exempted from the anti-SLAPP statute is commercial speech, but not all commercial speech is exempted thereunder”].)</w:t>
      </w:r>
      <w:r w:rsidR="00290BD5">
        <w:t xml:space="preserve">  </w:t>
      </w:r>
      <w:r w:rsidR="004E40BC">
        <w:t xml:space="preserve">Like all other statements that do not </w:t>
      </w:r>
      <w:r w:rsidR="00E85396">
        <w:t>fall within the scope of an</w:t>
      </w:r>
      <w:r w:rsidR="004E40BC">
        <w:t xml:space="preserve"> </w:t>
      </w:r>
      <w:r w:rsidR="00E85396">
        <w:t>exemption</w:t>
      </w:r>
      <w:r w:rsidR="004E40BC">
        <w:t>, s</w:t>
      </w:r>
      <w:r w:rsidR="00290BD5">
        <w:t>uch statements are eligible for anti-SLAPP protection under section 425.16</w:t>
      </w:r>
      <w:r w:rsidR="00EA43BE">
        <w:t>.</w:t>
      </w:r>
      <w:r w:rsidR="00DA3279" w:rsidRPr="00E46099">
        <w:rPr>
          <w:rStyle w:val="FootnoteReference"/>
        </w:rPr>
        <w:footnoteReference w:id="6"/>
      </w:r>
      <w:r w:rsidR="00EA43BE">
        <w:t xml:space="preserve">  </w:t>
      </w:r>
    </w:p>
    <w:p w14:paraId="38932E42" w14:textId="77777777" w:rsidR="00900E07" w:rsidRPr="00EA43BE" w:rsidRDefault="00E85396" w:rsidP="00291EAC">
      <w:pPr>
        <w:ind w:firstLine="720"/>
      </w:pPr>
      <w:proofErr w:type="spellStart"/>
      <w:r>
        <w:lastRenderedPageBreak/>
        <w:t>DoubleVerify</w:t>
      </w:r>
      <w:proofErr w:type="spellEnd"/>
      <w:r>
        <w:t xml:space="preserve"> argues that consider</w:t>
      </w:r>
      <w:r w:rsidR="000F0550">
        <w:t>ing</w:t>
      </w:r>
      <w:r>
        <w:t xml:space="preserve"> commercial context under the </w:t>
      </w:r>
      <w:r w:rsidR="001D5C38">
        <w:t>catchall</w:t>
      </w:r>
      <w:r>
        <w:t xml:space="preserve"> provision would “render[] [s]</w:t>
      </w:r>
      <w:proofErr w:type="spellStart"/>
      <w:r>
        <w:t>ection</w:t>
      </w:r>
      <w:proofErr w:type="spellEnd"/>
      <w:r>
        <w:t xml:space="preserve"> 425.17(c) redundant and mere surplusage</w:t>
      </w:r>
      <w:r w:rsidR="00B41F95">
        <w:t>,</w:t>
      </w:r>
      <w:r>
        <w:t xml:space="preserve">” </w:t>
      </w:r>
      <w:r w:rsidR="00B41F95">
        <w:t xml:space="preserve">because it would </w:t>
      </w:r>
      <w:r w:rsidR="000F0550">
        <w:t xml:space="preserve">involve </w:t>
      </w:r>
      <w:r>
        <w:t xml:space="preserve">importing the analysis for the exemption into the analysis for the </w:t>
      </w:r>
      <w:r w:rsidR="001D5C38">
        <w:t>catchall</w:t>
      </w:r>
      <w:r>
        <w:t xml:space="preserve"> provision.  </w:t>
      </w:r>
      <w:r w:rsidR="00DA3279">
        <w:t xml:space="preserve">But the Legislature’s </w:t>
      </w:r>
      <w:r w:rsidR="00450BAF">
        <w:t>decision to explicitly require consideration</w:t>
      </w:r>
      <w:r w:rsidR="00EA7034">
        <w:t xml:space="preserve"> of</w:t>
      </w:r>
      <w:r w:rsidR="00DA3279">
        <w:t xml:space="preserve"> certain contextual factors</w:t>
      </w:r>
      <w:r w:rsidR="00457C61">
        <w:t> </w:t>
      </w:r>
      <w:r w:rsidR="00DA3279">
        <w:t>—</w:t>
      </w:r>
      <w:r w:rsidR="00457C61">
        <w:t> </w:t>
      </w:r>
      <w:r w:rsidR="00DA3279">
        <w:t>like speaker, audience, and purpose — in defining the comparative advertising exception should not lead us to</w:t>
      </w:r>
      <w:r w:rsidR="00CF2223">
        <w:t xml:space="preserve"> decide these contextual factors are categorically</w:t>
      </w:r>
      <w:r w:rsidR="00DA3279">
        <w:t xml:space="preserve"> </w:t>
      </w:r>
      <w:r w:rsidR="00CF2223">
        <w:t>excluded</w:t>
      </w:r>
      <w:r w:rsidR="00DA3279">
        <w:t xml:space="preserve"> </w:t>
      </w:r>
      <w:r w:rsidR="00627E75">
        <w:t>from consideration under</w:t>
      </w:r>
      <w:r w:rsidR="00A60E39">
        <w:t xml:space="preserve"> section 425.16</w:t>
      </w:r>
      <w:r w:rsidR="00DA3279">
        <w:t>.</w:t>
      </w:r>
      <w:r>
        <w:t xml:space="preserve">  </w:t>
      </w:r>
      <w:r w:rsidR="00B27AAC">
        <w:t>When the</w:t>
      </w:r>
      <w:r w:rsidR="007060BB">
        <w:t xml:space="preserve"> statutory </w:t>
      </w:r>
      <w:r w:rsidR="00627E75">
        <w:t>language and structure</w:t>
      </w:r>
      <w:r w:rsidR="00F84673">
        <w:t xml:space="preserve"> otherwise</w:t>
      </w:r>
      <w:r w:rsidR="00627E75">
        <w:t xml:space="preserve"> cut </w:t>
      </w:r>
      <w:r w:rsidR="00B27AAC">
        <w:t xml:space="preserve">so sharply </w:t>
      </w:r>
      <w:r w:rsidR="00627E75">
        <w:t>in favor of considering context</w:t>
      </w:r>
      <w:r w:rsidR="00462903">
        <w:t xml:space="preserve"> in applying the anti-SLAPP statute</w:t>
      </w:r>
      <w:r w:rsidR="00B27AAC">
        <w:t xml:space="preserve">, </w:t>
      </w:r>
      <w:r w:rsidR="00F84673">
        <w:t xml:space="preserve">we should not lightly assume that </w:t>
      </w:r>
      <w:r w:rsidR="00E26EDE">
        <w:t xml:space="preserve">context may be considered </w:t>
      </w:r>
      <w:r w:rsidR="00EA7034">
        <w:t xml:space="preserve">only </w:t>
      </w:r>
      <w:r w:rsidR="00E26EDE">
        <w:t xml:space="preserve">under one </w:t>
      </w:r>
      <w:r w:rsidR="00291EAC">
        <w:t>subdivision</w:t>
      </w:r>
      <w:r w:rsidR="00E26EDE">
        <w:t xml:space="preserve"> </w:t>
      </w:r>
      <w:r w:rsidR="00F84673">
        <w:t>mere</w:t>
      </w:r>
      <w:r w:rsidR="00E26EDE">
        <w:t xml:space="preserve">ly because that </w:t>
      </w:r>
      <w:r w:rsidR="00291EAC">
        <w:t>subdivision</w:t>
      </w:r>
      <w:r w:rsidR="00F84673">
        <w:t xml:space="preserve"> explicit</w:t>
      </w:r>
      <w:r w:rsidR="00E26EDE">
        <w:t>ly mention</w:t>
      </w:r>
      <w:r w:rsidR="00EF6A48">
        <w:t>s</w:t>
      </w:r>
      <w:r w:rsidR="00E26EDE">
        <w:t xml:space="preserve"> certain </w:t>
      </w:r>
      <w:r w:rsidR="00EF6A48">
        <w:t xml:space="preserve">contextual </w:t>
      </w:r>
      <w:r w:rsidR="00E26EDE">
        <w:t>factors</w:t>
      </w:r>
      <w:r w:rsidR="00EF6A48">
        <w:t>.</w:t>
      </w:r>
    </w:p>
    <w:p w14:paraId="0162794A" w14:textId="77777777" w:rsidR="007D175E" w:rsidRDefault="007D175E" w:rsidP="004E40BC">
      <w:pPr>
        <w:ind w:firstLine="720"/>
      </w:pPr>
      <w:r>
        <w:t>Nor does it seem the Legislature contemplated that outcome when it added section 425.17, subdivision (c)</w:t>
      </w:r>
      <w:r w:rsidR="004E40BC">
        <w:t xml:space="preserve">.  Instead, </w:t>
      </w:r>
      <w:r w:rsidR="00AA5716">
        <w:t>the relevant legislative history included language</w:t>
      </w:r>
      <w:r w:rsidR="004E40BC">
        <w:t xml:space="preserve"> </w:t>
      </w:r>
      <w:r w:rsidR="00AA5716">
        <w:t>observing how</w:t>
      </w:r>
      <w:r w:rsidR="004E40BC">
        <w:t xml:space="preserve"> the exception allowed certain lobbying activities and marketing to “be viewed in the context of its offering, </w:t>
      </w:r>
      <w:r w:rsidR="004E40BC">
        <w:rPr>
          <w:i/>
        </w:rPr>
        <w:t xml:space="preserve">just as </w:t>
      </w:r>
      <w:r w:rsidR="00291EAC">
        <w:rPr>
          <w:i/>
        </w:rPr>
        <w:t xml:space="preserve">a </w:t>
      </w:r>
      <w:r w:rsidR="004E40BC">
        <w:rPr>
          <w:i/>
        </w:rPr>
        <w:t>speech by a person against the building of a waste facility in the neighborhood</w:t>
      </w:r>
      <w:r w:rsidR="004E40BC">
        <w:t>.”  (Sen. Judiciary</w:t>
      </w:r>
      <w:r w:rsidR="00291EAC">
        <w:t xml:space="preserve"> Com.</w:t>
      </w:r>
      <w:r w:rsidR="004E40BC">
        <w:t xml:space="preserve">, Analysis of Sen. Bill </w:t>
      </w:r>
      <w:r w:rsidR="00291EAC">
        <w:t xml:space="preserve">No. </w:t>
      </w:r>
      <w:r w:rsidR="004E40BC">
        <w:t>515 (2003–2004 Reg. Sess.) as amended May 1, 2003, p</w:t>
      </w:r>
      <w:r w:rsidR="00291EAC">
        <w:t>p</w:t>
      </w:r>
      <w:r w:rsidR="004E40BC">
        <w:t xml:space="preserve">. </w:t>
      </w:r>
      <w:r w:rsidR="00291EAC">
        <w:t>9–10</w:t>
      </w:r>
      <w:r w:rsidR="004E40BC">
        <w:t xml:space="preserve">, italics added.)  </w:t>
      </w:r>
      <w:r w:rsidR="006F3C5A">
        <w:t>It noted that w</w:t>
      </w:r>
      <w:r w:rsidR="004E40BC">
        <w:t>hile the latter “can clearly be seen to have been made in the context of exercising the person’s constitutional right of speech,” the “content and context of the former activities are clearly more in furtherance of business considerations.”  (</w:t>
      </w:r>
      <w:r w:rsidR="004E40BC">
        <w:rPr>
          <w:i/>
        </w:rPr>
        <w:t>Id.</w:t>
      </w:r>
      <w:r w:rsidR="00291EAC">
        <w:t xml:space="preserve"> at p. 10.</w:t>
      </w:r>
      <w:r w:rsidR="004E40BC">
        <w:t>)</w:t>
      </w:r>
    </w:p>
    <w:p w14:paraId="39D3C128" w14:textId="77777777" w:rsidR="00DA3279" w:rsidRDefault="00276B9A" w:rsidP="00B065E1">
      <w:pPr>
        <w:ind w:firstLine="720"/>
      </w:pPr>
      <w:r>
        <w:t xml:space="preserve">We do not, as </w:t>
      </w:r>
      <w:proofErr w:type="spellStart"/>
      <w:r>
        <w:t>FilmOn</w:t>
      </w:r>
      <w:proofErr w:type="spellEnd"/>
      <w:r>
        <w:t xml:space="preserve"> urges, </w:t>
      </w:r>
      <w:r w:rsidR="00874A3D">
        <w:t>sort</w:t>
      </w:r>
      <w:r w:rsidR="007E24B3">
        <w:t xml:space="preserve"> statements </w:t>
      </w:r>
      <w:r w:rsidR="00874A3D">
        <w:t>categorically into</w:t>
      </w:r>
      <w:r w:rsidR="007E24B3">
        <w:t xml:space="preserve"> commercial or noncommercial</w:t>
      </w:r>
      <w:r w:rsidR="00874A3D">
        <w:t xml:space="preserve"> baskets</w:t>
      </w:r>
      <w:r w:rsidR="007E24B3">
        <w:t xml:space="preserve"> in analyzing whether they </w:t>
      </w:r>
      <w:r w:rsidR="00874A3D">
        <w:t>are covered by</w:t>
      </w:r>
      <w:r w:rsidR="007E24B3">
        <w:t xml:space="preserve"> the </w:t>
      </w:r>
      <w:r w:rsidR="001D5C38">
        <w:t>catchall</w:t>
      </w:r>
      <w:r w:rsidR="007E24B3">
        <w:t xml:space="preserve"> provision.  </w:t>
      </w:r>
      <w:r w:rsidR="007A72F4">
        <w:t xml:space="preserve">We </w:t>
      </w:r>
      <w:r w:rsidR="007E24B3">
        <w:t xml:space="preserve">merely </w:t>
      </w:r>
      <w:r w:rsidR="007A72F4">
        <w:t>conclude</w:t>
      </w:r>
      <w:r w:rsidR="00DA3279">
        <w:t xml:space="preserve"> </w:t>
      </w:r>
      <w:r w:rsidR="00DA3279">
        <w:lastRenderedPageBreak/>
        <w:t xml:space="preserve">that the very contextual cues </w:t>
      </w:r>
      <w:r w:rsidR="00581ED4">
        <w:t>revealing</w:t>
      </w:r>
      <w:r w:rsidR="00DA3279">
        <w:t xml:space="preserve"> a statement to be “commercial” in nature</w:t>
      </w:r>
      <w:r w:rsidR="007E24B3">
        <w:t xml:space="preserve"> — whether it was private or public, to whom it was said</w:t>
      </w:r>
      <w:r w:rsidR="00317339">
        <w:t>,</w:t>
      </w:r>
      <w:r w:rsidR="007E24B3">
        <w:t xml:space="preserve"> and for what purpose — can </w:t>
      </w:r>
      <w:r w:rsidR="00DA3279">
        <w:t>bear on whether it was made in furtherance of free speech in connection with a public iss</w:t>
      </w:r>
      <w:r w:rsidR="007E24B3">
        <w:t xml:space="preserve">ue.  (§ 425.16, </w:t>
      </w:r>
      <w:proofErr w:type="spellStart"/>
      <w:r w:rsidR="007E24B3">
        <w:t>subd</w:t>
      </w:r>
      <w:proofErr w:type="spellEnd"/>
      <w:proofErr w:type="gramStart"/>
      <w:r w:rsidR="007E24B3">
        <w:t xml:space="preserve">. </w:t>
      </w:r>
      <w:proofErr w:type="gramEnd"/>
      <w:r w:rsidR="007E24B3">
        <w:t xml:space="preserve">(e)(4).)  In other words, context matters under the </w:t>
      </w:r>
      <w:r w:rsidR="001D5C38">
        <w:t>catchall</w:t>
      </w:r>
      <w:r w:rsidR="007E24B3">
        <w:t xml:space="preserve"> provision, and commercial context is no exception.</w:t>
      </w:r>
    </w:p>
    <w:p w14:paraId="0BA5FAFF" w14:textId="77777777" w:rsidR="00357B77" w:rsidRDefault="00E93699" w:rsidP="00E46099">
      <w:pPr>
        <w:pStyle w:val="Heading1"/>
      </w:pPr>
      <w:r w:rsidRPr="00E46099">
        <w:t>III.</w:t>
      </w:r>
    </w:p>
    <w:p w14:paraId="799AB0F2" w14:textId="77777777" w:rsidR="00945552" w:rsidRPr="00945552" w:rsidRDefault="00945552" w:rsidP="00945552">
      <w:pPr>
        <w:jc w:val="center"/>
      </w:pPr>
      <w:r>
        <w:t>A.</w:t>
      </w:r>
    </w:p>
    <w:p w14:paraId="3E83297A" w14:textId="77777777" w:rsidR="004D4B29" w:rsidRDefault="00B55D3F" w:rsidP="004D4B29">
      <w:pPr>
        <w:ind w:firstLine="720"/>
      </w:pPr>
      <w:proofErr w:type="gramStart"/>
      <w:r>
        <w:t>So</w:t>
      </w:r>
      <w:proofErr w:type="gramEnd"/>
      <w:r>
        <w:t xml:space="preserve"> </w:t>
      </w:r>
      <w:r w:rsidR="00CE30BC" w:rsidRPr="00E46099">
        <w:t xml:space="preserve">within the </w:t>
      </w:r>
      <w:r w:rsidR="0068532F" w:rsidRPr="00E46099">
        <w:t>framework</w:t>
      </w:r>
      <w:r w:rsidR="0057075F" w:rsidRPr="00E46099">
        <w:t xml:space="preserve"> </w:t>
      </w:r>
      <w:r w:rsidR="00CE30BC" w:rsidRPr="00E46099">
        <w:t>of section 425.16, subdivision (e)(4), a co</w:t>
      </w:r>
      <w:r w:rsidR="001C7697" w:rsidRPr="00E46099">
        <w:t xml:space="preserve">urt </w:t>
      </w:r>
      <w:r>
        <w:t>must</w:t>
      </w:r>
      <w:r w:rsidR="001C7697" w:rsidRPr="00E46099">
        <w:t xml:space="preserve"> consider the context </w:t>
      </w:r>
      <w:r w:rsidR="00CE30BC" w:rsidRPr="00E46099">
        <w:t xml:space="preserve">as well the content of a statement in determining whether that statement furthers the exercise of constitutional speech rights </w:t>
      </w:r>
      <w:r w:rsidR="007A72F4">
        <w:t>in connection with</w:t>
      </w:r>
      <w:r w:rsidR="00CE30BC" w:rsidRPr="00E46099">
        <w:t xml:space="preserve"> a matter of public interest.  </w:t>
      </w:r>
      <w:r w:rsidR="00EF6A48">
        <w:t>Having established this principle, we</w:t>
      </w:r>
      <w:r>
        <w:t xml:space="preserve"> now</w:t>
      </w:r>
      <w:r w:rsidR="008D7124">
        <w:t xml:space="preserve"> </w:t>
      </w:r>
      <w:r w:rsidR="00EF6A48">
        <w:t>turn to analyzing</w:t>
      </w:r>
      <w:r w:rsidR="00EA7034">
        <w:t xml:space="preserve"> </w:t>
      </w:r>
      <w:r w:rsidR="00314B3F">
        <w:rPr>
          <w:i/>
        </w:rPr>
        <w:t xml:space="preserve">how </w:t>
      </w:r>
      <w:r w:rsidR="00314B3F">
        <w:t xml:space="preserve">context should feature in a court’s analysis under the </w:t>
      </w:r>
      <w:r w:rsidR="001D5C38">
        <w:t>catchall</w:t>
      </w:r>
      <w:r w:rsidR="00314B3F">
        <w:t xml:space="preserve"> provision</w:t>
      </w:r>
      <w:r w:rsidR="007A7D05">
        <w:t>, and to applying that framework to the facts of this case</w:t>
      </w:r>
      <w:r w:rsidR="00314B3F">
        <w:t xml:space="preserve">. </w:t>
      </w:r>
    </w:p>
    <w:p w14:paraId="48DB0702" w14:textId="77777777" w:rsidR="004D4B29" w:rsidRDefault="00B86938" w:rsidP="004D4B29">
      <w:pPr>
        <w:ind w:firstLine="720"/>
      </w:pPr>
      <w:r>
        <w:t xml:space="preserve">Our courts have ably distilled the characteristics of “a public issue or an issue of public interest.”  (§ 425.16, </w:t>
      </w:r>
      <w:proofErr w:type="spellStart"/>
      <w:r>
        <w:t>subd</w:t>
      </w:r>
      <w:proofErr w:type="spellEnd"/>
      <w:proofErr w:type="gramStart"/>
      <w:r>
        <w:t xml:space="preserve">. </w:t>
      </w:r>
      <w:proofErr w:type="gramEnd"/>
      <w:r>
        <w:t xml:space="preserve">(e)(4); see </w:t>
      </w:r>
      <w:r>
        <w:rPr>
          <w:i/>
        </w:rPr>
        <w:t>Rivero v. American Federation of State, County, and Municipal Employees, AFL</w:t>
      </w:r>
      <w:r w:rsidR="00D24667">
        <w:rPr>
          <w:i/>
        </w:rPr>
        <w:t>-</w:t>
      </w:r>
      <w:r>
        <w:rPr>
          <w:i/>
        </w:rPr>
        <w:t>CIO</w:t>
      </w:r>
      <w:r>
        <w:t xml:space="preserve"> (2003) 105 Cal.App.4</w:t>
      </w:r>
      <w:r w:rsidRPr="002032BD">
        <w:t>th</w:t>
      </w:r>
      <w:r>
        <w:t xml:space="preserve"> 913, 919–924</w:t>
      </w:r>
      <w:r w:rsidR="00D24667">
        <w:t xml:space="preserve"> (</w:t>
      </w:r>
      <w:r w:rsidR="00D24667">
        <w:rPr>
          <w:i/>
        </w:rPr>
        <w:t>Rivero</w:t>
      </w:r>
      <w:r w:rsidR="00D24667">
        <w:t>)</w:t>
      </w:r>
      <w:r>
        <w:t xml:space="preserve"> [describing three non-exclusive categories of public interest]; </w:t>
      </w:r>
      <w:r>
        <w:rPr>
          <w:i/>
        </w:rPr>
        <w:t xml:space="preserve">Weinberg v. </w:t>
      </w:r>
      <w:proofErr w:type="spellStart"/>
      <w:r>
        <w:rPr>
          <w:i/>
        </w:rPr>
        <w:t>Feisel</w:t>
      </w:r>
      <w:proofErr w:type="spellEnd"/>
      <w:r>
        <w:t xml:space="preserve"> (2003) 110 Cal.App.4th 1122, 1132–1133 </w:t>
      </w:r>
      <w:r w:rsidR="00D24667">
        <w:t>(</w:t>
      </w:r>
      <w:r w:rsidR="00D24667">
        <w:rPr>
          <w:i/>
        </w:rPr>
        <w:t>Weinberg</w:t>
      </w:r>
      <w:r w:rsidR="00D24667">
        <w:t>)</w:t>
      </w:r>
      <w:r w:rsidR="00D24667">
        <w:rPr>
          <w:i/>
        </w:rPr>
        <w:t xml:space="preserve"> </w:t>
      </w:r>
      <w:r>
        <w:t xml:space="preserve">[describing additional attributes of </w:t>
      </w:r>
      <w:r w:rsidR="00133867">
        <w:t>protected conduct</w:t>
      </w:r>
      <w:r>
        <w:t>].)</w:t>
      </w:r>
      <w:r w:rsidR="002B2F0D">
        <w:t xml:space="preserve">  </w:t>
      </w:r>
      <w:r>
        <w:t>But they have</w:t>
      </w:r>
      <w:r w:rsidR="00646135">
        <w:t xml:space="preserve"> </w:t>
      </w:r>
      <w:r w:rsidR="004D4B29">
        <w:t>struggled</w:t>
      </w:r>
      <w:r w:rsidR="00457C61">
        <w:t> </w:t>
      </w:r>
      <w:r w:rsidR="004D4B29">
        <w:t>—</w:t>
      </w:r>
      <w:r w:rsidR="00457C61">
        <w:t> </w:t>
      </w:r>
      <w:r w:rsidR="004D4B29">
        <w:t>understandably</w:t>
      </w:r>
      <w:r w:rsidR="00457C61">
        <w:t> </w:t>
      </w:r>
      <w:r w:rsidR="004D4B29">
        <w:t>— to</w:t>
      </w:r>
      <w:r w:rsidR="00B37A8A">
        <w:t xml:space="preserve"> articulate the requisite nexus between the challenged statements and the asserted issue of public interest — to give meaning, in other words, to the “in connection with” requirement.</w:t>
      </w:r>
      <w:r>
        <w:t xml:space="preserve"> </w:t>
      </w:r>
      <w:r w:rsidR="00646135">
        <w:t xml:space="preserve"> </w:t>
      </w:r>
      <w:r w:rsidR="00DD41F1">
        <w:t xml:space="preserve">(§ 425.16, </w:t>
      </w:r>
      <w:proofErr w:type="spellStart"/>
      <w:r w:rsidR="00DD41F1">
        <w:t>subd</w:t>
      </w:r>
      <w:proofErr w:type="spellEnd"/>
      <w:proofErr w:type="gramStart"/>
      <w:r w:rsidR="00DD41F1">
        <w:t xml:space="preserve">. </w:t>
      </w:r>
      <w:proofErr w:type="gramEnd"/>
      <w:r w:rsidR="00DD41F1">
        <w:t xml:space="preserve">(e)(4).)  </w:t>
      </w:r>
    </w:p>
    <w:p w14:paraId="15A8C1D4" w14:textId="77777777" w:rsidR="00192EB0" w:rsidRDefault="00A577AE" w:rsidP="00DD41F1">
      <w:pPr>
        <w:ind w:firstLine="720"/>
      </w:pPr>
      <w:r>
        <w:lastRenderedPageBreak/>
        <w:t xml:space="preserve">Most often, </w:t>
      </w:r>
      <w:r w:rsidR="00326C96">
        <w:t xml:space="preserve">courts </w:t>
      </w:r>
      <w:r w:rsidR="007A7D05">
        <w:t>strive</w:t>
      </w:r>
      <w:r w:rsidR="00326C96">
        <w:t xml:space="preserve"> to discern </w:t>
      </w:r>
      <w:r>
        <w:t>what the challenged speech is really “about</w:t>
      </w:r>
      <w:r w:rsidR="00646135">
        <w:t>” — a narrow</w:t>
      </w:r>
      <w:r w:rsidR="001D495A">
        <w:t xml:space="preserve">, largely </w:t>
      </w:r>
      <w:r w:rsidR="00EA7034">
        <w:t>private d</w:t>
      </w:r>
      <w:r w:rsidR="00646135">
        <w:t>ispute,</w:t>
      </w:r>
      <w:r w:rsidR="001D495A">
        <w:t xml:space="preserve"> for example,</w:t>
      </w:r>
      <w:r w:rsidR="00646135">
        <w:t xml:space="preserve"> or the asserted issue of public interest.  (</w:t>
      </w:r>
      <w:r w:rsidR="006B2E07">
        <w:t xml:space="preserve">See </w:t>
      </w:r>
      <w:proofErr w:type="spellStart"/>
      <w:r w:rsidR="00646135">
        <w:rPr>
          <w:i/>
        </w:rPr>
        <w:t>Bikkina</w:t>
      </w:r>
      <w:proofErr w:type="spellEnd"/>
      <w:r w:rsidR="00646135">
        <w:rPr>
          <w:i/>
        </w:rPr>
        <w:t xml:space="preserve"> v. Mahadevan</w:t>
      </w:r>
      <w:r w:rsidR="00646135">
        <w:t xml:space="preserve"> (2015) 241 Cal.App.4th 70, 85 [defendant’s speech was “about falsified data and plagiarism in two scientific papers, not about global warming”]; </w:t>
      </w:r>
      <w:r w:rsidR="00646135">
        <w:rPr>
          <w:i/>
        </w:rPr>
        <w:t>World Financial Group, Inc. v. HBW Ins. &amp; Financial Services, Inc.</w:t>
      </w:r>
      <w:r w:rsidR="00646135">
        <w:t xml:space="preserve"> (2009) 172 Cal.App.4th 1561, 1572 [defendants’ attempts to solicit competitor’s agents and customers were not “about” the public issues of “workforce mobility and free competition” or “the pursuit of lawful employment”]; </w:t>
      </w:r>
      <w:r w:rsidR="00646135">
        <w:rPr>
          <w:i/>
        </w:rPr>
        <w:t>Mann v. Quality Old Time Service, Inc.</w:t>
      </w:r>
      <w:r w:rsidR="00646135">
        <w:t xml:space="preserve"> (2004) 120 Cal.App.4th 90, 111 [defendants’ statements “were not about pollution or potential public health and safety issues in general, but about [the plaintiffs’] specific business practices”].)</w:t>
      </w:r>
      <w:r w:rsidR="009F2BFC">
        <w:t xml:space="preserve">  This </w:t>
      </w:r>
      <w:r w:rsidR="009D0758">
        <w:t>focus on</w:t>
      </w:r>
      <w:r w:rsidR="009369B7">
        <w:t xml:space="preserve"> discerning a </w:t>
      </w:r>
      <w:r w:rsidR="009D0758">
        <w:t xml:space="preserve">single topic of speech </w:t>
      </w:r>
      <w:r w:rsidR="009F2BFC">
        <w:t>is less than satisfying; if the social media era has taught us anything, it is that speech</w:t>
      </w:r>
      <w:r w:rsidR="000F359F">
        <w:t xml:space="preserve"> </w:t>
      </w:r>
      <w:r w:rsidR="009F2BFC">
        <w:t>is rarely “about” a</w:t>
      </w:r>
      <w:r w:rsidR="001D495A">
        <w:t>ny</w:t>
      </w:r>
      <w:r w:rsidR="009F2BFC">
        <w:t xml:space="preserve"> </w:t>
      </w:r>
      <w:r w:rsidR="00EC7E5D">
        <w:t>single</w:t>
      </w:r>
      <w:r w:rsidR="009F2BFC">
        <w:t xml:space="preserve"> issue.</w:t>
      </w:r>
      <w:r w:rsidR="005E03D9">
        <w:t xml:space="preserve">  </w:t>
      </w:r>
    </w:p>
    <w:p w14:paraId="06209D4A" w14:textId="77777777" w:rsidR="002C48ED" w:rsidRDefault="00026DBB">
      <w:pPr>
        <w:ind w:firstLine="720"/>
      </w:pPr>
      <w:r>
        <w:t>T</w:t>
      </w:r>
      <w:r w:rsidR="004D4B29">
        <w:t xml:space="preserve">he inquiry under the </w:t>
      </w:r>
      <w:r w:rsidR="001D5C38">
        <w:t>catchall</w:t>
      </w:r>
      <w:r w:rsidR="004D4B29">
        <w:t xml:space="preserve"> provision </w:t>
      </w:r>
      <w:r>
        <w:t>instead calls for a two-part analysis rooted in the statute’s purpose and internal logic</w:t>
      </w:r>
      <w:r w:rsidR="004D4B29">
        <w:t xml:space="preserve">.  First, we ask what “public issue or [] issue of public interest” the speech in question implicates — a question we answer by looking to the content of </w:t>
      </w:r>
      <w:r w:rsidR="005A4BFC">
        <w:t xml:space="preserve">the </w:t>
      </w:r>
      <w:r w:rsidR="004D4B29">
        <w:t>speech.</w:t>
      </w:r>
      <w:r w:rsidR="00D24667">
        <w:t xml:space="preserve">  (§ 42</w:t>
      </w:r>
      <w:r w:rsidR="00A100B7">
        <w:t>5</w:t>
      </w:r>
      <w:r w:rsidR="00D24667">
        <w:t xml:space="preserve">.16, </w:t>
      </w:r>
      <w:proofErr w:type="spellStart"/>
      <w:r w:rsidR="00D24667">
        <w:t>subd</w:t>
      </w:r>
      <w:proofErr w:type="spellEnd"/>
      <w:proofErr w:type="gramStart"/>
      <w:r w:rsidR="00D24667">
        <w:t xml:space="preserve">. </w:t>
      </w:r>
      <w:proofErr w:type="gramEnd"/>
      <w:r w:rsidR="00D24667">
        <w:t>(e)(4).)</w:t>
      </w:r>
      <w:r w:rsidR="004D4B29">
        <w:t xml:space="preserve">  Second, we ask what functional relationship exists between the speech and </w:t>
      </w:r>
      <w:r w:rsidR="00532096">
        <w:t>the public conversation</w:t>
      </w:r>
      <w:r w:rsidR="00935934">
        <w:t xml:space="preserve"> about </w:t>
      </w:r>
      <w:proofErr w:type="gramStart"/>
      <w:r w:rsidR="00693ED3">
        <w:t>some</w:t>
      </w:r>
      <w:proofErr w:type="gramEnd"/>
      <w:r w:rsidR="00693ED3">
        <w:t xml:space="preserve"> matter of public interest</w:t>
      </w:r>
      <w:r w:rsidR="00275A22">
        <w:t>.  It is at the latter st</w:t>
      </w:r>
      <w:r w:rsidR="00B65DAD">
        <w:t xml:space="preserve">age that context proves useful.  </w:t>
      </w:r>
    </w:p>
    <w:p w14:paraId="2C3EC6FF" w14:textId="77777777" w:rsidR="007555AB" w:rsidRDefault="00B65DAD" w:rsidP="002C48ED">
      <w:pPr>
        <w:ind w:firstLine="720"/>
      </w:pPr>
      <w:r>
        <w:t>The travails</w:t>
      </w:r>
      <w:r w:rsidR="00830EBC">
        <w:t xml:space="preserve"> of the lower courts demonstrate </w:t>
      </w:r>
      <w:r w:rsidR="007555AB">
        <w:t xml:space="preserve">that </w:t>
      </w:r>
      <w:r w:rsidR="003F00D4">
        <w:t xml:space="preserve">virtually always, </w:t>
      </w:r>
      <w:r w:rsidR="007555AB">
        <w:t xml:space="preserve">defendants </w:t>
      </w:r>
      <w:r w:rsidR="003F00D4">
        <w:t>succeed</w:t>
      </w:r>
      <w:r w:rsidR="007555AB">
        <w:t xml:space="preserve"> </w:t>
      </w:r>
      <w:r w:rsidR="003F00D4">
        <w:t>in</w:t>
      </w:r>
      <w:r w:rsidR="007555AB">
        <w:t xml:space="preserve"> draw</w:t>
      </w:r>
      <w:r w:rsidR="003F00D4">
        <w:t>ing</w:t>
      </w:r>
      <w:r w:rsidR="007555AB">
        <w:t xml:space="preserve"> a line</w:t>
      </w:r>
      <w:r w:rsidR="00D40394">
        <w:t xml:space="preserve"> –– </w:t>
      </w:r>
      <w:r w:rsidR="007555AB">
        <w:t>however tenuous</w:t>
      </w:r>
      <w:r w:rsidR="00D40394">
        <w:t xml:space="preserve"> –– </w:t>
      </w:r>
      <w:r w:rsidR="007555AB">
        <w:t xml:space="preserve">connecting their speech to an abstract issue of public interest.  (See </w:t>
      </w:r>
      <w:r w:rsidR="007555AB">
        <w:rPr>
          <w:i/>
        </w:rPr>
        <w:t>Consumer Justice Center</w:t>
      </w:r>
      <w:r w:rsidR="007F79C1">
        <w:rPr>
          <w:i/>
        </w:rPr>
        <w:t xml:space="preserve"> v. </w:t>
      </w:r>
      <w:proofErr w:type="spellStart"/>
      <w:r w:rsidR="007F79C1">
        <w:rPr>
          <w:i/>
        </w:rPr>
        <w:t>Trimedica</w:t>
      </w:r>
      <w:proofErr w:type="spellEnd"/>
      <w:r w:rsidR="007F79C1">
        <w:rPr>
          <w:i/>
        </w:rPr>
        <w:t xml:space="preserve"> International, Inc.</w:t>
      </w:r>
      <w:r w:rsidR="000658A4">
        <w:t xml:space="preserve"> (2003)</w:t>
      </w:r>
      <w:r w:rsidR="007555AB">
        <w:t xml:space="preserve"> 107 Cal.App.4th </w:t>
      </w:r>
      <w:r w:rsidR="007F79C1">
        <w:t>595,</w:t>
      </w:r>
      <w:r w:rsidR="007555AB">
        <w:t xml:space="preserve"> 601 [defendants’ </w:t>
      </w:r>
      <w:r w:rsidR="007555AB">
        <w:lastRenderedPageBreak/>
        <w:t xml:space="preserve">advertisements of a breast enlargement product were not “about the general topic of herbal supplements” but were instead “commercial speech about the specific properties and efficacy of a particular product”]; </w:t>
      </w:r>
      <w:r w:rsidR="007555AB">
        <w:rPr>
          <w:i/>
        </w:rPr>
        <w:t>Rivero</w:t>
      </w:r>
      <w:r w:rsidR="007555AB">
        <w:t xml:space="preserve">, </w:t>
      </w:r>
      <w:r w:rsidR="007555AB">
        <w:rPr>
          <w:i/>
        </w:rPr>
        <w:t>supra</w:t>
      </w:r>
      <w:r w:rsidR="007555AB">
        <w:t>, 105 Cal.App.4th at p</w:t>
      </w:r>
      <w:r w:rsidR="007F79C1">
        <w:t>p</w:t>
      </w:r>
      <w:r w:rsidR="007555AB">
        <w:t xml:space="preserve">. 919, 924 [rejecting union’s argument that, in publishing statements heralding suspension of a custodial supervisor, it was commenting on the abusive supervision of employees throughout a publicly financed educational institution].) </w:t>
      </w:r>
    </w:p>
    <w:p w14:paraId="7F64F76E" w14:textId="77777777" w:rsidR="007555AB" w:rsidRDefault="007555AB" w:rsidP="007555AB">
      <w:pPr>
        <w:ind w:firstLine="720"/>
      </w:pPr>
      <w:proofErr w:type="spellStart"/>
      <w:r>
        <w:t>DoubleVerify</w:t>
      </w:r>
      <w:proofErr w:type="spellEnd"/>
      <w:r>
        <w:t xml:space="preserve"> is no exception.  As it does now, </w:t>
      </w:r>
      <w:proofErr w:type="spellStart"/>
      <w:r>
        <w:t>DoubleVerify</w:t>
      </w:r>
      <w:proofErr w:type="spellEnd"/>
      <w:r>
        <w:t xml:space="preserve"> argued </w:t>
      </w:r>
      <w:r w:rsidR="00D40394">
        <w:t>before the appellate court</w:t>
      </w:r>
      <w:r>
        <w:t xml:space="preserve"> that its reports “concerned” or “addressed” topics of widespread public interest:  the presence of adult content on the internet, generally, and the presence of copyright-infringing content on </w:t>
      </w:r>
      <w:proofErr w:type="spellStart"/>
      <w:r>
        <w:t>FilmOn’s</w:t>
      </w:r>
      <w:proofErr w:type="spellEnd"/>
      <w:r>
        <w:t xml:space="preserve"> websites, specifically.  To support its argument that </w:t>
      </w:r>
      <w:proofErr w:type="spellStart"/>
      <w:r>
        <w:t>FilmOn’s</w:t>
      </w:r>
      <w:proofErr w:type="spellEnd"/>
      <w:r>
        <w:t xml:space="preserve"> alleged copyright infringement is a matter of public interest, </w:t>
      </w:r>
      <w:proofErr w:type="spellStart"/>
      <w:r>
        <w:t>DoubleVerify</w:t>
      </w:r>
      <w:proofErr w:type="spellEnd"/>
      <w:r>
        <w:t xml:space="preserve"> offered evidence that </w:t>
      </w:r>
      <w:proofErr w:type="spellStart"/>
      <w:r>
        <w:t>FilmOn</w:t>
      </w:r>
      <w:proofErr w:type="spellEnd"/>
      <w:r>
        <w:t xml:space="preserve"> has been subject to media reports and litigation over its streaming model.</w:t>
      </w:r>
      <w:r w:rsidRPr="00E46099">
        <w:rPr>
          <w:rStyle w:val="FootnoteReference"/>
        </w:rPr>
        <w:footnoteReference w:id="7"/>
      </w:r>
      <w:r>
        <w:t xml:space="preserve">  The Court of Appeal agreed, finding that </w:t>
      </w:r>
      <w:proofErr w:type="spellStart"/>
      <w:r>
        <w:t>DoubleVerify’s</w:t>
      </w:r>
      <w:proofErr w:type="spellEnd"/>
      <w:r>
        <w:t xml:space="preserve"> reports were made “in connection with” matters of public interest because the company’s tags “</w:t>
      </w:r>
      <w:proofErr w:type="spellStart"/>
      <w:r>
        <w:t>identif</w:t>
      </w:r>
      <w:proofErr w:type="spellEnd"/>
      <w:r>
        <w:t>[</w:t>
      </w:r>
      <w:proofErr w:type="spellStart"/>
      <w:r>
        <w:t>ied</w:t>
      </w:r>
      <w:proofErr w:type="spellEnd"/>
      <w:r>
        <w:t xml:space="preserve">]” content that fell within categories of broad public interest. </w:t>
      </w:r>
      <w:r w:rsidR="00186356">
        <w:t xml:space="preserve"> </w:t>
      </w:r>
      <w:r>
        <w:t>(</w:t>
      </w:r>
      <w:proofErr w:type="spellStart"/>
      <w:r>
        <w:rPr>
          <w:i/>
        </w:rPr>
        <w:t>FilmOn</w:t>
      </w:r>
      <w:proofErr w:type="spellEnd"/>
      <w:r>
        <w:t xml:space="preserve">, </w:t>
      </w:r>
      <w:r>
        <w:rPr>
          <w:i/>
        </w:rPr>
        <w:t>supra</w:t>
      </w:r>
      <w:r>
        <w:t xml:space="preserve">, 13 Cal.App.5th at p. 720.) </w:t>
      </w:r>
    </w:p>
    <w:p w14:paraId="5F752C26" w14:textId="77777777" w:rsidR="0079075C" w:rsidRDefault="007555AB" w:rsidP="00D744F2">
      <w:pPr>
        <w:ind w:firstLine="720"/>
      </w:pPr>
      <w:r>
        <w:t xml:space="preserve">But </w:t>
      </w:r>
      <w:r w:rsidR="00D744F2">
        <w:t xml:space="preserve">the </w:t>
      </w:r>
      <w:r w:rsidR="001D5C38">
        <w:t>catchall</w:t>
      </w:r>
      <w:r w:rsidR="00D744F2">
        <w:t xml:space="preserve"> provision demands “some degree of closeness” between the challenged statements and the asserted public interest.  (</w:t>
      </w:r>
      <w:r w:rsidR="00D744F2">
        <w:rPr>
          <w:i/>
        </w:rPr>
        <w:t>Weinberg</w:t>
      </w:r>
      <w:r w:rsidR="00D744F2">
        <w:t xml:space="preserve">, </w:t>
      </w:r>
      <w:r w:rsidR="00D744F2">
        <w:rPr>
          <w:i/>
        </w:rPr>
        <w:t>supra</w:t>
      </w:r>
      <w:r w:rsidR="00D744F2">
        <w:t>, 110 Cal.App.4th</w:t>
      </w:r>
      <w:r w:rsidR="00D744F2">
        <w:rPr>
          <w:i/>
        </w:rPr>
        <w:t xml:space="preserve"> </w:t>
      </w:r>
      <w:r w:rsidR="00D744F2">
        <w:t xml:space="preserve">at p. 1132.)  </w:t>
      </w:r>
      <w:r w:rsidR="00D744F2">
        <w:lastRenderedPageBreak/>
        <w:t xml:space="preserve">So </w:t>
      </w:r>
      <w:r w:rsidR="0079075C">
        <w:t xml:space="preserve">even if adult content on the </w:t>
      </w:r>
      <w:r w:rsidR="007F79C1">
        <w:t>I</w:t>
      </w:r>
      <w:r w:rsidR="0079075C">
        <w:t xml:space="preserve">nternet and </w:t>
      </w:r>
      <w:proofErr w:type="spellStart"/>
      <w:r w:rsidR="0079075C">
        <w:t>FilmOn’s</w:t>
      </w:r>
      <w:proofErr w:type="spellEnd"/>
      <w:r w:rsidR="0079075C">
        <w:t xml:space="preserve"> </w:t>
      </w:r>
      <w:proofErr w:type="gramStart"/>
      <w:r w:rsidR="0079075C">
        <w:t>particular streaming</w:t>
      </w:r>
      <w:proofErr w:type="gramEnd"/>
      <w:r w:rsidR="0079075C">
        <w:t xml:space="preserve"> model are in fact issues of public interest, we agree with the court in </w:t>
      </w:r>
      <w:r w:rsidR="0079075C">
        <w:rPr>
          <w:i/>
        </w:rPr>
        <w:t xml:space="preserve">Wilbanks </w:t>
      </w:r>
      <w:r w:rsidR="0079075C">
        <w:t>that “it is not enough that the statement refer to a subject of widespread public interest; the statement must in some manner itself contribute to the public debate.”  (</w:t>
      </w:r>
      <w:r w:rsidR="007F79C1">
        <w:rPr>
          <w:i/>
        </w:rPr>
        <w:t>Wilbanks</w:t>
      </w:r>
      <w:r w:rsidR="007F79C1">
        <w:t xml:space="preserve">, </w:t>
      </w:r>
      <w:r w:rsidR="007F79C1">
        <w:rPr>
          <w:i/>
        </w:rPr>
        <w:t>supra</w:t>
      </w:r>
      <w:r w:rsidR="007F79C1">
        <w:t>,</w:t>
      </w:r>
      <w:r w:rsidR="007F79C1">
        <w:rPr>
          <w:i/>
        </w:rPr>
        <w:t xml:space="preserve"> </w:t>
      </w:r>
      <w:r w:rsidR="0079075C">
        <w:t xml:space="preserve">121 Cal.App.4th at p. 898; see also </w:t>
      </w:r>
      <w:r w:rsidR="0079075C">
        <w:rPr>
          <w:i/>
        </w:rPr>
        <w:t>Dyer v. Childress</w:t>
      </w:r>
      <w:r w:rsidR="0079075C">
        <w:t xml:space="preserve"> (2007) 147 Cal.App.4th 1273, 1280 [</w:t>
      </w:r>
      <w:r w:rsidR="008805F8">
        <w:t>“[t]he fact that ‘a broad and amorphous public interest’</w:t>
      </w:r>
      <w:r w:rsidR="008805F8" w:rsidRPr="00B37159">
        <w:t xml:space="preserve"> </w:t>
      </w:r>
      <w:r w:rsidR="008805F8">
        <w:t>can be connected to a spe</w:t>
      </w:r>
      <w:r w:rsidR="0079075C">
        <w:t>cific dispute” is not enough].)</w:t>
      </w:r>
      <w:r w:rsidR="008805F8">
        <w:t xml:space="preserve"> </w:t>
      </w:r>
    </w:p>
    <w:p w14:paraId="2D2B8AF1" w14:textId="77777777" w:rsidR="009A1705" w:rsidRDefault="00F726F4" w:rsidP="00D744F2">
      <w:pPr>
        <w:ind w:firstLine="720"/>
      </w:pPr>
      <w:r>
        <w:t xml:space="preserve">What </w:t>
      </w:r>
      <w:r w:rsidR="00B05F85">
        <w:t>it means to “contribute to the public debate” (</w:t>
      </w:r>
      <w:r w:rsidR="00B05F85">
        <w:rPr>
          <w:i/>
        </w:rPr>
        <w:t>Wilbanks</w:t>
      </w:r>
      <w:r w:rsidR="00B05F85">
        <w:t xml:space="preserve">, </w:t>
      </w:r>
      <w:r w:rsidR="00B05F85">
        <w:rPr>
          <w:i/>
        </w:rPr>
        <w:t>supra</w:t>
      </w:r>
      <w:r w:rsidR="00B05F85">
        <w:t>, 121 Cal.App.4th at p. 898) will perhaps differ based on the state of public discourse</w:t>
      </w:r>
      <w:r w:rsidR="008F6548">
        <w:t xml:space="preserve"> </w:t>
      </w:r>
      <w:r w:rsidR="00924CBA">
        <w:t xml:space="preserve">at a given time, </w:t>
      </w:r>
      <w:r w:rsidR="008F6548">
        <w:t xml:space="preserve">and the topic </w:t>
      </w:r>
      <w:r w:rsidR="00924CBA">
        <w:t>of</w:t>
      </w:r>
      <w:r w:rsidR="008F6548">
        <w:t xml:space="preserve"> </w:t>
      </w:r>
      <w:r w:rsidR="00924CBA">
        <w:t>contention</w:t>
      </w:r>
      <w:r w:rsidR="008F6548">
        <w:t>.  But ultimately,</w:t>
      </w:r>
      <w:r w:rsidR="009E1428">
        <w:t xml:space="preserve"> our</w:t>
      </w:r>
      <w:r w:rsidR="003C4EA3">
        <w:t xml:space="preserve"> </w:t>
      </w:r>
      <w:r w:rsidR="008F6548">
        <w:t xml:space="preserve">inquiry </w:t>
      </w:r>
      <w:r w:rsidR="00924CBA">
        <w:t>does not</w:t>
      </w:r>
      <w:r w:rsidR="008F6548">
        <w:t xml:space="preserve"> </w:t>
      </w:r>
      <w:r w:rsidR="00924CBA">
        <w:t>turn on a normative evaluation</w:t>
      </w:r>
      <w:r w:rsidR="003C4EA3">
        <w:t xml:space="preserve"> o</w:t>
      </w:r>
      <w:r w:rsidR="00DA294F">
        <w:t xml:space="preserve">f the </w:t>
      </w:r>
      <w:r w:rsidR="00173EBE">
        <w:t xml:space="preserve">substance of the </w:t>
      </w:r>
      <w:r w:rsidR="00DA294F">
        <w:t>speech</w:t>
      </w:r>
      <w:r w:rsidR="008F6548">
        <w:t xml:space="preserve">.  We are not concerned with the </w:t>
      </w:r>
      <w:r w:rsidR="00DA294F">
        <w:t xml:space="preserve">social </w:t>
      </w:r>
      <w:r w:rsidR="00173EBE">
        <w:t>utility</w:t>
      </w:r>
      <w:r w:rsidR="008F6548">
        <w:t xml:space="preserve"> of </w:t>
      </w:r>
      <w:r w:rsidR="003618CF">
        <w:t xml:space="preserve">the </w:t>
      </w:r>
      <w:r w:rsidR="008F6548">
        <w:t>speech</w:t>
      </w:r>
      <w:r w:rsidR="003618CF">
        <w:t xml:space="preserve"> at issue</w:t>
      </w:r>
      <w:r w:rsidR="00173EBE">
        <w:t>,</w:t>
      </w:r>
      <w:r w:rsidR="008F6548">
        <w:t xml:space="preserve"> or the degree to which it propelled the conversation in any </w:t>
      </w:r>
      <w:proofErr w:type="gramStart"/>
      <w:r w:rsidR="00173EBE">
        <w:t xml:space="preserve">particular </w:t>
      </w:r>
      <w:r w:rsidR="008F6548">
        <w:t>direction</w:t>
      </w:r>
      <w:proofErr w:type="gramEnd"/>
      <w:r w:rsidR="008F6548">
        <w:t>; rather, we examine whether a defendant</w:t>
      </w:r>
      <w:r w:rsidR="00346415">
        <w:t> </w:t>
      </w:r>
      <w:r w:rsidR="008F6548">
        <w:t>—</w:t>
      </w:r>
      <w:r w:rsidR="00346415">
        <w:t> </w:t>
      </w:r>
      <w:r w:rsidR="008F6548">
        <w:t>through public or private speech or conduct</w:t>
      </w:r>
      <w:r w:rsidR="00346415">
        <w:t> </w:t>
      </w:r>
      <w:r w:rsidR="008F6548">
        <w:t>—</w:t>
      </w:r>
      <w:r w:rsidR="00346415">
        <w:t> </w:t>
      </w:r>
      <w:r w:rsidR="008F6548">
        <w:t>participated in</w:t>
      </w:r>
      <w:r w:rsidR="00BA6E0E">
        <w:t>, or furthered,</w:t>
      </w:r>
      <w:r w:rsidR="008F6548">
        <w:t xml:space="preserve"> the discourse that makes an issue one of public interest.</w:t>
      </w:r>
      <w:r w:rsidR="001365C2">
        <w:t xml:space="preserve">  (See </w:t>
      </w:r>
      <w:r w:rsidR="001365C2">
        <w:rPr>
          <w:i/>
        </w:rPr>
        <w:t>All One</w:t>
      </w:r>
      <w:r w:rsidR="001365C2">
        <w:t xml:space="preserve">, </w:t>
      </w:r>
      <w:r w:rsidR="001365C2">
        <w:rPr>
          <w:i/>
        </w:rPr>
        <w:t>supra</w:t>
      </w:r>
      <w:r w:rsidR="001365C2">
        <w:t xml:space="preserve">, 183 Cal.App.4th at pp. 1203–1204 [finding the “OASIS Organic seal” did not “contribute to a broader debate on the meaning of the term ‘organic’ ”]; </w:t>
      </w:r>
      <w:r w:rsidR="001365C2">
        <w:rPr>
          <w:i/>
        </w:rPr>
        <w:t>Cross v. Cooper</w:t>
      </w:r>
      <w:r w:rsidR="001365C2">
        <w:t xml:space="preserve"> (2011) 197 Cal.App.4th 357, 375 [</w:t>
      </w:r>
      <w:r w:rsidR="008248B5">
        <w:t xml:space="preserve">finding </w:t>
      </w:r>
      <w:r w:rsidR="001365C2">
        <w:t>the defendant</w:t>
      </w:r>
      <w:r w:rsidR="008248B5">
        <w:t>’s conduct “directly related” to an issue of public interest because it</w:t>
      </w:r>
      <w:r w:rsidR="001365C2">
        <w:t xml:space="preserve"> “served </w:t>
      </w:r>
      <w:proofErr w:type="spellStart"/>
      <w:r w:rsidR="001365C2">
        <w:t>th</w:t>
      </w:r>
      <w:proofErr w:type="spellEnd"/>
      <w:r w:rsidR="001365C2">
        <w:t>[e] interests” of preventing child abuse and protecting children</w:t>
      </w:r>
      <w:r w:rsidR="008248B5">
        <w:t>]</w:t>
      </w:r>
      <w:r w:rsidR="001365C2">
        <w:t>.)</w:t>
      </w:r>
      <w:r w:rsidR="008F6548">
        <w:t xml:space="preserve"> </w:t>
      </w:r>
    </w:p>
    <w:p w14:paraId="7A7E10EB" w14:textId="77777777" w:rsidR="00D744F2" w:rsidRDefault="00D744F2" w:rsidP="00D744F2">
      <w:pPr>
        <w:ind w:firstLine="720"/>
      </w:pPr>
      <w:r>
        <w:t xml:space="preserve">Contrary to </w:t>
      </w:r>
      <w:proofErr w:type="spellStart"/>
      <w:r>
        <w:t>DoubleVerify’s</w:t>
      </w:r>
      <w:proofErr w:type="spellEnd"/>
      <w:r>
        <w:t xml:space="preserve"> arguments, the </w:t>
      </w:r>
      <w:r>
        <w:rPr>
          <w:i/>
        </w:rPr>
        <w:t>Wilbanks</w:t>
      </w:r>
      <w:r>
        <w:t xml:space="preserve"> rule adds no additional requirement beyond those already in the </w:t>
      </w:r>
      <w:r w:rsidR="001D5C38">
        <w:t>catchall</w:t>
      </w:r>
      <w:r>
        <w:t xml:space="preserve"> provision.  It is instead a </w:t>
      </w:r>
      <w:r w:rsidR="00BC40DF">
        <w:t>reasonable</w:t>
      </w:r>
      <w:r>
        <w:t xml:space="preserve"> interpretation of the provision’s existing requirement that statements be made “in connection with” an issue of public interest — an </w:t>
      </w:r>
      <w:r>
        <w:lastRenderedPageBreak/>
        <w:t>interpretation informed by the</w:t>
      </w:r>
      <w:r w:rsidR="00BC40DF">
        <w:t xml:space="preserve"> statutory purpose</w:t>
      </w:r>
      <w:r>
        <w:t xml:space="preserve"> </w:t>
      </w:r>
      <w:r w:rsidR="00BC40DF">
        <w:t xml:space="preserve">explicitly articulated in the </w:t>
      </w:r>
      <w:r>
        <w:t>preamble to the anti-SLAPP statute.  Section 425.16, subdivision (a) “declares that it is in the public interest to encourage continued participation in matters of public significance.”  Though we have cautioned that statutory preambles do not impose substantive requirements (</w:t>
      </w:r>
      <w:r>
        <w:rPr>
          <w:i/>
        </w:rPr>
        <w:t>Briggs</w:t>
      </w:r>
      <w:r>
        <w:t xml:space="preserve">, </w:t>
      </w:r>
      <w:r>
        <w:rPr>
          <w:i/>
        </w:rPr>
        <w:t>supra</w:t>
      </w:r>
      <w:r>
        <w:t>, 19 Cal.4th at p. 1118),</w:t>
      </w:r>
      <w:r>
        <w:rPr>
          <w:i/>
        </w:rPr>
        <w:t xml:space="preserve"> </w:t>
      </w:r>
      <w:r w:rsidR="00FB7872">
        <w:t xml:space="preserve">our task </w:t>
      </w:r>
      <w:r w:rsidR="00CB682A">
        <w:t xml:space="preserve">when interpreting legislation is to </w:t>
      </w:r>
      <w:r w:rsidR="0064109A">
        <w:t>effect</w:t>
      </w:r>
      <w:r w:rsidR="00991C5E">
        <w:t>uate the</w:t>
      </w:r>
      <w:r w:rsidR="00CB682A">
        <w:t xml:space="preserve"> statutory purpose –– and </w:t>
      </w:r>
      <w:r>
        <w:t>“statements of purpose in a statute’s preamble can be illuminating</w:t>
      </w:r>
      <w:r w:rsidR="00FB7872">
        <w:t>,”</w:t>
      </w:r>
      <w:r>
        <w:t xml:space="preserve"> </w:t>
      </w:r>
      <w:r w:rsidR="00FB7872">
        <w:t>particularly if</w:t>
      </w:r>
      <w:r>
        <w:t xml:space="preserve"> a statute is ambiguous (</w:t>
      </w:r>
      <w:r>
        <w:rPr>
          <w:i/>
        </w:rPr>
        <w:t>Yeager v. Blue Cross of California</w:t>
      </w:r>
      <w:r>
        <w:t xml:space="preserve"> (2009) 175 Cal.App.4th 1098, 1103).  </w:t>
      </w:r>
    </w:p>
    <w:p w14:paraId="515C119D" w14:textId="77777777" w:rsidR="00D54065" w:rsidRDefault="00D744F2" w:rsidP="009A1705">
      <w:pPr>
        <w:ind w:firstLine="720"/>
      </w:pPr>
      <w:r>
        <w:t xml:space="preserve">We adopted the same approach in </w:t>
      </w:r>
      <w:r>
        <w:rPr>
          <w:i/>
        </w:rPr>
        <w:t>Briggs</w:t>
      </w:r>
      <w:r>
        <w:t>, where we construed subdivision (e)(1) and (e)(2) of the anti-SLAPP statute.  (</w:t>
      </w:r>
      <w:r w:rsidR="007F79C1">
        <w:rPr>
          <w:i/>
        </w:rPr>
        <w:t>Briggs</w:t>
      </w:r>
      <w:r w:rsidR="007F79C1">
        <w:t xml:space="preserve">, </w:t>
      </w:r>
      <w:r w:rsidR="007F79C1">
        <w:rPr>
          <w:i/>
        </w:rPr>
        <w:t>supra</w:t>
      </w:r>
      <w:r w:rsidR="007F79C1">
        <w:t>,</w:t>
      </w:r>
      <w:r w:rsidR="007F79C1">
        <w:rPr>
          <w:i/>
        </w:rPr>
        <w:t xml:space="preserve"> </w:t>
      </w:r>
      <w:r>
        <w:t>19 Cal.4th at p. 1118.)</w:t>
      </w:r>
      <w:r>
        <w:rPr>
          <w:i/>
        </w:rPr>
        <w:t xml:space="preserve">  </w:t>
      </w:r>
      <w:r>
        <w:t xml:space="preserve">We explained in </w:t>
      </w:r>
      <w:r>
        <w:rPr>
          <w:i/>
        </w:rPr>
        <w:t>Briggs</w:t>
      </w:r>
      <w:r>
        <w:t xml:space="preserve"> that although the statutory preamble did not impose “an across-the-board ‘issue of public interest’ pleading requirement,” we understood the Legislature to </w:t>
      </w:r>
      <w:r w:rsidRPr="00F37153">
        <w:rPr>
          <w:i/>
        </w:rPr>
        <w:t>equate</w:t>
      </w:r>
      <w:r>
        <w:t xml:space="preserve"> statements made in certain official proceedings with matters of “public significance.”  (</w:t>
      </w:r>
      <w:r>
        <w:rPr>
          <w:i/>
        </w:rPr>
        <w:t>Ibid.</w:t>
      </w:r>
      <w:r>
        <w:t xml:space="preserve"> [“Any matter pending before an official proceeding possesses some measure of ‘public significance’ owing solely to the public nature of the proceeding . . . .”].)  Likewise, here, the preamble’s reference to “continued participation” in matters of public significance</w:t>
      </w:r>
      <w:r w:rsidR="007F79C1">
        <w:t xml:space="preserve"> (§ 425.16, </w:t>
      </w:r>
      <w:proofErr w:type="spellStart"/>
      <w:r w:rsidR="007F79C1">
        <w:t>subd</w:t>
      </w:r>
      <w:proofErr w:type="spellEnd"/>
      <w:proofErr w:type="gramStart"/>
      <w:r w:rsidR="007F79C1">
        <w:t xml:space="preserve">. </w:t>
      </w:r>
      <w:proofErr w:type="gramEnd"/>
      <w:r w:rsidR="007F79C1">
        <w:t>(a))</w:t>
      </w:r>
      <w:r>
        <w:t xml:space="preserve"> adds no substantive requirement to a defendant’s burden to show conduct “in furtherance of” free speech “in connection with a public issue or </w:t>
      </w:r>
      <w:r w:rsidR="007F79C1">
        <w:t xml:space="preserve">an </w:t>
      </w:r>
      <w:r>
        <w:t xml:space="preserve">issue of public interest” (§ 425.16, </w:t>
      </w:r>
      <w:proofErr w:type="spellStart"/>
      <w:r>
        <w:t>s</w:t>
      </w:r>
      <w:r w:rsidR="007F79C1">
        <w:t>ubd</w:t>
      </w:r>
      <w:proofErr w:type="spellEnd"/>
      <w:proofErr w:type="gramStart"/>
      <w:r w:rsidR="007F79C1">
        <w:t xml:space="preserve">. </w:t>
      </w:r>
      <w:proofErr w:type="gramEnd"/>
      <w:r>
        <w:t>(e)(4))</w:t>
      </w:r>
      <w:r w:rsidR="007F79C1">
        <w:t>.</w:t>
      </w:r>
      <w:r>
        <w:t xml:space="preserve">  The two are </w:t>
      </w:r>
      <w:r w:rsidR="005221C5">
        <w:t xml:space="preserve">instead </w:t>
      </w:r>
      <w:r>
        <w:t>coextensive:  a statement is made “in connection with” a public issue when it</w:t>
      </w:r>
      <w:r w:rsidR="001365C2">
        <w:t xml:space="preserve"> </w:t>
      </w:r>
      <w:r w:rsidR="0023525F">
        <w:t xml:space="preserve">contributes to — that is, </w:t>
      </w:r>
      <w:r>
        <w:t>“</w:t>
      </w:r>
      <w:proofErr w:type="spellStart"/>
      <w:r>
        <w:t>participat</w:t>
      </w:r>
      <w:proofErr w:type="spellEnd"/>
      <w:r w:rsidR="001365C2">
        <w:t>[es]</w:t>
      </w:r>
      <w:r>
        <w:t xml:space="preserve">” in </w:t>
      </w:r>
      <w:r w:rsidR="00A95385">
        <w:t>or furthers</w:t>
      </w:r>
      <w:r w:rsidR="0023525F">
        <w:t xml:space="preserve"> — </w:t>
      </w:r>
      <w:proofErr w:type="gramStart"/>
      <w:r>
        <w:t>some</w:t>
      </w:r>
      <w:proofErr w:type="gramEnd"/>
      <w:r>
        <w:t xml:space="preserve"> public conversation</w:t>
      </w:r>
      <w:r w:rsidR="00A95385">
        <w:t xml:space="preserve"> on the issue</w:t>
      </w:r>
      <w:r>
        <w:t>.</w:t>
      </w:r>
      <w:r w:rsidR="009A1705">
        <w:t xml:space="preserve">  But the inquiry of whether a statement </w:t>
      </w:r>
      <w:r w:rsidR="0023525F">
        <w:t>contributes to the public debate</w:t>
      </w:r>
      <w:r w:rsidR="00427E07">
        <w:t xml:space="preserve"> is one a court can hardly undertake without </w:t>
      </w:r>
      <w:r w:rsidR="00427E07">
        <w:lastRenderedPageBreak/>
        <w:t xml:space="preserve">incorporating considerations of context — including audience, speaker, and purpose.  </w:t>
      </w:r>
    </w:p>
    <w:p w14:paraId="541C92D2" w14:textId="77777777" w:rsidR="00D54065" w:rsidRDefault="00945552" w:rsidP="00945552">
      <w:pPr>
        <w:jc w:val="center"/>
      </w:pPr>
      <w:r>
        <w:t>B.</w:t>
      </w:r>
    </w:p>
    <w:p w14:paraId="67395382" w14:textId="77777777" w:rsidR="00D56381" w:rsidRDefault="00890B10" w:rsidP="00427E07">
      <w:pPr>
        <w:ind w:firstLine="720"/>
      </w:pPr>
      <w:r>
        <w:t>When it</w:t>
      </w:r>
      <w:r w:rsidR="00427E07">
        <w:t xml:space="preserve"> </w:t>
      </w:r>
      <w:r>
        <w:t xml:space="preserve">declined </w:t>
      </w:r>
      <w:r w:rsidR="00427E07">
        <w:t xml:space="preserve">to consider </w:t>
      </w:r>
      <w:r w:rsidR="00D56381">
        <w:t xml:space="preserve">the </w:t>
      </w:r>
      <w:r w:rsidR="00F661D2">
        <w:t xml:space="preserve">context in which </w:t>
      </w:r>
      <w:proofErr w:type="spellStart"/>
      <w:r w:rsidR="00D56381">
        <w:t>DoubleVerify</w:t>
      </w:r>
      <w:proofErr w:type="spellEnd"/>
      <w:r w:rsidR="00D56381">
        <w:t xml:space="preserve"> made its statements, the Court of Appeal overlooked critical </w:t>
      </w:r>
      <w:r w:rsidR="007F58D8">
        <w:t>details</w:t>
      </w:r>
      <w:r w:rsidR="00D56381">
        <w:t xml:space="preserve"> </w:t>
      </w:r>
      <w:r w:rsidR="00D70801">
        <w:t xml:space="preserve">bearing on the court’s </w:t>
      </w:r>
      <w:r w:rsidR="00EC474B">
        <w:t>scrutin</w:t>
      </w:r>
      <w:r w:rsidR="00D70801">
        <w:t>y of</w:t>
      </w:r>
      <w:r w:rsidR="000C1EDA">
        <w:t xml:space="preserve"> the relationship between speech and the matter of public interest with which it is </w:t>
      </w:r>
      <w:r w:rsidR="00016ACE">
        <w:t>a</w:t>
      </w:r>
      <w:r w:rsidR="000627F5">
        <w:t>ssertedly</w:t>
      </w:r>
      <w:r w:rsidR="00016ACE">
        <w:t xml:space="preserve"> </w:t>
      </w:r>
      <w:r w:rsidR="000C1EDA">
        <w:t xml:space="preserve">“in connection.”  </w:t>
      </w:r>
      <w:r w:rsidR="00D56381">
        <w:t xml:space="preserve">(§ 425.16, </w:t>
      </w:r>
      <w:proofErr w:type="spellStart"/>
      <w:r w:rsidR="00D56381">
        <w:t>subd</w:t>
      </w:r>
      <w:proofErr w:type="spellEnd"/>
      <w:proofErr w:type="gramStart"/>
      <w:r w:rsidR="00D56381">
        <w:t xml:space="preserve">. </w:t>
      </w:r>
      <w:proofErr w:type="gramEnd"/>
      <w:r w:rsidR="00D56381">
        <w:t xml:space="preserve">(e)(4).)  We </w:t>
      </w:r>
      <w:r w:rsidR="00B30AA6">
        <w:t>examine those contextual details</w:t>
      </w:r>
      <w:r w:rsidR="00D56381">
        <w:t xml:space="preserve"> now</w:t>
      </w:r>
      <w:r w:rsidR="00D54065">
        <w:t xml:space="preserve">, </w:t>
      </w:r>
      <w:r w:rsidR="00BE2B4B">
        <w:t>working within</w:t>
      </w:r>
      <w:r w:rsidR="00D54065">
        <w:t xml:space="preserve"> the two-part framework we </w:t>
      </w:r>
      <w:r w:rsidR="00391683">
        <w:t>just described</w:t>
      </w:r>
      <w:r w:rsidR="00D56381">
        <w:t>.</w:t>
      </w:r>
    </w:p>
    <w:p w14:paraId="1D459E89" w14:textId="77777777" w:rsidR="00D56381" w:rsidRDefault="000C1EDA" w:rsidP="008805F8">
      <w:pPr>
        <w:ind w:firstLine="720"/>
      </w:pPr>
      <w:proofErr w:type="spellStart"/>
      <w:r>
        <w:t>DoubleVerify</w:t>
      </w:r>
      <w:proofErr w:type="spellEnd"/>
      <w:r>
        <w:t xml:space="preserve"> has identified the public issues or issues of public interest to which its reports and the</w:t>
      </w:r>
      <w:r w:rsidR="002B0D02">
        <w:t xml:space="preserve">ir </w:t>
      </w:r>
      <w:r w:rsidR="00427B10">
        <w:t>“</w:t>
      </w:r>
      <w:r w:rsidR="002B0D02">
        <w:t>tags</w:t>
      </w:r>
      <w:r w:rsidR="00427B10">
        <w:t>”</w:t>
      </w:r>
      <w:r w:rsidR="002B0D02">
        <w:t xml:space="preserve"> relate.  It argues </w:t>
      </w:r>
      <w:proofErr w:type="spellStart"/>
      <w:r w:rsidR="002B0D02">
        <w:t>FilmO</w:t>
      </w:r>
      <w:r>
        <w:t>n</w:t>
      </w:r>
      <w:proofErr w:type="spellEnd"/>
      <w:r>
        <w:t xml:space="preserve"> is notorious for its long history of violating copyright laws, and “</w:t>
      </w:r>
      <w:proofErr w:type="spellStart"/>
      <w:r>
        <w:t>FilmOn’s</w:t>
      </w:r>
      <w:proofErr w:type="spellEnd"/>
      <w:r>
        <w:t xml:space="preserve"> CEO and billionaire owner, Mr. David, regularly injects himself in the public spotlight to discuss himself, his companies, and the purported legality of </w:t>
      </w:r>
      <w:proofErr w:type="spellStart"/>
      <w:r>
        <w:t>FilmOn’s</w:t>
      </w:r>
      <w:proofErr w:type="spellEnd"/>
      <w:r>
        <w:t xml:space="preserve"> services.”  The Court of Appeal, meanwhile, determined </w:t>
      </w:r>
      <w:proofErr w:type="spellStart"/>
      <w:r>
        <w:t>DoubleVerify’s</w:t>
      </w:r>
      <w:proofErr w:type="spellEnd"/>
      <w:r>
        <w:t xml:space="preserve"> report “concerned an issue of public interest” because “the presence of adult content on the Internet generally, as well as copyright infringing content on </w:t>
      </w:r>
      <w:proofErr w:type="spellStart"/>
      <w:r>
        <w:t>FilmOn’s</w:t>
      </w:r>
      <w:proofErr w:type="spellEnd"/>
      <w:r>
        <w:t xml:space="preserve"> websites specifically, has been the subject of numerous press reports, regulatory actions, and federal lawsuits.”  (</w:t>
      </w:r>
      <w:proofErr w:type="spellStart"/>
      <w:r>
        <w:rPr>
          <w:i/>
        </w:rPr>
        <w:t>FilmOn</w:t>
      </w:r>
      <w:proofErr w:type="spellEnd"/>
      <w:r>
        <w:t xml:space="preserve">, </w:t>
      </w:r>
      <w:r>
        <w:rPr>
          <w:i/>
        </w:rPr>
        <w:t>supra</w:t>
      </w:r>
      <w:r>
        <w:t>, 13 Cal.App.5th at p. 720.)  It also</w:t>
      </w:r>
      <w:r w:rsidR="0093089A">
        <w:t xml:space="preserve"> concluded </w:t>
      </w:r>
      <w:proofErr w:type="spellStart"/>
      <w:r w:rsidR="0093089A">
        <w:t>DoubleVerify’s</w:t>
      </w:r>
      <w:proofErr w:type="spellEnd"/>
      <w:r w:rsidR="0093089A">
        <w:t xml:space="preserve"> reports were related to</w:t>
      </w:r>
      <w:r>
        <w:t xml:space="preserve"> “the public debate over legislation to curb children’s exposure to adult and </w:t>
      </w:r>
      <w:r w:rsidR="0093089A">
        <w:t>sexually explicit media content.”</w:t>
      </w:r>
      <w:r>
        <w:t xml:space="preserve">  (</w:t>
      </w:r>
      <w:r>
        <w:rPr>
          <w:i/>
        </w:rPr>
        <w:t>Ibid.</w:t>
      </w:r>
      <w:r>
        <w:t>)</w:t>
      </w:r>
    </w:p>
    <w:p w14:paraId="12DFAE5C" w14:textId="77777777" w:rsidR="00D744F2" w:rsidRDefault="003A0BFA" w:rsidP="0093089A">
      <w:pPr>
        <w:ind w:firstLine="720"/>
      </w:pPr>
      <w:r>
        <w:t>It is true enough that</w:t>
      </w:r>
      <w:r w:rsidR="00C40E69">
        <w:t xml:space="preserve"> </w:t>
      </w:r>
      <w:r w:rsidR="0042641A">
        <w:t xml:space="preserve">the various </w:t>
      </w:r>
      <w:r w:rsidR="0093089A">
        <w:t>actions</w:t>
      </w:r>
      <w:r w:rsidR="00B54F8C">
        <w:t xml:space="preserve"> of a </w:t>
      </w:r>
      <w:r w:rsidR="00DC4EA5">
        <w:t>prominent</w:t>
      </w:r>
      <w:r w:rsidR="00B54F8C">
        <w:t xml:space="preserve"> CEO</w:t>
      </w:r>
      <w:r w:rsidR="00304246">
        <w:t>, or</w:t>
      </w:r>
      <w:r w:rsidR="00B54F8C">
        <w:t xml:space="preserve"> </w:t>
      </w:r>
      <w:r w:rsidR="007C4529">
        <w:t xml:space="preserve">the issue of </w:t>
      </w:r>
      <w:r w:rsidR="0093089A">
        <w:t>children’s exposure to sexu</w:t>
      </w:r>
      <w:r w:rsidR="00B54F8C">
        <w:t>ally explicit media content</w:t>
      </w:r>
      <w:r w:rsidR="00DC4EA5">
        <w:t xml:space="preserve"> –– in the abstract –– </w:t>
      </w:r>
      <w:r>
        <w:t xml:space="preserve">seem to </w:t>
      </w:r>
      <w:r w:rsidR="00DC4EA5">
        <w:t>qualify as</w:t>
      </w:r>
      <w:r w:rsidR="0093089A">
        <w:t xml:space="preserve"> issues of public interest under subdivision (e)(4).  But</w:t>
      </w:r>
      <w:r w:rsidR="009D2C24">
        <w:t xml:space="preserve"> even assuming </w:t>
      </w:r>
      <w:r w:rsidR="00EC4FC8">
        <w:t>so,</w:t>
      </w:r>
      <w:r w:rsidR="0093089A">
        <w:t xml:space="preserve"> </w:t>
      </w:r>
      <w:r w:rsidR="007555AB">
        <w:lastRenderedPageBreak/>
        <w:t>the focus</w:t>
      </w:r>
      <w:r w:rsidR="0093089A">
        <w:t xml:space="preserve"> of our inquiry</w:t>
      </w:r>
      <w:r w:rsidR="007555AB">
        <w:t xml:space="preserve"> </w:t>
      </w:r>
      <w:r w:rsidR="0093089A">
        <w:t>must be</w:t>
      </w:r>
      <w:r w:rsidR="007555AB">
        <w:t xml:space="preserve"> </w:t>
      </w:r>
      <w:r w:rsidR="00900855">
        <w:t xml:space="preserve">on </w:t>
      </w:r>
      <w:r w:rsidR="0093089A">
        <w:t>“</w:t>
      </w:r>
      <w:r w:rsidR="007555AB">
        <w:t>the specific nature of the speech</w:t>
      </w:r>
      <w:r w:rsidR="00602B95">
        <w:t>,”</w:t>
      </w:r>
      <w:r w:rsidR="007555AB">
        <w:t xml:space="preserve"> rather than on </w:t>
      </w:r>
      <w:r w:rsidR="00602B95">
        <w:t>any “</w:t>
      </w:r>
      <w:r w:rsidR="007555AB">
        <w:t xml:space="preserve">generalities that might be abstracted from it.”  </w:t>
      </w:r>
      <w:r w:rsidR="00DC4570">
        <w:t>(</w:t>
      </w:r>
      <w:r w:rsidR="00DC4570">
        <w:rPr>
          <w:i/>
        </w:rPr>
        <w:t>Commonwealth Energy Corp. v. Investor Data Exchange, Inc.</w:t>
      </w:r>
      <w:r w:rsidR="00DC4570">
        <w:t xml:space="preserve"> (2003) 110 Cal.App.4th 26, 34, italics omitted.)  </w:t>
      </w:r>
      <w:r w:rsidR="008805F8">
        <w:t>D</w:t>
      </w:r>
      <w:r w:rsidR="007555AB">
        <w:t xml:space="preserve">efendants cannot merely offer a “synecdoche theory” of public interest, </w:t>
      </w:r>
      <w:r w:rsidR="00F554EA">
        <w:t>defining their narrow dispute by its slight reference to the broader public issue.</w:t>
      </w:r>
      <w:r w:rsidR="00775C5B">
        <w:t xml:space="preserve"> </w:t>
      </w:r>
      <w:r w:rsidR="007555AB">
        <w:t xml:space="preserve"> (</w:t>
      </w:r>
      <w:r w:rsidR="00DC4570">
        <w:rPr>
          <w:i/>
        </w:rPr>
        <w:t>Ibid.</w:t>
      </w:r>
      <w:r w:rsidR="007555AB">
        <w:t xml:space="preserve">)  </w:t>
      </w:r>
    </w:p>
    <w:p w14:paraId="2A30C8EE" w14:textId="77777777" w:rsidR="008B195D" w:rsidRDefault="003C15B5" w:rsidP="00C40E69">
      <w:pPr>
        <w:ind w:firstLine="720"/>
      </w:pPr>
      <w:proofErr w:type="gramStart"/>
      <w:r>
        <w:t>So</w:t>
      </w:r>
      <w:proofErr w:type="gramEnd"/>
      <w:r w:rsidR="0093089A">
        <w:t xml:space="preserve"> the second part of the test </w:t>
      </w:r>
      <w:r w:rsidR="00224453">
        <w:t xml:space="preserve">moves from a focus on </w:t>
      </w:r>
      <w:r w:rsidR="0047507A">
        <w:t xml:space="preserve">identifying the relevant matters of public interest to </w:t>
      </w:r>
      <w:r w:rsidR="0093089A">
        <w:t>address</w:t>
      </w:r>
      <w:r w:rsidR="0047507A">
        <w:t>ing</w:t>
      </w:r>
      <w:r w:rsidR="0093089A">
        <w:t xml:space="preserve"> the specific nature of defendants’</w:t>
      </w:r>
      <w:r w:rsidR="005554E6">
        <w:t xml:space="preserve"> speech and its relationship to the matt</w:t>
      </w:r>
      <w:r w:rsidR="009D787E">
        <w:t>er</w:t>
      </w:r>
      <w:r w:rsidR="00DC4570">
        <w:t>s</w:t>
      </w:r>
      <w:r w:rsidR="009D787E">
        <w:t xml:space="preserve"> </w:t>
      </w:r>
      <w:r w:rsidR="00021C78">
        <w:t xml:space="preserve">of public interest. </w:t>
      </w:r>
      <w:r w:rsidR="00775C5B">
        <w:t xml:space="preserve"> </w:t>
      </w:r>
      <w:r w:rsidR="00021C78">
        <w:t>We cannot answer th</w:t>
      </w:r>
      <w:r w:rsidR="0047507A">
        <w:t xml:space="preserve">is second </w:t>
      </w:r>
      <w:r w:rsidR="00021C78">
        <w:t>question simply by looking at the content of the challenged statements</w:t>
      </w:r>
      <w:r w:rsidR="00614CA5">
        <w:t xml:space="preserve"> ––</w:t>
      </w:r>
      <w:r w:rsidR="00993637">
        <w:t xml:space="preserve"> though </w:t>
      </w:r>
      <w:r w:rsidR="00614CA5">
        <w:t xml:space="preserve">no doubt </w:t>
      </w:r>
      <w:r w:rsidR="00993637">
        <w:t xml:space="preserve">in </w:t>
      </w:r>
      <w:proofErr w:type="gramStart"/>
      <w:r w:rsidR="00993637">
        <w:t>some</w:t>
      </w:r>
      <w:proofErr w:type="gramEnd"/>
      <w:r w:rsidR="00993637">
        <w:t xml:space="preserve"> cases that content will prove illuminating</w:t>
      </w:r>
      <w:r w:rsidR="00F554EA">
        <w:t>.</w:t>
      </w:r>
      <w:r w:rsidR="006459B1">
        <w:t xml:space="preserve"> </w:t>
      </w:r>
      <w:r w:rsidR="00775C5B">
        <w:t xml:space="preserve"> </w:t>
      </w:r>
      <w:r w:rsidR="00F554EA">
        <w:t>I</w:t>
      </w:r>
      <w:r w:rsidR="006459B1">
        <w:t>n this case</w:t>
      </w:r>
      <w:r w:rsidR="00021C78">
        <w:t>,</w:t>
      </w:r>
      <w:r w:rsidR="00F554EA">
        <w:t xml:space="preserve"> that content comprises </w:t>
      </w:r>
      <w:r w:rsidR="00021C78">
        <w:t xml:space="preserve">three columns listing various </w:t>
      </w:r>
      <w:r w:rsidR="00DC4570">
        <w:t>I</w:t>
      </w:r>
      <w:r w:rsidR="00021C78">
        <w:t>nternet domains and subdomains, “</w:t>
      </w:r>
      <w:r w:rsidR="00F554EA">
        <w:t>[t]</w:t>
      </w:r>
      <w:proofErr w:type="spellStart"/>
      <w:r w:rsidR="00021C78">
        <w:t>otal</w:t>
      </w:r>
      <w:proofErr w:type="spellEnd"/>
      <w:r w:rsidR="00021C78">
        <w:t xml:space="preserve"> [</w:t>
      </w:r>
      <w:r w:rsidR="00F554EA">
        <w:t>i</w:t>
      </w:r>
      <w:r w:rsidR="00021C78">
        <w:t>mpressions]”</w:t>
      </w:r>
      <w:r w:rsidR="00F554EA">
        <w:t xml:space="preserve"> from viewers, and the</w:t>
      </w:r>
      <w:r w:rsidR="00021C78">
        <w:t xml:space="preserve"> </w:t>
      </w:r>
      <w:r w:rsidR="00F554EA">
        <w:t xml:space="preserve">thematic </w:t>
      </w:r>
      <w:r w:rsidR="00021C78">
        <w:t>“</w:t>
      </w:r>
      <w:r w:rsidR="00F554EA">
        <w:t>[c]</w:t>
      </w:r>
      <w:proofErr w:type="spellStart"/>
      <w:r w:rsidR="00021C78">
        <w:t>ategories</w:t>
      </w:r>
      <w:proofErr w:type="spellEnd"/>
      <w:r w:rsidR="00021C78">
        <w:t>”</w:t>
      </w:r>
      <w:r w:rsidR="00F554EA">
        <w:t xml:space="preserve"> to which each domain belongs, as defined by </w:t>
      </w:r>
      <w:proofErr w:type="spellStart"/>
      <w:r w:rsidR="00F554EA">
        <w:t>DoubleVerify</w:t>
      </w:r>
      <w:proofErr w:type="spellEnd"/>
      <w:r w:rsidR="00F554EA">
        <w:t xml:space="preserve">.  That </w:t>
      </w:r>
      <w:proofErr w:type="spellStart"/>
      <w:r w:rsidR="00F554EA">
        <w:t>DoubleVerify</w:t>
      </w:r>
      <w:proofErr w:type="spellEnd"/>
      <w:r w:rsidR="00F554EA">
        <w:t xml:space="preserve"> identifies </w:t>
      </w:r>
      <w:proofErr w:type="spellStart"/>
      <w:r w:rsidR="00F554EA">
        <w:t>FilmOn</w:t>
      </w:r>
      <w:proofErr w:type="spellEnd"/>
      <w:r w:rsidR="00F554EA">
        <w:t xml:space="preserve"> as falling within certain categories</w:t>
      </w:r>
      <w:r w:rsidR="00E02142">
        <w:t>, however,</w:t>
      </w:r>
      <w:r w:rsidR="00F554EA">
        <w:t xml:space="preserve"> tells us nothing of how that identification relates to the issues of copyright and adult content.  </w:t>
      </w:r>
      <w:r w:rsidR="00021C78">
        <w:t xml:space="preserve">We can answer </w:t>
      </w:r>
      <w:r w:rsidR="00E02142">
        <w:t>that question</w:t>
      </w:r>
      <w:r w:rsidR="00021C78">
        <w:t xml:space="preserve"> only by looking at the broader context in which </w:t>
      </w:r>
      <w:proofErr w:type="spellStart"/>
      <w:r w:rsidR="008B195D">
        <w:t>DoubleVerify</w:t>
      </w:r>
      <w:proofErr w:type="spellEnd"/>
      <w:r w:rsidR="008B195D">
        <w:t xml:space="preserve"> issued its reports, discerning through that context whether </w:t>
      </w:r>
      <w:r w:rsidR="00C0181F">
        <w:t>the company’s</w:t>
      </w:r>
      <w:r w:rsidR="00FA0F55">
        <w:t xml:space="preserve"> conduct </w:t>
      </w:r>
      <w:r w:rsidR="00771147">
        <w:t xml:space="preserve">qualifies for </w:t>
      </w:r>
      <w:r w:rsidR="00DA5D9D">
        <w:t xml:space="preserve">statutory </w:t>
      </w:r>
      <w:r w:rsidR="00771147">
        <w:t xml:space="preserve">protection by furthering the public conversation </w:t>
      </w:r>
      <w:r w:rsidR="00CC72A0">
        <w:t xml:space="preserve">on </w:t>
      </w:r>
      <w:r w:rsidR="00771147">
        <w:t>an issue of public interest</w:t>
      </w:r>
      <w:r w:rsidR="0079139E">
        <w:t>.  (See § 425.16</w:t>
      </w:r>
      <w:r w:rsidR="00DC4570">
        <w:t xml:space="preserve">, </w:t>
      </w:r>
      <w:proofErr w:type="spellStart"/>
      <w:r w:rsidR="00DC4570">
        <w:t>subd</w:t>
      </w:r>
      <w:proofErr w:type="spellEnd"/>
      <w:r w:rsidR="00DC4570">
        <w:t>. </w:t>
      </w:r>
      <w:r w:rsidR="0079139E">
        <w:t xml:space="preserve">(a) [declaring it is “in the public interest to encourage continued participation in matters of public significance”]; </w:t>
      </w:r>
      <w:r w:rsidR="0079139E">
        <w:rPr>
          <w:i/>
        </w:rPr>
        <w:t>Wilbanks</w:t>
      </w:r>
      <w:r w:rsidR="0079139E">
        <w:t xml:space="preserve">, </w:t>
      </w:r>
      <w:r w:rsidR="0079139E">
        <w:rPr>
          <w:i/>
        </w:rPr>
        <w:t>supra</w:t>
      </w:r>
      <w:r w:rsidR="0079139E">
        <w:t xml:space="preserve">, 121 Cal.App.4th at p. 898 [explaining that conduct must “contribute to the public debate” to warrant protection under the </w:t>
      </w:r>
      <w:r w:rsidR="001D5C38">
        <w:t>catchall</w:t>
      </w:r>
      <w:r w:rsidR="0079139E">
        <w:t xml:space="preserve"> provision].)</w:t>
      </w:r>
      <w:r w:rsidR="00B64BB1">
        <w:rPr>
          <w:i/>
        </w:rPr>
        <w:t xml:space="preserve"> </w:t>
      </w:r>
    </w:p>
    <w:p w14:paraId="2C990D35" w14:textId="77777777" w:rsidR="008B195D" w:rsidRDefault="008B195D" w:rsidP="008B195D">
      <w:pPr>
        <w:ind w:firstLine="720"/>
      </w:pPr>
      <w:r>
        <w:lastRenderedPageBreak/>
        <w:t xml:space="preserve">It seems plain enough that </w:t>
      </w:r>
      <w:proofErr w:type="spellStart"/>
      <w:r>
        <w:t>DoubleVerify’s</w:t>
      </w:r>
      <w:proofErr w:type="spellEnd"/>
      <w:r>
        <w:t xml:space="preserve"> reports did no such thing.  </w:t>
      </w:r>
      <w:proofErr w:type="spellStart"/>
      <w:r>
        <w:t>DoubleVerify</w:t>
      </w:r>
      <w:proofErr w:type="spellEnd"/>
      <w:r>
        <w:t xml:space="preserve"> issues its reports not to the wider public — who may well be interested in whether </w:t>
      </w:r>
      <w:proofErr w:type="spellStart"/>
      <w:r>
        <w:t>FilmOn</w:t>
      </w:r>
      <w:proofErr w:type="spellEnd"/>
      <w:r>
        <w:t xml:space="preserve"> hosts content unsuitable for children or whether its streaming platform infringes copyright — but </w:t>
      </w:r>
      <w:r w:rsidR="00BE5EE2">
        <w:t xml:space="preserve">privately, </w:t>
      </w:r>
      <w:r>
        <w:t xml:space="preserve">to a coterie of paying clients.  Those clients, in turn, use the information </w:t>
      </w:r>
      <w:proofErr w:type="spellStart"/>
      <w:r>
        <w:t>DoubleVerify</w:t>
      </w:r>
      <w:proofErr w:type="spellEnd"/>
      <w:r>
        <w:t xml:space="preserve"> provides for </w:t>
      </w:r>
      <w:r w:rsidR="00EC4FC8">
        <w:t xml:space="preserve">their </w:t>
      </w:r>
      <w:r>
        <w:t>business purposes alone.  The information never enter</w:t>
      </w:r>
      <w:r w:rsidR="00993637">
        <w:t>ed</w:t>
      </w:r>
      <w:r>
        <w:t xml:space="preserve"> the public sphere, and t</w:t>
      </w:r>
      <w:r w:rsidR="00211D11">
        <w:t>he parties never intend</w:t>
      </w:r>
      <w:r w:rsidR="00993637">
        <w:t xml:space="preserve">ed </w:t>
      </w:r>
      <w:r w:rsidR="00211D11">
        <w:t>it to</w:t>
      </w:r>
      <w:r w:rsidR="001E21A6">
        <w:t xml:space="preserve">. </w:t>
      </w:r>
    </w:p>
    <w:p w14:paraId="069C6D52" w14:textId="77777777" w:rsidR="002A3486" w:rsidRDefault="004C439D" w:rsidP="00A81EFD">
      <w:pPr>
        <w:ind w:firstLine="720"/>
      </w:pPr>
      <w:r>
        <w:t>Yet</w:t>
      </w:r>
      <w:r w:rsidR="00996ECB">
        <w:t xml:space="preserve"> </w:t>
      </w:r>
      <w:r w:rsidR="00932767">
        <w:t xml:space="preserve">no single element </w:t>
      </w:r>
      <w:r w:rsidR="00996ECB">
        <w:t xml:space="preserve">is dispositive </w:t>
      </w:r>
      <w:r w:rsidR="00932767">
        <w:t xml:space="preserve">— not </w:t>
      </w:r>
      <w:proofErr w:type="spellStart"/>
      <w:r w:rsidR="00932767">
        <w:t>DoubleVerify’s</w:t>
      </w:r>
      <w:proofErr w:type="spellEnd"/>
      <w:r w:rsidR="00932767">
        <w:t xml:space="preserve"> for-profit status, or the confidentiality of the reports, or the use to which its clients put its reports</w:t>
      </w:r>
      <w:r w:rsidR="00A81EFD">
        <w:t xml:space="preserve">. </w:t>
      </w:r>
      <w:r w:rsidR="002A3486">
        <w:t xml:space="preserve"> </w:t>
      </w:r>
      <w:r w:rsidR="000627F5">
        <w:t>Nor</w:t>
      </w:r>
      <w:r w:rsidR="00385186">
        <w:t xml:space="preserve"> </w:t>
      </w:r>
      <w:r w:rsidR="002A3486">
        <w:t xml:space="preserve">does the combination of these contextual factors create a “commercial speech” category onto which we </w:t>
      </w:r>
      <w:r w:rsidR="005B779E">
        <w:t xml:space="preserve">automatically </w:t>
      </w:r>
      <w:r w:rsidR="002A3486">
        <w:t xml:space="preserve">map the presence or absence of anti-SLAPP protections.  </w:t>
      </w:r>
      <w:proofErr w:type="gramStart"/>
      <w:r w:rsidR="00DF2237">
        <w:t>S</w:t>
      </w:r>
      <w:r w:rsidR="002A3486">
        <w:t>ome</w:t>
      </w:r>
      <w:proofErr w:type="gramEnd"/>
      <w:r w:rsidR="002A3486">
        <w:t xml:space="preserve"> commercially oriented speech will, in fact, merit anti-SLAPP protection.    </w:t>
      </w:r>
    </w:p>
    <w:p w14:paraId="3A1A85B5" w14:textId="77777777" w:rsidR="002A3486" w:rsidRPr="007C2F7A" w:rsidRDefault="007A19F0" w:rsidP="008D542B">
      <w:pPr>
        <w:ind w:firstLine="720"/>
      </w:pPr>
      <w:r>
        <w:t xml:space="preserve">Consider, for example, </w:t>
      </w:r>
      <w:r w:rsidR="00A81EFD">
        <w:rPr>
          <w:i/>
        </w:rPr>
        <w:t>Industrial Waste &amp; Debris Box Service, Inc. v. Murphy</w:t>
      </w:r>
      <w:r w:rsidR="00A81EFD">
        <w:t xml:space="preserve"> (2016) 4 Cal.App.5th 1135, 114</w:t>
      </w:r>
      <w:r w:rsidR="002A3486">
        <w:t>8</w:t>
      </w:r>
      <w:r w:rsidR="00DC4570">
        <w:t xml:space="preserve"> (</w:t>
      </w:r>
      <w:r w:rsidR="00DC4570">
        <w:rPr>
          <w:i/>
        </w:rPr>
        <w:t>Industrial Waste</w:t>
      </w:r>
      <w:r w:rsidR="00DC4570">
        <w:t>)</w:t>
      </w:r>
      <w:r w:rsidR="00A81EFD">
        <w:t xml:space="preserve">, </w:t>
      </w:r>
      <w:r>
        <w:t xml:space="preserve">in </w:t>
      </w:r>
      <w:r w:rsidR="001801F1">
        <w:t xml:space="preserve">which the </w:t>
      </w:r>
      <w:r w:rsidR="00DC4570">
        <w:t>appellate court</w:t>
      </w:r>
      <w:r w:rsidR="001801F1">
        <w:t xml:space="preserve"> found that </w:t>
      </w:r>
      <w:r w:rsidR="002D5D0D">
        <w:t xml:space="preserve">a </w:t>
      </w:r>
      <w:r w:rsidR="00195AFE">
        <w:t xml:space="preserve">for-profit </w:t>
      </w:r>
      <w:r w:rsidR="002D5D0D">
        <w:t xml:space="preserve">consultant’s </w:t>
      </w:r>
      <w:r w:rsidR="001801F1">
        <w:t xml:space="preserve">report fell within the ambit of the </w:t>
      </w:r>
      <w:r w:rsidR="001D5C38">
        <w:t>catchall</w:t>
      </w:r>
      <w:r w:rsidR="001801F1">
        <w:t xml:space="preserve"> provision</w:t>
      </w:r>
      <w:r w:rsidR="002A3486">
        <w:t xml:space="preserve">.  “Commercial” though that report </w:t>
      </w:r>
      <w:r w:rsidR="00EF2846">
        <w:t>may have been</w:t>
      </w:r>
      <w:r w:rsidR="002A3486">
        <w:t xml:space="preserve">, </w:t>
      </w:r>
      <w:r w:rsidR="00EF2846">
        <w:t>it analyzed public reports, landfill records, and state agency data to conclude a client’s competitor — the plaintiff waste hauler</w:t>
      </w:r>
      <w:r w:rsidR="00775C5B">
        <w:t> </w:t>
      </w:r>
      <w:r w:rsidR="00EF2846">
        <w:t>—</w:t>
      </w:r>
      <w:r w:rsidR="00775C5B">
        <w:t> </w:t>
      </w:r>
      <w:r w:rsidR="00EF2846">
        <w:t>had overcalculated and misreported the rate at which it diverted waste for reuse, recycling, and composting.  (</w:t>
      </w:r>
      <w:r w:rsidR="00EF2846">
        <w:rPr>
          <w:i/>
        </w:rPr>
        <w:t>Id.</w:t>
      </w:r>
      <w:r w:rsidR="00EF2846">
        <w:t xml:space="preserve"> at p. 1143.)  </w:t>
      </w:r>
      <w:r w:rsidR="008D542B">
        <w:t xml:space="preserve">Following </w:t>
      </w:r>
      <w:r w:rsidR="00F82F10">
        <w:t>a rough approximation of</w:t>
      </w:r>
      <w:r w:rsidR="008D542B">
        <w:t xml:space="preserve"> the two-part framework we outline here, the court </w:t>
      </w:r>
      <w:r w:rsidR="00CC72A0">
        <w:t>decided first</w:t>
      </w:r>
      <w:r w:rsidR="008D542B">
        <w:t xml:space="preserve"> that “limited landfill capacity and the environmental effects of waste disposal” are indeed issues of “significant interest” to the public and municipal governments; and second, </w:t>
      </w:r>
      <w:r w:rsidR="00CC72A0">
        <w:t>that</w:t>
      </w:r>
      <w:r w:rsidR="008D542B">
        <w:t xml:space="preserve"> the report “shed light on these subjects” — that is, contributed to the issue of </w:t>
      </w:r>
      <w:r w:rsidR="008D542B">
        <w:lastRenderedPageBreak/>
        <w:t xml:space="preserve">public interest — by deriving data from public reports and commenting on </w:t>
      </w:r>
      <w:r w:rsidR="00861FE0">
        <w:t>“whether and to what degree waste hauling companies in Sonoma County were meeting government standards.”</w:t>
      </w:r>
      <w:r w:rsidR="008D2DFD">
        <w:t xml:space="preserve"> </w:t>
      </w:r>
      <w:r w:rsidR="00861FE0">
        <w:t xml:space="preserve"> </w:t>
      </w:r>
      <w:r w:rsidR="008D542B">
        <w:t>(</w:t>
      </w:r>
      <w:r w:rsidR="008D542B">
        <w:rPr>
          <w:i/>
        </w:rPr>
        <w:t>Id.</w:t>
      </w:r>
      <w:r w:rsidR="004B14C6">
        <w:rPr>
          <w:i/>
        </w:rPr>
        <w:t xml:space="preserve"> </w:t>
      </w:r>
      <w:r w:rsidR="004B14C6">
        <w:t>at pp. 1148–1149.</w:t>
      </w:r>
      <w:r w:rsidR="008D542B">
        <w:t xml:space="preserve">)  </w:t>
      </w:r>
      <w:r w:rsidR="008D2DFD">
        <w:t xml:space="preserve">These findings, in turn, prompted the sanitation board to alter its contracts and policies. </w:t>
      </w:r>
      <w:r w:rsidR="007C2F7A">
        <w:t xml:space="preserve">  (</w:t>
      </w:r>
      <w:r w:rsidR="007C2F7A">
        <w:rPr>
          <w:i/>
        </w:rPr>
        <w:t>Id.</w:t>
      </w:r>
      <w:r w:rsidR="007C2F7A">
        <w:t xml:space="preserve"> at p. 1144.)</w:t>
      </w:r>
    </w:p>
    <w:p w14:paraId="26883CF5" w14:textId="77777777" w:rsidR="00EC4FC8" w:rsidRDefault="0057116E" w:rsidP="005F3803">
      <w:pPr>
        <w:ind w:firstLine="720"/>
      </w:pPr>
      <w:r>
        <w:t xml:space="preserve">It is </w:t>
      </w:r>
      <w:r w:rsidR="004B14C6">
        <w:t xml:space="preserve">in </w:t>
      </w:r>
      <w:r w:rsidR="0026542B">
        <w:t xml:space="preserve">the extent of </w:t>
      </w:r>
      <w:r w:rsidR="004B14C6">
        <w:t xml:space="preserve">its contribution to, or participation in, the public discussion </w:t>
      </w:r>
      <w:r>
        <w:t xml:space="preserve">that </w:t>
      </w:r>
      <w:proofErr w:type="spellStart"/>
      <w:r>
        <w:t>DoubleVerify’s</w:t>
      </w:r>
      <w:proofErr w:type="spellEnd"/>
      <w:r>
        <w:t xml:space="preserve"> report diverges from the report at issue in </w:t>
      </w:r>
      <w:r>
        <w:rPr>
          <w:i/>
        </w:rPr>
        <w:t>Industrial Waste</w:t>
      </w:r>
      <w:r>
        <w:t>.  As the court in that case aptly noted, “[w]</w:t>
      </w:r>
      <w:proofErr w:type="spellStart"/>
      <w:r>
        <w:t>hether</w:t>
      </w:r>
      <w:proofErr w:type="spellEnd"/>
      <w:r>
        <w:t xml:space="preserve"> speech has a commercial or promotional aspect is not dispositive” of whether it is made in connection with an issue of public interest.  (</w:t>
      </w:r>
      <w:r>
        <w:rPr>
          <w:i/>
        </w:rPr>
        <w:t>Id.</w:t>
      </w:r>
      <w:r>
        <w:t xml:space="preserve"> at p. 1150.)</w:t>
      </w:r>
      <w:r w:rsidR="00A33754">
        <w:t xml:space="preserve">  </w:t>
      </w:r>
      <w:r w:rsidR="008D542B">
        <w:t>After all, the anti-SLAPP statute protects more than those activities “ ‘which meet the lofty standard of pertaining to the heart of self-government.’ ”  (</w:t>
      </w:r>
      <w:r w:rsidR="008D542B">
        <w:rPr>
          <w:i/>
        </w:rPr>
        <w:t>Briggs</w:t>
      </w:r>
      <w:r w:rsidR="008D542B">
        <w:t>,</w:t>
      </w:r>
      <w:r w:rsidR="0066637C">
        <w:t xml:space="preserve"> </w:t>
      </w:r>
      <w:r w:rsidR="0066637C">
        <w:rPr>
          <w:i/>
        </w:rPr>
        <w:t>supra</w:t>
      </w:r>
      <w:r w:rsidR="0066637C">
        <w:t>,</w:t>
      </w:r>
      <w:r w:rsidR="008D542B">
        <w:t xml:space="preserve"> 19 Cal.4th </w:t>
      </w:r>
      <w:r w:rsidR="007C2F7A">
        <w:t>at p. </w:t>
      </w:r>
      <w:r w:rsidR="008D542B">
        <w:t xml:space="preserve">1116, quoting </w:t>
      </w:r>
      <w:r w:rsidR="008D542B">
        <w:rPr>
          <w:i/>
        </w:rPr>
        <w:t>Braun v. Chronicle</w:t>
      </w:r>
      <w:r w:rsidR="007C2F7A">
        <w:rPr>
          <w:i/>
        </w:rPr>
        <w:t xml:space="preserve"> Publishing Co.</w:t>
      </w:r>
      <w:r w:rsidR="007C2F7A">
        <w:t xml:space="preserve"> (1997)</w:t>
      </w:r>
      <w:r w:rsidR="008D542B">
        <w:t xml:space="preserve"> 52 Cal.App.4th </w:t>
      </w:r>
      <w:r w:rsidR="007C2F7A">
        <w:t>1036,</w:t>
      </w:r>
      <w:r w:rsidR="008D542B">
        <w:t xml:space="preserve"> 1046–1047.)  </w:t>
      </w:r>
      <w:r w:rsidR="00A33754">
        <w:t xml:space="preserve">But </w:t>
      </w:r>
      <w:r w:rsidR="00A208F7" w:rsidRPr="00E46099">
        <w:t>nothing in the statute or our precedent elide</w:t>
      </w:r>
      <w:r w:rsidR="00EC4FC8">
        <w:t>s</w:t>
      </w:r>
      <w:r w:rsidR="00A208F7" w:rsidRPr="00E46099">
        <w:t xml:space="preserve"> the potential relevance of </w:t>
      </w:r>
      <w:r w:rsidR="00EC4FC8">
        <w:t xml:space="preserve">that commercial character in deciding whether speech merits protection under the catchall provision. </w:t>
      </w:r>
      <w:r w:rsidR="00EA358E">
        <w:t xml:space="preserve"> </w:t>
      </w:r>
      <w:r w:rsidR="00A208F7" w:rsidRPr="00E46099">
        <w:t xml:space="preserve">Instead, a court </w:t>
      </w:r>
      <w:r w:rsidR="00912BD9">
        <w:t>must</w:t>
      </w:r>
      <w:r w:rsidR="00A208F7">
        <w:t xml:space="preserve"> consider whether a </w:t>
      </w:r>
      <w:r w:rsidR="00A208F7" w:rsidRPr="00E46099">
        <w:t xml:space="preserve">statement — </w:t>
      </w:r>
      <w:r w:rsidR="00A208F7">
        <w:t xml:space="preserve">including </w:t>
      </w:r>
      <w:r w:rsidR="00A208F7" w:rsidRPr="00E46099">
        <w:t xml:space="preserve">the identity of its speaker, </w:t>
      </w:r>
      <w:r w:rsidR="00744B6C">
        <w:t xml:space="preserve">for example, or </w:t>
      </w:r>
      <w:r w:rsidR="00A208F7" w:rsidRPr="00E46099">
        <w:t xml:space="preserve">the </w:t>
      </w:r>
      <w:r w:rsidR="00535C40">
        <w:t xml:space="preserve">audience </w:t>
      </w:r>
      <w:r w:rsidR="00744B6C">
        <w:t>sought</w:t>
      </w:r>
      <w:r w:rsidR="00EA358E">
        <w:t> </w:t>
      </w:r>
      <w:r w:rsidR="00A208F7" w:rsidRPr="00E46099">
        <w:t xml:space="preserve">— </w:t>
      </w:r>
      <w:r w:rsidR="00A208F7">
        <w:t>contributes to</w:t>
      </w:r>
      <w:r w:rsidR="008D542B">
        <w:t xml:space="preserve"> or furthers the public conversation on </w:t>
      </w:r>
      <w:r w:rsidR="00A208F7">
        <w:t xml:space="preserve">an issue of public interest.  </w:t>
      </w:r>
      <w:bookmarkStart w:id="4" w:name="_Hlk7009642"/>
      <w:r w:rsidR="00A208F7">
        <w:t xml:space="preserve">It is </w:t>
      </w:r>
      <w:r w:rsidR="00BC243D">
        <w:t>by carefully observing</w:t>
      </w:r>
      <w:r w:rsidR="00A208F7">
        <w:t xml:space="preserve"> this wedding of content and context that we </w:t>
      </w:r>
      <w:r w:rsidR="000E2C87">
        <w:t>can discern if conduct is</w:t>
      </w:r>
      <w:r w:rsidR="00A208F7">
        <w:t xml:space="preserve"> “in furtherance of” free speech “in connection with” a public issue or </w:t>
      </w:r>
      <w:r w:rsidR="00F5566F">
        <w:t xml:space="preserve">issue </w:t>
      </w:r>
      <w:r w:rsidR="00A208F7">
        <w:t>of public interest.  (§</w:t>
      </w:r>
      <w:r w:rsidR="007C2F7A">
        <w:t> </w:t>
      </w:r>
      <w:r w:rsidR="00A208F7">
        <w:t xml:space="preserve">425.16, </w:t>
      </w:r>
      <w:proofErr w:type="spellStart"/>
      <w:r w:rsidR="00A208F7">
        <w:t>subd</w:t>
      </w:r>
      <w:proofErr w:type="spellEnd"/>
      <w:proofErr w:type="gramStart"/>
      <w:r w:rsidR="00A208F7">
        <w:t xml:space="preserve">. </w:t>
      </w:r>
      <w:proofErr w:type="gramEnd"/>
      <w:r w:rsidR="00A208F7">
        <w:t>(e)(4).</w:t>
      </w:r>
      <w:r w:rsidR="009A1705">
        <w:t>)</w:t>
      </w:r>
      <w:r w:rsidR="005F3803">
        <w:t xml:space="preserve">  </w:t>
      </w:r>
      <w:r w:rsidR="000E2C87">
        <w:t xml:space="preserve">What </w:t>
      </w:r>
      <w:r w:rsidR="002B51C0">
        <w:t xml:space="preserve">this union of content and context lets us discern </w:t>
      </w:r>
      <w:r w:rsidR="000E2C87">
        <w:t>in this case is that</w:t>
      </w:r>
      <w:r w:rsidR="00B57A94">
        <w:t xml:space="preserve"> </w:t>
      </w:r>
      <w:proofErr w:type="spellStart"/>
      <w:r w:rsidR="00C2642F">
        <w:t>DoubleVerify’s</w:t>
      </w:r>
      <w:proofErr w:type="spellEnd"/>
      <w:r w:rsidR="00C2642F">
        <w:t xml:space="preserve"> report does not qualify for protection under the </w:t>
      </w:r>
      <w:r w:rsidR="00AD7AFB">
        <w:t xml:space="preserve">catchall provision of the </w:t>
      </w:r>
      <w:r w:rsidR="00C2642F">
        <w:t>anti-SLAPP statute</w:t>
      </w:r>
      <w:r w:rsidR="00DC4433">
        <w:t>.</w:t>
      </w:r>
      <w:r w:rsidR="00C2642F">
        <w:t xml:space="preserve"> </w:t>
      </w:r>
      <w:bookmarkEnd w:id="4"/>
    </w:p>
    <w:p w14:paraId="5397526D" w14:textId="77777777" w:rsidR="0096609B" w:rsidRDefault="0096609B" w:rsidP="00F26CD6">
      <w:pPr>
        <w:jc w:val="center"/>
        <w:rPr>
          <w:b/>
        </w:rPr>
      </w:pPr>
    </w:p>
    <w:p w14:paraId="6F420E1D" w14:textId="77777777" w:rsidR="00A81EFD" w:rsidRPr="00F26CD6" w:rsidRDefault="00BE5EE2" w:rsidP="00F26CD6">
      <w:pPr>
        <w:jc w:val="center"/>
        <w:rPr>
          <w:b/>
        </w:rPr>
      </w:pPr>
      <w:r w:rsidRPr="00BE5EE2">
        <w:rPr>
          <w:b/>
        </w:rPr>
        <w:lastRenderedPageBreak/>
        <w:t>IV.</w:t>
      </w:r>
    </w:p>
    <w:p w14:paraId="54246BAA" w14:textId="77777777" w:rsidR="000627F5" w:rsidRPr="00676663" w:rsidRDefault="00F26CD6" w:rsidP="000627F5">
      <w:pPr>
        <w:ind w:firstLine="720"/>
      </w:pPr>
      <w:r>
        <w:t>The scenario before us involves two well-funded for-profit entities engaged in a private dispute over one’s characterization</w:t>
      </w:r>
      <w:r w:rsidR="00457C61">
        <w:t> </w:t>
      </w:r>
      <w:r w:rsidR="00490CDB">
        <w:t>–– in a</w:t>
      </w:r>
      <w:r w:rsidR="001163A7">
        <w:t xml:space="preserve"> </w:t>
      </w:r>
      <w:r w:rsidR="00490CDB">
        <w:t xml:space="preserve">confidential report –– </w:t>
      </w:r>
      <w:r>
        <w:t>of the other’s business practices.  Because our “primary goal is to determine and give effect to the underlying purpose of” the anti-SLAPP statute (</w:t>
      </w:r>
      <w:r>
        <w:rPr>
          <w:i/>
        </w:rPr>
        <w:t>Goodman v. Lozano</w:t>
      </w:r>
      <w:r>
        <w:t xml:space="preserve"> (2010) 47 Cal.4th 1327, 1332), this context matters. </w:t>
      </w:r>
      <w:r w:rsidR="000627F5">
        <w:t xml:space="preserve"> It allows courts to liberally extend the protection of the anti-SLAPP statute where doing s</w:t>
      </w:r>
      <w:r w:rsidR="000627F5" w:rsidRPr="00E46099">
        <w:t xml:space="preserve">o would “encourage continued participation in matters of public significance,” but withhold that protection otherwise.  (§ 425.16, </w:t>
      </w:r>
      <w:proofErr w:type="spellStart"/>
      <w:r w:rsidR="000627F5" w:rsidRPr="00E46099">
        <w:t>subd</w:t>
      </w:r>
      <w:proofErr w:type="spellEnd"/>
      <w:proofErr w:type="gramStart"/>
      <w:r w:rsidR="000627F5" w:rsidRPr="00E46099">
        <w:t xml:space="preserve">. </w:t>
      </w:r>
      <w:proofErr w:type="gramEnd"/>
      <w:r w:rsidR="000627F5" w:rsidRPr="00E46099">
        <w:t>(a).)</w:t>
      </w:r>
      <w:r w:rsidR="000627F5">
        <w:t xml:space="preserve">  And here, it allows us to discern what content alone conveys less clearly:  </w:t>
      </w:r>
      <w:proofErr w:type="spellStart"/>
      <w:r w:rsidR="00676663">
        <w:t>DoubleVerify</w:t>
      </w:r>
      <w:proofErr w:type="spellEnd"/>
      <w:r w:rsidR="00676663">
        <w:t xml:space="preserve"> did not issue its report in furtherance of free speech “in connection with” an issue of public interest.  (§ 425.16, </w:t>
      </w:r>
      <w:proofErr w:type="spellStart"/>
      <w:r w:rsidR="00676663">
        <w:t>subd</w:t>
      </w:r>
      <w:proofErr w:type="spellEnd"/>
      <w:proofErr w:type="gramStart"/>
      <w:r w:rsidR="00676663">
        <w:t xml:space="preserve">. </w:t>
      </w:r>
      <w:proofErr w:type="gramEnd"/>
      <w:r w:rsidR="00676663">
        <w:t xml:space="preserve">(e)(4).) </w:t>
      </w:r>
    </w:p>
    <w:p w14:paraId="14433FCA" w14:textId="77777777" w:rsidR="00F26CD6" w:rsidRPr="00E46099" w:rsidRDefault="00F26CD6" w:rsidP="00676663">
      <w:pPr>
        <w:ind w:firstLine="720"/>
      </w:pPr>
      <w:r w:rsidRPr="00E46099">
        <w:t>Because the Court of Appeal held to the contrary, we reverse.</w:t>
      </w:r>
    </w:p>
    <w:p w14:paraId="72F2D27D" w14:textId="77777777" w:rsidR="00D744F2" w:rsidRPr="003E2DFE" w:rsidRDefault="00F26CD6" w:rsidP="003E2DFE">
      <w:pPr>
        <w:tabs>
          <w:tab w:val="left" w:pos="5760"/>
        </w:tabs>
        <w:rPr>
          <w:b/>
        </w:rPr>
      </w:pPr>
      <w:r w:rsidRPr="00E46099">
        <w:rPr>
          <w:b/>
        </w:rPr>
        <w:tab/>
        <w:t>CUÉLLAR, J.</w:t>
      </w:r>
    </w:p>
    <w:p w14:paraId="688208C2" w14:textId="77777777" w:rsidR="008805F8" w:rsidRDefault="008805F8" w:rsidP="00775C5B"/>
    <w:p w14:paraId="5F96E459" w14:textId="77777777" w:rsidR="00775C5B" w:rsidRPr="007C2F7A" w:rsidRDefault="00775C5B" w:rsidP="007C2F7A">
      <w:pPr>
        <w:rPr>
          <w:b/>
        </w:rPr>
      </w:pPr>
      <w:r w:rsidRPr="007C2F7A">
        <w:rPr>
          <w:b/>
        </w:rPr>
        <w:t>We Concur:</w:t>
      </w:r>
    </w:p>
    <w:p w14:paraId="3AC31D6C" w14:textId="77777777" w:rsidR="00457C61" w:rsidRPr="00DB5D45" w:rsidRDefault="00457C61" w:rsidP="001229D8">
      <w:pPr>
        <w:tabs>
          <w:tab w:val="left" w:pos="1440"/>
        </w:tabs>
        <w:spacing w:after="0"/>
        <w:rPr>
          <w:b/>
          <w:caps/>
        </w:rPr>
      </w:pPr>
      <w:r w:rsidRPr="00DB5D45">
        <w:rPr>
          <w:b/>
          <w:caps/>
        </w:rPr>
        <w:t>Cantil-Sakauye, C. J.</w:t>
      </w:r>
    </w:p>
    <w:p w14:paraId="6A4C9212" w14:textId="77777777" w:rsidR="00457C61" w:rsidRPr="00DB5D45" w:rsidRDefault="00457C61" w:rsidP="001229D8">
      <w:pPr>
        <w:tabs>
          <w:tab w:val="left" w:pos="1440"/>
        </w:tabs>
        <w:spacing w:after="0"/>
        <w:rPr>
          <w:b/>
          <w:caps/>
        </w:rPr>
      </w:pPr>
      <w:r w:rsidRPr="00DB5D45">
        <w:rPr>
          <w:b/>
          <w:caps/>
        </w:rPr>
        <w:t>Chin, J.</w:t>
      </w:r>
    </w:p>
    <w:p w14:paraId="168CB494" w14:textId="77777777" w:rsidR="00457C61" w:rsidRPr="00DB5D45" w:rsidRDefault="00457C61" w:rsidP="001229D8">
      <w:pPr>
        <w:tabs>
          <w:tab w:val="left" w:pos="1440"/>
        </w:tabs>
        <w:spacing w:after="0"/>
        <w:rPr>
          <w:b/>
          <w:caps/>
        </w:rPr>
      </w:pPr>
      <w:r w:rsidRPr="00DB5D45">
        <w:rPr>
          <w:b/>
          <w:caps/>
        </w:rPr>
        <w:t>Corrigan, J.</w:t>
      </w:r>
    </w:p>
    <w:p w14:paraId="2EF844CB" w14:textId="77777777" w:rsidR="00457C61" w:rsidRPr="00DB5D45" w:rsidRDefault="00457C61" w:rsidP="001229D8">
      <w:pPr>
        <w:tabs>
          <w:tab w:val="left" w:pos="1440"/>
        </w:tabs>
        <w:spacing w:after="0"/>
        <w:rPr>
          <w:b/>
          <w:caps/>
        </w:rPr>
      </w:pPr>
      <w:r w:rsidRPr="00DB5D45">
        <w:rPr>
          <w:b/>
          <w:caps/>
        </w:rPr>
        <w:t>Liu, J.</w:t>
      </w:r>
    </w:p>
    <w:p w14:paraId="0573EDFA" w14:textId="77777777" w:rsidR="00457C61" w:rsidRDefault="00457C61" w:rsidP="001229D8">
      <w:pPr>
        <w:tabs>
          <w:tab w:val="left" w:pos="1440"/>
        </w:tabs>
        <w:spacing w:after="0"/>
        <w:rPr>
          <w:b/>
          <w:caps/>
        </w:rPr>
      </w:pPr>
      <w:r w:rsidRPr="00DB5D45">
        <w:rPr>
          <w:b/>
          <w:caps/>
        </w:rPr>
        <w:t>Kruger, J.</w:t>
      </w:r>
    </w:p>
    <w:p w14:paraId="4B7D3536" w14:textId="77777777" w:rsidR="00457C61" w:rsidRPr="001229D8" w:rsidRDefault="00457C61" w:rsidP="001229D8">
      <w:pPr>
        <w:tabs>
          <w:tab w:val="left" w:pos="1440"/>
        </w:tabs>
        <w:spacing w:after="0"/>
        <w:rPr>
          <w:b/>
          <w:caps/>
        </w:rPr>
      </w:pPr>
      <w:r>
        <w:rPr>
          <w:b/>
          <w:caps/>
        </w:rPr>
        <w:t>Groban, j.</w:t>
      </w:r>
    </w:p>
    <w:p w14:paraId="1D6F2499" w14:textId="77777777" w:rsidR="007E24B3" w:rsidRDefault="007E24B3" w:rsidP="007E24B3">
      <w:pPr>
        <w:ind w:firstLine="720"/>
      </w:pPr>
    </w:p>
    <w:p w14:paraId="4BDBBC1A" w14:textId="77777777" w:rsidR="007E24B3" w:rsidRDefault="007E24B3" w:rsidP="007E24B3">
      <w:pPr>
        <w:ind w:firstLine="720"/>
      </w:pPr>
    </w:p>
    <w:p w14:paraId="47CC05F7" w14:textId="77777777" w:rsidR="00990A3E" w:rsidRDefault="00990A3E" w:rsidP="00E46099">
      <w:pPr>
        <w:sectPr w:rsidR="00990A3E" w:rsidSect="00E46099">
          <w:footerReference w:type="first" r:id="rId9"/>
          <w:pgSz w:w="12240" w:h="15840"/>
          <w:pgMar w:top="1800" w:right="2160" w:bottom="1440" w:left="2160" w:header="720" w:footer="720" w:gutter="0"/>
          <w:pgNumType w:start="1"/>
          <w:cols w:space="720"/>
          <w:titlePg/>
          <w:docGrid w:linePitch="367"/>
        </w:sectPr>
      </w:pPr>
    </w:p>
    <w:p w14:paraId="790DAA5F" w14:textId="77777777" w:rsidR="00990A3E" w:rsidRPr="00990A3E" w:rsidRDefault="00990A3E" w:rsidP="00990A3E">
      <w:pPr>
        <w:spacing w:after="0" w:line="240" w:lineRule="auto"/>
        <w:jc w:val="left"/>
        <w:rPr>
          <w:rFonts w:ascii="Times New Roman" w:hAnsi="Times New Roman"/>
          <w:i/>
          <w:sz w:val="20"/>
        </w:rPr>
      </w:pPr>
      <w:r w:rsidRPr="00990A3E">
        <w:rPr>
          <w:rFonts w:ascii="Times New Roman" w:hAnsi="Times New Roman"/>
          <w:i/>
          <w:sz w:val="20"/>
        </w:rPr>
        <w:lastRenderedPageBreak/>
        <w:t>See next page for addresses and telephone numbers for counsel who argued in Supreme Court.</w:t>
      </w:r>
    </w:p>
    <w:p w14:paraId="1C4DEFF5" w14:textId="77777777" w:rsidR="00990A3E" w:rsidRPr="00990A3E" w:rsidRDefault="00990A3E" w:rsidP="00990A3E">
      <w:pPr>
        <w:spacing w:after="0" w:line="240" w:lineRule="auto"/>
        <w:jc w:val="left"/>
        <w:rPr>
          <w:rFonts w:ascii="Times New Roman" w:hAnsi="Times New Roman"/>
          <w:i/>
          <w:sz w:val="20"/>
        </w:rPr>
      </w:pPr>
    </w:p>
    <w:p w14:paraId="74FB3DC7" w14:textId="77777777" w:rsidR="00990A3E" w:rsidRPr="00990A3E" w:rsidRDefault="00990A3E" w:rsidP="00990A3E">
      <w:pPr>
        <w:spacing w:after="0" w:line="240" w:lineRule="auto"/>
        <w:jc w:val="left"/>
        <w:rPr>
          <w:rFonts w:ascii="Times New Roman" w:hAnsi="Times New Roman"/>
          <w:bCs/>
          <w:i/>
          <w:sz w:val="20"/>
        </w:rPr>
      </w:pPr>
      <w:r w:rsidRPr="00990A3E">
        <w:rPr>
          <w:rFonts w:ascii="Times New Roman" w:hAnsi="Times New Roman"/>
          <w:b/>
          <w:sz w:val="20"/>
        </w:rPr>
        <w:t>Name of Opinion</w:t>
      </w:r>
      <w:r w:rsidRPr="00990A3E">
        <w:rPr>
          <w:rFonts w:ascii="Times New Roman" w:hAnsi="Times New Roman"/>
          <w:sz w:val="20"/>
        </w:rPr>
        <w:t xml:space="preserve"> FilmOn.com v. </w:t>
      </w:r>
      <w:proofErr w:type="spellStart"/>
      <w:r w:rsidRPr="00990A3E">
        <w:rPr>
          <w:rFonts w:ascii="Times New Roman" w:hAnsi="Times New Roman"/>
          <w:sz w:val="20"/>
        </w:rPr>
        <w:t>DoubleVerify</w:t>
      </w:r>
      <w:proofErr w:type="spellEnd"/>
      <w:r w:rsidRPr="00990A3E">
        <w:rPr>
          <w:rFonts w:ascii="Times New Roman" w:hAnsi="Times New Roman"/>
          <w:sz w:val="20"/>
        </w:rPr>
        <w:t>, Inc.</w:t>
      </w:r>
    </w:p>
    <w:p w14:paraId="657DE8D6" w14:textId="77777777" w:rsidR="00990A3E" w:rsidRPr="00990A3E" w:rsidRDefault="00990A3E" w:rsidP="00990A3E">
      <w:pPr>
        <w:spacing w:after="0" w:line="240" w:lineRule="auto"/>
        <w:jc w:val="left"/>
        <w:rPr>
          <w:rFonts w:ascii="Times New Roman" w:hAnsi="Times New Roman"/>
          <w:b/>
          <w:sz w:val="20"/>
        </w:rPr>
      </w:pPr>
      <w:r w:rsidRPr="00990A3E">
        <w:rPr>
          <w:rFonts w:ascii="Times New Roman" w:hAnsi="Times New Roman"/>
          <w:b/>
          <w:sz w:val="20"/>
        </w:rPr>
        <w:t>__________________________________________________________________________________</w:t>
      </w:r>
    </w:p>
    <w:p w14:paraId="2A5A492A" w14:textId="77777777" w:rsidR="00990A3E" w:rsidRPr="00990A3E" w:rsidRDefault="00990A3E" w:rsidP="00990A3E">
      <w:pPr>
        <w:spacing w:after="0" w:line="240" w:lineRule="auto"/>
        <w:jc w:val="left"/>
        <w:rPr>
          <w:rFonts w:ascii="Times New Roman" w:hAnsi="Times New Roman"/>
          <w:b/>
          <w:sz w:val="20"/>
        </w:rPr>
      </w:pPr>
    </w:p>
    <w:p w14:paraId="64B5878E" w14:textId="77777777" w:rsidR="00990A3E" w:rsidRPr="00990A3E" w:rsidRDefault="00990A3E" w:rsidP="00990A3E">
      <w:pPr>
        <w:spacing w:after="0" w:line="240" w:lineRule="auto"/>
        <w:jc w:val="left"/>
        <w:rPr>
          <w:rFonts w:ascii="Times New Roman" w:hAnsi="Times New Roman"/>
          <w:bCs/>
          <w:sz w:val="20"/>
        </w:rPr>
      </w:pPr>
      <w:r w:rsidRPr="00990A3E">
        <w:rPr>
          <w:rFonts w:ascii="Times New Roman" w:hAnsi="Times New Roman"/>
          <w:b/>
          <w:sz w:val="20"/>
        </w:rPr>
        <w:t>Unpublished Opinion</w:t>
      </w:r>
    </w:p>
    <w:p w14:paraId="231E2E60" w14:textId="77777777" w:rsidR="00990A3E" w:rsidRPr="00990A3E" w:rsidRDefault="00990A3E" w:rsidP="00990A3E">
      <w:pPr>
        <w:spacing w:after="0" w:line="240" w:lineRule="auto"/>
        <w:jc w:val="left"/>
        <w:rPr>
          <w:rFonts w:ascii="Times New Roman" w:hAnsi="Times New Roman"/>
          <w:sz w:val="20"/>
        </w:rPr>
      </w:pPr>
      <w:r w:rsidRPr="00990A3E">
        <w:rPr>
          <w:rFonts w:ascii="Times New Roman" w:hAnsi="Times New Roman"/>
          <w:b/>
          <w:sz w:val="20"/>
        </w:rPr>
        <w:t>Original Appeal</w:t>
      </w:r>
    </w:p>
    <w:p w14:paraId="57E5DFE8" w14:textId="77777777" w:rsidR="00990A3E" w:rsidRPr="00990A3E" w:rsidRDefault="00990A3E" w:rsidP="00990A3E">
      <w:pPr>
        <w:spacing w:after="0" w:line="240" w:lineRule="auto"/>
        <w:jc w:val="left"/>
        <w:rPr>
          <w:rFonts w:ascii="Times New Roman" w:hAnsi="Times New Roman"/>
          <w:b/>
          <w:sz w:val="20"/>
        </w:rPr>
      </w:pPr>
      <w:r w:rsidRPr="00990A3E">
        <w:rPr>
          <w:rFonts w:ascii="Times New Roman" w:hAnsi="Times New Roman"/>
          <w:b/>
          <w:sz w:val="20"/>
        </w:rPr>
        <w:t>Original Proceeding</w:t>
      </w:r>
    </w:p>
    <w:p w14:paraId="28CBA89D" w14:textId="77777777" w:rsidR="00990A3E" w:rsidRPr="00990A3E" w:rsidRDefault="00990A3E" w:rsidP="00990A3E">
      <w:pPr>
        <w:spacing w:after="0" w:line="240" w:lineRule="auto"/>
        <w:jc w:val="left"/>
        <w:rPr>
          <w:rFonts w:ascii="Times New Roman" w:hAnsi="Times New Roman"/>
          <w:sz w:val="20"/>
        </w:rPr>
      </w:pPr>
      <w:r w:rsidRPr="00990A3E">
        <w:rPr>
          <w:rFonts w:ascii="Times New Roman" w:hAnsi="Times New Roman"/>
          <w:b/>
          <w:sz w:val="20"/>
        </w:rPr>
        <w:t>Review Granted</w:t>
      </w:r>
      <w:r w:rsidRPr="00990A3E">
        <w:rPr>
          <w:rFonts w:ascii="Times New Roman" w:hAnsi="Times New Roman"/>
          <w:sz w:val="20"/>
        </w:rPr>
        <w:t xml:space="preserve"> XXX 13 Cal.App.5th 707</w:t>
      </w:r>
    </w:p>
    <w:p w14:paraId="28106701" w14:textId="77777777" w:rsidR="00990A3E" w:rsidRPr="00990A3E" w:rsidRDefault="00990A3E" w:rsidP="00990A3E">
      <w:pPr>
        <w:spacing w:after="0" w:line="240" w:lineRule="auto"/>
        <w:jc w:val="left"/>
        <w:rPr>
          <w:rFonts w:ascii="Times New Roman" w:hAnsi="Times New Roman"/>
          <w:b/>
          <w:sz w:val="20"/>
        </w:rPr>
      </w:pPr>
      <w:r w:rsidRPr="00990A3E">
        <w:rPr>
          <w:rFonts w:ascii="Times New Roman" w:hAnsi="Times New Roman"/>
          <w:b/>
          <w:sz w:val="20"/>
        </w:rPr>
        <w:t>Rehearing Granted</w:t>
      </w:r>
    </w:p>
    <w:p w14:paraId="184C4E48" w14:textId="77777777" w:rsidR="00990A3E" w:rsidRPr="00990A3E" w:rsidRDefault="00990A3E" w:rsidP="00990A3E">
      <w:pPr>
        <w:spacing w:after="0" w:line="240" w:lineRule="auto"/>
        <w:jc w:val="left"/>
        <w:rPr>
          <w:rFonts w:ascii="Times New Roman" w:hAnsi="Times New Roman"/>
          <w:b/>
          <w:sz w:val="20"/>
        </w:rPr>
      </w:pPr>
    </w:p>
    <w:p w14:paraId="4263ED7C" w14:textId="77777777" w:rsidR="00990A3E" w:rsidRPr="00990A3E" w:rsidRDefault="00990A3E" w:rsidP="00990A3E">
      <w:pPr>
        <w:spacing w:after="0" w:line="240" w:lineRule="auto"/>
        <w:jc w:val="left"/>
        <w:rPr>
          <w:rFonts w:ascii="Times New Roman" w:hAnsi="Times New Roman"/>
          <w:b/>
          <w:sz w:val="20"/>
        </w:rPr>
      </w:pPr>
      <w:r w:rsidRPr="00990A3E">
        <w:rPr>
          <w:rFonts w:ascii="Times New Roman" w:hAnsi="Times New Roman"/>
          <w:b/>
          <w:sz w:val="20"/>
        </w:rPr>
        <w:t>__________________________________________________________________________________</w:t>
      </w:r>
    </w:p>
    <w:p w14:paraId="0E9A72E9" w14:textId="77777777" w:rsidR="00990A3E" w:rsidRPr="00990A3E" w:rsidRDefault="00990A3E" w:rsidP="00990A3E">
      <w:pPr>
        <w:spacing w:after="0" w:line="240" w:lineRule="auto"/>
        <w:jc w:val="left"/>
        <w:rPr>
          <w:rFonts w:ascii="Times New Roman" w:hAnsi="Times New Roman"/>
          <w:b/>
          <w:sz w:val="20"/>
        </w:rPr>
      </w:pPr>
    </w:p>
    <w:p w14:paraId="56370559" w14:textId="77777777" w:rsidR="00990A3E" w:rsidRPr="00990A3E" w:rsidRDefault="00990A3E" w:rsidP="00990A3E">
      <w:pPr>
        <w:spacing w:after="0" w:line="240" w:lineRule="auto"/>
        <w:jc w:val="left"/>
        <w:rPr>
          <w:rFonts w:ascii="Times New Roman" w:hAnsi="Times New Roman"/>
          <w:bCs/>
          <w:sz w:val="20"/>
        </w:rPr>
      </w:pPr>
      <w:r w:rsidRPr="00990A3E">
        <w:rPr>
          <w:rFonts w:ascii="Times New Roman" w:hAnsi="Times New Roman"/>
          <w:b/>
          <w:sz w:val="20"/>
        </w:rPr>
        <w:t>Opinion No.</w:t>
      </w:r>
      <w:r w:rsidRPr="00990A3E">
        <w:rPr>
          <w:rFonts w:ascii="Times New Roman" w:hAnsi="Times New Roman"/>
          <w:sz w:val="20"/>
        </w:rPr>
        <w:t xml:space="preserve"> S244157</w:t>
      </w:r>
    </w:p>
    <w:p w14:paraId="17D503B9" w14:textId="77777777" w:rsidR="00990A3E" w:rsidRPr="00990A3E" w:rsidRDefault="00990A3E" w:rsidP="00990A3E">
      <w:pPr>
        <w:spacing w:after="0" w:line="240" w:lineRule="auto"/>
        <w:jc w:val="left"/>
        <w:rPr>
          <w:rFonts w:ascii="Times New Roman" w:hAnsi="Times New Roman"/>
          <w:bCs/>
          <w:sz w:val="20"/>
        </w:rPr>
      </w:pPr>
      <w:r w:rsidRPr="00990A3E">
        <w:rPr>
          <w:rFonts w:ascii="Times New Roman" w:hAnsi="Times New Roman"/>
          <w:b/>
          <w:sz w:val="20"/>
        </w:rPr>
        <w:t>Date Filed:</w:t>
      </w:r>
      <w:r w:rsidRPr="00990A3E">
        <w:rPr>
          <w:rFonts w:ascii="Times New Roman" w:hAnsi="Times New Roman"/>
          <w:sz w:val="20"/>
        </w:rPr>
        <w:t xml:space="preserve"> May 6, 2019</w:t>
      </w:r>
    </w:p>
    <w:p w14:paraId="61FC8242" w14:textId="77777777" w:rsidR="00990A3E" w:rsidRPr="00990A3E" w:rsidRDefault="00990A3E" w:rsidP="00990A3E">
      <w:pPr>
        <w:spacing w:after="0" w:line="240" w:lineRule="auto"/>
        <w:jc w:val="left"/>
        <w:rPr>
          <w:rFonts w:ascii="Times New Roman" w:hAnsi="Times New Roman"/>
          <w:b/>
          <w:sz w:val="20"/>
        </w:rPr>
      </w:pPr>
      <w:r w:rsidRPr="00990A3E">
        <w:rPr>
          <w:rFonts w:ascii="Times New Roman" w:hAnsi="Times New Roman"/>
          <w:b/>
          <w:sz w:val="20"/>
        </w:rPr>
        <w:t>__________________________________________________________________________________</w:t>
      </w:r>
    </w:p>
    <w:p w14:paraId="2F1E04B4" w14:textId="77777777" w:rsidR="00990A3E" w:rsidRPr="00990A3E" w:rsidRDefault="00990A3E" w:rsidP="00990A3E">
      <w:pPr>
        <w:spacing w:after="0" w:line="240" w:lineRule="auto"/>
        <w:jc w:val="left"/>
        <w:rPr>
          <w:rFonts w:ascii="Times New Roman" w:hAnsi="Times New Roman"/>
          <w:b/>
          <w:sz w:val="20"/>
        </w:rPr>
      </w:pPr>
    </w:p>
    <w:p w14:paraId="2DA7485B" w14:textId="77777777" w:rsidR="00990A3E" w:rsidRPr="00990A3E" w:rsidRDefault="00990A3E" w:rsidP="00990A3E">
      <w:pPr>
        <w:spacing w:after="0" w:line="240" w:lineRule="auto"/>
        <w:jc w:val="left"/>
        <w:rPr>
          <w:rFonts w:ascii="Times New Roman" w:hAnsi="Times New Roman"/>
          <w:bCs/>
          <w:sz w:val="20"/>
        </w:rPr>
      </w:pPr>
      <w:r w:rsidRPr="00990A3E">
        <w:rPr>
          <w:rFonts w:ascii="Times New Roman" w:hAnsi="Times New Roman"/>
          <w:b/>
          <w:sz w:val="20"/>
        </w:rPr>
        <w:t>Court:</w:t>
      </w:r>
      <w:r w:rsidRPr="00990A3E">
        <w:rPr>
          <w:rFonts w:ascii="Times New Roman" w:hAnsi="Times New Roman"/>
          <w:sz w:val="20"/>
        </w:rPr>
        <w:t xml:space="preserve"> Superior</w:t>
      </w:r>
    </w:p>
    <w:p w14:paraId="058F922B" w14:textId="77777777" w:rsidR="00990A3E" w:rsidRPr="00990A3E" w:rsidRDefault="00990A3E" w:rsidP="00990A3E">
      <w:pPr>
        <w:spacing w:after="0" w:line="240" w:lineRule="auto"/>
        <w:jc w:val="left"/>
        <w:rPr>
          <w:rFonts w:ascii="Times New Roman" w:hAnsi="Times New Roman"/>
          <w:bCs/>
          <w:sz w:val="20"/>
        </w:rPr>
      </w:pPr>
      <w:r w:rsidRPr="00990A3E">
        <w:rPr>
          <w:rFonts w:ascii="Times New Roman" w:hAnsi="Times New Roman"/>
          <w:b/>
          <w:sz w:val="20"/>
        </w:rPr>
        <w:t>County:</w:t>
      </w:r>
      <w:r w:rsidRPr="00990A3E">
        <w:rPr>
          <w:rFonts w:ascii="Times New Roman" w:hAnsi="Times New Roman"/>
          <w:sz w:val="20"/>
        </w:rPr>
        <w:t xml:space="preserve"> Los Angeles</w:t>
      </w:r>
    </w:p>
    <w:p w14:paraId="6FE73D8E" w14:textId="77777777" w:rsidR="00990A3E" w:rsidRPr="00990A3E" w:rsidRDefault="00990A3E" w:rsidP="00990A3E">
      <w:pPr>
        <w:spacing w:after="0" w:line="240" w:lineRule="auto"/>
        <w:ind w:left="720" w:hanging="720"/>
        <w:jc w:val="left"/>
        <w:rPr>
          <w:rFonts w:ascii="Times New Roman" w:hAnsi="Times New Roman"/>
          <w:bCs/>
          <w:sz w:val="20"/>
        </w:rPr>
      </w:pPr>
      <w:r w:rsidRPr="00990A3E">
        <w:rPr>
          <w:rFonts w:ascii="Times New Roman" w:hAnsi="Times New Roman"/>
          <w:b/>
          <w:sz w:val="20"/>
        </w:rPr>
        <w:t>Judge:</w:t>
      </w:r>
      <w:r w:rsidRPr="00990A3E">
        <w:rPr>
          <w:rFonts w:ascii="Times New Roman" w:hAnsi="Times New Roman"/>
          <w:sz w:val="20"/>
        </w:rPr>
        <w:t xml:space="preserve"> Terry A. Green</w:t>
      </w:r>
    </w:p>
    <w:p w14:paraId="15316ACC" w14:textId="77777777" w:rsidR="00990A3E" w:rsidRPr="00990A3E" w:rsidRDefault="00990A3E" w:rsidP="00990A3E">
      <w:pPr>
        <w:spacing w:after="0" w:line="240" w:lineRule="auto"/>
        <w:jc w:val="left"/>
        <w:rPr>
          <w:rFonts w:ascii="Times New Roman" w:hAnsi="Times New Roman"/>
          <w:b/>
          <w:sz w:val="20"/>
        </w:rPr>
      </w:pPr>
    </w:p>
    <w:p w14:paraId="23DAD17A" w14:textId="77777777" w:rsidR="00990A3E" w:rsidRPr="00990A3E" w:rsidRDefault="00990A3E" w:rsidP="00990A3E">
      <w:pPr>
        <w:spacing w:after="0" w:line="240" w:lineRule="auto"/>
        <w:jc w:val="left"/>
        <w:rPr>
          <w:rFonts w:ascii="Times New Roman" w:hAnsi="Times New Roman"/>
          <w:b/>
          <w:sz w:val="20"/>
        </w:rPr>
      </w:pPr>
      <w:r w:rsidRPr="00990A3E">
        <w:rPr>
          <w:rFonts w:ascii="Times New Roman" w:hAnsi="Times New Roman"/>
          <w:b/>
          <w:sz w:val="20"/>
        </w:rPr>
        <w:t>__________________________________________________________________________________</w:t>
      </w:r>
    </w:p>
    <w:p w14:paraId="1CA30618" w14:textId="77777777" w:rsidR="00990A3E" w:rsidRPr="00990A3E" w:rsidRDefault="00990A3E" w:rsidP="00990A3E">
      <w:pPr>
        <w:spacing w:after="0" w:line="240" w:lineRule="auto"/>
        <w:jc w:val="left"/>
        <w:rPr>
          <w:rFonts w:ascii="Times New Roman" w:hAnsi="Times New Roman"/>
          <w:b/>
          <w:sz w:val="20"/>
        </w:rPr>
      </w:pPr>
    </w:p>
    <w:p w14:paraId="352D9937" w14:textId="77777777" w:rsidR="00990A3E" w:rsidRPr="00990A3E" w:rsidRDefault="00990A3E" w:rsidP="00990A3E">
      <w:pPr>
        <w:spacing w:after="0" w:line="240" w:lineRule="auto"/>
        <w:jc w:val="left"/>
        <w:rPr>
          <w:rFonts w:ascii="Times New Roman" w:hAnsi="Times New Roman"/>
          <w:b/>
          <w:sz w:val="20"/>
        </w:rPr>
      </w:pPr>
      <w:r w:rsidRPr="00990A3E">
        <w:rPr>
          <w:rFonts w:ascii="Times New Roman" w:hAnsi="Times New Roman"/>
          <w:b/>
          <w:sz w:val="20"/>
        </w:rPr>
        <w:t>Counsel:</w:t>
      </w:r>
    </w:p>
    <w:p w14:paraId="315BAC4C" w14:textId="77777777" w:rsidR="00990A3E" w:rsidRPr="00990A3E" w:rsidRDefault="00990A3E" w:rsidP="00990A3E">
      <w:pPr>
        <w:spacing w:after="0" w:line="240" w:lineRule="auto"/>
        <w:jc w:val="left"/>
        <w:rPr>
          <w:rFonts w:ascii="Times New Roman" w:hAnsi="Times New Roman"/>
          <w:b/>
          <w:sz w:val="20"/>
        </w:rPr>
      </w:pPr>
    </w:p>
    <w:p w14:paraId="24EDA6DE" w14:textId="77777777" w:rsidR="00990A3E" w:rsidRPr="00990A3E" w:rsidRDefault="00990A3E" w:rsidP="00990A3E">
      <w:pPr>
        <w:spacing w:after="0" w:line="240" w:lineRule="auto"/>
        <w:jc w:val="left"/>
        <w:rPr>
          <w:rFonts w:ascii="Times New Roman" w:hAnsi="Times New Roman"/>
          <w:sz w:val="20"/>
        </w:rPr>
      </w:pPr>
      <w:r w:rsidRPr="00990A3E">
        <w:rPr>
          <w:rFonts w:ascii="Times New Roman" w:hAnsi="Times New Roman"/>
          <w:sz w:val="20"/>
        </w:rPr>
        <w:t xml:space="preserve">Baker Marquart, Ryan G. Baker, Scott M. Malzahn, Jaime W. Marquart, Christian A. </w:t>
      </w:r>
      <w:proofErr w:type="spellStart"/>
      <w:r w:rsidRPr="00990A3E">
        <w:rPr>
          <w:rFonts w:ascii="Times New Roman" w:hAnsi="Times New Roman"/>
          <w:sz w:val="20"/>
        </w:rPr>
        <w:t>Anstett</w:t>
      </w:r>
      <w:proofErr w:type="spellEnd"/>
      <w:r w:rsidRPr="00990A3E">
        <w:rPr>
          <w:rFonts w:ascii="Times New Roman" w:hAnsi="Times New Roman"/>
          <w:sz w:val="20"/>
        </w:rPr>
        <w:t xml:space="preserve"> and Blake D. </w:t>
      </w:r>
      <w:proofErr w:type="spellStart"/>
      <w:r w:rsidRPr="00990A3E">
        <w:rPr>
          <w:rFonts w:ascii="Times New Roman" w:hAnsi="Times New Roman"/>
          <w:sz w:val="20"/>
        </w:rPr>
        <w:t>McCay</w:t>
      </w:r>
      <w:proofErr w:type="spellEnd"/>
      <w:r w:rsidRPr="00990A3E">
        <w:rPr>
          <w:rFonts w:ascii="Times New Roman" w:hAnsi="Times New Roman"/>
          <w:sz w:val="20"/>
        </w:rPr>
        <w:t xml:space="preserve"> for Plaintiff and Appellant.</w:t>
      </w:r>
    </w:p>
    <w:p w14:paraId="4C276286" w14:textId="77777777" w:rsidR="00990A3E" w:rsidRPr="00990A3E" w:rsidRDefault="00990A3E" w:rsidP="00990A3E">
      <w:pPr>
        <w:spacing w:after="0" w:line="240" w:lineRule="auto"/>
        <w:jc w:val="left"/>
        <w:rPr>
          <w:rFonts w:ascii="Times New Roman" w:hAnsi="Times New Roman"/>
          <w:sz w:val="20"/>
        </w:rPr>
      </w:pPr>
    </w:p>
    <w:p w14:paraId="1DFB7A49" w14:textId="77777777" w:rsidR="00990A3E" w:rsidRPr="00990A3E" w:rsidRDefault="00990A3E" w:rsidP="00990A3E">
      <w:pPr>
        <w:spacing w:after="0" w:line="240" w:lineRule="auto"/>
        <w:jc w:val="left"/>
        <w:rPr>
          <w:rFonts w:ascii="Times New Roman" w:hAnsi="Times New Roman"/>
          <w:sz w:val="20"/>
        </w:rPr>
      </w:pPr>
      <w:r w:rsidRPr="00990A3E">
        <w:rPr>
          <w:rFonts w:ascii="Times New Roman" w:hAnsi="Times New Roman"/>
          <w:sz w:val="20"/>
        </w:rPr>
        <w:t xml:space="preserve">Fox Rothschild, Lincoln D. </w:t>
      </w:r>
      <w:proofErr w:type="spellStart"/>
      <w:r w:rsidRPr="00990A3E">
        <w:rPr>
          <w:rFonts w:ascii="Times New Roman" w:hAnsi="Times New Roman"/>
          <w:sz w:val="20"/>
        </w:rPr>
        <w:t>Bandlow</w:t>
      </w:r>
      <w:proofErr w:type="spellEnd"/>
      <w:r w:rsidRPr="00990A3E">
        <w:rPr>
          <w:rFonts w:ascii="Times New Roman" w:hAnsi="Times New Roman"/>
          <w:sz w:val="20"/>
        </w:rPr>
        <w:t>, Margo J. Arnold and Rom Bar-</w:t>
      </w:r>
      <w:proofErr w:type="spellStart"/>
      <w:r w:rsidRPr="00990A3E">
        <w:rPr>
          <w:rFonts w:ascii="Times New Roman" w:hAnsi="Times New Roman"/>
          <w:sz w:val="20"/>
        </w:rPr>
        <w:t>Nissam</w:t>
      </w:r>
      <w:proofErr w:type="spellEnd"/>
      <w:r w:rsidRPr="00990A3E">
        <w:rPr>
          <w:rFonts w:ascii="Times New Roman" w:hAnsi="Times New Roman"/>
          <w:sz w:val="20"/>
        </w:rPr>
        <w:t xml:space="preserve"> for Defendant and Respondent.</w:t>
      </w:r>
    </w:p>
    <w:p w14:paraId="538F008F" w14:textId="77777777" w:rsidR="00990A3E" w:rsidRPr="00990A3E" w:rsidRDefault="00990A3E" w:rsidP="00990A3E">
      <w:pPr>
        <w:spacing w:after="0" w:line="240" w:lineRule="auto"/>
        <w:jc w:val="left"/>
        <w:rPr>
          <w:rFonts w:ascii="Times New Roman" w:hAnsi="Times New Roman"/>
          <w:b/>
          <w:sz w:val="20"/>
        </w:rPr>
      </w:pPr>
    </w:p>
    <w:p w14:paraId="30155713" w14:textId="77777777" w:rsidR="00990A3E" w:rsidRPr="00990A3E" w:rsidRDefault="00990A3E" w:rsidP="00990A3E">
      <w:pPr>
        <w:spacing w:after="0" w:line="240" w:lineRule="auto"/>
        <w:jc w:val="left"/>
        <w:rPr>
          <w:rFonts w:ascii="Times New Roman" w:hAnsi="Times New Roman"/>
          <w:sz w:val="20"/>
        </w:rPr>
      </w:pPr>
      <w:r w:rsidRPr="00990A3E">
        <w:rPr>
          <w:rFonts w:ascii="Times New Roman" w:hAnsi="Times New Roman"/>
          <w:sz w:val="20"/>
        </w:rPr>
        <w:t>Davis Wright Tremaine, Kelli L. Sager, Rochelle L. Wilcox and Thomas R. Burke for Motion Picture Association of America, Inc., The Hearst Corporation, Tegna Inc., California News Publishers Association and First Amendment Coalition as Amici Curiae on behalf of Defendant and Respondent.</w:t>
      </w:r>
    </w:p>
    <w:p w14:paraId="3DBA47AC" w14:textId="77777777" w:rsidR="00990A3E" w:rsidRPr="00990A3E" w:rsidRDefault="00990A3E" w:rsidP="00990A3E">
      <w:pPr>
        <w:spacing w:after="0" w:line="240" w:lineRule="auto"/>
        <w:jc w:val="left"/>
        <w:rPr>
          <w:rFonts w:ascii="Times New Roman" w:hAnsi="Times New Roman"/>
          <w:b/>
          <w:sz w:val="20"/>
        </w:rPr>
      </w:pPr>
    </w:p>
    <w:p w14:paraId="2E5C6E2C" w14:textId="77777777" w:rsidR="00990A3E" w:rsidRPr="00990A3E" w:rsidRDefault="00990A3E" w:rsidP="00990A3E">
      <w:pPr>
        <w:spacing w:after="0" w:line="240" w:lineRule="auto"/>
        <w:jc w:val="left"/>
        <w:rPr>
          <w:rFonts w:ascii="Times New Roman" w:hAnsi="Times New Roman"/>
          <w:b/>
          <w:sz w:val="20"/>
        </w:rPr>
      </w:pPr>
    </w:p>
    <w:p w14:paraId="2AFB5BE9" w14:textId="77777777" w:rsidR="00990A3E" w:rsidRPr="00990A3E" w:rsidRDefault="00990A3E" w:rsidP="00990A3E">
      <w:pPr>
        <w:spacing w:after="0" w:line="240" w:lineRule="auto"/>
        <w:jc w:val="left"/>
        <w:rPr>
          <w:rFonts w:ascii="Times New Roman" w:hAnsi="Times New Roman"/>
          <w:b/>
          <w:sz w:val="20"/>
        </w:rPr>
      </w:pPr>
      <w:r w:rsidRPr="00990A3E">
        <w:rPr>
          <w:rFonts w:ascii="Times New Roman" w:hAnsi="Times New Roman"/>
          <w:b/>
          <w:sz w:val="20"/>
        </w:rPr>
        <w:br w:type="page"/>
      </w:r>
    </w:p>
    <w:p w14:paraId="0801CFE4" w14:textId="77777777" w:rsidR="00990A3E" w:rsidRPr="00990A3E" w:rsidRDefault="00990A3E" w:rsidP="00990A3E">
      <w:pPr>
        <w:spacing w:after="0" w:line="240" w:lineRule="auto"/>
        <w:jc w:val="left"/>
        <w:rPr>
          <w:rFonts w:ascii="Times New Roman" w:hAnsi="Times New Roman"/>
          <w:b/>
          <w:sz w:val="20"/>
        </w:rPr>
      </w:pPr>
    </w:p>
    <w:p w14:paraId="489113ED" w14:textId="77777777" w:rsidR="00990A3E" w:rsidRPr="00990A3E" w:rsidRDefault="00990A3E" w:rsidP="00990A3E">
      <w:pPr>
        <w:spacing w:after="0" w:line="240" w:lineRule="auto"/>
        <w:jc w:val="left"/>
        <w:rPr>
          <w:rFonts w:ascii="Times New Roman" w:hAnsi="Times New Roman"/>
          <w:b/>
          <w:sz w:val="20"/>
        </w:rPr>
      </w:pPr>
    </w:p>
    <w:p w14:paraId="00B64A7C" w14:textId="77777777" w:rsidR="00990A3E" w:rsidRPr="00990A3E" w:rsidRDefault="00990A3E" w:rsidP="00990A3E">
      <w:pPr>
        <w:spacing w:after="0" w:line="240" w:lineRule="auto"/>
        <w:jc w:val="left"/>
        <w:rPr>
          <w:rFonts w:ascii="Times New Roman" w:hAnsi="Times New Roman"/>
          <w:b/>
          <w:sz w:val="20"/>
        </w:rPr>
      </w:pPr>
    </w:p>
    <w:p w14:paraId="6C543349" w14:textId="77777777" w:rsidR="00990A3E" w:rsidRPr="00990A3E" w:rsidRDefault="00990A3E" w:rsidP="00990A3E">
      <w:pPr>
        <w:spacing w:after="0" w:line="240" w:lineRule="auto"/>
        <w:jc w:val="left"/>
        <w:rPr>
          <w:rFonts w:ascii="Times New Roman" w:hAnsi="Times New Roman"/>
          <w:b/>
          <w:sz w:val="20"/>
        </w:rPr>
      </w:pPr>
      <w:r w:rsidRPr="00990A3E">
        <w:rPr>
          <w:rFonts w:ascii="Times New Roman" w:hAnsi="Times New Roman"/>
          <w:b/>
          <w:sz w:val="20"/>
        </w:rPr>
        <w:t>Counsel who argued in Supreme Court (not intended for publication with opinion):</w:t>
      </w:r>
    </w:p>
    <w:p w14:paraId="75407938" w14:textId="77777777" w:rsidR="00990A3E" w:rsidRPr="00990A3E" w:rsidRDefault="00990A3E" w:rsidP="00990A3E">
      <w:pPr>
        <w:spacing w:after="0" w:line="240" w:lineRule="auto"/>
        <w:jc w:val="left"/>
        <w:rPr>
          <w:rFonts w:ascii="Times New Roman" w:hAnsi="Times New Roman"/>
          <w:b/>
          <w:sz w:val="20"/>
        </w:rPr>
      </w:pPr>
    </w:p>
    <w:p w14:paraId="45774EE8" w14:textId="77777777" w:rsidR="00990A3E" w:rsidRPr="00990A3E" w:rsidRDefault="00990A3E" w:rsidP="00990A3E">
      <w:pPr>
        <w:spacing w:after="0" w:line="240" w:lineRule="auto"/>
        <w:jc w:val="left"/>
        <w:rPr>
          <w:rFonts w:ascii="Times New Roman" w:hAnsi="Times New Roman"/>
          <w:sz w:val="20"/>
        </w:rPr>
      </w:pPr>
      <w:r w:rsidRPr="00990A3E">
        <w:rPr>
          <w:rFonts w:ascii="Times New Roman" w:hAnsi="Times New Roman"/>
          <w:sz w:val="20"/>
        </w:rPr>
        <w:t>Ryan G. Baker</w:t>
      </w:r>
    </w:p>
    <w:p w14:paraId="0D1AF3F9" w14:textId="77777777" w:rsidR="00990A3E" w:rsidRPr="00990A3E" w:rsidRDefault="00990A3E" w:rsidP="00990A3E">
      <w:pPr>
        <w:spacing w:after="0" w:line="240" w:lineRule="auto"/>
        <w:jc w:val="left"/>
        <w:rPr>
          <w:rFonts w:ascii="Times New Roman" w:hAnsi="Times New Roman"/>
          <w:sz w:val="20"/>
        </w:rPr>
      </w:pPr>
      <w:r w:rsidRPr="00990A3E">
        <w:rPr>
          <w:rFonts w:ascii="Times New Roman" w:hAnsi="Times New Roman"/>
          <w:sz w:val="20"/>
        </w:rPr>
        <w:t>Baker Marquart</w:t>
      </w:r>
    </w:p>
    <w:p w14:paraId="5E0E5B31" w14:textId="77777777" w:rsidR="00990A3E" w:rsidRPr="00990A3E" w:rsidRDefault="00990A3E" w:rsidP="00990A3E">
      <w:pPr>
        <w:spacing w:after="0" w:line="240" w:lineRule="auto"/>
        <w:jc w:val="left"/>
        <w:rPr>
          <w:rFonts w:ascii="Times New Roman" w:hAnsi="Times New Roman"/>
          <w:sz w:val="20"/>
        </w:rPr>
      </w:pPr>
      <w:r w:rsidRPr="00990A3E">
        <w:rPr>
          <w:rFonts w:ascii="Times New Roman" w:hAnsi="Times New Roman"/>
          <w:sz w:val="20"/>
        </w:rPr>
        <w:t>777 S. Figueroa Street, Suite 2850</w:t>
      </w:r>
    </w:p>
    <w:p w14:paraId="67CD486E" w14:textId="77777777" w:rsidR="00990A3E" w:rsidRPr="00990A3E" w:rsidRDefault="00990A3E" w:rsidP="00990A3E">
      <w:pPr>
        <w:spacing w:after="0" w:line="240" w:lineRule="auto"/>
        <w:jc w:val="left"/>
        <w:rPr>
          <w:rFonts w:ascii="Times New Roman" w:hAnsi="Times New Roman"/>
          <w:sz w:val="20"/>
        </w:rPr>
      </w:pPr>
      <w:r w:rsidRPr="00990A3E">
        <w:rPr>
          <w:rFonts w:ascii="Times New Roman" w:hAnsi="Times New Roman"/>
          <w:sz w:val="20"/>
        </w:rPr>
        <w:t>Los Angeles, CA  90071</w:t>
      </w:r>
    </w:p>
    <w:p w14:paraId="496097CD" w14:textId="77777777" w:rsidR="00990A3E" w:rsidRPr="00990A3E" w:rsidRDefault="00990A3E" w:rsidP="00990A3E">
      <w:pPr>
        <w:spacing w:after="0" w:line="240" w:lineRule="auto"/>
        <w:jc w:val="left"/>
        <w:rPr>
          <w:rFonts w:ascii="Times New Roman" w:hAnsi="Times New Roman"/>
          <w:sz w:val="20"/>
        </w:rPr>
      </w:pPr>
      <w:r w:rsidRPr="00990A3E">
        <w:rPr>
          <w:rFonts w:ascii="Times New Roman" w:hAnsi="Times New Roman"/>
          <w:sz w:val="20"/>
        </w:rPr>
        <w:t>(424) 652-7800</w:t>
      </w:r>
    </w:p>
    <w:p w14:paraId="19AC6645" w14:textId="77777777" w:rsidR="00990A3E" w:rsidRPr="00990A3E" w:rsidRDefault="00990A3E" w:rsidP="00990A3E">
      <w:pPr>
        <w:spacing w:after="0" w:line="240" w:lineRule="auto"/>
        <w:jc w:val="left"/>
        <w:rPr>
          <w:rFonts w:ascii="Times New Roman" w:hAnsi="Times New Roman"/>
          <w:sz w:val="20"/>
        </w:rPr>
      </w:pPr>
    </w:p>
    <w:p w14:paraId="05DC33E5" w14:textId="77777777" w:rsidR="00990A3E" w:rsidRPr="00990A3E" w:rsidRDefault="00990A3E" w:rsidP="00990A3E">
      <w:pPr>
        <w:spacing w:after="0" w:line="240" w:lineRule="auto"/>
        <w:jc w:val="left"/>
        <w:rPr>
          <w:rFonts w:ascii="Times New Roman" w:hAnsi="Times New Roman"/>
          <w:sz w:val="20"/>
        </w:rPr>
      </w:pPr>
      <w:r w:rsidRPr="00990A3E">
        <w:rPr>
          <w:rFonts w:ascii="Times New Roman" w:hAnsi="Times New Roman"/>
          <w:sz w:val="20"/>
        </w:rPr>
        <w:t xml:space="preserve">Lincoln D. </w:t>
      </w:r>
      <w:proofErr w:type="spellStart"/>
      <w:r w:rsidRPr="00990A3E">
        <w:rPr>
          <w:rFonts w:ascii="Times New Roman" w:hAnsi="Times New Roman"/>
          <w:sz w:val="20"/>
        </w:rPr>
        <w:t>Bandlow</w:t>
      </w:r>
      <w:proofErr w:type="spellEnd"/>
    </w:p>
    <w:p w14:paraId="6BBF8EF6" w14:textId="77777777" w:rsidR="00990A3E" w:rsidRPr="00990A3E" w:rsidRDefault="00990A3E" w:rsidP="00990A3E">
      <w:pPr>
        <w:spacing w:after="0" w:line="240" w:lineRule="auto"/>
        <w:jc w:val="left"/>
        <w:rPr>
          <w:rFonts w:ascii="Times New Roman" w:hAnsi="Times New Roman"/>
          <w:sz w:val="20"/>
        </w:rPr>
      </w:pPr>
      <w:r w:rsidRPr="00990A3E">
        <w:rPr>
          <w:rFonts w:ascii="Times New Roman" w:hAnsi="Times New Roman"/>
          <w:sz w:val="20"/>
        </w:rPr>
        <w:t>Fox Rothschild</w:t>
      </w:r>
    </w:p>
    <w:p w14:paraId="2EDC6B1B" w14:textId="77777777" w:rsidR="00990A3E" w:rsidRPr="00990A3E" w:rsidRDefault="00990A3E" w:rsidP="00990A3E">
      <w:pPr>
        <w:spacing w:after="0" w:line="240" w:lineRule="auto"/>
        <w:jc w:val="left"/>
        <w:rPr>
          <w:rFonts w:ascii="Times New Roman" w:hAnsi="Times New Roman"/>
          <w:sz w:val="20"/>
        </w:rPr>
      </w:pPr>
      <w:r w:rsidRPr="00990A3E">
        <w:rPr>
          <w:rFonts w:ascii="Times New Roman" w:hAnsi="Times New Roman"/>
          <w:sz w:val="20"/>
        </w:rPr>
        <w:t>10250 Constellation Boulevard, Suite 900</w:t>
      </w:r>
    </w:p>
    <w:p w14:paraId="5905A879" w14:textId="77777777" w:rsidR="00990A3E" w:rsidRPr="00990A3E" w:rsidRDefault="00990A3E" w:rsidP="00990A3E">
      <w:pPr>
        <w:spacing w:after="0" w:line="240" w:lineRule="auto"/>
        <w:jc w:val="left"/>
        <w:rPr>
          <w:rFonts w:ascii="Times New Roman" w:hAnsi="Times New Roman"/>
          <w:sz w:val="20"/>
        </w:rPr>
      </w:pPr>
      <w:r w:rsidRPr="00990A3E">
        <w:rPr>
          <w:rFonts w:ascii="Times New Roman" w:hAnsi="Times New Roman"/>
          <w:sz w:val="20"/>
        </w:rPr>
        <w:t>Los Angeles, CA  90067</w:t>
      </w:r>
    </w:p>
    <w:p w14:paraId="491D169A" w14:textId="77777777" w:rsidR="00990A3E" w:rsidRPr="00990A3E" w:rsidRDefault="00990A3E" w:rsidP="00990A3E">
      <w:pPr>
        <w:spacing w:after="0" w:line="240" w:lineRule="auto"/>
        <w:jc w:val="left"/>
        <w:rPr>
          <w:rFonts w:ascii="Times New Roman" w:hAnsi="Times New Roman"/>
          <w:sz w:val="20"/>
        </w:rPr>
      </w:pPr>
      <w:r w:rsidRPr="00990A3E">
        <w:rPr>
          <w:rFonts w:ascii="Times New Roman" w:hAnsi="Times New Roman"/>
          <w:sz w:val="20"/>
        </w:rPr>
        <w:t>(310) 598-4150</w:t>
      </w:r>
    </w:p>
    <w:p w14:paraId="7BF8FA51" w14:textId="77777777" w:rsidR="00990A3E" w:rsidRPr="00990A3E" w:rsidRDefault="00990A3E" w:rsidP="00990A3E">
      <w:pPr>
        <w:spacing w:after="0" w:line="240" w:lineRule="auto"/>
        <w:jc w:val="left"/>
        <w:rPr>
          <w:rFonts w:ascii="Times New Roman" w:hAnsi="Times New Roman"/>
          <w:sz w:val="20"/>
        </w:rPr>
      </w:pPr>
    </w:p>
    <w:p w14:paraId="19A7F69B" w14:textId="77777777" w:rsidR="00990A3E" w:rsidRPr="00990A3E" w:rsidRDefault="00990A3E" w:rsidP="00990A3E">
      <w:pPr>
        <w:spacing w:after="0" w:line="240" w:lineRule="auto"/>
        <w:jc w:val="left"/>
        <w:rPr>
          <w:rFonts w:ascii="Times New Roman" w:hAnsi="Times New Roman"/>
          <w:sz w:val="20"/>
        </w:rPr>
      </w:pPr>
      <w:r w:rsidRPr="00990A3E">
        <w:rPr>
          <w:rFonts w:ascii="Times New Roman" w:hAnsi="Times New Roman"/>
          <w:sz w:val="20"/>
        </w:rPr>
        <w:t>Rochelle L. Wilcox</w:t>
      </w:r>
    </w:p>
    <w:p w14:paraId="5BAC517A" w14:textId="77777777" w:rsidR="00990A3E" w:rsidRPr="00990A3E" w:rsidRDefault="00990A3E" w:rsidP="00990A3E">
      <w:pPr>
        <w:spacing w:after="0" w:line="240" w:lineRule="auto"/>
        <w:jc w:val="left"/>
        <w:rPr>
          <w:rFonts w:ascii="Times New Roman" w:hAnsi="Times New Roman"/>
          <w:sz w:val="20"/>
        </w:rPr>
      </w:pPr>
      <w:r w:rsidRPr="00990A3E">
        <w:rPr>
          <w:rFonts w:ascii="Times New Roman" w:hAnsi="Times New Roman"/>
          <w:sz w:val="20"/>
        </w:rPr>
        <w:t>Davis Wright Tremaine</w:t>
      </w:r>
    </w:p>
    <w:p w14:paraId="7CBEA5DC" w14:textId="77777777" w:rsidR="00990A3E" w:rsidRPr="00990A3E" w:rsidRDefault="00990A3E" w:rsidP="00990A3E">
      <w:pPr>
        <w:spacing w:after="0" w:line="240" w:lineRule="auto"/>
        <w:jc w:val="left"/>
        <w:rPr>
          <w:rFonts w:ascii="Times New Roman" w:hAnsi="Times New Roman"/>
          <w:sz w:val="20"/>
        </w:rPr>
      </w:pPr>
      <w:r w:rsidRPr="00990A3E">
        <w:rPr>
          <w:rFonts w:ascii="Times New Roman" w:hAnsi="Times New Roman"/>
          <w:sz w:val="20"/>
        </w:rPr>
        <w:t>865 S. Figueroa Street, Suite 2400</w:t>
      </w:r>
    </w:p>
    <w:p w14:paraId="38EDE262" w14:textId="77777777" w:rsidR="00990A3E" w:rsidRPr="00990A3E" w:rsidRDefault="00990A3E" w:rsidP="00990A3E">
      <w:pPr>
        <w:spacing w:after="0" w:line="240" w:lineRule="auto"/>
        <w:jc w:val="left"/>
        <w:rPr>
          <w:rFonts w:ascii="Times New Roman" w:hAnsi="Times New Roman"/>
          <w:sz w:val="20"/>
        </w:rPr>
      </w:pPr>
      <w:r w:rsidRPr="00990A3E">
        <w:rPr>
          <w:rFonts w:ascii="Times New Roman" w:hAnsi="Times New Roman"/>
          <w:sz w:val="20"/>
        </w:rPr>
        <w:t>Los Angeles, CA  90017-2566</w:t>
      </w:r>
    </w:p>
    <w:p w14:paraId="19128E04" w14:textId="77777777" w:rsidR="00990A3E" w:rsidRPr="00990A3E" w:rsidRDefault="00990A3E" w:rsidP="00990A3E">
      <w:pPr>
        <w:spacing w:after="0" w:line="240" w:lineRule="auto"/>
        <w:jc w:val="left"/>
        <w:rPr>
          <w:rFonts w:ascii="Times New Roman" w:hAnsi="Times New Roman"/>
          <w:b/>
          <w:sz w:val="20"/>
        </w:rPr>
      </w:pPr>
      <w:r w:rsidRPr="00990A3E">
        <w:rPr>
          <w:rFonts w:ascii="Times New Roman" w:hAnsi="Times New Roman"/>
          <w:sz w:val="20"/>
        </w:rPr>
        <w:t>(213) 633-6800</w:t>
      </w:r>
    </w:p>
    <w:p w14:paraId="77DEDCB5" w14:textId="77777777" w:rsidR="00FC283B" w:rsidRPr="00E46099" w:rsidRDefault="00FC283B" w:rsidP="00E46099"/>
    <w:sectPr w:rsidR="00FC283B" w:rsidRPr="00E4609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78AF5" w14:textId="77777777" w:rsidR="00AF3B4F" w:rsidRDefault="00AF3B4F">
      <w:r>
        <w:separator/>
      </w:r>
    </w:p>
  </w:endnote>
  <w:endnote w:type="continuationSeparator" w:id="0">
    <w:p w14:paraId="119CF21C" w14:textId="77777777" w:rsidR="00AF3B4F" w:rsidRDefault="00AF3B4F">
      <w:r>
        <w:continuationSeparator/>
      </w:r>
    </w:p>
  </w:endnote>
  <w:endnote w:type="continuationNotice" w:id="1">
    <w:p w14:paraId="340DFAC3" w14:textId="77777777" w:rsidR="00AF3B4F" w:rsidRDefault="00AF3B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A0BA" w14:textId="77777777" w:rsidR="00C1426F" w:rsidRDefault="00C1426F">
    <w:pPr>
      <w:pStyle w:val="Footer"/>
    </w:pPr>
    <w:r>
      <w:fldChar w:fldCharType="begin"/>
    </w:r>
    <w:r>
      <w:instrText>PAGE</w:instrText>
    </w:r>
    <w:r>
      <w:fldChar w:fldCharType="separate"/>
    </w:r>
    <w:r w:rsidR="003E2DFE">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8F0E5" w14:textId="77777777" w:rsidR="00C1426F" w:rsidRDefault="00C1426F">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DD94" w14:textId="77777777" w:rsidR="00F84DC3" w:rsidRDefault="008111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F34D0" w14:textId="77777777" w:rsidR="00F84DC3" w:rsidRDefault="0081112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3A78" w14:textId="77777777" w:rsidR="00F84DC3" w:rsidRDefault="00811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7985C" w14:textId="77777777" w:rsidR="00AF3B4F" w:rsidRDefault="00AF3B4F">
      <w:r>
        <w:separator/>
      </w:r>
    </w:p>
  </w:footnote>
  <w:footnote w:type="continuationSeparator" w:id="0">
    <w:p w14:paraId="7349576D" w14:textId="77777777" w:rsidR="00AF3B4F" w:rsidRDefault="00AF3B4F">
      <w:pPr>
        <w:rPr>
          <w:sz w:val="22"/>
        </w:rPr>
      </w:pPr>
      <w:r>
        <w:continuationSeparator/>
      </w:r>
    </w:p>
  </w:footnote>
  <w:footnote w:type="continuationNotice" w:id="1">
    <w:p w14:paraId="6158E4C5" w14:textId="77777777" w:rsidR="00AF3B4F" w:rsidRDefault="00AF3B4F">
      <w:pPr>
        <w:jc w:val="right"/>
        <w:rPr>
          <w:i/>
          <w:sz w:val="20"/>
        </w:rPr>
      </w:pPr>
    </w:p>
  </w:footnote>
  <w:footnote w:id="2">
    <w:p w14:paraId="1874E4BA" w14:textId="77777777" w:rsidR="00C1426F" w:rsidRDefault="00C1426F" w:rsidP="00E46099">
      <w:pPr>
        <w:pStyle w:val="FootnoteText"/>
      </w:pPr>
      <w:r>
        <w:rPr>
          <w:rStyle w:val="FootnoteReference"/>
        </w:rPr>
        <w:footnoteRef/>
      </w:r>
      <w:r>
        <w:t xml:space="preserve"> </w:t>
      </w:r>
      <w:r>
        <w:tab/>
        <w:t xml:space="preserve">All further undesignated </w:t>
      </w:r>
      <w:r w:rsidR="001D5C38">
        <w:t xml:space="preserve">statutory </w:t>
      </w:r>
      <w:r>
        <w:t>references are to the Code of Civil Procedure.</w:t>
      </w:r>
    </w:p>
  </w:footnote>
  <w:footnote w:id="3">
    <w:p w14:paraId="57777415" w14:textId="77777777" w:rsidR="001D5C38" w:rsidRDefault="001D5C38">
      <w:pPr>
        <w:pStyle w:val="FootnoteText"/>
      </w:pPr>
      <w:r>
        <w:rPr>
          <w:rStyle w:val="FootnoteReference"/>
        </w:rPr>
        <w:footnoteRef/>
      </w:r>
      <w:r>
        <w:t xml:space="preserve"> </w:t>
      </w:r>
      <w:r w:rsidR="00BA6880">
        <w:tab/>
      </w:r>
      <w:r>
        <w:t xml:space="preserve">All Internet citations in this opinion are archived by year, docket number, and case name at </w:t>
      </w:r>
      <w:r w:rsidRPr="00A75B02">
        <w:t>http://www.courts.ca.gov/38324.htm</w:t>
      </w:r>
      <w:r>
        <w:t>.</w:t>
      </w:r>
    </w:p>
  </w:footnote>
  <w:footnote w:id="4">
    <w:p w14:paraId="1CAD3288" w14:textId="77777777" w:rsidR="00C1426F" w:rsidRDefault="00C1426F" w:rsidP="00900E07">
      <w:pPr>
        <w:pStyle w:val="FootnoteText"/>
      </w:pPr>
      <w:r>
        <w:rPr>
          <w:rStyle w:val="FootnoteReference"/>
        </w:rPr>
        <w:footnoteRef/>
      </w:r>
      <w:r>
        <w:t xml:space="preserve"> </w:t>
      </w:r>
      <w:r>
        <w:tab/>
        <w:t>In its entirety, section 425.17, subdivision (c), states:  “Section 425.16 does not apply to any cause of action brought against a person primarily engaged in the business of selling or leasing goods or services, including, but not limited to, insurance, securities, or financial instruments, arising from any statement or conduct by that person if both of the following conditions exist:</w:t>
      </w:r>
    </w:p>
    <w:p w14:paraId="3B784A46" w14:textId="77777777" w:rsidR="00C1426F" w:rsidRDefault="00C1426F" w:rsidP="00900E07">
      <w:pPr>
        <w:pStyle w:val="FootnoteText"/>
        <w:numPr>
          <w:ilvl w:val="0"/>
          <w:numId w:val="2"/>
        </w:numPr>
        <w:spacing w:before="120"/>
        <w:ind w:left="1094" w:hanging="374"/>
      </w:pPr>
      <w:r>
        <w:t>The statement or conduct consists of representations of fact about that person’s or a business competitor’s business operations, goods, or services, that is made for the purpose of obtaining approval for, promoting, or securing sales or leases of, or commercial transactions in, the person’s goods or services, or the statement or conduct was made in the course of delivering the person’s goods or services.</w:t>
      </w:r>
    </w:p>
    <w:p w14:paraId="10C6221E" w14:textId="77777777" w:rsidR="00C1426F" w:rsidRDefault="00C1426F" w:rsidP="00900E07">
      <w:pPr>
        <w:pStyle w:val="FootnoteText"/>
        <w:numPr>
          <w:ilvl w:val="0"/>
          <w:numId w:val="2"/>
        </w:numPr>
        <w:spacing w:before="120"/>
      </w:pPr>
      <w:r>
        <w:t>The intended audience is an actual or potential buyer or customer, or a person likely to repeat the statement to, or otherwise influence, an actual or potential buyer or customer, or the statement or conduct arose out of or within the context of a regulatory approval process, proceeding, or investigation, except where the statement or conduct was made by a telephone corporation in the course of a proceeding before the California Public Utilities Commission and is the subject of a lawsuit brought by a competitor, notwithstanding that the conduct or statement concerns an important public issue.”</w:t>
      </w:r>
    </w:p>
    <w:p w14:paraId="1C17A5B4" w14:textId="77777777" w:rsidR="00C1426F" w:rsidRDefault="00C1426F" w:rsidP="00900E07">
      <w:pPr>
        <w:pStyle w:val="FootnoteText"/>
        <w:spacing w:before="120"/>
        <w:ind w:left="1095"/>
      </w:pPr>
    </w:p>
  </w:footnote>
  <w:footnote w:id="5">
    <w:p w14:paraId="523CA4D5" w14:textId="77777777" w:rsidR="00C1426F" w:rsidRDefault="00C1426F" w:rsidP="00346590">
      <w:pPr>
        <w:pStyle w:val="FootnoteText"/>
      </w:pPr>
      <w:r>
        <w:rPr>
          <w:rStyle w:val="FootnoteReference"/>
        </w:rPr>
        <w:footnoteRef/>
      </w:r>
      <w:r>
        <w:t xml:space="preserve"> </w:t>
      </w:r>
      <w:r>
        <w:tab/>
        <w:t xml:space="preserve">The parties agree that </w:t>
      </w:r>
      <w:proofErr w:type="spellStart"/>
      <w:r w:rsidRPr="00B322BB">
        <w:t>DoubleVerify’s</w:t>
      </w:r>
      <w:proofErr w:type="spellEnd"/>
      <w:r w:rsidRPr="00B322BB">
        <w:t xml:space="preserve"> reports to its clients are not e</w:t>
      </w:r>
      <w:r w:rsidR="00B32480">
        <w:t>x</w:t>
      </w:r>
      <w:r>
        <w:t>e</w:t>
      </w:r>
      <w:r w:rsidR="00B32480">
        <w:t>m</w:t>
      </w:r>
      <w:r>
        <w:t>pted</w:t>
      </w:r>
      <w:r w:rsidRPr="00B322BB">
        <w:t xml:space="preserve"> under section 425.17, subdivision (c)</w:t>
      </w:r>
      <w:r>
        <w:t>,</w:t>
      </w:r>
      <w:r w:rsidRPr="00B322BB">
        <w:t xml:space="preserve"> because </w:t>
      </w:r>
      <w:proofErr w:type="spellStart"/>
      <w:r w:rsidRPr="00B322BB">
        <w:t>DoubleVerify</w:t>
      </w:r>
      <w:proofErr w:type="spellEnd"/>
      <w:r w:rsidRPr="00B322BB">
        <w:t xml:space="preserve"> was not making representations about its own business but </w:t>
      </w:r>
      <w:proofErr w:type="spellStart"/>
      <w:r w:rsidRPr="00B322BB">
        <w:t>FilmOn’s</w:t>
      </w:r>
      <w:proofErr w:type="spellEnd"/>
      <w:r w:rsidRPr="00B322BB">
        <w:t xml:space="preserve">, and </w:t>
      </w:r>
      <w:proofErr w:type="spellStart"/>
      <w:r w:rsidRPr="00B322BB">
        <w:t>DoubleVerify</w:t>
      </w:r>
      <w:proofErr w:type="spellEnd"/>
      <w:r w:rsidRPr="00B322BB">
        <w:t xml:space="preserve"> and </w:t>
      </w:r>
      <w:proofErr w:type="spellStart"/>
      <w:r w:rsidRPr="00B322BB">
        <w:t>FilmOn</w:t>
      </w:r>
      <w:proofErr w:type="spellEnd"/>
      <w:r w:rsidRPr="00B322BB">
        <w:t xml:space="preserve"> were not competitors.  (See </w:t>
      </w:r>
      <w:r w:rsidRPr="00B322BB">
        <w:rPr>
          <w:i/>
        </w:rPr>
        <w:t>Simpson</w:t>
      </w:r>
      <w:r w:rsidR="00F04676">
        <w:rPr>
          <w:i/>
        </w:rPr>
        <w:t xml:space="preserve"> Strong-Tie Co., Inc. v. Gore</w:t>
      </w:r>
      <w:r w:rsidR="00F04676">
        <w:t xml:space="preserve"> (2010)</w:t>
      </w:r>
      <w:r w:rsidRPr="00B322BB">
        <w:t xml:space="preserve"> 49 Cal.4th </w:t>
      </w:r>
      <w:r w:rsidR="00F04676">
        <w:t>12,</w:t>
      </w:r>
      <w:r w:rsidRPr="00B322BB">
        <w:t xml:space="preserve"> 32 </w:t>
      </w:r>
      <w:r w:rsidR="00F04676">
        <w:t>(</w:t>
      </w:r>
      <w:r w:rsidR="00F04676">
        <w:rPr>
          <w:i/>
        </w:rPr>
        <w:t>Simpson</w:t>
      </w:r>
      <w:r w:rsidR="00F04676">
        <w:t xml:space="preserve">) </w:t>
      </w:r>
      <w:r w:rsidRPr="00B322BB">
        <w:t xml:space="preserve">[finding that </w:t>
      </w:r>
      <w:r w:rsidR="00F04676">
        <w:t>§ </w:t>
      </w:r>
      <w:r w:rsidRPr="00B322BB">
        <w:t xml:space="preserve">425.17, </w:t>
      </w:r>
      <w:proofErr w:type="spellStart"/>
      <w:r w:rsidRPr="00B322BB">
        <w:t>subd</w:t>
      </w:r>
      <w:proofErr w:type="spellEnd"/>
      <w:proofErr w:type="gramStart"/>
      <w:r w:rsidRPr="00B322BB">
        <w:t xml:space="preserve">. </w:t>
      </w:r>
      <w:proofErr w:type="gramEnd"/>
      <w:r w:rsidRPr="00B322BB">
        <w:t>(c) did not apply when “ ‘the representation was not “about” [defendant’s] or a competitor’s services or business operations’</w:t>
      </w:r>
      <w:r w:rsidR="00F04676">
        <w:t> </w:t>
      </w:r>
      <w:r w:rsidRPr="00B322BB">
        <w:t xml:space="preserve">”]; </w:t>
      </w:r>
      <w:r w:rsidRPr="00B322BB">
        <w:rPr>
          <w:i/>
        </w:rPr>
        <w:t>Stewart</w:t>
      </w:r>
      <w:r w:rsidR="00F04676">
        <w:t xml:space="preserve"> </w:t>
      </w:r>
      <w:r w:rsidR="00F04676">
        <w:rPr>
          <w:i/>
        </w:rPr>
        <w:t>v. Rolling Stone LLC</w:t>
      </w:r>
      <w:r w:rsidR="00F04676">
        <w:t xml:space="preserve"> (2010)</w:t>
      </w:r>
      <w:r w:rsidR="00F04676">
        <w:rPr>
          <w:i/>
        </w:rPr>
        <w:t xml:space="preserve"> </w:t>
      </w:r>
      <w:r w:rsidRPr="00B322BB">
        <w:t xml:space="preserve">181 Cal.App.4th </w:t>
      </w:r>
      <w:r w:rsidR="00F04676">
        <w:t xml:space="preserve">664, </w:t>
      </w:r>
      <w:r w:rsidRPr="00B322BB">
        <w:t>676</w:t>
      </w:r>
      <w:r w:rsidR="00F04676">
        <w:t xml:space="preserve"> (</w:t>
      </w:r>
      <w:r w:rsidR="00F04676">
        <w:rPr>
          <w:i/>
        </w:rPr>
        <w:t>Stewart</w:t>
      </w:r>
      <w:r w:rsidR="00F04676">
        <w:t>)</w:t>
      </w:r>
      <w:r w:rsidRPr="00B322BB">
        <w:t xml:space="preserve"> [same].)</w:t>
      </w:r>
    </w:p>
  </w:footnote>
  <w:footnote w:id="6">
    <w:p w14:paraId="7B8C734A" w14:textId="77777777" w:rsidR="00C1426F" w:rsidRDefault="00C1426F" w:rsidP="00DA3279">
      <w:pPr>
        <w:pStyle w:val="FootnoteText"/>
      </w:pPr>
      <w:r>
        <w:rPr>
          <w:rStyle w:val="FootnoteReference"/>
        </w:rPr>
        <w:footnoteRef/>
      </w:r>
      <w:r>
        <w:t xml:space="preserve"> </w:t>
      </w:r>
      <w:r>
        <w:tab/>
      </w:r>
      <w:r w:rsidRPr="00F67A3C">
        <w:t xml:space="preserve">We disapprove </w:t>
      </w:r>
      <w:proofErr w:type="spellStart"/>
      <w:r w:rsidRPr="00F67A3C">
        <w:rPr>
          <w:i/>
        </w:rPr>
        <w:t>Rezec</w:t>
      </w:r>
      <w:proofErr w:type="spellEnd"/>
      <w:r w:rsidRPr="00F67A3C">
        <w:rPr>
          <w:i/>
        </w:rPr>
        <w:t xml:space="preserve"> v. Sony Pictures Entertainment, Inc.</w:t>
      </w:r>
      <w:r w:rsidRPr="00F67A3C">
        <w:t> (2004) 116 Cal.App.4th 135 to the extent it is inconsistent with this opinion.</w:t>
      </w:r>
    </w:p>
  </w:footnote>
  <w:footnote w:id="7">
    <w:p w14:paraId="562FDE02" w14:textId="77777777" w:rsidR="00C1426F" w:rsidRDefault="00C1426F" w:rsidP="007555AB">
      <w:pPr>
        <w:pStyle w:val="FootnoteText"/>
      </w:pPr>
      <w:r>
        <w:rPr>
          <w:rStyle w:val="FootnoteReference"/>
        </w:rPr>
        <w:footnoteRef/>
      </w:r>
      <w:r w:rsidR="00186356">
        <w:tab/>
      </w:r>
      <w:r>
        <w:t xml:space="preserve">We grant </w:t>
      </w:r>
      <w:proofErr w:type="spellStart"/>
      <w:r>
        <w:t>DoubleVerify’s</w:t>
      </w:r>
      <w:proofErr w:type="spellEnd"/>
      <w:r>
        <w:t xml:space="preserve"> requests for judicial notice of certain court orders and legislative history materials.  (</w:t>
      </w:r>
      <w:proofErr w:type="spellStart"/>
      <w:r>
        <w:t>Evid</w:t>
      </w:r>
      <w:proofErr w:type="spellEnd"/>
      <w:proofErr w:type="gramStart"/>
      <w:r>
        <w:t xml:space="preserve">. </w:t>
      </w:r>
      <w:proofErr w:type="gramEnd"/>
      <w:r>
        <w:t xml:space="preserve">Code, §§ 451–452.)  The court orders were entered in cases brought against </w:t>
      </w:r>
      <w:proofErr w:type="spellStart"/>
      <w:r>
        <w:t>FilmOn</w:t>
      </w:r>
      <w:proofErr w:type="spellEnd"/>
      <w:r>
        <w:t xml:space="preserve"> for copyright infringement, and the legislative history materials are of bills relating to the enactment of sections 425.16 and 425.17, subdivision (c).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9B9DC" w14:textId="77777777" w:rsidR="00C1426F" w:rsidRDefault="00C1426F">
    <w:pPr>
      <w:pStyle w:val="Header"/>
    </w:pPr>
    <w:r>
      <w:t>FILMON.COM</w:t>
    </w:r>
    <w:r w:rsidR="001D5C38">
      <w:t xml:space="preserve"> INC.</w:t>
    </w:r>
    <w:r>
      <w:t xml:space="preserve"> v. DOUBLEVERIFY INC.</w:t>
    </w:r>
  </w:p>
  <w:p w14:paraId="34EC155F" w14:textId="77777777" w:rsidR="00C1426F" w:rsidRDefault="00C1426F">
    <w:pPr>
      <w:pStyle w:val="Header"/>
    </w:pPr>
    <w:r>
      <w:t>Opinion of the Court by Cuéllar, J.</w:t>
    </w:r>
  </w:p>
  <w:p w14:paraId="5FFCBF71" w14:textId="77777777" w:rsidR="00C1426F" w:rsidRDefault="00C14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970FE" w14:textId="77777777" w:rsidR="00F84DC3" w:rsidRDefault="008111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5A2FD" w14:textId="77777777" w:rsidR="00F84DC3" w:rsidRDefault="008111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2BFB3" w14:textId="77777777" w:rsidR="00F84DC3" w:rsidRDefault="00811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2CE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897397"/>
    <w:multiLevelType w:val="hybridMultilevel"/>
    <w:tmpl w:val="EABCD6C2"/>
    <w:lvl w:ilvl="0" w:tplc="62D03418">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DC4C28"/>
    <w:multiLevelType w:val="hybridMultilevel"/>
    <w:tmpl w:val="FEB89E94"/>
    <w:lvl w:ilvl="0" w:tplc="B84246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A1"/>
    <w:rsid w:val="00005AA6"/>
    <w:rsid w:val="0001171B"/>
    <w:rsid w:val="00014736"/>
    <w:rsid w:val="00015CD5"/>
    <w:rsid w:val="00016ACE"/>
    <w:rsid w:val="00016DCA"/>
    <w:rsid w:val="00020C64"/>
    <w:rsid w:val="00021C78"/>
    <w:rsid w:val="00021FAD"/>
    <w:rsid w:val="0002349F"/>
    <w:rsid w:val="00024854"/>
    <w:rsid w:val="00024D0E"/>
    <w:rsid w:val="000259BA"/>
    <w:rsid w:val="00025A58"/>
    <w:rsid w:val="0002618B"/>
    <w:rsid w:val="00026DBB"/>
    <w:rsid w:val="000308DD"/>
    <w:rsid w:val="00031EE5"/>
    <w:rsid w:val="00031F8D"/>
    <w:rsid w:val="000335EF"/>
    <w:rsid w:val="000339E1"/>
    <w:rsid w:val="00033E01"/>
    <w:rsid w:val="0003552F"/>
    <w:rsid w:val="00035C9B"/>
    <w:rsid w:val="00035F5C"/>
    <w:rsid w:val="00036389"/>
    <w:rsid w:val="000376AA"/>
    <w:rsid w:val="00037E16"/>
    <w:rsid w:val="0004090B"/>
    <w:rsid w:val="00040EE8"/>
    <w:rsid w:val="0004160C"/>
    <w:rsid w:val="00041DC0"/>
    <w:rsid w:val="00042AD0"/>
    <w:rsid w:val="00045040"/>
    <w:rsid w:val="0004730B"/>
    <w:rsid w:val="000507C7"/>
    <w:rsid w:val="00051D6D"/>
    <w:rsid w:val="000523E6"/>
    <w:rsid w:val="00053B33"/>
    <w:rsid w:val="000555BF"/>
    <w:rsid w:val="0005605E"/>
    <w:rsid w:val="00057938"/>
    <w:rsid w:val="00057FF7"/>
    <w:rsid w:val="0006215B"/>
    <w:rsid w:val="000627F5"/>
    <w:rsid w:val="0006303B"/>
    <w:rsid w:val="0006330C"/>
    <w:rsid w:val="000658A4"/>
    <w:rsid w:val="00065B6C"/>
    <w:rsid w:val="0007072E"/>
    <w:rsid w:val="00074610"/>
    <w:rsid w:val="000746C6"/>
    <w:rsid w:val="00074F9A"/>
    <w:rsid w:val="000761A2"/>
    <w:rsid w:val="00076F4B"/>
    <w:rsid w:val="00077B47"/>
    <w:rsid w:val="000805CA"/>
    <w:rsid w:val="00080E2C"/>
    <w:rsid w:val="000822A9"/>
    <w:rsid w:val="0008335D"/>
    <w:rsid w:val="000873FD"/>
    <w:rsid w:val="00091523"/>
    <w:rsid w:val="000915C7"/>
    <w:rsid w:val="00092209"/>
    <w:rsid w:val="00093966"/>
    <w:rsid w:val="00095CE8"/>
    <w:rsid w:val="000966B6"/>
    <w:rsid w:val="00096927"/>
    <w:rsid w:val="000A09A7"/>
    <w:rsid w:val="000A344A"/>
    <w:rsid w:val="000A5081"/>
    <w:rsid w:val="000A51C9"/>
    <w:rsid w:val="000A68FF"/>
    <w:rsid w:val="000A7D50"/>
    <w:rsid w:val="000B0736"/>
    <w:rsid w:val="000B16CD"/>
    <w:rsid w:val="000B186F"/>
    <w:rsid w:val="000B199D"/>
    <w:rsid w:val="000B1BE7"/>
    <w:rsid w:val="000B3409"/>
    <w:rsid w:val="000B3924"/>
    <w:rsid w:val="000B407D"/>
    <w:rsid w:val="000B44DD"/>
    <w:rsid w:val="000B5171"/>
    <w:rsid w:val="000B6D54"/>
    <w:rsid w:val="000C1EDA"/>
    <w:rsid w:val="000C3A0B"/>
    <w:rsid w:val="000C4706"/>
    <w:rsid w:val="000C4B51"/>
    <w:rsid w:val="000D1972"/>
    <w:rsid w:val="000D2249"/>
    <w:rsid w:val="000D2448"/>
    <w:rsid w:val="000D4173"/>
    <w:rsid w:val="000D4302"/>
    <w:rsid w:val="000D5ECE"/>
    <w:rsid w:val="000D70CC"/>
    <w:rsid w:val="000E0F5F"/>
    <w:rsid w:val="000E1805"/>
    <w:rsid w:val="000E2C87"/>
    <w:rsid w:val="000E4B8B"/>
    <w:rsid w:val="000E4D64"/>
    <w:rsid w:val="000E5B41"/>
    <w:rsid w:val="000F0550"/>
    <w:rsid w:val="000F05CD"/>
    <w:rsid w:val="000F1BCD"/>
    <w:rsid w:val="000F3002"/>
    <w:rsid w:val="000F359F"/>
    <w:rsid w:val="000F4618"/>
    <w:rsid w:val="000F4C1E"/>
    <w:rsid w:val="000F5757"/>
    <w:rsid w:val="000F79B7"/>
    <w:rsid w:val="000F7D78"/>
    <w:rsid w:val="000F7FAE"/>
    <w:rsid w:val="00102715"/>
    <w:rsid w:val="00102C8C"/>
    <w:rsid w:val="001031EB"/>
    <w:rsid w:val="0010600F"/>
    <w:rsid w:val="00107254"/>
    <w:rsid w:val="00107907"/>
    <w:rsid w:val="00110A73"/>
    <w:rsid w:val="00112CBF"/>
    <w:rsid w:val="00114664"/>
    <w:rsid w:val="00114AC6"/>
    <w:rsid w:val="001163A7"/>
    <w:rsid w:val="00117189"/>
    <w:rsid w:val="00125773"/>
    <w:rsid w:val="00131101"/>
    <w:rsid w:val="00131802"/>
    <w:rsid w:val="00133867"/>
    <w:rsid w:val="001342DF"/>
    <w:rsid w:val="00135788"/>
    <w:rsid w:val="00135BD5"/>
    <w:rsid w:val="00136377"/>
    <w:rsid w:val="001365C2"/>
    <w:rsid w:val="00136929"/>
    <w:rsid w:val="00141F66"/>
    <w:rsid w:val="001421AD"/>
    <w:rsid w:val="00145662"/>
    <w:rsid w:val="00145FDB"/>
    <w:rsid w:val="001500F7"/>
    <w:rsid w:val="00150D9A"/>
    <w:rsid w:val="001520FF"/>
    <w:rsid w:val="00152FE5"/>
    <w:rsid w:val="0015504F"/>
    <w:rsid w:val="00155D1E"/>
    <w:rsid w:val="00156010"/>
    <w:rsid w:val="001574DF"/>
    <w:rsid w:val="00157AAB"/>
    <w:rsid w:val="001601CF"/>
    <w:rsid w:val="0016184F"/>
    <w:rsid w:val="00163166"/>
    <w:rsid w:val="001634B3"/>
    <w:rsid w:val="00163777"/>
    <w:rsid w:val="00163E79"/>
    <w:rsid w:val="001644FE"/>
    <w:rsid w:val="001651EF"/>
    <w:rsid w:val="0016534E"/>
    <w:rsid w:val="00165AE2"/>
    <w:rsid w:val="00166034"/>
    <w:rsid w:val="00167784"/>
    <w:rsid w:val="0017038D"/>
    <w:rsid w:val="00170B0C"/>
    <w:rsid w:val="0017294B"/>
    <w:rsid w:val="00172D44"/>
    <w:rsid w:val="00173EBE"/>
    <w:rsid w:val="001747E9"/>
    <w:rsid w:val="001801F1"/>
    <w:rsid w:val="001802BC"/>
    <w:rsid w:val="0018065D"/>
    <w:rsid w:val="001812E4"/>
    <w:rsid w:val="00186356"/>
    <w:rsid w:val="001866B1"/>
    <w:rsid w:val="00186FB3"/>
    <w:rsid w:val="00187885"/>
    <w:rsid w:val="001879CE"/>
    <w:rsid w:val="00190A99"/>
    <w:rsid w:val="00192EB0"/>
    <w:rsid w:val="00194991"/>
    <w:rsid w:val="00195AFE"/>
    <w:rsid w:val="00196F1F"/>
    <w:rsid w:val="001A0BD5"/>
    <w:rsid w:val="001A2160"/>
    <w:rsid w:val="001A5278"/>
    <w:rsid w:val="001A7605"/>
    <w:rsid w:val="001B0D48"/>
    <w:rsid w:val="001B2329"/>
    <w:rsid w:val="001B2D3E"/>
    <w:rsid w:val="001B38B2"/>
    <w:rsid w:val="001B3F96"/>
    <w:rsid w:val="001B6318"/>
    <w:rsid w:val="001C0FC9"/>
    <w:rsid w:val="001C10B6"/>
    <w:rsid w:val="001C171A"/>
    <w:rsid w:val="001C2A7E"/>
    <w:rsid w:val="001C307B"/>
    <w:rsid w:val="001C5D67"/>
    <w:rsid w:val="001C60CB"/>
    <w:rsid w:val="001C7697"/>
    <w:rsid w:val="001C7A82"/>
    <w:rsid w:val="001D02C5"/>
    <w:rsid w:val="001D2CEC"/>
    <w:rsid w:val="001D3060"/>
    <w:rsid w:val="001D37F8"/>
    <w:rsid w:val="001D3E9B"/>
    <w:rsid w:val="001D495A"/>
    <w:rsid w:val="001D5C38"/>
    <w:rsid w:val="001D5CF3"/>
    <w:rsid w:val="001D5FDF"/>
    <w:rsid w:val="001D7B61"/>
    <w:rsid w:val="001D7DFF"/>
    <w:rsid w:val="001E00E0"/>
    <w:rsid w:val="001E21A6"/>
    <w:rsid w:val="001E2EC8"/>
    <w:rsid w:val="001E61DF"/>
    <w:rsid w:val="001E6545"/>
    <w:rsid w:val="001F29EA"/>
    <w:rsid w:val="001F3C0E"/>
    <w:rsid w:val="001F5C52"/>
    <w:rsid w:val="001F667F"/>
    <w:rsid w:val="0020540F"/>
    <w:rsid w:val="00211D11"/>
    <w:rsid w:val="002131AA"/>
    <w:rsid w:val="00216317"/>
    <w:rsid w:val="002212D1"/>
    <w:rsid w:val="00222C8D"/>
    <w:rsid w:val="00223D5D"/>
    <w:rsid w:val="00224453"/>
    <w:rsid w:val="00226E25"/>
    <w:rsid w:val="002319F8"/>
    <w:rsid w:val="0023232B"/>
    <w:rsid w:val="002333E8"/>
    <w:rsid w:val="00233F78"/>
    <w:rsid w:val="0023461B"/>
    <w:rsid w:val="0023525F"/>
    <w:rsid w:val="00236EA5"/>
    <w:rsid w:val="00240792"/>
    <w:rsid w:val="002408F5"/>
    <w:rsid w:val="00240F04"/>
    <w:rsid w:val="00244C86"/>
    <w:rsid w:val="00244FEF"/>
    <w:rsid w:val="0024551B"/>
    <w:rsid w:val="002457AD"/>
    <w:rsid w:val="00246FAA"/>
    <w:rsid w:val="0025318A"/>
    <w:rsid w:val="00253D65"/>
    <w:rsid w:val="00254B29"/>
    <w:rsid w:val="0025641B"/>
    <w:rsid w:val="002577E3"/>
    <w:rsid w:val="00260E0A"/>
    <w:rsid w:val="00261E28"/>
    <w:rsid w:val="00263A04"/>
    <w:rsid w:val="002646DB"/>
    <w:rsid w:val="0026542B"/>
    <w:rsid w:val="00265A98"/>
    <w:rsid w:val="00266958"/>
    <w:rsid w:val="002672D0"/>
    <w:rsid w:val="00270CC4"/>
    <w:rsid w:val="002711EB"/>
    <w:rsid w:val="00271DE7"/>
    <w:rsid w:val="00272F82"/>
    <w:rsid w:val="00273904"/>
    <w:rsid w:val="0027533F"/>
    <w:rsid w:val="00275A22"/>
    <w:rsid w:val="00276B9A"/>
    <w:rsid w:val="00276C4D"/>
    <w:rsid w:val="002770A9"/>
    <w:rsid w:val="0028046F"/>
    <w:rsid w:val="00280590"/>
    <w:rsid w:val="00280D89"/>
    <w:rsid w:val="002820C9"/>
    <w:rsid w:val="00282407"/>
    <w:rsid w:val="00282BBD"/>
    <w:rsid w:val="0028345D"/>
    <w:rsid w:val="002853F6"/>
    <w:rsid w:val="00285D84"/>
    <w:rsid w:val="002875DD"/>
    <w:rsid w:val="00287691"/>
    <w:rsid w:val="00290BD5"/>
    <w:rsid w:val="00291EAC"/>
    <w:rsid w:val="002922A0"/>
    <w:rsid w:val="00293051"/>
    <w:rsid w:val="00294B3F"/>
    <w:rsid w:val="00295767"/>
    <w:rsid w:val="002A00A6"/>
    <w:rsid w:val="002A06DB"/>
    <w:rsid w:val="002A2ACB"/>
    <w:rsid w:val="002A3202"/>
    <w:rsid w:val="002A3385"/>
    <w:rsid w:val="002A3486"/>
    <w:rsid w:val="002A3A57"/>
    <w:rsid w:val="002A5921"/>
    <w:rsid w:val="002A7AE4"/>
    <w:rsid w:val="002B0977"/>
    <w:rsid w:val="002B0D02"/>
    <w:rsid w:val="002B2520"/>
    <w:rsid w:val="002B2F0D"/>
    <w:rsid w:val="002B3BEE"/>
    <w:rsid w:val="002B456C"/>
    <w:rsid w:val="002B51C0"/>
    <w:rsid w:val="002B7605"/>
    <w:rsid w:val="002B7937"/>
    <w:rsid w:val="002C1A25"/>
    <w:rsid w:val="002C2D6E"/>
    <w:rsid w:val="002C48ED"/>
    <w:rsid w:val="002C4F54"/>
    <w:rsid w:val="002C69B8"/>
    <w:rsid w:val="002D12FC"/>
    <w:rsid w:val="002D3E4D"/>
    <w:rsid w:val="002D533C"/>
    <w:rsid w:val="002D555C"/>
    <w:rsid w:val="002D59D7"/>
    <w:rsid w:val="002D5D0D"/>
    <w:rsid w:val="002E3E3F"/>
    <w:rsid w:val="002E481D"/>
    <w:rsid w:val="002E4F84"/>
    <w:rsid w:val="002E54CA"/>
    <w:rsid w:val="002E6057"/>
    <w:rsid w:val="002F01FF"/>
    <w:rsid w:val="002F0216"/>
    <w:rsid w:val="002F1C79"/>
    <w:rsid w:val="002F3D8C"/>
    <w:rsid w:val="002F4995"/>
    <w:rsid w:val="002F648E"/>
    <w:rsid w:val="00301E2E"/>
    <w:rsid w:val="00302032"/>
    <w:rsid w:val="00302792"/>
    <w:rsid w:val="00302C7A"/>
    <w:rsid w:val="00304246"/>
    <w:rsid w:val="00304768"/>
    <w:rsid w:val="00304FD3"/>
    <w:rsid w:val="00305B6B"/>
    <w:rsid w:val="003122D4"/>
    <w:rsid w:val="0031406F"/>
    <w:rsid w:val="00314B3F"/>
    <w:rsid w:val="003160EA"/>
    <w:rsid w:val="00317339"/>
    <w:rsid w:val="0031789D"/>
    <w:rsid w:val="00324619"/>
    <w:rsid w:val="003251F4"/>
    <w:rsid w:val="00326249"/>
    <w:rsid w:val="0032678E"/>
    <w:rsid w:val="00326C96"/>
    <w:rsid w:val="00330782"/>
    <w:rsid w:val="003315C8"/>
    <w:rsid w:val="00331A65"/>
    <w:rsid w:val="00331DB5"/>
    <w:rsid w:val="003331ED"/>
    <w:rsid w:val="0033591D"/>
    <w:rsid w:val="00335D73"/>
    <w:rsid w:val="003361B1"/>
    <w:rsid w:val="00336A3C"/>
    <w:rsid w:val="003403DD"/>
    <w:rsid w:val="00341D40"/>
    <w:rsid w:val="00342B88"/>
    <w:rsid w:val="00346415"/>
    <w:rsid w:val="00346590"/>
    <w:rsid w:val="00346633"/>
    <w:rsid w:val="00350C64"/>
    <w:rsid w:val="00351804"/>
    <w:rsid w:val="00352005"/>
    <w:rsid w:val="00352210"/>
    <w:rsid w:val="003530AF"/>
    <w:rsid w:val="00353D45"/>
    <w:rsid w:val="003547B8"/>
    <w:rsid w:val="0035635A"/>
    <w:rsid w:val="00356C9D"/>
    <w:rsid w:val="00356DE1"/>
    <w:rsid w:val="003572F7"/>
    <w:rsid w:val="00357552"/>
    <w:rsid w:val="003577B8"/>
    <w:rsid w:val="00357B59"/>
    <w:rsid w:val="00357B77"/>
    <w:rsid w:val="003610D9"/>
    <w:rsid w:val="003618CF"/>
    <w:rsid w:val="0036208F"/>
    <w:rsid w:val="00363D6D"/>
    <w:rsid w:val="00364103"/>
    <w:rsid w:val="003642A3"/>
    <w:rsid w:val="00364977"/>
    <w:rsid w:val="00364C1B"/>
    <w:rsid w:val="00364DD8"/>
    <w:rsid w:val="00366B51"/>
    <w:rsid w:val="00367EF8"/>
    <w:rsid w:val="003710AD"/>
    <w:rsid w:val="0037307F"/>
    <w:rsid w:val="00373801"/>
    <w:rsid w:val="00374AFE"/>
    <w:rsid w:val="00374B5C"/>
    <w:rsid w:val="00383079"/>
    <w:rsid w:val="00385186"/>
    <w:rsid w:val="003862DA"/>
    <w:rsid w:val="00387060"/>
    <w:rsid w:val="00391683"/>
    <w:rsid w:val="00392473"/>
    <w:rsid w:val="00392762"/>
    <w:rsid w:val="00393AE9"/>
    <w:rsid w:val="00395462"/>
    <w:rsid w:val="003957C6"/>
    <w:rsid w:val="0039733B"/>
    <w:rsid w:val="0039749E"/>
    <w:rsid w:val="00397CA8"/>
    <w:rsid w:val="003A0BFA"/>
    <w:rsid w:val="003A0C84"/>
    <w:rsid w:val="003A51F3"/>
    <w:rsid w:val="003A53EA"/>
    <w:rsid w:val="003A5B48"/>
    <w:rsid w:val="003A665C"/>
    <w:rsid w:val="003A7574"/>
    <w:rsid w:val="003A7B13"/>
    <w:rsid w:val="003A7D17"/>
    <w:rsid w:val="003B36FD"/>
    <w:rsid w:val="003B485B"/>
    <w:rsid w:val="003B4FD7"/>
    <w:rsid w:val="003B63DE"/>
    <w:rsid w:val="003B64BD"/>
    <w:rsid w:val="003C15B5"/>
    <w:rsid w:val="003C1612"/>
    <w:rsid w:val="003C1DA9"/>
    <w:rsid w:val="003C3F1D"/>
    <w:rsid w:val="003C48FE"/>
    <w:rsid w:val="003C4EA3"/>
    <w:rsid w:val="003C6824"/>
    <w:rsid w:val="003C74FB"/>
    <w:rsid w:val="003C7F16"/>
    <w:rsid w:val="003C7F8C"/>
    <w:rsid w:val="003D0A1D"/>
    <w:rsid w:val="003D1DE9"/>
    <w:rsid w:val="003D21F9"/>
    <w:rsid w:val="003D4D49"/>
    <w:rsid w:val="003D578B"/>
    <w:rsid w:val="003D7AF0"/>
    <w:rsid w:val="003D7F86"/>
    <w:rsid w:val="003E08CE"/>
    <w:rsid w:val="003E1A07"/>
    <w:rsid w:val="003E2DFE"/>
    <w:rsid w:val="003E36E1"/>
    <w:rsid w:val="003E49C3"/>
    <w:rsid w:val="003E4D74"/>
    <w:rsid w:val="003E57EA"/>
    <w:rsid w:val="003E69C4"/>
    <w:rsid w:val="003E7A62"/>
    <w:rsid w:val="003E7E0B"/>
    <w:rsid w:val="003F00D4"/>
    <w:rsid w:val="003F01A7"/>
    <w:rsid w:val="003F13BC"/>
    <w:rsid w:val="003F2009"/>
    <w:rsid w:val="003F26C6"/>
    <w:rsid w:val="003F371A"/>
    <w:rsid w:val="003F618B"/>
    <w:rsid w:val="003F64CB"/>
    <w:rsid w:val="003F66CE"/>
    <w:rsid w:val="003F6B41"/>
    <w:rsid w:val="003F7820"/>
    <w:rsid w:val="004001A1"/>
    <w:rsid w:val="0040148A"/>
    <w:rsid w:val="00402490"/>
    <w:rsid w:val="00402AD6"/>
    <w:rsid w:val="00402FBC"/>
    <w:rsid w:val="00403307"/>
    <w:rsid w:val="0040331E"/>
    <w:rsid w:val="00403A64"/>
    <w:rsid w:val="00405D86"/>
    <w:rsid w:val="004066AD"/>
    <w:rsid w:val="004070F0"/>
    <w:rsid w:val="00411653"/>
    <w:rsid w:val="00414516"/>
    <w:rsid w:val="004161C0"/>
    <w:rsid w:val="004161CA"/>
    <w:rsid w:val="0041722E"/>
    <w:rsid w:val="00420528"/>
    <w:rsid w:val="00421183"/>
    <w:rsid w:val="00422912"/>
    <w:rsid w:val="0042641A"/>
    <w:rsid w:val="00426E31"/>
    <w:rsid w:val="004279BB"/>
    <w:rsid w:val="00427B10"/>
    <w:rsid w:val="00427E07"/>
    <w:rsid w:val="00430C6C"/>
    <w:rsid w:val="004317F2"/>
    <w:rsid w:val="00433043"/>
    <w:rsid w:val="00433CDB"/>
    <w:rsid w:val="0043425A"/>
    <w:rsid w:val="0043514B"/>
    <w:rsid w:val="0043736C"/>
    <w:rsid w:val="0043761F"/>
    <w:rsid w:val="00437E0F"/>
    <w:rsid w:val="00441A54"/>
    <w:rsid w:val="00443DD0"/>
    <w:rsid w:val="00444B3B"/>
    <w:rsid w:val="004501A7"/>
    <w:rsid w:val="004503B4"/>
    <w:rsid w:val="00450BAF"/>
    <w:rsid w:val="00451A82"/>
    <w:rsid w:val="00452A9B"/>
    <w:rsid w:val="00453407"/>
    <w:rsid w:val="00453764"/>
    <w:rsid w:val="0045651A"/>
    <w:rsid w:val="00457C61"/>
    <w:rsid w:val="0046001F"/>
    <w:rsid w:val="00460838"/>
    <w:rsid w:val="00461273"/>
    <w:rsid w:val="004618C5"/>
    <w:rsid w:val="00462903"/>
    <w:rsid w:val="00462B5A"/>
    <w:rsid w:val="00463F31"/>
    <w:rsid w:val="00464629"/>
    <w:rsid w:val="00464E61"/>
    <w:rsid w:val="00465A62"/>
    <w:rsid w:val="00467C87"/>
    <w:rsid w:val="00470814"/>
    <w:rsid w:val="00470EAB"/>
    <w:rsid w:val="00474829"/>
    <w:rsid w:val="00474A66"/>
    <w:rsid w:val="0047507A"/>
    <w:rsid w:val="004758AA"/>
    <w:rsid w:val="00477A6A"/>
    <w:rsid w:val="00477D77"/>
    <w:rsid w:val="00477F44"/>
    <w:rsid w:val="004809BA"/>
    <w:rsid w:val="00480BD8"/>
    <w:rsid w:val="00480D28"/>
    <w:rsid w:val="00481932"/>
    <w:rsid w:val="00482CB8"/>
    <w:rsid w:val="00483657"/>
    <w:rsid w:val="0048637A"/>
    <w:rsid w:val="0048724E"/>
    <w:rsid w:val="0049010E"/>
    <w:rsid w:val="00490CDB"/>
    <w:rsid w:val="004A0347"/>
    <w:rsid w:val="004A1B1A"/>
    <w:rsid w:val="004A24C8"/>
    <w:rsid w:val="004A3126"/>
    <w:rsid w:val="004A3470"/>
    <w:rsid w:val="004A38CB"/>
    <w:rsid w:val="004A3DE3"/>
    <w:rsid w:val="004A57D7"/>
    <w:rsid w:val="004A6B86"/>
    <w:rsid w:val="004B131B"/>
    <w:rsid w:val="004B14C6"/>
    <w:rsid w:val="004B1563"/>
    <w:rsid w:val="004B1745"/>
    <w:rsid w:val="004B399E"/>
    <w:rsid w:val="004B3A3C"/>
    <w:rsid w:val="004B4C6C"/>
    <w:rsid w:val="004B59AC"/>
    <w:rsid w:val="004B7492"/>
    <w:rsid w:val="004C2B4D"/>
    <w:rsid w:val="004C3E99"/>
    <w:rsid w:val="004C439D"/>
    <w:rsid w:val="004C4DF5"/>
    <w:rsid w:val="004D23F4"/>
    <w:rsid w:val="004D3873"/>
    <w:rsid w:val="004D4B29"/>
    <w:rsid w:val="004D522C"/>
    <w:rsid w:val="004D6239"/>
    <w:rsid w:val="004D640A"/>
    <w:rsid w:val="004E2314"/>
    <w:rsid w:val="004E338C"/>
    <w:rsid w:val="004E40BC"/>
    <w:rsid w:val="004E4668"/>
    <w:rsid w:val="004E475A"/>
    <w:rsid w:val="004E6D0B"/>
    <w:rsid w:val="004E7055"/>
    <w:rsid w:val="004E70E3"/>
    <w:rsid w:val="004F1625"/>
    <w:rsid w:val="004F66BF"/>
    <w:rsid w:val="004F6900"/>
    <w:rsid w:val="004F693B"/>
    <w:rsid w:val="004F7FA2"/>
    <w:rsid w:val="00501019"/>
    <w:rsid w:val="00502292"/>
    <w:rsid w:val="0050237C"/>
    <w:rsid w:val="0050336D"/>
    <w:rsid w:val="00504C3C"/>
    <w:rsid w:val="00504E0C"/>
    <w:rsid w:val="00504EF7"/>
    <w:rsid w:val="00505576"/>
    <w:rsid w:val="00505E2C"/>
    <w:rsid w:val="00511806"/>
    <w:rsid w:val="00511B71"/>
    <w:rsid w:val="005127C3"/>
    <w:rsid w:val="0051707C"/>
    <w:rsid w:val="005221C5"/>
    <w:rsid w:val="00522A37"/>
    <w:rsid w:val="005230CB"/>
    <w:rsid w:val="00523967"/>
    <w:rsid w:val="00527551"/>
    <w:rsid w:val="00530B8F"/>
    <w:rsid w:val="00532096"/>
    <w:rsid w:val="00534F55"/>
    <w:rsid w:val="00535A85"/>
    <w:rsid w:val="00535C40"/>
    <w:rsid w:val="00535ED1"/>
    <w:rsid w:val="00536BB3"/>
    <w:rsid w:val="0054184D"/>
    <w:rsid w:val="005427F9"/>
    <w:rsid w:val="00543C13"/>
    <w:rsid w:val="00545990"/>
    <w:rsid w:val="005465C6"/>
    <w:rsid w:val="005474C8"/>
    <w:rsid w:val="00550923"/>
    <w:rsid w:val="0055116E"/>
    <w:rsid w:val="005535A5"/>
    <w:rsid w:val="0055456F"/>
    <w:rsid w:val="005554E6"/>
    <w:rsid w:val="0055593C"/>
    <w:rsid w:val="005564B2"/>
    <w:rsid w:val="00561C65"/>
    <w:rsid w:val="00563CD1"/>
    <w:rsid w:val="00563DA0"/>
    <w:rsid w:val="0056453F"/>
    <w:rsid w:val="00564CEC"/>
    <w:rsid w:val="005653B7"/>
    <w:rsid w:val="005659F3"/>
    <w:rsid w:val="0057075F"/>
    <w:rsid w:val="00570AA7"/>
    <w:rsid w:val="0057116E"/>
    <w:rsid w:val="00572EF5"/>
    <w:rsid w:val="00573EAA"/>
    <w:rsid w:val="005757A8"/>
    <w:rsid w:val="00576450"/>
    <w:rsid w:val="00580818"/>
    <w:rsid w:val="00581C6F"/>
    <w:rsid w:val="00581ED4"/>
    <w:rsid w:val="005841D2"/>
    <w:rsid w:val="00584434"/>
    <w:rsid w:val="00586287"/>
    <w:rsid w:val="00586F6A"/>
    <w:rsid w:val="005915A1"/>
    <w:rsid w:val="00595141"/>
    <w:rsid w:val="005A13F0"/>
    <w:rsid w:val="005A27C4"/>
    <w:rsid w:val="005A4BFC"/>
    <w:rsid w:val="005A7ACB"/>
    <w:rsid w:val="005B4EC5"/>
    <w:rsid w:val="005B6436"/>
    <w:rsid w:val="005B6700"/>
    <w:rsid w:val="005B7110"/>
    <w:rsid w:val="005B722A"/>
    <w:rsid w:val="005B779E"/>
    <w:rsid w:val="005B7F63"/>
    <w:rsid w:val="005C05EA"/>
    <w:rsid w:val="005C0BB2"/>
    <w:rsid w:val="005C1E67"/>
    <w:rsid w:val="005C266F"/>
    <w:rsid w:val="005C28A0"/>
    <w:rsid w:val="005C3CB7"/>
    <w:rsid w:val="005C70A2"/>
    <w:rsid w:val="005C7D1D"/>
    <w:rsid w:val="005D0471"/>
    <w:rsid w:val="005D0D26"/>
    <w:rsid w:val="005D37C5"/>
    <w:rsid w:val="005D3D23"/>
    <w:rsid w:val="005D5AE1"/>
    <w:rsid w:val="005D75BF"/>
    <w:rsid w:val="005D7E2C"/>
    <w:rsid w:val="005E03D9"/>
    <w:rsid w:val="005E1BDC"/>
    <w:rsid w:val="005E2512"/>
    <w:rsid w:val="005E38A9"/>
    <w:rsid w:val="005E390B"/>
    <w:rsid w:val="005E4B1A"/>
    <w:rsid w:val="005E6459"/>
    <w:rsid w:val="005F08FA"/>
    <w:rsid w:val="005F1F0A"/>
    <w:rsid w:val="005F3803"/>
    <w:rsid w:val="0060027C"/>
    <w:rsid w:val="00601572"/>
    <w:rsid w:val="0060231C"/>
    <w:rsid w:val="00602B95"/>
    <w:rsid w:val="006031F2"/>
    <w:rsid w:val="00603AD3"/>
    <w:rsid w:val="00605060"/>
    <w:rsid w:val="00607856"/>
    <w:rsid w:val="00612A1A"/>
    <w:rsid w:val="00614CA5"/>
    <w:rsid w:val="0061503D"/>
    <w:rsid w:val="006160E1"/>
    <w:rsid w:val="00617009"/>
    <w:rsid w:val="00617F02"/>
    <w:rsid w:val="006200A6"/>
    <w:rsid w:val="006208ED"/>
    <w:rsid w:val="0062312C"/>
    <w:rsid w:val="006260AB"/>
    <w:rsid w:val="00626F3C"/>
    <w:rsid w:val="00627E75"/>
    <w:rsid w:val="00630CED"/>
    <w:rsid w:val="00631500"/>
    <w:rsid w:val="00634059"/>
    <w:rsid w:val="006344E5"/>
    <w:rsid w:val="00637E45"/>
    <w:rsid w:val="00640BC1"/>
    <w:rsid w:val="0064109A"/>
    <w:rsid w:val="00642109"/>
    <w:rsid w:val="006429B3"/>
    <w:rsid w:val="00642C07"/>
    <w:rsid w:val="0064572D"/>
    <w:rsid w:val="006459B1"/>
    <w:rsid w:val="00646135"/>
    <w:rsid w:val="00647702"/>
    <w:rsid w:val="00651042"/>
    <w:rsid w:val="00652B71"/>
    <w:rsid w:val="00653ABB"/>
    <w:rsid w:val="00655E7C"/>
    <w:rsid w:val="00655F32"/>
    <w:rsid w:val="00656EDE"/>
    <w:rsid w:val="0066022D"/>
    <w:rsid w:val="00661763"/>
    <w:rsid w:val="00664A65"/>
    <w:rsid w:val="0066637C"/>
    <w:rsid w:val="00670B29"/>
    <w:rsid w:val="00673578"/>
    <w:rsid w:val="00673A15"/>
    <w:rsid w:val="006763C2"/>
    <w:rsid w:val="00676486"/>
    <w:rsid w:val="00676663"/>
    <w:rsid w:val="00677559"/>
    <w:rsid w:val="0068062B"/>
    <w:rsid w:val="0068532F"/>
    <w:rsid w:val="006856A1"/>
    <w:rsid w:val="00685A8E"/>
    <w:rsid w:val="00685ABF"/>
    <w:rsid w:val="00691521"/>
    <w:rsid w:val="00691694"/>
    <w:rsid w:val="006931D1"/>
    <w:rsid w:val="006939F0"/>
    <w:rsid w:val="00693ED3"/>
    <w:rsid w:val="00693FE5"/>
    <w:rsid w:val="00694627"/>
    <w:rsid w:val="006948F1"/>
    <w:rsid w:val="00694DB2"/>
    <w:rsid w:val="006A0DC6"/>
    <w:rsid w:val="006A14FC"/>
    <w:rsid w:val="006A2659"/>
    <w:rsid w:val="006A4269"/>
    <w:rsid w:val="006A4BE8"/>
    <w:rsid w:val="006A619E"/>
    <w:rsid w:val="006A77EB"/>
    <w:rsid w:val="006B2745"/>
    <w:rsid w:val="006B2E07"/>
    <w:rsid w:val="006B3047"/>
    <w:rsid w:val="006B47D3"/>
    <w:rsid w:val="006B4C60"/>
    <w:rsid w:val="006B6202"/>
    <w:rsid w:val="006B6792"/>
    <w:rsid w:val="006C13E3"/>
    <w:rsid w:val="006C39B5"/>
    <w:rsid w:val="006C4926"/>
    <w:rsid w:val="006C7987"/>
    <w:rsid w:val="006D029B"/>
    <w:rsid w:val="006D4797"/>
    <w:rsid w:val="006D5635"/>
    <w:rsid w:val="006D6158"/>
    <w:rsid w:val="006D65C3"/>
    <w:rsid w:val="006E098F"/>
    <w:rsid w:val="006E2BF2"/>
    <w:rsid w:val="006E2E02"/>
    <w:rsid w:val="006E4F25"/>
    <w:rsid w:val="006E73A0"/>
    <w:rsid w:val="006F033C"/>
    <w:rsid w:val="006F21A8"/>
    <w:rsid w:val="006F3C5A"/>
    <w:rsid w:val="006F545B"/>
    <w:rsid w:val="006F5CC0"/>
    <w:rsid w:val="006F734C"/>
    <w:rsid w:val="00700004"/>
    <w:rsid w:val="00700AEB"/>
    <w:rsid w:val="00700DDC"/>
    <w:rsid w:val="0070139F"/>
    <w:rsid w:val="007026EB"/>
    <w:rsid w:val="007060BB"/>
    <w:rsid w:val="00706895"/>
    <w:rsid w:val="00706FDD"/>
    <w:rsid w:val="00707BFD"/>
    <w:rsid w:val="00710168"/>
    <w:rsid w:val="00710E71"/>
    <w:rsid w:val="00712884"/>
    <w:rsid w:val="007179BF"/>
    <w:rsid w:val="00720A6C"/>
    <w:rsid w:val="007228EE"/>
    <w:rsid w:val="0072582A"/>
    <w:rsid w:val="00730861"/>
    <w:rsid w:val="00731FA8"/>
    <w:rsid w:val="00733305"/>
    <w:rsid w:val="00733AA3"/>
    <w:rsid w:val="007343D9"/>
    <w:rsid w:val="00736EBF"/>
    <w:rsid w:val="00737396"/>
    <w:rsid w:val="007434F0"/>
    <w:rsid w:val="00744B6C"/>
    <w:rsid w:val="007472BC"/>
    <w:rsid w:val="00747D1A"/>
    <w:rsid w:val="00747EE6"/>
    <w:rsid w:val="00747F9E"/>
    <w:rsid w:val="00750329"/>
    <w:rsid w:val="007506AE"/>
    <w:rsid w:val="00750785"/>
    <w:rsid w:val="0075165F"/>
    <w:rsid w:val="007517CD"/>
    <w:rsid w:val="00754148"/>
    <w:rsid w:val="0075473F"/>
    <w:rsid w:val="00754EED"/>
    <w:rsid w:val="007555AB"/>
    <w:rsid w:val="007561F3"/>
    <w:rsid w:val="0075738A"/>
    <w:rsid w:val="007579E5"/>
    <w:rsid w:val="00761E91"/>
    <w:rsid w:val="007635C0"/>
    <w:rsid w:val="00765346"/>
    <w:rsid w:val="00765EE1"/>
    <w:rsid w:val="007661EA"/>
    <w:rsid w:val="00767900"/>
    <w:rsid w:val="0077057B"/>
    <w:rsid w:val="00770F26"/>
    <w:rsid w:val="00771147"/>
    <w:rsid w:val="00772185"/>
    <w:rsid w:val="007724DD"/>
    <w:rsid w:val="00772679"/>
    <w:rsid w:val="007743D0"/>
    <w:rsid w:val="00775C5B"/>
    <w:rsid w:val="007775F2"/>
    <w:rsid w:val="00780534"/>
    <w:rsid w:val="00780B99"/>
    <w:rsid w:val="00780F60"/>
    <w:rsid w:val="00784F6F"/>
    <w:rsid w:val="0078739D"/>
    <w:rsid w:val="0079075C"/>
    <w:rsid w:val="00790C31"/>
    <w:rsid w:val="0079139E"/>
    <w:rsid w:val="00794B0B"/>
    <w:rsid w:val="00795FD3"/>
    <w:rsid w:val="0079688F"/>
    <w:rsid w:val="00796A75"/>
    <w:rsid w:val="00796CCF"/>
    <w:rsid w:val="007A036C"/>
    <w:rsid w:val="007A19F0"/>
    <w:rsid w:val="007A3754"/>
    <w:rsid w:val="007A3E35"/>
    <w:rsid w:val="007A4228"/>
    <w:rsid w:val="007A65A7"/>
    <w:rsid w:val="007A72F4"/>
    <w:rsid w:val="007A78E0"/>
    <w:rsid w:val="007A7A04"/>
    <w:rsid w:val="007A7D05"/>
    <w:rsid w:val="007B01B2"/>
    <w:rsid w:val="007B1346"/>
    <w:rsid w:val="007B2F28"/>
    <w:rsid w:val="007B4418"/>
    <w:rsid w:val="007B4F6E"/>
    <w:rsid w:val="007B5CE1"/>
    <w:rsid w:val="007B6C78"/>
    <w:rsid w:val="007B741A"/>
    <w:rsid w:val="007C044A"/>
    <w:rsid w:val="007C2860"/>
    <w:rsid w:val="007C2F7A"/>
    <w:rsid w:val="007C32F9"/>
    <w:rsid w:val="007C3688"/>
    <w:rsid w:val="007C4529"/>
    <w:rsid w:val="007C4CDA"/>
    <w:rsid w:val="007C5164"/>
    <w:rsid w:val="007C5B72"/>
    <w:rsid w:val="007C7C4C"/>
    <w:rsid w:val="007D175E"/>
    <w:rsid w:val="007D5507"/>
    <w:rsid w:val="007D5A8A"/>
    <w:rsid w:val="007E039A"/>
    <w:rsid w:val="007E0970"/>
    <w:rsid w:val="007E24B3"/>
    <w:rsid w:val="007E3ABC"/>
    <w:rsid w:val="007E50C7"/>
    <w:rsid w:val="007E547F"/>
    <w:rsid w:val="007E6560"/>
    <w:rsid w:val="007E6ED9"/>
    <w:rsid w:val="007E748E"/>
    <w:rsid w:val="007F241D"/>
    <w:rsid w:val="007F2C63"/>
    <w:rsid w:val="007F58D8"/>
    <w:rsid w:val="007F5A9D"/>
    <w:rsid w:val="007F61BF"/>
    <w:rsid w:val="007F79C1"/>
    <w:rsid w:val="007F7D02"/>
    <w:rsid w:val="0080059C"/>
    <w:rsid w:val="00800A59"/>
    <w:rsid w:val="00800AA9"/>
    <w:rsid w:val="0080270C"/>
    <w:rsid w:val="0080471B"/>
    <w:rsid w:val="00806007"/>
    <w:rsid w:val="00806E19"/>
    <w:rsid w:val="0081023D"/>
    <w:rsid w:val="008124E7"/>
    <w:rsid w:val="00812996"/>
    <w:rsid w:val="00812A00"/>
    <w:rsid w:val="00813CB6"/>
    <w:rsid w:val="008141A7"/>
    <w:rsid w:val="00814A89"/>
    <w:rsid w:val="00816459"/>
    <w:rsid w:val="00816A64"/>
    <w:rsid w:val="00817160"/>
    <w:rsid w:val="00820C9A"/>
    <w:rsid w:val="0082266F"/>
    <w:rsid w:val="008248B5"/>
    <w:rsid w:val="0082772E"/>
    <w:rsid w:val="00830EBC"/>
    <w:rsid w:val="00831129"/>
    <w:rsid w:val="00832361"/>
    <w:rsid w:val="00832B33"/>
    <w:rsid w:val="00832F7F"/>
    <w:rsid w:val="0083362B"/>
    <w:rsid w:val="00833F7A"/>
    <w:rsid w:val="00834DE2"/>
    <w:rsid w:val="00836CE4"/>
    <w:rsid w:val="00837C2C"/>
    <w:rsid w:val="008400AD"/>
    <w:rsid w:val="00840752"/>
    <w:rsid w:val="008407E3"/>
    <w:rsid w:val="0084177B"/>
    <w:rsid w:val="00842A3F"/>
    <w:rsid w:val="00842B8C"/>
    <w:rsid w:val="00843E0C"/>
    <w:rsid w:val="00851A1E"/>
    <w:rsid w:val="00853334"/>
    <w:rsid w:val="0085677D"/>
    <w:rsid w:val="00861FE0"/>
    <w:rsid w:val="00862340"/>
    <w:rsid w:val="00863C2F"/>
    <w:rsid w:val="00864B2D"/>
    <w:rsid w:val="00865334"/>
    <w:rsid w:val="0086615D"/>
    <w:rsid w:val="00867374"/>
    <w:rsid w:val="008723E6"/>
    <w:rsid w:val="008724B0"/>
    <w:rsid w:val="00874A3D"/>
    <w:rsid w:val="00874D5B"/>
    <w:rsid w:val="00876D8F"/>
    <w:rsid w:val="0088029F"/>
    <w:rsid w:val="008805F8"/>
    <w:rsid w:val="008818DE"/>
    <w:rsid w:val="00882BDC"/>
    <w:rsid w:val="00883BC9"/>
    <w:rsid w:val="00886DF2"/>
    <w:rsid w:val="00890B10"/>
    <w:rsid w:val="00891035"/>
    <w:rsid w:val="00893A6B"/>
    <w:rsid w:val="00893D1F"/>
    <w:rsid w:val="00894CD2"/>
    <w:rsid w:val="00895008"/>
    <w:rsid w:val="0089613E"/>
    <w:rsid w:val="00896AE9"/>
    <w:rsid w:val="00897C70"/>
    <w:rsid w:val="008A0182"/>
    <w:rsid w:val="008A05B8"/>
    <w:rsid w:val="008A4090"/>
    <w:rsid w:val="008A4655"/>
    <w:rsid w:val="008A602A"/>
    <w:rsid w:val="008A637B"/>
    <w:rsid w:val="008B195D"/>
    <w:rsid w:val="008B3961"/>
    <w:rsid w:val="008B3FB2"/>
    <w:rsid w:val="008B5EDE"/>
    <w:rsid w:val="008B6EFD"/>
    <w:rsid w:val="008B6F83"/>
    <w:rsid w:val="008B7BC2"/>
    <w:rsid w:val="008C14B7"/>
    <w:rsid w:val="008C3D0C"/>
    <w:rsid w:val="008D093A"/>
    <w:rsid w:val="008D0C87"/>
    <w:rsid w:val="008D1DD2"/>
    <w:rsid w:val="008D2B85"/>
    <w:rsid w:val="008D2DFD"/>
    <w:rsid w:val="008D542B"/>
    <w:rsid w:val="008D67D4"/>
    <w:rsid w:val="008D7124"/>
    <w:rsid w:val="008E006B"/>
    <w:rsid w:val="008E1180"/>
    <w:rsid w:val="008E1B6A"/>
    <w:rsid w:val="008E31C0"/>
    <w:rsid w:val="008E4BA7"/>
    <w:rsid w:val="008E6313"/>
    <w:rsid w:val="008E6321"/>
    <w:rsid w:val="008F15E2"/>
    <w:rsid w:val="008F55D0"/>
    <w:rsid w:val="008F6548"/>
    <w:rsid w:val="008F6973"/>
    <w:rsid w:val="00900855"/>
    <w:rsid w:val="00900E07"/>
    <w:rsid w:val="00902372"/>
    <w:rsid w:val="00902632"/>
    <w:rsid w:val="00904C89"/>
    <w:rsid w:val="00905D35"/>
    <w:rsid w:val="00906209"/>
    <w:rsid w:val="00906E67"/>
    <w:rsid w:val="00911670"/>
    <w:rsid w:val="00911D2C"/>
    <w:rsid w:val="009120B9"/>
    <w:rsid w:val="00912A76"/>
    <w:rsid w:val="00912BD9"/>
    <w:rsid w:val="0091395B"/>
    <w:rsid w:val="0091403B"/>
    <w:rsid w:val="00914DDF"/>
    <w:rsid w:val="00916961"/>
    <w:rsid w:val="00916C31"/>
    <w:rsid w:val="00917FD2"/>
    <w:rsid w:val="00920EEE"/>
    <w:rsid w:val="00922CE2"/>
    <w:rsid w:val="0092460B"/>
    <w:rsid w:val="00924CBA"/>
    <w:rsid w:val="0092655F"/>
    <w:rsid w:val="0093089A"/>
    <w:rsid w:val="00931C5E"/>
    <w:rsid w:val="00932454"/>
    <w:rsid w:val="00932767"/>
    <w:rsid w:val="00932AE2"/>
    <w:rsid w:val="00932D15"/>
    <w:rsid w:val="00933DA1"/>
    <w:rsid w:val="00935934"/>
    <w:rsid w:val="009369B7"/>
    <w:rsid w:val="00936A6B"/>
    <w:rsid w:val="009400C5"/>
    <w:rsid w:val="0094013E"/>
    <w:rsid w:val="00940478"/>
    <w:rsid w:val="009405E4"/>
    <w:rsid w:val="0094060C"/>
    <w:rsid w:val="00940AD7"/>
    <w:rsid w:val="00941F59"/>
    <w:rsid w:val="00942897"/>
    <w:rsid w:val="00945552"/>
    <w:rsid w:val="00946C80"/>
    <w:rsid w:val="00951758"/>
    <w:rsid w:val="00951BD5"/>
    <w:rsid w:val="009538AE"/>
    <w:rsid w:val="00954DDE"/>
    <w:rsid w:val="00956AFC"/>
    <w:rsid w:val="00961A10"/>
    <w:rsid w:val="009623C1"/>
    <w:rsid w:val="00962943"/>
    <w:rsid w:val="0096609B"/>
    <w:rsid w:val="00966F56"/>
    <w:rsid w:val="0097190C"/>
    <w:rsid w:val="00971D10"/>
    <w:rsid w:val="00971EB5"/>
    <w:rsid w:val="0097374D"/>
    <w:rsid w:val="00974145"/>
    <w:rsid w:val="00976D54"/>
    <w:rsid w:val="00977685"/>
    <w:rsid w:val="00977C8E"/>
    <w:rsid w:val="00982B03"/>
    <w:rsid w:val="00983E62"/>
    <w:rsid w:val="009861CA"/>
    <w:rsid w:val="009869CC"/>
    <w:rsid w:val="00986F65"/>
    <w:rsid w:val="009870D7"/>
    <w:rsid w:val="00990A3E"/>
    <w:rsid w:val="00991C5E"/>
    <w:rsid w:val="00991DFB"/>
    <w:rsid w:val="009928CE"/>
    <w:rsid w:val="00993637"/>
    <w:rsid w:val="0099569D"/>
    <w:rsid w:val="00995924"/>
    <w:rsid w:val="00996D4D"/>
    <w:rsid w:val="00996E09"/>
    <w:rsid w:val="00996ECB"/>
    <w:rsid w:val="0099760D"/>
    <w:rsid w:val="009A1705"/>
    <w:rsid w:val="009A18F9"/>
    <w:rsid w:val="009A37CA"/>
    <w:rsid w:val="009A557A"/>
    <w:rsid w:val="009A5BF2"/>
    <w:rsid w:val="009A60E1"/>
    <w:rsid w:val="009A75BD"/>
    <w:rsid w:val="009B0253"/>
    <w:rsid w:val="009B2B15"/>
    <w:rsid w:val="009B36C6"/>
    <w:rsid w:val="009B373A"/>
    <w:rsid w:val="009B4180"/>
    <w:rsid w:val="009B495C"/>
    <w:rsid w:val="009B4C33"/>
    <w:rsid w:val="009B56D4"/>
    <w:rsid w:val="009B5740"/>
    <w:rsid w:val="009B5976"/>
    <w:rsid w:val="009B70FA"/>
    <w:rsid w:val="009B726D"/>
    <w:rsid w:val="009C0331"/>
    <w:rsid w:val="009C5730"/>
    <w:rsid w:val="009C7492"/>
    <w:rsid w:val="009C7D41"/>
    <w:rsid w:val="009D0758"/>
    <w:rsid w:val="009D1191"/>
    <w:rsid w:val="009D203B"/>
    <w:rsid w:val="009D2C24"/>
    <w:rsid w:val="009D48E1"/>
    <w:rsid w:val="009D6C6E"/>
    <w:rsid w:val="009D746B"/>
    <w:rsid w:val="009D7743"/>
    <w:rsid w:val="009D787E"/>
    <w:rsid w:val="009E08A2"/>
    <w:rsid w:val="009E0DF7"/>
    <w:rsid w:val="009E1428"/>
    <w:rsid w:val="009E1D07"/>
    <w:rsid w:val="009E2C3C"/>
    <w:rsid w:val="009E2E14"/>
    <w:rsid w:val="009E7601"/>
    <w:rsid w:val="009F118E"/>
    <w:rsid w:val="009F2BFC"/>
    <w:rsid w:val="009F2DC3"/>
    <w:rsid w:val="009F3B74"/>
    <w:rsid w:val="009F4311"/>
    <w:rsid w:val="009F6D20"/>
    <w:rsid w:val="009F6EDB"/>
    <w:rsid w:val="009F7463"/>
    <w:rsid w:val="009F7543"/>
    <w:rsid w:val="00A00CA9"/>
    <w:rsid w:val="00A03117"/>
    <w:rsid w:val="00A0477E"/>
    <w:rsid w:val="00A0590F"/>
    <w:rsid w:val="00A100B7"/>
    <w:rsid w:val="00A10394"/>
    <w:rsid w:val="00A10576"/>
    <w:rsid w:val="00A10D9B"/>
    <w:rsid w:val="00A11CED"/>
    <w:rsid w:val="00A139AF"/>
    <w:rsid w:val="00A14ECB"/>
    <w:rsid w:val="00A151F8"/>
    <w:rsid w:val="00A154F1"/>
    <w:rsid w:val="00A15CDC"/>
    <w:rsid w:val="00A16846"/>
    <w:rsid w:val="00A16ABC"/>
    <w:rsid w:val="00A16DAC"/>
    <w:rsid w:val="00A208F7"/>
    <w:rsid w:val="00A24427"/>
    <w:rsid w:val="00A266F9"/>
    <w:rsid w:val="00A323CD"/>
    <w:rsid w:val="00A330F0"/>
    <w:rsid w:val="00A33754"/>
    <w:rsid w:val="00A33DD2"/>
    <w:rsid w:val="00A33FFD"/>
    <w:rsid w:val="00A3412B"/>
    <w:rsid w:val="00A367A4"/>
    <w:rsid w:val="00A36B0E"/>
    <w:rsid w:val="00A4330D"/>
    <w:rsid w:val="00A4578F"/>
    <w:rsid w:val="00A45DD8"/>
    <w:rsid w:val="00A47BEE"/>
    <w:rsid w:val="00A47C8E"/>
    <w:rsid w:val="00A50740"/>
    <w:rsid w:val="00A50CBE"/>
    <w:rsid w:val="00A51E6D"/>
    <w:rsid w:val="00A5325C"/>
    <w:rsid w:val="00A535D0"/>
    <w:rsid w:val="00A55A4B"/>
    <w:rsid w:val="00A560C2"/>
    <w:rsid w:val="00A577AE"/>
    <w:rsid w:val="00A60D0F"/>
    <w:rsid w:val="00A60E39"/>
    <w:rsid w:val="00A613B1"/>
    <w:rsid w:val="00A6177A"/>
    <w:rsid w:val="00A62862"/>
    <w:rsid w:val="00A6519B"/>
    <w:rsid w:val="00A658D3"/>
    <w:rsid w:val="00A659B9"/>
    <w:rsid w:val="00A65AC1"/>
    <w:rsid w:val="00A66B3B"/>
    <w:rsid w:val="00A71585"/>
    <w:rsid w:val="00A754AA"/>
    <w:rsid w:val="00A75B02"/>
    <w:rsid w:val="00A77086"/>
    <w:rsid w:val="00A801C0"/>
    <w:rsid w:val="00A80CE3"/>
    <w:rsid w:val="00A81487"/>
    <w:rsid w:val="00A81EFD"/>
    <w:rsid w:val="00A826BE"/>
    <w:rsid w:val="00A83031"/>
    <w:rsid w:val="00A836BF"/>
    <w:rsid w:val="00A84141"/>
    <w:rsid w:val="00A84484"/>
    <w:rsid w:val="00A90C74"/>
    <w:rsid w:val="00A90E21"/>
    <w:rsid w:val="00A910E4"/>
    <w:rsid w:val="00A91FE9"/>
    <w:rsid w:val="00A92B86"/>
    <w:rsid w:val="00A92C4E"/>
    <w:rsid w:val="00A93DCA"/>
    <w:rsid w:val="00A949BE"/>
    <w:rsid w:val="00A94C8F"/>
    <w:rsid w:val="00A94D49"/>
    <w:rsid w:val="00A951FE"/>
    <w:rsid w:val="00A95385"/>
    <w:rsid w:val="00A96630"/>
    <w:rsid w:val="00AA2DEB"/>
    <w:rsid w:val="00AA2FB0"/>
    <w:rsid w:val="00AA421F"/>
    <w:rsid w:val="00AA5716"/>
    <w:rsid w:val="00AA626F"/>
    <w:rsid w:val="00AA7F89"/>
    <w:rsid w:val="00AB007C"/>
    <w:rsid w:val="00AB1B61"/>
    <w:rsid w:val="00AB25FB"/>
    <w:rsid w:val="00AB5EB8"/>
    <w:rsid w:val="00AB669B"/>
    <w:rsid w:val="00AB7840"/>
    <w:rsid w:val="00AB7B51"/>
    <w:rsid w:val="00AC0E7B"/>
    <w:rsid w:val="00AC1392"/>
    <w:rsid w:val="00AC1629"/>
    <w:rsid w:val="00AC3F06"/>
    <w:rsid w:val="00AC416D"/>
    <w:rsid w:val="00AC713C"/>
    <w:rsid w:val="00AD0947"/>
    <w:rsid w:val="00AD3209"/>
    <w:rsid w:val="00AD3E43"/>
    <w:rsid w:val="00AD47B4"/>
    <w:rsid w:val="00AD7AFB"/>
    <w:rsid w:val="00AE0291"/>
    <w:rsid w:val="00AE0A73"/>
    <w:rsid w:val="00AE12F9"/>
    <w:rsid w:val="00AE13CB"/>
    <w:rsid w:val="00AE2739"/>
    <w:rsid w:val="00AE2F2F"/>
    <w:rsid w:val="00AF0A88"/>
    <w:rsid w:val="00AF3A85"/>
    <w:rsid w:val="00AF3B4F"/>
    <w:rsid w:val="00AF5033"/>
    <w:rsid w:val="00AF5DDF"/>
    <w:rsid w:val="00AF6C9B"/>
    <w:rsid w:val="00AF7FA2"/>
    <w:rsid w:val="00B00334"/>
    <w:rsid w:val="00B05F85"/>
    <w:rsid w:val="00B065E1"/>
    <w:rsid w:val="00B06BF0"/>
    <w:rsid w:val="00B1017B"/>
    <w:rsid w:val="00B101D8"/>
    <w:rsid w:val="00B12E8A"/>
    <w:rsid w:val="00B15F63"/>
    <w:rsid w:val="00B16141"/>
    <w:rsid w:val="00B16E14"/>
    <w:rsid w:val="00B17170"/>
    <w:rsid w:val="00B20240"/>
    <w:rsid w:val="00B2153C"/>
    <w:rsid w:val="00B2572D"/>
    <w:rsid w:val="00B2574A"/>
    <w:rsid w:val="00B276FA"/>
    <w:rsid w:val="00B27AAC"/>
    <w:rsid w:val="00B30437"/>
    <w:rsid w:val="00B30AA6"/>
    <w:rsid w:val="00B30E6B"/>
    <w:rsid w:val="00B322BB"/>
    <w:rsid w:val="00B32480"/>
    <w:rsid w:val="00B32627"/>
    <w:rsid w:val="00B329AA"/>
    <w:rsid w:val="00B357B3"/>
    <w:rsid w:val="00B363EE"/>
    <w:rsid w:val="00B36CF0"/>
    <w:rsid w:val="00B37159"/>
    <w:rsid w:val="00B37A85"/>
    <w:rsid w:val="00B37A8A"/>
    <w:rsid w:val="00B405D4"/>
    <w:rsid w:val="00B409AF"/>
    <w:rsid w:val="00B41E8D"/>
    <w:rsid w:val="00B41F95"/>
    <w:rsid w:val="00B433E6"/>
    <w:rsid w:val="00B4398A"/>
    <w:rsid w:val="00B46441"/>
    <w:rsid w:val="00B472F7"/>
    <w:rsid w:val="00B512D2"/>
    <w:rsid w:val="00B5139B"/>
    <w:rsid w:val="00B52B31"/>
    <w:rsid w:val="00B54F8C"/>
    <w:rsid w:val="00B552FE"/>
    <w:rsid w:val="00B55D3F"/>
    <w:rsid w:val="00B57A94"/>
    <w:rsid w:val="00B57D2B"/>
    <w:rsid w:val="00B600FC"/>
    <w:rsid w:val="00B60A05"/>
    <w:rsid w:val="00B60FC9"/>
    <w:rsid w:val="00B61C91"/>
    <w:rsid w:val="00B63787"/>
    <w:rsid w:val="00B64BB1"/>
    <w:rsid w:val="00B65275"/>
    <w:rsid w:val="00B65DAD"/>
    <w:rsid w:val="00B6704B"/>
    <w:rsid w:val="00B70D76"/>
    <w:rsid w:val="00B7298C"/>
    <w:rsid w:val="00B77ADA"/>
    <w:rsid w:val="00B82152"/>
    <w:rsid w:val="00B82B65"/>
    <w:rsid w:val="00B83B28"/>
    <w:rsid w:val="00B8476C"/>
    <w:rsid w:val="00B84BA1"/>
    <w:rsid w:val="00B86938"/>
    <w:rsid w:val="00B926EF"/>
    <w:rsid w:val="00B9326A"/>
    <w:rsid w:val="00B93D84"/>
    <w:rsid w:val="00B940F8"/>
    <w:rsid w:val="00B9642D"/>
    <w:rsid w:val="00B965BA"/>
    <w:rsid w:val="00B9677C"/>
    <w:rsid w:val="00B97A93"/>
    <w:rsid w:val="00BA3391"/>
    <w:rsid w:val="00BA4EF9"/>
    <w:rsid w:val="00BA6880"/>
    <w:rsid w:val="00BA6E0E"/>
    <w:rsid w:val="00BA78D3"/>
    <w:rsid w:val="00BA7A73"/>
    <w:rsid w:val="00BB15E0"/>
    <w:rsid w:val="00BB3483"/>
    <w:rsid w:val="00BB3988"/>
    <w:rsid w:val="00BB3B22"/>
    <w:rsid w:val="00BB4FA3"/>
    <w:rsid w:val="00BB5476"/>
    <w:rsid w:val="00BB7A43"/>
    <w:rsid w:val="00BC243D"/>
    <w:rsid w:val="00BC33D7"/>
    <w:rsid w:val="00BC3A06"/>
    <w:rsid w:val="00BC40DF"/>
    <w:rsid w:val="00BC6542"/>
    <w:rsid w:val="00BD1021"/>
    <w:rsid w:val="00BD1238"/>
    <w:rsid w:val="00BD27D8"/>
    <w:rsid w:val="00BD5459"/>
    <w:rsid w:val="00BD5BDB"/>
    <w:rsid w:val="00BD799A"/>
    <w:rsid w:val="00BE2B4B"/>
    <w:rsid w:val="00BE409A"/>
    <w:rsid w:val="00BE5EE2"/>
    <w:rsid w:val="00BE67F5"/>
    <w:rsid w:val="00BF0A89"/>
    <w:rsid w:val="00BF1302"/>
    <w:rsid w:val="00BF5BAD"/>
    <w:rsid w:val="00BF63B9"/>
    <w:rsid w:val="00BF7A51"/>
    <w:rsid w:val="00C00659"/>
    <w:rsid w:val="00C0181F"/>
    <w:rsid w:val="00C04D03"/>
    <w:rsid w:val="00C05954"/>
    <w:rsid w:val="00C05BF6"/>
    <w:rsid w:val="00C05E97"/>
    <w:rsid w:val="00C065EA"/>
    <w:rsid w:val="00C10A67"/>
    <w:rsid w:val="00C1426F"/>
    <w:rsid w:val="00C144E9"/>
    <w:rsid w:val="00C1459D"/>
    <w:rsid w:val="00C1788E"/>
    <w:rsid w:val="00C20C4C"/>
    <w:rsid w:val="00C21349"/>
    <w:rsid w:val="00C21573"/>
    <w:rsid w:val="00C21D73"/>
    <w:rsid w:val="00C22225"/>
    <w:rsid w:val="00C239DF"/>
    <w:rsid w:val="00C2642F"/>
    <w:rsid w:val="00C27C28"/>
    <w:rsid w:val="00C27ED9"/>
    <w:rsid w:val="00C30A58"/>
    <w:rsid w:val="00C30B3D"/>
    <w:rsid w:val="00C30E2E"/>
    <w:rsid w:val="00C32073"/>
    <w:rsid w:val="00C3216B"/>
    <w:rsid w:val="00C323BF"/>
    <w:rsid w:val="00C327B8"/>
    <w:rsid w:val="00C327D6"/>
    <w:rsid w:val="00C33248"/>
    <w:rsid w:val="00C34CB5"/>
    <w:rsid w:val="00C40E69"/>
    <w:rsid w:val="00C422FB"/>
    <w:rsid w:val="00C456FC"/>
    <w:rsid w:val="00C50A4C"/>
    <w:rsid w:val="00C511FB"/>
    <w:rsid w:val="00C554DF"/>
    <w:rsid w:val="00C575B8"/>
    <w:rsid w:val="00C60199"/>
    <w:rsid w:val="00C633DA"/>
    <w:rsid w:val="00C668F7"/>
    <w:rsid w:val="00C66C6B"/>
    <w:rsid w:val="00C670C4"/>
    <w:rsid w:val="00C67717"/>
    <w:rsid w:val="00C704D8"/>
    <w:rsid w:val="00C72540"/>
    <w:rsid w:val="00C72F56"/>
    <w:rsid w:val="00C73747"/>
    <w:rsid w:val="00C73D29"/>
    <w:rsid w:val="00C75A95"/>
    <w:rsid w:val="00C76A61"/>
    <w:rsid w:val="00C76BA3"/>
    <w:rsid w:val="00C8368A"/>
    <w:rsid w:val="00C836F5"/>
    <w:rsid w:val="00C84749"/>
    <w:rsid w:val="00C854E4"/>
    <w:rsid w:val="00C85C91"/>
    <w:rsid w:val="00C86669"/>
    <w:rsid w:val="00C86C6E"/>
    <w:rsid w:val="00C8763E"/>
    <w:rsid w:val="00C92113"/>
    <w:rsid w:val="00C92DB4"/>
    <w:rsid w:val="00C930F5"/>
    <w:rsid w:val="00C96C0E"/>
    <w:rsid w:val="00CA0BE7"/>
    <w:rsid w:val="00CA3DFB"/>
    <w:rsid w:val="00CA74FC"/>
    <w:rsid w:val="00CA78FD"/>
    <w:rsid w:val="00CA7D12"/>
    <w:rsid w:val="00CB005D"/>
    <w:rsid w:val="00CB0C90"/>
    <w:rsid w:val="00CB0D60"/>
    <w:rsid w:val="00CB16CE"/>
    <w:rsid w:val="00CB31D5"/>
    <w:rsid w:val="00CB3758"/>
    <w:rsid w:val="00CB3E61"/>
    <w:rsid w:val="00CB40B9"/>
    <w:rsid w:val="00CB623B"/>
    <w:rsid w:val="00CB682A"/>
    <w:rsid w:val="00CC0C4A"/>
    <w:rsid w:val="00CC1357"/>
    <w:rsid w:val="00CC23BF"/>
    <w:rsid w:val="00CC3F51"/>
    <w:rsid w:val="00CC4CBB"/>
    <w:rsid w:val="00CC5DA1"/>
    <w:rsid w:val="00CC5DE9"/>
    <w:rsid w:val="00CC60D1"/>
    <w:rsid w:val="00CC72A0"/>
    <w:rsid w:val="00CD0070"/>
    <w:rsid w:val="00CD00E0"/>
    <w:rsid w:val="00CD0ADC"/>
    <w:rsid w:val="00CD130E"/>
    <w:rsid w:val="00CD5222"/>
    <w:rsid w:val="00CD52B0"/>
    <w:rsid w:val="00CD5698"/>
    <w:rsid w:val="00CD57F1"/>
    <w:rsid w:val="00CD5BE4"/>
    <w:rsid w:val="00CD66C8"/>
    <w:rsid w:val="00CD76AB"/>
    <w:rsid w:val="00CE0059"/>
    <w:rsid w:val="00CE0509"/>
    <w:rsid w:val="00CE097A"/>
    <w:rsid w:val="00CE1F27"/>
    <w:rsid w:val="00CE30BC"/>
    <w:rsid w:val="00CE4047"/>
    <w:rsid w:val="00CE4F1D"/>
    <w:rsid w:val="00CE65D8"/>
    <w:rsid w:val="00CE77EE"/>
    <w:rsid w:val="00CF02C9"/>
    <w:rsid w:val="00CF1A78"/>
    <w:rsid w:val="00CF2223"/>
    <w:rsid w:val="00CF4975"/>
    <w:rsid w:val="00CF562B"/>
    <w:rsid w:val="00D026C5"/>
    <w:rsid w:val="00D02919"/>
    <w:rsid w:val="00D02D35"/>
    <w:rsid w:val="00D057B5"/>
    <w:rsid w:val="00D06086"/>
    <w:rsid w:val="00D06BB3"/>
    <w:rsid w:val="00D1009E"/>
    <w:rsid w:val="00D10A73"/>
    <w:rsid w:val="00D11F42"/>
    <w:rsid w:val="00D12021"/>
    <w:rsid w:val="00D12230"/>
    <w:rsid w:val="00D13009"/>
    <w:rsid w:val="00D133BB"/>
    <w:rsid w:val="00D13F5F"/>
    <w:rsid w:val="00D14016"/>
    <w:rsid w:val="00D14499"/>
    <w:rsid w:val="00D15CC9"/>
    <w:rsid w:val="00D1740B"/>
    <w:rsid w:val="00D20812"/>
    <w:rsid w:val="00D215D9"/>
    <w:rsid w:val="00D23441"/>
    <w:rsid w:val="00D24667"/>
    <w:rsid w:val="00D273E6"/>
    <w:rsid w:val="00D31731"/>
    <w:rsid w:val="00D31771"/>
    <w:rsid w:val="00D37E6D"/>
    <w:rsid w:val="00D40394"/>
    <w:rsid w:val="00D43FE0"/>
    <w:rsid w:val="00D44025"/>
    <w:rsid w:val="00D44DD8"/>
    <w:rsid w:val="00D46992"/>
    <w:rsid w:val="00D472E2"/>
    <w:rsid w:val="00D5078A"/>
    <w:rsid w:val="00D52540"/>
    <w:rsid w:val="00D52A32"/>
    <w:rsid w:val="00D5363A"/>
    <w:rsid w:val="00D54065"/>
    <w:rsid w:val="00D545D2"/>
    <w:rsid w:val="00D56381"/>
    <w:rsid w:val="00D565D3"/>
    <w:rsid w:val="00D576DB"/>
    <w:rsid w:val="00D57779"/>
    <w:rsid w:val="00D6093A"/>
    <w:rsid w:val="00D61E0E"/>
    <w:rsid w:val="00D640C1"/>
    <w:rsid w:val="00D66BB0"/>
    <w:rsid w:val="00D67305"/>
    <w:rsid w:val="00D678A9"/>
    <w:rsid w:val="00D70801"/>
    <w:rsid w:val="00D728BC"/>
    <w:rsid w:val="00D744F2"/>
    <w:rsid w:val="00D747B8"/>
    <w:rsid w:val="00D7498E"/>
    <w:rsid w:val="00D74C48"/>
    <w:rsid w:val="00D814B0"/>
    <w:rsid w:val="00D8448C"/>
    <w:rsid w:val="00D84672"/>
    <w:rsid w:val="00D85201"/>
    <w:rsid w:val="00D85802"/>
    <w:rsid w:val="00D85EC2"/>
    <w:rsid w:val="00D86854"/>
    <w:rsid w:val="00D9263D"/>
    <w:rsid w:val="00D929CE"/>
    <w:rsid w:val="00D9570B"/>
    <w:rsid w:val="00D961FD"/>
    <w:rsid w:val="00DA0029"/>
    <w:rsid w:val="00DA2820"/>
    <w:rsid w:val="00DA294F"/>
    <w:rsid w:val="00DA3279"/>
    <w:rsid w:val="00DA4205"/>
    <w:rsid w:val="00DA4951"/>
    <w:rsid w:val="00DA4FD8"/>
    <w:rsid w:val="00DA532C"/>
    <w:rsid w:val="00DA5D9D"/>
    <w:rsid w:val="00DB135B"/>
    <w:rsid w:val="00DB33A5"/>
    <w:rsid w:val="00DB3EDC"/>
    <w:rsid w:val="00DB6266"/>
    <w:rsid w:val="00DC08C0"/>
    <w:rsid w:val="00DC4433"/>
    <w:rsid w:val="00DC4570"/>
    <w:rsid w:val="00DC49F5"/>
    <w:rsid w:val="00DC4EA5"/>
    <w:rsid w:val="00DC5815"/>
    <w:rsid w:val="00DC6B01"/>
    <w:rsid w:val="00DD05B0"/>
    <w:rsid w:val="00DD0DF9"/>
    <w:rsid w:val="00DD2717"/>
    <w:rsid w:val="00DD41F1"/>
    <w:rsid w:val="00DD4D13"/>
    <w:rsid w:val="00DD4E80"/>
    <w:rsid w:val="00DD612C"/>
    <w:rsid w:val="00DE19B9"/>
    <w:rsid w:val="00DE22EC"/>
    <w:rsid w:val="00DE5BD2"/>
    <w:rsid w:val="00DE6BEC"/>
    <w:rsid w:val="00DE7346"/>
    <w:rsid w:val="00DF0480"/>
    <w:rsid w:val="00DF123D"/>
    <w:rsid w:val="00DF2237"/>
    <w:rsid w:val="00DF59A2"/>
    <w:rsid w:val="00DF6C18"/>
    <w:rsid w:val="00E02142"/>
    <w:rsid w:val="00E04AD2"/>
    <w:rsid w:val="00E05C12"/>
    <w:rsid w:val="00E06F9E"/>
    <w:rsid w:val="00E10039"/>
    <w:rsid w:val="00E10613"/>
    <w:rsid w:val="00E15984"/>
    <w:rsid w:val="00E20381"/>
    <w:rsid w:val="00E22C83"/>
    <w:rsid w:val="00E231CF"/>
    <w:rsid w:val="00E23BE3"/>
    <w:rsid w:val="00E25BBF"/>
    <w:rsid w:val="00E26EDE"/>
    <w:rsid w:val="00E30763"/>
    <w:rsid w:val="00E30D75"/>
    <w:rsid w:val="00E32671"/>
    <w:rsid w:val="00E32A2B"/>
    <w:rsid w:val="00E34B13"/>
    <w:rsid w:val="00E42A90"/>
    <w:rsid w:val="00E46099"/>
    <w:rsid w:val="00E469BB"/>
    <w:rsid w:val="00E46F88"/>
    <w:rsid w:val="00E50520"/>
    <w:rsid w:val="00E55F35"/>
    <w:rsid w:val="00E56CF8"/>
    <w:rsid w:val="00E5714B"/>
    <w:rsid w:val="00E5754D"/>
    <w:rsid w:val="00E57849"/>
    <w:rsid w:val="00E60FDA"/>
    <w:rsid w:val="00E61A1A"/>
    <w:rsid w:val="00E64185"/>
    <w:rsid w:val="00E65163"/>
    <w:rsid w:val="00E71CF4"/>
    <w:rsid w:val="00E74CD8"/>
    <w:rsid w:val="00E76BD7"/>
    <w:rsid w:val="00E7710D"/>
    <w:rsid w:val="00E82F8A"/>
    <w:rsid w:val="00E83A50"/>
    <w:rsid w:val="00E84232"/>
    <w:rsid w:val="00E8481D"/>
    <w:rsid w:val="00E84D9E"/>
    <w:rsid w:val="00E85396"/>
    <w:rsid w:val="00E86CEE"/>
    <w:rsid w:val="00E86EC7"/>
    <w:rsid w:val="00E872DF"/>
    <w:rsid w:val="00E91078"/>
    <w:rsid w:val="00E92417"/>
    <w:rsid w:val="00E93699"/>
    <w:rsid w:val="00E93BF6"/>
    <w:rsid w:val="00EA0B1E"/>
    <w:rsid w:val="00EA1A15"/>
    <w:rsid w:val="00EA2331"/>
    <w:rsid w:val="00EA3393"/>
    <w:rsid w:val="00EA358E"/>
    <w:rsid w:val="00EA43BE"/>
    <w:rsid w:val="00EA536A"/>
    <w:rsid w:val="00EA7034"/>
    <w:rsid w:val="00EA7067"/>
    <w:rsid w:val="00EA74CE"/>
    <w:rsid w:val="00EB2FCF"/>
    <w:rsid w:val="00EB35E8"/>
    <w:rsid w:val="00EB3729"/>
    <w:rsid w:val="00EB3DAE"/>
    <w:rsid w:val="00EB44E7"/>
    <w:rsid w:val="00EB53F9"/>
    <w:rsid w:val="00EB5CC8"/>
    <w:rsid w:val="00EB6313"/>
    <w:rsid w:val="00EC0263"/>
    <w:rsid w:val="00EC1E95"/>
    <w:rsid w:val="00EC20DA"/>
    <w:rsid w:val="00EC287A"/>
    <w:rsid w:val="00EC34DD"/>
    <w:rsid w:val="00EC421D"/>
    <w:rsid w:val="00EC474B"/>
    <w:rsid w:val="00EC48FF"/>
    <w:rsid w:val="00EC4B34"/>
    <w:rsid w:val="00EC4FC8"/>
    <w:rsid w:val="00EC7599"/>
    <w:rsid w:val="00EC7E5D"/>
    <w:rsid w:val="00ED137C"/>
    <w:rsid w:val="00ED2E1A"/>
    <w:rsid w:val="00ED30BA"/>
    <w:rsid w:val="00ED398F"/>
    <w:rsid w:val="00ED6BCA"/>
    <w:rsid w:val="00EE2F90"/>
    <w:rsid w:val="00EE357C"/>
    <w:rsid w:val="00EE49F5"/>
    <w:rsid w:val="00EE57F6"/>
    <w:rsid w:val="00EE73D3"/>
    <w:rsid w:val="00EE78DB"/>
    <w:rsid w:val="00EE7E33"/>
    <w:rsid w:val="00EF102F"/>
    <w:rsid w:val="00EF10A6"/>
    <w:rsid w:val="00EF2846"/>
    <w:rsid w:val="00EF34AC"/>
    <w:rsid w:val="00EF3A44"/>
    <w:rsid w:val="00EF4283"/>
    <w:rsid w:val="00EF6A48"/>
    <w:rsid w:val="00EF6CA6"/>
    <w:rsid w:val="00EF6E17"/>
    <w:rsid w:val="00F00EBD"/>
    <w:rsid w:val="00F03459"/>
    <w:rsid w:val="00F03696"/>
    <w:rsid w:val="00F03DC8"/>
    <w:rsid w:val="00F04676"/>
    <w:rsid w:val="00F056AD"/>
    <w:rsid w:val="00F05883"/>
    <w:rsid w:val="00F100AC"/>
    <w:rsid w:val="00F113B7"/>
    <w:rsid w:val="00F11E0D"/>
    <w:rsid w:val="00F127FC"/>
    <w:rsid w:val="00F141C2"/>
    <w:rsid w:val="00F168A4"/>
    <w:rsid w:val="00F16CBC"/>
    <w:rsid w:val="00F20849"/>
    <w:rsid w:val="00F20BFA"/>
    <w:rsid w:val="00F221CC"/>
    <w:rsid w:val="00F236AA"/>
    <w:rsid w:val="00F243B4"/>
    <w:rsid w:val="00F254BF"/>
    <w:rsid w:val="00F25EAD"/>
    <w:rsid w:val="00F26A59"/>
    <w:rsid w:val="00F26CD6"/>
    <w:rsid w:val="00F30B48"/>
    <w:rsid w:val="00F31C91"/>
    <w:rsid w:val="00F336C8"/>
    <w:rsid w:val="00F36A12"/>
    <w:rsid w:val="00F36A51"/>
    <w:rsid w:val="00F37153"/>
    <w:rsid w:val="00F37E37"/>
    <w:rsid w:val="00F402EB"/>
    <w:rsid w:val="00F4122E"/>
    <w:rsid w:val="00F418C1"/>
    <w:rsid w:val="00F4344C"/>
    <w:rsid w:val="00F442D0"/>
    <w:rsid w:val="00F45BC6"/>
    <w:rsid w:val="00F50788"/>
    <w:rsid w:val="00F51894"/>
    <w:rsid w:val="00F53092"/>
    <w:rsid w:val="00F54E07"/>
    <w:rsid w:val="00F554EA"/>
    <w:rsid w:val="00F5566F"/>
    <w:rsid w:val="00F55D51"/>
    <w:rsid w:val="00F567D5"/>
    <w:rsid w:val="00F57F44"/>
    <w:rsid w:val="00F60ACA"/>
    <w:rsid w:val="00F61109"/>
    <w:rsid w:val="00F62A5F"/>
    <w:rsid w:val="00F62C13"/>
    <w:rsid w:val="00F637B1"/>
    <w:rsid w:val="00F654FB"/>
    <w:rsid w:val="00F6569B"/>
    <w:rsid w:val="00F661D2"/>
    <w:rsid w:val="00F6714A"/>
    <w:rsid w:val="00F6745C"/>
    <w:rsid w:val="00F713DA"/>
    <w:rsid w:val="00F726F4"/>
    <w:rsid w:val="00F7441E"/>
    <w:rsid w:val="00F77F93"/>
    <w:rsid w:val="00F81559"/>
    <w:rsid w:val="00F8176B"/>
    <w:rsid w:val="00F8244A"/>
    <w:rsid w:val="00F82F10"/>
    <w:rsid w:val="00F84673"/>
    <w:rsid w:val="00F846FA"/>
    <w:rsid w:val="00F9041C"/>
    <w:rsid w:val="00F90828"/>
    <w:rsid w:val="00F92DE8"/>
    <w:rsid w:val="00F94865"/>
    <w:rsid w:val="00F95783"/>
    <w:rsid w:val="00F95EC4"/>
    <w:rsid w:val="00FA09D9"/>
    <w:rsid w:val="00FA0CD4"/>
    <w:rsid w:val="00FA0F55"/>
    <w:rsid w:val="00FA19EB"/>
    <w:rsid w:val="00FA40DA"/>
    <w:rsid w:val="00FA5C96"/>
    <w:rsid w:val="00FA6E6B"/>
    <w:rsid w:val="00FB11A9"/>
    <w:rsid w:val="00FB12FC"/>
    <w:rsid w:val="00FB2DA4"/>
    <w:rsid w:val="00FB3D57"/>
    <w:rsid w:val="00FB4757"/>
    <w:rsid w:val="00FB5AD8"/>
    <w:rsid w:val="00FB7872"/>
    <w:rsid w:val="00FC0692"/>
    <w:rsid w:val="00FC283B"/>
    <w:rsid w:val="00FC33F9"/>
    <w:rsid w:val="00FC426E"/>
    <w:rsid w:val="00FC4D8E"/>
    <w:rsid w:val="00FC5B81"/>
    <w:rsid w:val="00FC6AD4"/>
    <w:rsid w:val="00FD14F3"/>
    <w:rsid w:val="00FD188A"/>
    <w:rsid w:val="00FD2C30"/>
    <w:rsid w:val="00FD459C"/>
    <w:rsid w:val="00FD6968"/>
    <w:rsid w:val="00FD7385"/>
    <w:rsid w:val="00FD7416"/>
    <w:rsid w:val="00FE00D1"/>
    <w:rsid w:val="00FE022C"/>
    <w:rsid w:val="00FE2712"/>
    <w:rsid w:val="00FE6509"/>
    <w:rsid w:val="00FF1326"/>
    <w:rsid w:val="00FF141B"/>
    <w:rsid w:val="00FF71E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F6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099"/>
    <w:pPr>
      <w:spacing w:after="100" w:line="400" w:lineRule="exact"/>
      <w:jc w:val="both"/>
    </w:pPr>
    <w:rPr>
      <w:rFonts w:ascii="Century Schoolbook" w:hAnsi="Century Schoolbook"/>
      <w:sz w:val="27"/>
    </w:rPr>
  </w:style>
  <w:style w:type="paragraph" w:styleId="Heading1">
    <w:name w:val="heading 1"/>
    <w:basedOn w:val="Normal"/>
    <w:next w:val="Normal"/>
    <w:qFormat/>
    <w:rsid w:val="00E46099"/>
    <w:pPr>
      <w:keepNext/>
      <w:spacing w:before="140" w:line="240" w:lineRule="atLeast"/>
      <w:jc w:val="center"/>
      <w:outlineLvl w:val="0"/>
    </w:pPr>
    <w:rPr>
      <w:b/>
      <w:smallCaps/>
    </w:rPr>
  </w:style>
  <w:style w:type="paragraph" w:styleId="Heading2">
    <w:name w:val="heading 2"/>
    <w:basedOn w:val="Normal"/>
    <w:next w:val="Normal"/>
    <w:qFormat/>
    <w:rsid w:val="00E46099"/>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E46099"/>
    <w:pPr>
      <w:keepNext/>
      <w:tabs>
        <w:tab w:val="left" w:pos="1584"/>
      </w:tabs>
      <w:spacing w:before="140" w:line="240" w:lineRule="atLeast"/>
      <w:ind w:left="1584" w:hanging="432"/>
      <w:jc w:val="left"/>
      <w:outlineLvl w:val="2"/>
    </w:pPr>
    <w:rPr>
      <w:i/>
    </w:rPr>
  </w:style>
  <w:style w:type="paragraph" w:styleId="Heading4">
    <w:name w:val="heading 4"/>
    <w:basedOn w:val="Normal"/>
    <w:rsid w:val="00E46099"/>
    <w:pPr>
      <w:keepNext/>
      <w:tabs>
        <w:tab w:val="left" w:pos="2016"/>
      </w:tabs>
      <w:spacing w:before="140" w:line="240" w:lineRule="atLeast"/>
      <w:ind w:left="2016" w:hanging="432"/>
      <w:jc w:val="left"/>
      <w:outlineLvl w:val="3"/>
    </w:pPr>
    <w:rPr>
      <w:i/>
    </w:rPr>
  </w:style>
  <w:style w:type="paragraph" w:styleId="Heading5">
    <w:name w:val="heading 5"/>
    <w:basedOn w:val="Normal"/>
    <w:rsid w:val="00E46099"/>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46099"/>
    <w:pPr>
      <w:ind w:left="720"/>
    </w:pPr>
  </w:style>
  <w:style w:type="paragraph" w:styleId="Footer">
    <w:name w:val="footer"/>
    <w:basedOn w:val="Normal"/>
    <w:qFormat/>
    <w:rsid w:val="00E46099"/>
    <w:pPr>
      <w:tabs>
        <w:tab w:val="center" w:pos="3960"/>
        <w:tab w:val="right" w:pos="10080"/>
      </w:tabs>
      <w:spacing w:after="0" w:line="240" w:lineRule="auto"/>
      <w:jc w:val="center"/>
    </w:pPr>
    <w:rPr>
      <w:sz w:val="22"/>
    </w:rPr>
  </w:style>
  <w:style w:type="paragraph" w:styleId="Header">
    <w:name w:val="header"/>
    <w:basedOn w:val="Normal"/>
    <w:qFormat/>
    <w:rsid w:val="00E46099"/>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E46099"/>
    <w:rPr>
      <w:rFonts w:ascii="Century Schoolbook" w:hAnsi="Century Schoolbook"/>
      <w:b/>
      <w:i w:val="0"/>
      <w:position w:val="4"/>
      <w:sz w:val="27"/>
      <w:vertAlign w:val="superscript"/>
    </w:rPr>
  </w:style>
  <w:style w:type="paragraph" w:styleId="FootnoteText">
    <w:name w:val="footnote text"/>
    <w:basedOn w:val="Normal"/>
    <w:rsid w:val="00E46099"/>
    <w:pPr>
      <w:spacing w:line="300" w:lineRule="exact"/>
    </w:pPr>
  </w:style>
  <w:style w:type="paragraph" w:customStyle="1" w:styleId="Title1">
    <w:name w:val="Title1"/>
    <w:basedOn w:val="Normal"/>
    <w:rsid w:val="00E46099"/>
    <w:pPr>
      <w:tabs>
        <w:tab w:val="left" w:pos="5760"/>
        <w:tab w:val="left" w:pos="6480"/>
      </w:tabs>
      <w:spacing w:line="240" w:lineRule="atLeast"/>
    </w:pPr>
  </w:style>
  <w:style w:type="paragraph" w:customStyle="1" w:styleId="Recommend">
    <w:name w:val="Recommend"/>
    <w:basedOn w:val="Normal"/>
    <w:rsid w:val="00E46099"/>
  </w:style>
  <w:style w:type="paragraph" w:customStyle="1" w:styleId="Summary">
    <w:name w:val="Summary"/>
    <w:basedOn w:val="Normal"/>
    <w:rsid w:val="00E46099"/>
    <w:pPr>
      <w:ind w:left="2160" w:hanging="2160"/>
    </w:pPr>
  </w:style>
  <w:style w:type="paragraph" w:customStyle="1" w:styleId="Text">
    <w:name w:val="Text"/>
    <w:basedOn w:val="Normal"/>
    <w:rsid w:val="00E46099"/>
    <w:pPr>
      <w:tabs>
        <w:tab w:val="left" w:pos="720"/>
        <w:tab w:val="left" w:pos="1440"/>
        <w:tab w:val="left" w:pos="2160"/>
        <w:tab w:val="center" w:pos="4320"/>
      </w:tabs>
      <w:spacing w:line="480" w:lineRule="atLeast"/>
      <w:ind w:firstLine="540"/>
    </w:pPr>
  </w:style>
  <w:style w:type="paragraph" w:styleId="Date">
    <w:name w:val="Date"/>
    <w:basedOn w:val="Normal"/>
    <w:semiHidden/>
    <w:rsid w:val="00E46099"/>
    <w:pPr>
      <w:jc w:val="right"/>
    </w:pPr>
  </w:style>
  <w:style w:type="character" w:styleId="PageNumber">
    <w:name w:val="page number"/>
    <w:basedOn w:val="DefaultParagraphFont"/>
    <w:semiHidden/>
    <w:rsid w:val="00E46099"/>
  </w:style>
  <w:style w:type="paragraph" w:customStyle="1" w:styleId="subject">
    <w:name w:val="subject"/>
    <w:basedOn w:val="Normal"/>
    <w:rsid w:val="00E46099"/>
    <w:pPr>
      <w:tabs>
        <w:tab w:val="left" w:pos="1008"/>
      </w:tabs>
      <w:ind w:left="990" w:hanging="990"/>
    </w:pPr>
    <w:rPr>
      <w:b/>
    </w:rPr>
  </w:style>
  <w:style w:type="paragraph" w:customStyle="1" w:styleId="Titles">
    <w:name w:val="Titles"/>
    <w:basedOn w:val="Normal"/>
    <w:rsid w:val="00E46099"/>
    <w:pPr>
      <w:tabs>
        <w:tab w:val="left" w:pos="2160"/>
      </w:tabs>
      <w:ind w:left="2160" w:hanging="2160"/>
    </w:pPr>
    <w:rPr>
      <w:b/>
    </w:rPr>
  </w:style>
  <w:style w:type="paragraph" w:styleId="TOAHeading">
    <w:name w:val="toa heading"/>
    <w:basedOn w:val="Normal"/>
    <w:next w:val="Normal"/>
    <w:semiHidden/>
    <w:rsid w:val="00E46099"/>
    <w:pPr>
      <w:spacing w:before="120"/>
    </w:pPr>
    <w:rPr>
      <w:b/>
    </w:rPr>
  </w:style>
  <w:style w:type="paragraph" w:styleId="TOC1">
    <w:name w:val="toc 1"/>
    <w:basedOn w:val="Normal"/>
    <w:next w:val="Normal"/>
    <w:autoRedefine/>
    <w:semiHidden/>
    <w:rsid w:val="00E46099"/>
  </w:style>
  <w:style w:type="paragraph" w:styleId="TOC2">
    <w:name w:val="toc 2"/>
    <w:basedOn w:val="Normal"/>
    <w:next w:val="Normal"/>
    <w:autoRedefine/>
    <w:semiHidden/>
    <w:rsid w:val="00E46099"/>
    <w:pPr>
      <w:ind w:left="259"/>
    </w:pPr>
  </w:style>
  <w:style w:type="paragraph" w:styleId="TOC3">
    <w:name w:val="toc 3"/>
    <w:basedOn w:val="Normal"/>
    <w:next w:val="Normal"/>
    <w:autoRedefine/>
    <w:semiHidden/>
    <w:rsid w:val="00E46099"/>
    <w:pPr>
      <w:ind w:left="520"/>
    </w:pPr>
  </w:style>
  <w:style w:type="paragraph" w:styleId="TOC4">
    <w:name w:val="toc 4"/>
    <w:basedOn w:val="Normal"/>
    <w:next w:val="Normal"/>
    <w:autoRedefine/>
    <w:semiHidden/>
    <w:rsid w:val="00E46099"/>
    <w:pPr>
      <w:ind w:left="780"/>
    </w:pPr>
  </w:style>
  <w:style w:type="paragraph" w:styleId="TOC5">
    <w:name w:val="toc 5"/>
    <w:basedOn w:val="Normal"/>
    <w:next w:val="Normal"/>
    <w:autoRedefine/>
    <w:semiHidden/>
    <w:rsid w:val="00E46099"/>
    <w:pPr>
      <w:ind w:left="1040"/>
    </w:pPr>
  </w:style>
  <w:style w:type="paragraph" w:styleId="TOC6">
    <w:name w:val="toc 6"/>
    <w:basedOn w:val="Normal"/>
    <w:next w:val="Normal"/>
    <w:autoRedefine/>
    <w:semiHidden/>
    <w:rsid w:val="00E46099"/>
    <w:pPr>
      <w:ind w:left="1300"/>
    </w:pPr>
  </w:style>
  <w:style w:type="paragraph" w:styleId="TOC7">
    <w:name w:val="toc 7"/>
    <w:basedOn w:val="Normal"/>
    <w:next w:val="Normal"/>
    <w:autoRedefine/>
    <w:semiHidden/>
    <w:rsid w:val="00E46099"/>
    <w:pPr>
      <w:ind w:left="1560"/>
    </w:pPr>
  </w:style>
  <w:style w:type="paragraph" w:styleId="TOC8">
    <w:name w:val="toc 8"/>
    <w:basedOn w:val="Normal"/>
    <w:next w:val="Normal"/>
    <w:autoRedefine/>
    <w:semiHidden/>
    <w:rsid w:val="00E46099"/>
    <w:pPr>
      <w:ind w:left="1820"/>
    </w:pPr>
  </w:style>
  <w:style w:type="paragraph" w:styleId="TOC9">
    <w:name w:val="toc 9"/>
    <w:basedOn w:val="Normal"/>
    <w:next w:val="Normal"/>
    <w:autoRedefine/>
    <w:semiHidden/>
    <w:rsid w:val="00E46099"/>
    <w:pPr>
      <w:ind w:left="2080"/>
    </w:pPr>
  </w:style>
  <w:style w:type="paragraph" w:customStyle="1" w:styleId="Contents">
    <w:name w:val="Contents"/>
    <w:basedOn w:val="Normal"/>
    <w:rsid w:val="00E46099"/>
    <w:pPr>
      <w:jc w:val="center"/>
    </w:pPr>
    <w:rPr>
      <w:b/>
      <w:spacing w:val="100"/>
    </w:rPr>
  </w:style>
  <w:style w:type="character" w:styleId="Hyperlink">
    <w:name w:val="Hyperlink"/>
    <w:basedOn w:val="DefaultParagraphFont"/>
    <w:uiPriority w:val="99"/>
    <w:unhideWhenUsed/>
    <w:rsid w:val="00C30A58"/>
    <w:rPr>
      <w:color w:val="0000FF" w:themeColor="hyperlink"/>
      <w:u w:val="single"/>
    </w:rPr>
  </w:style>
  <w:style w:type="character" w:customStyle="1" w:styleId="UnresolvedMention1">
    <w:name w:val="Unresolved Mention1"/>
    <w:basedOn w:val="DefaultParagraphFont"/>
    <w:uiPriority w:val="99"/>
    <w:semiHidden/>
    <w:unhideWhenUsed/>
    <w:rsid w:val="00C30A58"/>
    <w:rPr>
      <w:color w:val="808080"/>
      <w:shd w:val="clear" w:color="auto" w:fill="E6E6E6"/>
    </w:rPr>
  </w:style>
  <w:style w:type="paragraph" w:styleId="BalloonText">
    <w:name w:val="Balloon Text"/>
    <w:basedOn w:val="Normal"/>
    <w:link w:val="BalloonTextChar"/>
    <w:uiPriority w:val="99"/>
    <w:semiHidden/>
    <w:unhideWhenUsed/>
    <w:rsid w:val="00874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D5B"/>
    <w:rPr>
      <w:rFonts w:ascii="Segoe UI" w:hAnsi="Segoe UI" w:cs="Segoe UI"/>
      <w:sz w:val="18"/>
      <w:szCs w:val="18"/>
    </w:rPr>
  </w:style>
  <w:style w:type="character" w:styleId="CommentReference">
    <w:name w:val="annotation reference"/>
    <w:basedOn w:val="DefaultParagraphFont"/>
    <w:uiPriority w:val="99"/>
    <w:semiHidden/>
    <w:unhideWhenUsed/>
    <w:rsid w:val="00B276FA"/>
    <w:rPr>
      <w:sz w:val="16"/>
      <w:szCs w:val="16"/>
    </w:rPr>
  </w:style>
  <w:style w:type="paragraph" w:styleId="CommentText">
    <w:name w:val="annotation text"/>
    <w:basedOn w:val="Normal"/>
    <w:link w:val="CommentTextChar"/>
    <w:uiPriority w:val="99"/>
    <w:semiHidden/>
    <w:unhideWhenUsed/>
    <w:rsid w:val="00B276FA"/>
    <w:rPr>
      <w:sz w:val="20"/>
    </w:rPr>
  </w:style>
  <w:style w:type="character" w:customStyle="1" w:styleId="CommentTextChar">
    <w:name w:val="Comment Text Char"/>
    <w:basedOn w:val="DefaultParagraphFont"/>
    <w:link w:val="CommentText"/>
    <w:uiPriority w:val="99"/>
    <w:semiHidden/>
    <w:rsid w:val="00B276FA"/>
  </w:style>
  <w:style w:type="paragraph" w:styleId="CommentSubject">
    <w:name w:val="annotation subject"/>
    <w:basedOn w:val="CommentText"/>
    <w:next w:val="CommentText"/>
    <w:link w:val="CommentSubjectChar"/>
    <w:uiPriority w:val="99"/>
    <w:semiHidden/>
    <w:unhideWhenUsed/>
    <w:rsid w:val="00B276FA"/>
    <w:rPr>
      <w:b/>
      <w:bCs/>
    </w:rPr>
  </w:style>
  <w:style w:type="character" w:customStyle="1" w:styleId="CommentSubjectChar">
    <w:name w:val="Comment Subject Char"/>
    <w:basedOn w:val="CommentTextChar"/>
    <w:link w:val="CommentSubject"/>
    <w:uiPriority w:val="99"/>
    <w:semiHidden/>
    <w:rsid w:val="00B276FA"/>
    <w:rPr>
      <w:b/>
      <w:bCs/>
    </w:rPr>
  </w:style>
  <w:style w:type="paragraph" w:styleId="Revision">
    <w:name w:val="Revision"/>
    <w:hidden/>
    <w:uiPriority w:val="99"/>
    <w:semiHidden/>
    <w:rsid w:val="00B357B3"/>
    <w:rPr>
      <w:sz w:val="26"/>
    </w:rPr>
  </w:style>
  <w:style w:type="paragraph" w:styleId="BodyText">
    <w:name w:val="Body Text"/>
    <w:basedOn w:val="Normal"/>
    <w:link w:val="BodyTextChar"/>
    <w:qFormat/>
    <w:rsid w:val="00E46099"/>
  </w:style>
  <w:style w:type="character" w:customStyle="1" w:styleId="BodyTextChar">
    <w:name w:val="Body Text Char"/>
    <w:basedOn w:val="DefaultParagraphFont"/>
    <w:link w:val="BodyText"/>
    <w:rsid w:val="00E46099"/>
    <w:rPr>
      <w:rFonts w:ascii="Century Schoolbook" w:hAnsi="Century Schoolbook"/>
      <w:sz w:val="27"/>
    </w:rPr>
  </w:style>
  <w:style w:type="character" w:styleId="UnresolvedMention">
    <w:name w:val="Unresolved Mention"/>
    <w:basedOn w:val="DefaultParagraphFont"/>
    <w:uiPriority w:val="99"/>
    <w:semiHidden/>
    <w:unhideWhenUsed/>
    <w:rsid w:val="001D5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05136">
      <w:bodyDiv w:val="1"/>
      <w:marLeft w:val="0"/>
      <w:marRight w:val="0"/>
      <w:marTop w:val="0"/>
      <w:marBottom w:val="0"/>
      <w:divBdr>
        <w:top w:val="none" w:sz="0" w:space="0" w:color="auto"/>
        <w:left w:val="none" w:sz="0" w:space="0" w:color="auto"/>
        <w:bottom w:val="none" w:sz="0" w:space="0" w:color="auto"/>
        <w:right w:val="none" w:sz="0" w:space="0" w:color="auto"/>
      </w:divBdr>
      <w:divsChild>
        <w:div w:id="137309075">
          <w:marLeft w:val="0"/>
          <w:marRight w:val="0"/>
          <w:marTop w:val="0"/>
          <w:marBottom w:val="0"/>
          <w:divBdr>
            <w:top w:val="none" w:sz="0" w:space="0" w:color="auto"/>
            <w:left w:val="none" w:sz="0" w:space="0" w:color="auto"/>
            <w:bottom w:val="none" w:sz="0" w:space="0" w:color="auto"/>
            <w:right w:val="none" w:sz="0" w:space="0" w:color="auto"/>
          </w:divBdr>
        </w:div>
        <w:div w:id="124757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6469</Words>
  <Characters>36895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2019-05-03T23:44:00Z</dcterms:created>
  <dcterms:modified xsi:type="dcterms:W3CDTF">2019-05-03T23:57:00Z</dcterms:modified>
</cp:coreProperties>
</file>