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EDB4" w14:textId="77777777" w:rsidR="00D20E35" w:rsidRDefault="00723852" w:rsidP="00723852">
      <w:pPr>
        <w:tabs>
          <w:tab w:val="left" w:pos="1440"/>
          <w:tab w:val="left" w:pos="4680"/>
          <w:tab w:val="center" w:pos="7200"/>
        </w:tabs>
        <w:spacing w:after="0"/>
        <w:jc w:val="center"/>
        <w:rPr>
          <w:sz w:val="36"/>
        </w:rPr>
      </w:pPr>
      <w:bookmarkStart w:id="0" w:name="MarkDocLoc"/>
      <w:bookmarkStart w:id="1" w:name="_Hlk23496548"/>
      <w:bookmarkEnd w:id="0"/>
      <w:r>
        <w:rPr>
          <w:b/>
          <w:sz w:val="36"/>
        </w:rPr>
        <w:t>IN THE SUPREME COURT OF CALIFORNIA</w:t>
      </w:r>
    </w:p>
    <w:p w14:paraId="649EEDB5" w14:textId="77777777" w:rsidR="00723852" w:rsidRDefault="00723852" w:rsidP="00723852">
      <w:pPr>
        <w:tabs>
          <w:tab w:val="left" w:pos="1440"/>
          <w:tab w:val="left" w:pos="4680"/>
          <w:tab w:val="center" w:pos="7200"/>
        </w:tabs>
        <w:spacing w:after="0"/>
        <w:jc w:val="center"/>
      </w:pPr>
    </w:p>
    <w:p w14:paraId="649EEDB6" w14:textId="75863AA3" w:rsidR="00723852" w:rsidRDefault="00EB2C8A" w:rsidP="00723852">
      <w:pPr>
        <w:tabs>
          <w:tab w:val="left" w:pos="1440"/>
          <w:tab w:val="left" w:pos="4680"/>
          <w:tab w:val="center" w:pos="7200"/>
        </w:tabs>
        <w:spacing w:after="0"/>
        <w:jc w:val="center"/>
      </w:pPr>
      <w:r>
        <w:t>THE PEOPLE</w:t>
      </w:r>
      <w:r w:rsidR="0049676B">
        <w:t>,</w:t>
      </w:r>
    </w:p>
    <w:p w14:paraId="649EEDB7" w14:textId="15707289" w:rsidR="00723852" w:rsidRDefault="00723852" w:rsidP="00723852">
      <w:pPr>
        <w:tabs>
          <w:tab w:val="left" w:pos="1440"/>
          <w:tab w:val="left" w:pos="4680"/>
          <w:tab w:val="center" w:pos="7200"/>
        </w:tabs>
        <w:spacing w:after="0"/>
        <w:jc w:val="center"/>
      </w:pPr>
      <w:r>
        <w:t>Plaintiff and</w:t>
      </w:r>
      <w:r w:rsidR="00EB2C8A">
        <w:t xml:space="preserve"> Respondent</w:t>
      </w:r>
      <w:r w:rsidR="00440816">
        <w:t>,</w:t>
      </w:r>
    </w:p>
    <w:p w14:paraId="649EEDB8" w14:textId="77777777" w:rsidR="00723852" w:rsidRDefault="00723852" w:rsidP="00723852">
      <w:pPr>
        <w:tabs>
          <w:tab w:val="left" w:pos="1440"/>
          <w:tab w:val="left" w:pos="4680"/>
          <w:tab w:val="center" w:pos="7200"/>
        </w:tabs>
        <w:spacing w:after="0"/>
        <w:jc w:val="center"/>
      </w:pPr>
      <w:r>
        <w:t>v.</w:t>
      </w:r>
    </w:p>
    <w:p w14:paraId="649EEDB9" w14:textId="0470B6FB" w:rsidR="00723852" w:rsidRDefault="0046522D" w:rsidP="00723852">
      <w:pPr>
        <w:tabs>
          <w:tab w:val="left" w:pos="1440"/>
          <w:tab w:val="left" w:pos="4680"/>
          <w:tab w:val="center" w:pos="7200"/>
        </w:tabs>
        <w:spacing w:after="0"/>
        <w:jc w:val="center"/>
      </w:pPr>
      <w:r>
        <w:t xml:space="preserve">JASON </w:t>
      </w:r>
      <w:r w:rsidR="008851CF">
        <w:t xml:space="preserve">ARRON </w:t>
      </w:r>
      <w:r>
        <w:t>ARREDONDO</w:t>
      </w:r>
      <w:r w:rsidR="0049676B">
        <w:t>,</w:t>
      </w:r>
    </w:p>
    <w:p w14:paraId="649EEDBA" w14:textId="62633B2B" w:rsidR="00723852" w:rsidRDefault="00723852" w:rsidP="00723852">
      <w:pPr>
        <w:tabs>
          <w:tab w:val="left" w:pos="1440"/>
          <w:tab w:val="left" w:pos="4680"/>
          <w:tab w:val="center" w:pos="7200"/>
        </w:tabs>
        <w:spacing w:after="0"/>
        <w:jc w:val="center"/>
      </w:pPr>
      <w:r>
        <w:t>Defendant and</w:t>
      </w:r>
      <w:r w:rsidR="00823B2B">
        <w:t xml:space="preserve"> Appellant</w:t>
      </w:r>
      <w:r w:rsidR="00752FF3">
        <w:t>.</w:t>
      </w:r>
    </w:p>
    <w:p w14:paraId="649EEDBB" w14:textId="77777777" w:rsidR="00723852" w:rsidRDefault="00723852" w:rsidP="00723852">
      <w:pPr>
        <w:tabs>
          <w:tab w:val="left" w:pos="1440"/>
          <w:tab w:val="left" w:pos="4680"/>
          <w:tab w:val="center" w:pos="7200"/>
        </w:tabs>
        <w:spacing w:after="0"/>
        <w:jc w:val="center"/>
      </w:pPr>
    </w:p>
    <w:p w14:paraId="649EEDBF" w14:textId="3BFF8C10" w:rsidR="00723852" w:rsidRDefault="00723852" w:rsidP="00723852">
      <w:pPr>
        <w:tabs>
          <w:tab w:val="left" w:pos="1440"/>
          <w:tab w:val="left" w:pos="4680"/>
          <w:tab w:val="center" w:pos="7200"/>
        </w:tabs>
        <w:spacing w:after="0"/>
        <w:jc w:val="center"/>
      </w:pPr>
      <w:r>
        <w:t>S24</w:t>
      </w:r>
      <w:r w:rsidR="009214E1">
        <w:t>4166</w:t>
      </w:r>
    </w:p>
    <w:p w14:paraId="649EEDC0" w14:textId="77777777" w:rsidR="00723852" w:rsidRDefault="00723852" w:rsidP="00723852">
      <w:pPr>
        <w:tabs>
          <w:tab w:val="left" w:pos="1440"/>
          <w:tab w:val="left" w:pos="4680"/>
          <w:tab w:val="center" w:pos="7200"/>
        </w:tabs>
        <w:spacing w:after="0"/>
        <w:jc w:val="center"/>
      </w:pPr>
    </w:p>
    <w:p w14:paraId="649EEDC1" w14:textId="39E199FC" w:rsidR="00723852" w:rsidRDefault="006D3086" w:rsidP="00723852">
      <w:pPr>
        <w:tabs>
          <w:tab w:val="left" w:pos="1440"/>
          <w:tab w:val="left" w:pos="4680"/>
          <w:tab w:val="center" w:pos="7200"/>
        </w:tabs>
        <w:spacing w:after="0"/>
        <w:jc w:val="center"/>
      </w:pPr>
      <w:r>
        <w:t xml:space="preserve">Fourth </w:t>
      </w:r>
      <w:r w:rsidR="00723852">
        <w:t xml:space="preserve">Appellate District, Division </w:t>
      </w:r>
      <w:r w:rsidR="00EF66D0">
        <w:t>Two</w:t>
      </w:r>
    </w:p>
    <w:p w14:paraId="649EEDC3" w14:textId="7DC3F0C2" w:rsidR="00723852" w:rsidRDefault="00D17F2E" w:rsidP="00723852">
      <w:pPr>
        <w:tabs>
          <w:tab w:val="left" w:pos="1440"/>
          <w:tab w:val="left" w:pos="4680"/>
          <w:tab w:val="center" w:pos="7200"/>
        </w:tabs>
        <w:spacing w:after="0"/>
        <w:jc w:val="center"/>
      </w:pPr>
      <w:r>
        <w:t>E064206</w:t>
      </w:r>
    </w:p>
    <w:p w14:paraId="60F8436D" w14:textId="77777777" w:rsidR="00D17F2E" w:rsidRDefault="00D17F2E" w:rsidP="00723852">
      <w:pPr>
        <w:tabs>
          <w:tab w:val="left" w:pos="1440"/>
          <w:tab w:val="left" w:pos="4680"/>
          <w:tab w:val="center" w:pos="7200"/>
        </w:tabs>
        <w:spacing w:after="0"/>
        <w:jc w:val="center"/>
      </w:pPr>
    </w:p>
    <w:p w14:paraId="649EEDC4" w14:textId="6862A2CD" w:rsidR="00723852" w:rsidRDefault="00AB6146" w:rsidP="00723852">
      <w:pPr>
        <w:tabs>
          <w:tab w:val="left" w:pos="1440"/>
          <w:tab w:val="left" w:pos="4680"/>
          <w:tab w:val="center" w:pos="7200"/>
        </w:tabs>
        <w:spacing w:after="0"/>
        <w:jc w:val="center"/>
      </w:pPr>
      <w:r>
        <w:t xml:space="preserve">Riverside </w:t>
      </w:r>
      <w:r w:rsidR="00723852">
        <w:t>County</w:t>
      </w:r>
      <w:r w:rsidR="00440816">
        <w:t xml:space="preserve"> Superior Court</w:t>
      </w:r>
    </w:p>
    <w:p w14:paraId="649EEDC5" w14:textId="4635CB88" w:rsidR="00723852" w:rsidRDefault="00241EB7" w:rsidP="00723852">
      <w:pPr>
        <w:tabs>
          <w:tab w:val="left" w:pos="1440"/>
          <w:tab w:val="left" w:pos="4680"/>
          <w:tab w:val="center" w:pos="7200"/>
        </w:tabs>
        <w:spacing w:after="0"/>
        <w:jc w:val="center"/>
      </w:pPr>
      <w:r>
        <w:t>RIF1310007</w:t>
      </w:r>
      <w:r w:rsidR="008851CF">
        <w:t xml:space="preserve"> and</w:t>
      </w:r>
      <w:r w:rsidR="001F4D85" w:rsidRPr="001F4D85">
        <w:t xml:space="preserve"> </w:t>
      </w:r>
      <w:r w:rsidR="001F4D85">
        <w:t>RIF1403693</w:t>
      </w:r>
    </w:p>
    <w:p w14:paraId="649EEDC6" w14:textId="77777777" w:rsidR="00723852" w:rsidRDefault="00723852" w:rsidP="00723852">
      <w:pPr>
        <w:pBdr>
          <w:bottom w:val="single" w:sz="4" w:space="1" w:color="auto"/>
        </w:pBdr>
        <w:tabs>
          <w:tab w:val="left" w:pos="1440"/>
          <w:tab w:val="left" w:pos="4680"/>
          <w:tab w:val="center" w:pos="7200"/>
        </w:tabs>
        <w:spacing w:after="0"/>
        <w:jc w:val="center"/>
      </w:pPr>
    </w:p>
    <w:p w14:paraId="649EEDC7" w14:textId="77777777" w:rsidR="00723852" w:rsidRDefault="00723852" w:rsidP="00723852">
      <w:pPr>
        <w:tabs>
          <w:tab w:val="left" w:pos="1440"/>
          <w:tab w:val="left" w:pos="4680"/>
          <w:tab w:val="center" w:pos="7200"/>
        </w:tabs>
        <w:spacing w:after="0"/>
        <w:jc w:val="center"/>
      </w:pPr>
    </w:p>
    <w:p w14:paraId="649EEDC8" w14:textId="11212247" w:rsidR="00723852" w:rsidRDefault="00CE49D7" w:rsidP="00723852">
      <w:pPr>
        <w:tabs>
          <w:tab w:val="left" w:pos="1440"/>
          <w:tab w:val="left" w:pos="4680"/>
          <w:tab w:val="center" w:pos="7200"/>
        </w:tabs>
        <w:spacing w:after="0"/>
        <w:jc w:val="center"/>
      </w:pPr>
      <w:r>
        <w:t>December 16</w:t>
      </w:r>
      <w:r w:rsidR="00723852">
        <w:t>, 2019</w:t>
      </w:r>
    </w:p>
    <w:p w14:paraId="649EEDC9" w14:textId="77777777" w:rsidR="00723852" w:rsidRDefault="00723852" w:rsidP="00723852">
      <w:pPr>
        <w:tabs>
          <w:tab w:val="left" w:pos="1440"/>
          <w:tab w:val="left" w:pos="4680"/>
          <w:tab w:val="center" w:pos="7200"/>
        </w:tabs>
        <w:spacing w:after="0"/>
        <w:jc w:val="center"/>
      </w:pPr>
    </w:p>
    <w:p w14:paraId="7F7D8C0D" w14:textId="77777777" w:rsidR="0061201F" w:rsidRDefault="0061201F" w:rsidP="0061201F">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14:paraId="649EEDCC" w14:textId="77777777" w:rsidR="00723852" w:rsidRPr="00723852" w:rsidRDefault="00723852" w:rsidP="00723852">
      <w:pPr>
        <w:pBdr>
          <w:bottom w:val="single" w:sz="4" w:space="1" w:color="auto"/>
        </w:pBdr>
        <w:tabs>
          <w:tab w:val="left" w:pos="1440"/>
          <w:tab w:val="left" w:pos="4680"/>
          <w:tab w:val="center" w:pos="7200"/>
        </w:tabs>
        <w:jc w:val="left"/>
      </w:pPr>
      <w:bookmarkStart w:id="2" w:name="Return"/>
      <w:bookmarkEnd w:id="2"/>
    </w:p>
    <w:p w14:paraId="649EEDCD" w14:textId="77777777" w:rsidR="00723852" w:rsidRDefault="00723852" w:rsidP="00D20E35">
      <w:pPr>
        <w:tabs>
          <w:tab w:val="left" w:pos="1440"/>
          <w:tab w:val="left" w:pos="4680"/>
          <w:tab w:val="center" w:pos="7200"/>
        </w:tabs>
        <w:sectPr w:rsidR="00723852" w:rsidSect="00723852">
          <w:headerReference w:type="even" r:id="rId8"/>
          <w:headerReference w:type="default" r:id="rId9"/>
          <w:footerReference w:type="default" r:id="rId10"/>
          <w:footnotePr>
            <w:numRestart w:val="eachSect"/>
          </w:footnotePr>
          <w:pgSz w:w="12240" w:h="15840"/>
          <w:pgMar w:top="1800" w:right="2160" w:bottom="1440" w:left="2160" w:header="720" w:footer="720" w:gutter="0"/>
          <w:cols w:space="720"/>
          <w:titlePg/>
          <w:docGrid w:linePitch="367"/>
        </w:sectPr>
      </w:pPr>
    </w:p>
    <w:p w14:paraId="649EEDCE" w14:textId="7A0DE5D0" w:rsidR="00723852" w:rsidRDefault="001F4D85" w:rsidP="00723852">
      <w:pPr>
        <w:tabs>
          <w:tab w:val="left" w:pos="1440"/>
          <w:tab w:val="left" w:pos="4680"/>
          <w:tab w:val="center" w:pos="7200"/>
        </w:tabs>
        <w:jc w:val="center"/>
      </w:pPr>
      <w:r>
        <w:lastRenderedPageBreak/>
        <w:t xml:space="preserve">PEOPLE </w:t>
      </w:r>
      <w:r w:rsidR="00723852">
        <w:t xml:space="preserve">v. </w:t>
      </w:r>
      <w:r>
        <w:t>ARREDONDO</w:t>
      </w:r>
    </w:p>
    <w:p w14:paraId="649EEDCF" w14:textId="0183D753" w:rsidR="00723852" w:rsidRDefault="00723852" w:rsidP="00723852">
      <w:pPr>
        <w:tabs>
          <w:tab w:val="left" w:pos="1440"/>
          <w:tab w:val="left" w:pos="4680"/>
          <w:tab w:val="center" w:pos="7200"/>
        </w:tabs>
        <w:jc w:val="center"/>
      </w:pPr>
      <w:r>
        <w:t>S244</w:t>
      </w:r>
      <w:r w:rsidR="009214E1">
        <w:t>166</w:t>
      </w:r>
    </w:p>
    <w:p w14:paraId="649EEDD0" w14:textId="77777777" w:rsidR="00723852" w:rsidRDefault="00723852" w:rsidP="00723852">
      <w:pPr>
        <w:tabs>
          <w:tab w:val="left" w:pos="1440"/>
          <w:tab w:val="left" w:pos="4680"/>
          <w:tab w:val="center" w:pos="7200"/>
        </w:tabs>
        <w:jc w:val="center"/>
      </w:pPr>
    </w:p>
    <w:p w14:paraId="649EEDD1" w14:textId="300B59D9" w:rsidR="00723852" w:rsidRDefault="00723852" w:rsidP="00723852">
      <w:pPr>
        <w:tabs>
          <w:tab w:val="left" w:pos="1440"/>
          <w:tab w:val="left" w:pos="4680"/>
          <w:tab w:val="center" w:pos="7200"/>
        </w:tabs>
        <w:jc w:val="center"/>
      </w:pPr>
      <w:r>
        <w:t>Opinion of the Court by</w:t>
      </w:r>
      <w:r w:rsidR="001F4D85">
        <w:t xml:space="preserve"> Chin</w:t>
      </w:r>
      <w:r w:rsidR="00440816">
        <w:t>, J.</w:t>
      </w:r>
    </w:p>
    <w:p w14:paraId="649EEDD2" w14:textId="77777777" w:rsidR="00723852" w:rsidRPr="00723852" w:rsidRDefault="00723852" w:rsidP="00723852">
      <w:pPr>
        <w:tabs>
          <w:tab w:val="left" w:pos="1440"/>
          <w:tab w:val="left" w:pos="4680"/>
          <w:tab w:val="center" w:pos="7200"/>
        </w:tabs>
        <w:jc w:val="center"/>
      </w:pPr>
    </w:p>
    <w:p w14:paraId="2E033D9E" w14:textId="548B5417" w:rsidR="00711A2C" w:rsidRDefault="00711A2C" w:rsidP="00420D35">
      <w:pPr>
        <w:tabs>
          <w:tab w:val="left" w:pos="1440"/>
        </w:tabs>
        <w:ind w:firstLine="720"/>
      </w:pPr>
      <w:bookmarkStart w:id="3" w:name="mainstory"/>
      <w:bookmarkEnd w:id="3"/>
      <w:r>
        <w:t xml:space="preserve">A jury convicted defendant Jason Arredondo of multiple sex offenses involving </w:t>
      </w:r>
      <w:proofErr w:type="gramStart"/>
      <w:r>
        <w:t>several</w:t>
      </w:r>
      <w:proofErr w:type="gramEnd"/>
      <w:r>
        <w:t xml:space="preserve"> minor victims.  </w:t>
      </w:r>
      <w:r w:rsidR="0079263C">
        <w:t xml:space="preserve">While </w:t>
      </w:r>
      <w:r>
        <w:t>three of the victims</w:t>
      </w:r>
      <w:r w:rsidR="0079263C">
        <w:t xml:space="preserve"> testified</w:t>
      </w:r>
      <w:r>
        <w:t xml:space="preserve">, the trial court positioned a computer monitor so they could not see defendant and he could not see them.  We granted review in this case to determine whether the trial court’s action violated defendant’s right of confrontation under the Sixth Amendment to the United States Constitution.  </w:t>
      </w:r>
      <w:r w:rsidR="00540491">
        <w:t>We conclude that</w:t>
      </w:r>
      <w:r>
        <w:t xml:space="preserve">, as to one of the witnesses, the trial court committed reversible error, and we reverse </w:t>
      </w:r>
      <w:r w:rsidR="009E52A9">
        <w:t>defendant’s</w:t>
      </w:r>
      <w:r w:rsidR="004675C4">
        <w:t xml:space="preserve"> </w:t>
      </w:r>
      <w:r>
        <w:t xml:space="preserve">convictions involving that witness.  Regarding the other two witnesses, </w:t>
      </w:r>
      <w:r w:rsidR="00540491">
        <w:t xml:space="preserve">we conclude </w:t>
      </w:r>
      <w:r>
        <w:t xml:space="preserve">that defendant forfeited his claim by failing to object to the trial court’s action, and that defendant </w:t>
      </w:r>
      <w:r w:rsidR="00C96856">
        <w:t xml:space="preserve">has </w:t>
      </w:r>
      <w:r>
        <w:t xml:space="preserve">not shown his attorney’s failure to object constituted ineffective of assistance of counsel.  </w:t>
      </w:r>
    </w:p>
    <w:p w14:paraId="4D5FB316" w14:textId="77777777" w:rsidR="00711A2C" w:rsidRPr="00A971CC" w:rsidRDefault="00711A2C" w:rsidP="00420D35">
      <w:pPr>
        <w:pStyle w:val="Heading1"/>
        <w:spacing w:line="400" w:lineRule="exact"/>
        <w:rPr>
          <w:b w:val="0"/>
        </w:rPr>
      </w:pPr>
      <w:bookmarkStart w:id="4" w:name="_Hlk10648097"/>
      <w:r>
        <w:t>I.  Factual and Procedural Background</w:t>
      </w:r>
      <w:bookmarkEnd w:id="4"/>
    </w:p>
    <w:p w14:paraId="6B6620EA" w14:textId="4ED31DAE" w:rsidR="00711A2C" w:rsidRDefault="00711A2C" w:rsidP="00420D35">
      <w:pPr>
        <w:tabs>
          <w:tab w:val="left" w:pos="1440"/>
        </w:tabs>
        <w:ind w:firstLine="720"/>
      </w:pPr>
      <w:r>
        <w:t xml:space="preserve">As here relevant, defendant was charged by information with committing the following sexual offenses involving </w:t>
      </w:r>
      <w:r w:rsidRPr="00BD0513">
        <w:t xml:space="preserve">F.R., </w:t>
      </w:r>
      <w:bookmarkStart w:id="5" w:name="_Hlk7176639"/>
      <w:r w:rsidR="00645700">
        <w:t>Ar.R</w:t>
      </w:r>
      <w:r w:rsidRPr="00BD0513">
        <w:t xml:space="preserve">, </w:t>
      </w:r>
      <w:r w:rsidR="00645700">
        <w:t>An.R</w:t>
      </w:r>
      <w:r>
        <w:t xml:space="preserve">, </w:t>
      </w:r>
      <w:bookmarkEnd w:id="5"/>
      <w:r>
        <w:t>and M.C.:  eleven counts of lewd acts upon a child under the age o</w:t>
      </w:r>
      <w:r w:rsidR="004D70BE">
        <w:t>f</w:t>
      </w:r>
      <w:r>
        <w:t xml:space="preserve"> 14 (Pen. Code, § 288, subd. (a))</w:t>
      </w:r>
      <w:r>
        <w:rPr>
          <w:rStyle w:val="FootnoteReference"/>
        </w:rPr>
        <w:footnoteReference w:id="1"/>
      </w:r>
      <w:r>
        <w:t>; one count of lewd acts upon a child under the age o</w:t>
      </w:r>
      <w:r w:rsidR="004D70BE">
        <w:t>f</w:t>
      </w:r>
      <w:r>
        <w:t xml:space="preserve"> 16 (§ 288, subd. (c)(1)); one count of oral copulation of a person under the age of 14 </w:t>
      </w:r>
      <w:r>
        <w:lastRenderedPageBreak/>
        <w:t xml:space="preserve">(§ 288a, subd. (c)(l)); and one count of sexual penetration of a person under </w:t>
      </w:r>
      <w:r w:rsidR="004D70BE">
        <w:t xml:space="preserve">the age of </w:t>
      </w:r>
      <w:r>
        <w:t xml:space="preserve">14 (§ 289, subd. (j)).  The information also alleged </w:t>
      </w:r>
      <w:proofErr w:type="gramStart"/>
      <w:r>
        <w:t>numerous</w:t>
      </w:r>
      <w:proofErr w:type="gramEnd"/>
      <w:r>
        <w:t xml:space="preserve"> enhancements.  All four victims testified at trial.  At that time, F.R. was 18 years of age, M.C. was 16, </w:t>
      </w:r>
      <w:r w:rsidR="00645700">
        <w:t>Ar.R</w:t>
      </w:r>
      <w:r>
        <w:t xml:space="preserve"> was 14, and </w:t>
      </w:r>
      <w:r w:rsidR="00C47EB2">
        <w:t>An</w:t>
      </w:r>
      <w:r>
        <w:t>.R was 13.</w:t>
      </w:r>
    </w:p>
    <w:p w14:paraId="4809AD9D" w14:textId="16B52C82" w:rsidR="00711A2C" w:rsidRDefault="00711A2C" w:rsidP="00420D35">
      <w:pPr>
        <w:tabs>
          <w:tab w:val="left" w:pos="1440"/>
        </w:tabs>
        <w:ind w:firstLine="720"/>
      </w:pPr>
      <w:r>
        <w:t>When F.R. first entered the courtroom to take the witness stand, the bailiff said, “Right this way, Miss,” and the court added, “</w:t>
      </w:r>
      <w:r w:rsidR="000665E2">
        <w:t>[I]</w:t>
      </w:r>
      <w:r>
        <w:t>f you’d just step up here, please, and follow the instructions of my deputy there.  He will tell you what you need to do.”  The bailiff then stated, “Please watch your step as you take the stand.  Stay standing, raise your right hand, and the clerk will swear you in.”</w:t>
      </w:r>
      <w:r w:rsidR="007762D7">
        <w:t xml:space="preserve"> </w:t>
      </w:r>
      <w:r>
        <w:t xml:space="preserve"> F.R. started crying, and the court asked, “</w:t>
      </w:r>
      <w:r w:rsidR="000665E2">
        <w:t>[D]</w:t>
      </w:r>
      <w:r>
        <w:t xml:space="preserve">o you need a moment?”  </w:t>
      </w:r>
      <w:r w:rsidR="007762D7">
        <w:t xml:space="preserve">F.R. </w:t>
      </w:r>
      <w:r>
        <w:t>replied, “I think so.”  The court then announced, “We will take a short break.  Take about five or ten minutes, folks, and we will attempt to start again at that time. . . . We will be in a short recess.”  A minute order indicates that the court took a recess “to allow for witness composure.”</w:t>
      </w:r>
    </w:p>
    <w:p w14:paraId="36563C93" w14:textId="2895BFD1" w:rsidR="00711A2C" w:rsidRDefault="00711A2C" w:rsidP="00420D35">
      <w:pPr>
        <w:tabs>
          <w:tab w:val="left" w:pos="1440"/>
        </w:tabs>
        <w:ind w:firstLine="720"/>
      </w:pPr>
      <w:r>
        <w:t>After the jury left the courtroom, the court said to the prosecutor, “</w:t>
      </w:r>
      <w:r w:rsidR="00771F2D">
        <w:t>[</w:t>
      </w:r>
      <w:r w:rsidR="00562CFA">
        <w:t>A]</w:t>
      </w:r>
      <w:r>
        <w:t xml:space="preserve">fter your victim-witness advocate has spent some time with her, just let me know if she is able to proceed or ready to proceed and we will resume.”  The prosecutor responded, “I am going to inquire of her if she prefers the advocate sits behind her.”  The court replied, “Oh, yes.  Right.  If </w:t>
      </w:r>
      <w:proofErr w:type="gramStart"/>
      <w:r>
        <w:t>there’s</w:t>
      </w:r>
      <w:proofErr w:type="gramEnd"/>
      <w:r>
        <w:t xml:space="preserve"> something like that that you can do that would make her more comfortable, I’m fine with that.  I mean, the law allows it.”  </w:t>
      </w:r>
    </w:p>
    <w:p w14:paraId="255E9365" w14:textId="64CC315A" w:rsidR="00711A2C" w:rsidRDefault="00711A2C" w:rsidP="00420D35">
      <w:pPr>
        <w:tabs>
          <w:tab w:val="left" w:pos="1440"/>
        </w:tabs>
        <w:ind w:firstLine="720"/>
      </w:pPr>
      <w:r>
        <w:t xml:space="preserve">When proceedings resumed about 30 minutes later, but before the jury reentered the courtroom, the court stated, </w:t>
      </w:r>
      <w:r w:rsidRPr="0072346A">
        <w:t>“</w:t>
      </w:r>
      <w:r>
        <w:t xml:space="preserve">We’ve made </w:t>
      </w:r>
      <w:r w:rsidRPr="0072346A">
        <w:t>some modifications to the witness box to accommodate</w:t>
      </w:r>
      <w:r>
        <w:t xml:space="preserve"> the witness</w:t>
      </w:r>
      <w:r w:rsidRPr="0072346A">
        <w:t>.</w:t>
      </w:r>
      <w:r>
        <w:t>”  After the jurors took their</w:t>
      </w:r>
      <w:r w:rsidR="00962858">
        <w:t xml:space="preserve"> seats</w:t>
      </w:r>
      <w:r>
        <w:t xml:space="preserve">, </w:t>
      </w:r>
      <w:r w:rsidRPr="0072346A">
        <w:t>F.R.</w:t>
      </w:r>
      <w:r>
        <w:t xml:space="preserve"> entered the </w:t>
      </w:r>
      <w:r>
        <w:lastRenderedPageBreak/>
        <w:t xml:space="preserve">courtroom and the bailiff said, “Right this way.  Watch your step as you take the stand.  Please remain standing and raise your right hand, and the clerk will swear you in.” </w:t>
      </w:r>
      <w:r w:rsidR="00112ABE">
        <w:t xml:space="preserve"> </w:t>
      </w:r>
      <w:r>
        <w:t>F.R. took the oath standing at the witness box and then sat down to testify, with her advocate sitting nearby.</w:t>
      </w:r>
      <w:r w:rsidR="00523619">
        <w:t xml:space="preserve">  After she testified that she knew someone named Jason Arredondo, and that he was her mother’s boyfriend, the prosecution asked, “Do you see Jason in court today?</w:t>
      </w:r>
      <w:r w:rsidR="00476BC2">
        <w:t>”</w:t>
      </w:r>
      <w:r w:rsidR="00523619">
        <w:t xml:space="preserve">  F.R. replied, “</w:t>
      </w:r>
      <w:r w:rsidR="00476BC2">
        <w:t>[Y]</w:t>
      </w:r>
      <w:r w:rsidR="00523619">
        <w:t xml:space="preserve">es.”  </w:t>
      </w:r>
      <w:r w:rsidR="00EC2104">
        <w:t>T</w:t>
      </w:r>
      <w:r w:rsidR="00523619">
        <w:t xml:space="preserve">he prosecution </w:t>
      </w:r>
      <w:r w:rsidR="00EC2104">
        <w:t xml:space="preserve">then </w:t>
      </w:r>
      <w:r w:rsidR="00523619">
        <w:t xml:space="preserve">asked, “Can you </w:t>
      </w:r>
      <w:bookmarkStart w:id="6" w:name="_Hlk10462503"/>
      <w:r w:rsidR="00523619">
        <w:t xml:space="preserve">identify an item of clothing he is wearing and where, to your left, to your right, is he seated?”  F.R. answered, “To my right with the blue shirt.”  The </w:t>
      </w:r>
      <w:bookmarkEnd w:id="6"/>
      <w:r w:rsidR="00523619">
        <w:t>prosecution asked “[i]f the record could reflect the witness has identified the defendant,” and the court responded, “It may.”</w:t>
      </w:r>
    </w:p>
    <w:p w14:paraId="384941D0" w14:textId="4C148D21" w:rsidR="00711A2C" w:rsidRDefault="00BD65EA" w:rsidP="00420D35">
      <w:pPr>
        <w:tabs>
          <w:tab w:val="left" w:pos="1440"/>
        </w:tabs>
        <w:ind w:firstLine="720"/>
      </w:pPr>
      <w:r>
        <w:t>A</w:t>
      </w:r>
      <w:r w:rsidR="00460529">
        <w:t>bout 45 minutes</w:t>
      </w:r>
      <w:r>
        <w:t xml:space="preserve"> later</w:t>
      </w:r>
      <w:r w:rsidR="00460529">
        <w:t>, t</w:t>
      </w:r>
      <w:r w:rsidR="00711A2C" w:rsidRPr="0072346A">
        <w:t xml:space="preserve">he court </w:t>
      </w:r>
      <w:r w:rsidR="00711A2C">
        <w:t xml:space="preserve">took another recess.  After the jurors left the courtroom, it </w:t>
      </w:r>
      <w:r w:rsidR="00711A2C" w:rsidRPr="0072346A">
        <w:t>said:</w:t>
      </w:r>
      <w:r w:rsidR="00711A2C">
        <w:t xml:space="preserve"> </w:t>
      </w:r>
      <w:r w:rsidR="00711A2C" w:rsidRPr="0072346A">
        <w:t xml:space="preserve"> “I just want to note for the record </w:t>
      </w:r>
      <w:r w:rsidR="00711A2C">
        <w:t xml:space="preserve">too </w:t>
      </w:r>
      <w:r w:rsidR="00711A2C" w:rsidRPr="0072346A">
        <w:t>that I had mentioned earlier that the witness box had been reconfigured a little bit.</w:t>
      </w:r>
      <w:r w:rsidR="00711A2C">
        <w:t xml:space="preserve"> </w:t>
      </w:r>
      <w:r w:rsidR="00711A2C" w:rsidRPr="0072346A">
        <w:t xml:space="preserve"> </w:t>
      </w:r>
      <w:proofErr w:type="gramStart"/>
      <w:r w:rsidR="00711A2C" w:rsidRPr="0072346A">
        <w:t>It’s</w:t>
      </w:r>
      <w:proofErr w:type="gramEnd"/>
      <w:r w:rsidR="00711A2C" w:rsidRPr="0072346A">
        <w:t xml:space="preserve"> not a big change, but the monitor was placed kind of to the witness’s right, apparently blocking at least some of her view of </w:t>
      </w:r>
      <w:r w:rsidR="00711A2C">
        <w:t xml:space="preserve">possibly </w:t>
      </w:r>
      <w:r w:rsidR="00711A2C" w:rsidRPr="0072346A">
        <w:t>[defendant].</w:t>
      </w:r>
      <w:r w:rsidR="00711A2C">
        <w:t xml:space="preserve">  And I think that was the only change that’s been made.</w:t>
      </w:r>
      <w:r w:rsidR="00711A2C" w:rsidRPr="0072346A">
        <w:t xml:space="preserve">” </w:t>
      </w:r>
      <w:r w:rsidR="00711A2C">
        <w:t xml:space="preserve"> Addressing defendant’s </w:t>
      </w:r>
      <w:r w:rsidR="00711A2C" w:rsidRPr="0072346A">
        <w:t>counsel</w:t>
      </w:r>
      <w:r w:rsidR="00711A2C">
        <w:t>, the court then asked, “Did you have anything you wanted to say about that</w:t>
      </w:r>
      <w:r w:rsidR="00FE5B66">
        <w:t>?</w:t>
      </w:r>
      <w:r w:rsidR="00711A2C">
        <w:t>”  Defendant’s c</w:t>
      </w:r>
      <w:r w:rsidR="00711A2C" w:rsidRPr="0072346A">
        <w:t>ounsel responded</w:t>
      </w:r>
      <w:r w:rsidR="00711A2C">
        <w:t xml:space="preserve">, </w:t>
      </w:r>
      <w:r w:rsidR="00711A2C" w:rsidRPr="0072346A">
        <w:t>“Yes I did</w:t>
      </w:r>
      <w:r w:rsidR="00711A2C">
        <w:t xml:space="preserve">, </w:t>
      </w:r>
      <w:r w:rsidR="00711A2C" w:rsidRPr="0072346A">
        <w:t xml:space="preserve">Your Honor. </w:t>
      </w:r>
      <w:r w:rsidR="00711A2C">
        <w:t xml:space="preserve"> </w:t>
      </w:r>
      <w:r w:rsidR="00711A2C" w:rsidRPr="0072346A">
        <w:t xml:space="preserve">It does block [defendant’s] </w:t>
      </w:r>
      <w:r w:rsidR="00711A2C" w:rsidRPr="00625BFB">
        <w:t xml:space="preserve">entire view of the witness.”  The court replied, “Well, he is present in court.  He can hear the witness, hear her answers.  </w:t>
      </w:r>
      <w:r w:rsidR="00711A2C" w:rsidRPr="00154A10">
        <w:t xml:space="preserve">I think </w:t>
      </w:r>
      <w:r w:rsidR="00CC23C0">
        <w:t xml:space="preserve">[the </w:t>
      </w:r>
      <w:r w:rsidR="00D47D60">
        <w:t>accommodation is</w:t>
      </w:r>
      <w:r w:rsidR="00CC23C0">
        <w:t xml:space="preserve">] </w:t>
      </w:r>
      <w:r w:rsidR="00711A2C" w:rsidRPr="00154A10">
        <w:t>appropriate given her initial reaction.  [¶]  Again, fo</w:t>
      </w:r>
      <w:r w:rsidR="00711A2C" w:rsidRPr="00625BFB">
        <w:t xml:space="preserve">r the record when she first came in to take the oath, </w:t>
      </w:r>
      <w:r w:rsidR="00711A2C" w:rsidRPr="00154A10">
        <w:t xml:space="preserve">she </w:t>
      </w:r>
      <w:bookmarkStart w:id="7" w:name="_Hlk10461062"/>
      <w:r w:rsidR="00711A2C" w:rsidRPr="00154A10">
        <w:t>was unable to proceed at that time</w:t>
      </w:r>
      <w:bookmarkEnd w:id="7"/>
      <w:r w:rsidR="00711A2C" w:rsidRPr="00625BFB">
        <w:t>.  We took about a 15–minute break before she could get her emotions back in order.”  Defendant’s counsel responded, “[F]or the record, I obj</w:t>
      </w:r>
      <w:r w:rsidR="00711A2C">
        <w:t xml:space="preserve">ect to my client being unable to view the witness as the </w:t>
      </w:r>
      <w:r w:rsidR="00711A2C">
        <w:lastRenderedPageBreak/>
        <w:t xml:space="preserve">witness testifies in that his knowledge of the witness would be able to assist counsel in her demeanor and looks, you know, as the quasi parent.  He is aware of how the witness looks when the witness is maybe not telling the truth or when the witness is </w:t>
      </w:r>
      <w:r w:rsidR="00711A2C" w:rsidRPr="0072346A">
        <w:t>feigning something.</w:t>
      </w:r>
      <w:r w:rsidR="00711A2C">
        <w:t xml:space="preserve">  I </w:t>
      </w:r>
      <w:proofErr w:type="gramStart"/>
      <w:r w:rsidR="00711A2C">
        <w:t>don’t</w:t>
      </w:r>
      <w:proofErr w:type="gramEnd"/>
      <w:r w:rsidR="00711A2C">
        <w:t xml:space="preserve"> have that knowledge.  I have </w:t>
      </w:r>
      <w:r w:rsidR="00711A2C" w:rsidRPr="0072346A">
        <w:t>never seen</w:t>
      </w:r>
      <w:r w:rsidR="00711A2C">
        <w:t xml:space="preserve"> this witness </w:t>
      </w:r>
      <w:r w:rsidR="00711A2C" w:rsidRPr="0072346A">
        <w:t>before</w:t>
      </w:r>
      <w:r w:rsidR="00E009ED">
        <w:t>.</w:t>
      </w:r>
      <w:r w:rsidR="00711A2C" w:rsidRPr="0072346A">
        <w:t xml:space="preserve"> </w:t>
      </w:r>
      <w:r w:rsidR="00E009ED">
        <w:t xml:space="preserve"> </w:t>
      </w:r>
      <w:r w:rsidR="00711A2C">
        <w:t xml:space="preserve">And [defendant] is unable to assist me in that regard because he is unable to see the witness.” </w:t>
      </w:r>
    </w:p>
    <w:p w14:paraId="6D6EA446" w14:textId="3247D0EA" w:rsidR="00711A2C" w:rsidRDefault="00F70277" w:rsidP="00420D35">
      <w:pPr>
        <w:tabs>
          <w:tab w:val="left" w:pos="1440"/>
        </w:tabs>
        <w:ind w:firstLine="720"/>
      </w:pPr>
      <w:r>
        <w:t xml:space="preserve">The court, commenting that </w:t>
      </w:r>
      <w:r w:rsidR="00121DDD">
        <w:t xml:space="preserve">it wanted </w:t>
      </w:r>
      <w:r w:rsidR="00711A2C">
        <w:t xml:space="preserve">to make “the record[] clear,” </w:t>
      </w:r>
      <w:r>
        <w:t xml:space="preserve">then </w:t>
      </w:r>
      <w:r w:rsidR="00711A2C">
        <w:t xml:space="preserve">stated:  “It’s a </w:t>
      </w:r>
      <w:bookmarkStart w:id="8" w:name="_Hlk8897114"/>
      <w:r w:rsidR="00711A2C">
        <w:t xml:space="preserve">fairly small computer monitor that’s on the witness stand.  </w:t>
      </w:r>
      <w:proofErr w:type="gramStart"/>
      <w:r w:rsidR="00711A2C">
        <w:t>It’s</w:t>
      </w:r>
      <w:proofErr w:type="gramEnd"/>
      <w:r w:rsidR="00711A2C">
        <w:t xml:space="preserve"> there for the witness to be able to view photographs that are shown on the monitor.  Again, it was simply repositioned so that the witness </w:t>
      </w:r>
      <w:proofErr w:type="gramStart"/>
      <w:r w:rsidR="00711A2C">
        <w:t>doesn’t</w:t>
      </w:r>
      <w:proofErr w:type="gramEnd"/>
      <w:r w:rsidR="00711A2C">
        <w:t xml:space="preserve"> have to look at [defendant].  I think — at best </w:t>
      </w:r>
      <w:proofErr w:type="gramStart"/>
      <w:r w:rsidR="00711A2C">
        <w:t>it’s</w:t>
      </w:r>
      <w:proofErr w:type="gramEnd"/>
      <w:r w:rsidR="00711A2C">
        <w:t xml:space="preserve"> a small infringement on his confrontation rights.  I think it’s an allowable infringement on his right to confrontation, but it’s </w:t>
      </w:r>
      <w:proofErr w:type="gramStart"/>
      <w:r w:rsidR="00711A2C">
        <w:t>a very limited</w:t>
      </w:r>
      <w:proofErr w:type="gramEnd"/>
      <w:r w:rsidR="00711A2C">
        <w:t xml:space="preserve"> blockage, if you will.”  </w:t>
      </w:r>
      <w:bookmarkEnd w:id="8"/>
      <w:r w:rsidR="00711A2C">
        <w:t>The prosecution</w:t>
      </w:r>
      <w:r w:rsidR="00A9231F">
        <w:t xml:space="preserve">, stating that it wanted </w:t>
      </w:r>
      <w:r w:rsidR="00711A2C">
        <w:t>“to clarify”</w:t>
      </w:r>
      <w:r w:rsidR="00A9231F">
        <w:t xml:space="preserve"> the record</w:t>
      </w:r>
      <w:r w:rsidR="00C30102">
        <w:t xml:space="preserve">, </w:t>
      </w:r>
      <w:r w:rsidR="00A9231F">
        <w:t xml:space="preserve">then </w:t>
      </w:r>
      <w:r w:rsidR="00711A2C">
        <w:t>added:  “The position of the monitor in terms of where it is in the witness box is the exact same as it was for [M.C.]</w:t>
      </w:r>
      <w:r w:rsidR="00C572FF">
        <w:t>.</w:t>
      </w:r>
      <w:r w:rsidR="00711A2C">
        <w:t xml:space="preserve">  It was elevated with a Penal Code as well as one volume of the CALCRIMs.”  The court thanked the prosec</w:t>
      </w:r>
      <w:r w:rsidR="00711A2C" w:rsidRPr="000B2A31">
        <w:t xml:space="preserve">ution “for noting that” and commented, “I didn’t see that.”  The prosecution continued, “Given that the witness had indicated that the defendant looked at her the first time she came in.”  The court added, “And whether that happened or didn’t, I think it’s appropriate.”  </w:t>
      </w:r>
    </w:p>
    <w:p w14:paraId="1599F469" w14:textId="1927F830" w:rsidR="00910FE7" w:rsidRDefault="00711A2C" w:rsidP="00420D35">
      <w:pPr>
        <w:tabs>
          <w:tab w:val="left" w:pos="1440"/>
        </w:tabs>
        <w:ind w:firstLine="720"/>
      </w:pPr>
      <w:r>
        <w:t xml:space="preserve">Defendant’s counsel responded, “[F]or the record, Your Honor, when the witness first came in, she began crying before she was even able to see [defendant’s] face.  So [defendant] made no effort to look at her, intimidate her, or make any kind of eye contact or suggestive contact with her.”  The court replied:  “I understand.  </w:t>
      </w:r>
      <w:proofErr w:type="gramStart"/>
      <w:r>
        <w:t>I’</w:t>
      </w:r>
      <w:r w:rsidRPr="00F913F6">
        <w:t>m</w:t>
      </w:r>
      <w:proofErr w:type="gramEnd"/>
      <w:r w:rsidRPr="00F913F6">
        <w:t xml:space="preserve"> not casting any aspersions at this point.  But it </w:t>
      </w:r>
      <w:r w:rsidRPr="00F913F6">
        <w:lastRenderedPageBreak/>
        <w:t>clearly affected her, and I think it’s appropriate for the court to take whatever small efforts it can make to make the witness more comfortable without infringing on any of [defendant’s] con</w:t>
      </w:r>
      <w:r>
        <w:t xml:space="preserve">stitutional rights, and I don’t believe that his rights have been infringed on at this point.”  The court then “note[d]“ counsel’s objection “for the record” and </w:t>
      </w:r>
      <w:r w:rsidR="00F00303">
        <w:t>“</w:t>
      </w:r>
      <w:r>
        <w:t>overruled” it.</w:t>
      </w:r>
    </w:p>
    <w:p w14:paraId="62517216" w14:textId="018EC7E7" w:rsidR="00711A2C" w:rsidRDefault="00711A2C" w:rsidP="00420D35">
      <w:pPr>
        <w:tabs>
          <w:tab w:val="left" w:pos="1440"/>
        </w:tabs>
        <w:ind w:firstLine="720"/>
      </w:pPr>
      <w:r>
        <w:t xml:space="preserve">Later, after both sides had rested but before closing arguments, the prosecution noted on the record that the monitor had been similarly </w:t>
      </w:r>
      <w:r w:rsidR="00E16E69">
        <w:t xml:space="preserve">repositioned </w:t>
      </w:r>
      <w:r>
        <w:t xml:space="preserve">during the testimony of </w:t>
      </w:r>
      <w:bookmarkStart w:id="9" w:name="_Hlk7177737"/>
      <w:bookmarkStart w:id="10" w:name="_Hlk10544143"/>
      <w:r w:rsidR="00645700">
        <w:t>Ar.R</w:t>
      </w:r>
      <w:r>
        <w:t xml:space="preserve"> and </w:t>
      </w:r>
      <w:bookmarkEnd w:id="9"/>
      <w:r w:rsidR="00645700">
        <w:t>An.R</w:t>
      </w:r>
      <w:bookmarkEnd w:id="10"/>
      <w:r w:rsidR="00680BBC">
        <w:t xml:space="preserve">.  </w:t>
      </w:r>
      <w:r w:rsidR="00680BBC" w:rsidRPr="00680BBC">
        <w:t>Defendant’s counsel did not object to the repositioning with respect to Ar.R and An.R.</w:t>
      </w:r>
      <w:r w:rsidR="007B595E">
        <w:t xml:space="preserve">  </w:t>
      </w:r>
      <w:r>
        <w:t xml:space="preserve">The fourth victim, M.C., </w:t>
      </w:r>
      <w:r w:rsidR="008776D1">
        <w:t xml:space="preserve">had </w:t>
      </w:r>
      <w:r>
        <w:t xml:space="preserve">testified without the </w:t>
      </w:r>
      <w:r w:rsidR="00E16E69">
        <w:t xml:space="preserve">repositioned </w:t>
      </w:r>
      <w:r>
        <w:t xml:space="preserve">monitor.  </w:t>
      </w:r>
    </w:p>
    <w:p w14:paraId="6992948D" w14:textId="5B36EB44" w:rsidR="00711A2C" w:rsidRDefault="00711A2C" w:rsidP="00420D35">
      <w:pPr>
        <w:tabs>
          <w:tab w:val="left" w:pos="1440"/>
        </w:tabs>
        <w:ind w:firstLine="720"/>
      </w:pPr>
      <w:r>
        <w:t>The jury convicted defendant of the 14 charged crimes and found the enhancement allegations to be true.  The court sentenced him to an indeterminate prison term of 275 years to life, plus a determinate term of 33 years</w:t>
      </w:r>
      <w:r w:rsidR="00476DD9">
        <w:t xml:space="preserve"> </w:t>
      </w:r>
      <w:r w:rsidR="00476DD9" w:rsidRPr="00476DD9">
        <w:t>to run consecutively</w:t>
      </w:r>
      <w:r>
        <w:t xml:space="preserve">.  </w:t>
      </w:r>
    </w:p>
    <w:p w14:paraId="3759C7E7" w14:textId="510E5343" w:rsidR="00711A2C" w:rsidRDefault="00711A2C" w:rsidP="00420D35">
      <w:pPr>
        <w:tabs>
          <w:tab w:val="left" w:pos="1440"/>
        </w:tabs>
        <w:ind w:firstLine="720"/>
      </w:pPr>
      <w:r>
        <w:t xml:space="preserve">The Court of Appeal affirmed defendant’s convictions but, based on the parties’ agreement, remanded for resentencing on three counts.  Regarding defendant’s claim that </w:t>
      </w:r>
      <w:r w:rsidR="008776D1">
        <w:t xml:space="preserve">repositioning </w:t>
      </w:r>
      <w:r>
        <w:t xml:space="preserve">of the monitor violated his constitutional right of confrontation, the court unanimously held as to </w:t>
      </w:r>
      <w:r w:rsidR="00645700">
        <w:t>Ar.R</w:t>
      </w:r>
      <w:r w:rsidRPr="00963861">
        <w:t xml:space="preserve"> and </w:t>
      </w:r>
      <w:r w:rsidR="00645700">
        <w:t>An.R</w:t>
      </w:r>
      <w:r>
        <w:t xml:space="preserve"> that defendant </w:t>
      </w:r>
      <w:r w:rsidR="00F815AF">
        <w:t xml:space="preserve">had </w:t>
      </w:r>
      <w:r>
        <w:t xml:space="preserve">(1) forfeited the claim by failing </w:t>
      </w:r>
      <w:r w:rsidR="00A42FE1">
        <w:t xml:space="preserve">at trial </w:t>
      </w:r>
      <w:r>
        <w:t xml:space="preserve">to </w:t>
      </w:r>
      <w:r w:rsidR="00831332">
        <w:t xml:space="preserve">object to </w:t>
      </w:r>
      <w:r>
        <w:t>the modification</w:t>
      </w:r>
      <w:r w:rsidR="00AC2EA6">
        <w:t xml:space="preserve">’s </w:t>
      </w:r>
      <w:r w:rsidR="00A42FE1">
        <w:t xml:space="preserve">use for </w:t>
      </w:r>
      <w:r>
        <w:t xml:space="preserve">these witnesses, and (2) </w:t>
      </w:r>
      <w:r w:rsidR="00AD7771">
        <w:t xml:space="preserve">not shown </w:t>
      </w:r>
      <w:r w:rsidR="00F815AF">
        <w:t xml:space="preserve">that </w:t>
      </w:r>
      <w:r>
        <w:t>his counsel’s failure to object constituted ineffective assistance.  As to F.R., the court was divided.  The majority found no error, concluding that the trial court’s action was consistent with governing precedent.  The dissent disagreed, finding that the trial court’s decision was inconsistent with established Sixth Amendment law.</w:t>
      </w:r>
    </w:p>
    <w:p w14:paraId="0A56CB3A" w14:textId="4B771576" w:rsidR="00711A2C" w:rsidRDefault="00711A2C" w:rsidP="00420D35">
      <w:pPr>
        <w:tabs>
          <w:tab w:val="left" w:pos="1440"/>
        </w:tabs>
        <w:ind w:firstLine="720"/>
      </w:pPr>
      <w:r>
        <w:lastRenderedPageBreak/>
        <w:t>We granted defendant’s petition for review, specifying the following issue</w:t>
      </w:r>
      <w:r w:rsidRPr="008B0977">
        <w:t xml:space="preserve"> </w:t>
      </w:r>
      <w:r>
        <w:t>for consideration:  “</w:t>
      </w:r>
      <w:r w:rsidRPr="008B0977">
        <w:t>Was defendant’s right of confrontation violated when he was unable to see witnesses as they testified because the trial court allowed a computer monitor on the witness stand to be raised by several inches to allow them to testify without seeing him when they testified in his presence?</w:t>
      </w:r>
      <w:r>
        <w:t xml:space="preserve">”  </w:t>
      </w:r>
    </w:p>
    <w:p w14:paraId="3EBF2F89" w14:textId="77777777" w:rsidR="00711A2C" w:rsidRPr="00F16BF7" w:rsidRDefault="00711A2C" w:rsidP="00420D35">
      <w:pPr>
        <w:pStyle w:val="Heading1"/>
        <w:spacing w:line="400" w:lineRule="exact"/>
        <w:rPr>
          <w:bCs/>
        </w:rPr>
      </w:pPr>
      <w:r w:rsidRPr="00F16BF7">
        <w:rPr>
          <w:bCs/>
        </w:rPr>
        <w:t xml:space="preserve">II.  </w:t>
      </w:r>
      <w:r w:rsidRPr="00756C2A">
        <w:t>D</w:t>
      </w:r>
      <w:r>
        <w:t>iscussion</w:t>
      </w:r>
    </w:p>
    <w:p w14:paraId="478F6ED7" w14:textId="4A8E35F8" w:rsidR="00711A2C" w:rsidRDefault="00711A2C" w:rsidP="00420D35">
      <w:pPr>
        <w:tabs>
          <w:tab w:val="left" w:pos="1440"/>
        </w:tabs>
        <w:ind w:firstLine="720"/>
      </w:pPr>
      <w:r>
        <w:t xml:space="preserve">To address defendant’s claim, we begin by reviewing the two decisions of the United States Supreme Court that provide principal guidance on the issue — </w:t>
      </w:r>
      <w:r w:rsidRPr="00DA68AD">
        <w:rPr>
          <w:i/>
        </w:rPr>
        <w:t>Maryland v. Craig</w:t>
      </w:r>
      <w:r>
        <w:t xml:space="preserve"> (1990) 497 U.S. 836 (</w:t>
      </w:r>
      <w:r w:rsidRPr="00DA68AD">
        <w:rPr>
          <w:i/>
        </w:rPr>
        <w:t>Craig</w:t>
      </w:r>
      <w:r>
        <w:t xml:space="preserve">), and </w:t>
      </w:r>
      <w:r w:rsidRPr="00DA68AD">
        <w:rPr>
          <w:i/>
        </w:rPr>
        <w:t>Coy v. Iowa</w:t>
      </w:r>
      <w:r>
        <w:t xml:space="preserve"> (1988) 487 U.S. 1012 (</w:t>
      </w:r>
      <w:r w:rsidRPr="00DA68AD">
        <w:rPr>
          <w:i/>
        </w:rPr>
        <w:t>Coy</w:t>
      </w:r>
      <w:r>
        <w:t xml:space="preserve">) — and the only case in which we have applied those decisions in an analogous context — </w:t>
      </w:r>
      <w:r>
        <w:rPr>
          <w:i/>
        </w:rPr>
        <w:t xml:space="preserve">People v. Gonzales </w:t>
      </w:r>
      <w:r>
        <w:t>(2012) 54 Cal.4th 1234 (</w:t>
      </w:r>
      <w:r>
        <w:rPr>
          <w:i/>
        </w:rPr>
        <w:t>Gonzales</w:t>
      </w:r>
      <w:r>
        <w:t xml:space="preserve">).  We then </w:t>
      </w:r>
      <w:r w:rsidR="00DF76FC">
        <w:t xml:space="preserve">apply </w:t>
      </w:r>
      <w:r w:rsidR="001E5590">
        <w:t xml:space="preserve">these precedents </w:t>
      </w:r>
      <w:r w:rsidR="00EE1FCD">
        <w:t xml:space="preserve">to </w:t>
      </w:r>
      <w:r w:rsidR="001E5590">
        <w:t xml:space="preserve">the </w:t>
      </w:r>
      <w:r w:rsidR="008719A5">
        <w:t>record</w:t>
      </w:r>
      <w:r w:rsidR="001E5590">
        <w:t xml:space="preserve"> before us</w:t>
      </w:r>
      <w:r>
        <w:t xml:space="preserve">.  </w:t>
      </w:r>
    </w:p>
    <w:p w14:paraId="649C004D" w14:textId="77777777" w:rsidR="00711A2C" w:rsidRDefault="00711A2C" w:rsidP="00420D35">
      <w:pPr>
        <w:pStyle w:val="Heading2"/>
        <w:spacing w:line="400" w:lineRule="exact"/>
      </w:pPr>
      <w:r>
        <w:t>A.  Relevant Precedent</w:t>
      </w:r>
    </w:p>
    <w:p w14:paraId="4FC46DC7" w14:textId="327F2DFA" w:rsidR="00711A2C" w:rsidRPr="00E750FE" w:rsidRDefault="00711A2C" w:rsidP="00420D35">
      <w:pPr>
        <w:tabs>
          <w:tab w:val="left" w:pos="1440"/>
        </w:tabs>
        <w:ind w:firstLine="720"/>
      </w:pPr>
      <w:r>
        <w:t xml:space="preserve">In </w:t>
      </w:r>
      <w:r w:rsidRPr="00DA68AD">
        <w:rPr>
          <w:i/>
        </w:rPr>
        <w:t>Coy</w:t>
      </w:r>
      <w:r>
        <w:t xml:space="preserve">, </w:t>
      </w:r>
      <w:r>
        <w:rPr>
          <w:i/>
        </w:rPr>
        <w:t>supra</w:t>
      </w:r>
      <w:r>
        <w:t>, 487 U.S. at p</w:t>
      </w:r>
      <w:r w:rsidR="004E43D9">
        <w:t>ages</w:t>
      </w:r>
      <w:r>
        <w:t xml:space="preserve"> 1012, 1014, the high court considered whether the </w:t>
      </w:r>
      <w:r w:rsidR="00050D27">
        <w:t xml:space="preserve">trial court had violated the </w:t>
      </w:r>
      <w:r>
        <w:t>defendant’s right of confrontation by plac</w:t>
      </w:r>
      <w:r w:rsidR="00CB56E8">
        <w:t>ing</w:t>
      </w:r>
      <w:r>
        <w:t xml:space="preserve">, </w:t>
      </w:r>
      <w:r w:rsidR="00B80666">
        <w:t xml:space="preserve">as authorized by </w:t>
      </w:r>
      <w:r>
        <w:t>state statute, a large screen between him and the witness stand while two complaining witnesses testified that he had sexually assaulted them.  The court began with a general discussion of the constitutional right’s nature, explaining that “t</w:t>
      </w:r>
      <w:r w:rsidRPr="00DA68AD">
        <w:t>he Confrontation Clause</w:t>
      </w:r>
      <w:r>
        <w:t xml:space="preserve"> </w:t>
      </w:r>
      <w:r w:rsidRPr="00DA68AD">
        <w:t>guarantees the defendant a face-to-face meeting with witnesses appearing before the trier of fact.</w:t>
      </w:r>
      <w:r>
        <w:t>”  (</w:t>
      </w:r>
      <w:r>
        <w:rPr>
          <w:i/>
        </w:rPr>
        <w:t>Id.</w:t>
      </w:r>
      <w:r>
        <w:t xml:space="preserve"> at p. 1016.)  This “</w:t>
      </w:r>
      <w:r w:rsidRPr="00DA68AD">
        <w:t>guarantee</w:t>
      </w:r>
      <w:r>
        <w:t>,” the court stated, “</w:t>
      </w:r>
      <w:r w:rsidRPr="00DA68AD">
        <w:t>serves ends related both to appearances and to reality.</w:t>
      </w:r>
      <w:r>
        <w:t>”  (</w:t>
      </w:r>
      <w:r>
        <w:rPr>
          <w:i/>
        </w:rPr>
        <w:t>Id.</w:t>
      </w:r>
      <w:r>
        <w:t xml:space="preserve"> at p. 1017.)  Because “</w:t>
      </w:r>
      <w:r w:rsidRPr="00DA68AD">
        <w:t>something deep in human nature</w:t>
      </w:r>
      <w:r>
        <w:t xml:space="preserve"> . . . </w:t>
      </w:r>
      <w:r w:rsidRPr="00DA68AD">
        <w:t xml:space="preserve">regards face-to-face confrontation between accused and accuser as </w:t>
      </w:r>
      <w:r>
        <w:t>‘</w:t>
      </w:r>
      <w:r w:rsidRPr="00DA68AD">
        <w:t xml:space="preserve">essential to a fair </w:t>
      </w:r>
      <w:r w:rsidRPr="00DA68AD">
        <w:lastRenderedPageBreak/>
        <w:t>trial in a criminal prosecution</w:t>
      </w:r>
      <w:r>
        <w:t>’ </w:t>
      </w:r>
      <w:r w:rsidRPr="00DA68AD">
        <w:t>”</w:t>
      </w:r>
      <w:r>
        <w:t xml:space="preserve"> (</w:t>
      </w:r>
      <w:r>
        <w:rPr>
          <w:i/>
        </w:rPr>
        <w:t>ibid.</w:t>
      </w:r>
      <w:r>
        <w:t>), “</w:t>
      </w:r>
      <w:r w:rsidRPr="00DA68AD">
        <w:t xml:space="preserve">the right of confrontation </w:t>
      </w:r>
      <w:r>
        <w:t>‘</w:t>
      </w:r>
      <w:r w:rsidRPr="00DA68AD">
        <w:t>contributes to the establishment of a system of criminal justice in which the perception</w:t>
      </w:r>
      <w:r>
        <w:t xml:space="preserve"> . . . </w:t>
      </w:r>
      <w:r w:rsidRPr="00DA68AD">
        <w:t>of fairness prevails</w:t>
      </w:r>
      <w:r>
        <w:t>’ </w:t>
      </w:r>
      <w:r w:rsidRPr="00DA68AD">
        <w:t>”</w:t>
      </w:r>
      <w:r>
        <w:t xml:space="preserve"> (</w:t>
      </w:r>
      <w:r>
        <w:rPr>
          <w:i/>
        </w:rPr>
        <w:t>id.</w:t>
      </w:r>
      <w:r>
        <w:t xml:space="preserve"> at pp. 1018-1019).  And “[t]</w:t>
      </w:r>
      <w:r w:rsidRPr="00BF5174">
        <w:t xml:space="preserve">he perception that confrontation is essential to fairness has persisted over the centuries because there is much truth to it. </w:t>
      </w:r>
      <w:r>
        <w:t xml:space="preserve"> </w:t>
      </w:r>
      <w:r w:rsidRPr="00BF5174">
        <w:t xml:space="preserve">A witness </w:t>
      </w:r>
      <w:r>
        <w:t>‘</w:t>
      </w:r>
      <w:r w:rsidRPr="00BF5174">
        <w:t>may feel quite differently when he has to repeat his story looking at the man whom he will harm greatly by distorting or mistaking the facts.</w:t>
      </w:r>
      <w:r>
        <w:t> . . .</w:t>
      </w:r>
      <w:r w:rsidR="004E43D9">
        <w:t>’  [Citation.]</w:t>
      </w:r>
      <w:r>
        <w:t xml:space="preserve">  </w:t>
      </w:r>
      <w:r w:rsidRPr="00BF5174">
        <w:t xml:space="preserve">It is always more difficult to tell a lie about a person </w:t>
      </w:r>
      <w:r>
        <w:t>‘</w:t>
      </w:r>
      <w:r w:rsidRPr="00BF5174">
        <w:t>to his face</w:t>
      </w:r>
      <w:r>
        <w:t>’</w:t>
      </w:r>
      <w:r w:rsidRPr="00BF5174">
        <w:t xml:space="preserve"> than </w:t>
      </w:r>
      <w:r>
        <w:t>‘</w:t>
      </w:r>
      <w:r w:rsidRPr="00BF5174">
        <w:t>behind his back.</w:t>
      </w:r>
      <w:r>
        <w:t>’</w:t>
      </w:r>
      <w:r w:rsidRPr="00BF5174">
        <w:t xml:space="preserve"> </w:t>
      </w:r>
      <w:r>
        <w:t xml:space="preserve"> </w:t>
      </w:r>
      <w:r w:rsidRPr="00BF5174">
        <w:t>In the former context, even if the lie is told, it will often be told less convincingly</w:t>
      </w:r>
      <w:r>
        <w:t>.”  (</w:t>
      </w:r>
      <w:r>
        <w:rPr>
          <w:i/>
        </w:rPr>
        <w:t>Id.</w:t>
      </w:r>
      <w:r>
        <w:t xml:space="preserve"> at p. 1019.)  In this sense, “</w:t>
      </w:r>
      <w:r w:rsidRPr="00BF5174">
        <w:t>the right to face-to-face confrontation</w:t>
      </w:r>
      <w:r>
        <w:t xml:space="preserve">,” like </w:t>
      </w:r>
      <w:r w:rsidRPr="00BF5174">
        <w:t>the right to cross-examine the accuser</w:t>
      </w:r>
      <w:r>
        <w:t>, “serves” to “ ‘</w:t>
      </w:r>
      <w:r w:rsidRPr="00BF5174">
        <w:t>ensur[e] the integrity of the factfinding process.</w:t>
      </w:r>
      <w:r>
        <w:t>’ ”  (</w:t>
      </w:r>
      <w:r>
        <w:rPr>
          <w:i/>
        </w:rPr>
        <w:t>Id.</w:t>
      </w:r>
      <w:r>
        <w:t xml:space="preserve"> at pp. 1019-1020.)  It is true that this “</w:t>
      </w:r>
      <w:r w:rsidRPr="00EB7CC9">
        <w:t xml:space="preserve">face-to-face presence may, unfortunately, upset the truthful rape victim or abused child; but </w:t>
      </w:r>
      <w:proofErr w:type="gramStart"/>
      <w:r w:rsidRPr="00EB7CC9">
        <w:t>by the same token</w:t>
      </w:r>
      <w:proofErr w:type="gramEnd"/>
      <w:r w:rsidRPr="00EB7CC9">
        <w:t xml:space="preserve"> it may confound and undo the false accuser, or reveal the child coached by a malevolent adult. </w:t>
      </w:r>
      <w:r>
        <w:t xml:space="preserve"> </w:t>
      </w:r>
      <w:r w:rsidRPr="00EB7CC9">
        <w:t>It is a truism that constitutional protections have costs.</w:t>
      </w:r>
      <w:r>
        <w:t>”  (</w:t>
      </w:r>
      <w:r>
        <w:rPr>
          <w:i/>
        </w:rPr>
        <w:t>Id.</w:t>
      </w:r>
      <w:r>
        <w:t xml:space="preserve"> at p. 1020.) </w:t>
      </w:r>
    </w:p>
    <w:p w14:paraId="3DB44309" w14:textId="58764E16" w:rsidR="00711A2C" w:rsidRDefault="00711A2C" w:rsidP="00420D35">
      <w:pPr>
        <w:tabs>
          <w:tab w:val="left" w:pos="1440"/>
        </w:tabs>
        <w:ind w:firstLine="720"/>
      </w:pPr>
      <w:r>
        <w:t xml:space="preserve">Applying these principles, the </w:t>
      </w:r>
      <w:r>
        <w:rPr>
          <w:i/>
        </w:rPr>
        <w:t xml:space="preserve">Coy </w:t>
      </w:r>
      <w:r>
        <w:t xml:space="preserve">court held that use of the screen </w:t>
      </w:r>
      <w:r w:rsidR="00410945">
        <w:t xml:space="preserve">at trial </w:t>
      </w:r>
      <w:r w:rsidR="00B9428B">
        <w:t xml:space="preserve">had </w:t>
      </w:r>
      <w:r>
        <w:t xml:space="preserve">violated the defendant’s constitutional right.  With </w:t>
      </w:r>
      <w:r w:rsidR="00B9428B">
        <w:t xml:space="preserve">the screen </w:t>
      </w:r>
      <w:r>
        <w:t xml:space="preserve">in place and the courtroom lighting adjusted, </w:t>
      </w:r>
      <w:r w:rsidRPr="00DA68AD">
        <w:t xml:space="preserve">the </w:t>
      </w:r>
      <w:r>
        <w:t>defendant could “</w:t>
      </w:r>
      <w:r w:rsidRPr="00DA68AD">
        <w:t>dimly</w:t>
      </w:r>
      <w:r>
        <w:t xml:space="preserve"> . . . </w:t>
      </w:r>
      <w:r w:rsidRPr="00DA68AD">
        <w:t>perceive the witnesses</w:t>
      </w:r>
      <w:r>
        <w:t>” while they testified,</w:t>
      </w:r>
      <w:r w:rsidRPr="00DA68AD">
        <w:t xml:space="preserve"> but </w:t>
      </w:r>
      <w:r>
        <w:t>they could not see him “</w:t>
      </w:r>
      <w:r w:rsidRPr="00DA68AD">
        <w:t>at all</w:t>
      </w:r>
      <w:r>
        <w:t>.”  (</w:t>
      </w:r>
      <w:r>
        <w:rPr>
          <w:i/>
        </w:rPr>
        <w:t>Coy</w:t>
      </w:r>
      <w:r>
        <w:t xml:space="preserve">, </w:t>
      </w:r>
      <w:r>
        <w:rPr>
          <w:i/>
        </w:rPr>
        <w:t>supra</w:t>
      </w:r>
      <w:r>
        <w:t>, 487 U.S. at p. 1015.)  “</w:t>
      </w:r>
      <w:r w:rsidRPr="00B72444">
        <w:t>It is difficult</w:t>
      </w:r>
      <w:r>
        <w:t>,” the court said, “</w:t>
      </w:r>
      <w:r w:rsidRPr="00B72444">
        <w:t>to imagine a more obvious or damaging violation of the defendant’s right to a face-to-face encounter</w:t>
      </w:r>
      <w:r>
        <w:t>.”  (</w:t>
      </w:r>
      <w:r>
        <w:rPr>
          <w:i/>
        </w:rPr>
        <w:t xml:space="preserve">Id. </w:t>
      </w:r>
      <w:r>
        <w:t>at p. 102</w:t>
      </w:r>
      <w:r w:rsidR="00DC3CAC">
        <w:t>0</w:t>
      </w:r>
      <w:r>
        <w:t xml:space="preserve">.)  The court rejected the government’s argument that </w:t>
      </w:r>
      <w:r w:rsidRPr="007910F0">
        <w:t xml:space="preserve">the </w:t>
      </w:r>
      <w:r w:rsidR="000C461C">
        <w:t>defendant’s “</w:t>
      </w:r>
      <w:r w:rsidRPr="007910F0">
        <w:t>confrontation interest</w:t>
      </w:r>
      <w:r w:rsidR="000C461C">
        <w:t xml:space="preserve"> . . . </w:t>
      </w:r>
      <w:r w:rsidRPr="007910F0">
        <w:t>was outweighed by the necessity of protecting victims of sexual abuse</w:t>
      </w:r>
      <w:r w:rsidR="001E39E8">
        <w:t>.</w:t>
      </w:r>
      <w:r>
        <w:t xml:space="preserve">” </w:t>
      </w:r>
      <w:r w:rsidR="001E39E8">
        <w:t xml:space="preserve"> </w:t>
      </w:r>
      <w:r>
        <w:t>(</w:t>
      </w:r>
      <w:r w:rsidR="001E39E8">
        <w:rPr>
          <w:i/>
        </w:rPr>
        <w:t>I</w:t>
      </w:r>
      <w:r w:rsidR="00DC3CAC">
        <w:rPr>
          <w:i/>
        </w:rPr>
        <w:t>bi</w:t>
      </w:r>
      <w:r>
        <w:rPr>
          <w:i/>
        </w:rPr>
        <w:t>d.</w:t>
      </w:r>
      <w:r>
        <w:t xml:space="preserve">)  If there are “any </w:t>
      </w:r>
      <w:r>
        <w:lastRenderedPageBreak/>
        <w:t xml:space="preserve">exceptions” to </w:t>
      </w:r>
      <w:r w:rsidRPr="007910F0">
        <w:t xml:space="preserve">the </w:t>
      </w:r>
      <w:r w:rsidR="00CD3C71">
        <w:t>c</w:t>
      </w:r>
      <w:r>
        <w:t xml:space="preserve">onfrontation </w:t>
      </w:r>
      <w:r w:rsidR="00CD3C71">
        <w:t>c</w:t>
      </w:r>
      <w:r w:rsidRPr="007910F0">
        <w:t>lause</w:t>
      </w:r>
      <w:r>
        <w:t>’s “</w:t>
      </w:r>
      <w:r w:rsidRPr="007910F0">
        <w:t>irreducible literal meaning</w:t>
      </w:r>
      <w:r>
        <w:t xml:space="preserve">” — i.e., the </w:t>
      </w:r>
      <w:r w:rsidRPr="007910F0">
        <w:t>“</w:t>
      </w:r>
      <w:r w:rsidR="00657358">
        <w:t> ‘</w:t>
      </w:r>
      <w:r w:rsidRPr="007910F0">
        <w:t xml:space="preserve">right to </w:t>
      </w:r>
      <w:r w:rsidRPr="007910F0">
        <w:rPr>
          <w:i/>
        </w:rPr>
        <w:t>meet face to face</w:t>
      </w:r>
      <w:r w:rsidRPr="007910F0">
        <w:t xml:space="preserve"> all those who appear and give evidence </w:t>
      </w:r>
      <w:r w:rsidRPr="007910F0">
        <w:rPr>
          <w:i/>
        </w:rPr>
        <w:t>at tria</w:t>
      </w:r>
      <w:r w:rsidR="00030DF9">
        <w:rPr>
          <w:i/>
        </w:rPr>
        <w:t>l</w:t>
      </w:r>
      <w:r w:rsidR="00657358">
        <w:rPr>
          <w:i/>
        </w:rPr>
        <w:t>’ </w:t>
      </w:r>
      <w:r w:rsidRPr="007910F0">
        <w:t>”</w:t>
      </w:r>
      <w:r>
        <w:t> — “</w:t>
      </w:r>
      <w:r w:rsidRPr="00AD7639">
        <w:t>they would surely be allowed only when necessary to further an important public policy.</w:t>
      </w:r>
      <w:r>
        <w:t>”  (</w:t>
      </w:r>
      <w:r>
        <w:rPr>
          <w:i/>
        </w:rPr>
        <w:t xml:space="preserve">Id. </w:t>
      </w:r>
      <w:r w:rsidR="002E19D9">
        <w:t>at p</w:t>
      </w:r>
      <w:r>
        <w:t>. 1021.)  “</w:t>
      </w:r>
      <w:r w:rsidRPr="002D1F7B">
        <w:t>Since there have been no individualized findings that these particular witnesses needed special protection, the judgment here could not be sustained by any conceivable exception.</w:t>
      </w:r>
      <w:r>
        <w:t>”  (</w:t>
      </w:r>
      <w:r>
        <w:rPr>
          <w:i/>
        </w:rPr>
        <w:t>Ibid.</w:t>
      </w:r>
      <w:r>
        <w:t>)</w:t>
      </w:r>
    </w:p>
    <w:p w14:paraId="477C7EA5" w14:textId="4D9E96A8" w:rsidR="00711A2C" w:rsidRDefault="00711A2C" w:rsidP="00420D35">
      <w:pPr>
        <w:tabs>
          <w:tab w:val="left" w:pos="1440"/>
        </w:tabs>
        <w:ind w:firstLine="720"/>
      </w:pPr>
      <w:r>
        <w:t xml:space="preserve">Two years later, in </w:t>
      </w:r>
      <w:r>
        <w:rPr>
          <w:i/>
        </w:rPr>
        <w:t>Craig</w:t>
      </w:r>
      <w:r>
        <w:t xml:space="preserve">, the high court </w:t>
      </w:r>
      <w:r w:rsidR="009C7D51">
        <w:t xml:space="preserve">took up the issue again in a case where </w:t>
      </w:r>
      <w:r>
        <w:t xml:space="preserve">an alleged child abuse victim </w:t>
      </w:r>
      <w:r w:rsidR="009C7D51">
        <w:t xml:space="preserve">had </w:t>
      </w:r>
      <w:r w:rsidRPr="004E7156">
        <w:t>testif</w:t>
      </w:r>
      <w:r w:rsidR="009C7D51">
        <w:t>ied</w:t>
      </w:r>
      <w:r w:rsidRPr="004E7156">
        <w:t xml:space="preserve"> at trial</w:t>
      </w:r>
      <w:r>
        <w:t xml:space="preserve"> in a room separate from the courtroom, in the physical presence of only the prosecutor and defense counsel</w:t>
      </w:r>
      <w:r w:rsidR="002E76F9">
        <w:t>,</w:t>
      </w:r>
      <w:r>
        <w:t xml:space="preserve"> while the defendant, the judge, and the jury remained in the courtroom and watched </w:t>
      </w:r>
      <w:r w:rsidR="00704D7E">
        <w:t xml:space="preserve">the testimony </w:t>
      </w:r>
      <w:r w:rsidRPr="004E7156">
        <w:t>by one-way closed</w:t>
      </w:r>
      <w:r w:rsidR="00650E50">
        <w:t>-</w:t>
      </w:r>
      <w:r w:rsidRPr="004E7156">
        <w:t>circuit television</w:t>
      </w:r>
      <w:r>
        <w:t>.  (</w:t>
      </w:r>
      <w:r w:rsidRPr="00DA68AD">
        <w:rPr>
          <w:i/>
        </w:rPr>
        <w:t>Craig</w:t>
      </w:r>
      <w:r>
        <w:t xml:space="preserve">, </w:t>
      </w:r>
      <w:r>
        <w:rPr>
          <w:i/>
        </w:rPr>
        <w:t>supra</w:t>
      </w:r>
      <w:r>
        <w:t xml:space="preserve">, </w:t>
      </w:r>
      <w:bookmarkStart w:id="11" w:name="_Hlk8895823"/>
      <w:r>
        <w:t>497 U.S. at p. 840.</w:t>
      </w:r>
      <w:bookmarkEnd w:id="11"/>
      <w:r>
        <w:t xml:space="preserve">)  The court began by explaining that the </w:t>
      </w:r>
      <w:r w:rsidR="00CD3C71">
        <w:t>c</w:t>
      </w:r>
      <w:r>
        <w:t xml:space="preserve">onfrontation </w:t>
      </w:r>
      <w:r w:rsidR="00CD3C71">
        <w:t>c</w:t>
      </w:r>
      <w:r>
        <w:t>lause does not “guarantee[]</w:t>
      </w:r>
      <w:r w:rsidRPr="00A1074E">
        <w:t xml:space="preserve"> criminal defendants the </w:t>
      </w:r>
      <w:r w:rsidRPr="00A1074E">
        <w:rPr>
          <w:i/>
        </w:rPr>
        <w:t>absolute</w:t>
      </w:r>
      <w:r w:rsidRPr="00A1074E">
        <w:t xml:space="preserve"> right to a face-to-face meeting with witnesses against them at trial</w:t>
      </w:r>
      <w:r>
        <w:t>.”  (</w:t>
      </w:r>
      <w:r>
        <w:rPr>
          <w:i/>
        </w:rPr>
        <w:t xml:space="preserve">Id. </w:t>
      </w:r>
      <w:r>
        <w:t xml:space="preserve">at p. 844.)  </w:t>
      </w:r>
      <w:r w:rsidR="0041717C">
        <w:t>“</w:t>
      </w:r>
      <w:r>
        <w:t>Although f</w:t>
      </w:r>
      <w:r w:rsidRPr="00A1074E">
        <w:t>ace-to-face confrontation</w:t>
      </w:r>
      <w:r>
        <w:t xml:space="preserve"> </w:t>
      </w:r>
      <w:r w:rsidRPr="00A1074E">
        <w:t xml:space="preserve">forms </w:t>
      </w:r>
      <w:r>
        <w:t>‘</w:t>
      </w:r>
      <w:r w:rsidRPr="00A1074E">
        <w:t>the core of the values furthered by the Confrontation Clause,</w:t>
      </w:r>
      <w:r>
        <w:t>’</w:t>
      </w:r>
      <w:r w:rsidR="00580D51">
        <w:t xml:space="preserve"> [</w:t>
      </w:r>
      <w:r w:rsidR="00A76F87">
        <w:t>citation]</w:t>
      </w:r>
      <w:r>
        <w:t xml:space="preserve"> . . . </w:t>
      </w:r>
      <w:r w:rsidRPr="00A1074E">
        <w:t xml:space="preserve">it is not the </w:t>
      </w:r>
      <w:r w:rsidRPr="00A1074E">
        <w:rPr>
          <w:i/>
        </w:rPr>
        <w:t>sine qua non</w:t>
      </w:r>
      <w:r w:rsidRPr="00A1074E">
        <w:t xml:space="preserve"> of the confrontation right</w:t>
      </w:r>
      <w:r>
        <w:t>” and is not required “</w:t>
      </w:r>
      <w:r w:rsidRPr="00F26173">
        <w:t xml:space="preserve">in </w:t>
      </w:r>
      <w:r w:rsidRPr="00F26173">
        <w:rPr>
          <w:i/>
        </w:rPr>
        <w:t>every</w:t>
      </w:r>
      <w:r w:rsidRPr="00F26173">
        <w:t xml:space="preserve"> instance in which testimony is admitted against a defendant</w:t>
      </w:r>
      <w:r>
        <w:t>.”  (</w:t>
      </w:r>
      <w:r>
        <w:rPr>
          <w:i/>
        </w:rPr>
        <w:t xml:space="preserve">Id. </w:t>
      </w:r>
      <w:r>
        <w:t>at p. 847.)  “[I]</w:t>
      </w:r>
      <w:r w:rsidRPr="00F26173">
        <w:t xml:space="preserve">n certain narrow circumstances, </w:t>
      </w:r>
      <w:r>
        <w:t>‘</w:t>
      </w:r>
      <w:r w:rsidRPr="00F26173">
        <w:t xml:space="preserve">competing interests, if </w:t>
      </w:r>
      <w:r>
        <w:t>“</w:t>
      </w:r>
      <w:r w:rsidRPr="00F26173">
        <w:t>closely examined,</w:t>
      </w:r>
      <w:r>
        <w:t>”</w:t>
      </w:r>
      <w:r w:rsidRPr="00F26173">
        <w:t xml:space="preserve"> may warrant dispensing with confrontation at trial.</w:t>
      </w:r>
      <w:r>
        <w:t>’ </w:t>
      </w:r>
      <w:r w:rsidRPr="00F26173">
        <w:t>”</w:t>
      </w:r>
      <w:r>
        <w:t xml:space="preserve">  (</w:t>
      </w:r>
      <w:r>
        <w:rPr>
          <w:i/>
        </w:rPr>
        <w:t>Id.</w:t>
      </w:r>
      <w:r>
        <w:t xml:space="preserve"> at p. 848.)  In other words, “ ‘</w:t>
      </w:r>
      <w:r w:rsidRPr="00F26173">
        <w:t xml:space="preserve">the Confrontation Clause reflects a </w:t>
      </w:r>
      <w:r w:rsidRPr="00F26173">
        <w:rPr>
          <w:i/>
        </w:rPr>
        <w:t>preference</w:t>
      </w:r>
      <w:r w:rsidRPr="00F26173">
        <w:t xml:space="preserve"> for face-to-face confrontation at trial,</w:t>
      </w:r>
      <w:r>
        <w:t>’</w:t>
      </w:r>
      <w:r w:rsidRPr="00F26173">
        <w:t xml:space="preserve"> </w:t>
      </w:r>
      <w:r>
        <w:t>[citation]</w:t>
      </w:r>
      <w:r w:rsidRPr="00F26173">
        <w:t xml:space="preserve">, a preference that </w:t>
      </w:r>
      <w:r>
        <w:t>‘</w:t>
      </w:r>
      <w:r w:rsidRPr="00F26173">
        <w:t>must occasionally give way to considerations of public policy and the necessities of the case</w:t>
      </w:r>
      <w:r>
        <w:t>.’ </w:t>
      </w:r>
      <w:r w:rsidRPr="00F26173">
        <w:t>”</w:t>
      </w:r>
      <w:r>
        <w:t xml:space="preserve">  (</w:t>
      </w:r>
      <w:r>
        <w:rPr>
          <w:i/>
        </w:rPr>
        <w:t xml:space="preserve">Id. </w:t>
      </w:r>
      <w:r>
        <w:t xml:space="preserve">at p. 849.)  However, the </w:t>
      </w:r>
      <w:r>
        <w:rPr>
          <w:i/>
        </w:rPr>
        <w:t xml:space="preserve">Craig </w:t>
      </w:r>
      <w:r>
        <w:t xml:space="preserve">court cautioned, </w:t>
      </w:r>
      <w:r w:rsidR="006C1AF2">
        <w:t>“[</w:t>
      </w:r>
      <w:r w:rsidR="00DF57EE">
        <w:t>t</w:t>
      </w:r>
      <w:r w:rsidR="006C1AF2">
        <w:t>]</w:t>
      </w:r>
      <w:r w:rsidR="00DF57EE">
        <w:t xml:space="preserve">hat </w:t>
      </w:r>
      <w:r>
        <w:t xml:space="preserve">the face-to-face </w:t>
      </w:r>
      <w:r w:rsidR="006C3103">
        <w:t xml:space="preserve">confrontation </w:t>
      </w:r>
      <w:r>
        <w:t xml:space="preserve">requirement </w:t>
      </w:r>
      <w:r w:rsidR="00DF57EE">
        <w:t xml:space="preserve">is not absolute </w:t>
      </w:r>
      <w:r w:rsidRPr="003169F9">
        <w:t>does not</w:t>
      </w:r>
      <w:r>
        <w:t xml:space="preserve"> . . . </w:t>
      </w:r>
      <w:r w:rsidRPr="003169F9">
        <w:t xml:space="preserve">mean that </w:t>
      </w:r>
      <w:r w:rsidR="001002D9">
        <w:t xml:space="preserve">it </w:t>
      </w:r>
      <w:r w:rsidRPr="003169F9">
        <w:t xml:space="preserve">may easily </w:t>
      </w:r>
      <w:r w:rsidRPr="003169F9">
        <w:lastRenderedPageBreak/>
        <w:t>be dispensed with</w:t>
      </w:r>
      <w:r>
        <w:t>.”  (</w:t>
      </w:r>
      <w:r>
        <w:rPr>
          <w:i/>
        </w:rPr>
        <w:t xml:space="preserve">Id. </w:t>
      </w:r>
      <w:r>
        <w:t>at p. 850.)  On the contrary, “</w:t>
      </w:r>
      <w:r w:rsidRPr="003169F9">
        <w:t>a defendant’s right to confront accusatory witnesses may be satisfied absent a physical, face-to-face confrontation at trial only where denial of such confrontation is necessary to further an important public policy and only where the reliability of the testimony is otherwise assured.</w:t>
      </w:r>
      <w:r>
        <w:t>”  (</w:t>
      </w:r>
      <w:r>
        <w:rPr>
          <w:i/>
        </w:rPr>
        <w:t>Ibid.</w:t>
      </w:r>
      <w:r>
        <w:t xml:space="preserve">)  </w:t>
      </w:r>
    </w:p>
    <w:p w14:paraId="0E1359A2" w14:textId="279329FA" w:rsidR="00711A2C" w:rsidRPr="00203D8F" w:rsidRDefault="00711A2C" w:rsidP="00420D35">
      <w:pPr>
        <w:tabs>
          <w:tab w:val="left" w:pos="1440"/>
        </w:tabs>
        <w:ind w:firstLine="720"/>
      </w:pPr>
      <w:r>
        <w:t xml:space="preserve">Turning first to the latter requirement, the high court in </w:t>
      </w:r>
      <w:r>
        <w:rPr>
          <w:i/>
        </w:rPr>
        <w:t>Craig</w:t>
      </w:r>
      <w:r>
        <w:t xml:space="preserve"> found that the Maryland procedure provided sufficient “assurances of reliability” because it “</w:t>
      </w:r>
      <w:r w:rsidRPr="00032609">
        <w:t>preserve</w:t>
      </w:r>
      <w:r>
        <w:t>[d]</w:t>
      </w:r>
      <w:r w:rsidRPr="00032609">
        <w:t xml:space="preserve"> all of the other elements of the confrontation right:</w:t>
      </w:r>
      <w:r>
        <w:t xml:space="preserve"> </w:t>
      </w:r>
      <w:r w:rsidRPr="00032609">
        <w:t xml:space="preserve"> </w:t>
      </w:r>
      <w:r>
        <w:t>T</w:t>
      </w:r>
      <w:r w:rsidRPr="00032609">
        <w:t>he child witness must be competent to testify and must testify under oath; the defendant retains full opportunity for contemporaneous cross-examination; and the judge, jury, and defendant are able to view (albeit by video monitor) the demeanor (and body) of the witness as he or she testifies.</w:t>
      </w:r>
      <w:r>
        <w:t>”  (</w:t>
      </w:r>
      <w:r w:rsidRPr="003169F9">
        <w:rPr>
          <w:i/>
        </w:rPr>
        <w:t>Craig</w:t>
      </w:r>
      <w:r>
        <w:rPr>
          <w:i/>
        </w:rPr>
        <w:t>, supra</w:t>
      </w:r>
      <w:r>
        <w:t>, 497 U.S. at p. 851.)  Notwithstanding “</w:t>
      </w:r>
      <w:r w:rsidRPr="00032609">
        <w:t>the many subtle effects face-to-face confrontation may have on an adversary criminal proceeding, the presence of these other elements of confrontation</w:t>
      </w:r>
      <w:r>
        <w:t> </w:t>
      </w:r>
      <w:r w:rsidRPr="00032609">
        <w:t>—</w:t>
      </w:r>
      <w:r>
        <w:t xml:space="preserve"> </w:t>
      </w:r>
      <w:r w:rsidRPr="00032609">
        <w:t>oath, cross-examination, and observation of the witness’ demeanor</w:t>
      </w:r>
      <w:r>
        <w:t> </w:t>
      </w:r>
      <w:r w:rsidRPr="00032609">
        <w:t>—</w:t>
      </w:r>
      <w:r>
        <w:t> </w:t>
      </w:r>
      <w:r w:rsidRPr="00032609">
        <w:t>adequately ensures that the testimony is both reliable and subject to rigorous adversarial testing in a manner functionally equivalent to that accorded live, in-person testimony.</w:t>
      </w:r>
      <w:r>
        <w:t>”  (</w:t>
      </w:r>
      <w:r>
        <w:rPr>
          <w:i/>
        </w:rPr>
        <w:t>Ibid.</w:t>
      </w:r>
      <w:r>
        <w:t>)  Thus, Maryland’s “</w:t>
      </w:r>
      <w:r w:rsidRPr="00203D8F">
        <w:t>use of the one-way closed circuit television procedure</w:t>
      </w:r>
      <w:r>
        <w:t xml:space="preserve"> . . . </w:t>
      </w:r>
      <w:r w:rsidRPr="00203D8F">
        <w:t>does not impinge upon the truth-seeking or symbolic purposes of the Confrontation Clause</w:t>
      </w:r>
      <w:r>
        <w:t>.”  (</w:t>
      </w:r>
      <w:r>
        <w:rPr>
          <w:i/>
        </w:rPr>
        <w:t>Id.</w:t>
      </w:r>
      <w:r w:rsidR="0004054F">
        <w:t xml:space="preserve"> at p. 852.</w:t>
      </w:r>
      <w:r>
        <w:t>)</w:t>
      </w:r>
    </w:p>
    <w:p w14:paraId="17625F97" w14:textId="34A39DB5" w:rsidR="00711A2C" w:rsidRPr="007C45FA" w:rsidRDefault="00711A2C" w:rsidP="00420D35">
      <w:pPr>
        <w:tabs>
          <w:tab w:val="left" w:pos="1440"/>
        </w:tabs>
        <w:ind w:firstLine="720"/>
      </w:pPr>
      <w:r>
        <w:t xml:space="preserve">The </w:t>
      </w:r>
      <w:r>
        <w:rPr>
          <w:i/>
        </w:rPr>
        <w:t xml:space="preserve">Craig </w:t>
      </w:r>
      <w:r>
        <w:t>court next considered whether “</w:t>
      </w:r>
      <w:r w:rsidRPr="00D25FD5">
        <w:t xml:space="preserve">use of the procedure </w:t>
      </w:r>
      <w:r>
        <w:t xml:space="preserve">[was] </w:t>
      </w:r>
      <w:r w:rsidRPr="00D25FD5">
        <w:t>necessary to further an important state interest</w:t>
      </w:r>
      <w:r>
        <w:t>.”  (</w:t>
      </w:r>
      <w:r>
        <w:rPr>
          <w:i/>
        </w:rPr>
        <w:t>Craig</w:t>
      </w:r>
      <w:r>
        <w:t xml:space="preserve">, </w:t>
      </w:r>
      <w:r>
        <w:rPr>
          <w:i/>
        </w:rPr>
        <w:t>supra</w:t>
      </w:r>
      <w:r>
        <w:t xml:space="preserve">, 497 U.S. at p. 852.)  </w:t>
      </w:r>
      <w:r w:rsidR="009D0003">
        <w:t xml:space="preserve">The court </w:t>
      </w:r>
      <w:r>
        <w:t xml:space="preserve">first recognized the “ ‘compelling’ ” </w:t>
      </w:r>
      <w:r w:rsidR="002D55DF">
        <w:t>(</w:t>
      </w:r>
      <w:r w:rsidR="002D55DF" w:rsidRPr="002D55DF">
        <w:rPr>
          <w:i/>
        </w:rPr>
        <w:t>ibid.</w:t>
      </w:r>
      <w:r w:rsidR="002D55DF">
        <w:t xml:space="preserve">) </w:t>
      </w:r>
      <w:r>
        <w:t>nature of the s</w:t>
      </w:r>
      <w:r w:rsidRPr="00F42668">
        <w:t xml:space="preserve">tate’s interest in </w:t>
      </w:r>
      <w:r>
        <w:t>protecting “ ‘</w:t>
      </w:r>
      <w:r w:rsidRPr="00F42668">
        <w:t xml:space="preserve">minor victims of sex crimes from further </w:t>
      </w:r>
      <w:r w:rsidRPr="00F42668">
        <w:lastRenderedPageBreak/>
        <w:t>trauma and embarrassment</w:t>
      </w:r>
      <w:r>
        <w:t>’ </w:t>
      </w:r>
      <w:r w:rsidRPr="00F42668">
        <w:t>”</w:t>
      </w:r>
      <w:r>
        <w:t xml:space="preserve"> (</w:t>
      </w:r>
      <w:r>
        <w:rPr>
          <w:i/>
        </w:rPr>
        <w:t>ibid.</w:t>
      </w:r>
      <w:r>
        <w:t>), and concluded that, upon “</w:t>
      </w:r>
      <w:r w:rsidRPr="00F42668">
        <w:t>an adequate showing of necessity, the state interest in protecting child witnesses from the trauma of testifying in a child abuse case is sufficiently important to justify the use of a special procedure that permits a child witness in such cases to testify at trial against a defendant in the absence of face-to-face confrontation with the defendant</w:t>
      </w:r>
      <w:r>
        <w:t>” (</w:t>
      </w:r>
      <w:r>
        <w:rPr>
          <w:i/>
        </w:rPr>
        <w:t>id.</w:t>
      </w:r>
      <w:r>
        <w:t xml:space="preserve"> at p. 855).  “To be sure,” the court explained, “</w:t>
      </w:r>
      <w:r w:rsidRPr="00A60A20">
        <w:t>face-to-face confrontation may be said to cause trauma for the very purpose of eliciting truth</w:t>
      </w:r>
      <w:r>
        <w:t>.”  (</w:t>
      </w:r>
      <w:r>
        <w:rPr>
          <w:i/>
        </w:rPr>
        <w:t>Id.</w:t>
      </w:r>
      <w:r>
        <w:t xml:space="preserve"> at p. 856.)  However, “</w:t>
      </w:r>
      <w:r w:rsidRPr="00A60A20">
        <w:t xml:space="preserve">where face-to-face confrontation causes significant emotional distress in a child witness, there is evidence that such confrontation would in fact </w:t>
      </w:r>
      <w:r w:rsidRPr="00EC03E2">
        <w:rPr>
          <w:i/>
        </w:rPr>
        <w:t>disserve</w:t>
      </w:r>
      <w:r w:rsidRPr="00A60A20">
        <w:t xml:space="preserve"> the Confrontation Clause’s truth-seeking goal.</w:t>
      </w:r>
      <w:r>
        <w:t>”  (</w:t>
      </w:r>
      <w:r>
        <w:rPr>
          <w:i/>
        </w:rPr>
        <w:t>Id.</w:t>
      </w:r>
      <w:r>
        <w:t xml:space="preserve"> at p</w:t>
      </w:r>
      <w:r w:rsidR="002D55DF">
        <w:t xml:space="preserve">. </w:t>
      </w:r>
      <w:r>
        <w:t>857.)  Thus, “</w:t>
      </w:r>
      <w:r w:rsidRPr="001174F6">
        <w:t>where necessary to protect a child witness from trauma that would be caused by testifying in the physical presence of the defendant, at least where such trauma would impair the child’s ability to communicate, the Confrontation Clause does not prohibit use of a procedure that, despite the absence of face-to-face confrontation, ensures the reliability of the evidence by subjecting it to rigorous adversarial testing and thereby preserves the essence of effective confrontation.</w:t>
      </w:r>
      <w:r>
        <w:t>”  (</w:t>
      </w:r>
      <w:r>
        <w:rPr>
          <w:i/>
        </w:rPr>
        <w:t>I</w:t>
      </w:r>
      <w:r w:rsidR="00823AA9">
        <w:rPr>
          <w:i/>
        </w:rPr>
        <w:t>bi</w:t>
      </w:r>
      <w:r>
        <w:rPr>
          <w:i/>
        </w:rPr>
        <w:t>d</w:t>
      </w:r>
      <w:r>
        <w:t xml:space="preserve">.)  </w:t>
      </w:r>
    </w:p>
    <w:p w14:paraId="33F9DF20" w14:textId="49AA4C4B" w:rsidR="00711A2C" w:rsidRPr="00266D2B" w:rsidRDefault="00711A2C" w:rsidP="00420D35">
      <w:pPr>
        <w:tabs>
          <w:tab w:val="left" w:pos="1440"/>
        </w:tabs>
        <w:ind w:firstLine="720"/>
      </w:pPr>
      <w:r>
        <w:t>Regarding the requirement that denial of face-to-face confrontation be “</w:t>
      </w:r>
      <w:r w:rsidRPr="00D25FD5">
        <w:t>necessary to further</w:t>
      </w:r>
      <w:r>
        <w:t>” the state’s interest (</w:t>
      </w:r>
      <w:r>
        <w:rPr>
          <w:i/>
        </w:rPr>
        <w:t>Craig</w:t>
      </w:r>
      <w:r>
        <w:t xml:space="preserve">, </w:t>
      </w:r>
      <w:r>
        <w:rPr>
          <w:i/>
        </w:rPr>
        <w:t>supra</w:t>
      </w:r>
      <w:r>
        <w:t xml:space="preserve">, 497 U.S. at p. 852), the </w:t>
      </w:r>
      <w:r>
        <w:rPr>
          <w:i/>
        </w:rPr>
        <w:t xml:space="preserve">Craig </w:t>
      </w:r>
      <w:r>
        <w:t>court stressed that “[t]</w:t>
      </w:r>
      <w:r w:rsidRPr="006131F3">
        <w:t>he requisite finding of necessity must</w:t>
      </w:r>
      <w:r>
        <w:t xml:space="preserve"> . . . </w:t>
      </w:r>
      <w:r w:rsidRPr="006131F3">
        <w:t xml:space="preserve">be a case-specific one: </w:t>
      </w:r>
      <w:r>
        <w:t xml:space="preserve"> </w:t>
      </w:r>
      <w:r w:rsidRPr="006131F3">
        <w:t xml:space="preserve">The trial court </w:t>
      </w:r>
      <w:r w:rsidRPr="006D3BD2">
        <w:t xml:space="preserve">must hear evidence and determine whether use of the [alternative procedure] is necessary to protect the welfare of the </w:t>
      </w:r>
      <w:proofErr w:type="gramStart"/>
      <w:r w:rsidRPr="006D3BD2">
        <w:t>particular child</w:t>
      </w:r>
      <w:proofErr w:type="gramEnd"/>
      <w:r w:rsidRPr="006D3BD2">
        <w:t xml:space="preserve"> witness who seeks to testify.  [Citations.]  The trial court must also find that the child witness would be traumatized, not by the courtroom generally, but by the presence of the defendant.</w:t>
      </w:r>
      <w:r w:rsidRPr="006131F3">
        <w:t xml:space="preserve"> </w:t>
      </w:r>
      <w:r>
        <w:t xml:space="preserve"> [Citations.]  </w:t>
      </w:r>
      <w:r w:rsidRPr="006131F3">
        <w:t xml:space="preserve">Denial of face-to-face </w:t>
      </w:r>
      <w:r w:rsidRPr="006131F3">
        <w:lastRenderedPageBreak/>
        <w:t>confrontation is not needed to further the state interest in protecting the child witness from trauma unless it is the presence of the defendant that causes the trauma.</w:t>
      </w:r>
      <w:r>
        <w:t xml:space="preserve"> </w:t>
      </w:r>
      <w:r w:rsidRPr="006131F3">
        <w:t xml:space="preserve"> In other words, if the state interest were merely the interest in protecting child witnesses from courtroom trauma generally, denial of face-to-face confrontation would be unnecessary because the child could be permitted to testify in less intimidating surroundings, albeit with the defendant present. </w:t>
      </w:r>
      <w:r>
        <w:t xml:space="preserve"> </w:t>
      </w:r>
      <w:r w:rsidRPr="006131F3">
        <w:t xml:space="preserve">Finally, the trial court must find that the emotional distress suffered by the child witness in the presence of the defendant </w:t>
      </w:r>
      <w:r w:rsidRPr="00734A79">
        <w:t xml:space="preserve">is more than </w:t>
      </w:r>
      <w:r w:rsidRPr="00734A79">
        <w:rPr>
          <w:i/>
        </w:rPr>
        <w:t>de minimis</w:t>
      </w:r>
      <w:r w:rsidRPr="00734A79">
        <w:t>,</w:t>
      </w:r>
      <w:r w:rsidRPr="006131F3">
        <w:t xml:space="preserve"> </w:t>
      </w:r>
      <w:r w:rsidRPr="002A7ACD">
        <w:rPr>
          <w:i/>
        </w:rPr>
        <w:t>i.e.</w:t>
      </w:r>
      <w:r w:rsidRPr="006131F3">
        <w:t xml:space="preserve">, more than </w:t>
      </w:r>
      <w:r>
        <w:t>‘</w:t>
      </w:r>
      <w:r w:rsidRPr="006131F3">
        <w:t>mere nervousness or excitement or some reluctance to testify</w:t>
      </w:r>
      <w:r>
        <w:t>.’ </w:t>
      </w:r>
      <w:r w:rsidRPr="006131F3">
        <w:t>”</w:t>
      </w:r>
      <w:r>
        <w:t xml:space="preserve">  (</w:t>
      </w:r>
      <w:r>
        <w:rPr>
          <w:i/>
        </w:rPr>
        <w:t>Id.</w:t>
      </w:r>
      <w:r>
        <w:t xml:space="preserve"> at pp. 855-856.)  The </w:t>
      </w:r>
      <w:r w:rsidR="003B1862">
        <w:rPr>
          <w:i/>
          <w:iCs/>
        </w:rPr>
        <w:t xml:space="preserve">Craig </w:t>
      </w:r>
      <w:r>
        <w:t>court declined to specify “</w:t>
      </w:r>
      <w:r w:rsidRPr="00266D2B">
        <w:t>the minimum showing of emotional trauma required for use of the special procedure,</w:t>
      </w:r>
      <w:r>
        <w:t xml:space="preserve">” reasoning that </w:t>
      </w:r>
      <w:r w:rsidRPr="00266D2B">
        <w:t>the Maryland statute</w:t>
      </w:r>
      <w:r w:rsidRPr="001B6473">
        <w:t xml:space="preserve"> </w:t>
      </w:r>
      <w:r>
        <w:t>“</w:t>
      </w:r>
      <w:r w:rsidRPr="00266D2B">
        <w:t>clearly suffice</w:t>
      </w:r>
      <w:r>
        <w:t>[d]</w:t>
      </w:r>
      <w:r w:rsidRPr="00266D2B">
        <w:t xml:space="preserve"> to meet constitutional standards</w:t>
      </w:r>
      <w:r>
        <w:t>” because it “</w:t>
      </w:r>
      <w:r w:rsidRPr="00266D2B">
        <w:t>require</w:t>
      </w:r>
      <w:r>
        <w:t>[d]</w:t>
      </w:r>
      <w:r w:rsidRPr="00266D2B">
        <w:t xml:space="preserve"> a determination that the child witness will suffer </w:t>
      </w:r>
      <w:r>
        <w:t>‘</w:t>
      </w:r>
      <w:r w:rsidRPr="00266D2B">
        <w:t>serious emotional distress such that the child cannot reasonably communicate</w:t>
      </w:r>
      <w:r>
        <w:t>.’ ”  (</w:t>
      </w:r>
      <w:r>
        <w:rPr>
          <w:i/>
        </w:rPr>
        <w:t>Id.</w:t>
      </w:r>
      <w:r>
        <w:t xml:space="preserve"> at p. 856.) </w:t>
      </w:r>
    </w:p>
    <w:p w14:paraId="13F19C1B" w14:textId="59D80474" w:rsidR="00711A2C" w:rsidRPr="00BB2ADD" w:rsidRDefault="00711A2C" w:rsidP="00420D35">
      <w:pPr>
        <w:tabs>
          <w:tab w:val="left" w:pos="1440"/>
        </w:tabs>
        <w:ind w:firstLine="720"/>
      </w:pPr>
      <w:r>
        <w:t xml:space="preserve">Finally, the </w:t>
      </w:r>
      <w:r>
        <w:rPr>
          <w:i/>
        </w:rPr>
        <w:t xml:space="preserve">Craig </w:t>
      </w:r>
      <w:r>
        <w:t xml:space="preserve">court </w:t>
      </w:r>
      <w:r w:rsidR="000C6E42">
        <w:t xml:space="preserve">applied </w:t>
      </w:r>
      <w:r>
        <w:t xml:space="preserve">these principles </w:t>
      </w:r>
      <w:r w:rsidR="000C6E42">
        <w:t xml:space="preserve">to </w:t>
      </w:r>
      <w:r>
        <w:t xml:space="preserve">the </w:t>
      </w:r>
      <w:r w:rsidR="00711CCE">
        <w:t xml:space="preserve">record </w:t>
      </w:r>
      <w:r w:rsidR="00102F90">
        <w:t>before it</w:t>
      </w:r>
      <w:r>
        <w:t xml:space="preserve">, which </w:t>
      </w:r>
      <w:r w:rsidR="00102F90">
        <w:t>showed the following</w:t>
      </w:r>
      <w:r>
        <w:t xml:space="preserve">:  The state </w:t>
      </w:r>
      <w:r w:rsidR="000C6E42">
        <w:t xml:space="preserve">moved </w:t>
      </w:r>
      <w:r>
        <w:t>to invoke the statutory closed-circuit television procedure and</w:t>
      </w:r>
      <w:r w:rsidR="00094429">
        <w:t xml:space="preserve"> presented “</w:t>
      </w:r>
      <w:r w:rsidRPr="0089602F">
        <w:t>expert testimony</w:t>
      </w:r>
      <w:r>
        <w:t xml:space="preserve"> </w:t>
      </w:r>
      <w:r w:rsidRPr="0089602F">
        <w:t>that the named victim</w:t>
      </w:r>
      <w:r>
        <w:t>”</w:t>
      </w:r>
      <w:r w:rsidRPr="0089602F">
        <w:t xml:space="preserve"> </w:t>
      </w:r>
      <w:r>
        <w:t>and several “</w:t>
      </w:r>
      <w:r w:rsidRPr="0089602F">
        <w:t>other children who were alleged to have been sexually abused by</w:t>
      </w:r>
      <w:r>
        <w:t>” the defendant “ ‘</w:t>
      </w:r>
      <w:r w:rsidRPr="00620DE5">
        <w:t xml:space="preserve">would have some or considerable difficulty in testifying in </w:t>
      </w:r>
      <w:r>
        <w:t xml:space="preserve">[the defendant’s] </w:t>
      </w:r>
      <w:r w:rsidRPr="00620DE5">
        <w:t>presence</w:t>
      </w:r>
      <w:r>
        <w:t>’ ” and</w:t>
      </w:r>
      <w:r w:rsidRPr="00620DE5">
        <w:t xml:space="preserve"> </w:t>
      </w:r>
      <w:r>
        <w:t>“</w:t>
      </w:r>
      <w:r w:rsidRPr="0089602F">
        <w:t xml:space="preserve">would suffer </w:t>
      </w:r>
      <w:r>
        <w:t>‘</w:t>
      </w:r>
      <w:r w:rsidRPr="0089602F">
        <w:t>serious emotional distress such that [they could not] reasonably communicate,</w:t>
      </w:r>
      <w:r>
        <w:t>’</w:t>
      </w:r>
      <w:r w:rsidRPr="0089602F">
        <w:t xml:space="preserve"> </w:t>
      </w:r>
      <w:r>
        <w:t>[citation]</w:t>
      </w:r>
      <w:r w:rsidRPr="0089602F">
        <w:t>, if required to testify in the courtroom.</w:t>
      </w:r>
      <w:r>
        <w:t>”  (</w:t>
      </w:r>
      <w:r>
        <w:rPr>
          <w:i/>
        </w:rPr>
        <w:t>Craig</w:t>
      </w:r>
      <w:r>
        <w:t xml:space="preserve">, </w:t>
      </w:r>
      <w:r>
        <w:rPr>
          <w:i/>
        </w:rPr>
        <w:t>supra</w:t>
      </w:r>
      <w:r>
        <w:t>, 497 U.S. at p. 842.)  “</w:t>
      </w:r>
      <w:r w:rsidRPr="007E2722">
        <w:t>The trial court</w:t>
      </w:r>
      <w:r>
        <w:t xml:space="preserve"> . . . </w:t>
      </w:r>
      <w:r w:rsidRPr="007E2722">
        <w:t xml:space="preserve">found that, </w:t>
      </w:r>
      <w:r>
        <w:t>‘</w:t>
      </w:r>
      <w:r w:rsidRPr="007E2722">
        <w:t>based upon the evidence presented</w:t>
      </w:r>
      <w:r>
        <w:t xml:space="preserve"> . . . </w:t>
      </w:r>
      <w:r w:rsidRPr="007E2722">
        <w:t>the testimony of each of these children in a courtroom will result in each child suffering serious emotional distress</w:t>
      </w:r>
      <w:r>
        <w:t xml:space="preserve"> . . . </w:t>
      </w:r>
      <w:r w:rsidRPr="007E2722">
        <w:t xml:space="preserve">such that each of these </w:t>
      </w:r>
      <w:r w:rsidRPr="007E2722">
        <w:lastRenderedPageBreak/>
        <w:t>children cannot reasonably communicate.</w:t>
      </w:r>
      <w:r>
        <w:t>’ </w:t>
      </w:r>
      <w:r w:rsidRPr="007E2722">
        <w:t>”</w:t>
      </w:r>
      <w:r>
        <w:t xml:space="preserve">  (</w:t>
      </w:r>
      <w:r w:rsidRPr="00661EFF">
        <w:rPr>
          <w:i/>
        </w:rPr>
        <w:t>Id.</w:t>
      </w:r>
      <w:r w:rsidRPr="007E2722">
        <w:t xml:space="preserve"> at </w:t>
      </w:r>
      <w:r>
        <w:t xml:space="preserve">pp. 842-843.)  The Court of Appeals reversed the trial court’s decision, finding that the state’s showing was, under </w:t>
      </w:r>
      <w:r>
        <w:rPr>
          <w:i/>
        </w:rPr>
        <w:t>Coy</w:t>
      </w:r>
      <w:r>
        <w:t>, insufficient to overcome the defendant’s right to confront the witnesses face-to-face.  (</w:t>
      </w:r>
      <w:r>
        <w:rPr>
          <w:i/>
        </w:rPr>
        <w:t>Craig</w:t>
      </w:r>
      <w:r>
        <w:t>, at p. 843).</w:t>
      </w:r>
    </w:p>
    <w:p w14:paraId="36FE643E" w14:textId="3DEFBAC7" w:rsidR="00711A2C" w:rsidRDefault="00711A2C" w:rsidP="00420D35">
      <w:pPr>
        <w:tabs>
          <w:tab w:val="left" w:pos="1440"/>
        </w:tabs>
        <w:ind w:firstLine="720"/>
      </w:pPr>
      <w:r>
        <w:t>In reviewing this decision, the high court began by observing that there were sufficient assurances of reliability because “</w:t>
      </w:r>
      <w:r w:rsidRPr="00CE1071">
        <w:t>the child witnesses</w:t>
      </w:r>
      <w:r>
        <w:t> . . . </w:t>
      </w:r>
      <w:r w:rsidRPr="00CE1071">
        <w:t>testified under oath, were subject to full cross-examination, and were able to be observed by the judge, jury, and defendant as they testified</w:t>
      </w:r>
      <w:r>
        <w:t>.”  (</w:t>
      </w:r>
      <w:r>
        <w:rPr>
          <w:i/>
        </w:rPr>
        <w:t>Craig</w:t>
      </w:r>
      <w:r>
        <w:t xml:space="preserve">, </w:t>
      </w:r>
      <w:r>
        <w:rPr>
          <w:i/>
        </w:rPr>
        <w:t>supra</w:t>
      </w:r>
      <w:r>
        <w:t>, 497 U.S. at 857.)  The court next explained that, on the issue of necessity, the Court of Appeals</w:t>
      </w:r>
      <w:r w:rsidR="000A78B3">
        <w:t>’</w:t>
      </w:r>
      <w:r>
        <w:t xml:space="preserve"> analysis was “consistent with our holding today” </w:t>
      </w:r>
      <w:r w:rsidR="00080F00">
        <w:t xml:space="preserve">to the extent </w:t>
      </w:r>
      <w:r>
        <w:t xml:space="preserve">it stated that a </w:t>
      </w:r>
      <w:r w:rsidRPr="008953F0">
        <w:t xml:space="preserve">trial court </w:t>
      </w:r>
      <w:r>
        <w:t>must “</w:t>
      </w:r>
      <w:r w:rsidRPr="008953F0">
        <w:t xml:space="preserve">make a specific finding that testimony by the child in the courtroom </w:t>
      </w:r>
      <w:r w:rsidRPr="008953F0">
        <w:rPr>
          <w:i/>
        </w:rPr>
        <w:t>in the presence of the defendant</w:t>
      </w:r>
      <w:r w:rsidRPr="008953F0">
        <w:t xml:space="preserve"> would result in the child suffering serious emotional distress such that the child could not reasonably communicate.</w:t>
      </w:r>
      <w:r>
        <w:t>”  (</w:t>
      </w:r>
      <w:r>
        <w:rPr>
          <w:i/>
        </w:rPr>
        <w:t>Id.</w:t>
      </w:r>
      <w:r>
        <w:t xml:space="preserve"> at p. 858.)  However, the high court continued, the Court of Appeals erred </w:t>
      </w:r>
      <w:proofErr w:type="gramStart"/>
      <w:r>
        <w:t>insofar as</w:t>
      </w:r>
      <w:proofErr w:type="gramEnd"/>
      <w:r>
        <w:t xml:space="preserve"> it concluded that a </w:t>
      </w:r>
      <w:r w:rsidRPr="009411F1">
        <w:t>trial court</w:t>
      </w:r>
      <w:r>
        <w:t xml:space="preserve"> must “</w:t>
      </w:r>
      <w:r w:rsidRPr="009411F1">
        <w:t>observe the children’s behavior in the defendant’s presence and</w:t>
      </w:r>
      <w:r>
        <w:t xml:space="preserve"> . . . </w:t>
      </w:r>
      <w:r w:rsidRPr="009411F1">
        <w:t>explore less restrictive alternatives to the use of the one-way closed circuit television procedure.</w:t>
      </w:r>
      <w:r>
        <w:t>”  (</w:t>
      </w:r>
      <w:r>
        <w:rPr>
          <w:i/>
        </w:rPr>
        <w:t>Id.</w:t>
      </w:r>
      <w:r>
        <w:t xml:space="preserve"> at pp. 859-860.)  “</w:t>
      </w:r>
      <w:r w:rsidRPr="009411F1">
        <w:t>Although</w:t>
      </w:r>
      <w:r>
        <w:t xml:space="preserve"> . . . </w:t>
      </w:r>
      <w:r w:rsidRPr="009411F1">
        <w:t>such evidentiary requirements could strengthen the grounds for use of protective measures,</w:t>
      </w:r>
      <w:r>
        <w:t xml:space="preserve"> . . . </w:t>
      </w:r>
      <w:r w:rsidRPr="009411F1">
        <w:t xml:space="preserve">as a matter of federal constitutional law, </w:t>
      </w:r>
      <w:r>
        <w:t xml:space="preserve">[there are no] </w:t>
      </w:r>
      <w:r w:rsidRPr="009411F1">
        <w:t xml:space="preserve">such categorical evidentiary prerequisites for the use of the one-way television procedure. </w:t>
      </w:r>
      <w:r>
        <w:t xml:space="preserve"> </w:t>
      </w:r>
      <w:r w:rsidRPr="009411F1">
        <w:t xml:space="preserve">The trial court in this case, for example, could well have found, on the basis of the expert testimony before it, that testimony by the child witnesses in the courtroom in the defendant’s presence </w:t>
      </w:r>
      <w:r>
        <w:t>‘</w:t>
      </w:r>
      <w:r w:rsidRPr="009411F1">
        <w:t>will result in [each] child suffering serious emotional distress such that the child cannot reasonably communicate,</w:t>
      </w:r>
      <w:r>
        <w:t xml:space="preserve">’ [citation].  [Citations.]  </w:t>
      </w:r>
      <w:r w:rsidRPr="006374D9">
        <w:lastRenderedPageBreak/>
        <w:t xml:space="preserve">So long as a trial court makes such a case-specific finding of necessity, the Confrontation Clause does not prohibit a State from using a one-way closed circuit television procedure for the receipt of testimony by a child witness in a child abuse case. </w:t>
      </w:r>
      <w:r>
        <w:t xml:space="preserve"> </w:t>
      </w:r>
      <w:r w:rsidRPr="006374D9">
        <w:t xml:space="preserve">Because the </w:t>
      </w:r>
      <w:r>
        <w:t xml:space="preserve">Court of Appeals </w:t>
      </w:r>
      <w:r w:rsidRPr="006374D9">
        <w:t>held that the trial court had not made the requisite finding of necessity under its interpretation of</w:t>
      </w:r>
      <w:r w:rsidR="001956F5">
        <w:t xml:space="preserve"> ‘</w:t>
      </w:r>
      <w:r>
        <w:t> . . . [</w:t>
      </w:r>
      <w:r w:rsidRPr="00D30356">
        <w:rPr>
          <w:i/>
        </w:rPr>
        <w:t>Coy</w:t>
      </w:r>
      <w:r>
        <w:t>] . . .</w:t>
      </w:r>
      <w:r w:rsidR="001956F5">
        <w:t>’ [citation],</w:t>
      </w:r>
      <w:r>
        <w:t xml:space="preserve"> </w:t>
      </w:r>
      <w:r w:rsidRPr="006374D9">
        <w:t xml:space="preserve">we cannot be certain whether </w:t>
      </w:r>
      <w:r>
        <w:t>[the state appellate court]</w:t>
      </w:r>
      <w:r w:rsidRPr="006374D9">
        <w:t xml:space="preserve"> would reach the same conclusion </w:t>
      </w:r>
      <w:proofErr w:type="gramStart"/>
      <w:r w:rsidRPr="006374D9">
        <w:t>in light of</w:t>
      </w:r>
      <w:proofErr w:type="gramEnd"/>
      <w:r w:rsidRPr="006374D9">
        <w:t xml:space="preserve"> the legal standard we establish today.</w:t>
      </w:r>
      <w:r>
        <w:t xml:space="preserve">  </w:t>
      </w:r>
      <w:r w:rsidRPr="00E77C16">
        <w:t xml:space="preserve">We therefore vacate the judgment of the </w:t>
      </w:r>
      <w:r>
        <w:t xml:space="preserve">[state appellate court] </w:t>
      </w:r>
      <w:r w:rsidRPr="00E77C16">
        <w:t>and remand the case for further proceedings not inconsistent with this opinion.</w:t>
      </w:r>
      <w:r>
        <w:t>”  (</w:t>
      </w:r>
      <w:r>
        <w:rPr>
          <w:i/>
        </w:rPr>
        <w:t>Craig</w:t>
      </w:r>
      <w:r>
        <w:t>, at p. 860.)</w:t>
      </w:r>
    </w:p>
    <w:p w14:paraId="58586D59" w14:textId="74D85D6C" w:rsidR="00711A2C" w:rsidRDefault="00711A2C" w:rsidP="00420D35">
      <w:pPr>
        <w:tabs>
          <w:tab w:val="left" w:pos="1440"/>
        </w:tabs>
        <w:ind w:firstLine="720"/>
      </w:pPr>
      <w:r>
        <w:t xml:space="preserve">In the nearly thirty years since the high court decided </w:t>
      </w:r>
      <w:r>
        <w:rPr>
          <w:i/>
        </w:rPr>
        <w:t>Craig</w:t>
      </w:r>
      <w:r>
        <w:t xml:space="preserve">, we have applied these high court precedents in a relevant context only once — in </w:t>
      </w:r>
      <w:r>
        <w:rPr>
          <w:i/>
        </w:rPr>
        <w:t>Gonzales</w:t>
      </w:r>
      <w:r>
        <w:t>.  There, the defendant, in appealing from a murder conviction, argued that the trial court had violated his right of confrontation by admitting at trial a videotape of his son’s preliminary hearing testimony.  (</w:t>
      </w:r>
      <w:r>
        <w:rPr>
          <w:i/>
        </w:rPr>
        <w:t>Gonzales</w:t>
      </w:r>
      <w:r>
        <w:t xml:space="preserve">, </w:t>
      </w:r>
      <w:r>
        <w:rPr>
          <w:i/>
        </w:rPr>
        <w:t>supra</w:t>
      </w:r>
      <w:r>
        <w:t xml:space="preserve">, </w:t>
      </w:r>
      <w:bookmarkStart w:id="12" w:name="_Hlk22887490"/>
      <w:r>
        <w:t xml:space="preserve">54 Cal.4th at p. 1261.)  </w:t>
      </w:r>
      <w:r w:rsidR="008D438F">
        <w:t>As here relevant, t</w:t>
      </w:r>
      <w:r>
        <w:t>he defendant based this claim</w:t>
      </w:r>
      <w:r w:rsidR="008D438F">
        <w:t xml:space="preserve"> </w:t>
      </w:r>
      <w:r>
        <w:t xml:space="preserve">on the fact that his </w:t>
      </w:r>
      <w:r w:rsidR="000A1567">
        <w:t xml:space="preserve">eight-year-old </w:t>
      </w:r>
      <w:r>
        <w:t xml:space="preserve">son, while testifying at </w:t>
      </w:r>
      <w:r w:rsidRPr="008B0860">
        <w:t>the preliminary hearing</w:t>
      </w:r>
      <w:r>
        <w:t>, had been “</w:t>
      </w:r>
      <w:r w:rsidRPr="005F0946">
        <w:t>seated at an angle, not directly facing the defendant</w:t>
      </w:r>
      <w:r>
        <w:t>[].”  (</w:t>
      </w:r>
      <w:r w:rsidRPr="00631D14">
        <w:rPr>
          <w:i/>
        </w:rPr>
        <w:t>Id.</w:t>
      </w:r>
      <w:r>
        <w:t xml:space="preserve"> at p. 1265.)  </w:t>
      </w:r>
      <w:bookmarkEnd w:id="12"/>
      <w:r>
        <w:t xml:space="preserve">This arrangement, the defendant asserted, was invalid under </w:t>
      </w:r>
      <w:r>
        <w:rPr>
          <w:i/>
        </w:rPr>
        <w:t xml:space="preserve">Craig </w:t>
      </w:r>
      <w:r>
        <w:t xml:space="preserve">because (1) </w:t>
      </w:r>
      <w:r w:rsidRPr="00C32CCE">
        <w:t>the preliminary hearing court</w:t>
      </w:r>
      <w:r>
        <w:t xml:space="preserve"> “fail[ed] to make </w:t>
      </w:r>
      <w:r w:rsidRPr="00C32CCE">
        <w:t>a case-specific factual finding of necessity</w:t>
      </w:r>
      <w:r>
        <w:t>” (</w:t>
      </w:r>
      <w:r>
        <w:rPr>
          <w:i/>
        </w:rPr>
        <w:t xml:space="preserve">id. </w:t>
      </w:r>
      <w:r>
        <w:t>at p. 1266), (2) t</w:t>
      </w:r>
      <w:r w:rsidRPr="00C32CCE">
        <w:t>he prosecution</w:t>
      </w:r>
      <w:r>
        <w:t>, which requested the arrangement because the son “</w:t>
      </w:r>
      <w:r w:rsidRPr="005A6FDE">
        <w:t xml:space="preserve">had expressed great fear of </w:t>
      </w:r>
      <w:r>
        <w:t xml:space="preserve">[the] </w:t>
      </w:r>
      <w:r w:rsidRPr="005A6FDE">
        <w:t>defendant</w:t>
      </w:r>
      <w:r>
        <w:t>” (</w:t>
      </w:r>
      <w:r>
        <w:rPr>
          <w:i/>
        </w:rPr>
        <w:t xml:space="preserve">id. </w:t>
      </w:r>
      <w:r>
        <w:t>at p. 1265), “</w:t>
      </w:r>
      <w:r w:rsidRPr="00C32CCE">
        <w:t>made no factual showing to support its claim</w:t>
      </w:r>
      <w:r>
        <w:t>” (</w:t>
      </w:r>
      <w:r>
        <w:rPr>
          <w:i/>
        </w:rPr>
        <w:t>id.</w:t>
      </w:r>
      <w:r>
        <w:t xml:space="preserve"> at p. 1266), and (3) “</w:t>
      </w:r>
      <w:r w:rsidRPr="00C32CCE">
        <w:t>the court’s concerns on this point were not based on any information specific to this case</w:t>
      </w:r>
      <w:r>
        <w:t>” (</w:t>
      </w:r>
      <w:r>
        <w:rPr>
          <w:i/>
        </w:rPr>
        <w:t>ibid.</w:t>
      </w:r>
      <w:r>
        <w:t xml:space="preserve">).  We rejected the claim, explaining first that, because the defendant “had no </w:t>
      </w:r>
      <w:r>
        <w:lastRenderedPageBreak/>
        <w:t>[constitutional] right to confront” his son “at the preliminary hearing,” “</w:t>
      </w:r>
      <w:r w:rsidRPr="00F36B82">
        <w:t xml:space="preserve">there was no occasion for the preliminary hearing court to make </w:t>
      </w:r>
      <w:r w:rsidRPr="00F36B82">
        <w:rPr>
          <w:i/>
        </w:rPr>
        <w:t>Craig</w:t>
      </w:r>
      <w:r w:rsidRPr="00F36B82">
        <w:t xml:space="preserve"> findings, and defense counsel did not request them.</w:t>
      </w:r>
      <w:r>
        <w:t>”  (</w:t>
      </w:r>
      <w:r>
        <w:rPr>
          <w:i/>
        </w:rPr>
        <w:t>Id.</w:t>
      </w:r>
      <w:r>
        <w:t xml:space="preserve"> at p. 1267.)  The defendant’s argument to the contrary, based on attachment of his confrontation right “</w:t>
      </w:r>
      <w:r w:rsidRPr="00827473">
        <w:t>when the videotape of the preliminary hearing testimony was introduced</w:t>
      </w:r>
      <w:r>
        <w:t xml:space="preserve">,” </w:t>
      </w:r>
      <w:r w:rsidRPr="00C15AE5">
        <w:t xml:space="preserve">is </w:t>
      </w:r>
      <w:r>
        <w:t>“</w:t>
      </w:r>
      <w:r w:rsidRPr="00C15AE5">
        <w:t>particularly artificial</w:t>
      </w:r>
      <w:r>
        <w:t>.”  (</w:t>
      </w:r>
      <w:r>
        <w:rPr>
          <w:i/>
        </w:rPr>
        <w:t>Ibid.</w:t>
      </w:r>
      <w:r>
        <w:t xml:space="preserve">)  </w:t>
      </w:r>
    </w:p>
    <w:p w14:paraId="5367CC78" w14:textId="14A560D1" w:rsidR="00711A2C" w:rsidRDefault="00711A2C" w:rsidP="00420D35">
      <w:pPr>
        <w:tabs>
          <w:tab w:val="left" w:pos="1440"/>
        </w:tabs>
        <w:ind w:firstLine="720"/>
      </w:pPr>
      <w:r>
        <w:t xml:space="preserve">“In any event,” we continued in </w:t>
      </w:r>
      <w:r w:rsidR="00AB1FD0">
        <w:rPr>
          <w:i/>
        </w:rPr>
        <w:t>Gonzales</w:t>
      </w:r>
      <w:r>
        <w:t>, “</w:t>
      </w:r>
      <w:r w:rsidRPr="00296993">
        <w:t>the claim fails on its merits</w:t>
      </w:r>
      <w:r>
        <w:t>.”  (</w:t>
      </w:r>
      <w:r w:rsidR="00AB1FD0">
        <w:rPr>
          <w:i/>
        </w:rPr>
        <w:t>Gonzales</w:t>
      </w:r>
      <w:r>
        <w:t xml:space="preserve">, </w:t>
      </w:r>
      <w:r>
        <w:rPr>
          <w:i/>
        </w:rPr>
        <w:t>supra</w:t>
      </w:r>
      <w:r>
        <w:t>, 54 Cal.4th at p. 1267.)  Although “</w:t>
      </w:r>
      <w:r w:rsidRPr="00B14245">
        <w:t xml:space="preserve">the preliminary hearing court made no factual findings on the need to shield </w:t>
      </w:r>
      <w:r>
        <w:t xml:space="preserve">[the witness] </w:t>
      </w:r>
      <w:r w:rsidRPr="00B14245">
        <w:t xml:space="preserve">from </w:t>
      </w:r>
      <w:r>
        <w:t xml:space="preserve">[the] </w:t>
      </w:r>
      <w:r w:rsidRPr="00B14245">
        <w:t xml:space="preserve">defendant’s gaze, </w:t>
      </w:r>
      <w:r w:rsidRPr="001A3534">
        <w:t xml:space="preserve">the trial court made extensive findings that the child would be traumatized if he were made to testify at trial.  </w:t>
      </w:r>
      <w:r w:rsidR="0079497B">
        <w:t>[The] [d]</w:t>
      </w:r>
      <w:r w:rsidRPr="001A3534">
        <w:t>efendant does not dispute the vulnerability of the young witness, either at the time of the preliminary hearing or the time of trial.</w:t>
      </w:r>
      <w:r w:rsidR="00A40490">
        <w:t xml:space="preserve"> </w:t>
      </w:r>
      <w:r w:rsidRPr="001A3534">
        <w:t xml:space="preserve"> Indeed, [the] defendant claims that testifying against his father was so traumatic for [the witness] that even the videotape should have been excluded from evidence. . . . [W]e conclude that th</w:t>
      </w:r>
      <w:r w:rsidRPr="00B14245">
        <w:t xml:space="preserve">e seating arrangement for the child witness’s testimony was fully justified by the record, and defendant’s confrontation rights were not violated when the videotape was introduced at trial. </w:t>
      </w:r>
      <w:r>
        <w:t xml:space="preserve"> </w:t>
      </w:r>
      <w:r w:rsidRPr="00B14245">
        <w:t xml:space="preserve">The seating arrangement at the preliminary hearing satisfied the central concerns of the confrontation clause: </w:t>
      </w:r>
      <w:r>
        <w:t>‘</w:t>
      </w:r>
      <w:r w:rsidRPr="00B14245">
        <w:t>physical presence, oath, cross-examination, and observation of demeanor by the trier of fact.</w:t>
      </w:r>
      <w:r>
        <w:t>’ </w:t>
      </w:r>
      <w:r w:rsidRPr="00B14245">
        <w:t>”</w:t>
      </w:r>
      <w:r>
        <w:t xml:space="preserve">  (</w:t>
      </w:r>
      <w:r>
        <w:rPr>
          <w:i/>
        </w:rPr>
        <w:t xml:space="preserve">Id. </w:t>
      </w:r>
      <w:r>
        <w:t>at p. 1268.)</w:t>
      </w:r>
    </w:p>
    <w:p w14:paraId="501BE8F7" w14:textId="77777777" w:rsidR="00711A2C" w:rsidRDefault="00711A2C" w:rsidP="00420D35">
      <w:pPr>
        <w:pStyle w:val="Heading2"/>
        <w:spacing w:line="400" w:lineRule="exact"/>
      </w:pPr>
      <w:r>
        <w:t>B.  F.R.</w:t>
      </w:r>
    </w:p>
    <w:p w14:paraId="1B743812" w14:textId="3BCFF5C6" w:rsidR="00AD36DD" w:rsidRDefault="00E802A4" w:rsidP="00420D35">
      <w:pPr>
        <w:tabs>
          <w:tab w:val="left" w:pos="1440"/>
        </w:tabs>
        <w:ind w:firstLine="720"/>
      </w:pPr>
      <w:r>
        <w:t xml:space="preserve">Based on </w:t>
      </w:r>
      <w:r w:rsidR="00FD7069">
        <w:t xml:space="preserve">these authorities, </w:t>
      </w:r>
      <w:r w:rsidR="00AE1EF9">
        <w:t xml:space="preserve">defendant attacks the trial court’s ruling as to F.R. on </w:t>
      </w:r>
      <w:proofErr w:type="gramStart"/>
      <w:r w:rsidR="00061B7E">
        <w:t>numerous</w:t>
      </w:r>
      <w:proofErr w:type="gramEnd"/>
      <w:r w:rsidR="00061B7E">
        <w:t xml:space="preserve"> </w:t>
      </w:r>
      <w:r w:rsidR="002039AC">
        <w:t>grounds</w:t>
      </w:r>
      <w:r w:rsidR="00AE1EF9">
        <w:t xml:space="preserve">.  </w:t>
      </w:r>
      <w:r w:rsidR="00061B7E">
        <w:t>A</w:t>
      </w:r>
      <w:r w:rsidR="001C2AB6">
        <w:t xml:space="preserve">fter noting </w:t>
      </w:r>
      <w:r w:rsidR="00712BF5">
        <w:t xml:space="preserve">that </w:t>
      </w:r>
      <w:r w:rsidR="00AD73D7">
        <w:t xml:space="preserve">F.R. was 18 years old when she testified, </w:t>
      </w:r>
      <w:r w:rsidR="001C2AB6">
        <w:t xml:space="preserve">he argues </w:t>
      </w:r>
      <w:r w:rsidR="0054562E">
        <w:t xml:space="preserve">that because </w:t>
      </w:r>
      <w:r w:rsidR="0054562E">
        <w:lastRenderedPageBreak/>
        <w:t xml:space="preserve">there </w:t>
      </w:r>
      <w:r w:rsidR="00F74090">
        <w:t>is “no ‘transcendent’ state interest</w:t>
      </w:r>
      <w:r w:rsidR="005B60B2">
        <w:t xml:space="preserve"> </w:t>
      </w:r>
      <w:r w:rsidR="00F74090">
        <w:t>in protecting adult witnesses as exists for child witnesses</w:t>
      </w:r>
      <w:r w:rsidR="005B60B2">
        <w:t>,</w:t>
      </w:r>
      <w:r w:rsidR="00F74090">
        <w:t xml:space="preserve">” </w:t>
      </w:r>
      <w:r w:rsidR="005B60B2">
        <w:t xml:space="preserve">no accommodation was permissible.  </w:t>
      </w:r>
      <w:r w:rsidR="00C017E5">
        <w:t xml:space="preserve">He also argues that, even </w:t>
      </w:r>
      <w:r w:rsidR="00A2779E">
        <w:t xml:space="preserve">were </w:t>
      </w:r>
      <w:r w:rsidR="00C017E5">
        <w:t>there a compelling state interest</w:t>
      </w:r>
      <w:r w:rsidR="00375C67">
        <w:t xml:space="preserve"> at stake</w:t>
      </w:r>
      <w:r w:rsidR="00C017E5">
        <w:t xml:space="preserve">, </w:t>
      </w:r>
      <w:r w:rsidR="00CF69E0">
        <w:t xml:space="preserve">the </w:t>
      </w:r>
      <w:proofErr w:type="gramStart"/>
      <w:r w:rsidR="00CF69E0">
        <w:t xml:space="preserve">particular </w:t>
      </w:r>
      <w:r w:rsidR="000F6F34">
        <w:t>accommodation</w:t>
      </w:r>
      <w:proofErr w:type="gramEnd"/>
      <w:r w:rsidR="000F6F34">
        <w:t xml:space="preserve"> </w:t>
      </w:r>
      <w:r w:rsidR="00C017E5">
        <w:t xml:space="preserve">the court chose </w:t>
      </w:r>
      <w:r w:rsidR="000F6F34">
        <w:t>was impermissible because</w:t>
      </w:r>
      <w:r w:rsidR="00C43841">
        <w:t xml:space="preserve"> </w:t>
      </w:r>
      <w:r w:rsidR="000F6F34">
        <w:t xml:space="preserve">it </w:t>
      </w:r>
      <w:r w:rsidR="00F54413">
        <w:t>“wholly blocked [his] view of</w:t>
      </w:r>
      <w:r w:rsidR="005821D4">
        <w:t xml:space="preserve">” F.R. and </w:t>
      </w:r>
      <w:r w:rsidR="009D05F2">
        <w:t>complete</w:t>
      </w:r>
      <w:r w:rsidR="000F6F34">
        <w:t>ly</w:t>
      </w:r>
      <w:r w:rsidR="009D05F2">
        <w:t xml:space="preserve"> precluded </w:t>
      </w:r>
      <w:r w:rsidR="000D4CE0">
        <w:t xml:space="preserve">him </w:t>
      </w:r>
      <w:r w:rsidR="009D05F2">
        <w:t>from observing</w:t>
      </w:r>
      <w:r w:rsidR="005821D4">
        <w:t xml:space="preserve"> her </w:t>
      </w:r>
      <w:r w:rsidR="009D05F2">
        <w:t xml:space="preserve">while she testified.  </w:t>
      </w:r>
      <w:r w:rsidR="00C43841">
        <w:t xml:space="preserve"> </w:t>
      </w:r>
      <w:r w:rsidR="00B7188D">
        <w:t>Thus, t</w:t>
      </w:r>
      <w:r w:rsidR="004241F2">
        <w:t xml:space="preserve">o the extent any accommodation was necessary, </w:t>
      </w:r>
      <w:r w:rsidR="00CA58FE" w:rsidRPr="00CA58FE">
        <w:t xml:space="preserve">the trial court should have selected a “less restrictive” </w:t>
      </w:r>
      <w:r w:rsidR="000670D7">
        <w:t xml:space="preserve">one </w:t>
      </w:r>
      <w:r w:rsidR="00CA58FE" w:rsidRPr="00CA58FE">
        <w:t xml:space="preserve">that “would have adequately protected” his right of confrontation, </w:t>
      </w:r>
      <w:r w:rsidR="000670D7">
        <w:t xml:space="preserve">such as </w:t>
      </w:r>
      <w:r w:rsidR="00CA58FE" w:rsidRPr="00CA58FE">
        <w:t>“rearrang[ing] the courtroom so [F.R.] could look away from” him</w:t>
      </w:r>
      <w:r w:rsidR="00FA6C1D">
        <w:t xml:space="preserve"> — as in </w:t>
      </w:r>
      <w:r w:rsidR="00FA6C1D">
        <w:rPr>
          <w:i/>
          <w:iCs/>
        </w:rPr>
        <w:t>Gonzales —</w:t>
      </w:r>
      <w:r w:rsidR="00CA58FE" w:rsidRPr="00CA58FE">
        <w:t xml:space="preserve"> or using </w:t>
      </w:r>
      <w:r w:rsidR="00FD7069">
        <w:t xml:space="preserve">a </w:t>
      </w:r>
      <w:r w:rsidR="00CA58FE" w:rsidRPr="00CA58FE">
        <w:t>closed-circuit television procedure</w:t>
      </w:r>
      <w:r w:rsidR="00FA6C1D">
        <w:t xml:space="preserve"> — as in </w:t>
      </w:r>
      <w:r w:rsidR="00FA6C1D">
        <w:rPr>
          <w:i/>
          <w:iCs/>
        </w:rPr>
        <w:t>Craig</w:t>
      </w:r>
      <w:r w:rsidR="00FD7069">
        <w:t>.</w:t>
      </w:r>
      <w:r w:rsidR="00F97EA9">
        <w:t xml:space="preserve">  </w:t>
      </w:r>
      <w:r w:rsidR="00BB3B17">
        <w:t xml:space="preserve">Procedurally, </w:t>
      </w:r>
      <w:r w:rsidR="00C158EF">
        <w:t xml:space="preserve">defendant </w:t>
      </w:r>
      <w:r w:rsidR="00AC65F2">
        <w:t xml:space="preserve">complains that </w:t>
      </w:r>
      <w:r w:rsidR="00BB3B17">
        <w:t xml:space="preserve">the trial court failed to </w:t>
      </w:r>
      <w:r w:rsidR="00AC65F2">
        <w:t xml:space="preserve">hold an evidentiary hearing </w:t>
      </w:r>
      <w:r w:rsidR="00EB1D52">
        <w:t xml:space="preserve">and </w:t>
      </w:r>
      <w:r w:rsidR="006C2F3B">
        <w:t xml:space="preserve">to </w:t>
      </w:r>
      <w:r w:rsidR="0038627E">
        <w:t xml:space="preserve">require expert testimony </w:t>
      </w:r>
      <w:r w:rsidR="00AA7FDE">
        <w:t xml:space="preserve">regarding </w:t>
      </w:r>
      <w:r w:rsidR="00BF365B">
        <w:t xml:space="preserve">the relevant factors </w:t>
      </w:r>
      <w:r w:rsidR="00BF365B">
        <w:rPr>
          <w:i/>
          <w:iCs/>
        </w:rPr>
        <w:t xml:space="preserve">Craig </w:t>
      </w:r>
      <w:r w:rsidR="00BF365B">
        <w:t xml:space="preserve">sets forth, i.e., </w:t>
      </w:r>
      <w:r w:rsidR="00E46C5A">
        <w:t xml:space="preserve">whether the </w:t>
      </w:r>
      <w:r w:rsidR="003D3A02">
        <w:t>defendant</w:t>
      </w:r>
      <w:r w:rsidR="00E46C5A">
        <w:t>’s presence</w:t>
      </w:r>
      <w:r w:rsidR="006C2F3B">
        <w:t xml:space="preserve"> would traumatize the witness</w:t>
      </w:r>
      <w:r w:rsidR="00E46C5A">
        <w:t xml:space="preserve">, whether </w:t>
      </w:r>
      <w:r w:rsidR="003D3A02">
        <w:t xml:space="preserve">the </w:t>
      </w:r>
      <w:r w:rsidR="007D4C4F">
        <w:t xml:space="preserve">witness’s </w:t>
      </w:r>
      <w:r w:rsidR="003D3A02">
        <w:t xml:space="preserve">emotional distress </w:t>
      </w:r>
      <w:r w:rsidR="00E46C5A">
        <w:t xml:space="preserve">would </w:t>
      </w:r>
      <w:r w:rsidR="007D4C4F">
        <w:t xml:space="preserve">be </w:t>
      </w:r>
      <w:r w:rsidR="003D3A02">
        <w:t>more than de minimis</w:t>
      </w:r>
      <w:r w:rsidR="00E46C5A">
        <w:t xml:space="preserve">, and whether accommodation is necessary to protect the witness’s welfare.  </w:t>
      </w:r>
      <w:r w:rsidR="009A1A26">
        <w:t xml:space="preserve">He also </w:t>
      </w:r>
      <w:r w:rsidR="007B6845">
        <w:t xml:space="preserve">complains </w:t>
      </w:r>
      <w:r w:rsidR="009A1A26">
        <w:t xml:space="preserve">that </w:t>
      </w:r>
      <w:r w:rsidR="007B6845">
        <w:rPr>
          <w:i/>
          <w:iCs/>
        </w:rPr>
        <w:t xml:space="preserve">Craig </w:t>
      </w:r>
      <w:r w:rsidR="007B6845">
        <w:t xml:space="preserve">requires express, </w:t>
      </w:r>
      <w:r w:rsidR="005F1338">
        <w:t>particu</w:t>
      </w:r>
      <w:r w:rsidR="00ED4E38">
        <w:t>l</w:t>
      </w:r>
      <w:r w:rsidR="005F1338">
        <w:t xml:space="preserve">arized, </w:t>
      </w:r>
      <w:r w:rsidR="007B6845">
        <w:t>case-specific findings on these matters</w:t>
      </w:r>
      <w:r w:rsidR="0009377A">
        <w:t xml:space="preserve"> and that the court failed to make such findings</w:t>
      </w:r>
      <w:r w:rsidR="00EF655F">
        <w:t xml:space="preserve">.  </w:t>
      </w:r>
      <w:r w:rsidR="00DF13EC">
        <w:t xml:space="preserve">Finally, he argues </w:t>
      </w:r>
      <w:r w:rsidR="00227CFA">
        <w:t xml:space="preserve">there was insufficient evidence to </w:t>
      </w:r>
      <w:r w:rsidR="003C2E48">
        <w:t xml:space="preserve">support the findings that </w:t>
      </w:r>
      <w:r w:rsidR="003B2699">
        <w:rPr>
          <w:i/>
          <w:iCs/>
        </w:rPr>
        <w:t xml:space="preserve">Craig </w:t>
      </w:r>
      <w:r w:rsidR="003C2E48">
        <w:t xml:space="preserve">requires </w:t>
      </w:r>
      <w:r w:rsidR="003B2699">
        <w:t>to j</w:t>
      </w:r>
      <w:r w:rsidR="009467F5">
        <w:t xml:space="preserve">ustify an </w:t>
      </w:r>
      <w:r w:rsidR="003B2699">
        <w:t>accommodation.</w:t>
      </w:r>
    </w:p>
    <w:p w14:paraId="5A2B56C9" w14:textId="1A430093" w:rsidR="006733FA" w:rsidRDefault="00AD36DD" w:rsidP="00420D35">
      <w:pPr>
        <w:tabs>
          <w:tab w:val="left" w:pos="1440"/>
        </w:tabs>
        <w:ind w:firstLine="720"/>
      </w:pPr>
      <w:r>
        <w:t xml:space="preserve">Defendant </w:t>
      </w:r>
      <w:r w:rsidR="00FA09C1">
        <w:t xml:space="preserve">also </w:t>
      </w:r>
      <w:r>
        <w:t>make</w:t>
      </w:r>
      <w:r w:rsidR="00FA09C1">
        <w:t>s</w:t>
      </w:r>
      <w:r>
        <w:t xml:space="preserve"> </w:t>
      </w:r>
      <w:r w:rsidR="006A309F">
        <w:t xml:space="preserve">several </w:t>
      </w:r>
      <w:r w:rsidR="00FA09C1">
        <w:t>related arguments based on section 1347, which</w:t>
      </w:r>
      <w:r w:rsidR="006D146E">
        <w:t>, as</w:t>
      </w:r>
      <w:r w:rsidR="004C2F08">
        <w:t xml:space="preserve"> </w:t>
      </w:r>
      <w:r w:rsidR="006D146E">
        <w:t>here relevant,</w:t>
      </w:r>
      <w:r w:rsidR="00494226">
        <w:t xml:space="preserve"> </w:t>
      </w:r>
      <w:r w:rsidR="00724FD9">
        <w:t xml:space="preserve">sets forth </w:t>
      </w:r>
      <w:r w:rsidR="004C2F08">
        <w:t xml:space="preserve">a </w:t>
      </w:r>
      <w:r w:rsidR="003C63D3">
        <w:t xml:space="preserve">procedure for allowing </w:t>
      </w:r>
      <w:r w:rsidR="00E965A7">
        <w:t xml:space="preserve">some </w:t>
      </w:r>
      <w:r w:rsidR="00D55198">
        <w:t>child witness</w:t>
      </w:r>
      <w:r w:rsidR="00494226">
        <w:t>es</w:t>
      </w:r>
      <w:r w:rsidR="00F02D74">
        <w:t xml:space="preserve"> </w:t>
      </w:r>
      <w:r w:rsidR="0084607B">
        <w:t xml:space="preserve">to </w:t>
      </w:r>
      <w:r w:rsidR="00D55198">
        <w:t>testify remotely by closed</w:t>
      </w:r>
      <w:r w:rsidR="00650E50">
        <w:t>-</w:t>
      </w:r>
      <w:r w:rsidR="00D55198">
        <w:t>circuit television “</w:t>
      </w:r>
      <w:r w:rsidR="00D55198" w:rsidRPr="00067235">
        <w:t>out of the presence of the judge, jury, defendant or defendants, and attorneys</w:t>
      </w:r>
      <w:r w:rsidR="00D55198">
        <w:t>”</w:t>
      </w:r>
      <w:r w:rsidR="00A95A0B">
        <w:t xml:space="preserve"> when their testimony </w:t>
      </w:r>
      <w:r w:rsidR="00A95A0B" w:rsidRPr="00A83427">
        <w:t xml:space="preserve">will </w:t>
      </w:r>
      <w:r w:rsidR="00A95A0B">
        <w:t xml:space="preserve">involve reciting the facts of </w:t>
      </w:r>
      <w:r w:rsidR="00F02D74">
        <w:t>“[</w:t>
      </w:r>
      <w:r w:rsidR="00A95A0B">
        <w:t>a</w:t>
      </w:r>
      <w:r w:rsidR="00F02D74">
        <w:t>]</w:t>
      </w:r>
      <w:r w:rsidR="00A95A0B" w:rsidRPr="00A83427">
        <w:t xml:space="preserve">n alleged sexual offense committed </w:t>
      </w:r>
      <w:r w:rsidR="00A95A0B">
        <w:t>on or with</w:t>
      </w:r>
      <w:r w:rsidR="00F02D74">
        <w:t>”</w:t>
      </w:r>
      <w:r w:rsidR="00A95A0B">
        <w:t xml:space="preserve"> them</w:t>
      </w:r>
      <w:r w:rsidR="00EC0488">
        <w:t>.  (</w:t>
      </w:r>
      <w:r w:rsidR="00D55198">
        <w:t>§ 1347, subd. (b)</w:t>
      </w:r>
      <w:r w:rsidR="00EC0488">
        <w:t>(1)</w:t>
      </w:r>
      <w:r w:rsidR="00D55198">
        <w:t xml:space="preserve">.)  </w:t>
      </w:r>
      <w:r w:rsidR="00494226">
        <w:t xml:space="preserve">As </w:t>
      </w:r>
      <w:r w:rsidR="006D146E">
        <w:t>pertinent to defendant’s arguments, the statute</w:t>
      </w:r>
      <w:r w:rsidR="00E10501">
        <w:t xml:space="preserve">:  (1) </w:t>
      </w:r>
      <w:r w:rsidR="00784A69">
        <w:t xml:space="preserve">requires </w:t>
      </w:r>
      <w:r w:rsidR="00A5307F">
        <w:t xml:space="preserve">the </w:t>
      </w:r>
      <w:r w:rsidR="00A5307F">
        <w:lastRenderedPageBreak/>
        <w:t xml:space="preserve">prosecution </w:t>
      </w:r>
      <w:r w:rsidR="0091293E">
        <w:t xml:space="preserve">to </w:t>
      </w:r>
      <w:r w:rsidR="00A5307F">
        <w:t xml:space="preserve">give written notice </w:t>
      </w:r>
      <w:r w:rsidR="0091293E">
        <w:t xml:space="preserve">that the accommodation is sought </w:t>
      </w:r>
      <w:r w:rsidR="00332267">
        <w:t>at least three days before the witness is scheduled to testify</w:t>
      </w:r>
      <w:r w:rsidR="0091293E">
        <w:t xml:space="preserve">, unless the court takes up the issue </w:t>
      </w:r>
      <w:r w:rsidR="001507B7">
        <w:t>“</w:t>
      </w:r>
      <w:r w:rsidR="001507B7" w:rsidRPr="001507B7">
        <w:t xml:space="preserve">during the course of the proceeding on </w:t>
      </w:r>
      <w:r w:rsidR="001507B7">
        <w:t xml:space="preserve">[its] </w:t>
      </w:r>
      <w:r w:rsidR="001507B7" w:rsidRPr="001507B7">
        <w:t>own motion</w:t>
      </w:r>
      <w:r w:rsidR="001507B7">
        <w:t>” (</w:t>
      </w:r>
      <w:r w:rsidR="00F627F8">
        <w:rPr>
          <w:i/>
          <w:iCs/>
        </w:rPr>
        <w:t>id.</w:t>
      </w:r>
      <w:r w:rsidR="00F627F8">
        <w:t xml:space="preserve">, subd. (b)); (2) </w:t>
      </w:r>
      <w:r w:rsidR="001C39ED">
        <w:t>authorizes the procedure</w:t>
      </w:r>
      <w:r w:rsidR="00BF5AB9">
        <w:t>’s use</w:t>
      </w:r>
      <w:r w:rsidR="001C39ED">
        <w:t xml:space="preserve"> only for witnesses “13 years of age or younger at the time</w:t>
      </w:r>
      <w:r w:rsidR="00F627F8">
        <w:t xml:space="preserve"> </w:t>
      </w:r>
      <w:r w:rsidR="00FA05EA">
        <w:t>of the motion</w:t>
      </w:r>
      <w:r w:rsidR="001C39ED">
        <w:t>”</w:t>
      </w:r>
      <w:r w:rsidR="00FA05EA">
        <w:t xml:space="preserve"> (</w:t>
      </w:r>
      <w:r w:rsidR="00FA05EA">
        <w:rPr>
          <w:i/>
          <w:iCs/>
        </w:rPr>
        <w:t>ibid.</w:t>
      </w:r>
      <w:r w:rsidR="00FA05EA">
        <w:t xml:space="preserve">); </w:t>
      </w:r>
      <w:r w:rsidR="00A94A74">
        <w:t xml:space="preserve">and </w:t>
      </w:r>
      <w:r w:rsidR="00FA05EA">
        <w:t xml:space="preserve">(3) </w:t>
      </w:r>
      <w:r w:rsidR="00920CC6">
        <w:t xml:space="preserve">requires the court to </w:t>
      </w:r>
      <w:r w:rsidR="006978DC">
        <w:t>make a finding</w:t>
      </w:r>
      <w:r w:rsidR="00AB6E89">
        <w:t xml:space="preserve"> that it has been “shown </w:t>
      </w:r>
      <w:r w:rsidR="00920CC6">
        <w:t xml:space="preserve">by </w:t>
      </w:r>
      <w:r w:rsidR="00AB6E89">
        <w:t xml:space="preserve">clear and convincing evidence” that </w:t>
      </w:r>
      <w:r w:rsidR="002C24E5">
        <w:t xml:space="preserve">testifying in front of the defendant “would result in the child </w:t>
      </w:r>
      <w:r w:rsidR="00FD25C2" w:rsidRPr="00FD25C2">
        <w:t>suffering serious emotional distress so that the child would be unavailable as a witness</w:t>
      </w:r>
      <w:r w:rsidR="00FD25C2">
        <w:t>” (</w:t>
      </w:r>
      <w:r w:rsidR="00107FD0">
        <w:rPr>
          <w:i/>
          <w:iCs/>
        </w:rPr>
        <w:t>id.</w:t>
      </w:r>
      <w:r w:rsidR="00456A88">
        <w:t>, s</w:t>
      </w:r>
      <w:r w:rsidR="00107FD0">
        <w:t>ubd. (b)(2)(a))</w:t>
      </w:r>
      <w:r w:rsidR="008A443F">
        <w:t>.</w:t>
      </w:r>
    </w:p>
    <w:p w14:paraId="38FFDD6A" w14:textId="58067DC0" w:rsidR="00FC3815" w:rsidRDefault="00720767" w:rsidP="00420D35">
      <w:pPr>
        <w:tabs>
          <w:tab w:val="left" w:pos="1440"/>
        </w:tabs>
        <w:ind w:firstLine="720"/>
      </w:pPr>
      <w:r>
        <w:t xml:space="preserve">Defendant acknowledges that </w:t>
      </w:r>
      <w:r w:rsidR="00ED5D2F">
        <w:t xml:space="preserve">section </w:t>
      </w:r>
      <w:r w:rsidR="00C5324A">
        <w:t xml:space="preserve">1347 </w:t>
      </w:r>
      <w:r w:rsidR="00E66A6F">
        <w:t xml:space="preserve">is </w:t>
      </w:r>
      <w:r w:rsidR="00EA5715">
        <w:t>“not applicable</w:t>
      </w:r>
      <w:r w:rsidR="004C5815">
        <w:t xml:space="preserve">” with respect to F.R. because </w:t>
      </w:r>
      <w:r w:rsidR="009E252E">
        <w:t xml:space="preserve">she was older than 13 </w:t>
      </w:r>
      <w:r w:rsidR="00984561">
        <w:t xml:space="preserve">when she testified, but asserts </w:t>
      </w:r>
      <w:r w:rsidR="001560B1">
        <w:t xml:space="preserve">that </w:t>
      </w:r>
      <w:r w:rsidR="00EA5971">
        <w:t>it “</w:t>
      </w:r>
      <w:r w:rsidR="00EA5971" w:rsidRPr="00EA5971">
        <w:t>defines the extent of accommodations in California</w:t>
      </w:r>
      <w:r w:rsidR="00EA5971">
        <w:t xml:space="preserve">” because it </w:t>
      </w:r>
      <w:r w:rsidR="000B1AE4">
        <w:t>reflects “the Legislature</w:t>
      </w:r>
      <w:r w:rsidR="00974FF0">
        <w:t>’</w:t>
      </w:r>
      <w:r w:rsidR="000B1AE4">
        <w:t>s determination as to a proper balance between the defendant</w:t>
      </w:r>
      <w:r w:rsidR="008C1E70">
        <w:t>’</w:t>
      </w:r>
      <w:r w:rsidR="000B1AE4">
        <w:t>s rights and protecting the victim</w:t>
      </w:r>
      <w:r w:rsidR="000C0B25">
        <w:t>.</w:t>
      </w:r>
      <w:r w:rsidR="000B1AE4">
        <w:t>”</w:t>
      </w:r>
      <w:r w:rsidR="000C0B25">
        <w:t xml:space="preserve">  </w:t>
      </w:r>
      <w:r w:rsidR="00EA5971">
        <w:t xml:space="preserve">“[A]t the very least,” </w:t>
      </w:r>
      <w:r w:rsidR="00E2697F">
        <w:t>he</w:t>
      </w:r>
      <w:r w:rsidR="001560B1">
        <w:t xml:space="preserve"> </w:t>
      </w:r>
      <w:r w:rsidR="000E00C8">
        <w:t>asserts</w:t>
      </w:r>
      <w:r w:rsidR="00E2697F">
        <w:t>, we should</w:t>
      </w:r>
      <w:r w:rsidR="00125C2D">
        <w:t> </w:t>
      </w:r>
      <w:r w:rsidR="003104ED">
        <w:t>“</w:t>
      </w:r>
      <w:r w:rsidR="00EA5971" w:rsidRPr="00685F55">
        <w:t xml:space="preserve">use </w:t>
      </w:r>
      <w:r w:rsidR="00EA5971">
        <w:t xml:space="preserve">[it] </w:t>
      </w:r>
      <w:r w:rsidR="00EA5971" w:rsidRPr="00685F55">
        <w:t>as the template for any protections offered to traumatized witnesses</w:t>
      </w:r>
      <w:r w:rsidR="00E2697F">
        <w:t>.”</w:t>
      </w:r>
      <w:r w:rsidR="00621E38">
        <w:t xml:space="preserve">  </w:t>
      </w:r>
      <w:r w:rsidR="00B11650">
        <w:t xml:space="preserve">Thus, </w:t>
      </w:r>
      <w:r w:rsidR="000E00C8">
        <w:t xml:space="preserve">he argues, </w:t>
      </w:r>
      <w:r w:rsidR="00D7290B">
        <w:t>“</w:t>
      </w:r>
      <w:r w:rsidR="00B11650">
        <w:t>i</w:t>
      </w:r>
      <w:r w:rsidR="00D7290B">
        <w:t xml:space="preserve">n line with” this section, </w:t>
      </w:r>
      <w:r w:rsidR="00DC7DD1">
        <w:t xml:space="preserve">no accommodation </w:t>
      </w:r>
      <w:r w:rsidR="0057367B">
        <w:t xml:space="preserve">was </w:t>
      </w:r>
      <w:r w:rsidR="007A7305">
        <w:t xml:space="preserve">permissible </w:t>
      </w:r>
      <w:r w:rsidR="0057367B">
        <w:t>here because F.R. was “</w:t>
      </w:r>
      <w:r w:rsidR="00DC7DD1">
        <w:t>over the age of 13</w:t>
      </w:r>
      <w:r w:rsidR="003832AE">
        <w:t xml:space="preserve">” </w:t>
      </w:r>
      <w:r w:rsidR="0057367B">
        <w:t>when she testified</w:t>
      </w:r>
      <w:r w:rsidR="00E519BF">
        <w:t xml:space="preserve">, </w:t>
      </w:r>
      <w:r w:rsidR="00F20682">
        <w:t xml:space="preserve">the prosecution </w:t>
      </w:r>
      <w:r w:rsidR="00E519BF">
        <w:t xml:space="preserve">failed to </w:t>
      </w:r>
      <w:r w:rsidR="00D005D1">
        <w:t xml:space="preserve">give </w:t>
      </w:r>
      <w:r w:rsidR="004F1258">
        <w:t xml:space="preserve">written </w:t>
      </w:r>
      <w:r w:rsidR="008E0975">
        <w:t xml:space="preserve">notice </w:t>
      </w:r>
      <w:r w:rsidR="00CB63C1">
        <w:t xml:space="preserve">of its request </w:t>
      </w:r>
      <w:r w:rsidR="00D005D1">
        <w:t xml:space="preserve">for accommodation </w:t>
      </w:r>
      <w:r w:rsidR="00CD336D">
        <w:t xml:space="preserve">at least three days before </w:t>
      </w:r>
      <w:r w:rsidR="00362CAD">
        <w:t>F.R.’s scheduled testimony</w:t>
      </w:r>
      <w:r w:rsidR="00BE3C0B">
        <w:t xml:space="preserve">, and </w:t>
      </w:r>
      <w:r w:rsidR="007B1CD8">
        <w:t xml:space="preserve">there was not </w:t>
      </w:r>
      <w:r w:rsidR="00BE3C0B">
        <w:t>“clear</w:t>
      </w:r>
      <w:r w:rsidR="00B267BC">
        <w:t xml:space="preserve"> and convincing evidence”</w:t>
      </w:r>
      <w:r w:rsidR="00DB5840">
        <w:t xml:space="preserve"> that testifying in front of defendant would cause F.R. “trauma so great as to render [her] unavailable.”</w:t>
      </w:r>
      <w:r w:rsidR="007B1CD8">
        <w:t xml:space="preserve">  </w:t>
      </w:r>
      <w:r w:rsidR="00CF4F55">
        <w:t xml:space="preserve">Moreover, even </w:t>
      </w:r>
      <w:r w:rsidR="00C6084E">
        <w:t xml:space="preserve">had a proper showing been made, </w:t>
      </w:r>
      <w:r w:rsidR="007B1CD8">
        <w:t xml:space="preserve">the only </w:t>
      </w:r>
      <w:r w:rsidR="00827EA2">
        <w:t>“author</w:t>
      </w:r>
      <w:r w:rsidR="00EF0EAC">
        <w:t>i</w:t>
      </w:r>
      <w:r w:rsidR="00827EA2">
        <w:t xml:space="preserve">zed” </w:t>
      </w:r>
      <w:r w:rsidR="007B1CD8">
        <w:t>accommodation</w:t>
      </w:r>
      <w:r w:rsidR="00145740">
        <w:t xml:space="preserve">, other than </w:t>
      </w:r>
      <w:r w:rsidR="007B1CD8">
        <w:t xml:space="preserve">rearranging the courtroom so </w:t>
      </w:r>
      <w:r w:rsidR="00C6084E">
        <w:t xml:space="preserve">F.R. could </w:t>
      </w:r>
      <w:r w:rsidR="007B1CD8">
        <w:t>look away from defendant</w:t>
      </w:r>
      <w:r w:rsidR="00145740">
        <w:t>, was</w:t>
      </w:r>
      <w:r w:rsidR="007B1CD8">
        <w:t xml:space="preserve"> using the closed</w:t>
      </w:r>
      <w:r w:rsidR="00650E50">
        <w:t>-</w:t>
      </w:r>
      <w:r w:rsidR="007B1CD8">
        <w:t xml:space="preserve">circuit television </w:t>
      </w:r>
      <w:r w:rsidR="00021C35">
        <w:t xml:space="preserve">procedure </w:t>
      </w:r>
      <w:r w:rsidR="007B1CD8">
        <w:t xml:space="preserve">“set forth in section 1347.”  </w:t>
      </w:r>
      <w:r w:rsidR="00694619">
        <w:t xml:space="preserve">The </w:t>
      </w:r>
      <w:r w:rsidR="00694619">
        <w:lastRenderedPageBreak/>
        <w:t xml:space="preserve">accommodation </w:t>
      </w:r>
      <w:r w:rsidR="00C6084E">
        <w:t xml:space="preserve">the court </w:t>
      </w:r>
      <w:r w:rsidR="00694619">
        <w:t xml:space="preserve">chose, which </w:t>
      </w:r>
      <w:r w:rsidR="00C6084E">
        <w:t>completely blocked defendant’s view of</w:t>
      </w:r>
      <w:r w:rsidR="00694619">
        <w:t xml:space="preserve"> F.R., was unauthorized and im</w:t>
      </w:r>
      <w:r w:rsidR="00E519BF">
        <w:t>permissible</w:t>
      </w:r>
      <w:r w:rsidR="00694619">
        <w:t>.</w:t>
      </w:r>
    </w:p>
    <w:p w14:paraId="7C8D0C42" w14:textId="0C131CF9" w:rsidR="009C4377" w:rsidRDefault="00F146E3" w:rsidP="00420D35">
      <w:pPr>
        <w:tabs>
          <w:tab w:val="left" w:pos="1440"/>
        </w:tabs>
        <w:ind w:firstLine="720"/>
      </w:pPr>
      <w:r>
        <w:t>We reject defendant’s argument that</w:t>
      </w:r>
      <w:r w:rsidR="00651B8D">
        <w:t xml:space="preserve">, </w:t>
      </w:r>
      <w:proofErr w:type="gramStart"/>
      <w:r w:rsidR="00651B8D">
        <w:t>in light of</w:t>
      </w:r>
      <w:proofErr w:type="gramEnd"/>
      <w:r>
        <w:t xml:space="preserve"> </w:t>
      </w:r>
      <w:r w:rsidR="00D73D04">
        <w:t>section 1347</w:t>
      </w:r>
      <w:r w:rsidR="00651B8D">
        <w:t xml:space="preserve">, </w:t>
      </w:r>
      <w:r w:rsidR="00D73D04">
        <w:t xml:space="preserve">a court </w:t>
      </w:r>
      <w:r w:rsidR="00553455">
        <w:t xml:space="preserve">is constitutionally precluded </w:t>
      </w:r>
      <w:r w:rsidR="00A017A9">
        <w:t xml:space="preserve">from </w:t>
      </w:r>
      <w:r w:rsidR="001272E6">
        <w:t>order</w:t>
      </w:r>
      <w:r w:rsidR="00A017A9">
        <w:t>ing</w:t>
      </w:r>
      <w:r w:rsidR="001272E6">
        <w:t xml:space="preserve"> </w:t>
      </w:r>
      <w:r w:rsidR="00D01057">
        <w:t xml:space="preserve">an </w:t>
      </w:r>
      <w:r w:rsidR="001272E6">
        <w:t>accom</w:t>
      </w:r>
      <w:r w:rsidR="00553455">
        <w:t>m</w:t>
      </w:r>
      <w:r w:rsidR="001272E6">
        <w:t>odation as to witnesses older than 13 years of age</w:t>
      </w:r>
      <w:r w:rsidR="00D01057">
        <w:t xml:space="preserve">, and from ordering an accommodation other than </w:t>
      </w:r>
      <w:r w:rsidR="00A9253B">
        <w:t xml:space="preserve">testimony by </w:t>
      </w:r>
      <w:r w:rsidR="00D01057">
        <w:t>closed</w:t>
      </w:r>
      <w:r w:rsidR="00650E50">
        <w:t>-</w:t>
      </w:r>
      <w:r w:rsidR="00D01057">
        <w:t>circuit television</w:t>
      </w:r>
      <w:r w:rsidR="001272E6">
        <w:t>.</w:t>
      </w:r>
      <w:r w:rsidR="00D01057">
        <w:t xml:space="preserve">  </w:t>
      </w:r>
      <w:r w:rsidR="00CC6FCF">
        <w:t xml:space="preserve">Nothing in the statute’s language </w:t>
      </w:r>
      <w:r w:rsidR="00D23D5E">
        <w:t xml:space="preserve">or legislative </w:t>
      </w:r>
      <w:r w:rsidR="00D713C4">
        <w:t xml:space="preserve">history </w:t>
      </w:r>
      <w:r w:rsidR="00CC6FCF">
        <w:t xml:space="preserve">suggests that </w:t>
      </w:r>
      <w:r w:rsidR="00EF54C1">
        <w:t xml:space="preserve">the </w:t>
      </w:r>
      <w:proofErr w:type="gramStart"/>
      <w:r w:rsidR="00EF54C1">
        <w:t>particular accommodation</w:t>
      </w:r>
      <w:proofErr w:type="gramEnd"/>
      <w:r w:rsidR="00EF54C1">
        <w:t xml:space="preserve"> </w:t>
      </w:r>
      <w:r w:rsidR="00256E1D">
        <w:t xml:space="preserve">the statute </w:t>
      </w:r>
      <w:r w:rsidR="00CC6FCF">
        <w:t xml:space="preserve">sets </w:t>
      </w:r>
      <w:r w:rsidR="00EF54C1">
        <w:t xml:space="preserve">forth is the </w:t>
      </w:r>
      <w:r w:rsidR="00EF54C1" w:rsidRPr="00A9253B">
        <w:rPr>
          <w:i/>
          <w:iCs/>
        </w:rPr>
        <w:t>only</w:t>
      </w:r>
      <w:r w:rsidR="00EF54C1">
        <w:t xml:space="preserve"> permissible </w:t>
      </w:r>
      <w:r w:rsidR="00382D73">
        <w:t xml:space="preserve">accommodation.  </w:t>
      </w:r>
      <w:r w:rsidR="00D23D5E">
        <w:t xml:space="preserve">On the contrary, relevant </w:t>
      </w:r>
      <w:r w:rsidR="003A136D">
        <w:t>legislative history indicates that the Legislature enacted the statute</w:t>
      </w:r>
      <w:r w:rsidR="00E62DDC">
        <w:t xml:space="preserve"> in 1985</w:t>
      </w:r>
      <w:r w:rsidR="00BC0E99">
        <w:t xml:space="preserve">, not to </w:t>
      </w:r>
      <w:r w:rsidR="00833A82">
        <w:t xml:space="preserve">set forth a </w:t>
      </w:r>
      <w:r w:rsidR="00646A5A" w:rsidRPr="00646A5A">
        <w:t xml:space="preserve">comprehensive resolution of </w:t>
      </w:r>
      <w:r w:rsidR="00D91358">
        <w:t xml:space="preserve">all </w:t>
      </w:r>
      <w:r w:rsidR="00646A5A" w:rsidRPr="00646A5A">
        <w:t xml:space="preserve">confrontation issues, but </w:t>
      </w:r>
      <w:r w:rsidR="00E8364D">
        <w:t xml:space="preserve">to </w:t>
      </w:r>
      <w:r w:rsidR="00B96409">
        <w:t xml:space="preserve">address </w:t>
      </w:r>
      <w:r w:rsidR="006F5C72" w:rsidRPr="00B75A4C">
        <w:rPr>
          <w:i/>
          <w:iCs/>
        </w:rPr>
        <w:t>Hochheiser v. Superior Court</w:t>
      </w:r>
      <w:r w:rsidR="006F5C72" w:rsidRPr="00B75A4C">
        <w:t xml:space="preserve"> (1984) 161 Cal.App.3d 777</w:t>
      </w:r>
      <w:r w:rsidR="006F5C72">
        <w:t xml:space="preserve">, </w:t>
      </w:r>
      <w:r w:rsidR="007E7AC8">
        <w:t xml:space="preserve">780, </w:t>
      </w:r>
      <w:r w:rsidR="008F1B2F">
        <w:t xml:space="preserve">which held that </w:t>
      </w:r>
      <w:r w:rsidR="00E62DDC">
        <w:t xml:space="preserve">a </w:t>
      </w:r>
      <w:r w:rsidR="008F1B2F">
        <w:t xml:space="preserve">trial court had </w:t>
      </w:r>
      <w:r w:rsidR="00B72F31">
        <w:t>“exceed</w:t>
      </w:r>
      <w:r w:rsidR="007E7AC8">
        <w:t>ed</w:t>
      </w:r>
      <w:r w:rsidR="00B72F31">
        <w:t xml:space="preserve"> its authority” </w:t>
      </w:r>
      <w:r w:rsidR="00B72F31" w:rsidRPr="002C6041">
        <w:rPr>
          <w:i/>
          <w:iCs/>
        </w:rPr>
        <w:t>under state law</w:t>
      </w:r>
      <w:r w:rsidR="00B72F31">
        <w:t xml:space="preserve"> </w:t>
      </w:r>
      <w:r w:rsidR="00A5576A">
        <w:t xml:space="preserve">in </w:t>
      </w:r>
      <w:r w:rsidR="00517C98" w:rsidRPr="00517C98">
        <w:t>allow</w:t>
      </w:r>
      <w:r w:rsidR="008F1B2F">
        <w:t>ing</w:t>
      </w:r>
      <w:r w:rsidR="00517C98" w:rsidRPr="00517C98">
        <w:t xml:space="preserve"> </w:t>
      </w:r>
      <w:r w:rsidR="00B343ED">
        <w:t>a minor</w:t>
      </w:r>
      <w:r w:rsidR="00F91DE9">
        <w:t xml:space="preserve">, who was the alleged </w:t>
      </w:r>
      <w:r w:rsidR="00B343ED">
        <w:t xml:space="preserve">victim </w:t>
      </w:r>
      <w:r w:rsidR="00F91DE9">
        <w:t xml:space="preserve">of </w:t>
      </w:r>
      <w:r w:rsidR="000944A1">
        <w:t xml:space="preserve">a sex offense, </w:t>
      </w:r>
      <w:r w:rsidR="00517C98" w:rsidRPr="00517C98">
        <w:t xml:space="preserve">to testify </w:t>
      </w:r>
      <w:r w:rsidR="00416F1D">
        <w:t xml:space="preserve">from a separate room by </w:t>
      </w:r>
      <w:r w:rsidR="00517C98" w:rsidRPr="00517C98">
        <w:t>closed-circuit television</w:t>
      </w:r>
      <w:r w:rsidR="00517C98">
        <w:t>.</w:t>
      </w:r>
      <w:r w:rsidR="00FC3815">
        <w:t xml:space="preserve">  </w:t>
      </w:r>
      <w:r w:rsidR="007E7AC8">
        <w:t xml:space="preserve">The </w:t>
      </w:r>
      <w:r w:rsidR="00214633">
        <w:t xml:space="preserve">appellate </w:t>
      </w:r>
      <w:r w:rsidR="007E7AC8">
        <w:t xml:space="preserve">court </w:t>
      </w:r>
      <w:r w:rsidR="00596099">
        <w:t xml:space="preserve">based its conclusion on </w:t>
      </w:r>
      <w:r w:rsidR="00FE09BC">
        <w:t>“</w:t>
      </w:r>
      <w:r w:rsidR="00FE09BC" w:rsidRPr="00FE09BC">
        <w:t xml:space="preserve">the lack of explicit legislative authority for </w:t>
      </w:r>
      <w:r w:rsidR="00214633">
        <w:t xml:space="preserve">[the trial court’s] </w:t>
      </w:r>
      <w:r w:rsidR="00FE09BC" w:rsidRPr="00FE09BC">
        <w:t>order</w:t>
      </w:r>
      <w:r w:rsidR="00FE09BC">
        <w:t>” (</w:t>
      </w:r>
      <w:r w:rsidR="00FE09BC">
        <w:rPr>
          <w:i/>
          <w:iCs/>
        </w:rPr>
        <w:t xml:space="preserve">id. </w:t>
      </w:r>
      <w:r w:rsidR="00FE09BC">
        <w:t xml:space="preserve">at p. </w:t>
      </w:r>
      <w:r w:rsidR="00906422">
        <w:t xml:space="preserve">783), </w:t>
      </w:r>
      <w:r w:rsidR="00260A3D">
        <w:t xml:space="preserve">reasoning that </w:t>
      </w:r>
      <w:r w:rsidR="007726A6">
        <w:t xml:space="preserve">a trial court’s “inherent powers” </w:t>
      </w:r>
      <w:r w:rsidR="00610E03">
        <w:t>(</w:t>
      </w:r>
      <w:r w:rsidR="00610E03" w:rsidRPr="00610E03">
        <w:rPr>
          <w:i/>
        </w:rPr>
        <w:t>id.</w:t>
      </w:r>
      <w:r w:rsidR="00610E03">
        <w:t xml:space="preserve"> at p. 787) </w:t>
      </w:r>
      <w:r w:rsidR="00D961ED">
        <w:t xml:space="preserve">are </w:t>
      </w:r>
      <w:r w:rsidR="0061502F">
        <w:t xml:space="preserve">insufficient to authorize </w:t>
      </w:r>
      <w:r w:rsidR="00D961ED">
        <w:t xml:space="preserve">use </w:t>
      </w:r>
      <w:r w:rsidR="0061502F">
        <w:t xml:space="preserve">of </w:t>
      </w:r>
      <w:r w:rsidR="00260A3D">
        <w:t xml:space="preserve">such a </w:t>
      </w:r>
      <w:r w:rsidR="003F4799">
        <w:t>“radical</w:t>
      </w:r>
      <w:r w:rsidR="00A25348">
        <w:t xml:space="preserve"> innovation</w:t>
      </w:r>
      <w:r w:rsidR="00382128">
        <w:t>,</w:t>
      </w:r>
      <w:r w:rsidR="003F4799">
        <w:t xml:space="preserve">” </w:t>
      </w:r>
      <w:r w:rsidR="00610E03">
        <w:t>(</w:t>
      </w:r>
      <w:r w:rsidR="00610E03" w:rsidRPr="00610E03">
        <w:rPr>
          <w:i/>
        </w:rPr>
        <w:t>i</w:t>
      </w:r>
      <w:r w:rsidR="00610E03">
        <w:rPr>
          <w:i/>
        </w:rPr>
        <w:t>bi</w:t>
      </w:r>
      <w:r w:rsidR="00610E03" w:rsidRPr="00610E03">
        <w:rPr>
          <w:i/>
        </w:rPr>
        <w:t>d.</w:t>
      </w:r>
      <w:r w:rsidR="00610E03">
        <w:t xml:space="preserve">) </w:t>
      </w:r>
      <w:r w:rsidR="00A25348">
        <w:t xml:space="preserve">and that </w:t>
      </w:r>
      <w:r w:rsidR="00DC1792">
        <w:t>“</w:t>
      </w:r>
      <w:r w:rsidR="00DC1792" w:rsidRPr="00DC1792">
        <w:t>explicit statutory authorization</w:t>
      </w:r>
      <w:r w:rsidR="00DC1792">
        <w:t xml:space="preserve">” </w:t>
      </w:r>
      <w:r w:rsidR="0009541B">
        <w:t>(</w:t>
      </w:r>
      <w:r w:rsidR="0009541B" w:rsidRPr="00610E03">
        <w:rPr>
          <w:i/>
        </w:rPr>
        <w:t>i</w:t>
      </w:r>
      <w:r w:rsidR="0009541B">
        <w:rPr>
          <w:i/>
        </w:rPr>
        <w:t>bi</w:t>
      </w:r>
      <w:r w:rsidR="0009541B" w:rsidRPr="00610E03">
        <w:rPr>
          <w:i/>
        </w:rPr>
        <w:t>d.</w:t>
      </w:r>
      <w:r w:rsidR="0009541B">
        <w:t xml:space="preserve">) </w:t>
      </w:r>
      <w:r w:rsidR="00DC1792">
        <w:t>was “necessar</w:t>
      </w:r>
      <w:r w:rsidR="00CD4F61">
        <w:t>y</w:t>
      </w:r>
      <w:r w:rsidR="00287B3F">
        <w:t> </w:t>
      </w:r>
      <w:r w:rsidR="00CD4F61">
        <w:rPr>
          <w:sz w:val="28"/>
          <w:szCs w:val="22"/>
        </w:rPr>
        <w:t xml:space="preserve">. . . for </w:t>
      </w:r>
      <w:r w:rsidR="003469D9">
        <w:rPr>
          <w:sz w:val="28"/>
          <w:szCs w:val="22"/>
        </w:rPr>
        <w:t xml:space="preserve">such a </w:t>
      </w:r>
      <w:r w:rsidR="009E49D7">
        <w:t>drastic</w:t>
      </w:r>
      <w:r w:rsidR="00C40717">
        <w:t xml:space="preserve"> </w:t>
      </w:r>
      <w:r w:rsidR="00C40717" w:rsidRPr="00C40717">
        <w:t>deviation from settled procedures</w:t>
      </w:r>
      <w:r w:rsidR="009E49D7">
        <w:t>”</w:t>
      </w:r>
      <w:r w:rsidR="00AA0258">
        <w:t xml:space="preserve"> </w:t>
      </w:r>
      <w:r w:rsidR="00610E03">
        <w:t>(</w:t>
      </w:r>
      <w:r w:rsidR="00610E03" w:rsidRPr="00610E03">
        <w:rPr>
          <w:i/>
        </w:rPr>
        <w:t>i</w:t>
      </w:r>
      <w:r w:rsidR="00610E03">
        <w:rPr>
          <w:i/>
        </w:rPr>
        <w:t>bi</w:t>
      </w:r>
      <w:r w:rsidR="00610E03" w:rsidRPr="00610E03">
        <w:rPr>
          <w:i/>
        </w:rPr>
        <w:t>d.</w:t>
      </w:r>
      <w:r w:rsidR="00610E03">
        <w:t>)</w:t>
      </w:r>
      <w:r w:rsidR="00D961ED">
        <w:t xml:space="preserve">.  </w:t>
      </w:r>
    </w:p>
    <w:p w14:paraId="39402BBA" w14:textId="544B375A" w:rsidR="001C3E99" w:rsidRDefault="00D87A5D" w:rsidP="00420D35">
      <w:pPr>
        <w:tabs>
          <w:tab w:val="left" w:pos="1440"/>
        </w:tabs>
        <w:ind w:firstLine="720"/>
      </w:pPr>
      <w:r>
        <w:t xml:space="preserve">Less than a </w:t>
      </w:r>
      <w:r w:rsidR="007E2B52">
        <w:t xml:space="preserve">month after </w:t>
      </w:r>
      <w:r w:rsidR="004037BD">
        <w:rPr>
          <w:i/>
          <w:iCs/>
        </w:rPr>
        <w:t>Hochheiser</w:t>
      </w:r>
      <w:r w:rsidR="004037BD">
        <w:t xml:space="preserve">’s publication, the bill through which </w:t>
      </w:r>
      <w:r w:rsidR="00D75D06">
        <w:t xml:space="preserve">the Legislature enacted </w:t>
      </w:r>
      <w:r w:rsidR="004037BD">
        <w:t>section 1347 was introduced.  (</w:t>
      </w:r>
      <w:r w:rsidR="00B262FE">
        <w:t>Sen</w:t>
      </w:r>
      <w:r w:rsidR="008A66F0">
        <w:t>.</w:t>
      </w:r>
      <w:r w:rsidR="00B262FE">
        <w:t xml:space="preserve"> Bill No. 46 (1984-1985 Reg. Sess.).</w:t>
      </w:r>
      <w:r w:rsidR="00F12BCE">
        <w:t xml:space="preserve">)  </w:t>
      </w:r>
      <w:r w:rsidR="00E620EE">
        <w:t xml:space="preserve">One analysis of </w:t>
      </w:r>
      <w:r w:rsidR="00DE1099">
        <w:t xml:space="preserve">the bill </w:t>
      </w:r>
      <w:r w:rsidR="00BF0D2D">
        <w:t>explained</w:t>
      </w:r>
      <w:r w:rsidR="00D24B8B">
        <w:t>:</w:t>
      </w:r>
      <w:r w:rsidR="00BF0D2D">
        <w:t xml:space="preserve"> </w:t>
      </w:r>
      <w:r w:rsidR="00560077">
        <w:t xml:space="preserve"> </w:t>
      </w:r>
      <w:r w:rsidR="00BF0D2D">
        <w:t xml:space="preserve">(1) </w:t>
      </w:r>
      <w:r w:rsidR="00D24B8B">
        <w:t xml:space="preserve">in </w:t>
      </w:r>
      <w:r w:rsidR="00D24B8B" w:rsidRPr="00D24B8B">
        <w:rPr>
          <w:i/>
          <w:iCs/>
        </w:rPr>
        <w:t>Hochheiser</w:t>
      </w:r>
      <w:r w:rsidR="00D24B8B">
        <w:t xml:space="preserve">, the court </w:t>
      </w:r>
      <w:r w:rsidR="00E30678">
        <w:t>“</w:t>
      </w:r>
      <w:r w:rsidR="00E30678" w:rsidRPr="00E30678">
        <w:t>found that no statutory authority exists for using closed-circuit television testimony during a trial</w:t>
      </w:r>
      <w:r w:rsidR="00170C97">
        <w:t xml:space="preserve">”; and (2) </w:t>
      </w:r>
      <w:r w:rsidR="007222BF">
        <w:t>this bill “</w:t>
      </w:r>
      <w:r w:rsidR="007222BF" w:rsidRPr="007222BF">
        <w:t>was introduced to provide this authority</w:t>
      </w:r>
      <w:r w:rsidR="007222BF">
        <w:t xml:space="preserve">.” </w:t>
      </w:r>
      <w:r w:rsidR="00E30678" w:rsidRPr="00E30678">
        <w:t xml:space="preserve"> </w:t>
      </w:r>
      <w:r w:rsidR="008A66F0">
        <w:t>(Sen. Com. on Judiciary, Analysis of Sen</w:t>
      </w:r>
      <w:r w:rsidR="00200007">
        <w:t>.</w:t>
      </w:r>
      <w:r w:rsidR="008A66F0">
        <w:t xml:space="preserve"> Bill No. </w:t>
      </w:r>
      <w:r w:rsidR="00A40DCC">
        <w:t xml:space="preserve">46 (1984-1985 Reg. Sess.), as amended </w:t>
      </w:r>
      <w:r w:rsidR="00A40DCC">
        <w:lastRenderedPageBreak/>
        <w:t>Jan. 10, 198</w:t>
      </w:r>
      <w:r w:rsidR="000F4155">
        <w:t>5</w:t>
      </w:r>
      <w:r w:rsidR="00A40DCC">
        <w:t xml:space="preserve">, p. 4.)  </w:t>
      </w:r>
      <w:r w:rsidR="00560077">
        <w:t xml:space="preserve">Another explained that </w:t>
      </w:r>
      <w:r w:rsidR="00686472">
        <w:t>“[b]</w:t>
      </w:r>
      <w:r w:rsidR="00686472" w:rsidRPr="00686472">
        <w:t xml:space="preserve">ased on </w:t>
      </w:r>
      <w:r w:rsidR="00686472" w:rsidRPr="00545A0E">
        <w:rPr>
          <w:iCs/>
          <w:u w:val="single"/>
        </w:rPr>
        <w:t>Hochheiser</w:t>
      </w:r>
      <w:r w:rsidR="00686472" w:rsidRPr="00686472">
        <w:t>, legislative action is necessary before</w:t>
      </w:r>
      <w:r w:rsidR="00FB2508">
        <w:t xml:space="preserve">” courts may </w:t>
      </w:r>
      <w:r w:rsidR="00A05E5E">
        <w:t xml:space="preserve">use </w:t>
      </w:r>
      <w:r w:rsidR="00765B2C">
        <w:t>a closed-circuit television procedure</w:t>
      </w:r>
      <w:r w:rsidR="00686472" w:rsidRPr="00686472">
        <w:t xml:space="preserve"> </w:t>
      </w:r>
      <w:r w:rsidR="00A05E5E">
        <w:t xml:space="preserve">for </w:t>
      </w:r>
      <w:r w:rsidR="00A05A7B">
        <w:t xml:space="preserve">child witnesses.  </w:t>
      </w:r>
      <w:r w:rsidR="0031353C">
        <w:t>(Assem</w:t>
      </w:r>
      <w:r w:rsidR="00CE1999">
        <w:t>.</w:t>
      </w:r>
      <w:r w:rsidR="0031353C">
        <w:t xml:space="preserve"> Com. on Public Safety, Analysis of</w:t>
      </w:r>
      <w:r w:rsidR="00560077">
        <w:t xml:space="preserve"> </w:t>
      </w:r>
      <w:r w:rsidR="0031353C">
        <w:t xml:space="preserve">Sen. Bill No. 46 (1984-1985 Reg. Sess.), as amended </w:t>
      </w:r>
      <w:r w:rsidR="000F4155">
        <w:t>Mar</w:t>
      </w:r>
      <w:r w:rsidR="0031353C">
        <w:t>. 1</w:t>
      </w:r>
      <w:r w:rsidR="000F4155">
        <w:t>1</w:t>
      </w:r>
      <w:r w:rsidR="0031353C">
        <w:t>, 198</w:t>
      </w:r>
      <w:r w:rsidR="000F4155">
        <w:t>5</w:t>
      </w:r>
      <w:r w:rsidR="0031353C">
        <w:t xml:space="preserve">, p. </w:t>
      </w:r>
      <w:r w:rsidR="000F4155">
        <w:t>3.)</w:t>
      </w:r>
      <w:r w:rsidR="00095962">
        <w:t xml:space="preserve">  </w:t>
      </w:r>
      <w:r w:rsidR="00114F4F">
        <w:t xml:space="preserve">Given the statute’s language and legislative history, we </w:t>
      </w:r>
      <w:r w:rsidR="009D4F91">
        <w:t xml:space="preserve">reject </w:t>
      </w:r>
      <w:r w:rsidR="00515098">
        <w:t>defendant</w:t>
      </w:r>
      <w:r w:rsidR="009D4F91">
        <w:t>’s</w:t>
      </w:r>
      <w:r w:rsidR="00515098">
        <w:t xml:space="preserve"> </w:t>
      </w:r>
      <w:r w:rsidR="00454D71">
        <w:t xml:space="preserve">view </w:t>
      </w:r>
      <w:r w:rsidR="00515098">
        <w:t xml:space="preserve">that </w:t>
      </w:r>
      <w:r w:rsidR="00752045">
        <w:t xml:space="preserve">the authorization </w:t>
      </w:r>
      <w:r w:rsidR="00515098">
        <w:t xml:space="preserve">section 1347 </w:t>
      </w:r>
      <w:r w:rsidR="00752045">
        <w:t xml:space="preserve">provides for </w:t>
      </w:r>
      <w:r w:rsidR="00DB5E3F">
        <w:t xml:space="preserve">one </w:t>
      </w:r>
      <w:proofErr w:type="gramStart"/>
      <w:r w:rsidR="00752045">
        <w:t>particular accommodation</w:t>
      </w:r>
      <w:proofErr w:type="gramEnd"/>
      <w:r w:rsidR="00DB5E3F">
        <w:t> </w:t>
      </w:r>
      <w:r w:rsidR="00486BD2">
        <w:t>implicitly precludes any other accommodation</w:t>
      </w:r>
      <w:r w:rsidR="0045036D">
        <w:t xml:space="preserve">, </w:t>
      </w:r>
      <w:r w:rsidR="00B70614">
        <w:t xml:space="preserve">and that the statute </w:t>
      </w:r>
      <w:r w:rsidR="0045036D">
        <w:t>reflects the</w:t>
      </w:r>
      <w:r w:rsidR="00AD42BF">
        <w:t xml:space="preserve"> Legislature’s view regarding the limit of what is constitutionally permiss</w:t>
      </w:r>
      <w:r w:rsidR="00D84F96">
        <w:t>i</w:t>
      </w:r>
      <w:r w:rsidR="00AD42BF">
        <w:t>ble.</w:t>
      </w:r>
      <w:r w:rsidR="00CB73A6">
        <w:rPr>
          <w:rStyle w:val="FootnoteReference"/>
        </w:rPr>
        <w:footnoteReference w:id="2"/>
      </w:r>
      <w:r w:rsidR="00486BD2">
        <w:t xml:space="preserve">  </w:t>
      </w:r>
    </w:p>
    <w:p w14:paraId="4DF77AE0" w14:textId="649748B1" w:rsidR="004B0166" w:rsidRDefault="0021711D" w:rsidP="00420D35">
      <w:pPr>
        <w:tabs>
          <w:tab w:val="left" w:pos="1440"/>
        </w:tabs>
        <w:ind w:firstLine="720"/>
      </w:pPr>
      <w:r>
        <w:t xml:space="preserve">Supporting this conclusion are decisions affirming use of accommodations other than those section </w:t>
      </w:r>
      <w:r w:rsidR="00AD6CBA">
        <w:t xml:space="preserve">1347 authorizes.  As </w:t>
      </w:r>
      <w:r w:rsidR="00B00276">
        <w:t xml:space="preserve">previously discussed, and as </w:t>
      </w:r>
      <w:r w:rsidR="00AD6CBA">
        <w:t xml:space="preserve">defendant himself acknowledges, </w:t>
      </w:r>
      <w:r w:rsidR="00B00276">
        <w:t xml:space="preserve">in </w:t>
      </w:r>
      <w:r w:rsidR="00B00276">
        <w:rPr>
          <w:i/>
          <w:iCs/>
        </w:rPr>
        <w:t>Gonzales</w:t>
      </w:r>
      <w:r w:rsidR="00B00276">
        <w:t>,</w:t>
      </w:r>
      <w:r w:rsidR="00E07E62">
        <w:t xml:space="preserve"> </w:t>
      </w:r>
      <w:r w:rsidR="00E07E62" w:rsidRPr="007D09FA">
        <w:rPr>
          <w:i/>
          <w:iCs/>
        </w:rPr>
        <w:t>supra</w:t>
      </w:r>
      <w:r w:rsidR="00E07E62" w:rsidRPr="007D09FA">
        <w:t>,</w:t>
      </w:r>
      <w:r w:rsidR="00E07E62">
        <w:t xml:space="preserve"> </w:t>
      </w:r>
      <w:r w:rsidR="00E07E62" w:rsidRPr="00E07E62">
        <w:t xml:space="preserve">54 Cal.4th at </w:t>
      </w:r>
      <w:r w:rsidR="00E07E62">
        <w:t xml:space="preserve">page </w:t>
      </w:r>
      <w:r w:rsidR="00452614">
        <w:t xml:space="preserve">1265, </w:t>
      </w:r>
      <w:r w:rsidR="00B00276">
        <w:t>we affirmed</w:t>
      </w:r>
      <w:r w:rsidR="00E65BBF">
        <w:t xml:space="preserve"> an alteration of the </w:t>
      </w:r>
      <w:r w:rsidR="00FD11EF">
        <w:t xml:space="preserve">courtroom </w:t>
      </w:r>
      <w:r w:rsidR="00E65BBF">
        <w:t xml:space="preserve">seating arrangement that </w:t>
      </w:r>
      <w:r w:rsidR="004B4AE5">
        <w:t>placed the witness “</w:t>
      </w:r>
      <w:r w:rsidR="00452614" w:rsidRPr="00E07E62">
        <w:t xml:space="preserve">at an angle, not directly facing the defendant[].”  </w:t>
      </w:r>
      <w:r w:rsidR="006B4B51">
        <w:t xml:space="preserve">In </w:t>
      </w:r>
      <w:r w:rsidR="004B0166" w:rsidRPr="006B4B51">
        <w:rPr>
          <w:i/>
          <w:iCs/>
        </w:rPr>
        <w:t>People v. Lujan</w:t>
      </w:r>
      <w:r w:rsidR="004B0166" w:rsidRPr="004B0166">
        <w:t xml:space="preserve"> (2012) 211 Cal.App.4th 1499,</w:t>
      </w:r>
      <w:r w:rsidR="004C4339">
        <w:t xml:space="preserve"> </w:t>
      </w:r>
      <w:r w:rsidR="006B4B51">
        <w:t xml:space="preserve">the court </w:t>
      </w:r>
      <w:r w:rsidR="00A1577F">
        <w:t>affirmed use of a remote</w:t>
      </w:r>
      <w:r w:rsidR="00E2532C">
        <w:t>, closed</w:t>
      </w:r>
      <w:r w:rsidR="00650E50">
        <w:t>-</w:t>
      </w:r>
      <w:r w:rsidR="00E2532C">
        <w:t xml:space="preserve">circuit television procedure for a child </w:t>
      </w:r>
      <w:r w:rsidR="00FC4C29">
        <w:t xml:space="preserve">witness </w:t>
      </w:r>
      <w:r w:rsidR="004B7649">
        <w:t xml:space="preserve">who </w:t>
      </w:r>
      <w:r w:rsidR="007F7951">
        <w:t xml:space="preserve">fell “outside </w:t>
      </w:r>
      <w:r w:rsidR="00D0165E">
        <w:t xml:space="preserve">the ambit of </w:t>
      </w:r>
      <w:r w:rsidR="00AE09D9">
        <w:t>section 1347</w:t>
      </w:r>
      <w:r w:rsidR="00D0165E">
        <w:t>”</w:t>
      </w:r>
      <w:r w:rsidR="00AE09D9">
        <w:t xml:space="preserve"> </w:t>
      </w:r>
      <w:r w:rsidR="004C4339">
        <w:t>(</w:t>
      </w:r>
      <w:r w:rsidR="004C4339" w:rsidRPr="00610E03">
        <w:rPr>
          <w:i/>
        </w:rPr>
        <w:t>i</w:t>
      </w:r>
      <w:r w:rsidR="004C4339">
        <w:rPr>
          <w:i/>
        </w:rPr>
        <w:t>d</w:t>
      </w:r>
      <w:r w:rsidR="004C4339" w:rsidRPr="00610E03">
        <w:rPr>
          <w:i/>
        </w:rPr>
        <w:t>.</w:t>
      </w:r>
      <w:r w:rsidR="004C4339">
        <w:t xml:space="preserve"> at p. 1506) </w:t>
      </w:r>
      <w:r w:rsidR="00AE09D9">
        <w:t xml:space="preserve">as it read at the time, </w:t>
      </w:r>
      <w:r w:rsidR="00A25632">
        <w:t>concluding that the accommodation stood “</w:t>
      </w:r>
      <w:r w:rsidR="00A25632" w:rsidRPr="00A25632">
        <w:t>on solid constitutional footing</w:t>
      </w:r>
      <w:r w:rsidR="00A25632">
        <w:t xml:space="preserve">” </w:t>
      </w:r>
      <w:r w:rsidR="004C4339">
        <w:t>(</w:t>
      </w:r>
      <w:r w:rsidR="004C4339" w:rsidRPr="00610E03">
        <w:rPr>
          <w:i/>
        </w:rPr>
        <w:t>i</w:t>
      </w:r>
      <w:r w:rsidR="004C4339">
        <w:rPr>
          <w:i/>
        </w:rPr>
        <w:t>d</w:t>
      </w:r>
      <w:r w:rsidR="004C4339" w:rsidRPr="00610E03">
        <w:rPr>
          <w:i/>
        </w:rPr>
        <w:t>.</w:t>
      </w:r>
      <w:r w:rsidR="004C4339">
        <w:t xml:space="preserve"> at p. 1507) </w:t>
      </w:r>
      <w:r w:rsidR="00A25632">
        <w:t xml:space="preserve">and </w:t>
      </w:r>
      <w:r w:rsidR="001F65C2">
        <w:t xml:space="preserve">was </w:t>
      </w:r>
      <w:r w:rsidR="004F6945">
        <w:t xml:space="preserve">a </w:t>
      </w:r>
      <w:r w:rsidR="004F6945">
        <w:lastRenderedPageBreak/>
        <w:t xml:space="preserve">proper </w:t>
      </w:r>
      <w:r w:rsidR="001F65C2">
        <w:t xml:space="preserve">exercise of </w:t>
      </w:r>
      <w:r w:rsidR="00A25632" w:rsidRPr="00A25632">
        <w:t xml:space="preserve"> </w:t>
      </w:r>
      <w:r w:rsidR="00D804A0">
        <w:t xml:space="preserve">the </w:t>
      </w:r>
      <w:r w:rsidR="001F65C2">
        <w:t xml:space="preserve">trial court’s </w:t>
      </w:r>
      <w:r w:rsidR="00D804A0">
        <w:t>“</w:t>
      </w:r>
      <w:r w:rsidR="003A7BAA">
        <w:t>constitutionally conferred</w:t>
      </w:r>
      <w:r w:rsidR="00521C8F">
        <w:t xml:space="preserve">, </w:t>
      </w:r>
      <w:r w:rsidR="00D804A0" w:rsidRPr="00D804A0">
        <w:t xml:space="preserve">inherent authority to </w:t>
      </w:r>
      <w:r w:rsidR="00D804A0">
        <w:t>‘</w:t>
      </w:r>
      <w:r w:rsidR="00D804A0" w:rsidRPr="00D804A0">
        <w:t>create new forms of procedures</w:t>
      </w:r>
      <w:r w:rsidR="00D804A0">
        <w:t>’</w:t>
      </w:r>
      <w:r w:rsidR="00D804A0" w:rsidRPr="00D804A0">
        <w:t xml:space="preserve"> in the gaps left unaddressed by statutes and the rules of court</w:t>
      </w:r>
      <w:r w:rsidR="00297E4B">
        <w:t>”</w:t>
      </w:r>
      <w:r w:rsidR="0029183A">
        <w:t xml:space="preserve"> (</w:t>
      </w:r>
      <w:r w:rsidR="0029183A" w:rsidRPr="00610E03">
        <w:rPr>
          <w:i/>
        </w:rPr>
        <w:t>i</w:t>
      </w:r>
      <w:r w:rsidR="0029183A">
        <w:rPr>
          <w:i/>
        </w:rPr>
        <w:t>bid</w:t>
      </w:r>
      <w:r w:rsidR="0029183A" w:rsidRPr="00610E03">
        <w:rPr>
          <w:i/>
        </w:rPr>
        <w:t>.</w:t>
      </w:r>
      <w:r w:rsidR="0029183A">
        <w:t>).</w:t>
      </w:r>
      <w:r w:rsidR="00C221D9">
        <w:t xml:space="preserve">  </w:t>
      </w:r>
      <w:r w:rsidR="00190E01">
        <w:t>And i</w:t>
      </w:r>
      <w:r w:rsidR="00FB5FA2" w:rsidRPr="00FB5FA2">
        <w:t xml:space="preserve">n </w:t>
      </w:r>
      <w:r w:rsidR="00FB5FA2" w:rsidRPr="00190E01">
        <w:rPr>
          <w:i/>
          <w:iCs/>
        </w:rPr>
        <w:t>People v. Sharp</w:t>
      </w:r>
      <w:r w:rsidR="00FB5FA2" w:rsidRPr="00FB5FA2">
        <w:t xml:space="preserve"> (1994) 29 Cal.App.4th 1772, 178</w:t>
      </w:r>
      <w:r w:rsidR="00053042">
        <w:t>0-1781</w:t>
      </w:r>
      <w:r w:rsidR="00FB5FA2" w:rsidRPr="00FB5FA2">
        <w:t xml:space="preserve">, the court, citing </w:t>
      </w:r>
      <w:r w:rsidR="00FB5FA2" w:rsidRPr="00190E01">
        <w:rPr>
          <w:i/>
          <w:iCs/>
        </w:rPr>
        <w:t>Craig</w:t>
      </w:r>
      <w:r w:rsidR="00FB5FA2" w:rsidRPr="00FB5FA2">
        <w:t xml:space="preserve">, affirmed use of an accommodation </w:t>
      </w:r>
      <w:r w:rsidR="00273BDA">
        <w:t xml:space="preserve">that </w:t>
      </w:r>
      <w:r w:rsidR="00FB5FA2" w:rsidRPr="00FB5FA2">
        <w:t>allow</w:t>
      </w:r>
      <w:r w:rsidR="00273BDA">
        <w:t>ed</w:t>
      </w:r>
      <w:r w:rsidR="00FB5FA2" w:rsidRPr="00FB5FA2">
        <w:t xml:space="preserve"> the prosecutor to </w:t>
      </w:r>
      <w:r w:rsidR="00CC799F">
        <w:t xml:space="preserve">sit or stand </w:t>
      </w:r>
      <w:r w:rsidR="00493794">
        <w:t xml:space="preserve">next to </w:t>
      </w:r>
      <w:r w:rsidR="00FB5FA2" w:rsidRPr="00FB5FA2">
        <w:t xml:space="preserve">a young victim witness </w:t>
      </w:r>
      <w:r w:rsidR="00673904">
        <w:t xml:space="preserve">during examination </w:t>
      </w:r>
      <w:r w:rsidR="00501283">
        <w:t xml:space="preserve">so </w:t>
      </w:r>
      <w:r w:rsidR="00714813">
        <w:t>she could look away from the defe</w:t>
      </w:r>
      <w:r w:rsidR="00C45C0F">
        <w:t>nse table while testifying</w:t>
      </w:r>
      <w:r w:rsidR="009B4750">
        <w:t xml:space="preserve">, limiting the defendant’s view of her to </w:t>
      </w:r>
      <w:r w:rsidR="00C94582">
        <w:t>the side and back of her head.</w:t>
      </w:r>
      <w:r w:rsidR="00053042">
        <w:t xml:space="preserve">  These decision</w:t>
      </w:r>
      <w:r w:rsidR="00EF3728">
        <w:t>s</w:t>
      </w:r>
      <w:r w:rsidR="00053042">
        <w:t xml:space="preserve"> </w:t>
      </w:r>
      <w:r w:rsidR="00EF3728">
        <w:t xml:space="preserve">further undermine defendant’s argument regarding the exclusivity of </w:t>
      </w:r>
      <w:r w:rsidR="00BC648A">
        <w:t xml:space="preserve">the accommodation that section 1347 sets forth.  </w:t>
      </w:r>
    </w:p>
    <w:p w14:paraId="63BD710A" w14:textId="6F0B667B" w:rsidR="00711A2C" w:rsidRDefault="002629A7" w:rsidP="00420D35">
      <w:pPr>
        <w:tabs>
          <w:tab w:val="left" w:pos="1440"/>
        </w:tabs>
        <w:ind w:firstLine="720"/>
      </w:pPr>
      <w:r>
        <w:t xml:space="preserve">We need not address defendant’s other arguments under section 1347, or </w:t>
      </w:r>
      <w:r w:rsidR="00BC3C60">
        <w:t xml:space="preserve">his remaining procedural arguments, because we ultimately agree with him that the record before us is insufficient to sustain the trial court’s </w:t>
      </w:r>
      <w:r w:rsidR="004D595B">
        <w:t xml:space="preserve">accommodation </w:t>
      </w:r>
      <w:r w:rsidR="00BC3C60">
        <w:t>order.</w:t>
      </w:r>
      <w:r w:rsidR="008E24FC">
        <w:t xml:space="preserve">  </w:t>
      </w:r>
      <w:r w:rsidR="00F725ED">
        <w:t>T</w:t>
      </w:r>
      <w:r w:rsidR="00711A2C">
        <w:t xml:space="preserve">he relevant evidence </w:t>
      </w:r>
      <w:r w:rsidR="00CC4B04">
        <w:t xml:space="preserve">before us </w:t>
      </w:r>
      <w:r w:rsidR="00F725ED">
        <w:t xml:space="preserve">is </w:t>
      </w:r>
      <w:r w:rsidR="00711A2C">
        <w:t xml:space="preserve">quite sparse:  After </w:t>
      </w:r>
      <w:r w:rsidR="00711A2C" w:rsidRPr="00040970">
        <w:t>enter</w:t>
      </w:r>
      <w:r w:rsidR="00711A2C">
        <w:t>ing</w:t>
      </w:r>
      <w:r w:rsidR="00711A2C" w:rsidRPr="00040970">
        <w:t xml:space="preserve"> the courtroom</w:t>
      </w:r>
      <w:r w:rsidR="00711A2C">
        <w:t>, being directed to the witness stand, and being advised to “step</w:t>
      </w:r>
      <w:r w:rsidR="00711A2C" w:rsidRPr="00040970">
        <w:t xml:space="preserve"> up here</w:t>
      </w:r>
      <w:r w:rsidR="00711A2C">
        <w:t>,” “</w:t>
      </w:r>
      <w:r w:rsidR="00711A2C" w:rsidRPr="00040970">
        <w:t>follow the instructions of</w:t>
      </w:r>
      <w:r w:rsidR="00711A2C">
        <w:t>” the bailiff, “</w:t>
      </w:r>
      <w:r w:rsidR="00711A2C" w:rsidRPr="00040970">
        <w:t>watch your step as you take the stand</w:t>
      </w:r>
      <w:r w:rsidR="00711A2C">
        <w:t>,” “[s]</w:t>
      </w:r>
      <w:r w:rsidR="00711A2C" w:rsidRPr="00040970">
        <w:t>tay standing</w:t>
      </w:r>
      <w:r w:rsidR="00711A2C">
        <w:t>” and</w:t>
      </w:r>
      <w:r w:rsidR="00711A2C" w:rsidRPr="00040970">
        <w:t xml:space="preserve"> </w:t>
      </w:r>
      <w:r w:rsidR="00711A2C">
        <w:t>“</w:t>
      </w:r>
      <w:r w:rsidR="00711A2C" w:rsidRPr="00040970">
        <w:t>raise your right hand</w:t>
      </w:r>
      <w:r w:rsidR="00711A2C">
        <w:t>” while “</w:t>
      </w:r>
      <w:r w:rsidR="00711A2C" w:rsidRPr="00040970">
        <w:t>the clerk</w:t>
      </w:r>
      <w:r w:rsidR="00711A2C">
        <w:t xml:space="preserve"> . . . </w:t>
      </w:r>
      <w:r w:rsidR="00711A2C" w:rsidRPr="00040970">
        <w:t>swear</w:t>
      </w:r>
      <w:r w:rsidR="00711A2C">
        <w:t>[s]</w:t>
      </w:r>
      <w:r w:rsidR="00711A2C" w:rsidRPr="00040970">
        <w:t xml:space="preserve"> you in</w:t>
      </w:r>
      <w:r w:rsidR="00711A2C">
        <w:t>,</w:t>
      </w:r>
      <w:r w:rsidR="00711A2C" w:rsidRPr="00040970">
        <w:t>” F.R. started crying</w:t>
      </w:r>
      <w:r w:rsidR="00711A2C">
        <w:t>.  When the court asked if she “</w:t>
      </w:r>
      <w:r w:rsidR="00711A2C" w:rsidRPr="00040970">
        <w:t>need</w:t>
      </w:r>
      <w:r w:rsidR="00711A2C">
        <w:t>[ed]</w:t>
      </w:r>
      <w:r w:rsidR="00711A2C" w:rsidRPr="00040970">
        <w:t xml:space="preserve"> a moment</w:t>
      </w:r>
      <w:r w:rsidR="00711A2C">
        <w:t>,</w:t>
      </w:r>
      <w:r w:rsidR="00711A2C" w:rsidRPr="00040970">
        <w:t xml:space="preserve">” </w:t>
      </w:r>
      <w:r w:rsidR="00711A2C">
        <w:t>s</w:t>
      </w:r>
      <w:r w:rsidR="00711A2C" w:rsidRPr="00040970">
        <w:t xml:space="preserve">he replied, </w:t>
      </w:r>
      <w:r w:rsidR="005E2DCC">
        <w:t>“</w:t>
      </w:r>
      <w:r w:rsidR="00711A2C" w:rsidRPr="00040970">
        <w:t>I think so.</w:t>
      </w:r>
      <w:r w:rsidR="00711A2C">
        <w:t xml:space="preserve">”  These are the </w:t>
      </w:r>
      <w:r w:rsidR="00672EF8">
        <w:t xml:space="preserve">only </w:t>
      </w:r>
      <w:r w:rsidR="00711A2C">
        <w:t xml:space="preserve">facts </w:t>
      </w:r>
      <w:r w:rsidR="00672EF8">
        <w:t xml:space="preserve">in the record </w:t>
      </w:r>
      <w:r w:rsidR="00711A2C">
        <w:t>that underlie the court’s subsequent statement that F.R. was “</w:t>
      </w:r>
      <w:r w:rsidR="00711A2C" w:rsidRPr="00343C54">
        <w:t>unable to proceed at that time</w:t>
      </w:r>
      <w:r w:rsidR="00711A2C">
        <w:t xml:space="preserve">.”  Assuming F.R.’s act of crying and her equivocal response support the court’s statement, they provide little support for a finding that the trauma F.R. would have suffered upon testifying in defendant’s presence was such that an accommodation abridging defendant’s right </w:t>
      </w:r>
      <w:r w:rsidR="00711A2C" w:rsidRPr="00D06258">
        <w:t xml:space="preserve">of face-to-face confrontation </w:t>
      </w:r>
      <w:r w:rsidR="00711A2C">
        <w:t>was necessary.  Indeed, the court also stated for the record that F.R. was able to “</w:t>
      </w:r>
      <w:r w:rsidR="00711A2C" w:rsidRPr="00495716">
        <w:t>get her emotions back in order”</w:t>
      </w:r>
      <w:r w:rsidR="00711A2C">
        <w:t xml:space="preserve"> after a relatively short break.  </w:t>
      </w:r>
      <w:r w:rsidR="00711A2C">
        <w:lastRenderedPageBreak/>
        <w:t xml:space="preserve">Consistent with this observation, as far as the record shows, after the break, F.R. reentered the courtroom, walked to the stand, and took the oath, all with an unobstructed view of defendant and without any apparent emotional difficulty.  She also </w:t>
      </w:r>
      <w:r w:rsidR="00711A2C" w:rsidRPr="000062D9">
        <w:t>identif</w:t>
      </w:r>
      <w:r w:rsidR="00711A2C">
        <w:t>ied defendant during her testimony —</w:t>
      </w:r>
      <w:r w:rsidR="00711A2C" w:rsidRPr="000062D9">
        <w:t xml:space="preserve"> </w:t>
      </w:r>
      <w:r w:rsidR="00711A2C">
        <w:t xml:space="preserve">stating that she saw him in the courtroom and describing where he was sitting and what he was </w:t>
      </w:r>
      <w:r w:rsidR="00711A2C" w:rsidRPr="000062D9">
        <w:t>wearing</w:t>
      </w:r>
      <w:r w:rsidR="00711A2C">
        <w:t> — again, as far as the recor</w:t>
      </w:r>
      <w:r w:rsidR="00C73338">
        <w:t>d</w:t>
      </w:r>
      <w:r w:rsidR="00711A2C">
        <w:t xml:space="preserve"> shows, without any apparent emotional difficulty.  </w:t>
      </w:r>
    </w:p>
    <w:p w14:paraId="75A673A8" w14:textId="249D8B80" w:rsidR="00711A2C" w:rsidRDefault="00711A2C" w:rsidP="00420D35">
      <w:pPr>
        <w:tabs>
          <w:tab w:val="left" w:pos="1440"/>
        </w:tabs>
        <w:ind w:firstLine="720"/>
      </w:pPr>
      <w:r>
        <w:t xml:space="preserve">Other aspects of the record on which the People rely do little, if anything, to establish the requisite necessity.  According to the People, before the prosecution called F.R. as a witness, “[h]er best friend of six years, [M.C.], had already testified that when she confronted [F.R.] about [defendant’s] abuse, [F.R.] initially refused to disclose the abuse to her despite the girls’ very close relationship.”  Thus, the People argue, </w:t>
      </w:r>
      <w:r w:rsidRPr="00AF4691">
        <w:t xml:space="preserve">when F.R. first entered the courtroom, “[t]he trial court was already aware </w:t>
      </w:r>
      <w:r>
        <w:t xml:space="preserve">that </w:t>
      </w:r>
      <w:r w:rsidRPr="00AF4691">
        <w:t>[she] had particular difficulty disclosing the abuse</w:t>
      </w:r>
      <w:r>
        <w:t>.</w:t>
      </w:r>
      <w:r w:rsidRPr="00AF4691">
        <w:t>”</w:t>
      </w:r>
      <w:r>
        <w:t xml:space="preserve">  However, M.C.’s testimony actually cuts against the People’s ultimate position, because (1) it indicates that F.R. had difficulty disclosing the abuse to </w:t>
      </w:r>
      <w:r>
        <w:rPr>
          <w:i/>
        </w:rPr>
        <w:t>anyone</w:t>
      </w:r>
      <w:r>
        <w:t xml:space="preserve">, even her best friend, and (2) under </w:t>
      </w:r>
      <w:r>
        <w:rPr>
          <w:i/>
        </w:rPr>
        <w:t>Craig</w:t>
      </w:r>
      <w:r>
        <w:t xml:space="preserve">, an accommodation </w:t>
      </w:r>
      <w:r w:rsidRPr="006B30C5">
        <w:t xml:space="preserve">that </w:t>
      </w:r>
      <w:r>
        <w:t xml:space="preserve">abridges </w:t>
      </w:r>
      <w:r w:rsidRPr="006B30C5">
        <w:t xml:space="preserve">the right of </w:t>
      </w:r>
      <w:r>
        <w:t xml:space="preserve">face-to-face </w:t>
      </w:r>
      <w:r w:rsidRPr="006B30C5">
        <w:t>confrontation</w:t>
      </w:r>
      <w:r>
        <w:t xml:space="preserve"> is constitutionally permissible only if the harm the witness may suffer from testifying is caused by “the presence of the defendant,” “not by the courtroom generally.”  (</w:t>
      </w:r>
      <w:r>
        <w:rPr>
          <w:i/>
        </w:rPr>
        <w:t>Craig</w:t>
      </w:r>
      <w:r>
        <w:t xml:space="preserve">, </w:t>
      </w:r>
      <w:r>
        <w:rPr>
          <w:i/>
        </w:rPr>
        <w:t>supra</w:t>
      </w:r>
      <w:r>
        <w:t xml:space="preserve">, 497 U.S. at p. 856.)  Notably, consistent with what M.C.’s testimony indicates, F.R. mentioned or indicated </w:t>
      </w:r>
      <w:proofErr w:type="gramStart"/>
      <w:r>
        <w:t>numerous</w:t>
      </w:r>
      <w:proofErr w:type="gramEnd"/>
      <w:r>
        <w:t xml:space="preserve"> times during her testimony that she had difficulty telling anyone about defendant’s acts, even her mother.</w:t>
      </w:r>
      <w:r>
        <w:rPr>
          <w:rStyle w:val="FootnoteReference"/>
        </w:rPr>
        <w:footnoteReference w:id="3"/>
      </w:r>
    </w:p>
    <w:p w14:paraId="0DAFEADF" w14:textId="1ACC95B4" w:rsidR="00711A2C" w:rsidRPr="00483D7C" w:rsidRDefault="00711A2C" w:rsidP="00420D35">
      <w:pPr>
        <w:tabs>
          <w:tab w:val="left" w:pos="1440"/>
        </w:tabs>
        <w:ind w:firstLine="720"/>
      </w:pPr>
      <w:proofErr w:type="gramStart"/>
      <w:r>
        <w:lastRenderedPageBreak/>
        <w:t>Likewise</w:t>
      </w:r>
      <w:proofErr w:type="gramEnd"/>
      <w:r>
        <w:t xml:space="preserve"> unpersuasive is the People’s reliance on the court’s exchange with counsel as to whether facing defendant was the cause of F.R.’s emotional difficulty the first time she entered the courtroom.  As the People note, after explaining that the monitor had been elevated by placing it on </w:t>
      </w:r>
      <w:proofErr w:type="gramStart"/>
      <w:r>
        <w:t>several</w:t>
      </w:r>
      <w:proofErr w:type="gramEnd"/>
      <w:r>
        <w:t xml:space="preserve"> books, t</w:t>
      </w:r>
      <w:r w:rsidRPr="007E67BE">
        <w:t>he prosecution</w:t>
      </w:r>
      <w:r>
        <w:t xml:space="preserve"> added</w:t>
      </w:r>
      <w:r w:rsidRPr="007E67BE">
        <w:t xml:space="preserve">, “Given that the witness had indicated that the defendant looked at her the first time she came in.”  </w:t>
      </w:r>
      <w:r>
        <w:t xml:space="preserve">But the court did not accept the prosecution’s unsworn statement, instead commenting, </w:t>
      </w:r>
      <w:r w:rsidRPr="007E67BE">
        <w:t xml:space="preserve">“And whether that happened or didn’t, I think it’s appropriate.”  </w:t>
      </w:r>
      <w:r w:rsidRPr="00A4768C">
        <w:t xml:space="preserve">Defendant’s counsel </w:t>
      </w:r>
      <w:r>
        <w:t>then stated that F.R. “</w:t>
      </w:r>
      <w:r w:rsidRPr="00A4768C">
        <w:t>began crying before she was even able to see [defendant’s] face</w:t>
      </w:r>
      <w:r>
        <w:t>,” and that defendant “</w:t>
      </w:r>
      <w:r w:rsidRPr="00A4768C">
        <w:t xml:space="preserve">made no effort to look at her, intimidate her, or make any kind of eye contact or suggestive contact with her.”  The court replied:  “I understand.  </w:t>
      </w:r>
      <w:proofErr w:type="gramStart"/>
      <w:r w:rsidRPr="00A4768C">
        <w:t>I’m</w:t>
      </w:r>
      <w:proofErr w:type="gramEnd"/>
      <w:r w:rsidRPr="00A4768C">
        <w:t xml:space="preserve"> not casting any aspersions at this point.  But </w:t>
      </w:r>
      <w:r w:rsidRPr="000E0636">
        <w:rPr>
          <w:i/>
        </w:rPr>
        <w:t>it</w:t>
      </w:r>
      <w:r w:rsidRPr="00A4768C">
        <w:t xml:space="preserve"> clearly affected her, and I think it’s appropriate for the court to take whatever small efforts it can make to make the witness more comfortable </w:t>
      </w:r>
      <w:r w:rsidRPr="00A4768C">
        <w:lastRenderedPageBreak/>
        <w:t xml:space="preserve">without infringing on any of [defendant’s] constitutional rights, and I don’t believe that his rights have been infringed on at this point.”  </w:t>
      </w:r>
      <w:r>
        <w:t xml:space="preserve">(Italics added.)  Given the court’s failure to disagree with defense counsel’s statement, </w:t>
      </w:r>
      <w:r w:rsidR="005E0EEA">
        <w:t xml:space="preserve">the court’s </w:t>
      </w:r>
      <w:r>
        <w:t xml:space="preserve">stated refusal to “cast[] aspersions,” and </w:t>
      </w:r>
      <w:r w:rsidR="005E0EEA">
        <w:t xml:space="preserve">the court’s </w:t>
      </w:r>
      <w:r>
        <w:t xml:space="preserve">earlier statement that the accommodation was appropriate “whether [defendant looked at F.R.] or didn’t” when she first entered the courtroom, </w:t>
      </w:r>
      <w:r w:rsidR="00B21BFB">
        <w:t xml:space="preserve">we cannot determine </w:t>
      </w:r>
      <w:r>
        <w:t xml:space="preserve">to what the court was referring when </w:t>
      </w:r>
      <w:r w:rsidR="00B21BFB">
        <w:t xml:space="preserve">the court </w:t>
      </w:r>
      <w:r>
        <w:t xml:space="preserve">said “it” clearly affected F.R.  </w:t>
      </w:r>
      <w:r w:rsidR="0087123F">
        <w:t>In other words</w:t>
      </w:r>
      <w:r w:rsidR="00CF3D17">
        <w:t xml:space="preserve">, </w:t>
      </w:r>
      <w:r w:rsidR="004231E5">
        <w:t xml:space="preserve">it appears that </w:t>
      </w:r>
      <w:r w:rsidR="00CF3D17" w:rsidRPr="00CF3D17">
        <w:t xml:space="preserve">the trial court </w:t>
      </w:r>
      <w:r w:rsidR="0087123F" w:rsidRPr="000B233B">
        <w:t>expressly declined to resolve the competing accounts offered by the prosecution and the defense</w:t>
      </w:r>
      <w:r w:rsidR="00FC5EA0">
        <w:t xml:space="preserve">, and that it </w:t>
      </w:r>
      <w:r w:rsidR="004231E5">
        <w:t xml:space="preserve">ordered the </w:t>
      </w:r>
      <w:r w:rsidR="00CF3D17" w:rsidRPr="00CF3D17">
        <w:t xml:space="preserve">accommodation without </w:t>
      </w:r>
      <w:r w:rsidR="00900EAE">
        <w:t xml:space="preserve">determining </w:t>
      </w:r>
      <w:r w:rsidR="00CF3D17" w:rsidRPr="00CF3D17">
        <w:t xml:space="preserve">whether it was defendant personally, or the courtroom more generally, that </w:t>
      </w:r>
      <w:r w:rsidR="0011481D">
        <w:t>upset F.R</w:t>
      </w:r>
      <w:r w:rsidR="00CF3D17" w:rsidRPr="00CF3D17">
        <w:t>.</w:t>
      </w:r>
      <w:r w:rsidR="004231E5">
        <w:t xml:space="preserve">  </w:t>
      </w:r>
      <w:r>
        <w:t>In any event, even interpreting this comment as the People suggest — that “it” refer</w:t>
      </w:r>
      <w:r w:rsidR="00F36BEF">
        <w:t>red</w:t>
      </w:r>
      <w:r>
        <w:t xml:space="preserve"> to facing defendant —</w:t>
      </w:r>
      <w:r w:rsidR="00BB61F0">
        <w:t xml:space="preserve"> </w:t>
      </w:r>
      <w:r w:rsidR="00985B35">
        <w:t xml:space="preserve">the circumstance </w:t>
      </w:r>
      <w:r>
        <w:t xml:space="preserve">that facing defendant “clearly affected” F.R. when she first entered the courtroom </w:t>
      </w:r>
      <w:r w:rsidR="00A10C78">
        <w:t xml:space="preserve">would be insufficient </w:t>
      </w:r>
      <w:r w:rsidR="003E2750">
        <w:t xml:space="preserve">alone </w:t>
      </w:r>
      <w:r w:rsidR="00A10C78">
        <w:t xml:space="preserve">to </w:t>
      </w:r>
      <w:r>
        <w:t xml:space="preserve">establish the level of emotional trauma </w:t>
      </w:r>
      <w:r>
        <w:rPr>
          <w:i/>
        </w:rPr>
        <w:t xml:space="preserve">Craig </w:t>
      </w:r>
      <w:r>
        <w:rPr>
          <w:iCs/>
        </w:rPr>
        <w:t>require</w:t>
      </w:r>
      <w:r w:rsidR="00BB61F0">
        <w:rPr>
          <w:iCs/>
        </w:rPr>
        <w:t>s</w:t>
      </w:r>
      <w:r>
        <w:rPr>
          <w:iCs/>
        </w:rPr>
        <w:t xml:space="preserve"> </w:t>
      </w:r>
      <w:r>
        <w:t>to justify use of an accommodation that abridges a defendant’s right of face-to-fac</w:t>
      </w:r>
      <w:r w:rsidR="000F1DE2">
        <w:t>e</w:t>
      </w:r>
      <w:r>
        <w:t xml:space="preserve"> confrontation.  (Cf. </w:t>
      </w:r>
      <w:r>
        <w:rPr>
          <w:i/>
        </w:rPr>
        <w:t>Craig</w:t>
      </w:r>
      <w:r>
        <w:t xml:space="preserve">, </w:t>
      </w:r>
      <w:r>
        <w:rPr>
          <w:i/>
        </w:rPr>
        <w:t>supra</w:t>
      </w:r>
      <w:r>
        <w:t xml:space="preserve">, 497 U.S. </w:t>
      </w:r>
      <w:r w:rsidRPr="0034776E">
        <w:t>at p. 85</w:t>
      </w:r>
      <w:r>
        <w:t>6 [“ ‘</w:t>
      </w:r>
      <w:r w:rsidRPr="00A01201">
        <w:t>mere nervousness or excitement or some reluctance to testify</w:t>
      </w:r>
      <w:r>
        <w:t>’ </w:t>
      </w:r>
      <w:r w:rsidRPr="00A01201">
        <w:t>”</w:t>
      </w:r>
      <w:r>
        <w:t xml:space="preserve"> is insufficient].)  </w:t>
      </w:r>
    </w:p>
    <w:p w14:paraId="30D223C9" w14:textId="35DEEDDF" w:rsidR="00711A2C" w:rsidRDefault="00711A2C" w:rsidP="00420D35">
      <w:pPr>
        <w:tabs>
          <w:tab w:val="left" w:pos="1440"/>
        </w:tabs>
        <w:ind w:firstLine="720"/>
      </w:pPr>
      <w:r>
        <w:t xml:space="preserve">In summary, </w:t>
      </w:r>
      <w:r w:rsidR="00035951">
        <w:t xml:space="preserve">we cannot </w:t>
      </w:r>
      <w:r>
        <w:t xml:space="preserve">conclude </w:t>
      </w:r>
      <w:r w:rsidR="00035951">
        <w:t xml:space="preserve">here </w:t>
      </w:r>
      <w:r>
        <w:t xml:space="preserve">that </w:t>
      </w:r>
      <w:r w:rsidRPr="007F4163">
        <w:t xml:space="preserve">the accommodation was </w:t>
      </w:r>
      <w:r>
        <w:t>“</w:t>
      </w:r>
      <w:r w:rsidRPr="007F4163">
        <w:t>fully justified by the record.”  (</w:t>
      </w:r>
      <w:r w:rsidRPr="00F64F58">
        <w:rPr>
          <w:i/>
        </w:rPr>
        <w:t>Gonzales</w:t>
      </w:r>
      <w:r w:rsidRPr="007F4163">
        <w:t xml:space="preserve">, </w:t>
      </w:r>
      <w:r w:rsidR="0069695B" w:rsidRPr="007D09FA">
        <w:rPr>
          <w:i/>
          <w:iCs/>
        </w:rPr>
        <w:t>supra</w:t>
      </w:r>
      <w:r w:rsidR="0069695B" w:rsidRPr="007D09FA">
        <w:t>,</w:t>
      </w:r>
      <w:r w:rsidR="0069695B">
        <w:t xml:space="preserve"> 54 Cal.4th </w:t>
      </w:r>
      <w:r w:rsidRPr="007F4163">
        <w:t>at p. 1268.)</w:t>
      </w:r>
      <w:r>
        <w:t xml:space="preserve">  To find that </w:t>
      </w:r>
      <w:r w:rsidR="00213133">
        <w:t xml:space="preserve">an </w:t>
      </w:r>
      <w:r>
        <w:t xml:space="preserve">accommodation was constitutionally permissible merely because F.R. — a young adult — started crying the first time she entered the courtroom and the court took a short recess to allow her to compose herself, would give courts license to abridge the right of face-to-face confrontation almost any time a witness breaks down on the stand.  This does not appear to be what the high court in </w:t>
      </w:r>
      <w:r>
        <w:rPr>
          <w:i/>
        </w:rPr>
        <w:t xml:space="preserve">Craig </w:t>
      </w:r>
      <w:r>
        <w:lastRenderedPageBreak/>
        <w:t xml:space="preserve">had in mind when it cautioned that </w:t>
      </w:r>
      <w:r w:rsidRPr="00562751">
        <w:t>the constitutional “face-to-face confrontation requirement” may not be “easily. . . dispensed with</w:t>
      </w:r>
      <w:r>
        <w:t>,</w:t>
      </w:r>
      <w:r w:rsidRPr="00562751">
        <w:t xml:space="preserve">” </w:t>
      </w:r>
      <w:r>
        <w:t>and then added that “</w:t>
      </w:r>
      <w:r w:rsidRPr="007003FE">
        <w:t>a defendant’s right to confront accusatory witnesses may be satisfied absent a physical, face-to-face confrontation at trial only where denial of such confrontation is necessary to further an important public policy.</w:t>
      </w:r>
      <w:r>
        <w:t xml:space="preserve">”  </w:t>
      </w:r>
      <w:r w:rsidRPr="00562751">
        <w:t>(</w:t>
      </w:r>
      <w:r w:rsidRPr="00125E82">
        <w:rPr>
          <w:i/>
        </w:rPr>
        <w:t>Craig</w:t>
      </w:r>
      <w:r w:rsidRPr="00562751">
        <w:t xml:space="preserve">, </w:t>
      </w:r>
      <w:r w:rsidRPr="00125E82">
        <w:rPr>
          <w:i/>
        </w:rPr>
        <w:t>supra</w:t>
      </w:r>
      <w:r w:rsidRPr="00562751">
        <w:t xml:space="preserve">, 497 U.S. at p. 850.)  </w:t>
      </w:r>
      <w:r>
        <w:t>In terms of establishing that necessity, the evidence in the record here falls short.</w:t>
      </w:r>
      <w:r w:rsidR="00A05E3A">
        <w:rPr>
          <w:rStyle w:val="FootnoteReference"/>
        </w:rPr>
        <w:footnoteReference w:id="4"/>
      </w:r>
    </w:p>
    <w:p w14:paraId="08B3A765" w14:textId="3597E758" w:rsidR="00711A2C" w:rsidRDefault="00711A2C" w:rsidP="00420D35">
      <w:pPr>
        <w:tabs>
          <w:tab w:val="left" w:pos="1440"/>
        </w:tabs>
        <w:ind w:firstLine="720"/>
      </w:pPr>
      <w:r>
        <w:t xml:space="preserve">Regarding prejudice, consistent with our case law, the parties agree that violations of the </w:t>
      </w:r>
      <w:r w:rsidR="00CD3C71">
        <w:t>c</w:t>
      </w:r>
      <w:r>
        <w:t xml:space="preserve">onfrontation </w:t>
      </w:r>
      <w:r w:rsidR="00CD3C71">
        <w:t>c</w:t>
      </w:r>
      <w:r>
        <w:t xml:space="preserve">lause are subject to the federal harmless error analysis of </w:t>
      </w:r>
      <w:r w:rsidRPr="00FD7DD1">
        <w:rPr>
          <w:i/>
          <w:iCs/>
        </w:rPr>
        <w:t>Chapman v. California</w:t>
      </w:r>
      <w:r>
        <w:t xml:space="preserve"> (1967) 386 U.S. 18, under which reversal is required unless it is clear beyond a reasonable doubt that a rational jury would have reached the same verdict absent the error.  (</w:t>
      </w:r>
      <w:r w:rsidRPr="00E526E8">
        <w:rPr>
          <w:i/>
          <w:iCs/>
        </w:rPr>
        <w:t>People v. Livingston</w:t>
      </w:r>
      <w:r>
        <w:t xml:space="preserve"> (2012) 53 Cal.4th 1145, 1159.)  In </w:t>
      </w:r>
      <w:r w:rsidRPr="003E4CDA">
        <w:rPr>
          <w:i/>
          <w:iCs/>
        </w:rPr>
        <w:t>Coy</w:t>
      </w:r>
      <w:r>
        <w:t xml:space="preserve">, the high court explained that in this context, “[a]n assessment of harmlessness cannot include consideration of whether the witness’ testimony would have been unchanged, or the jury’s assessment unaltered, had there been confrontation; such an </w:t>
      </w:r>
      <w:r>
        <w:lastRenderedPageBreak/>
        <w:t>inquiry would obviously involve pure speculation, and harmlessness must therefore be determined on the basis of the remaining evidence.”  (</w:t>
      </w:r>
      <w:r w:rsidRPr="00AB4B9D">
        <w:rPr>
          <w:i/>
          <w:iCs/>
        </w:rPr>
        <w:t>Coy</w:t>
      </w:r>
      <w:r>
        <w:t xml:space="preserve">, </w:t>
      </w:r>
      <w:r w:rsidRPr="00AB4B9D">
        <w:rPr>
          <w:i/>
          <w:iCs/>
        </w:rPr>
        <w:t>supra</w:t>
      </w:r>
      <w:r>
        <w:t xml:space="preserve">, 487 U.S. at pp. 1021-1022.)  After quoting this explanation, the People do not contend that as to the convictions involving acts against F.R. — </w:t>
      </w:r>
      <w:bookmarkStart w:id="13" w:name="_Hlk10658749"/>
      <w:r>
        <w:t>counts 3, 4, and 5 </w:t>
      </w:r>
      <w:bookmarkEnd w:id="13"/>
      <w:r>
        <w:t xml:space="preserve">— if there was error, it was harmless in light of the evidence aside from F.R.’s testimony; instead, they ask </w:t>
      </w:r>
      <w:r w:rsidR="00560F66">
        <w:t xml:space="preserve">in their brief </w:t>
      </w:r>
      <w:r>
        <w:t xml:space="preserve">that we remand the case to allow them an opportunity to retry defendant on those counts or dismiss those counts and resentence defendant.  We agree that, as to those counts, the error was not harmless </w:t>
      </w:r>
      <w:proofErr w:type="gramStart"/>
      <w:r>
        <w:t>in light of</w:t>
      </w:r>
      <w:proofErr w:type="gramEnd"/>
      <w:r>
        <w:t xml:space="preserve"> the remaining evidence and that reversal is necessary.</w:t>
      </w:r>
      <w:r w:rsidR="00C97456">
        <w:rPr>
          <w:rStyle w:val="FootnoteReference"/>
        </w:rPr>
        <w:footnoteReference w:id="5"/>
      </w:r>
    </w:p>
    <w:p w14:paraId="27CE4EF7" w14:textId="7D07B247" w:rsidR="00711A2C" w:rsidRPr="00E67E08" w:rsidRDefault="00711A2C" w:rsidP="00420D35">
      <w:pPr>
        <w:keepNext/>
        <w:tabs>
          <w:tab w:val="left" w:pos="1440"/>
        </w:tabs>
        <w:ind w:firstLine="720"/>
        <w:rPr>
          <w:b/>
          <w:bCs/>
        </w:rPr>
      </w:pPr>
      <w:r w:rsidRPr="00E67E08">
        <w:rPr>
          <w:b/>
          <w:bCs/>
        </w:rPr>
        <w:t xml:space="preserve">C.  </w:t>
      </w:r>
      <w:r w:rsidR="00645700">
        <w:rPr>
          <w:b/>
          <w:bCs/>
        </w:rPr>
        <w:t>Ar.R</w:t>
      </w:r>
      <w:r w:rsidRPr="00E67E08">
        <w:rPr>
          <w:b/>
          <w:bCs/>
        </w:rPr>
        <w:t xml:space="preserve"> and </w:t>
      </w:r>
      <w:r w:rsidR="00645700">
        <w:rPr>
          <w:b/>
          <w:bCs/>
        </w:rPr>
        <w:t>An.R</w:t>
      </w:r>
    </w:p>
    <w:p w14:paraId="30B823FC" w14:textId="322EBC4D" w:rsidR="00711A2C" w:rsidRDefault="00711A2C" w:rsidP="00420D35">
      <w:pPr>
        <w:tabs>
          <w:tab w:val="left" w:pos="1440"/>
        </w:tabs>
        <w:ind w:firstLine="720"/>
      </w:pPr>
      <w:r>
        <w:t xml:space="preserve">Regarding </w:t>
      </w:r>
      <w:r w:rsidR="00645700">
        <w:t>Ar.R</w:t>
      </w:r>
      <w:r w:rsidRPr="00CB3B58">
        <w:t xml:space="preserve"> and </w:t>
      </w:r>
      <w:r w:rsidR="00645700">
        <w:t>An.R</w:t>
      </w:r>
      <w:r>
        <w:t xml:space="preserve">, </w:t>
      </w:r>
      <w:r w:rsidR="00C60226">
        <w:t xml:space="preserve">we </w:t>
      </w:r>
      <w:r>
        <w:t xml:space="preserve">agree with the People and the Court of Appeal that defendant </w:t>
      </w:r>
      <w:r w:rsidRPr="00926F99">
        <w:t xml:space="preserve">forfeited </w:t>
      </w:r>
      <w:r>
        <w:t xml:space="preserve">his </w:t>
      </w:r>
      <w:r w:rsidRPr="00926F99">
        <w:t xml:space="preserve">claim </w:t>
      </w:r>
      <w:r>
        <w:t xml:space="preserve">under the </w:t>
      </w:r>
      <w:r w:rsidR="00CD3C71">
        <w:t>c</w:t>
      </w:r>
      <w:r>
        <w:t xml:space="preserve">onfrontation </w:t>
      </w:r>
      <w:r w:rsidR="00CD3C71">
        <w:t>c</w:t>
      </w:r>
      <w:r>
        <w:t xml:space="preserve">lause by failing to </w:t>
      </w:r>
      <w:r w:rsidRPr="00926F99">
        <w:t xml:space="preserve">object </w:t>
      </w:r>
      <w:r w:rsidR="00024D18">
        <w:t xml:space="preserve">at trial </w:t>
      </w:r>
      <w:r w:rsidRPr="00926F99">
        <w:t xml:space="preserve">to </w:t>
      </w:r>
      <w:r w:rsidR="00024D18">
        <w:t xml:space="preserve">the </w:t>
      </w:r>
      <w:r>
        <w:t xml:space="preserve">repositioning of the monitor during their testimony.  </w:t>
      </w:r>
      <w:proofErr w:type="gramStart"/>
      <w:r>
        <w:t>As a general rule</w:t>
      </w:r>
      <w:proofErr w:type="gramEnd"/>
      <w:r>
        <w:t>, a defendant’s failure to object to an alleged trial error relieves an appellate court of the obligation to consider the claim on review.  (</w:t>
      </w:r>
      <w:r w:rsidRPr="00F30986">
        <w:rPr>
          <w:i/>
          <w:iCs/>
        </w:rPr>
        <w:t>People v</w:t>
      </w:r>
      <w:r>
        <w:rPr>
          <w:i/>
          <w:iCs/>
        </w:rPr>
        <w:t>.</w:t>
      </w:r>
      <w:r w:rsidRPr="00F30986">
        <w:rPr>
          <w:i/>
          <w:iCs/>
        </w:rPr>
        <w:t xml:space="preserve"> </w:t>
      </w:r>
      <w:r>
        <w:rPr>
          <w:i/>
          <w:iCs/>
        </w:rPr>
        <w:t>R</w:t>
      </w:r>
      <w:r w:rsidRPr="00F30986">
        <w:rPr>
          <w:i/>
          <w:iCs/>
        </w:rPr>
        <w:t>omero</w:t>
      </w:r>
      <w:r>
        <w:t xml:space="preserve"> (2008) 44 Cal.4th 386, 411.)  </w:t>
      </w:r>
      <w:r w:rsidRPr="00B973BF">
        <w:t xml:space="preserve">The reason for this rule is to allow </w:t>
      </w:r>
      <w:r>
        <w:t xml:space="preserve">the trial court to correct its </w:t>
      </w:r>
      <w:r w:rsidRPr="00B973BF">
        <w:lastRenderedPageBreak/>
        <w:t xml:space="preserve">errors </w:t>
      </w:r>
      <w:r>
        <w:t>and “</w:t>
      </w:r>
      <w:r w:rsidRPr="00B973BF">
        <w:t>to prevent gamesmanship by the defense.</w:t>
      </w:r>
      <w:r>
        <w:t>”  (</w:t>
      </w:r>
      <w:r>
        <w:rPr>
          <w:i/>
          <w:iCs/>
        </w:rPr>
        <w:t>Ibid.</w:t>
      </w:r>
      <w:r>
        <w:t xml:space="preserve">)  We have applied </w:t>
      </w:r>
      <w:r w:rsidR="00024D18">
        <w:t xml:space="preserve">this </w:t>
      </w:r>
      <w:r>
        <w:t xml:space="preserve">rule </w:t>
      </w:r>
      <w:proofErr w:type="gramStart"/>
      <w:r>
        <w:t>numerous</w:t>
      </w:r>
      <w:proofErr w:type="gramEnd"/>
      <w:r>
        <w:t xml:space="preserve"> times to find forfeiture of a constitutional right of confrontation claim.  (</w:t>
      </w:r>
      <w:r w:rsidRPr="005C307B">
        <w:rPr>
          <w:i/>
          <w:iCs/>
        </w:rPr>
        <w:t>People v</w:t>
      </w:r>
      <w:r w:rsidR="009F3A30">
        <w:rPr>
          <w:i/>
          <w:iCs/>
        </w:rPr>
        <w:t>.</w:t>
      </w:r>
      <w:r w:rsidRPr="005C307B">
        <w:rPr>
          <w:i/>
          <w:iCs/>
        </w:rPr>
        <w:t xml:space="preserve"> Riccardi</w:t>
      </w:r>
      <w:r>
        <w:t xml:space="preserve"> (2012) 54 Cal.4th 758, 827, fn. 33; </w:t>
      </w:r>
      <w:r w:rsidRPr="000D6A94">
        <w:rPr>
          <w:i/>
          <w:iCs/>
        </w:rPr>
        <w:t>People v</w:t>
      </w:r>
      <w:r>
        <w:rPr>
          <w:i/>
          <w:iCs/>
        </w:rPr>
        <w:t>. D</w:t>
      </w:r>
      <w:r w:rsidRPr="000D6A94">
        <w:rPr>
          <w:i/>
          <w:iCs/>
        </w:rPr>
        <w:t>ement</w:t>
      </w:r>
      <w:r>
        <w:t xml:space="preserve"> (2011) 53 Cal.4th 1, 23; </w:t>
      </w:r>
      <w:r w:rsidRPr="00711557">
        <w:rPr>
          <w:i/>
          <w:iCs/>
        </w:rPr>
        <w:t>People v. Redd</w:t>
      </w:r>
      <w:r>
        <w:t xml:space="preserve"> (2010) 48 Cal.4th 691, 730; </w:t>
      </w:r>
      <w:r w:rsidRPr="0096551F">
        <w:rPr>
          <w:i/>
          <w:iCs/>
        </w:rPr>
        <w:t>People v. D’</w:t>
      </w:r>
      <w:r>
        <w:rPr>
          <w:i/>
          <w:iCs/>
        </w:rPr>
        <w:t>A</w:t>
      </w:r>
      <w:r w:rsidRPr="0096551F">
        <w:rPr>
          <w:i/>
          <w:iCs/>
        </w:rPr>
        <w:t>rcy</w:t>
      </w:r>
      <w:r>
        <w:t xml:space="preserve"> (2010) 48 Cal.4th 257, 289-290; </w:t>
      </w:r>
      <w:r w:rsidRPr="00607EC0">
        <w:rPr>
          <w:i/>
          <w:iCs/>
        </w:rPr>
        <w:t>People v. Raley</w:t>
      </w:r>
      <w:r>
        <w:t xml:space="preserve"> (1992) 2 Cal.4th 870, 892.)  As the People argue, had defendant objected to </w:t>
      </w:r>
      <w:r w:rsidR="00024D18">
        <w:t xml:space="preserve">the </w:t>
      </w:r>
      <w:r>
        <w:t xml:space="preserve">repositioning of the monitor during the testimony of </w:t>
      </w:r>
      <w:r w:rsidR="00645700">
        <w:t>Ar.R</w:t>
      </w:r>
      <w:r w:rsidRPr="00CB3B58">
        <w:t xml:space="preserve"> and </w:t>
      </w:r>
      <w:r w:rsidR="00645700">
        <w:t>An.R</w:t>
      </w:r>
      <w:r>
        <w:t xml:space="preserve">, “the trial court would have had an opportunity to correct [any] error (by lowering the monitor), or to make additional findings on the record regarding the necessity of the accommodation as to” these witnesses. </w:t>
      </w:r>
      <w:r w:rsidR="007424B4">
        <w:t xml:space="preserve"> </w:t>
      </w:r>
      <w:r>
        <w:t>Because defendant did not object, he has forfeited his claim.</w:t>
      </w:r>
    </w:p>
    <w:p w14:paraId="2349549D" w14:textId="172CBFCC" w:rsidR="00711A2C" w:rsidRDefault="00711A2C" w:rsidP="00420D35">
      <w:pPr>
        <w:tabs>
          <w:tab w:val="left" w:pos="1440"/>
        </w:tabs>
        <w:ind w:firstLine="720"/>
      </w:pPr>
      <w:r>
        <w:t>Defendant fails to persuade us that we should “excuse[]” his failure to object because an objection would have been “</w:t>
      </w:r>
      <w:r w:rsidRPr="00543BAF">
        <w:t>futile</w:t>
      </w:r>
      <w:r>
        <w:t xml:space="preserve">.”  According to defendant, given the standard the trial court set forth in connection with F.R. — whether defendant “was present and could hear the witnesses” — and the trial court’s finding as to F.R., the court “would undoubtedly have made the same ruling as to” </w:t>
      </w:r>
      <w:r w:rsidR="00645700">
        <w:t>Ar.R</w:t>
      </w:r>
      <w:r w:rsidRPr="00CB3B58">
        <w:t xml:space="preserve"> and </w:t>
      </w:r>
      <w:r w:rsidR="00645700">
        <w:t>An.R</w:t>
      </w:r>
      <w:r>
        <w:t>, who were “younger witnesses.”  However, as detailed above, the trial court explained that it had repositioned the monitor during F.R.’s testimony because of “</w:t>
      </w:r>
      <w:r w:rsidRPr="00E918A0">
        <w:t>her initial reaction</w:t>
      </w:r>
      <w:r>
        <w:t>” upon entering the courtroom, i.e., “</w:t>
      </w:r>
      <w:r w:rsidRPr="00E918A0">
        <w:t>when she first came in to take the oath, she was unable to proceed at that time.</w:t>
      </w:r>
      <w:r>
        <w:t xml:space="preserve">”  Given this explanation, the record offers no </w:t>
      </w:r>
      <w:r w:rsidR="00C117A3">
        <w:t xml:space="preserve">support </w:t>
      </w:r>
      <w:r>
        <w:t xml:space="preserve">for defendant’s assertion that had he objected, the trial court would have ordered the accommodation simply because </w:t>
      </w:r>
      <w:r w:rsidR="00645700">
        <w:t>Ar.R</w:t>
      </w:r>
      <w:r w:rsidRPr="00CB3B58">
        <w:t xml:space="preserve"> and </w:t>
      </w:r>
      <w:r w:rsidR="00645700">
        <w:t>An.R</w:t>
      </w:r>
      <w:r>
        <w:t xml:space="preserve"> were “younger witnesses,” without regard to whether they were having difficulty testifying.  Defendant’s futility argument therefore fails. </w:t>
      </w:r>
    </w:p>
    <w:p w14:paraId="4F3FCB40" w14:textId="1CCF32AA" w:rsidR="00711A2C" w:rsidRDefault="00711A2C" w:rsidP="00420D35">
      <w:pPr>
        <w:tabs>
          <w:tab w:val="left" w:pos="1440"/>
        </w:tabs>
        <w:ind w:firstLine="720"/>
      </w:pPr>
      <w:proofErr w:type="gramStart"/>
      <w:r>
        <w:lastRenderedPageBreak/>
        <w:t>Likewise</w:t>
      </w:r>
      <w:proofErr w:type="gramEnd"/>
      <w:r>
        <w:t xml:space="preserve"> unpersuasive is defendant’s alternative argument</w:t>
      </w:r>
      <w:r w:rsidR="00A50B36">
        <w:t xml:space="preserve">:  </w:t>
      </w:r>
      <w:r w:rsidR="005F5E42">
        <w:t xml:space="preserve">if </w:t>
      </w:r>
      <w:r>
        <w:t xml:space="preserve">“further objection was necessary,” </w:t>
      </w:r>
      <w:r w:rsidR="005F5E42">
        <w:t xml:space="preserve">then </w:t>
      </w:r>
      <w:r>
        <w:t>his attorney’s failure to object constituted “ineffective assistance of counsel.”  To prevail on this claim, defendant must show, among other things, that his “</w:t>
      </w:r>
      <w:r w:rsidRPr="0039639E">
        <w:t>counsel</w:t>
      </w:r>
      <w:r>
        <w:t>’</w:t>
      </w:r>
      <w:r w:rsidRPr="0039639E">
        <w:t>s performance was deficient, in that it fell below an objective standard of reasonableness under prevailing professional norms.</w:t>
      </w:r>
      <w:r>
        <w:t>”  (</w:t>
      </w:r>
      <w:r w:rsidRPr="00547468">
        <w:rPr>
          <w:i/>
          <w:iCs/>
        </w:rPr>
        <w:t>People v</w:t>
      </w:r>
      <w:r>
        <w:rPr>
          <w:i/>
          <w:iCs/>
        </w:rPr>
        <w:t>.</w:t>
      </w:r>
      <w:r w:rsidRPr="00547468">
        <w:rPr>
          <w:i/>
          <w:iCs/>
        </w:rPr>
        <w:t xml:space="preserve"> Mai</w:t>
      </w:r>
      <w:r>
        <w:t xml:space="preserve"> (2013) 57 Cal.4th 986, 1009.)  </w:t>
      </w:r>
      <w:r w:rsidRPr="0039639E">
        <w:t xml:space="preserve"> </w:t>
      </w:r>
      <w:r>
        <w:t>In evaluating his claim, we “</w:t>
      </w:r>
      <w:r w:rsidRPr="00152838">
        <w:t>defer</w:t>
      </w:r>
      <w:r>
        <w:t>[]</w:t>
      </w:r>
      <w:r w:rsidRPr="00152838">
        <w:t xml:space="preserve"> to counsel</w:t>
      </w:r>
      <w:r>
        <w:t>’</w:t>
      </w:r>
      <w:r w:rsidRPr="00152838">
        <w:t>s reasonable tactical decisions</w:t>
      </w:r>
      <w:r>
        <w:t>”</w:t>
      </w:r>
      <w:r w:rsidRPr="00152838">
        <w:t xml:space="preserve"> and </w:t>
      </w:r>
      <w:r>
        <w:t>presume that “</w:t>
      </w:r>
      <w:r w:rsidRPr="00152838">
        <w:t>counsel acted within the wide range of reasonable professional assistance.</w:t>
      </w:r>
      <w:r>
        <w:t>”  (</w:t>
      </w:r>
      <w:r>
        <w:rPr>
          <w:i/>
          <w:iCs/>
        </w:rPr>
        <w:t>Ibid.</w:t>
      </w:r>
      <w:r>
        <w:t>)  Thus, defendant “ ‘</w:t>
      </w:r>
      <w:r w:rsidRPr="0003323A">
        <w:t xml:space="preserve">must overcome the presumption that, under the circumstances, the challenged action </w:t>
      </w:r>
      <w:r>
        <w:t>“</w:t>
      </w:r>
      <w:r w:rsidRPr="0003323A">
        <w:t>might be considered sound trial strategy.</w:t>
      </w:r>
      <w:r>
        <w:t>” ’ ”  (</w:t>
      </w:r>
      <w:r w:rsidRPr="00855587">
        <w:rPr>
          <w:i/>
          <w:iCs/>
        </w:rPr>
        <w:t>People v</w:t>
      </w:r>
      <w:r w:rsidR="0048034F">
        <w:rPr>
          <w:i/>
          <w:iCs/>
        </w:rPr>
        <w:t>.</w:t>
      </w:r>
      <w:r w:rsidRPr="00855587">
        <w:rPr>
          <w:i/>
          <w:iCs/>
        </w:rPr>
        <w:t xml:space="preserve"> Fairbank</w:t>
      </w:r>
      <w:r>
        <w:t xml:space="preserve"> (1997) 16 Cal.4th 1223, 1243, quoting </w:t>
      </w:r>
      <w:r w:rsidRPr="00FC064A">
        <w:rPr>
          <w:i/>
          <w:iCs/>
        </w:rPr>
        <w:t>Strickland v. Washington</w:t>
      </w:r>
      <w:r>
        <w:rPr>
          <w:i/>
          <w:iCs/>
        </w:rPr>
        <w:t xml:space="preserve"> </w:t>
      </w:r>
      <w:r>
        <w:t xml:space="preserve">(1984) </w:t>
      </w:r>
      <w:r w:rsidRPr="00FC064A">
        <w:t xml:space="preserve">466 U.S. </w:t>
      </w:r>
      <w:r>
        <w:t xml:space="preserve">668, </w:t>
      </w:r>
      <w:r w:rsidRPr="00FC064A">
        <w:t>689</w:t>
      </w:r>
      <w:r>
        <w:t>.)  His burden in this regard “is difficult to carry” in this case, because this is a direct appeal and the record does not disclose the reason for counsel’s failure to object.  (</w:t>
      </w:r>
      <w:r w:rsidRPr="00F63098">
        <w:rPr>
          <w:i/>
          <w:iCs/>
        </w:rPr>
        <w:t>People v</w:t>
      </w:r>
      <w:r>
        <w:rPr>
          <w:i/>
          <w:iCs/>
        </w:rPr>
        <w:t>.</w:t>
      </w:r>
      <w:r w:rsidRPr="00F63098">
        <w:rPr>
          <w:i/>
          <w:iCs/>
        </w:rPr>
        <w:t xml:space="preserve"> </w:t>
      </w:r>
      <w:r>
        <w:rPr>
          <w:i/>
          <w:iCs/>
        </w:rPr>
        <w:t>L</w:t>
      </w:r>
      <w:r w:rsidRPr="00F63098">
        <w:rPr>
          <w:i/>
          <w:iCs/>
        </w:rPr>
        <w:t>ucas</w:t>
      </w:r>
      <w:r>
        <w:t xml:space="preserve"> (1995) 12 Cal.4th 415, 437.)  For those reasons, we may reverse “</w:t>
      </w:r>
      <w:r w:rsidRPr="00211EE7">
        <w:t>only if (1) the record affirmatively discloses counsel had no rational tactical purpose for the challenged act or omission, (2) counsel was asked for a reason and failed to provide one, or (3) there simply could be no satisfactory explanation.</w:t>
      </w:r>
      <w:r>
        <w:t>”  (</w:t>
      </w:r>
      <w:r>
        <w:rPr>
          <w:i/>
          <w:iCs/>
        </w:rPr>
        <w:t>Mai</w:t>
      </w:r>
      <w:r>
        <w:t xml:space="preserve">, at p. 1009; see </w:t>
      </w:r>
      <w:r w:rsidRPr="007E661F">
        <w:rPr>
          <w:i/>
          <w:iCs/>
        </w:rPr>
        <w:t>People v. Earp</w:t>
      </w:r>
      <w:r>
        <w:t xml:space="preserve"> (1999) 20 Cal.4th 826, 896 [“</w:t>
      </w:r>
      <w:r w:rsidRPr="00552309">
        <w:t>When</w:t>
      </w:r>
      <w:r>
        <w:t xml:space="preserve"> . . . </w:t>
      </w:r>
      <w:r w:rsidRPr="00552309">
        <w:t>defense counsel</w:t>
      </w:r>
      <w:r>
        <w:t>’</w:t>
      </w:r>
      <w:r w:rsidRPr="00552309">
        <w:t xml:space="preserve">s reasons for conducting the defense case in a </w:t>
      </w:r>
      <w:proofErr w:type="gramStart"/>
      <w:r w:rsidRPr="00552309">
        <w:t>particular way</w:t>
      </w:r>
      <w:proofErr w:type="gramEnd"/>
      <w:r w:rsidRPr="00552309">
        <w:t xml:space="preserve"> are not readily apparent from the record, we will not assume inadequacy of representation unless there could have been </w:t>
      </w:r>
      <w:r>
        <w:t>‘ “</w:t>
      </w:r>
      <w:r w:rsidRPr="00552309">
        <w:t>no conceivable tactical purpose</w:t>
      </w:r>
      <w:r>
        <w:t>” ’</w:t>
      </w:r>
      <w:r w:rsidRPr="00552309">
        <w:t xml:space="preserve"> for counsel</w:t>
      </w:r>
      <w:r>
        <w:t>’</w:t>
      </w:r>
      <w:r w:rsidRPr="00552309">
        <w:t>s actions</w:t>
      </w:r>
      <w:r>
        <w:t xml:space="preserve">”].)  </w:t>
      </w:r>
      <w:r w:rsidRPr="00460EEF">
        <w:t>Th</w:t>
      </w:r>
      <w:r>
        <w:t>is</w:t>
      </w:r>
      <w:r w:rsidRPr="00460EEF">
        <w:t xml:space="preserve"> rule </w:t>
      </w:r>
      <w:r>
        <w:t>“</w:t>
      </w:r>
      <w:r w:rsidRPr="00460EEF">
        <w:t>is particularly apt</w:t>
      </w:r>
      <w:r>
        <w:t>” where, as here, “</w:t>
      </w:r>
      <w:r w:rsidRPr="00460EEF">
        <w:t>the asserted deficiency arises from defense counsel</w:t>
      </w:r>
      <w:r>
        <w:t>’</w:t>
      </w:r>
      <w:r w:rsidRPr="00460EEF">
        <w:t xml:space="preserve">s failure to object. </w:t>
      </w:r>
      <w:r>
        <w:t xml:space="preserve"> ‘</w:t>
      </w:r>
      <w:r w:rsidRPr="00460EEF">
        <w:t xml:space="preserve">[D]eciding whether to object is inherently tactical, and the failure to object will rarely </w:t>
      </w:r>
      <w:r w:rsidRPr="00460EEF">
        <w:lastRenderedPageBreak/>
        <w:t>establish ineffective assistance.</w:t>
      </w:r>
      <w:r>
        <w:t>’ </w:t>
      </w:r>
      <w:r w:rsidRPr="00460EEF">
        <w:t>”</w:t>
      </w:r>
      <w:r>
        <w:t xml:space="preserve">  (</w:t>
      </w:r>
      <w:r w:rsidRPr="003F1722">
        <w:rPr>
          <w:i/>
          <w:iCs/>
        </w:rPr>
        <w:t>People v. Salcido</w:t>
      </w:r>
      <w:r w:rsidRPr="00692D80">
        <w:t xml:space="preserve"> (2008) 44 Cal.4th 93</w:t>
      </w:r>
      <w:r>
        <w:t>, 172.)</w:t>
      </w:r>
    </w:p>
    <w:p w14:paraId="5D652346" w14:textId="305EE05E" w:rsidR="00711A2C" w:rsidRDefault="00711A2C" w:rsidP="00420D35">
      <w:pPr>
        <w:tabs>
          <w:tab w:val="left" w:pos="1440"/>
        </w:tabs>
        <w:ind w:firstLine="720"/>
      </w:pPr>
      <w:r>
        <w:t xml:space="preserve">Defendant has failed to carry his burden because </w:t>
      </w:r>
      <w:r w:rsidRPr="00211EE7">
        <w:t xml:space="preserve">counsel was </w:t>
      </w:r>
      <w:r>
        <w:t xml:space="preserve">not </w:t>
      </w:r>
      <w:r w:rsidRPr="00211EE7">
        <w:t xml:space="preserve">asked </w:t>
      </w:r>
      <w:r>
        <w:t xml:space="preserve">why he failed to object, </w:t>
      </w:r>
      <w:r w:rsidRPr="00211EE7">
        <w:t xml:space="preserve">the record </w:t>
      </w:r>
      <w:r>
        <w:t xml:space="preserve">does not </w:t>
      </w:r>
      <w:r w:rsidRPr="00211EE7">
        <w:t xml:space="preserve">affirmatively disclose </w:t>
      </w:r>
      <w:r>
        <w:t xml:space="preserve">that counsel </w:t>
      </w:r>
      <w:r w:rsidRPr="00211EE7">
        <w:t xml:space="preserve">had no rational tactical purpose </w:t>
      </w:r>
      <w:r w:rsidR="009A55BB">
        <w:t xml:space="preserve">for </w:t>
      </w:r>
      <w:r>
        <w:t xml:space="preserve">the </w:t>
      </w:r>
      <w:r w:rsidRPr="00211EE7">
        <w:t xml:space="preserve">omission, </w:t>
      </w:r>
      <w:r>
        <w:t xml:space="preserve">and we are not convinced </w:t>
      </w:r>
      <w:r w:rsidRPr="005854E0">
        <w:t xml:space="preserve">there could be no </w:t>
      </w:r>
      <w:r>
        <w:t>satisfactory explanation.  Counsel could have concluded, based on his exp</w:t>
      </w:r>
      <w:r w:rsidRPr="002037BF">
        <w:t>erience with F.R.’s testimony, that the repositioned monitor — which did not interfere with defense counsel’s view of F.R., did not prevent defendant from hearing F.R., did not prevent F.R. from testifying that she saw defendant in the courtroom, and did not preclude F.R. from describing where defendant was sitting and what he was wearing — had no meaningful impact on defendant’s right of confrontation or on his ability to as</w:t>
      </w:r>
      <w:r>
        <w:t xml:space="preserve">sist his counsel, and that any benefit from preventing the accommodation’s use for </w:t>
      </w:r>
      <w:r w:rsidR="00645700">
        <w:t>Ar.R</w:t>
      </w:r>
      <w:r w:rsidRPr="00CB3B58">
        <w:t xml:space="preserve"> and </w:t>
      </w:r>
      <w:r w:rsidR="00645700">
        <w:t>An.R</w:t>
      </w:r>
      <w:r>
        <w:t xml:space="preserve"> therefore did not outweigh the risk of upsetting them during their testimony and arousing sympathy for them with jurors that might work to defendant’s detriment and prejudice his case.  In other words, counsel could have concluded, based on his experience with F.R., that taking steps to minimize any trauma to </w:t>
      </w:r>
      <w:r w:rsidR="00645700">
        <w:t>Ar.R</w:t>
      </w:r>
      <w:r w:rsidRPr="00CB3B58">
        <w:t xml:space="preserve"> and </w:t>
      </w:r>
      <w:r w:rsidR="00645700">
        <w:t>An.R</w:t>
      </w:r>
      <w:r>
        <w:t xml:space="preserve"> was </w:t>
      </w:r>
      <w:proofErr w:type="gramStart"/>
      <w:r>
        <w:t>actually in</w:t>
      </w:r>
      <w:proofErr w:type="gramEnd"/>
      <w:r>
        <w:t xml:space="preserve"> defendant’s best interests.  Because this rational tactical reason could account for counsel’s failure to object, defendant’s ineffective assistance claim fails.  And because defendant does not claim that the error with respect to F.R. prejudiced him with respect to the convictions involving acts against </w:t>
      </w:r>
      <w:r w:rsidR="00645700">
        <w:t>Ar.R</w:t>
      </w:r>
      <w:r w:rsidRPr="00CB3B58">
        <w:t xml:space="preserve"> and </w:t>
      </w:r>
      <w:r w:rsidR="00645700">
        <w:t>An.R</w:t>
      </w:r>
      <w:r>
        <w:t>, there is no basis to reverse those convictions.</w:t>
      </w:r>
    </w:p>
    <w:p w14:paraId="0C072A25" w14:textId="77777777" w:rsidR="00711A2C" w:rsidRPr="00756C2A" w:rsidRDefault="00711A2C" w:rsidP="00420D35">
      <w:pPr>
        <w:pStyle w:val="Heading1"/>
        <w:spacing w:line="400" w:lineRule="exact"/>
        <w:rPr>
          <w:bCs/>
        </w:rPr>
      </w:pPr>
      <w:r w:rsidRPr="00756C2A">
        <w:rPr>
          <w:bCs/>
        </w:rPr>
        <w:lastRenderedPageBreak/>
        <w:t>III.  Disposition</w:t>
      </w:r>
    </w:p>
    <w:p w14:paraId="1FDDDD85" w14:textId="24D797CC" w:rsidR="0061201F" w:rsidRPr="00E360E5" w:rsidRDefault="00711A2C" w:rsidP="0061201F">
      <w:pPr>
        <w:tabs>
          <w:tab w:val="left" w:pos="1440"/>
        </w:tabs>
        <w:ind w:firstLine="720"/>
      </w:pPr>
      <w:r>
        <w:t xml:space="preserve">For the reasons set forth above, we reverse defendant’s convictions on </w:t>
      </w:r>
      <w:r w:rsidRPr="005E4A53">
        <w:t>counts 3, 4, and 5</w:t>
      </w:r>
      <w:r>
        <w:t>, we affirm the remainder of defendant’s convictions, and we remand for resentencing on counts 1, 12, and 14 (as the Court of Appeal ordered) and for further proceedings consistent with this opinion.</w:t>
      </w:r>
      <w:bookmarkStart w:id="14" w:name="_Hlk17726708"/>
      <w:bookmarkEnd w:id="1"/>
      <w:r w:rsidR="0061201F" w:rsidRPr="0061201F">
        <w:t xml:space="preserve"> </w:t>
      </w:r>
    </w:p>
    <w:p w14:paraId="1D87F0F0" w14:textId="77777777" w:rsidR="0061201F" w:rsidRPr="001574EF" w:rsidRDefault="0061201F" w:rsidP="0061201F">
      <w:pPr>
        <w:keepNext/>
        <w:keepLines/>
        <w:tabs>
          <w:tab w:val="left" w:pos="5760"/>
        </w:tabs>
        <w:ind w:firstLine="5760"/>
        <w:rPr>
          <w:b/>
        </w:rPr>
      </w:pPr>
      <w:r w:rsidRPr="001574EF">
        <w:rPr>
          <w:b/>
        </w:rPr>
        <w:t>CHIN, J.</w:t>
      </w:r>
    </w:p>
    <w:p w14:paraId="0332F4D1" w14:textId="77777777" w:rsidR="0061201F" w:rsidRPr="00EF3B82" w:rsidRDefault="0061201F" w:rsidP="0061201F">
      <w:pPr>
        <w:pStyle w:val="NormalIndent"/>
        <w:spacing w:before="120" w:after="240"/>
        <w:ind w:left="0"/>
        <w:rPr>
          <w:b/>
        </w:rPr>
      </w:pPr>
      <w:r w:rsidRPr="00EF3B82">
        <w:rPr>
          <w:b/>
        </w:rPr>
        <w:t>We Concur:</w:t>
      </w:r>
    </w:p>
    <w:p w14:paraId="54E6B04B" w14:textId="77777777" w:rsidR="0061201F" w:rsidRPr="00EF3B82" w:rsidRDefault="0061201F" w:rsidP="0061201F">
      <w:pPr>
        <w:pStyle w:val="NormalIndent"/>
        <w:spacing w:after="0" w:line="240" w:lineRule="auto"/>
        <w:ind w:left="0"/>
        <w:rPr>
          <w:b/>
        </w:rPr>
      </w:pPr>
      <w:bookmarkStart w:id="15" w:name="author"/>
      <w:bookmarkStart w:id="16" w:name="initials"/>
      <w:bookmarkEnd w:id="15"/>
      <w:bookmarkEnd w:id="16"/>
      <w:r w:rsidRPr="00EF3B82">
        <w:rPr>
          <w:b/>
        </w:rPr>
        <w:t>CANTIL-SAKAUYE, C. J.</w:t>
      </w:r>
    </w:p>
    <w:p w14:paraId="31061A32" w14:textId="77777777" w:rsidR="0061201F" w:rsidRPr="00EF3B82" w:rsidRDefault="0061201F" w:rsidP="0061201F">
      <w:pPr>
        <w:pStyle w:val="NormalIndent"/>
        <w:spacing w:after="0" w:line="240" w:lineRule="auto"/>
        <w:ind w:left="0"/>
        <w:rPr>
          <w:b/>
        </w:rPr>
      </w:pPr>
      <w:r w:rsidRPr="00EF3B82">
        <w:rPr>
          <w:b/>
        </w:rPr>
        <w:t>CORRIGAN, J.</w:t>
      </w:r>
    </w:p>
    <w:p w14:paraId="5227BEB0" w14:textId="77777777" w:rsidR="0061201F" w:rsidRPr="00EF3B82" w:rsidRDefault="0061201F" w:rsidP="0061201F">
      <w:pPr>
        <w:pStyle w:val="NormalIndent"/>
        <w:spacing w:after="0" w:line="240" w:lineRule="auto"/>
        <w:ind w:left="0"/>
        <w:rPr>
          <w:b/>
        </w:rPr>
      </w:pPr>
      <w:r w:rsidRPr="00EF3B82">
        <w:rPr>
          <w:b/>
        </w:rPr>
        <w:t>LIU, J.</w:t>
      </w:r>
    </w:p>
    <w:p w14:paraId="59CB4D90" w14:textId="77777777" w:rsidR="0061201F" w:rsidRPr="00EF3B82" w:rsidRDefault="0061201F" w:rsidP="0061201F">
      <w:pPr>
        <w:pStyle w:val="NormalIndent"/>
        <w:spacing w:after="0" w:line="240" w:lineRule="auto"/>
        <w:ind w:left="0"/>
        <w:rPr>
          <w:b/>
        </w:rPr>
      </w:pPr>
      <w:r w:rsidRPr="00EF3B82">
        <w:rPr>
          <w:b/>
        </w:rPr>
        <w:t>CUÉLLAR, J.</w:t>
      </w:r>
    </w:p>
    <w:p w14:paraId="676B6F2B" w14:textId="77777777" w:rsidR="0061201F" w:rsidRPr="00EF3B82" w:rsidRDefault="0061201F" w:rsidP="0061201F">
      <w:pPr>
        <w:pStyle w:val="NormalIndent"/>
        <w:spacing w:after="0" w:line="240" w:lineRule="auto"/>
        <w:ind w:left="0"/>
        <w:rPr>
          <w:b/>
        </w:rPr>
      </w:pPr>
      <w:r>
        <w:rPr>
          <w:b/>
        </w:rPr>
        <w:t>KRUGER</w:t>
      </w:r>
      <w:r w:rsidRPr="00EF3B82">
        <w:rPr>
          <w:b/>
        </w:rPr>
        <w:t>, J.</w:t>
      </w:r>
    </w:p>
    <w:p w14:paraId="1F94A701" w14:textId="77777777" w:rsidR="0061201F" w:rsidRPr="00EF3B82" w:rsidRDefault="0061201F" w:rsidP="0061201F">
      <w:pPr>
        <w:pStyle w:val="NormalIndent"/>
        <w:spacing w:after="0" w:line="240" w:lineRule="auto"/>
        <w:ind w:left="0"/>
        <w:rPr>
          <w:b/>
        </w:rPr>
      </w:pPr>
      <w:r>
        <w:rPr>
          <w:b/>
        </w:rPr>
        <w:t>GROBAN</w:t>
      </w:r>
      <w:r w:rsidRPr="00EF3B82">
        <w:rPr>
          <w:b/>
        </w:rPr>
        <w:t>, J.</w:t>
      </w:r>
    </w:p>
    <w:bookmarkEnd w:id="14"/>
    <w:p w14:paraId="497F4220" w14:textId="77777777" w:rsidR="007770B7" w:rsidRDefault="007770B7" w:rsidP="0061201F">
      <w:pPr>
        <w:tabs>
          <w:tab w:val="left" w:pos="1440"/>
        </w:tabs>
        <w:ind w:firstLine="720"/>
        <w:sectPr w:rsidR="007770B7" w:rsidSect="00304393">
          <w:footerReference w:type="first" r:id="rId11"/>
          <w:footnotePr>
            <w:numRestart w:val="eachSect"/>
          </w:footnotePr>
          <w:pgSz w:w="12240" w:h="15840"/>
          <w:pgMar w:top="1800" w:right="2160" w:bottom="1440" w:left="2160" w:header="720" w:footer="720" w:gutter="0"/>
          <w:pgNumType w:start="1"/>
          <w:cols w:space="720"/>
          <w:titlePg/>
          <w:docGrid w:linePitch="367"/>
        </w:sectPr>
      </w:pPr>
    </w:p>
    <w:p w14:paraId="4F5327C0" w14:textId="77777777" w:rsidR="007770B7" w:rsidRPr="007770B7" w:rsidRDefault="007770B7" w:rsidP="007770B7">
      <w:pPr>
        <w:spacing w:after="0" w:line="240" w:lineRule="auto"/>
        <w:jc w:val="left"/>
        <w:rPr>
          <w:rFonts w:ascii="Times New Roman" w:hAnsi="Times New Roman"/>
          <w:i/>
          <w:sz w:val="20"/>
        </w:rPr>
      </w:pPr>
      <w:r w:rsidRPr="007770B7">
        <w:rPr>
          <w:rFonts w:ascii="Times New Roman" w:hAnsi="Times New Roman"/>
          <w:i/>
          <w:sz w:val="20"/>
        </w:rPr>
        <w:lastRenderedPageBreak/>
        <w:t>See next page for addresses and telephone numbers for counsel who argued in Supreme Court.</w:t>
      </w:r>
    </w:p>
    <w:p w14:paraId="4428CBA3" w14:textId="77777777" w:rsidR="007770B7" w:rsidRPr="007770B7" w:rsidRDefault="007770B7" w:rsidP="007770B7">
      <w:pPr>
        <w:spacing w:after="0" w:line="240" w:lineRule="auto"/>
        <w:jc w:val="left"/>
        <w:rPr>
          <w:rFonts w:ascii="Times New Roman" w:hAnsi="Times New Roman"/>
          <w:i/>
          <w:sz w:val="20"/>
        </w:rPr>
      </w:pPr>
    </w:p>
    <w:p w14:paraId="6C1912B7"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t xml:space="preserve">Name of Opinion  </w:t>
      </w:r>
      <w:r w:rsidRPr="007770B7">
        <w:rPr>
          <w:rFonts w:ascii="Times New Roman" w:hAnsi="Times New Roman"/>
          <w:sz w:val="20"/>
        </w:rPr>
        <w:t xml:space="preserve">People v. Arredondo </w:t>
      </w:r>
      <w:r w:rsidRPr="007770B7">
        <w:rPr>
          <w:rFonts w:ascii="Times New Roman" w:hAnsi="Times New Roman"/>
          <w:b/>
          <w:sz w:val="20"/>
        </w:rPr>
        <w:t>__________________________________________________________________________________</w:t>
      </w:r>
    </w:p>
    <w:p w14:paraId="18EFE2E8" w14:textId="77777777" w:rsidR="007770B7" w:rsidRPr="007770B7" w:rsidRDefault="007770B7" w:rsidP="007770B7">
      <w:pPr>
        <w:spacing w:after="0" w:line="240" w:lineRule="auto"/>
        <w:jc w:val="left"/>
        <w:rPr>
          <w:rFonts w:ascii="Times New Roman" w:hAnsi="Times New Roman"/>
          <w:b/>
          <w:sz w:val="20"/>
        </w:rPr>
      </w:pPr>
    </w:p>
    <w:p w14:paraId="45E08B77" w14:textId="77777777" w:rsidR="007770B7" w:rsidRPr="007770B7" w:rsidRDefault="007770B7" w:rsidP="007770B7">
      <w:pPr>
        <w:spacing w:after="0" w:line="240" w:lineRule="auto"/>
        <w:jc w:val="left"/>
        <w:rPr>
          <w:rFonts w:ascii="Times New Roman" w:hAnsi="Times New Roman"/>
          <w:bCs/>
          <w:sz w:val="20"/>
        </w:rPr>
      </w:pPr>
      <w:r w:rsidRPr="007770B7">
        <w:rPr>
          <w:rFonts w:ascii="Times New Roman" w:hAnsi="Times New Roman"/>
          <w:b/>
          <w:sz w:val="20"/>
        </w:rPr>
        <w:t>Unpublished Opinion</w:t>
      </w:r>
    </w:p>
    <w:p w14:paraId="52531C03" w14:textId="77777777" w:rsidR="007770B7" w:rsidRPr="007770B7" w:rsidRDefault="007770B7" w:rsidP="007770B7">
      <w:pPr>
        <w:spacing w:after="0" w:line="240" w:lineRule="auto"/>
        <w:jc w:val="left"/>
        <w:rPr>
          <w:rFonts w:ascii="Times New Roman" w:hAnsi="Times New Roman"/>
          <w:sz w:val="20"/>
        </w:rPr>
      </w:pPr>
      <w:r w:rsidRPr="007770B7">
        <w:rPr>
          <w:rFonts w:ascii="Times New Roman" w:hAnsi="Times New Roman"/>
          <w:b/>
          <w:sz w:val="20"/>
        </w:rPr>
        <w:t>Original Appeal</w:t>
      </w:r>
    </w:p>
    <w:p w14:paraId="59667961"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t xml:space="preserve">Original Proceeding </w:t>
      </w:r>
    </w:p>
    <w:p w14:paraId="4B4B535B" w14:textId="77777777" w:rsidR="007770B7" w:rsidRPr="007770B7" w:rsidRDefault="007770B7" w:rsidP="007770B7">
      <w:pPr>
        <w:spacing w:after="0" w:line="240" w:lineRule="auto"/>
        <w:jc w:val="left"/>
        <w:rPr>
          <w:rFonts w:ascii="Times New Roman" w:hAnsi="Times New Roman"/>
          <w:sz w:val="20"/>
        </w:rPr>
      </w:pPr>
      <w:r w:rsidRPr="007770B7">
        <w:rPr>
          <w:rFonts w:ascii="Times New Roman" w:hAnsi="Times New Roman"/>
          <w:b/>
          <w:sz w:val="20"/>
        </w:rPr>
        <w:t xml:space="preserve">Review Granted  </w:t>
      </w:r>
      <w:r w:rsidRPr="007770B7">
        <w:rPr>
          <w:rFonts w:ascii="Times New Roman" w:hAnsi="Times New Roman"/>
          <w:sz w:val="20"/>
        </w:rPr>
        <w:t>XXX</w:t>
      </w:r>
      <w:r w:rsidRPr="007770B7">
        <w:rPr>
          <w:rFonts w:ascii="Times New Roman" w:hAnsi="Times New Roman"/>
          <w:b/>
          <w:sz w:val="20"/>
        </w:rPr>
        <w:t xml:space="preserve"> </w:t>
      </w:r>
      <w:r w:rsidRPr="007770B7">
        <w:rPr>
          <w:rFonts w:ascii="Times New Roman" w:hAnsi="Times New Roman"/>
          <w:sz w:val="20"/>
        </w:rPr>
        <w:t>13 Cal.App.5th 950</w:t>
      </w:r>
    </w:p>
    <w:p w14:paraId="23C9B116"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t>Rehearing Granted</w:t>
      </w:r>
    </w:p>
    <w:p w14:paraId="0B9B6978"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t>__________________________________________________________________________________</w:t>
      </w:r>
    </w:p>
    <w:p w14:paraId="6429D737" w14:textId="77777777" w:rsidR="007770B7" w:rsidRPr="007770B7" w:rsidRDefault="007770B7" w:rsidP="007770B7">
      <w:pPr>
        <w:spacing w:after="0" w:line="240" w:lineRule="auto"/>
        <w:jc w:val="left"/>
        <w:rPr>
          <w:rFonts w:ascii="Times New Roman" w:hAnsi="Times New Roman"/>
          <w:b/>
          <w:sz w:val="20"/>
        </w:rPr>
      </w:pPr>
    </w:p>
    <w:p w14:paraId="343242C8" w14:textId="77777777" w:rsidR="007770B7" w:rsidRPr="007770B7" w:rsidRDefault="007770B7" w:rsidP="007770B7">
      <w:pPr>
        <w:spacing w:after="0" w:line="240" w:lineRule="auto"/>
        <w:jc w:val="left"/>
        <w:rPr>
          <w:rFonts w:ascii="Times New Roman" w:hAnsi="Times New Roman"/>
          <w:bCs/>
          <w:sz w:val="20"/>
        </w:rPr>
      </w:pPr>
      <w:r w:rsidRPr="007770B7">
        <w:rPr>
          <w:rFonts w:ascii="Times New Roman" w:hAnsi="Times New Roman"/>
          <w:b/>
          <w:sz w:val="20"/>
        </w:rPr>
        <w:t>Opinion No.</w:t>
      </w:r>
      <w:r w:rsidRPr="007770B7">
        <w:rPr>
          <w:rFonts w:ascii="Times New Roman" w:hAnsi="Times New Roman"/>
          <w:sz w:val="20"/>
        </w:rPr>
        <w:t xml:space="preserve"> S244166</w:t>
      </w:r>
    </w:p>
    <w:p w14:paraId="0738B86B" w14:textId="77777777" w:rsidR="007770B7" w:rsidRPr="007770B7" w:rsidRDefault="007770B7" w:rsidP="007770B7">
      <w:pPr>
        <w:spacing w:after="0" w:line="240" w:lineRule="auto"/>
        <w:jc w:val="left"/>
        <w:rPr>
          <w:rFonts w:ascii="Times New Roman" w:hAnsi="Times New Roman"/>
          <w:bCs/>
          <w:sz w:val="20"/>
        </w:rPr>
      </w:pPr>
      <w:r w:rsidRPr="007770B7">
        <w:rPr>
          <w:rFonts w:ascii="Times New Roman" w:hAnsi="Times New Roman"/>
          <w:b/>
          <w:sz w:val="20"/>
        </w:rPr>
        <w:t>Date Filed:</w:t>
      </w:r>
      <w:r w:rsidRPr="007770B7">
        <w:rPr>
          <w:rFonts w:ascii="Times New Roman" w:hAnsi="Times New Roman"/>
          <w:sz w:val="20"/>
        </w:rPr>
        <w:t xml:space="preserve"> December 16, 2019</w:t>
      </w:r>
    </w:p>
    <w:p w14:paraId="26079878"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t>__________________________________________________________________________________</w:t>
      </w:r>
    </w:p>
    <w:p w14:paraId="0C7104E5" w14:textId="77777777" w:rsidR="007770B7" w:rsidRPr="007770B7" w:rsidRDefault="007770B7" w:rsidP="007770B7">
      <w:pPr>
        <w:spacing w:after="0" w:line="240" w:lineRule="auto"/>
        <w:jc w:val="left"/>
        <w:rPr>
          <w:rFonts w:ascii="Times New Roman" w:hAnsi="Times New Roman"/>
          <w:b/>
          <w:sz w:val="20"/>
        </w:rPr>
      </w:pPr>
    </w:p>
    <w:p w14:paraId="66D57BBD" w14:textId="77777777" w:rsidR="007770B7" w:rsidRPr="007770B7" w:rsidRDefault="007770B7" w:rsidP="007770B7">
      <w:pPr>
        <w:spacing w:after="0" w:line="240" w:lineRule="auto"/>
        <w:jc w:val="left"/>
        <w:rPr>
          <w:rFonts w:ascii="Times New Roman" w:hAnsi="Times New Roman"/>
          <w:bCs/>
          <w:sz w:val="20"/>
        </w:rPr>
      </w:pPr>
      <w:r w:rsidRPr="007770B7">
        <w:rPr>
          <w:rFonts w:ascii="Times New Roman" w:hAnsi="Times New Roman"/>
          <w:b/>
          <w:sz w:val="20"/>
        </w:rPr>
        <w:t xml:space="preserve">Court:  </w:t>
      </w:r>
      <w:r w:rsidRPr="007770B7">
        <w:rPr>
          <w:rFonts w:ascii="Times New Roman" w:hAnsi="Times New Roman"/>
          <w:sz w:val="20"/>
        </w:rPr>
        <w:t>Superior</w:t>
      </w:r>
    </w:p>
    <w:p w14:paraId="26F8E47E" w14:textId="77777777" w:rsidR="007770B7" w:rsidRPr="007770B7" w:rsidRDefault="007770B7" w:rsidP="007770B7">
      <w:pPr>
        <w:spacing w:after="0" w:line="240" w:lineRule="auto"/>
        <w:jc w:val="left"/>
        <w:rPr>
          <w:rFonts w:ascii="Times New Roman" w:hAnsi="Times New Roman"/>
          <w:bCs/>
          <w:sz w:val="20"/>
        </w:rPr>
      </w:pPr>
      <w:r w:rsidRPr="007770B7">
        <w:rPr>
          <w:rFonts w:ascii="Times New Roman" w:hAnsi="Times New Roman"/>
          <w:b/>
          <w:sz w:val="20"/>
        </w:rPr>
        <w:t xml:space="preserve">County:  </w:t>
      </w:r>
      <w:r w:rsidRPr="007770B7">
        <w:rPr>
          <w:rFonts w:ascii="Times New Roman" w:hAnsi="Times New Roman"/>
          <w:sz w:val="20"/>
        </w:rPr>
        <w:t>Riverside</w:t>
      </w:r>
    </w:p>
    <w:p w14:paraId="35627FA7" w14:textId="77777777" w:rsidR="007770B7" w:rsidRPr="007770B7" w:rsidRDefault="007770B7" w:rsidP="007770B7">
      <w:pPr>
        <w:spacing w:after="0" w:line="240" w:lineRule="auto"/>
        <w:ind w:left="720" w:hanging="720"/>
        <w:jc w:val="left"/>
        <w:rPr>
          <w:rFonts w:ascii="Times New Roman" w:hAnsi="Times New Roman"/>
          <w:bCs/>
          <w:sz w:val="20"/>
        </w:rPr>
      </w:pPr>
      <w:r w:rsidRPr="007770B7">
        <w:rPr>
          <w:rFonts w:ascii="Times New Roman" w:hAnsi="Times New Roman"/>
          <w:b/>
          <w:sz w:val="20"/>
        </w:rPr>
        <w:t xml:space="preserve">Judge:  </w:t>
      </w:r>
      <w:r w:rsidRPr="007770B7">
        <w:rPr>
          <w:rFonts w:ascii="Times New Roman" w:hAnsi="Times New Roman"/>
          <w:sz w:val="20"/>
        </w:rPr>
        <w:t>David A. Gunn</w:t>
      </w:r>
    </w:p>
    <w:p w14:paraId="1EC80741" w14:textId="77777777" w:rsidR="007770B7" w:rsidRPr="007770B7" w:rsidRDefault="007770B7" w:rsidP="007770B7">
      <w:pPr>
        <w:spacing w:after="0" w:line="240" w:lineRule="auto"/>
        <w:jc w:val="left"/>
        <w:rPr>
          <w:rFonts w:ascii="Times New Roman" w:hAnsi="Times New Roman"/>
          <w:b/>
          <w:sz w:val="20"/>
        </w:rPr>
      </w:pPr>
    </w:p>
    <w:p w14:paraId="7ACB1D6E"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t>__________________________________________________________________________________</w:t>
      </w:r>
    </w:p>
    <w:p w14:paraId="5D34F67A" w14:textId="77777777" w:rsidR="007770B7" w:rsidRPr="007770B7" w:rsidRDefault="007770B7" w:rsidP="007770B7">
      <w:pPr>
        <w:spacing w:after="0" w:line="240" w:lineRule="auto"/>
        <w:jc w:val="left"/>
        <w:rPr>
          <w:rFonts w:ascii="Times New Roman" w:hAnsi="Times New Roman"/>
          <w:b/>
          <w:sz w:val="20"/>
        </w:rPr>
      </w:pPr>
    </w:p>
    <w:p w14:paraId="53E0875A"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t>Counsel:</w:t>
      </w:r>
    </w:p>
    <w:p w14:paraId="67B56A26" w14:textId="77777777" w:rsidR="007770B7" w:rsidRPr="007770B7" w:rsidRDefault="007770B7" w:rsidP="007770B7">
      <w:pPr>
        <w:spacing w:after="0" w:line="240" w:lineRule="auto"/>
        <w:jc w:val="left"/>
        <w:rPr>
          <w:rFonts w:ascii="Times New Roman" w:hAnsi="Times New Roman"/>
          <w:b/>
          <w:sz w:val="20"/>
        </w:rPr>
      </w:pPr>
    </w:p>
    <w:p w14:paraId="35B62792" w14:textId="77777777" w:rsidR="007770B7" w:rsidRPr="007770B7" w:rsidRDefault="007770B7" w:rsidP="007770B7">
      <w:pPr>
        <w:spacing w:after="0" w:line="240" w:lineRule="auto"/>
        <w:jc w:val="left"/>
        <w:rPr>
          <w:rFonts w:ascii="Times New Roman" w:hAnsi="Times New Roman"/>
          <w:color w:val="373739"/>
          <w:sz w:val="20"/>
          <w:shd w:val="clear" w:color="auto" w:fill="FFFFFF"/>
        </w:rPr>
      </w:pPr>
      <w:r w:rsidRPr="007770B7">
        <w:rPr>
          <w:rFonts w:ascii="Times New Roman" w:hAnsi="Times New Roman"/>
          <w:color w:val="373739"/>
          <w:sz w:val="20"/>
          <w:shd w:val="clear" w:color="auto" w:fill="FFFFFF"/>
        </w:rPr>
        <w:t>Steven A. Torres, under appointment by the Supreme Court, for Defendant and Appellant.</w:t>
      </w:r>
      <w:r w:rsidRPr="007770B7">
        <w:rPr>
          <w:rFonts w:ascii="Times New Roman" w:hAnsi="Times New Roman"/>
          <w:color w:val="373739"/>
          <w:sz w:val="20"/>
        </w:rPr>
        <w:br/>
      </w:r>
      <w:r w:rsidRPr="007770B7">
        <w:rPr>
          <w:rFonts w:ascii="Times New Roman" w:hAnsi="Times New Roman"/>
          <w:color w:val="373739"/>
          <w:sz w:val="20"/>
        </w:rPr>
        <w:br/>
      </w:r>
      <w:r w:rsidRPr="007770B7">
        <w:rPr>
          <w:rFonts w:ascii="Times New Roman" w:hAnsi="Times New Roman"/>
          <w:color w:val="373739"/>
          <w:sz w:val="20"/>
          <w:shd w:val="clear" w:color="auto" w:fill="FFFFFF"/>
        </w:rPr>
        <w:t>Kamala D. Harris and Xavier Becerra, Attorneys General, Gerald A. Engler, Chief Assistant Attorney General, Julie L. Garland, Assistant Attorney General, Michael Johnson, Deputy State Solicitor General, Steven T. Oetting, Meredith S. White, A. Natasha Cortina, Meagan Beale and Annie Featherman Fraser, Deputy Attorneys General, for Plaintiff and Respondent.</w:t>
      </w:r>
    </w:p>
    <w:p w14:paraId="2818D7DE" w14:textId="77777777" w:rsidR="007770B7" w:rsidRPr="007770B7" w:rsidRDefault="007770B7" w:rsidP="007770B7">
      <w:pPr>
        <w:spacing w:after="0" w:line="240" w:lineRule="auto"/>
        <w:jc w:val="left"/>
        <w:rPr>
          <w:rFonts w:ascii="Times New Roman" w:hAnsi="Times New Roman"/>
          <w:b/>
          <w:sz w:val="20"/>
        </w:rPr>
      </w:pPr>
    </w:p>
    <w:p w14:paraId="5C1E3298"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color w:val="373739"/>
          <w:sz w:val="20"/>
        </w:rPr>
        <w:t>Kent S. Scheidegger and Kymberlee S. Stapleton for Criminal Justice Legal Foundation as Amicus Curiae on behalf of Plaintiff and Respondent.</w:t>
      </w:r>
    </w:p>
    <w:p w14:paraId="0D87CDFC" w14:textId="77777777" w:rsidR="007770B7" w:rsidRPr="007770B7" w:rsidRDefault="007770B7" w:rsidP="007770B7">
      <w:pPr>
        <w:spacing w:after="0" w:line="240" w:lineRule="auto"/>
        <w:jc w:val="left"/>
        <w:rPr>
          <w:rFonts w:ascii="Times New Roman" w:hAnsi="Times New Roman"/>
          <w:b/>
          <w:sz w:val="20"/>
        </w:rPr>
      </w:pPr>
    </w:p>
    <w:p w14:paraId="2DF5EB14" w14:textId="77777777" w:rsidR="007770B7" w:rsidRPr="007770B7" w:rsidRDefault="007770B7" w:rsidP="007770B7">
      <w:pPr>
        <w:spacing w:after="0" w:line="240" w:lineRule="auto"/>
        <w:jc w:val="left"/>
        <w:rPr>
          <w:rFonts w:ascii="Times New Roman" w:hAnsi="Times New Roman"/>
          <w:sz w:val="20"/>
        </w:rPr>
      </w:pPr>
    </w:p>
    <w:p w14:paraId="4E483063" w14:textId="77777777" w:rsidR="007770B7" w:rsidRPr="007770B7" w:rsidRDefault="007770B7" w:rsidP="007770B7">
      <w:pPr>
        <w:spacing w:after="0" w:line="240" w:lineRule="auto"/>
        <w:jc w:val="left"/>
        <w:rPr>
          <w:rFonts w:ascii="Times New Roman" w:hAnsi="Times New Roman"/>
          <w:sz w:val="20"/>
        </w:rPr>
      </w:pPr>
    </w:p>
    <w:p w14:paraId="427522CD" w14:textId="77777777" w:rsidR="007770B7" w:rsidRPr="007770B7" w:rsidRDefault="007770B7" w:rsidP="007770B7">
      <w:pPr>
        <w:spacing w:after="0" w:line="240" w:lineRule="auto"/>
        <w:jc w:val="left"/>
        <w:rPr>
          <w:rFonts w:ascii="Times New Roman" w:hAnsi="Times New Roman"/>
          <w:sz w:val="20"/>
        </w:rPr>
      </w:pPr>
    </w:p>
    <w:p w14:paraId="22C4EE56" w14:textId="77777777" w:rsidR="007770B7" w:rsidRPr="007770B7" w:rsidRDefault="007770B7" w:rsidP="007770B7">
      <w:pPr>
        <w:spacing w:after="0" w:line="240" w:lineRule="auto"/>
        <w:jc w:val="left"/>
        <w:rPr>
          <w:rFonts w:ascii="Times New Roman" w:hAnsi="Times New Roman"/>
          <w:sz w:val="20"/>
        </w:rPr>
      </w:pPr>
    </w:p>
    <w:p w14:paraId="77F8273D" w14:textId="77777777" w:rsidR="007770B7" w:rsidRPr="007770B7" w:rsidRDefault="007770B7" w:rsidP="007770B7">
      <w:pPr>
        <w:spacing w:after="0" w:line="240" w:lineRule="auto"/>
        <w:jc w:val="left"/>
        <w:rPr>
          <w:rFonts w:ascii="Times New Roman" w:hAnsi="Times New Roman"/>
          <w:b/>
          <w:sz w:val="20"/>
        </w:rPr>
      </w:pPr>
    </w:p>
    <w:p w14:paraId="060652BD" w14:textId="77777777" w:rsidR="007770B7" w:rsidRPr="007770B7" w:rsidRDefault="007770B7" w:rsidP="007770B7">
      <w:pPr>
        <w:spacing w:after="0" w:line="240" w:lineRule="auto"/>
        <w:jc w:val="left"/>
        <w:rPr>
          <w:rFonts w:ascii="Times New Roman" w:hAnsi="Times New Roman"/>
          <w:b/>
          <w:sz w:val="20"/>
        </w:rPr>
      </w:pPr>
    </w:p>
    <w:p w14:paraId="3BA0CEA3" w14:textId="77777777" w:rsidR="007770B7" w:rsidRPr="007770B7" w:rsidRDefault="007770B7" w:rsidP="007770B7">
      <w:pPr>
        <w:spacing w:after="0" w:line="240" w:lineRule="auto"/>
        <w:jc w:val="left"/>
        <w:rPr>
          <w:rFonts w:ascii="Times New Roman" w:hAnsi="Times New Roman"/>
          <w:b/>
          <w:sz w:val="20"/>
        </w:rPr>
      </w:pPr>
    </w:p>
    <w:p w14:paraId="232422FA"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br w:type="page"/>
      </w:r>
    </w:p>
    <w:p w14:paraId="3C5E898B" w14:textId="77777777" w:rsidR="007770B7" w:rsidRPr="007770B7" w:rsidRDefault="007770B7" w:rsidP="007770B7">
      <w:pPr>
        <w:spacing w:after="0" w:line="240" w:lineRule="auto"/>
        <w:jc w:val="left"/>
        <w:rPr>
          <w:rFonts w:ascii="Times New Roman" w:hAnsi="Times New Roman"/>
          <w:b/>
          <w:sz w:val="20"/>
        </w:rPr>
      </w:pPr>
    </w:p>
    <w:p w14:paraId="11CF603B" w14:textId="77777777" w:rsidR="007770B7" w:rsidRPr="007770B7" w:rsidRDefault="007770B7" w:rsidP="007770B7">
      <w:pPr>
        <w:spacing w:after="0" w:line="240" w:lineRule="auto"/>
        <w:jc w:val="left"/>
        <w:rPr>
          <w:rFonts w:ascii="Times New Roman" w:hAnsi="Times New Roman"/>
          <w:b/>
          <w:sz w:val="20"/>
        </w:rPr>
      </w:pPr>
    </w:p>
    <w:p w14:paraId="5BAB7CE4" w14:textId="77777777" w:rsidR="007770B7" w:rsidRPr="007770B7" w:rsidRDefault="007770B7" w:rsidP="007770B7">
      <w:pPr>
        <w:spacing w:after="0" w:line="240" w:lineRule="auto"/>
        <w:jc w:val="left"/>
        <w:rPr>
          <w:rFonts w:ascii="Times New Roman" w:hAnsi="Times New Roman"/>
          <w:b/>
          <w:sz w:val="20"/>
        </w:rPr>
      </w:pPr>
    </w:p>
    <w:p w14:paraId="5CE31F47" w14:textId="77777777" w:rsidR="007770B7" w:rsidRPr="007770B7" w:rsidRDefault="007770B7" w:rsidP="007770B7">
      <w:pPr>
        <w:spacing w:after="0" w:line="240" w:lineRule="auto"/>
        <w:jc w:val="left"/>
        <w:rPr>
          <w:rFonts w:ascii="Times New Roman" w:hAnsi="Times New Roman"/>
          <w:b/>
          <w:sz w:val="20"/>
        </w:rPr>
      </w:pPr>
      <w:r w:rsidRPr="007770B7">
        <w:rPr>
          <w:rFonts w:ascii="Times New Roman" w:hAnsi="Times New Roman"/>
          <w:b/>
          <w:sz w:val="20"/>
        </w:rPr>
        <w:t>Counsel who argued in Supreme Court (not intended for publication with opinion):</w:t>
      </w:r>
    </w:p>
    <w:p w14:paraId="1033C894" w14:textId="77777777" w:rsidR="007770B7" w:rsidRPr="007770B7" w:rsidRDefault="007770B7" w:rsidP="007770B7">
      <w:pPr>
        <w:spacing w:after="0" w:line="240" w:lineRule="auto"/>
        <w:jc w:val="left"/>
        <w:rPr>
          <w:rFonts w:ascii="Times New Roman" w:hAnsi="Times New Roman"/>
          <w:b/>
          <w:sz w:val="20"/>
        </w:rPr>
      </w:pPr>
    </w:p>
    <w:p w14:paraId="2DA28AD1" w14:textId="77777777" w:rsidR="007770B7" w:rsidRPr="007770B7" w:rsidRDefault="007770B7" w:rsidP="007770B7">
      <w:pPr>
        <w:spacing w:after="0" w:line="240" w:lineRule="auto"/>
        <w:jc w:val="left"/>
        <w:rPr>
          <w:rFonts w:ascii="Times New Roman" w:hAnsi="Times New Roman"/>
          <w:color w:val="373739"/>
          <w:sz w:val="20"/>
          <w:shd w:val="clear" w:color="auto" w:fill="FFFFFF"/>
        </w:rPr>
      </w:pPr>
      <w:r w:rsidRPr="007770B7">
        <w:rPr>
          <w:rFonts w:ascii="Times New Roman" w:hAnsi="Times New Roman"/>
          <w:color w:val="373739"/>
          <w:sz w:val="20"/>
          <w:shd w:val="clear" w:color="auto" w:fill="FFFFFF"/>
        </w:rPr>
        <w:t>Steven A. Torres</w:t>
      </w:r>
    </w:p>
    <w:p w14:paraId="4FB43E7B" w14:textId="77777777" w:rsidR="007770B7" w:rsidRPr="007770B7" w:rsidRDefault="007770B7" w:rsidP="007770B7">
      <w:pPr>
        <w:spacing w:after="0" w:line="240" w:lineRule="auto"/>
        <w:jc w:val="left"/>
        <w:rPr>
          <w:rFonts w:ascii="Times New Roman" w:hAnsi="Times New Roman"/>
          <w:sz w:val="20"/>
        </w:rPr>
      </w:pPr>
      <w:r w:rsidRPr="007770B7">
        <w:rPr>
          <w:rFonts w:ascii="Times New Roman" w:hAnsi="Times New Roman"/>
          <w:sz w:val="20"/>
        </w:rPr>
        <w:t>Torres &amp; Torres</w:t>
      </w:r>
    </w:p>
    <w:p w14:paraId="50CDC442" w14:textId="77777777" w:rsidR="007770B7" w:rsidRPr="007770B7" w:rsidRDefault="007770B7" w:rsidP="007770B7">
      <w:pPr>
        <w:spacing w:after="0" w:line="240" w:lineRule="auto"/>
        <w:jc w:val="left"/>
        <w:rPr>
          <w:rFonts w:ascii="Times New Roman" w:hAnsi="Times New Roman"/>
          <w:sz w:val="20"/>
        </w:rPr>
      </w:pPr>
      <w:r w:rsidRPr="007770B7">
        <w:rPr>
          <w:rFonts w:ascii="Times New Roman" w:hAnsi="Times New Roman"/>
          <w:sz w:val="20"/>
        </w:rPr>
        <w:t xml:space="preserve">3579 East Foothill Boulevard </w:t>
      </w:r>
    </w:p>
    <w:p w14:paraId="00EEEE13" w14:textId="77777777" w:rsidR="007770B7" w:rsidRPr="007770B7" w:rsidRDefault="007770B7" w:rsidP="007770B7">
      <w:pPr>
        <w:spacing w:after="0" w:line="240" w:lineRule="auto"/>
        <w:jc w:val="left"/>
        <w:rPr>
          <w:rFonts w:ascii="Times New Roman" w:hAnsi="Times New Roman"/>
          <w:sz w:val="20"/>
        </w:rPr>
      </w:pPr>
      <w:r w:rsidRPr="007770B7">
        <w:rPr>
          <w:rFonts w:ascii="Times New Roman" w:hAnsi="Times New Roman"/>
          <w:sz w:val="20"/>
        </w:rPr>
        <w:t xml:space="preserve">Pasadena, CA 91107 </w:t>
      </w:r>
    </w:p>
    <w:p w14:paraId="692FF710" w14:textId="77777777" w:rsidR="007770B7" w:rsidRPr="007770B7" w:rsidRDefault="007770B7" w:rsidP="007770B7">
      <w:pPr>
        <w:spacing w:after="0" w:line="240" w:lineRule="auto"/>
        <w:jc w:val="left"/>
        <w:rPr>
          <w:rFonts w:ascii="Times New Roman" w:hAnsi="Times New Roman"/>
          <w:sz w:val="20"/>
        </w:rPr>
      </w:pPr>
      <w:r w:rsidRPr="007770B7">
        <w:rPr>
          <w:rFonts w:ascii="Times New Roman" w:hAnsi="Times New Roman"/>
          <w:sz w:val="20"/>
        </w:rPr>
        <w:t>(626) 836-5855</w:t>
      </w:r>
    </w:p>
    <w:p w14:paraId="70260870" w14:textId="77777777" w:rsidR="007770B7" w:rsidRPr="007770B7" w:rsidRDefault="007770B7" w:rsidP="007770B7">
      <w:pPr>
        <w:spacing w:after="0" w:line="240" w:lineRule="auto"/>
        <w:jc w:val="left"/>
        <w:rPr>
          <w:rFonts w:ascii="Times New Roman" w:hAnsi="Times New Roman"/>
          <w:sz w:val="20"/>
        </w:rPr>
      </w:pPr>
    </w:p>
    <w:p w14:paraId="7E1E9E01" w14:textId="77777777" w:rsidR="007770B7" w:rsidRPr="007770B7" w:rsidRDefault="007770B7" w:rsidP="007770B7">
      <w:pPr>
        <w:spacing w:after="0" w:line="240" w:lineRule="auto"/>
        <w:jc w:val="left"/>
        <w:rPr>
          <w:rFonts w:ascii="Times New Roman" w:hAnsi="Times New Roman"/>
          <w:color w:val="373739"/>
          <w:sz w:val="20"/>
          <w:shd w:val="clear" w:color="auto" w:fill="FFFFFF"/>
        </w:rPr>
      </w:pPr>
      <w:r w:rsidRPr="007770B7">
        <w:rPr>
          <w:rFonts w:ascii="Times New Roman" w:hAnsi="Times New Roman"/>
          <w:color w:val="373739"/>
          <w:sz w:val="20"/>
          <w:shd w:val="clear" w:color="auto" w:fill="FFFFFF"/>
        </w:rPr>
        <w:t>Annie Featherman Fraser</w:t>
      </w:r>
    </w:p>
    <w:p w14:paraId="77A08D29" w14:textId="77777777" w:rsidR="007770B7" w:rsidRPr="007770B7" w:rsidRDefault="007770B7" w:rsidP="007770B7">
      <w:pPr>
        <w:spacing w:after="0" w:line="240" w:lineRule="auto"/>
        <w:jc w:val="left"/>
        <w:rPr>
          <w:rFonts w:ascii="Times New Roman" w:hAnsi="Times New Roman"/>
          <w:color w:val="000000"/>
          <w:sz w:val="20"/>
          <w:shd w:val="clear" w:color="auto" w:fill="FFFFFF"/>
        </w:rPr>
      </w:pPr>
      <w:r w:rsidRPr="007770B7">
        <w:rPr>
          <w:rFonts w:ascii="Times New Roman" w:hAnsi="Times New Roman"/>
          <w:color w:val="000000"/>
          <w:sz w:val="20"/>
          <w:shd w:val="clear" w:color="auto" w:fill="FFFFFF"/>
        </w:rPr>
        <w:t xml:space="preserve">Deputy Attorney General   </w:t>
      </w:r>
    </w:p>
    <w:p w14:paraId="65546763" w14:textId="77777777" w:rsidR="007770B7" w:rsidRPr="007770B7" w:rsidRDefault="007770B7" w:rsidP="007770B7">
      <w:pPr>
        <w:spacing w:after="0" w:line="240" w:lineRule="auto"/>
        <w:jc w:val="left"/>
        <w:rPr>
          <w:rFonts w:ascii="Times New Roman" w:hAnsi="Times New Roman"/>
          <w:color w:val="000000"/>
          <w:sz w:val="20"/>
          <w:shd w:val="clear" w:color="auto" w:fill="FFFFFF"/>
        </w:rPr>
      </w:pPr>
      <w:r w:rsidRPr="007770B7">
        <w:rPr>
          <w:rFonts w:ascii="Times New Roman" w:hAnsi="Times New Roman"/>
          <w:color w:val="000000"/>
          <w:sz w:val="20"/>
          <w:shd w:val="clear" w:color="auto" w:fill="FFFFFF"/>
        </w:rPr>
        <w:t xml:space="preserve">600 West Broadway, Suite 1800   </w:t>
      </w:r>
    </w:p>
    <w:p w14:paraId="720F26CA" w14:textId="77777777" w:rsidR="007770B7" w:rsidRPr="007770B7" w:rsidRDefault="007770B7" w:rsidP="007770B7">
      <w:pPr>
        <w:spacing w:after="0" w:line="240" w:lineRule="auto"/>
        <w:jc w:val="left"/>
        <w:rPr>
          <w:rFonts w:ascii="Times New Roman" w:hAnsi="Times New Roman"/>
          <w:color w:val="000000"/>
          <w:sz w:val="20"/>
          <w:shd w:val="clear" w:color="auto" w:fill="FFFFFF"/>
        </w:rPr>
      </w:pPr>
      <w:r w:rsidRPr="007770B7">
        <w:rPr>
          <w:rFonts w:ascii="Times New Roman" w:hAnsi="Times New Roman"/>
          <w:color w:val="000000"/>
          <w:sz w:val="20"/>
          <w:shd w:val="clear" w:color="auto" w:fill="FFFFFF"/>
        </w:rPr>
        <w:t>San Diego, CA 92101</w:t>
      </w:r>
    </w:p>
    <w:p w14:paraId="4A500DD1" w14:textId="77777777" w:rsidR="007770B7" w:rsidRPr="007770B7" w:rsidRDefault="007770B7" w:rsidP="007770B7">
      <w:pPr>
        <w:spacing w:after="0" w:line="240" w:lineRule="auto"/>
        <w:jc w:val="left"/>
        <w:rPr>
          <w:rFonts w:ascii="Times New Roman" w:hAnsi="Times New Roman"/>
          <w:sz w:val="20"/>
        </w:rPr>
      </w:pPr>
      <w:r w:rsidRPr="007770B7">
        <w:rPr>
          <w:rFonts w:ascii="Times New Roman" w:hAnsi="Times New Roman"/>
          <w:color w:val="000000"/>
          <w:sz w:val="20"/>
          <w:shd w:val="clear" w:color="auto" w:fill="FFFFFF"/>
        </w:rPr>
        <w:t>(619) 738-9137</w:t>
      </w:r>
    </w:p>
    <w:p w14:paraId="7C2EDD45" w14:textId="77777777" w:rsidR="007770B7" w:rsidRPr="007770B7" w:rsidRDefault="007770B7" w:rsidP="007770B7">
      <w:pPr>
        <w:spacing w:after="0" w:line="240" w:lineRule="auto"/>
        <w:jc w:val="left"/>
        <w:rPr>
          <w:rFonts w:ascii="Times New Roman" w:hAnsi="Times New Roman"/>
          <w:sz w:val="26"/>
        </w:rPr>
      </w:pPr>
    </w:p>
    <w:p w14:paraId="649EEE22" w14:textId="0BF1776D" w:rsidR="00A8546F" w:rsidRPr="00723852" w:rsidRDefault="00A8546F" w:rsidP="0061201F">
      <w:pPr>
        <w:tabs>
          <w:tab w:val="left" w:pos="1440"/>
        </w:tabs>
        <w:ind w:firstLine="720"/>
      </w:pPr>
      <w:bookmarkStart w:id="17" w:name="_GoBack"/>
      <w:bookmarkEnd w:id="17"/>
    </w:p>
    <w:sectPr w:rsidR="00A8546F" w:rsidRPr="0072385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DE09" w14:textId="77777777" w:rsidR="00A32547" w:rsidRDefault="00A32547">
      <w:r>
        <w:separator/>
      </w:r>
    </w:p>
    <w:p w14:paraId="31F6C3C1" w14:textId="77777777" w:rsidR="00A32547" w:rsidRDefault="00A32547"/>
    <w:p w14:paraId="62C09DB3" w14:textId="77777777" w:rsidR="00A32547" w:rsidRDefault="00A32547" w:rsidP="004826D3"/>
    <w:p w14:paraId="126ECD06" w14:textId="77777777" w:rsidR="00A32547" w:rsidRDefault="00A32547" w:rsidP="004826D3"/>
  </w:endnote>
  <w:endnote w:type="continuationSeparator" w:id="0">
    <w:p w14:paraId="2CA60E65" w14:textId="77777777" w:rsidR="00A32547" w:rsidRDefault="00A32547">
      <w:r>
        <w:continuationSeparator/>
      </w:r>
    </w:p>
    <w:p w14:paraId="79830796" w14:textId="77777777" w:rsidR="00A32547" w:rsidRDefault="00A32547"/>
    <w:p w14:paraId="32C70FF6" w14:textId="77777777" w:rsidR="00A32547" w:rsidRDefault="00A32547" w:rsidP="004826D3"/>
    <w:p w14:paraId="19BC1D9F" w14:textId="77777777" w:rsidR="00A32547" w:rsidRDefault="00A32547" w:rsidP="00482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33" w14:textId="77777777" w:rsidR="000E5987" w:rsidRDefault="000E5987">
    <w:pPr>
      <w:pStyle w:val="Footer"/>
    </w:pPr>
    <w:r>
      <w:fldChar w:fldCharType="begin"/>
    </w:r>
    <w:r>
      <w:instrText>PAGE</w:instrText>
    </w:r>
    <w:r>
      <w:fldChar w:fldCharType="separate"/>
    </w:r>
    <w:r w:rsidR="007A42A8">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34" w14:textId="77777777" w:rsidR="00723852" w:rsidRDefault="0072385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2C38" w14:textId="77777777" w:rsidR="00612434" w:rsidRDefault="007770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7274" w14:textId="77777777" w:rsidR="00612434" w:rsidRDefault="007770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BC5D" w14:textId="77777777" w:rsidR="00612434" w:rsidRDefault="0077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6F37" w14:textId="77777777" w:rsidR="00A32547" w:rsidRDefault="00A32547" w:rsidP="004826D3">
      <w:r>
        <w:separator/>
      </w:r>
    </w:p>
  </w:footnote>
  <w:footnote w:type="continuationSeparator" w:id="0">
    <w:p w14:paraId="7A3E72D0" w14:textId="77777777" w:rsidR="00A32547" w:rsidRDefault="00A32547">
      <w:r>
        <w:continuationSeparator/>
      </w:r>
    </w:p>
  </w:footnote>
  <w:footnote w:id="1">
    <w:p w14:paraId="5F39F660" w14:textId="77777777" w:rsidR="00711A2C" w:rsidRDefault="00711A2C" w:rsidP="00711A2C">
      <w:pPr>
        <w:pStyle w:val="FootnoteText"/>
      </w:pPr>
      <w:r>
        <w:rPr>
          <w:rStyle w:val="FootnoteReference"/>
        </w:rPr>
        <w:footnoteRef/>
      </w:r>
      <w:r>
        <w:tab/>
        <w:t>All further unlabeled statutory references are to the Penal Code.</w:t>
      </w:r>
    </w:p>
  </w:footnote>
  <w:footnote w:id="2">
    <w:p w14:paraId="0899B8DF" w14:textId="4DC3289E" w:rsidR="00CB73A6" w:rsidRDefault="00CB73A6">
      <w:pPr>
        <w:pStyle w:val="FootnoteText"/>
      </w:pPr>
      <w:r>
        <w:rPr>
          <w:rStyle w:val="FootnoteReference"/>
        </w:rPr>
        <w:footnoteRef/>
      </w:r>
      <w:r>
        <w:t xml:space="preserve"> </w:t>
      </w:r>
      <w:r w:rsidR="00857F4A">
        <w:tab/>
      </w:r>
      <w:r w:rsidR="001A71D9">
        <w:t>In any event, r</w:t>
      </w:r>
      <w:r w:rsidR="002D457A">
        <w:t>egarding the latter</w:t>
      </w:r>
      <w:r w:rsidR="0045679D">
        <w:t xml:space="preserve"> point</w:t>
      </w:r>
      <w:r w:rsidR="002D457A">
        <w:t xml:space="preserve">, </w:t>
      </w:r>
      <w:r w:rsidR="00726D18">
        <w:t xml:space="preserve">for purposes of evaluating </w:t>
      </w:r>
      <w:r w:rsidR="0045679D">
        <w:t xml:space="preserve">the </w:t>
      </w:r>
      <w:r w:rsidR="00BF1502">
        <w:t>claim</w:t>
      </w:r>
      <w:r w:rsidR="00726D18">
        <w:t xml:space="preserve"> </w:t>
      </w:r>
      <w:r w:rsidR="006C1F6A">
        <w:t>at issue here </w:t>
      </w:r>
      <w:r w:rsidR="0045679D">
        <w:t xml:space="preserve">— </w:t>
      </w:r>
      <w:r w:rsidR="00726D18">
        <w:t xml:space="preserve">that </w:t>
      </w:r>
      <w:r w:rsidR="008E4DFD">
        <w:t xml:space="preserve">the accommodation violated </w:t>
      </w:r>
      <w:r w:rsidR="006C1F6A">
        <w:t xml:space="preserve">defendant’s </w:t>
      </w:r>
      <w:r w:rsidR="008E4DFD">
        <w:t xml:space="preserve">federal </w:t>
      </w:r>
      <w:r w:rsidR="00726D18">
        <w:rPr>
          <w:i/>
          <w:iCs/>
        </w:rPr>
        <w:t xml:space="preserve">constitutional </w:t>
      </w:r>
      <w:r w:rsidR="008E4DFD">
        <w:t>rights</w:t>
      </w:r>
      <w:r w:rsidR="00202251">
        <w:t xml:space="preserve"> — </w:t>
      </w:r>
      <w:r w:rsidR="00C23BFE">
        <w:t xml:space="preserve">a legislative determination </w:t>
      </w:r>
      <w:r w:rsidR="007D789F">
        <w:t xml:space="preserve">of what the </w:t>
      </w:r>
      <w:r w:rsidR="00CD3C71">
        <w:t>c</w:t>
      </w:r>
      <w:r w:rsidR="00D103AC">
        <w:t xml:space="preserve">onfrontation </w:t>
      </w:r>
      <w:r w:rsidR="00CD3C71">
        <w:t>c</w:t>
      </w:r>
      <w:r w:rsidR="00D103AC">
        <w:t xml:space="preserve">lause </w:t>
      </w:r>
      <w:r w:rsidR="00726D18">
        <w:t xml:space="preserve">permits </w:t>
      </w:r>
      <w:r w:rsidR="00C82A05">
        <w:t>would not bind</w:t>
      </w:r>
      <w:r w:rsidR="001A71D9">
        <w:t xml:space="preserve"> this court</w:t>
      </w:r>
      <w:r w:rsidR="00C82A05">
        <w:t xml:space="preserve">.  </w:t>
      </w:r>
      <w:r w:rsidR="00632B12" w:rsidRPr="00632B12">
        <w:t>“[W]hatever the Legislature’s intent may have been, ‘the ultimate constitutional interpretation must rest</w:t>
      </w:r>
      <w:r w:rsidR="00202251">
        <w:t xml:space="preserve"> . . . </w:t>
      </w:r>
      <w:r w:rsidR="00632B12" w:rsidRPr="00632B12">
        <w:t>with the judiciary.’ ”  (</w:t>
      </w:r>
      <w:r w:rsidR="00632B12" w:rsidRPr="00235211">
        <w:rPr>
          <w:i/>
          <w:iCs/>
        </w:rPr>
        <w:t>City of San Buenaventura v. United Water Conservation Dist</w:t>
      </w:r>
      <w:r w:rsidR="0029183A">
        <w:rPr>
          <w:i/>
          <w:iCs/>
        </w:rPr>
        <w:t>.</w:t>
      </w:r>
      <w:r w:rsidR="00632B12" w:rsidRPr="00632B12">
        <w:t xml:space="preserve"> (2017) 3 Cal.5th 1191, 1209, fn. 6.)  </w:t>
      </w:r>
      <w:r w:rsidR="00235211">
        <w:t>T</w:t>
      </w:r>
      <w:r w:rsidR="00632B12" w:rsidRPr="00632B12">
        <w:t xml:space="preserve">he Legislature </w:t>
      </w:r>
      <w:r w:rsidR="00683F48">
        <w:t xml:space="preserve">is free to </w:t>
      </w:r>
      <w:r w:rsidR="00AC3F2F" w:rsidRPr="00AC3F2F">
        <w:t xml:space="preserve">provide protections </w:t>
      </w:r>
      <w:r w:rsidR="00AC3F2F">
        <w:t xml:space="preserve">that </w:t>
      </w:r>
      <w:r w:rsidR="00AC3F2F" w:rsidRPr="00432A33">
        <w:t>exceed</w:t>
      </w:r>
      <w:r w:rsidR="00AC3F2F">
        <w:t xml:space="preserve"> </w:t>
      </w:r>
      <w:r w:rsidR="00AC3F2F" w:rsidRPr="00AC3F2F">
        <w:t>the constitutional minimum</w:t>
      </w:r>
      <w:r w:rsidR="00376D71">
        <w:t xml:space="preserve">, </w:t>
      </w:r>
      <w:r w:rsidR="00235211">
        <w:t xml:space="preserve">but </w:t>
      </w:r>
      <w:r w:rsidR="00432A33">
        <w:t xml:space="preserve">any </w:t>
      </w:r>
      <w:r w:rsidR="00632B12" w:rsidRPr="00632B12">
        <w:t>decision to do so cannot</w:t>
      </w:r>
      <w:r w:rsidR="00235211">
        <w:t xml:space="preserve"> </w:t>
      </w:r>
      <w:r w:rsidR="00632B12" w:rsidRPr="00632B12">
        <w:t>alter the requirements of the Constitution itself.</w:t>
      </w:r>
    </w:p>
  </w:footnote>
  <w:footnote w:id="3">
    <w:p w14:paraId="4632EB76" w14:textId="1F92E35A" w:rsidR="00711A2C" w:rsidRDefault="00711A2C" w:rsidP="00711A2C">
      <w:pPr>
        <w:pStyle w:val="FootnoteText"/>
      </w:pPr>
      <w:r>
        <w:rPr>
          <w:rStyle w:val="FootnoteReference"/>
        </w:rPr>
        <w:footnoteRef/>
      </w:r>
      <w:r>
        <w:t xml:space="preserve"> </w:t>
      </w:r>
      <w:r>
        <w:tab/>
        <w:t xml:space="preserve">Asked what part of defendant’s body was touching her, F.R. replied, “I don’t want to say it.”  Asked why she had testified that the events were not still fresh in her mind, she replied, “I don’t want to.”  Asked why she </w:t>
      </w:r>
      <w:proofErr w:type="gramStart"/>
      <w:r>
        <w:t>hadn’t</w:t>
      </w:r>
      <w:proofErr w:type="gramEnd"/>
      <w:r>
        <w:t xml:space="preserve"> told anyone what defendant had done, she replied, “I don’t know.”  Asked if she had recently talked to M.C. about the case, F.R. replied, “No.  I don’t like talking about it.”  Asked if she was scared about being in court, she replied, “I just don’t like being in court.”  Asked why she had not told M.C.’s mother or defendant’s mother about what defendant had done, she replied, “Just didn’t want to tell anyone.”  Asked why she had not earlier told M.C. what defendant had done, F.R. replied, “I was always scared,” “It was just no one’s business,” “It was just something I didn’t want to talk about,” and “</w:t>
      </w:r>
      <w:r w:rsidR="00BB19E1">
        <w:t>[I]</w:t>
      </w:r>
      <w:r>
        <w:t xml:space="preserve">t’s still something — I never liked talking about it.”  </w:t>
      </w:r>
      <w:r w:rsidR="001F2550">
        <w:t xml:space="preserve">F.R. </w:t>
      </w:r>
      <w:r>
        <w:t xml:space="preserve">also testified that she was shy with “everyone” other than her mother, and that even though she was “not shy” with her mother, she did not tell her mother at first about defendant’s acts because “that’s the hardest thing you could ever say to someone” and “it’s so hard to say anything like that.”  </w:t>
      </w:r>
    </w:p>
  </w:footnote>
  <w:footnote w:id="4">
    <w:p w14:paraId="44585C64" w14:textId="10EDA990" w:rsidR="00A05E3A" w:rsidRPr="00A73E5D" w:rsidRDefault="00A05E3A">
      <w:pPr>
        <w:pStyle w:val="FootnoteText"/>
      </w:pPr>
      <w:r>
        <w:rPr>
          <w:rStyle w:val="FootnoteReference"/>
        </w:rPr>
        <w:footnoteRef/>
      </w:r>
      <w:r>
        <w:t xml:space="preserve"> </w:t>
      </w:r>
      <w:r>
        <w:tab/>
      </w:r>
      <w:r w:rsidR="00F60762">
        <w:t>Although o</w:t>
      </w:r>
      <w:r>
        <w:t xml:space="preserve">ur conclusion makes it unnecessary to </w:t>
      </w:r>
      <w:r w:rsidR="00183FCF">
        <w:t xml:space="preserve">address </w:t>
      </w:r>
      <w:r>
        <w:t>defendant</w:t>
      </w:r>
      <w:r w:rsidR="00183FCF">
        <w:t xml:space="preserve">’s assertion that </w:t>
      </w:r>
      <w:r w:rsidR="00F60762">
        <w:rPr>
          <w:i/>
          <w:iCs/>
        </w:rPr>
        <w:t xml:space="preserve">Craig </w:t>
      </w:r>
      <w:r w:rsidR="00F60762">
        <w:t xml:space="preserve">requires </w:t>
      </w:r>
      <w:r w:rsidR="00A73E5D">
        <w:t>express findings</w:t>
      </w:r>
      <w:r w:rsidR="009A1288">
        <w:t xml:space="preserve">, we caution that </w:t>
      </w:r>
      <w:r w:rsidR="008A6696">
        <w:t xml:space="preserve">trial courts </w:t>
      </w:r>
      <w:r w:rsidR="00D6317A">
        <w:t xml:space="preserve">normally </w:t>
      </w:r>
      <w:r w:rsidR="009A20EA">
        <w:t xml:space="preserve">should </w:t>
      </w:r>
      <w:r w:rsidR="00D6317A">
        <w:t>make such findings before ordering an accommodation.</w:t>
      </w:r>
      <w:r w:rsidR="007804DB">
        <w:t xml:space="preserve">  Among</w:t>
      </w:r>
      <w:r w:rsidR="00931513">
        <w:t xml:space="preserve"> other</w:t>
      </w:r>
      <w:r w:rsidR="00EB5C79">
        <w:t xml:space="preserve"> reasons</w:t>
      </w:r>
      <w:r w:rsidR="00931513">
        <w:t xml:space="preserve">, </w:t>
      </w:r>
      <w:r w:rsidR="00D72A1B">
        <w:t xml:space="preserve">because </w:t>
      </w:r>
      <w:r w:rsidR="000F4F58">
        <w:t xml:space="preserve">the </w:t>
      </w:r>
      <w:r w:rsidR="00E32489">
        <w:rPr>
          <w:szCs w:val="26"/>
        </w:rPr>
        <w:t>d</w:t>
      </w:r>
      <w:r w:rsidR="00C178B3" w:rsidRPr="005F4057">
        <w:rPr>
          <w:szCs w:val="26"/>
        </w:rPr>
        <w:t xml:space="preserve">eterminations </w:t>
      </w:r>
      <w:r w:rsidR="00E32489">
        <w:rPr>
          <w:szCs w:val="26"/>
        </w:rPr>
        <w:t xml:space="preserve">necessary under </w:t>
      </w:r>
      <w:r w:rsidR="00E32489">
        <w:rPr>
          <w:i/>
          <w:iCs/>
          <w:szCs w:val="26"/>
        </w:rPr>
        <w:t xml:space="preserve">Craig </w:t>
      </w:r>
      <w:r w:rsidR="00C178B3" w:rsidRPr="005F4057">
        <w:rPr>
          <w:szCs w:val="26"/>
        </w:rPr>
        <w:t>depend heavily on considerations that are difficult to convey through a paper record</w:t>
      </w:r>
      <w:r w:rsidR="00FB60DA">
        <w:rPr>
          <w:szCs w:val="26"/>
        </w:rPr>
        <w:t xml:space="preserve">, </w:t>
      </w:r>
      <w:r w:rsidR="00680A3F">
        <w:t xml:space="preserve">it </w:t>
      </w:r>
      <w:r w:rsidR="00631F90">
        <w:t xml:space="preserve">may be </w:t>
      </w:r>
      <w:r w:rsidR="00931513" w:rsidRPr="00931513">
        <w:t xml:space="preserve">quite difficult for </w:t>
      </w:r>
      <w:r w:rsidR="00E8073D">
        <w:t>a</w:t>
      </w:r>
      <w:r w:rsidR="00E93E19">
        <w:t>n appellate</w:t>
      </w:r>
      <w:r w:rsidR="00E8073D">
        <w:t xml:space="preserve"> </w:t>
      </w:r>
      <w:r w:rsidR="00931513" w:rsidRPr="00931513">
        <w:t xml:space="preserve">court to glean adequate implied findings </w:t>
      </w:r>
      <w:r w:rsidR="00E8073D">
        <w:t>from the record on appeal.  Nevertheless, we do not foreclose the possibility that</w:t>
      </w:r>
      <w:r w:rsidR="007804DB" w:rsidRPr="007804DB">
        <w:t xml:space="preserve">, on </w:t>
      </w:r>
      <w:proofErr w:type="gramStart"/>
      <w:r w:rsidR="007804DB" w:rsidRPr="007804DB">
        <w:t>some</w:t>
      </w:r>
      <w:proofErr w:type="gramEnd"/>
      <w:r w:rsidR="007804DB" w:rsidRPr="007804DB">
        <w:t xml:space="preserve"> records, the degree </w:t>
      </w:r>
      <w:r w:rsidR="00055DAB">
        <w:t xml:space="preserve">and cause </w:t>
      </w:r>
      <w:r w:rsidR="007804DB" w:rsidRPr="007804DB">
        <w:t xml:space="preserve">of witness distress and the need for accommodation </w:t>
      </w:r>
      <w:r w:rsidR="004D047E">
        <w:t xml:space="preserve">may </w:t>
      </w:r>
      <w:r w:rsidR="007804DB" w:rsidRPr="007804DB">
        <w:t xml:space="preserve">be so manifest that </w:t>
      </w:r>
      <w:r w:rsidR="004D047E">
        <w:t xml:space="preserve">an </w:t>
      </w:r>
      <w:r w:rsidR="00055DAB">
        <w:t>accommodation ordered without express findin</w:t>
      </w:r>
      <w:r w:rsidR="00A64A19">
        <w:t xml:space="preserve">gs may </w:t>
      </w:r>
      <w:r w:rsidR="007804DB" w:rsidRPr="007804DB">
        <w:t>survive on appeal.</w:t>
      </w:r>
    </w:p>
  </w:footnote>
  <w:footnote w:id="5">
    <w:p w14:paraId="3FC76DDF" w14:textId="36B8EDE3" w:rsidR="00C97456" w:rsidRDefault="00C97456" w:rsidP="008A47A3">
      <w:pPr>
        <w:pStyle w:val="FootnoteText"/>
      </w:pPr>
      <w:r>
        <w:rPr>
          <w:rStyle w:val="FootnoteReference"/>
        </w:rPr>
        <w:footnoteRef/>
      </w:r>
      <w:r>
        <w:t xml:space="preserve"> </w:t>
      </w:r>
      <w:r>
        <w:tab/>
      </w:r>
      <w:r w:rsidR="00AB71D9">
        <w:t xml:space="preserve">At oral argument, </w:t>
      </w:r>
      <w:r w:rsidR="00FB4523">
        <w:t>the People</w:t>
      </w:r>
      <w:r w:rsidR="00AB71D9">
        <w:t xml:space="preserve">, contrary to what they stated in their brief, </w:t>
      </w:r>
      <w:r w:rsidR="00FB4523">
        <w:t xml:space="preserve">asserted </w:t>
      </w:r>
      <w:r w:rsidR="007C6EAD">
        <w:t xml:space="preserve">that </w:t>
      </w:r>
      <w:r w:rsidR="00E311A2">
        <w:t xml:space="preserve">were we to </w:t>
      </w:r>
      <w:r>
        <w:t xml:space="preserve">find the record insufficient to sustain the trial court’s order, </w:t>
      </w:r>
      <w:r w:rsidR="00F646B4">
        <w:t xml:space="preserve">the remedy should be a </w:t>
      </w:r>
      <w:r w:rsidR="00DE61EF">
        <w:t xml:space="preserve">remand </w:t>
      </w:r>
      <w:r w:rsidR="0021772C">
        <w:t>“</w:t>
      </w:r>
      <w:r w:rsidR="006A06F9" w:rsidRPr="006A06F9">
        <w:t>to the trial court to make a clearer record</w:t>
      </w:r>
      <w:r w:rsidR="0021772C">
        <w:t>”</w:t>
      </w:r>
      <w:r w:rsidR="006A06F9" w:rsidRPr="006A06F9">
        <w:t xml:space="preserve"> regarding </w:t>
      </w:r>
      <w:r w:rsidR="00CE698B">
        <w:t xml:space="preserve">the </w:t>
      </w:r>
      <w:r w:rsidR="0021772C">
        <w:t>relevant</w:t>
      </w:r>
      <w:r w:rsidR="009C4698">
        <w:t xml:space="preserve"> considerations</w:t>
      </w:r>
      <w:r w:rsidR="00D36F11">
        <w:t xml:space="preserve"> at this </w:t>
      </w:r>
      <w:r w:rsidR="00C47167">
        <w:t>2015 trial</w:t>
      </w:r>
      <w:r w:rsidR="006A06F9" w:rsidRPr="006A06F9">
        <w:t>.</w:t>
      </w:r>
      <w:r w:rsidR="00186ACF">
        <w:t xml:space="preserve">  </w:t>
      </w:r>
      <w:r w:rsidR="00E02146">
        <w:t xml:space="preserve">Given </w:t>
      </w:r>
      <w:r w:rsidR="006D28AE">
        <w:t>the People</w:t>
      </w:r>
      <w:r w:rsidR="00E02146">
        <w:t>’s failure to raise th</w:t>
      </w:r>
      <w:r w:rsidR="00CF472A">
        <w:t>is</w:t>
      </w:r>
      <w:r w:rsidR="00E02146">
        <w:t xml:space="preserve"> </w:t>
      </w:r>
      <w:r w:rsidR="00CF472A">
        <w:t xml:space="preserve">question </w:t>
      </w:r>
      <w:r w:rsidR="00E02146">
        <w:t xml:space="preserve">sooner, and </w:t>
      </w:r>
      <w:r w:rsidR="006D28AE">
        <w:t>defendant</w:t>
      </w:r>
      <w:r w:rsidR="00CF472A">
        <w:t>’s lack of</w:t>
      </w:r>
      <w:r w:rsidR="006D28AE">
        <w:t xml:space="preserve"> opportunity to address</w:t>
      </w:r>
      <w:r w:rsidR="00CD2224">
        <w:t xml:space="preserve"> the question</w:t>
      </w:r>
      <w:r w:rsidR="006D28AE">
        <w:t xml:space="preserve">, we decline to </w:t>
      </w:r>
      <w:r w:rsidR="008171A7">
        <w:t xml:space="preserve">consider </w:t>
      </w:r>
      <w:r w:rsidR="008C0427">
        <w:t xml:space="preserve">it.  </w:t>
      </w:r>
      <w:r w:rsidR="008A47A3">
        <w:t xml:space="preserve">(See </w:t>
      </w:r>
      <w:r w:rsidR="008A47A3" w:rsidRPr="008A47A3">
        <w:rPr>
          <w:i/>
          <w:iCs/>
        </w:rPr>
        <w:t>People v</w:t>
      </w:r>
      <w:r w:rsidR="002052A0">
        <w:rPr>
          <w:i/>
          <w:iCs/>
        </w:rPr>
        <w:t>.</w:t>
      </w:r>
      <w:r w:rsidR="008A47A3" w:rsidRPr="008A47A3">
        <w:rPr>
          <w:i/>
          <w:iCs/>
        </w:rPr>
        <w:t xml:space="preserve"> Pena</w:t>
      </w:r>
      <w:r w:rsidR="008A47A3">
        <w:t xml:space="preserve"> (2004) 32 Cal.4th 389, 403 [</w:t>
      </w:r>
      <w:r w:rsidR="00C6414D">
        <w:t>“ ‘</w:t>
      </w:r>
      <w:r w:rsidR="008A47A3">
        <w:t>[a]n appellate court is not required to consider any point made for the first time at oral argument, and it will be deemed waived</w:t>
      </w:r>
      <w:r w:rsidR="00C6414D">
        <w:t>’ </w:t>
      </w:r>
      <w:r w:rsidR="008A47A3">
        <w:t>”</w:t>
      </w:r>
      <w:r w:rsidR="00C641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2D" w14:textId="77777777" w:rsidR="000E5987" w:rsidRDefault="000E5987"/>
  <w:p w14:paraId="649EEE2E" w14:textId="77777777" w:rsidR="000E5987" w:rsidRDefault="000E5987"/>
  <w:p w14:paraId="649EEE2F" w14:textId="77777777" w:rsidR="000E5987" w:rsidRDefault="000E5987" w:rsidP="00482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EE30" w14:textId="44C2AC48" w:rsidR="00723852" w:rsidRDefault="001F4D85">
    <w:pPr>
      <w:pStyle w:val="Header"/>
    </w:pPr>
    <w:r>
      <w:t xml:space="preserve">PEOPLE </w:t>
    </w:r>
    <w:r w:rsidR="00723852">
      <w:t xml:space="preserve">v. </w:t>
    </w:r>
    <w:r>
      <w:t>ARREDONDO</w:t>
    </w:r>
  </w:p>
  <w:p w14:paraId="649EEE31" w14:textId="481E5179" w:rsidR="00723852" w:rsidRDefault="00723852">
    <w:pPr>
      <w:pStyle w:val="Header"/>
    </w:pPr>
    <w:r>
      <w:t xml:space="preserve">Opinion of the Court by </w:t>
    </w:r>
    <w:r w:rsidR="001F4D85">
      <w:t>Chin</w:t>
    </w:r>
    <w:r w:rsidR="00077C44">
      <w:t>, J.</w:t>
    </w:r>
  </w:p>
  <w:p w14:paraId="649EEE32" w14:textId="77777777" w:rsidR="00723852" w:rsidRDefault="00723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91CF" w14:textId="77777777" w:rsidR="00612434" w:rsidRDefault="007770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3EE4" w14:textId="77777777" w:rsidR="00612434" w:rsidRDefault="007770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2BF5" w14:textId="77777777" w:rsidR="00612434" w:rsidRDefault="00777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94AB9"/>
    <w:multiLevelType w:val="hybridMultilevel"/>
    <w:tmpl w:val="20048440"/>
    <w:lvl w:ilvl="0" w:tplc="A15E29E8">
      <w:start w:val="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4"/>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4"/>
    <w:rsid w:val="000006B9"/>
    <w:rsid w:val="00001140"/>
    <w:rsid w:val="00001346"/>
    <w:rsid w:val="00001380"/>
    <w:rsid w:val="00001A40"/>
    <w:rsid w:val="00001EF8"/>
    <w:rsid w:val="000038C0"/>
    <w:rsid w:val="00004260"/>
    <w:rsid w:val="000053B4"/>
    <w:rsid w:val="00006058"/>
    <w:rsid w:val="0000686B"/>
    <w:rsid w:val="00006A74"/>
    <w:rsid w:val="00007792"/>
    <w:rsid w:val="00007B61"/>
    <w:rsid w:val="00010624"/>
    <w:rsid w:val="00011268"/>
    <w:rsid w:val="00011AD1"/>
    <w:rsid w:val="00012068"/>
    <w:rsid w:val="0001255F"/>
    <w:rsid w:val="000125CE"/>
    <w:rsid w:val="000126E4"/>
    <w:rsid w:val="000128C0"/>
    <w:rsid w:val="00012A72"/>
    <w:rsid w:val="00012A92"/>
    <w:rsid w:val="00012BC8"/>
    <w:rsid w:val="00013100"/>
    <w:rsid w:val="0001380C"/>
    <w:rsid w:val="000142C4"/>
    <w:rsid w:val="00014591"/>
    <w:rsid w:val="00014ED1"/>
    <w:rsid w:val="00014EFD"/>
    <w:rsid w:val="0001597C"/>
    <w:rsid w:val="00015B99"/>
    <w:rsid w:val="00015CFF"/>
    <w:rsid w:val="00015F64"/>
    <w:rsid w:val="00016282"/>
    <w:rsid w:val="00016FF7"/>
    <w:rsid w:val="00017093"/>
    <w:rsid w:val="000171A9"/>
    <w:rsid w:val="00017228"/>
    <w:rsid w:val="00017390"/>
    <w:rsid w:val="00017A77"/>
    <w:rsid w:val="00020076"/>
    <w:rsid w:val="00020391"/>
    <w:rsid w:val="00020C68"/>
    <w:rsid w:val="00020E6E"/>
    <w:rsid w:val="00021263"/>
    <w:rsid w:val="00021AB9"/>
    <w:rsid w:val="00021C35"/>
    <w:rsid w:val="000225C0"/>
    <w:rsid w:val="000226F0"/>
    <w:rsid w:val="0002315D"/>
    <w:rsid w:val="0002354E"/>
    <w:rsid w:val="0002361A"/>
    <w:rsid w:val="00023F34"/>
    <w:rsid w:val="000242D4"/>
    <w:rsid w:val="000242E7"/>
    <w:rsid w:val="00024579"/>
    <w:rsid w:val="00024754"/>
    <w:rsid w:val="00024D07"/>
    <w:rsid w:val="00024D18"/>
    <w:rsid w:val="00024F92"/>
    <w:rsid w:val="00025080"/>
    <w:rsid w:val="00025624"/>
    <w:rsid w:val="0002608E"/>
    <w:rsid w:val="00026234"/>
    <w:rsid w:val="00026552"/>
    <w:rsid w:val="0002720C"/>
    <w:rsid w:val="000275F9"/>
    <w:rsid w:val="00027782"/>
    <w:rsid w:val="00030574"/>
    <w:rsid w:val="0003083A"/>
    <w:rsid w:val="00030DF9"/>
    <w:rsid w:val="00030F0C"/>
    <w:rsid w:val="000311E6"/>
    <w:rsid w:val="00031258"/>
    <w:rsid w:val="00031B16"/>
    <w:rsid w:val="00032519"/>
    <w:rsid w:val="000326F3"/>
    <w:rsid w:val="0003296C"/>
    <w:rsid w:val="000330E9"/>
    <w:rsid w:val="000335ED"/>
    <w:rsid w:val="00034122"/>
    <w:rsid w:val="00034153"/>
    <w:rsid w:val="00035705"/>
    <w:rsid w:val="00035847"/>
    <w:rsid w:val="00035951"/>
    <w:rsid w:val="00035BA6"/>
    <w:rsid w:val="00035C7B"/>
    <w:rsid w:val="00036290"/>
    <w:rsid w:val="00036405"/>
    <w:rsid w:val="000370DA"/>
    <w:rsid w:val="00037B0A"/>
    <w:rsid w:val="00037C63"/>
    <w:rsid w:val="00037E7E"/>
    <w:rsid w:val="00037F7F"/>
    <w:rsid w:val="0004054F"/>
    <w:rsid w:val="00040B23"/>
    <w:rsid w:val="00041305"/>
    <w:rsid w:val="00041380"/>
    <w:rsid w:val="000428DB"/>
    <w:rsid w:val="00042CB3"/>
    <w:rsid w:val="000433A1"/>
    <w:rsid w:val="000434B3"/>
    <w:rsid w:val="0004357B"/>
    <w:rsid w:val="00043D44"/>
    <w:rsid w:val="0004457C"/>
    <w:rsid w:val="000446A0"/>
    <w:rsid w:val="00047A48"/>
    <w:rsid w:val="000506D0"/>
    <w:rsid w:val="000507A1"/>
    <w:rsid w:val="00050D27"/>
    <w:rsid w:val="00051760"/>
    <w:rsid w:val="00051A21"/>
    <w:rsid w:val="00052D22"/>
    <w:rsid w:val="00053042"/>
    <w:rsid w:val="0005316A"/>
    <w:rsid w:val="00053744"/>
    <w:rsid w:val="00053862"/>
    <w:rsid w:val="00053886"/>
    <w:rsid w:val="00053D38"/>
    <w:rsid w:val="0005433F"/>
    <w:rsid w:val="00054E7A"/>
    <w:rsid w:val="00055217"/>
    <w:rsid w:val="00055DAB"/>
    <w:rsid w:val="000562B9"/>
    <w:rsid w:val="0005691F"/>
    <w:rsid w:val="000569FF"/>
    <w:rsid w:val="00057FFB"/>
    <w:rsid w:val="00060405"/>
    <w:rsid w:val="0006046B"/>
    <w:rsid w:val="000605C9"/>
    <w:rsid w:val="00060AF0"/>
    <w:rsid w:val="000619D6"/>
    <w:rsid w:val="00061B7E"/>
    <w:rsid w:val="00061C5D"/>
    <w:rsid w:val="0006396A"/>
    <w:rsid w:val="0006414D"/>
    <w:rsid w:val="000645F5"/>
    <w:rsid w:val="00064A91"/>
    <w:rsid w:val="00064EC3"/>
    <w:rsid w:val="00065A0F"/>
    <w:rsid w:val="00065C38"/>
    <w:rsid w:val="00065D4E"/>
    <w:rsid w:val="00065EB0"/>
    <w:rsid w:val="000662D2"/>
    <w:rsid w:val="000665E2"/>
    <w:rsid w:val="0006674A"/>
    <w:rsid w:val="000670D7"/>
    <w:rsid w:val="00067128"/>
    <w:rsid w:val="000672E2"/>
    <w:rsid w:val="00067765"/>
    <w:rsid w:val="000679AD"/>
    <w:rsid w:val="00067AB0"/>
    <w:rsid w:val="00067E92"/>
    <w:rsid w:val="00070CAF"/>
    <w:rsid w:val="00070DB6"/>
    <w:rsid w:val="000718BB"/>
    <w:rsid w:val="00071B79"/>
    <w:rsid w:val="00071BE8"/>
    <w:rsid w:val="00071EBF"/>
    <w:rsid w:val="0007230D"/>
    <w:rsid w:val="00072D4A"/>
    <w:rsid w:val="0007484C"/>
    <w:rsid w:val="00074AD4"/>
    <w:rsid w:val="00075082"/>
    <w:rsid w:val="00075A47"/>
    <w:rsid w:val="00075D02"/>
    <w:rsid w:val="00076610"/>
    <w:rsid w:val="000774C8"/>
    <w:rsid w:val="00077A93"/>
    <w:rsid w:val="00077C44"/>
    <w:rsid w:val="000801BE"/>
    <w:rsid w:val="00080227"/>
    <w:rsid w:val="0008033C"/>
    <w:rsid w:val="00080419"/>
    <w:rsid w:val="00080A44"/>
    <w:rsid w:val="00080E1A"/>
    <w:rsid w:val="00080F00"/>
    <w:rsid w:val="00080F62"/>
    <w:rsid w:val="00081700"/>
    <w:rsid w:val="000817BA"/>
    <w:rsid w:val="00081AB0"/>
    <w:rsid w:val="00081BC3"/>
    <w:rsid w:val="00081C38"/>
    <w:rsid w:val="00081DDD"/>
    <w:rsid w:val="00081E7A"/>
    <w:rsid w:val="00081F84"/>
    <w:rsid w:val="00083D69"/>
    <w:rsid w:val="00085353"/>
    <w:rsid w:val="000857B5"/>
    <w:rsid w:val="00085FFA"/>
    <w:rsid w:val="000864ED"/>
    <w:rsid w:val="000865E7"/>
    <w:rsid w:val="00086FD0"/>
    <w:rsid w:val="000909B3"/>
    <w:rsid w:val="00090C15"/>
    <w:rsid w:val="00090C2B"/>
    <w:rsid w:val="00090F57"/>
    <w:rsid w:val="000913E7"/>
    <w:rsid w:val="000917E0"/>
    <w:rsid w:val="00091BD1"/>
    <w:rsid w:val="00092303"/>
    <w:rsid w:val="000924F4"/>
    <w:rsid w:val="000929CA"/>
    <w:rsid w:val="0009316D"/>
    <w:rsid w:val="0009377A"/>
    <w:rsid w:val="00093AD6"/>
    <w:rsid w:val="00093D63"/>
    <w:rsid w:val="00094429"/>
    <w:rsid w:val="000944A1"/>
    <w:rsid w:val="00094F06"/>
    <w:rsid w:val="000951C8"/>
    <w:rsid w:val="0009541B"/>
    <w:rsid w:val="000955F4"/>
    <w:rsid w:val="00095962"/>
    <w:rsid w:val="00096E66"/>
    <w:rsid w:val="00096E8C"/>
    <w:rsid w:val="00097A51"/>
    <w:rsid w:val="000A0345"/>
    <w:rsid w:val="000A0DF6"/>
    <w:rsid w:val="000A0FDA"/>
    <w:rsid w:val="000A1567"/>
    <w:rsid w:val="000A186C"/>
    <w:rsid w:val="000A1B68"/>
    <w:rsid w:val="000A1ED4"/>
    <w:rsid w:val="000A2469"/>
    <w:rsid w:val="000A2BC6"/>
    <w:rsid w:val="000A30B4"/>
    <w:rsid w:val="000A3271"/>
    <w:rsid w:val="000A369D"/>
    <w:rsid w:val="000A3D58"/>
    <w:rsid w:val="000A4072"/>
    <w:rsid w:val="000A41B5"/>
    <w:rsid w:val="000A4A16"/>
    <w:rsid w:val="000A4F3D"/>
    <w:rsid w:val="000A5873"/>
    <w:rsid w:val="000A5FA9"/>
    <w:rsid w:val="000A61AD"/>
    <w:rsid w:val="000A6353"/>
    <w:rsid w:val="000A644B"/>
    <w:rsid w:val="000A693D"/>
    <w:rsid w:val="000A6E6A"/>
    <w:rsid w:val="000A767B"/>
    <w:rsid w:val="000A78B3"/>
    <w:rsid w:val="000A7960"/>
    <w:rsid w:val="000A79CD"/>
    <w:rsid w:val="000A7D65"/>
    <w:rsid w:val="000B006E"/>
    <w:rsid w:val="000B03F5"/>
    <w:rsid w:val="000B0AA9"/>
    <w:rsid w:val="000B0D39"/>
    <w:rsid w:val="000B1AE4"/>
    <w:rsid w:val="000B1FB8"/>
    <w:rsid w:val="000B205A"/>
    <w:rsid w:val="000B248B"/>
    <w:rsid w:val="000B2CF7"/>
    <w:rsid w:val="000B3FAB"/>
    <w:rsid w:val="000B4847"/>
    <w:rsid w:val="000B4BB4"/>
    <w:rsid w:val="000B5B76"/>
    <w:rsid w:val="000B5B7E"/>
    <w:rsid w:val="000B5E76"/>
    <w:rsid w:val="000B6FE0"/>
    <w:rsid w:val="000B7266"/>
    <w:rsid w:val="000B76B2"/>
    <w:rsid w:val="000C04F5"/>
    <w:rsid w:val="000C07D7"/>
    <w:rsid w:val="000C08F1"/>
    <w:rsid w:val="000C0B25"/>
    <w:rsid w:val="000C0FE2"/>
    <w:rsid w:val="000C1178"/>
    <w:rsid w:val="000C1236"/>
    <w:rsid w:val="000C1F0C"/>
    <w:rsid w:val="000C282C"/>
    <w:rsid w:val="000C2963"/>
    <w:rsid w:val="000C2B72"/>
    <w:rsid w:val="000C395C"/>
    <w:rsid w:val="000C3BCC"/>
    <w:rsid w:val="000C4579"/>
    <w:rsid w:val="000C461C"/>
    <w:rsid w:val="000C4A01"/>
    <w:rsid w:val="000C4D1D"/>
    <w:rsid w:val="000C4D9D"/>
    <w:rsid w:val="000C566B"/>
    <w:rsid w:val="000C61EB"/>
    <w:rsid w:val="000C6E42"/>
    <w:rsid w:val="000C7E04"/>
    <w:rsid w:val="000C7E06"/>
    <w:rsid w:val="000D0951"/>
    <w:rsid w:val="000D0F00"/>
    <w:rsid w:val="000D0F37"/>
    <w:rsid w:val="000D19DF"/>
    <w:rsid w:val="000D1F1F"/>
    <w:rsid w:val="000D23E6"/>
    <w:rsid w:val="000D2C70"/>
    <w:rsid w:val="000D32E9"/>
    <w:rsid w:val="000D3A26"/>
    <w:rsid w:val="000D3C57"/>
    <w:rsid w:val="000D3C71"/>
    <w:rsid w:val="000D3CA5"/>
    <w:rsid w:val="000D3E6E"/>
    <w:rsid w:val="000D41BC"/>
    <w:rsid w:val="000D42FA"/>
    <w:rsid w:val="000D4C41"/>
    <w:rsid w:val="000D4CE0"/>
    <w:rsid w:val="000D530A"/>
    <w:rsid w:val="000D54CE"/>
    <w:rsid w:val="000D55AE"/>
    <w:rsid w:val="000D5E69"/>
    <w:rsid w:val="000D718B"/>
    <w:rsid w:val="000D7723"/>
    <w:rsid w:val="000E00C8"/>
    <w:rsid w:val="000E03EF"/>
    <w:rsid w:val="000E0D5B"/>
    <w:rsid w:val="000E0E39"/>
    <w:rsid w:val="000E1459"/>
    <w:rsid w:val="000E19D6"/>
    <w:rsid w:val="000E1AED"/>
    <w:rsid w:val="000E36AF"/>
    <w:rsid w:val="000E3E13"/>
    <w:rsid w:val="000E4E42"/>
    <w:rsid w:val="000E5987"/>
    <w:rsid w:val="000E5C66"/>
    <w:rsid w:val="000E680E"/>
    <w:rsid w:val="000E6F68"/>
    <w:rsid w:val="000E7C6E"/>
    <w:rsid w:val="000F05D0"/>
    <w:rsid w:val="000F078E"/>
    <w:rsid w:val="000F080F"/>
    <w:rsid w:val="000F08A7"/>
    <w:rsid w:val="000F09A0"/>
    <w:rsid w:val="000F0D2E"/>
    <w:rsid w:val="000F10AA"/>
    <w:rsid w:val="000F15DF"/>
    <w:rsid w:val="000F1DE2"/>
    <w:rsid w:val="000F2291"/>
    <w:rsid w:val="000F231A"/>
    <w:rsid w:val="000F247E"/>
    <w:rsid w:val="000F28BA"/>
    <w:rsid w:val="000F29CB"/>
    <w:rsid w:val="000F2C00"/>
    <w:rsid w:val="000F2CEB"/>
    <w:rsid w:val="000F3441"/>
    <w:rsid w:val="000F3816"/>
    <w:rsid w:val="000F3966"/>
    <w:rsid w:val="000F4155"/>
    <w:rsid w:val="000F4899"/>
    <w:rsid w:val="000F4F58"/>
    <w:rsid w:val="000F5010"/>
    <w:rsid w:val="000F5094"/>
    <w:rsid w:val="000F5130"/>
    <w:rsid w:val="000F53D5"/>
    <w:rsid w:val="000F69B1"/>
    <w:rsid w:val="000F6BC4"/>
    <w:rsid w:val="000F6F34"/>
    <w:rsid w:val="000F76F8"/>
    <w:rsid w:val="000F7BC3"/>
    <w:rsid w:val="001002D9"/>
    <w:rsid w:val="0010070E"/>
    <w:rsid w:val="00100772"/>
    <w:rsid w:val="00101380"/>
    <w:rsid w:val="001026F7"/>
    <w:rsid w:val="001029C0"/>
    <w:rsid w:val="00102E22"/>
    <w:rsid w:val="00102F90"/>
    <w:rsid w:val="00103101"/>
    <w:rsid w:val="00103216"/>
    <w:rsid w:val="00103B20"/>
    <w:rsid w:val="00104283"/>
    <w:rsid w:val="001043E3"/>
    <w:rsid w:val="00104579"/>
    <w:rsid w:val="001046AE"/>
    <w:rsid w:val="00104E40"/>
    <w:rsid w:val="0010552D"/>
    <w:rsid w:val="0010587C"/>
    <w:rsid w:val="001058D6"/>
    <w:rsid w:val="0010617F"/>
    <w:rsid w:val="00107FD0"/>
    <w:rsid w:val="0011058C"/>
    <w:rsid w:val="001109AF"/>
    <w:rsid w:val="00110A56"/>
    <w:rsid w:val="00110BDB"/>
    <w:rsid w:val="00110DBC"/>
    <w:rsid w:val="00111033"/>
    <w:rsid w:val="001116AF"/>
    <w:rsid w:val="0011200A"/>
    <w:rsid w:val="00112ABE"/>
    <w:rsid w:val="00112CB5"/>
    <w:rsid w:val="00113338"/>
    <w:rsid w:val="001136B1"/>
    <w:rsid w:val="00113F27"/>
    <w:rsid w:val="001144B4"/>
    <w:rsid w:val="00114659"/>
    <w:rsid w:val="0011481D"/>
    <w:rsid w:val="00114F4F"/>
    <w:rsid w:val="0011513E"/>
    <w:rsid w:val="00115C10"/>
    <w:rsid w:val="00115E9D"/>
    <w:rsid w:val="00116331"/>
    <w:rsid w:val="00116430"/>
    <w:rsid w:val="001166C8"/>
    <w:rsid w:val="00116E43"/>
    <w:rsid w:val="001170D3"/>
    <w:rsid w:val="00117261"/>
    <w:rsid w:val="00117B0F"/>
    <w:rsid w:val="001209B6"/>
    <w:rsid w:val="00120DE2"/>
    <w:rsid w:val="00121DDD"/>
    <w:rsid w:val="001227CE"/>
    <w:rsid w:val="00122A51"/>
    <w:rsid w:val="00122A55"/>
    <w:rsid w:val="001231BE"/>
    <w:rsid w:val="001232C8"/>
    <w:rsid w:val="001235A2"/>
    <w:rsid w:val="0012377C"/>
    <w:rsid w:val="00123E3D"/>
    <w:rsid w:val="00123ECA"/>
    <w:rsid w:val="001244A5"/>
    <w:rsid w:val="00124CDA"/>
    <w:rsid w:val="001258D5"/>
    <w:rsid w:val="00125C2D"/>
    <w:rsid w:val="00125FF1"/>
    <w:rsid w:val="001268E7"/>
    <w:rsid w:val="00126DD6"/>
    <w:rsid w:val="00126FA5"/>
    <w:rsid w:val="0012704B"/>
    <w:rsid w:val="001272E6"/>
    <w:rsid w:val="0012783A"/>
    <w:rsid w:val="00127BA3"/>
    <w:rsid w:val="00127E68"/>
    <w:rsid w:val="00130133"/>
    <w:rsid w:val="00130C70"/>
    <w:rsid w:val="00131210"/>
    <w:rsid w:val="00131391"/>
    <w:rsid w:val="0013173E"/>
    <w:rsid w:val="00131DE4"/>
    <w:rsid w:val="00133116"/>
    <w:rsid w:val="001343FD"/>
    <w:rsid w:val="001348B0"/>
    <w:rsid w:val="00134C46"/>
    <w:rsid w:val="00135153"/>
    <w:rsid w:val="0013557A"/>
    <w:rsid w:val="0013564B"/>
    <w:rsid w:val="001356DD"/>
    <w:rsid w:val="00135E42"/>
    <w:rsid w:val="001365C6"/>
    <w:rsid w:val="00136982"/>
    <w:rsid w:val="001369FF"/>
    <w:rsid w:val="00136A52"/>
    <w:rsid w:val="0013737A"/>
    <w:rsid w:val="00137AB2"/>
    <w:rsid w:val="00140104"/>
    <w:rsid w:val="00140BBE"/>
    <w:rsid w:val="00141456"/>
    <w:rsid w:val="00141679"/>
    <w:rsid w:val="001416B5"/>
    <w:rsid w:val="0014187D"/>
    <w:rsid w:val="0014272F"/>
    <w:rsid w:val="001428E4"/>
    <w:rsid w:val="00142F46"/>
    <w:rsid w:val="00143D39"/>
    <w:rsid w:val="0014403C"/>
    <w:rsid w:val="001440A4"/>
    <w:rsid w:val="00144E12"/>
    <w:rsid w:val="0014533B"/>
    <w:rsid w:val="001454BF"/>
    <w:rsid w:val="00145740"/>
    <w:rsid w:val="00145E7F"/>
    <w:rsid w:val="001460F9"/>
    <w:rsid w:val="0014631C"/>
    <w:rsid w:val="0014637F"/>
    <w:rsid w:val="00146436"/>
    <w:rsid w:val="00146745"/>
    <w:rsid w:val="00146A22"/>
    <w:rsid w:val="001472CE"/>
    <w:rsid w:val="00147D82"/>
    <w:rsid w:val="0015031D"/>
    <w:rsid w:val="001504CA"/>
    <w:rsid w:val="00150683"/>
    <w:rsid w:val="001507B7"/>
    <w:rsid w:val="001511F7"/>
    <w:rsid w:val="00151E5D"/>
    <w:rsid w:val="001522A9"/>
    <w:rsid w:val="001525A7"/>
    <w:rsid w:val="001526D0"/>
    <w:rsid w:val="00153496"/>
    <w:rsid w:val="001538CC"/>
    <w:rsid w:val="00153CBA"/>
    <w:rsid w:val="00153DA8"/>
    <w:rsid w:val="00153E21"/>
    <w:rsid w:val="00154106"/>
    <w:rsid w:val="0015464A"/>
    <w:rsid w:val="00154A10"/>
    <w:rsid w:val="00154BDD"/>
    <w:rsid w:val="00155F61"/>
    <w:rsid w:val="001560B1"/>
    <w:rsid w:val="001560F7"/>
    <w:rsid w:val="001566A8"/>
    <w:rsid w:val="00156758"/>
    <w:rsid w:val="00157300"/>
    <w:rsid w:val="00157936"/>
    <w:rsid w:val="00157B03"/>
    <w:rsid w:val="00157E8A"/>
    <w:rsid w:val="00160282"/>
    <w:rsid w:val="001604B9"/>
    <w:rsid w:val="001605F5"/>
    <w:rsid w:val="00160D97"/>
    <w:rsid w:val="001622D6"/>
    <w:rsid w:val="00162D2C"/>
    <w:rsid w:val="00162D50"/>
    <w:rsid w:val="00163214"/>
    <w:rsid w:val="00163FC9"/>
    <w:rsid w:val="0016475E"/>
    <w:rsid w:val="001647AD"/>
    <w:rsid w:val="00164B2F"/>
    <w:rsid w:val="00164BF3"/>
    <w:rsid w:val="001655EF"/>
    <w:rsid w:val="0016575B"/>
    <w:rsid w:val="00165BA1"/>
    <w:rsid w:val="00166939"/>
    <w:rsid w:val="001669E9"/>
    <w:rsid w:val="001669FC"/>
    <w:rsid w:val="001674EC"/>
    <w:rsid w:val="001676A5"/>
    <w:rsid w:val="00167CA0"/>
    <w:rsid w:val="00167E38"/>
    <w:rsid w:val="00170812"/>
    <w:rsid w:val="00170C97"/>
    <w:rsid w:val="00171A0A"/>
    <w:rsid w:val="00171C20"/>
    <w:rsid w:val="00171EBE"/>
    <w:rsid w:val="00172224"/>
    <w:rsid w:val="00172BC9"/>
    <w:rsid w:val="001730F6"/>
    <w:rsid w:val="0017342D"/>
    <w:rsid w:val="001746CA"/>
    <w:rsid w:val="00174764"/>
    <w:rsid w:val="00174B79"/>
    <w:rsid w:val="00175204"/>
    <w:rsid w:val="0017559C"/>
    <w:rsid w:val="00175935"/>
    <w:rsid w:val="00176433"/>
    <w:rsid w:val="00176767"/>
    <w:rsid w:val="00176D5A"/>
    <w:rsid w:val="00176E0B"/>
    <w:rsid w:val="00177035"/>
    <w:rsid w:val="0017746C"/>
    <w:rsid w:val="00177553"/>
    <w:rsid w:val="00177AEB"/>
    <w:rsid w:val="00180840"/>
    <w:rsid w:val="00181166"/>
    <w:rsid w:val="00182145"/>
    <w:rsid w:val="001827DE"/>
    <w:rsid w:val="00183250"/>
    <w:rsid w:val="00183477"/>
    <w:rsid w:val="0018385C"/>
    <w:rsid w:val="00183CBD"/>
    <w:rsid w:val="00183D34"/>
    <w:rsid w:val="00183FCF"/>
    <w:rsid w:val="00184142"/>
    <w:rsid w:val="00184162"/>
    <w:rsid w:val="00184566"/>
    <w:rsid w:val="00184BFF"/>
    <w:rsid w:val="0018516E"/>
    <w:rsid w:val="001856C5"/>
    <w:rsid w:val="00185A50"/>
    <w:rsid w:val="00185D26"/>
    <w:rsid w:val="00186156"/>
    <w:rsid w:val="001862E8"/>
    <w:rsid w:val="0018660A"/>
    <w:rsid w:val="00186632"/>
    <w:rsid w:val="00186ACF"/>
    <w:rsid w:val="00186E27"/>
    <w:rsid w:val="00186EF3"/>
    <w:rsid w:val="001873D9"/>
    <w:rsid w:val="0018777A"/>
    <w:rsid w:val="00190B29"/>
    <w:rsid w:val="00190E01"/>
    <w:rsid w:val="00190F5B"/>
    <w:rsid w:val="00190F6C"/>
    <w:rsid w:val="001910CC"/>
    <w:rsid w:val="00191B68"/>
    <w:rsid w:val="001923EB"/>
    <w:rsid w:val="00192497"/>
    <w:rsid w:val="00192589"/>
    <w:rsid w:val="00192600"/>
    <w:rsid w:val="0019269A"/>
    <w:rsid w:val="00192C5F"/>
    <w:rsid w:val="001933A4"/>
    <w:rsid w:val="001948B1"/>
    <w:rsid w:val="00195054"/>
    <w:rsid w:val="00195683"/>
    <w:rsid w:val="001956F5"/>
    <w:rsid w:val="00196033"/>
    <w:rsid w:val="00196292"/>
    <w:rsid w:val="0019664D"/>
    <w:rsid w:val="00196D95"/>
    <w:rsid w:val="00196F44"/>
    <w:rsid w:val="00197103"/>
    <w:rsid w:val="001971B9"/>
    <w:rsid w:val="001972B1"/>
    <w:rsid w:val="001973D6"/>
    <w:rsid w:val="0019741F"/>
    <w:rsid w:val="00197CBC"/>
    <w:rsid w:val="00197CEF"/>
    <w:rsid w:val="001A0317"/>
    <w:rsid w:val="001A0491"/>
    <w:rsid w:val="001A067F"/>
    <w:rsid w:val="001A0A3B"/>
    <w:rsid w:val="001A0DD9"/>
    <w:rsid w:val="001A0ED0"/>
    <w:rsid w:val="001A0F4A"/>
    <w:rsid w:val="001A12DC"/>
    <w:rsid w:val="001A1842"/>
    <w:rsid w:val="001A1CF5"/>
    <w:rsid w:val="001A1E69"/>
    <w:rsid w:val="001A20D2"/>
    <w:rsid w:val="001A2AB6"/>
    <w:rsid w:val="001A2C4D"/>
    <w:rsid w:val="001A2DA2"/>
    <w:rsid w:val="001A3419"/>
    <w:rsid w:val="001A3427"/>
    <w:rsid w:val="001A3480"/>
    <w:rsid w:val="001A3534"/>
    <w:rsid w:val="001A4058"/>
    <w:rsid w:val="001A5E42"/>
    <w:rsid w:val="001A6356"/>
    <w:rsid w:val="001A7162"/>
    <w:rsid w:val="001A71D9"/>
    <w:rsid w:val="001A76B9"/>
    <w:rsid w:val="001B143A"/>
    <w:rsid w:val="001B14B6"/>
    <w:rsid w:val="001B1694"/>
    <w:rsid w:val="001B1D47"/>
    <w:rsid w:val="001B2523"/>
    <w:rsid w:val="001B29DD"/>
    <w:rsid w:val="001B3592"/>
    <w:rsid w:val="001B3CFA"/>
    <w:rsid w:val="001B3D85"/>
    <w:rsid w:val="001B3E5B"/>
    <w:rsid w:val="001B51ED"/>
    <w:rsid w:val="001B5C4B"/>
    <w:rsid w:val="001B6952"/>
    <w:rsid w:val="001B6C5A"/>
    <w:rsid w:val="001B7656"/>
    <w:rsid w:val="001B7F06"/>
    <w:rsid w:val="001B7F18"/>
    <w:rsid w:val="001C0362"/>
    <w:rsid w:val="001C0A04"/>
    <w:rsid w:val="001C0AC9"/>
    <w:rsid w:val="001C13A6"/>
    <w:rsid w:val="001C25FE"/>
    <w:rsid w:val="001C2AB6"/>
    <w:rsid w:val="001C2E6C"/>
    <w:rsid w:val="001C30E8"/>
    <w:rsid w:val="001C31E1"/>
    <w:rsid w:val="001C39ED"/>
    <w:rsid w:val="001C3AF8"/>
    <w:rsid w:val="001C3B36"/>
    <w:rsid w:val="001C3E99"/>
    <w:rsid w:val="001C4271"/>
    <w:rsid w:val="001C4512"/>
    <w:rsid w:val="001C46A9"/>
    <w:rsid w:val="001C4802"/>
    <w:rsid w:val="001C49E7"/>
    <w:rsid w:val="001C4EB8"/>
    <w:rsid w:val="001C4EFF"/>
    <w:rsid w:val="001C53D1"/>
    <w:rsid w:val="001C578C"/>
    <w:rsid w:val="001C57A7"/>
    <w:rsid w:val="001C57AB"/>
    <w:rsid w:val="001C6A8F"/>
    <w:rsid w:val="001C6BF5"/>
    <w:rsid w:val="001C6DC9"/>
    <w:rsid w:val="001D0A66"/>
    <w:rsid w:val="001D0F50"/>
    <w:rsid w:val="001D1751"/>
    <w:rsid w:val="001D1A15"/>
    <w:rsid w:val="001D1A6A"/>
    <w:rsid w:val="001D1B01"/>
    <w:rsid w:val="001D1C09"/>
    <w:rsid w:val="001D1E96"/>
    <w:rsid w:val="001D205E"/>
    <w:rsid w:val="001D2139"/>
    <w:rsid w:val="001D273A"/>
    <w:rsid w:val="001D295D"/>
    <w:rsid w:val="001D2CDE"/>
    <w:rsid w:val="001D3799"/>
    <w:rsid w:val="001D40E0"/>
    <w:rsid w:val="001D538B"/>
    <w:rsid w:val="001D5461"/>
    <w:rsid w:val="001D54B8"/>
    <w:rsid w:val="001D5ABA"/>
    <w:rsid w:val="001D5E32"/>
    <w:rsid w:val="001D66DD"/>
    <w:rsid w:val="001D7104"/>
    <w:rsid w:val="001D72C7"/>
    <w:rsid w:val="001D7A9B"/>
    <w:rsid w:val="001D7B7F"/>
    <w:rsid w:val="001D7CEA"/>
    <w:rsid w:val="001E08DD"/>
    <w:rsid w:val="001E0A3C"/>
    <w:rsid w:val="001E0D7B"/>
    <w:rsid w:val="001E1119"/>
    <w:rsid w:val="001E11D8"/>
    <w:rsid w:val="001E1408"/>
    <w:rsid w:val="001E157E"/>
    <w:rsid w:val="001E18D0"/>
    <w:rsid w:val="001E1AF2"/>
    <w:rsid w:val="001E1E65"/>
    <w:rsid w:val="001E2030"/>
    <w:rsid w:val="001E336D"/>
    <w:rsid w:val="001E3461"/>
    <w:rsid w:val="001E3825"/>
    <w:rsid w:val="001E3878"/>
    <w:rsid w:val="001E3985"/>
    <w:rsid w:val="001E39E8"/>
    <w:rsid w:val="001E3D01"/>
    <w:rsid w:val="001E4144"/>
    <w:rsid w:val="001E41D7"/>
    <w:rsid w:val="001E4718"/>
    <w:rsid w:val="001E47C5"/>
    <w:rsid w:val="001E4CB5"/>
    <w:rsid w:val="001E548C"/>
    <w:rsid w:val="001E5590"/>
    <w:rsid w:val="001E55A3"/>
    <w:rsid w:val="001E5E9B"/>
    <w:rsid w:val="001E6250"/>
    <w:rsid w:val="001E68B2"/>
    <w:rsid w:val="001E6B26"/>
    <w:rsid w:val="001E715F"/>
    <w:rsid w:val="001E7332"/>
    <w:rsid w:val="001E74CD"/>
    <w:rsid w:val="001E797C"/>
    <w:rsid w:val="001E7ADA"/>
    <w:rsid w:val="001E7E70"/>
    <w:rsid w:val="001F01C0"/>
    <w:rsid w:val="001F020F"/>
    <w:rsid w:val="001F036F"/>
    <w:rsid w:val="001F1899"/>
    <w:rsid w:val="001F1EF9"/>
    <w:rsid w:val="001F252D"/>
    <w:rsid w:val="001F2550"/>
    <w:rsid w:val="001F2DDF"/>
    <w:rsid w:val="001F2FA4"/>
    <w:rsid w:val="001F2FF3"/>
    <w:rsid w:val="001F355C"/>
    <w:rsid w:val="001F3761"/>
    <w:rsid w:val="001F3B2B"/>
    <w:rsid w:val="001F3BA4"/>
    <w:rsid w:val="001F4422"/>
    <w:rsid w:val="001F4610"/>
    <w:rsid w:val="001F4D85"/>
    <w:rsid w:val="001F506B"/>
    <w:rsid w:val="001F5E51"/>
    <w:rsid w:val="001F6154"/>
    <w:rsid w:val="001F61BA"/>
    <w:rsid w:val="001F6386"/>
    <w:rsid w:val="001F65C2"/>
    <w:rsid w:val="001F669F"/>
    <w:rsid w:val="001F6CE4"/>
    <w:rsid w:val="001F6D89"/>
    <w:rsid w:val="001F6E83"/>
    <w:rsid w:val="001F786B"/>
    <w:rsid w:val="001F7A94"/>
    <w:rsid w:val="001F7DC3"/>
    <w:rsid w:val="00200007"/>
    <w:rsid w:val="0020001F"/>
    <w:rsid w:val="002004CD"/>
    <w:rsid w:val="00201C92"/>
    <w:rsid w:val="00202251"/>
    <w:rsid w:val="00203156"/>
    <w:rsid w:val="002032A2"/>
    <w:rsid w:val="00203377"/>
    <w:rsid w:val="00203450"/>
    <w:rsid w:val="002037BF"/>
    <w:rsid w:val="002039AC"/>
    <w:rsid w:val="00203BA6"/>
    <w:rsid w:val="00204084"/>
    <w:rsid w:val="0020415A"/>
    <w:rsid w:val="002046ED"/>
    <w:rsid w:val="002046FD"/>
    <w:rsid w:val="00204AA4"/>
    <w:rsid w:val="002051F5"/>
    <w:rsid w:val="002052A0"/>
    <w:rsid w:val="0020566C"/>
    <w:rsid w:val="00205793"/>
    <w:rsid w:val="00206660"/>
    <w:rsid w:val="00206BBE"/>
    <w:rsid w:val="00206E5C"/>
    <w:rsid w:val="0020712F"/>
    <w:rsid w:val="00207855"/>
    <w:rsid w:val="0021094C"/>
    <w:rsid w:val="00210F2F"/>
    <w:rsid w:val="00211363"/>
    <w:rsid w:val="0021137A"/>
    <w:rsid w:val="002117B7"/>
    <w:rsid w:val="002123DE"/>
    <w:rsid w:val="0021249A"/>
    <w:rsid w:val="002125F6"/>
    <w:rsid w:val="00212D41"/>
    <w:rsid w:val="00213133"/>
    <w:rsid w:val="00213609"/>
    <w:rsid w:val="00213620"/>
    <w:rsid w:val="00213CB8"/>
    <w:rsid w:val="00214633"/>
    <w:rsid w:val="002147B1"/>
    <w:rsid w:val="00214B67"/>
    <w:rsid w:val="00215970"/>
    <w:rsid w:val="002162F0"/>
    <w:rsid w:val="002165B8"/>
    <w:rsid w:val="00216DD6"/>
    <w:rsid w:val="0021711D"/>
    <w:rsid w:val="002174E3"/>
    <w:rsid w:val="0021772C"/>
    <w:rsid w:val="00217754"/>
    <w:rsid w:val="00217FE3"/>
    <w:rsid w:val="0022097D"/>
    <w:rsid w:val="00220A75"/>
    <w:rsid w:val="00220D63"/>
    <w:rsid w:val="00221804"/>
    <w:rsid w:val="00221E37"/>
    <w:rsid w:val="00222CDC"/>
    <w:rsid w:val="00222D53"/>
    <w:rsid w:val="00223C8B"/>
    <w:rsid w:val="00224581"/>
    <w:rsid w:val="002246B3"/>
    <w:rsid w:val="00224E6A"/>
    <w:rsid w:val="00224F9B"/>
    <w:rsid w:val="0022522D"/>
    <w:rsid w:val="002262B6"/>
    <w:rsid w:val="0022662C"/>
    <w:rsid w:val="00226D31"/>
    <w:rsid w:val="00227CFA"/>
    <w:rsid w:val="00227E59"/>
    <w:rsid w:val="00230079"/>
    <w:rsid w:val="00230241"/>
    <w:rsid w:val="002306D0"/>
    <w:rsid w:val="002307EA"/>
    <w:rsid w:val="00231130"/>
    <w:rsid w:val="002311AD"/>
    <w:rsid w:val="002316F8"/>
    <w:rsid w:val="00231DF9"/>
    <w:rsid w:val="00231E87"/>
    <w:rsid w:val="002325E3"/>
    <w:rsid w:val="00232AA2"/>
    <w:rsid w:val="00232F68"/>
    <w:rsid w:val="00232FF7"/>
    <w:rsid w:val="00233AA9"/>
    <w:rsid w:val="00233C05"/>
    <w:rsid w:val="00234149"/>
    <w:rsid w:val="00234273"/>
    <w:rsid w:val="00234340"/>
    <w:rsid w:val="002349F0"/>
    <w:rsid w:val="00234C4A"/>
    <w:rsid w:val="00235211"/>
    <w:rsid w:val="002358BA"/>
    <w:rsid w:val="002364F8"/>
    <w:rsid w:val="00236A07"/>
    <w:rsid w:val="00236FE9"/>
    <w:rsid w:val="0023785E"/>
    <w:rsid w:val="002378C7"/>
    <w:rsid w:val="002400A2"/>
    <w:rsid w:val="002407E9"/>
    <w:rsid w:val="00240AD1"/>
    <w:rsid w:val="00240FF2"/>
    <w:rsid w:val="0024114F"/>
    <w:rsid w:val="0024122C"/>
    <w:rsid w:val="00241E9C"/>
    <w:rsid w:val="00241EB7"/>
    <w:rsid w:val="00242253"/>
    <w:rsid w:val="00242A2E"/>
    <w:rsid w:val="0024309B"/>
    <w:rsid w:val="0024315E"/>
    <w:rsid w:val="002441B2"/>
    <w:rsid w:val="00245015"/>
    <w:rsid w:val="00245739"/>
    <w:rsid w:val="0024606F"/>
    <w:rsid w:val="00246FA6"/>
    <w:rsid w:val="00247D9F"/>
    <w:rsid w:val="0025002A"/>
    <w:rsid w:val="002501EB"/>
    <w:rsid w:val="0025051C"/>
    <w:rsid w:val="00250696"/>
    <w:rsid w:val="00250CE0"/>
    <w:rsid w:val="00251965"/>
    <w:rsid w:val="002519F2"/>
    <w:rsid w:val="00251C71"/>
    <w:rsid w:val="00252984"/>
    <w:rsid w:val="00252F40"/>
    <w:rsid w:val="00253C00"/>
    <w:rsid w:val="0025467C"/>
    <w:rsid w:val="00254E0D"/>
    <w:rsid w:val="00254FA5"/>
    <w:rsid w:val="0025527E"/>
    <w:rsid w:val="00255927"/>
    <w:rsid w:val="00255B0B"/>
    <w:rsid w:val="00255FE4"/>
    <w:rsid w:val="0025644D"/>
    <w:rsid w:val="00256DA6"/>
    <w:rsid w:val="00256E1D"/>
    <w:rsid w:val="0025775F"/>
    <w:rsid w:val="00257FD0"/>
    <w:rsid w:val="00260A3D"/>
    <w:rsid w:val="002614EE"/>
    <w:rsid w:val="00261DEE"/>
    <w:rsid w:val="0026204D"/>
    <w:rsid w:val="0026219B"/>
    <w:rsid w:val="002621DE"/>
    <w:rsid w:val="002626B3"/>
    <w:rsid w:val="002629A7"/>
    <w:rsid w:val="00262BCD"/>
    <w:rsid w:val="00262DEA"/>
    <w:rsid w:val="00262E79"/>
    <w:rsid w:val="00262F23"/>
    <w:rsid w:val="00263072"/>
    <w:rsid w:val="00263394"/>
    <w:rsid w:val="0026352B"/>
    <w:rsid w:val="00263C5E"/>
    <w:rsid w:val="00263D44"/>
    <w:rsid w:val="00264D81"/>
    <w:rsid w:val="002657E8"/>
    <w:rsid w:val="00265A60"/>
    <w:rsid w:val="0026666A"/>
    <w:rsid w:val="00266C53"/>
    <w:rsid w:val="002703FB"/>
    <w:rsid w:val="00270DCC"/>
    <w:rsid w:val="002716AF"/>
    <w:rsid w:val="00271D33"/>
    <w:rsid w:val="00271D79"/>
    <w:rsid w:val="00272287"/>
    <w:rsid w:val="0027271A"/>
    <w:rsid w:val="00273232"/>
    <w:rsid w:val="00273BDA"/>
    <w:rsid w:val="00274007"/>
    <w:rsid w:val="002747DB"/>
    <w:rsid w:val="00275165"/>
    <w:rsid w:val="00275221"/>
    <w:rsid w:val="00275346"/>
    <w:rsid w:val="00275C30"/>
    <w:rsid w:val="002769B2"/>
    <w:rsid w:val="00276A9E"/>
    <w:rsid w:val="00280EFD"/>
    <w:rsid w:val="0028137D"/>
    <w:rsid w:val="002819D1"/>
    <w:rsid w:val="002819F4"/>
    <w:rsid w:val="00281A17"/>
    <w:rsid w:val="00281B34"/>
    <w:rsid w:val="00282D4E"/>
    <w:rsid w:val="00283566"/>
    <w:rsid w:val="002838EE"/>
    <w:rsid w:val="00283DF9"/>
    <w:rsid w:val="00284964"/>
    <w:rsid w:val="002849E4"/>
    <w:rsid w:val="00284E05"/>
    <w:rsid w:val="002857CB"/>
    <w:rsid w:val="0028586B"/>
    <w:rsid w:val="00286295"/>
    <w:rsid w:val="00287075"/>
    <w:rsid w:val="002875E9"/>
    <w:rsid w:val="00287683"/>
    <w:rsid w:val="00287B3F"/>
    <w:rsid w:val="002901D3"/>
    <w:rsid w:val="00290346"/>
    <w:rsid w:val="002909E6"/>
    <w:rsid w:val="00290A93"/>
    <w:rsid w:val="00290D9E"/>
    <w:rsid w:val="00290E35"/>
    <w:rsid w:val="00291009"/>
    <w:rsid w:val="00291473"/>
    <w:rsid w:val="0029183A"/>
    <w:rsid w:val="002919C7"/>
    <w:rsid w:val="00291EB3"/>
    <w:rsid w:val="00291FC7"/>
    <w:rsid w:val="00292209"/>
    <w:rsid w:val="00292442"/>
    <w:rsid w:val="00292920"/>
    <w:rsid w:val="00292B6D"/>
    <w:rsid w:val="00292DAF"/>
    <w:rsid w:val="002931ED"/>
    <w:rsid w:val="00293A4E"/>
    <w:rsid w:val="00293C72"/>
    <w:rsid w:val="00293C75"/>
    <w:rsid w:val="00294D33"/>
    <w:rsid w:val="002956EC"/>
    <w:rsid w:val="002958D7"/>
    <w:rsid w:val="00296574"/>
    <w:rsid w:val="00296628"/>
    <w:rsid w:val="00296709"/>
    <w:rsid w:val="00296F2B"/>
    <w:rsid w:val="002975A2"/>
    <w:rsid w:val="00297A1F"/>
    <w:rsid w:val="00297E4B"/>
    <w:rsid w:val="00297F1B"/>
    <w:rsid w:val="002A03FE"/>
    <w:rsid w:val="002A0595"/>
    <w:rsid w:val="002A0850"/>
    <w:rsid w:val="002A0B28"/>
    <w:rsid w:val="002A1385"/>
    <w:rsid w:val="002A18FA"/>
    <w:rsid w:val="002A1A65"/>
    <w:rsid w:val="002A2236"/>
    <w:rsid w:val="002A260F"/>
    <w:rsid w:val="002A2812"/>
    <w:rsid w:val="002A2B51"/>
    <w:rsid w:val="002A2D93"/>
    <w:rsid w:val="002A3595"/>
    <w:rsid w:val="002A3FE3"/>
    <w:rsid w:val="002A497B"/>
    <w:rsid w:val="002A5071"/>
    <w:rsid w:val="002A5186"/>
    <w:rsid w:val="002A5290"/>
    <w:rsid w:val="002A547B"/>
    <w:rsid w:val="002A5643"/>
    <w:rsid w:val="002A65B8"/>
    <w:rsid w:val="002A67D7"/>
    <w:rsid w:val="002A76D3"/>
    <w:rsid w:val="002A7ACD"/>
    <w:rsid w:val="002B03F7"/>
    <w:rsid w:val="002B0CF9"/>
    <w:rsid w:val="002B1231"/>
    <w:rsid w:val="002B1440"/>
    <w:rsid w:val="002B1AB1"/>
    <w:rsid w:val="002B22CF"/>
    <w:rsid w:val="002B253A"/>
    <w:rsid w:val="002B253F"/>
    <w:rsid w:val="002B2ABB"/>
    <w:rsid w:val="002B32A1"/>
    <w:rsid w:val="002B3A45"/>
    <w:rsid w:val="002B406B"/>
    <w:rsid w:val="002B4BCC"/>
    <w:rsid w:val="002B59AE"/>
    <w:rsid w:val="002B5B3F"/>
    <w:rsid w:val="002B609A"/>
    <w:rsid w:val="002B62ED"/>
    <w:rsid w:val="002B66AC"/>
    <w:rsid w:val="002B6A57"/>
    <w:rsid w:val="002C05C3"/>
    <w:rsid w:val="002C0A95"/>
    <w:rsid w:val="002C0B48"/>
    <w:rsid w:val="002C1326"/>
    <w:rsid w:val="002C13CB"/>
    <w:rsid w:val="002C183C"/>
    <w:rsid w:val="002C1857"/>
    <w:rsid w:val="002C1E31"/>
    <w:rsid w:val="002C2377"/>
    <w:rsid w:val="002C24E5"/>
    <w:rsid w:val="002C267E"/>
    <w:rsid w:val="002C33B2"/>
    <w:rsid w:val="002C377D"/>
    <w:rsid w:val="002C3B53"/>
    <w:rsid w:val="002C3FB1"/>
    <w:rsid w:val="002C4B32"/>
    <w:rsid w:val="002C547E"/>
    <w:rsid w:val="002C5974"/>
    <w:rsid w:val="002C6041"/>
    <w:rsid w:val="002C6E69"/>
    <w:rsid w:val="002C77A5"/>
    <w:rsid w:val="002C7B37"/>
    <w:rsid w:val="002D08BB"/>
    <w:rsid w:val="002D0E97"/>
    <w:rsid w:val="002D1A0B"/>
    <w:rsid w:val="002D1B1F"/>
    <w:rsid w:val="002D2E89"/>
    <w:rsid w:val="002D35AE"/>
    <w:rsid w:val="002D438B"/>
    <w:rsid w:val="002D457A"/>
    <w:rsid w:val="002D4F37"/>
    <w:rsid w:val="002D54B3"/>
    <w:rsid w:val="002D55A7"/>
    <w:rsid w:val="002D55DF"/>
    <w:rsid w:val="002D63FB"/>
    <w:rsid w:val="002D6963"/>
    <w:rsid w:val="002D6CE1"/>
    <w:rsid w:val="002D6DA3"/>
    <w:rsid w:val="002D78CA"/>
    <w:rsid w:val="002D7AC7"/>
    <w:rsid w:val="002E09EF"/>
    <w:rsid w:val="002E0B13"/>
    <w:rsid w:val="002E0B60"/>
    <w:rsid w:val="002E0F8D"/>
    <w:rsid w:val="002E1038"/>
    <w:rsid w:val="002E19D9"/>
    <w:rsid w:val="002E1C21"/>
    <w:rsid w:val="002E1DF3"/>
    <w:rsid w:val="002E1E28"/>
    <w:rsid w:val="002E291B"/>
    <w:rsid w:val="002E2978"/>
    <w:rsid w:val="002E29A9"/>
    <w:rsid w:val="002E2AAD"/>
    <w:rsid w:val="002E3669"/>
    <w:rsid w:val="002E39A4"/>
    <w:rsid w:val="002E3FCD"/>
    <w:rsid w:val="002E485B"/>
    <w:rsid w:val="002E56F6"/>
    <w:rsid w:val="002E6B31"/>
    <w:rsid w:val="002E6F51"/>
    <w:rsid w:val="002E73B9"/>
    <w:rsid w:val="002E76F9"/>
    <w:rsid w:val="002E7FC3"/>
    <w:rsid w:val="002F087C"/>
    <w:rsid w:val="002F10C8"/>
    <w:rsid w:val="002F142D"/>
    <w:rsid w:val="002F162B"/>
    <w:rsid w:val="002F1B13"/>
    <w:rsid w:val="002F1D56"/>
    <w:rsid w:val="002F1D9E"/>
    <w:rsid w:val="002F1FD3"/>
    <w:rsid w:val="002F2190"/>
    <w:rsid w:val="002F22C1"/>
    <w:rsid w:val="002F23FA"/>
    <w:rsid w:val="002F2991"/>
    <w:rsid w:val="002F3EAB"/>
    <w:rsid w:val="002F43D0"/>
    <w:rsid w:val="002F5473"/>
    <w:rsid w:val="002F56D3"/>
    <w:rsid w:val="002F5997"/>
    <w:rsid w:val="002F59BA"/>
    <w:rsid w:val="002F5E6F"/>
    <w:rsid w:val="002F6014"/>
    <w:rsid w:val="002F6360"/>
    <w:rsid w:val="002F64F2"/>
    <w:rsid w:val="002F6882"/>
    <w:rsid w:val="002F694F"/>
    <w:rsid w:val="002F6B10"/>
    <w:rsid w:val="002F6B97"/>
    <w:rsid w:val="002F6C34"/>
    <w:rsid w:val="002F71D1"/>
    <w:rsid w:val="002F7999"/>
    <w:rsid w:val="00300960"/>
    <w:rsid w:val="00301053"/>
    <w:rsid w:val="00301945"/>
    <w:rsid w:val="00301E4C"/>
    <w:rsid w:val="0030224C"/>
    <w:rsid w:val="003022EE"/>
    <w:rsid w:val="003023BD"/>
    <w:rsid w:val="00302A57"/>
    <w:rsid w:val="003036CB"/>
    <w:rsid w:val="003038DC"/>
    <w:rsid w:val="00303E1A"/>
    <w:rsid w:val="00304393"/>
    <w:rsid w:val="00304408"/>
    <w:rsid w:val="00304491"/>
    <w:rsid w:val="00304C3D"/>
    <w:rsid w:val="00304C93"/>
    <w:rsid w:val="00304D77"/>
    <w:rsid w:val="00305513"/>
    <w:rsid w:val="0030559F"/>
    <w:rsid w:val="00305741"/>
    <w:rsid w:val="00306065"/>
    <w:rsid w:val="00306EB3"/>
    <w:rsid w:val="0030716B"/>
    <w:rsid w:val="003074B2"/>
    <w:rsid w:val="00307E6F"/>
    <w:rsid w:val="00310306"/>
    <w:rsid w:val="003104ED"/>
    <w:rsid w:val="003105DB"/>
    <w:rsid w:val="00310874"/>
    <w:rsid w:val="00310E95"/>
    <w:rsid w:val="00311099"/>
    <w:rsid w:val="00311375"/>
    <w:rsid w:val="00311397"/>
    <w:rsid w:val="00311B9D"/>
    <w:rsid w:val="00311E87"/>
    <w:rsid w:val="00312372"/>
    <w:rsid w:val="0031294F"/>
    <w:rsid w:val="00312E61"/>
    <w:rsid w:val="0031336A"/>
    <w:rsid w:val="003134D0"/>
    <w:rsid w:val="0031353C"/>
    <w:rsid w:val="00313AF8"/>
    <w:rsid w:val="00314C3E"/>
    <w:rsid w:val="00315247"/>
    <w:rsid w:val="003157D9"/>
    <w:rsid w:val="00316BC3"/>
    <w:rsid w:val="003179A0"/>
    <w:rsid w:val="00317E9E"/>
    <w:rsid w:val="0032053A"/>
    <w:rsid w:val="003207F5"/>
    <w:rsid w:val="0032113E"/>
    <w:rsid w:val="0032114B"/>
    <w:rsid w:val="00321C8C"/>
    <w:rsid w:val="00322499"/>
    <w:rsid w:val="003226A0"/>
    <w:rsid w:val="00322DF4"/>
    <w:rsid w:val="003230EB"/>
    <w:rsid w:val="00323B09"/>
    <w:rsid w:val="00323EB7"/>
    <w:rsid w:val="00324A9B"/>
    <w:rsid w:val="003250E3"/>
    <w:rsid w:val="003252DA"/>
    <w:rsid w:val="0032574C"/>
    <w:rsid w:val="00325FCF"/>
    <w:rsid w:val="00326103"/>
    <w:rsid w:val="0032640B"/>
    <w:rsid w:val="003266BF"/>
    <w:rsid w:val="003267BD"/>
    <w:rsid w:val="003271D8"/>
    <w:rsid w:val="00327664"/>
    <w:rsid w:val="003278AA"/>
    <w:rsid w:val="00327AE6"/>
    <w:rsid w:val="00327E73"/>
    <w:rsid w:val="00330616"/>
    <w:rsid w:val="0033143E"/>
    <w:rsid w:val="00331915"/>
    <w:rsid w:val="00332267"/>
    <w:rsid w:val="00332F67"/>
    <w:rsid w:val="003334FA"/>
    <w:rsid w:val="00333707"/>
    <w:rsid w:val="00333B94"/>
    <w:rsid w:val="00333F24"/>
    <w:rsid w:val="00334804"/>
    <w:rsid w:val="00334D5D"/>
    <w:rsid w:val="0033557A"/>
    <w:rsid w:val="003356E9"/>
    <w:rsid w:val="003358FD"/>
    <w:rsid w:val="003359C2"/>
    <w:rsid w:val="00335A23"/>
    <w:rsid w:val="00336290"/>
    <w:rsid w:val="003362FC"/>
    <w:rsid w:val="003369A6"/>
    <w:rsid w:val="00336B22"/>
    <w:rsid w:val="00337134"/>
    <w:rsid w:val="00337393"/>
    <w:rsid w:val="00337A77"/>
    <w:rsid w:val="00340250"/>
    <w:rsid w:val="00340738"/>
    <w:rsid w:val="003408F7"/>
    <w:rsid w:val="00340A09"/>
    <w:rsid w:val="00341199"/>
    <w:rsid w:val="003412B8"/>
    <w:rsid w:val="00341ADB"/>
    <w:rsid w:val="00341DBB"/>
    <w:rsid w:val="00343FA7"/>
    <w:rsid w:val="003443AF"/>
    <w:rsid w:val="00344D3D"/>
    <w:rsid w:val="0034558E"/>
    <w:rsid w:val="003458CD"/>
    <w:rsid w:val="003469D9"/>
    <w:rsid w:val="00346DC2"/>
    <w:rsid w:val="00346FF6"/>
    <w:rsid w:val="00347854"/>
    <w:rsid w:val="00347BCE"/>
    <w:rsid w:val="00347C86"/>
    <w:rsid w:val="003501E4"/>
    <w:rsid w:val="00350827"/>
    <w:rsid w:val="00350CBD"/>
    <w:rsid w:val="00350D9C"/>
    <w:rsid w:val="00350E0C"/>
    <w:rsid w:val="00352635"/>
    <w:rsid w:val="00352930"/>
    <w:rsid w:val="00352BE2"/>
    <w:rsid w:val="003532B5"/>
    <w:rsid w:val="0035448B"/>
    <w:rsid w:val="00354820"/>
    <w:rsid w:val="00354835"/>
    <w:rsid w:val="00354906"/>
    <w:rsid w:val="00354AFE"/>
    <w:rsid w:val="00354DC1"/>
    <w:rsid w:val="00355854"/>
    <w:rsid w:val="0035641F"/>
    <w:rsid w:val="003565DB"/>
    <w:rsid w:val="003568FB"/>
    <w:rsid w:val="00356AC6"/>
    <w:rsid w:val="003572C4"/>
    <w:rsid w:val="003573B3"/>
    <w:rsid w:val="003603D0"/>
    <w:rsid w:val="003605F3"/>
    <w:rsid w:val="00360ABD"/>
    <w:rsid w:val="00361158"/>
    <w:rsid w:val="003612D3"/>
    <w:rsid w:val="00361AC3"/>
    <w:rsid w:val="003628C9"/>
    <w:rsid w:val="00362CAD"/>
    <w:rsid w:val="00363C23"/>
    <w:rsid w:val="00364080"/>
    <w:rsid w:val="00364304"/>
    <w:rsid w:val="003647F5"/>
    <w:rsid w:val="0036507A"/>
    <w:rsid w:val="00365602"/>
    <w:rsid w:val="0036562B"/>
    <w:rsid w:val="003656BC"/>
    <w:rsid w:val="0036633F"/>
    <w:rsid w:val="00367F73"/>
    <w:rsid w:val="003713A5"/>
    <w:rsid w:val="00371ECA"/>
    <w:rsid w:val="0037236E"/>
    <w:rsid w:val="00372CA1"/>
    <w:rsid w:val="00372D5A"/>
    <w:rsid w:val="00373C48"/>
    <w:rsid w:val="00373D73"/>
    <w:rsid w:val="00373F45"/>
    <w:rsid w:val="0037443E"/>
    <w:rsid w:val="0037457A"/>
    <w:rsid w:val="003749F3"/>
    <w:rsid w:val="00374BAB"/>
    <w:rsid w:val="00374E33"/>
    <w:rsid w:val="0037503B"/>
    <w:rsid w:val="003759FA"/>
    <w:rsid w:val="00375C67"/>
    <w:rsid w:val="00376D71"/>
    <w:rsid w:val="00376F4B"/>
    <w:rsid w:val="003772D8"/>
    <w:rsid w:val="00377AEA"/>
    <w:rsid w:val="003809D8"/>
    <w:rsid w:val="00381D2C"/>
    <w:rsid w:val="003820BF"/>
    <w:rsid w:val="00382128"/>
    <w:rsid w:val="003825D6"/>
    <w:rsid w:val="00382839"/>
    <w:rsid w:val="00382894"/>
    <w:rsid w:val="00382B2C"/>
    <w:rsid w:val="00382D73"/>
    <w:rsid w:val="00382E96"/>
    <w:rsid w:val="003832AE"/>
    <w:rsid w:val="00383350"/>
    <w:rsid w:val="00383890"/>
    <w:rsid w:val="003843DE"/>
    <w:rsid w:val="00384C72"/>
    <w:rsid w:val="00384FAE"/>
    <w:rsid w:val="0038541A"/>
    <w:rsid w:val="0038553F"/>
    <w:rsid w:val="003856BB"/>
    <w:rsid w:val="00385C63"/>
    <w:rsid w:val="00386043"/>
    <w:rsid w:val="0038627E"/>
    <w:rsid w:val="00386401"/>
    <w:rsid w:val="003864AE"/>
    <w:rsid w:val="00386B4F"/>
    <w:rsid w:val="00386F32"/>
    <w:rsid w:val="00390022"/>
    <w:rsid w:val="003906FA"/>
    <w:rsid w:val="0039121F"/>
    <w:rsid w:val="00391413"/>
    <w:rsid w:val="00391726"/>
    <w:rsid w:val="00391919"/>
    <w:rsid w:val="00392C06"/>
    <w:rsid w:val="003935E7"/>
    <w:rsid w:val="00393ADF"/>
    <w:rsid w:val="003945A5"/>
    <w:rsid w:val="003945F8"/>
    <w:rsid w:val="003946AA"/>
    <w:rsid w:val="00394860"/>
    <w:rsid w:val="00394E27"/>
    <w:rsid w:val="00394F48"/>
    <w:rsid w:val="003959AF"/>
    <w:rsid w:val="00395BC1"/>
    <w:rsid w:val="00397119"/>
    <w:rsid w:val="00397AE8"/>
    <w:rsid w:val="003A0394"/>
    <w:rsid w:val="003A09E3"/>
    <w:rsid w:val="003A0C96"/>
    <w:rsid w:val="003A115C"/>
    <w:rsid w:val="003A136D"/>
    <w:rsid w:val="003A154C"/>
    <w:rsid w:val="003A175A"/>
    <w:rsid w:val="003A1C9E"/>
    <w:rsid w:val="003A1CBE"/>
    <w:rsid w:val="003A286A"/>
    <w:rsid w:val="003A2D92"/>
    <w:rsid w:val="003A32B0"/>
    <w:rsid w:val="003A3332"/>
    <w:rsid w:val="003A3E6E"/>
    <w:rsid w:val="003A3FFC"/>
    <w:rsid w:val="003A42F6"/>
    <w:rsid w:val="003A4444"/>
    <w:rsid w:val="003A464C"/>
    <w:rsid w:val="003A4F5B"/>
    <w:rsid w:val="003A5349"/>
    <w:rsid w:val="003A5389"/>
    <w:rsid w:val="003A671E"/>
    <w:rsid w:val="003A6A4E"/>
    <w:rsid w:val="003A6CDC"/>
    <w:rsid w:val="003A6F3A"/>
    <w:rsid w:val="003A704C"/>
    <w:rsid w:val="003A74E5"/>
    <w:rsid w:val="003A75BA"/>
    <w:rsid w:val="003A78DD"/>
    <w:rsid w:val="003A7BAA"/>
    <w:rsid w:val="003A7F4B"/>
    <w:rsid w:val="003B0245"/>
    <w:rsid w:val="003B0419"/>
    <w:rsid w:val="003B1199"/>
    <w:rsid w:val="003B1862"/>
    <w:rsid w:val="003B2699"/>
    <w:rsid w:val="003B3187"/>
    <w:rsid w:val="003B40D4"/>
    <w:rsid w:val="003B4112"/>
    <w:rsid w:val="003B49DE"/>
    <w:rsid w:val="003B54E8"/>
    <w:rsid w:val="003B5824"/>
    <w:rsid w:val="003B5A9B"/>
    <w:rsid w:val="003B680D"/>
    <w:rsid w:val="003B6EA0"/>
    <w:rsid w:val="003B710F"/>
    <w:rsid w:val="003B72F8"/>
    <w:rsid w:val="003B7A8E"/>
    <w:rsid w:val="003B7B77"/>
    <w:rsid w:val="003C031E"/>
    <w:rsid w:val="003C03E2"/>
    <w:rsid w:val="003C0441"/>
    <w:rsid w:val="003C169D"/>
    <w:rsid w:val="003C2492"/>
    <w:rsid w:val="003C2638"/>
    <w:rsid w:val="003C2C86"/>
    <w:rsid w:val="003C2DF8"/>
    <w:rsid w:val="003C2E48"/>
    <w:rsid w:val="003C3779"/>
    <w:rsid w:val="003C3A9B"/>
    <w:rsid w:val="003C3CE1"/>
    <w:rsid w:val="003C419E"/>
    <w:rsid w:val="003C41F5"/>
    <w:rsid w:val="003C4E84"/>
    <w:rsid w:val="003C502F"/>
    <w:rsid w:val="003C5183"/>
    <w:rsid w:val="003C5C9E"/>
    <w:rsid w:val="003C5E37"/>
    <w:rsid w:val="003C63D3"/>
    <w:rsid w:val="003C66EA"/>
    <w:rsid w:val="003C6706"/>
    <w:rsid w:val="003C6A06"/>
    <w:rsid w:val="003C6FAF"/>
    <w:rsid w:val="003C7F5F"/>
    <w:rsid w:val="003C7FDB"/>
    <w:rsid w:val="003D0209"/>
    <w:rsid w:val="003D2000"/>
    <w:rsid w:val="003D348A"/>
    <w:rsid w:val="003D3547"/>
    <w:rsid w:val="003D370D"/>
    <w:rsid w:val="003D372A"/>
    <w:rsid w:val="003D3A02"/>
    <w:rsid w:val="003D3AE2"/>
    <w:rsid w:val="003D3AE6"/>
    <w:rsid w:val="003D3BFE"/>
    <w:rsid w:val="003D41BC"/>
    <w:rsid w:val="003D41C9"/>
    <w:rsid w:val="003D446A"/>
    <w:rsid w:val="003D4550"/>
    <w:rsid w:val="003D54AA"/>
    <w:rsid w:val="003D5E4F"/>
    <w:rsid w:val="003D6112"/>
    <w:rsid w:val="003D6747"/>
    <w:rsid w:val="003D70F9"/>
    <w:rsid w:val="003D7306"/>
    <w:rsid w:val="003D77DD"/>
    <w:rsid w:val="003D790C"/>
    <w:rsid w:val="003D7F95"/>
    <w:rsid w:val="003E1561"/>
    <w:rsid w:val="003E18B9"/>
    <w:rsid w:val="003E1F35"/>
    <w:rsid w:val="003E2750"/>
    <w:rsid w:val="003E28CB"/>
    <w:rsid w:val="003E28CC"/>
    <w:rsid w:val="003E2D65"/>
    <w:rsid w:val="003E2E04"/>
    <w:rsid w:val="003E2E35"/>
    <w:rsid w:val="003E3656"/>
    <w:rsid w:val="003E38BC"/>
    <w:rsid w:val="003E4067"/>
    <w:rsid w:val="003E48AC"/>
    <w:rsid w:val="003E4F2C"/>
    <w:rsid w:val="003E5025"/>
    <w:rsid w:val="003E5740"/>
    <w:rsid w:val="003E6071"/>
    <w:rsid w:val="003E667F"/>
    <w:rsid w:val="003E6CC1"/>
    <w:rsid w:val="003E6D2F"/>
    <w:rsid w:val="003E70A4"/>
    <w:rsid w:val="003E74CF"/>
    <w:rsid w:val="003E7AE3"/>
    <w:rsid w:val="003F14A4"/>
    <w:rsid w:val="003F1656"/>
    <w:rsid w:val="003F18CB"/>
    <w:rsid w:val="003F208D"/>
    <w:rsid w:val="003F2440"/>
    <w:rsid w:val="003F247E"/>
    <w:rsid w:val="003F2833"/>
    <w:rsid w:val="003F2BE9"/>
    <w:rsid w:val="003F2EE2"/>
    <w:rsid w:val="003F3100"/>
    <w:rsid w:val="003F3AAA"/>
    <w:rsid w:val="003F3F08"/>
    <w:rsid w:val="003F45E4"/>
    <w:rsid w:val="003F4799"/>
    <w:rsid w:val="003F4B65"/>
    <w:rsid w:val="003F5723"/>
    <w:rsid w:val="003F5C83"/>
    <w:rsid w:val="003F5D7E"/>
    <w:rsid w:val="003F5F7C"/>
    <w:rsid w:val="003F6991"/>
    <w:rsid w:val="003F6F28"/>
    <w:rsid w:val="003F725F"/>
    <w:rsid w:val="003F7DEC"/>
    <w:rsid w:val="00400E54"/>
    <w:rsid w:val="0040151D"/>
    <w:rsid w:val="0040298F"/>
    <w:rsid w:val="00402DB3"/>
    <w:rsid w:val="0040357A"/>
    <w:rsid w:val="004035EB"/>
    <w:rsid w:val="004037BD"/>
    <w:rsid w:val="00403A88"/>
    <w:rsid w:val="00404132"/>
    <w:rsid w:val="0040464A"/>
    <w:rsid w:val="00404C60"/>
    <w:rsid w:val="00404DAD"/>
    <w:rsid w:val="004053FE"/>
    <w:rsid w:val="00405B18"/>
    <w:rsid w:val="00405EEF"/>
    <w:rsid w:val="00406339"/>
    <w:rsid w:val="004069B1"/>
    <w:rsid w:val="00407058"/>
    <w:rsid w:val="004070BF"/>
    <w:rsid w:val="00407377"/>
    <w:rsid w:val="00407983"/>
    <w:rsid w:val="00407C5D"/>
    <w:rsid w:val="00410931"/>
    <w:rsid w:val="00410945"/>
    <w:rsid w:val="00410C51"/>
    <w:rsid w:val="00411F39"/>
    <w:rsid w:val="00412401"/>
    <w:rsid w:val="0041251E"/>
    <w:rsid w:val="004132C9"/>
    <w:rsid w:val="00413E62"/>
    <w:rsid w:val="004143DB"/>
    <w:rsid w:val="00414CAC"/>
    <w:rsid w:val="00415210"/>
    <w:rsid w:val="00415666"/>
    <w:rsid w:val="00415844"/>
    <w:rsid w:val="004158AE"/>
    <w:rsid w:val="00415C76"/>
    <w:rsid w:val="00415D17"/>
    <w:rsid w:val="004160CC"/>
    <w:rsid w:val="00416141"/>
    <w:rsid w:val="004163FE"/>
    <w:rsid w:val="004164BA"/>
    <w:rsid w:val="00416B92"/>
    <w:rsid w:val="00416F1D"/>
    <w:rsid w:val="0041717C"/>
    <w:rsid w:val="004172B2"/>
    <w:rsid w:val="00417BD1"/>
    <w:rsid w:val="0042029A"/>
    <w:rsid w:val="0042096F"/>
    <w:rsid w:val="00420D35"/>
    <w:rsid w:val="00421840"/>
    <w:rsid w:val="00421F0A"/>
    <w:rsid w:val="00421FD7"/>
    <w:rsid w:val="00422192"/>
    <w:rsid w:val="004229C4"/>
    <w:rsid w:val="00422A49"/>
    <w:rsid w:val="00422B2E"/>
    <w:rsid w:val="00423109"/>
    <w:rsid w:val="004231E5"/>
    <w:rsid w:val="004232D3"/>
    <w:rsid w:val="0042360E"/>
    <w:rsid w:val="00423976"/>
    <w:rsid w:val="00423C11"/>
    <w:rsid w:val="0042406D"/>
    <w:rsid w:val="004241F2"/>
    <w:rsid w:val="0042460C"/>
    <w:rsid w:val="004247C4"/>
    <w:rsid w:val="00424A72"/>
    <w:rsid w:val="00425014"/>
    <w:rsid w:val="004250B5"/>
    <w:rsid w:val="004251BB"/>
    <w:rsid w:val="00425D99"/>
    <w:rsid w:val="00425FDF"/>
    <w:rsid w:val="00426FCF"/>
    <w:rsid w:val="004274A6"/>
    <w:rsid w:val="00427B1A"/>
    <w:rsid w:val="004301FB"/>
    <w:rsid w:val="0043066B"/>
    <w:rsid w:val="00430D79"/>
    <w:rsid w:val="00430EA1"/>
    <w:rsid w:val="0043105D"/>
    <w:rsid w:val="004315E9"/>
    <w:rsid w:val="00431984"/>
    <w:rsid w:val="00432770"/>
    <w:rsid w:val="00432A33"/>
    <w:rsid w:val="0043419E"/>
    <w:rsid w:val="00434F25"/>
    <w:rsid w:val="00435AEA"/>
    <w:rsid w:val="00435E69"/>
    <w:rsid w:val="004362C9"/>
    <w:rsid w:val="004362DD"/>
    <w:rsid w:val="0043682E"/>
    <w:rsid w:val="00436A83"/>
    <w:rsid w:val="00437367"/>
    <w:rsid w:val="00437588"/>
    <w:rsid w:val="00437641"/>
    <w:rsid w:val="0043767E"/>
    <w:rsid w:val="004379CE"/>
    <w:rsid w:val="00437D7B"/>
    <w:rsid w:val="00440816"/>
    <w:rsid w:val="00440C05"/>
    <w:rsid w:val="00441ADF"/>
    <w:rsid w:val="00442E01"/>
    <w:rsid w:val="004438C9"/>
    <w:rsid w:val="00444153"/>
    <w:rsid w:val="00444425"/>
    <w:rsid w:val="00444592"/>
    <w:rsid w:val="0044463F"/>
    <w:rsid w:val="0044480C"/>
    <w:rsid w:val="00444D11"/>
    <w:rsid w:val="00444FA6"/>
    <w:rsid w:val="00445E77"/>
    <w:rsid w:val="0044666B"/>
    <w:rsid w:val="004474F4"/>
    <w:rsid w:val="004478C4"/>
    <w:rsid w:val="00447AE4"/>
    <w:rsid w:val="0045036D"/>
    <w:rsid w:val="00450731"/>
    <w:rsid w:val="0045094A"/>
    <w:rsid w:val="0045096A"/>
    <w:rsid w:val="00451C54"/>
    <w:rsid w:val="00451C8E"/>
    <w:rsid w:val="00451E8B"/>
    <w:rsid w:val="00452614"/>
    <w:rsid w:val="004529DE"/>
    <w:rsid w:val="00452B5E"/>
    <w:rsid w:val="00452D49"/>
    <w:rsid w:val="00453160"/>
    <w:rsid w:val="0045333A"/>
    <w:rsid w:val="00453443"/>
    <w:rsid w:val="004539BE"/>
    <w:rsid w:val="004548D7"/>
    <w:rsid w:val="00454D71"/>
    <w:rsid w:val="00454F2F"/>
    <w:rsid w:val="0045503B"/>
    <w:rsid w:val="004551C8"/>
    <w:rsid w:val="004554F7"/>
    <w:rsid w:val="004555A6"/>
    <w:rsid w:val="00455863"/>
    <w:rsid w:val="0045595A"/>
    <w:rsid w:val="0045672E"/>
    <w:rsid w:val="0045679D"/>
    <w:rsid w:val="00456943"/>
    <w:rsid w:val="00456A88"/>
    <w:rsid w:val="004574BD"/>
    <w:rsid w:val="004574C3"/>
    <w:rsid w:val="004579D7"/>
    <w:rsid w:val="00457C52"/>
    <w:rsid w:val="00460529"/>
    <w:rsid w:val="004612B8"/>
    <w:rsid w:val="00461CFC"/>
    <w:rsid w:val="00462537"/>
    <w:rsid w:val="00463267"/>
    <w:rsid w:val="00463460"/>
    <w:rsid w:val="0046419F"/>
    <w:rsid w:val="0046522D"/>
    <w:rsid w:val="00465995"/>
    <w:rsid w:val="00465A11"/>
    <w:rsid w:val="00465B0C"/>
    <w:rsid w:val="00465D30"/>
    <w:rsid w:val="00465E97"/>
    <w:rsid w:val="00465F78"/>
    <w:rsid w:val="004665B9"/>
    <w:rsid w:val="004670F9"/>
    <w:rsid w:val="0046746A"/>
    <w:rsid w:val="004675C4"/>
    <w:rsid w:val="00467CB9"/>
    <w:rsid w:val="00470685"/>
    <w:rsid w:val="004709A3"/>
    <w:rsid w:val="00470E08"/>
    <w:rsid w:val="004718D8"/>
    <w:rsid w:val="00471CAD"/>
    <w:rsid w:val="004724D8"/>
    <w:rsid w:val="00472502"/>
    <w:rsid w:val="00472ABE"/>
    <w:rsid w:val="0047306E"/>
    <w:rsid w:val="0047344F"/>
    <w:rsid w:val="004739F6"/>
    <w:rsid w:val="00473F5E"/>
    <w:rsid w:val="0047438B"/>
    <w:rsid w:val="00474B2D"/>
    <w:rsid w:val="004765AE"/>
    <w:rsid w:val="00476BC2"/>
    <w:rsid w:val="00476C8F"/>
    <w:rsid w:val="00476DD9"/>
    <w:rsid w:val="00476EBB"/>
    <w:rsid w:val="0047720A"/>
    <w:rsid w:val="004775C9"/>
    <w:rsid w:val="00477987"/>
    <w:rsid w:val="0047799E"/>
    <w:rsid w:val="00477DEF"/>
    <w:rsid w:val="00477E8D"/>
    <w:rsid w:val="00477FBC"/>
    <w:rsid w:val="004800B0"/>
    <w:rsid w:val="004801B4"/>
    <w:rsid w:val="0048034F"/>
    <w:rsid w:val="004817C8"/>
    <w:rsid w:val="004820C9"/>
    <w:rsid w:val="0048248A"/>
    <w:rsid w:val="004826D3"/>
    <w:rsid w:val="0048338E"/>
    <w:rsid w:val="004842DA"/>
    <w:rsid w:val="00484C08"/>
    <w:rsid w:val="00484FBF"/>
    <w:rsid w:val="004853DD"/>
    <w:rsid w:val="004853F9"/>
    <w:rsid w:val="00485659"/>
    <w:rsid w:val="0048567D"/>
    <w:rsid w:val="004859A4"/>
    <w:rsid w:val="00485A87"/>
    <w:rsid w:val="00485C27"/>
    <w:rsid w:val="004861AA"/>
    <w:rsid w:val="00486750"/>
    <w:rsid w:val="004869DE"/>
    <w:rsid w:val="00486BD2"/>
    <w:rsid w:val="00486C0E"/>
    <w:rsid w:val="00486E79"/>
    <w:rsid w:val="00486E98"/>
    <w:rsid w:val="00486F69"/>
    <w:rsid w:val="00487A3B"/>
    <w:rsid w:val="00487EBC"/>
    <w:rsid w:val="00487EF8"/>
    <w:rsid w:val="00487FBB"/>
    <w:rsid w:val="00490FAD"/>
    <w:rsid w:val="00491222"/>
    <w:rsid w:val="004918E7"/>
    <w:rsid w:val="00491DF7"/>
    <w:rsid w:val="0049290A"/>
    <w:rsid w:val="00492D9D"/>
    <w:rsid w:val="00493794"/>
    <w:rsid w:val="00494226"/>
    <w:rsid w:val="00494279"/>
    <w:rsid w:val="00494584"/>
    <w:rsid w:val="00494CAE"/>
    <w:rsid w:val="00494CF8"/>
    <w:rsid w:val="00494DF4"/>
    <w:rsid w:val="00495584"/>
    <w:rsid w:val="004955FE"/>
    <w:rsid w:val="0049581F"/>
    <w:rsid w:val="00495D0D"/>
    <w:rsid w:val="00495DB9"/>
    <w:rsid w:val="004960AC"/>
    <w:rsid w:val="0049676B"/>
    <w:rsid w:val="00496CC6"/>
    <w:rsid w:val="00496FA0"/>
    <w:rsid w:val="004970C5"/>
    <w:rsid w:val="00497D4C"/>
    <w:rsid w:val="004A2F58"/>
    <w:rsid w:val="004A350D"/>
    <w:rsid w:val="004A3FB4"/>
    <w:rsid w:val="004A4713"/>
    <w:rsid w:val="004A47EC"/>
    <w:rsid w:val="004A4FE1"/>
    <w:rsid w:val="004A525E"/>
    <w:rsid w:val="004A5F63"/>
    <w:rsid w:val="004A5FE2"/>
    <w:rsid w:val="004A662B"/>
    <w:rsid w:val="004A686E"/>
    <w:rsid w:val="004A692A"/>
    <w:rsid w:val="004A6B0A"/>
    <w:rsid w:val="004A7182"/>
    <w:rsid w:val="004B0166"/>
    <w:rsid w:val="004B0388"/>
    <w:rsid w:val="004B0419"/>
    <w:rsid w:val="004B0470"/>
    <w:rsid w:val="004B0592"/>
    <w:rsid w:val="004B08B5"/>
    <w:rsid w:val="004B1486"/>
    <w:rsid w:val="004B1C65"/>
    <w:rsid w:val="004B2AC1"/>
    <w:rsid w:val="004B33D1"/>
    <w:rsid w:val="004B4204"/>
    <w:rsid w:val="004B43A4"/>
    <w:rsid w:val="004B460D"/>
    <w:rsid w:val="004B46BA"/>
    <w:rsid w:val="004B4AE5"/>
    <w:rsid w:val="004B4E0B"/>
    <w:rsid w:val="004B55DB"/>
    <w:rsid w:val="004B56BC"/>
    <w:rsid w:val="004B5829"/>
    <w:rsid w:val="004B5D00"/>
    <w:rsid w:val="004B63B7"/>
    <w:rsid w:val="004B6E6F"/>
    <w:rsid w:val="004B713E"/>
    <w:rsid w:val="004B7649"/>
    <w:rsid w:val="004B76E0"/>
    <w:rsid w:val="004B7849"/>
    <w:rsid w:val="004B7A62"/>
    <w:rsid w:val="004C0133"/>
    <w:rsid w:val="004C03E1"/>
    <w:rsid w:val="004C048B"/>
    <w:rsid w:val="004C09B7"/>
    <w:rsid w:val="004C0A6D"/>
    <w:rsid w:val="004C0C03"/>
    <w:rsid w:val="004C0E72"/>
    <w:rsid w:val="004C0ECF"/>
    <w:rsid w:val="004C1485"/>
    <w:rsid w:val="004C19CC"/>
    <w:rsid w:val="004C246F"/>
    <w:rsid w:val="004C265B"/>
    <w:rsid w:val="004C2C62"/>
    <w:rsid w:val="004C2F08"/>
    <w:rsid w:val="004C31DC"/>
    <w:rsid w:val="004C33D0"/>
    <w:rsid w:val="004C3A4D"/>
    <w:rsid w:val="004C4339"/>
    <w:rsid w:val="004C47A0"/>
    <w:rsid w:val="004C480D"/>
    <w:rsid w:val="004C4B23"/>
    <w:rsid w:val="004C56C1"/>
    <w:rsid w:val="004C5815"/>
    <w:rsid w:val="004C6EF4"/>
    <w:rsid w:val="004D047E"/>
    <w:rsid w:val="004D0A7D"/>
    <w:rsid w:val="004D1057"/>
    <w:rsid w:val="004D189A"/>
    <w:rsid w:val="004D18BA"/>
    <w:rsid w:val="004D1991"/>
    <w:rsid w:val="004D19A1"/>
    <w:rsid w:val="004D2874"/>
    <w:rsid w:val="004D290D"/>
    <w:rsid w:val="004D2C49"/>
    <w:rsid w:val="004D384B"/>
    <w:rsid w:val="004D387E"/>
    <w:rsid w:val="004D39C8"/>
    <w:rsid w:val="004D3C4B"/>
    <w:rsid w:val="004D3EC1"/>
    <w:rsid w:val="004D56ED"/>
    <w:rsid w:val="004D595B"/>
    <w:rsid w:val="004D598B"/>
    <w:rsid w:val="004D64CD"/>
    <w:rsid w:val="004D70BE"/>
    <w:rsid w:val="004D74DF"/>
    <w:rsid w:val="004D7595"/>
    <w:rsid w:val="004D7769"/>
    <w:rsid w:val="004D7A73"/>
    <w:rsid w:val="004D7B86"/>
    <w:rsid w:val="004E18BC"/>
    <w:rsid w:val="004E3426"/>
    <w:rsid w:val="004E35D9"/>
    <w:rsid w:val="004E43D9"/>
    <w:rsid w:val="004E530E"/>
    <w:rsid w:val="004E61DB"/>
    <w:rsid w:val="004E68A5"/>
    <w:rsid w:val="004E6FEB"/>
    <w:rsid w:val="004E756D"/>
    <w:rsid w:val="004E7742"/>
    <w:rsid w:val="004F0022"/>
    <w:rsid w:val="004F0650"/>
    <w:rsid w:val="004F11BF"/>
    <w:rsid w:val="004F1258"/>
    <w:rsid w:val="004F189B"/>
    <w:rsid w:val="004F1C69"/>
    <w:rsid w:val="004F2FCE"/>
    <w:rsid w:val="004F35D0"/>
    <w:rsid w:val="004F3D05"/>
    <w:rsid w:val="004F48D5"/>
    <w:rsid w:val="004F4963"/>
    <w:rsid w:val="004F4ED4"/>
    <w:rsid w:val="004F524D"/>
    <w:rsid w:val="004F5551"/>
    <w:rsid w:val="004F5659"/>
    <w:rsid w:val="004F5FF0"/>
    <w:rsid w:val="004F6945"/>
    <w:rsid w:val="004F6F38"/>
    <w:rsid w:val="004F7183"/>
    <w:rsid w:val="004F73C0"/>
    <w:rsid w:val="00500F9C"/>
    <w:rsid w:val="00501283"/>
    <w:rsid w:val="005012E8"/>
    <w:rsid w:val="00501EA8"/>
    <w:rsid w:val="0050316F"/>
    <w:rsid w:val="00503A9E"/>
    <w:rsid w:val="005044D9"/>
    <w:rsid w:val="00504EBA"/>
    <w:rsid w:val="0050595D"/>
    <w:rsid w:val="00506212"/>
    <w:rsid w:val="00506800"/>
    <w:rsid w:val="00506856"/>
    <w:rsid w:val="00506E15"/>
    <w:rsid w:val="005075E4"/>
    <w:rsid w:val="00507F50"/>
    <w:rsid w:val="00510012"/>
    <w:rsid w:val="005102D3"/>
    <w:rsid w:val="0051085D"/>
    <w:rsid w:val="0051098B"/>
    <w:rsid w:val="00511076"/>
    <w:rsid w:val="00511383"/>
    <w:rsid w:val="00511703"/>
    <w:rsid w:val="00511EF9"/>
    <w:rsid w:val="005121A0"/>
    <w:rsid w:val="0051225D"/>
    <w:rsid w:val="0051284D"/>
    <w:rsid w:val="005129D8"/>
    <w:rsid w:val="00513842"/>
    <w:rsid w:val="0051397B"/>
    <w:rsid w:val="00513E2F"/>
    <w:rsid w:val="005142BE"/>
    <w:rsid w:val="00515098"/>
    <w:rsid w:val="00515384"/>
    <w:rsid w:val="005158D5"/>
    <w:rsid w:val="00515EF6"/>
    <w:rsid w:val="005177C1"/>
    <w:rsid w:val="00517C98"/>
    <w:rsid w:val="00520583"/>
    <w:rsid w:val="00520620"/>
    <w:rsid w:val="00520B75"/>
    <w:rsid w:val="00520FBD"/>
    <w:rsid w:val="005211FA"/>
    <w:rsid w:val="00521501"/>
    <w:rsid w:val="005219D1"/>
    <w:rsid w:val="00521C8F"/>
    <w:rsid w:val="00521EF4"/>
    <w:rsid w:val="005220A5"/>
    <w:rsid w:val="00522BD6"/>
    <w:rsid w:val="00522CEB"/>
    <w:rsid w:val="00523435"/>
    <w:rsid w:val="00523444"/>
    <w:rsid w:val="00523619"/>
    <w:rsid w:val="00523656"/>
    <w:rsid w:val="00523719"/>
    <w:rsid w:val="00524106"/>
    <w:rsid w:val="0052413F"/>
    <w:rsid w:val="00524492"/>
    <w:rsid w:val="00525155"/>
    <w:rsid w:val="0052528C"/>
    <w:rsid w:val="00525599"/>
    <w:rsid w:val="0052577A"/>
    <w:rsid w:val="00525A0E"/>
    <w:rsid w:val="00526055"/>
    <w:rsid w:val="00526A59"/>
    <w:rsid w:val="0052728C"/>
    <w:rsid w:val="005272D5"/>
    <w:rsid w:val="00527DF3"/>
    <w:rsid w:val="00527EB8"/>
    <w:rsid w:val="005305A7"/>
    <w:rsid w:val="00530CF8"/>
    <w:rsid w:val="00530EB6"/>
    <w:rsid w:val="00530ED7"/>
    <w:rsid w:val="005317DE"/>
    <w:rsid w:val="00532D9D"/>
    <w:rsid w:val="005339CE"/>
    <w:rsid w:val="0053412A"/>
    <w:rsid w:val="00534D8D"/>
    <w:rsid w:val="0053521D"/>
    <w:rsid w:val="00535339"/>
    <w:rsid w:val="00535443"/>
    <w:rsid w:val="005354E3"/>
    <w:rsid w:val="00535AD6"/>
    <w:rsid w:val="00535ADC"/>
    <w:rsid w:val="00535C01"/>
    <w:rsid w:val="00535E6E"/>
    <w:rsid w:val="00535E6F"/>
    <w:rsid w:val="00536942"/>
    <w:rsid w:val="00536D74"/>
    <w:rsid w:val="00537084"/>
    <w:rsid w:val="00537273"/>
    <w:rsid w:val="005373A6"/>
    <w:rsid w:val="00537BAE"/>
    <w:rsid w:val="00537E8D"/>
    <w:rsid w:val="00540491"/>
    <w:rsid w:val="0054068E"/>
    <w:rsid w:val="00541C31"/>
    <w:rsid w:val="00542251"/>
    <w:rsid w:val="005422F8"/>
    <w:rsid w:val="005429E6"/>
    <w:rsid w:val="00543D28"/>
    <w:rsid w:val="00544160"/>
    <w:rsid w:val="0054562E"/>
    <w:rsid w:val="00545A0E"/>
    <w:rsid w:val="0054618E"/>
    <w:rsid w:val="00551797"/>
    <w:rsid w:val="00552800"/>
    <w:rsid w:val="00553455"/>
    <w:rsid w:val="005544A4"/>
    <w:rsid w:val="0055544B"/>
    <w:rsid w:val="0055684C"/>
    <w:rsid w:val="00556A88"/>
    <w:rsid w:val="00556D27"/>
    <w:rsid w:val="00556F1E"/>
    <w:rsid w:val="00557EF6"/>
    <w:rsid w:val="00560077"/>
    <w:rsid w:val="005604D9"/>
    <w:rsid w:val="0056097C"/>
    <w:rsid w:val="005609B4"/>
    <w:rsid w:val="00560A5C"/>
    <w:rsid w:val="00560BCC"/>
    <w:rsid w:val="00560F66"/>
    <w:rsid w:val="00561012"/>
    <w:rsid w:val="005610EB"/>
    <w:rsid w:val="00561685"/>
    <w:rsid w:val="0056191E"/>
    <w:rsid w:val="0056209D"/>
    <w:rsid w:val="00562BDE"/>
    <w:rsid w:val="00562CFA"/>
    <w:rsid w:val="005639B1"/>
    <w:rsid w:val="0056443F"/>
    <w:rsid w:val="00564762"/>
    <w:rsid w:val="005648A4"/>
    <w:rsid w:val="00564D4C"/>
    <w:rsid w:val="00565BBF"/>
    <w:rsid w:val="00565FD3"/>
    <w:rsid w:val="00566D52"/>
    <w:rsid w:val="00567094"/>
    <w:rsid w:val="005671E6"/>
    <w:rsid w:val="005674CC"/>
    <w:rsid w:val="0056772D"/>
    <w:rsid w:val="00567CAE"/>
    <w:rsid w:val="00567EC0"/>
    <w:rsid w:val="00570251"/>
    <w:rsid w:val="00570C2D"/>
    <w:rsid w:val="00571030"/>
    <w:rsid w:val="005711A9"/>
    <w:rsid w:val="00571620"/>
    <w:rsid w:val="0057190D"/>
    <w:rsid w:val="00571DA2"/>
    <w:rsid w:val="00572089"/>
    <w:rsid w:val="00572EF4"/>
    <w:rsid w:val="00573105"/>
    <w:rsid w:val="005733F9"/>
    <w:rsid w:val="0057342D"/>
    <w:rsid w:val="0057367B"/>
    <w:rsid w:val="00573E81"/>
    <w:rsid w:val="005743E7"/>
    <w:rsid w:val="00574485"/>
    <w:rsid w:val="005746E5"/>
    <w:rsid w:val="00575499"/>
    <w:rsid w:val="00576467"/>
    <w:rsid w:val="00576874"/>
    <w:rsid w:val="00576BF4"/>
    <w:rsid w:val="00576EDA"/>
    <w:rsid w:val="00577ACF"/>
    <w:rsid w:val="00580099"/>
    <w:rsid w:val="00580510"/>
    <w:rsid w:val="00580980"/>
    <w:rsid w:val="00580B34"/>
    <w:rsid w:val="00580D16"/>
    <w:rsid w:val="00580D51"/>
    <w:rsid w:val="00581708"/>
    <w:rsid w:val="00581902"/>
    <w:rsid w:val="00581970"/>
    <w:rsid w:val="00581A9F"/>
    <w:rsid w:val="00581E56"/>
    <w:rsid w:val="00582188"/>
    <w:rsid w:val="005821D4"/>
    <w:rsid w:val="005824FA"/>
    <w:rsid w:val="0058326E"/>
    <w:rsid w:val="0058400B"/>
    <w:rsid w:val="005843D7"/>
    <w:rsid w:val="0058440A"/>
    <w:rsid w:val="00584504"/>
    <w:rsid w:val="00585799"/>
    <w:rsid w:val="005857D4"/>
    <w:rsid w:val="00585AA5"/>
    <w:rsid w:val="00585B04"/>
    <w:rsid w:val="00585EEE"/>
    <w:rsid w:val="00586485"/>
    <w:rsid w:val="005867A2"/>
    <w:rsid w:val="00586AC8"/>
    <w:rsid w:val="00586BB7"/>
    <w:rsid w:val="005873DE"/>
    <w:rsid w:val="00587C67"/>
    <w:rsid w:val="005902F3"/>
    <w:rsid w:val="00590808"/>
    <w:rsid w:val="00590B4D"/>
    <w:rsid w:val="00591096"/>
    <w:rsid w:val="00591283"/>
    <w:rsid w:val="0059136C"/>
    <w:rsid w:val="005913A6"/>
    <w:rsid w:val="0059198F"/>
    <w:rsid w:val="00591E95"/>
    <w:rsid w:val="00592290"/>
    <w:rsid w:val="00592B47"/>
    <w:rsid w:val="00592BEA"/>
    <w:rsid w:val="005931A1"/>
    <w:rsid w:val="0059419C"/>
    <w:rsid w:val="00594616"/>
    <w:rsid w:val="00594AF9"/>
    <w:rsid w:val="00595EDD"/>
    <w:rsid w:val="00596099"/>
    <w:rsid w:val="00597286"/>
    <w:rsid w:val="00597369"/>
    <w:rsid w:val="005A016F"/>
    <w:rsid w:val="005A090E"/>
    <w:rsid w:val="005A0D15"/>
    <w:rsid w:val="005A10B7"/>
    <w:rsid w:val="005A13DB"/>
    <w:rsid w:val="005A1C3F"/>
    <w:rsid w:val="005A2FEF"/>
    <w:rsid w:val="005A3084"/>
    <w:rsid w:val="005A34C6"/>
    <w:rsid w:val="005A3768"/>
    <w:rsid w:val="005A3BF2"/>
    <w:rsid w:val="005A4863"/>
    <w:rsid w:val="005A509F"/>
    <w:rsid w:val="005A5C4B"/>
    <w:rsid w:val="005A5D4E"/>
    <w:rsid w:val="005A6A43"/>
    <w:rsid w:val="005A6AE7"/>
    <w:rsid w:val="005A7142"/>
    <w:rsid w:val="005A7204"/>
    <w:rsid w:val="005A7562"/>
    <w:rsid w:val="005B0B69"/>
    <w:rsid w:val="005B0CCB"/>
    <w:rsid w:val="005B0F93"/>
    <w:rsid w:val="005B11AF"/>
    <w:rsid w:val="005B11E6"/>
    <w:rsid w:val="005B1685"/>
    <w:rsid w:val="005B17D6"/>
    <w:rsid w:val="005B18E9"/>
    <w:rsid w:val="005B24EA"/>
    <w:rsid w:val="005B3B14"/>
    <w:rsid w:val="005B43EA"/>
    <w:rsid w:val="005B4788"/>
    <w:rsid w:val="005B4C60"/>
    <w:rsid w:val="005B4D1F"/>
    <w:rsid w:val="005B4E65"/>
    <w:rsid w:val="005B5264"/>
    <w:rsid w:val="005B60B2"/>
    <w:rsid w:val="005B65BB"/>
    <w:rsid w:val="005B66BB"/>
    <w:rsid w:val="005B6A34"/>
    <w:rsid w:val="005B7049"/>
    <w:rsid w:val="005B75F2"/>
    <w:rsid w:val="005B7683"/>
    <w:rsid w:val="005B79EB"/>
    <w:rsid w:val="005B7B67"/>
    <w:rsid w:val="005C07EF"/>
    <w:rsid w:val="005C0F9A"/>
    <w:rsid w:val="005C0FF2"/>
    <w:rsid w:val="005C1F0C"/>
    <w:rsid w:val="005C256A"/>
    <w:rsid w:val="005C27D3"/>
    <w:rsid w:val="005C34BE"/>
    <w:rsid w:val="005C3B24"/>
    <w:rsid w:val="005C3D7D"/>
    <w:rsid w:val="005C491B"/>
    <w:rsid w:val="005C5D83"/>
    <w:rsid w:val="005C6693"/>
    <w:rsid w:val="005C71DA"/>
    <w:rsid w:val="005C740C"/>
    <w:rsid w:val="005C77A9"/>
    <w:rsid w:val="005D159C"/>
    <w:rsid w:val="005D17BC"/>
    <w:rsid w:val="005D1837"/>
    <w:rsid w:val="005D19A8"/>
    <w:rsid w:val="005D2808"/>
    <w:rsid w:val="005D354D"/>
    <w:rsid w:val="005D3E58"/>
    <w:rsid w:val="005D3F33"/>
    <w:rsid w:val="005D4691"/>
    <w:rsid w:val="005D6201"/>
    <w:rsid w:val="005D622A"/>
    <w:rsid w:val="005D680C"/>
    <w:rsid w:val="005D6845"/>
    <w:rsid w:val="005D695E"/>
    <w:rsid w:val="005D6C84"/>
    <w:rsid w:val="005D6EA3"/>
    <w:rsid w:val="005D75C3"/>
    <w:rsid w:val="005D7623"/>
    <w:rsid w:val="005D76A3"/>
    <w:rsid w:val="005E02A2"/>
    <w:rsid w:val="005E0392"/>
    <w:rsid w:val="005E0404"/>
    <w:rsid w:val="005E0EEA"/>
    <w:rsid w:val="005E0F35"/>
    <w:rsid w:val="005E241E"/>
    <w:rsid w:val="005E243F"/>
    <w:rsid w:val="005E258E"/>
    <w:rsid w:val="005E295E"/>
    <w:rsid w:val="005E2DCC"/>
    <w:rsid w:val="005E345E"/>
    <w:rsid w:val="005E3A20"/>
    <w:rsid w:val="005E4299"/>
    <w:rsid w:val="005E4B3F"/>
    <w:rsid w:val="005E4FA0"/>
    <w:rsid w:val="005E53DA"/>
    <w:rsid w:val="005E554D"/>
    <w:rsid w:val="005E559B"/>
    <w:rsid w:val="005E5C13"/>
    <w:rsid w:val="005E5C2E"/>
    <w:rsid w:val="005E5D23"/>
    <w:rsid w:val="005E605B"/>
    <w:rsid w:val="005E6418"/>
    <w:rsid w:val="005E6538"/>
    <w:rsid w:val="005E6701"/>
    <w:rsid w:val="005E6748"/>
    <w:rsid w:val="005E6BEA"/>
    <w:rsid w:val="005E6E48"/>
    <w:rsid w:val="005E7DF4"/>
    <w:rsid w:val="005F010B"/>
    <w:rsid w:val="005F0CDB"/>
    <w:rsid w:val="005F0D4E"/>
    <w:rsid w:val="005F1338"/>
    <w:rsid w:val="005F1465"/>
    <w:rsid w:val="005F14AA"/>
    <w:rsid w:val="005F21D8"/>
    <w:rsid w:val="005F222E"/>
    <w:rsid w:val="005F26A7"/>
    <w:rsid w:val="005F26D2"/>
    <w:rsid w:val="005F29B6"/>
    <w:rsid w:val="005F29E3"/>
    <w:rsid w:val="005F2CC1"/>
    <w:rsid w:val="005F2D7F"/>
    <w:rsid w:val="005F3262"/>
    <w:rsid w:val="005F3945"/>
    <w:rsid w:val="005F4319"/>
    <w:rsid w:val="005F43F1"/>
    <w:rsid w:val="005F4E6E"/>
    <w:rsid w:val="005F56D2"/>
    <w:rsid w:val="005F5752"/>
    <w:rsid w:val="005F5D46"/>
    <w:rsid w:val="005F5E42"/>
    <w:rsid w:val="005F62B1"/>
    <w:rsid w:val="005F6315"/>
    <w:rsid w:val="005F6440"/>
    <w:rsid w:val="005F6491"/>
    <w:rsid w:val="005F6786"/>
    <w:rsid w:val="005F67DC"/>
    <w:rsid w:val="005F774A"/>
    <w:rsid w:val="005F7999"/>
    <w:rsid w:val="005F7F24"/>
    <w:rsid w:val="006001F1"/>
    <w:rsid w:val="0060087F"/>
    <w:rsid w:val="00601874"/>
    <w:rsid w:val="00601C63"/>
    <w:rsid w:val="00602296"/>
    <w:rsid w:val="0060307D"/>
    <w:rsid w:val="0060336A"/>
    <w:rsid w:val="00603815"/>
    <w:rsid w:val="0060395C"/>
    <w:rsid w:val="006039A2"/>
    <w:rsid w:val="006040F3"/>
    <w:rsid w:val="00604435"/>
    <w:rsid w:val="00604DA9"/>
    <w:rsid w:val="00605BB0"/>
    <w:rsid w:val="00606009"/>
    <w:rsid w:val="006067D4"/>
    <w:rsid w:val="0060705E"/>
    <w:rsid w:val="00607434"/>
    <w:rsid w:val="00610C34"/>
    <w:rsid w:val="00610E03"/>
    <w:rsid w:val="00610E4D"/>
    <w:rsid w:val="00611270"/>
    <w:rsid w:val="00611D6A"/>
    <w:rsid w:val="0061201F"/>
    <w:rsid w:val="00612331"/>
    <w:rsid w:val="00612450"/>
    <w:rsid w:val="006124EF"/>
    <w:rsid w:val="006128C3"/>
    <w:rsid w:val="006129F5"/>
    <w:rsid w:val="00613365"/>
    <w:rsid w:val="006133A4"/>
    <w:rsid w:val="006133B5"/>
    <w:rsid w:val="00613C60"/>
    <w:rsid w:val="00614679"/>
    <w:rsid w:val="0061502F"/>
    <w:rsid w:val="00615741"/>
    <w:rsid w:val="00615EB9"/>
    <w:rsid w:val="00615F7D"/>
    <w:rsid w:val="0061615A"/>
    <w:rsid w:val="00616C00"/>
    <w:rsid w:val="00617A1D"/>
    <w:rsid w:val="00617F3B"/>
    <w:rsid w:val="006202CB"/>
    <w:rsid w:val="0062042E"/>
    <w:rsid w:val="0062091E"/>
    <w:rsid w:val="00620A0E"/>
    <w:rsid w:val="006210FA"/>
    <w:rsid w:val="00621440"/>
    <w:rsid w:val="00621E38"/>
    <w:rsid w:val="00621E9C"/>
    <w:rsid w:val="00621EAF"/>
    <w:rsid w:val="00621F48"/>
    <w:rsid w:val="0062278F"/>
    <w:rsid w:val="00622E40"/>
    <w:rsid w:val="006231BF"/>
    <w:rsid w:val="0062343B"/>
    <w:rsid w:val="00623935"/>
    <w:rsid w:val="0062394A"/>
    <w:rsid w:val="00623B2D"/>
    <w:rsid w:val="00623D61"/>
    <w:rsid w:val="00623D74"/>
    <w:rsid w:val="00624E89"/>
    <w:rsid w:val="0062500F"/>
    <w:rsid w:val="006251E2"/>
    <w:rsid w:val="00625290"/>
    <w:rsid w:val="0062770A"/>
    <w:rsid w:val="00630AA2"/>
    <w:rsid w:val="00630F9E"/>
    <w:rsid w:val="00631585"/>
    <w:rsid w:val="00631630"/>
    <w:rsid w:val="00631C28"/>
    <w:rsid w:val="00631F90"/>
    <w:rsid w:val="00632B12"/>
    <w:rsid w:val="00632D81"/>
    <w:rsid w:val="00632DAB"/>
    <w:rsid w:val="0063345E"/>
    <w:rsid w:val="00633C65"/>
    <w:rsid w:val="006342EC"/>
    <w:rsid w:val="006343F7"/>
    <w:rsid w:val="00634699"/>
    <w:rsid w:val="00634B33"/>
    <w:rsid w:val="006350CF"/>
    <w:rsid w:val="00635168"/>
    <w:rsid w:val="0063538F"/>
    <w:rsid w:val="00635809"/>
    <w:rsid w:val="00635B79"/>
    <w:rsid w:val="006364AE"/>
    <w:rsid w:val="00636611"/>
    <w:rsid w:val="00637825"/>
    <w:rsid w:val="006378F5"/>
    <w:rsid w:val="00637A60"/>
    <w:rsid w:val="0064023B"/>
    <w:rsid w:val="006409BB"/>
    <w:rsid w:val="00640CE8"/>
    <w:rsid w:val="006410BA"/>
    <w:rsid w:val="00641202"/>
    <w:rsid w:val="00641772"/>
    <w:rsid w:val="0064200E"/>
    <w:rsid w:val="00642A06"/>
    <w:rsid w:val="00642A65"/>
    <w:rsid w:val="00643408"/>
    <w:rsid w:val="00643B4B"/>
    <w:rsid w:val="00643D1A"/>
    <w:rsid w:val="00644861"/>
    <w:rsid w:val="00644DE8"/>
    <w:rsid w:val="00645700"/>
    <w:rsid w:val="00645BF4"/>
    <w:rsid w:val="00646A5A"/>
    <w:rsid w:val="0064741C"/>
    <w:rsid w:val="00647722"/>
    <w:rsid w:val="00647B8C"/>
    <w:rsid w:val="006500E4"/>
    <w:rsid w:val="00650298"/>
    <w:rsid w:val="006504BB"/>
    <w:rsid w:val="00650632"/>
    <w:rsid w:val="006506E3"/>
    <w:rsid w:val="00650E50"/>
    <w:rsid w:val="00651142"/>
    <w:rsid w:val="00651324"/>
    <w:rsid w:val="00651396"/>
    <w:rsid w:val="00651488"/>
    <w:rsid w:val="00651622"/>
    <w:rsid w:val="00651824"/>
    <w:rsid w:val="00651B8D"/>
    <w:rsid w:val="00651DA2"/>
    <w:rsid w:val="0065245C"/>
    <w:rsid w:val="00652F82"/>
    <w:rsid w:val="006537C4"/>
    <w:rsid w:val="00653DF5"/>
    <w:rsid w:val="00653F65"/>
    <w:rsid w:val="0065481A"/>
    <w:rsid w:val="00655353"/>
    <w:rsid w:val="00655CEC"/>
    <w:rsid w:val="00656134"/>
    <w:rsid w:val="0065663B"/>
    <w:rsid w:val="00656D02"/>
    <w:rsid w:val="006572A5"/>
    <w:rsid w:val="00657358"/>
    <w:rsid w:val="00657C41"/>
    <w:rsid w:val="00657C88"/>
    <w:rsid w:val="00657E3F"/>
    <w:rsid w:val="006604F4"/>
    <w:rsid w:val="00660BD0"/>
    <w:rsid w:val="00660C8A"/>
    <w:rsid w:val="006610BC"/>
    <w:rsid w:val="00661243"/>
    <w:rsid w:val="00661405"/>
    <w:rsid w:val="00661682"/>
    <w:rsid w:val="006617F1"/>
    <w:rsid w:val="006618A4"/>
    <w:rsid w:val="00661C0B"/>
    <w:rsid w:val="00661E71"/>
    <w:rsid w:val="00661FB5"/>
    <w:rsid w:val="00663078"/>
    <w:rsid w:val="00663B20"/>
    <w:rsid w:val="006640C9"/>
    <w:rsid w:val="00664252"/>
    <w:rsid w:val="00664602"/>
    <w:rsid w:val="00664865"/>
    <w:rsid w:val="00664BBF"/>
    <w:rsid w:val="00664DFE"/>
    <w:rsid w:val="00665D7B"/>
    <w:rsid w:val="0066673A"/>
    <w:rsid w:val="0067028F"/>
    <w:rsid w:val="0067036D"/>
    <w:rsid w:val="00670797"/>
    <w:rsid w:val="006716F1"/>
    <w:rsid w:val="0067190F"/>
    <w:rsid w:val="00671AE1"/>
    <w:rsid w:val="00671BD6"/>
    <w:rsid w:val="006721DB"/>
    <w:rsid w:val="00672752"/>
    <w:rsid w:val="00672EF8"/>
    <w:rsid w:val="00673021"/>
    <w:rsid w:val="006733FA"/>
    <w:rsid w:val="00673437"/>
    <w:rsid w:val="00673563"/>
    <w:rsid w:val="0067359D"/>
    <w:rsid w:val="00673894"/>
    <w:rsid w:val="00673904"/>
    <w:rsid w:val="00673A2F"/>
    <w:rsid w:val="00673F32"/>
    <w:rsid w:val="0067472B"/>
    <w:rsid w:val="006748BD"/>
    <w:rsid w:val="00674A6A"/>
    <w:rsid w:val="0067550E"/>
    <w:rsid w:val="00675B21"/>
    <w:rsid w:val="00675C9F"/>
    <w:rsid w:val="006760AD"/>
    <w:rsid w:val="0067626C"/>
    <w:rsid w:val="00676524"/>
    <w:rsid w:val="00676697"/>
    <w:rsid w:val="006767CF"/>
    <w:rsid w:val="00676842"/>
    <w:rsid w:val="00676D6C"/>
    <w:rsid w:val="0067785A"/>
    <w:rsid w:val="006779C7"/>
    <w:rsid w:val="0068032C"/>
    <w:rsid w:val="00680998"/>
    <w:rsid w:val="00680A3F"/>
    <w:rsid w:val="00680BBC"/>
    <w:rsid w:val="00681A28"/>
    <w:rsid w:val="006830AE"/>
    <w:rsid w:val="006831F3"/>
    <w:rsid w:val="006833AD"/>
    <w:rsid w:val="00683466"/>
    <w:rsid w:val="006837C4"/>
    <w:rsid w:val="006837D5"/>
    <w:rsid w:val="00683CF4"/>
    <w:rsid w:val="00683F48"/>
    <w:rsid w:val="00684D5D"/>
    <w:rsid w:val="006852A9"/>
    <w:rsid w:val="006853F6"/>
    <w:rsid w:val="00685766"/>
    <w:rsid w:val="00685A08"/>
    <w:rsid w:val="00685C41"/>
    <w:rsid w:val="00685D51"/>
    <w:rsid w:val="00685F55"/>
    <w:rsid w:val="00685F87"/>
    <w:rsid w:val="00686472"/>
    <w:rsid w:val="006864D4"/>
    <w:rsid w:val="006867E4"/>
    <w:rsid w:val="00686903"/>
    <w:rsid w:val="00686BA6"/>
    <w:rsid w:val="006872DF"/>
    <w:rsid w:val="00687307"/>
    <w:rsid w:val="00687BC6"/>
    <w:rsid w:val="00687C8A"/>
    <w:rsid w:val="00687CE7"/>
    <w:rsid w:val="00690A3D"/>
    <w:rsid w:val="00690C2D"/>
    <w:rsid w:val="00690D75"/>
    <w:rsid w:val="00691315"/>
    <w:rsid w:val="00691C76"/>
    <w:rsid w:val="00692915"/>
    <w:rsid w:val="00692C11"/>
    <w:rsid w:val="00693000"/>
    <w:rsid w:val="006934BE"/>
    <w:rsid w:val="00693FA7"/>
    <w:rsid w:val="006941B4"/>
    <w:rsid w:val="00694619"/>
    <w:rsid w:val="006947A2"/>
    <w:rsid w:val="006955B0"/>
    <w:rsid w:val="00695892"/>
    <w:rsid w:val="00695F94"/>
    <w:rsid w:val="0069695B"/>
    <w:rsid w:val="00696F63"/>
    <w:rsid w:val="006973DE"/>
    <w:rsid w:val="006978DC"/>
    <w:rsid w:val="006A02E4"/>
    <w:rsid w:val="006A0327"/>
    <w:rsid w:val="006A06F9"/>
    <w:rsid w:val="006A070B"/>
    <w:rsid w:val="006A1600"/>
    <w:rsid w:val="006A1E98"/>
    <w:rsid w:val="006A271F"/>
    <w:rsid w:val="006A2D03"/>
    <w:rsid w:val="006A309F"/>
    <w:rsid w:val="006A31B4"/>
    <w:rsid w:val="006A38AE"/>
    <w:rsid w:val="006A4A2A"/>
    <w:rsid w:val="006A50AE"/>
    <w:rsid w:val="006A5199"/>
    <w:rsid w:val="006A53B5"/>
    <w:rsid w:val="006A54A5"/>
    <w:rsid w:val="006A5792"/>
    <w:rsid w:val="006A591E"/>
    <w:rsid w:val="006A5EFE"/>
    <w:rsid w:val="006A6443"/>
    <w:rsid w:val="006A68B9"/>
    <w:rsid w:val="006A73B5"/>
    <w:rsid w:val="006A7971"/>
    <w:rsid w:val="006A7B2B"/>
    <w:rsid w:val="006A7CD9"/>
    <w:rsid w:val="006B0203"/>
    <w:rsid w:val="006B0B59"/>
    <w:rsid w:val="006B159F"/>
    <w:rsid w:val="006B192C"/>
    <w:rsid w:val="006B1E61"/>
    <w:rsid w:val="006B2399"/>
    <w:rsid w:val="006B2564"/>
    <w:rsid w:val="006B432A"/>
    <w:rsid w:val="006B4A5E"/>
    <w:rsid w:val="006B4B51"/>
    <w:rsid w:val="006B55E6"/>
    <w:rsid w:val="006B5816"/>
    <w:rsid w:val="006B5E5A"/>
    <w:rsid w:val="006B60E0"/>
    <w:rsid w:val="006B6426"/>
    <w:rsid w:val="006B7BB7"/>
    <w:rsid w:val="006C0092"/>
    <w:rsid w:val="006C02AC"/>
    <w:rsid w:val="006C059C"/>
    <w:rsid w:val="006C06E7"/>
    <w:rsid w:val="006C0AF5"/>
    <w:rsid w:val="006C0F5E"/>
    <w:rsid w:val="006C142B"/>
    <w:rsid w:val="006C1AF2"/>
    <w:rsid w:val="006C1F6A"/>
    <w:rsid w:val="006C260A"/>
    <w:rsid w:val="006C2A43"/>
    <w:rsid w:val="006C2C60"/>
    <w:rsid w:val="006C2D6D"/>
    <w:rsid w:val="006C2F3B"/>
    <w:rsid w:val="006C3103"/>
    <w:rsid w:val="006C4024"/>
    <w:rsid w:val="006C5141"/>
    <w:rsid w:val="006C5683"/>
    <w:rsid w:val="006C5CA7"/>
    <w:rsid w:val="006C699B"/>
    <w:rsid w:val="006C6A06"/>
    <w:rsid w:val="006C6BFD"/>
    <w:rsid w:val="006C735A"/>
    <w:rsid w:val="006C7771"/>
    <w:rsid w:val="006C7EA3"/>
    <w:rsid w:val="006D03DD"/>
    <w:rsid w:val="006D048D"/>
    <w:rsid w:val="006D06EF"/>
    <w:rsid w:val="006D08F7"/>
    <w:rsid w:val="006D0BAE"/>
    <w:rsid w:val="006D0CC2"/>
    <w:rsid w:val="006D10E8"/>
    <w:rsid w:val="006D146E"/>
    <w:rsid w:val="006D1F7B"/>
    <w:rsid w:val="006D1F91"/>
    <w:rsid w:val="006D28AE"/>
    <w:rsid w:val="006D2DBF"/>
    <w:rsid w:val="006D3086"/>
    <w:rsid w:val="006D3377"/>
    <w:rsid w:val="006D354A"/>
    <w:rsid w:val="006D37A0"/>
    <w:rsid w:val="006D3BD2"/>
    <w:rsid w:val="006D4F99"/>
    <w:rsid w:val="006D587B"/>
    <w:rsid w:val="006D7530"/>
    <w:rsid w:val="006D77FA"/>
    <w:rsid w:val="006D784D"/>
    <w:rsid w:val="006D78D9"/>
    <w:rsid w:val="006D7F1A"/>
    <w:rsid w:val="006E04E8"/>
    <w:rsid w:val="006E0A2D"/>
    <w:rsid w:val="006E0DCF"/>
    <w:rsid w:val="006E132B"/>
    <w:rsid w:val="006E1D62"/>
    <w:rsid w:val="006E215A"/>
    <w:rsid w:val="006E2367"/>
    <w:rsid w:val="006E26C3"/>
    <w:rsid w:val="006E2A29"/>
    <w:rsid w:val="006E3448"/>
    <w:rsid w:val="006E381E"/>
    <w:rsid w:val="006E3D47"/>
    <w:rsid w:val="006E4283"/>
    <w:rsid w:val="006E45E2"/>
    <w:rsid w:val="006E4DDB"/>
    <w:rsid w:val="006E609A"/>
    <w:rsid w:val="006E6836"/>
    <w:rsid w:val="006E688B"/>
    <w:rsid w:val="006E6922"/>
    <w:rsid w:val="006E6A75"/>
    <w:rsid w:val="006E6DFB"/>
    <w:rsid w:val="006E77FB"/>
    <w:rsid w:val="006F0171"/>
    <w:rsid w:val="006F07A8"/>
    <w:rsid w:val="006F1368"/>
    <w:rsid w:val="006F1E0A"/>
    <w:rsid w:val="006F1E84"/>
    <w:rsid w:val="006F21DC"/>
    <w:rsid w:val="006F2399"/>
    <w:rsid w:val="006F2765"/>
    <w:rsid w:val="006F2E7D"/>
    <w:rsid w:val="006F313C"/>
    <w:rsid w:val="006F3775"/>
    <w:rsid w:val="006F413A"/>
    <w:rsid w:val="006F4538"/>
    <w:rsid w:val="006F4A2C"/>
    <w:rsid w:val="006F4C8C"/>
    <w:rsid w:val="006F5C72"/>
    <w:rsid w:val="006F7CDA"/>
    <w:rsid w:val="00700D1B"/>
    <w:rsid w:val="00700DEE"/>
    <w:rsid w:val="007012C4"/>
    <w:rsid w:val="00701A4A"/>
    <w:rsid w:val="007025DC"/>
    <w:rsid w:val="0070277D"/>
    <w:rsid w:val="0070297D"/>
    <w:rsid w:val="00702ACC"/>
    <w:rsid w:val="00702BB0"/>
    <w:rsid w:val="0070367F"/>
    <w:rsid w:val="00703DB4"/>
    <w:rsid w:val="00704886"/>
    <w:rsid w:val="00704D7E"/>
    <w:rsid w:val="00704FC1"/>
    <w:rsid w:val="0070525D"/>
    <w:rsid w:val="007052C3"/>
    <w:rsid w:val="00705A46"/>
    <w:rsid w:val="00705F5E"/>
    <w:rsid w:val="00706647"/>
    <w:rsid w:val="0070673D"/>
    <w:rsid w:val="00706977"/>
    <w:rsid w:val="00706AD0"/>
    <w:rsid w:val="00706DB2"/>
    <w:rsid w:val="00706F57"/>
    <w:rsid w:val="00706F76"/>
    <w:rsid w:val="00707350"/>
    <w:rsid w:val="007075BB"/>
    <w:rsid w:val="00707F08"/>
    <w:rsid w:val="007101FE"/>
    <w:rsid w:val="00710563"/>
    <w:rsid w:val="00710DA2"/>
    <w:rsid w:val="0071141B"/>
    <w:rsid w:val="00711A2C"/>
    <w:rsid w:val="00711CCE"/>
    <w:rsid w:val="00711E15"/>
    <w:rsid w:val="00712757"/>
    <w:rsid w:val="007128E4"/>
    <w:rsid w:val="00712B9A"/>
    <w:rsid w:val="00712BF5"/>
    <w:rsid w:val="00713013"/>
    <w:rsid w:val="007137B6"/>
    <w:rsid w:val="00713A1F"/>
    <w:rsid w:val="007147D0"/>
    <w:rsid w:val="00714813"/>
    <w:rsid w:val="0071484C"/>
    <w:rsid w:val="0071583E"/>
    <w:rsid w:val="00715CFF"/>
    <w:rsid w:val="00716F74"/>
    <w:rsid w:val="00716FEA"/>
    <w:rsid w:val="00720626"/>
    <w:rsid w:val="00720767"/>
    <w:rsid w:val="00720CCF"/>
    <w:rsid w:val="00720DF0"/>
    <w:rsid w:val="00721B35"/>
    <w:rsid w:val="00721C70"/>
    <w:rsid w:val="007222BF"/>
    <w:rsid w:val="007226FA"/>
    <w:rsid w:val="007227B5"/>
    <w:rsid w:val="0072282E"/>
    <w:rsid w:val="007228C3"/>
    <w:rsid w:val="00722B37"/>
    <w:rsid w:val="00722C60"/>
    <w:rsid w:val="00722CD9"/>
    <w:rsid w:val="00723852"/>
    <w:rsid w:val="00723A06"/>
    <w:rsid w:val="00723DAB"/>
    <w:rsid w:val="00723DBA"/>
    <w:rsid w:val="00724FD9"/>
    <w:rsid w:val="00725233"/>
    <w:rsid w:val="00725ED8"/>
    <w:rsid w:val="00726907"/>
    <w:rsid w:val="0072696C"/>
    <w:rsid w:val="007269E4"/>
    <w:rsid w:val="00726CC2"/>
    <w:rsid w:val="00726D18"/>
    <w:rsid w:val="007270E2"/>
    <w:rsid w:val="007274A3"/>
    <w:rsid w:val="0072791A"/>
    <w:rsid w:val="00727B7A"/>
    <w:rsid w:val="00730120"/>
    <w:rsid w:val="00730663"/>
    <w:rsid w:val="00730C2E"/>
    <w:rsid w:val="00730E47"/>
    <w:rsid w:val="007317DC"/>
    <w:rsid w:val="00731F78"/>
    <w:rsid w:val="00731FC8"/>
    <w:rsid w:val="00732910"/>
    <w:rsid w:val="007339C9"/>
    <w:rsid w:val="00733A04"/>
    <w:rsid w:val="00733ADE"/>
    <w:rsid w:val="00733E1F"/>
    <w:rsid w:val="00733E74"/>
    <w:rsid w:val="00733FA3"/>
    <w:rsid w:val="00734093"/>
    <w:rsid w:val="00734A79"/>
    <w:rsid w:val="00734BEF"/>
    <w:rsid w:val="00734D4A"/>
    <w:rsid w:val="0073552F"/>
    <w:rsid w:val="00735FEF"/>
    <w:rsid w:val="00736489"/>
    <w:rsid w:val="00737906"/>
    <w:rsid w:val="00740E34"/>
    <w:rsid w:val="00741012"/>
    <w:rsid w:val="007417C0"/>
    <w:rsid w:val="007418B4"/>
    <w:rsid w:val="007421EF"/>
    <w:rsid w:val="007424B4"/>
    <w:rsid w:val="0074266E"/>
    <w:rsid w:val="00742FD8"/>
    <w:rsid w:val="0074386A"/>
    <w:rsid w:val="007439EE"/>
    <w:rsid w:val="00743CBB"/>
    <w:rsid w:val="00743E3D"/>
    <w:rsid w:val="00744910"/>
    <w:rsid w:val="0074496F"/>
    <w:rsid w:val="0074539B"/>
    <w:rsid w:val="00745B72"/>
    <w:rsid w:val="00745E50"/>
    <w:rsid w:val="00745F47"/>
    <w:rsid w:val="007460B1"/>
    <w:rsid w:val="007468E0"/>
    <w:rsid w:val="00746903"/>
    <w:rsid w:val="007475B8"/>
    <w:rsid w:val="00747BB9"/>
    <w:rsid w:val="00750473"/>
    <w:rsid w:val="00750BD8"/>
    <w:rsid w:val="00750C64"/>
    <w:rsid w:val="00750EDD"/>
    <w:rsid w:val="00750F8E"/>
    <w:rsid w:val="00751044"/>
    <w:rsid w:val="00751118"/>
    <w:rsid w:val="00752043"/>
    <w:rsid w:val="00752045"/>
    <w:rsid w:val="0075274F"/>
    <w:rsid w:val="00752FF3"/>
    <w:rsid w:val="00753069"/>
    <w:rsid w:val="0075330D"/>
    <w:rsid w:val="0075335F"/>
    <w:rsid w:val="0075413E"/>
    <w:rsid w:val="0075462F"/>
    <w:rsid w:val="0075470D"/>
    <w:rsid w:val="007551B1"/>
    <w:rsid w:val="00755733"/>
    <w:rsid w:val="00755F7E"/>
    <w:rsid w:val="00756785"/>
    <w:rsid w:val="00756DED"/>
    <w:rsid w:val="00756FEE"/>
    <w:rsid w:val="007579F4"/>
    <w:rsid w:val="007605C6"/>
    <w:rsid w:val="00760724"/>
    <w:rsid w:val="00761523"/>
    <w:rsid w:val="00761D79"/>
    <w:rsid w:val="00763004"/>
    <w:rsid w:val="00763904"/>
    <w:rsid w:val="00764209"/>
    <w:rsid w:val="00764344"/>
    <w:rsid w:val="00764B8C"/>
    <w:rsid w:val="00764E8E"/>
    <w:rsid w:val="00765519"/>
    <w:rsid w:val="00765B2C"/>
    <w:rsid w:val="00765BA9"/>
    <w:rsid w:val="00766201"/>
    <w:rsid w:val="00766E87"/>
    <w:rsid w:val="0076700D"/>
    <w:rsid w:val="007670EC"/>
    <w:rsid w:val="00767A48"/>
    <w:rsid w:val="00767D19"/>
    <w:rsid w:val="00770A5C"/>
    <w:rsid w:val="00771071"/>
    <w:rsid w:val="0077172F"/>
    <w:rsid w:val="00771F2D"/>
    <w:rsid w:val="007726A6"/>
    <w:rsid w:val="00772AF6"/>
    <w:rsid w:val="00772FDF"/>
    <w:rsid w:val="00773E30"/>
    <w:rsid w:val="007742FD"/>
    <w:rsid w:val="00774DBB"/>
    <w:rsid w:val="00774DF5"/>
    <w:rsid w:val="00775E06"/>
    <w:rsid w:val="007762D7"/>
    <w:rsid w:val="0077649F"/>
    <w:rsid w:val="0077699D"/>
    <w:rsid w:val="00776A54"/>
    <w:rsid w:val="00776D7E"/>
    <w:rsid w:val="00776D9A"/>
    <w:rsid w:val="007770B7"/>
    <w:rsid w:val="00777235"/>
    <w:rsid w:val="00777CD9"/>
    <w:rsid w:val="0078016A"/>
    <w:rsid w:val="007804DB"/>
    <w:rsid w:val="0078070C"/>
    <w:rsid w:val="007807DC"/>
    <w:rsid w:val="00781CA6"/>
    <w:rsid w:val="00781D1D"/>
    <w:rsid w:val="00782061"/>
    <w:rsid w:val="0078221A"/>
    <w:rsid w:val="0078233A"/>
    <w:rsid w:val="007826D5"/>
    <w:rsid w:val="0078293C"/>
    <w:rsid w:val="00782FF4"/>
    <w:rsid w:val="00783267"/>
    <w:rsid w:val="0078346A"/>
    <w:rsid w:val="00784318"/>
    <w:rsid w:val="00784A5D"/>
    <w:rsid w:val="00784A69"/>
    <w:rsid w:val="00784E02"/>
    <w:rsid w:val="00784F42"/>
    <w:rsid w:val="00785C18"/>
    <w:rsid w:val="00785C3E"/>
    <w:rsid w:val="00785CE9"/>
    <w:rsid w:val="00786B93"/>
    <w:rsid w:val="00787933"/>
    <w:rsid w:val="00787BC4"/>
    <w:rsid w:val="00787CE6"/>
    <w:rsid w:val="00787CF8"/>
    <w:rsid w:val="00790CAA"/>
    <w:rsid w:val="00790FA9"/>
    <w:rsid w:val="007912B6"/>
    <w:rsid w:val="00791932"/>
    <w:rsid w:val="007919BF"/>
    <w:rsid w:val="007920B2"/>
    <w:rsid w:val="007923A2"/>
    <w:rsid w:val="0079263C"/>
    <w:rsid w:val="00792641"/>
    <w:rsid w:val="0079341B"/>
    <w:rsid w:val="00793941"/>
    <w:rsid w:val="00793F50"/>
    <w:rsid w:val="00794725"/>
    <w:rsid w:val="0079497B"/>
    <w:rsid w:val="007949E6"/>
    <w:rsid w:val="007954A9"/>
    <w:rsid w:val="00796B51"/>
    <w:rsid w:val="007978A4"/>
    <w:rsid w:val="00797AD7"/>
    <w:rsid w:val="007A078A"/>
    <w:rsid w:val="007A0E11"/>
    <w:rsid w:val="007A1154"/>
    <w:rsid w:val="007A16EF"/>
    <w:rsid w:val="007A18F3"/>
    <w:rsid w:val="007A2EAE"/>
    <w:rsid w:val="007A35F3"/>
    <w:rsid w:val="007A3BEE"/>
    <w:rsid w:val="007A3F3B"/>
    <w:rsid w:val="007A415C"/>
    <w:rsid w:val="007A42A8"/>
    <w:rsid w:val="007A4366"/>
    <w:rsid w:val="007A468C"/>
    <w:rsid w:val="007A475D"/>
    <w:rsid w:val="007A4F12"/>
    <w:rsid w:val="007A4F54"/>
    <w:rsid w:val="007A50EC"/>
    <w:rsid w:val="007A52F3"/>
    <w:rsid w:val="007A55EE"/>
    <w:rsid w:val="007A57AF"/>
    <w:rsid w:val="007A5E77"/>
    <w:rsid w:val="007A6954"/>
    <w:rsid w:val="007A6F00"/>
    <w:rsid w:val="007A71B3"/>
    <w:rsid w:val="007A7305"/>
    <w:rsid w:val="007A7DA1"/>
    <w:rsid w:val="007B0071"/>
    <w:rsid w:val="007B10AD"/>
    <w:rsid w:val="007B112B"/>
    <w:rsid w:val="007B1453"/>
    <w:rsid w:val="007B169C"/>
    <w:rsid w:val="007B172B"/>
    <w:rsid w:val="007B1B71"/>
    <w:rsid w:val="007B1CD8"/>
    <w:rsid w:val="007B1D79"/>
    <w:rsid w:val="007B2AAD"/>
    <w:rsid w:val="007B4473"/>
    <w:rsid w:val="007B47D0"/>
    <w:rsid w:val="007B53AF"/>
    <w:rsid w:val="007B5911"/>
    <w:rsid w:val="007B595E"/>
    <w:rsid w:val="007B5BCD"/>
    <w:rsid w:val="007B65C5"/>
    <w:rsid w:val="007B6845"/>
    <w:rsid w:val="007B7A7B"/>
    <w:rsid w:val="007B7AE4"/>
    <w:rsid w:val="007C1CFB"/>
    <w:rsid w:val="007C1D6F"/>
    <w:rsid w:val="007C24CE"/>
    <w:rsid w:val="007C2546"/>
    <w:rsid w:val="007C3641"/>
    <w:rsid w:val="007C3777"/>
    <w:rsid w:val="007C37E3"/>
    <w:rsid w:val="007C3E3F"/>
    <w:rsid w:val="007C40E8"/>
    <w:rsid w:val="007C4443"/>
    <w:rsid w:val="007C44FB"/>
    <w:rsid w:val="007C5729"/>
    <w:rsid w:val="007C5C92"/>
    <w:rsid w:val="007C61B8"/>
    <w:rsid w:val="007C6EAD"/>
    <w:rsid w:val="007C70BC"/>
    <w:rsid w:val="007C7E79"/>
    <w:rsid w:val="007D0753"/>
    <w:rsid w:val="007D0986"/>
    <w:rsid w:val="007D113A"/>
    <w:rsid w:val="007D222C"/>
    <w:rsid w:val="007D289C"/>
    <w:rsid w:val="007D32BF"/>
    <w:rsid w:val="007D3AB6"/>
    <w:rsid w:val="007D3D46"/>
    <w:rsid w:val="007D411D"/>
    <w:rsid w:val="007D44BE"/>
    <w:rsid w:val="007D4A3F"/>
    <w:rsid w:val="007D4C4F"/>
    <w:rsid w:val="007D59D3"/>
    <w:rsid w:val="007D5F98"/>
    <w:rsid w:val="007D6060"/>
    <w:rsid w:val="007D6887"/>
    <w:rsid w:val="007D6D69"/>
    <w:rsid w:val="007D6DD5"/>
    <w:rsid w:val="007D789F"/>
    <w:rsid w:val="007D7D98"/>
    <w:rsid w:val="007E02E6"/>
    <w:rsid w:val="007E0E8C"/>
    <w:rsid w:val="007E1118"/>
    <w:rsid w:val="007E12AE"/>
    <w:rsid w:val="007E1620"/>
    <w:rsid w:val="007E1C77"/>
    <w:rsid w:val="007E2B52"/>
    <w:rsid w:val="007E2FF4"/>
    <w:rsid w:val="007E385F"/>
    <w:rsid w:val="007E3961"/>
    <w:rsid w:val="007E3AC7"/>
    <w:rsid w:val="007E3C8D"/>
    <w:rsid w:val="007E3C90"/>
    <w:rsid w:val="007E4371"/>
    <w:rsid w:val="007E44E9"/>
    <w:rsid w:val="007E4671"/>
    <w:rsid w:val="007E5BC8"/>
    <w:rsid w:val="007E640E"/>
    <w:rsid w:val="007E7065"/>
    <w:rsid w:val="007E7310"/>
    <w:rsid w:val="007E7AC8"/>
    <w:rsid w:val="007E7D07"/>
    <w:rsid w:val="007E7DD7"/>
    <w:rsid w:val="007F02F2"/>
    <w:rsid w:val="007F02FB"/>
    <w:rsid w:val="007F0888"/>
    <w:rsid w:val="007F1408"/>
    <w:rsid w:val="007F2420"/>
    <w:rsid w:val="007F2B48"/>
    <w:rsid w:val="007F2CF4"/>
    <w:rsid w:val="007F2EFD"/>
    <w:rsid w:val="007F33DA"/>
    <w:rsid w:val="007F3472"/>
    <w:rsid w:val="007F34D4"/>
    <w:rsid w:val="007F3D7C"/>
    <w:rsid w:val="007F4029"/>
    <w:rsid w:val="007F464F"/>
    <w:rsid w:val="007F4D47"/>
    <w:rsid w:val="007F58C0"/>
    <w:rsid w:val="007F590B"/>
    <w:rsid w:val="007F5ECF"/>
    <w:rsid w:val="007F62A5"/>
    <w:rsid w:val="007F63CC"/>
    <w:rsid w:val="007F6ACC"/>
    <w:rsid w:val="007F6AFD"/>
    <w:rsid w:val="007F6D95"/>
    <w:rsid w:val="007F7314"/>
    <w:rsid w:val="007F784C"/>
    <w:rsid w:val="007F78B6"/>
    <w:rsid w:val="007F7951"/>
    <w:rsid w:val="007F7DF5"/>
    <w:rsid w:val="0080055D"/>
    <w:rsid w:val="00800DA2"/>
    <w:rsid w:val="00800F95"/>
    <w:rsid w:val="00801801"/>
    <w:rsid w:val="00801F35"/>
    <w:rsid w:val="00802029"/>
    <w:rsid w:val="0080205F"/>
    <w:rsid w:val="00802973"/>
    <w:rsid w:val="00802D8F"/>
    <w:rsid w:val="008030C1"/>
    <w:rsid w:val="0080310A"/>
    <w:rsid w:val="008038E3"/>
    <w:rsid w:val="00803A22"/>
    <w:rsid w:val="00805976"/>
    <w:rsid w:val="00807AE2"/>
    <w:rsid w:val="00807DD6"/>
    <w:rsid w:val="0081036D"/>
    <w:rsid w:val="00811233"/>
    <w:rsid w:val="00811FB2"/>
    <w:rsid w:val="0081210E"/>
    <w:rsid w:val="008126D6"/>
    <w:rsid w:val="0081295C"/>
    <w:rsid w:val="008129F4"/>
    <w:rsid w:val="008131A2"/>
    <w:rsid w:val="00813282"/>
    <w:rsid w:val="00815390"/>
    <w:rsid w:val="00815E75"/>
    <w:rsid w:val="0081611A"/>
    <w:rsid w:val="00816CD7"/>
    <w:rsid w:val="008171A7"/>
    <w:rsid w:val="0081790C"/>
    <w:rsid w:val="00817F49"/>
    <w:rsid w:val="00820412"/>
    <w:rsid w:val="0082052E"/>
    <w:rsid w:val="00820651"/>
    <w:rsid w:val="00820A0C"/>
    <w:rsid w:val="00820EBF"/>
    <w:rsid w:val="00822089"/>
    <w:rsid w:val="008221A6"/>
    <w:rsid w:val="00822309"/>
    <w:rsid w:val="00822B07"/>
    <w:rsid w:val="00822F9D"/>
    <w:rsid w:val="00823077"/>
    <w:rsid w:val="008230B4"/>
    <w:rsid w:val="008236FB"/>
    <w:rsid w:val="00823AA9"/>
    <w:rsid w:val="00823B2B"/>
    <w:rsid w:val="00823C37"/>
    <w:rsid w:val="00823E05"/>
    <w:rsid w:val="008244B9"/>
    <w:rsid w:val="00824BA6"/>
    <w:rsid w:val="00825249"/>
    <w:rsid w:val="00827047"/>
    <w:rsid w:val="00827325"/>
    <w:rsid w:val="0082799F"/>
    <w:rsid w:val="00827C12"/>
    <w:rsid w:val="00827CC2"/>
    <w:rsid w:val="00827EA2"/>
    <w:rsid w:val="00830513"/>
    <w:rsid w:val="00830B30"/>
    <w:rsid w:val="00830F40"/>
    <w:rsid w:val="0083131D"/>
    <w:rsid w:val="00831332"/>
    <w:rsid w:val="0083133A"/>
    <w:rsid w:val="008315FF"/>
    <w:rsid w:val="00831990"/>
    <w:rsid w:val="00831A17"/>
    <w:rsid w:val="00832134"/>
    <w:rsid w:val="0083242B"/>
    <w:rsid w:val="00832BF0"/>
    <w:rsid w:val="00832E65"/>
    <w:rsid w:val="00833079"/>
    <w:rsid w:val="00833A25"/>
    <w:rsid w:val="00833A82"/>
    <w:rsid w:val="00834C60"/>
    <w:rsid w:val="00834DBE"/>
    <w:rsid w:val="008355FB"/>
    <w:rsid w:val="00835A51"/>
    <w:rsid w:val="008365A8"/>
    <w:rsid w:val="008365F9"/>
    <w:rsid w:val="008366A0"/>
    <w:rsid w:val="00836741"/>
    <w:rsid w:val="00837569"/>
    <w:rsid w:val="0083790A"/>
    <w:rsid w:val="008379EA"/>
    <w:rsid w:val="00837C6A"/>
    <w:rsid w:val="00837EBD"/>
    <w:rsid w:val="0084012A"/>
    <w:rsid w:val="00841CB1"/>
    <w:rsid w:val="00842188"/>
    <w:rsid w:val="0084253C"/>
    <w:rsid w:val="00842B08"/>
    <w:rsid w:val="00842BE0"/>
    <w:rsid w:val="00842DF2"/>
    <w:rsid w:val="00843047"/>
    <w:rsid w:val="008435F8"/>
    <w:rsid w:val="00843B17"/>
    <w:rsid w:val="00843B83"/>
    <w:rsid w:val="00843C7D"/>
    <w:rsid w:val="00843DA5"/>
    <w:rsid w:val="008445C7"/>
    <w:rsid w:val="0084485D"/>
    <w:rsid w:val="00844DC7"/>
    <w:rsid w:val="00845D21"/>
    <w:rsid w:val="00846000"/>
    <w:rsid w:val="0084607B"/>
    <w:rsid w:val="008460CD"/>
    <w:rsid w:val="008460CE"/>
    <w:rsid w:val="00846BA5"/>
    <w:rsid w:val="00846F59"/>
    <w:rsid w:val="00847601"/>
    <w:rsid w:val="008479B4"/>
    <w:rsid w:val="00847A1A"/>
    <w:rsid w:val="00847DED"/>
    <w:rsid w:val="008501D0"/>
    <w:rsid w:val="0085022B"/>
    <w:rsid w:val="00852032"/>
    <w:rsid w:val="00852071"/>
    <w:rsid w:val="008520D4"/>
    <w:rsid w:val="008524B2"/>
    <w:rsid w:val="00852807"/>
    <w:rsid w:val="008528FA"/>
    <w:rsid w:val="00852907"/>
    <w:rsid w:val="00852DCA"/>
    <w:rsid w:val="00853A42"/>
    <w:rsid w:val="008541FC"/>
    <w:rsid w:val="008544CB"/>
    <w:rsid w:val="008548A0"/>
    <w:rsid w:val="00854ADD"/>
    <w:rsid w:val="00854FDF"/>
    <w:rsid w:val="008555DC"/>
    <w:rsid w:val="008559C7"/>
    <w:rsid w:val="00855C8B"/>
    <w:rsid w:val="00856454"/>
    <w:rsid w:val="00857428"/>
    <w:rsid w:val="00857C31"/>
    <w:rsid w:val="00857C6F"/>
    <w:rsid w:val="00857F4A"/>
    <w:rsid w:val="0086029F"/>
    <w:rsid w:val="0086098C"/>
    <w:rsid w:val="00860C17"/>
    <w:rsid w:val="008610CB"/>
    <w:rsid w:val="0086128A"/>
    <w:rsid w:val="008612D1"/>
    <w:rsid w:val="008613B8"/>
    <w:rsid w:val="00861590"/>
    <w:rsid w:val="00861B86"/>
    <w:rsid w:val="00861DB8"/>
    <w:rsid w:val="0086202C"/>
    <w:rsid w:val="0086364C"/>
    <w:rsid w:val="00863852"/>
    <w:rsid w:val="00863CBB"/>
    <w:rsid w:val="00863D71"/>
    <w:rsid w:val="00863EDB"/>
    <w:rsid w:val="00864014"/>
    <w:rsid w:val="008650DF"/>
    <w:rsid w:val="00865250"/>
    <w:rsid w:val="00865391"/>
    <w:rsid w:val="008659CF"/>
    <w:rsid w:val="00865E75"/>
    <w:rsid w:val="008661BD"/>
    <w:rsid w:val="00866657"/>
    <w:rsid w:val="008679DD"/>
    <w:rsid w:val="0087004A"/>
    <w:rsid w:val="00870742"/>
    <w:rsid w:val="008711D1"/>
    <w:rsid w:val="0087123F"/>
    <w:rsid w:val="008715AA"/>
    <w:rsid w:val="008719A5"/>
    <w:rsid w:val="008727AF"/>
    <w:rsid w:val="00872CA6"/>
    <w:rsid w:val="00874DB8"/>
    <w:rsid w:val="0087527A"/>
    <w:rsid w:val="00875416"/>
    <w:rsid w:val="00875A71"/>
    <w:rsid w:val="00875F6B"/>
    <w:rsid w:val="0087699C"/>
    <w:rsid w:val="008776D1"/>
    <w:rsid w:val="008779B3"/>
    <w:rsid w:val="00877A18"/>
    <w:rsid w:val="0088050A"/>
    <w:rsid w:val="008808E4"/>
    <w:rsid w:val="008810FC"/>
    <w:rsid w:val="008814D5"/>
    <w:rsid w:val="00881512"/>
    <w:rsid w:val="0088286B"/>
    <w:rsid w:val="008828AF"/>
    <w:rsid w:val="00882F72"/>
    <w:rsid w:val="00883853"/>
    <w:rsid w:val="008838EC"/>
    <w:rsid w:val="00883A4A"/>
    <w:rsid w:val="00883FE9"/>
    <w:rsid w:val="00884435"/>
    <w:rsid w:val="00884A26"/>
    <w:rsid w:val="00884BE7"/>
    <w:rsid w:val="00884E05"/>
    <w:rsid w:val="00884E20"/>
    <w:rsid w:val="008851CF"/>
    <w:rsid w:val="008867B1"/>
    <w:rsid w:val="00886876"/>
    <w:rsid w:val="00886D26"/>
    <w:rsid w:val="00887B76"/>
    <w:rsid w:val="00887D45"/>
    <w:rsid w:val="00890184"/>
    <w:rsid w:val="0089064C"/>
    <w:rsid w:val="008907CF"/>
    <w:rsid w:val="0089097F"/>
    <w:rsid w:val="00890CD4"/>
    <w:rsid w:val="00890E50"/>
    <w:rsid w:val="0089129F"/>
    <w:rsid w:val="0089158A"/>
    <w:rsid w:val="00891DE0"/>
    <w:rsid w:val="008923D2"/>
    <w:rsid w:val="00893254"/>
    <w:rsid w:val="008938A7"/>
    <w:rsid w:val="00893A99"/>
    <w:rsid w:val="00893AF7"/>
    <w:rsid w:val="00894181"/>
    <w:rsid w:val="008942A8"/>
    <w:rsid w:val="0089442C"/>
    <w:rsid w:val="008944AA"/>
    <w:rsid w:val="00894BF6"/>
    <w:rsid w:val="00895028"/>
    <w:rsid w:val="00895738"/>
    <w:rsid w:val="008958B3"/>
    <w:rsid w:val="00896106"/>
    <w:rsid w:val="0089644B"/>
    <w:rsid w:val="00897250"/>
    <w:rsid w:val="00897663"/>
    <w:rsid w:val="00897ACF"/>
    <w:rsid w:val="00897CEA"/>
    <w:rsid w:val="00897E01"/>
    <w:rsid w:val="008A0A3E"/>
    <w:rsid w:val="008A16EC"/>
    <w:rsid w:val="008A1D6B"/>
    <w:rsid w:val="008A1F86"/>
    <w:rsid w:val="008A206C"/>
    <w:rsid w:val="008A2432"/>
    <w:rsid w:val="008A34BF"/>
    <w:rsid w:val="008A443F"/>
    <w:rsid w:val="008A45DD"/>
    <w:rsid w:val="008A47A3"/>
    <w:rsid w:val="008A5401"/>
    <w:rsid w:val="008A5E6E"/>
    <w:rsid w:val="008A6328"/>
    <w:rsid w:val="008A6696"/>
    <w:rsid w:val="008A66F0"/>
    <w:rsid w:val="008A726C"/>
    <w:rsid w:val="008B015C"/>
    <w:rsid w:val="008B01E6"/>
    <w:rsid w:val="008B0C13"/>
    <w:rsid w:val="008B0CCC"/>
    <w:rsid w:val="008B0D1C"/>
    <w:rsid w:val="008B270B"/>
    <w:rsid w:val="008B2756"/>
    <w:rsid w:val="008B2D05"/>
    <w:rsid w:val="008B319D"/>
    <w:rsid w:val="008B3F63"/>
    <w:rsid w:val="008B458F"/>
    <w:rsid w:val="008B468D"/>
    <w:rsid w:val="008B4E67"/>
    <w:rsid w:val="008B5281"/>
    <w:rsid w:val="008B5B53"/>
    <w:rsid w:val="008B6351"/>
    <w:rsid w:val="008B664E"/>
    <w:rsid w:val="008B6656"/>
    <w:rsid w:val="008B68A7"/>
    <w:rsid w:val="008B6ECC"/>
    <w:rsid w:val="008B7007"/>
    <w:rsid w:val="008B7174"/>
    <w:rsid w:val="008B7551"/>
    <w:rsid w:val="008B77C0"/>
    <w:rsid w:val="008C0427"/>
    <w:rsid w:val="008C0483"/>
    <w:rsid w:val="008C0807"/>
    <w:rsid w:val="008C081C"/>
    <w:rsid w:val="008C0DF7"/>
    <w:rsid w:val="008C17D0"/>
    <w:rsid w:val="008C1E70"/>
    <w:rsid w:val="008C208C"/>
    <w:rsid w:val="008C20BE"/>
    <w:rsid w:val="008C33E0"/>
    <w:rsid w:val="008C44BE"/>
    <w:rsid w:val="008C5265"/>
    <w:rsid w:val="008C5E87"/>
    <w:rsid w:val="008C62E8"/>
    <w:rsid w:val="008C64A4"/>
    <w:rsid w:val="008C68BB"/>
    <w:rsid w:val="008C6E66"/>
    <w:rsid w:val="008C73A2"/>
    <w:rsid w:val="008C76D7"/>
    <w:rsid w:val="008C7D4B"/>
    <w:rsid w:val="008C7DAC"/>
    <w:rsid w:val="008D04FD"/>
    <w:rsid w:val="008D060C"/>
    <w:rsid w:val="008D06B7"/>
    <w:rsid w:val="008D117A"/>
    <w:rsid w:val="008D14A6"/>
    <w:rsid w:val="008D17C5"/>
    <w:rsid w:val="008D29C6"/>
    <w:rsid w:val="008D2EF7"/>
    <w:rsid w:val="008D3367"/>
    <w:rsid w:val="008D3AD0"/>
    <w:rsid w:val="008D3E12"/>
    <w:rsid w:val="008D3E52"/>
    <w:rsid w:val="008D40BC"/>
    <w:rsid w:val="008D438F"/>
    <w:rsid w:val="008D4F17"/>
    <w:rsid w:val="008D5264"/>
    <w:rsid w:val="008D5A0D"/>
    <w:rsid w:val="008D7364"/>
    <w:rsid w:val="008D7E08"/>
    <w:rsid w:val="008E087D"/>
    <w:rsid w:val="008E0975"/>
    <w:rsid w:val="008E114A"/>
    <w:rsid w:val="008E15B6"/>
    <w:rsid w:val="008E1DF5"/>
    <w:rsid w:val="008E1E6A"/>
    <w:rsid w:val="008E204B"/>
    <w:rsid w:val="008E2389"/>
    <w:rsid w:val="008E24B2"/>
    <w:rsid w:val="008E24FC"/>
    <w:rsid w:val="008E2996"/>
    <w:rsid w:val="008E2A8E"/>
    <w:rsid w:val="008E2C12"/>
    <w:rsid w:val="008E2F55"/>
    <w:rsid w:val="008E31DD"/>
    <w:rsid w:val="008E441F"/>
    <w:rsid w:val="008E4DFD"/>
    <w:rsid w:val="008E60E8"/>
    <w:rsid w:val="008E7072"/>
    <w:rsid w:val="008E74A3"/>
    <w:rsid w:val="008E7803"/>
    <w:rsid w:val="008E78D0"/>
    <w:rsid w:val="008F0DF9"/>
    <w:rsid w:val="008F1817"/>
    <w:rsid w:val="008F1B2F"/>
    <w:rsid w:val="008F1FAD"/>
    <w:rsid w:val="008F2376"/>
    <w:rsid w:val="008F2859"/>
    <w:rsid w:val="008F35F2"/>
    <w:rsid w:val="008F3989"/>
    <w:rsid w:val="008F3B45"/>
    <w:rsid w:val="008F3B74"/>
    <w:rsid w:val="008F3CE7"/>
    <w:rsid w:val="008F40AC"/>
    <w:rsid w:val="008F44F8"/>
    <w:rsid w:val="008F48FA"/>
    <w:rsid w:val="008F4DB8"/>
    <w:rsid w:val="008F4F89"/>
    <w:rsid w:val="008F5E9B"/>
    <w:rsid w:val="008F62D6"/>
    <w:rsid w:val="008F67CF"/>
    <w:rsid w:val="008F6C15"/>
    <w:rsid w:val="008F6C31"/>
    <w:rsid w:val="008F6DC3"/>
    <w:rsid w:val="008F72DE"/>
    <w:rsid w:val="008F7512"/>
    <w:rsid w:val="008F7C82"/>
    <w:rsid w:val="009002D2"/>
    <w:rsid w:val="00900CA6"/>
    <w:rsid w:val="00900EAE"/>
    <w:rsid w:val="0090143A"/>
    <w:rsid w:val="00901995"/>
    <w:rsid w:val="00901A92"/>
    <w:rsid w:val="009020A9"/>
    <w:rsid w:val="0090231F"/>
    <w:rsid w:val="009023DA"/>
    <w:rsid w:val="00903036"/>
    <w:rsid w:val="00903108"/>
    <w:rsid w:val="009031CF"/>
    <w:rsid w:val="0090391B"/>
    <w:rsid w:val="00903E97"/>
    <w:rsid w:val="00903F45"/>
    <w:rsid w:val="00904021"/>
    <w:rsid w:val="00904026"/>
    <w:rsid w:val="00904294"/>
    <w:rsid w:val="0090486A"/>
    <w:rsid w:val="00904F27"/>
    <w:rsid w:val="00905A94"/>
    <w:rsid w:val="00905C15"/>
    <w:rsid w:val="00906422"/>
    <w:rsid w:val="00906446"/>
    <w:rsid w:val="00906C4B"/>
    <w:rsid w:val="009076BC"/>
    <w:rsid w:val="00907E7B"/>
    <w:rsid w:val="0091033B"/>
    <w:rsid w:val="00910CB8"/>
    <w:rsid w:val="00910D25"/>
    <w:rsid w:val="00910FE7"/>
    <w:rsid w:val="0091110E"/>
    <w:rsid w:val="0091137E"/>
    <w:rsid w:val="00911471"/>
    <w:rsid w:val="0091194F"/>
    <w:rsid w:val="0091197D"/>
    <w:rsid w:val="00911FEA"/>
    <w:rsid w:val="00912173"/>
    <w:rsid w:val="0091293E"/>
    <w:rsid w:val="00912B48"/>
    <w:rsid w:val="00912D54"/>
    <w:rsid w:val="00913A6C"/>
    <w:rsid w:val="00913A81"/>
    <w:rsid w:val="00913C20"/>
    <w:rsid w:val="00913E54"/>
    <w:rsid w:val="00914874"/>
    <w:rsid w:val="00915071"/>
    <w:rsid w:val="0091532E"/>
    <w:rsid w:val="00915460"/>
    <w:rsid w:val="0091593D"/>
    <w:rsid w:val="00916306"/>
    <w:rsid w:val="00916319"/>
    <w:rsid w:val="00916D4B"/>
    <w:rsid w:val="009172A9"/>
    <w:rsid w:val="0091762D"/>
    <w:rsid w:val="009200A2"/>
    <w:rsid w:val="009202CD"/>
    <w:rsid w:val="0092066F"/>
    <w:rsid w:val="00920CC6"/>
    <w:rsid w:val="009214E1"/>
    <w:rsid w:val="0092217B"/>
    <w:rsid w:val="0092253B"/>
    <w:rsid w:val="00922EFB"/>
    <w:rsid w:val="0092321E"/>
    <w:rsid w:val="009236AE"/>
    <w:rsid w:val="00923D3B"/>
    <w:rsid w:val="00924135"/>
    <w:rsid w:val="00924388"/>
    <w:rsid w:val="009243DA"/>
    <w:rsid w:val="009248C3"/>
    <w:rsid w:val="009254AF"/>
    <w:rsid w:val="009265CC"/>
    <w:rsid w:val="00926800"/>
    <w:rsid w:val="00926A42"/>
    <w:rsid w:val="00927266"/>
    <w:rsid w:val="00927E03"/>
    <w:rsid w:val="0093082A"/>
    <w:rsid w:val="00931513"/>
    <w:rsid w:val="00931D45"/>
    <w:rsid w:val="00931F51"/>
    <w:rsid w:val="00932B2E"/>
    <w:rsid w:val="00933BBA"/>
    <w:rsid w:val="00933C38"/>
    <w:rsid w:val="00933D31"/>
    <w:rsid w:val="00933D83"/>
    <w:rsid w:val="00933F7C"/>
    <w:rsid w:val="00934336"/>
    <w:rsid w:val="009347ED"/>
    <w:rsid w:val="0093495C"/>
    <w:rsid w:val="00934B1A"/>
    <w:rsid w:val="00935195"/>
    <w:rsid w:val="009356A5"/>
    <w:rsid w:val="0093599E"/>
    <w:rsid w:val="009359AA"/>
    <w:rsid w:val="00935A1A"/>
    <w:rsid w:val="00936719"/>
    <w:rsid w:val="00936BDA"/>
    <w:rsid w:val="00936D9E"/>
    <w:rsid w:val="00937000"/>
    <w:rsid w:val="00937259"/>
    <w:rsid w:val="009376C9"/>
    <w:rsid w:val="00937CEC"/>
    <w:rsid w:val="00940112"/>
    <w:rsid w:val="00940114"/>
    <w:rsid w:val="00940304"/>
    <w:rsid w:val="009405B8"/>
    <w:rsid w:val="009411E8"/>
    <w:rsid w:val="00941FCD"/>
    <w:rsid w:val="0094222D"/>
    <w:rsid w:val="00942BFA"/>
    <w:rsid w:val="00943277"/>
    <w:rsid w:val="0094342C"/>
    <w:rsid w:val="00943457"/>
    <w:rsid w:val="00943572"/>
    <w:rsid w:val="009436ED"/>
    <w:rsid w:val="0094383B"/>
    <w:rsid w:val="00943CA2"/>
    <w:rsid w:val="00945532"/>
    <w:rsid w:val="009462CC"/>
    <w:rsid w:val="009463C7"/>
    <w:rsid w:val="0094648C"/>
    <w:rsid w:val="00946561"/>
    <w:rsid w:val="009467F5"/>
    <w:rsid w:val="009471C3"/>
    <w:rsid w:val="00947CE4"/>
    <w:rsid w:val="0095008F"/>
    <w:rsid w:val="00950532"/>
    <w:rsid w:val="00951307"/>
    <w:rsid w:val="0095216C"/>
    <w:rsid w:val="00952646"/>
    <w:rsid w:val="00952BBE"/>
    <w:rsid w:val="00953C08"/>
    <w:rsid w:val="00953D87"/>
    <w:rsid w:val="00953EC6"/>
    <w:rsid w:val="00954118"/>
    <w:rsid w:val="009547FF"/>
    <w:rsid w:val="00954800"/>
    <w:rsid w:val="00954A85"/>
    <w:rsid w:val="00954F4D"/>
    <w:rsid w:val="009551F0"/>
    <w:rsid w:val="00956167"/>
    <w:rsid w:val="00956192"/>
    <w:rsid w:val="00956206"/>
    <w:rsid w:val="009566D8"/>
    <w:rsid w:val="009568F9"/>
    <w:rsid w:val="00956D40"/>
    <w:rsid w:val="009578AA"/>
    <w:rsid w:val="009579A8"/>
    <w:rsid w:val="00957B63"/>
    <w:rsid w:val="00960190"/>
    <w:rsid w:val="009604A2"/>
    <w:rsid w:val="00960570"/>
    <w:rsid w:val="00960644"/>
    <w:rsid w:val="00960C1F"/>
    <w:rsid w:val="00960F17"/>
    <w:rsid w:val="00962858"/>
    <w:rsid w:val="00962E04"/>
    <w:rsid w:val="009638B2"/>
    <w:rsid w:val="00963D25"/>
    <w:rsid w:val="00963F1E"/>
    <w:rsid w:val="00963F9C"/>
    <w:rsid w:val="009644A3"/>
    <w:rsid w:val="00964502"/>
    <w:rsid w:val="00964775"/>
    <w:rsid w:val="00965ECC"/>
    <w:rsid w:val="009664A9"/>
    <w:rsid w:val="00966709"/>
    <w:rsid w:val="0096698E"/>
    <w:rsid w:val="00966D76"/>
    <w:rsid w:val="00967458"/>
    <w:rsid w:val="009700F2"/>
    <w:rsid w:val="0097013E"/>
    <w:rsid w:val="009705ED"/>
    <w:rsid w:val="009705EE"/>
    <w:rsid w:val="00970FC9"/>
    <w:rsid w:val="00971D13"/>
    <w:rsid w:val="00971F0C"/>
    <w:rsid w:val="00972202"/>
    <w:rsid w:val="009726E8"/>
    <w:rsid w:val="00972C5C"/>
    <w:rsid w:val="00973838"/>
    <w:rsid w:val="009742D9"/>
    <w:rsid w:val="009742DB"/>
    <w:rsid w:val="00974E7A"/>
    <w:rsid w:val="00974FF0"/>
    <w:rsid w:val="00975212"/>
    <w:rsid w:val="009756D8"/>
    <w:rsid w:val="00975DD0"/>
    <w:rsid w:val="009765CA"/>
    <w:rsid w:val="00976E9C"/>
    <w:rsid w:val="009772A7"/>
    <w:rsid w:val="0097764D"/>
    <w:rsid w:val="00977E62"/>
    <w:rsid w:val="009801B2"/>
    <w:rsid w:val="009803F3"/>
    <w:rsid w:val="009814DE"/>
    <w:rsid w:val="00981D3D"/>
    <w:rsid w:val="00981E0E"/>
    <w:rsid w:val="00982478"/>
    <w:rsid w:val="00982643"/>
    <w:rsid w:val="009830BB"/>
    <w:rsid w:val="0098386A"/>
    <w:rsid w:val="00983AC6"/>
    <w:rsid w:val="00984304"/>
    <w:rsid w:val="00984561"/>
    <w:rsid w:val="009845FF"/>
    <w:rsid w:val="009849BE"/>
    <w:rsid w:val="00984D41"/>
    <w:rsid w:val="00985B35"/>
    <w:rsid w:val="00985B6C"/>
    <w:rsid w:val="00985B77"/>
    <w:rsid w:val="00985CBD"/>
    <w:rsid w:val="009862EC"/>
    <w:rsid w:val="00986B2F"/>
    <w:rsid w:val="0099116D"/>
    <w:rsid w:val="0099123F"/>
    <w:rsid w:val="00991BF2"/>
    <w:rsid w:val="00992B02"/>
    <w:rsid w:val="00992C5D"/>
    <w:rsid w:val="00993245"/>
    <w:rsid w:val="009936AA"/>
    <w:rsid w:val="00993DCB"/>
    <w:rsid w:val="00994197"/>
    <w:rsid w:val="00994499"/>
    <w:rsid w:val="009945E9"/>
    <w:rsid w:val="00996D92"/>
    <w:rsid w:val="009A07F5"/>
    <w:rsid w:val="009A0B9A"/>
    <w:rsid w:val="009A103A"/>
    <w:rsid w:val="009A1216"/>
    <w:rsid w:val="009A1288"/>
    <w:rsid w:val="009A1A26"/>
    <w:rsid w:val="009A20EA"/>
    <w:rsid w:val="009A22BE"/>
    <w:rsid w:val="009A23EA"/>
    <w:rsid w:val="009A24A1"/>
    <w:rsid w:val="009A298F"/>
    <w:rsid w:val="009A33F0"/>
    <w:rsid w:val="009A387E"/>
    <w:rsid w:val="009A3B26"/>
    <w:rsid w:val="009A3E17"/>
    <w:rsid w:val="009A3EC5"/>
    <w:rsid w:val="009A4065"/>
    <w:rsid w:val="009A54A9"/>
    <w:rsid w:val="009A55BB"/>
    <w:rsid w:val="009A6B55"/>
    <w:rsid w:val="009A6C22"/>
    <w:rsid w:val="009A7C55"/>
    <w:rsid w:val="009A7EAC"/>
    <w:rsid w:val="009B0003"/>
    <w:rsid w:val="009B0138"/>
    <w:rsid w:val="009B0178"/>
    <w:rsid w:val="009B140E"/>
    <w:rsid w:val="009B14FA"/>
    <w:rsid w:val="009B1A8C"/>
    <w:rsid w:val="009B246C"/>
    <w:rsid w:val="009B26EE"/>
    <w:rsid w:val="009B2966"/>
    <w:rsid w:val="009B3152"/>
    <w:rsid w:val="009B4522"/>
    <w:rsid w:val="009B4750"/>
    <w:rsid w:val="009B4E25"/>
    <w:rsid w:val="009B5930"/>
    <w:rsid w:val="009B5D06"/>
    <w:rsid w:val="009B5DF1"/>
    <w:rsid w:val="009B5E12"/>
    <w:rsid w:val="009B6D17"/>
    <w:rsid w:val="009B71FE"/>
    <w:rsid w:val="009B7CDB"/>
    <w:rsid w:val="009B7F31"/>
    <w:rsid w:val="009C061F"/>
    <w:rsid w:val="009C068B"/>
    <w:rsid w:val="009C1033"/>
    <w:rsid w:val="009C180A"/>
    <w:rsid w:val="009C2594"/>
    <w:rsid w:val="009C27B5"/>
    <w:rsid w:val="009C2CA8"/>
    <w:rsid w:val="009C3299"/>
    <w:rsid w:val="009C358E"/>
    <w:rsid w:val="009C39B6"/>
    <w:rsid w:val="009C3A31"/>
    <w:rsid w:val="009C3B9B"/>
    <w:rsid w:val="009C4377"/>
    <w:rsid w:val="009C4698"/>
    <w:rsid w:val="009C4811"/>
    <w:rsid w:val="009C4BDA"/>
    <w:rsid w:val="009C4BF2"/>
    <w:rsid w:val="009C4F81"/>
    <w:rsid w:val="009C5831"/>
    <w:rsid w:val="009C58AC"/>
    <w:rsid w:val="009C5B39"/>
    <w:rsid w:val="009C6E3C"/>
    <w:rsid w:val="009C70CC"/>
    <w:rsid w:val="009C762C"/>
    <w:rsid w:val="009C7AF8"/>
    <w:rsid w:val="009C7D51"/>
    <w:rsid w:val="009D0003"/>
    <w:rsid w:val="009D032F"/>
    <w:rsid w:val="009D05F2"/>
    <w:rsid w:val="009D0E30"/>
    <w:rsid w:val="009D24F1"/>
    <w:rsid w:val="009D255C"/>
    <w:rsid w:val="009D279A"/>
    <w:rsid w:val="009D313D"/>
    <w:rsid w:val="009D3B07"/>
    <w:rsid w:val="009D3B09"/>
    <w:rsid w:val="009D3C33"/>
    <w:rsid w:val="009D4C36"/>
    <w:rsid w:val="009D4F91"/>
    <w:rsid w:val="009D53CC"/>
    <w:rsid w:val="009D59DD"/>
    <w:rsid w:val="009D5A38"/>
    <w:rsid w:val="009D5EBF"/>
    <w:rsid w:val="009D692F"/>
    <w:rsid w:val="009D6C38"/>
    <w:rsid w:val="009D78E8"/>
    <w:rsid w:val="009E03A8"/>
    <w:rsid w:val="009E0CF8"/>
    <w:rsid w:val="009E0E24"/>
    <w:rsid w:val="009E0FBD"/>
    <w:rsid w:val="009E10BC"/>
    <w:rsid w:val="009E167A"/>
    <w:rsid w:val="009E24C8"/>
    <w:rsid w:val="009E252E"/>
    <w:rsid w:val="009E2795"/>
    <w:rsid w:val="009E27FD"/>
    <w:rsid w:val="009E29AB"/>
    <w:rsid w:val="009E2C5B"/>
    <w:rsid w:val="009E3A21"/>
    <w:rsid w:val="009E3AD0"/>
    <w:rsid w:val="009E4210"/>
    <w:rsid w:val="009E4840"/>
    <w:rsid w:val="009E49D7"/>
    <w:rsid w:val="009E4AD4"/>
    <w:rsid w:val="009E4B69"/>
    <w:rsid w:val="009E4C74"/>
    <w:rsid w:val="009E4D7A"/>
    <w:rsid w:val="009E52A9"/>
    <w:rsid w:val="009E5438"/>
    <w:rsid w:val="009E558A"/>
    <w:rsid w:val="009E55B7"/>
    <w:rsid w:val="009E5734"/>
    <w:rsid w:val="009E5DB8"/>
    <w:rsid w:val="009E6123"/>
    <w:rsid w:val="009E6701"/>
    <w:rsid w:val="009E6886"/>
    <w:rsid w:val="009E6EFB"/>
    <w:rsid w:val="009E725C"/>
    <w:rsid w:val="009E7D27"/>
    <w:rsid w:val="009F016B"/>
    <w:rsid w:val="009F02DE"/>
    <w:rsid w:val="009F05D0"/>
    <w:rsid w:val="009F1969"/>
    <w:rsid w:val="009F1B11"/>
    <w:rsid w:val="009F1B3E"/>
    <w:rsid w:val="009F1B58"/>
    <w:rsid w:val="009F1E2E"/>
    <w:rsid w:val="009F27E9"/>
    <w:rsid w:val="009F2B22"/>
    <w:rsid w:val="009F2BCA"/>
    <w:rsid w:val="009F3088"/>
    <w:rsid w:val="009F30E1"/>
    <w:rsid w:val="009F36D3"/>
    <w:rsid w:val="009F3939"/>
    <w:rsid w:val="009F3A30"/>
    <w:rsid w:val="009F3DF9"/>
    <w:rsid w:val="009F4201"/>
    <w:rsid w:val="009F4EEA"/>
    <w:rsid w:val="009F53BB"/>
    <w:rsid w:val="009F5CDD"/>
    <w:rsid w:val="009F5FA5"/>
    <w:rsid w:val="009F662B"/>
    <w:rsid w:val="009F6674"/>
    <w:rsid w:val="009F6853"/>
    <w:rsid w:val="009F6D08"/>
    <w:rsid w:val="009F713B"/>
    <w:rsid w:val="009F72A8"/>
    <w:rsid w:val="00A005D2"/>
    <w:rsid w:val="00A00B06"/>
    <w:rsid w:val="00A01151"/>
    <w:rsid w:val="00A0124E"/>
    <w:rsid w:val="00A017A9"/>
    <w:rsid w:val="00A01876"/>
    <w:rsid w:val="00A01DEB"/>
    <w:rsid w:val="00A02446"/>
    <w:rsid w:val="00A03072"/>
    <w:rsid w:val="00A03541"/>
    <w:rsid w:val="00A0390D"/>
    <w:rsid w:val="00A03E45"/>
    <w:rsid w:val="00A0410B"/>
    <w:rsid w:val="00A045FA"/>
    <w:rsid w:val="00A049D7"/>
    <w:rsid w:val="00A05394"/>
    <w:rsid w:val="00A05A7B"/>
    <w:rsid w:val="00A05E3A"/>
    <w:rsid w:val="00A05E5E"/>
    <w:rsid w:val="00A06325"/>
    <w:rsid w:val="00A066D5"/>
    <w:rsid w:val="00A07013"/>
    <w:rsid w:val="00A071AE"/>
    <w:rsid w:val="00A0740E"/>
    <w:rsid w:val="00A07B1F"/>
    <w:rsid w:val="00A07D6C"/>
    <w:rsid w:val="00A10BDC"/>
    <w:rsid w:val="00A10C78"/>
    <w:rsid w:val="00A11038"/>
    <w:rsid w:val="00A114AE"/>
    <w:rsid w:val="00A11C40"/>
    <w:rsid w:val="00A12677"/>
    <w:rsid w:val="00A12D11"/>
    <w:rsid w:val="00A13018"/>
    <w:rsid w:val="00A1341B"/>
    <w:rsid w:val="00A13620"/>
    <w:rsid w:val="00A13724"/>
    <w:rsid w:val="00A13B23"/>
    <w:rsid w:val="00A13D55"/>
    <w:rsid w:val="00A1463A"/>
    <w:rsid w:val="00A14A74"/>
    <w:rsid w:val="00A14D12"/>
    <w:rsid w:val="00A14EC6"/>
    <w:rsid w:val="00A151CC"/>
    <w:rsid w:val="00A1577F"/>
    <w:rsid w:val="00A1596E"/>
    <w:rsid w:val="00A1627A"/>
    <w:rsid w:val="00A1628B"/>
    <w:rsid w:val="00A163FA"/>
    <w:rsid w:val="00A1677E"/>
    <w:rsid w:val="00A167A0"/>
    <w:rsid w:val="00A16DB8"/>
    <w:rsid w:val="00A16E0A"/>
    <w:rsid w:val="00A17025"/>
    <w:rsid w:val="00A1741E"/>
    <w:rsid w:val="00A17DCC"/>
    <w:rsid w:val="00A211F2"/>
    <w:rsid w:val="00A212A3"/>
    <w:rsid w:val="00A21DCB"/>
    <w:rsid w:val="00A21E7E"/>
    <w:rsid w:val="00A225BD"/>
    <w:rsid w:val="00A22667"/>
    <w:rsid w:val="00A22A4F"/>
    <w:rsid w:val="00A2355E"/>
    <w:rsid w:val="00A23696"/>
    <w:rsid w:val="00A24196"/>
    <w:rsid w:val="00A243BF"/>
    <w:rsid w:val="00A25348"/>
    <w:rsid w:val="00A25632"/>
    <w:rsid w:val="00A25A86"/>
    <w:rsid w:val="00A25E2F"/>
    <w:rsid w:val="00A25F3F"/>
    <w:rsid w:val="00A2630E"/>
    <w:rsid w:val="00A264F0"/>
    <w:rsid w:val="00A26FF2"/>
    <w:rsid w:val="00A2711A"/>
    <w:rsid w:val="00A274AF"/>
    <w:rsid w:val="00A2779E"/>
    <w:rsid w:val="00A27C50"/>
    <w:rsid w:val="00A317F1"/>
    <w:rsid w:val="00A319D9"/>
    <w:rsid w:val="00A3216F"/>
    <w:rsid w:val="00A32547"/>
    <w:rsid w:val="00A33115"/>
    <w:rsid w:val="00A33263"/>
    <w:rsid w:val="00A3354A"/>
    <w:rsid w:val="00A33AB6"/>
    <w:rsid w:val="00A33BA7"/>
    <w:rsid w:val="00A33D4E"/>
    <w:rsid w:val="00A33E11"/>
    <w:rsid w:val="00A358BA"/>
    <w:rsid w:val="00A35CD3"/>
    <w:rsid w:val="00A35E57"/>
    <w:rsid w:val="00A36B05"/>
    <w:rsid w:val="00A3757A"/>
    <w:rsid w:val="00A37C39"/>
    <w:rsid w:val="00A37C78"/>
    <w:rsid w:val="00A40490"/>
    <w:rsid w:val="00A405FA"/>
    <w:rsid w:val="00A40DCC"/>
    <w:rsid w:val="00A41B4C"/>
    <w:rsid w:val="00A42107"/>
    <w:rsid w:val="00A422D7"/>
    <w:rsid w:val="00A42680"/>
    <w:rsid w:val="00A42AF5"/>
    <w:rsid w:val="00A42F08"/>
    <w:rsid w:val="00A42FE1"/>
    <w:rsid w:val="00A432AA"/>
    <w:rsid w:val="00A43567"/>
    <w:rsid w:val="00A4390C"/>
    <w:rsid w:val="00A44071"/>
    <w:rsid w:val="00A45584"/>
    <w:rsid w:val="00A4593F"/>
    <w:rsid w:val="00A45A24"/>
    <w:rsid w:val="00A45B6A"/>
    <w:rsid w:val="00A46091"/>
    <w:rsid w:val="00A462D3"/>
    <w:rsid w:val="00A46300"/>
    <w:rsid w:val="00A466A3"/>
    <w:rsid w:val="00A50B36"/>
    <w:rsid w:val="00A51132"/>
    <w:rsid w:val="00A517C9"/>
    <w:rsid w:val="00A52B20"/>
    <w:rsid w:val="00A52E00"/>
    <w:rsid w:val="00A5307F"/>
    <w:rsid w:val="00A534D9"/>
    <w:rsid w:val="00A53751"/>
    <w:rsid w:val="00A53E40"/>
    <w:rsid w:val="00A53F70"/>
    <w:rsid w:val="00A54AD5"/>
    <w:rsid w:val="00A54C0F"/>
    <w:rsid w:val="00A54CBC"/>
    <w:rsid w:val="00A54E0A"/>
    <w:rsid w:val="00A55042"/>
    <w:rsid w:val="00A5576A"/>
    <w:rsid w:val="00A55F10"/>
    <w:rsid w:val="00A56507"/>
    <w:rsid w:val="00A56BA5"/>
    <w:rsid w:val="00A5765E"/>
    <w:rsid w:val="00A578E3"/>
    <w:rsid w:val="00A57FDB"/>
    <w:rsid w:val="00A60178"/>
    <w:rsid w:val="00A6032C"/>
    <w:rsid w:val="00A603EF"/>
    <w:rsid w:val="00A60BE1"/>
    <w:rsid w:val="00A6161E"/>
    <w:rsid w:val="00A618A1"/>
    <w:rsid w:val="00A61B79"/>
    <w:rsid w:val="00A61D99"/>
    <w:rsid w:val="00A62867"/>
    <w:rsid w:val="00A62E48"/>
    <w:rsid w:val="00A6338A"/>
    <w:rsid w:val="00A6376E"/>
    <w:rsid w:val="00A638A2"/>
    <w:rsid w:val="00A64A19"/>
    <w:rsid w:val="00A64A84"/>
    <w:rsid w:val="00A64EB1"/>
    <w:rsid w:val="00A652B0"/>
    <w:rsid w:val="00A653DC"/>
    <w:rsid w:val="00A65DA8"/>
    <w:rsid w:val="00A6696C"/>
    <w:rsid w:val="00A66BD8"/>
    <w:rsid w:val="00A66DAA"/>
    <w:rsid w:val="00A66E59"/>
    <w:rsid w:val="00A66F02"/>
    <w:rsid w:val="00A6704C"/>
    <w:rsid w:val="00A6732F"/>
    <w:rsid w:val="00A67785"/>
    <w:rsid w:val="00A67889"/>
    <w:rsid w:val="00A67C5A"/>
    <w:rsid w:val="00A70D90"/>
    <w:rsid w:val="00A71776"/>
    <w:rsid w:val="00A720BA"/>
    <w:rsid w:val="00A72313"/>
    <w:rsid w:val="00A731A2"/>
    <w:rsid w:val="00A733AE"/>
    <w:rsid w:val="00A736D4"/>
    <w:rsid w:val="00A73E5D"/>
    <w:rsid w:val="00A73F94"/>
    <w:rsid w:val="00A74630"/>
    <w:rsid w:val="00A748AC"/>
    <w:rsid w:val="00A75A13"/>
    <w:rsid w:val="00A761D9"/>
    <w:rsid w:val="00A76F87"/>
    <w:rsid w:val="00A77248"/>
    <w:rsid w:val="00A774E4"/>
    <w:rsid w:val="00A77BB3"/>
    <w:rsid w:val="00A80D81"/>
    <w:rsid w:val="00A80FF4"/>
    <w:rsid w:val="00A81006"/>
    <w:rsid w:val="00A8126F"/>
    <w:rsid w:val="00A81294"/>
    <w:rsid w:val="00A814DF"/>
    <w:rsid w:val="00A81547"/>
    <w:rsid w:val="00A817EC"/>
    <w:rsid w:val="00A818FB"/>
    <w:rsid w:val="00A820C4"/>
    <w:rsid w:val="00A821C0"/>
    <w:rsid w:val="00A822F4"/>
    <w:rsid w:val="00A82362"/>
    <w:rsid w:val="00A8243C"/>
    <w:rsid w:val="00A82A0B"/>
    <w:rsid w:val="00A82C3D"/>
    <w:rsid w:val="00A834C6"/>
    <w:rsid w:val="00A838BB"/>
    <w:rsid w:val="00A83EAE"/>
    <w:rsid w:val="00A84A2F"/>
    <w:rsid w:val="00A84BD4"/>
    <w:rsid w:val="00A84D22"/>
    <w:rsid w:val="00A85458"/>
    <w:rsid w:val="00A8546F"/>
    <w:rsid w:val="00A85C4D"/>
    <w:rsid w:val="00A85D4B"/>
    <w:rsid w:val="00A86296"/>
    <w:rsid w:val="00A86433"/>
    <w:rsid w:val="00A8658D"/>
    <w:rsid w:val="00A87272"/>
    <w:rsid w:val="00A87989"/>
    <w:rsid w:val="00A87E82"/>
    <w:rsid w:val="00A90D51"/>
    <w:rsid w:val="00A91238"/>
    <w:rsid w:val="00A91733"/>
    <w:rsid w:val="00A91A73"/>
    <w:rsid w:val="00A91C99"/>
    <w:rsid w:val="00A922ED"/>
    <w:rsid w:val="00A9231F"/>
    <w:rsid w:val="00A9253B"/>
    <w:rsid w:val="00A92AD7"/>
    <w:rsid w:val="00A92F78"/>
    <w:rsid w:val="00A9302A"/>
    <w:rsid w:val="00A93C22"/>
    <w:rsid w:val="00A9403C"/>
    <w:rsid w:val="00A9471F"/>
    <w:rsid w:val="00A949AB"/>
    <w:rsid w:val="00A94A74"/>
    <w:rsid w:val="00A94FFD"/>
    <w:rsid w:val="00A95120"/>
    <w:rsid w:val="00A95A0B"/>
    <w:rsid w:val="00A95EE2"/>
    <w:rsid w:val="00A96769"/>
    <w:rsid w:val="00A96B12"/>
    <w:rsid w:val="00A97226"/>
    <w:rsid w:val="00A97A6F"/>
    <w:rsid w:val="00A97C42"/>
    <w:rsid w:val="00A97D18"/>
    <w:rsid w:val="00AA00C0"/>
    <w:rsid w:val="00AA00C6"/>
    <w:rsid w:val="00AA0180"/>
    <w:rsid w:val="00AA0258"/>
    <w:rsid w:val="00AA04B1"/>
    <w:rsid w:val="00AA0599"/>
    <w:rsid w:val="00AA0A8B"/>
    <w:rsid w:val="00AA1068"/>
    <w:rsid w:val="00AA1239"/>
    <w:rsid w:val="00AA12D6"/>
    <w:rsid w:val="00AA15C6"/>
    <w:rsid w:val="00AA208D"/>
    <w:rsid w:val="00AA223C"/>
    <w:rsid w:val="00AA2732"/>
    <w:rsid w:val="00AA2BB9"/>
    <w:rsid w:val="00AA38C4"/>
    <w:rsid w:val="00AA4191"/>
    <w:rsid w:val="00AA447A"/>
    <w:rsid w:val="00AA49ED"/>
    <w:rsid w:val="00AA4A0C"/>
    <w:rsid w:val="00AA4E1A"/>
    <w:rsid w:val="00AA592E"/>
    <w:rsid w:val="00AA5E17"/>
    <w:rsid w:val="00AA6DDB"/>
    <w:rsid w:val="00AA7726"/>
    <w:rsid w:val="00AA7910"/>
    <w:rsid w:val="00AA7970"/>
    <w:rsid w:val="00AA7FDE"/>
    <w:rsid w:val="00AB1CBB"/>
    <w:rsid w:val="00AB1FD0"/>
    <w:rsid w:val="00AB2237"/>
    <w:rsid w:val="00AB23B4"/>
    <w:rsid w:val="00AB293F"/>
    <w:rsid w:val="00AB32E4"/>
    <w:rsid w:val="00AB39FC"/>
    <w:rsid w:val="00AB44EF"/>
    <w:rsid w:val="00AB4E05"/>
    <w:rsid w:val="00AB5990"/>
    <w:rsid w:val="00AB6084"/>
    <w:rsid w:val="00AB6146"/>
    <w:rsid w:val="00AB6793"/>
    <w:rsid w:val="00AB697E"/>
    <w:rsid w:val="00AB6A60"/>
    <w:rsid w:val="00AB6E89"/>
    <w:rsid w:val="00AB71D9"/>
    <w:rsid w:val="00AB7224"/>
    <w:rsid w:val="00AB7623"/>
    <w:rsid w:val="00AB7E2E"/>
    <w:rsid w:val="00AC0144"/>
    <w:rsid w:val="00AC07EA"/>
    <w:rsid w:val="00AC0E2B"/>
    <w:rsid w:val="00AC0F2C"/>
    <w:rsid w:val="00AC152F"/>
    <w:rsid w:val="00AC23D3"/>
    <w:rsid w:val="00AC287F"/>
    <w:rsid w:val="00AC2D0E"/>
    <w:rsid w:val="00AC2EA6"/>
    <w:rsid w:val="00AC30BB"/>
    <w:rsid w:val="00AC30EB"/>
    <w:rsid w:val="00AC36CC"/>
    <w:rsid w:val="00AC37BF"/>
    <w:rsid w:val="00AC3F2F"/>
    <w:rsid w:val="00AC4165"/>
    <w:rsid w:val="00AC4398"/>
    <w:rsid w:val="00AC4D7E"/>
    <w:rsid w:val="00AC597C"/>
    <w:rsid w:val="00AC65B5"/>
    <w:rsid w:val="00AC65F2"/>
    <w:rsid w:val="00AC661C"/>
    <w:rsid w:val="00AC681E"/>
    <w:rsid w:val="00AC736F"/>
    <w:rsid w:val="00AC7C86"/>
    <w:rsid w:val="00AC7D48"/>
    <w:rsid w:val="00AD0882"/>
    <w:rsid w:val="00AD11E5"/>
    <w:rsid w:val="00AD13E2"/>
    <w:rsid w:val="00AD15E2"/>
    <w:rsid w:val="00AD16AF"/>
    <w:rsid w:val="00AD1E4D"/>
    <w:rsid w:val="00AD24CB"/>
    <w:rsid w:val="00AD271B"/>
    <w:rsid w:val="00AD2CBD"/>
    <w:rsid w:val="00AD3199"/>
    <w:rsid w:val="00AD34ED"/>
    <w:rsid w:val="00AD3603"/>
    <w:rsid w:val="00AD36DD"/>
    <w:rsid w:val="00AD37CA"/>
    <w:rsid w:val="00AD383A"/>
    <w:rsid w:val="00AD3896"/>
    <w:rsid w:val="00AD42BF"/>
    <w:rsid w:val="00AD42FC"/>
    <w:rsid w:val="00AD4874"/>
    <w:rsid w:val="00AD4B51"/>
    <w:rsid w:val="00AD4E39"/>
    <w:rsid w:val="00AD54D7"/>
    <w:rsid w:val="00AD5CAA"/>
    <w:rsid w:val="00AD637E"/>
    <w:rsid w:val="00AD67C0"/>
    <w:rsid w:val="00AD699C"/>
    <w:rsid w:val="00AD6BFB"/>
    <w:rsid w:val="00AD6C50"/>
    <w:rsid w:val="00AD6CBA"/>
    <w:rsid w:val="00AD715A"/>
    <w:rsid w:val="00AD73D7"/>
    <w:rsid w:val="00AD7771"/>
    <w:rsid w:val="00AD77B3"/>
    <w:rsid w:val="00AD7C6E"/>
    <w:rsid w:val="00AD7D3E"/>
    <w:rsid w:val="00AD7DF9"/>
    <w:rsid w:val="00AE021C"/>
    <w:rsid w:val="00AE060A"/>
    <w:rsid w:val="00AE09D9"/>
    <w:rsid w:val="00AE14AD"/>
    <w:rsid w:val="00AE1723"/>
    <w:rsid w:val="00AE1EF9"/>
    <w:rsid w:val="00AE25A1"/>
    <w:rsid w:val="00AE28EC"/>
    <w:rsid w:val="00AE2B73"/>
    <w:rsid w:val="00AE2E6B"/>
    <w:rsid w:val="00AE2FA1"/>
    <w:rsid w:val="00AE303B"/>
    <w:rsid w:val="00AE303D"/>
    <w:rsid w:val="00AE3106"/>
    <w:rsid w:val="00AE3CCD"/>
    <w:rsid w:val="00AE4048"/>
    <w:rsid w:val="00AE4414"/>
    <w:rsid w:val="00AE47FB"/>
    <w:rsid w:val="00AE4CDF"/>
    <w:rsid w:val="00AE5337"/>
    <w:rsid w:val="00AE534C"/>
    <w:rsid w:val="00AE544C"/>
    <w:rsid w:val="00AE585D"/>
    <w:rsid w:val="00AE5BBD"/>
    <w:rsid w:val="00AE6493"/>
    <w:rsid w:val="00AE6C1B"/>
    <w:rsid w:val="00AE6EA6"/>
    <w:rsid w:val="00AE6F24"/>
    <w:rsid w:val="00AE748A"/>
    <w:rsid w:val="00AE79F0"/>
    <w:rsid w:val="00AF0AAB"/>
    <w:rsid w:val="00AF0DEF"/>
    <w:rsid w:val="00AF1069"/>
    <w:rsid w:val="00AF119F"/>
    <w:rsid w:val="00AF1CA7"/>
    <w:rsid w:val="00AF1D34"/>
    <w:rsid w:val="00AF214B"/>
    <w:rsid w:val="00AF2625"/>
    <w:rsid w:val="00AF285A"/>
    <w:rsid w:val="00AF2887"/>
    <w:rsid w:val="00AF2B85"/>
    <w:rsid w:val="00AF2E82"/>
    <w:rsid w:val="00AF30B6"/>
    <w:rsid w:val="00AF3E00"/>
    <w:rsid w:val="00AF3E4C"/>
    <w:rsid w:val="00AF4289"/>
    <w:rsid w:val="00AF4BBA"/>
    <w:rsid w:val="00AF4D7B"/>
    <w:rsid w:val="00AF4FCD"/>
    <w:rsid w:val="00AF5594"/>
    <w:rsid w:val="00AF5812"/>
    <w:rsid w:val="00AF58EC"/>
    <w:rsid w:val="00AF6108"/>
    <w:rsid w:val="00AF619D"/>
    <w:rsid w:val="00AF61AB"/>
    <w:rsid w:val="00AF6440"/>
    <w:rsid w:val="00AF6545"/>
    <w:rsid w:val="00AF6F44"/>
    <w:rsid w:val="00AF737C"/>
    <w:rsid w:val="00AF776D"/>
    <w:rsid w:val="00B00276"/>
    <w:rsid w:val="00B00784"/>
    <w:rsid w:val="00B01269"/>
    <w:rsid w:val="00B01A3A"/>
    <w:rsid w:val="00B021A0"/>
    <w:rsid w:val="00B022EB"/>
    <w:rsid w:val="00B02554"/>
    <w:rsid w:val="00B02637"/>
    <w:rsid w:val="00B02931"/>
    <w:rsid w:val="00B029B3"/>
    <w:rsid w:val="00B029B6"/>
    <w:rsid w:val="00B03502"/>
    <w:rsid w:val="00B0353C"/>
    <w:rsid w:val="00B04738"/>
    <w:rsid w:val="00B0598B"/>
    <w:rsid w:val="00B05B3D"/>
    <w:rsid w:val="00B060B0"/>
    <w:rsid w:val="00B0667D"/>
    <w:rsid w:val="00B066C7"/>
    <w:rsid w:val="00B078B0"/>
    <w:rsid w:val="00B0798D"/>
    <w:rsid w:val="00B07A1E"/>
    <w:rsid w:val="00B10EE2"/>
    <w:rsid w:val="00B10F85"/>
    <w:rsid w:val="00B110E2"/>
    <w:rsid w:val="00B11650"/>
    <w:rsid w:val="00B116F0"/>
    <w:rsid w:val="00B11739"/>
    <w:rsid w:val="00B11D36"/>
    <w:rsid w:val="00B12B69"/>
    <w:rsid w:val="00B12CCD"/>
    <w:rsid w:val="00B13058"/>
    <w:rsid w:val="00B13AEB"/>
    <w:rsid w:val="00B145D9"/>
    <w:rsid w:val="00B15A64"/>
    <w:rsid w:val="00B15CAB"/>
    <w:rsid w:val="00B165CE"/>
    <w:rsid w:val="00B16C8E"/>
    <w:rsid w:val="00B16DE2"/>
    <w:rsid w:val="00B17880"/>
    <w:rsid w:val="00B17B24"/>
    <w:rsid w:val="00B17EEE"/>
    <w:rsid w:val="00B200D0"/>
    <w:rsid w:val="00B20A0B"/>
    <w:rsid w:val="00B20AE4"/>
    <w:rsid w:val="00B2165B"/>
    <w:rsid w:val="00B21BFB"/>
    <w:rsid w:val="00B21F65"/>
    <w:rsid w:val="00B22630"/>
    <w:rsid w:val="00B22AA3"/>
    <w:rsid w:val="00B2392B"/>
    <w:rsid w:val="00B23E34"/>
    <w:rsid w:val="00B23F77"/>
    <w:rsid w:val="00B24EFB"/>
    <w:rsid w:val="00B25322"/>
    <w:rsid w:val="00B261EE"/>
    <w:rsid w:val="00B262FE"/>
    <w:rsid w:val="00B26470"/>
    <w:rsid w:val="00B267BC"/>
    <w:rsid w:val="00B27B96"/>
    <w:rsid w:val="00B30621"/>
    <w:rsid w:val="00B308D4"/>
    <w:rsid w:val="00B309CB"/>
    <w:rsid w:val="00B3145D"/>
    <w:rsid w:val="00B31AEA"/>
    <w:rsid w:val="00B31B29"/>
    <w:rsid w:val="00B320E6"/>
    <w:rsid w:val="00B32B7D"/>
    <w:rsid w:val="00B331B7"/>
    <w:rsid w:val="00B336F2"/>
    <w:rsid w:val="00B33B1D"/>
    <w:rsid w:val="00B34079"/>
    <w:rsid w:val="00B343ED"/>
    <w:rsid w:val="00B3530F"/>
    <w:rsid w:val="00B3600A"/>
    <w:rsid w:val="00B3659A"/>
    <w:rsid w:val="00B367C1"/>
    <w:rsid w:val="00B36B44"/>
    <w:rsid w:val="00B36DC0"/>
    <w:rsid w:val="00B36FC7"/>
    <w:rsid w:val="00B37915"/>
    <w:rsid w:val="00B37C42"/>
    <w:rsid w:val="00B37C63"/>
    <w:rsid w:val="00B40387"/>
    <w:rsid w:val="00B403A6"/>
    <w:rsid w:val="00B40C87"/>
    <w:rsid w:val="00B40F9D"/>
    <w:rsid w:val="00B41532"/>
    <w:rsid w:val="00B41C65"/>
    <w:rsid w:val="00B41D65"/>
    <w:rsid w:val="00B4207F"/>
    <w:rsid w:val="00B42389"/>
    <w:rsid w:val="00B42A28"/>
    <w:rsid w:val="00B42DB2"/>
    <w:rsid w:val="00B43C20"/>
    <w:rsid w:val="00B43F7C"/>
    <w:rsid w:val="00B443B4"/>
    <w:rsid w:val="00B446B6"/>
    <w:rsid w:val="00B4478D"/>
    <w:rsid w:val="00B44B5D"/>
    <w:rsid w:val="00B45F17"/>
    <w:rsid w:val="00B4683E"/>
    <w:rsid w:val="00B46E6F"/>
    <w:rsid w:val="00B47AB7"/>
    <w:rsid w:val="00B47B23"/>
    <w:rsid w:val="00B47CBD"/>
    <w:rsid w:val="00B50118"/>
    <w:rsid w:val="00B50142"/>
    <w:rsid w:val="00B50EBC"/>
    <w:rsid w:val="00B513DB"/>
    <w:rsid w:val="00B51C6D"/>
    <w:rsid w:val="00B51ECF"/>
    <w:rsid w:val="00B523BB"/>
    <w:rsid w:val="00B530B0"/>
    <w:rsid w:val="00B53366"/>
    <w:rsid w:val="00B53462"/>
    <w:rsid w:val="00B53488"/>
    <w:rsid w:val="00B5400C"/>
    <w:rsid w:val="00B5432C"/>
    <w:rsid w:val="00B54CD8"/>
    <w:rsid w:val="00B553B4"/>
    <w:rsid w:val="00B55837"/>
    <w:rsid w:val="00B559DF"/>
    <w:rsid w:val="00B55DE0"/>
    <w:rsid w:val="00B56625"/>
    <w:rsid w:val="00B56BA0"/>
    <w:rsid w:val="00B56EA7"/>
    <w:rsid w:val="00B57CC4"/>
    <w:rsid w:val="00B57DDA"/>
    <w:rsid w:val="00B60170"/>
    <w:rsid w:val="00B604E8"/>
    <w:rsid w:val="00B60561"/>
    <w:rsid w:val="00B60855"/>
    <w:rsid w:val="00B619C8"/>
    <w:rsid w:val="00B61C40"/>
    <w:rsid w:val="00B626BA"/>
    <w:rsid w:val="00B636B5"/>
    <w:rsid w:val="00B63FF0"/>
    <w:rsid w:val="00B64E4E"/>
    <w:rsid w:val="00B657FE"/>
    <w:rsid w:val="00B66A1D"/>
    <w:rsid w:val="00B66A22"/>
    <w:rsid w:val="00B6724A"/>
    <w:rsid w:val="00B6732E"/>
    <w:rsid w:val="00B67656"/>
    <w:rsid w:val="00B67E49"/>
    <w:rsid w:val="00B70259"/>
    <w:rsid w:val="00B70475"/>
    <w:rsid w:val="00B70486"/>
    <w:rsid w:val="00B70614"/>
    <w:rsid w:val="00B70867"/>
    <w:rsid w:val="00B716DF"/>
    <w:rsid w:val="00B7186E"/>
    <w:rsid w:val="00B7188D"/>
    <w:rsid w:val="00B71910"/>
    <w:rsid w:val="00B72F31"/>
    <w:rsid w:val="00B731F0"/>
    <w:rsid w:val="00B7332D"/>
    <w:rsid w:val="00B73371"/>
    <w:rsid w:val="00B7378B"/>
    <w:rsid w:val="00B73B55"/>
    <w:rsid w:val="00B73B79"/>
    <w:rsid w:val="00B73F1C"/>
    <w:rsid w:val="00B74922"/>
    <w:rsid w:val="00B74C4D"/>
    <w:rsid w:val="00B74E86"/>
    <w:rsid w:val="00B74EFE"/>
    <w:rsid w:val="00B75A4C"/>
    <w:rsid w:val="00B75BC3"/>
    <w:rsid w:val="00B75FE9"/>
    <w:rsid w:val="00B76009"/>
    <w:rsid w:val="00B76395"/>
    <w:rsid w:val="00B76A47"/>
    <w:rsid w:val="00B76C3C"/>
    <w:rsid w:val="00B76EB1"/>
    <w:rsid w:val="00B76F32"/>
    <w:rsid w:val="00B7709A"/>
    <w:rsid w:val="00B8022B"/>
    <w:rsid w:val="00B8043D"/>
    <w:rsid w:val="00B80666"/>
    <w:rsid w:val="00B809A4"/>
    <w:rsid w:val="00B80D70"/>
    <w:rsid w:val="00B812F3"/>
    <w:rsid w:val="00B81E68"/>
    <w:rsid w:val="00B82DAC"/>
    <w:rsid w:val="00B83A59"/>
    <w:rsid w:val="00B84555"/>
    <w:rsid w:val="00B8471A"/>
    <w:rsid w:val="00B84B78"/>
    <w:rsid w:val="00B84EA9"/>
    <w:rsid w:val="00B85481"/>
    <w:rsid w:val="00B8588C"/>
    <w:rsid w:val="00B85E55"/>
    <w:rsid w:val="00B85EB0"/>
    <w:rsid w:val="00B86415"/>
    <w:rsid w:val="00B86BDF"/>
    <w:rsid w:val="00B86D2A"/>
    <w:rsid w:val="00B87029"/>
    <w:rsid w:val="00B87705"/>
    <w:rsid w:val="00B901A5"/>
    <w:rsid w:val="00B90DCF"/>
    <w:rsid w:val="00B916DC"/>
    <w:rsid w:val="00B91CF0"/>
    <w:rsid w:val="00B920C2"/>
    <w:rsid w:val="00B92897"/>
    <w:rsid w:val="00B92C19"/>
    <w:rsid w:val="00B92CC4"/>
    <w:rsid w:val="00B93EA3"/>
    <w:rsid w:val="00B93EF4"/>
    <w:rsid w:val="00B9428B"/>
    <w:rsid w:val="00B94CDD"/>
    <w:rsid w:val="00B94E2C"/>
    <w:rsid w:val="00B95E5C"/>
    <w:rsid w:val="00B9639D"/>
    <w:rsid w:val="00B963CA"/>
    <w:rsid w:val="00B96409"/>
    <w:rsid w:val="00B96FE5"/>
    <w:rsid w:val="00B974DD"/>
    <w:rsid w:val="00B97D92"/>
    <w:rsid w:val="00BA0555"/>
    <w:rsid w:val="00BA114C"/>
    <w:rsid w:val="00BA12EC"/>
    <w:rsid w:val="00BA1C1E"/>
    <w:rsid w:val="00BA2265"/>
    <w:rsid w:val="00BA24C5"/>
    <w:rsid w:val="00BA2998"/>
    <w:rsid w:val="00BA3202"/>
    <w:rsid w:val="00BA3589"/>
    <w:rsid w:val="00BA4560"/>
    <w:rsid w:val="00BA4EE1"/>
    <w:rsid w:val="00BA5A23"/>
    <w:rsid w:val="00BA611D"/>
    <w:rsid w:val="00BA69C5"/>
    <w:rsid w:val="00BA6DDB"/>
    <w:rsid w:val="00BB09DC"/>
    <w:rsid w:val="00BB0C25"/>
    <w:rsid w:val="00BB0E8E"/>
    <w:rsid w:val="00BB19E1"/>
    <w:rsid w:val="00BB321C"/>
    <w:rsid w:val="00BB345C"/>
    <w:rsid w:val="00BB36FD"/>
    <w:rsid w:val="00BB3723"/>
    <w:rsid w:val="00BB3AD4"/>
    <w:rsid w:val="00BB3B17"/>
    <w:rsid w:val="00BB3D27"/>
    <w:rsid w:val="00BB3D61"/>
    <w:rsid w:val="00BB4A3A"/>
    <w:rsid w:val="00BB5043"/>
    <w:rsid w:val="00BB59A5"/>
    <w:rsid w:val="00BB61F0"/>
    <w:rsid w:val="00BB6337"/>
    <w:rsid w:val="00BB6371"/>
    <w:rsid w:val="00BB66CE"/>
    <w:rsid w:val="00BB6AE9"/>
    <w:rsid w:val="00BB6B40"/>
    <w:rsid w:val="00BB6D84"/>
    <w:rsid w:val="00BB6E40"/>
    <w:rsid w:val="00BB7353"/>
    <w:rsid w:val="00BB7516"/>
    <w:rsid w:val="00BB7620"/>
    <w:rsid w:val="00BC040C"/>
    <w:rsid w:val="00BC04A6"/>
    <w:rsid w:val="00BC0CFF"/>
    <w:rsid w:val="00BC0E99"/>
    <w:rsid w:val="00BC158F"/>
    <w:rsid w:val="00BC248E"/>
    <w:rsid w:val="00BC2514"/>
    <w:rsid w:val="00BC2695"/>
    <w:rsid w:val="00BC312A"/>
    <w:rsid w:val="00BC3229"/>
    <w:rsid w:val="00BC35BB"/>
    <w:rsid w:val="00BC394E"/>
    <w:rsid w:val="00BC3A60"/>
    <w:rsid w:val="00BC3C60"/>
    <w:rsid w:val="00BC40DD"/>
    <w:rsid w:val="00BC4CC6"/>
    <w:rsid w:val="00BC4E4B"/>
    <w:rsid w:val="00BC5699"/>
    <w:rsid w:val="00BC5874"/>
    <w:rsid w:val="00BC5A91"/>
    <w:rsid w:val="00BC648A"/>
    <w:rsid w:val="00BC66E2"/>
    <w:rsid w:val="00BC6CFC"/>
    <w:rsid w:val="00BC7264"/>
    <w:rsid w:val="00BD0A46"/>
    <w:rsid w:val="00BD1A5E"/>
    <w:rsid w:val="00BD1BED"/>
    <w:rsid w:val="00BD1CF6"/>
    <w:rsid w:val="00BD1E29"/>
    <w:rsid w:val="00BD2502"/>
    <w:rsid w:val="00BD29FF"/>
    <w:rsid w:val="00BD3137"/>
    <w:rsid w:val="00BD31B4"/>
    <w:rsid w:val="00BD3B4B"/>
    <w:rsid w:val="00BD4709"/>
    <w:rsid w:val="00BD4868"/>
    <w:rsid w:val="00BD48D2"/>
    <w:rsid w:val="00BD4D75"/>
    <w:rsid w:val="00BD4E46"/>
    <w:rsid w:val="00BD50E2"/>
    <w:rsid w:val="00BD535B"/>
    <w:rsid w:val="00BD60E3"/>
    <w:rsid w:val="00BD65EA"/>
    <w:rsid w:val="00BD67B9"/>
    <w:rsid w:val="00BD6C72"/>
    <w:rsid w:val="00BD6CBE"/>
    <w:rsid w:val="00BD6FB7"/>
    <w:rsid w:val="00BD6FD1"/>
    <w:rsid w:val="00BD7B23"/>
    <w:rsid w:val="00BD7D37"/>
    <w:rsid w:val="00BE0E3D"/>
    <w:rsid w:val="00BE172A"/>
    <w:rsid w:val="00BE1A50"/>
    <w:rsid w:val="00BE2BCB"/>
    <w:rsid w:val="00BE2D3D"/>
    <w:rsid w:val="00BE2EEF"/>
    <w:rsid w:val="00BE3C0B"/>
    <w:rsid w:val="00BE3D62"/>
    <w:rsid w:val="00BE4895"/>
    <w:rsid w:val="00BE4A55"/>
    <w:rsid w:val="00BE5291"/>
    <w:rsid w:val="00BE639A"/>
    <w:rsid w:val="00BE65C0"/>
    <w:rsid w:val="00BE76F7"/>
    <w:rsid w:val="00BE7CFC"/>
    <w:rsid w:val="00BF043A"/>
    <w:rsid w:val="00BF076A"/>
    <w:rsid w:val="00BF0A3A"/>
    <w:rsid w:val="00BF0BA1"/>
    <w:rsid w:val="00BF0D2D"/>
    <w:rsid w:val="00BF1502"/>
    <w:rsid w:val="00BF1B1F"/>
    <w:rsid w:val="00BF1D2E"/>
    <w:rsid w:val="00BF1E05"/>
    <w:rsid w:val="00BF2D0C"/>
    <w:rsid w:val="00BF2E21"/>
    <w:rsid w:val="00BF365B"/>
    <w:rsid w:val="00BF426A"/>
    <w:rsid w:val="00BF4332"/>
    <w:rsid w:val="00BF4374"/>
    <w:rsid w:val="00BF4661"/>
    <w:rsid w:val="00BF4ADD"/>
    <w:rsid w:val="00BF56E3"/>
    <w:rsid w:val="00BF5846"/>
    <w:rsid w:val="00BF5AB9"/>
    <w:rsid w:val="00BF6300"/>
    <w:rsid w:val="00BF66D7"/>
    <w:rsid w:val="00BF6967"/>
    <w:rsid w:val="00BF6EE8"/>
    <w:rsid w:val="00BF728E"/>
    <w:rsid w:val="00BF7538"/>
    <w:rsid w:val="00C00043"/>
    <w:rsid w:val="00C00308"/>
    <w:rsid w:val="00C00581"/>
    <w:rsid w:val="00C00F38"/>
    <w:rsid w:val="00C017E5"/>
    <w:rsid w:val="00C0225A"/>
    <w:rsid w:val="00C0233F"/>
    <w:rsid w:val="00C024EE"/>
    <w:rsid w:val="00C02D98"/>
    <w:rsid w:val="00C033F7"/>
    <w:rsid w:val="00C0346B"/>
    <w:rsid w:val="00C03A41"/>
    <w:rsid w:val="00C0440E"/>
    <w:rsid w:val="00C04CFF"/>
    <w:rsid w:val="00C04D23"/>
    <w:rsid w:val="00C04EBC"/>
    <w:rsid w:val="00C054AA"/>
    <w:rsid w:val="00C0562C"/>
    <w:rsid w:val="00C060A3"/>
    <w:rsid w:val="00C0615D"/>
    <w:rsid w:val="00C06421"/>
    <w:rsid w:val="00C06696"/>
    <w:rsid w:val="00C0686E"/>
    <w:rsid w:val="00C06DF5"/>
    <w:rsid w:val="00C07339"/>
    <w:rsid w:val="00C07974"/>
    <w:rsid w:val="00C1000D"/>
    <w:rsid w:val="00C117A3"/>
    <w:rsid w:val="00C11992"/>
    <w:rsid w:val="00C13411"/>
    <w:rsid w:val="00C134AC"/>
    <w:rsid w:val="00C13DBA"/>
    <w:rsid w:val="00C13F49"/>
    <w:rsid w:val="00C14057"/>
    <w:rsid w:val="00C158EF"/>
    <w:rsid w:val="00C165B5"/>
    <w:rsid w:val="00C1747B"/>
    <w:rsid w:val="00C174DA"/>
    <w:rsid w:val="00C175F8"/>
    <w:rsid w:val="00C178B3"/>
    <w:rsid w:val="00C17BD1"/>
    <w:rsid w:val="00C2001B"/>
    <w:rsid w:val="00C2004A"/>
    <w:rsid w:val="00C204E9"/>
    <w:rsid w:val="00C2062A"/>
    <w:rsid w:val="00C20DF7"/>
    <w:rsid w:val="00C21D59"/>
    <w:rsid w:val="00C21FEF"/>
    <w:rsid w:val="00C220A4"/>
    <w:rsid w:val="00C221D9"/>
    <w:rsid w:val="00C22C25"/>
    <w:rsid w:val="00C23BFE"/>
    <w:rsid w:val="00C2439F"/>
    <w:rsid w:val="00C244A0"/>
    <w:rsid w:val="00C2480C"/>
    <w:rsid w:val="00C24B2F"/>
    <w:rsid w:val="00C25728"/>
    <w:rsid w:val="00C25C63"/>
    <w:rsid w:val="00C25DA3"/>
    <w:rsid w:val="00C272A1"/>
    <w:rsid w:val="00C2785D"/>
    <w:rsid w:val="00C30087"/>
    <w:rsid w:val="00C30102"/>
    <w:rsid w:val="00C304EA"/>
    <w:rsid w:val="00C30C13"/>
    <w:rsid w:val="00C31772"/>
    <w:rsid w:val="00C32030"/>
    <w:rsid w:val="00C320B1"/>
    <w:rsid w:val="00C32523"/>
    <w:rsid w:val="00C32609"/>
    <w:rsid w:val="00C32B02"/>
    <w:rsid w:val="00C33A99"/>
    <w:rsid w:val="00C33C1B"/>
    <w:rsid w:val="00C33E4B"/>
    <w:rsid w:val="00C35014"/>
    <w:rsid w:val="00C35283"/>
    <w:rsid w:val="00C358D5"/>
    <w:rsid w:val="00C35D85"/>
    <w:rsid w:val="00C363D7"/>
    <w:rsid w:val="00C36BE1"/>
    <w:rsid w:val="00C36F83"/>
    <w:rsid w:val="00C37076"/>
    <w:rsid w:val="00C3738C"/>
    <w:rsid w:val="00C373E1"/>
    <w:rsid w:val="00C40317"/>
    <w:rsid w:val="00C4055C"/>
    <w:rsid w:val="00C40717"/>
    <w:rsid w:val="00C40B75"/>
    <w:rsid w:val="00C40ED0"/>
    <w:rsid w:val="00C41FA4"/>
    <w:rsid w:val="00C4261E"/>
    <w:rsid w:val="00C42839"/>
    <w:rsid w:val="00C429C0"/>
    <w:rsid w:val="00C43841"/>
    <w:rsid w:val="00C43ADC"/>
    <w:rsid w:val="00C43CB3"/>
    <w:rsid w:val="00C43F2E"/>
    <w:rsid w:val="00C441E4"/>
    <w:rsid w:val="00C4446A"/>
    <w:rsid w:val="00C444B0"/>
    <w:rsid w:val="00C44CAF"/>
    <w:rsid w:val="00C44F71"/>
    <w:rsid w:val="00C45167"/>
    <w:rsid w:val="00C45883"/>
    <w:rsid w:val="00C45C0F"/>
    <w:rsid w:val="00C45DF8"/>
    <w:rsid w:val="00C4616C"/>
    <w:rsid w:val="00C464BA"/>
    <w:rsid w:val="00C465D3"/>
    <w:rsid w:val="00C46644"/>
    <w:rsid w:val="00C468C9"/>
    <w:rsid w:val="00C46B8C"/>
    <w:rsid w:val="00C47167"/>
    <w:rsid w:val="00C472AE"/>
    <w:rsid w:val="00C47889"/>
    <w:rsid w:val="00C47B31"/>
    <w:rsid w:val="00C47E3F"/>
    <w:rsid w:val="00C47EA3"/>
    <w:rsid w:val="00C47EB2"/>
    <w:rsid w:val="00C50A72"/>
    <w:rsid w:val="00C50C61"/>
    <w:rsid w:val="00C50F8B"/>
    <w:rsid w:val="00C50FF6"/>
    <w:rsid w:val="00C51141"/>
    <w:rsid w:val="00C51FB5"/>
    <w:rsid w:val="00C5253A"/>
    <w:rsid w:val="00C52C07"/>
    <w:rsid w:val="00C5324A"/>
    <w:rsid w:val="00C53656"/>
    <w:rsid w:val="00C53ADD"/>
    <w:rsid w:val="00C53F57"/>
    <w:rsid w:val="00C5438D"/>
    <w:rsid w:val="00C54558"/>
    <w:rsid w:val="00C548E7"/>
    <w:rsid w:val="00C554EE"/>
    <w:rsid w:val="00C55B18"/>
    <w:rsid w:val="00C55BB4"/>
    <w:rsid w:val="00C55BC5"/>
    <w:rsid w:val="00C56278"/>
    <w:rsid w:val="00C56C76"/>
    <w:rsid w:val="00C56FED"/>
    <w:rsid w:val="00C572FF"/>
    <w:rsid w:val="00C57791"/>
    <w:rsid w:val="00C577B8"/>
    <w:rsid w:val="00C57DC7"/>
    <w:rsid w:val="00C601A4"/>
    <w:rsid w:val="00C60226"/>
    <w:rsid w:val="00C6084E"/>
    <w:rsid w:val="00C6106A"/>
    <w:rsid w:val="00C621B3"/>
    <w:rsid w:val="00C625BB"/>
    <w:rsid w:val="00C62D7B"/>
    <w:rsid w:val="00C62EE4"/>
    <w:rsid w:val="00C62F6F"/>
    <w:rsid w:val="00C63052"/>
    <w:rsid w:val="00C635D5"/>
    <w:rsid w:val="00C63A99"/>
    <w:rsid w:val="00C63CCF"/>
    <w:rsid w:val="00C6414D"/>
    <w:rsid w:val="00C64218"/>
    <w:rsid w:val="00C648A2"/>
    <w:rsid w:val="00C64E02"/>
    <w:rsid w:val="00C65E7A"/>
    <w:rsid w:val="00C665DA"/>
    <w:rsid w:val="00C666F9"/>
    <w:rsid w:val="00C6771E"/>
    <w:rsid w:val="00C67B4D"/>
    <w:rsid w:val="00C707EC"/>
    <w:rsid w:val="00C70B4F"/>
    <w:rsid w:val="00C70BCF"/>
    <w:rsid w:val="00C71114"/>
    <w:rsid w:val="00C71828"/>
    <w:rsid w:val="00C71CF1"/>
    <w:rsid w:val="00C7218F"/>
    <w:rsid w:val="00C72916"/>
    <w:rsid w:val="00C72BFF"/>
    <w:rsid w:val="00C73338"/>
    <w:rsid w:val="00C737BC"/>
    <w:rsid w:val="00C73D3C"/>
    <w:rsid w:val="00C73E06"/>
    <w:rsid w:val="00C75852"/>
    <w:rsid w:val="00C75AAA"/>
    <w:rsid w:val="00C760DD"/>
    <w:rsid w:val="00C76226"/>
    <w:rsid w:val="00C765D4"/>
    <w:rsid w:val="00C76773"/>
    <w:rsid w:val="00C7710E"/>
    <w:rsid w:val="00C773D3"/>
    <w:rsid w:val="00C77551"/>
    <w:rsid w:val="00C77555"/>
    <w:rsid w:val="00C77AEC"/>
    <w:rsid w:val="00C80118"/>
    <w:rsid w:val="00C80490"/>
    <w:rsid w:val="00C80E60"/>
    <w:rsid w:val="00C810F6"/>
    <w:rsid w:val="00C81609"/>
    <w:rsid w:val="00C81C81"/>
    <w:rsid w:val="00C81F74"/>
    <w:rsid w:val="00C825E6"/>
    <w:rsid w:val="00C826D8"/>
    <w:rsid w:val="00C82A05"/>
    <w:rsid w:val="00C82CBF"/>
    <w:rsid w:val="00C831ED"/>
    <w:rsid w:val="00C8393F"/>
    <w:rsid w:val="00C83C51"/>
    <w:rsid w:val="00C84023"/>
    <w:rsid w:val="00C8427D"/>
    <w:rsid w:val="00C842A7"/>
    <w:rsid w:val="00C84439"/>
    <w:rsid w:val="00C84D3C"/>
    <w:rsid w:val="00C85B6B"/>
    <w:rsid w:val="00C860DF"/>
    <w:rsid w:val="00C861CB"/>
    <w:rsid w:val="00C86F7D"/>
    <w:rsid w:val="00C87402"/>
    <w:rsid w:val="00C87416"/>
    <w:rsid w:val="00C87642"/>
    <w:rsid w:val="00C87909"/>
    <w:rsid w:val="00C87CD4"/>
    <w:rsid w:val="00C87D83"/>
    <w:rsid w:val="00C87EFA"/>
    <w:rsid w:val="00C87FE2"/>
    <w:rsid w:val="00C9127B"/>
    <w:rsid w:val="00C91464"/>
    <w:rsid w:val="00C91911"/>
    <w:rsid w:val="00C9194F"/>
    <w:rsid w:val="00C92610"/>
    <w:rsid w:val="00C926E0"/>
    <w:rsid w:val="00C926F3"/>
    <w:rsid w:val="00C929D6"/>
    <w:rsid w:val="00C930E3"/>
    <w:rsid w:val="00C9339E"/>
    <w:rsid w:val="00C93B0B"/>
    <w:rsid w:val="00C93F22"/>
    <w:rsid w:val="00C943E3"/>
    <w:rsid w:val="00C94582"/>
    <w:rsid w:val="00C94EE0"/>
    <w:rsid w:val="00C95EDB"/>
    <w:rsid w:val="00C9641C"/>
    <w:rsid w:val="00C96856"/>
    <w:rsid w:val="00C97456"/>
    <w:rsid w:val="00C975F0"/>
    <w:rsid w:val="00C97AB1"/>
    <w:rsid w:val="00CA05CD"/>
    <w:rsid w:val="00CA0D63"/>
    <w:rsid w:val="00CA190A"/>
    <w:rsid w:val="00CA1A2F"/>
    <w:rsid w:val="00CA1E00"/>
    <w:rsid w:val="00CA248B"/>
    <w:rsid w:val="00CA29C5"/>
    <w:rsid w:val="00CA2B67"/>
    <w:rsid w:val="00CA2B71"/>
    <w:rsid w:val="00CA2BBE"/>
    <w:rsid w:val="00CA3A7D"/>
    <w:rsid w:val="00CA4328"/>
    <w:rsid w:val="00CA4C05"/>
    <w:rsid w:val="00CA570F"/>
    <w:rsid w:val="00CA58FE"/>
    <w:rsid w:val="00CA5C87"/>
    <w:rsid w:val="00CA714D"/>
    <w:rsid w:val="00CA74D5"/>
    <w:rsid w:val="00CA75C2"/>
    <w:rsid w:val="00CA7683"/>
    <w:rsid w:val="00CA791F"/>
    <w:rsid w:val="00CA7A74"/>
    <w:rsid w:val="00CA7BBA"/>
    <w:rsid w:val="00CA7C13"/>
    <w:rsid w:val="00CB0025"/>
    <w:rsid w:val="00CB002B"/>
    <w:rsid w:val="00CB0195"/>
    <w:rsid w:val="00CB01BF"/>
    <w:rsid w:val="00CB0481"/>
    <w:rsid w:val="00CB0B3A"/>
    <w:rsid w:val="00CB0BAC"/>
    <w:rsid w:val="00CB0CB4"/>
    <w:rsid w:val="00CB14EE"/>
    <w:rsid w:val="00CB1B1D"/>
    <w:rsid w:val="00CB1D88"/>
    <w:rsid w:val="00CB20D0"/>
    <w:rsid w:val="00CB283B"/>
    <w:rsid w:val="00CB28CD"/>
    <w:rsid w:val="00CB2AFB"/>
    <w:rsid w:val="00CB404C"/>
    <w:rsid w:val="00CB478D"/>
    <w:rsid w:val="00CB4DCC"/>
    <w:rsid w:val="00CB56E8"/>
    <w:rsid w:val="00CB5B3C"/>
    <w:rsid w:val="00CB6246"/>
    <w:rsid w:val="00CB63C1"/>
    <w:rsid w:val="00CB6813"/>
    <w:rsid w:val="00CB685D"/>
    <w:rsid w:val="00CB7016"/>
    <w:rsid w:val="00CB73A6"/>
    <w:rsid w:val="00CB75A0"/>
    <w:rsid w:val="00CB7851"/>
    <w:rsid w:val="00CB7A2E"/>
    <w:rsid w:val="00CB7A39"/>
    <w:rsid w:val="00CC0BA2"/>
    <w:rsid w:val="00CC0D1D"/>
    <w:rsid w:val="00CC0D4E"/>
    <w:rsid w:val="00CC0DCF"/>
    <w:rsid w:val="00CC10BD"/>
    <w:rsid w:val="00CC12B8"/>
    <w:rsid w:val="00CC151A"/>
    <w:rsid w:val="00CC21CB"/>
    <w:rsid w:val="00CC23C0"/>
    <w:rsid w:val="00CC28F4"/>
    <w:rsid w:val="00CC3319"/>
    <w:rsid w:val="00CC341F"/>
    <w:rsid w:val="00CC35FA"/>
    <w:rsid w:val="00CC3769"/>
    <w:rsid w:val="00CC3F4E"/>
    <w:rsid w:val="00CC4267"/>
    <w:rsid w:val="00CC44F8"/>
    <w:rsid w:val="00CC4702"/>
    <w:rsid w:val="00CC4B04"/>
    <w:rsid w:val="00CC4B6E"/>
    <w:rsid w:val="00CC4C79"/>
    <w:rsid w:val="00CC5319"/>
    <w:rsid w:val="00CC65FB"/>
    <w:rsid w:val="00CC6FCF"/>
    <w:rsid w:val="00CC72AC"/>
    <w:rsid w:val="00CC7547"/>
    <w:rsid w:val="00CC799F"/>
    <w:rsid w:val="00CC79D6"/>
    <w:rsid w:val="00CC7E13"/>
    <w:rsid w:val="00CD2073"/>
    <w:rsid w:val="00CD2224"/>
    <w:rsid w:val="00CD27CB"/>
    <w:rsid w:val="00CD336D"/>
    <w:rsid w:val="00CD34E1"/>
    <w:rsid w:val="00CD3A92"/>
    <w:rsid w:val="00CD3BEB"/>
    <w:rsid w:val="00CD3C71"/>
    <w:rsid w:val="00CD4AFE"/>
    <w:rsid w:val="00CD4F61"/>
    <w:rsid w:val="00CD50A6"/>
    <w:rsid w:val="00CD5941"/>
    <w:rsid w:val="00CD65D1"/>
    <w:rsid w:val="00CD6640"/>
    <w:rsid w:val="00CD6F17"/>
    <w:rsid w:val="00CD7004"/>
    <w:rsid w:val="00CD785C"/>
    <w:rsid w:val="00CD7D20"/>
    <w:rsid w:val="00CE0175"/>
    <w:rsid w:val="00CE027C"/>
    <w:rsid w:val="00CE09F4"/>
    <w:rsid w:val="00CE0C29"/>
    <w:rsid w:val="00CE0EE8"/>
    <w:rsid w:val="00CE176C"/>
    <w:rsid w:val="00CE180B"/>
    <w:rsid w:val="00CE1999"/>
    <w:rsid w:val="00CE23DE"/>
    <w:rsid w:val="00CE27A9"/>
    <w:rsid w:val="00CE2E3B"/>
    <w:rsid w:val="00CE3A54"/>
    <w:rsid w:val="00CE41C1"/>
    <w:rsid w:val="00CE4287"/>
    <w:rsid w:val="00CE449F"/>
    <w:rsid w:val="00CE4728"/>
    <w:rsid w:val="00CE47F5"/>
    <w:rsid w:val="00CE490C"/>
    <w:rsid w:val="00CE49D7"/>
    <w:rsid w:val="00CE52F4"/>
    <w:rsid w:val="00CE5991"/>
    <w:rsid w:val="00CE5B17"/>
    <w:rsid w:val="00CE6401"/>
    <w:rsid w:val="00CE698B"/>
    <w:rsid w:val="00CE6D86"/>
    <w:rsid w:val="00CE70B6"/>
    <w:rsid w:val="00CE767C"/>
    <w:rsid w:val="00CE77B7"/>
    <w:rsid w:val="00CE7ECC"/>
    <w:rsid w:val="00CF010A"/>
    <w:rsid w:val="00CF067E"/>
    <w:rsid w:val="00CF0951"/>
    <w:rsid w:val="00CF09B8"/>
    <w:rsid w:val="00CF0FA4"/>
    <w:rsid w:val="00CF17CF"/>
    <w:rsid w:val="00CF219F"/>
    <w:rsid w:val="00CF2597"/>
    <w:rsid w:val="00CF2CDB"/>
    <w:rsid w:val="00CF2FD4"/>
    <w:rsid w:val="00CF332E"/>
    <w:rsid w:val="00CF338C"/>
    <w:rsid w:val="00CF35F0"/>
    <w:rsid w:val="00CF3D17"/>
    <w:rsid w:val="00CF421C"/>
    <w:rsid w:val="00CF4231"/>
    <w:rsid w:val="00CF472A"/>
    <w:rsid w:val="00CF4EBE"/>
    <w:rsid w:val="00CF4F55"/>
    <w:rsid w:val="00CF53FE"/>
    <w:rsid w:val="00CF5412"/>
    <w:rsid w:val="00CF5C39"/>
    <w:rsid w:val="00CF6176"/>
    <w:rsid w:val="00CF65E2"/>
    <w:rsid w:val="00CF69E0"/>
    <w:rsid w:val="00CF6A81"/>
    <w:rsid w:val="00CF74E6"/>
    <w:rsid w:val="00CF7863"/>
    <w:rsid w:val="00CF7B44"/>
    <w:rsid w:val="00CF7C2D"/>
    <w:rsid w:val="00D005D1"/>
    <w:rsid w:val="00D009BE"/>
    <w:rsid w:val="00D009CE"/>
    <w:rsid w:val="00D00A70"/>
    <w:rsid w:val="00D00DF8"/>
    <w:rsid w:val="00D00E9A"/>
    <w:rsid w:val="00D01057"/>
    <w:rsid w:val="00D0165E"/>
    <w:rsid w:val="00D03577"/>
    <w:rsid w:val="00D046A0"/>
    <w:rsid w:val="00D0498A"/>
    <w:rsid w:val="00D04B0F"/>
    <w:rsid w:val="00D05356"/>
    <w:rsid w:val="00D05688"/>
    <w:rsid w:val="00D059CD"/>
    <w:rsid w:val="00D05B98"/>
    <w:rsid w:val="00D05C0F"/>
    <w:rsid w:val="00D06568"/>
    <w:rsid w:val="00D06E84"/>
    <w:rsid w:val="00D07AD2"/>
    <w:rsid w:val="00D07B9F"/>
    <w:rsid w:val="00D07DFE"/>
    <w:rsid w:val="00D07EFB"/>
    <w:rsid w:val="00D1006A"/>
    <w:rsid w:val="00D103A7"/>
    <w:rsid w:val="00D103AC"/>
    <w:rsid w:val="00D103FD"/>
    <w:rsid w:val="00D11246"/>
    <w:rsid w:val="00D1190D"/>
    <w:rsid w:val="00D11C73"/>
    <w:rsid w:val="00D11D0A"/>
    <w:rsid w:val="00D12068"/>
    <w:rsid w:val="00D12364"/>
    <w:rsid w:val="00D12DFB"/>
    <w:rsid w:val="00D1349B"/>
    <w:rsid w:val="00D139D7"/>
    <w:rsid w:val="00D13BA2"/>
    <w:rsid w:val="00D146E4"/>
    <w:rsid w:val="00D1484B"/>
    <w:rsid w:val="00D14E31"/>
    <w:rsid w:val="00D14EB6"/>
    <w:rsid w:val="00D14FD8"/>
    <w:rsid w:val="00D15FFA"/>
    <w:rsid w:val="00D163B7"/>
    <w:rsid w:val="00D1647E"/>
    <w:rsid w:val="00D16D60"/>
    <w:rsid w:val="00D173BC"/>
    <w:rsid w:val="00D17F2E"/>
    <w:rsid w:val="00D2078A"/>
    <w:rsid w:val="00D20E35"/>
    <w:rsid w:val="00D21111"/>
    <w:rsid w:val="00D21D4E"/>
    <w:rsid w:val="00D22D6F"/>
    <w:rsid w:val="00D2326A"/>
    <w:rsid w:val="00D23D5E"/>
    <w:rsid w:val="00D23F5E"/>
    <w:rsid w:val="00D240DA"/>
    <w:rsid w:val="00D246B2"/>
    <w:rsid w:val="00D24B8B"/>
    <w:rsid w:val="00D24BAA"/>
    <w:rsid w:val="00D24C6B"/>
    <w:rsid w:val="00D24CBB"/>
    <w:rsid w:val="00D25449"/>
    <w:rsid w:val="00D25852"/>
    <w:rsid w:val="00D25CDC"/>
    <w:rsid w:val="00D25DD9"/>
    <w:rsid w:val="00D26654"/>
    <w:rsid w:val="00D26F89"/>
    <w:rsid w:val="00D27055"/>
    <w:rsid w:val="00D2751E"/>
    <w:rsid w:val="00D27CA0"/>
    <w:rsid w:val="00D30344"/>
    <w:rsid w:val="00D30763"/>
    <w:rsid w:val="00D3150E"/>
    <w:rsid w:val="00D31E57"/>
    <w:rsid w:val="00D32010"/>
    <w:rsid w:val="00D32A21"/>
    <w:rsid w:val="00D33001"/>
    <w:rsid w:val="00D331A2"/>
    <w:rsid w:val="00D33A16"/>
    <w:rsid w:val="00D33A96"/>
    <w:rsid w:val="00D33AE8"/>
    <w:rsid w:val="00D3457E"/>
    <w:rsid w:val="00D3531D"/>
    <w:rsid w:val="00D3537A"/>
    <w:rsid w:val="00D354CE"/>
    <w:rsid w:val="00D35C67"/>
    <w:rsid w:val="00D35F06"/>
    <w:rsid w:val="00D361EE"/>
    <w:rsid w:val="00D36659"/>
    <w:rsid w:val="00D36E4C"/>
    <w:rsid w:val="00D36F11"/>
    <w:rsid w:val="00D3719C"/>
    <w:rsid w:val="00D40389"/>
    <w:rsid w:val="00D403AF"/>
    <w:rsid w:val="00D40546"/>
    <w:rsid w:val="00D40B97"/>
    <w:rsid w:val="00D40DE0"/>
    <w:rsid w:val="00D40F17"/>
    <w:rsid w:val="00D41F37"/>
    <w:rsid w:val="00D4293D"/>
    <w:rsid w:val="00D42C10"/>
    <w:rsid w:val="00D430F5"/>
    <w:rsid w:val="00D43397"/>
    <w:rsid w:val="00D44088"/>
    <w:rsid w:val="00D4459B"/>
    <w:rsid w:val="00D44D12"/>
    <w:rsid w:val="00D452FB"/>
    <w:rsid w:val="00D45D2E"/>
    <w:rsid w:val="00D464EF"/>
    <w:rsid w:val="00D4697D"/>
    <w:rsid w:val="00D4711D"/>
    <w:rsid w:val="00D472B7"/>
    <w:rsid w:val="00D477A6"/>
    <w:rsid w:val="00D47A22"/>
    <w:rsid w:val="00D47C63"/>
    <w:rsid w:val="00D47D60"/>
    <w:rsid w:val="00D47DD5"/>
    <w:rsid w:val="00D5028B"/>
    <w:rsid w:val="00D502B6"/>
    <w:rsid w:val="00D5079D"/>
    <w:rsid w:val="00D50A65"/>
    <w:rsid w:val="00D50DCC"/>
    <w:rsid w:val="00D519C7"/>
    <w:rsid w:val="00D52872"/>
    <w:rsid w:val="00D5323F"/>
    <w:rsid w:val="00D53325"/>
    <w:rsid w:val="00D5375D"/>
    <w:rsid w:val="00D53894"/>
    <w:rsid w:val="00D54534"/>
    <w:rsid w:val="00D55198"/>
    <w:rsid w:val="00D55992"/>
    <w:rsid w:val="00D55B2E"/>
    <w:rsid w:val="00D568DB"/>
    <w:rsid w:val="00D56C84"/>
    <w:rsid w:val="00D56F79"/>
    <w:rsid w:val="00D57349"/>
    <w:rsid w:val="00D5793A"/>
    <w:rsid w:val="00D579E1"/>
    <w:rsid w:val="00D60407"/>
    <w:rsid w:val="00D60763"/>
    <w:rsid w:val="00D60D99"/>
    <w:rsid w:val="00D61111"/>
    <w:rsid w:val="00D6142D"/>
    <w:rsid w:val="00D618FC"/>
    <w:rsid w:val="00D61C27"/>
    <w:rsid w:val="00D6207E"/>
    <w:rsid w:val="00D62161"/>
    <w:rsid w:val="00D621C5"/>
    <w:rsid w:val="00D629C2"/>
    <w:rsid w:val="00D62E2E"/>
    <w:rsid w:val="00D62FD1"/>
    <w:rsid w:val="00D6311A"/>
    <w:rsid w:val="00D6317A"/>
    <w:rsid w:val="00D6323A"/>
    <w:rsid w:val="00D6419F"/>
    <w:rsid w:val="00D64836"/>
    <w:rsid w:val="00D64A18"/>
    <w:rsid w:val="00D65FAF"/>
    <w:rsid w:val="00D6703A"/>
    <w:rsid w:val="00D672D0"/>
    <w:rsid w:val="00D6742F"/>
    <w:rsid w:val="00D67450"/>
    <w:rsid w:val="00D679FB"/>
    <w:rsid w:val="00D67CE5"/>
    <w:rsid w:val="00D70340"/>
    <w:rsid w:val="00D703AB"/>
    <w:rsid w:val="00D704E6"/>
    <w:rsid w:val="00D707D5"/>
    <w:rsid w:val="00D70BF1"/>
    <w:rsid w:val="00D70CBE"/>
    <w:rsid w:val="00D713C4"/>
    <w:rsid w:val="00D71512"/>
    <w:rsid w:val="00D71517"/>
    <w:rsid w:val="00D71B76"/>
    <w:rsid w:val="00D72195"/>
    <w:rsid w:val="00D7241F"/>
    <w:rsid w:val="00D7290B"/>
    <w:rsid w:val="00D72A1B"/>
    <w:rsid w:val="00D7371D"/>
    <w:rsid w:val="00D73D04"/>
    <w:rsid w:val="00D740D4"/>
    <w:rsid w:val="00D75767"/>
    <w:rsid w:val="00D75D06"/>
    <w:rsid w:val="00D75E46"/>
    <w:rsid w:val="00D77DEB"/>
    <w:rsid w:val="00D77E3B"/>
    <w:rsid w:val="00D77FB7"/>
    <w:rsid w:val="00D804A0"/>
    <w:rsid w:val="00D80843"/>
    <w:rsid w:val="00D80ADE"/>
    <w:rsid w:val="00D828E4"/>
    <w:rsid w:val="00D82D96"/>
    <w:rsid w:val="00D8330A"/>
    <w:rsid w:val="00D8366A"/>
    <w:rsid w:val="00D83BE3"/>
    <w:rsid w:val="00D84587"/>
    <w:rsid w:val="00D84CCB"/>
    <w:rsid w:val="00D84F96"/>
    <w:rsid w:val="00D85134"/>
    <w:rsid w:val="00D8543C"/>
    <w:rsid w:val="00D85469"/>
    <w:rsid w:val="00D85CCB"/>
    <w:rsid w:val="00D863F3"/>
    <w:rsid w:val="00D864DD"/>
    <w:rsid w:val="00D870CC"/>
    <w:rsid w:val="00D8760D"/>
    <w:rsid w:val="00D87A5D"/>
    <w:rsid w:val="00D87D0E"/>
    <w:rsid w:val="00D9044F"/>
    <w:rsid w:val="00D90785"/>
    <w:rsid w:val="00D90BAD"/>
    <w:rsid w:val="00D90FC6"/>
    <w:rsid w:val="00D91358"/>
    <w:rsid w:val="00D92AB8"/>
    <w:rsid w:val="00D92F91"/>
    <w:rsid w:val="00D93173"/>
    <w:rsid w:val="00D937BC"/>
    <w:rsid w:val="00D93FD1"/>
    <w:rsid w:val="00D94461"/>
    <w:rsid w:val="00D94A66"/>
    <w:rsid w:val="00D94E3B"/>
    <w:rsid w:val="00D958A3"/>
    <w:rsid w:val="00D961ED"/>
    <w:rsid w:val="00D96B19"/>
    <w:rsid w:val="00D96BA1"/>
    <w:rsid w:val="00DA0A7F"/>
    <w:rsid w:val="00DA0B55"/>
    <w:rsid w:val="00DA0C18"/>
    <w:rsid w:val="00DA0CBA"/>
    <w:rsid w:val="00DA1555"/>
    <w:rsid w:val="00DA17C5"/>
    <w:rsid w:val="00DA1A11"/>
    <w:rsid w:val="00DA1FCC"/>
    <w:rsid w:val="00DA30C9"/>
    <w:rsid w:val="00DA32FB"/>
    <w:rsid w:val="00DA3556"/>
    <w:rsid w:val="00DA4660"/>
    <w:rsid w:val="00DA565B"/>
    <w:rsid w:val="00DA5693"/>
    <w:rsid w:val="00DA5C33"/>
    <w:rsid w:val="00DA620A"/>
    <w:rsid w:val="00DA6B4B"/>
    <w:rsid w:val="00DA710B"/>
    <w:rsid w:val="00DA749E"/>
    <w:rsid w:val="00DA75B6"/>
    <w:rsid w:val="00DA7788"/>
    <w:rsid w:val="00DB00C7"/>
    <w:rsid w:val="00DB00D1"/>
    <w:rsid w:val="00DB00F3"/>
    <w:rsid w:val="00DB03BB"/>
    <w:rsid w:val="00DB0445"/>
    <w:rsid w:val="00DB07A7"/>
    <w:rsid w:val="00DB09A9"/>
    <w:rsid w:val="00DB09D1"/>
    <w:rsid w:val="00DB0BAD"/>
    <w:rsid w:val="00DB0F6F"/>
    <w:rsid w:val="00DB0FC4"/>
    <w:rsid w:val="00DB136E"/>
    <w:rsid w:val="00DB1A52"/>
    <w:rsid w:val="00DB1CA6"/>
    <w:rsid w:val="00DB2236"/>
    <w:rsid w:val="00DB2453"/>
    <w:rsid w:val="00DB2486"/>
    <w:rsid w:val="00DB2B85"/>
    <w:rsid w:val="00DB45DC"/>
    <w:rsid w:val="00DB4855"/>
    <w:rsid w:val="00DB5840"/>
    <w:rsid w:val="00DB5975"/>
    <w:rsid w:val="00DB599A"/>
    <w:rsid w:val="00DB5AC6"/>
    <w:rsid w:val="00DB5C99"/>
    <w:rsid w:val="00DB5DE9"/>
    <w:rsid w:val="00DB5E3F"/>
    <w:rsid w:val="00DB7213"/>
    <w:rsid w:val="00DB74A0"/>
    <w:rsid w:val="00DB76B6"/>
    <w:rsid w:val="00DB7BC3"/>
    <w:rsid w:val="00DB7E6C"/>
    <w:rsid w:val="00DC0106"/>
    <w:rsid w:val="00DC0282"/>
    <w:rsid w:val="00DC035F"/>
    <w:rsid w:val="00DC0CE4"/>
    <w:rsid w:val="00DC0E00"/>
    <w:rsid w:val="00DC0E73"/>
    <w:rsid w:val="00DC1278"/>
    <w:rsid w:val="00DC1290"/>
    <w:rsid w:val="00DC1792"/>
    <w:rsid w:val="00DC1A45"/>
    <w:rsid w:val="00DC1ABA"/>
    <w:rsid w:val="00DC2549"/>
    <w:rsid w:val="00DC2A4B"/>
    <w:rsid w:val="00DC2CB5"/>
    <w:rsid w:val="00DC34D8"/>
    <w:rsid w:val="00DC374D"/>
    <w:rsid w:val="00DC3CAC"/>
    <w:rsid w:val="00DC3F07"/>
    <w:rsid w:val="00DC468C"/>
    <w:rsid w:val="00DC491E"/>
    <w:rsid w:val="00DC4D69"/>
    <w:rsid w:val="00DC586D"/>
    <w:rsid w:val="00DC6383"/>
    <w:rsid w:val="00DC638E"/>
    <w:rsid w:val="00DC7DD1"/>
    <w:rsid w:val="00DC7E98"/>
    <w:rsid w:val="00DD0AE8"/>
    <w:rsid w:val="00DD0B78"/>
    <w:rsid w:val="00DD1924"/>
    <w:rsid w:val="00DD1E81"/>
    <w:rsid w:val="00DD1F52"/>
    <w:rsid w:val="00DD2273"/>
    <w:rsid w:val="00DD23B8"/>
    <w:rsid w:val="00DD2622"/>
    <w:rsid w:val="00DD333F"/>
    <w:rsid w:val="00DD47C8"/>
    <w:rsid w:val="00DD4AB8"/>
    <w:rsid w:val="00DD4ADB"/>
    <w:rsid w:val="00DD4E4D"/>
    <w:rsid w:val="00DD5187"/>
    <w:rsid w:val="00DD548C"/>
    <w:rsid w:val="00DD589B"/>
    <w:rsid w:val="00DD5DF0"/>
    <w:rsid w:val="00DD600C"/>
    <w:rsid w:val="00DD6429"/>
    <w:rsid w:val="00DD6448"/>
    <w:rsid w:val="00DD648C"/>
    <w:rsid w:val="00DD6792"/>
    <w:rsid w:val="00DD68D3"/>
    <w:rsid w:val="00DD6AF9"/>
    <w:rsid w:val="00DD6B8E"/>
    <w:rsid w:val="00DD6BC5"/>
    <w:rsid w:val="00DD724D"/>
    <w:rsid w:val="00DD79FD"/>
    <w:rsid w:val="00DD7AA7"/>
    <w:rsid w:val="00DE00E0"/>
    <w:rsid w:val="00DE0CDC"/>
    <w:rsid w:val="00DE0D8B"/>
    <w:rsid w:val="00DE1099"/>
    <w:rsid w:val="00DE157E"/>
    <w:rsid w:val="00DE1B53"/>
    <w:rsid w:val="00DE23DB"/>
    <w:rsid w:val="00DE2B59"/>
    <w:rsid w:val="00DE350F"/>
    <w:rsid w:val="00DE3AD3"/>
    <w:rsid w:val="00DE469E"/>
    <w:rsid w:val="00DE4918"/>
    <w:rsid w:val="00DE4BDC"/>
    <w:rsid w:val="00DE4CAD"/>
    <w:rsid w:val="00DE5329"/>
    <w:rsid w:val="00DE61EF"/>
    <w:rsid w:val="00DE69D2"/>
    <w:rsid w:val="00DE6C46"/>
    <w:rsid w:val="00DE6E4F"/>
    <w:rsid w:val="00DE737A"/>
    <w:rsid w:val="00DE77B8"/>
    <w:rsid w:val="00DF013E"/>
    <w:rsid w:val="00DF0351"/>
    <w:rsid w:val="00DF041A"/>
    <w:rsid w:val="00DF0A50"/>
    <w:rsid w:val="00DF0B4A"/>
    <w:rsid w:val="00DF0CC7"/>
    <w:rsid w:val="00DF13EC"/>
    <w:rsid w:val="00DF19B6"/>
    <w:rsid w:val="00DF1F27"/>
    <w:rsid w:val="00DF2A08"/>
    <w:rsid w:val="00DF33C2"/>
    <w:rsid w:val="00DF3707"/>
    <w:rsid w:val="00DF3D64"/>
    <w:rsid w:val="00DF4196"/>
    <w:rsid w:val="00DF444D"/>
    <w:rsid w:val="00DF4A3D"/>
    <w:rsid w:val="00DF4CB7"/>
    <w:rsid w:val="00DF5385"/>
    <w:rsid w:val="00DF5687"/>
    <w:rsid w:val="00DF57EE"/>
    <w:rsid w:val="00DF586D"/>
    <w:rsid w:val="00DF58D6"/>
    <w:rsid w:val="00DF59DF"/>
    <w:rsid w:val="00DF5B5A"/>
    <w:rsid w:val="00DF6A07"/>
    <w:rsid w:val="00DF7057"/>
    <w:rsid w:val="00DF712E"/>
    <w:rsid w:val="00DF7633"/>
    <w:rsid w:val="00DF76CD"/>
    <w:rsid w:val="00DF76FC"/>
    <w:rsid w:val="00E00205"/>
    <w:rsid w:val="00E009ED"/>
    <w:rsid w:val="00E02083"/>
    <w:rsid w:val="00E02146"/>
    <w:rsid w:val="00E02189"/>
    <w:rsid w:val="00E02F87"/>
    <w:rsid w:val="00E0302A"/>
    <w:rsid w:val="00E03072"/>
    <w:rsid w:val="00E0348A"/>
    <w:rsid w:val="00E03D0A"/>
    <w:rsid w:val="00E03DE1"/>
    <w:rsid w:val="00E05704"/>
    <w:rsid w:val="00E057F7"/>
    <w:rsid w:val="00E059AF"/>
    <w:rsid w:val="00E05EFD"/>
    <w:rsid w:val="00E06E86"/>
    <w:rsid w:val="00E07D12"/>
    <w:rsid w:val="00E07E62"/>
    <w:rsid w:val="00E07EE3"/>
    <w:rsid w:val="00E07F9D"/>
    <w:rsid w:val="00E10501"/>
    <w:rsid w:val="00E10DE6"/>
    <w:rsid w:val="00E1200D"/>
    <w:rsid w:val="00E124E5"/>
    <w:rsid w:val="00E126AE"/>
    <w:rsid w:val="00E12E40"/>
    <w:rsid w:val="00E133B0"/>
    <w:rsid w:val="00E139C6"/>
    <w:rsid w:val="00E13D7F"/>
    <w:rsid w:val="00E14967"/>
    <w:rsid w:val="00E14D71"/>
    <w:rsid w:val="00E15256"/>
    <w:rsid w:val="00E1535A"/>
    <w:rsid w:val="00E162B8"/>
    <w:rsid w:val="00E16999"/>
    <w:rsid w:val="00E16E69"/>
    <w:rsid w:val="00E16FCB"/>
    <w:rsid w:val="00E16FFA"/>
    <w:rsid w:val="00E17CBC"/>
    <w:rsid w:val="00E209F5"/>
    <w:rsid w:val="00E218E8"/>
    <w:rsid w:val="00E222AE"/>
    <w:rsid w:val="00E224EA"/>
    <w:rsid w:val="00E22649"/>
    <w:rsid w:val="00E22B38"/>
    <w:rsid w:val="00E22E7E"/>
    <w:rsid w:val="00E22FF7"/>
    <w:rsid w:val="00E23188"/>
    <w:rsid w:val="00E23287"/>
    <w:rsid w:val="00E24065"/>
    <w:rsid w:val="00E2420B"/>
    <w:rsid w:val="00E24397"/>
    <w:rsid w:val="00E2532C"/>
    <w:rsid w:val="00E25826"/>
    <w:rsid w:val="00E2622D"/>
    <w:rsid w:val="00E26844"/>
    <w:rsid w:val="00E2697F"/>
    <w:rsid w:val="00E271EA"/>
    <w:rsid w:val="00E278AA"/>
    <w:rsid w:val="00E27927"/>
    <w:rsid w:val="00E27B50"/>
    <w:rsid w:val="00E27C78"/>
    <w:rsid w:val="00E30678"/>
    <w:rsid w:val="00E30F23"/>
    <w:rsid w:val="00E311A2"/>
    <w:rsid w:val="00E31404"/>
    <w:rsid w:val="00E32489"/>
    <w:rsid w:val="00E327F1"/>
    <w:rsid w:val="00E33647"/>
    <w:rsid w:val="00E342FF"/>
    <w:rsid w:val="00E34981"/>
    <w:rsid w:val="00E34C01"/>
    <w:rsid w:val="00E34DA5"/>
    <w:rsid w:val="00E34F7D"/>
    <w:rsid w:val="00E356BF"/>
    <w:rsid w:val="00E36100"/>
    <w:rsid w:val="00E3661E"/>
    <w:rsid w:val="00E366A7"/>
    <w:rsid w:val="00E37C13"/>
    <w:rsid w:val="00E400EB"/>
    <w:rsid w:val="00E4011F"/>
    <w:rsid w:val="00E40413"/>
    <w:rsid w:val="00E404E1"/>
    <w:rsid w:val="00E40878"/>
    <w:rsid w:val="00E409A7"/>
    <w:rsid w:val="00E40F45"/>
    <w:rsid w:val="00E416D9"/>
    <w:rsid w:val="00E417E7"/>
    <w:rsid w:val="00E41A3C"/>
    <w:rsid w:val="00E41FF8"/>
    <w:rsid w:val="00E425FF"/>
    <w:rsid w:val="00E439D7"/>
    <w:rsid w:val="00E446DF"/>
    <w:rsid w:val="00E44D2D"/>
    <w:rsid w:val="00E44D3C"/>
    <w:rsid w:val="00E44E22"/>
    <w:rsid w:val="00E450D0"/>
    <w:rsid w:val="00E45A8E"/>
    <w:rsid w:val="00E45B19"/>
    <w:rsid w:val="00E46088"/>
    <w:rsid w:val="00E46311"/>
    <w:rsid w:val="00E46C5A"/>
    <w:rsid w:val="00E47B4D"/>
    <w:rsid w:val="00E500C1"/>
    <w:rsid w:val="00E50181"/>
    <w:rsid w:val="00E502CF"/>
    <w:rsid w:val="00E5098C"/>
    <w:rsid w:val="00E50A38"/>
    <w:rsid w:val="00E50A94"/>
    <w:rsid w:val="00E50D68"/>
    <w:rsid w:val="00E519BF"/>
    <w:rsid w:val="00E51CF8"/>
    <w:rsid w:val="00E528F7"/>
    <w:rsid w:val="00E52C15"/>
    <w:rsid w:val="00E536E2"/>
    <w:rsid w:val="00E53AAA"/>
    <w:rsid w:val="00E53B76"/>
    <w:rsid w:val="00E53E53"/>
    <w:rsid w:val="00E5415A"/>
    <w:rsid w:val="00E54800"/>
    <w:rsid w:val="00E54F43"/>
    <w:rsid w:val="00E55157"/>
    <w:rsid w:val="00E556B5"/>
    <w:rsid w:val="00E55C10"/>
    <w:rsid w:val="00E55CAC"/>
    <w:rsid w:val="00E55E5D"/>
    <w:rsid w:val="00E577C8"/>
    <w:rsid w:val="00E57F14"/>
    <w:rsid w:val="00E57F1C"/>
    <w:rsid w:val="00E60D16"/>
    <w:rsid w:val="00E60F6B"/>
    <w:rsid w:val="00E611ED"/>
    <w:rsid w:val="00E61987"/>
    <w:rsid w:val="00E61D52"/>
    <w:rsid w:val="00E620EE"/>
    <w:rsid w:val="00E62476"/>
    <w:rsid w:val="00E6269F"/>
    <w:rsid w:val="00E62824"/>
    <w:rsid w:val="00E62DDC"/>
    <w:rsid w:val="00E62FE2"/>
    <w:rsid w:val="00E64052"/>
    <w:rsid w:val="00E64217"/>
    <w:rsid w:val="00E649DC"/>
    <w:rsid w:val="00E65AC0"/>
    <w:rsid w:val="00E65BBF"/>
    <w:rsid w:val="00E65DA7"/>
    <w:rsid w:val="00E65DFD"/>
    <w:rsid w:val="00E66A6F"/>
    <w:rsid w:val="00E66AC0"/>
    <w:rsid w:val="00E700F1"/>
    <w:rsid w:val="00E70716"/>
    <w:rsid w:val="00E70DE4"/>
    <w:rsid w:val="00E71200"/>
    <w:rsid w:val="00E71723"/>
    <w:rsid w:val="00E71B00"/>
    <w:rsid w:val="00E71B48"/>
    <w:rsid w:val="00E72384"/>
    <w:rsid w:val="00E7243E"/>
    <w:rsid w:val="00E72D3F"/>
    <w:rsid w:val="00E7376D"/>
    <w:rsid w:val="00E73AF5"/>
    <w:rsid w:val="00E73B1E"/>
    <w:rsid w:val="00E74727"/>
    <w:rsid w:val="00E748BB"/>
    <w:rsid w:val="00E74AB8"/>
    <w:rsid w:val="00E74C06"/>
    <w:rsid w:val="00E75738"/>
    <w:rsid w:val="00E75FFB"/>
    <w:rsid w:val="00E76A33"/>
    <w:rsid w:val="00E773C8"/>
    <w:rsid w:val="00E802A4"/>
    <w:rsid w:val="00E8073D"/>
    <w:rsid w:val="00E80F1C"/>
    <w:rsid w:val="00E8171B"/>
    <w:rsid w:val="00E821EB"/>
    <w:rsid w:val="00E82580"/>
    <w:rsid w:val="00E82911"/>
    <w:rsid w:val="00E8364D"/>
    <w:rsid w:val="00E84822"/>
    <w:rsid w:val="00E849CD"/>
    <w:rsid w:val="00E84A73"/>
    <w:rsid w:val="00E85571"/>
    <w:rsid w:val="00E86056"/>
    <w:rsid w:val="00E87251"/>
    <w:rsid w:val="00E87E6D"/>
    <w:rsid w:val="00E90A92"/>
    <w:rsid w:val="00E90C58"/>
    <w:rsid w:val="00E90FCA"/>
    <w:rsid w:val="00E91123"/>
    <w:rsid w:val="00E9142E"/>
    <w:rsid w:val="00E91843"/>
    <w:rsid w:val="00E91F32"/>
    <w:rsid w:val="00E91F61"/>
    <w:rsid w:val="00E91F6A"/>
    <w:rsid w:val="00E92753"/>
    <w:rsid w:val="00E92B66"/>
    <w:rsid w:val="00E92C8E"/>
    <w:rsid w:val="00E92DE7"/>
    <w:rsid w:val="00E92EF0"/>
    <w:rsid w:val="00E938FB"/>
    <w:rsid w:val="00E93A45"/>
    <w:rsid w:val="00E93D46"/>
    <w:rsid w:val="00E93E19"/>
    <w:rsid w:val="00E94D4E"/>
    <w:rsid w:val="00E953C5"/>
    <w:rsid w:val="00E95585"/>
    <w:rsid w:val="00E96227"/>
    <w:rsid w:val="00E96305"/>
    <w:rsid w:val="00E96346"/>
    <w:rsid w:val="00E965A7"/>
    <w:rsid w:val="00E9670E"/>
    <w:rsid w:val="00E96CF9"/>
    <w:rsid w:val="00E976F5"/>
    <w:rsid w:val="00E97BB0"/>
    <w:rsid w:val="00EA06C1"/>
    <w:rsid w:val="00EA0D2F"/>
    <w:rsid w:val="00EA0EC4"/>
    <w:rsid w:val="00EA13A5"/>
    <w:rsid w:val="00EA1C0D"/>
    <w:rsid w:val="00EA1F28"/>
    <w:rsid w:val="00EA23D3"/>
    <w:rsid w:val="00EA2B32"/>
    <w:rsid w:val="00EA39D3"/>
    <w:rsid w:val="00EA418D"/>
    <w:rsid w:val="00EA4742"/>
    <w:rsid w:val="00EA47F9"/>
    <w:rsid w:val="00EA4DE9"/>
    <w:rsid w:val="00EA4E0C"/>
    <w:rsid w:val="00EA4ED8"/>
    <w:rsid w:val="00EA513C"/>
    <w:rsid w:val="00EA5715"/>
    <w:rsid w:val="00EA57E0"/>
    <w:rsid w:val="00EA5971"/>
    <w:rsid w:val="00EA59E6"/>
    <w:rsid w:val="00EA5C8A"/>
    <w:rsid w:val="00EA63DD"/>
    <w:rsid w:val="00EA662C"/>
    <w:rsid w:val="00EA7A2B"/>
    <w:rsid w:val="00EB0C6D"/>
    <w:rsid w:val="00EB0CE7"/>
    <w:rsid w:val="00EB0F72"/>
    <w:rsid w:val="00EB109F"/>
    <w:rsid w:val="00EB10E1"/>
    <w:rsid w:val="00EB1285"/>
    <w:rsid w:val="00EB1394"/>
    <w:rsid w:val="00EB14EF"/>
    <w:rsid w:val="00EB1D52"/>
    <w:rsid w:val="00EB2624"/>
    <w:rsid w:val="00EB2C8A"/>
    <w:rsid w:val="00EB2E12"/>
    <w:rsid w:val="00EB3499"/>
    <w:rsid w:val="00EB4737"/>
    <w:rsid w:val="00EB48E2"/>
    <w:rsid w:val="00EB4D1A"/>
    <w:rsid w:val="00EB5404"/>
    <w:rsid w:val="00EB54B1"/>
    <w:rsid w:val="00EB562E"/>
    <w:rsid w:val="00EB5C79"/>
    <w:rsid w:val="00EB5EDB"/>
    <w:rsid w:val="00EB642A"/>
    <w:rsid w:val="00EB6DAC"/>
    <w:rsid w:val="00EB6E25"/>
    <w:rsid w:val="00EB7307"/>
    <w:rsid w:val="00EB7406"/>
    <w:rsid w:val="00EB7BD6"/>
    <w:rsid w:val="00EC0488"/>
    <w:rsid w:val="00EC079C"/>
    <w:rsid w:val="00EC0E69"/>
    <w:rsid w:val="00EC1613"/>
    <w:rsid w:val="00EC1894"/>
    <w:rsid w:val="00EC2104"/>
    <w:rsid w:val="00EC22C1"/>
    <w:rsid w:val="00EC29EA"/>
    <w:rsid w:val="00EC2D0D"/>
    <w:rsid w:val="00EC330B"/>
    <w:rsid w:val="00EC3511"/>
    <w:rsid w:val="00EC4FD2"/>
    <w:rsid w:val="00EC5359"/>
    <w:rsid w:val="00EC5A83"/>
    <w:rsid w:val="00EC5CC0"/>
    <w:rsid w:val="00EC5F23"/>
    <w:rsid w:val="00EC5FEF"/>
    <w:rsid w:val="00EC64A2"/>
    <w:rsid w:val="00EC67AE"/>
    <w:rsid w:val="00EC6972"/>
    <w:rsid w:val="00EC6B9B"/>
    <w:rsid w:val="00EC7468"/>
    <w:rsid w:val="00EC7600"/>
    <w:rsid w:val="00EC7711"/>
    <w:rsid w:val="00EC7F2E"/>
    <w:rsid w:val="00ED128F"/>
    <w:rsid w:val="00ED16B8"/>
    <w:rsid w:val="00ED1AD5"/>
    <w:rsid w:val="00ED2FE1"/>
    <w:rsid w:val="00ED31D0"/>
    <w:rsid w:val="00ED3CB4"/>
    <w:rsid w:val="00ED3D27"/>
    <w:rsid w:val="00ED4469"/>
    <w:rsid w:val="00ED44C5"/>
    <w:rsid w:val="00ED4C28"/>
    <w:rsid w:val="00ED4E38"/>
    <w:rsid w:val="00ED5158"/>
    <w:rsid w:val="00ED570A"/>
    <w:rsid w:val="00ED5909"/>
    <w:rsid w:val="00ED5B97"/>
    <w:rsid w:val="00ED5D2F"/>
    <w:rsid w:val="00ED5F78"/>
    <w:rsid w:val="00ED61CB"/>
    <w:rsid w:val="00ED65BC"/>
    <w:rsid w:val="00ED6634"/>
    <w:rsid w:val="00ED684B"/>
    <w:rsid w:val="00ED6BE7"/>
    <w:rsid w:val="00ED6E9F"/>
    <w:rsid w:val="00ED766F"/>
    <w:rsid w:val="00ED7E2E"/>
    <w:rsid w:val="00ED7E81"/>
    <w:rsid w:val="00ED7F64"/>
    <w:rsid w:val="00EE0324"/>
    <w:rsid w:val="00EE06E1"/>
    <w:rsid w:val="00EE07C7"/>
    <w:rsid w:val="00EE07D4"/>
    <w:rsid w:val="00EE0AAF"/>
    <w:rsid w:val="00EE1022"/>
    <w:rsid w:val="00EE1477"/>
    <w:rsid w:val="00EE150C"/>
    <w:rsid w:val="00EE1FCD"/>
    <w:rsid w:val="00EE240E"/>
    <w:rsid w:val="00EE2E56"/>
    <w:rsid w:val="00EE2FDA"/>
    <w:rsid w:val="00EE3277"/>
    <w:rsid w:val="00EE328E"/>
    <w:rsid w:val="00EE3533"/>
    <w:rsid w:val="00EE3A78"/>
    <w:rsid w:val="00EE46C2"/>
    <w:rsid w:val="00EE51C6"/>
    <w:rsid w:val="00EE65E2"/>
    <w:rsid w:val="00EE7431"/>
    <w:rsid w:val="00EE758F"/>
    <w:rsid w:val="00EE7695"/>
    <w:rsid w:val="00EE7855"/>
    <w:rsid w:val="00EE78FE"/>
    <w:rsid w:val="00EE7C43"/>
    <w:rsid w:val="00EF0323"/>
    <w:rsid w:val="00EF050E"/>
    <w:rsid w:val="00EF0701"/>
    <w:rsid w:val="00EF0EAC"/>
    <w:rsid w:val="00EF1F86"/>
    <w:rsid w:val="00EF282E"/>
    <w:rsid w:val="00EF2920"/>
    <w:rsid w:val="00EF3728"/>
    <w:rsid w:val="00EF3A1F"/>
    <w:rsid w:val="00EF3E16"/>
    <w:rsid w:val="00EF3E80"/>
    <w:rsid w:val="00EF40F7"/>
    <w:rsid w:val="00EF432B"/>
    <w:rsid w:val="00EF4353"/>
    <w:rsid w:val="00EF4366"/>
    <w:rsid w:val="00EF48B1"/>
    <w:rsid w:val="00EF54C1"/>
    <w:rsid w:val="00EF5844"/>
    <w:rsid w:val="00EF5F9B"/>
    <w:rsid w:val="00EF655F"/>
    <w:rsid w:val="00EF66D0"/>
    <w:rsid w:val="00EF68B0"/>
    <w:rsid w:val="00EF6945"/>
    <w:rsid w:val="00EF7317"/>
    <w:rsid w:val="00EF76A9"/>
    <w:rsid w:val="00EF7A09"/>
    <w:rsid w:val="00EF7D99"/>
    <w:rsid w:val="00EF7FDA"/>
    <w:rsid w:val="00F00303"/>
    <w:rsid w:val="00F005A7"/>
    <w:rsid w:val="00F008E4"/>
    <w:rsid w:val="00F015AE"/>
    <w:rsid w:val="00F01610"/>
    <w:rsid w:val="00F01A67"/>
    <w:rsid w:val="00F02523"/>
    <w:rsid w:val="00F02D74"/>
    <w:rsid w:val="00F03365"/>
    <w:rsid w:val="00F0338F"/>
    <w:rsid w:val="00F03648"/>
    <w:rsid w:val="00F03C39"/>
    <w:rsid w:val="00F03F60"/>
    <w:rsid w:val="00F041C8"/>
    <w:rsid w:val="00F04B74"/>
    <w:rsid w:val="00F04D34"/>
    <w:rsid w:val="00F04D66"/>
    <w:rsid w:val="00F050BC"/>
    <w:rsid w:val="00F056C6"/>
    <w:rsid w:val="00F05744"/>
    <w:rsid w:val="00F05C59"/>
    <w:rsid w:val="00F05C9A"/>
    <w:rsid w:val="00F06AD2"/>
    <w:rsid w:val="00F07017"/>
    <w:rsid w:val="00F07962"/>
    <w:rsid w:val="00F07EFF"/>
    <w:rsid w:val="00F10184"/>
    <w:rsid w:val="00F105CA"/>
    <w:rsid w:val="00F11762"/>
    <w:rsid w:val="00F11E92"/>
    <w:rsid w:val="00F12A1A"/>
    <w:rsid w:val="00F12BCE"/>
    <w:rsid w:val="00F12D5F"/>
    <w:rsid w:val="00F13215"/>
    <w:rsid w:val="00F146E3"/>
    <w:rsid w:val="00F149E9"/>
    <w:rsid w:val="00F14F44"/>
    <w:rsid w:val="00F150E5"/>
    <w:rsid w:val="00F1530A"/>
    <w:rsid w:val="00F15534"/>
    <w:rsid w:val="00F1590F"/>
    <w:rsid w:val="00F15D07"/>
    <w:rsid w:val="00F15F6A"/>
    <w:rsid w:val="00F16224"/>
    <w:rsid w:val="00F166D2"/>
    <w:rsid w:val="00F16AF8"/>
    <w:rsid w:val="00F16E2D"/>
    <w:rsid w:val="00F2012D"/>
    <w:rsid w:val="00F2031B"/>
    <w:rsid w:val="00F20682"/>
    <w:rsid w:val="00F21800"/>
    <w:rsid w:val="00F22AE2"/>
    <w:rsid w:val="00F2319E"/>
    <w:rsid w:val="00F2370F"/>
    <w:rsid w:val="00F23C27"/>
    <w:rsid w:val="00F246B4"/>
    <w:rsid w:val="00F249D3"/>
    <w:rsid w:val="00F255EE"/>
    <w:rsid w:val="00F25883"/>
    <w:rsid w:val="00F26D83"/>
    <w:rsid w:val="00F2768B"/>
    <w:rsid w:val="00F27907"/>
    <w:rsid w:val="00F27BD2"/>
    <w:rsid w:val="00F30178"/>
    <w:rsid w:val="00F30B6D"/>
    <w:rsid w:val="00F31212"/>
    <w:rsid w:val="00F323E3"/>
    <w:rsid w:val="00F32F95"/>
    <w:rsid w:val="00F33A2A"/>
    <w:rsid w:val="00F3430B"/>
    <w:rsid w:val="00F3455F"/>
    <w:rsid w:val="00F346B3"/>
    <w:rsid w:val="00F3494E"/>
    <w:rsid w:val="00F34FD7"/>
    <w:rsid w:val="00F35D96"/>
    <w:rsid w:val="00F36233"/>
    <w:rsid w:val="00F36289"/>
    <w:rsid w:val="00F3639E"/>
    <w:rsid w:val="00F36BEF"/>
    <w:rsid w:val="00F36ED7"/>
    <w:rsid w:val="00F36F3A"/>
    <w:rsid w:val="00F3717D"/>
    <w:rsid w:val="00F3763E"/>
    <w:rsid w:val="00F378ED"/>
    <w:rsid w:val="00F40068"/>
    <w:rsid w:val="00F40FC2"/>
    <w:rsid w:val="00F4178A"/>
    <w:rsid w:val="00F41BD1"/>
    <w:rsid w:val="00F4216F"/>
    <w:rsid w:val="00F421C0"/>
    <w:rsid w:val="00F4236A"/>
    <w:rsid w:val="00F427A5"/>
    <w:rsid w:val="00F441C9"/>
    <w:rsid w:val="00F443D1"/>
    <w:rsid w:val="00F446E9"/>
    <w:rsid w:val="00F455F0"/>
    <w:rsid w:val="00F45964"/>
    <w:rsid w:val="00F46606"/>
    <w:rsid w:val="00F46D0D"/>
    <w:rsid w:val="00F46F12"/>
    <w:rsid w:val="00F47301"/>
    <w:rsid w:val="00F47965"/>
    <w:rsid w:val="00F5073D"/>
    <w:rsid w:val="00F5074F"/>
    <w:rsid w:val="00F516B5"/>
    <w:rsid w:val="00F517DD"/>
    <w:rsid w:val="00F51F04"/>
    <w:rsid w:val="00F5279E"/>
    <w:rsid w:val="00F54350"/>
    <w:rsid w:val="00F54413"/>
    <w:rsid w:val="00F54556"/>
    <w:rsid w:val="00F54C65"/>
    <w:rsid w:val="00F55527"/>
    <w:rsid w:val="00F555B5"/>
    <w:rsid w:val="00F55C24"/>
    <w:rsid w:val="00F55D67"/>
    <w:rsid w:val="00F5637D"/>
    <w:rsid w:val="00F56460"/>
    <w:rsid w:val="00F56568"/>
    <w:rsid w:val="00F56646"/>
    <w:rsid w:val="00F567D6"/>
    <w:rsid w:val="00F5691A"/>
    <w:rsid w:val="00F56DAA"/>
    <w:rsid w:val="00F57128"/>
    <w:rsid w:val="00F57AF3"/>
    <w:rsid w:val="00F57EB7"/>
    <w:rsid w:val="00F605E3"/>
    <w:rsid w:val="00F60762"/>
    <w:rsid w:val="00F60F17"/>
    <w:rsid w:val="00F618C0"/>
    <w:rsid w:val="00F61940"/>
    <w:rsid w:val="00F61DA1"/>
    <w:rsid w:val="00F6240E"/>
    <w:rsid w:val="00F627F8"/>
    <w:rsid w:val="00F62846"/>
    <w:rsid w:val="00F62E78"/>
    <w:rsid w:val="00F63282"/>
    <w:rsid w:val="00F63767"/>
    <w:rsid w:val="00F63BD2"/>
    <w:rsid w:val="00F63CFE"/>
    <w:rsid w:val="00F643DD"/>
    <w:rsid w:val="00F646B4"/>
    <w:rsid w:val="00F646C6"/>
    <w:rsid w:val="00F64966"/>
    <w:rsid w:val="00F64C61"/>
    <w:rsid w:val="00F653DE"/>
    <w:rsid w:val="00F6543E"/>
    <w:rsid w:val="00F654C1"/>
    <w:rsid w:val="00F65522"/>
    <w:rsid w:val="00F65E1C"/>
    <w:rsid w:val="00F66017"/>
    <w:rsid w:val="00F6638D"/>
    <w:rsid w:val="00F665F5"/>
    <w:rsid w:val="00F66B87"/>
    <w:rsid w:val="00F66D62"/>
    <w:rsid w:val="00F670F7"/>
    <w:rsid w:val="00F67326"/>
    <w:rsid w:val="00F67E44"/>
    <w:rsid w:val="00F7006A"/>
    <w:rsid w:val="00F70277"/>
    <w:rsid w:val="00F703C6"/>
    <w:rsid w:val="00F71343"/>
    <w:rsid w:val="00F714D0"/>
    <w:rsid w:val="00F71750"/>
    <w:rsid w:val="00F71A7B"/>
    <w:rsid w:val="00F721F1"/>
    <w:rsid w:val="00F72477"/>
    <w:rsid w:val="00F72585"/>
    <w:rsid w:val="00F725ED"/>
    <w:rsid w:val="00F72B58"/>
    <w:rsid w:val="00F72D96"/>
    <w:rsid w:val="00F73EBB"/>
    <w:rsid w:val="00F73EF3"/>
    <w:rsid w:val="00F74090"/>
    <w:rsid w:val="00F74C20"/>
    <w:rsid w:val="00F75112"/>
    <w:rsid w:val="00F75989"/>
    <w:rsid w:val="00F75DDF"/>
    <w:rsid w:val="00F764B1"/>
    <w:rsid w:val="00F766F7"/>
    <w:rsid w:val="00F76810"/>
    <w:rsid w:val="00F76A3B"/>
    <w:rsid w:val="00F76A4C"/>
    <w:rsid w:val="00F7748F"/>
    <w:rsid w:val="00F80186"/>
    <w:rsid w:val="00F801E3"/>
    <w:rsid w:val="00F802CE"/>
    <w:rsid w:val="00F8080C"/>
    <w:rsid w:val="00F80BBD"/>
    <w:rsid w:val="00F80CCF"/>
    <w:rsid w:val="00F80D2B"/>
    <w:rsid w:val="00F80D92"/>
    <w:rsid w:val="00F80F30"/>
    <w:rsid w:val="00F8123B"/>
    <w:rsid w:val="00F815AF"/>
    <w:rsid w:val="00F82450"/>
    <w:rsid w:val="00F82825"/>
    <w:rsid w:val="00F82A47"/>
    <w:rsid w:val="00F834CA"/>
    <w:rsid w:val="00F835A6"/>
    <w:rsid w:val="00F836E7"/>
    <w:rsid w:val="00F83AEF"/>
    <w:rsid w:val="00F83EC7"/>
    <w:rsid w:val="00F83F80"/>
    <w:rsid w:val="00F83FEE"/>
    <w:rsid w:val="00F84239"/>
    <w:rsid w:val="00F84326"/>
    <w:rsid w:val="00F849FB"/>
    <w:rsid w:val="00F85411"/>
    <w:rsid w:val="00F85929"/>
    <w:rsid w:val="00F861E9"/>
    <w:rsid w:val="00F8648A"/>
    <w:rsid w:val="00F8685D"/>
    <w:rsid w:val="00F9091A"/>
    <w:rsid w:val="00F90985"/>
    <w:rsid w:val="00F90B04"/>
    <w:rsid w:val="00F91BE0"/>
    <w:rsid w:val="00F91DE9"/>
    <w:rsid w:val="00F922B0"/>
    <w:rsid w:val="00F92D7A"/>
    <w:rsid w:val="00F93709"/>
    <w:rsid w:val="00F93F09"/>
    <w:rsid w:val="00F941BF"/>
    <w:rsid w:val="00F953D1"/>
    <w:rsid w:val="00F9562D"/>
    <w:rsid w:val="00F95636"/>
    <w:rsid w:val="00F96044"/>
    <w:rsid w:val="00F960CC"/>
    <w:rsid w:val="00F96965"/>
    <w:rsid w:val="00F96AAC"/>
    <w:rsid w:val="00F96BA1"/>
    <w:rsid w:val="00F9721A"/>
    <w:rsid w:val="00F976A1"/>
    <w:rsid w:val="00F979E3"/>
    <w:rsid w:val="00F97B1D"/>
    <w:rsid w:val="00F97EA9"/>
    <w:rsid w:val="00FA0476"/>
    <w:rsid w:val="00FA05EA"/>
    <w:rsid w:val="00FA0814"/>
    <w:rsid w:val="00FA0887"/>
    <w:rsid w:val="00FA09C1"/>
    <w:rsid w:val="00FA10AE"/>
    <w:rsid w:val="00FA113C"/>
    <w:rsid w:val="00FA1A37"/>
    <w:rsid w:val="00FA1BBD"/>
    <w:rsid w:val="00FA1D67"/>
    <w:rsid w:val="00FA21CF"/>
    <w:rsid w:val="00FA236E"/>
    <w:rsid w:val="00FA2564"/>
    <w:rsid w:val="00FA3315"/>
    <w:rsid w:val="00FA342A"/>
    <w:rsid w:val="00FA3FF6"/>
    <w:rsid w:val="00FA43C0"/>
    <w:rsid w:val="00FA461D"/>
    <w:rsid w:val="00FA4C0E"/>
    <w:rsid w:val="00FA4FF1"/>
    <w:rsid w:val="00FA5049"/>
    <w:rsid w:val="00FA577C"/>
    <w:rsid w:val="00FA5DCE"/>
    <w:rsid w:val="00FA5FBA"/>
    <w:rsid w:val="00FA6410"/>
    <w:rsid w:val="00FA6C1D"/>
    <w:rsid w:val="00FA6F67"/>
    <w:rsid w:val="00FA70C4"/>
    <w:rsid w:val="00FA7473"/>
    <w:rsid w:val="00FA7AD2"/>
    <w:rsid w:val="00FA7E31"/>
    <w:rsid w:val="00FB00A3"/>
    <w:rsid w:val="00FB03AD"/>
    <w:rsid w:val="00FB04B9"/>
    <w:rsid w:val="00FB05C5"/>
    <w:rsid w:val="00FB0A27"/>
    <w:rsid w:val="00FB0AD3"/>
    <w:rsid w:val="00FB0F8B"/>
    <w:rsid w:val="00FB2508"/>
    <w:rsid w:val="00FB26C4"/>
    <w:rsid w:val="00FB3396"/>
    <w:rsid w:val="00FB38B6"/>
    <w:rsid w:val="00FB3CE5"/>
    <w:rsid w:val="00FB3EAC"/>
    <w:rsid w:val="00FB450B"/>
    <w:rsid w:val="00FB4523"/>
    <w:rsid w:val="00FB4839"/>
    <w:rsid w:val="00FB49CC"/>
    <w:rsid w:val="00FB4EE4"/>
    <w:rsid w:val="00FB5B3C"/>
    <w:rsid w:val="00FB5FA2"/>
    <w:rsid w:val="00FB60A1"/>
    <w:rsid w:val="00FB60DA"/>
    <w:rsid w:val="00FB6585"/>
    <w:rsid w:val="00FB6A02"/>
    <w:rsid w:val="00FB6D70"/>
    <w:rsid w:val="00FC1292"/>
    <w:rsid w:val="00FC1B6C"/>
    <w:rsid w:val="00FC1CBC"/>
    <w:rsid w:val="00FC2409"/>
    <w:rsid w:val="00FC2689"/>
    <w:rsid w:val="00FC2723"/>
    <w:rsid w:val="00FC29F6"/>
    <w:rsid w:val="00FC2C98"/>
    <w:rsid w:val="00FC2E1C"/>
    <w:rsid w:val="00FC32FA"/>
    <w:rsid w:val="00FC33E2"/>
    <w:rsid w:val="00FC3815"/>
    <w:rsid w:val="00FC3CBC"/>
    <w:rsid w:val="00FC4A35"/>
    <w:rsid w:val="00FC4C29"/>
    <w:rsid w:val="00FC5558"/>
    <w:rsid w:val="00FC5804"/>
    <w:rsid w:val="00FC5EA0"/>
    <w:rsid w:val="00FC68C2"/>
    <w:rsid w:val="00FC72BD"/>
    <w:rsid w:val="00FC746B"/>
    <w:rsid w:val="00FC7842"/>
    <w:rsid w:val="00FD0041"/>
    <w:rsid w:val="00FD0573"/>
    <w:rsid w:val="00FD0A81"/>
    <w:rsid w:val="00FD0B82"/>
    <w:rsid w:val="00FD11EF"/>
    <w:rsid w:val="00FD1617"/>
    <w:rsid w:val="00FD1B3B"/>
    <w:rsid w:val="00FD1F35"/>
    <w:rsid w:val="00FD25C2"/>
    <w:rsid w:val="00FD2903"/>
    <w:rsid w:val="00FD3323"/>
    <w:rsid w:val="00FD458A"/>
    <w:rsid w:val="00FD53FF"/>
    <w:rsid w:val="00FD54AA"/>
    <w:rsid w:val="00FD5507"/>
    <w:rsid w:val="00FD5530"/>
    <w:rsid w:val="00FD5567"/>
    <w:rsid w:val="00FD5A50"/>
    <w:rsid w:val="00FD5A66"/>
    <w:rsid w:val="00FD6440"/>
    <w:rsid w:val="00FD6900"/>
    <w:rsid w:val="00FD7069"/>
    <w:rsid w:val="00FD78BC"/>
    <w:rsid w:val="00FE05B6"/>
    <w:rsid w:val="00FE06A8"/>
    <w:rsid w:val="00FE09BC"/>
    <w:rsid w:val="00FE0C03"/>
    <w:rsid w:val="00FE19B1"/>
    <w:rsid w:val="00FE261E"/>
    <w:rsid w:val="00FE27DF"/>
    <w:rsid w:val="00FE28C5"/>
    <w:rsid w:val="00FE3250"/>
    <w:rsid w:val="00FE32D7"/>
    <w:rsid w:val="00FE35B6"/>
    <w:rsid w:val="00FE3A20"/>
    <w:rsid w:val="00FE4886"/>
    <w:rsid w:val="00FE4CE5"/>
    <w:rsid w:val="00FE5B66"/>
    <w:rsid w:val="00FE699F"/>
    <w:rsid w:val="00FE71FB"/>
    <w:rsid w:val="00FE78D7"/>
    <w:rsid w:val="00FE7D0F"/>
    <w:rsid w:val="00FE7F13"/>
    <w:rsid w:val="00FF0688"/>
    <w:rsid w:val="00FF0BEC"/>
    <w:rsid w:val="00FF2337"/>
    <w:rsid w:val="00FF2DCE"/>
    <w:rsid w:val="00FF3AAF"/>
    <w:rsid w:val="00FF3FF9"/>
    <w:rsid w:val="00FF40A1"/>
    <w:rsid w:val="00FF415B"/>
    <w:rsid w:val="00FF4884"/>
    <w:rsid w:val="00FF5517"/>
    <w:rsid w:val="00FF6B37"/>
    <w:rsid w:val="00FF6DBC"/>
    <w:rsid w:val="00FF6F5A"/>
    <w:rsid w:val="00FF74B6"/>
    <w:rsid w:val="00FF77EE"/>
    <w:rsid w:val="00FF7E0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49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852"/>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23852"/>
    <w:pPr>
      <w:keepNext/>
      <w:spacing w:before="140" w:line="240" w:lineRule="atLeast"/>
      <w:jc w:val="center"/>
      <w:outlineLvl w:val="0"/>
    </w:pPr>
    <w:rPr>
      <w:b/>
      <w:smallCaps/>
    </w:rPr>
  </w:style>
  <w:style w:type="paragraph" w:styleId="Heading2">
    <w:name w:val="heading 2"/>
    <w:basedOn w:val="Normal"/>
    <w:next w:val="Normal"/>
    <w:link w:val="Heading2Char"/>
    <w:qFormat/>
    <w:rsid w:val="0072385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23852"/>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723852"/>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72385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723852"/>
    <w:pPr>
      <w:tabs>
        <w:tab w:val="center" w:pos="3960"/>
        <w:tab w:val="right" w:pos="10080"/>
      </w:tabs>
      <w:spacing w:after="0" w:line="240" w:lineRule="auto"/>
      <w:jc w:val="center"/>
    </w:pPr>
    <w:rPr>
      <w:sz w:val="22"/>
    </w:rPr>
  </w:style>
  <w:style w:type="character" w:styleId="FootnoteReference">
    <w:name w:val="footnote reference"/>
    <w:basedOn w:val="DefaultParagraphFont"/>
    <w:rsid w:val="00723852"/>
    <w:rPr>
      <w:rFonts w:ascii="Century Schoolbook" w:hAnsi="Century Schoolbook"/>
      <w:b/>
      <w:i w:val="0"/>
      <w:position w:val="4"/>
      <w:sz w:val="27"/>
      <w:vertAlign w:val="superscript"/>
    </w:rPr>
  </w:style>
  <w:style w:type="paragraph" w:styleId="FootnoteText">
    <w:name w:val="footnote text"/>
    <w:basedOn w:val="Normal"/>
    <w:link w:val="FootnoteTextChar"/>
    <w:rsid w:val="00723852"/>
    <w:pPr>
      <w:spacing w:line="300" w:lineRule="exact"/>
    </w:pPr>
  </w:style>
  <w:style w:type="paragraph" w:styleId="Header">
    <w:name w:val="header"/>
    <w:basedOn w:val="Normal"/>
    <w:link w:val="HeaderChar"/>
    <w:qFormat/>
    <w:rsid w:val="00723852"/>
    <w:pPr>
      <w:tabs>
        <w:tab w:val="center" w:pos="3960"/>
        <w:tab w:val="right" w:pos="10080"/>
      </w:tabs>
      <w:spacing w:after="80" w:line="240" w:lineRule="auto"/>
      <w:jc w:val="center"/>
    </w:pPr>
    <w:rPr>
      <w:sz w:val="22"/>
    </w:rPr>
  </w:style>
  <w:style w:type="paragraph" w:styleId="BalloonText">
    <w:name w:val="Balloon Text"/>
    <w:basedOn w:val="Normal"/>
    <w:link w:val="BalloonTextChar"/>
    <w:rsid w:val="00AC4398"/>
    <w:rPr>
      <w:rFonts w:ascii="Tahoma" w:hAnsi="Tahoma" w:cs="Tahoma"/>
      <w:sz w:val="16"/>
      <w:szCs w:val="16"/>
    </w:rPr>
  </w:style>
  <w:style w:type="character" w:customStyle="1" w:styleId="BalloonTextChar">
    <w:name w:val="Balloon Text Char"/>
    <w:basedOn w:val="DefaultParagraphFont"/>
    <w:link w:val="BalloonText"/>
    <w:rsid w:val="00AC4398"/>
    <w:rPr>
      <w:rFonts w:ascii="Tahoma" w:hAnsi="Tahoma" w:cs="Tahoma"/>
      <w:sz w:val="16"/>
      <w:szCs w:val="16"/>
    </w:rPr>
  </w:style>
  <w:style w:type="character" w:customStyle="1" w:styleId="FootnoteTextChar">
    <w:name w:val="Footnote Text Char"/>
    <w:basedOn w:val="DefaultParagraphFont"/>
    <w:link w:val="FootnoteText"/>
    <w:rsid w:val="0081790C"/>
    <w:rPr>
      <w:rFonts w:ascii="Century Schoolbook" w:hAnsi="Century Schoolbook"/>
      <w:sz w:val="27"/>
    </w:rPr>
  </w:style>
  <w:style w:type="character" w:customStyle="1" w:styleId="term">
    <w:name w:val="term"/>
    <w:basedOn w:val="DefaultParagraphFont"/>
    <w:rsid w:val="0081790C"/>
  </w:style>
  <w:style w:type="character" w:customStyle="1" w:styleId="Heading1Char">
    <w:name w:val="Heading 1 Char"/>
    <w:basedOn w:val="DefaultParagraphFont"/>
    <w:link w:val="Heading1"/>
    <w:rsid w:val="00723852"/>
    <w:rPr>
      <w:rFonts w:ascii="Century Schoolbook" w:hAnsi="Century Schoolbook"/>
      <w:b/>
      <w:smallCaps/>
      <w:sz w:val="27"/>
    </w:rPr>
  </w:style>
  <w:style w:type="character" w:customStyle="1" w:styleId="Heading2Char">
    <w:name w:val="Heading 2 Char"/>
    <w:basedOn w:val="DefaultParagraphFont"/>
    <w:link w:val="Heading2"/>
    <w:rsid w:val="00723852"/>
    <w:rPr>
      <w:rFonts w:ascii="Century Schoolbook" w:hAnsi="Century Schoolbook"/>
      <w:b/>
      <w:sz w:val="27"/>
    </w:rPr>
  </w:style>
  <w:style w:type="character" w:customStyle="1" w:styleId="Heading3Char">
    <w:name w:val="Heading 3 Char"/>
    <w:basedOn w:val="DefaultParagraphFont"/>
    <w:link w:val="Heading3"/>
    <w:rsid w:val="00723852"/>
    <w:rPr>
      <w:rFonts w:ascii="Century Schoolbook" w:hAnsi="Century Schoolbook"/>
      <w:i/>
      <w:sz w:val="27"/>
    </w:rPr>
  </w:style>
  <w:style w:type="character" w:customStyle="1" w:styleId="Heading4Char">
    <w:name w:val="Heading 4 Char"/>
    <w:basedOn w:val="DefaultParagraphFont"/>
    <w:link w:val="Heading4"/>
    <w:rsid w:val="00723852"/>
    <w:rPr>
      <w:rFonts w:ascii="Century Schoolbook" w:hAnsi="Century Schoolbook"/>
      <w:i/>
      <w:sz w:val="27"/>
    </w:rPr>
  </w:style>
  <w:style w:type="character" w:customStyle="1" w:styleId="Heading5Char">
    <w:name w:val="Heading 5 Char"/>
    <w:basedOn w:val="DefaultParagraphFont"/>
    <w:link w:val="Heading5"/>
    <w:rsid w:val="00723852"/>
    <w:rPr>
      <w:rFonts w:ascii="Century Schoolbook" w:hAnsi="Century Schoolbook"/>
      <w:i/>
      <w:sz w:val="27"/>
    </w:rPr>
  </w:style>
  <w:style w:type="paragraph" w:styleId="Date">
    <w:name w:val="Date"/>
    <w:basedOn w:val="Normal"/>
    <w:link w:val="DateChar"/>
    <w:semiHidden/>
    <w:rsid w:val="00723852"/>
    <w:pPr>
      <w:jc w:val="right"/>
    </w:pPr>
  </w:style>
  <w:style w:type="character" w:customStyle="1" w:styleId="DateChar">
    <w:name w:val="Date Char"/>
    <w:basedOn w:val="DefaultParagraphFont"/>
    <w:link w:val="Date"/>
    <w:semiHidden/>
    <w:rsid w:val="00723852"/>
    <w:rPr>
      <w:rFonts w:ascii="Century Schoolbook" w:hAnsi="Century Schoolbook"/>
      <w:sz w:val="27"/>
    </w:rPr>
  </w:style>
  <w:style w:type="paragraph" w:styleId="NormalIndent">
    <w:name w:val="Normal Indent"/>
    <w:basedOn w:val="Normal"/>
    <w:link w:val="NormalIndentChar"/>
    <w:rsid w:val="00723852"/>
    <w:pPr>
      <w:ind w:left="720"/>
    </w:pPr>
  </w:style>
  <w:style w:type="character" w:styleId="PageNumber">
    <w:name w:val="page number"/>
    <w:basedOn w:val="DefaultParagraphFont"/>
    <w:semiHidden/>
    <w:rsid w:val="00723852"/>
  </w:style>
  <w:style w:type="paragraph" w:customStyle="1" w:styleId="Recommend">
    <w:name w:val="Recommend"/>
    <w:basedOn w:val="Normal"/>
    <w:rsid w:val="00723852"/>
  </w:style>
  <w:style w:type="paragraph" w:customStyle="1" w:styleId="subject">
    <w:name w:val="subject"/>
    <w:basedOn w:val="Normal"/>
    <w:rsid w:val="00723852"/>
    <w:pPr>
      <w:tabs>
        <w:tab w:val="left" w:pos="1008"/>
      </w:tabs>
      <w:ind w:left="990" w:hanging="990"/>
    </w:pPr>
    <w:rPr>
      <w:b/>
    </w:rPr>
  </w:style>
  <w:style w:type="paragraph" w:customStyle="1" w:styleId="Summary">
    <w:name w:val="Summary"/>
    <w:basedOn w:val="Normal"/>
    <w:rsid w:val="00723852"/>
    <w:pPr>
      <w:ind w:left="2160" w:hanging="2160"/>
    </w:pPr>
  </w:style>
  <w:style w:type="paragraph" w:customStyle="1" w:styleId="Text">
    <w:name w:val="Text"/>
    <w:basedOn w:val="Normal"/>
    <w:rsid w:val="00723852"/>
    <w:pPr>
      <w:tabs>
        <w:tab w:val="left" w:pos="720"/>
        <w:tab w:val="left" w:pos="1440"/>
        <w:tab w:val="left" w:pos="2160"/>
        <w:tab w:val="center" w:pos="4320"/>
      </w:tabs>
      <w:spacing w:line="480" w:lineRule="atLeast"/>
      <w:ind w:firstLine="540"/>
    </w:pPr>
  </w:style>
  <w:style w:type="paragraph" w:customStyle="1" w:styleId="Title1">
    <w:name w:val="Title1"/>
    <w:basedOn w:val="Normal"/>
    <w:rsid w:val="00723852"/>
    <w:pPr>
      <w:tabs>
        <w:tab w:val="left" w:pos="5760"/>
        <w:tab w:val="left" w:pos="6480"/>
      </w:tabs>
      <w:spacing w:line="240" w:lineRule="atLeast"/>
    </w:pPr>
  </w:style>
  <w:style w:type="paragraph" w:customStyle="1" w:styleId="Titles">
    <w:name w:val="Titles"/>
    <w:basedOn w:val="Normal"/>
    <w:rsid w:val="00723852"/>
    <w:pPr>
      <w:tabs>
        <w:tab w:val="left" w:pos="2160"/>
      </w:tabs>
      <w:ind w:left="2160" w:hanging="2160"/>
    </w:pPr>
    <w:rPr>
      <w:b/>
    </w:rPr>
  </w:style>
  <w:style w:type="paragraph" w:styleId="TOAHeading">
    <w:name w:val="toa heading"/>
    <w:basedOn w:val="Normal"/>
    <w:next w:val="Normal"/>
    <w:rsid w:val="00723852"/>
    <w:pPr>
      <w:spacing w:before="120"/>
    </w:pPr>
    <w:rPr>
      <w:b/>
    </w:rPr>
  </w:style>
  <w:style w:type="paragraph" w:styleId="TOC1">
    <w:name w:val="toc 1"/>
    <w:basedOn w:val="Normal"/>
    <w:next w:val="Normal"/>
    <w:autoRedefine/>
    <w:semiHidden/>
    <w:rsid w:val="00723852"/>
  </w:style>
  <w:style w:type="paragraph" w:styleId="TOC2">
    <w:name w:val="toc 2"/>
    <w:basedOn w:val="Normal"/>
    <w:next w:val="Normal"/>
    <w:autoRedefine/>
    <w:semiHidden/>
    <w:rsid w:val="00723852"/>
    <w:pPr>
      <w:ind w:left="259"/>
    </w:pPr>
  </w:style>
  <w:style w:type="paragraph" w:styleId="TOC3">
    <w:name w:val="toc 3"/>
    <w:basedOn w:val="Normal"/>
    <w:next w:val="Normal"/>
    <w:autoRedefine/>
    <w:semiHidden/>
    <w:rsid w:val="00723852"/>
    <w:pPr>
      <w:ind w:left="520"/>
    </w:pPr>
  </w:style>
  <w:style w:type="paragraph" w:styleId="TOC4">
    <w:name w:val="toc 4"/>
    <w:basedOn w:val="Normal"/>
    <w:next w:val="Normal"/>
    <w:autoRedefine/>
    <w:semiHidden/>
    <w:rsid w:val="00723852"/>
    <w:pPr>
      <w:ind w:left="780"/>
    </w:pPr>
  </w:style>
  <w:style w:type="paragraph" w:styleId="TOC5">
    <w:name w:val="toc 5"/>
    <w:basedOn w:val="Normal"/>
    <w:next w:val="Normal"/>
    <w:autoRedefine/>
    <w:semiHidden/>
    <w:rsid w:val="00723852"/>
    <w:pPr>
      <w:ind w:left="1040"/>
    </w:pPr>
  </w:style>
  <w:style w:type="paragraph" w:styleId="TOC6">
    <w:name w:val="toc 6"/>
    <w:basedOn w:val="Normal"/>
    <w:next w:val="Normal"/>
    <w:autoRedefine/>
    <w:semiHidden/>
    <w:rsid w:val="00723852"/>
    <w:pPr>
      <w:ind w:left="1300"/>
    </w:pPr>
  </w:style>
  <w:style w:type="paragraph" w:styleId="TOC7">
    <w:name w:val="toc 7"/>
    <w:basedOn w:val="Normal"/>
    <w:next w:val="Normal"/>
    <w:autoRedefine/>
    <w:semiHidden/>
    <w:rsid w:val="00723852"/>
    <w:pPr>
      <w:ind w:left="1560"/>
    </w:pPr>
  </w:style>
  <w:style w:type="paragraph" w:styleId="TOC8">
    <w:name w:val="toc 8"/>
    <w:basedOn w:val="Normal"/>
    <w:next w:val="Normal"/>
    <w:autoRedefine/>
    <w:semiHidden/>
    <w:rsid w:val="00723852"/>
    <w:pPr>
      <w:ind w:left="1820"/>
    </w:pPr>
  </w:style>
  <w:style w:type="paragraph" w:styleId="TOC9">
    <w:name w:val="toc 9"/>
    <w:basedOn w:val="Normal"/>
    <w:next w:val="Normal"/>
    <w:autoRedefine/>
    <w:semiHidden/>
    <w:rsid w:val="00723852"/>
    <w:pPr>
      <w:ind w:left="2080"/>
    </w:pPr>
  </w:style>
  <w:style w:type="paragraph" w:customStyle="1" w:styleId="Contents">
    <w:name w:val="Contents"/>
    <w:basedOn w:val="Normal"/>
    <w:rsid w:val="00723852"/>
    <w:pPr>
      <w:jc w:val="center"/>
    </w:pPr>
    <w:rPr>
      <w:b/>
      <w:spacing w:val="100"/>
    </w:rPr>
  </w:style>
  <w:style w:type="paragraph" w:styleId="BodyText">
    <w:name w:val="Body Text"/>
    <w:basedOn w:val="Normal"/>
    <w:link w:val="BodyTextChar"/>
    <w:qFormat/>
    <w:rsid w:val="00723852"/>
  </w:style>
  <w:style w:type="character" w:customStyle="1" w:styleId="BodyTextChar">
    <w:name w:val="Body Text Char"/>
    <w:basedOn w:val="DefaultParagraphFont"/>
    <w:link w:val="BodyText"/>
    <w:rsid w:val="00723852"/>
    <w:rPr>
      <w:rFonts w:ascii="Century Schoolbook" w:hAnsi="Century Schoolbook"/>
      <w:sz w:val="27"/>
    </w:rPr>
  </w:style>
  <w:style w:type="character" w:styleId="CommentReference">
    <w:name w:val="annotation reference"/>
    <w:basedOn w:val="DefaultParagraphFont"/>
    <w:semiHidden/>
    <w:unhideWhenUsed/>
    <w:rsid w:val="00C548E7"/>
    <w:rPr>
      <w:sz w:val="16"/>
      <w:szCs w:val="16"/>
    </w:rPr>
  </w:style>
  <w:style w:type="paragraph" w:styleId="CommentText">
    <w:name w:val="annotation text"/>
    <w:basedOn w:val="Normal"/>
    <w:link w:val="CommentTextChar"/>
    <w:semiHidden/>
    <w:unhideWhenUsed/>
    <w:rsid w:val="00C548E7"/>
    <w:pPr>
      <w:spacing w:line="240" w:lineRule="auto"/>
    </w:pPr>
    <w:rPr>
      <w:sz w:val="20"/>
    </w:rPr>
  </w:style>
  <w:style w:type="character" w:customStyle="1" w:styleId="CommentTextChar">
    <w:name w:val="Comment Text Char"/>
    <w:basedOn w:val="DefaultParagraphFont"/>
    <w:link w:val="CommentText"/>
    <w:semiHidden/>
    <w:rsid w:val="00C548E7"/>
    <w:rPr>
      <w:rFonts w:ascii="Century Schoolbook" w:hAnsi="Century Schoolbook"/>
    </w:rPr>
  </w:style>
  <w:style w:type="paragraph" w:styleId="EndnoteText">
    <w:name w:val="endnote text"/>
    <w:basedOn w:val="Normal"/>
    <w:link w:val="EndnoteTextChar"/>
    <w:uiPriority w:val="99"/>
    <w:semiHidden/>
    <w:unhideWhenUsed/>
    <w:rsid w:val="00711A2C"/>
    <w:pPr>
      <w:spacing w:after="0" w:line="240" w:lineRule="auto"/>
      <w:jc w:val="left"/>
    </w:pPr>
    <w:rPr>
      <w:rFonts w:ascii="Times New Roman" w:hAnsi="Times New Roman"/>
      <w:sz w:val="20"/>
    </w:rPr>
  </w:style>
  <w:style w:type="character" w:customStyle="1" w:styleId="EndnoteTextChar">
    <w:name w:val="Endnote Text Char"/>
    <w:basedOn w:val="DefaultParagraphFont"/>
    <w:link w:val="EndnoteText"/>
    <w:uiPriority w:val="99"/>
    <w:semiHidden/>
    <w:rsid w:val="00711A2C"/>
  </w:style>
  <w:style w:type="character" w:styleId="EndnoteReference">
    <w:name w:val="endnote reference"/>
    <w:basedOn w:val="DefaultParagraphFont"/>
    <w:uiPriority w:val="99"/>
    <w:semiHidden/>
    <w:unhideWhenUsed/>
    <w:rsid w:val="00711A2C"/>
    <w:rPr>
      <w:vertAlign w:val="superscript"/>
    </w:rPr>
  </w:style>
  <w:style w:type="character" w:customStyle="1" w:styleId="FooterChar">
    <w:name w:val="Footer Char"/>
    <w:basedOn w:val="DefaultParagraphFont"/>
    <w:link w:val="Footer"/>
    <w:rsid w:val="00711A2C"/>
    <w:rPr>
      <w:rFonts w:ascii="Century Schoolbook" w:hAnsi="Century Schoolbook"/>
      <w:sz w:val="22"/>
    </w:rPr>
  </w:style>
  <w:style w:type="character" w:customStyle="1" w:styleId="HeaderChar">
    <w:name w:val="Header Char"/>
    <w:basedOn w:val="DefaultParagraphFont"/>
    <w:link w:val="Header"/>
    <w:rsid w:val="00711A2C"/>
    <w:rPr>
      <w:rFonts w:ascii="Century Schoolbook" w:hAnsi="Century Schoolbook"/>
      <w:sz w:val="22"/>
    </w:rPr>
  </w:style>
  <w:style w:type="character" w:customStyle="1" w:styleId="NormalIndentChar">
    <w:name w:val="Normal Indent Char"/>
    <w:link w:val="NormalIndent"/>
    <w:rsid w:val="0061201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487">
      <w:bodyDiv w:val="1"/>
      <w:marLeft w:val="0"/>
      <w:marRight w:val="0"/>
      <w:marTop w:val="0"/>
      <w:marBottom w:val="0"/>
      <w:divBdr>
        <w:top w:val="none" w:sz="0" w:space="0" w:color="auto"/>
        <w:left w:val="none" w:sz="0" w:space="0" w:color="auto"/>
        <w:bottom w:val="none" w:sz="0" w:space="0" w:color="auto"/>
        <w:right w:val="none" w:sz="0" w:space="0" w:color="auto"/>
      </w:divBdr>
      <w:divsChild>
        <w:div w:id="981538074">
          <w:marLeft w:val="0"/>
          <w:marRight w:val="0"/>
          <w:marTop w:val="0"/>
          <w:marBottom w:val="0"/>
          <w:divBdr>
            <w:top w:val="none" w:sz="0" w:space="0" w:color="auto"/>
            <w:left w:val="none" w:sz="0" w:space="0" w:color="auto"/>
            <w:bottom w:val="none" w:sz="0" w:space="0" w:color="auto"/>
            <w:right w:val="none" w:sz="0" w:space="0" w:color="auto"/>
          </w:divBdr>
        </w:div>
      </w:divsChild>
    </w:div>
    <w:div w:id="1790395365">
      <w:bodyDiv w:val="1"/>
      <w:marLeft w:val="0"/>
      <w:marRight w:val="0"/>
      <w:marTop w:val="0"/>
      <w:marBottom w:val="0"/>
      <w:divBdr>
        <w:top w:val="none" w:sz="0" w:space="0" w:color="auto"/>
        <w:left w:val="none" w:sz="0" w:space="0" w:color="auto"/>
        <w:bottom w:val="none" w:sz="0" w:space="0" w:color="auto"/>
        <w:right w:val="none" w:sz="0" w:space="0" w:color="auto"/>
      </w:divBdr>
      <w:divsChild>
        <w:div w:id="72049854">
          <w:marLeft w:val="0"/>
          <w:marRight w:val="0"/>
          <w:marTop w:val="0"/>
          <w:marBottom w:val="0"/>
          <w:divBdr>
            <w:top w:val="none" w:sz="0" w:space="0" w:color="auto"/>
            <w:left w:val="none" w:sz="0" w:space="0" w:color="auto"/>
            <w:bottom w:val="none" w:sz="0" w:space="0" w:color="auto"/>
            <w:right w:val="none" w:sz="0" w:space="0" w:color="auto"/>
          </w:divBdr>
          <w:divsChild>
            <w:div w:id="699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9081">
      <w:bodyDiv w:val="1"/>
      <w:marLeft w:val="0"/>
      <w:marRight w:val="0"/>
      <w:marTop w:val="0"/>
      <w:marBottom w:val="0"/>
      <w:divBdr>
        <w:top w:val="none" w:sz="0" w:space="0" w:color="auto"/>
        <w:left w:val="none" w:sz="0" w:space="0" w:color="auto"/>
        <w:bottom w:val="none" w:sz="0" w:space="0" w:color="auto"/>
        <w:right w:val="none" w:sz="0" w:space="0" w:color="auto"/>
      </w:divBdr>
      <w:divsChild>
        <w:div w:id="1819030868">
          <w:marLeft w:val="0"/>
          <w:marRight w:val="0"/>
          <w:marTop w:val="0"/>
          <w:marBottom w:val="0"/>
          <w:divBdr>
            <w:top w:val="none" w:sz="0" w:space="0" w:color="auto"/>
            <w:left w:val="none" w:sz="0" w:space="0" w:color="auto"/>
            <w:bottom w:val="none" w:sz="0" w:space="0" w:color="auto"/>
            <w:right w:val="none" w:sz="0" w:space="0" w:color="auto"/>
          </w:divBdr>
          <w:divsChild>
            <w:div w:id="20107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10497">
      <w:bodyDiv w:val="1"/>
      <w:marLeft w:val="0"/>
      <w:marRight w:val="0"/>
      <w:marTop w:val="0"/>
      <w:marBottom w:val="0"/>
      <w:divBdr>
        <w:top w:val="none" w:sz="0" w:space="0" w:color="auto"/>
        <w:left w:val="none" w:sz="0" w:space="0" w:color="auto"/>
        <w:bottom w:val="none" w:sz="0" w:space="0" w:color="auto"/>
        <w:right w:val="none" w:sz="0" w:space="0" w:color="auto"/>
      </w:divBdr>
      <w:divsChild>
        <w:div w:id="776869916">
          <w:marLeft w:val="0"/>
          <w:marRight w:val="0"/>
          <w:marTop w:val="0"/>
          <w:marBottom w:val="0"/>
          <w:divBdr>
            <w:top w:val="none" w:sz="0" w:space="0" w:color="auto"/>
            <w:left w:val="none" w:sz="0" w:space="0" w:color="auto"/>
            <w:bottom w:val="none" w:sz="0" w:space="0" w:color="auto"/>
            <w:right w:val="none" w:sz="0" w:space="0" w:color="auto"/>
          </w:divBdr>
          <w:divsChild>
            <w:div w:id="1540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1AC8-1AE9-4D8E-AFD2-8E968460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7756</Words>
  <Characters>41600</Characters>
  <Application>Microsoft Office Word</Application>
  <DocSecurity>0</DocSecurity>
  <Lines>346</Lines>
  <Paragraphs>98</Paragraphs>
  <ScaleCrop>false</ScaleCrop>
  <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2019-12-13T19:20:00Z</dcterms:created>
  <dcterms:modified xsi:type="dcterms:W3CDTF">2019-12-13T19:21:00Z</dcterms:modified>
</cp:coreProperties>
</file>