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22192" w:rsidP="00750962" w14:paraId="6167A7F3" w14:textId="4D860A8E">
      <w:pPr>
        <w:tabs>
          <w:tab w:val="left" w:pos="1440"/>
        </w:tabs>
        <w:spacing w:after="0"/>
        <w:jc w:val="center"/>
        <w:rPr>
          <w:caps/>
          <w:sz w:val="36"/>
        </w:rPr>
      </w:pPr>
      <w:bookmarkStart w:id="0" w:name="_GoBack"/>
      <w:bookmarkEnd w:id="0"/>
      <w:r>
        <w:rPr>
          <w:b/>
          <w:caps/>
          <w:sz w:val="36"/>
        </w:rPr>
        <w:t>IN THE SUPREME COURT OF CALIFORNIA</w:t>
      </w:r>
    </w:p>
    <w:p w:rsidR="00750962" w:rsidP="00750962" w14:paraId="22B66F8B" w14:textId="4BE1DFC4">
      <w:pPr>
        <w:tabs>
          <w:tab w:val="left" w:pos="1440"/>
        </w:tabs>
        <w:spacing w:after="0"/>
        <w:jc w:val="center"/>
        <w:rPr>
          <w:caps/>
        </w:rPr>
      </w:pPr>
    </w:p>
    <w:p w:rsidR="003E77C5" w:rsidP="00750962" w14:paraId="0CB43C80" w14:textId="77777777">
      <w:pPr>
        <w:tabs>
          <w:tab w:val="left" w:pos="1440"/>
        </w:tabs>
        <w:spacing w:after="0"/>
        <w:jc w:val="center"/>
        <w:rPr>
          <w:caps/>
        </w:rPr>
      </w:pPr>
      <w:r>
        <w:rPr>
          <w:caps/>
        </w:rPr>
        <w:t>MONTROSE CHEMICAL</w:t>
      </w:r>
      <w:r w:rsidR="003B739C">
        <w:rPr>
          <w:caps/>
        </w:rPr>
        <w:t xml:space="preserve"> CORPORATION</w:t>
      </w:r>
      <w:r>
        <w:rPr>
          <w:caps/>
        </w:rPr>
        <w:t xml:space="preserve"> </w:t>
      </w:r>
    </w:p>
    <w:p w:rsidR="00750962" w:rsidP="00750962" w14:paraId="33524BDA" w14:textId="0C6B554E">
      <w:pPr>
        <w:tabs>
          <w:tab w:val="left" w:pos="1440"/>
        </w:tabs>
        <w:spacing w:after="0"/>
        <w:jc w:val="center"/>
        <w:rPr>
          <w:caps/>
        </w:rPr>
      </w:pPr>
      <w:r>
        <w:rPr>
          <w:caps/>
        </w:rPr>
        <w:t>of california,</w:t>
      </w:r>
    </w:p>
    <w:p w:rsidR="00750962" w:rsidP="00750962" w14:paraId="56D606E6" w14:textId="6B393D6D">
      <w:pPr>
        <w:tabs>
          <w:tab w:val="left" w:pos="1440"/>
        </w:tabs>
        <w:spacing w:after="0"/>
        <w:jc w:val="center"/>
      </w:pPr>
      <w:r>
        <w:t>Petitioner,</w:t>
      </w:r>
    </w:p>
    <w:p w:rsidR="00750962" w:rsidP="00750962" w14:paraId="677535E8" w14:textId="4465907A">
      <w:pPr>
        <w:tabs>
          <w:tab w:val="left" w:pos="1440"/>
        </w:tabs>
        <w:spacing w:after="0"/>
        <w:jc w:val="center"/>
      </w:pPr>
      <w:r>
        <w:t>v.</w:t>
      </w:r>
    </w:p>
    <w:p w:rsidR="00750962" w:rsidP="00750962" w14:paraId="6BEFFDC8" w14:textId="7A04C838">
      <w:pPr>
        <w:tabs>
          <w:tab w:val="left" w:pos="1440"/>
        </w:tabs>
        <w:spacing w:after="0"/>
        <w:jc w:val="center"/>
        <w:rPr>
          <w:caps/>
        </w:rPr>
      </w:pPr>
      <w:r>
        <w:rPr>
          <w:caps/>
        </w:rPr>
        <w:t xml:space="preserve">THE </w:t>
      </w:r>
      <w:r>
        <w:rPr>
          <w:caps/>
        </w:rPr>
        <w:t xml:space="preserve">SUPERIOR COURT OF </w:t>
      </w:r>
      <w:r>
        <w:rPr>
          <w:caps/>
        </w:rPr>
        <w:t>los angeles county</w:t>
      </w:r>
      <w:r>
        <w:rPr>
          <w:caps/>
        </w:rPr>
        <w:t>,</w:t>
      </w:r>
    </w:p>
    <w:p w:rsidR="003B739C" w:rsidP="00C8271C" w14:paraId="21C0F087" w14:textId="3BB45B31">
      <w:pPr>
        <w:tabs>
          <w:tab w:val="left" w:pos="1440"/>
        </w:tabs>
        <w:spacing w:after="0"/>
        <w:jc w:val="center"/>
      </w:pPr>
      <w:r>
        <w:t>Respondent</w:t>
      </w:r>
      <w:r>
        <w:t>;</w:t>
      </w:r>
    </w:p>
    <w:p w:rsidR="003B739C" w:rsidP="00750962" w14:paraId="26332A02" w14:textId="77777777">
      <w:pPr>
        <w:tabs>
          <w:tab w:val="left" w:pos="1440"/>
        </w:tabs>
        <w:spacing w:after="0"/>
        <w:jc w:val="center"/>
      </w:pPr>
      <w:r>
        <w:t>CANADIAN UNIVERSAL INSURANCE</w:t>
      </w:r>
    </w:p>
    <w:p w:rsidR="00750962" w:rsidP="00750962" w14:paraId="46DC300E" w14:textId="214792DB">
      <w:pPr>
        <w:tabs>
          <w:tab w:val="left" w:pos="1440"/>
        </w:tabs>
        <w:spacing w:after="0"/>
        <w:jc w:val="center"/>
      </w:pPr>
      <w:r>
        <w:t>COMPANY, INC., et al.</w:t>
      </w:r>
      <w:r w:rsidR="003E77C5">
        <w:t>,</w:t>
      </w:r>
    </w:p>
    <w:p w:rsidR="003B739C" w:rsidP="00750962" w14:paraId="71C3C936" w14:textId="6B87C964">
      <w:pPr>
        <w:tabs>
          <w:tab w:val="left" w:pos="1440"/>
        </w:tabs>
        <w:spacing w:after="0"/>
        <w:jc w:val="center"/>
        <w:rPr>
          <w:caps/>
        </w:rPr>
      </w:pPr>
      <w:r>
        <w:t>Real Parties in Interest.</w:t>
      </w:r>
    </w:p>
    <w:p w:rsidR="00750962" w:rsidP="00750962" w14:paraId="0D9405CB" w14:textId="02AF0608">
      <w:pPr>
        <w:tabs>
          <w:tab w:val="left" w:pos="1440"/>
        </w:tabs>
        <w:spacing w:after="0"/>
        <w:jc w:val="center"/>
        <w:rPr>
          <w:caps/>
        </w:rPr>
      </w:pPr>
    </w:p>
    <w:p w:rsidR="00750962" w:rsidP="00750962" w14:paraId="0F8706C0" w14:textId="79FEB6B8">
      <w:pPr>
        <w:tabs>
          <w:tab w:val="left" w:pos="1440"/>
        </w:tabs>
        <w:spacing w:after="0"/>
        <w:jc w:val="center"/>
        <w:rPr>
          <w:caps/>
        </w:rPr>
      </w:pPr>
      <w:r>
        <w:rPr>
          <w:caps/>
        </w:rPr>
        <w:t>S244737</w:t>
      </w:r>
    </w:p>
    <w:p w:rsidR="00750962" w:rsidP="00750962" w14:paraId="3BB4A4E9" w14:textId="4B6DD16E">
      <w:pPr>
        <w:tabs>
          <w:tab w:val="left" w:pos="1440"/>
        </w:tabs>
        <w:spacing w:after="0"/>
        <w:jc w:val="center"/>
        <w:rPr>
          <w:caps/>
        </w:rPr>
      </w:pPr>
    </w:p>
    <w:p w:rsidR="00750962" w:rsidP="00750962" w14:paraId="4F085887" w14:textId="7598AE16">
      <w:pPr>
        <w:tabs>
          <w:tab w:val="left" w:pos="1440"/>
        </w:tabs>
        <w:spacing w:after="0"/>
        <w:jc w:val="center"/>
      </w:pPr>
      <w:r>
        <w:t xml:space="preserve">Second </w:t>
      </w:r>
      <w:r>
        <w:t>Appellate District, Division Three</w:t>
      </w:r>
    </w:p>
    <w:p w:rsidR="00750962" w:rsidP="00750962" w14:paraId="2253CB72" w14:textId="4C21DD45">
      <w:pPr>
        <w:tabs>
          <w:tab w:val="left" w:pos="1440"/>
        </w:tabs>
        <w:spacing w:after="0"/>
        <w:jc w:val="center"/>
      </w:pPr>
      <w:r>
        <w:t>B272387</w:t>
      </w:r>
    </w:p>
    <w:p w:rsidR="00750962" w:rsidRPr="00750962" w:rsidP="00750962" w14:paraId="4A328B83" w14:textId="77777777">
      <w:pPr>
        <w:tabs>
          <w:tab w:val="left" w:pos="1440"/>
        </w:tabs>
        <w:spacing w:after="0"/>
        <w:jc w:val="center"/>
      </w:pPr>
    </w:p>
    <w:p w:rsidR="00750962" w:rsidP="00750962" w14:paraId="28D148E1" w14:textId="28E8EF5F">
      <w:pPr>
        <w:tabs>
          <w:tab w:val="left" w:pos="1440"/>
        </w:tabs>
        <w:spacing w:after="0"/>
        <w:jc w:val="center"/>
      </w:pPr>
      <w:r>
        <w:t>Los Angeles County Superior Court</w:t>
      </w:r>
    </w:p>
    <w:p w:rsidR="00750962" w:rsidP="00750962" w14:paraId="0B33D6B2" w14:textId="0F61FCAA">
      <w:pPr>
        <w:tabs>
          <w:tab w:val="left" w:pos="1440"/>
        </w:tabs>
        <w:spacing w:after="0"/>
        <w:jc w:val="center"/>
        <w:rPr>
          <w:caps/>
        </w:rPr>
      </w:pPr>
      <w:r>
        <w:t>BC005158</w:t>
      </w:r>
    </w:p>
    <w:p w:rsidR="001F241B" w14:paraId="51966D88" w14:textId="77777777">
      <w:pPr>
        <w:spacing w:after="0" w:line="240" w:lineRule="auto"/>
        <w:jc w:val="left"/>
        <w:rPr>
          <w:caps/>
        </w:rPr>
        <w:sectPr w:rsidSect="00F4160D">
          <w:headerReference w:type="default" r:id="rId6"/>
          <w:footerReference w:type="default" r:id="rId7"/>
          <w:pgSz w:w="12240" w:h="15840"/>
          <w:pgMar w:top="1800" w:right="2160" w:bottom="1440" w:left="2160" w:header="720" w:footer="720" w:gutter="0"/>
          <w:cols w:space="720"/>
          <w:titlePg/>
          <w:docGrid w:linePitch="367"/>
        </w:sectPr>
      </w:pPr>
    </w:p>
    <w:p w:rsidR="00750962" w:rsidP="00750962" w14:paraId="720007F6" w14:textId="77777777">
      <w:pPr>
        <w:pBdr>
          <w:bottom w:val="single" w:sz="4" w:space="1" w:color="auto"/>
        </w:pBdr>
        <w:tabs>
          <w:tab w:val="left" w:pos="1440"/>
        </w:tabs>
        <w:spacing w:after="0"/>
        <w:jc w:val="center"/>
        <w:rPr>
          <w:caps/>
        </w:rPr>
      </w:pPr>
    </w:p>
    <w:p w:rsidR="00D32C14" w:rsidP="00D32C14" w14:paraId="48211E70" w14:textId="77777777">
      <w:pPr>
        <w:pBdr>
          <w:bottom w:val="single" w:sz="4" w:space="1" w:color="auto"/>
        </w:pBdr>
        <w:tabs>
          <w:tab w:val="left" w:pos="1440"/>
        </w:tabs>
        <w:spacing w:after="0"/>
        <w:jc w:val="center"/>
        <w:rPr>
          <w:caps/>
        </w:rPr>
      </w:pPr>
    </w:p>
    <w:p w:rsidR="00D32C14" w:rsidP="00D32C14" w14:paraId="39999471" w14:textId="77777777">
      <w:pPr>
        <w:tabs>
          <w:tab w:val="left" w:pos="1440"/>
        </w:tabs>
        <w:spacing w:after="0"/>
        <w:jc w:val="center"/>
        <w:rPr>
          <w:caps/>
        </w:rPr>
      </w:pPr>
    </w:p>
    <w:p w:rsidR="00D32C14" w:rsidP="00D32C14" w14:paraId="53E08027" w14:textId="77777777">
      <w:pPr>
        <w:tabs>
          <w:tab w:val="left" w:pos="1440"/>
        </w:tabs>
        <w:spacing w:after="0"/>
        <w:jc w:val="center"/>
        <w:rPr>
          <w:caps/>
        </w:rPr>
      </w:pPr>
      <w:r>
        <w:t>April 6</w:t>
      </w:r>
      <w:r>
        <w:rPr>
          <w:caps/>
        </w:rPr>
        <w:t>, 2020</w:t>
      </w:r>
    </w:p>
    <w:p w:rsidR="00D32C14" w:rsidP="00D32C14" w14:paraId="66A12E7C" w14:textId="77777777">
      <w:pPr>
        <w:tabs>
          <w:tab w:val="left" w:pos="1440"/>
        </w:tabs>
        <w:spacing w:after="0"/>
        <w:jc w:val="center"/>
        <w:rPr>
          <w:caps/>
        </w:rPr>
      </w:pPr>
    </w:p>
    <w:p w:rsidR="00D32C14" w:rsidP="00D32C14" w14:paraId="50812E7A" w14:textId="1083EEF8">
      <w:pPr>
        <w:tabs>
          <w:tab w:val="left" w:pos="1440"/>
        </w:tabs>
        <w:spacing w:after="0"/>
        <w:jc w:val="left"/>
      </w:pPr>
      <w:r>
        <w:t xml:space="preserve">Justice Kruger authored the opinion of the Court, in which </w:t>
      </w:r>
      <w:r w:rsidR="00133BFF">
        <w:t xml:space="preserve">Chief Justice </w:t>
      </w:r>
      <w:r>
        <w:t>Cantil-Sakauye and Justices Liu, Cuéllar, Groban, Elia,</w:t>
      </w:r>
      <w:r>
        <w:rPr>
          <w:rStyle w:val="FootnoteReference"/>
        </w:rPr>
        <w:footnoteReference w:customMarkFollows="1" w:id="3"/>
        <w:t xml:space="preserve">*</w:t>
      </w:r>
      <w:r>
        <w:t xml:space="preserve"> and Brown</w:t>
      </w:r>
      <w:r>
        <w:rPr>
          <w:rStyle w:val="FootnoteReference"/>
        </w:rPr>
        <w:footnoteReference w:customMarkFollows="1" w:id="4"/>
        <w:t xml:space="preserve">**</w:t>
      </w:r>
      <w:r>
        <w:t xml:space="preserve"> concurred.</w:t>
      </w:r>
    </w:p>
    <w:p w:rsidR="00750962" w:rsidRPr="00750962" w:rsidP="00750962" w14:paraId="0D973A03" w14:textId="77777777">
      <w:pPr>
        <w:pBdr>
          <w:bottom w:val="single" w:sz="4" w:space="1" w:color="auto"/>
        </w:pBdr>
        <w:tabs>
          <w:tab w:val="left" w:pos="1440"/>
        </w:tabs>
        <w:spacing w:line="480" w:lineRule="atLeast"/>
        <w:jc w:val="left"/>
        <w:rPr>
          <w:caps/>
        </w:rPr>
      </w:pPr>
      <w:bookmarkStart w:id="2" w:name="Return"/>
      <w:bookmarkEnd w:id="2"/>
    </w:p>
    <w:p w:rsidR="00750962" w14:paraId="6C1E83DF" w14:textId="77777777">
      <w:pPr>
        <w:tabs>
          <w:tab w:val="left" w:pos="1440"/>
        </w:tabs>
        <w:spacing w:line="480" w:lineRule="atLeast"/>
        <w:jc w:val="center"/>
        <w:rPr>
          <w:b/>
          <w:caps/>
        </w:rPr>
        <w:sectPr w:rsidSect="00F4160D">
          <w:pgSz w:w="12240" w:h="15840"/>
          <w:pgMar w:top="1800" w:right="2160" w:bottom="1440" w:left="2160" w:header="720" w:footer="720" w:gutter="0"/>
          <w:cols w:space="720"/>
          <w:titlePg/>
          <w:docGrid w:linePitch="367"/>
        </w:sectPr>
      </w:pPr>
    </w:p>
    <w:p w:rsidR="00750962" w:rsidRPr="003B739C" w:rsidP="00750962" w14:paraId="54BDA17F" w14:textId="746579E1">
      <w:pPr>
        <w:tabs>
          <w:tab w:val="left" w:pos="1440"/>
        </w:tabs>
        <w:jc w:val="center"/>
        <w:rPr>
          <w:caps/>
        </w:rPr>
      </w:pPr>
      <w:r w:rsidRPr="003B739C">
        <w:rPr>
          <w:caps/>
        </w:rPr>
        <w:t xml:space="preserve">MONTROSE CHEMICAL </w:t>
      </w:r>
      <w:r w:rsidR="003B739C">
        <w:rPr>
          <w:caps/>
        </w:rPr>
        <w:t>Corp</w:t>
      </w:r>
      <w:r w:rsidR="00CB26AC">
        <w:rPr>
          <w:caps/>
        </w:rPr>
        <w:t>ORATION OF CALIFORNIA</w:t>
      </w:r>
      <w:r w:rsidR="003B739C">
        <w:rPr>
          <w:caps/>
        </w:rPr>
        <w:t xml:space="preserve"> </w:t>
      </w:r>
      <w:r w:rsidRPr="003B739C">
        <w:t>v.</w:t>
      </w:r>
      <w:r w:rsidRPr="003B739C">
        <w:rPr>
          <w:caps/>
        </w:rPr>
        <w:t xml:space="preserve"> SUPERIOR COURT</w:t>
      </w:r>
    </w:p>
    <w:p w:rsidR="00750962" w:rsidRPr="003B739C" w:rsidP="00750962" w14:paraId="3E7CC199" w14:textId="6D36F603">
      <w:pPr>
        <w:tabs>
          <w:tab w:val="left" w:pos="1440"/>
        </w:tabs>
        <w:jc w:val="center"/>
        <w:rPr>
          <w:caps/>
        </w:rPr>
      </w:pPr>
      <w:r w:rsidRPr="003B739C">
        <w:rPr>
          <w:caps/>
        </w:rPr>
        <w:t>S244737</w:t>
      </w:r>
    </w:p>
    <w:p w:rsidR="00750962" w:rsidP="00750962" w14:paraId="7088BDA9" w14:textId="48E0DDE0">
      <w:pPr>
        <w:tabs>
          <w:tab w:val="left" w:pos="1440"/>
        </w:tabs>
        <w:jc w:val="center"/>
        <w:rPr>
          <w:b/>
          <w:caps/>
        </w:rPr>
      </w:pPr>
    </w:p>
    <w:p w:rsidR="00750962" w:rsidP="00750962" w14:paraId="75ACC059" w14:textId="5866B691">
      <w:pPr>
        <w:tabs>
          <w:tab w:val="left" w:pos="1440"/>
        </w:tabs>
        <w:jc w:val="center"/>
        <w:rPr>
          <w:b/>
          <w:caps/>
        </w:rPr>
      </w:pPr>
      <w:r>
        <w:t>Opinion of the Court by Kruger, J.</w:t>
      </w:r>
    </w:p>
    <w:p w:rsidR="00750962" w:rsidRPr="00750962" w:rsidP="00750962" w14:paraId="42F77999" w14:textId="77777777">
      <w:pPr>
        <w:tabs>
          <w:tab w:val="left" w:pos="1440"/>
        </w:tabs>
        <w:jc w:val="center"/>
        <w:rPr>
          <w:b/>
          <w:caps/>
        </w:rPr>
      </w:pPr>
    </w:p>
    <w:p w:rsidR="00EC4A30" w:rsidP="00A21B06" w14:paraId="06261140" w14:textId="11E77DFA">
      <w:pPr>
        <w:tabs>
          <w:tab w:val="left" w:pos="1440"/>
        </w:tabs>
        <w:ind w:firstLine="720"/>
      </w:pPr>
      <w:bookmarkStart w:id="3" w:name="mainstory"/>
      <w:bookmarkEnd w:id="3"/>
      <w:r>
        <w:t xml:space="preserve">Montrose Chemical Corporation (Montrose) was sued for </w:t>
      </w:r>
      <w:r w:rsidR="00B0578F">
        <w:t xml:space="preserve">causing continuous environmental damage </w:t>
      </w:r>
      <w:r>
        <w:t>in the Los Angeles area between 1947 and 1982</w:t>
      </w:r>
      <w:r w:rsidR="00B0578F">
        <w:t xml:space="preserve"> and </w:t>
      </w:r>
      <w:r w:rsidR="004B6804">
        <w:t xml:space="preserve">subsequently </w:t>
      </w:r>
      <w:r w:rsidR="00B0578F">
        <w:t>entered</w:t>
      </w:r>
      <w:r>
        <w:t xml:space="preserve"> into partial consent </w:t>
      </w:r>
      <w:r w:rsidR="00B0578F">
        <w:t xml:space="preserve">decrees to resolve various claims.  Montrose now seeks to tap its liability insurance to cover </w:t>
      </w:r>
      <w:r w:rsidR="003C4C06">
        <w:t>amounts it owes in connection with those claims.</w:t>
      </w:r>
      <w:r>
        <w:t xml:space="preserve">  </w:t>
      </w:r>
      <w:r w:rsidRPr="00750962" w:rsidR="005B1068">
        <w:t xml:space="preserve">For each policy year </w:t>
      </w:r>
      <w:r w:rsidR="00E75DD4">
        <w:t>from 196</w:t>
      </w:r>
      <w:r w:rsidR="00060116">
        <w:t>1</w:t>
      </w:r>
      <w:r w:rsidR="00E75DD4">
        <w:t xml:space="preserve"> to </w:t>
      </w:r>
      <w:r w:rsidR="003C4C06">
        <w:t>1985</w:t>
      </w:r>
      <w:r w:rsidRPr="00750962" w:rsidR="005B1068">
        <w:t xml:space="preserve">, Montrose </w:t>
      </w:r>
      <w:r w:rsidR="00060116">
        <w:t xml:space="preserve">had </w:t>
      </w:r>
      <w:r w:rsidRPr="00750962" w:rsidR="00E12787">
        <w:t>secured</w:t>
      </w:r>
      <w:r w:rsidRPr="00750962" w:rsidR="005B1068">
        <w:t xml:space="preserve"> primary insurance and multiple layers of excess insurance.  </w:t>
      </w:r>
      <w:r w:rsidRPr="00750962" w:rsidR="0086038D">
        <w:t xml:space="preserve">This case concerns the sequence in which Montrose may access </w:t>
      </w:r>
      <w:r w:rsidRPr="00750962" w:rsidR="00763784">
        <w:t xml:space="preserve">the </w:t>
      </w:r>
      <w:r w:rsidRPr="00750962" w:rsidR="0086038D">
        <w:t>excess insurance policies</w:t>
      </w:r>
      <w:r w:rsidRPr="00750962" w:rsidR="00FC13D7">
        <w:t xml:space="preserve"> </w:t>
      </w:r>
      <w:r w:rsidR="00060116">
        <w:t xml:space="preserve">covering </w:t>
      </w:r>
      <w:r w:rsidRPr="00750962" w:rsidR="00FC13D7">
        <w:t>this period</w:t>
      </w:r>
      <w:r w:rsidRPr="00750962" w:rsidR="0086038D">
        <w:t xml:space="preserve">.  </w:t>
      </w:r>
    </w:p>
    <w:p w:rsidR="003B739C" w:rsidP="0083143F" w14:paraId="2ADB5DC1" w14:textId="0455C7BD">
      <w:pPr>
        <w:tabs>
          <w:tab w:val="left" w:pos="1440"/>
        </w:tabs>
        <w:ind w:firstLine="720"/>
        <w:rPr>
          <w:b/>
        </w:rPr>
      </w:pPr>
      <w:r w:rsidRPr="00750962">
        <w:t xml:space="preserve">Montrose </w:t>
      </w:r>
      <w:r w:rsidRPr="00750962" w:rsidR="00336423">
        <w:t xml:space="preserve">argues </w:t>
      </w:r>
      <w:r w:rsidRPr="00750962">
        <w:t xml:space="preserve">it is entitled to coverage under any </w:t>
      </w:r>
      <w:r w:rsidRPr="00750962" w:rsidR="00763784">
        <w:t xml:space="preserve">relevant </w:t>
      </w:r>
      <w:r w:rsidRPr="00750962">
        <w:t xml:space="preserve">policy once it has exhausted </w:t>
      </w:r>
      <w:r w:rsidR="00EC4A30">
        <w:t>directly underlying</w:t>
      </w:r>
      <w:r w:rsidRPr="00750962" w:rsidR="00EC4A30">
        <w:t xml:space="preserve"> </w:t>
      </w:r>
      <w:r w:rsidRPr="00750962" w:rsidR="00E12787">
        <w:t xml:space="preserve">excess </w:t>
      </w:r>
      <w:r w:rsidRPr="00750962">
        <w:t xml:space="preserve">policies for the same policy </w:t>
      </w:r>
      <w:r w:rsidRPr="00750962" w:rsidR="007E563B">
        <w:t>period</w:t>
      </w:r>
      <w:r w:rsidRPr="00750962">
        <w:t xml:space="preserve">.  </w:t>
      </w:r>
      <w:r w:rsidRPr="00750962" w:rsidR="00B518C6">
        <w:t>The</w:t>
      </w:r>
      <w:r w:rsidRPr="00750962" w:rsidR="00E12787">
        <w:t xml:space="preserve"> </w:t>
      </w:r>
      <w:r w:rsidRPr="00750962" w:rsidR="00C27606">
        <w:t xml:space="preserve">insurers, by contrast, argue that Montrose may call on an </w:t>
      </w:r>
      <w:r w:rsidRPr="00750962" w:rsidR="00B518C6">
        <w:t>excess polic</w:t>
      </w:r>
      <w:r w:rsidRPr="00750962" w:rsidR="00C27606">
        <w:t>y</w:t>
      </w:r>
      <w:r w:rsidRPr="00750962" w:rsidR="000A2081">
        <w:t xml:space="preserve"> only after </w:t>
      </w:r>
      <w:r w:rsidRPr="00750962" w:rsidR="00C27606">
        <w:t xml:space="preserve">it </w:t>
      </w:r>
      <w:r w:rsidRPr="00750962" w:rsidR="00B518C6">
        <w:t>has exhausted every lower</w:t>
      </w:r>
      <w:r w:rsidR="000A4DC4">
        <w:t xml:space="preserve"> </w:t>
      </w:r>
      <w:r w:rsidR="00210209">
        <w:t>level</w:t>
      </w:r>
      <w:r w:rsidRPr="00750962" w:rsidR="00210209">
        <w:t xml:space="preserve"> </w:t>
      </w:r>
      <w:r w:rsidRPr="00750962" w:rsidR="00AA5531">
        <w:t>excess</w:t>
      </w:r>
      <w:r w:rsidRPr="00750962" w:rsidR="00B518C6">
        <w:t xml:space="preserve"> policy </w:t>
      </w:r>
      <w:r w:rsidRPr="00750962" w:rsidR="00AA53BE">
        <w:t xml:space="preserve">covering </w:t>
      </w:r>
      <w:r w:rsidRPr="00750962" w:rsidR="00303CE0">
        <w:t xml:space="preserve">the </w:t>
      </w:r>
      <w:r w:rsidR="0031657A">
        <w:t xml:space="preserve">relevant </w:t>
      </w:r>
      <w:r w:rsidRPr="00750962" w:rsidR="00303CE0">
        <w:t>years</w:t>
      </w:r>
      <w:r w:rsidRPr="00750962" w:rsidR="00B518C6">
        <w:t>.</w:t>
      </w:r>
      <w:r w:rsidRPr="00750962" w:rsidR="00E80EF2">
        <w:t xml:space="preserve">  </w:t>
      </w:r>
      <w:r w:rsidRPr="00750962" w:rsidR="00450E79">
        <w:t xml:space="preserve">Reading the insurance policy language in light of background principles of insurance law, </w:t>
      </w:r>
      <w:r w:rsidRPr="00750962" w:rsidR="00A80C9A">
        <w:t xml:space="preserve">and considering the reasonable expectations of the parties, </w:t>
      </w:r>
      <w:r w:rsidRPr="00750962" w:rsidR="00336423">
        <w:t>we agree with Montrose</w:t>
      </w:r>
      <w:r w:rsidRPr="00750962" w:rsidR="00E80EF2">
        <w:t xml:space="preserve">:  </w:t>
      </w:r>
      <w:r w:rsidRPr="00750962" w:rsidR="00336423">
        <w:t xml:space="preserve">It is entitled to access </w:t>
      </w:r>
      <w:r w:rsidR="00EC4A30">
        <w:t xml:space="preserve">otherwise available </w:t>
      </w:r>
      <w:r w:rsidRPr="00750962" w:rsidR="00336423">
        <w:t xml:space="preserve">coverage under any </w:t>
      </w:r>
      <w:r w:rsidRPr="00750962" w:rsidR="00AA53BE">
        <w:t xml:space="preserve">excess </w:t>
      </w:r>
      <w:r w:rsidRPr="00750962" w:rsidR="00336423">
        <w:t xml:space="preserve">policy once it has exhausted </w:t>
      </w:r>
      <w:r w:rsidRPr="00750962" w:rsidR="00507F93">
        <w:t xml:space="preserve">directly underlying </w:t>
      </w:r>
      <w:r w:rsidR="000F3FA8">
        <w:t xml:space="preserve">excess </w:t>
      </w:r>
      <w:r w:rsidRPr="00750962" w:rsidR="00336423">
        <w:t>policies for the same policy period</w:t>
      </w:r>
      <w:r w:rsidRPr="00750962" w:rsidR="00763784">
        <w:t xml:space="preserve">.  An insurer called on to provide </w:t>
      </w:r>
      <w:r w:rsidRPr="00750962" w:rsidR="00DF5C19">
        <w:t xml:space="preserve">indemnification </w:t>
      </w:r>
      <w:r w:rsidRPr="00750962" w:rsidR="00763784">
        <w:t xml:space="preserve">may, however, seek </w:t>
      </w:r>
      <w:r w:rsidRPr="00750962" w:rsidR="0004573C">
        <w:t>reimbursement</w:t>
      </w:r>
      <w:r w:rsidRPr="00750962" w:rsidR="00336423">
        <w:t xml:space="preserve"> from other insurers that </w:t>
      </w:r>
      <w:r w:rsidRPr="00750962" w:rsidR="00FC13D7">
        <w:t xml:space="preserve">would have been liable to provide coverage under </w:t>
      </w:r>
      <w:r w:rsidRPr="00750962" w:rsidR="00336423">
        <w:t xml:space="preserve">excess policies </w:t>
      </w:r>
      <w:r w:rsidRPr="00750962" w:rsidR="00FC13D7">
        <w:t xml:space="preserve">issued </w:t>
      </w:r>
      <w:r w:rsidRPr="00750962" w:rsidR="00433238">
        <w:t xml:space="preserve">for </w:t>
      </w:r>
      <w:r w:rsidR="00CF3774">
        <w:t>any</w:t>
      </w:r>
      <w:r w:rsidRPr="00750962" w:rsidR="00CF3774">
        <w:t xml:space="preserve"> </w:t>
      </w:r>
      <w:r w:rsidRPr="00750962" w:rsidR="00433238">
        <w:t>period</w:t>
      </w:r>
      <w:r w:rsidRPr="00750962" w:rsidR="00FC13D7">
        <w:t xml:space="preserve"> in which the injury occurred</w:t>
      </w:r>
      <w:r w:rsidRPr="00750962" w:rsidR="00336423">
        <w:t>.</w:t>
      </w:r>
    </w:p>
    <w:p w:rsidR="00E12787" w:rsidRPr="00750962" w:rsidP="003B739C" w14:paraId="03621DA0" w14:textId="34909CC7">
      <w:pPr>
        <w:tabs>
          <w:tab w:val="left" w:pos="1440"/>
        </w:tabs>
        <w:jc w:val="center"/>
      </w:pPr>
      <w:r w:rsidRPr="00750962">
        <w:rPr>
          <w:b/>
        </w:rPr>
        <w:t>I.</w:t>
      </w:r>
    </w:p>
    <w:p w:rsidR="00E12787" w:rsidRPr="00750962" w:rsidP="00750962" w14:paraId="66172D15" w14:textId="6C307280">
      <w:pPr>
        <w:tabs>
          <w:tab w:val="left" w:pos="720"/>
        </w:tabs>
      </w:pPr>
      <w:r w:rsidRPr="00750962">
        <w:tab/>
      </w:r>
      <w:r w:rsidRPr="00750962" w:rsidR="002D0247">
        <w:t xml:space="preserve">We have previously recounted the basic facts </w:t>
      </w:r>
      <w:r w:rsidRPr="00750962" w:rsidR="00C56ACD">
        <w:t>underlying this dispute</w:t>
      </w:r>
      <w:r w:rsidRPr="00750962" w:rsidR="002D0247">
        <w:t xml:space="preserve">.  (See </w:t>
      </w:r>
      <w:r w:rsidRPr="00750962" w:rsidR="002D0247">
        <w:rPr>
          <w:i/>
        </w:rPr>
        <w:t>Montrose Chemical Corp. v. Superior Court</w:t>
      </w:r>
      <w:r w:rsidRPr="00750962" w:rsidR="002D0247">
        <w:t xml:space="preserve"> (1993) 6 Cal.4th 287, 292</w:t>
      </w:r>
      <w:r w:rsidRPr="00750962" w:rsidR="008862DA">
        <w:rPr>
          <w:szCs w:val="26"/>
        </w:rPr>
        <w:t>–</w:t>
      </w:r>
      <w:r w:rsidRPr="00750962" w:rsidR="002D0247">
        <w:t>29</w:t>
      </w:r>
      <w:r w:rsidRPr="00750962" w:rsidR="00504EC1">
        <w:t>4</w:t>
      </w:r>
      <w:r w:rsidRPr="00750962" w:rsidR="002D0247">
        <w:t xml:space="preserve">.)  To </w:t>
      </w:r>
      <w:r w:rsidRPr="00750962" w:rsidR="00DF10CF">
        <w:t>summarize</w:t>
      </w:r>
      <w:r w:rsidRPr="00750962" w:rsidR="002D0247">
        <w:t xml:space="preserve">, </w:t>
      </w:r>
      <w:r w:rsidRPr="00750962" w:rsidR="006157DB">
        <w:t>Montrose manufactured the insecticide dichloro-diphenyl-trichlor</w:t>
      </w:r>
      <w:r w:rsidRPr="00750962" w:rsidR="00A37FC1">
        <w:t>o</w:t>
      </w:r>
      <w:r w:rsidRPr="00750962" w:rsidR="006157DB">
        <w:t>ethane (DDT) at its facility in Torrance</w:t>
      </w:r>
      <w:r w:rsidRPr="00750962" w:rsidR="002D0247">
        <w:t xml:space="preserve"> from 1947 to 1982</w:t>
      </w:r>
      <w:r w:rsidRPr="00750962" w:rsidR="006157DB">
        <w:t xml:space="preserve">.  </w:t>
      </w:r>
      <w:r w:rsidRPr="00750962" w:rsidR="000C3675">
        <w:t xml:space="preserve">In 1990, the United States and the State of California sued Montrose for environmental contamination allegedly caused by Montrose’s operation of this facility.  </w:t>
      </w:r>
      <w:r w:rsidRPr="00750962" w:rsidR="00A80C9A">
        <w:t xml:space="preserve">Montrose entered into partial consent decrees </w:t>
      </w:r>
      <w:r w:rsidRPr="00750962" w:rsidR="00E43DE3">
        <w:t xml:space="preserve">in which it agreed </w:t>
      </w:r>
      <w:r w:rsidRPr="00750962" w:rsidR="00A80C9A">
        <w:t xml:space="preserve">to pay for environmental cleanup.  </w:t>
      </w:r>
      <w:r w:rsidRPr="00750962" w:rsidR="00E43DE3">
        <w:t xml:space="preserve">To meet </w:t>
      </w:r>
      <w:r w:rsidRPr="00750962" w:rsidR="003E32BF">
        <w:t xml:space="preserve">its </w:t>
      </w:r>
      <w:r w:rsidRPr="00750962" w:rsidR="00E43DE3">
        <w:t>obligation</w:t>
      </w:r>
      <w:r w:rsidRPr="00750962" w:rsidR="003E32BF">
        <w:t>s</w:t>
      </w:r>
      <w:r w:rsidRPr="00750962" w:rsidR="00E43DE3">
        <w:t xml:space="preserve">, </w:t>
      </w:r>
      <w:r w:rsidRPr="00750962" w:rsidR="00A80C9A">
        <w:t xml:space="preserve">Montrose </w:t>
      </w:r>
      <w:r w:rsidRPr="00750962" w:rsidR="000C3675">
        <w:t xml:space="preserve">has </w:t>
      </w:r>
      <w:r w:rsidRPr="00750962" w:rsidR="00E35785">
        <w:t xml:space="preserve">now </w:t>
      </w:r>
      <w:r w:rsidRPr="00750962" w:rsidR="007A161C">
        <w:t xml:space="preserve">expended millions of dollars—Montrose represents the total is more than $100 million—and </w:t>
      </w:r>
      <w:r w:rsidRPr="00750962" w:rsidR="003E32BF">
        <w:t xml:space="preserve">asserts </w:t>
      </w:r>
      <w:r w:rsidRPr="00750962" w:rsidR="007A161C">
        <w:t xml:space="preserve">that </w:t>
      </w:r>
      <w:r w:rsidRPr="00750962" w:rsidR="000C3675">
        <w:t xml:space="preserve">its anticipated future liability could approach or exceed </w:t>
      </w:r>
      <w:r w:rsidRPr="00750962" w:rsidR="007A161C">
        <w:t xml:space="preserve">this </w:t>
      </w:r>
      <w:r w:rsidRPr="00750962" w:rsidR="000C3675">
        <w:t>amount.</w:t>
      </w:r>
    </w:p>
    <w:p w:rsidR="00A54508" w:rsidRPr="00750962" w:rsidP="00750962" w14:paraId="2D86CED5" w14:textId="7B30ECF6">
      <w:pPr>
        <w:tabs>
          <w:tab w:val="left" w:pos="720"/>
        </w:tabs>
      </w:pPr>
      <w:r w:rsidRPr="00750962">
        <w:tab/>
      </w:r>
      <w:r w:rsidRPr="00750962" w:rsidR="004F1EE5">
        <w:t xml:space="preserve">Montrose purchased </w:t>
      </w:r>
      <w:r w:rsidRPr="00750962" w:rsidR="0040693E">
        <w:t xml:space="preserve">primary and excess </w:t>
      </w:r>
      <w:r w:rsidRPr="00750962" w:rsidR="004F1EE5">
        <w:t>comprehensive general liability insurance</w:t>
      </w:r>
      <w:r w:rsidRPr="00750962" w:rsidR="00F16A50">
        <w:t xml:space="preserve"> to cover its operations at the Torrance facility from </w:t>
      </w:r>
      <w:r w:rsidR="0031657A">
        <w:t xml:space="preserve">defendant insurers between </w:t>
      </w:r>
      <w:r w:rsidRPr="00750962" w:rsidR="0031657A">
        <w:t>196</w:t>
      </w:r>
      <w:r w:rsidR="0031657A">
        <w:t>1</w:t>
      </w:r>
      <w:r w:rsidRPr="00750962" w:rsidR="0031657A">
        <w:t xml:space="preserve"> </w:t>
      </w:r>
      <w:r w:rsidR="0031657A">
        <w:t>and</w:t>
      </w:r>
      <w:r w:rsidRPr="00750962" w:rsidR="0031657A">
        <w:t xml:space="preserve"> 198</w:t>
      </w:r>
      <w:r w:rsidR="0031657A">
        <w:t>5</w:t>
      </w:r>
      <w:r w:rsidRPr="00750962" w:rsidR="00F16A50">
        <w:t xml:space="preserve">. </w:t>
      </w:r>
      <w:r w:rsidRPr="00750962" w:rsidR="008564BF">
        <w:t xml:space="preserve"> </w:t>
      </w:r>
      <w:r w:rsidRPr="00750962" w:rsidR="000F7070">
        <w:t xml:space="preserve">Primary insurance refers to the first layer of coverage, whereby “liability attaches </w:t>
      </w:r>
      <w:r w:rsidRPr="00750962" w:rsidR="000F7070">
        <w:rPr>
          <w:i/>
        </w:rPr>
        <w:t>immediately</w:t>
      </w:r>
      <w:r w:rsidRPr="00750962" w:rsidR="000F7070">
        <w:t xml:space="preserve"> upon the happening of the occurrence that gives rise to liability.”  (</w:t>
      </w:r>
      <w:r w:rsidRPr="00750962" w:rsidR="000F7070">
        <w:rPr>
          <w:i/>
        </w:rPr>
        <w:t>Olympic Ins. Co. v. Employers Surplus Lines Ins. Co.</w:t>
      </w:r>
      <w:r w:rsidRPr="00750962" w:rsidR="000F7070">
        <w:t xml:space="preserve"> (1981) 126 Cal.App.3d 593, 597.)  Excess insurance, by contrast, “refers to indemnity coverage that attaches upon the exhaustion of underlying insurance coverage for a claim.”  (</w:t>
      </w:r>
      <w:r w:rsidRPr="00750962" w:rsidR="000F7070">
        <w:rPr>
          <w:i/>
        </w:rPr>
        <w:t>County of San Diego v. Ace Property &amp; Ca</w:t>
      </w:r>
      <w:r w:rsidRPr="00750962" w:rsidR="00F81065">
        <w:rPr>
          <w:i/>
        </w:rPr>
        <w:t>sualty</w:t>
      </w:r>
      <w:r w:rsidRPr="00750962" w:rsidR="000F7070">
        <w:rPr>
          <w:i/>
        </w:rPr>
        <w:t xml:space="preserve"> Ins. Co.</w:t>
      </w:r>
      <w:r w:rsidRPr="00750962" w:rsidR="000F7070">
        <w:t xml:space="preserve"> (2005) 37 Cal.4th 406, 416, fn. 4.)</w:t>
      </w:r>
      <w:r w:rsidRPr="00750962" w:rsidR="0000571A">
        <w:t xml:space="preserve">  </w:t>
      </w:r>
      <w:r w:rsidRPr="00750962" w:rsidR="00670DE8">
        <w:t xml:space="preserve">An excess insurer’s coverage obligation begins once a certain level of loss or liability is reached; that level is generally referred to as the “attachment point” of the excess policy.  </w:t>
      </w:r>
      <w:r w:rsidRPr="00750962" w:rsidR="0000571A">
        <w:t>(Rest., Liability Insurance, § 39, c</w:t>
      </w:r>
      <w:r w:rsidRPr="00750962" w:rsidR="00796CE6">
        <w:t>om</w:t>
      </w:r>
      <w:r w:rsidRPr="00750962" w:rsidR="0000571A">
        <w:t xml:space="preserve">. </w:t>
      </w:r>
      <w:r w:rsidRPr="00750962" w:rsidR="00796CE6">
        <w:t>d, p. 338</w:t>
      </w:r>
      <w:r w:rsidRPr="00750962" w:rsidR="0000571A">
        <w:t>.)</w:t>
      </w:r>
      <w:r w:rsidRPr="00750962" w:rsidR="00F16A50">
        <w:t xml:space="preserve"> </w:t>
      </w:r>
      <w:r w:rsidRPr="00750962" w:rsidR="00E52E85">
        <w:t xml:space="preserve"> </w:t>
      </w:r>
      <w:r w:rsidRPr="00750962" w:rsidR="0017075E">
        <w:t xml:space="preserve">Here, </w:t>
      </w:r>
      <w:r w:rsidRPr="00750962" w:rsidR="00487B4D">
        <w:t>40</w:t>
      </w:r>
      <w:r w:rsidRPr="00750962" w:rsidR="00CA6D78">
        <w:t xml:space="preserve"> insurers collectively issued more than 115 excess policies during th</w:t>
      </w:r>
      <w:r w:rsidRPr="00750962" w:rsidR="00336423">
        <w:t xml:space="preserve">e </w:t>
      </w:r>
      <w:r w:rsidRPr="00750962" w:rsidR="00DA15B5">
        <w:t>196</w:t>
      </w:r>
      <w:r w:rsidR="00DA15B5">
        <w:t>1</w:t>
      </w:r>
      <w:r w:rsidR="0026382B">
        <w:t xml:space="preserve"> to </w:t>
      </w:r>
      <w:r w:rsidRPr="00750962" w:rsidR="00DA15B5">
        <w:t>198</w:t>
      </w:r>
      <w:r w:rsidR="00DA15B5">
        <w:t>5</w:t>
      </w:r>
      <w:r w:rsidRPr="00750962" w:rsidR="00DA15B5">
        <w:t xml:space="preserve"> </w:t>
      </w:r>
      <w:r w:rsidRPr="00750962" w:rsidR="00CA6D78">
        <w:t xml:space="preserve">period, </w:t>
      </w:r>
      <w:r w:rsidR="0026382B">
        <w:t xml:space="preserve">which collectively provide </w:t>
      </w:r>
      <w:r w:rsidRPr="00750962" w:rsidR="0003100F">
        <w:t xml:space="preserve">coverage </w:t>
      </w:r>
      <w:r w:rsidRPr="00750962" w:rsidR="00E34610">
        <w:t>sufficient to indemnify Montrose’s anticipated total liability</w:t>
      </w:r>
      <w:r w:rsidRPr="00750962" w:rsidR="0003100F">
        <w:t xml:space="preserve">.  </w:t>
      </w:r>
    </w:p>
    <w:p w:rsidR="007F0DA0" w:rsidRPr="00750962" w:rsidP="00750962" w14:paraId="2229740B" w14:textId="1664A6C8">
      <w:pPr>
        <w:tabs>
          <w:tab w:val="left" w:pos="720"/>
        </w:tabs>
      </w:pPr>
      <w:r w:rsidRPr="00750962">
        <w:tab/>
        <w:t xml:space="preserve">Montrose and the insurers, </w:t>
      </w:r>
      <w:r w:rsidRPr="00750962" w:rsidR="00FC13D7">
        <w:t xml:space="preserve">which </w:t>
      </w:r>
      <w:r w:rsidRPr="00750962">
        <w:t>are the real parties in interest here,</w:t>
      </w:r>
      <w:r>
        <w:rPr>
          <w:rStyle w:val="FootnoteReference"/>
        </w:rPr>
        <w:footnoteReference w:id="5"/>
      </w:r>
      <w:r w:rsidRPr="00750962">
        <w:t xml:space="preserve"> agree for purposes of this dispute that </w:t>
      </w:r>
      <w:r w:rsidRPr="00750962">
        <w:t xml:space="preserve">Montrose’s primary coverage </w:t>
      </w:r>
      <w:r w:rsidRPr="00750962">
        <w:t xml:space="preserve">has been </w:t>
      </w:r>
      <w:r w:rsidRPr="00750962">
        <w:t>exhausted.</w:t>
      </w:r>
      <w:r w:rsidRPr="00750962" w:rsidR="0016089E">
        <w:t xml:space="preserve">  </w:t>
      </w:r>
      <w:r w:rsidRPr="00750962" w:rsidR="00225186">
        <w:t xml:space="preserve">Further, the </w:t>
      </w:r>
      <w:r w:rsidRPr="00750962" w:rsidR="00CA6277">
        <w:t xml:space="preserve">parties </w:t>
      </w:r>
      <w:r w:rsidRPr="00750962" w:rsidR="00225186">
        <w:t xml:space="preserve">have </w:t>
      </w:r>
      <w:r w:rsidRPr="00750962" w:rsidR="00CA6277">
        <w:t xml:space="preserve">stipulated </w:t>
      </w:r>
      <w:r w:rsidRPr="00750962" w:rsidR="004871C3">
        <w:t>to the relevant language found in the excess policies.</w:t>
      </w:r>
      <w:r>
        <w:rPr>
          <w:rStyle w:val="FootnoteReference"/>
        </w:rPr>
        <w:footnoteReference w:id="6"/>
      </w:r>
      <w:r w:rsidRPr="00750962" w:rsidR="004871C3">
        <w:t xml:space="preserve">  Specifically, each policy </w:t>
      </w:r>
      <w:r w:rsidRPr="00750962" w:rsidR="00E42E81">
        <w:t xml:space="preserve">provides that Montrose must exhaust the limits of its underlying insurance coverage before there will be coverage under the policy.  The policies describe the </w:t>
      </w:r>
      <w:r w:rsidRPr="00750962" w:rsidR="004871C3">
        <w:t xml:space="preserve">applicable underlying coverage in four </w:t>
      </w:r>
      <w:r w:rsidR="000B011F">
        <w:t xml:space="preserve">main </w:t>
      </w:r>
      <w:r w:rsidRPr="00750962" w:rsidR="004871C3">
        <w:t>ways:</w:t>
      </w:r>
    </w:p>
    <w:p w:rsidR="004871C3" w:rsidRPr="00750962" w:rsidP="00750962" w14:paraId="2B5595AD" w14:textId="428B9CFC">
      <w:pPr>
        <w:tabs>
          <w:tab w:val="left" w:pos="720"/>
        </w:tabs>
      </w:pPr>
      <w:r w:rsidRPr="00750962">
        <w:tab/>
        <w:t xml:space="preserve">1. </w:t>
      </w:r>
      <w:r w:rsidRPr="00750962" w:rsidR="00AF5822">
        <w:t xml:space="preserve"> </w:t>
      </w:r>
      <w:r w:rsidRPr="00750962" w:rsidR="002E7B29">
        <w:t xml:space="preserve">Some </w:t>
      </w:r>
      <w:r w:rsidRPr="00750962" w:rsidR="00DC2066">
        <w:t>policies contain a</w:t>
      </w:r>
      <w:r w:rsidRPr="00750962">
        <w:t xml:space="preserve"> schedule of underlying insurance listing all of the underlying policies in the same policy period by insurer name, policy number, and dollar amount.</w:t>
      </w:r>
    </w:p>
    <w:p w:rsidR="004871C3" w:rsidRPr="00750962" w:rsidP="00750962" w14:paraId="0D5BD2DC" w14:textId="34C17635">
      <w:pPr>
        <w:tabs>
          <w:tab w:val="left" w:pos="720"/>
        </w:tabs>
      </w:pPr>
      <w:r w:rsidRPr="00750962">
        <w:tab/>
        <w:t>2.</w:t>
      </w:r>
      <w:r w:rsidRPr="00750962" w:rsidR="00AF5822">
        <w:t xml:space="preserve"> </w:t>
      </w:r>
      <w:r w:rsidRPr="00750962">
        <w:t xml:space="preserve"> </w:t>
      </w:r>
      <w:r w:rsidRPr="00750962" w:rsidR="00DC2066">
        <w:t>Some policies r</w:t>
      </w:r>
      <w:r w:rsidRPr="00750962">
        <w:t>eference a specific dollar amount of underlying insurance in the same policy period and a schedule of underlying insurance on file with the insurer</w:t>
      </w:r>
      <w:r w:rsidRPr="00750962" w:rsidR="000D0D76">
        <w:t>.</w:t>
      </w:r>
    </w:p>
    <w:p w:rsidR="000D0D76" w:rsidRPr="00750962" w:rsidP="00750962" w14:paraId="16B50091" w14:textId="2E5F16D5">
      <w:pPr>
        <w:tabs>
          <w:tab w:val="left" w:pos="720"/>
        </w:tabs>
      </w:pPr>
      <w:r w:rsidRPr="00750962">
        <w:tab/>
        <w:t xml:space="preserve">3. </w:t>
      </w:r>
      <w:r w:rsidRPr="00750962" w:rsidR="00AF5822">
        <w:t xml:space="preserve"> </w:t>
      </w:r>
      <w:r w:rsidRPr="00750962" w:rsidR="00DC2066">
        <w:t>Some policies r</w:t>
      </w:r>
      <w:r w:rsidRPr="00750962">
        <w:t>eference a specific dollar amount of underlying insurance in the same policy period and identif</w:t>
      </w:r>
      <w:r w:rsidR="00253B3D">
        <w:t>y</w:t>
      </w:r>
      <w:r w:rsidRPr="00750962">
        <w:t xml:space="preserve"> one or more of the underlying insurers.</w:t>
      </w:r>
    </w:p>
    <w:p w:rsidR="000D0D76" w:rsidRPr="00750962" w:rsidP="00750962" w14:paraId="38E36875" w14:textId="7F2330BB">
      <w:pPr>
        <w:tabs>
          <w:tab w:val="left" w:pos="720"/>
        </w:tabs>
      </w:pPr>
      <w:r w:rsidRPr="00750962">
        <w:tab/>
        <w:t xml:space="preserve">4. </w:t>
      </w:r>
      <w:r w:rsidRPr="00750962" w:rsidR="00AF5822">
        <w:t xml:space="preserve"> </w:t>
      </w:r>
      <w:r w:rsidRPr="00750962" w:rsidR="00DC2066">
        <w:t xml:space="preserve">Some </w:t>
      </w:r>
      <w:r w:rsidRPr="00750962" w:rsidR="0054484E">
        <w:t xml:space="preserve">policies </w:t>
      </w:r>
      <w:r w:rsidRPr="00750962" w:rsidR="00DC2066">
        <w:t>r</w:t>
      </w:r>
      <w:r w:rsidRPr="00750962">
        <w:t>eference a specific dollar amount of underlying insurance that corresponds with the combined limits o</w:t>
      </w:r>
      <w:r w:rsidRPr="00750962" w:rsidR="00E34610">
        <w:t>f</w:t>
      </w:r>
      <w:r w:rsidRPr="00750962">
        <w:t xml:space="preserve"> the underlying policies in that policy period.</w:t>
      </w:r>
    </w:p>
    <w:p w:rsidR="001342E0" w:rsidRPr="00750962" w:rsidP="00750962" w14:paraId="072B29AC" w14:textId="7BDB21BA">
      <w:pPr>
        <w:tabs>
          <w:tab w:val="left" w:pos="720"/>
        </w:tabs>
      </w:pPr>
      <w:r w:rsidRPr="00750962">
        <w:tab/>
      </w:r>
      <w:r w:rsidRPr="00750962" w:rsidR="001809F4">
        <w:t>In a variety of ways, t</w:t>
      </w:r>
      <w:r w:rsidRPr="00750962">
        <w:t xml:space="preserve">he </w:t>
      </w:r>
      <w:r w:rsidRPr="00750962" w:rsidR="00DC2066">
        <w:t xml:space="preserve">excess </w:t>
      </w:r>
      <w:r w:rsidRPr="00750962">
        <w:t>policies also provide that “other insurance”</w:t>
      </w:r>
      <w:r w:rsidRPr="00750962" w:rsidR="00514101">
        <w:t xml:space="preserve"> </w:t>
      </w:r>
      <w:r w:rsidRPr="00750962">
        <w:t xml:space="preserve">must be exhausted before the excess policy can be accessed.  </w:t>
      </w:r>
      <w:r w:rsidRPr="00750962">
        <w:t>Relevant examples include the following:</w:t>
      </w:r>
    </w:p>
    <w:p w:rsidR="00AD2190" w:rsidRPr="00750962" w:rsidP="00750962" w14:paraId="1DEA64CF" w14:textId="0DA1ED9F">
      <w:pPr>
        <w:pStyle w:val="ListParagraph"/>
        <w:numPr>
          <w:ilvl w:val="0"/>
          <w:numId w:val="1"/>
        </w:numPr>
        <w:tabs>
          <w:tab w:val="left" w:pos="720"/>
        </w:tabs>
        <w:ind w:left="720" w:hanging="293"/>
      </w:pPr>
      <w:r w:rsidRPr="00750962">
        <w:t>S</w:t>
      </w:r>
      <w:r w:rsidRPr="00750962" w:rsidR="00D23E79">
        <w:t>ome policies provide that they will “indemnify the insured for the amount of loss which is in excess of the applicable limits of liability of the [scheduled] underlying insurance</w:t>
      </w:r>
      <w:r w:rsidRPr="00750962" w:rsidR="00021C5C">
        <w:t>,</w:t>
      </w:r>
      <w:r w:rsidRPr="00750962" w:rsidR="00D23E79">
        <w:t>” and then define “loss</w:t>
      </w:r>
      <w:r w:rsidRPr="00750962" w:rsidR="00F81065">
        <w:t>”</w:t>
      </w:r>
      <w:r w:rsidRPr="00750962" w:rsidR="00D23E79">
        <w:t xml:space="preserve"> as “the sums paid as damages in settlement of a claim or in satisfaction of a judgment for which the insured is legally liable, after making deductions for all recoveries, salvages and </w:t>
      </w:r>
      <w:r w:rsidRPr="00750962" w:rsidR="00D23E79">
        <w:rPr>
          <w:i/>
        </w:rPr>
        <w:t>other insurances (whether recoverable or not) other than the underlying insurance and excess insurance purchased specifically to be in excess of this policy</w:t>
      </w:r>
      <w:r w:rsidRPr="00750962" w:rsidR="00021C5C">
        <w:t>.</w:t>
      </w:r>
      <w:r w:rsidRPr="00750962">
        <w:t>”</w:t>
      </w:r>
      <w:r w:rsidR="00D00A4A">
        <w:t xml:space="preserve">  (Italics added.)</w:t>
      </w:r>
    </w:p>
    <w:p w:rsidR="001342E0" w:rsidRPr="00750962" w:rsidP="00872002" w14:paraId="442A0AF4" w14:textId="69DC4C57">
      <w:pPr>
        <w:pStyle w:val="ListParagraph"/>
        <w:numPr>
          <w:ilvl w:val="0"/>
          <w:numId w:val="1"/>
        </w:numPr>
        <w:tabs>
          <w:tab w:val="left" w:pos="720"/>
        </w:tabs>
        <w:ind w:left="720" w:hanging="293"/>
      </w:pPr>
      <w:r w:rsidRPr="00750962">
        <w:t>Some policies state that the insurer is liable for “the ultimate net loss in excess of the retained limit</w:t>
      </w:r>
      <w:r w:rsidRPr="00750962" w:rsidR="00F81065">
        <w:t>”</w:t>
      </w:r>
      <w:r w:rsidR="00872002">
        <w:t xml:space="preserve"> </w:t>
      </w:r>
      <w:r w:rsidRPr="00750962">
        <w:t xml:space="preserve">and define “retained limit” </w:t>
      </w:r>
      <w:r w:rsidR="00872002">
        <w:t xml:space="preserve">to mean, among other things, the </w:t>
      </w:r>
      <w:r w:rsidR="00A3293C">
        <w:t xml:space="preserve">“total of the applicable limits of the underlying policies listed in [a schedule] [and] </w:t>
      </w:r>
      <w:r w:rsidRPr="00750962">
        <w:t xml:space="preserve">the applicable limits of </w:t>
      </w:r>
      <w:r w:rsidRPr="00750962">
        <w:rPr>
          <w:i/>
        </w:rPr>
        <w:t>any other underlying insurance</w:t>
      </w:r>
      <w:r w:rsidR="00EE491E">
        <w:rPr>
          <w:i/>
        </w:rPr>
        <w:t xml:space="preserve"> collectible by the insured</w:t>
      </w:r>
      <w:r w:rsidR="000F3FA8">
        <w:t>.</w:t>
      </w:r>
      <w:r w:rsidRPr="00750962">
        <w:t>”</w:t>
      </w:r>
      <w:r w:rsidR="00A3293C">
        <w:t xml:space="preserve"> </w:t>
      </w:r>
      <w:r w:rsidR="00F4160D">
        <w:t xml:space="preserve"> </w:t>
      </w:r>
      <w:r w:rsidR="00A3293C">
        <w:t>(Italics added.)</w:t>
      </w:r>
    </w:p>
    <w:p w:rsidR="001342E0" w:rsidRPr="00750962" w:rsidP="00750962" w14:paraId="1BF2FD7F" w14:textId="388F3317">
      <w:pPr>
        <w:pStyle w:val="ListParagraph"/>
        <w:numPr>
          <w:ilvl w:val="0"/>
          <w:numId w:val="1"/>
        </w:numPr>
        <w:tabs>
          <w:tab w:val="left" w:pos="720"/>
        </w:tabs>
        <w:ind w:left="720" w:hanging="293"/>
      </w:pPr>
      <w:r w:rsidRPr="00750962">
        <w:t xml:space="preserve">Under a “Loss Payable” provision, </w:t>
      </w:r>
      <w:r w:rsidR="00AC724D">
        <w:t>one</w:t>
      </w:r>
      <w:r w:rsidRPr="00750962" w:rsidR="00AC724D">
        <w:t xml:space="preserve"> polic</w:t>
      </w:r>
      <w:r w:rsidR="00AC724D">
        <w:t>y</w:t>
      </w:r>
      <w:r w:rsidRPr="00750962" w:rsidR="00AC724D">
        <w:t xml:space="preserve"> </w:t>
      </w:r>
      <w:r w:rsidRPr="00750962">
        <w:t>provide</w:t>
      </w:r>
      <w:r w:rsidR="00AC724D">
        <w:t>s</w:t>
      </w:r>
      <w:r w:rsidRPr="00750962">
        <w:t xml:space="preserve"> </w:t>
      </w:r>
      <w:r w:rsidR="00AC724D">
        <w:t>it</w:t>
      </w:r>
      <w:r w:rsidRPr="00750962" w:rsidR="00AC724D">
        <w:t xml:space="preserve"> </w:t>
      </w:r>
      <w:r w:rsidRPr="00750962">
        <w:t xml:space="preserve">will pay “any ultimate net loss,” </w:t>
      </w:r>
      <w:r w:rsidRPr="00750962" w:rsidR="001C1F44">
        <w:t xml:space="preserve">which is separately </w:t>
      </w:r>
      <w:r w:rsidRPr="00750962">
        <w:t xml:space="preserve">defined as “the sums paid in settlement of losses for which the Insured is liable after making deductions for all recoveries, salvages and </w:t>
      </w:r>
      <w:r w:rsidRPr="00750962">
        <w:rPr>
          <w:i/>
        </w:rPr>
        <w:t>other insurance (other than recoveries under the underlying insurance, policies of co-insurance, or policies specifically in excess hereof)</w:t>
      </w:r>
      <w:r w:rsidRPr="00750962" w:rsidR="00F81065">
        <w:t>.</w:t>
      </w:r>
      <w:r w:rsidRPr="00750962">
        <w:t>”</w:t>
      </w:r>
      <w:r w:rsidR="00AC724D">
        <w:t xml:space="preserve">  (Italics added.)</w:t>
      </w:r>
    </w:p>
    <w:p w:rsidR="001342E0" w:rsidRPr="00750962" w:rsidP="00750962" w14:paraId="53F3B638" w14:textId="2347D579">
      <w:pPr>
        <w:pStyle w:val="ListParagraph"/>
        <w:numPr>
          <w:ilvl w:val="0"/>
          <w:numId w:val="1"/>
        </w:numPr>
        <w:tabs>
          <w:tab w:val="left" w:pos="720"/>
        </w:tabs>
        <w:ind w:left="720" w:hanging="293"/>
      </w:pPr>
      <w:r w:rsidRPr="00750962">
        <w:t xml:space="preserve">Under a “Limits” provision, some policies provide that “the insurance afforded under this policy shall apply only after </w:t>
      </w:r>
      <w:r w:rsidRPr="00750962">
        <w:rPr>
          <w:i/>
        </w:rPr>
        <w:t>all underlying insurance</w:t>
      </w:r>
      <w:r w:rsidRPr="00750962">
        <w:t xml:space="preserve"> has been exhausted.”</w:t>
      </w:r>
      <w:r w:rsidR="008C0078">
        <w:t xml:space="preserve">  (Italics added.)</w:t>
      </w:r>
    </w:p>
    <w:p w:rsidR="001342E0" w:rsidRPr="00750962" w:rsidP="00750962" w14:paraId="47A26E51" w14:textId="0669F8DA">
      <w:pPr>
        <w:pStyle w:val="ListParagraph"/>
        <w:numPr>
          <w:ilvl w:val="0"/>
          <w:numId w:val="1"/>
        </w:numPr>
        <w:tabs>
          <w:tab w:val="left" w:pos="720"/>
        </w:tabs>
        <w:ind w:left="720" w:hanging="293"/>
      </w:pPr>
      <w:r>
        <w:t>One</w:t>
      </w:r>
      <w:r w:rsidRPr="00750962">
        <w:t xml:space="preserve"> polic</w:t>
      </w:r>
      <w:r>
        <w:t>y</w:t>
      </w:r>
      <w:r w:rsidRPr="00750962">
        <w:t xml:space="preserve"> </w:t>
      </w:r>
      <w:r w:rsidRPr="00750962">
        <w:t>state</w:t>
      </w:r>
      <w:r>
        <w:t>s</w:t>
      </w:r>
      <w:r w:rsidRPr="00750962">
        <w:t xml:space="preserve"> that “[i]f </w:t>
      </w:r>
      <w:r w:rsidRPr="00750962">
        <w:rPr>
          <w:i/>
        </w:rPr>
        <w:t>other valid and collectible insurance</w:t>
      </w:r>
      <w:r w:rsidRPr="00750962">
        <w:t xml:space="preserve"> with any other insurer is available to the Insured covering a loss also covered by this policy, other than insurance that is in excess of the insurance afforded by this policy, the insurance afforded by this policy shall be in excess of and shall not contribute with such other insurance.”</w:t>
      </w:r>
      <w:r>
        <w:t xml:space="preserve">  (Italics added.)</w:t>
      </w:r>
    </w:p>
    <w:p w:rsidR="007F0DA0" w:rsidRPr="00750962" w:rsidP="00750962" w14:paraId="62FEBA51" w14:textId="57D94225">
      <w:pPr>
        <w:tabs>
          <w:tab w:val="left" w:pos="720"/>
        </w:tabs>
      </w:pPr>
      <w:r w:rsidRPr="00750962">
        <w:tab/>
        <w:t>Montrose and the insurers disagree whether</w:t>
      </w:r>
      <w:r w:rsidRPr="00750962" w:rsidR="008165F5">
        <w:t xml:space="preserve"> </w:t>
      </w:r>
      <w:r w:rsidRPr="00750962">
        <w:t>these clause</w:t>
      </w:r>
      <w:r w:rsidRPr="00750962" w:rsidR="0016089E">
        <w:t>s</w:t>
      </w:r>
      <w:r w:rsidRPr="00750962" w:rsidR="005A3C48">
        <w:t>—</w:t>
      </w:r>
      <w:r w:rsidRPr="00750962" w:rsidR="008165F5">
        <w:t>which</w:t>
      </w:r>
      <w:r w:rsidRPr="00750962" w:rsidR="00931ACC">
        <w:t xml:space="preserve"> </w:t>
      </w:r>
      <w:r w:rsidRPr="00750962" w:rsidR="00F917BF">
        <w:t xml:space="preserve">we </w:t>
      </w:r>
      <w:r w:rsidRPr="00750962" w:rsidR="008165F5">
        <w:t xml:space="preserve">will </w:t>
      </w:r>
      <w:r w:rsidRPr="00750962" w:rsidR="005A3C48">
        <w:t>collectively</w:t>
      </w:r>
      <w:r w:rsidRPr="00750962" w:rsidR="00F917BF">
        <w:t xml:space="preserve"> </w:t>
      </w:r>
      <w:r w:rsidRPr="00750962" w:rsidR="00931ACC">
        <w:t xml:space="preserve">call </w:t>
      </w:r>
      <w:r w:rsidRPr="00750962" w:rsidR="005A3C48">
        <w:t>“other insurance” clauses—</w:t>
      </w:r>
      <w:r w:rsidRPr="00750962">
        <w:t xml:space="preserve">require Montrose to exhaust other insurance coverage from other policy periods.  </w:t>
      </w:r>
      <w:r w:rsidRPr="00750962" w:rsidR="00276173">
        <w:t>Th</w:t>
      </w:r>
      <w:r w:rsidRPr="00750962" w:rsidR="000969A9">
        <w:t xml:space="preserve">is dispute </w:t>
      </w:r>
      <w:r w:rsidRPr="00750962" w:rsidR="008D366B">
        <w:t>dates to</w:t>
      </w:r>
      <w:r w:rsidRPr="00750962" w:rsidR="00276173">
        <w:t xml:space="preserve"> 1990</w:t>
      </w:r>
      <w:r w:rsidRPr="00750962" w:rsidR="000969A9">
        <w:t xml:space="preserve">, </w:t>
      </w:r>
      <w:r w:rsidRPr="00750962" w:rsidR="00276173">
        <w:t xml:space="preserve">when Montrose first sued its insurers to resolve various coverage disputes, but the relevant filing for our purposes occurred in 2015, when Montrose’s </w:t>
      </w:r>
      <w:r w:rsidR="00145FB8">
        <w:t>f</w:t>
      </w:r>
      <w:r w:rsidRPr="00750962" w:rsidR="00145FB8">
        <w:t xml:space="preserve">ifth </w:t>
      </w:r>
      <w:r w:rsidR="00145FB8">
        <w:t>a</w:t>
      </w:r>
      <w:r w:rsidRPr="00750962" w:rsidR="00145FB8">
        <w:t xml:space="preserve">mended </w:t>
      </w:r>
      <w:r w:rsidR="00145FB8">
        <w:t>c</w:t>
      </w:r>
      <w:r w:rsidRPr="00750962" w:rsidR="00145FB8">
        <w:t xml:space="preserve">omplaint </w:t>
      </w:r>
      <w:r w:rsidRPr="00750962" w:rsidR="00276173">
        <w:t>asserted a new cause of action seek</w:t>
      </w:r>
      <w:r w:rsidRPr="00750962" w:rsidR="0021233C">
        <w:t>ing</w:t>
      </w:r>
      <w:r w:rsidRPr="00750962" w:rsidR="00276173">
        <w:t xml:space="preserve"> </w:t>
      </w:r>
      <w:r w:rsidRPr="00750962" w:rsidR="00DD1ADF">
        <w:t xml:space="preserve">the following </w:t>
      </w:r>
      <w:r w:rsidRPr="00750962" w:rsidR="00276173">
        <w:t>declaration:</w:t>
      </w:r>
    </w:p>
    <w:p w:rsidR="00276173" w:rsidRPr="00750962" w:rsidP="00750962" w14:paraId="613E9196" w14:textId="0575C3F6">
      <w:pPr>
        <w:tabs>
          <w:tab w:val="left" w:pos="720"/>
        </w:tabs>
      </w:pPr>
      <w:r w:rsidRPr="00750962">
        <w:tab/>
        <w:t>“a.  In order to seek indemnification under the Defendant Insurers’ excess policies, Montrose need only establish that its liabilities are sufficient to exhaust the underlying policy(ies) in </w:t>
      </w:r>
      <w:r w:rsidRPr="00750962">
        <w:rPr>
          <w:i/>
          <w:iCs/>
        </w:rPr>
        <w:t>the same policy period</w:t>
      </w:r>
      <w:r w:rsidRPr="00750962">
        <w:t>, and is not required to establish that all policies insuring Montrose in</w:t>
      </w:r>
      <w:r w:rsidRPr="00750962" w:rsidR="003500D1">
        <w:t xml:space="preserve"> </w:t>
      </w:r>
      <w:r w:rsidRPr="00750962">
        <w:rPr>
          <w:i/>
          <w:iCs/>
        </w:rPr>
        <w:t>every</w:t>
      </w:r>
      <w:r w:rsidRPr="00750962" w:rsidR="003500D1">
        <w:rPr>
          <w:i/>
          <w:iCs/>
        </w:rPr>
        <w:t xml:space="preserve"> </w:t>
      </w:r>
      <w:r w:rsidRPr="00750962">
        <w:t>policy period (including policies issued to cover different time periods both before and after the policy period insured by the targeted policy) with limits of liability less than the attachment point of the targeted policy, have been exhausted; and</w:t>
      </w:r>
    </w:p>
    <w:p w:rsidR="00276173" w:rsidRPr="00750962" w:rsidP="00750962" w14:paraId="3864115E" w14:textId="4396385E">
      <w:pPr>
        <w:tabs>
          <w:tab w:val="left" w:pos="720"/>
        </w:tabs>
      </w:pPr>
      <w:r w:rsidRPr="00750962">
        <w:tab/>
        <w:t>“b.  Montrose may select the manner in which [to] allocate its liabilities across the policy(ies) covering such losses.”</w:t>
      </w:r>
    </w:p>
    <w:p w:rsidR="00B54651" w:rsidRPr="00750962" w:rsidP="00750962" w14:paraId="71FB0FDF" w14:textId="33D553D6">
      <w:pPr>
        <w:tabs>
          <w:tab w:val="left" w:pos="720"/>
        </w:tabs>
      </w:pPr>
      <w:r w:rsidRPr="00750962">
        <w:tab/>
      </w:r>
      <w:r w:rsidRPr="00750962" w:rsidR="000969A9">
        <w:t xml:space="preserve">The rule </w:t>
      </w:r>
      <w:r w:rsidRPr="00750962">
        <w:t xml:space="preserve">Montrose proposes </w:t>
      </w:r>
      <w:r w:rsidRPr="00750962" w:rsidR="00DD1ADF">
        <w:t xml:space="preserve">in its amended complaint </w:t>
      </w:r>
      <w:r w:rsidRPr="00750962" w:rsidR="000969A9">
        <w:t xml:space="preserve">is </w:t>
      </w:r>
      <w:r w:rsidRPr="00750962">
        <w:t>a rule of “vertical exhaustion”</w:t>
      </w:r>
      <w:r w:rsidRPr="00750962" w:rsidR="00B24CC9">
        <w:t xml:space="preserve"> or “elective stacking,”</w:t>
      </w:r>
      <w:r w:rsidRPr="00750962">
        <w:t xml:space="preserve"> whereby it may access any excess policy once it has exhausted other policies with lower attachment points in the same policy period.</w:t>
      </w:r>
      <w:r w:rsidRPr="00750962" w:rsidR="00E5208A">
        <w:t xml:space="preserve">  </w:t>
      </w:r>
      <w:r w:rsidRPr="00750962" w:rsidR="00E34610">
        <w:t>The</w:t>
      </w:r>
      <w:r w:rsidRPr="00750962">
        <w:t xml:space="preserve"> insurers, in contrast,</w:t>
      </w:r>
      <w:r w:rsidRPr="00750962" w:rsidR="00E34610">
        <w:t xml:space="preserve"> each of which has issued an excess policy to Montrose in one of the triggered policy years,</w:t>
      </w:r>
      <w:r w:rsidRPr="00750962">
        <w:t xml:space="preserve"> argue for a rule of “horizontal exhaustion,” whereby Montrose may access an excess policy only after it has exhausted other policies with lower attachment points from </w:t>
      </w:r>
      <w:r w:rsidRPr="00750962">
        <w:rPr>
          <w:i/>
        </w:rPr>
        <w:t>every</w:t>
      </w:r>
      <w:r w:rsidRPr="00750962">
        <w:t xml:space="preserve"> policy period </w:t>
      </w:r>
      <w:r w:rsidRPr="00750962" w:rsidR="00514101">
        <w:t xml:space="preserve">in which </w:t>
      </w:r>
      <w:r w:rsidRPr="00750962">
        <w:t>the environmental damage resulting in liability occurred.  The parties filed cross-motions for summary adjudication of this issue.</w:t>
      </w:r>
      <w:r>
        <w:rPr>
          <w:rStyle w:val="FootnoteReference"/>
        </w:rPr>
        <w:footnoteReference w:id="7"/>
      </w:r>
    </w:p>
    <w:p w:rsidR="002201D9" w:rsidRPr="00750962" w:rsidP="00750962" w14:paraId="479CDE37" w14:textId="5CADFD95">
      <w:pPr>
        <w:tabs>
          <w:tab w:val="left" w:pos="720"/>
        </w:tabs>
      </w:pPr>
      <w:r w:rsidRPr="00750962">
        <w:tab/>
        <w:t xml:space="preserve">The trial court denied Montrose’s motion and granted </w:t>
      </w:r>
      <w:r w:rsidRPr="00750962" w:rsidR="00485B2E">
        <w:t>the insurer</w:t>
      </w:r>
      <w:r w:rsidRPr="00750962" w:rsidR="00FC13D7">
        <w:t>s</w:t>
      </w:r>
      <w:r w:rsidRPr="00750962" w:rsidR="00485B2E">
        <w:t>’ motion</w:t>
      </w:r>
      <w:r w:rsidRPr="00750962" w:rsidR="00BF3268">
        <w:t xml:space="preserve">, holding that the excess policies required horizontal exhaustion in the context of this </w:t>
      </w:r>
      <w:r w:rsidRPr="00750962" w:rsidR="00E34610">
        <w:t>multiyear</w:t>
      </w:r>
      <w:r w:rsidRPr="00750962" w:rsidR="00BF3268">
        <w:t xml:space="preserve"> injury.  The court concluded there is a </w:t>
      </w:r>
      <w:r w:rsidR="003E45C9">
        <w:t>“ ‘</w:t>
      </w:r>
      <w:r w:rsidRPr="00750962" w:rsidR="00BF3268">
        <w:t>well-established rule that horizontal exhaustion should apply in the absence of policy language specifically describing and limiting the underlying insurance.</w:t>
      </w:r>
      <w:r w:rsidRPr="00750962" w:rsidR="001C4A82">
        <w:t>’ </w:t>
      </w:r>
      <w:r w:rsidRPr="00750962" w:rsidR="00BF3268">
        <w:t>”  Montrose filed a petition</w:t>
      </w:r>
      <w:r w:rsidRPr="00750962" w:rsidR="007D47CC">
        <w:t xml:space="preserve"> for a writ of mandate</w:t>
      </w:r>
      <w:r w:rsidRPr="00750962" w:rsidR="00BF3268">
        <w:t>, which the Court of Appeal summarily denied.</w:t>
      </w:r>
      <w:r w:rsidRPr="00750962" w:rsidR="0016089E">
        <w:t xml:space="preserve">  </w:t>
      </w:r>
      <w:r w:rsidRPr="00750962" w:rsidR="00BF3268">
        <w:t xml:space="preserve">We granted Montrose’s petition for review and transferred the case to the </w:t>
      </w:r>
      <w:r w:rsidRPr="00750962" w:rsidR="00EC6F8E">
        <w:t>C</w:t>
      </w:r>
      <w:r w:rsidRPr="00750962" w:rsidR="00BF3268">
        <w:t xml:space="preserve">ourt of </w:t>
      </w:r>
      <w:r w:rsidRPr="00750962" w:rsidR="00EC6F8E">
        <w:t>A</w:t>
      </w:r>
      <w:r w:rsidRPr="00750962" w:rsidR="00BF3268">
        <w:t>ppeal with instructions to issue an order to show cause why the relief Montrose sought should not be granted.</w:t>
      </w:r>
    </w:p>
    <w:p w:rsidR="00D43093" w:rsidRPr="00750962" w:rsidP="00750962" w14:paraId="6805B5BA" w14:textId="22E3F9DC">
      <w:pPr>
        <w:tabs>
          <w:tab w:val="left" w:pos="720"/>
        </w:tabs>
      </w:pPr>
      <w:r w:rsidRPr="00750962">
        <w:tab/>
        <w:t xml:space="preserve">The </w:t>
      </w:r>
      <w:r w:rsidRPr="00750962" w:rsidR="00EC6F8E">
        <w:t>C</w:t>
      </w:r>
      <w:r w:rsidRPr="00750962">
        <w:t xml:space="preserve">ourt of </w:t>
      </w:r>
      <w:r w:rsidRPr="00750962" w:rsidR="00EC6F8E">
        <w:t>A</w:t>
      </w:r>
      <w:r w:rsidRPr="00750962">
        <w:t>ppeal affirmed the trial court’s denial of Montrose’s motion for summary adjudication and affirmed</w:t>
      </w:r>
      <w:r w:rsidRPr="00750962" w:rsidR="0016089E">
        <w:t xml:space="preserve"> in part</w:t>
      </w:r>
      <w:r w:rsidRPr="00750962">
        <w:t xml:space="preserve"> the trial court’s</w:t>
      </w:r>
      <w:r w:rsidRPr="00750962" w:rsidR="00B25374">
        <w:t xml:space="preserve"> grant of the insurers’ parallel motion</w:t>
      </w:r>
      <w:r w:rsidRPr="00750962">
        <w:t xml:space="preserve">. </w:t>
      </w:r>
      <w:r w:rsidRPr="00750962" w:rsidR="00375A9A">
        <w:t xml:space="preserve"> </w:t>
      </w:r>
      <w:r w:rsidRPr="00750962" w:rsidR="00FC13D7">
        <w:t>(</w:t>
      </w:r>
      <w:r w:rsidRPr="00750962" w:rsidR="005929B8">
        <w:rPr>
          <w:i/>
        </w:rPr>
        <w:t>Montrose Chemical Corp. v. Superior Court</w:t>
      </w:r>
      <w:r w:rsidRPr="00750962" w:rsidR="005929B8">
        <w:t xml:space="preserve"> (2017) 14 Cal.App.5th 1306, 132</w:t>
      </w:r>
      <w:r w:rsidR="005929B8">
        <w:t>1, 1338</w:t>
      </w:r>
      <w:r w:rsidRPr="00750962" w:rsidR="005929B8">
        <w:t xml:space="preserve"> (</w:t>
      </w:r>
      <w:r w:rsidRPr="00750962" w:rsidR="005929B8">
        <w:rPr>
          <w:i/>
        </w:rPr>
        <w:t>Montrose II</w:t>
      </w:r>
      <w:r w:rsidRPr="00750962" w:rsidR="005929B8">
        <w:t>)</w:t>
      </w:r>
      <w:r w:rsidRPr="00750962" w:rsidR="00FC13D7">
        <w:t xml:space="preserve">.)  </w:t>
      </w:r>
      <w:r w:rsidRPr="00750962" w:rsidR="00A37217">
        <w:t xml:space="preserve">The court </w:t>
      </w:r>
      <w:r w:rsidRPr="00750962" w:rsidR="00AB1A3E">
        <w:t>concluded that the plain language of many of the excess policies purchased by Montrose provide that they “attach not upon exhaustion of lower</w:t>
      </w:r>
      <w:r w:rsidRPr="00750962" w:rsidR="00073F53">
        <w:t xml:space="preserve"> </w:t>
      </w:r>
      <w:r w:rsidRPr="00750962" w:rsidR="00AB1A3E">
        <w:t xml:space="preserve">layer policies within the same policy period, but rather upon exhaustion of </w:t>
      </w:r>
      <w:r w:rsidRPr="00750962" w:rsidR="00AB1A3E">
        <w:rPr>
          <w:i/>
        </w:rPr>
        <w:t>all</w:t>
      </w:r>
      <w:r w:rsidRPr="00750962" w:rsidR="00AB1A3E">
        <w:t xml:space="preserve"> available insurance.”</w:t>
      </w:r>
      <w:r w:rsidRPr="00750962" w:rsidR="00FC13D7">
        <w:t xml:space="preserve">  (</w:t>
      </w:r>
      <w:r w:rsidRPr="00750962" w:rsidR="00FC13D7">
        <w:rPr>
          <w:i/>
        </w:rPr>
        <w:t>Id.</w:t>
      </w:r>
      <w:r w:rsidRPr="00750962" w:rsidR="00FC13D7">
        <w:t xml:space="preserve"> at p.</w:t>
      </w:r>
      <w:r w:rsidRPr="00750962" w:rsidR="00351071">
        <w:t> </w:t>
      </w:r>
      <w:r w:rsidRPr="00750962" w:rsidR="00FC13D7">
        <w:t>1327.)</w:t>
      </w:r>
    </w:p>
    <w:p w:rsidR="00BF3268" w:rsidRPr="00750962" w:rsidP="00750962" w14:paraId="3E1980EE" w14:textId="5B3E6AC0">
      <w:pPr>
        <w:tabs>
          <w:tab w:val="left" w:pos="720"/>
        </w:tabs>
      </w:pPr>
      <w:r w:rsidRPr="00750962">
        <w:tab/>
        <w:t xml:space="preserve">Shortly after the Court of Appeal published its opinion in this case, another Court of Appeal disagreed with its reasoning in </w:t>
      </w:r>
      <w:r w:rsidRPr="00750962">
        <w:rPr>
          <w:i/>
        </w:rPr>
        <w:t>State of California v. Continental Ins. Co.</w:t>
      </w:r>
      <w:r w:rsidRPr="00750962">
        <w:t xml:space="preserve"> (2017) 15 Cal.App.5th 1017.  </w:t>
      </w:r>
      <w:r w:rsidR="00CE47FA">
        <w:t>T</w:t>
      </w:r>
      <w:r w:rsidRPr="00750962">
        <w:t xml:space="preserve">he court </w:t>
      </w:r>
      <w:r w:rsidR="00CE47FA">
        <w:t xml:space="preserve">in that case </w:t>
      </w:r>
      <w:r w:rsidRPr="00750962">
        <w:t xml:space="preserve">determined that vertical exhaustion was appropriate </w:t>
      </w:r>
      <w:r w:rsidR="00CE47FA">
        <w:t xml:space="preserve">given </w:t>
      </w:r>
      <w:r w:rsidRPr="00750962">
        <w:t>the relevant policy language and our case law.  (</w:t>
      </w:r>
      <w:r w:rsidRPr="00750962">
        <w:rPr>
          <w:i/>
        </w:rPr>
        <w:t>Id.</w:t>
      </w:r>
      <w:r w:rsidRPr="00750962">
        <w:t xml:space="preserve"> at pp.</w:t>
      </w:r>
      <w:r w:rsidRPr="00750962" w:rsidR="00A054A8">
        <w:t> </w:t>
      </w:r>
      <w:r w:rsidRPr="00750962">
        <w:t>1031</w:t>
      </w:r>
      <w:r w:rsidRPr="00750962" w:rsidR="00A054A8">
        <w:rPr>
          <w:szCs w:val="26"/>
        </w:rPr>
        <w:t>–</w:t>
      </w:r>
      <w:r w:rsidRPr="00750962">
        <w:t>1037.)</w:t>
      </w:r>
    </w:p>
    <w:p w:rsidR="00CA3A06" w:rsidRPr="00750962" w:rsidP="00750962" w14:paraId="7373F490" w14:textId="0D03C251">
      <w:pPr>
        <w:tabs>
          <w:tab w:val="left" w:pos="720"/>
        </w:tabs>
      </w:pPr>
      <w:r w:rsidRPr="00750962">
        <w:tab/>
      </w:r>
      <w:r w:rsidRPr="00750962" w:rsidR="008F7F82">
        <w:t xml:space="preserve">We granted review </w:t>
      </w:r>
      <w:r w:rsidRPr="00750962" w:rsidR="009920E9">
        <w:t xml:space="preserve">in this case </w:t>
      </w:r>
      <w:r w:rsidRPr="00750962" w:rsidR="008F7F82">
        <w:t xml:space="preserve">to determine </w:t>
      </w:r>
      <w:r w:rsidRPr="00750962" w:rsidR="003355ED">
        <w:t xml:space="preserve">whether vertical exhaustion or horizontal exhaustion is required when continuous </w:t>
      </w:r>
      <w:r w:rsidR="000F3FA8">
        <w:t>injury</w:t>
      </w:r>
      <w:r w:rsidRPr="00750962" w:rsidR="003355ED">
        <w:t xml:space="preserve"> occurs </w:t>
      </w:r>
      <w:r w:rsidRPr="00750962" w:rsidR="001C257F">
        <w:t xml:space="preserve">over the course of multiple policy </w:t>
      </w:r>
      <w:r w:rsidRPr="00750962" w:rsidR="003355ED">
        <w:t>periods for which an insured purchased multiple layers of excess insurance.</w:t>
      </w:r>
      <w:r w:rsidRPr="00750962" w:rsidR="00932E44">
        <w:t xml:space="preserve">  </w:t>
      </w:r>
      <w:r w:rsidRPr="00750962" w:rsidR="001C257F">
        <w:t>Reading the relevant policy language in light of background principles of insurance law</w:t>
      </w:r>
      <w:r w:rsidRPr="00750962" w:rsidR="00561088">
        <w:t xml:space="preserve"> and considering the parties’ reasonable expectations</w:t>
      </w:r>
      <w:r w:rsidRPr="00750962" w:rsidR="001C257F">
        <w:t xml:space="preserve">, we conclude that a rule of vertical exhaustion is appropriate.  Under that rule, the insured has access to any excess policy once it has exhausted other </w:t>
      </w:r>
      <w:r w:rsidR="0030248C">
        <w:t xml:space="preserve">directly underlying </w:t>
      </w:r>
      <w:r w:rsidR="000F3FA8">
        <w:t xml:space="preserve">excess </w:t>
      </w:r>
      <w:r w:rsidRPr="00750962" w:rsidR="001C257F">
        <w:t xml:space="preserve">policies with lower attachment points, but </w:t>
      </w:r>
      <w:r w:rsidR="009A2FFA">
        <w:t>an</w:t>
      </w:r>
      <w:r w:rsidRPr="00750962" w:rsidR="009A2FFA">
        <w:t xml:space="preserve"> </w:t>
      </w:r>
      <w:r w:rsidRPr="00750962" w:rsidR="001C257F">
        <w:t xml:space="preserve">insurer </w:t>
      </w:r>
      <w:r w:rsidR="00F27D81">
        <w:t>called upon</w:t>
      </w:r>
      <w:r w:rsidRPr="00750962" w:rsidR="00F27D81">
        <w:t xml:space="preserve"> </w:t>
      </w:r>
      <w:r w:rsidRPr="00750962" w:rsidR="008D4911">
        <w:t xml:space="preserve">to indemnify the insured’s loss </w:t>
      </w:r>
      <w:r w:rsidRPr="00750962" w:rsidR="001C257F">
        <w:t xml:space="preserve">may seek </w:t>
      </w:r>
      <w:r w:rsidRPr="00750962" w:rsidR="008D4911">
        <w:t xml:space="preserve">reimbursement </w:t>
      </w:r>
      <w:r w:rsidRPr="00750962" w:rsidR="001C257F">
        <w:t xml:space="preserve">from other insurers </w:t>
      </w:r>
      <w:r w:rsidRPr="00750962" w:rsidR="00CB024C">
        <w:t xml:space="preserve">that </w:t>
      </w:r>
      <w:r w:rsidRPr="00750962" w:rsidR="001C257F">
        <w:t xml:space="preserve">issued policies </w:t>
      </w:r>
      <w:r w:rsidR="00CE47FA">
        <w:t xml:space="preserve">covering </w:t>
      </w:r>
      <w:r w:rsidRPr="00750962" w:rsidR="001C257F">
        <w:t>relevant policy periods.</w:t>
      </w:r>
      <w:r>
        <w:rPr>
          <w:rStyle w:val="FootnoteReference"/>
        </w:rPr>
        <w:footnoteReference w:id="8"/>
      </w:r>
    </w:p>
    <w:p w:rsidR="001F53A5" w:rsidRPr="00750962" w:rsidP="003B739C" w14:paraId="427A2ACE" w14:textId="77777777">
      <w:pPr>
        <w:jc w:val="center"/>
        <w:rPr>
          <w:b/>
        </w:rPr>
      </w:pPr>
      <w:r w:rsidRPr="00750962">
        <w:rPr>
          <w:b/>
        </w:rPr>
        <w:t>II.</w:t>
      </w:r>
    </w:p>
    <w:p w:rsidR="00E912A0" w:rsidRPr="00750962" w:rsidP="003B739C" w14:paraId="63C8E94A" w14:textId="77777777">
      <w:pPr>
        <w:jc w:val="center"/>
        <w:rPr>
          <w:b/>
        </w:rPr>
      </w:pPr>
      <w:r w:rsidRPr="00750962">
        <w:rPr>
          <w:b/>
        </w:rPr>
        <w:t>A.</w:t>
      </w:r>
    </w:p>
    <w:p w:rsidR="001F0733" w:rsidRPr="00750962" w:rsidP="00750962" w14:paraId="47F3B378" w14:textId="2B165688">
      <w:r w:rsidRPr="00750962">
        <w:tab/>
      </w:r>
      <w:r w:rsidRPr="00750962" w:rsidR="0034337B">
        <w:t xml:space="preserve">We begin our analysis with a few background </w:t>
      </w:r>
      <w:r w:rsidRPr="00750962" w:rsidR="00006C74">
        <w:t xml:space="preserve">insurance law </w:t>
      </w:r>
      <w:r w:rsidRPr="00750962" w:rsidR="0034337B">
        <w:t>principles specific to the continuous or “long-tail” injury at issue here</w:t>
      </w:r>
      <w:r w:rsidRPr="00750962" w:rsidR="004E5080">
        <w:t>, where damage occurs over multiple policy periods</w:t>
      </w:r>
      <w:r w:rsidRPr="00750962" w:rsidR="0034337B">
        <w:t>.</w:t>
      </w:r>
      <w:r w:rsidRPr="00750962" w:rsidR="00A31537">
        <w:t xml:space="preserve">  (See </w:t>
      </w:r>
      <w:r w:rsidRPr="00750962" w:rsidR="00A31537">
        <w:rPr>
          <w:i/>
        </w:rPr>
        <w:t>State of California v. Continental Ins. Co.</w:t>
      </w:r>
      <w:r w:rsidRPr="00750962" w:rsidR="00A31537">
        <w:t xml:space="preserve"> (2012) 55 Cal.4th 186, 195</w:t>
      </w:r>
      <w:r w:rsidRPr="00750962" w:rsidR="00A054A8">
        <w:rPr>
          <w:szCs w:val="26"/>
        </w:rPr>
        <w:t>–</w:t>
      </w:r>
      <w:r w:rsidRPr="00750962" w:rsidR="00A31537">
        <w:t>196 (</w:t>
      </w:r>
      <w:r w:rsidRPr="00750962" w:rsidR="00A31537">
        <w:rPr>
          <w:i/>
        </w:rPr>
        <w:t>Continental</w:t>
      </w:r>
      <w:r w:rsidRPr="00750962" w:rsidR="00A31537">
        <w:t>).)</w:t>
      </w:r>
      <w:r w:rsidRPr="00750962" w:rsidR="0034337B">
        <w:t xml:space="preserve">  In a much </w:t>
      </w:r>
      <w:r w:rsidRPr="00750962" w:rsidR="00DE66F7">
        <w:t xml:space="preserve">earlier iteration of this case, </w:t>
      </w:r>
      <w:r w:rsidRPr="00750962" w:rsidR="004E5080">
        <w:t xml:space="preserve">we </w:t>
      </w:r>
      <w:r w:rsidR="00C97663">
        <w:t xml:space="preserve">noted </w:t>
      </w:r>
      <w:r w:rsidRPr="00750962" w:rsidR="004E5080">
        <w:t>“the settled rule</w:t>
      </w:r>
      <w:r w:rsidR="00C97663">
        <w:t>” is that “</w:t>
      </w:r>
      <w:r w:rsidRPr="00750962" w:rsidR="004E5080">
        <w:t xml:space="preserve">an insurer on the risk when continuous or progressively deteriorating damage or injury first manifests itself remains obligated to indemnify the insured for the </w:t>
      </w:r>
      <w:r w:rsidRPr="00750962" w:rsidR="004E5080">
        <w:rPr>
          <w:i/>
        </w:rPr>
        <w:t>entirety</w:t>
      </w:r>
      <w:r w:rsidRPr="00750962" w:rsidR="004E5080">
        <w:t xml:space="preserve"> of the ensuing damage or injury</w:t>
      </w:r>
      <w:r w:rsidRPr="00750962" w:rsidR="0016089E">
        <w:t>,</w:t>
      </w:r>
      <w:r w:rsidRPr="00750962" w:rsidR="004E5080">
        <w:t>”</w:t>
      </w:r>
      <w:r w:rsidRPr="00750962" w:rsidR="0016089E">
        <w:t xml:space="preserve"> up to the policy’s limit.</w:t>
      </w:r>
      <w:r w:rsidRPr="00750962" w:rsidR="004E5080">
        <w:t xml:space="preserve">  (</w:t>
      </w:r>
      <w:r w:rsidRPr="00750962" w:rsidR="004E5080">
        <w:rPr>
          <w:i/>
        </w:rPr>
        <w:t>Montrose Chemical Corp. v. Admiral Ins. Co.</w:t>
      </w:r>
      <w:r w:rsidRPr="00750962" w:rsidR="004E5080">
        <w:t xml:space="preserve"> (1995) 10 Cal.4th 645, 686</w:t>
      </w:r>
      <w:r w:rsidRPr="00750962" w:rsidR="00375A9A">
        <w:t>, italics added</w:t>
      </w:r>
      <w:r w:rsidRPr="00750962" w:rsidR="0016089E">
        <w:t xml:space="preserve"> (</w:t>
      </w:r>
      <w:r w:rsidRPr="00750962" w:rsidR="0016089E">
        <w:rPr>
          <w:i/>
        </w:rPr>
        <w:t>Montrose</w:t>
      </w:r>
      <w:r w:rsidRPr="00750962" w:rsidR="0006361F">
        <w:rPr>
          <w:i/>
        </w:rPr>
        <w:t xml:space="preserve"> I</w:t>
      </w:r>
      <w:r w:rsidRPr="00750962" w:rsidR="0016089E">
        <w:t>)</w:t>
      </w:r>
      <w:r w:rsidRPr="00750962" w:rsidR="004E5080">
        <w:t>.)  “There is no requirement that .</w:t>
      </w:r>
      <w:r w:rsidRPr="00750962" w:rsidR="00A054A8">
        <w:t> </w:t>
      </w:r>
      <w:r w:rsidRPr="00750962" w:rsidR="004E5080">
        <w:t>.</w:t>
      </w:r>
      <w:r w:rsidRPr="00750962" w:rsidR="00A054A8">
        <w:t> </w:t>
      </w:r>
      <w:r w:rsidRPr="00750962" w:rsidR="004E5080">
        <w:t xml:space="preserve">. </w:t>
      </w:r>
      <w:r w:rsidRPr="00750962" w:rsidR="00A8354D">
        <w:t xml:space="preserve">the </w:t>
      </w:r>
      <w:r w:rsidRPr="00750962" w:rsidR="004E5080">
        <w:t>conditions giving rise to the damage or injury</w:t>
      </w:r>
      <w:r w:rsidR="00696CF2">
        <w:t xml:space="preserve"> .</w:t>
      </w:r>
      <w:r w:rsidR="003E45C9">
        <w:t> </w:t>
      </w:r>
      <w:r w:rsidR="00696CF2">
        <w:t>.</w:t>
      </w:r>
      <w:r w:rsidR="003E45C9">
        <w:t> </w:t>
      </w:r>
      <w:r w:rsidR="00696CF2">
        <w:t>.</w:t>
      </w:r>
      <w:r w:rsidRPr="00750962" w:rsidR="00696CF2">
        <w:t xml:space="preserve"> </w:t>
      </w:r>
      <w:r w:rsidRPr="00750962" w:rsidR="004E5080">
        <w:t>themselves occur within the policy period in order for potential liability coverage to arise.”  (</w:t>
      </w:r>
      <w:r w:rsidRPr="00750962" w:rsidR="004E5080">
        <w:rPr>
          <w:i/>
        </w:rPr>
        <w:t>Ibid.</w:t>
      </w:r>
      <w:r w:rsidRPr="00750962" w:rsidR="004E5080">
        <w:t>)</w:t>
      </w:r>
      <w:r w:rsidRPr="00750962" w:rsidR="00C92A81">
        <w:t xml:space="preserve">  </w:t>
      </w:r>
      <w:r w:rsidRPr="00750962" w:rsidR="00A8354D">
        <w:t xml:space="preserve">Extending this logic to the continuous injury context, we </w:t>
      </w:r>
      <w:r w:rsidRPr="00750962" w:rsidR="000C2560">
        <w:t xml:space="preserve">held that </w:t>
      </w:r>
      <w:r w:rsidRPr="00750962" w:rsidR="00A8354D">
        <w:t xml:space="preserve">“bodily injury and property damage which is continuous or progressively </w:t>
      </w:r>
      <w:r w:rsidRPr="00750962" w:rsidR="00DC6B0C">
        <w:t>deteriorating</w:t>
      </w:r>
      <w:r w:rsidRPr="00750962" w:rsidR="00A8354D">
        <w:t xml:space="preserve"> throughout several policy periods</w:t>
      </w:r>
      <w:r w:rsidRPr="00750962">
        <w:t xml:space="preserve"> is </w:t>
      </w:r>
      <w:r w:rsidRPr="00750962" w:rsidR="00A8354D">
        <w:t>potentially covered by all policies in effect during those periods.”  (</w:t>
      </w:r>
      <w:r w:rsidRPr="00750962" w:rsidR="00A8354D">
        <w:rPr>
          <w:i/>
        </w:rPr>
        <w:t>Id.</w:t>
      </w:r>
      <w:r w:rsidRPr="00750962" w:rsidR="00A8354D">
        <w:t xml:space="preserve"> at p.</w:t>
      </w:r>
      <w:r w:rsidRPr="00750962" w:rsidR="00796CE6">
        <w:t> </w:t>
      </w:r>
      <w:r w:rsidRPr="00750962" w:rsidR="00A8354D">
        <w:t xml:space="preserve">689.)  </w:t>
      </w:r>
      <w:r w:rsidRPr="00750962" w:rsidR="00944316">
        <w:t xml:space="preserve">This </w:t>
      </w:r>
      <w:r w:rsidRPr="00750962" w:rsidR="006D0729">
        <w:t xml:space="preserve">principle </w:t>
      </w:r>
      <w:r w:rsidRPr="00750962" w:rsidR="00944316">
        <w:t>is also known as the</w:t>
      </w:r>
      <w:r w:rsidRPr="00750962" w:rsidR="000C2560">
        <w:t xml:space="preserve"> “continuous injury trigger of coverage.”  (</w:t>
      </w:r>
      <w:r w:rsidRPr="00750962" w:rsidR="000C2560">
        <w:rPr>
          <w:i/>
        </w:rPr>
        <w:t>Ibid.</w:t>
      </w:r>
      <w:r w:rsidRPr="00750962" w:rsidR="000C2560">
        <w:t>)</w:t>
      </w:r>
    </w:p>
    <w:p w:rsidR="00EC4A30" w:rsidP="00750962" w14:paraId="54932A31" w14:textId="41059847">
      <w:pPr>
        <w:ind w:firstLine="720"/>
      </w:pPr>
      <w:r w:rsidRPr="00750962">
        <w:t xml:space="preserve">In </w:t>
      </w:r>
      <w:r w:rsidRPr="00750962">
        <w:rPr>
          <w:i/>
        </w:rPr>
        <w:t>Aerojet-General Corp. v. Transport Indem</w:t>
      </w:r>
      <w:r w:rsidRPr="00750962" w:rsidR="00073F53">
        <w:rPr>
          <w:i/>
        </w:rPr>
        <w:t>nity</w:t>
      </w:r>
      <w:r w:rsidRPr="00750962">
        <w:rPr>
          <w:i/>
        </w:rPr>
        <w:t xml:space="preserve"> Co.</w:t>
      </w:r>
      <w:r w:rsidRPr="00750962">
        <w:t xml:space="preserve"> (1997) 17 Cal.4th 38, 57</w:t>
      </w:r>
      <w:r w:rsidR="003E45C9">
        <w:t xml:space="preserve"> (</w:t>
      </w:r>
      <w:r w:rsidRPr="003E45C9" w:rsidR="003E45C9">
        <w:rPr>
          <w:i/>
        </w:rPr>
        <w:t>Aerojet</w:t>
      </w:r>
      <w:r w:rsidR="003E45C9">
        <w:t>)</w:t>
      </w:r>
      <w:r w:rsidRPr="00750962">
        <w:t>, we illustrated th</w:t>
      </w:r>
      <w:r w:rsidRPr="00750962" w:rsidR="006D0729">
        <w:t xml:space="preserve">e </w:t>
      </w:r>
      <w:r w:rsidRPr="00750962">
        <w:t xml:space="preserve">principle with an example: </w:t>
      </w:r>
      <w:r w:rsidRPr="00750962" w:rsidR="005263D3">
        <w:t xml:space="preserve"> </w:t>
      </w:r>
      <w:r w:rsidRPr="00750962" w:rsidR="001F0733">
        <w:t>I</w:t>
      </w:r>
      <w:r w:rsidRPr="00750962">
        <w:t>f an insured</w:t>
      </w:r>
      <w:r w:rsidRPr="00750962" w:rsidR="00DC5FF7">
        <w:t xml:space="preserve"> company</w:t>
      </w:r>
      <w:r w:rsidRPr="00750962">
        <w:t xml:space="preserve"> discharges a hazardous substance that causes property damage in the amount of $100,000 each year for a span of 30 years, a</w:t>
      </w:r>
      <w:r w:rsidRPr="00750962" w:rsidR="001D2D5B">
        <w:t xml:space="preserve"> $1 million</w:t>
      </w:r>
      <w:r w:rsidRPr="00750962">
        <w:t xml:space="preserve"> insurance policy </w:t>
      </w:r>
      <w:r w:rsidRPr="00750962" w:rsidR="001D2D5B">
        <w:t>that is purchased for</w:t>
      </w:r>
      <w:r w:rsidRPr="00750962" w:rsidR="00DC5FF7">
        <w:t xml:space="preserve"> </w:t>
      </w:r>
      <w:r w:rsidRPr="00750962" w:rsidR="002B2FEB">
        <w:t xml:space="preserve">the first </w:t>
      </w:r>
      <w:r w:rsidRPr="00750962" w:rsidR="001D2D5B">
        <w:t xml:space="preserve">year </w:t>
      </w:r>
      <w:r w:rsidRPr="00750962" w:rsidR="002B2FEB">
        <w:t xml:space="preserve">of </w:t>
      </w:r>
      <w:r w:rsidRPr="00750962" w:rsidR="001D2D5B">
        <w:t xml:space="preserve">that </w:t>
      </w:r>
      <w:r w:rsidRPr="00750962" w:rsidR="00DC5FF7">
        <w:t>30-year</w:t>
      </w:r>
      <w:r w:rsidRPr="00750962" w:rsidR="001D2D5B">
        <w:t xml:space="preserve"> span would be required to pay the insured the full $1 million </w:t>
      </w:r>
      <w:r w:rsidRPr="00750962" w:rsidR="0016089E">
        <w:t xml:space="preserve">limit </w:t>
      </w:r>
      <w:r w:rsidRPr="00750962" w:rsidR="001D2D5B">
        <w:t xml:space="preserve">for indemnification.  Even though the damage </w:t>
      </w:r>
      <w:r w:rsidRPr="00750962" w:rsidR="00DC5FF7">
        <w:t>traceable to the policy year in which the insurance policy was in effect only amounted to $100,000</w:t>
      </w:r>
      <w:r w:rsidRPr="00750962" w:rsidR="002323B9">
        <w:t xml:space="preserve">, </w:t>
      </w:r>
      <w:r w:rsidRPr="00750962" w:rsidR="00767F03">
        <w:t>the insurer is liable for all</w:t>
      </w:r>
      <w:r w:rsidRPr="00750962" w:rsidR="00701709">
        <w:t xml:space="preserve"> damages</w:t>
      </w:r>
      <w:r w:rsidRPr="00750962" w:rsidR="00A55038">
        <w:t>.  As we explained, the insurer’s obligation to pay is “triggered if specifi</w:t>
      </w:r>
      <w:r w:rsidRPr="00750962" w:rsidR="00F40B07">
        <w:t>ed</w:t>
      </w:r>
      <w:r w:rsidRPr="00750962" w:rsidR="00A55038">
        <w:t xml:space="preserve"> harm is caused by an included occurrence, so long as at least some such harm results within the policy period.”  (</w:t>
      </w:r>
      <w:r w:rsidRPr="00750962" w:rsidR="00A55038">
        <w:rPr>
          <w:i/>
        </w:rPr>
        <w:t>Id.</w:t>
      </w:r>
      <w:r w:rsidRPr="00750962" w:rsidR="00A55038">
        <w:t xml:space="preserve"> at p.</w:t>
      </w:r>
      <w:r w:rsidRPr="00750962" w:rsidR="003500D1">
        <w:t> </w:t>
      </w:r>
      <w:r w:rsidRPr="00750962" w:rsidR="00A55038">
        <w:t xml:space="preserve">56, </w:t>
      </w:r>
      <w:r w:rsidR="00696CF2">
        <w:t xml:space="preserve">fn. omitted, </w:t>
      </w:r>
      <w:r w:rsidRPr="00750962" w:rsidR="00A55038">
        <w:t xml:space="preserve">citing </w:t>
      </w:r>
      <w:r w:rsidRPr="00750962" w:rsidR="00A55038">
        <w:rPr>
          <w:i/>
        </w:rPr>
        <w:t>Montrose</w:t>
      </w:r>
      <w:r w:rsidRPr="00750962" w:rsidR="0006361F">
        <w:rPr>
          <w:i/>
        </w:rPr>
        <w:t xml:space="preserve"> I</w:t>
      </w:r>
      <w:r w:rsidRPr="00750962" w:rsidR="00A55038">
        <w:t xml:space="preserve">, </w:t>
      </w:r>
      <w:r w:rsidRPr="00750962" w:rsidR="00A55038">
        <w:rPr>
          <w:i/>
        </w:rPr>
        <w:t>supra</w:t>
      </w:r>
      <w:r w:rsidRPr="00750962" w:rsidR="00A55038">
        <w:t>, 10 Cal.4th at pp.</w:t>
      </w:r>
      <w:r w:rsidRPr="00750962" w:rsidR="003500D1">
        <w:t> </w:t>
      </w:r>
      <w:r w:rsidRPr="00750962" w:rsidR="00A55038">
        <w:t>669–673.)  “It extends to all specified harm caused by an included occurrence, even if some such harm results beyond the policy period.”</w:t>
      </w:r>
      <w:r w:rsidRPr="00750962" w:rsidR="00767F03">
        <w:t xml:space="preserve"> </w:t>
      </w:r>
      <w:r w:rsidRPr="00750962" w:rsidR="00A55038">
        <w:t xml:space="preserve"> </w:t>
      </w:r>
      <w:r w:rsidRPr="00750962" w:rsidR="00767F03">
        <w:t>(</w:t>
      </w:r>
      <w:r w:rsidRPr="00750962" w:rsidR="00487B4D">
        <w:rPr>
          <w:i/>
        </w:rPr>
        <w:t>Aerojet</w:t>
      </w:r>
      <w:r w:rsidRPr="00750962" w:rsidR="00487B4D">
        <w:t>,</w:t>
      </w:r>
      <w:r w:rsidRPr="00750962" w:rsidR="00073F53">
        <w:t xml:space="preserve"> at p</w:t>
      </w:r>
      <w:r w:rsidRPr="00750962" w:rsidR="00796CE6">
        <w:t>p</w:t>
      </w:r>
      <w:r w:rsidRPr="00750962" w:rsidR="00073F53">
        <w:t>.</w:t>
      </w:r>
      <w:r w:rsidRPr="00750962" w:rsidR="00796CE6">
        <w:t> 56–</w:t>
      </w:r>
      <w:r w:rsidRPr="00750962" w:rsidR="00A55038">
        <w:t>57</w:t>
      </w:r>
      <w:r w:rsidRPr="00750962" w:rsidR="00767F03">
        <w:rPr>
          <w:i/>
        </w:rPr>
        <w:t>.</w:t>
      </w:r>
      <w:r w:rsidRPr="00750962" w:rsidR="00767F03">
        <w:t>)</w:t>
      </w:r>
      <w:r w:rsidRPr="00750962" w:rsidR="00A602A2">
        <w:t xml:space="preserve">  </w:t>
      </w:r>
    </w:p>
    <w:p w:rsidR="00A602A2" w:rsidRPr="00750962" w:rsidP="00750962" w14:paraId="6331AFA3" w14:textId="0692B11F">
      <w:pPr>
        <w:ind w:firstLine="720"/>
      </w:pPr>
      <w:r w:rsidRPr="00750962">
        <w:t>This “all</w:t>
      </w:r>
      <w:r w:rsidR="00696CF2">
        <w:t xml:space="preserve"> </w:t>
      </w:r>
      <w:r w:rsidRPr="00750962">
        <w:t xml:space="preserve">sums” rule, </w:t>
      </w:r>
      <w:r w:rsidRPr="00750962" w:rsidR="00D60938">
        <w:t xml:space="preserve">as we described it in </w:t>
      </w:r>
      <w:r w:rsidRPr="00750962">
        <w:rPr>
          <w:i/>
        </w:rPr>
        <w:t>Aerojet</w:t>
      </w:r>
      <w:r w:rsidRPr="00750962">
        <w:t>, mean</w:t>
      </w:r>
      <w:r w:rsidRPr="00750962" w:rsidR="000B7C1A">
        <w:t>s</w:t>
      </w:r>
      <w:r w:rsidRPr="00750962">
        <w:t xml:space="preserve"> that “insurers </w:t>
      </w:r>
      <w:r w:rsidRPr="00750962" w:rsidR="000B7C1A">
        <w:t>[a]</w:t>
      </w:r>
      <w:r w:rsidRPr="00750962">
        <w:t>re responsible for defending the insured for all claims that involved the triggering damage” in a continuous injury case</w:t>
      </w:r>
      <w:r w:rsidRPr="00750962" w:rsidR="000B7C1A">
        <w:t xml:space="preserve">; </w:t>
      </w:r>
      <w:r w:rsidRPr="00750962">
        <w:t>“as long as the policyholder is insured at some point during the continuing damage period, the insurers’ indemnity obligations persist until the loss is complete, or terminates.”  (</w:t>
      </w:r>
      <w:r w:rsidRPr="00750962">
        <w:rPr>
          <w:i/>
        </w:rPr>
        <w:t>Continental</w:t>
      </w:r>
      <w:r w:rsidRPr="00750962">
        <w:t xml:space="preserve">, </w:t>
      </w:r>
      <w:r w:rsidRPr="00750962">
        <w:rPr>
          <w:i/>
        </w:rPr>
        <w:t>supra</w:t>
      </w:r>
      <w:r w:rsidRPr="00750962">
        <w:t>, 55 Cal.4th at p.</w:t>
      </w:r>
      <w:r w:rsidRPr="00750962" w:rsidR="003500D1">
        <w:t> </w:t>
      </w:r>
      <w:r w:rsidRPr="00750962">
        <w:t>197</w:t>
      </w:r>
      <w:r w:rsidR="00210209">
        <w:t xml:space="preserve">, citing </w:t>
      </w:r>
      <w:r w:rsidRPr="0083143F" w:rsidR="00210209">
        <w:rPr>
          <w:i/>
        </w:rPr>
        <w:t>Aerojet</w:t>
      </w:r>
      <w:r w:rsidR="00210209">
        <w:t xml:space="preserve">, </w:t>
      </w:r>
      <w:r w:rsidRPr="0083143F" w:rsidR="00210209">
        <w:rPr>
          <w:i/>
        </w:rPr>
        <w:t>supra</w:t>
      </w:r>
      <w:r w:rsidR="00210209">
        <w:t>, 17 Cal.4th at p.</w:t>
      </w:r>
      <w:r w:rsidR="003E45C9">
        <w:t> </w:t>
      </w:r>
      <w:r w:rsidR="00210209">
        <w:t>71</w:t>
      </w:r>
      <w:r w:rsidRPr="00750962" w:rsidR="000B7C1A">
        <w:t xml:space="preserve">; </w:t>
      </w:r>
      <w:r w:rsidR="00210209">
        <w:rPr>
          <w:i/>
        </w:rPr>
        <w:t>Continental</w:t>
      </w:r>
      <w:r w:rsidR="00210209">
        <w:t>,</w:t>
      </w:r>
      <w:r w:rsidRPr="00750962" w:rsidR="000B7C1A">
        <w:t xml:space="preserve"> at p.</w:t>
      </w:r>
      <w:r w:rsidRPr="00750962" w:rsidR="003500D1">
        <w:t> </w:t>
      </w:r>
      <w:r w:rsidRPr="00750962" w:rsidR="000B7C1A">
        <w:t>200 [under all sums allocation, insurers must “pay all sums for property damage attributable to the [polluted] site, up to their policy limits, if applicable, as long as some of the continuous property damage occurred while each policy was ‘on the loss’</w:t>
      </w:r>
      <w:r w:rsidRPr="00750962" w:rsidR="003500D1">
        <w:t> </w:t>
      </w:r>
      <w:r w:rsidRPr="00750962" w:rsidR="000B7C1A">
        <w:t>”]</w:t>
      </w:r>
      <w:r w:rsidRPr="00750962">
        <w:t xml:space="preserve">.)  </w:t>
      </w:r>
      <w:r w:rsidRPr="00750962" w:rsidR="001D33F4">
        <w:t xml:space="preserve">We adopted this rule because, </w:t>
      </w:r>
      <w:r w:rsidRPr="00750962" w:rsidR="0016089E">
        <w:t xml:space="preserve">contrary to </w:t>
      </w:r>
      <w:r w:rsidRPr="00750962" w:rsidR="0016089E">
        <w:rPr>
          <w:i/>
        </w:rPr>
        <w:t>Aerojet</w:t>
      </w:r>
      <w:r w:rsidRPr="00750962" w:rsidR="0016089E">
        <w:t>’s stylized example,</w:t>
      </w:r>
      <w:r w:rsidRPr="00750962" w:rsidR="004D54BE">
        <w:t xml:space="preserve"> “[i]t is often ‘virtually impossible’ for an insured to prove what specific damage occurred during each of the multiple consecutive policy periods in a progressive property damage case.”  (</w:t>
      </w:r>
      <w:r w:rsidRPr="00750962">
        <w:rPr>
          <w:i/>
        </w:rPr>
        <w:t>Id.</w:t>
      </w:r>
      <w:r w:rsidRPr="00750962" w:rsidR="004D54BE">
        <w:t xml:space="preserve"> </w:t>
      </w:r>
      <w:r w:rsidRPr="00750962" w:rsidR="00C23801">
        <w:t>at p.</w:t>
      </w:r>
      <w:r w:rsidRPr="00750962" w:rsidR="00A054A8">
        <w:t> </w:t>
      </w:r>
      <w:r w:rsidRPr="00750962" w:rsidR="004D54BE">
        <w:t>196.</w:t>
      </w:r>
      <w:r w:rsidRPr="00750962" w:rsidR="009920E9">
        <w:t>)</w:t>
      </w:r>
      <w:r w:rsidRPr="00750962" w:rsidR="004D54BE">
        <w:t xml:space="preserve">  “If such evidence were required, an insured who had procured insurance coverage for each year during which a long-tail injury occurred likely would be unable to recover.”  (</w:t>
      </w:r>
      <w:r w:rsidRPr="00750962" w:rsidR="004D54BE">
        <w:rPr>
          <w:i/>
        </w:rPr>
        <w:t>Ibid.</w:t>
      </w:r>
      <w:r w:rsidRPr="00750962" w:rsidR="004D54BE">
        <w:t xml:space="preserve">) </w:t>
      </w:r>
      <w:r w:rsidRPr="00750962" w:rsidR="000B7C1A">
        <w:t xml:space="preserve"> The all sums approach, we explained</w:t>
      </w:r>
      <w:r w:rsidRPr="00750962" w:rsidR="00FC13D7">
        <w:t>,</w:t>
      </w:r>
      <w:r w:rsidRPr="00750962" w:rsidR="000B7C1A">
        <w:t xml:space="preserve"> “best reflects the insurers’ indemnity obligations under the respective policies, the insured’s expectations, and the true character of the damages that flow from a long-tail injury.”  (</w:t>
      </w:r>
      <w:r w:rsidRPr="00750962" w:rsidR="000B7C1A">
        <w:rPr>
          <w:i/>
        </w:rPr>
        <w:t>Id.</w:t>
      </w:r>
      <w:r w:rsidRPr="00750962" w:rsidR="000B7C1A">
        <w:t xml:space="preserve"> at p. 200.)</w:t>
      </w:r>
    </w:p>
    <w:p w:rsidR="00786480" w:rsidRPr="00750962" w:rsidP="00750962" w14:paraId="7C2A48D5" w14:textId="7D4D3C27">
      <w:r w:rsidRPr="00750962">
        <w:tab/>
      </w:r>
      <w:r w:rsidRPr="00750962" w:rsidR="00D60938">
        <w:t>Finally, r</w:t>
      </w:r>
      <w:r w:rsidRPr="00750962">
        <w:t xml:space="preserve">ecognizing that </w:t>
      </w:r>
      <w:r w:rsidRPr="00750962" w:rsidR="006857C1">
        <w:t>the limits of any one policy may be insufficient to cover the entire liability resulting from a continuous injury, we</w:t>
      </w:r>
      <w:r w:rsidRPr="00750962">
        <w:t xml:space="preserve"> concluded</w:t>
      </w:r>
      <w:r w:rsidRPr="00750962" w:rsidR="006857C1">
        <w:t xml:space="preserve"> </w:t>
      </w:r>
      <w:r w:rsidRPr="00750962" w:rsidR="0036546F">
        <w:t xml:space="preserve">in </w:t>
      </w:r>
      <w:r w:rsidRPr="00750962" w:rsidR="0036546F">
        <w:rPr>
          <w:i/>
        </w:rPr>
        <w:t>Continental</w:t>
      </w:r>
      <w:r w:rsidRPr="00750962" w:rsidR="0036546F">
        <w:t xml:space="preserve"> </w:t>
      </w:r>
      <w:r w:rsidRPr="00750962" w:rsidR="006857C1">
        <w:t>that the insured may seek indemnification from every policy that covered a portion of the loss</w:t>
      </w:r>
      <w:r w:rsidR="00696CF2">
        <w:t>,</w:t>
      </w:r>
      <w:r w:rsidRPr="00750962" w:rsidR="003A6049">
        <w:t xml:space="preserve"> up to the full limits of each policy</w:t>
      </w:r>
      <w:r w:rsidRPr="00750962" w:rsidR="006857C1">
        <w:t>.  (</w:t>
      </w:r>
      <w:r w:rsidRPr="00750962" w:rsidR="006857C1">
        <w:rPr>
          <w:i/>
        </w:rPr>
        <w:t>Continental</w:t>
      </w:r>
      <w:r w:rsidRPr="00750962" w:rsidR="006857C1">
        <w:t xml:space="preserve">, </w:t>
      </w:r>
      <w:r w:rsidRPr="00750962" w:rsidR="006857C1">
        <w:rPr>
          <w:i/>
        </w:rPr>
        <w:t>supra</w:t>
      </w:r>
      <w:r w:rsidRPr="00750962" w:rsidR="006857C1">
        <w:t>, 55 Cal.4th at p.</w:t>
      </w:r>
      <w:r w:rsidRPr="00750962" w:rsidR="00A054A8">
        <w:t> </w:t>
      </w:r>
      <w:r w:rsidRPr="00750962" w:rsidR="006857C1">
        <w:t xml:space="preserve">200.)  </w:t>
      </w:r>
      <w:r w:rsidRPr="00750962" w:rsidR="007D0239">
        <w:t>This “all-sums-with-stacking indemnity principle</w:t>
      </w:r>
      <w:r w:rsidRPr="00750962" w:rsidR="0016089E">
        <w:t>,” we said,</w:t>
      </w:r>
      <w:r w:rsidRPr="00750962" w:rsidR="007D0239">
        <w:t xml:space="preserve"> </w:t>
      </w:r>
      <w:r w:rsidRPr="00750962" w:rsidR="0016089E">
        <w:t>“</w:t>
      </w:r>
      <w:r w:rsidRPr="00750962" w:rsidR="007D0239">
        <w:t xml:space="preserve">properly incorporates the </w:t>
      </w:r>
      <w:r w:rsidRPr="00750962" w:rsidR="007D0239">
        <w:rPr>
          <w:i/>
        </w:rPr>
        <w:t>Montrose</w:t>
      </w:r>
      <w:r w:rsidRPr="0083431A" w:rsidR="00696CF2">
        <w:t xml:space="preserve"> </w:t>
      </w:r>
      <w:r w:rsidRPr="00696CF2" w:rsidR="00696CF2">
        <w:t>[</w:t>
      </w:r>
      <w:r w:rsidR="00696CF2">
        <w:rPr>
          <w:i/>
        </w:rPr>
        <w:t>I</w:t>
      </w:r>
      <w:r w:rsidR="00696CF2">
        <w:t>]</w:t>
      </w:r>
      <w:r w:rsidRPr="00750962" w:rsidR="0016089E">
        <w:rPr>
          <w:i/>
        </w:rPr>
        <w:t xml:space="preserve"> </w:t>
      </w:r>
      <w:r w:rsidRPr="00750962" w:rsidR="007D0239">
        <w:t xml:space="preserve">continuous injury trigger of coverage rule and the </w:t>
      </w:r>
      <w:r w:rsidRPr="00750962" w:rsidR="007D0239">
        <w:rPr>
          <w:i/>
        </w:rPr>
        <w:t>Aerojet</w:t>
      </w:r>
      <w:r w:rsidRPr="00750962" w:rsidR="007D0239">
        <w:t xml:space="preserve"> all sums rule, and ‘effectively stacks the insurance coverage from different policy periods to form one giant “uber-policy” with a coverage limit equal to the sum of all purchased insurance policies.</w:t>
      </w:r>
      <w:r w:rsidRPr="00750962" w:rsidR="00796CE6">
        <w:t>’ </w:t>
      </w:r>
      <w:r w:rsidRPr="00750962" w:rsidR="00B809D4">
        <w:t>”</w:t>
      </w:r>
      <w:r w:rsidRPr="00750962" w:rsidR="007D0239">
        <w:t xml:space="preserve">  </w:t>
      </w:r>
      <w:r w:rsidRPr="00750962" w:rsidR="00B809D4">
        <w:t>(</w:t>
      </w:r>
      <w:r w:rsidRPr="00750962" w:rsidR="00796CE6">
        <w:rPr>
          <w:i/>
        </w:rPr>
        <w:t>Id.</w:t>
      </w:r>
      <w:r w:rsidRPr="00750962" w:rsidR="00B809D4">
        <w:rPr>
          <w:i/>
        </w:rPr>
        <w:t xml:space="preserve"> </w:t>
      </w:r>
      <w:r w:rsidRPr="00750962" w:rsidR="00B809D4">
        <w:t>at p. 201.)  “</w:t>
      </w:r>
      <w:r w:rsidRPr="00750962" w:rsidR="00796CE6">
        <w:t> ‘</w:t>
      </w:r>
      <w:r w:rsidRPr="00750962" w:rsidR="00B809D4">
        <w:t>[T]</w:t>
      </w:r>
      <w:r w:rsidRPr="00750962" w:rsidR="007D0239">
        <w:t>his approach treats all the triggered insurance as though it were purchased in one policy period</w:t>
      </w:r>
      <w:r w:rsidRPr="00750962" w:rsidR="00D31C4A">
        <w:t>’</w:t>
      </w:r>
      <w:r w:rsidRPr="00750962" w:rsidR="00796CE6">
        <w:t> </w:t>
      </w:r>
      <w:r w:rsidRPr="00750962" w:rsidR="00AF7626">
        <w:t>”</w:t>
      </w:r>
      <w:r w:rsidRPr="00750962" w:rsidR="00796CE6">
        <w:t xml:space="preserve"> </w:t>
      </w:r>
      <w:r w:rsidRPr="00750962" w:rsidR="00AF7626">
        <w:t xml:space="preserve">and recognizes </w:t>
      </w:r>
      <w:r w:rsidRPr="00750962" w:rsidR="00796CE6">
        <w:t>“</w:t>
      </w:r>
      <w:r w:rsidRPr="00750962" w:rsidR="00AF7626">
        <w:t xml:space="preserve">the uniquely progressive nature of long-tail injuries that cause progressive damage throughout </w:t>
      </w:r>
      <w:r w:rsidRPr="00750962" w:rsidR="00AF7626">
        <w:rPr>
          <w:i/>
        </w:rPr>
        <w:t>multiple</w:t>
      </w:r>
      <w:r w:rsidRPr="00750962" w:rsidR="00AF7626">
        <w:t xml:space="preserve"> policy periods.” </w:t>
      </w:r>
      <w:r w:rsidRPr="00750962" w:rsidR="00796CE6">
        <w:t xml:space="preserve"> </w:t>
      </w:r>
      <w:r w:rsidRPr="00750962" w:rsidR="00AF7626">
        <w:t>(</w:t>
      </w:r>
      <w:r w:rsidRPr="00750962" w:rsidR="00AF7626">
        <w:rPr>
          <w:i/>
        </w:rPr>
        <w:t>Ibid.</w:t>
      </w:r>
      <w:r w:rsidRPr="00750962" w:rsidR="00AF7626">
        <w:t>)</w:t>
      </w:r>
      <w:r w:rsidRPr="00750962" w:rsidR="00B809D4">
        <w:t xml:space="preserve">  </w:t>
      </w:r>
      <w:r w:rsidRPr="00750962" w:rsidR="00AF7626">
        <w:t>Importantly, “</w:t>
      </w:r>
      <w:r w:rsidRPr="00750962" w:rsidR="007D0239">
        <w:t>the insured has immediate access to the insurance it purchased</w:t>
      </w:r>
      <w:r w:rsidRPr="00750962" w:rsidR="00AF7626">
        <w:t>.”</w:t>
      </w:r>
      <w:r w:rsidRPr="00750962" w:rsidR="007D0239">
        <w:t xml:space="preserve"> </w:t>
      </w:r>
      <w:r w:rsidRPr="00750962" w:rsidR="00AF7626">
        <w:t xml:space="preserve"> (</w:t>
      </w:r>
      <w:r w:rsidRPr="00750962" w:rsidR="00AF7626">
        <w:rPr>
          <w:i/>
        </w:rPr>
        <w:t>Ibid.</w:t>
      </w:r>
      <w:r w:rsidRPr="00750962" w:rsidR="00AF7626">
        <w:t xml:space="preserve">)  </w:t>
      </w:r>
      <w:r w:rsidRPr="00750962" w:rsidR="00520A99">
        <w:t>T</w:t>
      </w:r>
      <w:r w:rsidRPr="00750962" w:rsidR="00C23801">
        <w:t>he insurers can then sort out their proportional share</w:t>
      </w:r>
      <w:r w:rsidRPr="00750962" w:rsidR="00944ECF">
        <w:t xml:space="preserve"> </w:t>
      </w:r>
      <w:r w:rsidRPr="00750962" w:rsidR="00C23801">
        <w:t xml:space="preserve">through actions for </w:t>
      </w:r>
      <w:r w:rsidRPr="00750962" w:rsidR="002D70A3">
        <w:t xml:space="preserve">equitable </w:t>
      </w:r>
      <w:r w:rsidRPr="00750962" w:rsidR="0038102A">
        <w:t xml:space="preserve">contribution or </w:t>
      </w:r>
      <w:r w:rsidRPr="00750962" w:rsidR="00C23801">
        <w:t>subrogation.  (</w:t>
      </w:r>
      <w:r w:rsidRPr="00750962" w:rsidR="00AF7626">
        <w:rPr>
          <w:i/>
        </w:rPr>
        <w:t>Id.</w:t>
      </w:r>
      <w:r w:rsidRPr="00750962" w:rsidR="00AF7626">
        <w:t xml:space="preserve"> at p.</w:t>
      </w:r>
      <w:r w:rsidRPr="00750962" w:rsidR="003500D1">
        <w:t> </w:t>
      </w:r>
      <w:r w:rsidRPr="00750962" w:rsidR="00AF7626">
        <w:t xml:space="preserve">200; see </w:t>
      </w:r>
      <w:r w:rsidRPr="00750962" w:rsidR="00113B2D">
        <w:rPr>
          <w:i/>
        </w:rPr>
        <w:t>Continental Cas. Co. v. Zurich Ins. Co.</w:t>
      </w:r>
      <w:r w:rsidRPr="00750962" w:rsidR="00113B2D">
        <w:t xml:space="preserve"> (1961) 57 Cal.2d 27, 37.)</w:t>
      </w:r>
      <w:r>
        <w:rPr>
          <w:rStyle w:val="FootnoteReference"/>
        </w:rPr>
        <w:footnoteReference w:id="9"/>
      </w:r>
    </w:p>
    <w:p w:rsidR="000F3FA8" w:rsidP="00750962" w14:paraId="56A16354" w14:textId="3A1CFD80">
      <w:r w:rsidRPr="00750962">
        <w:tab/>
      </w:r>
      <w:r w:rsidRPr="00750962" w:rsidR="001C257F">
        <w:t xml:space="preserve">Having adopted </w:t>
      </w:r>
      <w:r w:rsidRPr="00750962" w:rsidR="00433238">
        <w:t xml:space="preserve">an </w:t>
      </w:r>
      <w:r w:rsidRPr="00750962" w:rsidR="006C75C2">
        <w:t>all-sums-with-</w:t>
      </w:r>
      <w:r w:rsidRPr="00750962" w:rsidR="001103CF">
        <w:t>s</w:t>
      </w:r>
      <w:r w:rsidRPr="00750962" w:rsidR="006C75C2">
        <w:t>tacking</w:t>
      </w:r>
      <w:r w:rsidRPr="00750962" w:rsidR="001C257F">
        <w:t xml:space="preserve"> approach to the coverage of long-tail injuries, we are now presented with </w:t>
      </w:r>
      <w:r w:rsidRPr="00750962" w:rsidR="001103CF">
        <w:t xml:space="preserve">a follow-on question:  In what order may </w:t>
      </w:r>
      <w:r w:rsidRPr="00750962">
        <w:t>an insured</w:t>
      </w:r>
      <w:r w:rsidRPr="00750962" w:rsidR="00487B4D">
        <w:t xml:space="preserve"> </w:t>
      </w:r>
      <w:r w:rsidRPr="00750962">
        <w:t xml:space="preserve">access </w:t>
      </w:r>
      <w:r w:rsidRPr="00750962" w:rsidR="009920E9">
        <w:t xml:space="preserve">excess </w:t>
      </w:r>
      <w:r w:rsidRPr="00750962">
        <w:t xml:space="preserve">policies from different policy periods to cover </w:t>
      </w:r>
      <w:r w:rsidRPr="00750962" w:rsidR="004A523D">
        <w:t>liability arising from long-tail injuries</w:t>
      </w:r>
      <w:r w:rsidRPr="00750962" w:rsidR="001103CF">
        <w:t>?</w:t>
      </w:r>
      <w:r w:rsidRPr="00750962" w:rsidR="004A523D">
        <w:t xml:space="preserve">  To illustrate the </w:t>
      </w:r>
      <w:r w:rsidRPr="00750962" w:rsidR="001C257F">
        <w:t xml:space="preserve">parties’ </w:t>
      </w:r>
      <w:r w:rsidRPr="00750962" w:rsidR="004A523D">
        <w:t xml:space="preserve">competing approaches, consider a hypothetical company that caused property damage over three years </w:t>
      </w:r>
      <w:r w:rsidRPr="00750962" w:rsidR="0018062E">
        <w:t xml:space="preserve">that resulted </w:t>
      </w:r>
      <w:r w:rsidRPr="00750962" w:rsidR="00CB23E6">
        <w:t>in</w:t>
      </w:r>
      <w:r w:rsidRPr="00750962" w:rsidR="004A523D">
        <w:t xml:space="preserve"> $</w:t>
      </w:r>
      <w:r w:rsidRPr="00750962" w:rsidR="00067B2E">
        <w:t>9</w:t>
      </w:r>
      <w:r w:rsidRPr="00750962" w:rsidR="004A523D">
        <w:t xml:space="preserve">0 million of damage.  Further imagine that in each of these three years, the company had purchased </w:t>
      </w:r>
      <w:r w:rsidRPr="00750962" w:rsidR="00DF1764">
        <w:t xml:space="preserve">primary insurance with a $10 million limit </w:t>
      </w:r>
      <w:r w:rsidRPr="00750962" w:rsidR="004A523D">
        <w:t>a</w:t>
      </w:r>
      <w:r w:rsidRPr="00750962" w:rsidR="00DF1764">
        <w:t>nd two layers of excess insurance, each</w:t>
      </w:r>
      <w:r w:rsidRPr="00750962" w:rsidR="004A523D">
        <w:t xml:space="preserve"> providing an additional $10 million of coverage:</w:t>
      </w:r>
    </w:p>
    <w:p w:rsidR="000F3FA8" w14:paraId="0535EA86" w14:textId="77777777">
      <w:pPr>
        <w:spacing w:after="0" w:line="240" w:lineRule="auto"/>
        <w:jc w:val="left"/>
      </w:pPr>
      <w:r>
        <w:br w:type="page"/>
      </w:r>
    </w:p>
    <w:p w:rsidR="004A523D" w:rsidRPr="00750962" w:rsidP="00750962" w14:paraId="4332EF4E" w14:textId="77777777"/>
    <w:tbl>
      <w:tblPr>
        <w:tblStyle w:val="TableGrid"/>
        <w:tblW w:w="0" w:type="auto"/>
        <w:tblLook w:val="04A0"/>
      </w:tblPr>
      <w:tblGrid>
        <w:gridCol w:w="1913"/>
        <w:gridCol w:w="1999"/>
        <w:gridCol w:w="1999"/>
        <w:gridCol w:w="1999"/>
      </w:tblGrid>
      <w:tr w14:paraId="57F563BF" w14:textId="77777777" w:rsidTr="004A523D">
        <w:tblPrEx>
          <w:tblW w:w="0" w:type="auto"/>
          <w:tblLook w:val="04A0"/>
        </w:tblPrEx>
        <w:tc>
          <w:tcPr>
            <w:tcW w:w="2157" w:type="dxa"/>
          </w:tcPr>
          <w:p w:rsidR="004A523D" w:rsidRPr="00750962" w:rsidP="00750962" w14:paraId="14136A71" w14:textId="77777777"/>
        </w:tc>
        <w:tc>
          <w:tcPr>
            <w:tcW w:w="2157" w:type="dxa"/>
          </w:tcPr>
          <w:p w:rsidR="004A523D" w:rsidRPr="00750962" w:rsidP="00750962" w14:paraId="47E72221" w14:textId="77777777">
            <w:r w:rsidRPr="00750962">
              <w:t>Year 1</w:t>
            </w:r>
          </w:p>
        </w:tc>
        <w:tc>
          <w:tcPr>
            <w:tcW w:w="2158" w:type="dxa"/>
          </w:tcPr>
          <w:p w:rsidR="004A523D" w:rsidRPr="00750962" w:rsidP="00750962" w14:paraId="091524DB" w14:textId="77777777">
            <w:r w:rsidRPr="00750962">
              <w:t>Year 2</w:t>
            </w:r>
          </w:p>
        </w:tc>
        <w:tc>
          <w:tcPr>
            <w:tcW w:w="2158" w:type="dxa"/>
          </w:tcPr>
          <w:p w:rsidR="004A523D" w:rsidRPr="00750962" w:rsidP="00750962" w14:paraId="0B33A95F" w14:textId="77777777">
            <w:r w:rsidRPr="00750962">
              <w:t>Year 3</w:t>
            </w:r>
          </w:p>
        </w:tc>
      </w:tr>
      <w:tr w14:paraId="0A19BF95" w14:textId="77777777" w:rsidTr="004A523D">
        <w:tblPrEx>
          <w:tblW w:w="0" w:type="auto"/>
          <w:tblLook w:val="04A0"/>
        </w:tblPrEx>
        <w:tc>
          <w:tcPr>
            <w:tcW w:w="2157" w:type="dxa"/>
          </w:tcPr>
          <w:p w:rsidR="00067B2E" w:rsidRPr="00750962" w:rsidP="00750962" w14:paraId="7C00861A" w14:textId="77777777">
            <w:r w:rsidRPr="00750962">
              <w:t>$50 million</w:t>
            </w:r>
          </w:p>
        </w:tc>
        <w:tc>
          <w:tcPr>
            <w:tcW w:w="2157" w:type="dxa"/>
          </w:tcPr>
          <w:p w:rsidR="00067B2E" w:rsidRPr="00750962" w:rsidP="00750962" w14:paraId="3B258CFB" w14:textId="77777777"/>
        </w:tc>
        <w:tc>
          <w:tcPr>
            <w:tcW w:w="2158" w:type="dxa"/>
          </w:tcPr>
          <w:p w:rsidR="00067B2E" w:rsidRPr="00750962" w:rsidP="00750962" w14:paraId="2A9E44A3" w14:textId="77777777"/>
        </w:tc>
        <w:tc>
          <w:tcPr>
            <w:tcW w:w="2158" w:type="dxa"/>
          </w:tcPr>
          <w:p w:rsidR="00067B2E" w:rsidRPr="00750962" w:rsidP="00750962" w14:paraId="14BBF7AF" w14:textId="77777777"/>
        </w:tc>
      </w:tr>
      <w:tr w14:paraId="61CA25A9" w14:textId="77777777" w:rsidTr="004A523D">
        <w:tblPrEx>
          <w:tblW w:w="0" w:type="auto"/>
          <w:tblLook w:val="04A0"/>
        </w:tblPrEx>
        <w:tc>
          <w:tcPr>
            <w:tcW w:w="2157" w:type="dxa"/>
          </w:tcPr>
          <w:p w:rsidR="00067B2E" w:rsidRPr="00750962" w:rsidP="00750962" w14:paraId="18D763CA" w14:textId="77777777">
            <w:r w:rsidRPr="00750962">
              <w:t>$40 million</w:t>
            </w:r>
          </w:p>
        </w:tc>
        <w:tc>
          <w:tcPr>
            <w:tcW w:w="2157" w:type="dxa"/>
          </w:tcPr>
          <w:p w:rsidR="00067B2E" w:rsidRPr="00750962" w:rsidP="00750962" w14:paraId="1A1BF9C0" w14:textId="77777777"/>
        </w:tc>
        <w:tc>
          <w:tcPr>
            <w:tcW w:w="2158" w:type="dxa"/>
          </w:tcPr>
          <w:p w:rsidR="00067B2E" w:rsidRPr="00750962" w:rsidP="00750962" w14:paraId="3E490B86" w14:textId="77777777"/>
        </w:tc>
        <w:tc>
          <w:tcPr>
            <w:tcW w:w="2158" w:type="dxa"/>
          </w:tcPr>
          <w:p w:rsidR="00067B2E" w:rsidRPr="00750962" w:rsidP="00750962" w14:paraId="134BE62E" w14:textId="77777777"/>
        </w:tc>
      </w:tr>
      <w:tr w14:paraId="0360BB1A" w14:textId="77777777" w:rsidTr="00EC390B">
        <w:tblPrEx>
          <w:tblW w:w="0" w:type="auto"/>
          <w:tblLook w:val="04A0"/>
        </w:tblPrEx>
        <w:tc>
          <w:tcPr>
            <w:tcW w:w="2157" w:type="dxa"/>
          </w:tcPr>
          <w:p w:rsidR="00067B2E" w:rsidRPr="00750962" w:rsidP="00750962" w14:paraId="2313B204" w14:textId="77777777">
            <w:r w:rsidRPr="00750962">
              <w:t>$30 million</w:t>
            </w:r>
          </w:p>
        </w:tc>
        <w:tc>
          <w:tcPr>
            <w:tcW w:w="2157" w:type="dxa"/>
            <w:shd w:val="clear" w:color="auto" w:fill="D9D9D9" w:themeFill="background1" w:themeFillShade="D9"/>
          </w:tcPr>
          <w:p w:rsidR="00067B2E" w:rsidRPr="00750962" w:rsidP="00750962" w14:paraId="45A11354" w14:textId="77777777">
            <w:r w:rsidRPr="00750962">
              <w:t>Policy 2A</w:t>
            </w:r>
          </w:p>
        </w:tc>
        <w:tc>
          <w:tcPr>
            <w:tcW w:w="2158" w:type="dxa"/>
            <w:shd w:val="clear" w:color="auto" w:fill="D9D9D9" w:themeFill="background1" w:themeFillShade="D9"/>
          </w:tcPr>
          <w:p w:rsidR="00067B2E" w:rsidRPr="00750962" w:rsidP="00750962" w14:paraId="4F6F491E" w14:textId="77777777">
            <w:r w:rsidRPr="00750962">
              <w:t>Policy 2B</w:t>
            </w:r>
          </w:p>
        </w:tc>
        <w:tc>
          <w:tcPr>
            <w:tcW w:w="2158" w:type="dxa"/>
            <w:shd w:val="clear" w:color="auto" w:fill="D9D9D9" w:themeFill="background1" w:themeFillShade="D9"/>
          </w:tcPr>
          <w:p w:rsidR="00067B2E" w:rsidRPr="00750962" w:rsidP="00750962" w14:paraId="7B54E84D" w14:textId="77777777">
            <w:r w:rsidRPr="00750962">
              <w:t>Policy 2C</w:t>
            </w:r>
          </w:p>
        </w:tc>
      </w:tr>
      <w:tr w14:paraId="4B88CCB8" w14:textId="77777777" w:rsidTr="00EC390B">
        <w:tblPrEx>
          <w:tblW w:w="0" w:type="auto"/>
          <w:tblLook w:val="04A0"/>
        </w:tblPrEx>
        <w:tc>
          <w:tcPr>
            <w:tcW w:w="2157" w:type="dxa"/>
          </w:tcPr>
          <w:p w:rsidR="00067B2E" w:rsidRPr="00750962" w:rsidP="00750962" w14:paraId="30F681EE" w14:textId="77777777">
            <w:r w:rsidRPr="00750962">
              <w:t>$20 million</w:t>
            </w:r>
          </w:p>
        </w:tc>
        <w:tc>
          <w:tcPr>
            <w:tcW w:w="2157" w:type="dxa"/>
            <w:shd w:val="clear" w:color="auto" w:fill="D9D9D9" w:themeFill="background1" w:themeFillShade="D9"/>
          </w:tcPr>
          <w:p w:rsidR="00067B2E" w:rsidRPr="00750962" w:rsidP="00750962" w14:paraId="7BE344C0" w14:textId="77777777">
            <w:r w:rsidRPr="00750962">
              <w:t>Policy 1A</w:t>
            </w:r>
          </w:p>
        </w:tc>
        <w:tc>
          <w:tcPr>
            <w:tcW w:w="2158" w:type="dxa"/>
            <w:shd w:val="clear" w:color="auto" w:fill="D9D9D9" w:themeFill="background1" w:themeFillShade="D9"/>
          </w:tcPr>
          <w:p w:rsidR="00067B2E" w:rsidRPr="00750962" w:rsidP="00750962" w14:paraId="58D169EB" w14:textId="77777777">
            <w:r w:rsidRPr="00750962">
              <w:t>Policy 1B</w:t>
            </w:r>
          </w:p>
        </w:tc>
        <w:tc>
          <w:tcPr>
            <w:tcW w:w="2158" w:type="dxa"/>
            <w:shd w:val="clear" w:color="auto" w:fill="D9D9D9" w:themeFill="background1" w:themeFillShade="D9"/>
          </w:tcPr>
          <w:p w:rsidR="00067B2E" w:rsidRPr="00750962" w:rsidP="00750962" w14:paraId="74D9330F" w14:textId="77777777">
            <w:r w:rsidRPr="00750962">
              <w:t>Policy 1C</w:t>
            </w:r>
          </w:p>
        </w:tc>
      </w:tr>
      <w:tr w14:paraId="11BE8CE8" w14:textId="77777777" w:rsidTr="00EC390B">
        <w:tblPrEx>
          <w:tblW w:w="0" w:type="auto"/>
          <w:tblLook w:val="04A0"/>
        </w:tblPrEx>
        <w:tc>
          <w:tcPr>
            <w:tcW w:w="2157" w:type="dxa"/>
          </w:tcPr>
          <w:p w:rsidR="00067B2E" w:rsidRPr="00750962" w:rsidP="00750962" w14:paraId="5A229BDD" w14:textId="77777777">
            <w:r w:rsidRPr="00750962">
              <w:t>$10 million</w:t>
            </w:r>
          </w:p>
        </w:tc>
        <w:tc>
          <w:tcPr>
            <w:tcW w:w="2157" w:type="dxa"/>
            <w:shd w:val="clear" w:color="auto" w:fill="D9D9D9" w:themeFill="background1" w:themeFillShade="D9"/>
          </w:tcPr>
          <w:p w:rsidR="00067B2E" w:rsidRPr="00750962" w:rsidP="00750962" w14:paraId="7CC25223" w14:textId="77777777">
            <w:r w:rsidRPr="00750962">
              <w:t>Primary Insurance</w:t>
            </w:r>
          </w:p>
        </w:tc>
        <w:tc>
          <w:tcPr>
            <w:tcW w:w="2158" w:type="dxa"/>
            <w:shd w:val="clear" w:color="auto" w:fill="D9D9D9" w:themeFill="background1" w:themeFillShade="D9"/>
          </w:tcPr>
          <w:p w:rsidR="00067B2E" w:rsidRPr="00750962" w:rsidP="00750962" w14:paraId="45D5F549" w14:textId="77777777">
            <w:r w:rsidRPr="00750962">
              <w:t>Primary Insurance</w:t>
            </w:r>
          </w:p>
        </w:tc>
        <w:tc>
          <w:tcPr>
            <w:tcW w:w="2158" w:type="dxa"/>
            <w:shd w:val="clear" w:color="auto" w:fill="D9D9D9" w:themeFill="background1" w:themeFillShade="D9"/>
          </w:tcPr>
          <w:p w:rsidR="00067B2E" w:rsidRPr="00750962" w:rsidP="00750962" w14:paraId="3C2FD300" w14:textId="77777777">
            <w:r w:rsidRPr="00750962">
              <w:t>Primary Insurance</w:t>
            </w:r>
          </w:p>
        </w:tc>
      </w:tr>
    </w:tbl>
    <w:p w:rsidR="003F10EF" w:rsidRPr="00750962" w:rsidP="00750962" w14:paraId="24E7A0D7" w14:textId="77777777">
      <w:r w:rsidRPr="00750962">
        <w:tab/>
      </w:r>
    </w:p>
    <w:p w:rsidR="004A523D" w:rsidRPr="00750962" w:rsidP="00750962" w14:paraId="563054F4" w14:textId="625CC7F9">
      <w:pPr>
        <w:ind w:firstLine="720"/>
      </w:pPr>
      <w:r w:rsidRPr="00750962">
        <w:t>W</w:t>
      </w:r>
      <w:r w:rsidRPr="00750962" w:rsidR="00F73974">
        <w:t>e are tasked with deciding between</w:t>
      </w:r>
      <w:r w:rsidRPr="00750962" w:rsidR="00EC390B">
        <w:t xml:space="preserve"> two </w:t>
      </w:r>
      <w:r w:rsidRPr="00750962" w:rsidR="00DE3438">
        <w:t xml:space="preserve">proposed </w:t>
      </w:r>
      <w:r w:rsidRPr="00750962" w:rsidR="00375A9A">
        <w:t>methods by which</w:t>
      </w:r>
      <w:r w:rsidRPr="00750962" w:rsidR="00EC390B">
        <w:t xml:space="preserve"> these six </w:t>
      </w:r>
      <w:r w:rsidRPr="00750962" w:rsidR="00067B2E">
        <w:t xml:space="preserve">excess </w:t>
      </w:r>
      <w:r w:rsidRPr="00750962" w:rsidR="00EC390B">
        <w:t>insurance policies might be stacked</w:t>
      </w:r>
      <w:r w:rsidRPr="00750962" w:rsidR="00067B2E">
        <w:t xml:space="preserve"> after the primary insurance has been exhausted</w:t>
      </w:r>
      <w:r w:rsidRPr="00750962" w:rsidR="00EC390B">
        <w:t xml:space="preserve"> to cover the $</w:t>
      </w:r>
      <w:r w:rsidRPr="00750962" w:rsidR="00067B2E">
        <w:t>9</w:t>
      </w:r>
      <w:r w:rsidRPr="00750962" w:rsidR="00EC390B">
        <w:t>0 million liability in a way that “</w:t>
      </w:r>
      <w:r w:rsidRPr="00750962" w:rsidR="00073F53">
        <w:t> ‘</w:t>
      </w:r>
      <w:r w:rsidRPr="00750962" w:rsidR="00EC390B">
        <w:t>treats all the triggered insurance as though it were purchased in one policy period.</w:t>
      </w:r>
      <w:r w:rsidRPr="00750962" w:rsidR="00073F53">
        <w:t>’ </w:t>
      </w:r>
      <w:r w:rsidRPr="00750962" w:rsidR="00EC390B">
        <w:t>”  (</w:t>
      </w:r>
      <w:r w:rsidRPr="00750962" w:rsidR="00EC390B">
        <w:rPr>
          <w:i/>
        </w:rPr>
        <w:t>Continental</w:t>
      </w:r>
      <w:r w:rsidRPr="00750962" w:rsidR="00EC390B">
        <w:t xml:space="preserve">, </w:t>
      </w:r>
      <w:r w:rsidRPr="00750962" w:rsidR="00EC390B">
        <w:rPr>
          <w:i/>
        </w:rPr>
        <w:t>supra</w:t>
      </w:r>
      <w:r w:rsidRPr="00750962" w:rsidR="00EC390B">
        <w:t>, 55 Cal.4th at p.</w:t>
      </w:r>
      <w:r w:rsidRPr="00750962" w:rsidR="00D31C4A">
        <w:t> </w:t>
      </w:r>
      <w:r w:rsidRPr="00750962" w:rsidR="00EC390B">
        <w:t>201.)  Under the insurers’ proposed rule of horizontal exhaustion, the insured would have to exhaust all of its lower</w:t>
      </w:r>
      <w:r w:rsidR="000A4DC4">
        <w:t xml:space="preserve"> </w:t>
      </w:r>
      <w:r w:rsidRPr="00750962" w:rsidR="00EC390B">
        <w:t xml:space="preserve">layer </w:t>
      </w:r>
      <w:r w:rsidRPr="00750962" w:rsidR="009920E9">
        <w:t xml:space="preserve">excess </w:t>
      </w:r>
      <w:r w:rsidRPr="00750962" w:rsidR="00EC390B">
        <w:t xml:space="preserve">coverage </w:t>
      </w:r>
      <w:r w:rsidRPr="00750962" w:rsidR="00900AB3">
        <w:t xml:space="preserve">across all relevant policy periods </w:t>
      </w:r>
      <w:r w:rsidRPr="00750962" w:rsidR="00EC390B">
        <w:t>before accessing any of its higher</w:t>
      </w:r>
      <w:r w:rsidR="000A4DC4">
        <w:t xml:space="preserve"> </w:t>
      </w:r>
      <w:r w:rsidRPr="00750962" w:rsidR="00EC390B">
        <w:t>layer coverage:</w:t>
      </w:r>
    </w:p>
    <w:p w:rsidR="000F3FA8" w14:paraId="17380915" w14:textId="37DE2760">
      <w:pPr>
        <w:spacing w:after="0" w:line="240" w:lineRule="auto"/>
        <w:jc w:val="left"/>
      </w:pPr>
      <w:r>
        <w:br w:type="page"/>
      </w:r>
    </w:p>
    <w:p w:rsidR="00EC390B" w:rsidRPr="00750962" w:rsidP="00750962" w14:paraId="60995EA5" w14:textId="77777777"/>
    <w:tbl>
      <w:tblPr>
        <w:tblStyle w:val="TableGrid"/>
        <w:tblW w:w="0" w:type="auto"/>
        <w:jc w:val="center"/>
        <w:tblLook w:val="04A0"/>
      </w:tblPr>
      <w:tblGrid>
        <w:gridCol w:w="2157"/>
        <w:gridCol w:w="2157"/>
      </w:tblGrid>
      <w:tr w14:paraId="62C933FC" w14:textId="77777777" w:rsidTr="00042A30">
        <w:tblPrEx>
          <w:tblW w:w="0" w:type="auto"/>
          <w:jc w:val="center"/>
          <w:tblLook w:val="04A0"/>
        </w:tblPrEx>
        <w:trPr>
          <w:jc w:val="center"/>
        </w:trPr>
        <w:tc>
          <w:tcPr>
            <w:tcW w:w="2157" w:type="dxa"/>
          </w:tcPr>
          <w:p w:rsidR="00067B2E" w:rsidRPr="00750962" w:rsidP="00750962" w14:paraId="5BC12872" w14:textId="77777777">
            <w:r w:rsidRPr="00750962">
              <w:t>$90 million</w:t>
            </w:r>
          </w:p>
        </w:tc>
        <w:tc>
          <w:tcPr>
            <w:tcW w:w="2157" w:type="dxa"/>
            <w:shd w:val="clear" w:color="auto" w:fill="D9D9D9" w:themeFill="background1" w:themeFillShade="D9"/>
          </w:tcPr>
          <w:p w:rsidR="00067B2E" w:rsidRPr="00750962" w:rsidP="00750962" w14:paraId="1C3971A3" w14:textId="77777777">
            <w:r w:rsidRPr="00750962">
              <w:t>Policy 2C</w:t>
            </w:r>
          </w:p>
        </w:tc>
      </w:tr>
      <w:tr w14:paraId="79BAB916" w14:textId="77777777" w:rsidTr="00042A30">
        <w:tblPrEx>
          <w:tblW w:w="0" w:type="auto"/>
          <w:jc w:val="center"/>
          <w:tblLook w:val="04A0"/>
        </w:tblPrEx>
        <w:trPr>
          <w:jc w:val="center"/>
        </w:trPr>
        <w:tc>
          <w:tcPr>
            <w:tcW w:w="2157" w:type="dxa"/>
          </w:tcPr>
          <w:p w:rsidR="00067B2E" w:rsidRPr="00750962" w:rsidP="00750962" w14:paraId="5BDC261C" w14:textId="77777777">
            <w:r w:rsidRPr="00750962">
              <w:t>$80 million</w:t>
            </w:r>
          </w:p>
        </w:tc>
        <w:tc>
          <w:tcPr>
            <w:tcW w:w="2157" w:type="dxa"/>
            <w:shd w:val="clear" w:color="auto" w:fill="D9D9D9" w:themeFill="background1" w:themeFillShade="D9"/>
          </w:tcPr>
          <w:p w:rsidR="00067B2E" w:rsidRPr="00750962" w:rsidP="00750962" w14:paraId="27AED8AA" w14:textId="77777777">
            <w:r w:rsidRPr="00750962">
              <w:t>Policy 2B</w:t>
            </w:r>
          </w:p>
        </w:tc>
      </w:tr>
      <w:tr w14:paraId="725F3B5F" w14:textId="77777777" w:rsidTr="00042A30">
        <w:tblPrEx>
          <w:tblW w:w="0" w:type="auto"/>
          <w:jc w:val="center"/>
          <w:tblLook w:val="04A0"/>
        </w:tblPrEx>
        <w:trPr>
          <w:jc w:val="center"/>
        </w:trPr>
        <w:tc>
          <w:tcPr>
            <w:tcW w:w="2157" w:type="dxa"/>
          </w:tcPr>
          <w:p w:rsidR="00067B2E" w:rsidRPr="00750962" w:rsidP="00750962" w14:paraId="0B5B7E33" w14:textId="77777777">
            <w:r w:rsidRPr="00750962">
              <w:t>$70 million</w:t>
            </w:r>
          </w:p>
        </w:tc>
        <w:tc>
          <w:tcPr>
            <w:tcW w:w="2157" w:type="dxa"/>
            <w:shd w:val="clear" w:color="auto" w:fill="D9D9D9" w:themeFill="background1" w:themeFillShade="D9"/>
          </w:tcPr>
          <w:p w:rsidR="00067B2E" w:rsidRPr="00750962" w:rsidP="00750962" w14:paraId="50053215" w14:textId="77777777">
            <w:r w:rsidRPr="00750962">
              <w:t>Policy 2A</w:t>
            </w:r>
          </w:p>
        </w:tc>
      </w:tr>
      <w:tr w14:paraId="4C988B46" w14:textId="77777777" w:rsidTr="00042A30">
        <w:tblPrEx>
          <w:tblW w:w="0" w:type="auto"/>
          <w:jc w:val="center"/>
          <w:tblLook w:val="04A0"/>
        </w:tblPrEx>
        <w:trPr>
          <w:jc w:val="center"/>
        </w:trPr>
        <w:tc>
          <w:tcPr>
            <w:tcW w:w="2157" w:type="dxa"/>
          </w:tcPr>
          <w:p w:rsidR="00067B2E" w:rsidRPr="00750962" w:rsidP="00750962" w14:paraId="4A75B35B" w14:textId="77777777">
            <w:r w:rsidRPr="00750962">
              <w:t>$60 million</w:t>
            </w:r>
          </w:p>
        </w:tc>
        <w:tc>
          <w:tcPr>
            <w:tcW w:w="2157" w:type="dxa"/>
            <w:shd w:val="clear" w:color="auto" w:fill="D9D9D9" w:themeFill="background1" w:themeFillShade="D9"/>
          </w:tcPr>
          <w:p w:rsidR="00067B2E" w:rsidRPr="00750962" w:rsidP="00750962" w14:paraId="206E900A" w14:textId="77777777">
            <w:r w:rsidRPr="00750962">
              <w:t>Policy 1C</w:t>
            </w:r>
          </w:p>
        </w:tc>
      </w:tr>
      <w:tr w14:paraId="4327D140" w14:textId="77777777" w:rsidTr="00042A30">
        <w:tblPrEx>
          <w:tblW w:w="0" w:type="auto"/>
          <w:jc w:val="center"/>
          <w:tblLook w:val="04A0"/>
        </w:tblPrEx>
        <w:trPr>
          <w:jc w:val="center"/>
        </w:trPr>
        <w:tc>
          <w:tcPr>
            <w:tcW w:w="2157" w:type="dxa"/>
          </w:tcPr>
          <w:p w:rsidR="00067B2E" w:rsidRPr="00750962" w:rsidP="00750962" w14:paraId="1323ECC0" w14:textId="77777777">
            <w:r w:rsidRPr="00750962">
              <w:t>$50 million</w:t>
            </w:r>
          </w:p>
        </w:tc>
        <w:tc>
          <w:tcPr>
            <w:tcW w:w="2157" w:type="dxa"/>
            <w:shd w:val="clear" w:color="auto" w:fill="D9D9D9" w:themeFill="background1" w:themeFillShade="D9"/>
          </w:tcPr>
          <w:p w:rsidR="00067B2E" w:rsidRPr="00750962" w:rsidP="00750962" w14:paraId="643E3FF0" w14:textId="77777777">
            <w:r w:rsidRPr="00750962">
              <w:t>Policy 1B</w:t>
            </w:r>
          </w:p>
        </w:tc>
      </w:tr>
      <w:tr w14:paraId="66A066D0" w14:textId="77777777" w:rsidTr="00042A30">
        <w:tblPrEx>
          <w:tblW w:w="0" w:type="auto"/>
          <w:jc w:val="center"/>
          <w:tblLook w:val="04A0"/>
        </w:tblPrEx>
        <w:trPr>
          <w:jc w:val="center"/>
        </w:trPr>
        <w:tc>
          <w:tcPr>
            <w:tcW w:w="2157" w:type="dxa"/>
          </w:tcPr>
          <w:p w:rsidR="00067B2E" w:rsidRPr="00750962" w:rsidP="00750962" w14:paraId="69934FC7" w14:textId="77777777">
            <w:r w:rsidRPr="00750962">
              <w:t>$40 million</w:t>
            </w:r>
          </w:p>
        </w:tc>
        <w:tc>
          <w:tcPr>
            <w:tcW w:w="2157" w:type="dxa"/>
            <w:shd w:val="clear" w:color="auto" w:fill="D9D9D9" w:themeFill="background1" w:themeFillShade="D9"/>
          </w:tcPr>
          <w:p w:rsidR="00067B2E" w:rsidRPr="00750962" w:rsidP="00750962" w14:paraId="536862BA" w14:textId="77777777">
            <w:r w:rsidRPr="00750962">
              <w:t>Policy 1A</w:t>
            </w:r>
          </w:p>
        </w:tc>
      </w:tr>
      <w:tr w14:paraId="1A39092C" w14:textId="77777777" w:rsidTr="00042A30">
        <w:tblPrEx>
          <w:tblW w:w="0" w:type="auto"/>
          <w:jc w:val="center"/>
          <w:tblLook w:val="04A0"/>
        </w:tblPrEx>
        <w:trPr>
          <w:jc w:val="center"/>
        </w:trPr>
        <w:tc>
          <w:tcPr>
            <w:tcW w:w="2157" w:type="dxa"/>
          </w:tcPr>
          <w:p w:rsidR="00067B2E" w:rsidRPr="00750962" w:rsidP="00750962" w14:paraId="32953352" w14:textId="77777777">
            <w:r w:rsidRPr="00750962">
              <w:t>$30 million</w:t>
            </w:r>
          </w:p>
        </w:tc>
        <w:tc>
          <w:tcPr>
            <w:tcW w:w="2157" w:type="dxa"/>
            <w:shd w:val="clear" w:color="auto" w:fill="D9D9D9" w:themeFill="background1" w:themeFillShade="D9"/>
          </w:tcPr>
          <w:p w:rsidR="00067B2E" w:rsidRPr="00750962" w:rsidP="00750962" w14:paraId="20DEB100" w14:textId="77777777">
            <w:r w:rsidRPr="00750962">
              <w:t>Primary Insurance</w:t>
            </w:r>
          </w:p>
        </w:tc>
      </w:tr>
      <w:tr w14:paraId="7CCBE580" w14:textId="77777777" w:rsidTr="00042A30">
        <w:tblPrEx>
          <w:tblW w:w="0" w:type="auto"/>
          <w:jc w:val="center"/>
          <w:tblLook w:val="04A0"/>
        </w:tblPrEx>
        <w:trPr>
          <w:jc w:val="center"/>
        </w:trPr>
        <w:tc>
          <w:tcPr>
            <w:tcW w:w="2157" w:type="dxa"/>
          </w:tcPr>
          <w:p w:rsidR="00067B2E" w:rsidRPr="00750962" w:rsidP="00750962" w14:paraId="19218AFE" w14:textId="77777777">
            <w:r w:rsidRPr="00750962">
              <w:t>$20 million</w:t>
            </w:r>
          </w:p>
        </w:tc>
        <w:tc>
          <w:tcPr>
            <w:tcW w:w="2157" w:type="dxa"/>
            <w:shd w:val="clear" w:color="auto" w:fill="D9D9D9" w:themeFill="background1" w:themeFillShade="D9"/>
          </w:tcPr>
          <w:p w:rsidR="00067B2E" w:rsidRPr="00750962" w:rsidP="00750962" w14:paraId="36DDF9FB" w14:textId="77777777">
            <w:r w:rsidRPr="00750962">
              <w:t>Primary Insurance</w:t>
            </w:r>
          </w:p>
        </w:tc>
      </w:tr>
      <w:tr w14:paraId="489325F2" w14:textId="77777777" w:rsidTr="00042A30">
        <w:tblPrEx>
          <w:tblW w:w="0" w:type="auto"/>
          <w:jc w:val="center"/>
          <w:tblLook w:val="04A0"/>
        </w:tblPrEx>
        <w:trPr>
          <w:jc w:val="center"/>
        </w:trPr>
        <w:tc>
          <w:tcPr>
            <w:tcW w:w="2157" w:type="dxa"/>
          </w:tcPr>
          <w:p w:rsidR="00067B2E" w:rsidRPr="00750962" w:rsidP="00750962" w14:paraId="35305F1B" w14:textId="77777777">
            <w:r w:rsidRPr="00750962">
              <w:t>$10 million</w:t>
            </w:r>
          </w:p>
        </w:tc>
        <w:tc>
          <w:tcPr>
            <w:tcW w:w="2157" w:type="dxa"/>
            <w:shd w:val="clear" w:color="auto" w:fill="D9D9D9" w:themeFill="background1" w:themeFillShade="D9"/>
          </w:tcPr>
          <w:p w:rsidR="00067B2E" w:rsidRPr="00750962" w:rsidP="00750962" w14:paraId="1BBD4F2D" w14:textId="77777777">
            <w:r w:rsidRPr="00750962">
              <w:t>Primary Insurance</w:t>
            </w:r>
          </w:p>
        </w:tc>
      </w:tr>
    </w:tbl>
    <w:p w:rsidR="00561300" w:rsidP="00750962" w14:paraId="3A245B05" w14:textId="77777777"/>
    <w:p w:rsidR="00EC390B" w:rsidRPr="00750962" w:rsidP="00750962" w14:paraId="5023A262" w14:textId="1C7079F2">
      <w:r w:rsidRPr="00750962">
        <w:tab/>
        <w:t>Under Montrose’s proposed rule of vertical exhaustion, in contrast, an insured would be permitted to access a</w:t>
      </w:r>
      <w:r w:rsidRPr="00750962" w:rsidR="009920E9">
        <w:t>ny</w:t>
      </w:r>
      <w:r w:rsidRPr="00750962">
        <w:t xml:space="preserve"> higher</w:t>
      </w:r>
      <w:r w:rsidR="00C62C2C">
        <w:t xml:space="preserve"> </w:t>
      </w:r>
      <w:r w:rsidRPr="00750962">
        <w:t xml:space="preserve">layer </w:t>
      </w:r>
      <w:r w:rsidRPr="00750962" w:rsidR="00A07849">
        <w:t xml:space="preserve">excess </w:t>
      </w:r>
      <w:r w:rsidRPr="00750962">
        <w:t xml:space="preserve">policy once it has exhausted the directly underlying </w:t>
      </w:r>
      <w:r w:rsidRPr="00750962" w:rsidR="00A07849">
        <w:t xml:space="preserve">excess </w:t>
      </w:r>
      <w:r w:rsidRPr="00750962">
        <w:t>policy</w:t>
      </w:r>
      <w:r w:rsidRPr="00750962" w:rsidR="008F0138">
        <w:t xml:space="preserve"> covering the same period</w:t>
      </w:r>
      <w:r w:rsidRPr="00750962">
        <w:t>:</w:t>
      </w:r>
    </w:p>
    <w:p w:rsidR="000F3FA8" w14:paraId="021971E8" w14:textId="76D0D8CC">
      <w:pPr>
        <w:spacing w:after="0" w:line="240" w:lineRule="auto"/>
        <w:jc w:val="left"/>
      </w:pPr>
      <w:r>
        <w:br w:type="page"/>
      </w:r>
    </w:p>
    <w:p w:rsidR="00EC390B" w:rsidRPr="00750962" w:rsidP="00750962" w14:paraId="451A09CA" w14:textId="77777777"/>
    <w:tbl>
      <w:tblPr>
        <w:tblStyle w:val="TableGrid"/>
        <w:tblW w:w="0" w:type="auto"/>
        <w:jc w:val="center"/>
        <w:tblLook w:val="04A0"/>
      </w:tblPr>
      <w:tblGrid>
        <w:gridCol w:w="2157"/>
        <w:gridCol w:w="2157"/>
      </w:tblGrid>
      <w:tr w14:paraId="750802F1" w14:textId="77777777" w:rsidTr="00042A30">
        <w:tblPrEx>
          <w:tblW w:w="0" w:type="auto"/>
          <w:jc w:val="center"/>
          <w:tblLook w:val="04A0"/>
        </w:tblPrEx>
        <w:trPr>
          <w:jc w:val="center"/>
        </w:trPr>
        <w:tc>
          <w:tcPr>
            <w:tcW w:w="2157" w:type="dxa"/>
          </w:tcPr>
          <w:p w:rsidR="00067B2E" w:rsidRPr="00750962" w:rsidP="00750962" w14:paraId="25337EC4" w14:textId="77777777">
            <w:r w:rsidRPr="00750962">
              <w:t>$90 million</w:t>
            </w:r>
          </w:p>
        </w:tc>
        <w:tc>
          <w:tcPr>
            <w:tcW w:w="2157" w:type="dxa"/>
            <w:shd w:val="clear" w:color="auto" w:fill="D9D9D9" w:themeFill="background1" w:themeFillShade="D9"/>
          </w:tcPr>
          <w:p w:rsidR="00067B2E" w:rsidRPr="00750962" w:rsidP="00750962" w14:paraId="4392E27F" w14:textId="77777777">
            <w:r w:rsidRPr="00750962">
              <w:t>Policy 2C</w:t>
            </w:r>
          </w:p>
        </w:tc>
      </w:tr>
      <w:tr w14:paraId="75FA7A35" w14:textId="77777777" w:rsidTr="00042A30">
        <w:tblPrEx>
          <w:tblW w:w="0" w:type="auto"/>
          <w:jc w:val="center"/>
          <w:tblLook w:val="04A0"/>
        </w:tblPrEx>
        <w:trPr>
          <w:jc w:val="center"/>
        </w:trPr>
        <w:tc>
          <w:tcPr>
            <w:tcW w:w="2157" w:type="dxa"/>
          </w:tcPr>
          <w:p w:rsidR="00067B2E" w:rsidRPr="00750962" w:rsidP="00750962" w14:paraId="4F65CB77" w14:textId="77777777">
            <w:r w:rsidRPr="00750962">
              <w:t>$80 million</w:t>
            </w:r>
          </w:p>
        </w:tc>
        <w:tc>
          <w:tcPr>
            <w:tcW w:w="2157" w:type="dxa"/>
            <w:shd w:val="clear" w:color="auto" w:fill="D9D9D9" w:themeFill="background1" w:themeFillShade="D9"/>
          </w:tcPr>
          <w:p w:rsidR="00067B2E" w:rsidRPr="00750962" w:rsidP="00750962" w14:paraId="0F3B6E13" w14:textId="77777777">
            <w:r w:rsidRPr="00750962">
              <w:t>Policy 1C</w:t>
            </w:r>
          </w:p>
        </w:tc>
      </w:tr>
      <w:tr w14:paraId="74654943" w14:textId="77777777" w:rsidTr="00042A30">
        <w:tblPrEx>
          <w:tblW w:w="0" w:type="auto"/>
          <w:jc w:val="center"/>
          <w:tblLook w:val="04A0"/>
        </w:tblPrEx>
        <w:trPr>
          <w:jc w:val="center"/>
        </w:trPr>
        <w:tc>
          <w:tcPr>
            <w:tcW w:w="2157" w:type="dxa"/>
          </w:tcPr>
          <w:p w:rsidR="00067B2E" w:rsidRPr="00750962" w:rsidP="00750962" w14:paraId="252F4302" w14:textId="77777777">
            <w:r w:rsidRPr="00750962">
              <w:t>$70 million</w:t>
            </w:r>
          </w:p>
        </w:tc>
        <w:tc>
          <w:tcPr>
            <w:tcW w:w="2157" w:type="dxa"/>
            <w:shd w:val="clear" w:color="auto" w:fill="D9D9D9" w:themeFill="background1" w:themeFillShade="D9"/>
          </w:tcPr>
          <w:p w:rsidR="00067B2E" w:rsidRPr="00750962" w:rsidP="00750962" w14:paraId="212A7207" w14:textId="77777777">
            <w:r w:rsidRPr="00750962">
              <w:t>Policy 2B</w:t>
            </w:r>
          </w:p>
        </w:tc>
      </w:tr>
      <w:tr w14:paraId="626B7A32" w14:textId="77777777" w:rsidTr="00042A30">
        <w:tblPrEx>
          <w:tblW w:w="0" w:type="auto"/>
          <w:jc w:val="center"/>
          <w:tblLook w:val="04A0"/>
        </w:tblPrEx>
        <w:trPr>
          <w:jc w:val="center"/>
        </w:trPr>
        <w:tc>
          <w:tcPr>
            <w:tcW w:w="2157" w:type="dxa"/>
          </w:tcPr>
          <w:p w:rsidR="00067B2E" w:rsidRPr="00750962" w:rsidP="00750962" w14:paraId="6CB87D8F" w14:textId="77777777">
            <w:r w:rsidRPr="00750962">
              <w:t>$60 million</w:t>
            </w:r>
          </w:p>
        </w:tc>
        <w:tc>
          <w:tcPr>
            <w:tcW w:w="2157" w:type="dxa"/>
            <w:shd w:val="clear" w:color="auto" w:fill="D9D9D9" w:themeFill="background1" w:themeFillShade="D9"/>
          </w:tcPr>
          <w:p w:rsidR="00067B2E" w:rsidRPr="00750962" w:rsidP="00750962" w14:paraId="7CB5B847" w14:textId="77777777">
            <w:r w:rsidRPr="00750962">
              <w:t>Policy 1B</w:t>
            </w:r>
          </w:p>
        </w:tc>
      </w:tr>
      <w:tr w14:paraId="0171C49C" w14:textId="77777777" w:rsidTr="00042A30">
        <w:tblPrEx>
          <w:tblW w:w="0" w:type="auto"/>
          <w:jc w:val="center"/>
          <w:tblLook w:val="04A0"/>
        </w:tblPrEx>
        <w:trPr>
          <w:jc w:val="center"/>
        </w:trPr>
        <w:tc>
          <w:tcPr>
            <w:tcW w:w="2157" w:type="dxa"/>
          </w:tcPr>
          <w:p w:rsidR="00067B2E" w:rsidRPr="00750962" w:rsidP="00750962" w14:paraId="503BBA7D" w14:textId="77777777">
            <w:r w:rsidRPr="00750962">
              <w:t>$50 million</w:t>
            </w:r>
          </w:p>
        </w:tc>
        <w:tc>
          <w:tcPr>
            <w:tcW w:w="2157" w:type="dxa"/>
            <w:shd w:val="clear" w:color="auto" w:fill="D9D9D9" w:themeFill="background1" w:themeFillShade="D9"/>
          </w:tcPr>
          <w:p w:rsidR="00067B2E" w:rsidRPr="00750962" w:rsidP="00750962" w14:paraId="1E6E1D96" w14:textId="77777777">
            <w:r w:rsidRPr="00750962">
              <w:t>Policy 2A</w:t>
            </w:r>
          </w:p>
        </w:tc>
      </w:tr>
      <w:tr w14:paraId="7B009ED7" w14:textId="77777777" w:rsidTr="00042A30">
        <w:tblPrEx>
          <w:tblW w:w="0" w:type="auto"/>
          <w:jc w:val="center"/>
          <w:tblLook w:val="04A0"/>
        </w:tblPrEx>
        <w:trPr>
          <w:jc w:val="center"/>
        </w:trPr>
        <w:tc>
          <w:tcPr>
            <w:tcW w:w="2157" w:type="dxa"/>
          </w:tcPr>
          <w:p w:rsidR="00067B2E" w:rsidRPr="00750962" w:rsidP="00750962" w14:paraId="0490423B" w14:textId="77777777">
            <w:r w:rsidRPr="00750962">
              <w:t>$40 million</w:t>
            </w:r>
          </w:p>
        </w:tc>
        <w:tc>
          <w:tcPr>
            <w:tcW w:w="2157" w:type="dxa"/>
            <w:shd w:val="clear" w:color="auto" w:fill="D9D9D9" w:themeFill="background1" w:themeFillShade="D9"/>
          </w:tcPr>
          <w:p w:rsidR="00067B2E" w:rsidRPr="00750962" w:rsidP="00750962" w14:paraId="2D4995B2" w14:textId="77777777">
            <w:r w:rsidRPr="00750962">
              <w:t>Policy 1A</w:t>
            </w:r>
          </w:p>
        </w:tc>
      </w:tr>
      <w:tr w14:paraId="219470A4" w14:textId="77777777" w:rsidTr="00067B2E">
        <w:tblPrEx>
          <w:tblW w:w="0" w:type="auto"/>
          <w:jc w:val="center"/>
          <w:tblLook w:val="04A0"/>
        </w:tblPrEx>
        <w:trPr>
          <w:jc w:val="center"/>
        </w:trPr>
        <w:tc>
          <w:tcPr>
            <w:tcW w:w="2157" w:type="dxa"/>
          </w:tcPr>
          <w:p w:rsidR="00A07849" w:rsidRPr="00750962" w:rsidP="00750962" w14:paraId="61DAA277" w14:textId="77777777">
            <w:r w:rsidRPr="00750962">
              <w:t>$30 million</w:t>
            </w:r>
          </w:p>
        </w:tc>
        <w:tc>
          <w:tcPr>
            <w:tcW w:w="2157" w:type="dxa"/>
            <w:shd w:val="clear" w:color="auto" w:fill="D9D9D9" w:themeFill="background1" w:themeFillShade="D9"/>
          </w:tcPr>
          <w:p w:rsidR="00A07849" w:rsidRPr="00750962" w:rsidP="00750962" w14:paraId="1B97974F" w14:textId="77777777">
            <w:r w:rsidRPr="00750962">
              <w:t>Primary Insurance</w:t>
            </w:r>
          </w:p>
        </w:tc>
      </w:tr>
      <w:tr w14:paraId="65D14C80" w14:textId="77777777" w:rsidTr="00067B2E">
        <w:tblPrEx>
          <w:tblW w:w="0" w:type="auto"/>
          <w:jc w:val="center"/>
          <w:tblLook w:val="04A0"/>
        </w:tblPrEx>
        <w:trPr>
          <w:jc w:val="center"/>
        </w:trPr>
        <w:tc>
          <w:tcPr>
            <w:tcW w:w="2157" w:type="dxa"/>
          </w:tcPr>
          <w:p w:rsidR="00A07849" w:rsidRPr="00750962" w:rsidP="00750962" w14:paraId="56B20D3B" w14:textId="77777777">
            <w:r w:rsidRPr="00750962">
              <w:t>$20 million</w:t>
            </w:r>
          </w:p>
        </w:tc>
        <w:tc>
          <w:tcPr>
            <w:tcW w:w="2157" w:type="dxa"/>
            <w:shd w:val="clear" w:color="auto" w:fill="D9D9D9" w:themeFill="background1" w:themeFillShade="D9"/>
          </w:tcPr>
          <w:p w:rsidR="00A07849" w:rsidRPr="00750962" w:rsidP="00750962" w14:paraId="07B27F7B" w14:textId="77777777">
            <w:r w:rsidRPr="00750962">
              <w:t>Primary Insurance</w:t>
            </w:r>
          </w:p>
        </w:tc>
      </w:tr>
      <w:tr w14:paraId="014D5147" w14:textId="77777777" w:rsidTr="00067B2E">
        <w:tblPrEx>
          <w:tblW w:w="0" w:type="auto"/>
          <w:jc w:val="center"/>
          <w:tblLook w:val="04A0"/>
        </w:tblPrEx>
        <w:trPr>
          <w:jc w:val="center"/>
        </w:trPr>
        <w:tc>
          <w:tcPr>
            <w:tcW w:w="2157" w:type="dxa"/>
          </w:tcPr>
          <w:p w:rsidR="00A07849" w:rsidRPr="00750962" w:rsidP="00750962" w14:paraId="2970BAE5" w14:textId="77777777">
            <w:r w:rsidRPr="00750962">
              <w:t>$10 million</w:t>
            </w:r>
          </w:p>
        </w:tc>
        <w:tc>
          <w:tcPr>
            <w:tcW w:w="2157" w:type="dxa"/>
            <w:shd w:val="clear" w:color="auto" w:fill="D9D9D9" w:themeFill="background1" w:themeFillShade="D9"/>
          </w:tcPr>
          <w:p w:rsidR="00A07849" w:rsidRPr="00750962" w:rsidP="00750962" w14:paraId="64BEA859" w14:textId="77777777">
            <w:r w:rsidRPr="00750962">
              <w:t>Primary Insurance</w:t>
            </w:r>
          </w:p>
        </w:tc>
      </w:tr>
    </w:tbl>
    <w:p w:rsidR="00152DBA" w:rsidRPr="00750962" w:rsidP="00750962" w14:paraId="512B86B7" w14:textId="2C91F50D">
      <w:pPr>
        <w:tabs>
          <w:tab w:val="left" w:pos="720"/>
        </w:tabs>
      </w:pPr>
      <w:r w:rsidRPr="00750962">
        <w:tab/>
      </w:r>
    </w:p>
    <w:p w:rsidR="0034337B" w:rsidRPr="00750962" w:rsidP="00750962" w14:paraId="0E33B656" w14:textId="4EAB8F9D">
      <w:pPr>
        <w:ind w:firstLine="720"/>
      </w:pPr>
      <w:r w:rsidRPr="00750962">
        <w:t>Which approach applies</w:t>
      </w:r>
      <w:r w:rsidRPr="00750962" w:rsidR="00A55172">
        <w:t xml:space="preserve"> </w:t>
      </w:r>
      <w:r w:rsidRPr="00750962" w:rsidR="00433238">
        <w:t xml:space="preserve">depends on the terms of the parties’ agreement.  We therefore begin by looking, as we must, to the language of the </w:t>
      </w:r>
      <w:r w:rsidRPr="00750962" w:rsidR="00FB6044">
        <w:t>insurance policies</w:t>
      </w:r>
      <w:r w:rsidRPr="00750962" w:rsidR="00A97D35">
        <w:t xml:space="preserve"> </w:t>
      </w:r>
      <w:r w:rsidRPr="00750962" w:rsidR="00433238">
        <w:t xml:space="preserve">at issue.  </w:t>
      </w:r>
      <w:r w:rsidRPr="00750962" w:rsidR="00634C14">
        <w:t>(</w:t>
      </w:r>
      <w:r w:rsidRPr="00750962" w:rsidR="00634C14">
        <w:rPr>
          <w:i/>
        </w:rPr>
        <w:t>Minkler v. Safeco Ins. Co. of America</w:t>
      </w:r>
      <w:r w:rsidRPr="00750962" w:rsidR="00634C14">
        <w:t xml:space="preserve"> (2010) 49 Cal.4th 315, 321 (</w:t>
      </w:r>
      <w:r w:rsidRPr="00750962" w:rsidR="00634C14">
        <w:rPr>
          <w:i/>
        </w:rPr>
        <w:t>Minkler</w:t>
      </w:r>
      <w:r w:rsidRPr="00750962" w:rsidR="00634C14">
        <w:t>)</w:t>
      </w:r>
      <w:r w:rsidRPr="00750962" w:rsidR="00A97D35">
        <w:t xml:space="preserve">; </w:t>
      </w:r>
      <w:r w:rsidRPr="00750962" w:rsidR="00A97D35">
        <w:rPr>
          <w:i/>
        </w:rPr>
        <w:t>AIU Ins. Co. v. Superior Court</w:t>
      </w:r>
      <w:r w:rsidRPr="00750962" w:rsidR="00A97D35">
        <w:t xml:space="preserve"> (1990) 51 Cal.3d 807, 822–823</w:t>
      </w:r>
      <w:r w:rsidRPr="00750962" w:rsidR="00634C14">
        <w:t>.)</w:t>
      </w:r>
    </w:p>
    <w:p w:rsidR="00AF59BC" w:rsidRPr="00750962" w:rsidP="000D7BBF" w14:paraId="70E6B4CB" w14:textId="77777777">
      <w:pPr>
        <w:jc w:val="center"/>
        <w:rPr>
          <w:b/>
        </w:rPr>
      </w:pPr>
      <w:r w:rsidRPr="00750962">
        <w:rPr>
          <w:b/>
        </w:rPr>
        <w:t>B.</w:t>
      </w:r>
    </w:p>
    <w:p w:rsidR="002D6B9D" w:rsidRPr="00750962" w:rsidP="00750962" w14:paraId="5DB2B3E3" w14:textId="44A1A5F6">
      <w:r w:rsidRPr="00750962">
        <w:tab/>
      </w:r>
      <w:r w:rsidRPr="00750962" w:rsidR="0055497F">
        <w:t>“The principles governing the interpretation of insurance policies in California are well settled.  ‘Our goal in construing insurance contracts, as with contracts generally, is to give effect to the parti</w:t>
      </w:r>
      <w:r w:rsidRPr="00750962">
        <w:t xml:space="preserve">es’ mutual intentions.  [Citations.]  “If contractual language is clear and explicit, it governs.”  [Citations.]  If </w:t>
      </w:r>
      <w:r w:rsidRPr="00750962" w:rsidR="00073F53">
        <w:t>the</w:t>
      </w:r>
      <w:r w:rsidRPr="00750962">
        <w:t xml:space="preserve"> terms are ambiguous [i.e., susceptible of more than one reasonable interpretation</w:t>
      </w:r>
      <w:r w:rsidRPr="00750962" w:rsidR="004403B1">
        <w:t>]</w:t>
      </w:r>
      <w:r w:rsidRPr="00750962">
        <w:t>, we interpret them to protect “</w:t>
      </w:r>
      <w:r w:rsidRPr="00750962" w:rsidR="00D31C4A">
        <w:t> </w:t>
      </w:r>
      <w:r w:rsidRPr="00750962">
        <w:t>‘the objectively reasonable expectations of the insured.’ ”</w:t>
      </w:r>
      <w:r w:rsidRPr="00750962" w:rsidR="00545B1C">
        <w:t> </w:t>
      </w:r>
      <w:r w:rsidRPr="00750962" w:rsidR="00D447BF">
        <w:t>’</w:t>
      </w:r>
      <w:r w:rsidRPr="00750962" w:rsidR="00796CE6">
        <w:t> </w:t>
      </w:r>
      <w:r w:rsidRPr="00750962" w:rsidR="00D447BF">
        <w:t>”</w:t>
      </w:r>
      <w:r w:rsidRPr="00750962" w:rsidR="0090726D">
        <w:t xml:space="preserve">  </w:t>
      </w:r>
      <w:r w:rsidRPr="00750962" w:rsidR="00D447BF">
        <w:t>(</w:t>
      </w:r>
      <w:r w:rsidRPr="00750962" w:rsidR="00D447BF">
        <w:rPr>
          <w:i/>
        </w:rPr>
        <w:t>Minkler</w:t>
      </w:r>
      <w:r w:rsidRPr="00750962" w:rsidR="00D447BF">
        <w:t xml:space="preserve">, </w:t>
      </w:r>
      <w:r w:rsidRPr="00750962" w:rsidR="00D447BF">
        <w:rPr>
          <w:i/>
        </w:rPr>
        <w:t>supra</w:t>
      </w:r>
      <w:r w:rsidRPr="00750962" w:rsidR="00D447BF">
        <w:t>,</w:t>
      </w:r>
      <w:r w:rsidRPr="00750962" w:rsidR="00D447BF">
        <w:rPr>
          <w:i/>
        </w:rPr>
        <w:t xml:space="preserve"> </w:t>
      </w:r>
      <w:r w:rsidRPr="00750962" w:rsidR="00D447BF">
        <w:t>49 Cal.4th at p.</w:t>
      </w:r>
      <w:r w:rsidRPr="00750962" w:rsidR="003500D1">
        <w:t> </w:t>
      </w:r>
      <w:r w:rsidRPr="00750962" w:rsidR="00D447BF">
        <w:t xml:space="preserve">321.)  </w:t>
      </w:r>
      <w:r w:rsidRPr="00750962" w:rsidR="0090726D">
        <w:t>If these rules do not resolve a</w:t>
      </w:r>
      <w:r w:rsidRPr="00750962" w:rsidR="00094643">
        <w:t>n</w:t>
      </w:r>
      <w:r w:rsidRPr="00750962" w:rsidR="0090726D">
        <w:t xml:space="preserve"> ambiguity, we may </w:t>
      </w:r>
      <w:r w:rsidRPr="00750962" w:rsidR="00D447BF">
        <w:t xml:space="preserve">then </w:t>
      </w:r>
      <w:r w:rsidRPr="00750962" w:rsidR="0090726D">
        <w:t>“</w:t>
      </w:r>
      <w:r w:rsidRPr="00750962" w:rsidR="00796CE6">
        <w:t> ‘</w:t>
      </w:r>
      <w:r w:rsidRPr="00750962" w:rsidR="0090726D">
        <w:t xml:space="preserve">resort to the </w:t>
      </w:r>
      <w:r w:rsidRPr="00750962">
        <w:t>rule that ambiguities are to be resolved against the insurer.’</w:t>
      </w:r>
      <w:r w:rsidRPr="00750962" w:rsidR="004B6804">
        <w:t> </w:t>
      </w:r>
      <w:r w:rsidRPr="00750962">
        <w:t xml:space="preserve">”  </w:t>
      </w:r>
      <w:r w:rsidRPr="00750962" w:rsidR="00D447BF">
        <w:t>(</w:t>
      </w:r>
      <w:r w:rsidRPr="00750962" w:rsidR="00D447BF">
        <w:rPr>
          <w:i/>
        </w:rPr>
        <w:t>Ibid.</w:t>
      </w:r>
      <w:r w:rsidRPr="00750962" w:rsidR="00D447BF">
        <w:t>)</w:t>
      </w:r>
    </w:p>
    <w:p w:rsidR="002A4387" w:rsidRPr="00750962" w:rsidP="00750962" w14:paraId="4AEF9961" w14:textId="0B6176F2">
      <w:r w:rsidRPr="00750962">
        <w:tab/>
      </w:r>
      <w:r w:rsidRPr="00750962" w:rsidR="00E421A4">
        <w:t>The parties’ dispute centers on the meaning of the “other insurance” clauses in the excess insurance policies</w:t>
      </w:r>
      <w:r w:rsidRPr="00750962" w:rsidR="00DE3438">
        <w:t>.</w:t>
      </w:r>
      <w:r w:rsidRPr="00750962" w:rsidR="003766F4">
        <w:t xml:space="preserve">  These clauses provide, in a variety of ways, that </w:t>
      </w:r>
      <w:r w:rsidRPr="00750962" w:rsidR="002F1734">
        <w:t>each</w:t>
      </w:r>
      <w:r w:rsidRPr="00750962" w:rsidR="003766F4">
        <w:t xml:space="preserve"> </w:t>
      </w:r>
      <w:r w:rsidRPr="00750962" w:rsidR="00515ACD">
        <w:t xml:space="preserve">policy shall be excess to other insurance available to the insured, whether or not the other insurance is </w:t>
      </w:r>
      <w:r w:rsidRPr="00750962" w:rsidR="003A1535">
        <w:t xml:space="preserve">specifically listed </w:t>
      </w:r>
      <w:r w:rsidRPr="00750962" w:rsidR="00515ACD">
        <w:t>in the policy’s schedule of underlying insurance.</w:t>
      </w:r>
      <w:r w:rsidRPr="00750962" w:rsidR="002F1734">
        <w:t xml:space="preserve">  The insurers argue that these clauses </w:t>
      </w:r>
      <w:r w:rsidRPr="00750962" w:rsidR="00184F5F">
        <w:t xml:space="preserve">call for a rule of horizonal exhaustion because they </w:t>
      </w:r>
      <w:r w:rsidRPr="00750962" w:rsidR="002F1734">
        <w:t xml:space="preserve">restrict indemnification from any excess policy until the insured has exhausted </w:t>
      </w:r>
      <w:r w:rsidRPr="00750962" w:rsidR="00190C30">
        <w:t xml:space="preserve">all other available insurance—which, in a case of long-tail injury, means </w:t>
      </w:r>
      <w:r w:rsidRPr="00750962" w:rsidR="002F1734">
        <w:t>every policy with a lower attachment point from every policy period triggered by the continuous injury.</w:t>
      </w:r>
    </w:p>
    <w:p w:rsidR="00257904" w:rsidP="00750962" w14:paraId="3966F23E" w14:textId="4607AE5C">
      <w:r w:rsidRPr="00750962">
        <w:tab/>
      </w:r>
      <w:r w:rsidRPr="00750962" w:rsidR="003A0688">
        <w:t xml:space="preserve">Although the insurers’ interpretation is </w:t>
      </w:r>
      <w:r w:rsidRPr="00750962" w:rsidR="00C45D03">
        <w:t xml:space="preserve">not </w:t>
      </w:r>
      <w:r w:rsidRPr="00750962" w:rsidR="003C2E00">
        <w:t xml:space="preserve">an </w:t>
      </w:r>
      <w:r w:rsidRPr="00750962" w:rsidR="008E0A35">
        <w:t>unreasonable</w:t>
      </w:r>
      <w:r w:rsidRPr="00750962" w:rsidR="003C2E00">
        <w:t xml:space="preserve"> one</w:t>
      </w:r>
      <w:r w:rsidRPr="00750962" w:rsidR="008E0A35">
        <w:t xml:space="preserve">, it is not the only </w:t>
      </w:r>
      <w:r w:rsidRPr="00750962" w:rsidR="003C2E00">
        <w:t xml:space="preserve">possible </w:t>
      </w:r>
      <w:r w:rsidRPr="00750962" w:rsidR="008E0A35">
        <w:t>interpretation of the policy language.</w:t>
      </w:r>
      <w:r>
        <w:rPr>
          <w:rStyle w:val="FootnoteReference"/>
        </w:rPr>
        <w:footnoteReference w:id="10"/>
      </w:r>
      <w:r w:rsidRPr="00750962">
        <w:t xml:space="preserve">  </w:t>
      </w:r>
      <w:r w:rsidRPr="00750962" w:rsidR="009025C3">
        <w:t xml:space="preserve">The “other insurance” clauses at issue </w:t>
      </w:r>
      <w:r w:rsidRPr="00750962" w:rsidR="00974B45">
        <w:t xml:space="preserve">clearly </w:t>
      </w:r>
      <w:r w:rsidRPr="00750962">
        <w:t>require exhaustion</w:t>
      </w:r>
      <w:r w:rsidRPr="00750962" w:rsidR="00D371EB">
        <w:t xml:space="preserve"> of underlying insurance, but </w:t>
      </w:r>
      <w:r w:rsidRPr="00750962">
        <w:t xml:space="preserve">none </w:t>
      </w:r>
      <w:r w:rsidRPr="00750962" w:rsidR="00B015A3">
        <w:t>clearly or explicitly</w:t>
      </w:r>
      <w:r w:rsidRPr="00750962" w:rsidR="003A1535">
        <w:t xml:space="preserve"> states</w:t>
      </w:r>
      <w:r w:rsidRPr="00750962">
        <w:t xml:space="preserve"> </w:t>
      </w:r>
      <w:r w:rsidRPr="00750962" w:rsidR="00603582">
        <w:t xml:space="preserve">that </w:t>
      </w:r>
      <w:r w:rsidRPr="00750962">
        <w:t xml:space="preserve">Montrose </w:t>
      </w:r>
      <w:r w:rsidRPr="00750962" w:rsidR="00407689">
        <w:t>must exhaust insurance</w:t>
      </w:r>
      <w:r w:rsidRPr="00750962" w:rsidR="00FC13D7">
        <w:t xml:space="preserve"> with lower attachment points</w:t>
      </w:r>
      <w:r w:rsidRPr="00750962" w:rsidR="00407689">
        <w:t xml:space="preserve"> </w:t>
      </w:r>
      <w:r w:rsidRPr="00750962" w:rsidR="00407689">
        <w:rPr>
          <w:i/>
        </w:rPr>
        <w:t>purchased for different policy periods</w:t>
      </w:r>
      <w:r w:rsidRPr="00750962" w:rsidR="00407689">
        <w:t xml:space="preserve">.  Policies that disclaim coverage for amounts covered by “other underlying insurance,” or require exhaustion of “all underlying insurance,” for example, could fairly be read to refer only to other </w:t>
      </w:r>
      <w:r w:rsidRPr="00750962" w:rsidR="00407689">
        <w:rPr>
          <w:i/>
        </w:rPr>
        <w:t>directly</w:t>
      </w:r>
      <w:r w:rsidRPr="00750962" w:rsidR="00407689">
        <w:t xml:space="preserve"> underlying insurance</w:t>
      </w:r>
      <w:r w:rsidR="000F3FA8">
        <w:t xml:space="preserve"> in the same policy period</w:t>
      </w:r>
      <w:r w:rsidRPr="00750962" w:rsidR="00407689">
        <w:t xml:space="preserve"> that was not </w:t>
      </w:r>
      <w:r w:rsidRPr="00750962" w:rsidR="00D371EB">
        <w:t xml:space="preserve">specifically identified </w:t>
      </w:r>
      <w:r w:rsidRPr="00750962" w:rsidR="00407689">
        <w:t xml:space="preserve">in the schedule of underlying insurance, </w:t>
      </w:r>
      <w:r w:rsidRPr="00750962" w:rsidR="008D08A4">
        <w:t xml:space="preserve">anticipating </w:t>
      </w:r>
      <w:r w:rsidRPr="00750962" w:rsidR="00407689">
        <w:t xml:space="preserve">that the scheduled underlying insurance may later be replaced or supplemented with different policies.  </w:t>
      </w:r>
    </w:p>
    <w:p w:rsidR="00407689" w:rsidRPr="00750962" w:rsidP="00750962" w14:paraId="6C477DCA" w14:textId="71FBE00D">
      <w:r>
        <w:tab/>
      </w:r>
      <w:r w:rsidRPr="00750962">
        <w:t>Other formulations require deductions for</w:t>
      </w:r>
      <w:r w:rsidR="00C94DFB">
        <w:t>,</w:t>
      </w:r>
      <w:r w:rsidRPr="00750962">
        <w:t xml:space="preserve"> in the words of one set of representative policies</w:t>
      </w:r>
      <w:r w:rsidR="00C94DFB">
        <w:t>,</w:t>
      </w:r>
      <w:r w:rsidRPr="00750962" w:rsidR="00C94DFB">
        <w:t xml:space="preserve"> </w:t>
      </w:r>
      <w:r w:rsidRPr="00750962">
        <w:t xml:space="preserve">all “other insurances (whether recoverable or not) other than the underlying insurance and </w:t>
      </w:r>
      <w:r w:rsidRPr="00750962">
        <w:rPr>
          <w:i/>
        </w:rPr>
        <w:t>excess insurance purchased specifically to be in excess of this policy</w:t>
      </w:r>
      <w:r w:rsidRPr="00750962">
        <w:t xml:space="preserve">.”  </w:t>
      </w:r>
      <w:r w:rsidR="00364E86">
        <w:t xml:space="preserve">(Italics added.)  </w:t>
      </w:r>
      <w:r w:rsidRPr="00750962">
        <w:t xml:space="preserve">If this </w:t>
      </w:r>
      <w:r w:rsidRPr="00750962" w:rsidR="00FC13D7">
        <w:t xml:space="preserve">language </w:t>
      </w:r>
      <w:r w:rsidRPr="00750962" w:rsidR="008D08A4">
        <w:t xml:space="preserve">were </w:t>
      </w:r>
      <w:r w:rsidRPr="00750962">
        <w:t xml:space="preserve">read to apply to insurance purchased for other policy periods, it could fairly be understood to require the exhaustion of </w:t>
      </w:r>
      <w:r w:rsidRPr="00750962">
        <w:rPr>
          <w:i/>
        </w:rPr>
        <w:t>every</w:t>
      </w:r>
      <w:r w:rsidRPr="00750962">
        <w:t xml:space="preserve"> other insurance policy at </w:t>
      </w:r>
      <w:r w:rsidRPr="00750962">
        <w:rPr>
          <w:i/>
        </w:rPr>
        <w:t>every</w:t>
      </w:r>
      <w:r w:rsidRPr="00750962">
        <w:t xml:space="preserve"> attachment point—not merely, as the insurers’ theory of horizontal exhaustion would have it, excess policies from other policy periods that contain lower attachment points.  The insurers do not advance this expansive reading, however; they contend that the reference to “other insurance,” properly understood, means “other </w:t>
      </w:r>
      <w:r w:rsidRPr="00750962">
        <w:rPr>
          <w:i/>
        </w:rPr>
        <w:t>underlying</w:t>
      </w:r>
      <w:r w:rsidRPr="00750962">
        <w:t xml:space="preserve"> insurance”</w:t>
      </w:r>
      <w:r w:rsidRPr="00750962" w:rsidR="003A1535">
        <w:t>—that is, only excess insurance with lower attachment points</w:t>
      </w:r>
      <w:r w:rsidRPr="00750962" w:rsidR="00393B29">
        <w:t xml:space="preserve"> from all </w:t>
      </w:r>
      <w:r w:rsidRPr="00750962" w:rsidR="008D08A4">
        <w:t xml:space="preserve">relevant </w:t>
      </w:r>
      <w:r w:rsidRPr="00750962" w:rsidR="00393B29">
        <w:t>policy periods</w:t>
      </w:r>
      <w:r w:rsidRPr="00750962" w:rsidR="003A1535">
        <w:t xml:space="preserve">.  </w:t>
      </w:r>
      <w:r w:rsidRPr="00750962">
        <w:t>The</w:t>
      </w:r>
      <w:r w:rsidRPr="00750962" w:rsidR="003A1535">
        <w:t xml:space="preserve"> insurers</w:t>
      </w:r>
      <w:r w:rsidRPr="00750962">
        <w:t xml:space="preserve"> do not explain why the reference is not properly understood to mean “other </w:t>
      </w:r>
      <w:r w:rsidRPr="00750962">
        <w:rPr>
          <w:i/>
        </w:rPr>
        <w:t>directly</w:t>
      </w:r>
      <w:r w:rsidRPr="00750962">
        <w:t xml:space="preserve"> </w:t>
      </w:r>
      <w:r w:rsidRPr="00750962">
        <w:rPr>
          <w:i/>
        </w:rPr>
        <w:t>underlying</w:t>
      </w:r>
      <w:r w:rsidRPr="00750962">
        <w:t xml:space="preserve"> insurance”</w:t>
      </w:r>
      <w:r w:rsidRPr="00750962" w:rsidR="003A1535">
        <w:t xml:space="preserve">—that is, a requirement that the insured exhaust only excess insurance with lower attachment points from the </w:t>
      </w:r>
      <w:r w:rsidRPr="00750962" w:rsidR="003A1535">
        <w:rPr>
          <w:i/>
        </w:rPr>
        <w:t>same</w:t>
      </w:r>
      <w:r w:rsidRPr="00750962" w:rsidR="003A1535">
        <w:t xml:space="preserve"> policy period.</w:t>
      </w:r>
      <w:r w:rsidRPr="00750962">
        <w:t xml:space="preserve">  This is one clue that the plain language of these clauses is not adequate to resolve the dispute in the insurers’ favor.</w:t>
      </w:r>
    </w:p>
    <w:p w:rsidR="008C2B1B" w:rsidRPr="00750962" w:rsidP="00750962" w14:paraId="6A2D2240" w14:textId="2BD1A81D">
      <w:pPr>
        <w:tabs>
          <w:tab w:val="left" w:pos="720"/>
        </w:tabs>
      </w:pPr>
      <w:r w:rsidRPr="00750962">
        <w:tab/>
      </w:r>
      <w:r w:rsidRPr="00750962" w:rsidR="00152DBA">
        <w:t xml:space="preserve">Consideration </w:t>
      </w:r>
      <w:r w:rsidRPr="00750962" w:rsidR="005A2D73">
        <w:t xml:space="preserve">of the traditional </w:t>
      </w:r>
      <w:r w:rsidRPr="00750962" w:rsidR="008D08A4">
        <w:t xml:space="preserve">use </w:t>
      </w:r>
      <w:r w:rsidRPr="00750962" w:rsidR="005A2D73">
        <w:t xml:space="preserve">of </w:t>
      </w:r>
      <w:r w:rsidRPr="00750962" w:rsidR="000C447F">
        <w:t xml:space="preserve">“other insurance” clauses </w:t>
      </w:r>
      <w:r w:rsidRPr="00750962" w:rsidR="008E5DB1">
        <w:t xml:space="preserve">reinforces our doubts about the insurers’ interpretation.  </w:t>
      </w:r>
      <w:r w:rsidRPr="00750962" w:rsidR="00F84C6C">
        <w:t>As we have previously explained, “</w:t>
      </w:r>
      <w:r w:rsidRPr="00750962" w:rsidR="00796CE6">
        <w:t> ‘</w:t>
      </w:r>
      <w:r w:rsidRPr="00750962" w:rsidR="005A5EDC">
        <w:t xml:space="preserve">[h]istorically, </w:t>
      </w:r>
      <w:r w:rsidRPr="00750962" w:rsidR="00BB75F5">
        <w:t>“</w:t>
      </w:r>
      <w:r w:rsidRPr="00750962" w:rsidR="005A5EDC">
        <w:t>other insurance</w:t>
      </w:r>
      <w:r w:rsidRPr="00750962" w:rsidR="00BB75F5">
        <w:t>”</w:t>
      </w:r>
      <w:r w:rsidRPr="00750962" w:rsidR="005A5EDC">
        <w:t xml:space="preserve"> clauses were designed to prevent multiple recoveries when more than one policy provided coverage for a particular loss.</w:t>
      </w:r>
      <w:r w:rsidRPr="00750962" w:rsidR="00BB75F5">
        <w:t>’</w:t>
      </w:r>
      <w:r w:rsidR="00925E1A">
        <w:t> </w:t>
      </w:r>
      <w:r w:rsidRPr="00750962" w:rsidR="005A5EDC">
        <w:t>”  (</w:t>
      </w:r>
      <w:r w:rsidRPr="00750962" w:rsidR="005A5EDC">
        <w:rPr>
          <w:i/>
        </w:rPr>
        <w:t>Dart Industries, Inc. v. Commercial Union Ins. Co.</w:t>
      </w:r>
      <w:r w:rsidRPr="00750962" w:rsidR="005A5EDC">
        <w:t xml:space="preserve"> (2002) 28 Cal.4th 1059, 1079</w:t>
      </w:r>
      <w:r w:rsidRPr="00750962" w:rsidR="00634047">
        <w:t xml:space="preserve"> (</w:t>
      </w:r>
      <w:r w:rsidRPr="00750962" w:rsidR="00634047">
        <w:rPr>
          <w:i/>
        </w:rPr>
        <w:t>Dart</w:t>
      </w:r>
      <w:r w:rsidRPr="00750962" w:rsidR="00634047">
        <w:t>).</w:t>
      </w:r>
      <w:r w:rsidRPr="00750962" w:rsidR="005A5EDC">
        <w:t>)</w:t>
      </w:r>
      <w:r w:rsidRPr="00750962">
        <w:t xml:space="preserve">  They have not generally been understood as dictating a particular </w:t>
      </w:r>
      <w:r w:rsidRPr="00750962" w:rsidR="00B4296D">
        <w:t xml:space="preserve">exhaustion rule for policyholders seeking to access </w:t>
      </w:r>
      <w:r w:rsidRPr="00750962" w:rsidR="000C0747">
        <w:t xml:space="preserve">successive </w:t>
      </w:r>
      <w:r w:rsidRPr="00750962" w:rsidR="00B4296D">
        <w:t>excess insurance policies in cases of long-tail injury.</w:t>
      </w:r>
    </w:p>
    <w:p w:rsidR="00877109" w:rsidRPr="00750962" w:rsidP="00750962" w14:paraId="520D109C" w14:textId="350D14DC">
      <w:pPr>
        <w:tabs>
          <w:tab w:val="left" w:pos="720"/>
        </w:tabs>
      </w:pPr>
      <w:r w:rsidRPr="00750962">
        <w:tab/>
      </w:r>
      <w:r w:rsidRPr="00750962">
        <w:t xml:space="preserve">In </w:t>
      </w:r>
      <w:r w:rsidRPr="00750962">
        <w:rPr>
          <w:i/>
        </w:rPr>
        <w:t>Dart</w:t>
      </w:r>
      <w:r w:rsidRPr="00750962" w:rsidR="003714F5">
        <w:t>, we considered the meaning of an “other insurance” clause in a different context</w:t>
      </w:r>
      <w:r w:rsidRPr="00750962" w:rsidR="003E1CE9">
        <w:t xml:space="preserve">.  </w:t>
      </w:r>
      <w:r w:rsidRPr="00750962" w:rsidR="003714F5">
        <w:t xml:space="preserve">There, the </w:t>
      </w:r>
      <w:r w:rsidRPr="00750962">
        <w:t>policyholder</w:t>
      </w:r>
      <w:r w:rsidR="004C37CF">
        <w:t xml:space="preserve"> had </w:t>
      </w:r>
      <w:r w:rsidR="00F4013A">
        <w:t>acquired</w:t>
      </w:r>
      <w:r w:rsidR="004C37CF">
        <w:t xml:space="preserve"> successive primary policies covering multiple decades</w:t>
      </w:r>
      <w:r w:rsidR="007709CC">
        <w:t xml:space="preserve"> and subsequently</w:t>
      </w:r>
      <w:r w:rsidRPr="00750962">
        <w:t xml:space="preserve"> sought defense and indemnity from one of its primary insurers for a continuous injury </w:t>
      </w:r>
      <w:r w:rsidR="007709CC">
        <w:t>during that time even though</w:t>
      </w:r>
      <w:r w:rsidRPr="00750962" w:rsidR="007709CC">
        <w:t xml:space="preserve"> </w:t>
      </w:r>
      <w:r w:rsidRPr="00750962">
        <w:t xml:space="preserve">the policy </w:t>
      </w:r>
      <w:r w:rsidRPr="00750962" w:rsidR="00FC13D7">
        <w:t xml:space="preserve">provided by </w:t>
      </w:r>
      <w:r w:rsidRPr="00750962">
        <w:t>that insurer had been lost or destroyed.</w:t>
      </w:r>
      <w:r w:rsidR="00B548D6">
        <w:t xml:space="preserve">  (</w:t>
      </w:r>
      <w:r w:rsidR="00B548D6">
        <w:rPr>
          <w:i/>
        </w:rPr>
        <w:t>Dart</w:t>
      </w:r>
      <w:r w:rsidR="00B548D6">
        <w:t xml:space="preserve">, </w:t>
      </w:r>
      <w:r w:rsidR="00B548D6">
        <w:rPr>
          <w:i/>
        </w:rPr>
        <w:t>supra</w:t>
      </w:r>
      <w:r w:rsidR="00B548D6">
        <w:t>, 28 Cal.4th at p</w:t>
      </w:r>
      <w:r w:rsidR="00021F27">
        <w:t>p</w:t>
      </w:r>
      <w:r w:rsidR="00B548D6">
        <w:t>.</w:t>
      </w:r>
      <w:r w:rsidR="00925E1A">
        <w:t> </w:t>
      </w:r>
      <w:r w:rsidR="00B548D6">
        <w:t>1064–1065.)</w:t>
      </w:r>
      <w:r w:rsidRPr="00750962">
        <w:t xml:space="preserve">  The policyholder was able to prove the material terms of the policy, but the insurer argued that its contractual obligations may have been relieved or reduced by an “other insurance” clause in the lost policy</w:t>
      </w:r>
      <w:r w:rsidR="004C37CF">
        <w:t xml:space="preserve">, pointing to the other policies </w:t>
      </w:r>
      <w:r w:rsidR="00B548D6">
        <w:t>purchased for</w:t>
      </w:r>
      <w:r w:rsidR="004C37CF">
        <w:t xml:space="preserve"> the period during which the injury occurred</w:t>
      </w:r>
      <w:r w:rsidRPr="00750962">
        <w:t>.  (</w:t>
      </w:r>
      <w:r w:rsidR="00B548D6">
        <w:rPr>
          <w:i/>
        </w:rPr>
        <w:t>Id.</w:t>
      </w:r>
      <w:r w:rsidRPr="00750962" w:rsidR="003500D1">
        <w:t xml:space="preserve"> </w:t>
      </w:r>
      <w:r w:rsidRPr="00750962">
        <w:t>at p. 1078.)  We rejected this argument, explaining that reliance on an “other insurance” clause could not be used to “defeat the insurer’s obligations altogether.”  (</w:t>
      </w:r>
      <w:r w:rsidRPr="00750962">
        <w:rPr>
          <w:i/>
        </w:rPr>
        <w:t>Id.</w:t>
      </w:r>
      <w:r w:rsidRPr="00750962">
        <w:t xml:space="preserve"> at p.</w:t>
      </w:r>
      <w:r w:rsidRPr="00750962" w:rsidR="003500D1">
        <w:t> </w:t>
      </w:r>
      <w:r w:rsidRPr="00750962">
        <w:t xml:space="preserve">1079.)  In other words, the insurer in </w:t>
      </w:r>
      <w:r w:rsidRPr="00750962">
        <w:rPr>
          <w:i/>
        </w:rPr>
        <w:t>Dart</w:t>
      </w:r>
      <w:r w:rsidRPr="00750962">
        <w:t xml:space="preserve"> could not simply invoke the possibility of an “other insurance” clause to escape its coverage obligations.  </w:t>
      </w:r>
      <w:r w:rsidRPr="00750962" w:rsidR="00761675">
        <w:t>We reasoned</w:t>
      </w:r>
      <w:r w:rsidRPr="00750962" w:rsidR="004A6670">
        <w:t>, in a passage the parties have focused on here</w:t>
      </w:r>
      <w:r w:rsidRPr="00750962" w:rsidR="00761675">
        <w:t xml:space="preserve">:  </w:t>
      </w:r>
      <w:r w:rsidRPr="00750962">
        <w:t>“ ‘[A]pportionment among multiple insurers must be distinguished from apportionment between an insurer and its insured.  When multiple policies are triggered on a single claim, the insurers’ liability is apportioned pursuant to the “other insurance” clauses of the policies [citation] or under the equitable doctrine of contribution [citations].  That apportionment, however, has no bearing upon the insurers’ obligations to the policyholder.</w:t>
      </w:r>
      <w:r w:rsidR="00925E1A">
        <w:t> </w:t>
      </w:r>
      <w:r w:rsidRPr="00750962">
        <w:t>.</w:t>
      </w:r>
      <w:r w:rsidRPr="00750962" w:rsidR="00BB75F5">
        <w:t> </w:t>
      </w:r>
      <w:r w:rsidRPr="00750962">
        <w:t>.</w:t>
      </w:r>
      <w:r w:rsidRPr="00750962" w:rsidR="00BB75F5">
        <w:t> </w:t>
      </w:r>
      <w:r w:rsidRPr="00750962">
        <w:t xml:space="preserve">. </w:t>
      </w:r>
      <w:r w:rsidR="004B6804">
        <w:t xml:space="preserve"> </w:t>
      </w:r>
      <w:r w:rsidRPr="00750962">
        <w:t>The insurers’ contractual obligation to the policyholder is to cover the full extent of the policyholder’s liability (up to the policy limits).’ ”  (</w:t>
      </w:r>
      <w:r w:rsidRPr="00750962" w:rsidR="00BB75F5">
        <w:rPr>
          <w:i/>
        </w:rPr>
        <w:t>Id.</w:t>
      </w:r>
      <w:r w:rsidRPr="00750962">
        <w:rPr>
          <w:i/>
        </w:rPr>
        <w:t xml:space="preserve"> </w:t>
      </w:r>
      <w:r w:rsidRPr="00750962">
        <w:t xml:space="preserve">at p. 1080, quoting </w:t>
      </w:r>
      <w:r w:rsidRPr="00750962">
        <w:rPr>
          <w:i/>
        </w:rPr>
        <w:t>Armstrong World Industries, Inc. v. Aetna Casualty &amp; Surety Co.</w:t>
      </w:r>
      <w:r w:rsidRPr="00750962">
        <w:t xml:space="preserve"> (1996) 45 Cal.App.4th 1, 105</w:t>
      </w:r>
      <w:r w:rsidRPr="00750962">
        <w:rPr>
          <w:szCs w:val="26"/>
        </w:rPr>
        <w:t>–</w:t>
      </w:r>
      <w:r w:rsidRPr="00750962">
        <w:t xml:space="preserve">106.) </w:t>
      </w:r>
    </w:p>
    <w:p w:rsidR="00CA374D" w:rsidP="00750962" w14:paraId="427375AD" w14:textId="488FF57A">
      <w:pPr>
        <w:tabs>
          <w:tab w:val="left" w:pos="720"/>
        </w:tabs>
      </w:pPr>
      <w:r w:rsidRPr="00750962">
        <w:tab/>
        <w:t xml:space="preserve">The parties dispute </w:t>
      </w:r>
      <w:r w:rsidRPr="00750962" w:rsidR="00191D43">
        <w:t xml:space="preserve">whether </w:t>
      </w:r>
      <w:r w:rsidRPr="00750962" w:rsidR="00E12CA2">
        <w:rPr>
          <w:i/>
        </w:rPr>
        <w:t>Dart</w:t>
      </w:r>
      <w:r w:rsidRPr="00750962" w:rsidR="00E12CA2">
        <w:t xml:space="preserve"> meant to set out a categori</w:t>
      </w:r>
      <w:r w:rsidRPr="00750962" w:rsidR="00A67C9A">
        <w:t>c</w:t>
      </w:r>
      <w:r w:rsidRPr="00750962" w:rsidR="00E12CA2">
        <w:t xml:space="preserve">al view of the </w:t>
      </w:r>
      <w:r w:rsidRPr="00750962" w:rsidR="00797EDA">
        <w:t xml:space="preserve">meaning </w:t>
      </w:r>
      <w:r w:rsidRPr="00750962" w:rsidR="00E12CA2">
        <w:t>of “other insurance” clauses</w:t>
      </w:r>
      <w:r w:rsidRPr="00750962" w:rsidR="009B7867">
        <w:t xml:space="preserve"> in cases of continuous injury</w:t>
      </w:r>
      <w:r w:rsidRPr="00750962" w:rsidR="00191D43">
        <w:t xml:space="preserve"> and whether that view</w:t>
      </w:r>
      <w:r w:rsidRPr="00750962" w:rsidR="0051117F">
        <w:t xml:space="preserve"> forecloses the insurers’ proposed interpretation of the “other insurance” clauses in the distinct context we </w:t>
      </w:r>
      <w:r w:rsidRPr="00750962" w:rsidR="00191D43">
        <w:t>confront here</w:t>
      </w:r>
      <w:r w:rsidRPr="00750962" w:rsidR="00E12CA2">
        <w:t>.</w:t>
      </w:r>
      <w:r w:rsidRPr="00750962" w:rsidR="00FA17FB">
        <w:t xml:space="preserve">  </w:t>
      </w:r>
      <w:r w:rsidR="00514DEB">
        <w:t>Citing</w:t>
      </w:r>
      <w:r w:rsidRPr="00750962" w:rsidR="00FA17FB">
        <w:t xml:space="preserve"> </w:t>
      </w:r>
      <w:r w:rsidRPr="00750962" w:rsidR="00FA17FB">
        <w:rPr>
          <w:i/>
        </w:rPr>
        <w:t>Dart</w:t>
      </w:r>
      <w:r w:rsidRPr="00750962" w:rsidR="00FA17FB">
        <w:t xml:space="preserve">, Montrose </w:t>
      </w:r>
      <w:r w:rsidRPr="00750962" w:rsidR="003E1CE9">
        <w:t>asserts</w:t>
      </w:r>
      <w:r w:rsidRPr="00750962" w:rsidR="00FA17FB">
        <w:t xml:space="preserve"> that </w:t>
      </w:r>
      <w:r w:rsidRPr="00750962" w:rsidR="000E42AE">
        <w:t xml:space="preserve">the </w:t>
      </w:r>
      <w:r w:rsidRPr="00750962" w:rsidR="00FA17FB">
        <w:t xml:space="preserve">“other insurance” clauses are relevant to contribution actions between insurers </w:t>
      </w:r>
      <w:r w:rsidR="00653A86">
        <w:t>but</w:t>
      </w:r>
      <w:r w:rsidRPr="00750962" w:rsidR="00FA17FB">
        <w:t xml:space="preserve"> not </w:t>
      </w:r>
      <w:r w:rsidRPr="00750962" w:rsidR="003E1CE9">
        <w:t xml:space="preserve">to </w:t>
      </w:r>
      <w:r w:rsidRPr="00750962" w:rsidR="00FA17FB">
        <w:t xml:space="preserve">coverage actions between insurers and policyholders.  (See </w:t>
      </w:r>
      <w:r w:rsidRPr="00750962" w:rsidR="00FA17FB">
        <w:rPr>
          <w:i/>
        </w:rPr>
        <w:t>State of California v. Continental</w:t>
      </w:r>
      <w:r w:rsidRPr="00750962" w:rsidR="00FC13D7">
        <w:rPr>
          <w:i/>
        </w:rPr>
        <w:t xml:space="preserve"> Ins. Co.</w:t>
      </w:r>
      <w:r w:rsidRPr="00750962" w:rsidR="00FA17FB">
        <w:t xml:space="preserve">, </w:t>
      </w:r>
      <w:r w:rsidRPr="00750962" w:rsidR="00FA17FB">
        <w:rPr>
          <w:i/>
        </w:rPr>
        <w:t>supra</w:t>
      </w:r>
      <w:r w:rsidRPr="00750962" w:rsidR="00FA17FB">
        <w:t>, 15 Cal.App.5th at p.</w:t>
      </w:r>
      <w:r w:rsidRPr="00750962" w:rsidR="003500D1">
        <w:t> </w:t>
      </w:r>
      <w:r w:rsidRPr="00750962" w:rsidR="00FA17FB">
        <w:t xml:space="preserve">1032.)  </w:t>
      </w:r>
      <w:r w:rsidR="00653A86">
        <w:t>W</w:t>
      </w:r>
      <w:r w:rsidRPr="00750962" w:rsidR="00CD6C75">
        <w:t>e need not rely on any such categorical rule</w:t>
      </w:r>
      <w:r w:rsidRPr="00750962" w:rsidR="00EE58CE">
        <w:t xml:space="preserve"> in this case</w:t>
      </w:r>
      <w:r w:rsidR="00653A86">
        <w:t>, however</w:t>
      </w:r>
      <w:r w:rsidRPr="00750962" w:rsidR="00EE58CE">
        <w:t xml:space="preserve">; it is enough to observe that </w:t>
      </w:r>
      <w:r w:rsidRPr="00750962" w:rsidR="00CD6C75">
        <w:rPr>
          <w:i/>
        </w:rPr>
        <w:t>Dart</w:t>
      </w:r>
      <w:r w:rsidRPr="00750962" w:rsidR="00CD6C75">
        <w:t xml:space="preserve"> undermines the insurers’ claim that the “other insurance” clauses </w:t>
      </w:r>
      <w:r w:rsidRPr="00750962" w:rsidR="00CD6C75">
        <w:rPr>
          <w:i/>
        </w:rPr>
        <w:t>clearly and explicitly</w:t>
      </w:r>
      <w:r w:rsidRPr="00750962" w:rsidR="00CD6C75">
        <w:t xml:space="preserve"> call for a rule of horizontal exhaustion.  </w:t>
      </w:r>
    </w:p>
    <w:p w:rsidR="006A4B28" w:rsidRPr="00750962" w:rsidP="00750962" w14:paraId="41546947" w14:textId="30F1DA42">
      <w:pPr>
        <w:tabs>
          <w:tab w:val="left" w:pos="720"/>
        </w:tabs>
      </w:pPr>
      <w:r>
        <w:tab/>
        <w:t xml:space="preserve">In rejecting the insurer’s claim in </w:t>
      </w:r>
      <w:r>
        <w:rPr>
          <w:i/>
        </w:rPr>
        <w:t>Dart</w:t>
      </w:r>
      <w:r>
        <w:t xml:space="preserve">, we emphasized that </w:t>
      </w:r>
      <w:r w:rsidRPr="00750962" w:rsidR="00666FF8">
        <w:t xml:space="preserve">“other insurance” clauses have not traditionally been </w:t>
      </w:r>
      <w:r w:rsidRPr="00750962" w:rsidR="00D5502D">
        <w:t xml:space="preserve">used </w:t>
      </w:r>
      <w:r w:rsidRPr="00750962" w:rsidR="001737E7">
        <w:t xml:space="preserve">to address questions concerning the obligation of successive </w:t>
      </w:r>
      <w:r w:rsidRPr="00750962" w:rsidR="00F14374">
        <w:t xml:space="preserve">insurers to </w:t>
      </w:r>
      <w:r w:rsidRPr="00750962" w:rsidR="000E42AE">
        <w:t xml:space="preserve">indemnify policyholders for </w:t>
      </w:r>
      <w:r w:rsidRPr="00750962" w:rsidR="00F14374">
        <w:t xml:space="preserve">a continuously manifesting injury (a question which, </w:t>
      </w:r>
      <w:r w:rsidRPr="00750962" w:rsidR="0041449D">
        <w:t xml:space="preserve">as </w:t>
      </w:r>
      <w:r w:rsidRPr="00750962" w:rsidR="00F14374">
        <w:rPr>
          <w:i/>
        </w:rPr>
        <w:t>Dart</w:t>
      </w:r>
      <w:r w:rsidRPr="00750962" w:rsidR="00F14374">
        <w:t xml:space="preserve"> reminds us, “is a separate issue from the obligations of the insurers to each other”</w:t>
      </w:r>
      <w:r w:rsidRPr="00750962" w:rsidR="00143C10">
        <w:t xml:space="preserve"> (</w:t>
      </w:r>
      <w:r w:rsidRPr="00750962" w:rsidR="00143C10">
        <w:rPr>
          <w:i/>
        </w:rPr>
        <w:t>Dart</w:t>
      </w:r>
      <w:r w:rsidRPr="00750962" w:rsidR="00143C10">
        <w:t xml:space="preserve">, </w:t>
      </w:r>
      <w:r w:rsidRPr="00750962" w:rsidR="00BB75F5">
        <w:rPr>
          <w:i/>
        </w:rPr>
        <w:t>supra</w:t>
      </w:r>
      <w:r w:rsidRPr="00750962" w:rsidR="00BB75F5">
        <w:t xml:space="preserve">, 28 Cal.4th </w:t>
      </w:r>
      <w:r w:rsidRPr="00750962" w:rsidR="00143C10">
        <w:t>at p.</w:t>
      </w:r>
      <w:r w:rsidRPr="00750962" w:rsidR="00BB75F5">
        <w:t> </w:t>
      </w:r>
      <w:r w:rsidRPr="00750962" w:rsidR="00143C10">
        <w:t>1080</w:t>
      </w:r>
      <w:r w:rsidRPr="00750962" w:rsidR="00F81FC9">
        <w:t>)</w:t>
      </w:r>
      <w:r w:rsidRPr="00750962" w:rsidR="00143C10">
        <w:t xml:space="preserve">).  </w:t>
      </w:r>
      <w:r w:rsidR="00AA2EC2">
        <w:t>(</w:t>
      </w:r>
      <w:r w:rsidR="00AA2EC2">
        <w:rPr>
          <w:i/>
        </w:rPr>
        <w:t>Id.</w:t>
      </w:r>
      <w:r w:rsidR="00AA2EC2">
        <w:t xml:space="preserve"> at p.</w:t>
      </w:r>
      <w:r w:rsidR="00925E1A">
        <w:t> </w:t>
      </w:r>
      <w:r w:rsidR="00AA2EC2">
        <w:t>1078, fn.</w:t>
      </w:r>
      <w:r w:rsidR="00925E1A">
        <w:t> </w:t>
      </w:r>
      <w:r w:rsidR="00AA2EC2">
        <w:t xml:space="preserve">6.)  </w:t>
      </w:r>
      <w:r w:rsidRPr="00750962" w:rsidR="00152DBA">
        <w:t>Elaborating on th</w:t>
      </w:r>
      <w:r>
        <w:t>e same</w:t>
      </w:r>
      <w:r w:rsidRPr="00750962" w:rsidR="00152DBA">
        <w:t xml:space="preserve"> point, t</w:t>
      </w:r>
      <w:r w:rsidRPr="00750962" w:rsidR="006A75C9">
        <w:t xml:space="preserve">he Restatement </w:t>
      </w:r>
      <w:r w:rsidRPr="00750962" w:rsidR="00152DBA">
        <w:t xml:space="preserve">explains </w:t>
      </w:r>
      <w:r w:rsidRPr="00750962" w:rsidR="006A75C9">
        <w:t xml:space="preserve">that </w:t>
      </w:r>
      <w:r w:rsidRPr="00750962" w:rsidR="00F82C98">
        <w:t xml:space="preserve">“other insurance” clauses </w:t>
      </w:r>
      <w:r w:rsidRPr="00750962" w:rsidR="00D803E1">
        <w:t xml:space="preserve">have generally been </w:t>
      </w:r>
      <w:r w:rsidRPr="00750962" w:rsidR="00F82C98">
        <w:t xml:space="preserve">used to </w:t>
      </w:r>
      <w:r w:rsidRPr="00750962" w:rsidR="005410AD">
        <w:t xml:space="preserve">address </w:t>
      </w:r>
      <w:r w:rsidRPr="00750962" w:rsidR="005A5EDC">
        <w:t xml:space="preserve">“[a]llocation questions with respect to overlapping </w:t>
      </w:r>
      <w:r w:rsidRPr="00750962" w:rsidR="005A5EDC">
        <w:rPr>
          <w:i/>
        </w:rPr>
        <w:t>concurrent policies</w:t>
      </w:r>
      <w:r w:rsidRPr="00750962" w:rsidR="005A5EDC">
        <w:t xml:space="preserve">.”  (Rest., </w:t>
      </w:r>
      <w:r w:rsidRPr="00750962" w:rsidR="00487B4D">
        <w:t xml:space="preserve">Liability Insurance, </w:t>
      </w:r>
      <w:r w:rsidRPr="00750962" w:rsidR="003500D1">
        <w:rPr>
          <w:i/>
        </w:rPr>
        <w:t>supra</w:t>
      </w:r>
      <w:r w:rsidRPr="00750962" w:rsidR="003500D1">
        <w:t xml:space="preserve">, </w:t>
      </w:r>
      <w:r w:rsidRPr="00750962" w:rsidR="005A5EDC">
        <w:t>§</w:t>
      </w:r>
      <w:r w:rsidRPr="00750962" w:rsidR="00BB75F5">
        <w:t> </w:t>
      </w:r>
      <w:r w:rsidRPr="00750962" w:rsidR="005A5EDC">
        <w:t>40, c</w:t>
      </w:r>
      <w:r w:rsidRPr="00750962" w:rsidR="00BB75F5">
        <w:t>om</w:t>
      </w:r>
      <w:r w:rsidRPr="00750962" w:rsidR="005A5EDC">
        <w:t>. c</w:t>
      </w:r>
      <w:r w:rsidRPr="00750962" w:rsidR="00BB75F5">
        <w:t>, p. 345</w:t>
      </w:r>
      <w:r w:rsidRPr="00750962" w:rsidR="005A5EDC">
        <w:t>, italics added.)</w:t>
      </w:r>
      <w:r w:rsidRPr="00750962" w:rsidR="00634047">
        <w:t xml:space="preserve">  </w:t>
      </w:r>
      <w:r w:rsidRPr="00750962" w:rsidR="003B0577">
        <w:t xml:space="preserve">Consistent with </w:t>
      </w:r>
      <w:r w:rsidRPr="00750962" w:rsidR="00634047">
        <w:t>this understanding, most courts to address the issue have found that “</w:t>
      </w:r>
      <w:r w:rsidRPr="00750962" w:rsidR="005A5EDC">
        <w:t>other insurance” clauses are not aimed at governing the proper allocation of liability among successive insurers in cases of long-tail injury</w:t>
      </w:r>
      <w:r w:rsidRPr="00750962" w:rsidR="00BA2FC5">
        <w:t xml:space="preserve"> or the appropriate sequence in which a policyholder may access its insurance across several policy periods</w:t>
      </w:r>
      <w:r w:rsidRPr="00750962" w:rsidR="005A5EDC">
        <w:t>.</w:t>
      </w:r>
      <w:r w:rsidRPr="00750962" w:rsidR="00D83D25">
        <w:t xml:space="preserve">  </w:t>
      </w:r>
      <w:r w:rsidRPr="00750962" w:rsidR="005A5EDC">
        <w:t>(</w:t>
      </w:r>
      <w:r w:rsidRPr="00750962" w:rsidR="004B7171">
        <w:rPr>
          <w:i/>
        </w:rPr>
        <w:t>Id.</w:t>
      </w:r>
      <w:r w:rsidRPr="00750962" w:rsidR="005A5EDC">
        <w:t>, §</w:t>
      </w:r>
      <w:r w:rsidRPr="00750962" w:rsidR="00BB75F5">
        <w:t> </w:t>
      </w:r>
      <w:r w:rsidRPr="00750962" w:rsidR="005A5EDC">
        <w:t xml:space="preserve">41, com. j, </w:t>
      </w:r>
      <w:r w:rsidRPr="00750962" w:rsidR="00BB75F5">
        <w:t>p. 361</w:t>
      </w:r>
      <w:r w:rsidRPr="00750962" w:rsidR="005A5EDC">
        <w:t xml:space="preserve">; see </w:t>
      </w:r>
      <w:r w:rsidRPr="00750962" w:rsidR="005A5EDC">
        <w:rPr>
          <w:i/>
        </w:rPr>
        <w:t xml:space="preserve">In re Viking Pump, Inc. </w:t>
      </w:r>
      <w:r w:rsidRPr="00750962" w:rsidR="005A5EDC">
        <w:t>(2016) 27 N.Y.3d 244, 26</w:t>
      </w:r>
      <w:r w:rsidRPr="00750962" w:rsidR="00BB75F5">
        <w:t>6</w:t>
      </w:r>
      <w:r w:rsidRPr="00750962" w:rsidR="005A5EDC">
        <w:t xml:space="preserve"> </w:t>
      </w:r>
      <w:r w:rsidR="00BE6852">
        <w:t xml:space="preserve">[52 N.E.3d 1144, 1157] </w:t>
      </w:r>
      <w:r w:rsidRPr="00750962" w:rsidR="005A5EDC">
        <w:t>[</w:t>
      </w:r>
      <w:r w:rsidRPr="00750962" w:rsidR="00E5525F">
        <w:t xml:space="preserve">holding that “other insurance” clauses </w:t>
      </w:r>
      <w:r w:rsidRPr="00750962" w:rsidR="00AD1E72">
        <w:t xml:space="preserve">do not </w:t>
      </w:r>
      <w:r w:rsidRPr="00750962" w:rsidR="00E5525F">
        <w:t>mandate horizontal exhaustion under all</w:t>
      </w:r>
      <w:r w:rsidR="00696CF2">
        <w:t xml:space="preserve"> </w:t>
      </w:r>
      <w:r w:rsidRPr="00750962" w:rsidR="00E5525F">
        <w:t xml:space="preserve">sums allocation, and explaining that </w:t>
      </w:r>
      <w:r w:rsidRPr="00750962" w:rsidR="005A5EDC">
        <w:t>“ ‘</w:t>
      </w:r>
      <w:r w:rsidRPr="00750962" w:rsidR="00E5525F">
        <w:t>o</w:t>
      </w:r>
      <w:r w:rsidRPr="00750962" w:rsidR="005A5EDC">
        <w:t xml:space="preserve">ther insurance’ clauses ‘apply when two or more policies provide coverage during the </w:t>
      </w:r>
      <w:r w:rsidRPr="00750962" w:rsidR="005A5EDC">
        <w:rPr>
          <w:i/>
        </w:rPr>
        <w:t>same</w:t>
      </w:r>
      <w:r w:rsidRPr="00750962" w:rsidR="005A5EDC">
        <w:t xml:space="preserve"> period, and they serve to prevent multiple recoveries from such policies’</w:t>
      </w:r>
      <w:r w:rsidRPr="00750962" w:rsidR="00E5525F">
        <w:t xml:space="preserve"> .</w:t>
      </w:r>
      <w:r w:rsidRPr="00750962" w:rsidR="00BB75F5">
        <w:t> </w:t>
      </w:r>
      <w:r w:rsidRPr="00750962" w:rsidR="00E5525F">
        <w:t>.</w:t>
      </w:r>
      <w:r w:rsidRPr="00750962" w:rsidR="00BB75F5">
        <w:t> </w:t>
      </w:r>
      <w:r w:rsidRPr="00750962" w:rsidR="00E5525F">
        <w:t>.</w:t>
      </w:r>
      <w:r w:rsidRPr="00750962" w:rsidR="00BB75F5">
        <w:t> </w:t>
      </w:r>
      <w:r w:rsidRPr="00750962" w:rsidR="00E5525F">
        <w:t>.</w:t>
      </w:r>
      <w:r w:rsidRPr="00750962" w:rsidR="00BB75F5">
        <w:t xml:space="preserve"> </w:t>
      </w:r>
      <w:r w:rsidRPr="00750962" w:rsidR="00E5525F">
        <w:t xml:space="preserve"> [O]ther insurance clauses are not implicated in situations involving successive—as opposed to concurrent—insurance policies”</w:t>
      </w:r>
      <w:r w:rsidRPr="00750962" w:rsidR="005A5EDC">
        <w:t xml:space="preserve">]; </w:t>
      </w:r>
      <w:r w:rsidRPr="00750962" w:rsidR="00E5525F">
        <w:t xml:space="preserve">see also </w:t>
      </w:r>
      <w:r w:rsidRPr="00750962" w:rsidR="005A5EDC">
        <w:rPr>
          <w:i/>
        </w:rPr>
        <w:t>Steadfast Insurance Co</w:t>
      </w:r>
      <w:r w:rsidRPr="00750962" w:rsidR="00BB75F5">
        <w:rPr>
          <w:i/>
        </w:rPr>
        <w:t>.</w:t>
      </w:r>
      <w:r w:rsidRPr="00750962" w:rsidR="005A5EDC">
        <w:rPr>
          <w:i/>
        </w:rPr>
        <w:t xml:space="preserve"> v. Greenwich Ins</w:t>
      </w:r>
      <w:r w:rsidRPr="00750962" w:rsidR="00BB75F5">
        <w:rPr>
          <w:i/>
        </w:rPr>
        <w:t>.</w:t>
      </w:r>
      <w:r w:rsidRPr="00750962" w:rsidR="005A5EDC">
        <w:t xml:space="preserve"> (2019) 385 Wis.2d 213, 228</w:t>
      </w:r>
      <w:r w:rsidRPr="00750962" w:rsidR="00E5525F">
        <w:t xml:space="preserve"> </w:t>
      </w:r>
      <w:r w:rsidR="00811300">
        <w:t>[922 N.W.2d 71</w:t>
      </w:r>
      <w:r w:rsidR="00175945">
        <w:t>, 79</w:t>
      </w:r>
      <w:r w:rsidR="00811300">
        <w:t xml:space="preserve">] </w:t>
      </w:r>
      <w:r w:rsidRPr="00750962" w:rsidR="00E5525F">
        <w:t>[“</w:t>
      </w:r>
      <w:r w:rsidRPr="00750962" w:rsidR="003500D1">
        <w:t> </w:t>
      </w:r>
      <w:r w:rsidRPr="00750962" w:rsidR="00E5525F">
        <w:t>‘The accepted meaning of “other insurance” provisions does not include application to successive insurance policies.</w:t>
      </w:r>
      <w:r w:rsidRPr="00750962" w:rsidR="00146716">
        <w:t>’</w:t>
      </w:r>
      <w:r w:rsidRPr="00750962" w:rsidR="00BB75F5">
        <w:t> </w:t>
      </w:r>
      <w:r w:rsidRPr="00750962" w:rsidR="00146716">
        <w:t xml:space="preserve">”]; </w:t>
      </w:r>
      <w:r w:rsidRPr="00750962" w:rsidR="005A5EDC">
        <w:rPr>
          <w:i/>
        </w:rPr>
        <w:t>Ohio Cas. Ins. Co. v. Unigard Ins. Co.</w:t>
      </w:r>
      <w:r w:rsidRPr="00750962" w:rsidR="005A5EDC">
        <w:t xml:space="preserve"> (Utah 2012) 268 P.3d 180, 184</w:t>
      </w:r>
      <w:r w:rsidRPr="00750962" w:rsidR="00146716">
        <w:t xml:space="preserve"> [“</w:t>
      </w:r>
      <w:r w:rsidR="00925E1A">
        <w:t> </w:t>
      </w:r>
      <w:r w:rsidRPr="00750962" w:rsidR="00146716">
        <w:t>‘[O]ther insurance’ provisions do not apply to successive insurers.”]</w:t>
      </w:r>
      <w:r w:rsidRPr="00750962" w:rsidR="005A5EDC">
        <w:t xml:space="preserve">; </w:t>
      </w:r>
      <w:r w:rsidRPr="00750962" w:rsidR="005A5EDC">
        <w:rPr>
          <w:i/>
        </w:rPr>
        <w:t>Boston Gas Co. v. Century Indem. Co.</w:t>
      </w:r>
      <w:r w:rsidRPr="00750962" w:rsidR="005A5EDC">
        <w:t xml:space="preserve"> (2009) 454 Mass. 337, 361</w:t>
      </w:r>
      <w:r w:rsidRPr="00750962" w:rsidR="00146716">
        <w:t xml:space="preserve"> </w:t>
      </w:r>
      <w:r w:rsidR="00175945">
        <w:t xml:space="preserve">[910 N.E.2d 290, 308] </w:t>
      </w:r>
      <w:r w:rsidRPr="00750962" w:rsidR="00146716">
        <w:t>[“</w:t>
      </w:r>
      <w:r w:rsidRPr="00750962" w:rsidR="00BB75F5">
        <w:t> </w:t>
      </w:r>
      <w:r w:rsidRPr="00750962" w:rsidR="00146716">
        <w:t>‘[O]ther insurance’ clauses simply reflect a recognition of the many situations in which concurrent, not successive, coverage would exist for the same loss.”]</w:t>
      </w:r>
      <w:r w:rsidRPr="00750962" w:rsidR="005A5EDC">
        <w:t xml:space="preserve">; </w:t>
      </w:r>
      <w:r w:rsidRPr="00750962" w:rsidR="005A5EDC">
        <w:rPr>
          <w:i/>
        </w:rPr>
        <w:t xml:space="preserve">Benjamin Moore &amp; Co. v. Aetna Cas. </w:t>
      </w:r>
      <w:r w:rsidRPr="00750962" w:rsidR="005A5EDC">
        <w:t>(N.J. 2004) 843 A.2d 1094, 1101</w:t>
      </w:r>
      <w:r w:rsidRPr="00750962" w:rsidR="004D1754">
        <w:t xml:space="preserve"> </w:t>
      </w:r>
      <w:r w:rsidRPr="00750962" w:rsidR="005A5EDC">
        <w:t>[“ ‘[O]ther insurance’ clauses, which are provisions typically designed to preclude a double recovery when multiple, concurrent policies provide coverage for a loss</w:t>
      </w:r>
      <w:r w:rsidR="00811064">
        <w:t>[,]</w:t>
      </w:r>
      <w:r w:rsidRPr="00750962" w:rsidR="005A5EDC">
        <w:t xml:space="preserve"> </w:t>
      </w:r>
      <w:r w:rsidR="00811064">
        <w:t>.</w:t>
      </w:r>
      <w:r w:rsidR="00925E1A">
        <w:t> </w:t>
      </w:r>
      <w:r w:rsidR="00811064">
        <w:t>.</w:t>
      </w:r>
      <w:r w:rsidR="00925E1A">
        <w:t> </w:t>
      </w:r>
      <w:r w:rsidR="00811064">
        <w:t xml:space="preserve">. </w:t>
      </w:r>
      <w:r w:rsidRPr="00750962" w:rsidR="005A5EDC">
        <w:t>[are] not generally applicable in the continuous-trigger context where successive rather than concurrent policies [are] at issue.”]</w:t>
      </w:r>
      <w:r w:rsidRPr="00750962" w:rsidR="00BB75F5">
        <w:t>.</w:t>
      </w:r>
      <w:r w:rsidRPr="00750962" w:rsidR="005A5EDC">
        <w:t>)</w:t>
      </w:r>
      <w:r w:rsidRPr="00750962" w:rsidR="007C0D3B">
        <w:t xml:space="preserve">  </w:t>
      </w:r>
      <w:r w:rsidRPr="00750962">
        <w:t xml:space="preserve">Given the generally understood </w:t>
      </w:r>
      <w:r w:rsidRPr="00750962" w:rsidR="00FC13D7">
        <w:t xml:space="preserve">purpose </w:t>
      </w:r>
      <w:r w:rsidRPr="00750962">
        <w:t>o</w:t>
      </w:r>
      <w:r w:rsidRPr="00750962" w:rsidR="00D803E1">
        <w:t xml:space="preserve">f “other insurance” clauses, it is difficult to read the clauses here as a clear and explicit direction to </w:t>
      </w:r>
      <w:r w:rsidRPr="00750962" w:rsidR="00EF71AA">
        <w:t>adopt</w:t>
      </w:r>
      <w:r w:rsidRPr="00750962" w:rsidR="00D803E1">
        <w:t xml:space="preserve"> a </w:t>
      </w:r>
      <w:r w:rsidRPr="00750962" w:rsidR="00EF71AA">
        <w:t xml:space="preserve">requirement </w:t>
      </w:r>
      <w:r w:rsidRPr="00750962" w:rsidR="00D803E1">
        <w:t>of horizontal exhaustion in cases of long-tail injury.</w:t>
      </w:r>
    </w:p>
    <w:p w:rsidR="00AB05BF" w:rsidRPr="00750962" w:rsidP="00750962" w14:paraId="724A5EAC" w14:textId="68CC1CE2">
      <w:r w:rsidRPr="00750962">
        <w:tab/>
      </w:r>
      <w:r w:rsidRPr="00750962" w:rsidR="004D6FE7">
        <w:t>W</w:t>
      </w:r>
      <w:r w:rsidRPr="00750962" w:rsidR="006108BE">
        <w:t xml:space="preserve">hile </w:t>
      </w:r>
      <w:r w:rsidRPr="00750962" w:rsidR="001E31F6">
        <w:t xml:space="preserve">the </w:t>
      </w:r>
      <w:r w:rsidR="00DF2059">
        <w:t>“</w:t>
      </w:r>
      <w:r w:rsidRPr="00750962" w:rsidR="001E31F6">
        <w:t>other insurance</w:t>
      </w:r>
      <w:r w:rsidR="00DF2059">
        <w:t>”</w:t>
      </w:r>
      <w:r w:rsidRPr="00750962" w:rsidR="001E31F6">
        <w:t xml:space="preserve"> clauses do not </w:t>
      </w:r>
      <w:r w:rsidRPr="00750962" w:rsidR="00315507">
        <w:t xml:space="preserve">speak </w:t>
      </w:r>
      <w:r w:rsidRPr="00750962" w:rsidR="00ED321C">
        <w:t xml:space="preserve">clearly </w:t>
      </w:r>
      <w:r w:rsidRPr="00750962" w:rsidR="00315507">
        <w:t xml:space="preserve">to the question before us, other </w:t>
      </w:r>
      <w:r w:rsidRPr="00750962" w:rsidR="00B52C36">
        <w:t xml:space="preserve">aspects </w:t>
      </w:r>
      <w:r w:rsidRPr="00750962" w:rsidR="002929DB">
        <w:t xml:space="preserve">of the insurance policies </w:t>
      </w:r>
      <w:r w:rsidRPr="00750962" w:rsidR="00315507">
        <w:t xml:space="preserve">strongly suggest that </w:t>
      </w:r>
      <w:r w:rsidRPr="00750962" w:rsidR="00BA5FC1">
        <w:t xml:space="preserve">the exhaustion requirements </w:t>
      </w:r>
      <w:r w:rsidRPr="00750962" w:rsidR="0025202A">
        <w:t>we</w:t>
      </w:r>
      <w:r w:rsidRPr="00750962" w:rsidR="00315507">
        <w:t xml:space="preserve">re meant to </w:t>
      </w:r>
      <w:r w:rsidRPr="00750962" w:rsidR="00BA5FC1">
        <w:t>apply to directly underlying insurance</w:t>
      </w:r>
      <w:r w:rsidRPr="00750962" w:rsidR="003A5E32">
        <w:t xml:space="preserve"> and not to insurance </w:t>
      </w:r>
      <w:r w:rsidRPr="00750962" w:rsidR="009E4BE1">
        <w:t xml:space="preserve">purchased for </w:t>
      </w:r>
      <w:r w:rsidRPr="00750962" w:rsidR="00E17C12">
        <w:t>other policy periods</w:t>
      </w:r>
      <w:r w:rsidRPr="00750962" w:rsidR="00BA5FC1">
        <w:t xml:space="preserve">.  </w:t>
      </w:r>
      <w:r w:rsidRPr="00750962" w:rsidR="00081C20">
        <w:t>First</w:t>
      </w:r>
      <w:r w:rsidRPr="00750962" w:rsidR="002B2599">
        <w:t xml:space="preserve"> and most obviously</w:t>
      </w:r>
      <w:r w:rsidRPr="00750962" w:rsidR="00081C20">
        <w:t xml:space="preserve">, the excess policies </w:t>
      </w:r>
      <w:r w:rsidRPr="00750962" w:rsidR="00CB23E6">
        <w:t xml:space="preserve">explicitly </w:t>
      </w:r>
      <w:r w:rsidRPr="00750962" w:rsidR="00081C20">
        <w:t xml:space="preserve">state their attachment point, generally by referencing a specific dollar amount of underlying insurance in the same policy period that must be exhausted.  </w:t>
      </w:r>
      <w:r w:rsidRPr="00750962" w:rsidR="00E3210C">
        <w:t xml:space="preserve">For example, </w:t>
      </w:r>
      <w:r w:rsidRPr="00750962" w:rsidR="00314D1C">
        <w:t>certain Fireman’s Fund Insurance Company policies provide</w:t>
      </w:r>
      <w:r w:rsidRPr="00750962" w:rsidR="002D1D1E">
        <w:t>:</w:t>
      </w:r>
      <w:r w:rsidRPr="00750962" w:rsidR="00314D1C">
        <w:t xml:space="preserve"> </w:t>
      </w:r>
      <w:r w:rsidRPr="00750962" w:rsidR="00D31C4A">
        <w:t xml:space="preserve"> </w:t>
      </w:r>
      <w:r w:rsidRPr="00750962" w:rsidR="00314D1C">
        <w:t xml:space="preserve">“It is a condition of this policy that the insurance afforded under this policy shall apply only after all underlying insurance has been exhausted.”  The policies then list the “Underlying Insurance Limit of Liability”—for example, “$30,000,000 each occurrence $30,000,000 aggregate.”  </w:t>
      </w:r>
      <w:r w:rsidRPr="00750962" w:rsidR="00C938C9">
        <w:t>In other words</w:t>
      </w:r>
      <w:r w:rsidRPr="00750962" w:rsidR="00314D1C">
        <w:t xml:space="preserve">, this policy agrees to indemnify Montrose once it has exhausted $30 million of underlying insurance.  </w:t>
      </w:r>
      <w:r w:rsidRPr="00750962" w:rsidR="00115E33">
        <w:t>But u</w:t>
      </w:r>
      <w:r w:rsidRPr="00750962" w:rsidR="00314D1C">
        <w:t>nder the insurers’ theory of horizontal exhaustion,</w:t>
      </w:r>
      <w:r w:rsidRPr="00750962" w:rsidR="00C938C9">
        <w:t xml:space="preserve"> Montrose would </w:t>
      </w:r>
      <w:r w:rsidRPr="00750962" w:rsidR="00314D1C">
        <w:t xml:space="preserve">not be permitted to access this policy until it has exhausted $30 million of underlying insurance </w:t>
      </w:r>
      <w:r w:rsidRPr="00750962" w:rsidR="00314D1C">
        <w:rPr>
          <w:i/>
        </w:rPr>
        <w:t xml:space="preserve">for every </w:t>
      </w:r>
      <w:r w:rsidRPr="00750962" w:rsidR="00C938C9">
        <w:rPr>
          <w:i/>
        </w:rPr>
        <w:t xml:space="preserve">relevant </w:t>
      </w:r>
      <w:r w:rsidRPr="00750962" w:rsidR="00314D1C">
        <w:rPr>
          <w:i/>
        </w:rPr>
        <w:t>policy period</w:t>
      </w:r>
      <w:r w:rsidRPr="00750962" w:rsidR="00314D1C">
        <w:t>—</w:t>
      </w:r>
      <w:r w:rsidRPr="00750962" w:rsidR="00C938C9">
        <w:t xml:space="preserve">which would add up to substantially more </w:t>
      </w:r>
      <w:r w:rsidRPr="00750962" w:rsidR="004421A0">
        <w:t xml:space="preserve">than $30 million.  Indeed, </w:t>
      </w:r>
      <w:r w:rsidRPr="00750962">
        <w:t xml:space="preserve">here, </w:t>
      </w:r>
      <w:r w:rsidRPr="00750962" w:rsidR="00314D1C">
        <w:t xml:space="preserve">where the continuous injury </w:t>
      </w:r>
      <w:r w:rsidRPr="00750962" w:rsidR="00F254F7">
        <w:t xml:space="preserve">occurred </w:t>
      </w:r>
      <w:r w:rsidRPr="00750962" w:rsidR="00314D1C">
        <w:t xml:space="preserve">over </w:t>
      </w:r>
      <w:r w:rsidRPr="00750962" w:rsidR="00F254F7">
        <w:t xml:space="preserve">the course of </w:t>
      </w:r>
      <w:r w:rsidRPr="00750962" w:rsidR="00314D1C">
        <w:t xml:space="preserve">a quarter century, such a rule would increase the </w:t>
      </w:r>
      <w:r w:rsidRPr="00750962" w:rsidR="004B7D88">
        <w:t xml:space="preserve">operative </w:t>
      </w:r>
      <w:r w:rsidRPr="00750962" w:rsidR="00314D1C">
        <w:t xml:space="preserve">attachment point for this policy </w:t>
      </w:r>
      <w:r w:rsidRPr="00750962" w:rsidR="00115E33">
        <w:t xml:space="preserve">from $30 million </w:t>
      </w:r>
      <w:r w:rsidRPr="00750962" w:rsidR="00314D1C">
        <w:t xml:space="preserve">to upwards of $750 million.  </w:t>
      </w:r>
      <w:r w:rsidRPr="00750962" w:rsidR="001B03B5">
        <w:t>Thus</w:t>
      </w:r>
      <w:r w:rsidRPr="00750962" w:rsidR="002C5CBB">
        <w:t>,</w:t>
      </w:r>
      <w:r w:rsidRPr="00750962" w:rsidR="001B03B5">
        <w:t xml:space="preserve"> where</w:t>
      </w:r>
      <w:r w:rsidRPr="00750962" w:rsidR="00CE54F8">
        <w:t xml:space="preserve"> aggregate</w:t>
      </w:r>
      <w:r w:rsidRPr="00750962" w:rsidR="001B03B5">
        <w:t xml:space="preserve"> liability amounts to approximately $200 million, Montrose would </w:t>
      </w:r>
      <w:r w:rsidRPr="00750962" w:rsidR="00013812">
        <w:t xml:space="preserve">not be able to </w:t>
      </w:r>
      <w:r w:rsidRPr="00750962" w:rsidR="001B03B5">
        <w:t xml:space="preserve">access </w:t>
      </w:r>
      <w:r w:rsidRPr="00750962" w:rsidR="00CB23E6">
        <w:t xml:space="preserve">an </w:t>
      </w:r>
      <w:r w:rsidRPr="00750962" w:rsidR="001B03B5">
        <w:t xml:space="preserve">insurance </w:t>
      </w:r>
      <w:r w:rsidRPr="00750962" w:rsidR="00CB23E6">
        <w:t xml:space="preserve">policy </w:t>
      </w:r>
      <w:r w:rsidRPr="00750962" w:rsidR="001B03B5">
        <w:t>that</w:t>
      </w:r>
      <w:r w:rsidR="00DF2059">
        <w:t>,</w:t>
      </w:r>
      <w:r w:rsidRPr="00750962" w:rsidR="001B03B5">
        <w:t xml:space="preserve"> by its terms</w:t>
      </w:r>
      <w:r w:rsidR="00DF2059">
        <w:t>,</w:t>
      </w:r>
      <w:r w:rsidRPr="00750962" w:rsidR="001B03B5">
        <w:t xml:space="preserve"> kicks in after $30 million of underlying insurance is exhausted.</w:t>
      </w:r>
    </w:p>
    <w:p w:rsidR="001B03B5" w:rsidRPr="00750962" w:rsidP="00750962" w14:paraId="638241C6" w14:textId="797946F0">
      <w:pPr>
        <w:tabs>
          <w:tab w:val="left" w:pos="720"/>
        </w:tabs>
      </w:pPr>
      <w:r w:rsidRPr="00750962">
        <w:tab/>
      </w:r>
      <w:r w:rsidRPr="00750962" w:rsidR="005B1E0F">
        <w:t>Relatedly</w:t>
      </w:r>
      <w:r w:rsidRPr="00750962" w:rsidR="006B18EA">
        <w:t xml:space="preserve">, the excess policies regularly include or reference </w:t>
      </w:r>
      <w:r w:rsidRPr="00750962" w:rsidR="00C90E43">
        <w:t>schedules of underlying insurance</w:t>
      </w:r>
      <w:r w:rsidRPr="00750962" w:rsidR="00B773A4">
        <w:t>—all for the same policy period</w:t>
      </w:r>
      <w:r w:rsidRPr="00750962" w:rsidR="007C2668">
        <w:t xml:space="preserve">.  </w:t>
      </w:r>
      <w:r w:rsidRPr="00750962" w:rsidR="00C90E43">
        <w:t xml:space="preserve">Under Montrose’s reading, these schedules provide a presumptively complete list of insurance coverage that must be exhausted before the excess policy may be accessed, with the </w:t>
      </w:r>
      <w:r w:rsidRPr="00750962" w:rsidR="00FC13D7">
        <w:t>“</w:t>
      </w:r>
      <w:r w:rsidRPr="00750962" w:rsidR="00C90E43">
        <w:t>other insurance</w:t>
      </w:r>
      <w:r w:rsidRPr="00750962" w:rsidR="00FC13D7">
        <w:t>”</w:t>
      </w:r>
      <w:r w:rsidRPr="00750962" w:rsidR="00C90E43">
        <w:t xml:space="preserve"> clauses </w:t>
      </w:r>
      <w:r w:rsidRPr="00750962" w:rsidR="00FC13D7">
        <w:t xml:space="preserve">serving as </w:t>
      </w:r>
      <w:r w:rsidRPr="00750962" w:rsidR="00C90E43">
        <w:t xml:space="preserve">a backstop </w:t>
      </w:r>
      <w:r w:rsidRPr="00750962" w:rsidR="00375A9A">
        <w:t>to prevent double recovery in</w:t>
      </w:r>
      <w:r w:rsidRPr="00750962" w:rsidR="00C90E43">
        <w:t xml:space="preserve"> the rare circumstance where underlying coverage changes after the excess policy is written.  </w:t>
      </w:r>
      <w:r w:rsidRPr="00750962" w:rsidR="00F16975">
        <w:t>(</w:t>
      </w:r>
      <w:r w:rsidRPr="00750962" w:rsidR="00616FBA">
        <w:t xml:space="preserve">See </w:t>
      </w:r>
      <w:r w:rsidRPr="00750962" w:rsidR="00616FBA">
        <w:rPr>
          <w:i/>
        </w:rPr>
        <w:t>Dart</w:t>
      </w:r>
      <w:r w:rsidRPr="00750962" w:rsidR="00616FBA">
        <w:t xml:space="preserve">, </w:t>
      </w:r>
      <w:r w:rsidRPr="00750962" w:rsidR="00616FBA">
        <w:rPr>
          <w:i/>
        </w:rPr>
        <w:t>supra</w:t>
      </w:r>
      <w:r w:rsidRPr="00750962" w:rsidR="00616FBA">
        <w:t>, 28 Cal.4th at p.</w:t>
      </w:r>
      <w:r w:rsidRPr="00750962" w:rsidR="003500D1">
        <w:t> </w:t>
      </w:r>
      <w:r w:rsidRPr="00750962" w:rsidR="00616FBA">
        <w:t>1079.</w:t>
      </w:r>
      <w:r w:rsidRPr="00750962" w:rsidR="00F16975">
        <w:t xml:space="preserve">)  </w:t>
      </w:r>
      <w:r w:rsidRPr="00750962" w:rsidR="00422AC6">
        <w:t>But u</w:t>
      </w:r>
      <w:r w:rsidRPr="00750962" w:rsidR="00C90E43">
        <w:t xml:space="preserve">nder the insurers’ rule of horizontal exhaustion, </w:t>
      </w:r>
      <w:r w:rsidRPr="00750962" w:rsidR="00FB428A">
        <w:t>the</w:t>
      </w:r>
      <w:r w:rsidRPr="00750962" w:rsidR="00FC13D7">
        <w:t>se</w:t>
      </w:r>
      <w:r w:rsidRPr="00750962" w:rsidR="00FB428A">
        <w:t xml:space="preserve"> schedule</w:t>
      </w:r>
      <w:r w:rsidRPr="00750962" w:rsidR="00FC13D7">
        <w:t>s</w:t>
      </w:r>
      <w:r w:rsidRPr="00750962" w:rsidR="00FB428A">
        <w:t xml:space="preserve"> would</w:t>
      </w:r>
      <w:r w:rsidRPr="00750962" w:rsidR="007C2668">
        <w:t xml:space="preserve"> represent only a fraction—perhaps </w:t>
      </w:r>
      <w:r w:rsidRPr="00750962" w:rsidR="003E156B">
        <w:t xml:space="preserve">only </w:t>
      </w:r>
      <w:r w:rsidRPr="00750962" w:rsidR="007C2668">
        <w:t xml:space="preserve">a small fraction—of the </w:t>
      </w:r>
      <w:r w:rsidRPr="00750962" w:rsidR="00B773A4">
        <w:t>insurance policies that must be exhausted</w:t>
      </w:r>
      <w:r w:rsidRPr="00750962" w:rsidR="003E156B">
        <w:t xml:space="preserve"> before </w:t>
      </w:r>
      <w:r w:rsidRPr="00750962" w:rsidR="00FC13D7">
        <w:t xml:space="preserve">a given </w:t>
      </w:r>
      <w:r w:rsidRPr="00750962" w:rsidR="003E156B">
        <w:t>excess policy may be accessed</w:t>
      </w:r>
      <w:r w:rsidRPr="00750962" w:rsidR="00B54A06">
        <w:t xml:space="preserve">.  </w:t>
      </w:r>
    </w:p>
    <w:p w:rsidR="007F0DA0" w:rsidRPr="00750962" w:rsidP="00750962" w14:paraId="06C1C3B8" w14:textId="13E48C3E">
      <w:pPr>
        <w:tabs>
          <w:tab w:val="left" w:pos="720"/>
        </w:tabs>
      </w:pPr>
      <w:r w:rsidRPr="00750962">
        <w:tab/>
      </w:r>
      <w:r w:rsidRPr="00750962" w:rsidR="0027573F">
        <w:t xml:space="preserve">In sum, the </w:t>
      </w:r>
      <w:r w:rsidRPr="00750962" w:rsidR="0083578E">
        <w:t>“</w:t>
      </w:r>
      <w:r w:rsidRPr="00750962" w:rsidR="00F54073">
        <w:t>other insurance</w:t>
      </w:r>
      <w:r w:rsidRPr="00750962" w:rsidR="0083578E">
        <w:t>”</w:t>
      </w:r>
      <w:r w:rsidRPr="00750962" w:rsidR="00F54073">
        <w:t xml:space="preserve"> clauses do not </w:t>
      </w:r>
      <w:r w:rsidRPr="00750962" w:rsidR="002F0702">
        <w:t xml:space="preserve">clearly </w:t>
      </w:r>
      <w:r w:rsidRPr="00750962" w:rsidR="003B38A3">
        <w:t xml:space="preserve">specify </w:t>
      </w:r>
      <w:r w:rsidRPr="00750962" w:rsidR="0083578E">
        <w:t xml:space="preserve">whether a rule of horizontal or vertical exhaustion applies here.  </w:t>
      </w:r>
      <w:r w:rsidRPr="00750962" w:rsidR="003B38A3">
        <w:t xml:space="preserve">Read in isolation, the “other insurance” clauses might plausibly be </w:t>
      </w:r>
      <w:r w:rsidRPr="00750962" w:rsidR="00886CDE">
        <w:t>read</w:t>
      </w:r>
      <w:r w:rsidRPr="00750962" w:rsidR="00147F7B">
        <w:t xml:space="preserve"> </w:t>
      </w:r>
      <w:r w:rsidRPr="00750962" w:rsidR="003B38A3">
        <w:t xml:space="preserve">to perform the function the insurers ascribe to them.  But </w:t>
      </w:r>
      <w:r w:rsidRPr="00750962" w:rsidR="00147F7B">
        <w:t xml:space="preserve">read </w:t>
      </w:r>
      <w:r w:rsidRPr="00750962" w:rsidR="006E2F18">
        <w:t xml:space="preserve">in conjunction with the actual language of </w:t>
      </w:r>
      <w:r w:rsidRPr="00750962" w:rsidR="003B38A3">
        <w:t xml:space="preserve">other provisions </w:t>
      </w:r>
      <w:r w:rsidRPr="00750962" w:rsidR="006E2F18">
        <w:t xml:space="preserve">in </w:t>
      </w:r>
      <w:r w:rsidRPr="00750962" w:rsidR="003B38A3">
        <w:t>the policies</w:t>
      </w:r>
      <w:r w:rsidRPr="00750962" w:rsidR="006E2F18">
        <w:t>,</w:t>
      </w:r>
      <w:r w:rsidRPr="00750962" w:rsidR="003B38A3">
        <w:t xml:space="preserve"> </w:t>
      </w:r>
      <w:r w:rsidRPr="00750962" w:rsidR="00147F7B">
        <w:t xml:space="preserve">and in light of their historical role of governing </w:t>
      </w:r>
      <w:r w:rsidRPr="00750962" w:rsidR="003B38A3">
        <w:t xml:space="preserve">allocation </w:t>
      </w:r>
      <w:r w:rsidRPr="00750962" w:rsidR="00147F7B">
        <w:t>between</w:t>
      </w:r>
      <w:r w:rsidRPr="00750962" w:rsidR="003B38A3">
        <w:t xml:space="preserve"> overlapping concurrent policies</w:t>
      </w:r>
      <w:r w:rsidRPr="00750962" w:rsidR="00580C67">
        <w:t xml:space="preserve">, </w:t>
      </w:r>
      <w:r w:rsidRPr="00750962" w:rsidR="00886CDE">
        <w:t>the insurers’ reading becomes less likely</w:t>
      </w:r>
      <w:r w:rsidRPr="00750962" w:rsidR="009C2D8C">
        <w:t>.</w:t>
      </w:r>
      <w:r w:rsidRPr="00750962" w:rsidR="00D31C6A">
        <w:t xml:space="preserve">  </w:t>
      </w:r>
      <w:r w:rsidRPr="00750962" w:rsidR="00147F7B">
        <w:t xml:space="preserve">Rather, in </w:t>
      </w:r>
      <w:r w:rsidRPr="00750962" w:rsidR="00C578F2">
        <w:t xml:space="preserve">the absence of </w:t>
      </w:r>
      <w:r w:rsidRPr="00750962" w:rsidR="00C40F8F">
        <w:t xml:space="preserve">any </w:t>
      </w:r>
      <w:r w:rsidRPr="00750962" w:rsidR="00E3420D">
        <w:t xml:space="preserve">more persuasive </w:t>
      </w:r>
      <w:r w:rsidRPr="00750962" w:rsidR="00D31C6A">
        <w:t xml:space="preserve">indication that the parties intended otherwise, </w:t>
      </w:r>
      <w:r w:rsidRPr="00750962" w:rsidR="00C578F2">
        <w:t xml:space="preserve">the policies </w:t>
      </w:r>
      <w:r w:rsidRPr="00750962" w:rsidR="00F16D0B">
        <w:t xml:space="preserve">are most naturally read to mean that </w:t>
      </w:r>
      <w:r w:rsidRPr="00750962" w:rsidR="00C578F2">
        <w:t xml:space="preserve">Montrose </w:t>
      </w:r>
      <w:r w:rsidRPr="00750962" w:rsidR="00F16D0B">
        <w:t xml:space="preserve">may </w:t>
      </w:r>
      <w:r w:rsidRPr="00750962" w:rsidR="00C578F2">
        <w:t xml:space="preserve">access its excess insurance whenever it has exhausted the other </w:t>
      </w:r>
      <w:r w:rsidRPr="00750962" w:rsidR="00A57087">
        <w:t xml:space="preserve">directly </w:t>
      </w:r>
      <w:r w:rsidRPr="00750962" w:rsidR="00C578F2">
        <w:t>underlying excess insurance policies that were purchased for the same policy perio</w:t>
      </w:r>
      <w:r w:rsidRPr="00750962" w:rsidR="00847104">
        <w:t>d.</w:t>
      </w:r>
      <w:r w:rsidRPr="00750962" w:rsidR="00847104">
        <w:t xml:space="preserve"> </w:t>
      </w:r>
    </w:p>
    <w:p w:rsidR="007F0DA0" w:rsidRPr="00750962" w:rsidP="000D7BBF" w14:paraId="527E21E4" w14:textId="77777777">
      <w:pPr>
        <w:tabs>
          <w:tab w:val="left" w:pos="720"/>
        </w:tabs>
        <w:jc w:val="center"/>
      </w:pPr>
      <w:r w:rsidRPr="00750962">
        <w:rPr>
          <w:b/>
        </w:rPr>
        <w:t>C.</w:t>
      </w:r>
    </w:p>
    <w:p w:rsidR="00BA4190" w:rsidRPr="00750962" w:rsidP="00750962" w14:paraId="602DF18A" w14:textId="460745D8">
      <w:pPr>
        <w:tabs>
          <w:tab w:val="left" w:pos="720"/>
        </w:tabs>
      </w:pPr>
      <w:r w:rsidRPr="00750962">
        <w:tab/>
      </w:r>
      <w:r w:rsidRPr="00750962" w:rsidR="007C41F0">
        <w:t xml:space="preserve">To the extent any of </w:t>
      </w:r>
      <w:r w:rsidRPr="00750962" w:rsidR="00DF276A">
        <w:t xml:space="preserve">the language of </w:t>
      </w:r>
      <w:r w:rsidRPr="00750962" w:rsidR="007C41F0">
        <w:t>these policies remain</w:t>
      </w:r>
      <w:r w:rsidRPr="00750962" w:rsidR="00C8621A">
        <w:t>s</w:t>
      </w:r>
      <w:r w:rsidRPr="00750962" w:rsidR="007C41F0">
        <w:t xml:space="preserve"> ambiguous, we resolve these ambiguities </w:t>
      </w:r>
      <w:r w:rsidRPr="00750962" w:rsidR="00262ED2">
        <w:t xml:space="preserve">to protect </w:t>
      </w:r>
      <w:r w:rsidRPr="00750962" w:rsidR="007C41F0">
        <w:t>“</w:t>
      </w:r>
      <w:r w:rsidRPr="00750962" w:rsidR="006D621F">
        <w:t> </w:t>
      </w:r>
      <w:r w:rsidRPr="00750962" w:rsidR="007C41F0">
        <w:t>‘</w:t>
      </w:r>
      <w:r w:rsidRPr="00750962" w:rsidR="005506C9">
        <w:t> “ ‘</w:t>
      </w:r>
      <w:r w:rsidRPr="00750962" w:rsidR="007C41F0">
        <w:t>the objectively reasonable expectations of the insured</w:t>
      </w:r>
      <w:r w:rsidRPr="00750962" w:rsidR="00D352D8">
        <w:t>.</w:t>
      </w:r>
      <w:r w:rsidRPr="00750962" w:rsidR="00487B4D">
        <w:t>’</w:t>
      </w:r>
      <w:r w:rsidRPr="00750962" w:rsidR="006D621F">
        <w:t> </w:t>
      </w:r>
      <w:r w:rsidRPr="00750962" w:rsidR="007C41F0">
        <w:t>”</w:t>
      </w:r>
      <w:r w:rsidRPr="00750962" w:rsidR="005506C9">
        <w:t> ’ ”</w:t>
      </w:r>
      <w:r w:rsidRPr="00750962" w:rsidR="007C41F0">
        <w:t xml:space="preserve">  (</w:t>
      </w:r>
      <w:r w:rsidRPr="00750962" w:rsidR="007C41F0">
        <w:rPr>
          <w:i/>
        </w:rPr>
        <w:t>Minkler</w:t>
      </w:r>
      <w:r w:rsidRPr="00750962" w:rsidR="007C41F0">
        <w:t xml:space="preserve">, </w:t>
      </w:r>
      <w:r w:rsidRPr="00750962" w:rsidR="007C41F0">
        <w:rPr>
          <w:i/>
        </w:rPr>
        <w:t>supra</w:t>
      </w:r>
      <w:r w:rsidRPr="00750962" w:rsidR="007C41F0">
        <w:t>,</w:t>
      </w:r>
      <w:r w:rsidRPr="00750962" w:rsidR="007C41F0">
        <w:rPr>
          <w:i/>
        </w:rPr>
        <w:t xml:space="preserve"> </w:t>
      </w:r>
      <w:r w:rsidRPr="00750962" w:rsidR="007C41F0">
        <w:t>49 Cal.4th at p.</w:t>
      </w:r>
      <w:r w:rsidRPr="00750962" w:rsidR="006D621F">
        <w:t> </w:t>
      </w:r>
      <w:r w:rsidRPr="00750962" w:rsidR="007C41F0">
        <w:t xml:space="preserve">321.) </w:t>
      </w:r>
      <w:r w:rsidRPr="00750962" w:rsidR="004F704F">
        <w:t xml:space="preserve"> </w:t>
      </w:r>
      <w:r w:rsidRPr="00750962" w:rsidR="00DC0FD7">
        <w:t xml:space="preserve">Consideration of </w:t>
      </w:r>
      <w:r w:rsidRPr="00750962" w:rsidR="000D373C">
        <w:t xml:space="preserve">the parties’ </w:t>
      </w:r>
      <w:r w:rsidRPr="00750962" w:rsidR="00DC0FD7">
        <w:t xml:space="preserve">reasonable expectations </w:t>
      </w:r>
      <w:r w:rsidRPr="00750962" w:rsidR="00EF2A98">
        <w:t xml:space="preserve">favors a rule of </w:t>
      </w:r>
      <w:r w:rsidRPr="00750962">
        <w:t>vertical exhaustion</w:t>
      </w:r>
      <w:r w:rsidRPr="00750962" w:rsidR="001C1792">
        <w:t xml:space="preserve"> rather than horizontal exhaustion</w:t>
      </w:r>
      <w:r w:rsidRPr="00750962">
        <w:t>.</w:t>
      </w:r>
    </w:p>
    <w:p w:rsidR="00B51D09" w:rsidRPr="00750962" w:rsidP="00750962" w14:paraId="45D22F18" w14:textId="5CA7EA5C">
      <w:pPr>
        <w:tabs>
          <w:tab w:val="left" w:pos="720"/>
        </w:tabs>
      </w:pPr>
      <w:r w:rsidRPr="00750962">
        <w:tab/>
      </w:r>
      <w:r w:rsidRPr="00750962" w:rsidR="004033EA">
        <w:t xml:space="preserve">For </w:t>
      </w:r>
      <w:r w:rsidRPr="00750962" w:rsidR="00FE132F">
        <w:t>starters</w:t>
      </w:r>
      <w:r w:rsidRPr="00750962" w:rsidR="004033EA">
        <w:t>, apply</w:t>
      </w:r>
      <w:r w:rsidR="006C1851">
        <w:t>ing</w:t>
      </w:r>
      <w:r w:rsidRPr="00750962" w:rsidR="004033EA">
        <w:t xml:space="preserve"> t</w:t>
      </w:r>
      <w:r w:rsidRPr="00750962" w:rsidR="00BA4190">
        <w:t xml:space="preserve">he horizontal </w:t>
      </w:r>
      <w:r w:rsidRPr="00750962" w:rsidR="00EA200D">
        <w:t>exhaustion rule would be</w:t>
      </w:r>
      <w:r w:rsidR="006C1851">
        <w:t xml:space="preserve"> far from</w:t>
      </w:r>
      <w:r w:rsidRPr="00750962" w:rsidR="00EA200D">
        <w:t xml:space="preserve"> straightforward.  The insurers describe </w:t>
      </w:r>
      <w:r w:rsidRPr="00750962" w:rsidR="00B14AA6">
        <w:t xml:space="preserve">the rule in simple terms:  as a matter of traveling across “layers” of stacked “blocks” of excess insurance coverage before the insured may travel upwards.  But </w:t>
      </w:r>
      <w:r w:rsidRPr="00750962" w:rsidR="00613515">
        <w:t xml:space="preserve">this </w:t>
      </w:r>
      <w:r w:rsidRPr="00750962" w:rsidR="006F3789">
        <w:t xml:space="preserve">depiction </w:t>
      </w:r>
      <w:r w:rsidRPr="00750962" w:rsidR="00EB426C">
        <w:t xml:space="preserve">suggests a degree of standardization across </w:t>
      </w:r>
      <w:r w:rsidRPr="00750962" w:rsidR="00AA4756">
        <w:t xml:space="preserve">policies </w:t>
      </w:r>
      <w:r w:rsidRPr="00750962" w:rsidR="00EB426C">
        <w:t xml:space="preserve">that does not exist.  </w:t>
      </w:r>
      <w:r w:rsidRPr="00750962" w:rsidR="00143304">
        <w:t>T</w:t>
      </w:r>
      <w:r w:rsidRPr="00750962" w:rsidR="00EB426C">
        <w:t>he policies Montrose purchased come in all shapes and sizes, each covering different periods of time, providing different levels of coverage, and setting forth distinct exclusions, terms, and conditions.</w:t>
      </w:r>
      <w:r w:rsidRPr="00750962" w:rsidR="004C4670">
        <w:t xml:space="preserve">  </w:t>
      </w:r>
      <w:r w:rsidRPr="00750962" w:rsidR="000B194F">
        <w:t xml:space="preserve">Given all of these variations across the relevant dimensions, how would a rule of horizonal exhaustion apply?  </w:t>
      </w:r>
      <w:r w:rsidRPr="00750962" w:rsidR="00F13339">
        <w:t xml:space="preserve">If one were to </w:t>
      </w:r>
      <w:r w:rsidRPr="00750962" w:rsidR="00183095">
        <w:t xml:space="preserve">stack </w:t>
      </w:r>
      <w:r w:rsidRPr="00750962" w:rsidR="00F13339">
        <w:t>the excess policies on a graph</w:t>
      </w:r>
      <w:r w:rsidRPr="00750962" w:rsidR="00183095">
        <w:t xml:space="preserve"> based on their coverage limits</w:t>
      </w:r>
      <w:r w:rsidRPr="00750962" w:rsidR="00C07D11">
        <w:t xml:space="preserve"> or attachment points</w:t>
      </w:r>
      <w:r w:rsidRPr="00750962" w:rsidR="00F13339">
        <w:t>, t</w:t>
      </w:r>
      <w:r w:rsidRPr="00750962" w:rsidR="00EB426C">
        <w:t xml:space="preserve">he first layer of excess insurance in 1984, for example, </w:t>
      </w:r>
      <w:r w:rsidRPr="00750962" w:rsidR="00F13339">
        <w:t xml:space="preserve">would appear to </w:t>
      </w:r>
      <w:r w:rsidRPr="00750962" w:rsidR="00EB426C">
        <w:t xml:space="preserve">reach as high as the 13th layer of excess coverage in 1974.  To which horizontal layer does the 1984 policy belong?  </w:t>
      </w:r>
      <w:r w:rsidRPr="00750962" w:rsidR="00510832">
        <w:t xml:space="preserve">The policies do not </w:t>
      </w:r>
      <w:r w:rsidRPr="00750962" w:rsidR="00FC13D7">
        <w:t>say</w:t>
      </w:r>
      <w:r w:rsidRPr="00750962" w:rsidR="00510832">
        <w:t xml:space="preserve">.  </w:t>
      </w:r>
      <w:r w:rsidRPr="00750962" w:rsidR="00EB426C">
        <w:t xml:space="preserve">Nor does anything in the text of these policies tell us how an “other insurance” clause in a policy from one period ought to apply to a policy from another period that contains both a lower attachment point and </w:t>
      </w:r>
      <w:r w:rsidR="004B6804">
        <w:t xml:space="preserve">a </w:t>
      </w:r>
      <w:r w:rsidRPr="00750962" w:rsidR="00EB426C">
        <w:t>higher coverage limit.</w:t>
      </w:r>
      <w:r w:rsidR="005852ED">
        <w:t xml:space="preserve">  </w:t>
      </w:r>
      <w:r w:rsidR="00D8461D">
        <w:t>The policies’ silence on these basic, foundational questions tends to undermine the idea the parties expected such a rule to apply.</w:t>
      </w:r>
    </w:p>
    <w:p w:rsidR="00D33E70" w:rsidRPr="00750962" w:rsidP="00750962" w14:paraId="4BE6FC92" w14:textId="03587963">
      <w:pPr>
        <w:tabs>
          <w:tab w:val="left" w:pos="720"/>
        </w:tabs>
      </w:pPr>
      <w:r w:rsidRPr="00750962">
        <w:tab/>
      </w:r>
      <w:r w:rsidRPr="00750962" w:rsidR="001934ED">
        <w:t xml:space="preserve">But perhaps </w:t>
      </w:r>
      <w:r w:rsidR="00AE38BC">
        <w:t xml:space="preserve">more </w:t>
      </w:r>
      <w:r w:rsidRPr="00750962" w:rsidR="00AA5D9C">
        <w:t>importantly</w:t>
      </w:r>
      <w:r w:rsidRPr="00750962" w:rsidR="004C4670">
        <w:t>, b</w:t>
      </w:r>
      <w:r w:rsidRPr="00750962" w:rsidR="00B16516">
        <w:t>ecause</w:t>
      </w:r>
      <w:r w:rsidRPr="00750962" w:rsidR="00DE5B66">
        <w:t xml:space="preserve"> </w:t>
      </w:r>
      <w:r w:rsidR="00806277">
        <w:t xml:space="preserve">the </w:t>
      </w:r>
      <w:r w:rsidRPr="00750962" w:rsidR="00DE5B66">
        <w:t xml:space="preserve">exclusions, </w:t>
      </w:r>
      <w:r w:rsidRPr="00750962" w:rsidR="00B16516">
        <w:t>terms</w:t>
      </w:r>
      <w:r w:rsidRPr="00750962" w:rsidR="00DE5B66">
        <w:t xml:space="preserve">, and </w:t>
      </w:r>
      <w:r w:rsidRPr="00750962" w:rsidR="00B16516">
        <w:t xml:space="preserve">conditions may vary from one policy to another, </w:t>
      </w:r>
      <w:r w:rsidRPr="00750962" w:rsidR="004C4670">
        <w:t xml:space="preserve">a rule of horizontal exhaustion </w:t>
      </w:r>
      <w:r w:rsidRPr="00750962" w:rsidR="00B16516">
        <w:t xml:space="preserve">would </w:t>
      </w:r>
      <w:r w:rsidRPr="00750962" w:rsidR="00BD56E6">
        <w:t>create significant practical obstacles</w:t>
      </w:r>
      <w:r w:rsidRPr="00750962" w:rsidR="00F13339">
        <w:t xml:space="preserve"> to securing indemnification</w:t>
      </w:r>
      <w:r w:rsidRPr="00750962" w:rsidR="00974C02">
        <w:t>.</w:t>
      </w:r>
      <w:r w:rsidRPr="00750962" w:rsidR="00770970">
        <w:t xml:space="preserve">  As the Court of Appeal </w:t>
      </w:r>
      <w:r w:rsidR="00806277">
        <w:t>stated</w:t>
      </w:r>
      <w:r w:rsidRPr="00750962" w:rsidR="00770970">
        <w:t xml:space="preserve"> in </w:t>
      </w:r>
      <w:r w:rsidRPr="00750962" w:rsidR="000248FE">
        <w:rPr>
          <w:i/>
        </w:rPr>
        <w:t>State of California v. Continental Ins. Co.</w:t>
      </w:r>
      <w:r w:rsidRPr="00750962" w:rsidR="000248FE">
        <w:t xml:space="preserve">, </w:t>
      </w:r>
      <w:r w:rsidRPr="00750962" w:rsidR="000248FE">
        <w:rPr>
          <w:i/>
        </w:rPr>
        <w:t>supra</w:t>
      </w:r>
      <w:r w:rsidRPr="00750962" w:rsidR="000248FE">
        <w:t>, 15 Cal.App.5th at p</w:t>
      </w:r>
      <w:r w:rsidR="000248FE">
        <w:t xml:space="preserve">age </w:t>
      </w:r>
      <w:r w:rsidRPr="00750962" w:rsidR="000248FE">
        <w:t>1033</w:t>
      </w:r>
      <w:r w:rsidRPr="00750962" w:rsidR="00770970">
        <w:t>, “</w:t>
      </w:r>
      <w:r w:rsidR="00DF2059">
        <w:t>i</w:t>
      </w:r>
      <w:r w:rsidRPr="00750962" w:rsidR="00770970">
        <w:t xml:space="preserve">f a lower-layer insurer for a different policy period happened to claim that some exclusion in its policy applied, a court could not determine whether Continental’s policies were triggered without first determining that exclusion claim.”  Such a rule would </w:t>
      </w:r>
      <w:r w:rsidRPr="00750962" w:rsidR="00B16516">
        <w:t xml:space="preserve">put the insured to the </w:t>
      </w:r>
      <w:r w:rsidRPr="00750962">
        <w:t xml:space="preserve">considerable </w:t>
      </w:r>
      <w:r w:rsidRPr="00750962" w:rsidR="00546E0C">
        <w:t xml:space="preserve">expense of establishing a right to coverage under </w:t>
      </w:r>
      <w:r w:rsidR="00DF2059">
        <w:t xml:space="preserve">the </w:t>
      </w:r>
      <w:r w:rsidRPr="00750962" w:rsidR="00546E0C">
        <w:t>definitions, terms, conditions, and exclusions from policies in every policy period triggered by the continuous injur</w:t>
      </w:r>
      <w:r w:rsidRPr="00750962" w:rsidR="00ED7B68">
        <w:t>y.</w:t>
      </w:r>
      <w:r w:rsidRPr="00750962" w:rsidR="00546E0C">
        <w:t xml:space="preserve">  </w:t>
      </w:r>
      <w:r w:rsidRPr="00750962" w:rsidR="00E62F82">
        <w:t xml:space="preserve">Coverage under less restrictive policies would be </w:t>
      </w:r>
      <w:r w:rsidRPr="00750962" w:rsidR="00AE07AB">
        <w:t>delayed until more restrictive policy terms are adjudicated</w:t>
      </w:r>
      <w:r w:rsidRPr="00750962" w:rsidR="00ED7B68">
        <w:t xml:space="preserve">.  </w:t>
      </w:r>
      <w:r w:rsidRPr="00750962" w:rsidR="00770970">
        <w:t xml:space="preserve">In sum, </w:t>
      </w:r>
      <w:r w:rsidRPr="00750962" w:rsidR="00AE07AB">
        <w:t>“[h]orizontal exhaustion would create as many layers of additional litigation as there are layers of polic</w:t>
      </w:r>
      <w:r w:rsidRPr="00750962" w:rsidR="00A37FC1">
        <w:t>i</w:t>
      </w:r>
      <w:r w:rsidRPr="00750962" w:rsidR="00AE07AB">
        <w:t>es.”  (</w:t>
      </w:r>
      <w:r w:rsidRPr="00750962" w:rsidR="00AE07AB">
        <w:rPr>
          <w:i/>
        </w:rPr>
        <w:t>Westerport Ins. Corp. v. Appleton Papers Inc.</w:t>
      </w:r>
      <w:r w:rsidRPr="00750962" w:rsidR="00AE07AB">
        <w:t xml:space="preserve"> (Wis.Ct.App. 2010) 787 N.W.2d 894, 918.)</w:t>
      </w:r>
      <w:r w:rsidRPr="00750962" w:rsidR="00D51162">
        <w:t xml:space="preserve">  </w:t>
      </w:r>
      <w:r w:rsidR="00433545">
        <w:t>What</w:t>
      </w:r>
      <w:r w:rsidR="00116F5E">
        <w:t xml:space="preserve"> i</w:t>
      </w:r>
      <w:r w:rsidR="00433545">
        <w:t xml:space="preserve">s more, requiring </w:t>
      </w:r>
      <w:r w:rsidR="00FD655A">
        <w:t>a policyholder</w:t>
      </w:r>
      <w:r w:rsidR="00433545">
        <w:t xml:space="preserve"> to litigate the </w:t>
      </w:r>
      <w:r w:rsidR="00B656A3">
        <w:t>terms</w:t>
      </w:r>
      <w:r w:rsidR="00433545">
        <w:t xml:space="preserve"> and conditions of all policies with lower attachment points in every policy period before accessing </w:t>
      </w:r>
      <w:r w:rsidR="00B656A3">
        <w:t>policies with higher attachment points</w:t>
      </w:r>
      <w:r w:rsidR="00433545">
        <w:t xml:space="preserve"> would </w:t>
      </w:r>
      <w:r w:rsidR="00D461B4">
        <w:t xml:space="preserve">effectively </w:t>
      </w:r>
      <w:r w:rsidR="00FD655A">
        <w:t xml:space="preserve">increase </w:t>
      </w:r>
      <w:r w:rsidR="00D461B4">
        <w:t>the</w:t>
      </w:r>
      <w:r w:rsidR="00FD655A">
        <w:t xml:space="preserve"> attachment point</w:t>
      </w:r>
      <w:r w:rsidR="00BB2505">
        <w:t xml:space="preserve">—thereby undermining </w:t>
      </w:r>
      <w:r w:rsidR="00FD655A">
        <w:t xml:space="preserve">the </w:t>
      </w:r>
      <w:r w:rsidR="00433545">
        <w:t>policyholder</w:t>
      </w:r>
      <w:r w:rsidR="00FD655A">
        <w:t>’s</w:t>
      </w:r>
      <w:r w:rsidR="00433545">
        <w:t xml:space="preserve"> reasonable expectation that coverage </w:t>
      </w:r>
      <w:r w:rsidR="00B656A3">
        <w:t>would b</w:t>
      </w:r>
      <w:r w:rsidR="00433545">
        <w:t xml:space="preserve">e triggered upon the exhaustion of the amount listed as the policy’s </w:t>
      </w:r>
      <w:r w:rsidR="00D461B4">
        <w:t>stated</w:t>
      </w:r>
      <w:r w:rsidR="00B656A3">
        <w:t xml:space="preserve"> </w:t>
      </w:r>
      <w:r w:rsidR="00433545">
        <w:t xml:space="preserve">attachment point.  </w:t>
      </w:r>
      <w:r w:rsidRPr="00750962" w:rsidR="00D51162">
        <w:t xml:space="preserve">Objectively speaking, the parties could not have intended to require </w:t>
      </w:r>
      <w:r w:rsidRPr="00750962" w:rsidR="00BC50E7">
        <w:t xml:space="preserve">the insured to surmount </w:t>
      </w:r>
      <w:r w:rsidRPr="00750962" w:rsidR="00FC13D7">
        <w:t>all these</w:t>
      </w:r>
      <w:r w:rsidRPr="00750962" w:rsidR="00076E09">
        <w:t xml:space="preserve"> hurdles </w:t>
      </w:r>
      <w:r w:rsidRPr="00750962" w:rsidR="00D51162">
        <w:t xml:space="preserve">before </w:t>
      </w:r>
      <w:r w:rsidRPr="00750962" w:rsidR="00FC13D7">
        <w:t xml:space="preserve">the insured </w:t>
      </w:r>
      <w:r w:rsidRPr="00750962" w:rsidR="00D51162">
        <w:t xml:space="preserve">may access the </w:t>
      </w:r>
      <w:r w:rsidRPr="00750962" w:rsidR="00961518">
        <w:t>excess insurance it has paid for.</w:t>
      </w:r>
    </w:p>
    <w:p w:rsidR="00D043F4" w:rsidRPr="00750962" w:rsidP="00750962" w14:paraId="4E451D49" w14:textId="580B986E">
      <w:pPr>
        <w:tabs>
          <w:tab w:val="left" w:pos="720"/>
        </w:tabs>
      </w:pPr>
      <w:r w:rsidRPr="00750962">
        <w:tab/>
      </w:r>
      <w:r w:rsidRPr="00750962" w:rsidR="00E43109">
        <w:t xml:space="preserve">The insurers </w:t>
      </w:r>
      <w:r w:rsidRPr="00750962" w:rsidR="005E2388">
        <w:t xml:space="preserve">counter that </w:t>
      </w:r>
      <w:r w:rsidRPr="00750962" w:rsidR="00B8641E">
        <w:t xml:space="preserve">the rule of </w:t>
      </w:r>
      <w:r w:rsidRPr="00750962" w:rsidR="00E43109">
        <w:t xml:space="preserve">horizontal exhaustion is </w:t>
      </w:r>
      <w:r w:rsidRPr="00750962" w:rsidR="005E2388">
        <w:t xml:space="preserve">logically </w:t>
      </w:r>
      <w:r w:rsidRPr="00750962" w:rsidR="00B8641E">
        <w:t xml:space="preserve">compelled by our adoption of an </w:t>
      </w:r>
      <w:r w:rsidRPr="00750962" w:rsidR="00E43109">
        <w:t>all-sums</w:t>
      </w:r>
      <w:r w:rsidRPr="00750962" w:rsidR="003A1535">
        <w:t>-with-stacking</w:t>
      </w:r>
      <w:r w:rsidRPr="00750962" w:rsidR="00E43109">
        <w:t xml:space="preserve"> approach to</w:t>
      </w:r>
      <w:r w:rsidRPr="00750962" w:rsidR="002F74CB">
        <w:t xml:space="preserve"> liability for long</w:t>
      </w:r>
      <w:r w:rsidRPr="00750962" w:rsidR="00C642A4">
        <w:t>-tail injuries</w:t>
      </w:r>
      <w:r w:rsidRPr="00750962" w:rsidR="004E65BB">
        <w:t xml:space="preserve">.  </w:t>
      </w:r>
      <w:r w:rsidRPr="00750962" w:rsidR="00B8641E">
        <w:t xml:space="preserve">They argue that if the insured is to have access to all policies across all relevant policy periods, it only makes sense </w:t>
      </w:r>
      <w:r w:rsidRPr="00750962" w:rsidR="009A35A1">
        <w:t xml:space="preserve">that the </w:t>
      </w:r>
      <w:r w:rsidRPr="00750962" w:rsidR="00B8641E">
        <w:t xml:space="preserve">insured </w:t>
      </w:r>
      <w:r w:rsidRPr="00750962" w:rsidR="00257A84">
        <w:rPr>
          <w:i/>
        </w:rPr>
        <w:t>must</w:t>
      </w:r>
      <w:r w:rsidRPr="00750962" w:rsidR="00257A84">
        <w:t xml:space="preserve"> </w:t>
      </w:r>
      <w:r w:rsidRPr="00750962" w:rsidR="00C006BA">
        <w:t xml:space="preserve">seek </w:t>
      </w:r>
      <w:r w:rsidRPr="00750962" w:rsidR="001046E0">
        <w:t xml:space="preserve">indemnification based on its excess coverage </w:t>
      </w:r>
      <w:r w:rsidRPr="00750962" w:rsidR="005020C0">
        <w:t>across all relevant policy periods</w:t>
      </w:r>
      <w:r w:rsidRPr="00750962" w:rsidR="00017F8A">
        <w:t>; to do otherwise</w:t>
      </w:r>
      <w:r w:rsidR="001221A3">
        <w:t>, the insurers assert,</w:t>
      </w:r>
      <w:r w:rsidRPr="00750962" w:rsidR="00017F8A">
        <w:t xml:space="preserve"> would “artificially break[]” the long-tail injury into distinct periods, contrary to our holding in </w:t>
      </w:r>
      <w:r w:rsidRPr="00750962" w:rsidR="00017F8A">
        <w:rPr>
          <w:i/>
        </w:rPr>
        <w:t>Continental</w:t>
      </w:r>
      <w:r w:rsidR="00C94DFB">
        <w:t>.</w:t>
      </w:r>
      <w:r w:rsidRPr="00750962" w:rsidR="00C94DFB">
        <w:t xml:space="preserve"> </w:t>
      </w:r>
      <w:r w:rsidR="00C94DFB">
        <w:t xml:space="preserve"> (</w:t>
      </w:r>
      <w:r w:rsidRPr="00C94DFB" w:rsidR="00C94DFB">
        <w:rPr>
          <w:i/>
        </w:rPr>
        <w:t>Continental</w:t>
      </w:r>
      <w:r w:rsidR="00C94DFB">
        <w:t xml:space="preserve">, </w:t>
      </w:r>
      <w:r w:rsidRPr="00C94DFB" w:rsidR="00BB75F5">
        <w:rPr>
          <w:i/>
        </w:rPr>
        <w:t>supra</w:t>
      </w:r>
      <w:r w:rsidRPr="00750962" w:rsidR="00BB75F5">
        <w:t xml:space="preserve">, </w:t>
      </w:r>
      <w:r w:rsidRPr="00750962" w:rsidR="00017F8A">
        <w:t>55 Cal.4th at p</w:t>
      </w:r>
      <w:r w:rsidR="001221A3">
        <w:t>.</w:t>
      </w:r>
      <w:r w:rsidRPr="00750962" w:rsidR="00BB75F5">
        <w:t> </w:t>
      </w:r>
      <w:r w:rsidRPr="00750962" w:rsidR="00017F8A">
        <w:t>201.</w:t>
      </w:r>
      <w:r w:rsidR="00E02F3D">
        <w:t>)</w:t>
      </w:r>
      <w:r w:rsidRPr="00750962" w:rsidR="00E33304">
        <w:t xml:space="preserve">  </w:t>
      </w:r>
      <w:r w:rsidRPr="00750962" w:rsidR="005E2388">
        <w:t xml:space="preserve">But the </w:t>
      </w:r>
      <w:r w:rsidRPr="00750962" w:rsidR="00064807">
        <w:t xml:space="preserve">insurers’ conclusion does not follow.  </w:t>
      </w:r>
      <w:r w:rsidRPr="00750962" w:rsidR="00796103">
        <w:t xml:space="preserve">A </w:t>
      </w:r>
      <w:r w:rsidRPr="00750962" w:rsidR="00BC50E7">
        <w:t xml:space="preserve">rule of vertical exhaustion does not </w:t>
      </w:r>
      <w:r w:rsidRPr="00750962" w:rsidR="00796103">
        <w:t>restrict the insured from access</w:t>
      </w:r>
      <w:r w:rsidRPr="00750962" w:rsidR="00B8173D">
        <w:t>ing</w:t>
      </w:r>
      <w:r w:rsidRPr="00750962" w:rsidR="00796103">
        <w:t xml:space="preserve"> excess coverage from other policy periods</w:t>
      </w:r>
      <w:r w:rsidRPr="00750962" w:rsidR="00B8173D">
        <w:t xml:space="preserve"> if the terms and conditions are otherwise met; it merely </w:t>
      </w:r>
      <w:r w:rsidRPr="00750962" w:rsidR="00465D37">
        <w:t xml:space="preserve">relieves the insured of the </w:t>
      </w:r>
      <w:r w:rsidRPr="00750962" w:rsidR="007C231D">
        <w:t xml:space="preserve">obligation </w:t>
      </w:r>
      <w:r w:rsidRPr="00750962" w:rsidR="00465D37">
        <w:t xml:space="preserve">of </w:t>
      </w:r>
      <w:r w:rsidRPr="00750962" w:rsidR="00915511">
        <w:t xml:space="preserve">establishing </w:t>
      </w:r>
      <w:r w:rsidRPr="00750962" w:rsidR="00465D37">
        <w:t xml:space="preserve">whether </w:t>
      </w:r>
      <w:r w:rsidRPr="00750962" w:rsidR="00465D37">
        <w:rPr>
          <w:i/>
        </w:rPr>
        <w:t>all</w:t>
      </w:r>
      <w:r w:rsidRPr="00750962" w:rsidR="00465D37">
        <w:t xml:space="preserve"> of the applicable terms and conditions at any given “layer” of excess coverage are met before it accesses the next </w:t>
      </w:r>
      <w:r w:rsidRPr="00750962" w:rsidR="00D924B4">
        <w:t>“</w:t>
      </w:r>
      <w:r w:rsidRPr="00750962" w:rsidR="00465D37">
        <w:t>layer</w:t>
      </w:r>
      <w:r w:rsidRPr="00750962" w:rsidR="00D924B4">
        <w:t>”</w:t>
      </w:r>
      <w:r w:rsidRPr="00750962" w:rsidR="00465D37">
        <w:t xml:space="preserve"> of coverage.</w:t>
      </w:r>
      <w:r w:rsidRPr="00750962" w:rsidR="0026276D">
        <w:t xml:space="preserve">  </w:t>
      </w:r>
      <w:r w:rsidRPr="00750962" w:rsidR="00BD4F1E">
        <w:t xml:space="preserve">There is no evident inconsistency between </w:t>
      </w:r>
      <w:r w:rsidRPr="00750962" w:rsidR="00E33304">
        <w:t xml:space="preserve">an </w:t>
      </w:r>
      <w:r w:rsidRPr="00750962" w:rsidR="007C231D">
        <w:t>all</w:t>
      </w:r>
      <w:r w:rsidR="00696CF2">
        <w:t xml:space="preserve"> </w:t>
      </w:r>
      <w:r w:rsidRPr="00750962" w:rsidR="007C231D">
        <w:t xml:space="preserve">sums approach and </w:t>
      </w:r>
      <w:r w:rsidRPr="00750962" w:rsidR="00E33304">
        <w:t xml:space="preserve">one </w:t>
      </w:r>
      <w:r w:rsidRPr="00750962" w:rsidR="007C231D">
        <w:t>that avoids placing th</w:t>
      </w:r>
      <w:r w:rsidRPr="00750962" w:rsidR="00E33304">
        <w:t xml:space="preserve">is </w:t>
      </w:r>
      <w:r w:rsidRPr="00750962" w:rsidR="007C231D">
        <w:t>burden</w:t>
      </w:r>
      <w:r w:rsidRPr="00750962" w:rsidR="00783FFF">
        <w:t xml:space="preserve"> on the insured</w:t>
      </w:r>
      <w:r w:rsidRPr="00750962" w:rsidR="005B4F53">
        <w:t>, with its associated delays,</w:t>
      </w:r>
      <w:r w:rsidRPr="00750962" w:rsidR="00E33304">
        <w:t xml:space="preserve"> before </w:t>
      </w:r>
      <w:r w:rsidRPr="00750962" w:rsidR="005B4F53">
        <w:t xml:space="preserve">the insured </w:t>
      </w:r>
      <w:r w:rsidRPr="00750962" w:rsidR="00E33304">
        <w:t>may access its excess insurance</w:t>
      </w:r>
      <w:r w:rsidRPr="00750962" w:rsidR="00783FFF">
        <w:t>.</w:t>
      </w:r>
    </w:p>
    <w:p w:rsidR="007E4C1D" w:rsidRPr="00750962" w:rsidP="00750962" w14:paraId="6D420212" w14:textId="08A2291E">
      <w:pPr>
        <w:tabs>
          <w:tab w:val="left" w:pos="720"/>
        </w:tabs>
      </w:pPr>
      <w:r w:rsidRPr="00750962">
        <w:tab/>
      </w:r>
      <w:r w:rsidRPr="00750962" w:rsidR="00AE07AB">
        <w:t>But if horizontal exhaustion imposes a</w:t>
      </w:r>
      <w:r w:rsidRPr="00750962" w:rsidR="007C231D">
        <w:t xml:space="preserve"> heavy </w:t>
      </w:r>
      <w:r w:rsidRPr="00750962" w:rsidR="00AE07AB">
        <w:t xml:space="preserve">burden on the insured, </w:t>
      </w:r>
      <w:r w:rsidRPr="00750962" w:rsidR="00504776">
        <w:t xml:space="preserve">the </w:t>
      </w:r>
      <w:r w:rsidRPr="00750962" w:rsidR="00AE07AB">
        <w:t>insurers claim that vertical exhaustion is “totally unfair” to them because “decades’ worth of environmental damage [could] fall on the shoulders of disfavored insurers who happened to provide excess insurance</w:t>
      </w:r>
      <w:r w:rsidRPr="00750962" w:rsidR="00570B45">
        <w:t xml:space="preserve"> .</w:t>
      </w:r>
      <w:r w:rsidRPr="00750962" w:rsidR="006D621F">
        <w:t> </w:t>
      </w:r>
      <w:r w:rsidRPr="00750962" w:rsidR="00570B45">
        <w:t>.</w:t>
      </w:r>
      <w:r w:rsidRPr="00750962" w:rsidR="006D621F">
        <w:t> </w:t>
      </w:r>
      <w:r w:rsidRPr="00750962" w:rsidR="00570B45">
        <w:t xml:space="preserve">. during that single unlucky year or two.”  </w:t>
      </w:r>
      <w:r w:rsidRPr="00750962" w:rsidR="00614CCE">
        <w:t>This argument is no</w:t>
      </w:r>
      <w:r w:rsidRPr="00750962">
        <w:t>t</w:t>
      </w:r>
      <w:r w:rsidRPr="00750962" w:rsidR="00614CCE">
        <w:t xml:space="preserve"> different in kind from arguments we have already considered and rejected in adopting the all</w:t>
      </w:r>
      <w:r w:rsidRPr="00750962" w:rsidR="00F51976">
        <w:t>-</w:t>
      </w:r>
      <w:r w:rsidRPr="00750962" w:rsidR="00614CCE">
        <w:t>sums</w:t>
      </w:r>
      <w:r w:rsidRPr="00750962" w:rsidR="00F51976">
        <w:t>-</w:t>
      </w:r>
      <w:r w:rsidRPr="00750962" w:rsidR="00614CCE">
        <w:t>with</w:t>
      </w:r>
      <w:r w:rsidRPr="00750962" w:rsidR="00F51976">
        <w:t>-</w:t>
      </w:r>
      <w:r w:rsidRPr="00750962" w:rsidR="00614CCE">
        <w:t xml:space="preserve">stacking approach to </w:t>
      </w:r>
      <w:r w:rsidRPr="00750962" w:rsidR="002F74CB">
        <w:t xml:space="preserve">the coverage of </w:t>
      </w:r>
      <w:r w:rsidRPr="00750962" w:rsidR="00614CCE">
        <w:t xml:space="preserve">long-tail injuries.  (See, e.g., </w:t>
      </w:r>
      <w:r w:rsidRPr="00750962" w:rsidR="00614CCE">
        <w:rPr>
          <w:i/>
        </w:rPr>
        <w:t>Continental</w:t>
      </w:r>
      <w:r w:rsidRPr="00750962" w:rsidR="00614CCE">
        <w:t xml:space="preserve">, </w:t>
      </w:r>
      <w:r w:rsidRPr="00750962" w:rsidR="00614CCE">
        <w:rPr>
          <w:i/>
        </w:rPr>
        <w:t>supra</w:t>
      </w:r>
      <w:r w:rsidRPr="00750962" w:rsidR="00614CCE">
        <w:t>, 55 Cal.4th at pp.</w:t>
      </w:r>
      <w:r w:rsidRPr="00750962" w:rsidR="006D621F">
        <w:t> </w:t>
      </w:r>
      <w:r w:rsidRPr="00750962" w:rsidR="00614CCE">
        <w:t xml:space="preserve">199–200; </w:t>
      </w:r>
      <w:r w:rsidRPr="00750962" w:rsidR="00614CCE">
        <w:rPr>
          <w:i/>
        </w:rPr>
        <w:t>id.</w:t>
      </w:r>
      <w:r w:rsidRPr="00750962" w:rsidR="00614CCE">
        <w:t xml:space="preserve"> at </w:t>
      </w:r>
      <w:r w:rsidRPr="00750962" w:rsidR="006D621F">
        <w:t>pp. </w:t>
      </w:r>
      <w:r w:rsidRPr="00750962" w:rsidR="00614CCE">
        <w:t>201–202.)  What we have said in prior cases applies here</w:t>
      </w:r>
      <w:r w:rsidRPr="00750962" w:rsidR="000E42AE">
        <w:t xml:space="preserve"> as well</w:t>
      </w:r>
      <w:r w:rsidRPr="00750962" w:rsidR="00614CCE">
        <w:t xml:space="preserve">:  There is no evident unfairness to </w:t>
      </w:r>
      <w:r w:rsidRPr="00750962" w:rsidR="00570B45">
        <w:t>insurers when their insured</w:t>
      </w:r>
      <w:r w:rsidR="00AE38BC">
        <w:t>s</w:t>
      </w:r>
      <w:r w:rsidRPr="00750962" w:rsidR="00570B45">
        <w:t xml:space="preserve"> incur liabilities triggering indemnity coverage under the negotiated policy contract.</w:t>
      </w:r>
      <w:r>
        <w:rPr>
          <w:rStyle w:val="FootnoteReference"/>
        </w:rPr>
        <w:footnoteReference w:id="11"/>
      </w:r>
      <w:r w:rsidRPr="00750962" w:rsidR="00570B45">
        <w:t xml:space="preserve">  </w:t>
      </w:r>
      <w:r w:rsidRPr="00750962" w:rsidR="009C6D07">
        <w:t xml:space="preserve">Just as the all-sums-with-stacking </w:t>
      </w:r>
      <w:r w:rsidRPr="00750962" w:rsidR="00CF66DE">
        <w:t>approach</w:t>
      </w:r>
      <w:r w:rsidRPr="00750962" w:rsidR="009C6D07">
        <w:t xml:space="preserve"> allows the insured “immediate access to the insurance it purchased,” so, too, does vertical exhaustion in </w:t>
      </w:r>
      <w:r w:rsidRPr="00750962" w:rsidR="0067775D">
        <w:t xml:space="preserve">a </w:t>
      </w:r>
      <w:r w:rsidRPr="00750962" w:rsidR="009C6D07">
        <w:t>continuous injur</w:t>
      </w:r>
      <w:r w:rsidRPr="00750962" w:rsidR="0067775D">
        <w:t>y case</w:t>
      </w:r>
      <w:r w:rsidRPr="00750962" w:rsidR="009C6D07">
        <w:t>.  (</w:t>
      </w:r>
      <w:r w:rsidR="00DF2059">
        <w:rPr>
          <w:i/>
        </w:rPr>
        <w:t>Continental</w:t>
      </w:r>
      <w:r w:rsidR="00DF2059">
        <w:t>,</w:t>
      </w:r>
      <w:r w:rsidRPr="00750962" w:rsidR="009C6D07">
        <w:t xml:space="preserve"> at p.</w:t>
      </w:r>
      <w:r w:rsidRPr="00750962" w:rsidR="003500D1">
        <w:t> </w:t>
      </w:r>
      <w:r w:rsidRPr="00750962" w:rsidR="009C6D07">
        <w:t>201.)</w:t>
      </w:r>
    </w:p>
    <w:p w:rsidR="00955A6D" w:rsidRPr="00750962" w:rsidP="00750962" w14:paraId="4AE5EB0B" w14:textId="34DC0199">
      <w:pPr>
        <w:tabs>
          <w:tab w:val="left" w:pos="720"/>
        </w:tabs>
      </w:pPr>
      <w:r w:rsidRPr="00750962">
        <w:tab/>
      </w:r>
      <w:r w:rsidRPr="00750962" w:rsidR="000E42AE">
        <w:t>E</w:t>
      </w:r>
      <w:r w:rsidRPr="00750962" w:rsidR="00137B96">
        <w:t xml:space="preserve">qually </w:t>
      </w:r>
      <w:r w:rsidRPr="00750962">
        <w:t xml:space="preserve">to the point, </w:t>
      </w:r>
      <w:r w:rsidRPr="00750962" w:rsidR="00137B96">
        <w:t xml:space="preserve">nothing about </w:t>
      </w:r>
      <w:r w:rsidRPr="00750962">
        <w:t xml:space="preserve">the </w:t>
      </w:r>
      <w:r w:rsidRPr="00750962" w:rsidR="00137B96">
        <w:t xml:space="preserve">rule of vertical exhaustion </w:t>
      </w:r>
      <w:r w:rsidRPr="00750962" w:rsidR="0025503F">
        <w:t>requires a single insurer to shoulder the burden of indemnification alon</w:t>
      </w:r>
      <w:r w:rsidRPr="00750962">
        <w:t>e.  As we explained in the context of primary insurance, “the obligation of successive primary insurers to cover a continuously manifesting injury is a separate issue from the obligations of the insurers to each other.”  (</w:t>
      </w:r>
      <w:r w:rsidRPr="00750962">
        <w:rPr>
          <w:i/>
        </w:rPr>
        <w:t>Dart</w:t>
      </w:r>
      <w:r w:rsidRPr="00750962">
        <w:t xml:space="preserve">, </w:t>
      </w:r>
      <w:r w:rsidRPr="00750962">
        <w:rPr>
          <w:i/>
        </w:rPr>
        <w:t>supra</w:t>
      </w:r>
      <w:r w:rsidRPr="00750962">
        <w:t xml:space="preserve">, 28 Cal.4th at p. 1080.)  </w:t>
      </w:r>
      <w:r w:rsidRPr="00750962" w:rsidR="007824ED">
        <w:t xml:space="preserve">Even though a rule of vertical exhaustion permits Montrose to access excess insurance from any given policy period, provided the directly underlying insurance has been exhausted, insurers may seek contribution from other excess insurers also liable to the insured.  </w:t>
      </w:r>
      <w:r w:rsidRPr="00750962">
        <w:t xml:space="preserve">The exhaustion rule does not alter the usual rules of equitable </w:t>
      </w:r>
      <w:r w:rsidRPr="00750962" w:rsidR="00854DDE">
        <w:t>contribution between insurer</w:t>
      </w:r>
      <w:r w:rsidRPr="00750962" w:rsidR="00137B96">
        <w:t xml:space="preserve">s.  </w:t>
      </w:r>
      <w:r w:rsidRPr="00750962" w:rsidR="00A44E51">
        <w:t>A</w:t>
      </w:r>
      <w:r w:rsidRPr="00750962" w:rsidR="00F80D46">
        <w:t xml:space="preserve">n insurer required to provide </w:t>
      </w:r>
      <w:r w:rsidRPr="00750962" w:rsidR="00A44E51">
        <w:t xml:space="preserve">excess </w:t>
      </w:r>
      <w:r w:rsidRPr="00750962" w:rsidR="00F80D46">
        <w:t xml:space="preserve">coverage </w:t>
      </w:r>
      <w:r w:rsidRPr="00750962" w:rsidR="00A44E51">
        <w:t xml:space="preserve">for a long-tail injury </w:t>
      </w:r>
      <w:r w:rsidRPr="00750962" w:rsidR="006B6442">
        <w:t xml:space="preserve">may lessen </w:t>
      </w:r>
      <w:r w:rsidRPr="00750962">
        <w:t xml:space="preserve">its </w:t>
      </w:r>
      <w:r w:rsidRPr="00750962" w:rsidR="006B6442">
        <w:t xml:space="preserve">burden by seeking </w:t>
      </w:r>
      <w:r w:rsidRPr="00750962" w:rsidR="00F80D46">
        <w:t>reimbursement from other insurers that issued policies during the relevant period</w:t>
      </w:r>
      <w:r w:rsidRPr="00750962" w:rsidR="00854DDE">
        <w:t>.</w:t>
      </w:r>
      <w:r w:rsidRPr="00750962" w:rsidR="007824ED">
        <w:t xml:space="preserve">  </w:t>
      </w:r>
      <w:r w:rsidRPr="00750962" w:rsidR="005B4F53">
        <w:t>Once again, t</w:t>
      </w:r>
      <w:r w:rsidRPr="00750962" w:rsidR="007824ED">
        <w:t xml:space="preserve">he critical difference between a rule of vertical exhaustion and horizontal exhaustion thus is not whether a single disfavored excess insurer will be made to carry a disproportionate burden of indemnification, but instead whether the administrative task of spreading the loss among insurers is one that must be borne by the insurer instead of the insured.  </w:t>
      </w:r>
      <w:r w:rsidRPr="00750962" w:rsidR="00DA7DDD">
        <w:t xml:space="preserve">There is no obvious </w:t>
      </w:r>
      <w:r w:rsidRPr="00750962" w:rsidR="007824ED">
        <w:t xml:space="preserve">unfairness to insurers </w:t>
      </w:r>
      <w:r w:rsidRPr="00750962" w:rsidR="00FC13D7">
        <w:t xml:space="preserve">from </w:t>
      </w:r>
      <w:r w:rsidRPr="00750962" w:rsidR="007824ED">
        <w:t>a rule</w:t>
      </w:r>
      <w:r w:rsidRPr="00750962" w:rsidR="005B4F53">
        <w:t xml:space="preserve"> that requires them to bear this administrative burden.</w:t>
      </w:r>
    </w:p>
    <w:p w:rsidR="00854DDE" w:rsidRPr="00750962" w:rsidP="009E3999" w14:paraId="3A5D67A5" w14:textId="61B0A0A2">
      <w:pPr>
        <w:tabs>
          <w:tab w:val="left" w:pos="720"/>
        </w:tabs>
      </w:pPr>
      <w:r w:rsidRPr="00750962">
        <w:tab/>
      </w:r>
      <w:r w:rsidRPr="00750962" w:rsidR="006E40BF">
        <w:t>The insurers</w:t>
      </w:r>
      <w:r w:rsidR="009E3999">
        <w:t xml:space="preserve"> </w:t>
      </w:r>
      <w:r w:rsidRPr="00750962" w:rsidR="006E40BF">
        <w:t xml:space="preserve">lean heavily on </w:t>
      </w:r>
      <w:r w:rsidRPr="00750962" w:rsidR="00DB7B65">
        <w:rPr>
          <w:i/>
        </w:rPr>
        <w:t>Community Redevelopment Agency v. Aetna Casualty &amp; Surety Co.</w:t>
      </w:r>
      <w:r w:rsidRPr="00750962" w:rsidR="00DB7B65">
        <w:t xml:space="preserve"> (1996) </w:t>
      </w:r>
      <w:r w:rsidRPr="00750962" w:rsidR="00FF6E9A">
        <w:t>50 Cal.App.4th 329</w:t>
      </w:r>
      <w:r w:rsidRPr="00750962" w:rsidR="009A53F8">
        <w:t xml:space="preserve">, </w:t>
      </w:r>
      <w:r w:rsidR="0005778F">
        <w:t>but that case</w:t>
      </w:r>
      <w:r w:rsidR="00FF6E9A">
        <w:t xml:space="preserve"> </w:t>
      </w:r>
      <w:r w:rsidR="00830990">
        <w:t>addresses a</w:t>
      </w:r>
      <w:r w:rsidR="00BE2DF4">
        <w:t xml:space="preserve"> meaningfully different</w:t>
      </w:r>
      <w:r w:rsidR="005542CD">
        <w:t xml:space="preserve"> </w:t>
      </w:r>
      <w:r w:rsidR="00C93BE2">
        <w:t xml:space="preserve">scenario </w:t>
      </w:r>
      <w:r w:rsidR="00BE2DF4">
        <w:t xml:space="preserve">and thus offers no </w:t>
      </w:r>
      <w:r w:rsidR="0067596B">
        <w:t xml:space="preserve">real </w:t>
      </w:r>
      <w:r w:rsidR="00BE2DF4">
        <w:t xml:space="preserve">lessons for </w:t>
      </w:r>
      <w:r w:rsidR="0025319E">
        <w:t xml:space="preserve">resolving </w:t>
      </w:r>
      <w:r w:rsidR="00FD514A">
        <w:t xml:space="preserve">the question </w:t>
      </w:r>
      <w:r w:rsidR="009C67BD">
        <w:t xml:space="preserve">now </w:t>
      </w:r>
      <w:r w:rsidR="00FD514A">
        <w:t>before us</w:t>
      </w:r>
      <w:r w:rsidR="00104010">
        <w:t xml:space="preserve">.  </w:t>
      </w:r>
      <w:r w:rsidR="0005778F">
        <w:t xml:space="preserve">In </w:t>
      </w:r>
      <w:r w:rsidR="0005778F">
        <w:rPr>
          <w:i/>
        </w:rPr>
        <w:t>Community Redevelopment</w:t>
      </w:r>
      <w:r w:rsidR="0005778F">
        <w:t xml:space="preserve">, </w:t>
      </w:r>
      <w:r w:rsidRPr="00750962" w:rsidR="009A53F8">
        <w:t>a primary insurer sought contribution from an excess insurer for defense costs on behalf of the insured</w:t>
      </w:r>
      <w:r w:rsidR="009E3999">
        <w:t xml:space="preserve"> in a case involving continuous loss</w:t>
      </w:r>
      <w:r w:rsidRPr="00750962" w:rsidR="009A53F8">
        <w:t>.</w:t>
      </w:r>
      <w:r w:rsidR="009E3999">
        <w:t xml:space="preserve">  To resolve the conflict, the court applied what it termed a “horizontal exhaustion rule”; under that rule, the court held, </w:t>
      </w:r>
      <w:r w:rsidRPr="00750962" w:rsidR="009A53F8">
        <w:t>an excess insurer in a continu</w:t>
      </w:r>
      <w:r w:rsidRPr="00750962" w:rsidR="00C50E41">
        <w:t>ous injury</w:t>
      </w:r>
      <w:r w:rsidRPr="00750962" w:rsidR="009A53F8">
        <w:t xml:space="preserve"> case is not required “to ‘drop down’ and provide a defense to a common insured before the liability limits of </w:t>
      </w:r>
      <w:r w:rsidRPr="00750962" w:rsidR="009A53F8">
        <w:rPr>
          <w:i/>
        </w:rPr>
        <w:t>all</w:t>
      </w:r>
      <w:r w:rsidRPr="00750962" w:rsidR="009A53F8">
        <w:t xml:space="preserve"> primary insurers on the risk have been exhausted.”  (</w:t>
      </w:r>
      <w:r w:rsidRPr="00750962" w:rsidR="009A53F8">
        <w:rPr>
          <w:i/>
        </w:rPr>
        <w:t>Id.</w:t>
      </w:r>
      <w:r w:rsidRPr="00750962" w:rsidR="009A53F8">
        <w:t xml:space="preserve"> at p.</w:t>
      </w:r>
      <w:r w:rsidRPr="00750962" w:rsidR="0085535A">
        <w:t> </w:t>
      </w:r>
      <w:r w:rsidRPr="00750962" w:rsidR="009A53F8">
        <w:t xml:space="preserve">332.)  </w:t>
      </w:r>
      <w:r w:rsidR="00854669">
        <w:t xml:space="preserve">In adopting that rule, </w:t>
      </w:r>
      <w:r w:rsidR="00E10BC4">
        <w:t xml:space="preserve">the court explained:  </w:t>
      </w:r>
      <w:r w:rsidRPr="00750962" w:rsidR="00BC1C72">
        <w:t xml:space="preserve">“Absent a provision in the excess policy </w:t>
      </w:r>
      <w:r w:rsidRPr="00750962" w:rsidR="00BC1C72">
        <w:rPr>
          <w:i/>
        </w:rPr>
        <w:t xml:space="preserve">specifically describing </w:t>
      </w:r>
      <w:r w:rsidRPr="00750962" w:rsidR="00BC1C72">
        <w:t xml:space="preserve">and </w:t>
      </w:r>
      <w:r w:rsidRPr="00750962" w:rsidR="00BC1C72">
        <w:rPr>
          <w:i/>
        </w:rPr>
        <w:t>limiting</w:t>
      </w:r>
      <w:r w:rsidRPr="00750962" w:rsidR="00BC1C72">
        <w:t xml:space="preserve"> the underlying insurance, a horizontal exhaustion rule should be applied in continuous loss cases because it is most consistent with the principles enunciated in </w:t>
      </w:r>
      <w:r w:rsidRPr="00750962" w:rsidR="00BC1C72">
        <w:rPr>
          <w:i/>
        </w:rPr>
        <w:t>Montrose</w:t>
      </w:r>
      <w:r w:rsidRPr="00750962" w:rsidR="00BC1C72">
        <w:t xml:space="preserve"> [</w:t>
      </w:r>
      <w:r w:rsidRPr="00750962" w:rsidR="00375A9A">
        <w:rPr>
          <w:i/>
        </w:rPr>
        <w:t>I</w:t>
      </w:r>
      <w:r w:rsidRPr="00750962" w:rsidR="00375A9A">
        <w:t>,</w:t>
      </w:r>
      <w:r w:rsidRPr="00750962" w:rsidR="00375A9A">
        <w:rPr>
          <w:i/>
        </w:rPr>
        <w:t xml:space="preserve"> </w:t>
      </w:r>
      <w:r w:rsidRPr="00750962" w:rsidR="00BC1C72">
        <w:rPr>
          <w:i/>
        </w:rPr>
        <w:t>supra</w:t>
      </w:r>
      <w:r w:rsidRPr="00750962" w:rsidR="00BC1C72">
        <w:t>, 10 Cal.4th 645].</w:t>
      </w:r>
      <w:r w:rsidRPr="00750962" w:rsidR="00BB75F5">
        <w:t> </w:t>
      </w:r>
      <w:r w:rsidRPr="00750962" w:rsidR="00FA04C6">
        <w:t>.</w:t>
      </w:r>
      <w:r w:rsidRPr="00750962" w:rsidR="00BB75F5">
        <w:t> </w:t>
      </w:r>
      <w:r w:rsidRPr="00750962" w:rsidR="00FA04C6">
        <w:t>.</w:t>
      </w:r>
      <w:r w:rsidRPr="00750962" w:rsidR="00BB75F5">
        <w:t> </w:t>
      </w:r>
      <w:r w:rsidRPr="00750962" w:rsidR="00FA04C6">
        <w:t xml:space="preserve">. </w:t>
      </w:r>
      <w:r w:rsidRPr="00750962" w:rsidR="00BB75F5">
        <w:t xml:space="preserve"> </w:t>
      </w:r>
      <w:r w:rsidRPr="00750962" w:rsidR="00FA04C6">
        <w:t xml:space="preserve">Under the principle of horizontal exhaustion, </w:t>
      </w:r>
      <w:r w:rsidRPr="00750962" w:rsidR="00FA04C6">
        <w:rPr>
          <w:i/>
        </w:rPr>
        <w:t>all</w:t>
      </w:r>
      <w:r w:rsidRPr="00750962" w:rsidR="00FA04C6">
        <w:t xml:space="preserve"> of the primary policies must exhaust before </w:t>
      </w:r>
      <w:r w:rsidRPr="00750962" w:rsidR="00FA04C6">
        <w:rPr>
          <w:i/>
        </w:rPr>
        <w:t>any</w:t>
      </w:r>
      <w:r w:rsidRPr="00750962" w:rsidR="00FA04C6">
        <w:t xml:space="preserve"> excess will have coverage exposure.</w:t>
      </w:r>
      <w:r w:rsidRPr="00750962" w:rsidR="00BC1C72">
        <w:t>”  (</w:t>
      </w:r>
      <w:r w:rsidRPr="00750962" w:rsidR="005D7EFC">
        <w:rPr>
          <w:i/>
        </w:rPr>
        <w:t>Community Redevelopment</w:t>
      </w:r>
      <w:r w:rsidRPr="00750962" w:rsidR="005D7EFC">
        <w:t xml:space="preserve">, </w:t>
      </w:r>
      <w:r w:rsidRPr="00750962" w:rsidR="00BC1C72">
        <w:t>at p.</w:t>
      </w:r>
      <w:r w:rsidRPr="00750962" w:rsidR="0085535A">
        <w:t> </w:t>
      </w:r>
      <w:r w:rsidRPr="00750962" w:rsidR="00BC1C72">
        <w:t>340.)</w:t>
      </w:r>
    </w:p>
    <w:p w:rsidR="009C612F" w:rsidRPr="001929B7" w:rsidP="00FE4115" w14:paraId="6B111655" w14:textId="79B3642E">
      <w:pPr>
        <w:tabs>
          <w:tab w:val="left" w:pos="720"/>
        </w:tabs>
      </w:pPr>
      <w:r>
        <w:tab/>
      </w:r>
      <w:r w:rsidR="00FE4115">
        <w:t xml:space="preserve">This case differs from </w:t>
      </w:r>
      <w:r w:rsidR="00FE4115">
        <w:rPr>
          <w:i/>
        </w:rPr>
        <w:t xml:space="preserve">Community Redevelopment </w:t>
      </w:r>
      <w:r w:rsidR="00FE4115">
        <w:t xml:space="preserve">in </w:t>
      </w:r>
      <w:r w:rsidR="00892BA1">
        <w:t xml:space="preserve">fundamental </w:t>
      </w:r>
      <w:r w:rsidR="003C6A7D">
        <w:t xml:space="preserve">respects.  This case, unlike </w:t>
      </w:r>
      <w:r w:rsidR="003C6A7D">
        <w:rPr>
          <w:i/>
        </w:rPr>
        <w:t>Community Redevelopment</w:t>
      </w:r>
      <w:r w:rsidR="003C6A7D">
        <w:t xml:space="preserve">, is not </w:t>
      </w:r>
      <w:r w:rsidR="002E2347">
        <w:t xml:space="preserve">a contribution action between </w:t>
      </w:r>
      <w:r w:rsidR="00402996">
        <w:t xml:space="preserve">primary and excess </w:t>
      </w:r>
      <w:r w:rsidR="002E2347">
        <w:t>insurers; it is</w:t>
      </w:r>
      <w:r w:rsidR="0005778F">
        <w:t xml:space="preserve">, rather, </w:t>
      </w:r>
      <w:r w:rsidR="002E2347">
        <w:t xml:space="preserve">a coverage dispute between </w:t>
      </w:r>
      <w:r w:rsidR="008C4D8C">
        <w:t xml:space="preserve">excess </w:t>
      </w:r>
      <w:r w:rsidR="002E2347">
        <w:t xml:space="preserve">insurers and their insured.  </w:t>
      </w:r>
      <w:r w:rsidR="00FE4115">
        <w:t xml:space="preserve">Regardless of whether </w:t>
      </w:r>
      <w:r w:rsidRPr="0030248C" w:rsidR="001000D1">
        <w:rPr>
          <w:i/>
        </w:rPr>
        <w:t>Community Redevelopment</w:t>
      </w:r>
      <w:r w:rsidRPr="0030248C" w:rsidR="001000D1">
        <w:t xml:space="preserve"> </w:t>
      </w:r>
      <w:r w:rsidR="00FE4115">
        <w:t>was correct to apply a rule of horizontal exhaustion in that distinct context—</w:t>
      </w:r>
      <w:r w:rsidR="00E323B7">
        <w:t xml:space="preserve">a </w:t>
      </w:r>
      <w:r w:rsidR="00FE4115">
        <w:t xml:space="preserve">question not </w:t>
      </w:r>
      <w:r w:rsidR="002A719D">
        <w:t xml:space="preserve">presently </w:t>
      </w:r>
      <w:r w:rsidR="00FE4115">
        <w:t>before us—</w:t>
      </w:r>
      <w:r w:rsidR="00892BA1">
        <w:t xml:space="preserve">we are unpersuaded that the reasoning of </w:t>
      </w:r>
      <w:r w:rsidR="00892BA1">
        <w:rPr>
          <w:i/>
        </w:rPr>
        <w:t>Montrose I</w:t>
      </w:r>
      <w:r w:rsidR="00892BA1">
        <w:t xml:space="preserve"> requires us to apply a rule of horizontal exhaustion that would limit Montrose’s ability to access the excess insurance coverage it has paid for.</w:t>
      </w:r>
    </w:p>
    <w:p w:rsidR="0006361F" w:rsidP="00750962" w14:paraId="2CE7519F" w14:textId="494EE95F">
      <w:pPr>
        <w:tabs>
          <w:tab w:val="left" w:pos="720"/>
        </w:tabs>
      </w:pPr>
      <w:r w:rsidRPr="00750962">
        <w:tab/>
      </w:r>
      <w:r w:rsidRPr="00750962" w:rsidR="006A7713">
        <w:t xml:space="preserve">In sum, we </w:t>
      </w:r>
      <w:r w:rsidRPr="00750962" w:rsidR="00CB14DF">
        <w:t>conclude that i</w:t>
      </w:r>
      <w:r w:rsidRPr="00750962" w:rsidR="0098273C">
        <w:t xml:space="preserve">n </w:t>
      </w:r>
      <w:r w:rsidRPr="00750962" w:rsidR="00A12C33">
        <w:t xml:space="preserve">a </w:t>
      </w:r>
      <w:r w:rsidRPr="00750962" w:rsidR="001E1052">
        <w:t xml:space="preserve">case involving </w:t>
      </w:r>
      <w:r w:rsidRPr="00750962" w:rsidR="00A12C33">
        <w:t xml:space="preserve">continuous injury, where all primary insurance has been exhausted, the policy language at issue here permits the insured to access any excess policy </w:t>
      </w:r>
      <w:r w:rsidRPr="00750962" w:rsidR="001E1052">
        <w:t xml:space="preserve">for indemnification </w:t>
      </w:r>
      <w:r w:rsidRPr="00750962" w:rsidR="00A12C33">
        <w:t>during a triggered policy period once the directly underlying excess insurance has been exhausted.</w:t>
      </w:r>
      <w:r w:rsidRPr="00750962" w:rsidR="00785DD5">
        <w:t xml:space="preserve">  </w:t>
      </w:r>
      <w:r w:rsidRPr="00750962" w:rsidR="00731C9E">
        <w:t>P</w:t>
      </w:r>
      <w:r w:rsidRPr="00750962" w:rsidR="00785DD5">
        <w:t xml:space="preserve">arties to insurance contracts are, of course, free to write their policies differently to establish </w:t>
      </w:r>
      <w:r w:rsidRPr="00750962" w:rsidR="00207D58">
        <w:t>alternative</w:t>
      </w:r>
      <w:r w:rsidRPr="00750962" w:rsidR="00785DD5">
        <w:t xml:space="preserve"> exhaustion requirements </w:t>
      </w:r>
      <w:r w:rsidRPr="00750962" w:rsidR="006D217B">
        <w:t>or coverage allocation rules</w:t>
      </w:r>
      <w:r w:rsidRPr="00750962" w:rsidR="00A15422">
        <w:t xml:space="preserve"> if they so wish</w:t>
      </w:r>
      <w:r w:rsidRPr="00750962" w:rsidR="00785DD5">
        <w:t xml:space="preserve">.  </w:t>
      </w:r>
      <w:r w:rsidRPr="00750962" w:rsidR="00D90BEB">
        <w:t>(</w:t>
      </w:r>
      <w:r w:rsidRPr="00750962" w:rsidR="00AA01AF">
        <w:t>See</w:t>
      </w:r>
      <w:r w:rsidRPr="00750962" w:rsidR="00785DD5">
        <w:t xml:space="preserve"> </w:t>
      </w:r>
      <w:r w:rsidRPr="00750962" w:rsidR="00785DD5">
        <w:rPr>
          <w:i/>
        </w:rPr>
        <w:t>Continental</w:t>
      </w:r>
      <w:r w:rsidRPr="00750962" w:rsidR="00785DD5">
        <w:t>,</w:t>
      </w:r>
      <w:r w:rsidRPr="00750962" w:rsidR="004B32BD">
        <w:t xml:space="preserve"> </w:t>
      </w:r>
      <w:r w:rsidRPr="00750962" w:rsidR="00785DD5">
        <w:rPr>
          <w:i/>
        </w:rPr>
        <w:t>supra</w:t>
      </w:r>
      <w:r w:rsidRPr="00750962" w:rsidR="00785DD5">
        <w:t>, 55 Cal.4th at p.</w:t>
      </w:r>
      <w:r w:rsidRPr="00750962">
        <w:t> </w:t>
      </w:r>
      <w:r w:rsidRPr="00750962" w:rsidR="00785DD5">
        <w:t>202.)</w:t>
      </w:r>
    </w:p>
    <w:p w:rsidR="00A12C33" w:rsidRPr="00750962" w:rsidP="003B739C" w14:paraId="41331D00" w14:textId="77777777">
      <w:pPr>
        <w:tabs>
          <w:tab w:val="left" w:pos="720"/>
        </w:tabs>
        <w:jc w:val="center"/>
      </w:pPr>
      <w:r w:rsidRPr="00750962">
        <w:rPr>
          <w:b/>
        </w:rPr>
        <w:t>D.</w:t>
      </w:r>
    </w:p>
    <w:p w:rsidR="00A12C33" w:rsidRPr="00750962" w:rsidP="00750962" w14:paraId="60EC537A" w14:textId="4933A78F">
      <w:pPr>
        <w:tabs>
          <w:tab w:val="left" w:pos="720"/>
        </w:tabs>
      </w:pPr>
      <w:r w:rsidRPr="00750962">
        <w:tab/>
      </w:r>
      <w:r w:rsidRPr="00750962" w:rsidR="00CE0FC7">
        <w:t>As noted earlier, T</w:t>
      </w:r>
      <w:r w:rsidRPr="00750962">
        <w:t>ravelers oppose</w:t>
      </w:r>
      <w:r w:rsidRPr="00750962" w:rsidR="006877B0">
        <w:t>s</w:t>
      </w:r>
      <w:r w:rsidRPr="00750962">
        <w:t xml:space="preserve"> Montrose’s motion for summary adjudication on </w:t>
      </w:r>
      <w:r w:rsidRPr="00750962" w:rsidR="006877B0">
        <w:t xml:space="preserve">two independent grounds.  First, </w:t>
      </w:r>
      <w:r w:rsidRPr="00750962">
        <w:t>Travelers argue</w:t>
      </w:r>
      <w:r w:rsidRPr="00750962" w:rsidR="006877B0">
        <w:t>s</w:t>
      </w:r>
      <w:r w:rsidRPr="00750962">
        <w:t xml:space="preserve"> that Montrose’s requested declaration, which would permit Montrose to </w:t>
      </w:r>
      <w:r w:rsidRPr="00750962" w:rsidR="00F92964">
        <w:t>“</w:t>
      </w:r>
      <w:r w:rsidRPr="00750962">
        <w:t>seek indemnification</w:t>
      </w:r>
      <w:r w:rsidRPr="00750962" w:rsidR="00F92964">
        <w:t>”</w:t>
      </w:r>
      <w:r w:rsidRPr="00750962">
        <w:t xml:space="preserve"> from an excess policy upon establishing that “its liabilities are </w:t>
      </w:r>
      <w:r w:rsidRPr="00750962">
        <w:rPr>
          <w:i/>
        </w:rPr>
        <w:t>sufficient to exhaust</w:t>
      </w:r>
      <w:r w:rsidRPr="00750962">
        <w:t xml:space="preserve"> the underly</w:t>
      </w:r>
      <w:r w:rsidRPr="00750962" w:rsidR="009B2264">
        <w:t>ing</w:t>
      </w:r>
      <w:r w:rsidRPr="00750962">
        <w:t xml:space="preserve"> policy(ies) in the same policy period</w:t>
      </w:r>
      <w:r w:rsidRPr="00750962" w:rsidR="00021C5C">
        <w:t>,</w:t>
      </w:r>
      <w:r w:rsidRPr="00750962">
        <w:t xml:space="preserve">” is directly contrary to the terms of the Travelers policies, which require </w:t>
      </w:r>
      <w:r w:rsidRPr="00750962">
        <w:rPr>
          <w:i/>
        </w:rPr>
        <w:t>actual</w:t>
      </w:r>
      <w:r w:rsidRPr="00750962">
        <w:t xml:space="preserve"> exhaustion before a policyholder may access excess coverage.  </w:t>
      </w:r>
      <w:r w:rsidRPr="00750962" w:rsidR="006877B0">
        <w:t>Second, Travelers argues that its policies with Montrose must be construed under Connecticut or New York law, rather than California law as assumed by Montrose’s petition</w:t>
      </w:r>
      <w:r w:rsidRPr="00750962" w:rsidR="00375A9A">
        <w:t xml:space="preserve">, </w:t>
      </w:r>
      <w:r w:rsidR="00C75B5B">
        <w:t>given</w:t>
      </w:r>
      <w:r w:rsidR="00285EEB">
        <w:t xml:space="preserve"> </w:t>
      </w:r>
      <w:r w:rsidRPr="00750962" w:rsidR="00375A9A">
        <w:t>Montrose’s principal place of business at the time the Travelers policies were issued</w:t>
      </w:r>
      <w:r w:rsidRPr="00750962" w:rsidR="006877B0">
        <w:t xml:space="preserve">.  </w:t>
      </w:r>
      <w:r w:rsidRPr="00750962" w:rsidR="004875C8">
        <w:t xml:space="preserve">The lower court did not reach either of these issues because it </w:t>
      </w:r>
      <w:r w:rsidRPr="00750962" w:rsidR="00002B71">
        <w:t>determined for other reasons that</w:t>
      </w:r>
      <w:r w:rsidRPr="00750962" w:rsidR="004875C8">
        <w:t xml:space="preserve"> Montrose</w:t>
      </w:r>
      <w:r w:rsidRPr="00750962" w:rsidR="00002B71">
        <w:t xml:space="preserve"> is not entitled to summary adjudication.</w:t>
      </w:r>
      <w:r w:rsidRPr="00750962" w:rsidR="00FA3C14">
        <w:t xml:space="preserve">  (</w:t>
      </w:r>
      <w:r w:rsidRPr="00750962" w:rsidR="00FA3C14">
        <w:rPr>
          <w:i/>
        </w:rPr>
        <w:t xml:space="preserve">Montrose </w:t>
      </w:r>
      <w:r w:rsidRPr="00750962" w:rsidR="00C50E41">
        <w:rPr>
          <w:i/>
        </w:rPr>
        <w:t>II</w:t>
      </w:r>
      <w:r w:rsidRPr="00750962" w:rsidR="00C50E41">
        <w:t xml:space="preserve">, </w:t>
      </w:r>
      <w:r w:rsidRPr="00750962" w:rsidR="00C50E41">
        <w:rPr>
          <w:i/>
        </w:rPr>
        <w:t>supra</w:t>
      </w:r>
      <w:r w:rsidRPr="00750962" w:rsidR="00C50E41">
        <w:t>,</w:t>
      </w:r>
      <w:r w:rsidRPr="00750962" w:rsidR="00487B4D">
        <w:t xml:space="preserve"> </w:t>
      </w:r>
      <w:r w:rsidRPr="00750962" w:rsidR="00FA3C14">
        <w:t xml:space="preserve">14 Cal.App.5th </w:t>
      </w:r>
      <w:r w:rsidRPr="00750962" w:rsidR="00C50E41">
        <w:t>at p.</w:t>
      </w:r>
      <w:r w:rsidR="004E5E05">
        <w:t> </w:t>
      </w:r>
      <w:r w:rsidRPr="00750962" w:rsidR="00FA3C14">
        <w:t>1336, fn. 9.)</w:t>
      </w:r>
    </w:p>
    <w:p w:rsidR="006F2AE8" w:rsidRPr="00750962" w:rsidP="00750962" w14:paraId="176D1719" w14:textId="2EA50D80">
      <w:pPr>
        <w:tabs>
          <w:tab w:val="left" w:pos="720"/>
        </w:tabs>
      </w:pPr>
      <w:r w:rsidRPr="00750962">
        <w:tab/>
      </w:r>
      <w:r w:rsidRPr="00750962" w:rsidR="00C721B3">
        <w:t>These arguments are not properly before us</w:t>
      </w:r>
      <w:r w:rsidRPr="00750962">
        <w:t>.</w:t>
      </w:r>
      <w:r w:rsidRPr="00750962" w:rsidR="00C721B3">
        <w:t xml:space="preserve">  We granted </w:t>
      </w:r>
      <w:r w:rsidRPr="00750962">
        <w:t>Montrose</w:t>
      </w:r>
      <w:r w:rsidRPr="00750962" w:rsidR="00C721B3">
        <w:t>’s petition to determine whether Montrose</w:t>
      </w:r>
      <w:r w:rsidRPr="00750962" w:rsidR="00B314FE">
        <w:t xml:space="preserve"> may seek coverage from its excess policies under a rule of vertical exhaustion rather than horizontal exhaustion.  </w:t>
      </w:r>
      <w:r w:rsidRPr="00750962" w:rsidR="00751FB8">
        <w:t xml:space="preserve">The choice between these two rules </w:t>
      </w:r>
      <w:r w:rsidRPr="00750962" w:rsidR="00465377">
        <w:t xml:space="preserve">does not </w:t>
      </w:r>
      <w:r w:rsidRPr="00750962" w:rsidR="00375A51">
        <w:t>alter any of the remaining prerequisites Montrose must satisfy to obtain indemnification, including actual exhaustion</w:t>
      </w:r>
      <w:r w:rsidR="00903663">
        <w:t xml:space="preserve"> of directly underlying insurance</w:t>
      </w:r>
      <w:r w:rsidRPr="00750962" w:rsidR="00375A51">
        <w:t xml:space="preserve">, according to the specific terms of its excess policies.  </w:t>
      </w:r>
      <w:r w:rsidRPr="00750962" w:rsidR="00C721B3">
        <w:t>And because</w:t>
      </w:r>
      <w:r w:rsidRPr="00750962" w:rsidR="00375A51">
        <w:t xml:space="preserve"> the lower courts have not addressed the competing claims about </w:t>
      </w:r>
      <w:r w:rsidRPr="00750962" w:rsidR="00375A9A">
        <w:t>choice of law</w:t>
      </w:r>
      <w:r w:rsidRPr="00750962" w:rsidR="00375A51">
        <w:t xml:space="preserve">, we decline to resolve the matter in the first instance.  </w:t>
      </w:r>
      <w:r w:rsidR="00CD6D77">
        <w:t xml:space="preserve">(See </w:t>
      </w:r>
      <w:r w:rsidR="00CD6D77">
        <w:rPr>
          <w:i/>
        </w:rPr>
        <w:t>Guz v. Bechtel Nat</w:t>
      </w:r>
      <w:r w:rsidR="004B6804">
        <w:rPr>
          <w:i/>
        </w:rPr>
        <w:t>ional</w:t>
      </w:r>
      <w:r w:rsidR="00CD6D77">
        <w:rPr>
          <w:i/>
        </w:rPr>
        <w:t xml:space="preserve"> Inc.</w:t>
      </w:r>
      <w:r w:rsidR="00CD6D77">
        <w:t xml:space="preserve"> (2000) 24 Cal.4th 317, 348.)  </w:t>
      </w:r>
      <w:r w:rsidRPr="00750962" w:rsidR="00375A51">
        <w:t xml:space="preserve">Whether California law governs the construction of Montrose’s policies with Travelers is a question for the </w:t>
      </w:r>
      <w:r w:rsidRPr="00750962" w:rsidR="00EC6F8E">
        <w:t>C</w:t>
      </w:r>
      <w:r w:rsidRPr="00750962" w:rsidR="00375A51">
        <w:t xml:space="preserve">ourt of </w:t>
      </w:r>
      <w:r w:rsidRPr="00750962" w:rsidR="00EC6F8E">
        <w:t>A</w:t>
      </w:r>
      <w:r w:rsidRPr="00750962" w:rsidR="00375A51">
        <w:t>ppeal on remand.</w:t>
      </w:r>
    </w:p>
    <w:p w:rsidR="009C0EBD" w:rsidRPr="00750962" w:rsidP="003B739C" w14:paraId="4F1BE83B" w14:textId="261CDF5F">
      <w:pPr>
        <w:tabs>
          <w:tab w:val="left" w:pos="720"/>
        </w:tabs>
        <w:jc w:val="center"/>
      </w:pPr>
      <w:r w:rsidRPr="00750962">
        <w:rPr>
          <w:b/>
        </w:rPr>
        <w:t>III.</w:t>
      </w:r>
    </w:p>
    <w:p w:rsidR="007827A0" w:rsidP="00750962" w14:paraId="7BC26068" w14:textId="77777777">
      <w:pPr>
        <w:tabs>
          <w:tab w:val="left" w:pos="720"/>
        </w:tabs>
      </w:pPr>
      <w:r w:rsidRPr="00750962">
        <w:tab/>
        <w:t xml:space="preserve">California law permits Montrose to seek indemnification under </w:t>
      </w:r>
      <w:r w:rsidRPr="00750962" w:rsidR="00FA3C14">
        <w:t>any</w:t>
      </w:r>
      <w:r w:rsidRPr="00750962">
        <w:t xml:space="preserve"> excess polic</w:t>
      </w:r>
      <w:r w:rsidRPr="00750962" w:rsidR="00FA3C14">
        <w:t>y</w:t>
      </w:r>
      <w:r w:rsidRPr="00750962">
        <w:t xml:space="preserve"> once Montrose has exhausted</w:t>
      </w:r>
      <w:r w:rsidRPr="00750962" w:rsidR="00FA3C14">
        <w:t xml:space="preserve"> the</w:t>
      </w:r>
      <w:r w:rsidRPr="00750962">
        <w:t xml:space="preserve"> underlying </w:t>
      </w:r>
      <w:r w:rsidR="004B6804">
        <w:t xml:space="preserve">excess </w:t>
      </w:r>
      <w:r w:rsidRPr="00750962">
        <w:t xml:space="preserve">policies in the same policy period.  Montrose is not required to exhaust excess insurance at lower levels for all periods triggered by continuous </w:t>
      </w:r>
      <w:r w:rsidR="004B6804">
        <w:t>injury</w:t>
      </w:r>
      <w:r w:rsidRPr="00750962">
        <w:t xml:space="preserve"> before obtaining </w:t>
      </w:r>
    </w:p>
    <w:p w:rsidR="007827A0" w14:paraId="0129FF89" w14:textId="77777777">
      <w:pPr>
        <w:spacing w:after="0" w:line="240" w:lineRule="auto"/>
        <w:jc w:val="left"/>
      </w:pPr>
      <w:r>
        <w:br w:type="page"/>
      </w:r>
    </w:p>
    <w:p w:rsidR="009C0EBD" w:rsidRPr="00750962" w:rsidP="00750962" w14:paraId="7CA90A94" w14:textId="6AF9832B">
      <w:pPr>
        <w:tabs>
          <w:tab w:val="left" w:pos="720"/>
        </w:tabs>
      </w:pPr>
      <w:r w:rsidRPr="00750962">
        <w:t>coverage from higher level excess insurance in any period.</w:t>
      </w:r>
      <w:r w:rsidRPr="00750962" w:rsidR="00375A9A">
        <w:t xml:space="preserve">  </w:t>
      </w:r>
      <w:r w:rsidRPr="00750962" w:rsidR="00C30F6E">
        <w:t>W</w:t>
      </w:r>
      <w:r w:rsidRPr="00750962" w:rsidR="00375A9A">
        <w:t>e</w:t>
      </w:r>
      <w:r w:rsidRPr="00750962">
        <w:t xml:space="preserve"> reverse </w:t>
      </w:r>
      <w:r w:rsidRPr="00750962">
        <w:t xml:space="preserve">the judgment of the </w:t>
      </w:r>
      <w:r w:rsidRPr="00750962" w:rsidR="00EC6F8E">
        <w:t>C</w:t>
      </w:r>
      <w:r w:rsidRPr="00750962">
        <w:t xml:space="preserve">ourt of </w:t>
      </w:r>
      <w:r w:rsidRPr="00750962" w:rsidR="00EC6F8E">
        <w:t>A</w:t>
      </w:r>
      <w:r w:rsidRPr="00750962">
        <w:t>ppeal and remand for further proceedings consistent with this opinion.</w:t>
      </w:r>
    </w:p>
    <w:p w:rsidR="00284B34" w:rsidRPr="00750962" w:rsidP="00750962" w14:paraId="74F1E922" w14:textId="3CA87853">
      <w:pPr>
        <w:pStyle w:val="Text"/>
        <w:spacing w:line="400" w:lineRule="exact"/>
        <w:ind w:firstLine="0"/>
      </w:pPr>
      <w:r w:rsidRPr="00750962">
        <w:tab/>
      </w:r>
      <w:r w:rsidRPr="00750962">
        <w:tab/>
      </w:r>
      <w:r w:rsidRPr="00750962">
        <w:tab/>
      </w:r>
      <w:r w:rsidRPr="00750962">
        <w:tab/>
      </w:r>
      <w:r w:rsidRPr="00750962">
        <w:tab/>
      </w:r>
      <w:r w:rsidRPr="00750962">
        <w:tab/>
      </w:r>
      <w:r w:rsidRPr="00750962">
        <w:rPr>
          <w:b/>
        </w:rPr>
        <w:t>KRUGER, J.</w:t>
      </w:r>
      <w:bookmarkStart w:id="4" w:name="initials"/>
      <w:bookmarkEnd w:id="4"/>
    </w:p>
    <w:p w:rsidR="007827A0" w:rsidP="00750962" w14:paraId="300D2FA1" w14:textId="77777777">
      <w:pPr>
        <w:pStyle w:val="Text"/>
        <w:spacing w:line="400" w:lineRule="exact"/>
        <w:ind w:firstLine="0"/>
        <w:rPr>
          <w:b/>
        </w:rPr>
      </w:pPr>
    </w:p>
    <w:p w:rsidR="00BB75F5" w:rsidRPr="00750962" w:rsidP="00750962" w14:paraId="03154FF4" w14:textId="7098C6BD">
      <w:pPr>
        <w:pStyle w:val="Text"/>
        <w:spacing w:line="400" w:lineRule="exact"/>
        <w:ind w:firstLine="0"/>
        <w:rPr>
          <w:b/>
        </w:rPr>
      </w:pPr>
      <w:r w:rsidRPr="00750962">
        <w:rPr>
          <w:b/>
        </w:rPr>
        <w:t>We Concur:</w:t>
      </w:r>
    </w:p>
    <w:p w:rsidR="00BB75F5" w:rsidRPr="00D32C14" w:rsidP="00D32C14" w14:paraId="1F25E8F4" w14:textId="402BE9DB">
      <w:pPr>
        <w:pStyle w:val="Text"/>
        <w:spacing w:after="0" w:line="240" w:lineRule="auto"/>
        <w:ind w:firstLine="0"/>
        <w:rPr>
          <w:b/>
        </w:rPr>
      </w:pPr>
      <w:r w:rsidRPr="00D32C14">
        <w:rPr>
          <w:b/>
        </w:rPr>
        <w:t>CANTIL-SAKAUYE, C. J.</w:t>
      </w:r>
    </w:p>
    <w:p w:rsidR="00D32C14" w:rsidRPr="00D32C14" w:rsidP="00D32C14" w14:paraId="6FB746F4" w14:textId="70506A74">
      <w:pPr>
        <w:pStyle w:val="Text"/>
        <w:spacing w:after="0" w:line="240" w:lineRule="auto"/>
        <w:ind w:firstLine="0"/>
        <w:rPr>
          <w:b/>
        </w:rPr>
      </w:pPr>
      <w:r w:rsidRPr="00D32C14">
        <w:rPr>
          <w:b/>
        </w:rPr>
        <w:t>LIU, J.</w:t>
      </w:r>
    </w:p>
    <w:p w:rsidR="00D32C14" w:rsidRPr="00D32C14" w:rsidP="00D32C14" w14:paraId="5810C625" w14:textId="5EB36FA6">
      <w:pPr>
        <w:pStyle w:val="Text"/>
        <w:spacing w:after="0" w:line="240" w:lineRule="auto"/>
        <w:ind w:firstLine="0"/>
        <w:rPr>
          <w:b/>
        </w:rPr>
      </w:pPr>
      <w:r w:rsidRPr="00D32C14">
        <w:rPr>
          <w:b/>
        </w:rPr>
        <w:t>CU</w:t>
      </w:r>
      <w:r>
        <w:rPr>
          <w:b/>
        </w:rPr>
        <w:t>É</w:t>
      </w:r>
      <w:r w:rsidRPr="00D32C14">
        <w:rPr>
          <w:b/>
        </w:rPr>
        <w:t>LLAR, J.</w:t>
      </w:r>
    </w:p>
    <w:p w:rsidR="00D32C14" w:rsidRPr="00D32C14" w:rsidP="00D32C14" w14:paraId="1A5BC5B8" w14:textId="6A7905EF">
      <w:pPr>
        <w:pStyle w:val="Text"/>
        <w:spacing w:after="0" w:line="240" w:lineRule="auto"/>
        <w:ind w:firstLine="0"/>
        <w:rPr>
          <w:b/>
        </w:rPr>
      </w:pPr>
      <w:r w:rsidRPr="00D32C14">
        <w:rPr>
          <w:b/>
        </w:rPr>
        <w:t>GROBAN, J.</w:t>
      </w:r>
    </w:p>
    <w:p w:rsidR="00D32C14" w:rsidRPr="00D32C14" w:rsidP="00D32C14" w14:paraId="3FE587E0" w14:textId="6AA4B2E1">
      <w:pPr>
        <w:pStyle w:val="Text"/>
        <w:spacing w:after="0" w:line="240" w:lineRule="auto"/>
        <w:ind w:firstLine="0"/>
        <w:rPr>
          <w:b/>
        </w:rPr>
      </w:pPr>
      <w:r w:rsidRPr="00D32C14">
        <w:rPr>
          <w:b/>
        </w:rPr>
        <w:t>ELIA, J.</w:t>
      </w:r>
      <w:r>
        <w:rPr>
          <w:rStyle w:val="FootnoteReference"/>
          <w:b w:val="0"/>
        </w:rPr>
        <w:footnoteReference w:customMarkFollows="1" w:id="12"/>
        <w:t xml:space="preserve">*</w:t>
      </w:r>
    </w:p>
    <w:p w:rsidR="00D32C14" w:rsidRPr="00D32C14" w:rsidP="00D32C14" w14:paraId="3D0D7775" w14:textId="6DA67B67">
      <w:pPr>
        <w:pStyle w:val="Text"/>
        <w:spacing w:after="0" w:line="240" w:lineRule="auto"/>
        <w:ind w:firstLine="0"/>
        <w:rPr>
          <w:b/>
        </w:rPr>
      </w:pPr>
      <w:r w:rsidRPr="00D32C14">
        <w:rPr>
          <w:b/>
        </w:rPr>
        <w:t>BROWN, J.</w:t>
      </w:r>
      <w:r>
        <w:rPr>
          <w:rStyle w:val="FootnoteReference"/>
          <w:b w:val="0"/>
        </w:rPr>
        <w:footnoteReference w:customMarkFollows="1" w:id="13"/>
        <w:t xml:space="preserve">**</w:t>
      </w:r>
    </w:p>
    <w:p w:rsidR="00952EDC" w14:paraId="01119181" w14:textId="77777777">
      <w:pPr>
        <w:pStyle w:val="Text"/>
        <w:spacing w:line="400" w:lineRule="exact"/>
        <w:ind w:firstLine="0"/>
        <w:sectPr w:rsidSect="005C1378">
          <w:footerReference w:type="first" r:id="rId8"/>
          <w:pgSz w:w="12240" w:h="15840"/>
          <w:pgMar w:top="1800" w:right="2160" w:bottom="1440" w:left="2160" w:header="720" w:footer="720" w:gutter="0"/>
          <w:pgNumType w:start="1"/>
          <w:cols w:space="720"/>
          <w:titlePg/>
          <w:docGrid w:linePitch="367"/>
        </w:sectPr>
      </w:pPr>
    </w:p>
    <w:p w:rsidR="0081563C" w:rsidRPr="0081563C" w:rsidP="0081563C" w14:paraId="4CCB4400" w14:textId="77777777">
      <w:pPr>
        <w:spacing w:after="0" w:line="240" w:lineRule="auto"/>
        <w:jc w:val="left"/>
        <w:rPr>
          <w:rFonts w:ascii="Times New Roman" w:hAnsi="Times New Roman"/>
          <w:i/>
          <w:sz w:val="20"/>
        </w:rPr>
      </w:pPr>
      <w:r w:rsidRPr="0081563C">
        <w:rPr>
          <w:rFonts w:ascii="Times New Roman" w:hAnsi="Times New Roman"/>
          <w:i/>
          <w:sz w:val="20"/>
        </w:rPr>
        <w:t>See next page for addresses and telephone numbers for counsel who argued in Supreme Court.</w:t>
      </w:r>
    </w:p>
    <w:p w:rsidR="0081563C" w:rsidRPr="0081563C" w:rsidP="0081563C" w14:paraId="2CFC9183" w14:textId="77777777">
      <w:pPr>
        <w:spacing w:after="0" w:line="240" w:lineRule="auto"/>
        <w:jc w:val="left"/>
        <w:rPr>
          <w:rFonts w:ascii="Times New Roman" w:hAnsi="Times New Roman"/>
          <w:i/>
          <w:sz w:val="20"/>
        </w:rPr>
      </w:pPr>
    </w:p>
    <w:p w:rsidR="0081563C" w:rsidRPr="0081563C" w:rsidP="0081563C" w14:paraId="70671C70" w14:textId="77777777">
      <w:pPr>
        <w:spacing w:after="0" w:line="240" w:lineRule="auto"/>
        <w:jc w:val="left"/>
        <w:rPr>
          <w:rFonts w:ascii="Times New Roman" w:hAnsi="Times New Roman"/>
          <w:b/>
          <w:sz w:val="20"/>
        </w:rPr>
      </w:pPr>
      <w:r w:rsidRPr="0081563C">
        <w:rPr>
          <w:rFonts w:ascii="Times New Roman" w:hAnsi="Times New Roman"/>
          <w:b/>
          <w:sz w:val="20"/>
        </w:rPr>
        <w:t xml:space="preserve">Name of Opinion </w:t>
      </w:r>
      <w:r w:rsidRPr="0081563C">
        <w:rPr>
          <w:rFonts w:ascii="Times New Roman" w:hAnsi="Times New Roman"/>
          <w:sz w:val="20"/>
        </w:rPr>
        <w:t xml:space="preserve">Montrose Chemical Corp. v. Superior Court </w:t>
      </w:r>
      <w:r w:rsidRPr="0081563C">
        <w:rPr>
          <w:rFonts w:ascii="Times New Roman" w:hAnsi="Times New Roman"/>
          <w:b/>
          <w:sz w:val="20"/>
        </w:rPr>
        <w:t>__________________________________________________________________________________</w:t>
      </w:r>
    </w:p>
    <w:p w:rsidR="0081563C" w:rsidRPr="0081563C" w:rsidP="0081563C" w14:paraId="3EBAEA53" w14:textId="77777777">
      <w:pPr>
        <w:spacing w:after="0" w:line="240" w:lineRule="auto"/>
        <w:jc w:val="left"/>
        <w:rPr>
          <w:rFonts w:ascii="Times New Roman" w:hAnsi="Times New Roman"/>
          <w:b/>
          <w:sz w:val="20"/>
        </w:rPr>
      </w:pPr>
    </w:p>
    <w:p w:rsidR="0081563C" w:rsidRPr="0081563C" w:rsidP="0081563C" w14:paraId="23BC52E3" w14:textId="77777777">
      <w:pPr>
        <w:spacing w:after="0" w:line="240" w:lineRule="auto"/>
        <w:jc w:val="left"/>
        <w:rPr>
          <w:rFonts w:ascii="Times New Roman" w:hAnsi="Times New Roman"/>
          <w:bCs/>
          <w:sz w:val="20"/>
        </w:rPr>
      </w:pPr>
      <w:r w:rsidRPr="0081563C">
        <w:rPr>
          <w:rFonts w:ascii="Times New Roman" w:hAnsi="Times New Roman"/>
          <w:b/>
          <w:sz w:val="20"/>
        </w:rPr>
        <w:t>Unpublished Opinion</w:t>
      </w:r>
    </w:p>
    <w:p w:rsidR="0081563C" w:rsidRPr="0081563C" w:rsidP="0081563C" w14:paraId="0AC4950D" w14:textId="77777777">
      <w:pPr>
        <w:spacing w:after="0" w:line="240" w:lineRule="auto"/>
        <w:jc w:val="left"/>
        <w:rPr>
          <w:rFonts w:ascii="Times New Roman" w:hAnsi="Times New Roman"/>
          <w:sz w:val="20"/>
        </w:rPr>
      </w:pPr>
      <w:r w:rsidRPr="0081563C">
        <w:rPr>
          <w:rFonts w:ascii="Times New Roman" w:hAnsi="Times New Roman"/>
          <w:b/>
          <w:sz w:val="20"/>
        </w:rPr>
        <w:t>Original Appeal</w:t>
      </w:r>
    </w:p>
    <w:p w:rsidR="0081563C" w:rsidRPr="0081563C" w:rsidP="0081563C" w14:paraId="3296CB3F" w14:textId="77777777">
      <w:pPr>
        <w:spacing w:after="0" w:line="240" w:lineRule="auto"/>
        <w:jc w:val="left"/>
        <w:rPr>
          <w:rFonts w:ascii="Times New Roman" w:hAnsi="Times New Roman"/>
          <w:b/>
          <w:sz w:val="20"/>
        </w:rPr>
      </w:pPr>
      <w:r w:rsidRPr="0081563C">
        <w:rPr>
          <w:rFonts w:ascii="Times New Roman" w:hAnsi="Times New Roman"/>
          <w:b/>
          <w:sz w:val="20"/>
        </w:rPr>
        <w:t xml:space="preserve">Original Proceeding </w:t>
      </w:r>
    </w:p>
    <w:p w:rsidR="0081563C" w:rsidRPr="0081563C" w:rsidP="0081563C" w14:paraId="5DFFFA37" w14:textId="77777777">
      <w:pPr>
        <w:spacing w:after="0" w:line="240" w:lineRule="auto"/>
        <w:jc w:val="left"/>
        <w:rPr>
          <w:rFonts w:ascii="Times New Roman" w:hAnsi="Times New Roman"/>
          <w:sz w:val="20"/>
        </w:rPr>
      </w:pPr>
      <w:r w:rsidRPr="0081563C">
        <w:rPr>
          <w:rFonts w:ascii="Times New Roman" w:hAnsi="Times New Roman"/>
          <w:b/>
          <w:sz w:val="20"/>
        </w:rPr>
        <w:t xml:space="preserve">Review Granted </w:t>
      </w:r>
      <w:r w:rsidRPr="0081563C">
        <w:rPr>
          <w:rFonts w:ascii="Times New Roman" w:hAnsi="Times New Roman"/>
          <w:sz w:val="20"/>
        </w:rPr>
        <w:t>XXX 14 Cal.App.5th 1306</w:t>
      </w:r>
    </w:p>
    <w:p w:rsidR="0081563C" w:rsidRPr="0081563C" w:rsidP="0081563C" w14:paraId="402EF103" w14:textId="77777777">
      <w:pPr>
        <w:spacing w:after="0" w:line="240" w:lineRule="auto"/>
        <w:jc w:val="left"/>
        <w:rPr>
          <w:rFonts w:ascii="Times New Roman" w:hAnsi="Times New Roman"/>
          <w:b/>
          <w:sz w:val="20"/>
        </w:rPr>
      </w:pPr>
      <w:r w:rsidRPr="0081563C">
        <w:rPr>
          <w:rFonts w:ascii="Times New Roman" w:hAnsi="Times New Roman"/>
          <w:b/>
          <w:sz w:val="20"/>
        </w:rPr>
        <w:t>Rehearing Granted</w:t>
      </w:r>
    </w:p>
    <w:p w:rsidR="0081563C" w:rsidRPr="0081563C" w:rsidP="0081563C" w14:paraId="63E0E28B" w14:textId="77777777">
      <w:pPr>
        <w:spacing w:after="0" w:line="240" w:lineRule="auto"/>
        <w:jc w:val="left"/>
        <w:rPr>
          <w:rFonts w:ascii="Times New Roman" w:hAnsi="Times New Roman"/>
          <w:b/>
          <w:sz w:val="20"/>
        </w:rPr>
      </w:pPr>
    </w:p>
    <w:p w:rsidR="0081563C" w:rsidRPr="0081563C" w:rsidP="0081563C" w14:paraId="455FE243" w14:textId="77777777">
      <w:pPr>
        <w:spacing w:after="0" w:line="240" w:lineRule="auto"/>
        <w:jc w:val="left"/>
        <w:rPr>
          <w:rFonts w:ascii="Times New Roman" w:hAnsi="Times New Roman"/>
          <w:b/>
          <w:sz w:val="20"/>
        </w:rPr>
      </w:pPr>
      <w:r w:rsidRPr="0081563C">
        <w:rPr>
          <w:rFonts w:ascii="Times New Roman" w:hAnsi="Times New Roman"/>
          <w:b/>
          <w:sz w:val="20"/>
        </w:rPr>
        <w:t>__________________________________________________________________________________</w:t>
      </w:r>
    </w:p>
    <w:p w:rsidR="0081563C" w:rsidRPr="0081563C" w:rsidP="0081563C" w14:paraId="0A77F02C" w14:textId="77777777">
      <w:pPr>
        <w:spacing w:after="0" w:line="240" w:lineRule="auto"/>
        <w:jc w:val="left"/>
        <w:rPr>
          <w:rFonts w:ascii="Times New Roman" w:hAnsi="Times New Roman"/>
          <w:b/>
          <w:sz w:val="20"/>
        </w:rPr>
      </w:pPr>
    </w:p>
    <w:p w:rsidR="0081563C" w:rsidRPr="0081563C" w:rsidP="0081563C" w14:paraId="36457491" w14:textId="77777777">
      <w:pPr>
        <w:spacing w:after="0" w:line="240" w:lineRule="auto"/>
        <w:jc w:val="left"/>
        <w:rPr>
          <w:rFonts w:ascii="Times New Roman" w:hAnsi="Times New Roman"/>
          <w:bCs/>
          <w:sz w:val="20"/>
        </w:rPr>
      </w:pPr>
      <w:r w:rsidRPr="0081563C">
        <w:rPr>
          <w:rFonts w:ascii="Times New Roman" w:hAnsi="Times New Roman"/>
          <w:b/>
          <w:sz w:val="20"/>
        </w:rPr>
        <w:t>Opinion No.</w:t>
      </w:r>
      <w:r w:rsidRPr="0081563C">
        <w:rPr>
          <w:rFonts w:ascii="Times New Roman" w:hAnsi="Times New Roman"/>
          <w:sz w:val="20"/>
        </w:rPr>
        <w:t xml:space="preserve"> S244737</w:t>
      </w:r>
    </w:p>
    <w:p w:rsidR="0081563C" w:rsidRPr="0081563C" w:rsidP="0081563C" w14:paraId="2195BB70" w14:textId="77777777">
      <w:pPr>
        <w:spacing w:after="0" w:line="240" w:lineRule="auto"/>
        <w:jc w:val="left"/>
        <w:rPr>
          <w:rFonts w:ascii="Times New Roman" w:hAnsi="Times New Roman"/>
          <w:bCs/>
          <w:sz w:val="20"/>
        </w:rPr>
      </w:pPr>
      <w:r w:rsidRPr="0081563C">
        <w:rPr>
          <w:rFonts w:ascii="Times New Roman" w:hAnsi="Times New Roman"/>
          <w:b/>
          <w:sz w:val="20"/>
        </w:rPr>
        <w:t xml:space="preserve">Date Filed:  </w:t>
      </w:r>
      <w:r w:rsidRPr="0081563C">
        <w:rPr>
          <w:rFonts w:ascii="Times New Roman" w:hAnsi="Times New Roman"/>
          <w:sz w:val="20"/>
        </w:rPr>
        <w:t xml:space="preserve">April 6, 2020 </w:t>
      </w:r>
    </w:p>
    <w:p w:rsidR="0081563C" w:rsidRPr="0081563C" w:rsidP="0081563C" w14:paraId="08448C96" w14:textId="77777777">
      <w:pPr>
        <w:spacing w:after="0" w:line="240" w:lineRule="auto"/>
        <w:jc w:val="left"/>
        <w:rPr>
          <w:rFonts w:ascii="Times New Roman" w:hAnsi="Times New Roman"/>
          <w:b/>
          <w:sz w:val="20"/>
        </w:rPr>
      </w:pPr>
      <w:r w:rsidRPr="0081563C">
        <w:rPr>
          <w:rFonts w:ascii="Times New Roman" w:hAnsi="Times New Roman"/>
          <w:b/>
          <w:sz w:val="20"/>
        </w:rPr>
        <w:t>__________________________________________________________________________________</w:t>
      </w:r>
    </w:p>
    <w:p w:rsidR="0081563C" w:rsidRPr="0081563C" w:rsidP="0081563C" w14:paraId="48D20240" w14:textId="77777777">
      <w:pPr>
        <w:spacing w:after="0" w:line="240" w:lineRule="auto"/>
        <w:jc w:val="left"/>
        <w:rPr>
          <w:rFonts w:ascii="Times New Roman" w:hAnsi="Times New Roman"/>
          <w:b/>
          <w:sz w:val="20"/>
        </w:rPr>
      </w:pPr>
    </w:p>
    <w:p w:rsidR="0081563C" w:rsidRPr="0081563C" w:rsidP="0081563C" w14:paraId="3BAD2E16" w14:textId="77777777">
      <w:pPr>
        <w:spacing w:after="0" w:line="240" w:lineRule="auto"/>
        <w:jc w:val="left"/>
        <w:rPr>
          <w:rFonts w:ascii="Times New Roman" w:hAnsi="Times New Roman"/>
          <w:bCs/>
          <w:sz w:val="20"/>
        </w:rPr>
      </w:pPr>
      <w:r w:rsidRPr="0081563C">
        <w:rPr>
          <w:rFonts w:ascii="Times New Roman" w:hAnsi="Times New Roman"/>
          <w:b/>
          <w:sz w:val="20"/>
        </w:rPr>
        <w:t xml:space="preserve">Court:  </w:t>
      </w:r>
      <w:r w:rsidRPr="0081563C">
        <w:rPr>
          <w:rFonts w:ascii="Times New Roman" w:hAnsi="Times New Roman"/>
          <w:sz w:val="20"/>
        </w:rPr>
        <w:t>Superior</w:t>
      </w:r>
    </w:p>
    <w:p w:rsidR="0081563C" w:rsidRPr="0081563C" w:rsidP="0081563C" w14:paraId="7DCDDDDA" w14:textId="77777777">
      <w:pPr>
        <w:spacing w:after="0" w:line="240" w:lineRule="auto"/>
        <w:jc w:val="left"/>
        <w:rPr>
          <w:rFonts w:ascii="Times New Roman" w:hAnsi="Times New Roman"/>
          <w:bCs/>
          <w:sz w:val="20"/>
        </w:rPr>
      </w:pPr>
      <w:r w:rsidRPr="0081563C">
        <w:rPr>
          <w:rFonts w:ascii="Times New Roman" w:hAnsi="Times New Roman"/>
          <w:b/>
          <w:sz w:val="20"/>
        </w:rPr>
        <w:t xml:space="preserve">County:  </w:t>
      </w:r>
      <w:r w:rsidRPr="0081563C">
        <w:rPr>
          <w:rFonts w:ascii="Times New Roman" w:hAnsi="Times New Roman"/>
          <w:sz w:val="20"/>
        </w:rPr>
        <w:t>Los Angeles</w:t>
      </w:r>
    </w:p>
    <w:p w:rsidR="0081563C" w:rsidRPr="0081563C" w:rsidP="0081563C" w14:paraId="5DC4E88F" w14:textId="77777777">
      <w:pPr>
        <w:spacing w:after="0" w:line="240" w:lineRule="auto"/>
        <w:ind w:left="720" w:hanging="720"/>
        <w:jc w:val="left"/>
        <w:rPr>
          <w:rFonts w:ascii="Times New Roman" w:hAnsi="Times New Roman"/>
          <w:bCs/>
          <w:sz w:val="20"/>
        </w:rPr>
      </w:pPr>
      <w:r w:rsidRPr="0081563C">
        <w:rPr>
          <w:rFonts w:ascii="Times New Roman" w:hAnsi="Times New Roman"/>
          <w:b/>
          <w:sz w:val="20"/>
        </w:rPr>
        <w:t xml:space="preserve">Judge:  </w:t>
      </w:r>
      <w:r w:rsidRPr="0081563C">
        <w:rPr>
          <w:rFonts w:ascii="Times New Roman" w:hAnsi="Times New Roman"/>
          <w:sz w:val="20"/>
        </w:rPr>
        <w:t>Elihu Berle</w:t>
      </w:r>
    </w:p>
    <w:p w:rsidR="0081563C" w:rsidRPr="0081563C" w:rsidP="0081563C" w14:paraId="661A933C" w14:textId="77777777">
      <w:pPr>
        <w:spacing w:after="0" w:line="240" w:lineRule="auto"/>
        <w:jc w:val="left"/>
        <w:rPr>
          <w:rFonts w:ascii="Times New Roman" w:hAnsi="Times New Roman"/>
          <w:b/>
          <w:sz w:val="20"/>
        </w:rPr>
      </w:pPr>
    </w:p>
    <w:p w:rsidR="0081563C" w:rsidRPr="0081563C" w:rsidP="0081563C" w14:paraId="248F441C" w14:textId="77777777">
      <w:pPr>
        <w:spacing w:after="0" w:line="240" w:lineRule="auto"/>
        <w:jc w:val="left"/>
        <w:rPr>
          <w:rFonts w:ascii="Times New Roman" w:hAnsi="Times New Roman"/>
          <w:b/>
          <w:sz w:val="20"/>
        </w:rPr>
      </w:pPr>
      <w:r w:rsidRPr="0081563C">
        <w:rPr>
          <w:rFonts w:ascii="Times New Roman" w:hAnsi="Times New Roman"/>
          <w:b/>
          <w:sz w:val="20"/>
        </w:rPr>
        <w:t>__________________________________________________________________________________</w:t>
      </w:r>
    </w:p>
    <w:p w:rsidR="0081563C" w:rsidRPr="0081563C" w:rsidP="0081563C" w14:paraId="27349B73" w14:textId="77777777">
      <w:pPr>
        <w:spacing w:after="0" w:line="240" w:lineRule="auto"/>
        <w:jc w:val="left"/>
        <w:rPr>
          <w:rFonts w:ascii="Times New Roman" w:hAnsi="Times New Roman"/>
          <w:b/>
          <w:sz w:val="20"/>
        </w:rPr>
      </w:pPr>
    </w:p>
    <w:p w:rsidR="0081563C" w:rsidRPr="0081563C" w:rsidP="0081563C" w14:paraId="283C43E0" w14:textId="77777777">
      <w:pPr>
        <w:spacing w:after="0" w:line="240" w:lineRule="auto"/>
        <w:jc w:val="left"/>
        <w:rPr>
          <w:rFonts w:ascii="Times New Roman" w:hAnsi="Times New Roman"/>
          <w:b/>
          <w:sz w:val="20"/>
        </w:rPr>
      </w:pPr>
      <w:r w:rsidRPr="0081563C">
        <w:rPr>
          <w:rFonts w:ascii="Times New Roman" w:hAnsi="Times New Roman"/>
          <w:b/>
          <w:sz w:val="20"/>
        </w:rPr>
        <w:t>Counsel:</w:t>
      </w:r>
    </w:p>
    <w:p w:rsidR="0081563C" w:rsidRPr="0081563C" w:rsidP="0081563C" w14:paraId="2B04AB96" w14:textId="77777777">
      <w:pPr>
        <w:spacing w:after="0" w:line="240" w:lineRule="auto"/>
        <w:jc w:val="left"/>
        <w:rPr>
          <w:rFonts w:ascii="Times New Roman" w:hAnsi="Times New Roman"/>
          <w:b/>
          <w:sz w:val="20"/>
        </w:rPr>
      </w:pPr>
    </w:p>
    <w:p w:rsidR="0081563C" w:rsidRPr="0081563C" w:rsidP="0081563C" w14:paraId="6D3770B5" w14:textId="77777777">
      <w:pPr>
        <w:spacing w:after="0" w:line="240" w:lineRule="auto"/>
        <w:jc w:val="left"/>
        <w:rPr>
          <w:rFonts w:ascii="Times New Roman" w:hAnsi="Times New Roman"/>
          <w:color w:val="373739"/>
          <w:sz w:val="20"/>
          <w:shd w:val="clear" w:color="auto" w:fill="FFFFFF"/>
        </w:rPr>
      </w:pPr>
      <w:r w:rsidRPr="0081563C">
        <w:rPr>
          <w:rFonts w:ascii="Times New Roman" w:hAnsi="Times New Roman"/>
          <w:sz w:val="20"/>
          <w:bdr w:val="none" w:sz="0" w:space="0" w:color="auto" w:frame="1"/>
          <w:shd w:val="clear" w:color="auto" w:fill="FFFFFF"/>
        </w:rPr>
        <w:t>Latham &amp; Watkins</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Brook B. Roberts</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John M. Wilson</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Drew T. Gardiner</w:t>
      </w:r>
      <w:r w:rsidRPr="0081563C">
        <w:rPr>
          <w:rFonts w:ascii="Times New Roman" w:hAnsi="Times New Roman"/>
          <w:color w:val="373739"/>
          <w:sz w:val="20"/>
          <w:shd w:val="clear" w:color="auto" w:fill="FFFFFF"/>
        </w:rPr>
        <w:t> for Petitioner.</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Morgan Lewis &amp; Bockius</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Michel Y. Horton</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Jeffrey S. Raskin</w:t>
      </w:r>
      <w:r w:rsidRPr="0081563C">
        <w:rPr>
          <w:rFonts w:ascii="Times New Roman" w:hAnsi="Times New Roman"/>
          <w:color w:val="373739"/>
          <w:sz w:val="20"/>
          <w:shd w:val="clear" w:color="auto" w:fill="FFFFFF"/>
        </w:rPr>
        <w:t>, Thomas M. Peterson</w:t>
      </w:r>
      <w:r w:rsidRPr="0081563C">
        <w:rPr>
          <w:rFonts w:ascii="Times New Roman" w:hAnsi="Times New Roman"/>
          <w:sz w:val="20"/>
          <w:bdr w:val="none" w:sz="0" w:space="0" w:color="auto" w:frame="1"/>
          <w:shd w:val="clear" w:color="auto" w:fill="FFFFFF"/>
        </w:rPr>
        <w:t>,</w:t>
      </w:r>
      <w:r w:rsidRPr="0081563C">
        <w:rPr>
          <w:rFonts w:ascii="Times New Roman" w:hAnsi="Times New Roman"/>
          <w:color w:val="373739"/>
          <w:sz w:val="20"/>
          <w:shd w:val="clear" w:color="auto" w:fill="FFFFFF"/>
        </w:rPr>
        <w:t> Paul A. Zevnik and </w:t>
      </w:r>
      <w:r w:rsidRPr="0081563C">
        <w:rPr>
          <w:rFonts w:ascii="Times New Roman" w:hAnsi="Times New Roman"/>
          <w:sz w:val="20"/>
          <w:bdr w:val="none" w:sz="0" w:space="0" w:color="auto" w:frame="1"/>
          <w:shd w:val="clear" w:color="auto" w:fill="FFFFFF"/>
        </w:rPr>
        <w:t>David S. Cox</w:t>
      </w:r>
      <w:r w:rsidRPr="0081563C">
        <w:rPr>
          <w:rFonts w:ascii="Times New Roman" w:hAnsi="Times New Roman"/>
          <w:color w:val="373739"/>
          <w:sz w:val="20"/>
          <w:shd w:val="clear" w:color="auto" w:fill="FFFFFF"/>
        </w:rPr>
        <w:t> for ITT LLC and Santa Fe Braun, Inc., as Amici Curiae on behalf of Petitioner.</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color w:val="373739"/>
          <w:sz w:val="20"/>
          <w:shd w:val="clear" w:color="auto" w:fill="FFFFFF"/>
        </w:rPr>
        <w:t>No appearance for Respondent.</w:t>
      </w:r>
    </w:p>
    <w:p w:rsidR="0081563C" w:rsidRPr="0081563C" w:rsidP="0081563C" w14:paraId="02EBBA15" w14:textId="77777777">
      <w:pPr>
        <w:spacing w:after="0" w:line="240" w:lineRule="auto"/>
        <w:jc w:val="left"/>
        <w:rPr>
          <w:rFonts w:ascii="Times New Roman" w:hAnsi="Times New Roman"/>
          <w:color w:val="373739"/>
          <w:sz w:val="20"/>
          <w:shd w:val="clear" w:color="auto" w:fill="FFFFFF"/>
        </w:rPr>
      </w:pPr>
    </w:p>
    <w:p w:rsidR="0081563C" w:rsidRPr="0081563C" w:rsidP="0081563C" w14:paraId="284E6184" w14:textId="77777777">
      <w:pPr>
        <w:spacing w:after="0" w:line="240" w:lineRule="auto"/>
        <w:jc w:val="left"/>
        <w:rPr>
          <w:rFonts w:ascii="Times New Roman" w:hAnsi="Times New Roman"/>
          <w:sz w:val="20"/>
        </w:rPr>
      </w:pPr>
      <w:r w:rsidRPr="0081563C">
        <w:rPr>
          <w:rFonts w:ascii="Times New Roman" w:hAnsi="Times New Roman"/>
          <w:sz w:val="20"/>
        </w:rPr>
        <w:t>Gibson, Dunn &amp; Crutcher, Theodore J. Boutrous, Jr., Julian W. Poon, Jeremy S. Smith and Madeleine F. McKenna for Real Parties in Interest Continental Casualty Company, Columbia Casualty Company, American Centennial Insurance Company and Lamorak Insurance Company.</w:t>
      </w:r>
    </w:p>
    <w:p w:rsidR="0081563C" w:rsidRPr="0081563C" w:rsidP="0081563C" w14:paraId="61FFCD09" w14:textId="77777777">
      <w:pPr>
        <w:spacing w:after="0" w:line="240" w:lineRule="auto"/>
        <w:jc w:val="left"/>
        <w:rPr>
          <w:rFonts w:ascii="Times New Roman" w:hAnsi="Times New Roman"/>
          <w:color w:val="373739"/>
          <w:sz w:val="20"/>
        </w:rPr>
      </w:pPr>
    </w:p>
    <w:p w:rsidR="0081563C" w:rsidRPr="0081563C" w:rsidP="0081563C" w14:paraId="2D69B913" w14:textId="77777777">
      <w:pPr>
        <w:spacing w:after="0" w:line="240" w:lineRule="auto"/>
        <w:jc w:val="left"/>
        <w:rPr>
          <w:rFonts w:ascii="Times New Roman" w:hAnsi="Times New Roman"/>
          <w:color w:val="373739"/>
          <w:sz w:val="20"/>
          <w:shd w:val="clear" w:color="auto" w:fill="FFFFFF"/>
        </w:rPr>
      </w:pP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Sinnott, Puebla, Campagne &amp; Curet</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Kenneth H. Sumner</w:t>
      </w:r>
      <w:r w:rsidRPr="0081563C">
        <w:rPr>
          <w:rFonts w:ascii="Times New Roman" w:hAnsi="Times New Roman"/>
          <w:color w:val="373739"/>
          <w:sz w:val="20"/>
          <w:shd w:val="clear" w:color="auto" w:fill="FFFFFF"/>
        </w:rPr>
        <w:t> and Lindsey A. Morgan for Real Parties in Interest AIU Insurance Company, American Home Assurance Company, Granite State Insurance Company, Landmark Insurance Company, Lexington Insurance Company, National Union Fire Insurance Company of Pittsburgh, PA, and New Hampshire Insurance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Sinnott, Puebla, Campagne &amp; Curet</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Randolph P. Sinnott, Mary E. Gregory</w:t>
      </w:r>
      <w:r w:rsidRPr="0081563C">
        <w:rPr>
          <w:rFonts w:ascii="Times New Roman" w:hAnsi="Times New Roman"/>
          <w:color w:val="373739"/>
          <w:sz w:val="20"/>
          <w:shd w:val="clear" w:color="auto" w:fill="FFFFFF"/>
        </w:rPr>
        <w:t>; Cozen O'Conner and John Daly for Real Party in Interest Zurich International (Bermuda) Ltd.</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Duane Morris</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Max H. Stern</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Jessica E. La Londe</w:t>
      </w:r>
      <w:r w:rsidRPr="0081563C">
        <w:rPr>
          <w:rFonts w:ascii="Times New Roman" w:hAnsi="Times New Roman"/>
          <w:color w:val="373739"/>
          <w:sz w:val="20"/>
          <w:shd w:val="clear" w:color="auto" w:fill="FFFFFF"/>
        </w:rPr>
        <w:t> for Real Party in Interest American Centennial Insurance Company.</w:t>
      </w:r>
      <w:bookmarkStart w:id="5" w:name="PAGE_3103"/>
      <w:r w:rsidRPr="0081563C">
        <w:rPr>
          <w:rFonts w:ascii="Times New Roman" w:hAnsi="Times New Roman"/>
          <w:b/>
          <w:bCs/>
          <w:sz w:val="20"/>
          <w:bdr w:val="none" w:sz="0" w:space="0" w:color="auto" w:frame="1"/>
          <w:shd w:val="clear" w:color="auto" w:fill="FFFFFF"/>
        </w:rPr>
        <w:t> </w:t>
      </w:r>
      <w:r w:rsidRPr="0081563C">
        <w:rPr>
          <w:rFonts w:ascii="Times New Roman" w:hAnsi="Times New Roman"/>
          <w:color w:val="373739"/>
          <w:sz w:val="20"/>
        </w:rPr>
        <w:t xml:space="preserve"> </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Craig &amp; Winkelman</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Bruce H. Winkelman</w:t>
      </w:r>
      <w:r w:rsidRPr="0081563C">
        <w:rPr>
          <w:rFonts w:ascii="Times New Roman" w:hAnsi="Times New Roman"/>
          <w:color w:val="373739"/>
          <w:sz w:val="20"/>
          <w:shd w:val="clear" w:color="auto" w:fill="FFFFFF"/>
        </w:rPr>
        <w:t xml:space="preserve"> for Real Party in </w:t>
      </w:r>
      <w:r w:rsidRPr="0081563C">
        <w:rPr>
          <w:rFonts w:ascii="Times New Roman" w:hAnsi="Times New Roman"/>
          <w:sz w:val="20"/>
          <w:shd w:val="clear" w:color="auto" w:fill="FFFFFF"/>
        </w:rPr>
        <w:t>Interest</w:t>
      </w:r>
      <w:r w:rsidRPr="0081563C">
        <w:rPr>
          <w:rFonts w:ascii="Times New Roman" w:hAnsi="Times New Roman"/>
          <w:color w:val="FF0000"/>
          <w:sz w:val="20"/>
          <w:shd w:val="clear" w:color="auto" w:fill="FFFFFF"/>
        </w:rPr>
        <w:t xml:space="preserve"> </w:t>
      </w:r>
      <w:r w:rsidRPr="0081563C">
        <w:rPr>
          <w:rFonts w:ascii="Times New Roman" w:hAnsi="Times New Roman"/>
          <w:color w:val="373739"/>
          <w:sz w:val="20"/>
          <w:shd w:val="clear" w:color="auto" w:fill="FFFFFF"/>
        </w:rPr>
        <w:t>Munich Reinsurance America, Inc.</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Selman &amp; Breitman</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Ilya A. Kosten,</w:t>
      </w:r>
      <w:r w:rsidRPr="0081563C">
        <w:rPr>
          <w:rFonts w:ascii="Times New Roman" w:hAnsi="Times New Roman"/>
          <w:color w:val="373739"/>
          <w:sz w:val="20"/>
          <w:shd w:val="clear" w:color="auto" w:fill="FFFFFF"/>
        </w:rPr>
        <w:t xml:space="preserve"> Kelsey C. Start; Barbanel &amp; Treuer and Alan H. Barbanel for Real Parties in Interest Transport Insurance Company and Lamorak Insurance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Selman &amp; Breitman</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Elizabeth M. Brockman</w:t>
      </w:r>
      <w:r w:rsidRPr="0081563C">
        <w:rPr>
          <w:rFonts w:ascii="Times New Roman" w:hAnsi="Times New Roman"/>
          <w:color w:val="373739"/>
          <w:sz w:val="20"/>
          <w:shd w:val="clear" w:color="auto" w:fill="FFFFFF"/>
        </w:rPr>
        <w:t> for Real Party in Interest Federal Insurance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Berkes, Crane, Robinson &amp; Seal</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Steven M. Crane</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Barbara S. Hodous</w:t>
      </w:r>
      <w:r w:rsidRPr="0081563C">
        <w:rPr>
          <w:rFonts w:ascii="Times New Roman" w:hAnsi="Times New Roman"/>
          <w:color w:val="373739"/>
          <w:sz w:val="20"/>
          <w:shd w:val="clear" w:color="auto" w:fill="FFFFFF"/>
        </w:rPr>
        <w:t> for Real Parties in Interest Continental Casualty Company and Columbia Casualty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color w:val="373739"/>
          <w:sz w:val="20"/>
          <w:shd w:val="clear" w:color="auto" w:fill="FFFFFF"/>
        </w:rPr>
        <w:t>Lewis Brisbois Bisgaard</w:t>
      </w:r>
      <w:bookmarkStart w:id="6" w:name="PAGE_7051"/>
      <w:r w:rsidRPr="0081563C">
        <w:rPr>
          <w:rFonts w:ascii="Times New Roman" w:hAnsi="Times New Roman"/>
          <w:sz w:val="20"/>
          <w:bdr w:val="none" w:sz="0" w:space="0" w:color="auto" w:frame="1"/>
          <w:shd w:val="clear" w:color="auto" w:fill="FFFFFF"/>
        </w:rPr>
        <w:t> </w:t>
      </w:r>
      <w:r w:rsidRPr="0081563C">
        <w:rPr>
          <w:rFonts w:ascii="Times New Roman" w:hAnsi="Times New Roman"/>
          <w:color w:val="373739"/>
          <w:sz w:val="20"/>
          <w:shd w:val="clear" w:color="auto" w:fill="FFFFFF"/>
        </w:rPr>
        <w:t>&amp; Smith, </w:t>
      </w:r>
      <w:r w:rsidRPr="0081563C">
        <w:rPr>
          <w:rFonts w:ascii="Times New Roman" w:hAnsi="Times New Roman"/>
          <w:sz w:val="20"/>
          <w:bdr w:val="none" w:sz="0" w:space="0" w:color="auto" w:frame="1"/>
          <w:shd w:val="clear" w:color="auto" w:fill="FFFFFF"/>
        </w:rPr>
        <w:t>Peter L. Garchie</w:t>
      </w:r>
      <w:r w:rsidRPr="0081563C">
        <w:rPr>
          <w:rFonts w:ascii="Times New Roman" w:hAnsi="Times New Roman"/>
          <w:color w:val="373739"/>
          <w:sz w:val="20"/>
          <w:shd w:val="clear" w:color="auto" w:fill="FFFFFF"/>
        </w:rPr>
        <w:t> and James P. McDonald for Real Party in Interest Employers Mutual Casualty Company.</w:t>
      </w:r>
    </w:p>
    <w:p w:rsidR="0081563C" w:rsidRPr="0081563C" w:rsidP="0081563C" w14:paraId="4BEDC978" w14:textId="77777777">
      <w:pPr>
        <w:spacing w:after="0" w:line="240" w:lineRule="auto"/>
        <w:jc w:val="left"/>
        <w:rPr>
          <w:rFonts w:ascii="Times New Roman" w:hAnsi="Times New Roman"/>
          <w:color w:val="373739"/>
          <w:sz w:val="20"/>
          <w:shd w:val="clear" w:color="auto" w:fill="FFFFFF"/>
        </w:rPr>
      </w:pPr>
    </w:p>
    <w:p w:rsidR="0081563C" w:rsidRPr="0081563C" w:rsidP="0081563C" w14:paraId="7C56E9F1" w14:textId="77777777">
      <w:pPr>
        <w:spacing w:after="0" w:line="240" w:lineRule="auto"/>
        <w:jc w:val="left"/>
        <w:rPr>
          <w:rFonts w:ascii="Times New Roman" w:hAnsi="Times New Roman"/>
          <w:b/>
          <w:bCs/>
          <w:sz w:val="20"/>
          <w:bdr w:val="none" w:sz="0" w:space="0" w:color="auto" w:frame="1"/>
          <w:shd w:val="clear" w:color="auto" w:fill="FFFFFF"/>
        </w:rPr>
      </w:pPr>
      <w:r w:rsidRPr="0081563C">
        <w:rPr>
          <w:rFonts w:ascii="Times New Roman" w:hAnsi="Times New Roman"/>
          <w:color w:val="373739"/>
          <w:sz w:val="20"/>
          <w:shd w:val="clear" w:color="auto" w:fill="FFFFFF"/>
        </w:rPr>
        <w:t>Barber Law Group and </w:t>
      </w:r>
      <w:r w:rsidRPr="0081563C">
        <w:rPr>
          <w:rFonts w:ascii="Times New Roman" w:hAnsi="Times New Roman"/>
          <w:sz w:val="20"/>
          <w:bdr w:val="none" w:sz="0" w:space="0" w:color="auto" w:frame="1"/>
          <w:shd w:val="clear" w:color="auto" w:fill="FFFFFF"/>
        </w:rPr>
        <w:t>Bryan M. Barber</w:t>
      </w:r>
      <w:r w:rsidRPr="0081563C">
        <w:rPr>
          <w:rFonts w:ascii="Times New Roman" w:hAnsi="Times New Roman"/>
          <w:color w:val="373739"/>
          <w:sz w:val="20"/>
          <w:shd w:val="clear" w:color="auto" w:fill="FFFFFF"/>
        </w:rPr>
        <w:t> for Real Party in Interest Employers Insurance of Wausau.</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McCurdy &amp; Fuller</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Kevin G. McCurdy</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Vanci Y. Fuller</w:t>
      </w:r>
      <w:r w:rsidRPr="0081563C">
        <w:rPr>
          <w:rFonts w:ascii="Times New Roman" w:hAnsi="Times New Roman"/>
          <w:color w:val="373739"/>
          <w:sz w:val="20"/>
          <w:shd w:val="clear" w:color="auto" w:fill="FFFFFF"/>
        </w:rPr>
        <w:t> for Real Parties in Interest Everest Reinsurance Company and MT. McKinley Insurance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Chamberlin &amp; Keaster, Chamberlin Keaster &amp; Brockman</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Kirk C. Chamberlin, Michael Denlinger</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Kevin J. Schettig</w:t>
      </w:r>
      <w:r w:rsidRPr="0081563C">
        <w:rPr>
          <w:rFonts w:ascii="Times New Roman" w:hAnsi="Times New Roman"/>
          <w:color w:val="373739"/>
          <w:sz w:val="20"/>
          <w:shd w:val="clear" w:color="auto" w:fill="FFFFFF"/>
        </w:rPr>
        <w:t> for Real Party in Interest Providence Washington Insurance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color w:val="373739"/>
          <w:sz w:val="20"/>
          <w:shd w:val="clear" w:color="auto" w:fill="FFFFFF"/>
        </w:rPr>
        <w:t>Tressler, Linda Bondi Morrison and </w:t>
      </w:r>
      <w:r w:rsidRPr="0081563C">
        <w:rPr>
          <w:rFonts w:ascii="Times New Roman" w:hAnsi="Times New Roman"/>
          <w:sz w:val="20"/>
          <w:bdr w:val="none" w:sz="0" w:space="0" w:color="auto" w:frame="1"/>
          <w:shd w:val="clear" w:color="auto" w:fill="FFFFFF"/>
        </w:rPr>
        <w:t>Ryan B. Luther</w:t>
      </w:r>
      <w:r w:rsidRPr="0081563C">
        <w:rPr>
          <w:rFonts w:ascii="Times New Roman" w:hAnsi="Times New Roman"/>
          <w:color w:val="373739"/>
          <w:sz w:val="20"/>
          <w:shd w:val="clear" w:color="auto" w:fill="FFFFFF"/>
        </w:rPr>
        <w:t> for Real Party in Interest Allstate Insurance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color w:val="373739"/>
          <w:sz w:val="20"/>
          <w:shd w:val="clear" w:color="auto" w:fill="FFFFFF"/>
        </w:rPr>
        <w:t>Archer Norris</w:t>
      </w:r>
      <w:r w:rsidRPr="0081563C">
        <w:rPr>
          <w:rFonts w:ascii="Times New Roman" w:hAnsi="Times New Roman"/>
          <w:sz w:val="20"/>
          <w:bdr w:val="none" w:sz="0" w:space="0" w:color="auto" w:frame="1"/>
          <w:shd w:val="clear" w:color="auto" w:fill="FFFFFF"/>
        </w:rPr>
        <w:t>, Andrew J. King,</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GailAnn Y. Stargardter; Tressler and</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Charles R. Diaz</w:t>
      </w:r>
      <w:r w:rsidRPr="0081563C">
        <w:rPr>
          <w:rFonts w:ascii="Times New Roman" w:hAnsi="Times New Roman"/>
          <w:color w:val="373739"/>
          <w:sz w:val="20"/>
          <w:shd w:val="clear" w:color="auto" w:fill="FFFFFF"/>
        </w:rPr>
        <w:t> for Real Parties in Interest Fireman's Fund Insurance Company and National Surety Corporation.</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color w:val="373739"/>
          <w:sz w:val="20"/>
          <w:shd w:val="clear" w:color="auto" w:fill="FFFFFF"/>
        </w:rPr>
        <w:t>Lewis, Brisbois, Bisgaard &amp; Smith, </w:t>
      </w:r>
      <w:r w:rsidRPr="0081563C">
        <w:rPr>
          <w:rFonts w:ascii="Times New Roman" w:hAnsi="Times New Roman"/>
          <w:sz w:val="20"/>
          <w:bdr w:val="none" w:sz="0" w:space="0" w:color="auto" w:frame="1"/>
          <w:shd w:val="clear" w:color="auto" w:fill="FFFFFF"/>
        </w:rPr>
        <w:t>Jordon E. Harriman, Shannon L. Santos; Budd Larner and Michael J. Balch</w:t>
      </w:r>
      <w:r w:rsidRPr="0081563C">
        <w:rPr>
          <w:rFonts w:ascii="Times New Roman" w:hAnsi="Times New Roman"/>
          <w:color w:val="373739"/>
          <w:sz w:val="20"/>
          <w:shd w:val="clear" w:color="auto" w:fill="FFFFFF"/>
        </w:rPr>
        <w:t> for Real Parties in Interest General Reinsurance Corporation and North Star Reinsurance Corporation.</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color w:val="373739"/>
          <w:sz w:val="20"/>
          <w:shd w:val="clear" w:color="auto" w:fill="FFFFFF"/>
        </w:rPr>
        <w:t>Hinshaw &amp; Culbertson, </w:t>
      </w:r>
      <w:r w:rsidRPr="0081563C">
        <w:rPr>
          <w:rFonts w:ascii="Times New Roman" w:hAnsi="Times New Roman"/>
          <w:sz w:val="20"/>
          <w:bdr w:val="none" w:sz="0" w:space="0" w:color="auto" w:frame="1"/>
          <w:shd w:val="clear" w:color="auto" w:fill="FFFFFF"/>
        </w:rPr>
        <w:t>Thomas R. Beer</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Peter J. Felsenfeld</w:t>
      </w:r>
      <w:r w:rsidRPr="0081563C">
        <w:rPr>
          <w:rFonts w:ascii="Times New Roman" w:hAnsi="Times New Roman"/>
          <w:color w:val="373739"/>
          <w:sz w:val="20"/>
          <w:shd w:val="clear" w:color="auto" w:fill="FFFFFF"/>
        </w:rPr>
        <w:t> for Real Party in Interest Gerling Konzern Allgemeine Versicherungs-Aktiengesellschaft.</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color w:val="373739"/>
          <w:sz w:val="20"/>
          <w:shd w:val="clear" w:color="auto" w:fill="FFFFFF"/>
        </w:rPr>
        <w:t>O'Melveny &amp; Myers, </w:t>
      </w:r>
      <w:r w:rsidRPr="0081563C">
        <w:rPr>
          <w:rFonts w:ascii="Times New Roman" w:hAnsi="Times New Roman"/>
          <w:sz w:val="20"/>
          <w:bdr w:val="none" w:sz="0" w:space="0" w:color="auto" w:frame="1"/>
          <w:shd w:val="clear" w:color="auto" w:fill="FFFFFF"/>
        </w:rPr>
        <w:t>Richard B. Goetz</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Zoheb P. Noorani</w:t>
      </w:r>
      <w:r w:rsidRPr="0081563C">
        <w:rPr>
          <w:rFonts w:ascii="Times New Roman" w:hAnsi="Times New Roman"/>
          <w:color w:val="373739"/>
          <w:sz w:val="20"/>
          <w:shd w:val="clear" w:color="auto" w:fill="FFFFFF"/>
        </w:rPr>
        <w:t> and Michael Reynolds for Real Party in Interest TIG Insurance Company.</w:t>
      </w:r>
      <w:r w:rsidRPr="0081563C">
        <w:rPr>
          <w:rFonts w:ascii="Times New Roman" w:hAnsi="Times New Roman"/>
          <w:color w:val="373739"/>
          <w:sz w:val="20"/>
        </w:rPr>
        <w:br/>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McCloskey, Waring, Waisman &amp; Drury</w:t>
      </w:r>
      <w:r w:rsidRPr="0081563C">
        <w:rPr>
          <w:rFonts w:ascii="Times New Roman" w:hAnsi="Times New Roman"/>
          <w:color w:val="373739"/>
          <w:sz w:val="20"/>
          <w:shd w:val="clear" w:color="auto" w:fill="FFFFFF"/>
        </w:rPr>
        <w:t> and </w:t>
      </w:r>
      <w:r w:rsidRPr="0081563C">
        <w:rPr>
          <w:rFonts w:ascii="Times New Roman" w:hAnsi="Times New Roman"/>
          <w:sz w:val="20"/>
          <w:bdr w:val="none" w:sz="0" w:space="0" w:color="auto" w:frame="1"/>
          <w:shd w:val="clear" w:color="auto" w:fill="FFFFFF"/>
        </w:rPr>
        <w:t>Andrew McCloskey</w:t>
      </w:r>
      <w:r w:rsidRPr="0081563C">
        <w:rPr>
          <w:rFonts w:ascii="Times New Roman" w:hAnsi="Times New Roman"/>
          <w:color w:val="373739"/>
          <w:sz w:val="20"/>
          <w:shd w:val="clear" w:color="auto" w:fill="FFFFFF"/>
        </w:rPr>
        <w:t> for Real Party in Interest Westport</w:t>
      </w:r>
      <w:r w:rsidRPr="0081563C">
        <w:rPr>
          <w:rFonts w:ascii="Times New Roman" w:hAnsi="Times New Roman"/>
          <w:sz w:val="20"/>
          <w:bdr w:val="none" w:sz="0" w:space="0" w:color="auto" w:frame="1"/>
          <w:shd w:val="clear" w:color="auto" w:fill="FFFFFF"/>
        </w:rPr>
        <w:t> </w:t>
      </w:r>
      <w:bookmarkEnd w:id="6"/>
      <w:r w:rsidRPr="0081563C">
        <w:rPr>
          <w:rFonts w:ascii="Times New Roman" w:hAnsi="Times New Roman"/>
          <w:color w:val="373739"/>
          <w:sz w:val="20"/>
          <w:shd w:val="clear" w:color="auto" w:fill="FFFFFF"/>
        </w:rPr>
        <w:t>Insurance Corporation</w:t>
      </w:r>
      <w:bookmarkEnd w:id="5"/>
      <w:r w:rsidRPr="0081563C">
        <w:rPr>
          <w:rFonts w:ascii="Times New Roman" w:hAnsi="Times New Roman"/>
          <w:color w:val="373739"/>
          <w:sz w:val="20"/>
          <w:shd w:val="clear" w:color="auto" w:fill="FFFFFF"/>
        </w:rPr>
        <w:t>.</w:t>
      </w:r>
    </w:p>
    <w:p w:rsidR="0081563C" w:rsidRPr="0081563C" w:rsidP="0081563C" w14:paraId="2D59AB3A" w14:textId="77777777">
      <w:pPr>
        <w:spacing w:after="0" w:line="240" w:lineRule="auto"/>
        <w:jc w:val="left"/>
        <w:rPr>
          <w:rFonts w:ascii="Times New Roman" w:hAnsi="Times New Roman"/>
          <w:sz w:val="20"/>
        </w:rPr>
      </w:pPr>
      <w:r w:rsidRPr="0081563C">
        <w:rPr>
          <w:rFonts w:ascii="Times New Roman" w:hAnsi="Times New Roman"/>
          <w:color w:val="373739"/>
          <w:sz w:val="20"/>
        </w:rPr>
        <w:t xml:space="preserve"> </w:t>
      </w:r>
      <w:r w:rsidRPr="0081563C">
        <w:rPr>
          <w:rFonts w:ascii="Times New Roman" w:hAnsi="Times New Roman"/>
          <w:color w:val="373739"/>
          <w:sz w:val="20"/>
        </w:rPr>
        <w:br/>
      </w:r>
      <w:r w:rsidRPr="0081563C">
        <w:rPr>
          <w:rFonts w:ascii="Times New Roman" w:hAnsi="Times New Roman"/>
          <w:sz w:val="20"/>
          <w:bdr w:val="none" w:sz="0" w:space="0" w:color="auto" w:frame="1"/>
          <w:shd w:val="clear" w:color="auto" w:fill="FFFFFF"/>
        </w:rPr>
        <w:t>Simpson Thacher &amp; Bartlett</w:t>
      </w:r>
      <w:r w:rsidRPr="0081563C">
        <w:rPr>
          <w:rFonts w:ascii="Times New Roman" w:hAnsi="Times New Roman"/>
          <w:color w:val="373739"/>
          <w:sz w:val="20"/>
          <w:shd w:val="clear" w:color="auto" w:fill="FFFFFF"/>
        </w:rPr>
        <w:t>, Peter R. Jordon, </w:t>
      </w:r>
      <w:r w:rsidRPr="0081563C">
        <w:rPr>
          <w:rFonts w:ascii="Times New Roman" w:hAnsi="Times New Roman"/>
          <w:sz w:val="20"/>
          <w:bdr w:val="none" w:sz="0" w:space="0" w:color="auto" w:frame="1"/>
          <w:shd w:val="clear" w:color="auto" w:fill="FFFFFF"/>
        </w:rPr>
        <w:t>Andrew T. Frankel,</w:t>
      </w:r>
      <w:r w:rsidRPr="0081563C">
        <w:rPr>
          <w:rFonts w:ascii="Times New Roman" w:hAnsi="Times New Roman"/>
          <w:color w:val="373739"/>
          <w:sz w:val="20"/>
          <w:shd w:val="clear" w:color="auto" w:fill="FFFFFF"/>
        </w:rPr>
        <w:t> </w:t>
      </w:r>
      <w:r w:rsidRPr="0081563C">
        <w:rPr>
          <w:rFonts w:ascii="Times New Roman" w:hAnsi="Times New Roman"/>
          <w:sz w:val="20"/>
          <w:bdr w:val="none" w:sz="0" w:space="0" w:color="auto" w:frame="1"/>
          <w:shd w:val="clear" w:color="auto" w:fill="FFFFFF"/>
        </w:rPr>
        <w:t>Deborah Lynn Stein and Tyler Z. Bernstein</w:t>
      </w:r>
      <w:r w:rsidRPr="0081563C">
        <w:rPr>
          <w:rFonts w:ascii="Times New Roman" w:hAnsi="Times New Roman"/>
          <w:color w:val="373739"/>
          <w:sz w:val="20"/>
          <w:shd w:val="clear" w:color="auto" w:fill="FFFFFF"/>
        </w:rPr>
        <w:t> for Real Parties in Interest Travelers Casualty and Surety Company and The Travelers Indemnity Company.</w:t>
      </w:r>
    </w:p>
    <w:p w:rsidR="0081563C" w:rsidRPr="0081563C" w:rsidP="0081563C" w14:paraId="640AA077" w14:textId="77777777">
      <w:pPr>
        <w:spacing w:after="0" w:line="240" w:lineRule="auto"/>
        <w:jc w:val="left"/>
        <w:rPr>
          <w:rFonts w:ascii="Times New Roman" w:hAnsi="Times New Roman"/>
          <w:sz w:val="20"/>
        </w:rPr>
      </w:pPr>
    </w:p>
    <w:p w:rsidR="0081563C" w:rsidRPr="0081563C" w:rsidP="0081563C" w14:paraId="06BAF19E" w14:textId="432ABEFF">
      <w:pPr>
        <w:spacing w:after="0" w:line="240" w:lineRule="auto"/>
        <w:jc w:val="left"/>
        <w:rPr>
          <w:rFonts w:ascii="Times New Roman" w:hAnsi="Times New Roman"/>
          <w:sz w:val="20"/>
        </w:rPr>
      </w:pPr>
      <w:r w:rsidRPr="0081563C">
        <w:rPr>
          <w:rFonts w:ascii="Times New Roman" w:hAnsi="Times New Roman"/>
          <w:sz w:val="20"/>
        </w:rPr>
        <w:t>Covington &amp; Burling, David B. Goodwin, Reynold L. Siemens, Jeffrey A. Kiburtz and Heather W. Habes for United Policyholders as Amicus Curiae on behalf of Petitioner</w:t>
      </w:r>
      <w:r w:rsidR="00FB36D8">
        <w:rPr>
          <w:rFonts w:ascii="Times New Roman" w:hAnsi="Times New Roman"/>
          <w:sz w:val="20"/>
        </w:rPr>
        <w:t>.</w:t>
      </w:r>
    </w:p>
    <w:p w:rsidR="0081563C" w:rsidRPr="0081563C" w:rsidP="0081563C" w14:paraId="4CD3DB97" w14:textId="77777777">
      <w:pPr>
        <w:spacing w:after="0" w:line="240" w:lineRule="auto"/>
        <w:jc w:val="left"/>
        <w:rPr>
          <w:rFonts w:ascii="Times New Roman" w:hAnsi="Times New Roman"/>
          <w:sz w:val="20"/>
        </w:rPr>
      </w:pPr>
    </w:p>
    <w:p w:rsidR="0081563C" w:rsidRPr="0081563C" w:rsidP="0081563C" w14:paraId="769C1B99" w14:textId="77777777">
      <w:pPr>
        <w:spacing w:after="0" w:line="240" w:lineRule="auto"/>
        <w:jc w:val="left"/>
        <w:rPr>
          <w:rFonts w:ascii="Times New Roman" w:hAnsi="Times New Roman"/>
          <w:sz w:val="20"/>
        </w:rPr>
      </w:pPr>
    </w:p>
    <w:p w:rsidR="0081563C" w:rsidRPr="0081563C" w:rsidP="0081563C" w14:paraId="5DDBC46D" w14:textId="77777777">
      <w:pPr>
        <w:spacing w:after="0" w:line="240" w:lineRule="auto"/>
        <w:jc w:val="left"/>
        <w:rPr>
          <w:rFonts w:ascii="Times New Roman" w:hAnsi="Times New Roman"/>
          <w:sz w:val="20"/>
        </w:rPr>
      </w:pPr>
    </w:p>
    <w:p w:rsidR="0081563C" w:rsidRPr="0081563C" w:rsidP="0081563C" w14:paraId="530B6F93" w14:textId="77777777">
      <w:pPr>
        <w:spacing w:after="0" w:line="240" w:lineRule="auto"/>
        <w:jc w:val="left"/>
        <w:rPr>
          <w:rFonts w:ascii="Times New Roman" w:hAnsi="Times New Roman"/>
          <w:b/>
          <w:sz w:val="20"/>
        </w:rPr>
      </w:pPr>
    </w:p>
    <w:p w:rsidR="0081563C" w:rsidRPr="0081563C" w:rsidP="0081563C" w14:paraId="78C43C68" w14:textId="77777777">
      <w:pPr>
        <w:spacing w:after="0" w:line="240" w:lineRule="auto"/>
        <w:jc w:val="left"/>
        <w:rPr>
          <w:rFonts w:ascii="Times New Roman" w:hAnsi="Times New Roman"/>
          <w:b/>
          <w:sz w:val="20"/>
        </w:rPr>
      </w:pPr>
    </w:p>
    <w:p w:rsidR="0081563C" w:rsidRPr="0081563C" w:rsidP="0081563C" w14:paraId="1B4E521A" w14:textId="77777777">
      <w:pPr>
        <w:spacing w:after="0" w:line="240" w:lineRule="auto"/>
        <w:jc w:val="left"/>
        <w:rPr>
          <w:rFonts w:ascii="Times New Roman" w:hAnsi="Times New Roman"/>
          <w:b/>
          <w:sz w:val="20"/>
        </w:rPr>
      </w:pPr>
    </w:p>
    <w:p w:rsidR="0081563C" w:rsidRPr="0081563C" w:rsidP="0081563C" w14:paraId="26B06DB6" w14:textId="77777777">
      <w:pPr>
        <w:spacing w:after="0" w:line="240" w:lineRule="auto"/>
        <w:jc w:val="left"/>
        <w:rPr>
          <w:rFonts w:ascii="Times New Roman" w:hAnsi="Times New Roman"/>
          <w:b/>
          <w:sz w:val="20"/>
        </w:rPr>
      </w:pPr>
      <w:r w:rsidRPr="0081563C">
        <w:rPr>
          <w:rFonts w:ascii="Times New Roman" w:hAnsi="Times New Roman"/>
          <w:b/>
          <w:sz w:val="20"/>
        </w:rPr>
        <w:br w:type="page"/>
      </w:r>
    </w:p>
    <w:p w:rsidR="0081563C" w:rsidRPr="0081563C" w:rsidP="0081563C" w14:paraId="596DB6C8" w14:textId="77777777">
      <w:pPr>
        <w:spacing w:after="0" w:line="240" w:lineRule="auto"/>
        <w:jc w:val="left"/>
        <w:rPr>
          <w:rFonts w:ascii="Times New Roman" w:hAnsi="Times New Roman"/>
          <w:b/>
          <w:sz w:val="20"/>
        </w:rPr>
      </w:pPr>
    </w:p>
    <w:p w:rsidR="0081563C" w:rsidRPr="0081563C" w:rsidP="0081563C" w14:paraId="610A046D" w14:textId="77777777">
      <w:pPr>
        <w:spacing w:after="0" w:line="240" w:lineRule="auto"/>
        <w:jc w:val="left"/>
        <w:rPr>
          <w:rFonts w:ascii="Times New Roman" w:hAnsi="Times New Roman"/>
          <w:b/>
          <w:sz w:val="20"/>
        </w:rPr>
      </w:pPr>
    </w:p>
    <w:p w:rsidR="0081563C" w:rsidRPr="0081563C" w:rsidP="0081563C" w14:paraId="5858A768" w14:textId="77777777">
      <w:pPr>
        <w:spacing w:after="0" w:line="240" w:lineRule="auto"/>
        <w:jc w:val="left"/>
        <w:rPr>
          <w:rFonts w:ascii="Times New Roman" w:hAnsi="Times New Roman"/>
          <w:b/>
          <w:sz w:val="20"/>
        </w:rPr>
      </w:pPr>
    </w:p>
    <w:p w:rsidR="0081563C" w:rsidRPr="0081563C" w:rsidP="0081563C" w14:paraId="5C1B2A81" w14:textId="77777777">
      <w:pPr>
        <w:spacing w:after="0" w:line="240" w:lineRule="auto"/>
        <w:jc w:val="left"/>
        <w:rPr>
          <w:rFonts w:ascii="Times New Roman" w:hAnsi="Times New Roman"/>
          <w:b/>
          <w:sz w:val="20"/>
        </w:rPr>
      </w:pPr>
      <w:r w:rsidRPr="0081563C">
        <w:rPr>
          <w:rFonts w:ascii="Times New Roman" w:hAnsi="Times New Roman"/>
          <w:b/>
          <w:sz w:val="20"/>
        </w:rPr>
        <w:t>Counsel who argued in Supreme Court (not intended for publication with opinion):</w:t>
      </w:r>
    </w:p>
    <w:p w:rsidR="0081563C" w:rsidRPr="0081563C" w:rsidP="0081563C" w14:paraId="193A7C05" w14:textId="77777777">
      <w:pPr>
        <w:spacing w:after="0" w:line="240" w:lineRule="auto"/>
        <w:jc w:val="left"/>
        <w:rPr>
          <w:rFonts w:ascii="Times New Roman" w:hAnsi="Times New Roman"/>
          <w:b/>
          <w:sz w:val="20"/>
        </w:rPr>
      </w:pPr>
    </w:p>
    <w:p w:rsidR="0081563C" w:rsidRPr="0081563C" w:rsidP="0081563C" w14:paraId="73B48788" w14:textId="77777777">
      <w:pPr>
        <w:spacing w:after="0" w:line="240" w:lineRule="auto"/>
        <w:jc w:val="left"/>
        <w:rPr>
          <w:rFonts w:ascii="Times New Roman" w:hAnsi="Times New Roman"/>
          <w:sz w:val="20"/>
        </w:rPr>
      </w:pPr>
      <w:r w:rsidRPr="0081563C">
        <w:rPr>
          <w:rFonts w:ascii="Times New Roman" w:hAnsi="Times New Roman"/>
          <w:sz w:val="20"/>
        </w:rPr>
        <w:t>John Wilson</w:t>
      </w:r>
    </w:p>
    <w:p w:rsidR="0081563C" w:rsidRPr="0081563C" w:rsidP="0081563C" w14:paraId="6FC063B1" w14:textId="77777777">
      <w:pPr>
        <w:spacing w:after="0" w:line="240" w:lineRule="auto"/>
        <w:jc w:val="left"/>
        <w:rPr>
          <w:rFonts w:ascii="Times New Roman" w:hAnsi="Times New Roman"/>
          <w:sz w:val="20"/>
        </w:rPr>
      </w:pPr>
      <w:r w:rsidRPr="0081563C">
        <w:rPr>
          <w:rFonts w:ascii="Times New Roman" w:hAnsi="Times New Roman"/>
          <w:sz w:val="20"/>
        </w:rPr>
        <w:t>Latham &amp; Watkins LLP</w:t>
      </w:r>
    </w:p>
    <w:p w:rsidR="0081563C" w:rsidRPr="0081563C" w:rsidP="0081563C" w14:paraId="42BD5DBC" w14:textId="77777777">
      <w:pPr>
        <w:spacing w:after="0" w:line="240" w:lineRule="auto"/>
        <w:jc w:val="left"/>
        <w:rPr>
          <w:rFonts w:ascii="Times New Roman" w:hAnsi="Times New Roman"/>
          <w:sz w:val="20"/>
        </w:rPr>
      </w:pPr>
      <w:r w:rsidRPr="0081563C">
        <w:rPr>
          <w:rFonts w:ascii="Times New Roman" w:hAnsi="Times New Roman"/>
          <w:sz w:val="20"/>
        </w:rPr>
        <w:t>12670 High Bluff Drive</w:t>
      </w:r>
    </w:p>
    <w:p w:rsidR="0081563C" w:rsidRPr="0081563C" w:rsidP="0081563C" w14:paraId="75C1C671" w14:textId="77777777">
      <w:pPr>
        <w:spacing w:after="0" w:line="240" w:lineRule="auto"/>
        <w:jc w:val="left"/>
        <w:rPr>
          <w:rFonts w:ascii="Times New Roman" w:hAnsi="Times New Roman"/>
          <w:sz w:val="20"/>
        </w:rPr>
      </w:pPr>
      <w:r w:rsidRPr="0081563C">
        <w:rPr>
          <w:rFonts w:ascii="Times New Roman" w:hAnsi="Times New Roman"/>
          <w:sz w:val="20"/>
        </w:rPr>
        <w:t>San Diego, CA 92130</w:t>
      </w:r>
    </w:p>
    <w:p w:rsidR="0081563C" w:rsidRPr="0081563C" w:rsidP="0081563C" w14:paraId="25E6D264" w14:textId="77777777">
      <w:pPr>
        <w:spacing w:after="0" w:line="240" w:lineRule="auto"/>
        <w:jc w:val="left"/>
        <w:rPr>
          <w:rFonts w:ascii="Times New Roman" w:hAnsi="Times New Roman"/>
          <w:sz w:val="20"/>
        </w:rPr>
      </w:pPr>
      <w:r w:rsidRPr="0081563C">
        <w:rPr>
          <w:rFonts w:ascii="Times New Roman" w:hAnsi="Times New Roman"/>
          <w:sz w:val="20"/>
        </w:rPr>
        <w:t>(858) 523-5400</w:t>
      </w:r>
    </w:p>
    <w:p w:rsidR="0081563C" w:rsidRPr="0081563C" w:rsidP="0081563C" w14:paraId="23220B30" w14:textId="77777777">
      <w:pPr>
        <w:spacing w:after="0" w:line="240" w:lineRule="auto"/>
        <w:jc w:val="left"/>
        <w:rPr>
          <w:rFonts w:ascii="Times New Roman" w:hAnsi="Times New Roman"/>
          <w:sz w:val="20"/>
        </w:rPr>
      </w:pPr>
    </w:p>
    <w:p w:rsidR="0081563C" w:rsidRPr="0081563C" w:rsidP="0081563C" w14:paraId="6C140780" w14:textId="77777777">
      <w:pPr>
        <w:spacing w:after="0" w:line="240" w:lineRule="auto"/>
        <w:jc w:val="left"/>
        <w:rPr>
          <w:rFonts w:ascii="Times New Roman" w:hAnsi="Times New Roman"/>
          <w:sz w:val="20"/>
        </w:rPr>
      </w:pPr>
      <w:r w:rsidRPr="0081563C">
        <w:rPr>
          <w:rFonts w:ascii="Times New Roman" w:hAnsi="Times New Roman"/>
          <w:sz w:val="20"/>
        </w:rPr>
        <w:t>Theodore J. Boutrous, Jr.</w:t>
      </w:r>
    </w:p>
    <w:p w:rsidR="0081563C" w:rsidRPr="0081563C" w:rsidP="0081563C" w14:paraId="5770BC40" w14:textId="77777777">
      <w:pPr>
        <w:spacing w:after="0" w:line="240" w:lineRule="auto"/>
        <w:jc w:val="left"/>
        <w:rPr>
          <w:rFonts w:ascii="Times New Roman" w:hAnsi="Times New Roman"/>
          <w:sz w:val="20"/>
        </w:rPr>
      </w:pPr>
      <w:r w:rsidRPr="0081563C">
        <w:rPr>
          <w:rFonts w:ascii="Times New Roman" w:hAnsi="Times New Roman"/>
          <w:sz w:val="20"/>
        </w:rPr>
        <w:t>Gibson, Dunn &amp; Crutcher, LLP</w:t>
      </w:r>
    </w:p>
    <w:p w:rsidR="0081563C" w:rsidRPr="0081563C" w:rsidP="0081563C" w14:paraId="1AF2BBBE" w14:textId="77777777">
      <w:pPr>
        <w:spacing w:after="0" w:line="240" w:lineRule="auto"/>
        <w:jc w:val="left"/>
        <w:rPr>
          <w:rFonts w:ascii="Times New Roman" w:hAnsi="Times New Roman"/>
          <w:sz w:val="20"/>
        </w:rPr>
      </w:pPr>
      <w:r w:rsidRPr="0081563C">
        <w:rPr>
          <w:rFonts w:ascii="Times New Roman" w:hAnsi="Times New Roman"/>
          <w:sz w:val="20"/>
        </w:rPr>
        <w:t>333 South Grand Avenue</w:t>
      </w:r>
    </w:p>
    <w:p w:rsidR="0081563C" w:rsidRPr="0081563C" w:rsidP="0081563C" w14:paraId="6D192F5A" w14:textId="77777777">
      <w:pPr>
        <w:spacing w:after="0" w:line="240" w:lineRule="auto"/>
        <w:jc w:val="left"/>
        <w:rPr>
          <w:rFonts w:ascii="Times New Roman" w:hAnsi="Times New Roman"/>
          <w:sz w:val="20"/>
        </w:rPr>
      </w:pPr>
      <w:r w:rsidRPr="0081563C">
        <w:rPr>
          <w:rFonts w:ascii="Times New Roman" w:hAnsi="Times New Roman"/>
          <w:sz w:val="20"/>
        </w:rPr>
        <w:t>Los Angeles, CA 90071</w:t>
      </w:r>
    </w:p>
    <w:p w:rsidR="0081563C" w:rsidRPr="0081563C" w:rsidP="0081563C" w14:paraId="7A3A8CE6" w14:textId="77777777">
      <w:pPr>
        <w:spacing w:after="0" w:line="240" w:lineRule="auto"/>
        <w:jc w:val="left"/>
        <w:rPr>
          <w:rFonts w:ascii="Times New Roman" w:hAnsi="Times New Roman"/>
          <w:sz w:val="20"/>
        </w:rPr>
      </w:pPr>
      <w:r w:rsidRPr="0081563C">
        <w:rPr>
          <w:rFonts w:ascii="Times New Roman" w:hAnsi="Times New Roman"/>
          <w:sz w:val="20"/>
        </w:rPr>
        <w:t>(213) 229-7500</w:t>
      </w:r>
    </w:p>
    <w:p w:rsidR="00F4160D" w:rsidRPr="00750962" w14:paraId="70F107F4" w14:textId="15E804EC">
      <w:pPr>
        <w:pStyle w:val="Text"/>
        <w:spacing w:line="400" w:lineRule="exact"/>
        <w:ind w:firstLine="0"/>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EAA" w14:paraId="7455763F" w14:textId="7777777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EAA" w14:paraId="401E2AF0"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139" w14:paraId="7586C83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139" w14:paraId="452DF37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139" w14:paraId="5A9E99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17DB" w14:paraId="5F76C55C" w14:textId="77777777">
      <w:r>
        <w:separator/>
      </w:r>
    </w:p>
  </w:footnote>
  <w:footnote w:type="continuationSeparator" w:id="1">
    <w:p w:rsidR="00D517DB" w14:paraId="07A4B4A3" w14:textId="77777777">
      <w:pPr>
        <w:rPr>
          <w:sz w:val="22"/>
        </w:rPr>
      </w:pPr>
      <w:r>
        <w:continuationSeparator/>
      </w:r>
    </w:p>
  </w:footnote>
  <w:footnote w:type="continuationNotice" w:id="2">
    <w:p w:rsidR="00D517DB" w:rsidRPr="00F03913" w:rsidP="00F03913" w14:paraId="5CED2AC0" w14:textId="77777777">
      <w:pPr>
        <w:pStyle w:val="Footer"/>
      </w:pPr>
    </w:p>
  </w:footnote>
  <w:footnote w:id="3">
    <w:p w:rsidR="00DB3EAA" w:rsidP="00D32C14" w14:paraId="7B080C1B" w14:textId="77777777">
      <w:pPr>
        <w:pStyle w:val="FootnoteText"/>
      </w:pPr>
      <w:r>
        <w:rPr>
          <w:rStyle w:val="FootnoteReference"/>
        </w:rPr>
        <w:t>*</w:t>
      </w:r>
      <w:r>
        <w:tab/>
        <w:t>Associate Justice of the Court of Appeal, Sixth Appellate District, assigned by the Chief Justice pursuant to article VI, section 6 of the California Constitution.</w:t>
      </w:r>
    </w:p>
  </w:footnote>
  <w:footnote w:id="4">
    <w:p w:rsidR="00DB3EAA" w:rsidP="00D32C14" w14:paraId="7EC565FC" w14:textId="77777777">
      <w:pPr>
        <w:pStyle w:val="FootnoteText"/>
      </w:pPr>
      <w:r>
        <w:rPr>
          <w:rStyle w:val="FootnoteReference"/>
        </w:rPr>
        <w:t>**</w:t>
      </w:r>
      <w:r>
        <w:tab/>
      </w:r>
      <w:bookmarkStart w:id="1" w:name="_Hlk36479187"/>
      <w:r>
        <w:t>Associate Justice of the Court of Appeal, First Appellate District, Division Four, assigned by the Chief Justice pursuant to article VI, section 6 of the California Constitution.</w:t>
      </w:r>
      <w:bookmarkEnd w:id="1"/>
    </w:p>
  </w:footnote>
  <w:footnote w:id="5">
    <w:p w:rsidR="00DB3EAA" w:rsidP="00750962" w14:paraId="58F4710F" w14:textId="153481D6">
      <w:pPr>
        <w:pStyle w:val="FootnoteText"/>
      </w:pPr>
      <w:r>
        <w:rPr>
          <w:rStyle w:val="FootnoteReference"/>
        </w:rPr>
        <w:footnoteRef/>
      </w:r>
      <w:r>
        <w:t xml:space="preserve"> </w:t>
      </w:r>
      <w:r>
        <w:tab/>
      </w:r>
      <w:r w:rsidRPr="00E5208A">
        <w:t xml:space="preserve">The </w:t>
      </w:r>
      <w:r>
        <w:t xml:space="preserve">real party </w:t>
      </w:r>
      <w:r w:rsidRPr="00E5208A">
        <w:t>insurer</w:t>
      </w:r>
      <w:r>
        <w:t xml:space="preserve">s </w:t>
      </w:r>
      <w:r w:rsidRPr="00E5208A">
        <w:t xml:space="preserve">are: </w:t>
      </w:r>
      <w:r>
        <w:t xml:space="preserve"> </w:t>
      </w:r>
      <w:r w:rsidRPr="00E5208A">
        <w:t>Continental Casualty Company and Columbia Casualty Company, joined by AIU Insurance Company; Allstate Insurance Company (</w:t>
      </w:r>
      <w:r>
        <w:t xml:space="preserve">solely </w:t>
      </w:r>
      <w:r w:rsidRPr="00E5208A">
        <w:t>as successor</w:t>
      </w:r>
      <w:r>
        <w:t xml:space="preserve"> </w:t>
      </w:r>
      <w:r w:rsidRPr="00E5208A">
        <w:t>in</w:t>
      </w:r>
      <w:r>
        <w:t xml:space="preserve"> </w:t>
      </w:r>
      <w:r w:rsidRPr="00E5208A">
        <w:t>interest to Northbrook Excess and Surplus Insurance Company</w:t>
      </w:r>
      <w:r>
        <w:t>)</w:t>
      </w:r>
      <w:r w:rsidRPr="00E5208A">
        <w:t xml:space="preserve">; American Centennial Insurance Company; American Home </w:t>
      </w:r>
      <w:r>
        <w:t>Assurance</w:t>
      </w:r>
      <w:r w:rsidRPr="00E5208A">
        <w:t xml:space="preserve"> Company; Federal Insurance Company; Employers Insurance of Wausau; Everest Reinsurance Company (as successor</w:t>
      </w:r>
      <w:r>
        <w:t xml:space="preserve"> </w:t>
      </w:r>
      <w:r w:rsidRPr="00E5208A">
        <w:t>in</w:t>
      </w:r>
      <w:r>
        <w:t xml:space="preserve"> </w:t>
      </w:r>
      <w:r w:rsidRPr="00E5208A">
        <w:t>interest to Prudential Reinsurance Company); Fireman’s Fund Insurance Company; General Reinsurance Corporation; Granite State Insurance Company; Lamorak Insurance Company (formerly known as OneBeacon America Insurance Company, as successor</w:t>
      </w:r>
      <w:r>
        <w:t xml:space="preserve"> </w:t>
      </w:r>
      <w:r w:rsidRPr="00E5208A">
        <w:t>in</w:t>
      </w:r>
      <w:r>
        <w:t xml:space="preserve"> </w:t>
      </w:r>
      <w:r w:rsidRPr="00E5208A">
        <w:t>interest to Employers Commercial Union Insurance Company of America</w:t>
      </w:r>
      <w:r>
        <w:t>,</w:t>
      </w:r>
      <w:r w:rsidRPr="00E5208A">
        <w:t xml:space="preserve"> The Employers Liability Assurance Corporation, Ltd</w:t>
      </w:r>
      <w:r>
        <w:t>., and Employers Surplus Lines Insurance Company)</w:t>
      </w:r>
      <w:r w:rsidRPr="00E5208A">
        <w:t xml:space="preserve">; </w:t>
      </w:r>
      <w:r>
        <w:t xml:space="preserve">Employers Mutual Casualty Company; </w:t>
      </w:r>
      <w:r w:rsidRPr="00E5208A">
        <w:t>Landmark Insurance Company; Lexington Insurance Company; Mt. McKinley Insurance Company (as successor</w:t>
      </w:r>
      <w:r>
        <w:t xml:space="preserve"> </w:t>
      </w:r>
      <w:r w:rsidRPr="00E5208A">
        <w:t>in</w:t>
      </w:r>
      <w:r>
        <w:t xml:space="preserve"> </w:t>
      </w:r>
      <w:r w:rsidRPr="00E5208A">
        <w:t>interest to Gibraltar Casualty Company); Munich Reinsurance America, Inc. (formerly known as American Re-Insurance Company); National Surety Corporation; National Union Fire Insurance Company of Pittsburgh, PA; New Hampshire Insurance Company; North Star Reinsurance Corporation; Providence Washington Insurance Company (</w:t>
      </w:r>
      <w:r>
        <w:t xml:space="preserve">as </w:t>
      </w:r>
      <w:r w:rsidRPr="00E5208A">
        <w:t>successor by way of merger to Seaton Insurance Company, formerly known as Unigard Security Insurance Company, formerly known as Unigard Mutual Insurance Company); Transport Insurance Company (as successor</w:t>
      </w:r>
      <w:r>
        <w:t xml:space="preserve"> </w:t>
      </w:r>
      <w:r w:rsidRPr="00E5208A">
        <w:t>in</w:t>
      </w:r>
      <w:r>
        <w:t xml:space="preserve"> </w:t>
      </w:r>
      <w:r w:rsidRPr="00E5208A">
        <w:t>interest to Transport Indemnity Company); Westport Insurance Corporation</w:t>
      </w:r>
      <w:r>
        <w:t xml:space="preserve"> (</w:t>
      </w:r>
      <w:r w:rsidRPr="00E5208A">
        <w:t xml:space="preserve">formerly known as Puritan Insurance Company, formerly known as </w:t>
      </w:r>
      <w:r>
        <w:t xml:space="preserve">The </w:t>
      </w:r>
      <w:r w:rsidRPr="00E5208A">
        <w:t>Manhattan Fire and Marine Insurance Company); Zurich International (Bermuda), Ltd.</w:t>
      </w:r>
    </w:p>
    <w:p w:rsidR="00DB3EAA" w:rsidRPr="00A04802" w:rsidP="00750962" w14:paraId="34A225C4" w14:textId="77777777">
      <w:pPr>
        <w:pStyle w:val="FootnoteText"/>
      </w:pPr>
      <w:r>
        <w:tab/>
        <w:t>Insurers Travelers Casualty and Surety Company (formerly known as Aetna Casualty and Surety Company) and The Travelers Indemnity Company opposed Montrose on independent grounds and filed a separate answering brief.</w:t>
      </w:r>
    </w:p>
  </w:footnote>
  <w:footnote w:id="6">
    <w:p w:rsidR="00DB3EAA" w:rsidP="00750962" w14:paraId="23E70C94" w14:textId="3CBCC844">
      <w:pPr>
        <w:pStyle w:val="FootnoteText"/>
      </w:pPr>
      <w:r>
        <w:rPr>
          <w:rStyle w:val="FootnoteReference"/>
        </w:rPr>
        <w:footnoteRef/>
      </w:r>
      <w:r>
        <w:t xml:space="preserve"> </w:t>
      </w:r>
      <w:r>
        <w:tab/>
        <w:t xml:space="preserve">The record does not contain complete copies of every policy between Montrose and the insurers.  Instead, the parties have identified the terms of these policies that they believe are sufficient to resolve this dispute.  The parties agree the various policies use different language that all communicates the same exhaustion requirement in different ways. </w:t>
      </w:r>
    </w:p>
  </w:footnote>
  <w:footnote w:id="7">
    <w:p w:rsidR="00DB3EAA" w:rsidRPr="00913196" w:rsidP="00750962" w14:paraId="71DA52AB" w14:textId="19E631A5">
      <w:pPr>
        <w:pStyle w:val="FootnoteText"/>
      </w:pPr>
      <w:r>
        <w:rPr>
          <w:rStyle w:val="FootnoteReference"/>
        </w:rPr>
        <w:footnoteRef/>
      </w:r>
      <w:r>
        <w:t xml:space="preserve"> </w:t>
      </w:r>
      <w:r>
        <w:tab/>
        <w:t xml:space="preserve">One set of insurers, Travelers Casualty and Surety Company and The Travelers Indemnity Company (collectively, Travelers), opposed Montrose’s motion for summary adjudication for two independent reasons.  First, Travelers argued that Montrose’s requested declaration would entitle Montrose to indemnification without actually exhausting the relevant underlying insurance, as required by the terms of the Travelers policies.  Travelers further argued that California law did not apply to their policies.  Because the Court of Appeal concluded for other reasons that Montrose was not entitled to summary adjudication, it did not address the issues raised by Travelers.  We did not grant review of either question, as discussed at part II.D., </w:t>
      </w:r>
      <w:r w:rsidRPr="00E93E65">
        <w:rPr>
          <w:i/>
        </w:rPr>
        <w:t>post</w:t>
      </w:r>
      <w:r>
        <w:t>.</w:t>
      </w:r>
    </w:p>
  </w:footnote>
  <w:footnote w:id="8">
    <w:p w:rsidR="00DB3EAA" w:rsidP="00750962" w14:paraId="53540DB5" w14:textId="77777777">
      <w:pPr>
        <w:pStyle w:val="FootnoteText"/>
      </w:pPr>
      <w:r>
        <w:rPr>
          <w:rStyle w:val="FootnoteReference"/>
        </w:rPr>
        <w:footnoteRef/>
      </w:r>
      <w:r>
        <w:tab/>
        <w:t>Because the question is not presented here, we do not decide when or whether an insured may access excess policies before all primary insurance covering all relevant policy periods has been exhausted.</w:t>
      </w:r>
    </w:p>
  </w:footnote>
  <w:footnote w:id="9">
    <w:p w:rsidR="00DB3EAA" w:rsidP="00B46F2B" w14:paraId="639710ED" w14:textId="1B19E842">
      <w:pPr>
        <w:spacing w:line="300" w:lineRule="exact"/>
      </w:pPr>
      <w:r>
        <w:rPr>
          <w:rStyle w:val="FootnoteReference"/>
        </w:rPr>
        <w:footnoteRef/>
      </w:r>
      <w:r>
        <w:tab/>
        <w:t>In a contribution action, an insurer that paid more than its share in the initial coverage action can seek reimbursement from other insurers that were obligated to indemnify or defend the same loss or claim.  (</w:t>
      </w:r>
      <w:r w:rsidRPr="00A26293">
        <w:rPr>
          <w:i/>
        </w:rPr>
        <w:t>Fireman’s Fund Ins. Co. v. Maryland Casualty Co.</w:t>
      </w:r>
      <w:r>
        <w:t xml:space="preserve"> (1998) 65 Cal.App.4th 1279, 1293.)  The doctrine of equitable subrogation allows an insurer to stand in the shoes of the insured and recover from third parties that are liable to the insured for a loss that the insurer both insured and paid.  (</w:t>
      </w:r>
      <w:r w:rsidRPr="00A26293">
        <w:rPr>
          <w:i/>
        </w:rPr>
        <w:t>Id.</w:t>
      </w:r>
      <w:r>
        <w:t xml:space="preserve"> at pp. 1291–1292.)  As a general matter, these types of actions allow insurers to apportion liability for losses among themselves after the insured has been indemnified.</w:t>
      </w:r>
    </w:p>
  </w:footnote>
  <w:footnote w:id="10">
    <w:p w:rsidR="00DB3EAA" w:rsidP="00750962" w14:paraId="0D9DCE6B" w14:textId="16A08B48">
      <w:pPr>
        <w:pStyle w:val="FootnoteText"/>
      </w:pPr>
      <w:r>
        <w:rPr>
          <w:rStyle w:val="FootnoteReference"/>
        </w:rPr>
        <w:footnoteRef/>
      </w:r>
      <w:r>
        <w:t xml:space="preserve"> </w:t>
      </w:r>
      <w:r>
        <w:tab/>
        <w:t xml:space="preserve">Nor, contrary to the insurers’ suggestion, has this interpretation already been adopted in California cases.  The insurers invoke various cases interpreting “other insurance” clauses in other settings, but none addresses the question here:  whether “other insurance” clauses require horizontal exhaustion of excess insurance policies in cases involving long-tail injury.  (See, e.g., </w:t>
      </w:r>
      <w:r w:rsidRPr="00A715B7" w:rsidR="00B46F2B">
        <w:rPr>
          <w:i/>
        </w:rPr>
        <w:t xml:space="preserve">Legacy Vulcan Corp. v. Superior Court </w:t>
      </w:r>
      <w:r w:rsidR="00B46F2B">
        <w:t xml:space="preserve">(2010) 185 Cal.App.4th 677, </w:t>
      </w:r>
      <w:r w:rsidRPr="00E96983" w:rsidR="00B46F2B">
        <w:t>689</w:t>
      </w:r>
      <w:r w:rsidR="00B46F2B">
        <w:t xml:space="preserve">–690 [addressing defense obligations of a policy providing both excess and “umbrella” defense coverage]; </w:t>
      </w:r>
      <w:r>
        <w:rPr>
          <w:i/>
        </w:rPr>
        <w:t>Peerless Cas. Co. v. Continental Cas. Co.</w:t>
      </w:r>
      <w:r>
        <w:t xml:space="preserve"> (1956) 144 Cal.App.2d </w:t>
      </w:r>
      <w:r w:rsidRPr="00E96983">
        <w:t>617</w:t>
      </w:r>
      <w:r>
        <w:t>, 625–626 [excess insurer not required to contribute when insurance settlement was prorated across two primary insurers and at least one primary policy remained unexhausted]</w:t>
      </w:r>
      <w:r w:rsidR="00B46F2B">
        <w:t>.</w:t>
      </w:r>
      <w:r>
        <w:t>)</w:t>
      </w:r>
    </w:p>
  </w:footnote>
  <w:footnote w:id="11">
    <w:p w:rsidR="00DB3EAA" w:rsidP="00750962" w14:paraId="6094DBFF" w14:textId="0448C417">
      <w:pPr>
        <w:pStyle w:val="FootnoteText"/>
      </w:pPr>
      <w:r>
        <w:rPr>
          <w:rStyle w:val="FootnoteReference"/>
        </w:rPr>
        <w:footnoteRef/>
      </w:r>
      <w:r>
        <w:t xml:space="preserve"> </w:t>
      </w:r>
      <w:r>
        <w:tab/>
        <w:t>Whether losses may be partially allocated to the insured for policy periods in which the insured chose to self-insure is a question not presented here.</w:t>
      </w:r>
    </w:p>
  </w:footnote>
  <w:footnote w:id="12">
    <w:p w:rsidR="00DB3EAA" w14:paraId="4B6F4013" w14:textId="40A7BDE2">
      <w:pPr>
        <w:pStyle w:val="FootnoteText"/>
      </w:pPr>
      <w:r>
        <w:rPr>
          <w:rStyle w:val="FootnoteReference"/>
        </w:rPr>
        <w:t>*</w:t>
      </w:r>
      <w:r>
        <w:tab/>
        <w:t>Associate Justice of the Court of Appeal, Sixth Appellate District, assigned by the Chief Justice pursuant to article VI, section 6 of the California Constitution.</w:t>
      </w:r>
    </w:p>
  </w:footnote>
  <w:footnote w:id="13">
    <w:p w:rsidR="00DB3EAA" w14:paraId="26D922F8" w14:textId="27D16F17">
      <w:pPr>
        <w:pStyle w:val="FootnoteText"/>
      </w:pPr>
      <w:r>
        <w:rPr>
          <w:rStyle w:val="FootnoteReference"/>
        </w:rPr>
        <w:t>**</w:t>
      </w:r>
      <w:r>
        <w:tab/>
        <w:t>Associate Justice of the Court of Appeal, First Appellate District, Division Four,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3EAA" w14:paraId="344AE610" w14:textId="45C469C1">
    <w:pPr>
      <w:pStyle w:val="Header"/>
    </w:pPr>
    <w:r>
      <w:t xml:space="preserve">MONTROSE CHEMICAL CORPORATION OF CALIFORNIA </w:t>
    </w:r>
    <w:r w:rsidR="000248FE">
      <w:br/>
      <w:t xml:space="preserve">v. </w:t>
    </w:r>
    <w:r>
      <w:t>SUPERIOR COURT</w:t>
    </w:r>
  </w:p>
  <w:p w:rsidR="00DB3EAA" w14:paraId="571E3AD7" w14:textId="77B3BB2F">
    <w:pPr>
      <w:pStyle w:val="Header"/>
    </w:pPr>
    <w:r>
      <w:t>Opinion of the Court by Kruger, J.</w:t>
    </w:r>
  </w:p>
  <w:p w:rsidR="00DB3EAA" w14:paraId="013C20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139" w14:paraId="333C417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139" w14:paraId="46AC7CB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139" w14:paraId="2AE4319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B48"/>
    <w:multiLevelType w:val="hybridMultilevel"/>
    <w:tmpl w:val="848EC464"/>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2"/>
    <w:rsid w:val="0000143C"/>
    <w:rsid w:val="00001627"/>
    <w:rsid w:val="00002B71"/>
    <w:rsid w:val="0000571A"/>
    <w:rsid w:val="0000578E"/>
    <w:rsid w:val="00006C74"/>
    <w:rsid w:val="000078EB"/>
    <w:rsid w:val="000101FE"/>
    <w:rsid w:val="00010710"/>
    <w:rsid w:val="000126C6"/>
    <w:rsid w:val="00013812"/>
    <w:rsid w:val="000179D8"/>
    <w:rsid w:val="00017F8A"/>
    <w:rsid w:val="00021C5C"/>
    <w:rsid w:val="00021F27"/>
    <w:rsid w:val="000248FE"/>
    <w:rsid w:val="00025E0B"/>
    <w:rsid w:val="00027649"/>
    <w:rsid w:val="000278B8"/>
    <w:rsid w:val="000308C8"/>
    <w:rsid w:val="0003100F"/>
    <w:rsid w:val="0003282C"/>
    <w:rsid w:val="00033E6E"/>
    <w:rsid w:val="00035749"/>
    <w:rsid w:val="00035EC1"/>
    <w:rsid w:val="00036116"/>
    <w:rsid w:val="0004041B"/>
    <w:rsid w:val="00040E2A"/>
    <w:rsid w:val="000419C3"/>
    <w:rsid w:val="00042A30"/>
    <w:rsid w:val="000438B0"/>
    <w:rsid w:val="000438EE"/>
    <w:rsid w:val="0004573C"/>
    <w:rsid w:val="0004722D"/>
    <w:rsid w:val="00052C93"/>
    <w:rsid w:val="00053F5D"/>
    <w:rsid w:val="00054F40"/>
    <w:rsid w:val="00057754"/>
    <w:rsid w:val="0005778F"/>
    <w:rsid w:val="00057925"/>
    <w:rsid w:val="00060116"/>
    <w:rsid w:val="00062FFD"/>
    <w:rsid w:val="0006361F"/>
    <w:rsid w:val="00064807"/>
    <w:rsid w:val="00064A6A"/>
    <w:rsid w:val="00067B2E"/>
    <w:rsid w:val="0007312E"/>
    <w:rsid w:val="00073F53"/>
    <w:rsid w:val="0007570B"/>
    <w:rsid w:val="00076E09"/>
    <w:rsid w:val="00081C20"/>
    <w:rsid w:val="00082E09"/>
    <w:rsid w:val="00084321"/>
    <w:rsid w:val="000844D5"/>
    <w:rsid w:val="00091563"/>
    <w:rsid w:val="00091A1A"/>
    <w:rsid w:val="000931E9"/>
    <w:rsid w:val="00093231"/>
    <w:rsid w:val="00093516"/>
    <w:rsid w:val="00093574"/>
    <w:rsid w:val="00094643"/>
    <w:rsid w:val="000969A9"/>
    <w:rsid w:val="000976EC"/>
    <w:rsid w:val="00097B06"/>
    <w:rsid w:val="000A15CB"/>
    <w:rsid w:val="000A2081"/>
    <w:rsid w:val="000A4548"/>
    <w:rsid w:val="000A47CD"/>
    <w:rsid w:val="000A4DC4"/>
    <w:rsid w:val="000A5CF8"/>
    <w:rsid w:val="000A66F7"/>
    <w:rsid w:val="000A7FEB"/>
    <w:rsid w:val="000B011F"/>
    <w:rsid w:val="000B03E9"/>
    <w:rsid w:val="000B0EA9"/>
    <w:rsid w:val="000B194F"/>
    <w:rsid w:val="000B1AD0"/>
    <w:rsid w:val="000B34D8"/>
    <w:rsid w:val="000B7039"/>
    <w:rsid w:val="000B7C1A"/>
    <w:rsid w:val="000C0747"/>
    <w:rsid w:val="000C2560"/>
    <w:rsid w:val="000C31AB"/>
    <w:rsid w:val="000C3675"/>
    <w:rsid w:val="000C447F"/>
    <w:rsid w:val="000D00D5"/>
    <w:rsid w:val="000D0D76"/>
    <w:rsid w:val="000D373C"/>
    <w:rsid w:val="000D528B"/>
    <w:rsid w:val="000D543A"/>
    <w:rsid w:val="000D7BBF"/>
    <w:rsid w:val="000E052D"/>
    <w:rsid w:val="000E076E"/>
    <w:rsid w:val="000E394C"/>
    <w:rsid w:val="000E3E87"/>
    <w:rsid w:val="000E42AE"/>
    <w:rsid w:val="000E6C78"/>
    <w:rsid w:val="000F1342"/>
    <w:rsid w:val="000F14D4"/>
    <w:rsid w:val="000F1E60"/>
    <w:rsid w:val="000F371D"/>
    <w:rsid w:val="000F39D3"/>
    <w:rsid w:val="000F3FA8"/>
    <w:rsid w:val="000F5287"/>
    <w:rsid w:val="000F54CA"/>
    <w:rsid w:val="000F607B"/>
    <w:rsid w:val="000F6AED"/>
    <w:rsid w:val="000F6CF9"/>
    <w:rsid w:val="000F7070"/>
    <w:rsid w:val="000F7CC7"/>
    <w:rsid w:val="001000D1"/>
    <w:rsid w:val="001006BC"/>
    <w:rsid w:val="00104010"/>
    <w:rsid w:val="001041CA"/>
    <w:rsid w:val="001046E0"/>
    <w:rsid w:val="001047F5"/>
    <w:rsid w:val="00105B9C"/>
    <w:rsid w:val="00105E87"/>
    <w:rsid w:val="00106EA2"/>
    <w:rsid w:val="001103AD"/>
    <w:rsid w:val="001103CF"/>
    <w:rsid w:val="00112E78"/>
    <w:rsid w:val="00113B2D"/>
    <w:rsid w:val="00114A84"/>
    <w:rsid w:val="00115E33"/>
    <w:rsid w:val="0011633C"/>
    <w:rsid w:val="00116F5E"/>
    <w:rsid w:val="0011735B"/>
    <w:rsid w:val="00120481"/>
    <w:rsid w:val="00121559"/>
    <w:rsid w:val="001216C6"/>
    <w:rsid w:val="001221A3"/>
    <w:rsid w:val="00123132"/>
    <w:rsid w:val="00124CB3"/>
    <w:rsid w:val="00126C3A"/>
    <w:rsid w:val="001278C4"/>
    <w:rsid w:val="0013081B"/>
    <w:rsid w:val="001311D6"/>
    <w:rsid w:val="001325DE"/>
    <w:rsid w:val="00132A99"/>
    <w:rsid w:val="00133BFF"/>
    <w:rsid w:val="00134175"/>
    <w:rsid w:val="001342E0"/>
    <w:rsid w:val="00136E94"/>
    <w:rsid w:val="00137B96"/>
    <w:rsid w:val="00143304"/>
    <w:rsid w:val="00143C10"/>
    <w:rsid w:val="00145FB8"/>
    <w:rsid w:val="00146716"/>
    <w:rsid w:val="00146DF7"/>
    <w:rsid w:val="00147F7B"/>
    <w:rsid w:val="001529B1"/>
    <w:rsid w:val="00152DBA"/>
    <w:rsid w:val="00153388"/>
    <w:rsid w:val="001564A9"/>
    <w:rsid w:val="0015732C"/>
    <w:rsid w:val="0016089E"/>
    <w:rsid w:val="00163771"/>
    <w:rsid w:val="001638AB"/>
    <w:rsid w:val="00164BDC"/>
    <w:rsid w:val="00165330"/>
    <w:rsid w:val="0016781B"/>
    <w:rsid w:val="0017075E"/>
    <w:rsid w:val="00170C57"/>
    <w:rsid w:val="00172BCC"/>
    <w:rsid w:val="0017331F"/>
    <w:rsid w:val="001737E7"/>
    <w:rsid w:val="00174CE4"/>
    <w:rsid w:val="001753F2"/>
    <w:rsid w:val="001755F1"/>
    <w:rsid w:val="00175945"/>
    <w:rsid w:val="00176836"/>
    <w:rsid w:val="00176E0D"/>
    <w:rsid w:val="0018062E"/>
    <w:rsid w:val="001809F4"/>
    <w:rsid w:val="00180F00"/>
    <w:rsid w:val="00182DD5"/>
    <w:rsid w:val="00182E1F"/>
    <w:rsid w:val="00183095"/>
    <w:rsid w:val="00183298"/>
    <w:rsid w:val="00184491"/>
    <w:rsid w:val="00184F5F"/>
    <w:rsid w:val="00185421"/>
    <w:rsid w:val="0018661D"/>
    <w:rsid w:val="00187282"/>
    <w:rsid w:val="00190C30"/>
    <w:rsid w:val="00191D43"/>
    <w:rsid w:val="001929B7"/>
    <w:rsid w:val="00193346"/>
    <w:rsid w:val="001934ED"/>
    <w:rsid w:val="00195B55"/>
    <w:rsid w:val="00197DCE"/>
    <w:rsid w:val="001A1931"/>
    <w:rsid w:val="001A5BA2"/>
    <w:rsid w:val="001A5E10"/>
    <w:rsid w:val="001B03B5"/>
    <w:rsid w:val="001B064A"/>
    <w:rsid w:val="001B46DE"/>
    <w:rsid w:val="001B6E81"/>
    <w:rsid w:val="001C1792"/>
    <w:rsid w:val="001C1D4A"/>
    <w:rsid w:val="001C1F44"/>
    <w:rsid w:val="001C257F"/>
    <w:rsid w:val="001C3037"/>
    <w:rsid w:val="001C433A"/>
    <w:rsid w:val="001C43EF"/>
    <w:rsid w:val="001C45B9"/>
    <w:rsid w:val="001C4A82"/>
    <w:rsid w:val="001C63DC"/>
    <w:rsid w:val="001C6ECF"/>
    <w:rsid w:val="001D1D4F"/>
    <w:rsid w:val="001D2C2B"/>
    <w:rsid w:val="001D2D5B"/>
    <w:rsid w:val="001D2E6B"/>
    <w:rsid w:val="001D33F4"/>
    <w:rsid w:val="001D4D14"/>
    <w:rsid w:val="001D5594"/>
    <w:rsid w:val="001D6C48"/>
    <w:rsid w:val="001D7FF0"/>
    <w:rsid w:val="001E1052"/>
    <w:rsid w:val="001E1B45"/>
    <w:rsid w:val="001E31F6"/>
    <w:rsid w:val="001E6156"/>
    <w:rsid w:val="001E65B0"/>
    <w:rsid w:val="001F0733"/>
    <w:rsid w:val="001F1550"/>
    <w:rsid w:val="001F2337"/>
    <w:rsid w:val="001F241B"/>
    <w:rsid w:val="001F2D90"/>
    <w:rsid w:val="001F45B7"/>
    <w:rsid w:val="001F4AEE"/>
    <w:rsid w:val="001F53A5"/>
    <w:rsid w:val="00200386"/>
    <w:rsid w:val="00202B78"/>
    <w:rsid w:val="00204F15"/>
    <w:rsid w:val="002063B1"/>
    <w:rsid w:val="00207D58"/>
    <w:rsid w:val="00210209"/>
    <w:rsid w:val="00211CAC"/>
    <w:rsid w:val="0021233C"/>
    <w:rsid w:val="00212FFA"/>
    <w:rsid w:val="00213BC6"/>
    <w:rsid w:val="00214F3D"/>
    <w:rsid w:val="002159E4"/>
    <w:rsid w:val="00217992"/>
    <w:rsid w:val="002201D9"/>
    <w:rsid w:val="00223628"/>
    <w:rsid w:val="00224B9A"/>
    <w:rsid w:val="00225186"/>
    <w:rsid w:val="00225FB0"/>
    <w:rsid w:val="00226E7D"/>
    <w:rsid w:val="00230101"/>
    <w:rsid w:val="002323B9"/>
    <w:rsid w:val="002326A2"/>
    <w:rsid w:val="00233BC8"/>
    <w:rsid w:val="00235C8C"/>
    <w:rsid w:val="00237B36"/>
    <w:rsid w:val="00242EE9"/>
    <w:rsid w:val="00243DA7"/>
    <w:rsid w:val="002458D2"/>
    <w:rsid w:val="002469CA"/>
    <w:rsid w:val="002473CA"/>
    <w:rsid w:val="00250DF7"/>
    <w:rsid w:val="0025202A"/>
    <w:rsid w:val="0025319E"/>
    <w:rsid w:val="0025324F"/>
    <w:rsid w:val="00253B3D"/>
    <w:rsid w:val="0025503F"/>
    <w:rsid w:val="00257904"/>
    <w:rsid w:val="00257A84"/>
    <w:rsid w:val="002603DE"/>
    <w:rsid w:val="0026276D"/>
    <w:rsid w:val="00262ED2"/>
    <w:rsid w:val="0026382B"/>
    <w:rsid w:val="00267304"/>
    <w:rsid w:val="00272832"/>
    <w:rsid w:val="0027573F"/>
    <w:rsid w:val="00276173"/>
    <w:rsid w:val="00277EA3"/>
    <w:rsid w:val="00280002"/>
    <w:rsid w:val="0028141A"/>
    <w:rsid w:val="002821C7"/>
    <w:rsid w:val="002842A9"/>
    <w:rsid w:val="00284B34"/>
    <w:rsid w:val="00285EEB"/>
    <w:rsid w:val="00287BCC"/>
    <w:rsid w:val="002929DB"/>
    <w:rsid w:val="002A0DE0"/>
    <w:rsid w:val="002A4387"/>
    <w:rsid w:val="002A4ACF"/>
    <w:rsid w:val="002A5A76"/>
    <w:rsid w:val="002A719D"/>
    <w:rsid w:val="002B177A"/>
    <w:rsid w:val="002B2599"/>
    <w:rsid w:val="002B2FEB"/>
    <w:rsid w:val="002B5088"/>
    <w:rsid w:val="002B5ED4"/>
    <w:rsid w:val="002B6FEF"/>
    <w:rsid w:val="002C3A62"/>
    <w:rsid w:val="002C5CBB"/>
    <w:rsid w:val="002C6DB3"/>
    <w:rsid w:val="002D0247"/>
    <w:rsid w:val="002D1D1E"/>
    <w:rsid w:val="002D1E39"/>
    <w:rsid w:val="002D3B32"/>
    <w:rsid w:val="002D4B39"/>
    <w:rsid w:val="002D5221"/>
    <w:rsid w:val="002D6B9D"/>
    <w:rsid w:val="002D6CCA"/>
    <w:rsid w:val="002D70A3"/>
    <w:rsid w:val="002D7BA1"/>
    <w:rsid w:val="002E21C9"/>
    <w:rsid w:val="002E2347"/>
    <w:rsid w:val="002E4AF0"/>
    <w:rsid w:val="002E504D"/>
    <w:rsid w:val="002E7085"/>
    <w:rsid w:val="002E7893"/>
    <w:rsid w:val="002E7B29"/>
    <w:rsid w:val="002E7FF8"/>
    <w:rsid w:val="002F0702"/>
    <w:rsid w:val="002F1734"/>
    <w:rsid w:val="002F2714"/>
    <w:rsid w:val="002F2961"/>
    <w:rsid w:val="002F2FDD"/>
    <w:rsid w:val="002F3E74"/>
    <w:rsid w:val="002F717D"/>
    <w:rsid w:val="002F74CB"/>
    <w:rsid w:val="002F785F"/>
    <w:rsid w:val="002F79DB"/>
    <w:rsid w:val="002F7F33"/>
    <w:rsid w:val="00300D65"/>
    <w:rsid w:val="003018A9"/>
    <w:rsid w:val="0030248C"/>
    <w:rsid w:val="0030316F"/>
    <w:rsid w:val="00303CE0"/>
    <w:rsid w:val="0030547E"/>
    <w:rsid w:val="003054D8"/>
    <w:rsid w:val="00307503"/>
    <w:rsid w:val="00307D78"/>
    <w:rsid w:val="003128E5"/>
    <w:rsid w:val="0031350A"/>
    <w:rsid w:val="00314D1C"/>
    <w:rsid w:val="00315507"/>
    <w:rsid w:val="00316503"/>
    <w:rsid w:val="0031657A"/>
    <w:rsid w:val="00317F73"/>
    <w:rsid w:val="00321081"/>
    <w:rsid w:val="003211F8"/>
    <w:rsid w:val="00324335"/>
    <w:rsid w:val="003258FC"/>
    <w:rsid w:val="00325D2B"/>
    <w:rsid w:val="00326640"/>
    <w:rsid w:val="0033131F"/>
    <w:rsid w:val="00331402"/>
    <w:rsid w:val="003337BF"/>
    <w:rsid w:val="003345DA"/>
    <w:rsid w:val="003355ED"/>
    <w:rsid w:val="00336423"/>
    <w:rsid w:val="0033757A"/>
    <w:rsid w:val="0034337B"/>
    <w:rsid w:val="0034473B"/>
    <w:rsid w:val="00346257"/>
    <w:rsid w:val="00346519"/>
    <w:rsid w:val="00346DD2"/>
    <w:rsid w:val="003500D1"/>
    <w:rsid w:val="00351071"/>
    <w:rsid w:val="00351256"/>
    <w:rsid w:val="00352E35"/>
    <w:rsid w:val="00353D54"/>
    <w:rsid w:val="00355DF9"/>
    <w:rsid w:val="00360865"/>
    <w:rsid w:val="0036445A"/>
    <w:rsid w:val="00364640"/>
    <w:rsid w:val="00364E86"/>
    <w:rsid w:val="003650FA"/>
    <w:rsid w:val="0036546F"/>
    <w:rsid w:val="00370567"/>
    <w:rsid w:val="003705F6"/>
    <w:rsid w:val="00370C32"/>
    <w:rsid w:val="003714F5"/>
    <w:rsid w:val="00375A51"/>
    <w:rsid w:val="00375A9A"/>
    <w:rsid w:val="003766F4"/>
    <w:rsid w:val="00377393"/>
    <w:rsid w:val="00380798"/>
    <w:rsid w:val="0038102A"/>
    <w:rsid w:val="0038271F"/>
    <w:rsid w:val="00383700"/>
    <w:rsid w:val="003838E1"/>
    <w:rsid w:val="003854BF"/>
    <w:rsid w:val="00385D2C"/>
    <w:rsid w:val="003862DC"/>
    <w:rsid w:val="003902E5"/>
    <w:rsid w:val="00390AF0"/>
    <w:rsid w:val="00392CF6"/>
    <w:rsid w:val="00393563"/>
    <w:rsid w:val="00393B29"/>
    <w:rsid w:val="00393D9B"/>
    <w:rsid w:val="003A0688"/>
    <w:rsid w:val="003A116F"/>
    <w:rsid w:val="003A1535"/>
    <w:rsid w:val="003A1B2D"/>
    <w:rsid w:val="003A25EF"/>
    <w:rsid w:val="003A284A"/>
    <w:rsid w:val="003A470B"/>
    <w:rsid w:val="003A5733"/>
    <w:rsid w:val="003A5E32"/>
    <w:rsid w:val="003A6049"/>
    <w:rsid w:val="003A623E"/>
    <w:rsid w:val="003B0577"/>
    <w:rsid w:val="003B15CC"/>
    <w:rsid w:val="003B38A3"/>
    <w:rsid w:val="003B642F"/>
    <w:rsid w:val="003B739C"/>
    <w:rsid w:val="003C2E00"/>
    <w:rsid w:val="003C2F1A"/>
    <w:rsid w:val="003C4A99"/>
    <w:rsid w:val="003C4C06"/>
    <w:rsid w:val="003C5739"/>
    <w:rsid w:val="003C6A7D"/>
    <w:rsid w:val="003D177E"/>
    <w:rsid w:val="003D2124"/>
    <w:rsid w:val="003D2B51"/>
    <w:rsid w:val="003D5155"/>
    <w:rsid w:val="003E156B"/>
    <w:rsid w:val="003E1B25"/>
    <w:rsid w:val="003E1CE9"/>
    <w:rsid w:val="003E200F"/>
    <w:rsid w:val="003E32BF"/>
    <w:rsid w:val="003E34B2"/>
    <w:rsid w:val="003E3CE8"/>
    <w:rsid w:val="003E4215"/>
    <w:rsid w:val="003E45C9"/>
    <w:rsid w:val="003E507B"/>
    <w:rsid w:val="003E6339"/>
    <w:rsid w:val="003E65A2"/>
    <w:rsid w:val="003E73F9"/>
    <w:rsid w:val="003E7631"/>
    <w:rsid w:val="003E778A"/>
    <w:rsid w:val="003E77C5"/>
    <w:rsid w:val="003E79B5"/>
    <w:rsid w:val="003F004E"/>
    <w:rsid w:val="003F10EF"/>
    <w:rsid w:val="003F33AF"/>
    <w:rsid w:val="003F3E17"/>
    <w:rsid w:val="003F5AD4"/>
    <w:rsid w:val="003F5EF5"/>
    <w:rsid w:val="003F617C"/>
    <w:rsid w:val="003F7D33"/>
    <w:rsid w:val="00401255"/>
    <w:rsid w:val="004012F6"/>
    <w:rsid w:val="004027C5"/>
    <w:rsid w:val="00402996"/>
    <w:rsid w:val="004033EA"/>
    <w:rsid w:val="0040693E"/>
    <w:rsid w:val="00406F5D"/>
    <w:rsid w:val="00407689"/>
    <w:rsid w:val="00411F31"/>
    <w:rsid w:val="00412003"/>
    <w:rsid w:val="00412D92"/>
    <w:rsid w:val="00413022"/>
    <w:rsid w:val="00413928"/>
    <w:rsid w:val="0041449D"/>
    <w:rsid w:val="00415052"/>
    <w:rsid w:val="00416E89"/>
    <w:rsid w:val="0041717E"/>
    <w:rsid w:val="00421C90"/>
    <w:rsid w:val="00422AC6"/>
    <w:rsid w:val="00423076"/>
    <w:rsid w:val="00424462"/>
    <w:rsid w:val="00424ECA"/>
    <w:rsid w:val="00425BC5"/>
    <w:rsid w:val="0042618A"/>
    <w:rsid w:val="00426630"/>
    <w:rsid w:val="004276EC"/>
    <w:rsid w:val="00427E57"/>
    <w:rsid w:val="00430593"/>
    <w:rsid w:val="00430671"/>
    <w:rsid w:val="00433238"/>
    <w:rsid w:val="00433545"/>
    <w:rsid w:val="00433E2A"/>
    <w:rsid w:val="00435759"/>
    <w:rsid w:val="00436828"/>
    <w:rsid w:val="004403B1"/>
    <w:rsid w:val="00440BA6"/>
    <w:rsid w:val="004421A0"/>
    <w:rsid w:val="00443092"/>
    <w:rsid w:val="0044503E"/>
    <w:rsid w:val="00445698"/>
    <w:rsid w:val="00445984"/>
    <w:rsid w:val="0044623F"/>
    <w:rsid w:val="00446AD2"/>
    <w:rsid w:val="00446CF6"/>
    <w:rsid w:val="00450E68"/>
    <w:rsid w:val="00450E79"/>
    <w:rsid w:val="00453A67"/>
    <w:rsid w:val="00460B6F"/>
    <w:rsid w:val="00460EA8"/>
    <w:rsid w:val="00461E88"/>
    <w:rsid w:val="004646FF"/>
    <w:rsid w:val="00465184"/>
    <w:rsid w:val="00465377"/>
    <w:rsid w:val="00465D37"/>
    <w:rsid w:val="00465F15"/>
    <w:rsid w:val="0046727D"/>
    <w:rsid w:val="004733F9"/>
    <w:rsid w:val="00480E0A"/>
    <w:rsid w:val="00481DE5"/>
    <w:rsid w:val="004827BB"/>
    <w:rsid w:val="00482FF7"/>
    <w:rsid w:val="00483FBD"/>
    <w:rsid w:val="0048515F"/>
    <w:rsid w:val="00485A20"/>
    <w:rsid w:val="00485B2E"/>
    <w:rsid w:val="00485D7D"/>
    <w:rsid w:val="00486494"/>
    <w:rsid w:val="004871C3"/>
    <w:rsid w:val="004872B4"/>
    <w:rsid w:val="004875C8"/>
    <w:rsid w:val="00487B4D"/>
    <w:rsid w:val="004927A6"/>
    <w:rsid w:val="0049333D"/>
    <w:rsid w:val="00493ACE"/>
    <w:rsid w:val="004947C3"/>
    <w:rsid w:val="00494A18"/>
    <w:rsid w:val="00495799"/>
    <w:rsid w:val="004957D7"/>
    <w:rsid w:val="00497C6E"/>
    <w:rsid w:val="004A002D"/>
    <w:rsid w:val="004A0CBD"/>
    <w:rsid w:val="004A4EB9"/>
    <w:rsid w:val="004A4F9E"/>
    <w:rsid w:val="004A523D"/>
    <w:rsid w:val="004A5242"/>
    <w:rsid w:val="004A6670"/>
    <w:rsid w:val="004A6783"/>
    <w:rsid w:val="004A6F57"/>
    <w:rsid w:val="004A7198"/>
    <w:rsid w:val="004A73CF"/>
    <w:rsid w:val="004B0212"/>
    <w:rsid w:val="004B1366"/>
    <w:rsid w:val="004B2B44"/>
    <w:rsid w:val="004B32BD"/>
    <w:rsid w:val="004B4339"/>
    <w:rsid w:val="004B5566"/>
    <w:rsid w:val="004B5966"/>
    <w:rsid w:val="004B666C"/>
    <w:rsid w:val="004B6804"/>
    <w:rsid w:val="004B693E"/>
    <w:rsid w:val="004B6CF2"/>
    <w:rsid w:val="004B7171"/>
    <w:rsid w:val="004B7C26"/>
    <w:rsid w:val="004B7D88"/>
    <w:rsid w:val="004C300E"/>
    <w:rsid w:val="004C37CF"/>
    <w:rsid w:val="004C44FE"/>
    <w:rsid w:val="004C4670"/>
    <w:rsid w:val="004C60D5"/>
    <w:rsid w:val="004D0D3D"/>
    <w:rsid w:val="004D1754"/>
    <w:rsid w:val="004D344D"/>
    <w:rsid w:val="004D36BD"/>
    <w:rsid w:val="004D4BF9"/>
    <w:rsid w:val="004D54BE"/>
    <w:rsid w:val="004D6FE7"/>
    <w:rsid w:val="004E098D"/>
    <w:rsid w:val="004E5080"/>
    <w:rsid w:val="004E5E05"/>
    <w:rsid w:val="004E65BB"/>
    <w:rsid w:val="004E6CE0"/>
    <w:rsid w:val="004E6D89"/>
    <w:rsid w:val="004F1EE5"/>
    <w:rsid w:val="004F20C0"/>
    <w:rsid w:val="004F6E50"/>
    <w:rsid w:val="004F704F"/>
    <w:rsid w:val="004F7237"/>
    <w:rsid w:val="004F7B59"/>
    <w:rsid w:val="00500B12"/>
    <w:rsid w:val="005010DE"/>
    <w:rsid w:val="005020C0"/>
    <w:rsid w:val="005042BD"/>
    <w:rsid w:val="00504433"/>
    <w:rsid w:val="00504776"/>
    <w:rsid w:val="00504EC1"/>
    <w:rsid w:val="00505A2E"/>
    <w:rsid w:val="00507F93"/>
    <w:rsid w:val="00510832"/>
    <w:rsid w:val="00510A62"/>
    <w:rsid w:val="0051117F"/>
    <w:rsid w:val="00511C5D"/>
    <w:rsid w:val="0051210E"/>
    <w:rsid w:val="00514101"/>
    <w:rsid w:val="00514DEB"/>
    <w:rsid w:val="00515ACD"/>
    <w:rsid w:val="005207CE"/>
    <w:rsid w:val="00520A99"/>
    <w:rsid w:val="00521ED9"/>
    <w:rsid w:val="005224CD"/>
    <w:rsid w:val="00525891"/>
    <w:rsid w:val="005262C8"/>
    <w:rsid w:val="005263B2"/>
    <w:rsid w:val="005263D3"/>
    <w:rsid w:val="0052666C"/>
    <w:rsid w:val="00527CD5"/>
    <w:rsid w:val="00530F7C"/>
    <w:rsid w:val="005312DA"/>
    <w:rsid w:val="0053146D"/>
    <w:rsid w:val="00532528"/>
    <w:rsid w:val="005325CD"/>
    <w:rsid w:val="0053275C"/>
    <w:rsid w:val="0053288F"/>
    <w:rsid w:val="00532EDA"/>
    <w:rsid w:val="00534732"/>
    <w:rsid w:val="00534F5A"/>
    <w:rsid w:val="005358F6"/>
    <w:rsid w:val="00536B37"/>
    <w:rsid w:val="00536F35"/>
    <w:rsid w:val="00537D5C"/>
    <w:rsid w:val="005410AD"/>
    <w:rsid w:val="00541306"/>
    <w:rsid w:val="00543F45"/>
    <w:rsid w:val="0054484E"/>
    <w:rsid w:val="00544E2F"/>
    <w:rsid w:val="00545B1C"/>
    <w:rsid w:val="00546604"/>
    <w:rsid w:val="00546E0C"/>
    <w:rsid w:val="00547E99"/>
    <w:rsid w:val="005506C9"/>
    <w:rsid w:val="00550733"/>
    <w:rsid w:val="00550AAA"/>
    <w:rsid w:val="005515BC"/>
    <w:rsid w:val="00553189"/>
    <w:rsid w:val="005533ED"/>
    <w:rsid w:val="005542CD"/>
    <w:rsid w:val="0055497F"/>
    <w:rsid w:val="00556BD0"/>
    <w:rsid w:val="00561088"/>
    <w:rsid w:val="00561300"/>
    <w:rsid w:val="005631CE"/>
    <w:rsid w:val="00564728"/>
    <w:rsid w:val="00566388"/>
    <w:rsid w:val="00567E00"/>
    <w:rsid w:val="00570B45"/>
    <w:rsid w:val="0057110D"/>
    <w:rsid w:val="00572616"/>
    <w:rsid w:val="00573226"/>
    <w:rsid w:val="005758BB"/>
    <w:rsid w:val="00576143"/>
    <w:rsid w:val="00576266"/>
    <w:rsid w:val="005800EF"/>
    <w:rsid w:val="0058047C"/>
    <w:rsid w:val="00580C67"/>
    <w:rsid w:val="005845CE"/>
    <w:rsid w:val="00584A60"/>
    <w:rsid w:val="005852ED"/>
    <w:rsid w:val="005929B8"/>
    <w:rsid w:val="0059307C"/>
    <w:rsid w:val="005949F5"/>
    <w:rsid w:val="00595980"/>
    <w:rsid w:val="00595DC6"/>
    <w:rsid w:val="005A2D73"/>
    <w:rsid w:val="005A31D1"/>
    <w:rsid w:val="005A3410"/>
    <w:rsid w:val="005A3C48"/>
    <w:rsid w:val="005A4450"/>
    <w:rsid w:val="005A5838"/>
    <w:rsid w:val="005A5EDC"/>
    <w:rsid w:val="005A7F94"/>
    <w:rsid w:val="005B1068"/>
    <w:rsid w:val="005B1E0F"/>
    <w:rsid w:val="005B265C"/>
    <w:rsid w:val="005B4A3F"/>
    <w:rsid w:val="005B4F53"/>
    <w:rsid w:val="005C001D"/>
    <w:rsid w:val="005C0C1B"/>
    <w:rsid w:val="005C1378"/>
    <w:rsid w:val="005C338F"/>
    <w:rsid w:val="005C3B44"/>
    <w:rsid w:val="005C415C"/>
    <w:rsid w:val="005C44DD"/>
    <w:rsid w:val="005C6B6D"/>
    <w:rsid w:val="005C73B7"/>
    <w:rsid w:val="005D02AA"/>
    <w:rsid w:val="005D0FBC"/>
    <w:rsid w:val="005D1B30"/>
    <w:rsid w:val="005D5F7E"/>
    <w:rsid w:val="005D7B64"/>
    <w:rsid w:val="005D7E12"/>
    <w:rsid w:val="005D7EFC"/>
    <w:rsid w:val="005E01C4"/>
    <w:rsid w:val="005E09DA"/>
    <w:rsid w:val="005E135B"/>
    <w:rsid w:val="005E2388"/>
    <w:rsid w:val="005E394B"/>
    <w:rsid w:val="005E3A35"/>
    <w:rsid w:val="005E3E99"/>
    <w:rsid w:val="005E5D3E"/>
    <w:rsid w:val="005E6358"/>
    <w:rsid w:val="005F1982"/>
    <w:rsid w:val="005F44C6"/>
    <w:rsid w:val="005F505A"/>
    <w:rsid w:val="005F5355"/>
    <w:rsid w:val="005F5A3D"/>
    <w:rsid w:val="00603582"/>
    <w:rsid w:val="00604CBE"/>
    <w:rsid w:val="00607FF1"/>
    <w:rsid w:val="006108BE"/>
    <w:rsid w:val="00613515"/>
    <w:rsid w:val="006136AD"/>
    <w:rsid w:val="00614CCE"/>
    <w:rsid w:val="006157DB"/>
    <w:rsid w:val="00615B3F"/>
    <w:rsid w:val="00616872"/>
    <w:rsid w:val="00616FBA"/>
    <w:rsid w:val="00621A6D"/>
    <w:rsid w:val="00621D7E"/>
    <w:rsid w:val="00622CAB"/>
    <w:rsid w:val="00624EA2"/>
    <w:rsid w:val="00630996"/>
    <w:rsid w:val="00631C85"/>
    <w:rsid w:val="00634047"/>
    <w:rsid w:val="00634C14"/>
    <w:rsid w:val="006359CA"/>
    <w:rsid w:val="006374E8"/>
    <w:rsid w:val="006404D0"/>
    <w:rsid w:val="00642219"/>
    <w:rsid w:val="006441D3"/>
    <w:rsid w:val="00644C99"/>
    <w:rsid w:val="00646C9A"/>
    <w:rsid w:val="0065023A"/>
    <w:rsid w:val="00653A86"/>
    <w:rsid w:val="0065436C"/>
    <w:rsid w:val="0065469E"/>
    <w:rsid w:val="0066079E"/>
    <w:rsid w:val="006643B1"/>
    <w:rsid w:val="00664F4E"/>
    <w:rsid w:val="00665EC7"/>
    <w:rsid w:val="00666FF8"/>
    <w:rsid w:val="00670DE8"/>
    <w:rsid w:val="00671BC2"/>
    <w:rsid w:val="00671DE3"/>
    <w:rsid w:val="00672236"/>
    <w:rsid w:val="006753A2"/>
    <w:rsid w:val="0067596B"/>
    <w:rsid w:val="006762EC"/>
    <w:rsid w:val="006764F1"/>
    <w:rsid w:val="00676724"/>
    <w:rsid w:val="0067775D"/>
    <w:rsid w:val="00680141"/>
    <w:rsid w:val="006805F5"/>
    <w:rsid w:val="0068068A"/>
    <w:rsid w:val="006808E4"/>
    <w:rsid w:val="00680B89"/>
    <w:rsid w:val="00681937"/>
    <w:rsid w:val="00681E6B"/>
    <w:rsid w:val="0068556C"/>
    <w:rsid w:val="00685722"/>
    <w:rsid w:val="006857C1"/>
    <w:rsid w:val="00686D6C"/>
    <w:rsid w:val="006877B0"/>
    <w:rsid w:val="00690035"/>
    <w:rsid w:val="006923FF"/>
    <w:rsid w:val="00692F9E"/>
    <w:rsid w:val="00693B7B"/>
    <w:rsid w:val="00696CA4"/>
    <w:rsid w:val="00696CF2"/>
    <w:rsid w:val="006A16B0"/>
    <w:rsid w:val="006A2AEC"/>
    <w:rsid w:val="006A4B28"/>
    <w:rsid w:val="006A4FA8"/>
    <w:rsid w:val="006A5716"/>
    <w:rsid w:val="006A6E7F"/>
    <w:rsid w:val="006A75C9"/>
    <w:rsid w:val="006A7713"/>
    <w:rsid w:val="006B18EA"/>
    <w:rsid w:val="006B52A4"/>
    <w:rsid w:val="006B6442"/>
    <w:rsid w:val="006B693A"/>
    <w:rsid w:val="006B6B26"/>
    <w:rsid w:val="006C0A26"/>
    <w:rsid w:val="006C1851"/>
    <w:rsid w:val="006C1B5E"/>
    <w:rsid w:val="006C4110"/>
    <w:rsid w:val="006C5270"/>
    <w:rsid w:val="006C69AF"/>
    <w:rsid w:val="006C7386"/>
    <w:rsid w:val="006C75C2"/>
    <w:rsid w:val="006D04B2"/>
    <w:rsid w:val="006D0729"/>
    <w:rsid w:val="006D102F"/>
    <w:rsid w:val="006D217B"/>
    <w:rsid w:val="006D3239"/>
    <w:rsid w:val="006D4122"/>
    <w:rsid w:val="006D4614"/>
    <w:rsid w:val="006D485B"/>
    <w:rsid w:val="006D5034"/>
    <w:rsid w:val="006D621F"/>
    <w:rsid w:val="006E08BC"/>
    <w:rsid w:val="006E2F18"/>
    <w:rsid w:val="006E40BF"/>
    <w:rsid w:val="006E50B2"/>
    <w:rsid w:val="006E685A"/>
    <w:rsid w:val="006E7499"/>
    <w:rsid w:val="006F0C1C"/>
    <w:rsid w:val="006F2AE8"/>
    <w:rsid w:val="006F36CE"/>
    <w:rsid w:val="006F3789"/>
    <w:rsid w:val="006F6A21"/>
    <w:rsid w:val="006F6C2E"/>
    <w:rsid w:val="00700D8E"/>
    <w:rsid w:val="00701709"/>
    <w:rsid w:val="00703645"/>
    <w:rsid w:val="007052AB"/>
    <w:rsid w:val="00710F9F"/>
    <w:rsid w:val="00713BAC"/>
    <w:rsid w:val="0072147D"/>
    <w:rsid w:val="00721767"/>
    <w:rsid w:val="0072283B"/>
    <w:rsid w:val="007233C5"/>
    <w:rsid w:val="0072403D"/>
    <w:rsid w:val="00726229"/>
    <w:rsid w:val="0072675E"/>
    <w:rsid w:val="007273B2"/>
    <w:rsid w:val="00727EDE"/>
    <w:rsid w:val="00730761"/>
    <w:rsid w:val="00730AC4"/>
    <w:rsid w:val="00730F29"/>
    <w:rsid w:val="00731C9E"/>
    <w:rsid w:val="00732E8B"/>
    <w:rsid w:val="00735C3F"/>
    <w:rsid w:val="0073647F"/>
    <w:rsid w:val="00745568"/>
    <w:rsid w:val="00745A49"/>
    <w:rsid w:val="00750962"/>
    <w:rsid w:val="00750EDF"/>
    <w:rsid w:val="00751FB8"/>
    <w:rsid w:val="007521E8"/>
    <w:rsid w:val="00753631"/>
    <w:rsid w:val="00754EA6"/>
    <w:rsid w:val="00756588"/>
    <w:rsid w:val="007567C8"/>
    <w:rsid w:val="00756A87"/>
    <w:rsid w:val="00757617"/>
    <w:rsid w:val="00760F53"/>
    <w:rsid w:val="00761675"/>
    <w:rsid w:val="00761A29"/>
    <w:rsid w:val="007625F9"/>
    <w:rsid w:val="00763784"/>
    <w:rsid w:val="00764ED2"/>
    <w:rsid w:val="00766270"/>
    <w:rsid w:val="00766B58"/>
    <w:rsid w:val="00767F03"/>
    <w:rsid w:val="00770970"/>
    <w:rsid w:val="007709CC"/>
    <w:rsid w:val="00770EC5"/>
    <w:rsid w:val="007745CC"/>
    <w:rsid w:val="007754DA"/>
    <w:rsid w:val="0077568F"/>
    <w:rsid w:val="00777A7C"/>
    <w:rsid w:val="00777BC6"/>
    <w:rsid w:val="00777D17"/>
    <w:rsid w:val="007807C2"/>
    <w:rsid w:val="0078145F"/>
    <w:rsid w:val="007821F5"/>
    <w:rsid w:val="007824ED"/>
    <w:rsid w:val="007827A0"/>
    <w:rsid w:val="00782954"/>
    <w:rsid w:val="00782ACE"/>
    <w:rsid w:val="007838F9"/>
    <w:rsid w:val="00783FFF"/>
    <w:rsid w:val="00784BCE"/>
    <w:rsid w:val="00785D96"/>
    <w:rsid w:val="00785DD5"/>
    <w:rsid w:val="00786480"/>
    <w:rsid w:val="00787CAF"/>
    <w:rsid w:val="0079124C"/>
    <w:rsid w:val="007925C6"/>
    <w:rsid w:val="007950B0"/>
    <w:rsid w:val="00796103"/>
    <w:rsid w:val="00796CE6"/>
    <w:rsid w:val="00797C71"/>
    <w:rsid w:val="00797EDA"/>
    <w:rsid w:val="007A09E9"/>
    <w:rsid w:val="007A0A60"/>
    <w:rsid w:val="007A0F1D"/>
    <w:rsid w:val="007A1130"/>
    <w:rsid w:val="007A161C"/>
    <w:rsid w:val="007A1FDB"/>
    <w:rsid w:val="007A323C"/>
    <w:rsid w:val="007A4DC4"/>
    <w:rsid w:val="007A5B18"/>
    <w:rsid w:val="007A6FAD"/>
    <w:rsid w:val="007A7324"/>
    <w:rsid w:val="007A7977"/>
    <w:rsid w:val="007A7E88"/>
    <w:rsid w:val="007B0AD5"/>
    <w:rsid w:val="007B1347"/>
    <w:rsid w:val="007B136B"/>
    <w:rsid w:val="007B378E"/>
    <w:rsid w:val="007B403B"/>
    <w:rsid w:val="007B7B30"/>
    <w:rsid w:val="007C0D3B"/>
    <w:rsid w:val="007C231D"/>
    <w:rsid w:val="007C2668"/>
    <w:rsid w:val="007C2E59"/>
    <w:rsid w:val="007C3CE5"/>
    <w:rsid w:val="007C3EAD"/>
    <w:rsid w:val="007C41F0"/>
    <w:rsid w:val="007D0239"/>
    <w:rsid w:val="007D0B46"/>
    <w:rsid w:val="007D3ACF"/>
    <w:rsid w:val="007D3B6D"/>
    <w:rsid w:val="007D47CC"/>
    <w:rsid w:val="007D6C40"/>
    <w:rsid w:val="007E4C1D"/>
    <w:rsid w:val="007E563B"/>
    <w:rsid w:val="007E6717"/>
    <w:rsid w:val="007F0342"/>
    <w:rsid w:val="007F0DA0"/>
    <w:rsid w:val="007F121C"/>
    <w:rsid w:val="007F1ED5"/>
    <w:rsid w:val="007F2F98"/>
    <w:rsid w:val="007F384E"/>
    <w:rsid w:val="007F38C9"/>
    <w:rsid w:val="007F509E"/>
    <w:rsid w:val="007F5121"/>
    <w:rsid w:val="007F67C4"/>
    <w:rsid w:val="007F6982"/>
    <w:rsid w:val="008021FB"/>
    <w:rsid w:val="00802DEA"/>
    <w:rsid w:val="0080454E"/>
    <w:rsid w:val="0080576B"/>
    <w:rsid w:val="00805AD6"/>
    <w:rsid w:val="00806277"/>
    <w:rsid w:val="00811064"/>
    <w:rsid w:val="00811300"/>
    <w:rsid w:val="00813834"/>
    <w:rsid w:val="0081411E"/>
    <w:rsid w:val="008146D6"/>
    <w:rsid w:val="0081563C"/>
    <w:rsid w:val="008165F5"/>
    <w:rsid w:val="008177D1"/>
    <w:rsid w:val="008204A8"/>
    <w:rsid w:val="00821C4C"/>
    <w:rsid w:val="00823097"/>
    <w:rsid w:val="00823AC2"/>
    <w:rsid w:val="0082599C"/>
    <w:rsid w:val="00826542"/>
    <w:rsid w:val="0082698B"/>
    <w:rsid w:val="00826CBA"/>
    <w:rsid w:val="00826F7B"/>
    <w:rsid w:val="008279C5"/>
    <w:rsid w:val="00830990"/>
    <w:rsid w:val="00830E4F"/>
    <w:rsid w:val="0083143F"/>
    <w:rsid w:val="008316FE"/>
    <w:rsid w:val="008318D8"/>
    <w:rsid w:val="00831F57"/>
    <w:rsid w:val="00833AA2"/>
    <w:rsid w:val="00834125"/>
    <w:rsid w:val="0083431A"/>
    <w:rsid w:val="0083578E"/>
    <w:rsid w:val="00840C36"/>
    <w:rsid w:val="00841FEE"/>
    <w:rsid w:val="008457E7"/>
    <w:rsid w:val="008465D8"/>
    <w:rsid w:val="008467F0"/>
    <w:rsid w:val="00847104"/>
    <w:rsid w:val="00850ED4"/>
    <w:rsid w:val="00854669"/>
    <w:rsid w:val="00854AB6"/>
    <w:rsid w:val="00854B94"/>
    <w:rsid w:val="00854DDE"/>
    <w:rsid w:val="008550D0"/>
    <w:rsid w:val="00855247"/>
    <w:rsid w:val="0085535A"/>
    <w:rsid w:val="00855C58"/>
    <w:rsid w:val="008564BF"/>
    <w:rsid w:val="00856BAD"/>
    <w:rsid w:val="0086038D"/>
    <w:rsid w:val="0086207A"/>
    <w:rsid w:val="00864B94"/>
    <w:rsid w:val="00865A68"/>
    <w:rsid w:val="00865E18"/>
    <w:rsid w:val="00866401"/>
    <w:rsid w:val="00866FB1"/>
    <w:rsid w:val="00872002"/>
    <w:rsid w:val="0087299A"/>
    <w:rsid w:val="008736CA"/>
    <w:rsid w:val="0087514F"/>
    <w:rsid w:val="008767C1"/>
    <w:rsid w:val="0087688B"/>
    <w:rsid w:val="00877109"/>
    <w:rsid w:val="00880EEC"/>
    <w:rsid w:val="00884A57"/>
    <w:rsid w:val="008862DA"/>
    <w:rsid w:val="00886CDE"/>
    <w:rsid w:val="0089045D"/>
    <w:rsid w:val="00890FF2"/>
    <w:rsid w:val="008913D9"/>
    <w:rsid w:val="00892BA1"/>
    <w:rsid w:val="00893222"/>
    <w:rsid w:val="008A1539"/>
    <w:rsid w:val="008A26ED"/>
    <w:rsid w:val="008A2A46"/>
    <w:rsid w:val="008A5AF3"/>
    <w:rsid w:val="008A5BC4"/>
    <w:rsid w:val="008A6D44"/>
    <w:rsid w:val="008B0C78"/>
    <w:rsid w:val="008B1015"/>
    <w:rsid w:val="008B5809"/>
    <w:rsid w:val="008B69D3"/>
    <w:rsid w:val="008C0078"/>
    <w:rsid w:val="008C1A68"/>
    <w:rsid w:val="008C2B1B"/>
    <w:rsid w:val="008C311F"/>
    <w:rsid w:val="008C4D8C"/>
    <w:rsid w:val="008C6D65"/>
    <w:rsid w:val="008D08A4"/>
    <w:rsid w:val="008D165E"/>
    <w:rsid w:val="008D366B"/>
    <w:rsid w:val="008D4703"/>
    <w:rsid w:val="008D4911"/>
    <w:rsid w:val="008D4EC3"/>
    <w:rsid w:val="008D6DEB"/>
    <w:rsid w:val="008D7897"/>
    <w:rsid w:val="008E04D9"/>
    <w:rsid w:val="008E06C4"/>
    <w:rsid w:val="008E0A35"/>
    <w:rsid w:val="008E35DD"/>
    <w:rsid w:val="008E5258"/>
    <w:rsid w:val="008E53FE"/>
    <w:rsid w:val="008E549F"/>
    <w:rsid w:val="008E5DB1"/>
    <w:rsid w:val="008E7229"/>
    <w:rsid w:val="008E79F1"/>
    <w:rsid w:val="008E7C74"/>
    <w:rsid w:val="008F0138"/>
    <w:rsid w:val="008F0DDC"/>
    <w:rsid w:val="008F3001"/>
    <w:rsid w:val="008F5304"/>
    <w:rsid w:val="008F7F82"/>
    <w:rsid w:val="00900AB3"/>
    <w:rsid w:val="009025C3"/>
    <w:rsid w:val="00903663"/>
    <w:rsid w:val="00903FF5"/>
    <w:rsid w:val="00905276"/>
    <w:rsid w:val="0090581A"/>
    <w:rsid w:val="009064CC"/>
    <w:rsid w:val="0090687C"/>
    <w:rsid w:val="0090726D"/>
    <w:rsid w:val="0091136F"/>
    <w:rsid w:val="0091302F"/>
    <w:rsid w:val="00913196"/>
    <w:rsid w:val="00915511"/>
    <w:rsid w:val="00915522"/>
    <w:rsid w:val="0091785C"/>
    <w:rsid w:val="00917C9F"/>
    <w:rsid w:val="00920053"/>
    <w:rsid w:val="00920849"/>
    <w:rsid w:val="00920A57"/>
    <w:rsid w:val="00923A26"/>
    <w:rsid w:val="00924DBD"/>
    <w:rsid w:val="00924FF3"/>
    <w:rsid w:val="009258F7"/>
    <w:rsid w:val="00925D1F"/>
    <w:rsid w:val="00925E1A"/>
    <w:rsid w:val="00930918"/>
    <w:rsid w:val="00930F14"/>
    <w:rsid w:val="00931ACC"/>
    <w:rsid w:val="00932E44"/>
    <w:rsid w:val="0093589A"/>
    <w:rsid w:val="0093681A"/>
    <w:rsid w:val="009412C9"/>
    <w:rsid w:val="00941529"/>
    <w:rsid w:val="00941A72"/>
    <w:rsid w:val="00942D54"/>
    <w:rsid w:val="00943F72"/>
    <w:rsid w:val="00944316"/>
    <w:rsid w:val="00944ECF"/>
    <w:rsid w:val="00945D1D"/>
    <w:rsid w:val="009472EA"/>
    <w:rsid w:val="00950058"/>
    <w:rsid w:val="00950820"/>
    <w:rsid w:val="00950DE3"/>
    <w:rsid w:val="009522A3"/>
    <w:rsid w:val="00952EDC"/>
    <w:rsid w:val="0095470A"/>
    <w:rsid w:val="00955A6D"/>
    <w:rsid w:val="00956DF7"/>
    <w:rsid w:val="00961518"/>
    <w:rsid w:val="00961F8F"/>
    <w:rsid w:val="0096212B"/>
    <w:rsid w:val="0096280F"/>
    <w:rsid w:val="009649C0"/>
    <w:rsid w:val="0097030D"/>
    <w:rsid w:val="00974627"/>
    <w:rsid w:val="00974A97"/>
    <w:rsid w:val="00974B45"/>
    <w:rsid w:val="00974C02"/>
    <w:rsid w:val="00976ED7"/>
    <w:rsid w:val="00981C6F"/>
    <w:rsid w:val="0098273C"/>
    <w:rsid w:val="00983A32"/>
    <w:rsid w:val="00983A8F"/>
    <w:rsid w:val="00983E9B"/>
    <w:rsid w:val="00985322"/>
    <w:rsid w:val="009906E0"/>
    <w:rsid w:val="009920E9"/>
    <w:rsid w:val="00992BA3"/>
    <w:rsid w:val="00994424"/>
    <w:rsid w:val="00996548"/>
    <w:rsid w:val="00996D71"/>
    <w:rsid w:val="00996DFF"/>
    <w:rsid w:val="009A208E"/>
    <w:rsid w:val="009A2FFA"/>
    <w:rsid w:val="009A3485"/>
    <w:rsid w:val="009A35A1"/>
    <w:rsid w:val="009A3655"/>
    <w:rsid w:val="009A53F8"/>
    <w:rsid w:val="009A6438"/>
    <w:rsid w:val="009A67AE"/>
    <w:rsid w:val="009A6AFF"/>
    <w:rsid w:val="009A725D"/>
    <w:rsid w:val="009B11B8"/>
    <w:rsid w:val="009B150B"/>
    <w:rsid w:val="009B2264"/>
    <w:rsid w:val="009B5823"/>
    <w:rsid w:val="009B5BD3"/>
    <w:rsid w:val="009B5E8F"/>
    <w:rsid w:val="009B6587"/>
    <w:rsid w:val="009B7867"/>
    <w:rsid w:val="009C09BF"/>
    <w:rsid w:val="009C0EBD"/>
    <w:rsid w:val="009C2D8C"/>
    <w:rsid w:val="009C3BF6"/>
    <w:rsid w:val="009C3F29"/>
    <w:rsid w:val="009C612F"/>
    <w:rsid w:val="009C67BD"/>
    <w:rsid w:val="009C6AA3"/>
    <w:rsid w:val="009C6D07"/>
    <w:rsid w:val="009D3951"/>
    <w:rsid w:val="009D5CA3"/>
    <w:rsid w:val="009D64A9"/>
    <w:rsid w:val="009E364B"/>
    <w:rsid w:val="009E3999"/>
    <w:rsid w:val="009E4BE1"/>
    <w:rsid w:val="009F1BD4"/>
    <w:rsid w:val="009F319B"/>
    <w:rsid w:val="009F49E8"/>
    <w:rsid w:val="009F5C91"/>
    <w:rsid w:val="009F6FF0"/>
    <w:rsid w:val="009F7416"/>
    <w:rsid w:val="00A00E3C"/>
    <w:rsid w:val="00A01523"/>
    <w:rsid w:val="00A01B12"/>
    <w:rsid w:val="00A03CBC"/>
    <w:rsid w:val="00A04802"/>
    <w:rsid w:val="00A054A8"/>
    <w:rsid w:val="00A0773B"/>
    <w:rsid w:val="00A07849"/>
    <w:rsid w:val="00A07AEE"/>
    <w:rsid w:val="00A10915"/>
    <w:rsid w:val="00A117F7"/>
    <w:rsid w:val="00A124F3"/>
    <w:rsid w:val="00A12C33"/>
    <w:rsid w:val="00A12E5B"/>
    <w:rsid w:val="00A14DB8"/>
    <w:rsid w:val="00A15422"/>
    <w:rsid w:val="00A15876"/>
    <w:rsid w:val="00A16FE1"/>
    <w:rsid w:val="00A17959"/>
    <w:rsid w:val="00A17A0C"/>
    <w:rsid w:val="00A20D9E"/>
    <w:rsid w:val="00A21B06"/>
    <w:rsid w:val="00A23714"/>
    <w:rsid w:val="00A248A2"/>
    <w:rsid w:val="00A24FF4"/>
    <w:rsid w:val="00A25F90"/>
    <w:rsid w:val="00A26293"/>
    <w:rsid w:val="00A26FFE"/>
    <w:rsid w:val="00A30572"/>
    <w:rsid w:val="00A31537"/>
    <w:rsid w:val="00A317B6"/>
    <w:rsid w:val="00A324B1"/>
    <w:rsid w:val="00A3293C"/>
    <w:rsid w:val="00A35335"/>
    <w:rsid w:val="00A353BA"/>
    <w:rsid w:val="00A35B4C"/>
    <w:rsid w:val="00A3614F"/>
    <w:rsid w:val="00A37217"/>
    <w:rsid w:val="00A37FC1"/>
    <w:rsid w:val="00A40379"/>
    <w:rsid w:val="00A4071C"/>
    <w:rsid w:val="00A40D48"/>
    <w:rsid w:val="00A4115D"/>
    <w:rsid w:val="00A42AD4"/>
    <w:rsid w:val="00A42F51"/>
    <w:rsid w:val="00A42FD6"/>
    <w:rsid w:val="00A43BFD"/>
    <w:rsid w:val="00A44E51"/>
    <w:rsid w:val="00A450E4"/>
    <w:rsid w:val="00A45EAC"/>
    <w:rsid w:val="00A47930"/>
    <w:rsid w:val="00A5163D"/>
    <w:rsid w:val="00A53BCF"/>
    <w:rsid w:val="00A54508"/>
    <w:rsid w:val="00A55038"/>
    <w:rsid w:val="00A55172"/>
    <w:rsid w:val="00A57087"/>
    <w:rsid w:val="00A57E00"/>
    <w:rsid w:val="00A602A2"/>
    <w:rsid w:val="00A60E88"/>
    <w:rsid w:val="00A61273"/>
    <w:rsid w:val="00A62180"/>
    <w:rsid w:val="00A6406E"/>
    <w:rsid w:val="00A67C9A"/>
    <w:rsid w:val="00A67EAD"/>
    <w:rsid w:val="00A715B7"/>
    <w:rsid w:val="00A718C8"/>
    <w:rsid w:val="00A7592F"/>
    <w:rsid w:val="00A75B2D"/>
    <w:rsid w:val="00A75D56"/>
    <w:rsid w:val="00A77BC3"/>
    <w:rsid w:val="00A77BE7"/>
    <w:rsid w:val="00A80C9A"/>
    <w:rsid w:val="00A8354D"/>
    <w:rsid w:val="00A86105"/>
    <w:rsid w:val="00A91402"/>
    <w:rsid w:val="00A926A8"/>
    <w:rsid w:val="00A92BB5"/>
    <w:rsid w:val="00A94BF3"/>
    <w:rsid w:val="00A97278"/>
    <w:rsid w:val="00A97D35"/>
    <w:rsid w:val="00AA01AF"/>
    <w:rsid w:val="00AA2EC2"/>
    <w:rsid w:val="00AA4756"/>
    <w:rsid w:val="00AA53BE"/>
    <w:rsid w:val="00AA5531"/>
    <w:rsid w:val="00AA5D9C"/>
    <w:rsid w:val="00AA680E"/>
    <w:rsid w:val="00AB05BF"/>
    <w:rsid w:val="00AB1129"/>
    <w:rsid w:val="00AB185E"/>
    <w:rsid w:val="00AB1A3E"/>
    <w:rsid w:val="00AB334B"/>
    <w:rsid w:val="00AC1F35"/>
    <w:rsid w:val="00AC3F90"/>
    <w:rsid w:val="00AC5E7D"/>
    <w:rsid w:val="00AC724D"/>
    <w:rsid w:val="00AC7E46"/>
    <w:rsid w:val="00AD1E72"/>
    <w:rsid w:val="00AD2190"/>
    <w:rsid w:val="00AD2B5B"/>
    <w:rsid w:val="00AD2FDE"/>
    <w:rsid w:val="00AD426E"/>
    <w:rsid w:val="00AD5AE2"/>
    <w:rsid w:val="00AD6953"/>
    <w:rsid w:val="00AD6D19"/>
    <w:rsid w:val="00AD71E5"/>
    <w:rsid w:val="00AE07AB"/>
    <w:rsid w:val="00AE0C14"/>
    <w:rsid w:val="00AE0FE9"/>
    <w:rsid w:val="00AE13CF"/>
    <w:rsid w:val="00AE1B15"/>
    <w:rsid w:val="00AE38BC"/>
    <w:rsid w:val="00AE537D"/>
    <w:rsid w:val="00AE616A"/>
    <w:rsid w:val="00AE6DB4"/>
    <w:rsid w:val="00AE789C"/>
    <w:rsid w:val="00AE7EAC"/>
    <w:rsid w:val="00AF3BD1"/>
    <w:rsid w:val="00AF42BF"/>
    <w:rsid w:val="00AF5822"/>
    <w:rsid w:val="00AF59BC"/>
    <w:rsid w:val="00AF7626"/>
    <w:rsid w:val="00AF7726"/>
    <w:rsid w:val="00B00082"/>
    <w:rsid w:val="00B000D6"/>
    <w:rsid w:val="00B00ABC"/>
    <w:rsid w:val="00B015A3"/>
    <w:rsid w:val="00B01F0B"/>
    <w:rsid w:val="00B0281D"/>
    <w:rsid w:val="00B02A8C"/>
    <w:rsid w:val="00B034C2"/>
    <w:rsid w:val="00B0578F"/>
    <w:rsid w:val="00B05D58"/>
    <w:rsid w:val="00B06BC9"/>
    <w:rsid w:val="00B10506"/>
    <w:rsid w:val="00B11140"/>
    <w:rsid w:val="00B11CC3"/>
    <w:rsid w:val="00B12073"/>
    <w:rsid w:val="00B1311D"/>
    <w:rsid w:val="00B14AA6"/>
    <w:rsid w:val="00B16516"/>
    <w:rsid w:val="00B165D9"/>
    <w:rsid w:val="00B16A8A"/>
    <w:rsid w:val="00B17445"/>
    <w:rsid w:val="00B17737"/>
    <w:rsid w:val="00B17F29"/>
    <w:rsid w:val="00B2241B"/>
    <w:rsid w:val="00B23D49"/>
    <w:rsid w:val="00B24114"/>
    <w:rsid w:val="00B24CC9"/>
    <w:rsid w:val="00B25028"/>
    <w:rsid w:val="00B25374"/>
    <w:rsid w:val="00B25948"/>
    <w:rsid w:val="00B27832"/>
    <w:rsid w:val="00B30D5B"/>
    <w:rsid w:val="00B314FE"/>
    <w:rsid w:val="00B34765"/>
    <w:rsid w:val="00B35680"/>
    <w:rsid w:val="00B36A1D"/>
    <w:rsid w:val="00B36CE2"/>
    <w:rsid w:val="00B403B6"/>
    <w:rsid w:val="00B406DF"/>
    <w:rsid w:val="00B423F5"/>
    <w:rsid w:val="00B4296D"/>
    <w:rsid w:val="00B46F2B"/>
    <w:rsid w:val="00B47B06"/>
    <w:rsid w:val="00B518C6"/>
    <w:rsid w:val="00B51D09"/>
    <w:rsid w:val="00B51E2D"/>
    <w:rsid w:val="00B52C36"/>
    <w:rsid w:val="00B5322E"/>
    <w:rsid w:val="00B54651"/>
    <w:rsid w:val="00B548D6"/>
    <w:rsid w:val="00B54A06"/>
    <w:rsid w:val="00B55BE4"/>
    <w:rsid w:val="00B602C4"/>
    <w:rsid w:val="00B656A3"/>
    <w:rsid w:val="00B65951"/>
    <w:rsid w:val="00B663DA"/>
    <w:rsid w:val="00B672A9"/>
    <w:rsid w:val="00B72178"/>
    <w:rsid w:val="00B7646C"/>
    <w:rsid w:val="00B773A4"/>
    <w:rsid w:val="00B8043D"/>
    <w:rsid w:val="00B809D4"/>
    <w:rsid w:val="00B8173D"/>
    <w:rsid w:val="00B8282E"/>
    <w:rsid w:val="00B83C51"/>
    <w:rsid w:val="00B84DFE"/>
    <w:rsid w:val="00B8641E"/>
    <w:rsid w:val="00B86635"/>
    <w:rsid w:val="00B86C18"/>
    <w:rsid w:val="00B9370A"/>
    <w:rsid w:val="00B94D09"/>
    <w:rsid w:val="00B95885"/>
    <w:rsid w:val="00B97685"/>
    <w:rsid w:val="00BA0103"/>
    <w:rsid w:val="00BA12BA"/>
    <w:rsid w:val="00BA2859"/>
    <w:rsid w:val="00BA2FC5"/>
    <w:rsid w:val="00BA36C1"/>
    <w:rsid w:val="00BA3E34"/>
    <w:rsid w:val="00BA4190"/>
    <w:rsid w:val="00BA4EEE"/>
    <w:rsid w:val="00BA50AA"/>
    <w:rsid w:val="00BA5FC1"/>
    <w:rsid w:val="00BA61F2"/>
    <w:rsid w:val="00BA72AA"/>
    <w:rsid w:val="00BA7ABF"/>
    <w:rsid w:val="00BB153F"/>
    <w:rsid w:val="00BB2505"/>
    <w:rsid w:val="00BB26A4"/>
    <w:rsid w:val="00BB5768"/>
    <w:rsid w:val="00BB75F5"/>
    <w:rsid w:val="00BC0320"/>
    <w:rsid w:val="00BC0453"/>
    <w:rsid w:val="00BC1C72"/>
    <w:rsid w:val="00BC1D99"/>
    <w:rsid w:val="00BC32CC"/>
    <w:rsid w:val="00BC49EB"/>
    <w:rsid w:val="00BC50E7"/>
    <w:rsid w:val="00BC6287"/>
    <w:rsid w:val="00BC6982"/>
    <w:rsid w:val="00BD0CC5"/>
    <w:rsid w:val="00BD3291"/>
    <w:rsid w:val="00BD4E49"/>
    <w:rsid w:val="00BD4F1E"/>
    <w:rsid w:val="00BD56E6"/>
    <w:rsid w:val="00BE150D"/>
    <w:rsid w:val="00BE2DF4"/>
    <w:rsid w:val="00BE638E"/>
    <w:rsid w:val="00BE6852"/>
    <w:rsid w:val="00BE6BBD"/>
    <w:rsid w:val="00BF1E82"/>
    <w:rsid w:val="00BF3186"/>
    <w:rsid w:val="00BF3268"/>
    <w:rsid w:val="00C0012B"/>
    <w:rsid w:val="00C006BA"/>
    <w:rsid w:val="00C01ED6"/>
    <w:rsid w:val="00C0384E"/>
    <w:rsid w:val="00C03CB9"/>
    <w:rsid w:val="00C05D72"/>
    <w:rsid w:val="00C07D11"/>
    <w:rsid w:val="00C1014E"/>
    <w:rsid w:val="00C11E0C"/>
    <w:rsid w:val="00C12E6B"/>
    <w:rsid w:val="00C1341D"/>
    <w:rsid w:val="00C14F66"/>
    <w:rsid w:val="00C22A51"/>
    <w:rsid w:val="00C22F69"/>
    <w:rsid w:val="00C232AD"/>
    <w:rsid w:val="00C23619"/>
    <w:rsid w:val="00C23801"/>
    <w:rsid w:val="00C244AD"/>
    <w:rsid w:val="00C25557"/>
    <w:rsid w:val="00C27606"/>
    <w:rsid w:val="00C30F6E"/>
    <w:rsid w:val="00C312FE"/>
    <w:rsid w:val="00C31DDD"/>
    <w:rsid w:val="00C33DE7"/>
    <w:rsid w:val="00C40F8F"/>
    <w:rsid w:val="00C41557"/>
    <w:rsid w:val="00C426EF"/>
    <w:rsid w:val="00C44415"/>
    <w:rsid w:val="00C45D03"/>
    <w:rsid w:val="00C46E02"/>
    <w:rsid w:val="00C47263"/>
    <w:rsid w:val="00C4737A"/>
    <w:rsid w:val="00C50E41"/>
    <w:rsid w:val="00C51221"/>
    <w:rsid w:val="00C5123A"/>
    <w:rsid w:val="00C522A2"/>
    <w:rsid w:val="00C53017"/>
    <w:rsid w:val="00C54CC6"/>
    <w:rsid w:val="00C56814"/>
    <w:rsid w:val="00C56ACD"/>
    <w:rsid w:val="00C578F2"/>
    <w:rsid w:val="00C57F39"/>
    <w:rsid w:val="00C614B9"/>
    <w:rsid w:val="00C617AA"/>
    <w:rsid w:val="00C61AC0"/>
    <w:rsid w:val="00C62599"/>
    <w:rsid w:val="00C62C2C"/>
    <w:rsid w:val="00C63C78"/>
    <w:rsid w:val="00C642A4"/>
    <w:rsid w:val="00C66CEC"/>
    <w:rsid w:val="00C70DA6"/>
    <w:rsid w:val="00C721B3"/>
    <w:rsid w:val="00C74106"/>
    <w:rsid w:val="00C75B5B"/>
    <w:rsid w:val="00C80185"/>
    <w:rsid w:val="00C81F8C"/>
    <w:rsid w:val="00C8271C"/>
    <w:rsid w:val="00C82D03"/>
    <w:rsid w:val="00C83486"/>
    <w:rsid w:val="00C85EB4"/>
    <w:rsid w:val="00C8621A"/>
    <w:rsid w:val="00C87EC9"/>
    <w:rsid w:val="00C90770"/>
    <w:rsid w:val="00C90E43"/>
    <w:rsid w:val="00C90F62"/>
    <w:rsid w:val="00C92350"/>
    <w:rsid w:val="00C92A81"/>
    <w:rsid w:val="00C936C0"/>
    <w:rsid w:val="00C938C9"/>
    <w:rsid w:val="00C93BE2"/>
    <w:rsid w:val="00C94DFB"/>
    <w:rsid w:val="00C9543D"/>
    <w:rsid w:val="00C97151"/>
    <w:rsid w:val="00C97663"/>
    <w:rsid w:val="00C97DBD"/>
    <w:rsid w:val="00CA0CC7"/>
    <w:rsid w:val="00CA0CFE"/>
    <w:rsid w:val="00CA374D"/>
    <w:rsid w:val="00CA3A06"/>
    <w:rsid w:val="00CA6277"/>
    <w:rsid w:val="00CA6D78"/>
    <w:rsid w:val="00CB024C"/>
    <w:rsid w:val="00CB14DF"/>
    <w:rsid w:val="00CB23E6"/>
    <w:rsid w:val="00CB26AC"/>
    <w:rsid w:val="00CB5081"/>
    <w:rsid w:val="00CB59D7"/>
    <w:rsid w:val="00CB6927"/>
    <w:rsid w:val="00CB7974"/>
    <w:rsid w:val="00CC0B94"/>
    <w:rsid w:val="00CC0E46"/>
    <w:rsid w:val="00CC64EF"/>
    <w:rsid w:val="00CD064C"/>
    <w:rsid w:val="00CD266A"/>
    <w:rsid w:val="00CD2EFE"/>
    <w:rsid w:val="00CD418F"/>
    <w:rsid w:val="00CD4FFB"/>
    <w:rsid w:val="00CD559B"/>
    <w:rsid w:val="00CD6655"/>
    <w:rsid w:val="00CD6B91"/>
    <w:rsid w:val="00CD6C75"/>
    <w:rsid w:val="00CD6D77"/>
    <w:rsid w:val="00CD6E18"/>
    <w:rsid w:val="00CE0FC7"/>
    <w:rsid w:val="00CE1C22"/>
    <w:rsid w:val="00CE2600"/>
    <w:rsid w:val="00CE31E4"/>
    <w:rsid w:val="00CE3723"/>
    <w:rsid w:val="00CE405D"/>
    <w:rsid w:val="00CE47FA"/>
    <w:rsid w:val="00CE54F8"/>
    <w:rsid w:val="00CE57C5"/>
    <w:rsid w:val="00CE60D3"/>
    <w:rsid w:val="00CE7929"/>
    <w:rsid w:val="00CF10B3"/>
    <w:rsid w:val="00CF13CA"/>
    <w:rsid w:val="00CF3774"/>
    <w:rsid w:val="00CF61FD"/>
    <w:rsid w:val="00CF66DE"/>
    <w:rsid w:val="00CF6865"/>
    <w:rsid w:val="00D0096B"/>
    <w:rsid w:val="00D00A4A"/>
    <w:rsid w:val="00D01A93"/>
    <w:rsid w:val="00D03338"/>
    <w:rsid w:val="00D043F4"/>
    <w:rsid w:val="00D10C47"/>
    <w:rsid w:val="00D117AB"/>
    <w:rsid w:val="00D1377F"/>
    <w:rsid w:val="00D14826"/>
    <w:rsid w:val="00D17E27"/>
    <w:rsid w:val="00D17F9A"/>
    <w:rsid w:val="00D20B54"/>
    <w:rsid w:val="00D2172C"/>
    <w:rsid w:val="00D22192"/>
    <w:rsid w:val="00D23DB5"/>
    <w:rsid w:val="00D23E79"/>
    <w:rsid w:val="00D23EC8"/>
    <w:rsid w:val="00D24C8F"/>
    <w:rsid w:val="00D30C62"/>
    <w:rsid w:val="00D31C4A"/>
    <w:rsid w:val="00D31C6A"/>
    <w:rsid w:val="00D322FC"/>
    <w:rsid w:val="00D32C14"/>
    <w:rsid w:val="00D33E70"/>
    <w:rsid w:val="00D33EFE"/>
    <w:rsid w:val="00D34DBB"/>
    <w:rsid w:val="00D352D8"/>
    <w:rsid w:val="00D35A44"/>
    <w:rsid w:val="00D36700"/>
    <w:rsid w:val="00D36F9D"/>
    <w:rsid w:val="00D371EB"/>
    <w:rsid w:val="00D41923"/>
    <w:rsid w:val="00D42159"/>
    <w:rsid w:val="00D43093"/>
    <w:rsid w:val="00D43360"/>
    <w:rsid w:val="00D4347F"/>
    <w:rsid w:val="00D4414D"/>
    <w:rsid w:val="00D447BF"/>
    <w:rsid w:val="00D461B4"/>
    <w:rsid w:val="00D4635B"/>
    <w:rsid w:val="00D46A2E"/>
    <w:rsid w:val="00D46E24"/>
    <w:rsid w:val="00D51162"/>
    <w:rsid w:val="00D517DB"/>
    <w:rsid w:val="00D5502D"/>
    <w:rsid w:val="00D56D3F"/>
    <w:rsid w:val="00D60938"/>
    <w:rsid w:val="00D6124E"/>
    <w:rsid w:val="00D61C00"/>
    <w:rsid w:val="00D63BCB"/>
    <w:rsid w:val="00D64A20"/>
    <w:rsid w:val="00D66E96"/>
    <w:rsid w:val="00D67EEF"/>
    <w:rsid w:val="00D741C7"/>
    <w:rsid w:val="00D7495C"/>
    <w:rsid w:val="00D7656A"/>
    <w:rsid w:val="00D76730"/>
    <w:rsid w:val="00D76FEF"/>
    <w:rsid w:val="00D770A4"/>
    <w:rsid w:val="00D775A6"/>
    <w:rsid w:val="00D77B55"/>
    <w:rsid w:val="00D8030E"/>
    <w:rsid w:val="00D803E1"/>
    <w:rsid w:val="00D80B80"/>
    <w:rsid w:val="00D81EBD"/>
    <w:rsid w:val="00D83D25"/>
    <w:rsid w:val="00D8461D"/>
    <w:rsid w:val="00D87116"/>
    <w:rsid w:val="00D90240"/>
    <w:rsid w:val="00D90BEB"/>
    <w:rsid w:val="00D91978"/>
    <w:rsid w:val="00D924B4"/>
    <w:rsid w:val="00D94F6E"/>
    <w:rsid w:val="00D95907"/>
    <w:rsid w:val="00D97DF9"/>
    <w:rsid w:val="00DA15B5"/>
    <w:rsid w:val="00DA3690"/>
    <w:rsid w:val="00DA4E3A"/>
    <w:rsid w:val="00DA78E3"/>
    <w:rsid w:val="00DA7DDD"/>
    <w:rsid w:val="00DB1477"/>
    <w:rsid w:val="00DB2B0E"/>
    <w:rsid w:val="00DB308C"/>
    <w:rsid w:val="00DB38A7"/>
    <w:rsid w:val="00DB3EAA"/>
    <w:rsid w:val="00DB3FD1"/>
    <w:rsid w:val="00DB68F1"/>
    <w:rsid w:val="00DB69A4"/>
    <w:rsid w:val="00DB6F95"/>
    <w:rsid w:val="00DB7B65"/>
    <w:rsid w:val="00DC0FD7"/>
    <w:rsid w:val="00DC2066"/>
    <w:rsid w:val="00DC2224"/>
    <w:rsid w:val="00DC37C3"/>
    <w:rsid w:val="00DC5458"/>
    <w:rsid w:val="00DC5C2A"/>
    <w:rsid w:val="00DC5EF9"/>
    <w:rsid w:val="00DC5FF7"/>
    <w:rsid w:val="00DC6B0C"/>
    <w:rsid w:val="00DC7455"/>
    <w:rsid w:val="00DD09DF"/>
    <w:rsid w:val="00DD1ADF"/>
    <w:rsid w:val="00DD3C59"/>
    <w:rsid w:val="00DD5614"/>
    <w:rsid w:val="00DD59AF"/>
    <w:rsid w:val="00DE0978"/>
    <w:rsid w:val="00DE14DA"/>
    <w:rsid w:val="00DE29C7"/>
    <w:rsid w:val="00DE3438"/>
    <w:rsid w:val="00DE5B66"/>
    <w:rsid w:val="00DE66F7"/>
    <w:rsid w:val="00DE7827"/>
    <w:rsid w:val="00DF067A"/>
    <w:rsid w:val="00DF10CF"/>
    <w:rsid w:val="00DF1764"/>
    <w:rsid w:val="00DF2059"/>
    <w:rsid w:val="00DF276A"/>
    <w:rsid w:val="00DF39A3"/>
    <w:rsid w:val="00DF5C19"/>
    <w:rsid w:val="00E02EEC"/>
    <w:rsid w:val="00E02F3D"/>
    <w:rsid w:val="00E04816"/>
    <w:rsid w:val="00E04A0D"/>
    <w:rsid w:val="00E04A2B"/>
    <w:rsid w:val="00E0643A"/>
    <w:rsid w:val="00E072ED"/>
    <w:rsid w:val="00E101B1"/>
    <w:rsid w:val="00E10BC4"/>
    <w:rsid w:val="00E10FAE"/>
    <w:rsid w:val="00E111AE"/>
    <w:rsid w:val="00E1142F"/>
    <w:rsid w:val="00E12787"/>
    <w:rsid w:val="00E12CA2"/>
    <w:rsid w:val="00E15F4A"/>
    <w:rsid w:val="00E16FF6"/>
    <w:rsid w:val="00E17C12"/>
    <w:rsid w:val="00E20185"/>
    <w:rsid w:val="00E20419"/>
    <w:rsid w:val="00E23016"/>
    <w:rsid w:val="00E25D76"/>
    <w:rsid w:val="00E267AC"/>
    <w:rsid w:val="00E27296"/>
    <w:rsid w:val="00E30783"/>
    <w:rsid w:val="00E3210C"/>
    <w:rsid w:val="00E323B7"/>
    <w:rsid w:val="00E32A8F"/>
    <w:rsid w:val="00E3307E"/>
    <w:rsid w:val="00E33304"/>
    <w:rsid w:val="00E3420D"/>
    <w:rsid w:val="00E34610"/>
    <w:rsid w:val="00E35785"/>
    <w:rsid w:val="00E3688F"/>
    <w:rsid w:val="00E412CA"/>
    <w:rsid w:val="00E421A4"/>
    <w:rsid w:val="00E42E81"/>
    <w:rsid w:val="00E43109"/>
    <w:rsid w:val="00E43DE3"/>
    <w:rsid w:val="00E441C8"/>
    <w:rsid w:val="00E4495D"/>
    <w:rsid w:val="00E44A29"/>
    <w:rsid w:val="00E47AF8"/>
    <w:rsid w:val="00E5208A"/>
    <w:rsid w:val="00E52E85"/>
    <w:rsid w:val="00E53FA7"/>
    <w:rsid w:val="00E5525F"/>
    <w:rsid w:val="00E55CD1"/>
    <w:rsid w:val="00E565AE"/>
    <w:rsid w:val="00E62F82"/>
    <w:rsid w:val="00E64EF2"/>
    <w:rsid w:val="00E6638B"/>
    <w:rsid w:val="00E6726F"/>
    <w:rsid w:val="00E70139"/>
    <w:rsid w:val="00E701E0"/>
    <w:rsid w:val="00E75CD8"/>
    <w:rsid w:val="00E75DD4"/>
    <w:rsid w:val="00E75FB3"/>
    <w:rsid w:val="00E761F8"/>
    <w:rsid w:val="00E8007B"/>
    <w:rsid w:val="00E80EF2"/>
    <w:rsid w:val="00E81A94"/>
    <w:rsid w:val="00E869AB"/>
    <w:rsid w:val="00E86AAD"/>
    <w:rsid w:val="00E903F8"/>
    <w:rsid w:val="00E9055A"/>
    <w:rsid w:val="00E912A0"/>
    <w:rsid w:val="00E925AA"/>
    <w:rsid w:val="00E92BCE"/>
    <w:rsid w:val="00E9398E"/>
    <w:rsid w:val="00E93E65"/>
    <w:rsid w:val="00E94199"/>
    <w:rsid w:val="00E956F3"/>
    <w:rsid w:val="00E96983"/>
    <w:rsid w:val="00E96E69"/>
    <w:rsid w:val="00E97D14"/>
    <w:rsid w:val="00EA200D"/>
    <w:rsid w:val="00EA564C"/>
    <w:rsid w:val="00EA6D8C"/>
    <w:rsid w:val="00EA6E77"/>
    <w:rsid w:val="00EB07C6"/>
    <w:rsid w:val="00EB21DB"/>
    <w:rsid w:val="00EB426C"/>
    <w:rsid w:val="00EB4C22"/>
    <w:rsid w:val="00EB4C43"/>
    <w:rsid w:val="00EB4DE8"/>
    <w:rsid w:val="00EC198D"/>
    <w:rsid w:val="00EC202D"/>
    <w:rsid w:val="00EC2B61"/>
    <w:rsid w:val="00EC2F3C"/>
    <w:rsid w:val="00EC3282"/>
    <w:rsid w:val="00EC390B"/>
    <w:rsid w:val="00EC3F1F"/>
    <w:rsid w:val="00EC4A30"/>
    <w:rsid w:val="00EC6F8E"/>
    <w:rsid w:val="00EC735B"/>
    <w:rsid w:val="00ED165D"/>
    <w:rsid w:val="00ED1871"/>
    <w:rsid w:val="00ED1D70"/>
    <w:rsid w:val="00ED321C"/>
    <w:rsid w:val="00ED3A57"/>
    <w:rsid w:val="00ED4610"/>
    <w:rsid w:val="00ED4F39"/>
    <w:rsid w:val="00ED5F08"/>
    <w:rsid w:val="00ED6E8E"/>
    <w:rsid w:val="00ED7B68"/>
    <w:rsid w:val="00EE1B96"/>
    <w:rsid w:val="00EE316B"/>
    <w:rsid w:val="00EE40D9"/>
    <w:rsid w:val="00EE40EB"/>
    <w:rsid w:val="00EE484F"/>
    <w:rsid w:val="00EE491E"/>
    <w:rsid w:val="00EE4956"/>
    <w:rsid w:val="00EE58CE"/>
    <w:rsid w:val="00EE5DC6"/>
    <w:rsid w:val="00EE72DB"/>
    <w:rsid w:val="00EE7641"/>
    <w:rsid w:val="00EE7C96"/>
    <w:rsid w:val="00EF154F"/>
    <w:rsid w:val="00EF2A98"/>
    <w:rsid w:val="00EF6B08"/>
    <w:rsid w:val="00EF71AA"/>
    <w:rsid w:val="00F020B9"/>
    <w:rsid w:val="00F0343C"/>
    <w:rsid w:val="00F03462"/>
    <w:rsid w:val="00F03913"/>
    <w:rsid w:val="00F10DE4"/>
    <w:rsid w:val="00F11500"/>
    <w:rsid w:val="00F11653"/>
    <w:rsid w:val="00F118B7"/>
    <w:rsid w:val="00F13339"/>
    <w:rsid w:val="00F1346C"/>
    <w:rsid w:val="00F14374"/>
    <w:rsid w:val="00F14C47"/>
    <w:rsid w:val="00F16975"/>
    <w:rsid w:val="00F16A50"/>
    <w:rsid w:val="00F16D0B"/>
    <w:rsid w:val="00F17D4A"/>
    <w:rsid w:val="00F20F52"/>
    <w:rsid w:val="00F21DA0"/>
    <w:rsid w:val="00F22C8B"/>
    <w:rsid w:val="00F24A0F"/>
    <w:rsid w:val="00F254F7"/>
    <w:rsid w:val="00F25E50"/>
    <w:rsid w:val="00F25F02"/>
    <w:rsid w:val="00F27CCF"/>
    <w:rsid w:val="00F27D81"/>
    <w:rsid w:val="00F317BB"/>
    <w:rsid w:val="00F4013A"/>
    <w:rsid w:val="00F40264"/>
    <w:rsid w:val="00F40B07"/>
    <w:rsid w:val="00F4160D"/>
    <w:rsid w:val="00F42EF7"/>
    <w:rsid w:val="00F430C2"/>
    <w:rsid w:val="00F438C4"/>
    <w:rsid w:val="00F44C57"/>
    <w:rsid w:val="00F46691"/>
    <w:rsid w:val="00F46763"/>
    <w:rsid w:val="00F467F5"/>
    <w:rsid w:val="00F500ED"/>
    <w:rsid w:val="00F51976"/>
    <w:rsid w:val="00F54073"/>
    <w:rsid w:val="00F5435B"/>
    <w:rsid w:val="00F5484A"/>
    <w:rsid w:val="00F55FF4"/>
    <w:rsid w:val="00F56D03"/>
    <w:rsid w:val="00F57BCF"/>
    <w:rsid w:val="00F602F4"/>
    <w:rsid w:val="00F6173F"/>
    <w:rsid w:val="00F63E9A"/>
    <w:rsid w:val="00F63F1A"/>
    <w:rsid w:val="00F64871"/>
    <w:rsid w:val="00F648B6"/>
    <w:rsid w:val="00F64C9D"/>
    <w:rsid w:val="00F733CB"/>
    <w:rsid w:val="00F736C0"/>
    <w:rsid w:val="00F73974"/>
    <w:rsid w:val="00F742BB"/>
    <w:rsid w:val="00F765B5"/>
    <w:rsid w:val="00F76732"/>
    <w:rsid w:val="00F777B7"/>
    <w:rsid w:val="00F80D46"/>
    <w:rsid w:val="00F81065"/>
    <w:rsid w:val="00F81FC9"/>
    <w:rsid w:val="00F823B8"/>
    <w:rsid w:val="00F8241C"/>
    <w:rsid w:val="00F82C98"/>
    <w:rsid w:val="00F843D8"/>
    <w:rsid w:val="00F84C6C"/>
    <w:rsid w:val="00F86089"/>
    <w:rsid w:val="00F8673A"/>
    <w:rsid w:val="00F87B1C"/>
    <w:rsid w:val="00F907D4"/>
    <w:rsid w:val="00F917BF"/>
    <w:rsid w:val="00F92964"/>
    <w:rsid w:val="00F94E9F"/>
    <w:rsid w:val="00F95BE3"/>
    <w:rsid w:val="00F969A3"/>
    <w:rsid w:val="00F96EE0"/>
    <w:rsid w:val="00F97DDF"/>
    <w:rsid w:val="00FA000D"/>
    <w:rsid w:val="00FA0314"/>
    <w:rsid w:val="00FA04C6"/>
    <w:rsid w:val="00FA0747"/>
    <w:rsid w:val="00FA17FB"/>
    <w:rsid w:val="00FA18DF"/>
    <w:rsid w:val="00FA1A10"/>
    <w:rsid w:val="00FA1F19"/>
    <w:rsid w:val="00FA25E4"/>
    <w:rsid w:val="00FA3C14"/>
    <w:rsid w:val="00FB0081"/>
    <w:rsid w:val="00FB1386"/>
    <w:rsid w:val="00FB1B41"/>
    <w:rsid w:val="00FB2269"/>
    <w:rsid w:val="00FB25C6"/>
    <w:rsid w:val="00FB3345"/>
    <w:rsid w:val="00FB36D8"/>
    <w:rsid w:val="00FB428A"/>
    <w:rsid w:val="00FB4CFA"/>
    <w:rsid w:val="00FB6044"/>
    <w:rsid w:val="00FC07C2"/>
    <w:rsid w:val="00FC13D7"/>
    <w:rsid w:val="00FC331B"/>
    <w:rsid w:val="00FC491B"/>
    <w:rsid w:val="00FD119F"/>
    <w:rsid w:val="00FD1C69"/>
    <w:rsid w:val="00FD514A"/>
    <w:rsid w:val="00FD5A88"/>
    <w:rsid w:val="00FD5C79"/>
    <w:rsid w:val="00FD655A"/>
    <w:rsid w:val="00FD7992"/>
    <w:rsid w:val="00FE0999"/>
    <w:rsid w:val="00FE132F"/>
    <w:rsid w:val="00FE183F"/>
    <w:rsid w:val="00FE37B0"/>
    <w:rsid w:val="00FE4115"/>
    <w:rsid w:val="00FE4B1F"/>
    <w:rsid w:val="00FF0407"/>
    <w:rsid w:val="00FF0715"/>
    <w:rsid w:val="00FF078D"/>
    <w:rsid w:val="00FF1331"/>
    <w:rsid w:val="00FF1B2A"/>
    <w:rsid w:val="00FF1B4A"/>
    <w:rsid w:val="00FF2CFE"/>
    <w:rsid w:val="00FF37F0"/>
    <w:rsid w:val="00FF6E9A"/>
    <w:rsid w:val="00FF7548"/>
    <w:rsid w:val="00FF7B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962"/>
    <w:pPr>
      <w:spacing w:after="100" w:line="400" w:lineRule="exact"/>
      <w:jc w:val="both"/>
    </w:pPr>
    <w:rPr>
      <w:rFonts w:ascii="Century Schoolbook" w:hAnsi="Century Schoolbook"/>
      <w:sz w:val="27"/>
    </w:rPr>
  </w:style>
  <w:style w:type="paragraph" w:styleId="Heading1">
    <w:name w:val="heading 1"/>
    <w:basedOn w:val="Normal"/>
    <w:next w:val="Normal"/>
    <w:qFormat/>
    <w:rsid w:val="00750962"/>
    <w:pPr>
      <w:keepNext/>
      <w:spacing w:before="140" w:line="240" w:lineRule="atLeast"/>
      <w:jc w:val="center"/>
      <w:outlineLvl w:val="0"/>
    </w:pPr>
    <w:rPr>
      <w:b/>
      <w:smallCaps/>
    </w:rPr>
  </w:style>
  <w:style w:type="paragraph" w:styleId="Heading2">
    <w:name w:val="heading 2"/>
    <w:basedOn w:val="Normal"/>
    <w:next w:val="Normal"/>
    <w:qFormat/>
    <w:rsid w:val="0075096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50962"/>
    <w:pPr>
      <w:keepNext/>
      <w:tabs>
        <w:tab w:val="left" w:pos="1584"/>
      </w:tabs>
      <w:spacing w:before="140" w:line="240" w:lineRule="atLeast"/>
      <w:ind w:left="1584" w:hanging="432"/>
      <w:jc w:val="left"/>
      <w:outlineLvl w:val="2"/>
    </w:pPr>
    <w:rPr>
      <w:i/>
    </w:rPr>
  </w:style>
  <w:style w:type="paragraph" w:styleId="Heading4">
    <w:name w:val="heading 4"/>
    <w:basedOn w:val="Normal"/>
    <w:rsid w:val="00750962"/>
    <w:pPr>
      <w:keepNext/>
      <w:tabs>
        <w:tab w:val="left" w:pos="2016"/>
      </w:tabs>
      <w:spacing w:before="140" w:line="240" w:lineRule="atLeast"/>
      <w:ind w:left="2016" w:hanging="432"/>
      <w:jc w:val="left"/>
      <w:outlineLvl w:val="3"/>
    </w:pPr>
    <w:rPr>
      <w:i/>
    </w:rPr>
  </w:style>
  <w:style w:type="paragraph" w:styleId="Heading5">
    <w:name w:val="heading 5"/>
    <w:basedOn w:val="Normal"/>
    <w:rsid w:val="0075096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50962"/>
    <w:pPr>
      <w:ind w:left="720"/>
    </w:pPr>
  </w:style>
  <w:style w:type="paragraph" w:styleId="Footer">
    <w:name w:val="footer"/>
    <w:basedOn w:val="Normal"/>
    <w:qFormat/>
    <w:rsid w:val="00750962"/>
    <w:pPr>
      <w:tabs>
        <w:tab w:val="center" w:pos="3960"/>
        <w:tab w:val="right" w:pos="10080"/>
      </w:tabs>
      <w:spacing w:after="0" w:line="240" w:lineRule="auto"/>
      <w:jc w:val="center"/>
    </w:pPr>
    <w:rPr>
      <w:sz w:val="22"/>
    </w:rPr>
  </w:style>
  <w:style w:type="paragraph" w:styleId="Header">
    <w:name w:val="header"/>
    <w:basedOn w:val="Normal"/>
    <w:qFormat/>
    <w:rsid w:val="0075096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50962"/>
    <w:rPr>
      <w:rFonts w:ascii="Century Schoolbook" w:hAnsi="Century Schoolbook"/>
      <w:b/>
      <w:i w:val="0"/>
      <w:position w:val="4"/>
      <w:sz w:val="27"/>
      <w:vertAlign w:val="superscript"/>
    </w:rPr>
  </w:style>
  <w:style w:type="paragraph" w:styleId="FootnoteText">
    <w:name w:val="footnote text"/>
    <w:basedOn w:val="Normal"/>
    <w:link w:val="FootnoteTextChar"/>
    <w:rsid w:val="00750962"/>
    <w:pPr>
      <w:spacing w:line="300" w:lineRule="exact"/>
    </w:pPr>
  </w:style>
  <w:style w:type="paragraph" w:customStyle="1" w:styleId="Title1">
    <w:name w:val="Title1"/>
    <w:basedOn w:val="Normal"/>
    <w:rsid w:val="00750962"/>
    <w:pPr>
      <w:tabs>
        <w:tab w:val="left" w:pos="5760"/>
        <w:tab w:val="left" w:pos="6480"/>
      </w:tabs>
      <w:spacing w:line="240" w:lineRule="atLeast"/>
    </w:pPr>
  </w:style>
  <w:style w:type="paragraph" w:customStyle="1" w:styleId="Recommend">
    <w:name w:val="Recommend"/>
    <w:basedOn w:val="Normal"/>
    <w:rsid w:val="00750962"/>
  </w:style>
  <w:style w:type="paragraph" w:customStyle="1" w:styleId="Summary">
    <w:name w:val="Summary"/>
    <w:basedOn w:val="Normal"/>
    <w:rsid w:val="00750962"/>
    <w:pPr>
      <w:ind w:left="2160" w:hanging="2160"/>
    </w:pPr>
  </w:style>
  <w:style w:type="paragraph" w:customStyle="1" w:styleId="Text">
    <w:name w:val="Text"/>
    <w:basedOn w:val="Normal"/>
    <w:rsid w:val="00750962"/>
    <w:pPr>
      <w:tabs>
        <w:tab w:val="left" w:pos="720"/>
        <w:tab w:val="left" w:pos="1440"/>
        <w:tab w:val="left" w:pos="2160"/>
        <w:tab w:val="center" w:pos="4320"/>
      </w:tabs>
      <w:spacing w:line="480" w:lineRule="atLeast"/>
      <w:ind w:firstLine="540"/>
    </w:pPr>
  </w:style>
  <w:style w:type="paragraph" w:styleId="Date">
    <w:name w:val="Date"/>
    <w:basedOn w:val="Normal"/>
    <w:semiHidden/>
    <w:rsid w:val="00750962"/>
    <w:pPr>
      <w:jc w:val="right"/>
    </w:pPr>
  </w:style>
  <w:style w:type="character" w:styleId="PageNumber">
    <w:name w:val="page number"/>
    <w:basedOn w:val="DefaultParagraphFont"/>
    <w:semiHidden/>
    <w:rsid w:val="00750962"/>
  </w:style>
  <w:style w:type="paragraph" w:customStyle="1" w:styleId="subject">
    <w:name w:val="subject"/>
    <w:basedOn w:val="Normal"/>
    <w:rsid w:val="00750962"/>
    <w:pPr>
      <w:tabs>
        <w:tab w:val="left" w:pos="1008"/>
      </w:tabs>
      <w:ind w:left="990" w:hanging="990"/>
    </w:pPr>
    <w:rPr>
      <w:b/>
    </w:rPr>
  </w:style>
  <w:style w:type="paragraph" w:customStyle="1" w:styleId="Titles">
    <w:name w:val="Titles"/>
    <w:basedOn w:val="Normal"/>
    <w:rsid w:val="00750962"/>
    <w:pPr>
      <w:tabs>
        <w:tab w:val="left" w:pos="2160"/>
      </w:tabs>
      <w:ind w:left="2160" w:hanging="2160"/>
    </w:pPr>
    <w:rPr>
      <w:b/>
    </w:rPr>
  </w:style>
  <w:style w:type="paragraph" w:styleId="TOAHeading">
    <w:name w:val="toa heading"/>
    <w:basedOn w:val="Normal"/>
    <w:next w:val="Normal"/>
    <w:semiHidden/>
    <w:rsid w:val="00750962"/>
    <w:pPr>
      <w:spacing w:before="120"/>
    </w:pPr>
    <w:rPr>
      <w:b/>
    </w:rPr>
  </w:style>
  <w:style w:type="paragraph" w:styleId="TOC1">
    <w:name w:val="toc 1"/>
    <w:basedOn w:val="Normal"/>
    <w:next w:val="Normal"/>
    <w:autoRedefine/>
    <w:semiHidden/>
    <w:rsid w:val="00750962"/>
  </w:style>
  <w:style w:type="paragraph" w:styleId="TOC2">
    <w:name w:val="toc 2"/>
    <w:basedOn w:val="Normal"/>
    <w:next w:val="Normal"/>
    <w:autoRedefine/>
    <w:semiHidden/>
    <w:rsid w:val="00750962"/>
    <w:pPr>
      <w:ind w:left="259"/>
    </w:pPr>
  </w:style>
  <w:style w:type="paragraph" w:styleId="TOC3">
    <w:name w:val="toc 3"/>
    <w:basedOn w:val="Normal"/>
    <w:next w:val="Normal"/>
    <w:autoRedefine/>
    <w:semiHidden/>
    <w:rsid w:val="00750962"/>
    <w:pPr>
      <w:ind w:left="520"/>
    </w:pPr>
  </w:style>
  <w:style w:type="paragraph" w:styleId="TOC4">
    <w:name w:val="toc 4"/>
    <w:basedOn w:val="Normal"/>
    <w:next w:val="Normal"/>
    <w:autoRedefine/>
    <w:semiHidden/>
    <w:rsid w:val="00750962"/>
    <w:pPr>
      <w:ind w:left="780"/>
    </w:pPr>
  </w:style>
  <w:style w:type="paragraph" w:styleId="TOC5">
    <w:name w:val="toc 5"/>
    <w:basedOn w:val="Normal"/>
    <w:next w:val="Normal"/>
    <w:autoRedefine/>
    <w:semiHidden/>
    <w:rsid w:val="00750962"/>
    <w:pPr>
      <w:ind w:left="1040"/>
    </w:pPr>
  </w:style>
  <w:style w:type="paragraph" w:styleId="TOC6">
    <w:name w:val="toc 6"/>
    <w:basedOn w:val="Normal"/>
    <w:next w:val="Normal"/>
    <w:autoRedefine/>
    <w:semiHidden/>
    <w:rsid w:val="00750962"/>
    <w:pPr>
      <w:ind w:left="1300"/>
    </w:pPr>
  </w:style>
  <w:style w:type="paragraph" w:styleId="TOC7">
    <w:name w:val="toc 7"/>
    <w:basedOn w:val="Normal"/>
    <w:next w:val="Normal"/>
    <w:autoRedefine/>
    <w:semiHidden/>
    <w:rsid w:val="00750962"/>
    <w:pPr>
      <w:ind w:left="1560"/>
    </w:pPr>
  </w:style>
  <w:style w:type="paragraph" w:styleId="TOC8">
    <w:name w:val="toc 8"/>
    <w:basedOn w:val="Normal"/>
    <w:next w:val="Normal"/>
    <w:autoRedefine/>
    <w:semiHidden/>
    <w:rsid w:val="00750962"/>
    <w:pPr>
      <w:ind w:left="1820"/>
    </w:pPr>
  </w:style>
  <w:style w:type="paragraph" w:styleId="TOC9">
    <w:name w:val="toc 9"/>
    <w:basedOn w:val="Normal"/>
    <w:next w:val="Normal"/>
    <w:autoRedefine/>
    <w:semiHidden/>
    <w:rsid w:val="00750962"/>
    <w:pPr>
      <w:ind w:left="2080"/>
    </w:pPr>
  </w:style>
  <w:style w:type="paragraph" w:customStyle="1" w:styleId="Contents">
    <w:name w:val="Contents"/>
    <w:basedOn w:val="Normal"/>
    <w:rsid w:val="00750962"/>
    <w:pPr>
      <w:jc w:val="center"/>
    </w:pPr>
    <w:rPr>
      <w:b/>
      <w:spacing w:val="100"/>
    </w:rPr>
  </w:style>
  <w:style w:type="paragraph" w:styleId="ListParagraph">
    <w:name w:val="List Paragraph"/>
    <w:basedOn w:val="Normal"/>
    <w:uiPriority w:val="34"/>
    <w:qFormat/>
    <w:rsid w:val="001342E0"/>
    <w:pPr>
      <w:ind w:left="720"/>
      <w:contextualSpacing/>
    </w:pPr>
  </w:style>
  <w:style w:type="table" w:styleId="TableGrid">
    <w:name w:val="Table Grid"/>
    <w:basedOn w:val="TableNormal"/>
    <w:uiPriority w:val="59"/>
    <w:rsid w:val="004A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FF"/>
    <w:rPr>
      <w:rFonts w:ascii="Segoe UI" w:hAnsi="Segoe UI" w:cs="Segoe UI"/>
      <w:sz w:val="18"/>
      <w:szCs w:val="18"/>
    </w:rPr>
  </w:style>
  <w:style w:type="character" w:styleId="CommentReference">
    <w:name w:val="annotation reference"/>
    <w:basedOn w:val="DefaultParagraphFont"/>
    <w:uiPriority w:val="99"/>
    <w:semiHidden/>
    <w:unhideWhenUsed/>
    <w:rsid w:val="00AA5531"/>
    <w:rPr>
      <w:sz w:val="16"/>
      <w:szCs w:val="16"/>
    </w:rPr>
  </w:style>
  <w:style w:type="paragraph" w:styleId="CommentText">
    <w:name w:val="annotation text"/>
    <w:basedOn w:val="Normal"/>
    <w:link w:val="CommentTextChar"/>
    <w:uiPriority w:val="99"/>
    <w:unhideWhenUsed/>
    <w:rsid w:val="00AA5531"/>
    <w:rPr>
      <w:sz w:val="20"/>
    </w:rPr>
  </w:style>
  <w:style w:type="character" w:customStyle="1" w:styleId="CommentTextChar">
    <w:name w:val="Comment Text Char"/>
    <w:basedOn w:val="DefaultParagraphFont"/>
    <w:link w:val="CommentText"/>
    <w:uiPriority w:val="99"/>
    <w:rsid w:val="00AA5531"/>
  </w:style>
  <w:style w:type="paragraph" w:styleId="CommentSubject">
    <w:name w:val="annotation subject"/>
    <w:basedOn w:val="CommentText"/>
    <w:next w:val="CommentText"/>
    <w:link w:val="CommentSubjectChar"/>
    <w:uiPriority w:val="99"/>
    <w:semiHidden/>
    <w:unhideWhenUsed/>
    <w:rsid w:val="00AA5531"/>
    <w:rPr>
      <w:b/>
      <w:bCs/>
    </w:rPr>
  </w:style>
  <w:style w:type="character" w:customStyle="1" w:styleId="CommentSubjectChar">
    <w:name w:val="Comment Subject Char"/>
    <w:basedOn w:val="CommentTextChar"/>
    <w:link w:val="CommentSubject"/>
    <w:uiPriority w:val="99"/>
    <w:semiHidden/>
    <w:rsid w:val="00AA5531"/>
    <w:rPr>
      <w:b/>
      <w:bCs/>
    </w:rPr>
  </w:style>
  <w:style w:type="paragraph" w:styleId="Revision">
    <w:name w:val="Revision"/>
    <w:hidden/>
    <w:uiPriority w:val="99"/>
    <w:semiHidden/>
    <w:rsid w:val="00AA5531"/>
    <w:rPr>
      <w:sz w:val="26"/>
    </w:rPr>
  </w:style>
  <w:style w:type="character" w:customStyle="1" w:styleId="FootnoteTextChar">
    <w:name w:val="Footnote Text Char"/>
    <w:basedOn w:val="DefaultParagraphFont"/>
    <w:link w:val="FootnoteText"/>
    <w:rsid w:val="00701709"/>
    <w:rPr>
      <w:rFonts w:ascii="Century Schoolbook" w:hAnsi="Century Schoolbook"/>
      <w:sz w:val="27"/>
    </w:rPr>
  </w:style>
  <w:style w:type="character" w:styleId="Emphasis">
    <w:name w:val="Emphasis"/>
    <w:basedOn w:val="DefaultParagraphFont"/>
    <w:uiPriority w:val="20"/>
    <w:qFormat/>
    <w:rsid w:val="00321081"/>
    <w:rPr>
      <w:i/>
      <w:iCs/>
    </w:rPr>
  </w:style>
  <w:style w:type="character" w:styleId="Hyperlink">
    <w:name w:val="Hyperlink"/>
    <w:basedOn w:val="DefaultParagraphFont"/>
    <w:uiPriority w:val="99"/>
    <w:semiHidden/>
    <w:unhideWhenUsed/>
    <w:rsid w:val="00321081"/>
    <w:rPr>
      <w:color w:val="0000FF"/>
      <w:u w:val="single"/>
    </w:rPr>
  </w:style>
  <w:style w:type="character" w:customStyle="1" w:styleId="costarpage">
    <w:name w:val="co_starpage"/>
    <w:basedOn w:val="DefaultParagraphFont"/>
    <w:rsid w:val="00377393"/>
  </w:style>
  <w:style w:type="paragraph" w:styleId="BodyText">
    <w:name w:val="Body Text"/>
    <w:basedOn w:val="Normal"/>
    <w:link w:val="BodyTextChar"/>
    <w:qFormat/>
    <w:rsid w:val="00750962"/>
  </w:style>
  <w:style w:type="character" w:customStyle="1" w:styleId="BodyTextChar">
    <w:name w:val="Body Text Char"/>
    <w:basedOn w:val="DefaultParagraphFont"/>
    <w:link w:val="BodyText"/>
    <w:rsid w:val="00750962"/>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84FF-E242-443D-B1B9-B7F5B5EB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7177</Words>
  <Characters>40910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2020-04-06T16:30:57Z</dcterms:created>
  <dcterms:modified xsi:type="dcterms:W3CDTF">2020-04-06T16:30:57Z</dcterms:modified>
</cp:coreProperties>
</file>