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01806" w14:textId="72A7554F" w:rsidR="00E772C7" w:rsidRPr="008C580C" w:rsidRDefault="00EA0331" w:rsidP="00EA0331">
      <w:pPr>
        <w:tabs>
          <w:tab w:val="left" w:leader="underscore" w:pos="4680"/>
        </w:tabs>
        <w:spacing w:after="0"/>
        <w:jc w:val="center"/>
        <w:rPr>
          <w:color w:val="000000" w:themeColor="text1"/>
          <w:sz w:val="36"/>
        </w:rPr>
      </w:pPr>
      <w:bookmarkStart w:id="0" w:name="MarkDocLoc"/>
      <w:bookmarkEnd w:id="0"/>
      <w:r w:rsidRPr="008C580C">
        <w:rPr>
          <w:b/>
          <w:color w:val="000000" w:themeColor="text1"/>
          <w:sz w:val="36"/>
        </w:rPr>
        <w:t>IN THE SUPREME COURT OF CALIFORNIA</w:t>
      </w:r>
    </w:p>
    <w:p w14:paraId="1880AF96" w14:textId="1BDCD8F3" w:rsidR="00EA0331" w:rsidRPr="008C580C" w:rsidRDefault="00EA0331" w:rsidP="00EA0331">
      <w:pPr>
        <w:tabs>
          <w:tab w:val="left" w:leader="underscore" w:pos="4680"/>
        </w:tabs>
        <w:spacing w:after="0"/>
        <w:jc w:val="center"/>
        <w:rPr>
          <w:color w:val="000000" w:themeColor="text1"/>
        </w:rPr>
      </w:pPr>
    </w:p>
    <w:p w14:paraId="553EEE3F" w14:textId="2F65DB22" w:rsidR="00EA0331" w:rsidRPr="008C580C" w:rsidRDefault="00EA0331" w:rsidP="00F26891">
      <w:pPr>
        <w:tabs>
          <w:tab w:val="left" w:leader="underscore" w:pos="4680"/>
        </w:tabs>
        <w:spacing w:after="0"/>
        <w:jc w:val="center"/>
        <w:rPr>
          <w:color w:val="000000" w:themeColor="text1"/>
        </w:rPr>
      </w:pPr>
      <w:r w:rsidRPr="008C580C">
        <w:rPr>
          <w:color w:val="000000" w:themeColor="text1"/>
        </w:rPr>
        <w:t>FACEBOOK, INC.</w:t>
      </w:r>
      <w:r w:rsidR="00F26891" w:rsidRPr="008C580C">
        <w:rPr>
          <w:color w:val="000000" w:themeColor="text1"/>
        </w:rPr>
        <w:t>,</w:t>
      </w:r>
    </w:p>
    <w:p w14:paraId="63BD8A06" w14:textId="082CDE4A" w:rsidR="00F26891" w:rsidRPr="008C580C" w:rsidRDefault="00F26891" w:rsidP="00F26891">
      <w:pPr>
        <w:tabs>
          <w:tab w:val="left" w:leader="underscore" w:pos="4680"/>
        </w:tabs>
        <w:spacing w:after="0"/>
        <w:jc w:val="center"/>
        <w:rPr>
          <w:color w:val="000000" w:themeColor="text1"/>
        </w:rPr>
      </w:pPr>
      <w:r w:rsidRPr="008C580C">
        <w:rPr>
          <w:color w:val="000000" w:themeColor="text1"/>
        </w:rPr>
        <w:t>Petitioner</w:t>
      </w:r>
      <w:r w:rsidR="00D811F1">
        <w:rPr>
          <w:color w:val="000000" w:themeColor="text1"/>
        </w:rPr>
        <w:t>,</w:t>
      </w:r>
    </w:p>
    <w:p w14:paraId="3EB4DF64" w14:textId="61F89129" w:rsidR="00EA0331" w:rsidRPr="008C580C" w:rsidRDefault="00EA0331" w:rsidP="00EA0331">
      <w:pPr>
        <w:tabs>
          <w:tab w:val="left" w:leader="underscore" w:pos="4680"/>
        </w:tabs>
        <w:spacing w:after="0"/>
        <w:jc w:val="center"/>
        <w:rPr>
          <w:color w:val="000000" w:themeColor="text1"/>
        </w:rPr>
      </w:pPr>
      <w:r w:rsidRPr="008C580C">
        <w:rPr>
          <w:color w:val="000000" w:themeColor="text1"/>
        </w:rPr>
        <w:t>v.</w:t>
      </w:r>
    </w:p>
    <w:p w14:paraId="0E4BED29" w14:textId="1A58D60F" w:rsidR="00095C8A" w:rsidRPr="008C580C" w:rsidRDefault="00EE477E" w:rsidP="00F26891">
      <w:pPr>
        <w:tabs>
          <w:tab w:val="left" w:leader="underscore" w:pos="4680"/>
        </w:tabs>
        <w:spacing w:after="0"/>
        <w:jc w:val="center"/>
        <w:rPr>
          <w:color w:val="000000" w:themeColor="text1"/>
        </w:rPr>
      </w:pPr>
      <w:r>
        <w:rPr>
          <w:color w:val="000000" w:themeColor="text1"/>
        </w:rPr>
        <w:t xml:space="preserve">THE </w:t>
      </w:r>
      <w:r w:rsidR="00EA0331" w:rsidRPr="008C580C">
        <w:rPr>
          <w:color w:val="000000" w:themeColor="text1"/>
        </w:rPr>
        <w:t>SUPERIOR COURT</w:t>
      </w:r>
      <w:r w:rsidR="00095C8A" w:rsidRPr="008C580C">
        <w:rPr>
          <w:color w:val="000000" w:themeColor="text1"/>
        </w:rPr>
        <w:t xml:space="preserve"> OF SAN DIEGO COUNTY</w:t>
      </w:r>
      <w:r w:rsidR="00F26891" w:rsidRPr="008C580C">
        <w:rPr>
          <w:color w:val="000000" w:themeColor="text1"/>
        </w:rPr>
        <w:t>,</w:t>
      </w:r>
    </w:p>
    <w:p w14:paraId="13C15C3A" w14:textId="3C586E43" w:rsidR="00095C8A" w:rsidRPr="008C580C" w:rsidRDefault="00EA0331" w:rsidP="00EA0331">
      <w:pPr>
        <w:tabs>
          <w:tab w:val="left" w:leader="underscore" w:pos="4680"/>
        </w:tabs>
        <w:spacing w:after="0"/>
        <w:jc w:val="center"/>
        <w:rPr>
          <w:color w:val="000000" w:themeColor="text1"/>
        </w:rPr>
      </w:pPr>
      <w:r w:rsidRPr="008C580C">
        <w:rPr>
          <w:color w:val="000000" w:themeColor="text1"/>
        </w:rPr>
        <w:t>Respondent</w:t>
      </w:r>
      <w:r w:rsidR="00D811F1">
        <w:rPr>
          <w:color w:val="000000" w:themeColor="text1"/>
        </w:rPr>
        <w:t>;</w:t>
      </w:r>
    </w:p>
    <w:p w14:paraId="741A00C1" w14:textId="218792F3" w:rsidR="00E74970" w:rsidRPr="008C580C" w:rsidRDefault="00E74970" w:rsidP="00EA0331">
      <w:pPr>
        <w:tabs>
          <w:tab w:val="left" w:leader="underscore" w:pos="4680"/>
        </w:tabs>
        <w:spacing w:after="0"/>
        <w:jc w:val="center"/>
        <w:rPr>
          <w:color w:val="000000" w:themeColor="text1"/>
        </w:rPr>
      </w:pPr>
      <w:r w:rsidRPr="008C580C">
        <w:rPr>
          <w:color w:val="000000" w:themeColor="text1"/>
        </w:rPr>
        <w:t xml:space="preserve">LANCE TOUCHSTONE, </w:t>
      </w:r>
    </w:p>
    <w:p w14:paraId="691D2A00" w14:textId="2CADFAAF" w:rsidR="00E74970" w:rsidRPr="008C580C" w:rsidRDefault="00E74970" w:rsidP="00EA0331">
      <w:pPr>
        <w:tabs>
          <w:tab w:val="left" w:leader="underscore" w:pos="4680"/>
        </w:tabs>
        <w:spacing w:after="0"/>
        <w:jc w:val="center"/>
        <w:rPr>
          <w:color w:val="000000" w:themeColor="text1"/>
        </w:rPr>
      </w:pPr>
      <w:r w:rsidRPr="008C580C">
        <w:rPr>
          <w:color w:val="000000" w:themeColor="text1"/>
        </w:rPr>
        <w:t>Real Party in Interest;</w:t>
      </w:r>
    </w:p>
    <w:p w14:paraId="3350F886" w14:textId="416A7E44" w:rsidR="00E74970" w:rsidRPr="008C580C" w:rsidRDefault="00E74970" w:rsidP="00EA0331">
      <w:pPr>
        <w:tabs>
          <w:tab w:val="left" w:leader="underscore" w:pos="4680"/>
        </w:tabs>
        <w:spacing w:after="0"/>
        <w:jc w:val="center"/>
        <w:rPr>
          <w:color w:val="000000" w:themeColor="text1"/>
        </w:rPr>
      </w:pPr>
      <w:r w:rsidRPr="008C580C">
        <w:rPr>
          <w:color w:val="000000" w:themeColor="text1"/>
        </w:rPr>
        <w:t>SUMMER STEPHAN,</w:t>
      </w:r>
    </w:p>
    <w:p w14:paraId="603633CA" w14:textId="6F15F6B1" w:rsidR="00E74970" w:rsidRPr="008C580C" w:rsidRDefault="00394E7E" w:rsidP="00394E7E">
      <w:pPr>
        <w:tabs>
          <w:tab w:val="left" w:leader="underscore" w:pos="4680"/>
        </w:tabs>
        <w:spacing w:after="0"/>
        <w:jc w:val="center"/>
        <w:rPr>
          <w:color w:val="000000" w:themeColor="text1"/>
        </w:rPr>
      </w:pPr>
      <w:r w:rsidRPr="008C580C">
        <w:rPr>
          <w:color w:val="000000" w:themeColor="text1"/>
        </w:rPr>
        <w:t>a</w:t>
      </w:r>
      <w:r w:rsidR="00E74970" w:rsidRPr="008C580C">
        <w:rPr>
          <w:color w:val="000000" w:themeColor="text1"/>
        </w:rPr>
        <w:t xml:space="preserve">s </w:t>
      </w:r>
      <w:r w:rsidR="004B2EF2">
        <w:rPr>
          <w:color w:val="000000" w:themeColor="text1"/>
        </w:rPr>
        <w:t>District Attorney</w:t>
      </w:r>
      <w:r w:rsidR="00E74970" w:rsidRPr="008C580C">
        <w:rPr>
          <w:color w:val="000000" w:themeColor="text1"/>
        </w:rPr>
        <w:t xml:space="preserve">, </w:t>
      </w:r>
      <w:proofErr w:type="gramStart"/>
      <w:r w:rsidR="00E74970" w:rsidRPr="008C580C">
        <w:rPr>
          <w:color w:val="000000" w:themeColor="text1"/>
        </w:rPr>
        <w:t>etc.</w:t>
      </w:r>
      <w:proofErr w:type="gramEnd"/>
      <w:r w:rsidR="00E74970" w:rsidRPr="008C580C">
        <w:rPr>
          <w:color w:val="000000" w:themeColor="text1"/>
        </w:rPr>
        <w:t>,</w:t>
      </w:r>
    </w:p>
    <w:p w14:paraId="7EBF05A6" w14:textId="278ACEB7" w:rsidR="00E74970" w:rsidRPr="008C580C" w:rsidRDefault="00E74970" w:rsidP="00EA0331">
      <w:pPr>
        <w:tabs>
          <w:tab w:val="left" w:leader="underscore" w:pos="4680"/>
        </w:tabs>
        <w:spacing w:after="0"/>
        <w:jc w:val="center"/>
        <w:rPr>
          <w:color w:val="000000" w:themeColor="text1"/>
        </w:rPr>
      </w:pPr>
      <w:r w:rsidRPr="008C580C">
        <w:rPr>
          <w:color w:val="000000" w:themeColor="text1"/>
        </w:rPr>
        <w:t>Intervener</w:t>
      </w:r>
      <w:r w:rsidR="00D811F1">
        <w:rPr>
          <w:color w:val="000000" w:themeColor="text1"/>
        </w:rPr>
        <w:t>.</w:t>
      </w:r>
    </w:p>
    <w:p w14:paraId="3EFA1FE5" w14:textId="1CA67BF8" w:rsidR="00EA0331" w:rsidRPr="008C580C" w:rsidRDefault="00EA0331" w:rsidP="00EA0331">
      <w:pPr>
        <w:tabs>
          <w:tab w:val="left" w:leader="underscore" w:pos="4680"/>
        </w:tabs>
        <w:spacing w:after="0"/>
        <w:jc w:val="center"/>
        <w:rPr>
          <w:color w:val="000000" w:themeColor="text1"/>
        </w:rPr>
      </w:pPr>
    </w:p>
    <w:p w14:paraId="5055D5DD" w14:textId="13D86F6C" w:rsidR="00EA0331" w:rsidRPr="008C580C" w:rsidRDefault="00EA0331" w:rsidP="00F26891">
      <w:pPr>
        <w:tabs>
          <w:tab w:val="left" w:leader="underscore" w:pos="4680"/>
        </w:tabs>
        <w:spacing w:after="0"/>
        <w:jc w:val="center"/>
        <w:rPr>
          <w:color w:val="000000" w:themeColor="text1"/>
        </w:rPr>
      </w:pPr>
      <w:r w:rsidRPr="008C580C">
        <w:rPr>
          <w:color w:val="000000" w:themeColor="text1"/>
        </w:rPr>
        <w:t>S245203</w:t>
      </w:r>
    </w:p>
    <w:p w14:paraId="28B5E3C2" w14:textId="64EF4FC2" w:rsidR="00EA0331" w:rsidRPr="008C580C" w:rsidRDefault="00EA0331" w:rsidP="00EA0331">
      <w:pPr>
        <w:tabs>
          <w:tab w:val="left" w:leader="underscore" w:pos="4680"/>
        </w:tabs>
        <w:spacing w:after="0"/>
        <w:jc w:val="center"/>
        <w:rPr>
          <w:color w:val="000000" w:themeColor="text1"/>
        </w:rPr>
      </w:pPr>
    </w:p>
    <w:p w14:paraId="388C54C5" w14:textId="77777777" w:rsidR="00F26891" w:rsidRPr="008C580C" w:rsidRDefault="00753FF1" w:rsidP="00EA0331">
      <w:pPr>
        <w:tabs>
          <w:tab w:val="left" w:leader="underscore" w:pos="4680"/>
        </w:tabs>
        <w:spacing w:after="0"/>
        <w:jc w:val="center"/>
        <w:rPr>
          <w:color w:val="000000" w:themeColor="text1"/>
        </w:rPr>
      </w:pPr>
      <w:r w:rsidRPr="008C580C">
        <w:rPr>
          <w:color w:val="000000" w:themeColor="text1"/>
        </w:rPr>
        <w:t>Fourth Appellate District, Division</w:t>
      </w:r>
      <w:r w:rsidR="00F26891" w:rsidRPr="008C580C">
        <w:rPr>
          <w:color w:val="000000" w:themeColor="text1"/>
        </w:rPr>
        <w:t xml:space="preserve"> One</w:t>
      </w:r>
    </w:p>
    <w:p w14:paraId="4BD3ADDA" w14:textId="6D74197B" w:rsidR="00EA0331" w:rsidRPr="008C580C" w:rsidRDefault="00EA0331" w:rsidP="00EA0331">
      <w:pPr>
        <w:tabs>
          <w:tab w:val="left" w:leader="underscore" w:pos="4680"/>
        </w:tabs>
        <w:spacing w:after="0"/>
        <w:jc w:val="center"/>
        <w:rPr>
          <w:color w:val="000000" w:themeColor="text1"/>
        </w:rPr>
      </w:pPr>
      <w:r w:rsidRPr="008C580C">
        <w:rPr>
          <w:color w:val="000000" w:themeColor="text1"/>
        </w:rPr>
        <w:t>D072171</w:t>
      </w:r>
    </w:p>
    <w:p w14:paraId="1A026E76" w14:textId="6A545232" w:rsidR="00F26891" w:rsidRPr="008C580C" w:rsidRDefault="00F26891" w:rsidP="00EA0331">
      <w:pPr>
        <w:tabs>
          <w:tab w:val="left" w:leader="underscore" w:pos="4680"/>
        </w:tabs>
        <w:spacing w:after="0"/>
        <w:jc w:val="center"/>
        <w:rPr>
          <w:color w:val="000000" w:themeColor="text1"/>
        </w:rPr>
      </w:pPr>
    </w:p>
    <w:p w14:paraId="3FE2443F" w14:textId="425119C1" w:rsidR="00F26891" w:rsidRPr="008C580C" w:rsidRDefault="00F26891" w:rsidP="00EA0331">
      <w:pPr>
        <w:tabs>
          <w:tab w:val="left" w:leader="underscore" w:pos="4680"/>
        </w:tabs>
        <w:spacing w:after="0"/>
        <w:jc w:val="center"/>
        <w:rPr>
          <w:color w:val="000000" w:themeColor="text1"/>
        </w:rPr>
      </w:pPr>
      <w:r w:rsidRPr="008C580C">
        <w:rPr>
          <w:color w:val="000000" w:themeColor="text1"/>
        </w:rPr>
        <w:t>San Diego County Superior Court</w:t>
      </w:r>
    </w:p>
    <w:p w14:paraId="3C55DCAD" w14:textId="4A467CC0" w:rsidR="00F26891" w:rsidRPr="008C580C" w:rsidRDefault="00F26891" w:rsidP="00EA0331">
      <w:pPr>
        <w:tabs>
          <w:tab w:val="left" w:leader="underscore" w:pos="4680"/>
        </w:tabs>
        <w:spacing w:after="0"/>
        <w:jc w:val="center"/>
        <w:rPr>
          <w:color w:val="000000" w:themeColor="text1"/>
        </w:rPr>
      </w:pPr>
      <w:r w:rsidRPr="008C580C">
        <w:rPr>
          <w:color w:val="000000" w:themeColor="text1"/>
        </w:rPr>
        <w:t>SCD268262</w:t>
      </w:r>
    </w:p>
    <w:p w14:paraId="415E6785" w14:textId="5DB62C69" w:rsidR="00EA0331" w:rsidRPr="008C580C" w:rsidRDefault="00EA0331" w:rsidP="00EA0331">
      <w:pPr>
        <w:pBdr>
          <w:bottom w:val="single" w:sz="4" w:space="1" w:color="auto"/>
        </w:pBdr>
        <w:tabs>
          <w:tab w:val="left" w:leader="underscore" w:pos="4680"/>
        </w:tabs>
        <w:spacing w:after="0"/>
        <w:jc w:val="center"/>
        <w:rPr>
          <w:color w:val="000000" w:themeColor="text1"/>
        </w:rPr>
      </w:pPr>
    </w:p>
    <w:p w14:paraId="30D2A2D8" w14:textId="1BBE051F" w:rsidR="00EA0331" w:rsidRPr="008C580C" w:rsidRDefault="00EA0331" w:rsidP="00EA0331">
      <w:pPr>
        <w:tabs>
          <w:tab w:val="left" w:leader="underscore" w:pos="4680"/>
        </w:tabs>
        <w:spacing w:after="0"/>
        <w:jc w:val="center"/>
        <w:rPr>
          <w:color w:val="000000" w:themeColor="text1"/>
        </w:rPr>
      </w:pPr>
    </w:p>
    <w:p w14:paraId="63D74921" w14:textId="4A23A9A5" w:rsidR="00EA0331" w:rsidRPr="008C580C" w:rsidRDefault="00E04E7D" w:rsidP="00EA0331">
      <w:pPr>
        <w:tabs>
          <w:tab w:val="left" w:leader="underscore" w:pos="4680"/>
        </w:tabs>
        <w:spacing w:after="0"/>
        <w:jc w:val="center"/>
        <w:rPr>
          <w:color w:val="000000" w:themeColor="text1"/>
        </w:rPr>
      </w:pPr>
      <w:r>
        <w:rPr>
          <w:color w:val="000000" w:themeColor="text1"/>
        </w:rPr>
        <w:t>August 13</w:t>
      </w:r>
      <w:r w:rsidR="00EA0331" w:rsidRPr="008C580C">
        <w:rPr>
          <w:color w:val="000000" w:themeColor="text1"/>
        </w:rPr>
        <w:t>, 2020</w:t>
      </w:r>
      <w:r w:rsidR="007F300E">
        <w:rPr>
          <w:color w:val="000000" w:themeColor="text1"/>
        </w:rPr>
        <w:t xml:space="preserve"> (reposting corrected version)</w:t>
      </w:r>
    </w:p>
    <w:p w14:paraId="0AAAF941" w14:textId="5C28EC9B" w:rsidR="00EA0331" w:rsidRPr="008C580C" w:rsidRDefault="00EA0331" w:rsidP="00EA0331">
      <w:pPr>
        <w:tabs>
          <w:tab w:val="left" w:leader="underscore" w:pos="4680"/>
        </w:tabs>
        <w:spacing w:after="0"/>
        <w:jc w:val="center"/>
        <w:rPr>
          <w:color w:val="000000" w:themeColor="text1"/>
        </w:rPr>
      </w:pPr>
    </w:p>
    <w:p w14:paraId="2909E6C7" w14:textId="47AAC83B" w:rsidR="00EA0331" w:rsidRDefault="00F26891" w:rsidP="00EA0331">
      <w:pPr>
        <w:tabs>
          <w:tab w:val="left" w:leader="underscore" w:pos="4680"/>
        </w:tabs>
        <w:spacing w:after="0"/>
        <w:jc w:val="left"/>
        <w:rPr>
          <w:caps/>
          <w:color w:val="000000" w:themeColor="text1"/>
        </w:rPr>
      </w:pPr>
      <w:r w:rsidRPr="008C580C">
        <w:rPr>
          <w:color w:val="000000" w:themeColor="text1"/>
        </w:rPr>
        <w:t xml:space="preserve">Chief Justice Cantil-Sakauye authored the opinion of the </w:t>
      </w:r>
      <w:r w:rsidR="00EE477E">
        <w:rPr>
          <w:color w:val="000000" w:themeColor="text1"/>
        </w:rPr>
        <w:t>C</w:t>
      </w:r>
      <w:r w:rsidRPr="008C580C">
        <w:rPr>
          <w:color w:val="000000" w:themeColor="text1"/>
        </w:rPr>
        <w:t xml:space="preserve">ourt, in which </w:t>
      </w:r>
      <w:r w:rsidR="00A04EDF">
        <w:rPr>
          <w:color w:val="000000" w:themeColor="text1"/>
        </w:rPr>
        <w:t xml:space="preserve">Justices Chin, Corrigan, Liu, </w:t>
      </w:r>
      <w:r w:rsidR="006D4B09">
        <w:rPr>
          <w:color w:val="000000" w:themeColor="text1"/>
        </w:rPr>
        <w:t xml:space="preserve">Cuéllar, </w:t>
      </w:r>
      <w:r w:rsidR="00A04EDF">
        <w:rPr>
          <w:color w:val="000000" w:themeColor="text1"/>
        </w:rPr>
        <w:t>Kruger and Groban</w:t>
      </w:r>
      <w:r w:rsidRPr="008C580C">
        <w:rPr>
          <w:color w:val="000000" w:themeColor="text1"/>
        </w:rPr>
        <w:t xml:space="preserve"> concurred</w:t>
      </w:r>
      <w:r w:rsidRPr="008C580C">
        <w:rPr>
          <w:caps/>
          <w:color w:val="000000" w:themeColor="text1"/>
        </w:rPr>
        <w:t>.</w:t>
      </w:r>
    </w:p>
    <w:p w14:paraId="3126F98E" w14:textId="3F40851E" w:rsidR="00A04EDF" w:rsidRDefault="00A04EDF" w:rsidP="00EA0331">
      <w:pPr>
        <w:tabs>
          <w:tab w:val="left" w:leader="underscore" w:pos="4680"/>
        </w:tabs>
        <w:spacing w:after="0"/>
        <w:jc w:val="left"/>
        <w:rPr>
          <w:caps/>
          <w:color w:val="000000" w:themeColor="text1"/>
        </w:rPr>
      </w:pPr>
    </w:p>
    <w:p w14:paraId="293FA325" w14:textId="3CBAD3CB" w:rsidR="00A04EDF" w:rsidRDefault="00A04EDF" w:rsidP="00EA0331">
      <w:pPr>
        <w:tabs>
          <w:tab w:val="left" w:leader="underscore" w:pos="4680"/>
        </w:tabs>
        <w:spacing w:after="0"/>
        <w:jc w:val="left"/>
        <w:rPr>
          <w:color w:val="000000" w:themeColor="text1"/>
        </w:rPr>
      </w:pPr>
      <w:r w:rsidRPr="00A04EDF">
        <w:rPr>
          <w:color w:val="000000" w:themeColor="text1"/>
        </w:rPr>
        <w:t>C</w:t>
      </w:r>
      <w:r>
        <w:rPr>
          <w:color w:val="000000" w:themeColor="text1"/>
        </w:rPr>
        <w:t>hief Justice Cantil-Sakauye filed a concurring opinion.</w:t>
      </w:r>
    </w:p>
    <w:p w14:paraId="665BF995" w14:textId="7182C1C3" w:rsidR="00A04EDF" w:rsidRDefault="00A04EDF" w:rsidP="00EA0331">
      <w:pPr>
        <w:tabs>
          <w:tab w:val="left" w:leader="underscore" w:pos="4680"/>
        </w:tabs>
        <w:spacing w:after="0"/>
        <w:jc w:val="left"/>
        <w:rPr>
          <w:color w:val="000000" w:themeColor="text1"/>
        </w:rPr>
      </w:pPr>
    </w:p>
    <w:p w14:paraId="4050409D" w14:textId="6A9CEAF5" w:rsidR="00A04EDF" w:rsidRPr="00A04EDF" w:rsidRDefault="00A04EDF" w:rsidP="00EA0331">
      <w:pPr>
        <w:tabs>
          <w:tab w:val="left" w:leader="underscore" w:pos="4680"/>
        </w:tabs>
        <w:spacing w:after="0"/>
        <w:jc w:val="left"/>
        <w:rPr>
          <w:color w:val="000000" w:themeColor="text1"/>
        </w:rPr>
      </w:pPr>
      <w:r>
        <w:rPr>
          <w:color w:val="000000" w:themeColor="text1"/>
        </w:rPr>
        <w:lastRenderedPageBreak/>
        <w:t>Justice Cuéllar filed a concurring opinion.</w:t>
      </w:r>
    </w:p>
    <w:p w14:paraId="0D97791B" w14:textId="77777777" w:rsidR="00EA0331" w:rsidRPr="008C580C" w:rsidRDefault="00EA0331" w:rsidP="00EA0331">
      <w:pPr>
        <w:pBdr>
          <w:bottom w:val="single" w:sz="4" w:space="1" w:color="auto"/>
        </w:pBdr>
        <w:tabs>
          <w:tab w:val="left" w:leader="underscore" w:pos="4680"/>
        </w:tabs>
        <w:spacing w:line="240" w:lineRule="atLeast"/>
        <w:jc w:val="left"/>
        <w:rPr>
          <w:color w:val="000000" w:themeColor="text1"/>
        </w:rPr>
      </w:pPr>
      <w:bookmarkStart w:id="1" w:name="Return"/>
      <w:bookmarkEnd w:id="1"/>
    </w:p>
    <w:p w14:paraId="30FF1EDC" w14:textId="77777777" w:rsidR="00EA0331" w:rsidRPr="008C580C" w:rsidRDefault="00EA0331">
      <w:pPr>
        <w:tabs>
          <w:tab w:val="left" w:leader="underscore" w:pos="4680"/>
        </w:tabs>
        <w:spacing w:line="240" w:lineRule="atLeast"/>
        <w:rPr>
          <w:color w:val="000000" w:themeColor="text1"/>
        </w:rPr>
        <w:sectPr w:rsidR="00EA0331" w:rsidRPr="008C580C" w:rsidSect="009F1C73">
          <w:headerReference w:type="first" r:id="rId8"/>
          <w:footerReference w:type="first" r:id="rId9"/>
          <w:footnotePr>
            <w:numRestart w:val="eachSect"/>
          </w:footnotePr>
          <w:pgSz w:w="12240" w:h="15840"/>
          <w:pgMar w:top="1800" w:right="2160" w:bottom="1440" w:left="2160" w:header="720" w:footer="720" w:gutter="0"/>
          <w:cols w:space="720"/>
          <w:titlePg/>
          <w:docGrid w:linePitch="367"/>
        </w:sectPr>
      </w:pPr>
    </w:p>
    <w:p w14:paraId="575BE106" w14:textId="08AAED8C" w:rsidR="00EA0331" w:rsidRPr="008C580C" w:rsidRDefault="00EA0331" w:rsidP="00EA0331">
      <w:pPr>
        <w:tabs>
          <w:tab w:val="left" w:leader="underscore" w:pos="4680"/>
        </w:tabs>
        <w:jc w:val="center"/>
        <w:rPr>
          <w:color w:val="000000" w:themeColor="text1"/>
        </w:rPr>
      </w:pPr>
      <w:r w:rsidRPr="008C580C">
        <w:rPr>
          <w:color w:val="000000" w:themeColor="text1"/>
        </w:rPr>
        <w:lastRenderedPageBreak/>
        <w:t>FACEBOOK, INC. v. SUPERIOR COURT</w:t>
      </w:r>
    </w:p>
    <w:p w14:paraId="2067C1F1" w14:textId="48D6C545" w:rsidR="00EA0331" w:rsidRPr="008C580C" w:rsidRDefault="00EA0331" w:rsidP="00EA0331">
      <w:pPr>
        <w:tabs>
          <w:tab w:val="left" w:leader="underscore" w:pos="4680"/>
        </w:tabs>
        <w:jc w:val="center"/>
        <w:rPr>
          <w:color w:val="000000" w:themeColor="text1"/>
        </w:rPr>
      </w:pPr>
      <w:r w:rsidRPr="008C580C">
        <w:rPr>
          <w:color w:val="000000" w:themeColor="text1"/>
        </w:rPr>
        <w:t>S245203</w:t>
      </w:r>
    </w:p>
    <w:p w14:paraId="725AC1AE" w14:textId="1EC51358" w:rsidR="00EA0331" w:rsidRPr="008C580C" w:rsidRDefault="00EA0331" w:rsidP="00EA0331">
      <w:pPr>
        <w:tabs>
          <w:tab w:val="left" w:leader="underscore" w:pos="4680"/>
        </w:tabs>
        <w:jc w:val="center"/>
        <w:rPr>
          <w:color w:val="000000" w:themeColor="text1"/>
        </w:rPr>
      </w:pPr>
    </w:p>
    <w:p w14:paraId="0983D670" w14:textId="4E9BF717" w:rsidR="00EA0331" w:rsidRPr="008C580C" w:rsidRDefault="00EA0331" w:rsidP="00EA0331">
      <w:pPr>
        <w:tabs>
          <w:tab w:val="left" w:leader="underscore" w:pos="4680"/>
        </w:tabs>
        <w:jc w:val="center"/>
        <w:rPr>
          <w:color w:val="000000" w:themeColor="text1"/>
        </w:rPr>
      </w:pPr>
      <w:r w:rsidRPr="008C580C">
        <w:rPr>
          <w:color w:val="000000" w:themeColor="text1"/>
        </w:rPr>
        <w:t>Opinion of the Court by Cantil-Sakauye, C.</w:t>
      </w:r>
      <w:r w:rsidR="004B7038" w:rsidRPr="008C580C">
        <w:rPr>
          <w:color w:val="000000" w:themeColor="text1"/>
        </w:rPr>
        <w:t> </w:t>
      </w:r>
      <w:r w:rsidRPr="008C580C">
        <w:rPr>
          <w:color w:val="000000" w:themeColor="text1"/>
        </w:rPr>
        <w:t>J.</w:t>
      </w:r>
    </w:p>
    <w:p w14:paraId="3F916045" w14:textId="77777777" w:rsidR="00EA0331" w:rsidRPr="008C580C" w:rsidRDefault="00EA0331" w:rsidP="00EA0331">
      <w:pPr>
        <w:tabs>
          <w:tab w:val="left" w:leader="underscore" w:pos="4680"/>
        </w:tabs>
        <w:jc w:val="center"/>
        <w:rPr>
          <w:color w:val="000000" w:themeColor="text1"/>
        </w:rPr>
      </w:pPr>
    </w:p>
    <w:p w14:paraId="2BE38286" w14:textId="02BCC66E" w:rsidR="003F6DFB" w:rsidRPr="008C580C" w:rsidRDefault="003F6DFB" w:rsidP="00EA0331">
      <w:pPr>
        <w:pStyle w:val="Text"/>
        <w:spacing w:line="400" w:lineRule="exact"/>
        <w:ind w:firstLine="720"/>
        <w:rPr>
          <w:color w:val="000000" w:themeColor="text1"/>
        </w:rPr>
      </w:pPr>
      <w:bookmarkStart w:id="2" w:name="mainstory"/>
      <w:bookmarkEnd w:id="2"/>
      <w:r w:rsidRPr="008C580C">
        <w:rPr>
          <w:color w:val="000000" w:themeColor="text1"/>
        </w:rPr>
        <w:t xml:space="preserve">We granted review to address the propriety of a criminal defense subpoena served on Facebook, seeking restricted posts </w:t>
      </w:r>
      <w:r w:rsidR="00490D6A">
        <w:rPr>
          <w:color w:val="000000" w:themeColor="text1"/>
        </w:rPr>
        <w:t xml:space="preserve">and </w:t>
      </w:r>
      <w:r w:rsidR="00490D6A" w:rsidRPr="008C580C">
        <w:rPr>
          <w:color w:val="000000" w:themeColor="text1"/>
        </w:rPr>
        <w:t xml:space="preserve">private messages </w:t>
      </w:r>
      <w:r w:rsidRPr="008C580C">
        <w:rPr>
          <w:color w:val="000000" w:themeColor="text1"/>
        </w:rPr>
        <w:t xml:space="preserve">of one of its users who is also a </w:t>
      </w:r>
      <w:r w:rsidR="00206323" w:rsidRPr="008C580C">
        <w:rPr>
          <w:color w:val="000000" w:themeColor="text1"/>
        </w:rPr>
        <w:t xml:space="preserve">victim and </w:t>
      </w:r>
      <w:r w:rsidRPr="008C580C">
        <w:rPr>
          <w:color w:val="000000" w:themeColor="text1"/>
        </w:rPr>
        <w:t xml:space="preserve">critical witness in the </w:t>
      </w:r>
      <w:r w:rsidR="00206323" w:rsidRPr="008C580C">
        <w:rPr>
          <w:color w:val="000000" w:themeColor="text1"/>
        </w:rPr>
        <w:t>underlying attempted murder prosecution</w:t>
      </w:r>
      <w:r w:rsidRPr="008C580C">
        <w:rPr>
          <w:color w:val="000000" w:themeColor="text1"/>
        </w:rPr>
        <w:t xml:space="preserve">.  </w:t>
      </w:r>
    </w:p>
    <w:p w14:paraId="52131017" w14:textId="60401571" w:rsidR="003F6DFB" w:rsidRPr="008C580C" w:rsidRDefault="003F6DFB" w:rsidP="001E4B84">
      <w:pPr>
        <w:pStyle w:val="Text"/>
        <w:spacing w:line="400" w:lineRule="exact"/>
        <w:ind w:firstLine="720"/>
        <w:rPr>
          <w:color w:val="000000" w:themeColor="text1"/>
        </w:rPr>
      </w:pPr>
      <w:r w:rsidRPr="008C580C">
        <w:rPr>
          <w:color w:val="000000" w:themeColor="text1"/>
        </w:rPr>
        <w:t xml:space="preserve">In addition to </w:t>
      </w:r>
      <w:r w:rsidR="001E4B84">
        <w:rPr>
          <w:color w:val="000000" w:themeColor="text1"/>
        </w:rPr>
        <w:t>discussing</w:t>
      </w:r>
      <w:r w:rsidR="001E4B84" w:rsidRPr="008C580C">
        <w:rPr>
          <w:color w:val="000000" w:themeColor="text1"/>
        </w:rPr>
        <w:t xml:space="preserve"> </w:t>
      </w:r>
      <w:r w:rsidR="00EE04A9">
        <w:rPr>
          <w:color w:val="000000" w:themeColor="text1"/>
        </w:rPr>
        <w:t xml:space="preserve">the </w:t>
      </w:r>
      <w:r w:rsidRPr="008C580C">
        <w:rPr>
          <w:color w:val="000000" w:themeColor="text1"/>
        </w:rPr>
        <w:t xml:space="preserve">Fifth and Sixth Amendment issues </w:t>
      </w:r>
      <w:r w:rsidR="00881553">
        <w:rPr>
          <w:color w:val="000000" w:themeColor="text1"/>
        </w:rPr>
        <w:t xml:space="preserve">presented </w:t>
      </w:r>
      <w:r w:rsidR="005C0D33" w:rsidRPr="008C580C">
        <w:rPr>
          <w:color w:val="000000" w:themeColor="text1"/>
        </w:rPr>
        <w:t xml:space="preserve">in </w:t>
      </w:r>
      <w:r w:rsidRPr="008C580C">
        <w:rPr>
          <w:color w:val="000000" w:themeColor="text1"/>
        </w:rPr>
        <w:t>this and recent related litigation (</w:t>
      </w:r>
      <w:r w:rsidRPr="008C580C">
        <w:rPr>
          <w:i/>
          <w:color w:val="000000" w:themeColor="text1"/>
        </w:rPr>
        <w:t xml:space="preserve">Facebook v. Superior Court (Hunter) </w:t>
      </w:r>
      <w:r w:rsidRPr="008C580C">
        <w:rPr>
          <w:color w:val="000000" w:themeColor="text1"/>
        </w:rPr>
        <w:t>(2018) 4</w:t>
      </w:r>
      <w:r w:rsidR="000D2300" w:rsidRPr="008C580C">
        <w:rPr>
          <w:color w:val="000000" w:themeColor="text1"/>
        </w:rPr>
        <w:t> </w:t>
      </w:r>
      <w:r w:rsidRPr="008C580C">
        <w:rPr>
          <w:color w:val="000000" w:themeColor="text1"/>
        </w:rPr>
        <w:t>Cal.5th 1245 (</w:t>
      </w:r>
      <w:r w:rsidRPr="008C580C">
        <w:rPr>
          <w:i/>
          <w:color w:val="000000" w:themeColor="text1"/>
        </w:rPr>
        <w:t>Facebook (Hunter)</w:t>
      </w:r>
      <w:r w:rsidRPr="008C580C">
        <w:rPr>
          <w:color w:val="000000" w:themeColor="text1"/>
        </w:rPr>
        <w:t xml:space="preserve">), </w:t>
      </w:r>
      <w:r w:rsidR="001E4B84">
        <w:rPr>
          <w:color w:val="000000" w:themeColor="text1"/>
        </w:rPr>
        <w:t xml:space="preserve">the parties raised </w:t>
      </w:r>
      <w:r w:rsidRPr="008C580C">
        <w:rPr>
          <w:color w:val="000000" w:themeColor="text1"/>
        </w:rPr>
        <w:t xml:space="preserve">four </w:t>
      </w:r>
      <w:r w:rsidR="006F72B4" w:rsidRPr="008C580C">
        <w:rPr>
          <w:color w:val="000000" w:themeColor="text1"/>
        </w:rPr>
        <w:t xml:space="preserve">related </w:t>
      </w:r>
      <w:r w:rsidRPr="008C580C">
        <w:rPr>
          <w:color w:val="000000" w:themeColor="text1"/>
        </w:rPr>
        <w:t xml:space="preserve">preliminary legal issues, all potentially dispositive, </w:t>
      </w:r>
      <w:r w:rsidR="005C0D33" w:rsidRPr="008C580C">
        <w:rPr>
          <w:color w:val="000000" w:themeColor="text1"/>
        </w:rPr>
        <w:t xml:space="preserve">in the course of </w:t>
      </w:r>
      <w:r w:rsidR="001E4B84">
        <w:rPr>
          <w:color w:val="000000" w:themeColor="text1"/>
        </w:rPr>
        <w:t xml:space="preserve">their </w:t>
      </w:r>
      <w:r w:rsidR="006F72B4" w:rsidRPr="008C580C">
        <w:rPr>
          <w:color w:val="000000" w:themeColor="text1"/>
        </w:rPr>
        <w:t>briefing</w:t>
      </w:r>
      <w:r w:rsidRPr="008C580C">
        <w:rPr>
          <w:color w:val="000000" w:themeColor="text1"/>
        </w:rPr>
        <w:t xml:space="preserve">.  </w:t>
      </w:r>
    </w:p>
    <w:p w14:paraId="405D3226" w14:textId="63443F4D" w:rsidR="003F6DFB" w:rsidRPr="008C580C" w:rsidRDefault="008B638C" w:rsidP="00EA0331">
      <w:pPr>
        <w:pStyle w:val="Text"/>
        <w:spacing w:line="400" w:lineRule="exact"/>
        <w:ind w:firstLine="720"/>
        <w:rPr>
          <w:color w:val="000000" w:themeColor="text1"/>
        </w:rPr>
      </w:pPr>
      <w:r w:rsidRPr="008C580C">
        <w:rPr>
          <w:color w:val="000000" w:themeColor="text1"/>
        </w:rPr>
        <w:t xml:space="preserve">In the meantime, </w:t>
      </w:r>
      <w:r w:rsidR="00990DA0" w:rsidRPr="008C580C">
        <w:rPr>
          <w:color w:val="000000" w:themeColor="text1"/>
        </w:rPr>
        <w:t xml:space="preserve">our </w:t>
      </w:r>
      <w:r w:rsidR="003F6DFB" w:rsidRPr="008C580C">
        <w:rPr>
          <w:color w:val="000000" w:themeColor="text1"/>
        </w:rPr>
        <w:t xml:space="preserve">review of the record </w:t>
      </w:r>
      <w:r w:rsidR="00AF5119" w:rsidRPr="008C580C">
        <w:rPr>
          <w:color w:val="000000" w:themeColor="text1"/>
        </w:rPr>
        <w:t xml:space="preserve">— </w:t>
      </w:r>
      <w:r w:rsidR="00B920EE" w:rsidRPr="008C580C">
        <w:rPr>
          <w:color w:val="000000" w:themeColor="text1"/>
        </w:rPr>
        <w:t xml:space="preserve">including a </w:t>
      </w:r>
      <w:r w:rsidR="00990DA0" w:rsidRPr="008C580C">
        <w:rPr>
          <w:color w:val="000000" w:themeColor="text1"/>
        </w:rPr>
        <w:t xml:space="preserve">key </w:t>
      </w:r>
      <w:r w:rsidR="00B920EE" w:rsidRPr="008C580C">
        <w:rPr>
          <w:color w:val="000000" w:themeColor="text1"/>
        </w:rPr>
        <w:t xml:space="preserve">declaration and exhibits that </w:t>
      </w:r>
      <w:r w:rsidR="00AF5119" w:rsidRPr="008C580C">
        <w:rPr>
          <w:color w:val="000000" w:themeColor="text1"/>
        </w:rPr>
        <w:t xml:space="preserve">had been </w:t>
      </w:r>
      <w:r w:rsidR="00B920EE" w:rsidRPr="008C580C">
        <w:rPr>
          <w:color w:val="000000" w:themeColor="text1"/>
        </w:rPr>
        <w:t>presented to the trial court ex part</w:t>
      </w:r>
      <w:r w:rsidR="00DD5A93" w:rsidRPr="008C580C">
        <w:rPr>
          <w:color w:val="000000" w:themeColor="text1"/>
        </w:rPr>
        <w:t>e</w:t>
      </w:r>
      <w:r w:rsidR="00B920EE" w:rsidRPr="008C580C">
        <w:rPr>
          <w:color w:val="000000" w:themeColor="text1"/>
        </w:rPr>
        <w:t xml:space="preserve"> and </w:t>
      </w:r>
      <w:r w:rsidR="00AF5119" w:rsidRPr="008C580C">
        <w:rPr>
          <w:color w:val="000000" w:themeColor="text1"/>
        </w:rPr>
        <w:t>sealed</w:t>
      </w:r>
      <w:r w:rsidR="00CB5244" w:rsidRPr="008C580C">
        <w:rPr>
          <w:color w:val="000000" w:themeColor="text1"/>
        </w:rPr>
        <w:t xml:space="preserve"> (</w:t>
      </w:r>
      <w:r w:rsidR="00AF5119" w:rsidRPr="008C580C">
        <w:rPr>
          <w:color w:val="000000" w:themeColor="text1"/>
        </w:rPr>
        <w:t xml:space="preserve">and </w:t>
      </w:r>
      <w:r w:rsidR="00CB5244" w:rsidRPr="008C580C">
        <w:rPr>
          <w:color w:val="000000" w:themeColor="text1"/>
        </w:rPr>
        <w:t xml:space="preserve">hence </w:t>
      </w:r>
      <w:r w:rsidR="00DA782A" w:rsidRPr="008C580C">
        <w:rPr>
          <w:color w:val="000000" w:themeColor="text1"/>
        </w:rPr>
        <w:t xml:space="preserve">kept from </w:t>
      </w:r>
      <w:r w:rsidR="00DD5A93" w:rsidRPr="008C580C">
        <w:rPr>
          <w:color w:val="000000" w:themeColor="text1"/>
        </w:rPr>
        <w:t>Face</w:t>
      </w:r>
      <w:r w:rsidR="00DD5A93" w:rsidRPr="00C359BC">
        <w:rPr>
          <w:color w:val="000000" w:themeColor="text1"/>
        </w:rPr>
        <w:t>book</w:t>
      </w:r>
      <w:r w:rsidR="004F74B1" w:rsidRPr="00922C25">
        <w:rPr>
          <w:color w:val="000000" w:themeColor="text1"/>
        </w:rPr>
        <w:t xml:space="preserve">, </w:t>
      </w:r>
      <w:r w:rsidR="00DD5A93" w:rsidRPr="00922C25">
        <w:rPr>
          <w:color w:val="000000" w:themeColor="text1"/>
        </w:rPr>
        <w:t>a</w:t>
      </w:r>
      <w:r w:rsidR="007B5F12" w:rsidRPr="009127E2">
        <w:rPr>
          <w:color w:val="000000" w:themeColor="text1"/>
        </w:rPr>
        <w:t xml:space="preserve">s well </w:t>
      </w:r>
      <w:r w:rsidR="005653CD">
        <w:rPr>
          <w:color w:val="000000" w:themeColor="text1"/>
        </w:rPr>
        <w:t xml:space="preserve">as </w:t>
      </w:r>
      <w:r w:rsidR="007B5F12" w:rsidRPr="009127E2">
        <w:rPr>
          <w:color w:val="000000" w:themeColor="text1"/>
        </w:rPr>
        <w:t xml:space="preserve">from the </w:t>
      </w:r>
      <w:r w:rsidR="00420546" w:rsidRPr="009B75D2">
        <w:rPr>
          <w:color w:val="000000" w:themeColor="text1"/>
        </w:rPr>
        <w:t xml:space="preserve">prosecuting authority below, </w:t>
      </w:r>
      <w:r w:rsidR="00815833" w:rsidRPr="00775F93">
        <w:rPr>
          <w:color w:val="000000" w:themeColor="text1"/>
        </w:rPr>
        <w:t>intervener</w:t>
      </w:r>
      <w:r w:rsidR="00AF5119" w:rsidRPr="00BB5167">
        <w:rPr>
          <w:color w:val="000000" w:themeColor="text1"/>
        </w:rPr>
        <w:t xml:space="preserve"> </w:t>
      </w:r>
      <w:r w:rsidR="004F74B1" w:rsidRPr="00AF52A1">
        <w:rPr>
          <w:color w:val="000000" w:themeColor="text1"/>
        </w:rPr>
        <w:t xml:space="preserve">San Diego County </w:t>
      </w:r>
      <w:r w:rsidR="004B2EF2" w:rsidRPr="004B4421">
        <w:rPr>
          <w:color w:val="000000" w:themeColor="text1"/>
        </w:rPr>
        <w:t>District Attorney</w:t>
      </w:r>
      <w:r w:rsidR="004F74B1" w:rsidRPr="00C359BC">
        <w:rPr>
          <w:color w:val="000000" w:themeColor="text1"/>
        </w:rPr>
        <w:t xml:space="preserve"> (</w:t>
      </w:r>
      <w:r w:rsidR="00E25323" w:rsidRPr="00C359BC">
        <w:rPr>
          <w:color w:val="000000" w:themeColor="text1"/>
        </w:rPr>
        <w:t>hereafter</w:t>
      </w:r>
      <w:r w:rsidR="00A71791" w:rsidRPr="00922C25">
        <w:rPr>
          <w:color w:val="000000" w:themeColor="text1"/>
        </w:rPr>
        <w:t xml:space="preserve"> t</w:t>
      </w:r>
      <w:r w:rsidR="00A71791" w:rsidRPr="009127E2">
        <w:rPr>
          <w:color w:val="000000" w:themeColor="text1"/>
        </w:rPr>
        <w:t xml:space="preserve">he </w:t>
      </w:r>
      <w:r w:rsidR="004B2EF2" w:rsidRPr="004B4421">
        <w:rPr>
          <w:color w:val="000000" w:themeColor="text1"/>
        </w:rPr>
        <w:t>district attorney</w:t>
      </w:r>
      <w:r w:rsidR="00CB5244" w:rsidRPr="00C359BC">
        <w:rPr>
          <w:color w:val="000000" w:themeColor="text1"/>
        </w:rPr>
        <w:t>)</w:t>
      </w:r>
      <w:r w:rsidR="000E44A6" w:rsidRPr="00922C25">
        <w:rPr>
          <w:color w:val="000000" w:themeColor="text1"/>
        </w:rPr>
        <w:t>)</w:t>
      </w:r>
      <w:r w:rsidR="00F21359" w:rsidRPr="00922C25">
        <w:rPr>
          <w:color w:val="000000" w:themeColor="text1"/>
        </w:rPr>
        <w:t xml:space="preserve"> — </w:t>
      </w:r>
      <w:r w:rsidR="00D415EC" w:rsidRPr="00922C25">
        <w:rPr>
          <w:color w:val="000000" w:themeColor="text1"/>
        </w:rPr>
        <w:t xml:space="preserve">raised questions </w:t>
      </w:r>
      <w:r w:rsidR="00DE7183" w:rsidRPr="00922C25">
        <w:rPr>
          <w:color w:val="000000" w:themeColor="text1"/>
        </w:rPr>
        <w:t xml:space="preserve">regarding </w:t>
      </w:r>
      <w:r w:rsidR="00D415EC" w:rsidRPr="00922C25">
        <w:rPr>
          <w:color w:val="000000" w:themeColor="text1"/>
        </w:rPr>
        <w:t xml:space="preserve">whether </w:t>
      </w:r>
      <w:r w:rsidR="003F6DFB" w:rsidRPr="00922C25">
        <w:rPr>
          <w:color w:val="000000" w:themeColor="text1"/>
        </w:rPr>
        <w:t>this case presents a</w:t>
      </w:r>
      <w:r w:rsidR="00D415EC" w:rsidRPr="008C580C">
        <w:rPr>
          <w:color w:val="000000" w:themeColor="text1"/>
        </w:rPr>
        <w:t xml:space="preserve">n appropriate </w:t>
      </w:r>
      <w:r w:rsidR="003F6DFB" w:rsidRPr="008C580C">
        <w:rPr>
          <w:color w:val="000000" w:themeColor="text1"/>
        </w:rPr>
        <w:t xml:space="preserve">vehicle to </w:t>
      </w:r>
      <w:r w:rsidR="00F32BDD" w:rsidRPr="008C580C">
        <w:rPr>
          <w:color w:val="000000" w:themeColor="text1"/>
        </w:rPr>
        <w:t>resolve an</w:t>
      </w:r>
      <w:r w:rsidR="004B4008" w:rsidRPr="008C580C">
        <w:rPr>
          <w:color w:val="000000" w:themeColor="text1"/>
        </w:rPr>
        <w:t>y</w:t>
      </w:r>
      <w:r w:rsidR="00F32BDD" w:rsidRPr="008C580C">
        <w:rPr>
          <w:color w:val="000000" w:themeColor="text1"/>
        </w:rPr>
        <w:t xml:space="preserve"> </w:t>
      </w:r>
      <w:r w:rsidR="003F6DFB" w:rsidRPr="008C580C">
        <w:rPr>
          <w:color w:val="000000" w:themeColor="text1"/>
        </w:rPr>
        <w:t>of the</w:t>
      </w:r>
      <w:r w:rsidRPr="008C580C">
        <w:rPr>
          <w:color w:val="000000" w:themeColor="text1"/>
        </w:rPr>
        <w:t xml:space="preserve"> </w:t>
      </w:r>
      <w:r w:rsidR="006F72B4" w:rsidRPr="008C580C">
        <w:rPr>
          <w:color w:val="000000" w:themeColor="text1"/>
        </w:rPr>
        <w:t xml:space="preserve">earlier briefed </w:t>
      </w:r>
      <w:r w:rsidR="003F6DFB" w:rsidRPr="008C580C">
        <w:rPr>
          <w:color w:val="000000" w:themeColor="text1"/>
        </w:rPr>
        <w:t xml:space="preserve">legal issues.  </w:t>
      </w:r>
      <w:r w:rsidR="004F4B78" w:rsidRPr="008C580C">
        <w:rPr>
          <w:color w:val="000000" w:themeColor="text1"/>
        </w:rPr>
        <w:t xml:space="preserve">Specifically, </w:t>
      </w:r>
      <w:r w:rsidR="00A772D4" w:rsidRPr="008C580C">
        <w:rPr>
          <w:color w:val="000000" w:themeColor="text1"/>
        </w:rPr>
        <w:t>our review raised the question</w:t>
      </w:r>
      <w:r w:rsidR="00B26F0C" w:rsidRPr="008C580C">
        <w:rPr>
          <w:color w:val="000000" w:themeColor="text1"/>
        </w:rPr>
        <w:t xml:space="preserve"> </w:t>
      </w:r>
      <w:r w:rsidR="00373F0D" w:rsidRPr="008C580C">
        <w:rPr>
          <w:color w:val="000000" w:themeColor="text1"/>
        </w:rPr>
        <w:t xml:space="preserve">whether </w:t>
      </w:r>
      <w:r w:rsidR="001E55FB" w:rsidRPr="008C580C">
        <w:rPr>
          <w:color w:val="000000" w:themeColor="text1"/>
        </w:rPr>
        <w:t xml:space="preserve">the underlying subpoena </w:t>
      </w:r>
      <w:r w:rsidR="008B3995" w:rsidRPr="008C580C">
        <w:rPr>
          <w:color w:val="000000" w:themeColor="text1"/>
        </w:rPr>
        <w:t xml:space="preserve">was </w:t>
      </w:r>
      <w:r w:rsidR="001E55FB" w:rsidRPr="008C580C">
        <w:rPr>
          <w:color w:val="000000" w:themeColor="text1"/>
        </w:rPr>
        <w:t>supported by good cause</w:t>
      </w:r>
      <w:r w:rsidR="009848E7" w:rsidRPr="008C580C">
        <w:rPr>
          <w:color w:val="000000" w:themeColor="text1"/>
        </w:rPr>
        <w:t xml:space="preserve"> </w:t>
      </w:r>
      <w:r w:rsidR="00A23BC9" w:rsidRPr="008C580C">
        <w:rPr>
          <w:color w:val="000000" w:themeColor="text1"/>
        </w:rPr>
        <w:t>and</w:t>
      </w:r>
      <w:r w:rsidR="008B3995" w:rsidRPr="008C580C">
        <w:rPr>
          <w:color w:val="000000" w:themeColor="text1"/>
        </w:rPr>
        <w:t>, if not,</w:t>
      </w:r>
      <w:r w:rsidR="00A23BC9" w:rsidRPr="008C580C">
        <w:rPr>
          <w:color w:val="000000" w:themeColor="text1"/>
        </w:rPr>
        <w:t xml:space="preserve"> </w:t>
      </w:r>
      <w:r w:rsidR="00373F0D" w:rsidRPr="008C580C">
        <w:rPr>
          <w:color w:val="000000" w:themeColor="text1"/>
        </w:rPr>
        <w:t xml:space="preserve">whether </w:t>
      </w:r>
      <w:r w:rsidR="003F6DFB" w:rsidRPr="008C580C">
        <w:rPr>
          <w:color w:val="000000" w:themeColor="text1"/>
        </w:rPr>
        <w:t>the trial court</w:t>
      </w:r>
      <w:r w:rsidR="00744F38" w:rsidRPr="008C580C">
        <w:rPr>
          <w:color w:val="000000" w:themeColor="text1"/>
        </w:rPr>
        <w:t xml:space="preserve">’s denial of </w:t>
      </w:r>
      <w:r w:rsidR="0009498D" w:rsidRPr="008C580C">
        <w:rPr>
          <w:color w:val="000000" w:themeColor="text1"/>
        </w:rPr>
        <w:t xml:space="preserve">Facebook’s </w:t>
      </w:r>
      <w:r w:rsidR="00744F38" w:rsidRPr="008C580C">
        <w:rPr>
          <w:color w:val="000000" w:themeColor="text1"/>
        </w:rPr>
        <w:t xml:space="preserve">motion to quash the subpoena should be </w:t>
      </w:r>
      <w:r w:rsidR="002978FA" w:rsidRPr="008C580C">
        <w:rPr>
          <w:color w:val="000000" w:themeColor="text1"/>
        </w:rPr>
        <w:t>vacated and the matter remanded to the trial court for further proceedings regarding th</w:t>
      </w:r>
      <w:r w:rsidR="004B4008" w:rsidRPr="008C580C">
        <w:rPr>
          <w:color w:val="000000" w:themeColor="text1"/>
        </w:rPr>
        <w:t xml:space="preserve">at </w:t>
      </w:r>
      <w:r w:rsidR="002978FA" w:rsidRPr="008C580C">
        <w:rPr>
          <w:color w:val="000000" w:themeColor="text1"/>
        </w:rPr>
        <w:t>motion</w:t>
      </w:r>
      <w:r w:rsidR="003F6DFB" w:rsidRPr="008C580C">
        <w:rPr>
          <w:color w:val="000000" w:themeColor="text1"/>
        </w:rPr>
        <w:t xml:space="preserve">.  </w:t>
      </w:r>
    </w:p>
    <w:p w14:paraId="5259B5F1" w14:textId="72368B4F" w:rsidR="00381F28" w:rsidRPr="008C580C" w:rsidRDefault="00D40567" w:rsidP="001E4B84">
      <w:pPr>
        <w:ind w:firstLine="720"/>
        <w:rPr>
          <w:color w:val="000000" w:themeColor="text1"/>
        </w:rPr>
      </w:pPr>
      <w:r w:rsidRPr="008C580C">
        <w:rPr>
          <w:color w:val="000000" w:themeColor="text1"/>
        </w:rPr>
        <w:t xml:space="preserve">Accordingly, </w:t>
      </w:r>
      <w:r w:rsidR="00F32BDD" w:rsidRPr="008C580C">
        <w:rPr>
          <w:color w:val="000000" w:themeColor="text1"/>
        </w:rPr>
        <w:t xml:space="preserve">after giving </w:t>
      </w:r>
      <w:r w:rsidR="008B3995" w:rsidRPr="008C580C">
        <w:rPr>
          <w:color w:val="000000" w:themeColor="text1"/>
        </w:rPr>
        <w:t xml:space="preserve">the parties </w:t>
      </w:r>
      <w:r w:rsidR="00F32BDD" w:rsidRPr="008C580C">
        <w:rPr>
          <w:color w:val="000000" w:themeColor="text1"/>
        </w:rPr>
        <w:t>notice and an opportunity to comment</w:t>
      </w:r>
      <w:r w:rsidR="004B4008" w:rsidRPr="008C580C">
        <w:rPr>
          <w:color w:val="000000" w:themeColor="text1"/>
        </w:rPr>
        <w:t>,</w:t>
      </w:r>
      <w:r w:rsidR="00F32BDD" w:rsidRPr="008C580C">
        <w:rPr>
          <w:color w:val="000000" w:themeColor="text1"/>
        </w:rPr>
        <w:t xml:space="preserve"> </w:t>
      </w:r>
      <w:r w:rsidRPr="008C580C">
        <w:rPr>
          <w:color w:val="000000" w:themeColor="text1"/>
        </w:rPr>
        <w:t xml:space="preserve">we </w:t>
      </w:r>
      <w:r w:rsidR="00AA7A7B" w:rsidRPr="008C580C">
        <w:rPr>
          <w:color w:val="000000" w:themeColor="text1"/>
        </w:rPr>
        <w:t>unseal</w:t>
      </w:r>
      <w:r w:rsidR="00F32BDD" w:rsidRPr="008C580C">
        <w:rPr>
          <w:color w:val="000000" w:themeColor="text1"/>
        </w:rPr>
        <w:t>ed</w:t>
      </w:r>
      <w:r w:rsidR="00AA7A7B" w:rsidRPr="008C580C">
        <w:rPr>
          <w:color w:val="000000" w:themeColor="text1"/>
        </w:rPr>
        <w:t xml:space="preserve"> the </w:t>
      </w:r>
      <w:r w:rsidR="00520B8D" w:rsidRPr="008C580C">
        <w:rPr>
          <w:color w:val="000000" w:themeColor="text1"/>
        </w:rPr>
        <w:t xml:space="preserve">declaration and </w:t>
      </w:r>
      <w:r w:rsidR="00520B8D" w:rsidRPr="008C580C">
        <w:rPr>
          <w:color w:val="000000" w:themeColor="text1"/>
        </w:rPr>
        <w:lastRenderedPageBreak/>
        <w:t>related exhibits, t</w:t>
      </w:r>
      <w:r w:rsidR="00F32BDD" w:rsidRPr="008C580C">
        <w:rPr>
          <w:color w:val="000000" w:themeColor="text1"/>
        </w:rPr>
        <w:t xml:space="preserve">ook </w:t>
      </w:r>
      <w:r w:rsidR="00520B8D" w:rsidRPr="008C580C">
        <w:rPr>
          <w:color w:val="000000" w:themeColor="text1"/>
        </w:rPr>
        <w:t>judicial notice of the preliminary hearing transcript and related exhibits, and solicit</w:t>
      </w:r>
      <w:r w:rsidR="00F32BDD" w:rsidRPr="008C580C">
        <w:rPr>
          <w:color w:val="000000" w:themeColor="text1"/>
        </w:rPr>
        <w:t>ed</w:t>
      </w:r>
      <w:r w:rsidR="00520B8D" w:rsidRPr="008C580C">
        <w:rPr>
          <w:color w:val="000000" w:themeColor="text1"/>
        </w:rPr>
        <w:t xml:space="preserve"> supplemental briefing from all three parties </w:t>
      </w:r>
      <w:r w:rsidR="007A4064" w:rsidRPr="008C580C">
        <w:rPr>
          <w:color w:val="000000" w:themeColor="text1"/>
        </w:rPr>
        <w:t xml:space="preserve">concerning </w:t>
      </w:r>
      <w:r w:rsidR="008B3995" w:rsidRPr="008C580C">
        <w:rPr>
          <w:color w:val="000000" w:themeColor="text1"/>
        </w:rPr>
        <w:t>the adequacy of the justifications for the subpoena</w:t>
      </w:r>
      <w:r w:rsidR="00D122FE" w:rsidRPr="008C580C">
        <w:rPr>
          <w:color w:val="000000" w:themeColor="text1"/>
        </w:rPr>
        <w:t xml:space="preserve">.  </w:t>
      </w:r>
      <w:r w:rsidR="00E00E35" w:rsidRPr="008C580C">
        <w:rPr>
          <w:color w:val="000000" w:themeColor="text1"/>
        </w:rPr>
        <w:t xml:space="preserve">In response, </w:t>
      </w:r>
      <w:r w:rsidR="0032061F" w:rsidRPr="008C580C">
        <w:rPr>
          <w:color w:val="000000" w:themeColor="text1"/>
        </w:rPr>
        <w:t xml:space="preserve">real party in interest Lance Touchstone, defendant in the prosecution below (hereafter defendant) </w:t>
      </w:r>
      <w:r w:rsidR="00373F0D" w:rsidRPr="008C580C">
        <w:rPr>
          <w:color w:val="000000" w:themeColor="text1"/>
        </w:rPr>
        <w:t xml:space="preserve">filed a </w:t>
      </w:r>
      <w:r w:rsidR="008B3995" w:rsidRPr="008C580C">
        <w:rPr>
          <w:color w:val="000000" w:themeColor="text1"/>
        </w:rPr>
        <w:t xml:space="preserve">supplemental </w:t>
      </w:r>
      <w:r w:rsidR="00373F0D" w:rsidRPr="008C580C">
        <w:rPr>
          <w:color w:val="000000" w:themeColor="text1"/>
        </w:rPr>
        <w:t xml:space="preserve">brief </w:t>
      </w:r>
      <w:r w:rsidR="008B3995" w:rsidRPr="008C580C">
        <w:rPr>
          <w:color w:val="000000" w:themeColor="text1"/>
        </w:rPr>
        <w:t xml:space="preserve">maintaining </w:t>
      </w:r>
      <w:r w:rsidR="00E00E35" w:rsidRPr="008C580C">
        <w:rPr>
          <w:color w:val="000000" w:themeColor="text1"/>
        </w:rPr>
        <w:t>that the su</w:t>
      </w:r>
      <w:r w:rsidR="003E2C32" w:rsidRPr="008C580C">
        <w:rPr>
          <w:color w:val="000000" w:themeColor="text1"/>
        </w:rPr>
        <w:t xml:space="preserve">bpoena is </w:t>
      </w:r>
      <w:r w:rsidR="000768D3" w:rsidRPr="008C580C">
        <w:rPr>
          <w:color w:val="000000" w:themeColor="text1"/>
        </w:rPr>
        <w:t xml:space="preserve">supported by good cause, and </w:t>
      </w:r>
      <w:r w:rsidR="007B7D98" w:rsidRPr="008C580C">
        <w:rPr>
          <w:color w:val="000000" w:themeColor="text1"/>
        </w:rPr>
        <w:t xml:space="preserve">that the trial court </w:t>
      </w:r>
      <w:r w:rsidR="003E2C32" w:rsidRPr="008C580C">
        <w:rPr>
          <w:color w:val="000000" w:themeColor="text1"/>
        </w:rPr>
        <w:t>proper</w:t>
      </w:r>
      <w:r w:rsidR="007B7D98" w:rsidRPr="008C580C">
        <w:rPr>
          <w:color w:val="000000" w:themeColor="text1"/>
        </w:rPr>
        <w:t xml:space="preserve">ly denied </w:t>
      </w:r>
      <w:r w:rsidR="001048C7" w:rsidRPr="008C580C">
        <w:rPr>
          <w:color w:val="000000" w:themeColor="text1"/>
        </w:rPr>
        <w:t xml:space="preserve">Facebook’s </w:t>
      </w:r>
      <w:r w:rsidR="007B7D98" w:rsidRPr="008C580C">
        <w:rPr>
          <w:color w:val="000000" w:themeColor="text1"/>
        </w:rPr>
        <w:t xml:space="preserve">motion to quash.  </w:t>
      </w:r>
      <w:r w:rsidR="008B3995" w:rsidRPr="008C580C">
        <w:rPr>
          <w:color w:val="000000" w:themeColor="text1"/>
        </w:rPr>
        <w:t xml:space="preserve">By contrast, the supplemental briefs filed by </w:t>
      </w:r>
      <w:r w:rsidR="00BD7583" w:rsidRPr="008C580C">
        <w:rPr>
          <w:color w:val="000000" w:themeColor="text1"/>
        </w:rPr>
        <w:t xml:space="preserve">Facebook and </w:t>
      </w:r>
      <w:r w:rsidR="00E629BC">
        <w:rPr>
          <w:color w:val="000000" w:themeColor="text1"/>
        </w:rPr>
        <w:t xml:space="preserve">the </w:t>
      </w:r>
      <w:r w:rsidR="004B2EF2">
        <w:rPr>
          <w:color w:val="000000" w:themeColor="text1"/>
        </w:rPr>
        <w:t>district attorney</w:t>
      </w:r>
      <w:r w:rsidR="00BD7583" w:rsidRPr="008C580C">
        <w:rPr>
          <w:color w:val="000000" w:themeColor="text1"/>
        </w:rPr>
        <w:t xml:space="preserve"> </w:t>
      </w:r>
      <w:r w:rsidR="008B3995" w:rsidRPr="008C580C">
        <w:rPr>
          <w:color w:val="000000" w:themeColor="text1"/>
        </w:rPr>
        <w:t xml:space="preserve">contend </w:t>
      </w:r>
      <w:r w:rsidR="00373F0D" w:rsidRPr="008C580C">
        <w:rPr>
          <w:color w:val="000000" w:themeColor="text1"/>
        </w:rPr>
        <w:t xml:space="preserve">that defendant failed to state </w:t>
      </w:r>
      <w:proofErr w:type="gramStart"/>
      <w:r w:rsidR="00373F0D" w:rsidRPr="008C580C">
        <w:rPr>
          <w:color w:val="000000" w:themeColor="text1"/>
        </w:rPr>
        <w:t>sufficient</w:t>
      </w:r>
      <w:proofErr w:type="gramEnd"/>
      <w:r w:rsidR="00373F0D" w:rsidRPr="008C580C">
        <w:rPr>
          <w:color w:val="000000" w:themeColor="text1"/>
        </w:rPr>
        <w:t xml:space="preserve"> justification for acquiring the sought communications</w:t>
      </w:r>
      <w:r w:rsidR="00212B21" w:rsidRPr="008C580C">
        <w:rPr>
          <w:color w:val="000000" w:themeColor="text1"/>
        </w:rPr>
        <w:t>, and that the subpoena is not supported by good cause</w:t>
      </w:r>
      <w:r w:rsidR="00373F0D" w:rsidRPr="008C580C">
        <w:rPr>
          <w:color w:val="000000" w:themeColor="text1"/>
        </w:rPr>
        <w:t>.  When it came time to file reply briefs</w:t>
      </w:r>
      <w:r w:rsidR="008B3995" w:rsidRPr="008C580C">
        <w:rPr>
          <w:color w:val="000000" w:themeColor="text1"/>
        </w:rPr>
        <w:t xml:space="preserve"> in the latest round of briefing</w:t>
      </w:r>
      <w:r w:rsidR="00373F0D" w:rsidRPr="008C580C">
        <w:rPr>
          <w:color w:val="000000" w:themeColor="text1"/>
        </w:rPr>
        <w:t xml:space="preserve">, Facebook and </w:t>
      </w:r>
      <w:r w:rsidR="00E629BC">
        <w:rPr>
          <w:color w:val="000000" w:themeColor="text1"/>
        </w:rPr>
        <w:t xml:space="preserve">the </w:t>
      </w:r>
      <w:r w:rsidR="004B2EF2">
        <w:rPr>
          <w:color w:val="000000" w:themeColor="text1"/>
        </w:rPr>
        <w:t>district attorney</w:t>
      </w:r>
      <w:r w:rsidR="00373F0D" w:rsidRPr="008C580C">
        <w:rPr>
          <w:color w:val="000000" w:themeColor="text1"/>
        </w:rPr>
        <w:t xml:space="preserve"> did so</w:t>
      </w:r>
      <w:r w:rsidR="00350B48" w:rsidRPr="008C580C">
        <w:rPr>
          <w:color w:val="000000" w:themeColor="text1"/>
        </w:rPr>
        <w:t xml:space="preserve">, responding to </w:t>
      </w:r>
      <w:r w:rsidR="0032061F" w:rsidRPr="008C580C">
        <w:rPr>
          <w:color w:val="000000" w:themeColor="text1"/>
        </w:rPr>
        <w:t xml:space="preserve">defendant’s </w:t>
      </w:r>
      <w:r w:rsidR="00350B48" w:rsidRPr="008C580C">
        <w:rPr>
          <w:color w:val="000000" w:themeColor="text1"/>
        </w:rPr>
        <w:t xml:space="preserve">arguments.  </w:t>
      </w:r>
      <w:r w:rsidR="0032061F" w:rsidRPr="008C580C">
        <w:rPr>
          <w:color w:val="000000" w:themeColor="text1"/>
        </w:rPr>
        <w:t>D</w:t>
      </w:r>
      <w:r w:rsidR="000B35F4" w:rsidRPr="008C580C">
        <w:rPr>
          <w:color w:val="000000" w:themeColor="text1"/>
        </w:rPr>
        <w:t xml:space="preserve">efendant </w:t>
      </w:r>
      <w:r w:rsidR="001E4B84">
        <w:rPr>
          <w:color w:val="000000" w:themeColor="text1"/>
        </w:rPr>
        <w:t>did</w:t>
      </w:r>
      <w:r w:rsidR="001E4B84" w:rsidRPr="008C580C">
        <w:rPr>
          <w:color w:val="000000" w:themeColor="text1"/>
        </w:rPr>
        <w:t xml:space="preserve"> </w:t>
      </w:r>
      <w:r w:rsidR="00350B48" w:rsidRPr="008C580C">
        <w:rPr>
          <w:color w:val="000000" w:themeColor="text1"/>
        </w:rPr>
        <w:t>not file a reply</w:t>
      </w:r>
      <w:r w:rsidR="004840AF" w:rsidRPr="008C580C">
        <w:rPr>
          <w:color w:val="000000" w:themeColor="text1"/>
        </w:rPr>
        <w:t xml:space="preserve">. </w:t>
      </w:r>
      <w:r w:rsidR="00381F28" w:rsidRPr="008C580C">
        <w:rPr>
          <w:color w:val="000000" w:themeColor="text1"/>
        </w:rPr>
        <w:t xml:space="preserve"> </w:t>
      </w:r>
    </w:p>
    <w:p w14:paraId="3193A3FD" w14:textId="05D28B0C" w:rsidR="00362FD3" w:rsidRPr="008C580C" w:rsidRDefault="009922E2" w:rsidP="00EA0331">
      <w:pPr>
        <w:ind w:firstLine="720"/>
        <w:rPr>
          <w:color w:val="000000" w:themeColor="text1"/>
        </w:rPr>
      </w:pPr>
      <w:r w:rsidRPr="008C580C">
        <w:rPr>
          <w:color w:val="000000" w:themeColor="text1"/>
        </w:rPr>
        <w:t>The most recent briefing ha</w:t>
      </w:r>
      <w:r w:rsidR="00F7364A" w:rsidRPr="008C580C">
        <w:rPr>
          <w:color w:val="000000" w:themeColor="text1"/>
        </w:rPr>
        <w:t>s</w:t>
      </w:r>
      <w:r w:rsidRPr="008C580C">
        <w:rPr>
          <w:color w:val="000000" w:themeColor="text1"/>
        </w:rPr>
        <w:t xml:space="preserve"> not alleviated </w:t>
      </w:r>
      <w:r w:rsidR="00F7364A" w:rsidRPr="008C580C">
        <w:rPr>
          <w:color w:val="000000" w:themeColor="text1"/>
        </w:rPr>
        <w:t xml:space="preserve">our </w:t>
      </w:r>
      <w:r w:rsidR="00857BF5" w:rsidRPr="008C580C">
        <w:rPr>
          <w:color w:val="000000" w:themeColor="text1"/>
        </w:rPr>
        <w:t xml:space="preserve">initial </w:t>
      </w:r>
      <w:r w:rsidR="00A44F6D" w:rsidRPr="008C580C">
        <w:rPr>
          <w:color w:val="000000" w:themeColor="text1"/>
        </w:rPr>
        <w:t xml:space="preserve">questions </w:t>
      </w:r>
      <w:r w:rsidR="00AD7290" w:rsidRPr="008C580C">
        <w:rPr>
          <w:color w:val="000000" w:themeColor="text1"/>
        </w:rPr>
        <w:t xml:space="preserve">concerning the </w:t>
      </w:r>
      <w:r w:rsidR="00825DD3" w:rsidRPr="008C580C">
        <w:rPr>
          <w:color w:val="000000" w:themeColor="text1"/>
        </w:rPr>
        <w:t xml:space="preserve">viability </w:t>
      </w:r>
      <w:r w:rsidR="00AD7290" w:rsidRPr="008C580C">
        <w:rPr>
          <w:color w:val="000000" w:themeColor="text1"/>
        </w:rPr>
        <w:t>of the underlying subpoena</w:t>
      </w:r>
      <w:r w:rsidR="00F7364A" w:rsidRPr="008C580C">
        <w:rPr>
          <w:color w:val="000000" w:themeColor="text1"/>
        </w:rPr>
        <w:t xml:space="preserve">.  </w:t>
      </w:r>
      <w:r w:rsidR="003F6DFB" w:rsidRPr="008C580C">
        <w:rPr>
          <w:color w:val="000000" w:themeColor="text1"/>
        </w:rPr>
        <w:t xml:space="preserve">As explained in greater detail </w:t>
      </w:r>
      <w:r w:rsidR="000868BF" w:rsidRPr="008C580C">
        <w:rPr>
          <w:color w:val="000000" w:themeColor="text1"/>
        </w:rPr>
        <w:t>below</w:t>
      </w:r>
      <w:r w:rsidR="005B774F" w:rsidRPr="008C580C">
        <w:rPr>
          <w:color w:val="000000" w:themeColor="text1"/>
        </w:rPr>
        <w:t>,</w:t>
      </w:r>
      <w:r w:rsidR="003F6DFB" w:rsidRPr="008C580C">
        <w:rPr>
          <w:color w:val="000000" w:themeColor="text1"/>
        </w:rPr>
        <w:t xml:space="preserve"> the trial court </w:t>
      </w:r>
      <w:r w:rsidR="000778CF" w:rsidRPr="008C580C">
        <w:rPr>
          <w:color w:val="000000" w:themeColor="text1"/>
        </w:rPr>
        <w:t>erred</w:t>
      </w:r>
      <w:r w:rsidR="007F59ED" w:rsidRPr="008C580C">
        <w:rPr>
          <w:color w:val="000000" w:themeColor="text1"/>
        </w:rPr>
        <w:t xml:space="preserve"> by conducting </w:t>
      </w:r>
      <w:r w:rsidR="003F6DFB" w:rsidRPr="008C580C">
        <w:rPr>
          <w:color w:val="000000" w:themeColor="text1"/>
        </w:rPr>
        <w:t xml:space="preserve">an incomplete assessment of the relevant factors and interests when it </w:t>
      </w:r>
      <w:r w:rsidR="00D33EF3" w:rsidRPr="008C580C">
        <w:rPr>
          <w:color w:val="000000" w:themeColor="text1"/>
        </w:rPr>
        <w:t xml:space="preserve">found that defendant </w:t>
      </w:r>
      <w:r w:rsidR="00F7364A" w:rsidRPr="008C580C">
        <w:rPr>
          <w:color w:val="000000" w:themeColor="text1"/>
        </w:rPr>
        <w:t xml:space="preserve">established </w:t>
      </w:r>
      <w:r w:rsidR="002975B8" w:rsidRPr="008C580C">
        <w:rPr>
          <w:color w:val="000000" w:themeColor="text1"/>
        </w:rPr>
        <w:t xml:space="preserve">good cause to </w:t>
      </w:r>
      <w:r w:rsidR="00D33EF3" w:rsidRPr="008C580C">
        <w:rPr>
          <w:color w:val="000000" w:themeColor="text1"/>
        </w:rPr>
        <w:t>acquir</w:t>
      </w:r>
      <w:r w:rsidR="002975B8" w:rsidRPr="008C580C">
        <w:rPr>
          <w:color w:val="000000" w:themeColor="text1"/>
        </w:rPr>
        <w:t xml:space="preserve">e </w:t>
      </w:r>
      <w:r w:rsidR="00D33EF3" w:rsidRPr="008C580C">
        <w:rPr>
          <w:color w:val="000000" w:themeColor="text1"/>
        </w:rPr>
        <w:t xml:space="preserve">the sought communications from Facebook and </w:t>
      </w:r>
      <w:r w:rsidR="003F6DFB" w:rsidRPr="008C580C">
        <w:rPr>
          <w:color w:val="000000" w:themeColor="text1"/>
        </w:rPr>
        <w:t xml:space="preserve">denied </w:t>
      </w:r>
      <w:r w:rsidR="00E361DF" w:rsidRPr="008C580C">
        <w:rPr>
          <w:color w:val="000000" w:themeColor="text1"/>
        </w:rPr>
        <w:t xml:space="preserve">Facebook’s </w:t>
      </w:r>
      <w:r w:rsidR="003F6DFB" w:rsidRPr="008C580C">
        <w:rPr>
          <w:color w:val="000000" w:themeColor="text1"/>
        </w:rPr>
        <w:t>motion to quash</w:t>
      </w:r>
      <w:r w:rsidR="00D33EF3" w:rsidRPr="008C580C">
        <w:rPr>
          <w:color w:val="000000" w:themeColor="text1"/>
        </w:rPr>
        <w:t xml:space="preserve">.  </w:t>
      </w:r>
      <w:r w:rsidR="003F6DFB" w:rsidRPr="008C580C">
        <w:rPr>
          <w:color w:val="000000" w:themeColor="text1"/>
        </w:rPr>
        <w:t>Th</w:t>
      </w:r>
      <w:r w:rsidR="00917399" w:rsidRPr="008C580C">
        <w:rPr>
          <w:color w:val="000000" w:themeColor="text1"/>
        </w:rPr>
        <w:t>e trial court’s misstep</w:t>
      </w:r>
      <w:r w:rsidR="00581C7A" w:rsidRPr="008C580C">
        <w:rPr>
          <w:color w:val="000000" w:themeColor="text1"/>
        </w:rPr>
        <w:t xml:space="preserve"> </w:t>
      </w:r>
      <w:r w:rsidR="003F6DFB" w:rsidRPr="008C580C">
        <w:rPr>
          <w:color w:val="000000" w:themeColor="text1"/>
        </w:rPr>
        <w:t xml:space="preserve">was understandable, given that </w:t>
      </w:r>
      <w:r w:rsidR="00917399" w:rsidRPr="008C580C">
        <w:rPr>
          <w:color w:val="000000" w:themeColor="text1"/>
        </w:rPr>
        <w:t xml:space="preserve">(1) </w:t>
      </w:r>
      <w:r w:rsidR="003F6DFB" w:rsidRPr="008C580C">
        <w:rPr>
          <w:color w:val="000000" w:themeColor="text1"/>
        </w:rPr>
        <w:t xml:space="preserve">the trial court did not have the benefit of full adversarial engagement, </w:t>
      </w:r>
      <w:r w:rsidR="00917399" w:rsidRPr="008C580C">
        <w:rPr>
          <w:color w:val="000000" w:themeColor="text1"/>
        </w:rPr>
        <w:t xml:space="preserve">(2) </w:t>
      </w:r>
      <w:r w:rsidR="00BE3C12" w:rsidRPr="008C580C">
        <w:rPr>
          <w:color w:val="000000" w:themeColor="text1"/>
        </w:rPr>
        <w:t xml:space="preserve">there </w:t>
      </w:r>
      <w:r w:rsidR="004F0D08" w:rsidRPr="008C580C">
        <w:rPr>
          <w:color w:val="000000" w:themeColor="text1"/>
        </w:rPr>
        <w:t>is</w:t>
      </w:r>
      <w:r w:rsidR="00F70307" w:rsidRPr="008C580C">
        <w:rPr>
          <w:color w:val="000000" w:themeColor="text1"/>
        </w:rPr>
        <w:t xml:space="preserve"> </w:t>
      </w:r>
      <w:r w:rsidR="00BE3C12" w:rsidRPr="008C580C">
        <w:rPr>
          <w:color w:val="000000" w:themeColor="text1"/>
        </w:rPr>
        <w:t>surprisingly little guidance in the case law and secondary literature</w:t>
      </w:r>
      <w:r w:rsidR="00D64A03" w:rsidRPr="008C580C">
        <w:rPr>
          <w:color w:val="000000" w:themeColor="text1"/>
        </w:rPr>
        <w:t xml:space="preserve"> with regard to the appropriate </w:t>
      </w:r>
      <w:r w:rsidR="003D4AB5" w:rsidRPr="008C580C">
        <w:rPr>
          <w:color w:val="000000" w:themeColor="text1"/>
        </w:rPr>
        <w:t>inquiry</w:t>
      </w:r>
      <w:r w:rsidR="00BE3C12" w:rsidRPr="008C580C">
        <w:rPr>
          <w:color w:val="000000" w:themeColor="text1"/>
        </w:rPr>
        <w:t xml:space="preserve">, and </w:t>
      </w:r>
      <w:r w:rsidR="00D64A03" w:rsidRPr="008C580C">
        <w:rPr>
          <w:color w:val="000000" w:themeColor="text1"/>
        </w:rPr>
        <w:t xml:space="preserve">(3) </w:t>
      </w:r>
      <w:r w:rsidR="00BE3C12" w:rsidRPr="008C580C">
        <w:rPr>
          <w:color w:val="000000" w:themeColor="text1"/>
        </w:rPr>
        <w:t>this court has</w:t>
      </w:r>
      <w:r w:rsidR="003F6DFB" w:rsidRPr="008C580C">
        <w:rPr>
          <w:color w:val="000000" w:themeColor="text1"/>
        </w:rPr>
        <w:t xml:space="preserve"> not </w:t>
      </w:r>
      <w:r w:rsidR="00D64A03" w:rsidRPr="008C580C">
        <w:rPr>
          <w:color w:val="000000" w:themeColor="text1"/>
        </w:rPr>
        <w:t xml:space="preserve">previously </w:t>
      </w:r>
      <w:r w:rsidR="003F6DFB" w:rsidRPr="008C580C">
        <w:rPr>
          <w:color w:val="000000" w:themeColor="text1"/>
        </w:rPr>
        <w:t xml:space="preserve">articulated a </w:t>
      </w:r>
      <w:r w:rsidR="00381F28" w:rsidRPr="008C580C">
        <w:rPr>
          <w:color w:val="000000" w:themeColor="text1"/>
        </w:rPr>
        <w:t xml:space="preserve">clear </w:t>
      </w:r>
      <w:r w:rsidR="008575EF" w:rsidRPr="008C580C">
        <w:rPr>
          <w:color w:val="000000" w:themeColor="text1"/>
        </w:rPr>
        <w:t xml:space="preserve">roadmap </w:t>
      </w:r>
      <w:r w:rsidR="003F6DFB" w:rsidRPr="008C580C">
        <w:rPr>
          <w:color w:val="000000" w:themeColor="text1"/>
        </w:rPr>
        <w:t xml:space="preserve">or set of factors </w:t>
      </w:r>
      <w:r w:rsidR="00513A45" w:rsidRPr="008C580C">
        <w:rPr>
          <w:color w:val="000000" w:themeColor="text1"/>
        </w:rPr>
        <w:t>to be applied by trial courts</w:t>
      </w:r>
      <w:r w:rsidR="003F6DFB" w:rsidRPr="008C580C">
        <w:rPr>
          <w:color w:val="000000" w:themeColor="text1"/>
        </w:rPr>
        <w:t xml:space="preserve"> in this context.  </w:t>
      </w:r>
    </w:p>
    <w:p w14:paraId="0806F0A3" w14:textId="0162FC37" w:rsidR="00CB2F33" w:rsidRPr="008C580C" w:rsidRDefault="00BE3C12" w:rsidP="00EA0331">
      <w:pPr>
        <w:ind w:firstLine="720"/>
        <w:rPr>
          <w:color w:val="000000" w:themeColor="text1"/>
        </w:rPr>
      </w:pPr>
      <w:r w:rsidRPr="008C580C">
        <w:rPr>
          <w:color w:val="000000" w:themeColor="text1"/>
        </w:rPr>
        <w:t xml:space="preserve">In this case, we </w:t>
      </w:r>
      <w:r w:rsidR="00435C0D" w:rsidRPr="008C580C">
        <w:rPr>
          <w:color w:val="000000" w:themeColor="text1"/>
        </w:rPr>
        <w:t xml:space="preserve">will provide direction to the trial court and parties, both </w:t>
      </w:r>
      <w:r w:rsidRPr="008C580C">
        <w:rPr>
          <w:color w:val="000000" w:themeColor="text1"/>
        </w:rPr>
        <w:t>for the benefit of</w:t>
      </w:r>
      <w:r w:rsidR="00435C0D" w:rsidRPr="008C580C">
        <w:rPr>
          <w:color w:val="000000" w:themeColor="text1"/>
        </w:rPr>
        <w:t xml:space="preserve"> this litigation and other similar cases. </w:t>
      </w:r>
      <w:r w:rsidR="009949EB" w:rsidRPr="008C580C">
        <w:rPr>
          <w:color w:val="000000" w:themeColor="text1"/>
        </w:rPr>
        <w:t xml:space="preserve"> </w:t>
      </w:r>
      <w:r w:rsidR="006F72B4" w:rsidRPr="008C580C">
        <w:rPr>
          <w:color w:val="000000" w:themeColor="text1"/>
        </w:rPr>
        <w:t xml:space="preserve">In doing so </w:t>
      </w:r>
      <w:r w:rsidR="007A4064" w:rsidRPr="008C580C">
        <w:rPr>
          <w:color w:val="000000" w:themeColor="text1"/>
        </w:rPr>
        <w:t xml:space="preserve">we will highlight seven factors that a trial </w:t>
      </w:r>
      <w:r w:rsidR="007A4064" w:rsidRPr="008C580C">
        <w:rPr>
          <w:color w:val="000000" w:themeColor="text1"/>
        </w:rPr>
        <w:lastRenderedPageBreak/>
        <w:t xml:space="preserve">court should </w:t>
      </w:r>
      <w:r w:rsidR="00671F18" w:rsidRPr="008C580C">
        <w:rPr>
          <w:color w:val="000000" w:themeColor="text1"/>
        </w:rPr>
        <w:t xml:space="preserve">explicitly </w:t>
      </w:r>
      <w:r w:rsidR="007A4064" w:rsidRPr="008C580C">
        <w:rPr>
          <w:color w:val="000000" w:themeColor="text1"/>
        </w:rPr>
        <w:t>consider and balance in ruling on a motion to quash</w:t>
      </w:r>
      <w:r w:rsidR="006F72B4" w:rsidRPr="008C580C">
        <w:rPr>
          <w:color w:val="000000" w:themeColor="text1"/>
        </w:rPr>
        <w:t xml:space="preserve"> a subpoena duces tecum directed to a third party</w:t>
      </w:r>
      <w:r w:rsidR="0088052C" w:rsidRPr="008C580C">
        <w:rPr>
          <w:color w:val="000000" w:themeColor="text1"/>
        </w:rPr>
        <w:t>.</w:t>
      </w:r>
      <w:r w:rsidR="007A4064" w:rsidRPr="008C580C">
        <w:rPr>
          <w:color w:val="000000" w:themeColor="text1"/>
        </w:rPr>
        <w:t xml:space="preserve">  </w:t>
      </w:r>
      <w:r w:rsidR="00655F78" w:rsidRPr="008C580C">
        <w:rPr>
          <w:color w:val="000000" w:themeColor="text1"/>
        </w:rPr>
        <w:t xml:space="preserve">In the process </w:t>
      </w:r>
      <w:r w:rsidR="0078570A" w:rsidRPr="008C580C">
        <w:rPr>
          <w:color w:val="000000" w:themeColor="text1"/>
        </w:rPr>
        <w:t xml:space="preserve">we will </w:t>
      </w:r>
      <w:r w:rsidR="00E44C29" w:rsidRPr="008C580C">
        <w:rPr>
          <w:color w:val="000000" w:themeColor="text1"/>
        </w:rPr>
        <w:t xml:space="preserve">reiterate </w:t>
      </w:r>
      <w:r w:rsidR="00307539" w:rsidRPr="008C580C">
        <w:rPr>
          <w:color w:val="000000" w:themeColor="text1"/>
        </w:rPr>
        <w:t>our prior</w:t>
      </w:r>
      <w:r w:rsidR="00E44C29" w:rsidRPr="008C580C">
        <w:rPr>
          <w:color w:val="000000" w:themeColor="text1"/>
        </w:rPr>
        <w:t xml:space="preserve"> </w:t>
      </w:r>
      <w:r w:rsidR="0060759A" w:rsidRPr="008C580C">
        <w:rPr>
          <w:color w:val="000000" w:themeColor="text1"/>
        </w:rPr>
        <w:t xml:space="preserve">caution </w:t>
      </w:r>
      <w:r w:rsidR="00E44C29" w:rsidRPr="008C580C">
        <w:rPr>
          <w:color w:val="000000" w:themeColor="text1"/>
        </w:rPr>
        <w:t xml:space="preserve">to </w:t>
      </w:r>
      <w:r w:rsidR="00D85545" w:rsidRPr="008C580C">
        <w:rPr>
          <w:color w:val="000000" w:themeColor="text1"/>
        </w:rPr>
        <w:t xml:space="preserve">trial courts </w:t>
      </w:r>
      <w:r w:rsidR="00F41F56" w:rsidRPr="008C580C">
        <w:rPr>
          <w:color w:val="000000" w:themeColor="text1"/>
        </w:rPr>
        <w:t xml:space="preserve">against </w:t>
      </w:r>
      <w:r w:rsidR="00292576" w:rsidRPr="008C580C">
        <w:rPr>
          <w:color w:val="000000" w:themeColor="text1"/>
        </w:rPr>
        <w:t xml:space="preserve">readily </w:t>
      </w:r>
      <w:r w:rsidR="00D85545" w:rsidRPr="008C580C">
        <w:rPr>
          <w:color w:val="000000" w:themeColor="text1"/>
        </w:rPr>
        <w:t xml:space="preserve">allowing a defendant </w:t>
      </w:r>
      <w:r w:rsidR="00381F28" w:rsidRPr="008C580C">
        <w:rPr>
          <w:color w:val="000000" w:themeColor="text1"/>
        </w:rPr>
        <w:t xml:space="preserve">seeking to enforce such a subpoena </w:t>
      </w:r>
      <w:r w:rsidR="00D85545" w:rsidRPr="008C580C">
        <w:rPr>
          <w:color w:val="000000" w:themeColor="text1"/>
        </w:rPr>
        <w:t xml:space="preserve">to proceed, as was done here, </w:t>
      </w:r>
      <w:r w:rsidR="00292576" w:rsidRPr="008C580C">
        <w:rPr>
          <w:color w:val="000000" w:themeColor="text1"/>
        </w:rPr>
        <w:t xml:space="preserve">ex parte and under seal. </w:t>
      </w:r>
      <w:r w:rsidR="00DB4AA1" w:rsidRPr="008C580C">
        <w:rPr>
          <w:color w:val="000000" w:themeColor="text1"/>
        </w:rPr>
        <w:t xml:space="preserve"> </w:t>
      </w:r>
    </w:p>
    <w:p w14:paraId="0D4A5AE2" w14:textId="79F2A776" w:rsidR="00CB2F33" w:rsidRPr="008C580C" w:rsidRDefault="009156E5" w:rsidP="00EA0331">
      <w:pPr>
        <w:ind w:firstLine="720"/>
        <w:rPr>
          <w:color w:val="000000" w:themeColor="text1"/>
        </w:rPr>
      </w:pPr>
      <w:proofErr w:type="gramStart"/>
      <w:r w:rsidRPr="008C580C">
        <w:rPr>
          <w:color w:val="000000" w:themeColor="text1"/>
        </w:rPr>
        <w:t>With regard to</w:t>
      </w:r>
      <w:proofErr w:type="gramEnd"/>
      <w:r w:rsidRPr="008C580C">
        <w:rPr>
          <w:color w:val="000000" w:themeColor="text1"/>
        </w:rPr>
        <w:t xml:space="preserve"> </w:t>
      </w:r>
      <w:r w:rsidR="0088052C" w:rsidRPr="008C580C">
        <w:rPr>
          <w:color w:val="000000" w:themeColor="text1"/>
        </w:rPr>
        <w:t xml:space="preserve">the </w:t>
      </w:r>
      <w:r w:rsidRPr="008C580C">
        <w:rPr>
          <w:color w:val="000000" w:themeColor="text1"/>
        </w:rPr>
        <w:t xml:space="preserve">other issues potentially presented by this case, </w:t>
      </w:r>
      <w:r w:rsidR="00CB2F33" w:rsidRPr="008C580C">
        <w:rPr>
          <w:color w:val="000000" w:themeColor="text1"/>
        </w:rPr>
        <w:t>we are</w:t>
      </w:r>
      <w:r w:rsidRPr="008C580C">
        <w:rPr>
          <w:color w:val="000000" w:themeColor="text1"/>
        </w:rPr>
        <w:t xml:space="preserve"> generally</w:t>
      </w:r>
      <w:r w:rsidR="00CB2F33" w:rsidRPr="008C580C">
        <w:rPr>
          <w:color w:val="000000" w:themeColor="text1"/>
        </w:rPr>
        <w:t xml:space="preserve"> reluctant to address significant substantive legal issues </w:t>
      </w:r>
      <w:r w:rsidR="005E2ABE" w:rsidRPr="008C580C">
        <w:rPr>
          <w:color w:val="000000" w:themeColor="text1"/>
        </w:rPr>
        <w:t>when</w:t>
      </w:r>
      <w:r w:rsidR="00CB2F33" w:rsidRPr="008C580C">
        <w:rPr>
          <w:color w:val="000000" w:themeColor="text1"/>
        </w:rPr>
        <w:t>, due to underlying factual and related problems, it</w:t>
      </w:r>
      <w:r w:rsidR="00815833" w:rsidRPr="008C580C">
        <w:rPr>
          <w:color w:val="000000" w:themeColor="text1"/>
        </w:rPr>
        <w:t xml:space="preserve"> may</w:t>
      </w:r>
      <w:r w:rsidR="00CB2F33" w:rsidRPr="008C580C">
        <w:rPr>
          <w:color w:val="000000" w:themeColor="text1"/>
        </w:rPr>
        <w:t xml:space="preserve"> prove unnecessary to do so.  </w:t>
      </w:r>
      <w:r w:rsidR="007D133D" w:rsidRPr="008C580C">
        <w:rPr>
          <w:color w:val="000000" w:themeColor="text1"/>
        </w:rPr>
        <w:t xml:space="preserve">Here, </w:t>
      </w:r>
      <w:r w:rsidR="00CB2F33" w:rsidRPr="008C580C">
        <w:rPr>
          <w:color w:val="000000" w:themeColor="text1"/>
        </w:rPr>
        <w:t xml:space="preserve">as we will explain, we are especially </w:t>
      </w:r>
      <w:r w:rsidR="006676F5">
        <w:rPr>
          <w:color w:val="000000" w:themeColor="text1"/>
        </w:rPr>
        <w:t xml:space="preserve">disinclined </w:t>
      </w:r>
      <w:r w:rsidR="00CB2F33" w:rsidRPr="008C580C">
        <w:rPr>
          <w:color w:val="000000" w:themeColor="text1"/>
        </w:rPr>
        <w:t xml:space="preserve">to resolve the important constitutional, statutory, and related issues </w:t>
      </w:r>
      <w:r w:rsidR="007A4064" w:rsidRPr="008C580C">
        <w:rPr>
          <w:color w:val="000000" w:themeColor="text1"/>
        </w:rPr>
        <w:t xml:space="preserve">addressed in the briefs </w:t>
      </w:r>
      <w:r w:rsidR="00F86FA3" w:rsidRPr="008C580C">
        <w:rPr>
          <w:color w:val="000000" w:themeColor="text1"/>
        </w:rPr>
        <w:t xml:space="preserve">when the underlying subpoena may not be </w:t>
      </w:r>
      <w:r w:rsidR="009D6D38" w:rsidRPr="008C580C">
        <w:rPr>
          <w:color w:val="000000" w:themeColor="text1"/>
        </w:rPr>
        <w:t>enforceable</w:t>
      </w:r>
      <w:r w:rsidR="00BB7B0C" w:rsidRPr="008C580C">
        <w:rPr>
          <w:color w:val="000000" w:themeColor="text1"/>
        </w:rPr>
        <w:t xml:space="preserve"> for other </w:t>
      </w:r>
      <w:r w:rsidR="00B049D9" w:rsidRPr="008C580C">
        <w:rPr>
          <w:color w:val="000000" w:themeColor="text1"/>
        </w:rPr>
        <w:t>reasons</w:t>
      </w:r>
      <w:r w:rsidR="00CB2F33" w:rsidRPr="008C580C">
        <w:rPr>
          <w:color w:val="000000" w:themeColor="text1"/>
        </w:rPr>
        <w:t xml:space="preserve">.  </w:t>
      </w:r>
    </w:p>
    <w:p w14:paraId="788D5662" w14:textId="00ABDA1E" w:rsidR="009949EB" w:rsidRPr="008C580C" w:rsidRDefault="0078570A" w:rsidP="00EA0331">
      <w:pPr>
        <w:ind w:firstLine="720"/>
        <w:rPr>
          <w:color w:val="000000" w:themeColor="text1"/>
        </w:rPr>
      </w:pPr>
      <w:r w:rsidRPr="008C580C">
        <w:rPr>
          <w:color w:val="000000" w:themeColor="text1"/>
        </w:rPr>
        <w:t xml:space="preserve">Ultimately, </w:t>
      </w:r>
      <w:r w:rsidR="00ED751B" w:rsidRPr="008C580C">
        <w:rPr>
          <w:color w:val="000000" w:themeColor="text1"/>
        </w:rPr>
        <w:t xml:space="preserve">we </w:t>
      </w:r>
      <w:r w:rsidR="005D46E6" w:rsidRPr="008C580C">
        <w:rPr>
          <w:color w:val="000000" w:themeColor="text1"/>
        </w:rPr>
        <w:t xml:space="preserve">will </w:t>
      </w:r>
      <w:r w:rsidR="00B411C9" w:rsidRPr="008C580C">
        <w:rPr>
          <w:color w:val="000000" w:themeColor="text1"/>
        </w:rPr>
        <w:t xml:space="preserve">direct </w:t>
      </w:r>
      <w:r w:rsidR="007617A3" w:rsidRPr="008C580C">
        <w:rPr>
          <w:color w:val="000000" w:themeColor="text1"/>
        </w:rPr>
        <w:t xml:space="preserve">the Court of Appeal to remand this matter to the trial court with directions </w:t>
      </w:r>
      <w:r w:rsidR="00B411C9" w:rsidRPr="008C580C">
        <w:rPr>
          <w:color w:val="000000" w:themeColor="text1"/>
        </w:rPr>
        <w:t>that the trial court vacate its order denying the motion to quash</w:t>
      </w:r>
      <w:r w:rsidR="007617A3" w:rsidRPr="008C580C">
        <w:rPr>
          <w:color w:val="000000" w:themeColor="text1"/>
        </w:rPr>
        <w:t xml:space="preserve"> and conduct further proceedings consistent with the guidelines set forth in </w:t>
      </w:r>
      <w:r w:rsidR="00AF5A8D">
        <w:rPr>
          <w:color w:val="000000" w:themeColor="text1"/>
        </w:rPr>
        <w:t xml:space="preserve">this </w:t>
      </w:r>
      <w:r w:rsidR="007617A3" w:rsidRPr="008C580C">
        <w:rPr>
          <w:color w:val="000000" w:themeColor="text1"/>
        </w:rPr>
        <w:t>opinion</w:t>
      </w:r>
      <w:r w:rsidR="009949EB" w:rsidRPr="008C580C">
        <w:rPr>
          <w:color w:val="000000" w:themeColor="text1"/>
        </w:rPr>
        <w:t xml:space="preserve">.  </w:t>
      </w:r>
    </w:p>
    <w:p w14:paraId="3618B2B6" w14:textId="2D1D44E2" w:rsidR="002A35C8" w:rsidRPr="008C580C" w:rsidRDefault="002A35C8" w:rsidP="00413670">
      <w:pPr>
        <w:pStyle w:val="Heading1"/>
        <w:ind w:left="2160" w:right="2160"/>
        <w:rPr>
          <w:color w:val="000000" w:themeColor="text1"/>
        </w:rPr>
      </w:pPr>
      <w:r w:rsidRPr="008C580C">
        <w:rPr>
          <w:color w:val="000000" w:themeColor="text1"/>
        </w:rPr>
        <w:t xml:space="preserve">I.  Background and </w:t>
      </w:r>
      <w:r w:rsidR="008829F1" w:rsidRPr="008C580C">
        <w:rPr>
          <w:color w:val="000000" w:themeColor="text1"/>
        </w:rPr>
        <w:t xml:space="preserve">Underlying </w:t>
      </w:r>
      <w:r w:rsidRPr="008C580C">
        <w:rPr>
          <w:color w:val="000000" w:themeColor="text1"/>
        </w:rPr>
        <w:t xml:space="preserve">Procedure </w:t>
      </w:r>
    </w:p>
    <w:p w14:paraId="6C8CB041" w14:textId="318B5514" w:rsidR="002A35C8" w:rsidRPr="008C580C" w:rsidRDefault="002A35C8" w:rsidP="00EA0331">
      <w:pPr>
        <w:pStyle w:val="Text"/>
        <w:spacing w:line="400" w:lineRule="exact"/>
        <w:ind w:firstLine="0"/>
        <w:rPr>
          <w:color w:val="000000" w:themeColor="text1"/>
        </w:rPr>
      </w:pPr>
      <w:r w:rsidRPr="008C580C">
        <w:rPr>
          <w:color w:val="000000" w:themeColor="text1"/>
        </w:rPr>
        <w:tab/>
        <w:t>In</w:t>
      </w:r>
      <w:r w:rsidRPr="008C580C">
        <w:rPr>
          <w:i/>
          <w:color w:val="000000" w:themeColor="text1"/>
        </w:rPr>
        <w:t xml:space="preserve"> Facebook (Hunter), supra, </w:t>
      </w:r>
      <w:r w:rsidRPr="008C580C">
        <w:rPr>
          <w:color w:val="000000" w:themeColor="text1"/>
        </w:rPr>
        <w:t xml:space="preserve">4 Cal.5th 1245, we addressed issues concerning the propriety of criminal defense subpoenas served on social media entities, including Facebook, seeking restricted posts </w:t>
      </w:r>
      <w:r w:rsidR="00D54DDE">
        <w:rPr>
          <w:color w:val="000000" w:themeColor="text1"/>
        </w:rPr>
        <w:t xml:space="preserve">and </w:t>
      </w:r>
      <w:r w:rsidR="00D54DDE" w:rsidRPr="008C580C">
        <w:rPr>
          <w:color w:val="000000" w:themeColor="text1"/>
        </w:rPr>
        <w:t xml:space="preserve">private messages </w:t>
      </w:r>
      <w:r w:rsidRPr="008C580C">
        <w:rPr>
          <w:color w:val="000000" w:themeColor="text1"/>
        </w:rPr>
        <w:t xml:space="preserve">of two of </w:t>
      </w:r>
      <w:r w:rsidR="00C61302">
        <w:rPr>
          <w:color w:val="000000" w:themeColor="text1"/>
        </w:rPr>
        <w:t xml:space="preserve">their </w:t>
      </w:r>
      <w:r w:rsidRPr="008C580C">
        <w:rPr>
          <w:color w:val="000000" w:themeColor="text1"/>
        </w:rPr>
        <w:t xml:space="preserve">users.  We held, </w:t>
      </w:r>
      <w:r w:rsidR="00E538CD" w:rsidRPr="008C580C">
        <w:rPr>
          <w:color w:val="000000" w:themeColor="text1"/>
        </w:rPr>
        <w:t>in part</w:t>
      </w:r>
      <w:r w:rsidRPr="008C580C">
        <w:rPr>
          <w:color w:val="000000" w:themeColor="text1"/>
        </w:rPr>
        <w:t xml:space="preserve">, that to the extent such a subpoena seeks a communication that had been configured as and remained public, Facebook could not assert the </w:t>
      </w:r>
      <w:r w:rsidR="009D5C62" w:rsidRPr="008C580C">
        <w:rPr>
          <w:color w:val="000000" w:themeColor="text1"/>
        </w:rPr>
        <w:t xml:space="preserve">federal Stored Communications Act (18 U.S.C. § 2701 et seq.; hereafter SCA or </w:t>
      </w:r>
      <w:r w:rsidR="009D5C62" w:rsidRPr="008C580C">
        <w:rPr>
          <w:color w:val="000000" w:themeColor="text1"/>
        </w:rPr>
        <w:lastRenderedPageBreak/>
        <w:t xml:space="preserve">Act) </w:t>
      </w:r>
      <w:r w:rsidRPr="008C580C">
        <w:rPr>
          <w:color w:val="000000" w:themeColor="text1"/>
        </w:rPr>
        <w:t xml:space="preserve">as a shield to block enforcement of the subpoena.  </w:t>
      </w:r>
      <w:r w:rsidR="00815833" w:rsidRPr="008C580C">
        <w:rPr>
          <w:color w:val="000000" w:themeColor="text1"/>
        </w:rPr>
        <w:t>(</w:t>
      </w:r>
      <w:r w:rsidR="00815833" w:rsidRPr="008C580C">
        <w:rPr>
          <w:i/>
          <w:color w:val="000000" w:themeColor="text1"/>
        </w:rPr>
        <w:t>Id</w:t>
      </w:r>
      <w:r w:rsidR="00815833" w:rsidRPr="008C580C">
        <w:rPr>
          <w:color w:val="000000" w:themeColor="text1"/>
        </w:rPr>
        <w:t>., at pp.</w:t>
      </w:r>
      <w:r w:rsidR="001B7605" w:rsidRPr="008C580C">
        <w:rPr>
          <w:color w:val="000000" w:themeColor="text1"/>
        </w:rPr>
        <w:t> </w:t>
      </w:r>
      <w:r w:rsidR="00815833" w:rsidRPr="008C580C">
        <w:rPr>
          <w:color w:val="000000" w:themeColor="text1"/>
        </w:rPr>
        <w:t>1250, 1262</w:t>
      </w:r>
      <w:r w:rsidR="00EA3DB4">
        <w:rPr>
          <w:color w:val="000000" w:themeColor="text1"/>
        </w:rPr>
        <w:t>–</w:t>
      </w:r>
      <w:r w:rsidR="00815833" w:rsidRPr="008C580C">
        <w:rPr>
          <w:color w:val="000000" w:themeColor="text1"/>
        </w:rPr>
        <w:t xml:space="preserve">1274.)  </w:t>
      </w:r>
    </w:p>
    <w:p w14:paraId="6C529A08" w14:textId="6DDFE01E" w:rsidR="002A35C8" w:rsidRPr="008C580C" w:rsidRDefault="006F2E47" w:rsidP="00EA0331">
      <w:pPr>
        <w:pStyle w:val="Text"/>
        <w:tabs>
          <w:tab w:val="clear" w:pos="1440"/>
          <w:tab w:val="clear" w:pos="2160"/>
          <w:tab w:val="clear" w:pos="4320"/>
        </w:tabs>
        <w:spacing w:line="400" w:lineRule="exact"/>
        <w:ind w:firstLine="720"/>
        <w:rPr>
          <w:color w:val="000000" w:themeColor="text1"/>
        </w:rPr>
      </w:pPr>
      <w:r w:rsidRPr="008C580C">
        <w:rPr>
          <w:color w:val="000000" w:themeColor="text1"/>
        </w:rPr>
        <w:t xml:space="preserve">At the time when </w:t>
      </w:r>
      <w:r w:rsidR="002277CD" w:rsidRPr="008C580C">
        <w:rPr>
          <w:color w:val="000000" w:themeColor="text1"/>
        </w:rPr>
        <w:t>the proceeding</w:t>
      </w:r>
      <w:r w:rsidR="002A35C8" w:rsidRPr="008C580C">
        <w:rPr>
          <w:color w:val="000000" w:themeColor="text1"/>
        </w:rPr>
        <w:t xml:space="preserve"> in </w:t>
      </w:r>
      <w:r w:rsidR="002A35C8" w:rsidRPr="008C580C">
        <w:rPr>
          <w:i/>
          <w:color w:val="000000" w:themeColor="text1"/>
        </w:rPr>
        <w:t>Facebook (Hunter)</w:t>
      </w:r>
      <w:r w:rsidR="002A35C8" w:rsidRPr="008C580C">
        <w:rPr>
          <w:color w:val="000000" w:themeColor="text1"/>
        </w:rPr>
        <w:t xml:space="preserve">, </w:t>
      </w:r>
      <w:r w:rsidR="006C475F" w:rsidRPr="008C580C">
        <w:rPr>
          <w:i/>
          <w:color w:val="000000" w:themeColor="text1"/>
        </w:rPr>
        <w:t xml:space="preserve">supra, </w:t>
      </w:r>
      <w:r w:rsidR="006C475F" w:rsidRPr="008C580C">
        <w:rPr>
          <w:color w:val="000000" w:themeColor="text1"/>
        </w:rPr>
        <w:t>4 Cal.5th 1245</w:t>
      </w:r>
      <w:r w:rsidR="002277CD" w:rsidRPr="008C580C">
        <w:rPr>
          <w:color w:val="000000" w:themeColor="text1"/>
        </w:rPr>
        <w:t xml:space="preserve"> was pending in this court</w:t>
      </w:r>
      <w:r w:rsidR="006C475F" w:rsidRPr="008C580C">
        <w:rPr>
          <w:color w:val="000000" w:themeColor="text1"/>
        </w:rPr>
        <w:t xml:space="preserve">, </w:t>
      </w:r>
      <w:r w:rsidR="002A35C8" w:rsidRPr="008C580C">
        <w:rPr>
          <w:color w:val="000000" w:themeColor="text1"/>
        </w:rPr>
        <w:t xml:space="preserve">we granted review in this </w:t>
      </w:r>
      <w:proofErr w:type="gramStart"/>
      <w:r w:rsidR="002A35C8" w:rsidRPr="008C580C">
        <w:rPr>
          <w:color w:val="000000" w:themeColor="text1"/>
        </w:rPr>
        <w:t>seemingly similar</w:t>
      </w:r>
      <w:proofErr w:type="gramEnd"/>
      <w:r w:rsidR="002A35C8" w:rsidRPr="008C580C">
        <w:rPr>
          <w:color w:val="000000" w:themeColor="text1"/>
        </w:rPr>
        <w:t xml:space="preserve"> pretrial criminal discovery matter.  In the present case, </w:t>
      </w:r>
      <w:r w:rsidR="002032A1" w:rsidRPr="008C580C">
        <w:rPr>
          <w:color w:val="000000" w:themeColor="text1"/>
        </w:rPr>
        <w:t>defendant</w:t>
      </w:r>
      <w:r w:rsidR="002A35C8" w:rsidRPr="008C580C">
        <w:rPr>
          <w:color w:val="000000" w:themeColor="text1"/>
        </w:rPr>
        <w:t xml:space="preserve"> is charged with shooting and attempting to murder Jeffrey Renteria</w:t>
      </w:r>
      <w:r w:rsidR="002A3C6E" w:rsidRPr="008C580C">
        <w:rPr>
          <w:color w:val="000000" w:themeColor="text1"/>
        </w:rPr>
        <w:t xml:space="preserve">.  Defendant </w:t>
      </w:r>
      <w:r w:rsidR="002A35C8" w:rsidRPr="008C580C">
        <w:rPr>
          <w:color w:val="000000" w:themeColor="text1"/>
        </w:rPr>
        <w:t xml:space="preserve">seeks all </w:t>
      </w:r>
      <w:r w:rsidR="00C7104A" w:rsidRPr="008C580C">
        <w:rPr>
          <w:color w:val="000000" w:themeColor="text1"/>
        </w:rPr>
        <w:t xml:space="preserve">of Renteria’s Facebook communications (including </w:t>
      </w:r>
      <w:r w:rsidR="004A0251" w:rsidRPr="008C580C">
        <w:rPr>
          <w:color w:val="000000" w:themeColor="text1"/>
        </w:rPr>
        <w:t xml:space="preserve">restricted posts and </w:t>
      </w:r>
      <w:r w:rsidR="002A35C8" w:rsidRPr="008C580C">
        <w:rPr>
          <w:color w:val="000000" w:themeColor="text1"/>
        </w:rPr>
        <w:t xml:space="preserve">private messages) before and after the shooting.  </w:t>
      </w:r>
    </w:p>
    <w:p w14:paraId="2A17EE28" w14:textId="767376D9" w:rsidR="002A35C8" w:rsidRPr="008C580C" w:rsidRDefault="00056A8D" w:rsidP="00EA0331">
      <w:pPr>
        <w:tabs>
          <w:tab w:val="left" w:pos="1440"/>
        </w:tabs>
        <w:ind w:firstLine="720"/>
        <w:rPr>
          <w:color w:val="000000" w:themeColor="text1"/>
        </w:rPr>
      </w:pPr>
      <w:r w:rsidRPr="008C580C">
        <w:rPr>
          <w:color w:val="000000" w:themeColor="text1"/>
        </w:rPr>
        <w:t>D</w:t>
      </w:r>
      <w:r w:rsidR="005C6E97" w:rsidRPr="008C580C">
        <w:rPr>
          <w:color w:val="000000" w:themeColor="text1"/>
        </w:rPr>
        <w:t>efendant</w:t>
      </w:r>
      <w:r w:rsidR="00CE3D14" w:rsidRPr="008C580C">
        <w:rPr>
          <w:color w:val="000000" w:themeColor="text1"/>
        </w:rPr>
        <w:t xml:space="preserve"> </w:t>
      </w:r>
      <w:r w:rsidR="002A35C8" w:rsidRPr="008C580C">
        <w:rPr>
          <w:color w:val="000000" w:themeColor="text1"/>
        </w:rPr>
        <w:t>a</w:t>
      </w:r>
      <w:r w:rsidR="005C6E97" w:rsidRPr="008C580C">
        <w:rPr>
          <w:color w:val="000000" w:themeColor="text1"/>
        </w:rPr>
        <w:t xml:space="preserve">rgues that </w:t>
      </w:r>
      <w:r w:rsidR="002A35C8" w:rsidRPr="008C580C">
        <w:rPr>
          <w:color w:val="000000" w:themeColor="text1"/>
        </w:rPr>
        <w:t xml:space="preserve">he needs all electronic communications by Renteria in order to prepare his defense in two respects:  </w:t>
      </w:r>
      <w:r w:rsidR="001F770A" w:rsidRPr="008C580C">
        <w:rPr>
          <w:color w:val="000000" w:themeColor="text1"/>
        </w:rPr>
        <w:t xml:space="preserve">Primarily, </w:t>
      </w:r>
      <w:r w:rsidR="00CA6E59" w:rsidRPr="008C580C">
        <w:rPr>
          <w:color w:val="000000" w:themeColor="text1"/>
        </w:rPr>
        <w:t xml:space="preserve">he </w:t>
      </w:r>
      <w:r w:rsidR="002A35C8" w:rsidRPr="008C580C">
        <w:rPr>
          <w:color w:val="000000" w:themeColor="text1"/>
        </w:rPr>
        <w:t xml:space="preserve">contends, he has a viable claim of </w:t>
      </w:r>
      <w:r w:rsidR="002A35C8" w:rsidRPr="008C580C">
        <w:rPr>
          <w:i/>
          <w:color w:val="000000" w:themeColor="text1"/>
        </w:rPr>
        <w:t>self-defense</w:t>
      </w:r>
      <w:r w:rsidR="002A35C8" w:rsidRPr="008C580C">
        <w:rPr>
          <w:color w:val="000000" w:themeColor="text1"/>
        </w:rPr>
        <w:t xml:space="preserve"> against Renteria, and </w:t>
      </w:r>
      <w:r w:rsidR="002A2CB3" w:rsidRPr="008C580C">
        <w:rPr>
          <w:color w:val="000000" w:themeColor="text1"/>
        </w:rPr>
        <w:t xml:space="preserve">requires </w:t>
      </w:r>
      <w:r w:rsidR="002A35C8" w:rsidRPr="008C580C">
        <w:rPr>
          <w:color w:val="000000" w:themeColor="text1"/>
        </w:rPr>
        <w:t>the communications to investigate and present that affirmative defense.  Second</w:t>
      </w:r>
      <w:r w:rsidR="003846B2" w:rsidRPr="008C580C">
        <w:rPr>
          <w:color w:val="000000" w:themeColor="text1"/>
        </w:rPr>
        <w:t xml:space="preserve">arily, or alternatively, </w:t>
      </w:r>
      <w:r w:rsidR="002A35C8" w:rsidRPr="008C580C">
        <w:rPr>
          <w:color w:val="000000" w:themeColor="text1"/>
        </w:rPr>
        <w:t xml:space="preserve">he seeks to prepare to </w:t>
      </w:r>
      <w:r w:rsidR="002A35C8" w:rsidRPr="008C580C">
        <w:rPr>
          <w:i/>
          <w:color w:val="000000" w:themeColor="text1"/>
        </w:rPr>
        <w:t>impeach the character</w:t>
      </w:r>
      <w:r w:rsidR="002A35C8" w:rsidRPr="008C580C">
        <w:rPr>
          <w:color w:val="000000" w:themeColor="text1"/>
        </w:rPr>
        <w:t xml:space="preserve"> of the anticipated main prosecution witness against him</w:t>
      </w:r>
      <w:r w:rsidR="00B139FB" w:rsidRPr="008C580C">
        <w:rPr>
          <w:color w:val="000000" w:themeColor="text1"/>
        </w:rPr>
        <w:t xml:space="preserve"> — </w:t>
      </w:r>
      <w:r w:rsidR="009341F0" w:rsidRPr="008C580C">
        <w:rPr>
          <w:color w:val="000000" w:themeColor="text1"/>
        </w:rPr>
        <w:t>the victim</w:t>
      </w:r>
      <w:r w:rsidR="00B139FB" w:rsidRPr="008C580C">
        <w:rPr>
          <w:color w:val="000000" w:themeColor="text1"/>
        </w:rPr>
        <w:t>,</w:t>
      </w:r>
      <w:r w:rsidR="009341F0" w:rsidRPr="008C580C">
        <w:rPr>
          <w:color w:val="000000" w:themeColor="text1"/>
        </w:rPr>
        <w:t xml:space="preserve"> </w:t>
      </w:r>
      <w:r w:rsidR="002A35C8" w:rsidRPr="008C580C">
        <w:rPr>
          <w:color w:val="000000" w:themeColor="text1"/>
        </w:rPr>
        <w:t>Renteria</w:t>
      </w:r>
      <w:r w:rsidR="00B139FB" w:rsidRPr="008C580C">
        <w:rPr>
          <w:color w:val="000000" w:themeColor="text1"/>
        </w:rPr>
        <w:t xml:space="preserve"> —</w:t>
      </w:r>
      <w:r w:rsidR="002A35C8" w:rsidRPr="008C580C">
        <w:rPr>
          <w:color w:val="000000" w:themeColor="text1"/>
        </w:rPr>
        <w:t xml:space="preserve"> if, as expected, Renteria is called by the prosecution at trial.  </w:t>
      </w:r>
    </w:p>
    <w:p w14:paraId="73184381" w14:textId="261FEEE2" w:rsidR="002A35C8" w:rsidRPr="008C580C" w:rsidRDefault="002A35C8" w:rsidP="00B5564B">
      <w:pPr>
        <w:pStyle w:val="Text"/>
        <w:spacing w:line="400" w:lineRule="exact"/>
        <w:ind w:firstLine="720"/>
        <w:rPr>
          <w:color w:val="000000" w:themeColor="text1"/>
        </w:rPr>
      </w:pPr>
      <w:r w:rsidRPr="008C580C">
        <w:rPr>
          <w:color w:val="000000" w:themeColor="text1"/>
        </w:rPr>
        <w:t xml:space="preserve">Defendant asserts that to the extent the SCA allows Facebook to block his subpoena, the Act must be found to violate his </w:t>
      </w:r>
      <w:r w:rsidR="00D52F51">
        <w:rPr>
          <w:color w:val="000000" w:themeColor="text1"/>
        </w:rPr>
        <w:t xml:space="preserve">federal </w:t>
      </w:r>
      <w:r w:rsidRPr="008C580C">
        <w:rPr>
          <w:color w:val="000000" w:themeColor="text1"/>
        </w:rPr>
        <w:t xml:space="preserve">Fifth Amendment due process rights, </w:t>
      </w:r>
      <w:r w:rsidR="00E629BC">
        <w:rPr>
          <w:color w:val="000000" w:themeColor="text1"/>
        </w:rPr>
        <w:t xml:space="preserve">along with </w:t>
      </w:r>
      <w:r w:rsidRPr="008C580C">
        <w:rPr>
          <w:color w:val="000000" w:themeColor="text1"/>
        </w:rPr>
        <w:t xml:space="preserve">his Sixth Amendment rights of confrontation, cross-examination, and counsel — and hence the SCA is unconstitutional as applied to him.  </w:t>
      </w:r>
      <w:r w:rsidR="00B32817" w:rsidRPr="00335DDD">
        <w:rPr>
          <w:color w:val="000000" w:themeColor="text1"/>
        </w:rPr>
        <w:t xml:space="preserve">Defendant </w:t>
      </w:r>
      <w:r w:rsidR="000F353C" w:rsidRPr="00335DDD">
        <w:rPr>
          <w:color w:val="000000" w:themeColor="text1"/>
        </w:rPr>
        <w:t>reco</w:t>
      </w:r>
      <w:r w:rsidR="000F353C" w:rsidRPr="009127E2">
        <w:rPr>
          <w:color w:val="000000" w:themeColor="text1"/>
        </w:rPr>
        <w:t xml:space="preserve">gnizes that in </w:t>
      </w:r>
      <w:r w:rsidRPr="00775F93">
        <w:rPr>
          <w:i/>
          <w:color w:val="000000" w:themeColor="text1"/>
        </w:rPr>
        <w:t xml:space="preserve">People v. </w:t>
      </w:r>
      <w:proofErr w:type="spellStart"/>
      <w:r w:rsidRPr="00775F93">
        <w:rPr>
          <w:i/>
          <w:color w:val="000000" w:themeColor="text1"/>
        </w:rPr>
        <w:t>Hammon</w:t>
      </w:r>
      <w:proofErr w:type="spellEnd"/>
      <w:r w:rsidRPr="00775F93">
        <w:rPr>
          <w:color w:val="000000" w:themeColor="text1"/>
        </w:rPr>
        <w:t xml:space="preserve"> (1997) 15 Cal.4th 1117</w:t>
      </w:r>
      <w:r w:rsidR="00DA682B" w:rsidRPr="00775F93">
        <w:rPr>
          <w:color w:val="000000" w:themeColor="text1"/>
        </w:rPr>
        <w:t xml:space="preserve">, </w:t>
      </w:r>
      <w:r w:rsidR="007D4C4B" w:rsidRPr="00BB5167">
        <w:rPr>
          <w:color w:val="000000" w:themeColor="text1"/>
        </w:rPr>
        <w:t xml:space="preserve">1128, </w:t>
      </w:r>
      <w:r w:rsidR="00DA682B" w:rsidRPr="003C0910">
        <w:rPr>
          <w:color w:val="000000" w:themeColor="text1"/>
        </w:rPr>
        <w:t xml:space="preserve">we </w:t>
      </w:r>
      <w:r w:rsidRPr="00AF52A1">
        <w:rPr>
          <w:color w:val="000000" w:themeColor="text1"/>
        </w:rPr>
        <w:t>declin</w:t>
      </w:r>
      <w:r w:rsidR="00DA682B" w:rsidRPr="00AF52A1">
        <w:rPr>
          <w:color w:val="000000" w:themeColor="text1"/>
        </w:rPr>
        <w:t>ed</w:t>
      </w:r>
      <w:r w:rsidRPr="00AF52A1">
        <w:rPr>
          <w:color w:val="000000" w:themeColor="text1"/>
        </w:rPr>
        <w:t xml:space="preserve"> to recognize </w:t>
      </w:r>
      <w:r w:rsidR="007D4C4B" w:rsidRPr="00AF52A1">
        <w:rPr>
          <w:color w:val="000000" w:themeColor="text1"/>
        </w:rPr>
        <w:t xml:space="preserve">such </w:t>
      </w:r>
      <w:r w:rsidR="00F3492C" w:rsidRPr="00427FF3">
        <w:rPr>
          <w:color w:val="000000" w:themeColor="text1"/>
        </w:rPr>
        <w:t>constitutional</w:t>
      </w:r>
      <w:r w:rsidR="00E61592" w:rsidRPr="004B4421">
        <w:rPr>
          <w:color w:val="000000" w:themeColor="text1"/>
        </w:rPr>
        <w:t xml:space="preserve"> </w:t>
      </w:r>
      <w:r w:rsidRPr="004B4421">
        <w:rPr>
          <w:color w:val="000000" w:themeColor="text1"/>
        </w:rPr>
        <w:t>right</w:t>
      </w:r>
      <w:r w:rsidR="007D4C4B" w:rsidRPr="004B4421">
        <w:rPr>
          <w:color w:val="000000" w:themeColor="text1"/>
        </w:rPr>
        <w:t>s</w:t>
      </w:r>
      <w:r w:rsidRPr="004B4421">
        <w:rPr>
          <w:color w:val="000000" w:themeColor="text1"/>
        </w:rPr>
        <w:t xml:space="preserve"> to pretrial discovery of statutorily privileged psychotherapy information.</w:t>
      </w:r>
      <w:r w:rsidR="00B063AE" w:rsidRPr="004B4421">
        <w:rPr>
          <w:color w:val="000000" w:themeColor="text1"/>
        </w:rPr>
        <w:t xml:space="preserve">  </w:t>
      </w:r>
      <w:r w:rsidR="00542303" w:rsidRPr="004B4421">
        <w:rPr>
          <w:color w:val="000000" w:themeColor="text1"/>
        </w:rPr>
        <w:t>Yet</w:t>
      </w:r>
      <w:r w:rsidR="00E2201E" w:rsidRPr="004B4421">
        <w:rPr>
          <w:color w:val="000000" w:themeColor="text1"/>
        </w:rPr>
        <w:t xml:space="preserve">, defendant contends, we should </w:t>
      </w:r>
      <w:r w:rsidR="003F1138" w:rsidRPr="004B4421">
        <w:rPr>
          <w:color w:val="000000" w:themeColor="text1"/>
        </w:rPr>
        <w:t xml:space="preserve">now </w:t>
      </w:r>
      <w:r w:rsidR="00E2201E" w:rsidRPr="004B4421">
        <w:rPr>
          <w:color w:val="000000" w:themeColor="text1"/>
        </w:rPr>
        <w:t xml:space="preserve">limit or overrule </w:t>
      </w:r>
      <w:r w:rsidR="003F1138" w:rsidRPr="004B4421">
        <w:rPr>
          <w:color w:val="000000" w:themeColor="text1"/>
        </w:rPr>
        <w:t xml:space="preserve">this </w:t>
      </w:r>
      <w:r w:rsidR="00AF234E" w:rsidRPr="004B4421">
        <w:rPr>
          <w:color w:val="000000" w:themeColor="text1"/>
        </w:rPr>
        <w:t xml:space="preserve">aspect of </w:t>
      </w:r>
      <w:proofErr w:type="spellStart"/>
      <w:r w:rsidR="00AF234E" w:rsidRPr="004B4421">
        <w:rPr>
          <w:i/>
          <w:iCs/>
          <w:color w:val="000000" w:themeColor="text1"/>
        </w:rPr>
        <w:t>Hammon</w:t>
      </w:r>
      <w:proofErr w:type="spellEnd"/>
      <w:r w:rsidR="00AF234E" w:rsidRPr="00335DDD">
        <w:rPr>
          <w:color w:val="000000" w:themeColor="text1"/>
        </w:rPr>
        <w:t>.</w:t>
      </w:r>
      <w:r w:rsidRPr="009460C9">
        <w:rPr>
          <w:color w:val="000000" w:themeColor="text1"/>
        </w:rPr>
        <w:t xml:space="preserve">  These are </w:t>
      </w:r>
      <w:proofErr w:type="gramStart"/>
      <w:r w:rsidR="00F4487B" w:rsidRPr="00775F93">
        <w:rPr>
          <w:color w:val="000000" w:themeColor="text1"/>
        </w:rPr>
        <w:t xml:space="preserve">essentially </w:t>
      </w:r>
      <w:r w:rsidRPr="00775F93">
        <w:rPr>
          <w:color w:val="000000" w:themeColor="text1"/>
        </w:rPr>
        <w:t>the</w:t>
      </w:r>
      <w:proofErr w:type="gramEnd"/>
      <w:r w:rsidRPr="00775F93">
        <w:rPr>
          <w:color w:val="000000" w:themeColor="text1"/>
        </w:rPr>
        <w:t xml:space="preserve"> same constitutional claims </w:t>
      </w:r>
      <w:r w:rsidR="001E050A" w:rsidRPr="00427FF3">
        <w:rPr>
          <w:color w:val="000000" w:themeColor="text1"/>
        </w:rPr>
        <w:t xml:space="preserve">and arguments </w:t>
      </w:r>
      <w:r w:rsidRPr="004B4421">
        <w:rPr>
          <w:color w:val="000000" w:themeColor="text1"/>
        </w:rPr>
        <w:lastRenderedPageBreak/>
        <w:t>that were presented</w:t>
      </w:r>
      <w:r w:rsidR="00F4487B" w:rsidRPr="004B4421">
        <w:rPr>
          <w:color w:val="000000" w:themeColor="text1"/>
        </w:rPr>
        <w:t>,</w:t>
      </w:r>
      <w:r w:rsidRPr="004B4421">
        <w:rPr>
          <w:color w:val="000000" w:themeColor="text1"/>
        </w:rPr>
        <w:t xml:space="preserve"> but </w:t>
      </w:r>
      <w:r w:rsidR="00DA682B" w:rsidRPr="004B4421">
        <w:rPr>
          <w:color w:val="000000" w:themeColor="text1"/>
        </w:rPr>
        <w:t>not reached</w:t>
      </w:r>
      <w:r w:rsidR="00F4487B" w:rsidRPr="004B4421">
        <w:rPr>
          <w:color w:val="000000" w:themeColor="text1"/>
        </w:rPr>
        <w:t>,</w:t>
      </w:r>
      <w:r w:rsidRPr="004B4421">
        <w:rPr>
          <w:color w:val="000000" w:themeColor="text1"/>
        </w:rPr>
        <w:t xml:space="preserve"> in </w:t>
      </w:r>
      <w:r w:rsidRPr="004B4421">
        <w:rPr>
          <w:i/>
          <w:color w:val="000000" w:themeColor="text1"/>
        </w:rPr>
        <w:t>Facebook (Hunter)</w:t>
      </w:r>
      <w:r w:rsidR="00F4487B" w:rsidRPr="004B4421">
        <w:rPr>
          <w:i/>
          <w:color w:val="000000" w:themeColor="text1"/>
        </w:rPr>
        <w:t xml:space="preserve">, supra, </w:t>
      </w:r>
      <w:r w:rsidR="00F4487B" w:rsidRPr="004B4421">
        <w:rPr>
          <w:color w:val="000000" w:themeColor="text1"/>
        </w:rPr>
        <w:t>4 Cal.5th 1245.</w:t>
      </w:r>
      <w:r w:rsidR="00F4487B" w:rsidRPr="008C580C">
        <w:rPr>
          <w:color w:val="000000" w:themeColor="text1"/>
        </w:rPr>
        <w:t xml:space="preserve">  </w:t>
      </w:r>
    </w:p>
    <w:p w14:paraId="04E296F1" w14:textId="5393017A" w:rsidR="002A35C8" w:rsidRPr="008C580C" w:rsidRDefault="002A35C8" w:rsidP="004E0E31">
      <w:pPr>
        <w:pStyle w:val="Text"/>
        <w:spacing w:line="400" w:lineRule="exact"/>
        <w:ind w:firstLine="720"/>
        <w:rPr>
          <w:color w:val="000000" w:themeColor="text1"/>
        </w:rPr>
      </w:pPr>
      <w:r w:rsidRPr="008C580C">
        <w:rPr>
          <w:color w:val="000000" w:themeColor="text1"/>
        </w:rPr>
        <w:t>The C</w:t>
      </w:r>
      <w:r w:rsidR="005249C8" w:rsidRPr="008C580C">
        <w:rPr>
          <w:color w:val="000000" w:themeColor="text1"/>
        </w:rPr>
        <w:t xml:space="preserve">ourt of Appeal </w:t>
      </w:r>
      <w:r w:rsidRPr="008C580C">
        <w:rPr>
          <w:color w:val="000000" w:themeColor="text1"/>
        </w:rPr>
        <w:t xml:space="preserve">below, </w:t>
      </w:r>
      <w:r w:rsidR="00DA682B" w:rsidRPr="008C580C">
        <w:rPr>
          <w:color w:val="000000" w:themeColor="text1"/>
        </w:rPr>
        <w:t xml:space="preserve">observing </w:t>
      </w:r>
      <w:r w:rsidRPr="008C580C">
        <w:rPr>
          <w:color w:val="000000" w:themeColor="text1"/>
        </w:rPr>
        <w:t xml:space="preserve">that </w:t>
      </w:r>
      <w:r w:rsidRPr="008C580C">
        <w:rPr>
          <w:i/>
          <w:color w:val="000000" w:themeColor="text1"/>
        </w:rPr>
        <w:t>Facebook (Hunter)</w:t>
      </w:r>
      <w:r w:rsidR="008E2B1B" w:rsidRPr="008C580C">
        <w:rPr>
          <w:i/>
          <w:color w:val="000000" w:themeColor="text1"/>
        </w:rPr>
        <w:t xml:space="preserve">, supra, </w:t>
      </w:r>
      <w:r w:rsidR="008E2B1B" w:rsidRPr="008C580C">
        <w:rPr>
          <w:color w:val="000000" w:themeColor="text1"/>
        </w:rPr>
        <w:t>4</w:t>
      </w:r>
      <w:r w:rsidR="00F13CC1" w:rsidRPr="008C580C">
        <w:rPr>
          <w:color w:val="000000" w:themeColor="text1"/>
        </w:rPr>
        <w:t xml:space="preserve"> </w:t>
      </w:r>
      <w:r w:rsidR="008E2B1B" w:rsidRPr="008C580C">
        <w:rPr>
          <w:color w:val="000000" w:themeColor="text1"/>
        </w:rPr>
        <w:t>Cal.5th 1245</w:t>
      </w:r>
      <w:r w:rsidRPr="008C580C">
        <w:rPr>
          <w:color w:val="000000" w:themeColor="text1"/>
        </w:rPr>
        <w:t xml:space="preserve"> was then pending before us, rejected defendant’s claims </w:t>
      </w:r>
      <w:r w:rsidR="00664006" w:rsidRPr="008C580C">
        <w:rPr>
          <w:color w:val="000000" w:themeColor="text1"/>
        </w:rPr>
        <w:t>(</w:t>
      </w:r>
      <w:r w:rsidR="00664006" w:rsidRPr="008C580C">
        <w:rPr>
          <w:i/>
          <w:color w:val="000000" w:themeColor="text1"/>
        </w:rPr>
        <w:t>Facebook, Inc. v. Superior Court</w:t>
      </w:r>
      <w:r w:rsidR="00664006" w:rsidRPr="008C580C">
        <w:rPr>
          <w:i/>
          <w:iCs/>
          <w:color w:val="000000" w:themeColor="text1"/>
        </w:rPr>
        <w:t xml:space="preserve"> </w:t>
      </w:r>
      <w:r w:rsidR="009D0704" w:rsidRPr="008C580C">
        <w:rPr>
          <w:i/>
          <w:iCs/>
          <w:color w:val="000000" w:themeColor="text1"/>
        </w:rPr>
        <w:t>(Touchstone)</w:t>
      </w:r>
      <w:r w:rsidR="009D0704" w:rsidRPr="008C580C">
        <w:rPr>
          <w:color w:val="000000" w:themeColor="text1"/>
        </w:rPr>
        <w:t xml:space="preserve"> </w:t>
      </w:r>
      <w:r w:rsidR="00664006" w:rsidRPr="008C580C">
        <w:rPr>
          <w:color w:val="000000" w:themeColor="text1"/>
        </w:rPr>
        <w:t>(2017) 15 Cal.App.5th 729, 739</w:t>
      </w:r>
      <w:r w:rsidR="00EA3DB4">
        <w:rPr>
          <w:color w:val="000000" w:themeColor="text1"/>
        </w:rPr>
        <w:t>–</w:t>
      </w:r>
      <w:r w:rsidR="00664006" w:rsidRPr="008C580C">
        <w:rPr>
          <w:color w:val="000000" w:themeColor="text1"/>
        </w:rPr>
        <w:t xml:space="preserve">745) </w:t>
      </w:r>
      <w:r w:rsidRPr="008C580C">
        <w:rPr>
          <w:color w:val="000000" w:themeColor="text1"/>
        </w:rPr>
        <w:t>and denied him pretrial discovery (</w:t>
      </w:r>
      <w:r w:rsidR="004E0E31">
        <w:rPr>
          <w:i/>
          <w:color w:val="000000" w:themeColor="text1"/>
        </w:rPr>
        <w:t>i</w:t>
      </w:r>
      <w:r w:rsidR="00664006" w:rsidRPr="008C580C">
        <w:rPr>
          <w:i/>
          <w:color w:val="000000" w:themeColor="text1"/>
        </w:rPr>
        <w:t>d</w:t>
      </w:r>
      <w:r w:rsidR="00664006" w:rsidRPr="008C580C">
        <w:rPr>
          <w:color w:val="000000" w:themeColor="text1"/>
        </w:rPr>
        <w:t xml:space="preserve">., at pp. </w:t>
      </w:r>
      <w:r w:rsidR="00F27B22" w:rsidRPr="008C580C">
        <w:rPr>
          <w:color w:val="000000" w:themeColor="text1"/>
        </w:rPr>
        <w:t>745</w:t>
      </w:r>
      <w:r w:rsidR="00EA3DB4">
        <w:rPr>
          <w:color w:val="000000" w:themeColor="text1"/>
        </w:rPr>
        <w:t>–</w:t>
      </w:r>
      <w:r w:rsidR="00664006" w:rsidRPr="008C580C">
        <w:rPr>
          <w:color w:val="000000" w:themeColor="text1"/>
        </w:rPr>
        <w:t>748</w:t>
      </w:r>
      <w:r w:rsidR="00F27B22" w:rsidRPr="008C580C">
        <w:rPr>
          <w:color w:val="000000" w:themeColor="text1"/>
        </w:rPr>
        <w:t xml:space="preserve"> [</w:t>
      </w:r>
      <w:r w:rsidR="00664006" w:rsidRPr="008C580C">
        <w:rPr>
          <w:color w:val="000000" w:themeColor="text1"/>
        </w:rPr>
        <w:t>exploring optional means by which defendant might obtain the sought information]</w:t>
      </w:r>
      <w:r w:rsidRPr="008C580C">
        <w:rPr>
          <w:color w:val="000000" w:themeColor="text1"/>
        </w:rPr>
        <w:t>)</w:t>
      </w:r>
      <w:r w:rsidR="004E0E31">
        <w:rPr>
          <w:color w:val="000000" w:themeColor="text1"/>
        </w:rPr>
        <w:t>.</w:t>
      </w:r>
      <w:r w:rsidRPr="008C580C">
        <w:rPr>
          <w:color w:val="000000" w:themeColor="text1"/>
        </w:rPr>
        <w:t xml:space="preserve">  </w:t>
      </w:r>
      <w:r w:rsidR="00664006" w:rsidRPr="008C580C">
        <w:rPr>
          <w:color w:val="000000" w:themeColor="text1"/>
        </w:rPr>
        <w:t>I</w:t>
      </w:r>
      <w:r w:rsidRPr="008C580C">
        <w:rPr>
          <w:color w:val="000000" w:themeColor="text1"/>
        </w:rPr>
        <w:t xml:space="preserve">n our subsequent order granting review we directed the parties to address additional </w:t>
      </w:r>
      <w:r w:rsidR="0008788A" w:rsidRPr="008C580C">
        <w:rPr>
          <w:color w:val="000000" w:themeColor="text1"/>
        </w:rPr>
        <w:t xml:space="preserve">issues </w:t>
      </w:r>
      <w:r w:rsidRPr="008C580C">
        <w:rPr>
          <w:color w:val="000000" w:themeColor="text1"/>
        </w:rPr>
        <w:t xml:space="preserve">arising from the briefing and the </w:t>
      </w:r>
      <w:r w:rsidR="005249C8" w:rsidRPr="008C580C">
        <w:rPr>
          <w:color w:val="000000" w:themeColor="text1"/>
        </w:rPr>
        <w:t xml:space="preserve">Court of Appeal’s </w:t>
      </w:r>
      <w:r w:rsidRPr="008C580C">
        <w:rPr>
          <w:color w:val="000000" w:themeColor="text1"/>
        </w:rPr>
        <w:t>opinion</w:t>
      </w:r>
      <w:r w:rsidR="00015EB4" w:rsidRPr="008C580C">
        <w:rPr>
          <w:color w:val="000000" w:themeColor="text1"/>
        </w:rPr>
        <w:t xml:space="preserve"> </w:t>
      </w:r>
      <w:r w:rsidR="00664006" w:rsidRPr="008C580C">
        <w:rPr>
          <w:color w:val="000000" w:themeColor="text1"/>
        </w:rPr>
        <w:t>(</w:t>
      </w:r>
      <w:r w:rsidR="00664006" w:rsidRPr="008C580C">
        <w:rPr>
          <w:i/>
          <w:color w:val="000000" w:themeColor="text1"/>
        </w:rPr>
        <w:t>id</w:t>
      </w:r>
      <w:r w:rsidR="00664006" w:rsidRPr="008C580C">
        <w:rPr>
          <w:color w:val="000000" w:themeColor="text1"/>
        </w:rPr>
        <w:t>., at pp. 74</w:t>
      </w:r>
      <w:r w:rsidR="00633038" w:rsidRPr="008C580C">
        <w:rPr>
          <w:color w:val="000000" w:themeColor="text1"/>
        </w:rPr>
        <w:t>6</w:t>
      </w:r>
      <w:r w:rsidR="00EA3DB4">
        <w:rPr>
          <w:color w:val="000000" w:themeColor="text1"/>
        </w:rPr>
        <w:t>–</w:t>
      </w:r>
      <w:r w:rsidR="00664006" w:rsidRPr="008C580C">
        <w:rPr>
          <w:color w:val="000000" w:themeColor="text1"/>
        </w:rPr>
        <w:t>74</w:t>
      </w:r>
      <w:r w:rsidR="00C64AD0" w:rsidRPr="008C580C">
        <w:rPr>
          <w:color w:val="000000" w:themeColor="text1"/>
        </w:rPr>
        <w:t>8</w:t>
      </w:r>
      <w:r w:rsidR="00664006" w:rsidRPr="008C580C">
        <w:rPr>
          <w:color w:val="000000" w:themeColor="text1"/>
        </w:rPr>
        <w:t>)</w:t>
      </w:r>
      <w:r w:rsidR="006C088F">
        <w:rPr>
          <w:color w:val="000000" w:themeColor="text1"/>
        </w:rPr>
        <w:t> </w:t>
      </w:r>
      <w:r w:rsidR="00CE7174" w:rsidRPr="008C580C">
        <w:rPr>
          <w:color w:val="000000" w:themeColor="text1"/>
        </w:rPr>
        <w:t xml:space="preserve">— </w:t>
      </w:r>
      <w:r w:rsidR="00664006" w:rsidRPr="008C580C">
        <w:rPr>
          <w:color w:val="000000" w:themeColor="text1"/>
        </w:rPr>
        <w:t>specifically</w:t>
      </w:r>
      <w:r w:rsidR="00B063AE" w:rsidRPr="008C580C">
        <w:rPr>
          <w:color w:val="000000" w:themeColor="text1"/>
        </w:rPr>
        <w:t xml:space="preserve">, whether the trial court might </w:t>
      </w:r>
      <w:r w:rsidR="00015EB4" w:rsidRPr="008C580C">
        <w:rPr>
          <w:color w:val="000000" w:themeColor="text1"/>
        </w:rPr>
        <w:t>compel</w:t>
      </w:r>
      <w:r w:rsidR="00B063AE" w:rsidRPr="008C580C">
        <w:rPr>
          <w:color w:val="000000" w:themeColor="text1"/>
        </w:rPr>
        <w:t xml:space="preserve"> </w:t>
      </w:r>
      <w:r w:rsidR="008E1E81" w:rsidRPr="008C580C">
        <w:rPr>
          <w:color w:val="000000" w:themeColor="text1"/>
        </w:rPr>
        <w:t xml:space="preserve">Facebook’s </w:t>
      </w:r>
      <w:r w:rsidR="00015EB4" w:rsidRPr="008C580C">
        <w:rPr>
          <w:color w:val="000000" w:themeColor="text1"/>
        </w:rPr>
        <w:t xml:space="preserve">compliance </w:t>
      </w:r>
      <w:r w:rsidR="00CE7174" w:rsidRPr="008C580C">
        <w:rPr>
          <w:color w:val="000000" w:themeColor="text1"/>
        </w:rPr>
        <w:t xml:space="preserve">with </w:t>
      </w:r>
      <w:r w:rsidR="00015EB4" w:rsidRPr="008C580C">
        <w:rPr>
          <w:color w:val="000000" w:themeColor="text1"/>
        </w:rPr>
        <w:t xml:space="preserve">the underlying subpoena </w:t>
      </w:r>
      <w:r w:rsidR="00B063AE" w:rsidRPr="008C580C">
        <w:rPr>
          <w:color w:val="000000" w:themeColor="text1"/>
        </w:rPr>
        <w:t>(</w:t>
      </w:r>
      <w:r w:rsidR="00015EB4" w:rsidRPr="008C580C">
        <w:rPr>
          <w:color w:val="000000" w:themeColor="text1"/>
        </w:rPr>
        <w:t xml:space="preserve">or alternatively </w:t>
      </w:r>
      <w:r w:rsidR="00B063AE" w:rsidRPr="008C580C">
        <w:rPr>
          <w:color w:val="000000" w:themeColor="text1"/>
        </w:rPr>
        <w:t xml:space="preserve">compel </w:t>
      </w:r>
      <w:r w:rsidR="008E1E81" w:rsidRPr="008C580C">
        <w:rPr>
          <w:color w:val="000000" w:themeColor="text1"/>
        </w:rPr>
        <w:t xml:space="preserve">Renteria to </w:t>
      </w:r>
      <w:r w:rsidR="00015EB4" w:rsidRPr="008C580C">
        <w:rPr>
          <w:color w:val="000000" w:themeColor="text1"/>
        </w:rPr>
        <w:t>consent to disclosure by Facebook</w:t>
      </w:r>
      <w:r w:rsidR="00152F81" w:rsidRPr="008C580C">
        <w:rPr>
          <w:color w:val="000000" w:themeColor="text1"/>
        </w:rPr>
        <w:t xml:space="preserve">), </w:t>
      </w:r>
      <w:r w:rsidR="004E0E31">
        <w:rPr>
          <w:color w:val="000000" w:themeColor="text1"/>
        </w:rPr>
        <w:t>and</w:t>
      </w:r>
      <w:r w:rsidR="004E0E31" w:rsidRPr="008C580C">
        <w:rPr>
          <w:color w:val="000000" w:themeColor="text1"/>
        </w:rPr>
        <w:t xml:space="preserve"> </w:t>
      </w:r>
      <w:r w:rsidR="00B063AE" w:rsidRPr="008C580C">
        <w:rPr>
          <w:color w:val="000000" w:themeColor="text1"/>
        </w:rPr>
        <w:t xml:space="preserve">whether the </w:t>
      </w:r>
      <w:r w:rsidR="00152F81" w:rsidRPr="008C580C">
        <w:rPr>
          <w:color w:val="000000" w:themeColor="text1"/>
        </w:rPr>
        <w:t xml:space="preserve">trial </w:t>
      </w:r>
      <w:r w:rsidR="00B063AE" w:rsidRPr="008C580C">
        <w:rPr>
          <w:color w:val="000000" w:themeColor="text1"/>
        </w:rPr>
        <w:t xml:space="preserve">court might </w:t>
      </w:r>
      <w:r w:rsidR="00015EB4" w:rsidRPr="008C580C">
        <w:rPr>
          <w:color w:val="000000" w:themeColor="text1"/>
        </w:rPr>
        <w:t>compel</w:t>
      </w:r>
      <w:r w:rsidR="00B063AE" w:rsidRPr="008C580C">
        <w:rPr>
          <w:color w:val="000000" w:themeColor="text1"/>
        </w:rPr>
        <w:t xml:space="preserve"> the </w:t>
      </w:r>
      <w:r w:rsidR="00015EB4" w:rsidRPr="008C580C">
        <w:rPr>
          <w:color w:val="000000" w:themeColor="text1"/>
        </w:rPr>
        <w:t xml:space="preserve">prosecution </w:t>
      </w:r>
      <w:r w:rsidR="005828AF" w:rsidRPr="008C580C">
        <w:rPr>
          <w:color w:val="000000" w:themeColor="text1"/>
        </w:rPr>
        <w:t>to</w:t>
      </w:r>
      <w:r w:rsidR="00B063AE" w:rsidRPr="008C580C">
        <w:rPr>
          <w:color w:val="000000" w:themeColor="text1"/>
        </w:rPr>
        <w:t xml:space="preserve"> issue a </w:t>
      </w:r>
      <w:r w:rsidR="00015EB4" w:rsidRPr="008C580C">
        <w:rPr>
          <w:color w:val="000000" w:themeColor="text1"/>
        </w:rPr>
        <w:t>search warrant on behalf of the underlying defendant</w:t>
      </w:r>
      <w:r w:rsidRPr="008C580C">
        <w:rPr>
          <w:color w:val="000000" w:themeColor="text1"/>
        </w:rPr>
        <w:t xml:space="preserve">.  </w:t>
      </w:r>
    </w:p>
    <w:p w14:paraId="25F12450" w14:textId="77777777" w:rsidR="00AD3EF0" w:rsidRDefault="002A35C8" w:rsidP="00487E4B">
      <w:pPr>
        <w:pStyle w:val="Text"/>
        <w:spacing w:line="400" w:lineRule="exact"/>
        <w:ind w:firstLine="720"/>
        <w:rPr>
          <w:color w:val="000000" w:themeColor="text1"/>
        </w:rPr>
      </w:pPr>
      <w:r w:rsidRPr="008C580C">
        <w:rPr>
          <w:color w:val="000000" w:themeColor="text1"/>
        </w:rPr>
        <w:t xml:space="preserve">In May 2018 we permitted </w:t>
      </w:r>
      <w:r w:rsidR="00E629BC">
        <w:rPr>
          <w:color w:val="000000" w:themeColor="text1"/>
        </w:rPr>
        <w:t xml:space="preserve">the </w:t>
      </w:r>
      <w:r w:rsidR="004B2EF2">
        <w:rPr>
          <w:color w:val="000000" w:themeColor="text1"/>
        </w:rPr>
        <w:t>district attorney</w:t>
      </w:r>
      <w:r w:rsidRPr="008C580C">
        <w:rPr>
          <w:color w:val="000000" w:themeColor="text1"/>
        </w:rPr>
        <w:t xml:space="preserve">, the prosecuting authority in the underlying criminal action, to intervene in this proceeding.  We </w:t>
      </w:r>
      <w:r w:rsidR="00AA4EA0" w:rsidRPr="008C580C">
        <w:rPr>
          <w:color w:val="000000" w:themeColor="text1"/>
        </w:rPr>
        <w:t xml:space="preserve">later </w:t>
      </w:r>
      <w:r w:rsidRPr="008C580C">
        <w:rPr>
          <w:color w:val="000000" w:themeColor="text1"/>
        </w:rPr>
        <w:t xml:space="preserve">allowed </w:t>
      </w:r>
      <w:r w:rsidR="00E629BC">
        <w:rPr>
          <w:color w:val="000000" w:themeColor="text1"/>
        </w:rPr>
        <w:t xml:space="preserve">the </w:t>
      </w:r>
      <w:r w:rsidR="004B2EF2">
        <w:rPr>
          <w:color w:val="000000" w:themeColor="text1"/>
        </w:rPr>
        <w:t>district attorney</w:t>
      </w:r>
      <w:r w:rsidRPr="008C580C">
        <w:rPr>
          <w:color w:val="000000" w:themeColor="text1"/>
        </w:rPr>
        <w:t xml:space="preserve"> to file briefs, </w:t>
      </w:r>
      <w:proofErr w:type="gramStart"/>
      <w:r w:rsidRPr="008C580C">
        <w:rPr>
          <w:color w:val="000000" w:themeColor="text1"/>
        </w:rPr>
        <w:t>and also</w:t>
      </w:r>
      <w:proofErr w:type="gramEnd"/>
      <w:r w:rsidRPr="008C580C">
        <w:rPr>
          <w:color w:val="000000" w:themeColor="text1"/>
        </w:rPr>
        <w:t xml:space="preserve"> permitted all parties and amici curiae to file supplemental briefs addressing the effect, if any, of our decision in </w:t>
      </w:r>
      <w:r w:rsidRPr="00736C19">
        <w:rPr>
          <w:i/>
          <w:iCs/>
          <w:color w:val="000000" w:themeColor="text1"/>
        </w:rPr>
        <w:t>Facebook</w:t>
      </w:r>
      <w:r w:rsidRPr="008C580C">
        <w:rPr>
          <w:color w:val="000000" w:themeColor="text1"/>
        </w:rPr>
        <w:t xml:space="preserve"> (</w:t>
      </w:r>
      <w:r w:rsidRPr="00736C19">
        <w:rPr>
          <w:i/>
          <w:iCs/>
          <w:color w:val="000000" w:themeColor="text1"/>
        </w:rPr>
        <w:t>Hunter</w:t>
      </w:r>
      <w:r w:rsidRPr="008C580C">
        <w:rPr>
          <w:color w:val="000000" w:themeColor="text1"/>
        </w:rPr>
        <w:t>)</w:t>
      </w:r>
      <w:r w:rsidR="00304686" w:rsidRPr="008C580C">
        <w:rPr>
          <w:color w:val="000000" w:themeColor="text1"/>
        </w:rPr>
        <w:t xml:space="preserve">, </w:t>
      </w:r>
      <w:r w:rsidR="00304686" w:rsidRPr="00736C19">
        <w:rPr>
          <w:i/>
          <w:iCs/>
          <w:color w:val="000000" w:themeColor="text1"/>
        </w:rPr>
        <w:t>supra</w:t>
      </w:r>
      <w:r w:rsidR="00304686" w:rsidRPr="008C580C">
        <w:rPr>
          <w:color w:val="000000" w:themeColor="text1"/>
        </w:rPr>
        <w:t xml:space="preserve">, 4 Cal.5th 1245. </w:t>
      </w:r>
      <w:r w:rsidR="00C64AD0" w:rsidRPr="008C580C">
        <w:rPr>
          <w:color w:val="000000" w:themeColor="text1"/>
        </w:rPr>
        <w:t xml:space="preserve"> T</w:t>
      </w:r>
      <w:r w:rsidRPr="008C580C">
        <w:rPr>
          <w:color w:val="000000" w:themeColor="text1"/>
        </w:rPr>
        <w:t xml:space="preserve">hat briefing in turn spawned two additional potentially dispositive </w:t>
      </w:r>
      <w:r w:rsidR="00CE7174" w:rsidRPr="008C580C">
        <w:rPr>
          <w:color w:val="000000" w:themeColor="text1"/>
        </w:rPr>
        <w:t>issues</w:t>
      </w:r>
      <w:r w:rsidR="00D752A9">
        <w:rPr>
          <w:color w:val="000000" w:themeColor="text1"/>
        </w:rPr>
        <w:t>:</w:t>
      </w:r>
      <w:r w:rsidR="00CE7174" w:rsidRPr="008C580C">
        <w:rPr>
          <w:color w:val="000000" w:themeColor="text1"/>
        </w:rPr>
        <w:t xml:space="preserve"> </w:t>
      </w:r>
      <w:r w:rsidR="00181757" w:rsidRPr="008C580C">
        <w:rPr>
          <w:color w:val="000000" w:themeColor="text1"/>
        </w:rPr>
        <w:t xml:space="preserve">whether </w:t>
      </w:r>
      <w:r w:rsidR="00DA682B" w:rsidRPr="008C580C">
        <w:rPr>
          <w:color w:val="000000" w:themeColor="text1"/>
        </w:rPr>
        <w:t xml:space="preserve">Facebook </w:t>
      </w:r>
      <w:r w:rsidR="00181757" w:rsidRPr="008C580C">
        <w:rPr>
          <w:color w:val="000000" w:themeColor="text1"/>
        </w:rPr>
        <w:t xml:space="preserve">users expansively </w:t>
      </w:r>
      <w:r w:rsidR="00CE7174" w:rsidRPr="008C580C">
        <w:rPr>
          <w:color w:val="000000" w:themeColor="text1"/>
        </w:rPr>
        <w:t xml:space="preserve">consent to disclosure of all communications; and whether Facebook’s business model removes it from coverage under the SCA. </w:t>
      </w:r>
      <w:r w:rsidR="00AD3EF0">
        <w:rPr>
          <w:color w:val="000000" w:themeColor="text1"/>
        </w:rPr>
        <w:br w:type="page"/>
      </w:r>
    </w:p>
    <w:p w14:paraId="6F40F0A4" w14:textId="357F9E0A" w:rsidR="00DD74C6" w:rsidRPr="008C580C" w:rsidRDefault="002A35C8" w:rsidP="00507BD2">
      <w:pPr>
        <w:pStyle w:val="Heading1"/>
        <w:ind w:left="1440" w:right="1440"/>
        <w:rPr>
          <w:color w:val="000000" w:themeColor="text1"/>
        </w:rPr>
      </w:pPr>
      <w:r w:rsidRPr="008C580C">
        <w:rPr>
          <w:color w:val="000000" w:themeColor="text1"/>
        </w:rPr>
        <w:lastRenderedPageBreak/>
        <w:t xml:space="preserve">II.  </w:t>
      </w:r>
      <w:r w:rsidR="0049701A" w:rsidRPr="008C580C">
        <w:rPr>
          <w:color w:val="000000" w:themeColor="text1"/>
        </w:rPr>
        <w:t xml:space="preserve">Facts Alleged in the Petition </w:t>
      </w:r>
      <w:r w:rsidR="00A2685B" w:rsidRPr="008C580C">
        <w:rPr>
          <w:color w:val="000000" w:themeColor="text1"/>
        </w:rPr>
        <w:t>F</w:t>
      </w:r>
      <w:r w:rsidR="0049701A" w:rsidRPr="008C580C">
        <w:rPr>
          <w:color w:val="000000" w:themeColor="text1"/>
        </w:rPr>
        <w:t>or Review</w:t>
      </w:r>
      <w:r w:rsidR="0046209C" w:rsidRPr="008C580C">
        <w:rPr>
          <w:color w:val="000000" w:themeColor="text1"/>
        </w:rPr>
        <w:t xml:space="preserve"> </w:t>
      </w:r>
      <w:r w:rsidR="00275BC0" w:rsidRPr="008C580C">
        <w:rPr>
          <w:color w:val="000000" w:themeColor="text1"/>
        </w:rPr>
        <w:t xml:space="preserve">— </w:t>
      </w:r>
      <w:r w:rsidR="0046209C" w:rsidRPr="008C580C">
        <w:rPr>
          <w:color w:val="000000" w:themeColor="text1"/>
        </w:rPr>
        <w:t xml:space="preserve">Contrasted With </w:t>
      </w:r>
      <w:r w:rsidRPr="008C580C">
        <w:rPr>
          <w:color w:val="000000" w:themeColor="text1"/>
        </w:rPr>
        <w:t>The Preliminary Hearing</w:t>
      </w:r>
      <w:r w:rsidR="002F333A" w:rsidRPr="008C580C">
        <w:rPr>
          <w:color w:val="000000" w:themeColor="text1"/>
        </w:rPr>
        <w:t xml:space="preserve"> Testimony and Related Exhibits </w:t>
      </w:r>
    </w:p>
    <w:p w14:paraId="477C27EC" w14:textId="282EE85D" w:rsidR="005E1FBA" w:rsidRPr="008C580C" w:rsidRDefault="005E1FBA" w:rsidP="00EA0331">
      <w:pPr>
        <w:tabs>
          <w:tab w:val="left" w:pos="1440"/>
        </w:tabs>
        <w:ind w:firstLine="720"/>
        <w:rPr>
          <w:color w:val="000000" w:themeColor="text1"/>
        </w:rPr>
      </w:pPr>
      <w:r w:rsidRPr="008C580C">
        <w:rPr>
          <w:color w:val="000000" w:themeColor="text1"/>
        </w:rPr>
        <w:t xml:space="preserve">Defense counsel’s recitation of the facts in the </w:t>
      </w:r>
      <w:r w:rsidR="004B2EF2">
        <w:rPr>
          <w:color w:val="000000" w:themeColor="text1"/>
        </w:rPr>
        <w:t>p</w:t>
      </w:r>
      <w:r w:rsidRPr="008C580C">
        <w:rPr>
          <w:color w:val="000000" w:themeColor="text1"/>
        </w:rPr>
        <w:t xml:space="preserve">etition for </w:t>
      </w:r>
      <w:r w:rsidR="004B2EF2">
        <w:rPr>
          <w:color w:val="000000" w:themeColor="text1"/>
        </w:rPr>
        <w:t>r</w:t>
      </w:r>
      <w:r w:rsidRPr="008C580C">
        <w:rPr>
          <w:color w:val="000000" w:themeColor="text1"/>
        </w:rPr>
        <w:t>eview</w:t>
      </w:r>
      <w:r w:rsidR="005D5E22" w:rsidRPr="008C580C">
        <w:rPr>
          <w:color w:val="000000" w:themeColor="text1"/>
        </w:rPr>
        <w:t>,</w:t>
      </w:r>
      <w:r w:rsidR="00134651" w:rsidRPr="008C580C">
        <w:rPr>
          <w:color w:val="000000" w:themeColor="text1"/>
        </w:rPr>
        <w:t xml:space="preserve"> </w:t>
      </w:r>
      <w:r w:rsidR="005D5E22" w:rsidRPr="008C580C">
        <w:rPr>
          <w:color w:val="000000" w:themeColor="text1"/>
        </w:rPr>
        <w:t>which</w:t>
      </w:r>
      <w:r w:rsidR="00134651" w:rsidRPr="008C580C">
        <w:rPr>
          <w:color w:val="000000" w:themeColor="text1"/>
        </w:rPr>
        <w:t xml:space="preserve"> is </w:t>
      </w:r>
      <w:proofErr w:type="gramStart"/>
      <w:r w:rsidR="00134651" w:rsidRPr="008C580C">
        <w:rPr>
          <w:color w:val="000000" w:themeColor="text1"/>
        </w:rPr>
        <w:t>substantially identical</w:t>
      </w:r>
      <w:proofErr w:type="gramEnd"/>
      <w:r w:rsidR="00134651" w:rsidRPr="008C580C">
        <w:rPr>
          <w:color w:val="000000" w:themeColor="text1"/>
        </w:rPr>
        <w:t xml:space="preserve"> to what defense counsel previously told the trial court and the Court of Appeal</w:t>
      </w:r>
      <w:r w:rsidR="00FB50A1">
        <w:rPr>
          <w:color w:val="000000" w:themeColor="text1"/>
        </w:rPr>
        <w:t>,</w:t>
      </w:r>
      <w:r w:rsidR="00D252D1" w:rsidRPr="008C580C">
        <w:rPr>
          <w:color w:val="000000" w:themeColor="text1"/>
        </w:rPr>
        <w:t xml:space="preserve"> </w:t>
      </w:r>
      <w:r w:rsidR="002B3046">
        <w:rPr>
          <w:color w:val="000000" w:themeColor="text1"/>
        </w:rPr>
        <w:t>advanced</w:t>
      </w:r>
      <w:r w:rsidR="00A3591A">
        <w:rPr>
          <w:color w:val="000000" w:themeColor="text1"/>
        </w:rPr>
        <w:t xml:space="preserve"> three key representations, </w:t>
      </w:r>
      <w:r w:rsidRPr="008C580C">
        <w:rPr>
          <w:color w:val="000000" w:themeColor="text1"/>
        </w:rPr>
        <w:t xml:space="preserve">as follows:  </w:t>
      </w:r>
    </w:p>
    <w:p w14:paraId="011474A3" w14:textId="262D6144" w:rsidR="005E1FBA" w:rsidRPr="008C580C" w:rsidRDefault="0073061A" w:rsidP="00EA0331">
      <w:pPr>
        <w:tabs>
          <w:tab w:val="left" w:pos="1440"/>
        </w:tabs>
        <w:ind w:firstLine="720"/>
        <w:rPr>
          <w:color w:val="000000" w:themeColor="text1"/>
        </w:rPr>
      </w:pPr>
      <w:r w:rsidRPr="008C580C">
        <w:rPr>
          <w:color w:val="000000" w:themeColor="text1"/>
        </w:rPr>
        <w:t xml:space="preserve">(1) </w:t>
      </w:r>
      <w:r w:rsidR="00F65AB3" w:rsidRPr="008C580C">
        <w:rPr>
          <w:color w:val="000000" w:themeColor="text1"/>
        </w:rPr>
        <w:t xml:space="preserve"> </w:t>
      </w:r>
      <w:r w:rsidR="005E1FBA" w:rsidRPr="008C580C">
        <w:rPr>
          <w:color w:val="000000" w:themeColor="text1"/>
        </w:rPr>
        <w:t>“In August 2016, [defendant] drove to San Diego . . .</w:t>
      </w:r>
      <w:r w:rsidR="005E1FBA" w:rsidRPr="008C580C">
        <w:rPr>
          <w:color w:val="000000" w:themeColor="text1"/>
          <w:u w:val="words"/>
        </w:rPr>
        <w:t xml:space="preserve"> </w:t>
      </w:r>
      <w:r w:rsidR="005E1FBA" w:rsidRPr="008C580C">
        <w:rPr>
          <w:color w:val="000000" w:themeColor="text1"/>
        </w:rPr>
        <w:t xml:space="preserve">to visit his sister Rebecca . . . .  When he arrived, he discovered that Rebecca’s boyfriend, Jeffrey Renteria, had moved into her home.  Over the next </w:t>
      </w:r>
      <w:proofErr w:type="gramStart"/>
      <w:r w:rsidR="005E1FBA" w:rsidRPr="008C580C">
        <w:rPr>
          <w:color w:val="000000" w:themeColor="text1"/>
        </w:rPr>
        <w:t>several</w:t>
      </w:r>
      <w:proofErr w:type="gramEnd"/>
      <w:r w:rsidR="005E1FBA" w:rsidRPr="008C580C">
        <w:rPr>
          <w:color w:val="000000" w:themeColor="text1"/>
        </w:rPr>
        <w:t xml:space="preserve"> days, [defendant] observed odd behavior by Renteria . . . [and] grew concerned for their safety on August</w:t>
      </w:r>
      <w:r w:rsidR="00D74FF0">
        <w:rPr>
          <w:color w:val="000000" w:themeColor="text1"/>
        </w:rPr>
        <w:t> </w:t>
      </w:r>
      <w:r w:rsidR="005E1FBA" w:rsidRPr="008C580C">
        <w:rPr>
          <w:color w:val="000000" w:themeColor="text1"/>
        </w:rPr>
        <w:t xml:space="preserve">8, 2016, </w:t>
      </w:r>
      <w:r w:rsidR="005E1FBA" w:rsidRPr="008C580C">
        <w:rPr>
          <w:i/>
          <w:color w:val="000000" w:themeColor="text1"/>
        </w:rPr>
        <w:t>when he [and Rebecca] noticed that Rebecca’s personal firearms were missing from the home</w:t>
      </w:r>
      <w:r w:rsidR="005E1FBA" w:rsidRPr="008C580C">
        <w:rPr>
          <w:color w:val="000000" w:themeColor="text1"/>
        </w:rPr>
        <w:t xml:space="preserve">, [and] . . . Renteria himself . . . appeared to have moved out [of the house].  </w:t>
      </w:r>
      <w:r w:rsidR="00F65AB3" w:rsidRPr="00E25386">
        <w:rPr>
          <w:color w:val="000000" w:themeColor="text1"/>
        </w:rPr>
        <w:t>[</w:t>
      </w:r>
      <w:r w:rsidR="00F65AB3" w:rsidRPr="008C580C">
        <w:rPr>
          <w:color w:val="000000" w:themeColor="text1"/>
        </w:rPr>
        <w:t>(2)]</w:t>
      </w:r>
      <w:r w:rsidR="005D0F9F">
        <w:rPr>
          <w:color w:val="000000" w:themeColor="text1"/>
        </w:rPr>
        <w:t>  </w:t>
      </w:r>
      <w:r w:rsidR="005E1FBA" w:rsidRPr="008C580C">
        <w:rPr>
          <w:color w:val="000000" w:themeColor="text1"/>
        </w:rPr>
        <w:t xml:space="preserve">When [defendant] and Rebecca attempted to contact Renteria over the phone about the missing firearms, Renteria made threatening statements that he was coming to harm [defendant] and Rebecca.  </w:t>
      </w:r>
      <w:r w:rsidR="00F65AB3" w:rsidRPr="008C580C">
        <w:rPr>
          <w:color w:val="000000" w:themeColor="text1"/>
        </w:rPr>
        <w:t>[(3</w:t>
      </w:r>
      <w:r w:rsidR="0047501D" w:rsidRPr="008C580C">
        <w:rPr>
          <w:color w:val="000000" w:themeColor="text1"/>
        </w:rPr>
        <w:t>)</w:t>
      </w:r>
      <w:r w:rsidR="00F65AB3" w:rsidRPr="008C580C">
        <w:rPr>
          <w:color w:val="000000" w:themeColor="text1"/>
        </w:rPr>
        <w:t xml:space="preserve">]  </w:t>
      </w:r>
      <w:r w:rsidR="005E1FBA" w:rsidRPr="008C580C">
        <w:rPr>
          <w:color w:val="000000" w:themeColor="text1"/>
        </w:rPr>
        <w:t xml:space="preserve">Hours later, while [defendant] and Rebecca were home alone, </w:t>
      </w:r>
      <w:r w:rsidR="005E1FBA" w:rsidRPr="008C580C">
        <w:rPr>
          <w:i/>
          <w:color w:val="000000" w:themeColor="text1"/>
        </w:rPr>
        <w:t xml:space="preserve">Renteria burst through the front door and lunged at them.  </w:t>
      </w:r>
      <w:r w:rsidR="005E1FBA" w:rsidRPr="008C580C">
        <w:rPr>
          <w:color w:val="000000" w:themeColor="text1"/>
        </w:rPr>
        <w:t>[Defendant], armed with his personal handgun, immediately fired, hitting Renteria three times.”</w:t>
      </w:r>
      <w:r w:rsidR="009B75D2">
        <w:rPr>
          <w:color w:val="000000" w:themeColor="text1"/>
        </w:rPr>
        <w:t xml:space="preserve">  (Pet. for rev., italics added.)</w:t>
      </w:r>
      <w:r w:rsidR="005E1FBA" w:rsidRPr="008C580C">
        <w:rPr>
          <w:rStyle w:val="FootnoteReference"/>
          <w:color w:val="000000" w:themeColor="text1"/>
        </w:rPr>
        <w:footnoteReference w:id="2"/>
      </w:r>
      <w:r w:rsidR="005E1FBA" w:rsidRPr="008C580C">
        <w:rPr>
          <w:color w:val="000000" w:themeColor="text1"/>
        </w:rPr>
        <w:t xml:space="preserve">  </w:t>
      </w:r>
    </w:p>
    <w:p w14:paraId="1D7EA16C" w14:textId="7C1C0846" w:rsidR="00663AD4" w:rsidRPr="008C580C" w:rsidRDefault="00FA33F4" w:rsidP="00EA0331">
      <w:pPr>
        <w:pStyle w:val="Text"/>
        <w:spacing w:line="400" w:lineRule="exact"/>
        <w:ind w:firstLine="720"/>
        <w:rPr>
          <w:color w:val="000000" w:themeColor="text1"/>
        </w:rPr>
      </w:pPr>
      <w:r w:rsidRPr="008C580C">
        <w:rPr>
          <w:color w:val="000000" w:themeColor="text1"/>
        </w:rPr>
        <w:lastRenderedPageBreak/>
        <w:t xml:space="preserve">We </w:t>
      </w:r>
      <w:r w:rsidR="00663AD4" w:rsidRPr="008C580C">
        <w:rPr>
          <w:color w:val="000000" w:themeColor="text1"/>
        </w:rPr>
        <w:t xml:space="preserve">obtained the </w:t>
      </w:r>
      <w:r w:rsidR="00DA7A80" w:rsidRPr="008C580C">
        <w:rPr>
          <w:color w:val="000000" w:themeColor="text1"/>
        </w:rPr>
        <w:t xml:space="preserve">underlying </w:t>
      </w:r>
      <w:r w:rsidR="00663AD4" w:rsidRPr="008C580C">
        <w:rPr>
          <w:color w:val="000000" w:themeColor="text1"/>
        </w:rPr>
        <w:t>preliminary hearing transcript and exhibits from the superior court</w:t>
      </w:r>
      <w:r w:rsidR="00E871C5">
        <w:rPr>
          <w:color w:val="000000" w:themeColor="text1"/>
        </w:rPr>
        <w:t>,</w:t>
      </w:r>
      <w:r w:rsidR="00B90C37" w:rsidRPr="008C580C">
        <w:rPr>
          <w:color w:val="000000" w:themeColor="text1"/>
        </w:rPr>
        <w:t xml:space="preserve"> and without objection we took judicial notice of th</w:t>
      </w:r>
      <w:r w:rsidR="00D44967" w:rsidRPr="008C580C">
        <w:rPr>
          <w:color w:val="000000" w:themeColor="text1"/>
        </w:rPr>
        <w:t xml:space="preserve">ose </w:t>
      </w:r>
      <w:r w:rsidR="00B90C37" w:rsidRPr="008C580C">
        <w:rPr>
          <w:color w:val="000000" w:themeColor="text1"/>
        </w:rPr>
        <w:t>items</w:t>
      </w:r>
      <w:r w:rsidR="00B73E8A" w:rsidRPr="008C580C">
        <w:rPr>
          <w:color w:val="000000" w:themeColor="text1"/>
        </w:rPr>
        <w:t>.</w:t>
      </w:r>
      <w:r w:rsidR="00B1328F" w:rsidRPr="008C580C">
        <w:rPr>
          <w:color w:val="000000" w:themeColor="text1"/>
        </w:rPr>
        <w:t xml:space="preserve">  </w:t>
      </w:r>
      <w:r w:rsidR="00F74ED3" w:rsidRPr="008C580C">
        <w:rPr>
          <w:color w:val="000000" w:themeColor="text1"/>
        </w:rPr>
        <w:t>Th</w:t>
      </w:r>
      <w:r w:rsidR="00D44967" w:rsidRPr="008C580C">
        <w:rPr>
          <w:color w:val="000000" w:themeColor="text1"/>
        </w:rPr>
        <w:t xml:space="preserve">ese </w:t>
      </w:r>
      <w:r w:rsidR="00A15083" w:rsidRPr="008C580C">
        <w:rPr>
          <w:color w:val="000000" w:themeColor="text1"/>
        </w:rPr>
        <w:t xml:space="preserve">materials </w:t>
      </w:r>
      <w:r w:rsidR="00F74ED3" w:rsidRPr="008C580C">
        <w:rPr>
          <w:color w:val="000000" w:themeColor="text1"/>
        </w:rPr>
        <w:t xml:space="preserve">paint a picture different from the facts set forth by defendant in his </w:t>
      </w:r>
      <w:r w:rsidR="004B2EF2">
        <w:rPr>
          <w:color w:val="000000" w:themeColor="text1"/>
        </w:rPr>
        <w:t>p</w:t>
      </w:r>
      <w:r w:rsidR="00F74ED3" w:rsidRPr="008C580C">
        <w:rPr>
          <w:color w:val="000000" w:themeColor="text1"/>
        </w:rPr>
        <w:t xml:space="preserve">etition for </w:t>
      </w:r>
      <w:r w:rsidR="004B2EF2">
        <w:rPr>
          <w:color w:val="000000" w:themeColor="text1"/>
        </w:rPr>
        <w:t>r</w:t>
      </w:r>
      <w:r w:rsidR="00F74ED3" w:rsidRPr="008C580C">
        <w:rPr>
          <w:color w:val="000000" w:themeColor="text1"/>
        </w:rPr>
        <w:t xml:space="preserve">eview and </w:t>
      </w:r>
      <w:r w:rsidR="00C52354" w:rsidRPr="008C580C">
        <w:rPr>
          <w:color w:val="000000" w:themeColor="text1"/>
        </w:rPr>
        <w:t>related</w:t>
      </w:r>
      <w:r w:rsidR="002D1E51" w:rsidRPr="008C580C">
        <w:rPr>
          <w:color w:val="000000" w:themeColor="text1"/>
        </w:rPr>
        <w:t xml:space="preserve"> prior </w:t>
      </w:r>
      <w:r w:rsidR="00B724C9" w:rsidRPr="008C580C">
        <w:rPr>
          <w:color w:val="000000" w:themeColor="text1"/>
        </w:rPr>
        <w:t>(</w:t>
      </w:r>
      <w:r w:rsidR="002D1E51" w:rsidRPr="008C580C">
        <w:rPr>
          <w:color w:val="000000" w:themeColor="text1"/>
        </w:rPr>
        <w:t>and subsequent</w:t>
      </w:r>
      <w:r w:rsidR="00B724C9" w:rsidRPr="008C580C">
        <w:rPr>
          <w:color w:val="000000" w:themeColor="text1"/>
        </w:rPr>
        <w:t>)</w:t>
      </w:r>
      <w:r w:rsidR="002D1E51" w:rsidRPr="008C580C">
        <w:rPr>
          <w:color w:val="000000" w:themeColor="text1"/>
        </w:rPr>
        <w:t xml:space="preserve"> </w:t>
      </w:r>
      <w:r w:rsidR="00F74ED3" w:rsidRPr="008C580C">
        <w:rPr>
          <w:color w:val="000000" w:themeColor="text1"/>
        </w:rPr>
        <w:t xml:space="preserve">briefs.  </w:t>
      </w:r>
    </w:p>
    <w:p w14:paraId="4C37626C" w14:textId="70AA9464" w:rsidR="00AC0256" w:rsidRPr="008C580C" w:rsidRDefault="002A35C8" w:rsidP="00EA0331">
      <w:pPr>
        <w:pStyle w:val="Text"/>
        <w:spacing w:line="400" w:lineRule="exact"/>
        <w:ind w:firstLine="720"/>
        <w:rPr>
          <w:color w:val="000000" w:themeColor="text1"/>
        </w:rPr>
      </w:pPr>
      <w:r w:rsidRPr="008C580C">
        <w:rPr>
          <w:color w:val="000000" w:themeColor="text1"/>
        </w:rPr>
        <w:t xml:space="preserve">With regard to </w:t>
      </w:r>
      <w:r w:rsidR="00613E7E" w:rsidRPr="008C580C">
        <w:rPr>
          <w:color w:val="000000" w:themeColor="text1"/>
        </w:rPr>
        <w:t xml:space="preserve">defendant’s first representation </w:t>
      </w:r>
      <w:r w:rsidR="008B74FB">
        <w:rPr>
          <w:color w:val="000000" w:themeColor="text1"/>
        </w:rPr>
        <w:t xml:space="preserve">— </w:t>
      </w:r>
      <w:r w:rsidR="00613E7E" w:rsidRPr="008C580C">
        <w:rPr>
          <w:color w:val="000000" w:themeColor="text1"/>
        </w:rPr>
        <w:t>that defendant and his sister feared Renteria had taken his sister’s guns from their home</w:t>
      </w:r>
      <w:r w:rsidR="008B74FB">
        <w:rPr>
          <w:color w:val="000000" w:themeColor="text1"/>
        </w:rPr>
        <w:t xml:space="preserve"> —</w:t>
      </w:r>
      <w:r w:rsidRPr="008C580C">
        <w:rPr>
          <w:color w:val="000000" w:themeColor="text1"/>
        </w:rPr>
        <w:t xml:space="preserve"> </w:t>
      </w:r>
      <w:r w:rsidR="00613E7E" w:rsidRPr="008C580C">
        <w:rPr>
          <w:color w:val="000000" w:themeColor="text1"/>
        </w:rPr>
        <w:t>t</w:t>
      </w:r>
      <w:r w:rsidRPr="008C580C">
        <w:rPr>
          <w:color w:val="000000" w:themeColor="text1"/>
        </w:rPr>
        <w:t xml:space="preserve">estimony at the preliminary hearing </w:t>
      </w:r>
      <w:r w:rsidR="005828AF" w:rsidRPr="008C580C">
        <w:rPr>
          <w:color w:val="000000" w:themeColor="text1"/>
        </w:rPr>
        <w:t xml:space="preserve">suggests </w:t>
      </w:r>
      <w:r w:rsidRPr="008C580C">
        <w:rPr>
          <w:color w:val="000000" w:themeColor="text1"/>
        </w:rPr>
        <w:t>that on the morning of the shooting Renteria had</w:t>
      </w:r>
      <w:r w:rsidR="00613E7E" w:rsidRPr="008C580C">
        <w:rPr>
          <w:color w:val="000000" w:themeColor="text1"/>
        </w:rPr>
        <w:t xml:space="preserve"> </w:t>
      </w:r>
      <w:r w:rsidRPr="008C580C">
        <w:rPr>
          <w:color w:val="000000" w:themeColor="text1"/>
        </w:rPr>
        <w:t xml:space="preserve">placed Rebecca’s firearms, and some of defendant’s ammunition, into a secure container in </w:t>
      </w:r>
      <w:r w:rsidR="00C9718D" w:rsidRPr="008C580C">
        <w:rPr>
          <w:color w:val="000000" w:themeColor="text1"/>
        </w:rPr>
        <w:t>Rebecca’s</w:t>
      </w:r>
      <w:r w:rsidRPr="008C580C">
        <w:rPr>
          <w:color w:val="000000" w:themeColor="text1"/>
        </w:rPr>
        <w:t xml:space="preserve"> attic.  </w:t>
      </w:r>
      <w:r w:rsidR="00C05CFB">
        <w:rPr>
          <w:color w:val="000000" w:themeColor="text1"/>
        </w:rPr>
        <w:t xml:space="preserve"> </w:t>
      </w:r>
      <w:r w:rsidR="00AC0256" w:rsidRPr="008C580C">
        <w:rPr>
          <w:color w:val="000000" w:themeColor="text1"/>
        </w:rPr>
        <w:t>On cross-examination of Renteria at the preliminary hearing, and on redirect examination, Renteria repeatedly confirmed that he had hid</w:t>
      </w:r>
      <w:r w:rsidR="006D50FA">
        <w:rPr>
          <w:color w:val="000000" w:themeColor="text1"/>
        </w:rPr>
        <w:t>den</w:t>
      </w:r>
      <w:r w:rsidR="00AC0256" w:rsidRPr="008C580C">
        <w:rPr>
          <w:color w:val="000000" w:themeColor="text1"/>
        </w:rPr>
        <w:t xml:space="preserve"> the weapons in the attic.  </w:t>
      </w:r>
      <w:r w:rsidRPr="008C580C">
        <w:rPr>
          <w:color w:val="000000" w:themeColor="text1"/>
        </w:rPr>
        <w:t xml:space="preserve">A police officer </w:t>
      </w:r>
      <w:r w:rsidR="004209C9" w:rsidRPr="008C580C">
        <w:rPr>
          <w:color w:val="000000" w:themeColor="text1"/>
        </w:rPr>
        <w:t xml:space="preserve">who responded to the shooting </w:t>
      </w:r>
      <w:r w:rsidRPr="008C580C">
        <w:rPr>
          <w:color w:val="000000" w:themeColor="text1"/>
        </w:rPr>
        <w:t xml:space="preserve">further testified </w:t>
      </w:r>
      <w:r w:rsidR="001F668A" w:rsidRPr="008C580C">
        <w:rPr>
          <w:color w:val="000000" w:themeColor="text1"/>
        </w:rPr>
        <w:t xml:space="preserve">at the preliminary hearing </w:t>
      </w:r>
      <w:r w:rsidRPr="008C580C">
        <w:rPr>
          <w:color w:val="000000" w:themeColor="text1"/>
        </w:rPr>
        <w:t xml:space="preserve">that during a search immediately following the shooting, those same guns were found in Rebecca’s room:  </w:t>
      </w:r>
      <w:r w:rsidR="00613E7E" w:rsidRPr="008C580C">
        <w:rPr>
          <w:color w:val="000000" w:themeColor="text1"/>
        </w:rPr>
        <w:t xml:space="preserve">a </w:t>
      </w:r>
      <w:r w:rsidRPr="008C580C">
        <w:rPr>
          <w:color w:val="000000" w:themeColor="text1"/>
        </w:rPr>
        <w:t xml:space="preserve">rifle was in a locked bag that was apparently in plain sight; a Glock handgun was in a dresser; and two loaded magazines for the handgun were outside the dresser.  </w:t>
      </w:r>
      <w:r w:rsidR="00CC7FB4" w:rsidRPr="008C580C">
        <w:rPr>
          <w:color w:val="000000" w:themeColor="text1"/>
        </w:rPr>
        <w:t xml:space="preserve">Defense counsel declined to cross-examine the officer.  </w:t>
      </w:r>
    </w:p>
    <w:p w14:paraId="1E037D89" w14:textId="15B9763E" w:rsidR="002A35C8" w:rsidRPr="008C580C" w:rsidRDefault="00C9718D" w:rsidP="00EA0331">
      <w:pPr>
        <w:pStyle w:val="Text"/>
        <w:spacing w:line="400" w:lineRule="exact"/>
        <w:ind w:firstLine="720"/>
        <w:rPr>
          <w:color w:val="000000" w:themeColor="text1"/>
        </w:rPr>
      </w:pPr>
      <w:r w:rsidRPr="008C580C">
        <w:rPr>
          <w:color w:val="000000" w:themeColor="text1"/>
        </w:rPr>
        <w:t>Th</w:t>
      </w:r>
      <w:r w:rsidR="003E04A1">
        <w:rPr>
          <w:color w:val="000000" w:themeColor="text1"/>
        </w:rPr>
        <w:t>is</w:t>
      </w:r>
      <w:r w:rsidRPr="008C580C">
        <w:rPr>
          <w:color w:val="000000" w:themeColor="text1"/>
        </w:rPr>
        <w:t xml:space="preserve"> testimony</w:t>
      </w:r>
      <w:r w:rsidR="003E04A1">
        <w:rPr>
          <w:color w:val="000000" w:themeColor="text1"/>
        </w:rPr>
        <w:t xml:space="preserve"> </w:t>
      </w:r>
      <w:r w:rsidRPr="008C580C">
        <w:rPr>
          <w:color w:val="000000" w:themeColor="text1"/>
        </w:rPr>
        <w:t xml:space="preserve">appears to suggest that defendant and Rebecca had </w:t>
      </w:r>
      <w:r w:rsidRPr="008C580C">
        <w:rPr>
          <w:i/>
          <w:color w:val="000000" w:themeColor="text1"/>
        </w:rPr>
        <w:t>themselves</w:t>
      </w:r>
      <w:r w:rsidRPr="008C580C">
        <w:rPr>
          <w:color w:val="000000" w:themeColor="text1"/>
        </w:rPr>
        <w:t xml:space="preserve"> found the firearms and magazines, placed them in her room, and hence would have had no reason to believe </w:t>
      </w:r>
      <w:r w:rsidR="00CE70B9" w:rsidRPr="008C580C">
        <w:rPr>
          <w:color w:val="000000" w:themeColor="text1"/>
        </w:rPr>
        <w:t xml:space="preserve">at the time of the shooting </w:t>
      </w:r>
      <w:r w:rsidRPr="008C580C">
        <w:rPr>
          <w:color w:val="000000" w:themeColor="text1"/>
        </w:rPr>
        <w:t xml:space="preserve">that any of those items were in Renteria’s possession.  </w:t>
      </w:r>
      <w:r w:rsidR="00CE70B9" w:rsidRPr="008C580C">
        <w:rPr>
          <w:color w:val="000000" w:themeColor="text1"/>
        </w:rPr>
        <w:t xml:space="preserve">Thus, defendant’s </w:t>
      </w:r>
      <w:r w:rsidR="00A00406" w:rsidRPr="008C580C">
        <w:rPr>
          <w:color w:val="000000" w:themeColor="text1"/>
        </w:rPr>
        <w:t>characterization of the</w:t>
      </w:r>
      <w:r w:rsidR="001D0417" w:rsidRPr="008C580C">
        <w:rPr>
          <w:color w:val="000000" w:themeColor="text1"/>
        </w:rPr>
        <w:t xml:space="preserve"> facts</w:t>
      </w:r>
      <w:r w:rsidR="002C30A0" w:rsidRPr="008C580C">
        <w:rPr>
          <w:color w:val="000000" w:themeColor="text1"/>
        </w:rPr>
        <w:t xml:space="preserve"> in his presentation to the lower </w:t>
      </w:r>
      <w:r w:rsidR="002C30A0" w:rsidRPr="008C580C">
        <w:rPr>
          <w:color w:val="000000" w:themeColor="text1"/>
        </w:rPr>
        <w:lastRenderedPageBreak/>
        <w:t>court</w:t>
      </w:r>
      <w:r w:rsidR="000E60B0" w:rsidRPr="008C580C">
        <w:rPr>
          <w:color w:val="000000" w:themeColor="text1"/>
        </w:rPr>
        <w:t>s</w:t>
      </w:r>
      <w:r w:rsidR="002C30A0" w:rsidRPr="008C580C">
        <w:rPr>
          <w:color w:val="000000" w:themeColor="text1"/>
        </w:rPr>
        <w:t xml:space="preserve"> and this court</w:t>
      </w:r>
      <w:r w:rsidR="001D0417" w:rsidRPr="008C580C">
        <w:rPr>
          <w:color w:val="000000" w:themeColor="text1"/>
        </w:rPr>
        <w:t xml:space="preserve"> </w:t>
      </w:r>
      <w:r w:rsidR="002A35C8" w:rsidRPr="008C580C">
        <w:rPr>
          <w:color w:val="000000" w:themeColor="text1"/>
        </w:rPr>
        <w:t xml:space="preserve">appears </w:t>
      </w:r>
      <w:r w:rsidR="001D0417" w:rsidRPr="008C580C">
        <w:rPr>
          <w:color w:val="000000" w:themeColor="text1"/>
        </w:rPr>
        <w:t xml:space="preserve">inconsistent with the evidence </w:t>
      </w:r>
      <w:r w:rsidR="00F859B3">
        <w:rPr>
          <w:color w:val="000000" w:themeColor="text1"/>
        </w:rPr>
        <w:t xml:space="preserve">submitted </w:t>
      </w:r>
      <w:r w:rsidR="006E7FE3" w:rsidRPr="008C580C">
        <w:rPr>
          <w:color w:val="000000" w:themeColor="text1"/>
        </w:rPr>
        <w:t>at the preliminary hearing</w:t>
      </w:r>
      <w:r w:rsidR="0090403A" w:rsidRPr="008C580C">
        <w:rPr>
          <w:color w:val="000000" w:themeColor="text1"/>
        </w:rPr>
        <w:t xml:space="preserve">. </w:t>
      </w:r>
      <w:r w:rsidR="00704E6D" w:rsidRPr="008C580C">
        <w:rPr>
          <w:color w:val="000000" w:themeColor="text1"/>
        </w:rPr>
        <w:t xml:space="preserve"> </w:t>
      </w:r>
    </w:p>
    <w:p w14:paraId="06F3A752" w14:textId="3E1D13C5" w:rsidR="0037349F" w:rsidRPr="008C580C" w:rsidRDefault="002A35C8" w:rsidP="008B74FB">
      <w:pPr>
        <w:ind w:firstLine="720"/>
        <w:rPr>
          <w:color w:val="000000" w:themeColor="text1"/>
        </w:rPr>
      </w:pPr>
      <w:r w:rsidRPr="008C580C">
        <w:rPr>
          <w:color w:val="000000" w:themeColor="text1"/>
        </w:rPr>
        <w:t xml:space="preserve">With regard to </w:t>
      </w:r>
      <w:r w:rsidR="00613E7E" w:rsidRPr="008C580C">
        <w:rPr>
          <w:color w:val="000000" w:themeColor="text1"/>
        </w:rPr>
        <w:t xml:space="preserve">defendant’s second factual recitation </w:t>
      </w:r>
      <w:r w:rsidR="00E9752B" w:rsidRPr="008C580C">
        <w:rPr>
          <w:color w:val="000000" w:themeColor="text1"/>
        </w:rPr>
        <w:t xml:space="preserve">— </w:t>
      </w:r>
      <w:r w:rsidR="00613E7E" w:rsidRPr="008C580C">
        <w:rPr>
          <w:color w:val="000000" w:themeColor="text1"/>
        </w:rPr>
        <w:t>that Renteria had threatened that he was coming to harm defendant and his sister</w:t>
      </w:r>
      <w:r w:rsidR="00E117DB" w:rsidRPr="008C580C">
        <w:rPr>
          <w:color w:val="000000" w:themeColor="text1"/>
        </w:rPr>
        <w:t xml:space="preserve"> —</w:t>
      </w:r>
      <w:r w:rsidRPr="008C580C">
        <w:rPr>
          <w:color w:val="000000" w:themeColor="text1"/>
        </w:rPr>
        <w:t xml:space="preserve"> </w:t>
      </w:r>
      <w:r w:rsidR="00807D0C" w:rsidRPr="008C580C">
        <w:rPr>
          <w:color w:val="000000" w:themeColor="text1"/>
        </w:rPr>
        <w:t xml:space="preserve">the </w:t>
      </w:r>
      <w:r w:rsidRPr="008C580C">
        <w:rPr>
          <w:color w:val="000000" w:themeColor="text1"/>
        </w:rPr>
        <w:t>preliminary hearing transcript</w:t>
      </w:r>
      <w:r w:rsidR="00CD16AB" w:rsidRPr="008C580C">
        <w:rPr>
          <w:color w:val="000000" w:themeColor="text1"/>
        </w:rPr>
        <w:t xml:space="preserve"> </w:t>
      </w:r>
      <w:r w:rsidR="00ED0FE1" w:rsidRPr="008C580C">
        <w:rPr>
          <w:color w:val="000000" w:themeColor="text1"/>
        </w:rPr>
        <w:t>reveal</w:t>
      </w:r>
      <w:r w:rsidR="00CD16AB" w:rsidRPr="008C580C">
        <w:rPr>
          <w:color w:val="000000" w:themeColor="text1"/>
        </w:rPr>
        <w:t>s</w:t>
      </w:r>
      <w:r w:rsidR="00ED0FE1" w:rsidRPr="008C580C">
        <w:rPr>
          <w:color w:val="000000" w:themeColor="text1"/>
        </w:rPr>
        <w:t xml:space="preserve"> </w:t>
      </w:r>
      <w:r w:rsidRPr="008C580C">
        <w:rPr>
          <w:color w:val="000000" w:themeColor="text1"/>
        </w:rPr>
        <w:t xml:space="preserve">Renteria testified that, </w:t>
      </w:r>
      <w:r w:rsidR="00354904" w:rsidRPr="008C580C">
        <w:rPr>
          <w:color w:val="000000" w:themeColor="text1"/>
        </w:rPr>
        <w:t>after receiving increasingly aggressive messages</w:t>
      </w:r>
      <w:r w:rsidR="00C35D81" w:rsidRPr="008C580C">
        <w:rPr>
          <w:color w:val="000000" w:themeColor="text1"/>
        </w:rPr>
        <w:t xml:space="preserve"> from Rebecca, </w:t>
      </w:r>
      <w:r w:rsidR="00613E7E" w:rsidRPr="008C580C">
        <w:rPr>
          <w:color w:val="000000" w:themeColor="text1"/>
        </w:rPr>
        <w:t xml:space="preserve">he </w:t>
      </w:r>
      <w:r w:rsidR="00354904" w:rsidRPr="008C580C">
        <w:rPr>
          <w:color w:val="000000" w:themeColor="text1"/>
        </w:rPr>
        <w:t xml:space="preserve">had responded to Rebecca and her brother, telling them that “if you try anything, you’re going to jail for a long time.”  </w:t>
      </w:r>
      <w:r w:rsidR="00B50191" w:rsidRPr="008C580C">
        <w:rPr>
          <w:color w:val="000000" w:themeColor="text1"/>
        </w:rPr>
        <w:t xml:space="preserve">On </w:t>
      </w:r>
      <w:r w:rsidR="00181757" w:rsidRPr="008C580C">
        <w:rPr>
          <w:color w:val="000000" w:themeColor="text1"/>
        </w:rPr>
        <w:t>cross-examin</w:t>
      </w:r>
      <w:r w:rsidR="00B50191" w:rsidRPr="008C580C">
        <w:rPr>
          <w:color w:val="000000" w:themeColor="text1"/>
        </w:rPr>
        <w:t>ation</w:t>
      </w:r>
      <w:r w:rsidR="008B74FB">
        <w:rPr>
          <w:color w:val="000000" w:themeColor="text1"/>
        </w:rPr>
        <w:t>,</w:t>
      </w:r>
      <w:r w:rsidR="00B50191" w:rsidRPr="008C580C">
        <w:rPr>
          <w:color w:val="000000" w:themeColor="text1"/>
        </w:rPr>
        <w:t xml:space="preserve"> </w:t>
      </w:r>
      <w:r w:rsidR="00181757" w:rsidRPr="008C580C">
        <w:rPr>
          <w:color w:val="000000" w:themeColor="text1"/>
        </w:rPr>
        <w:t>Renteria</w:t>
      </w:r>
      <w:r w:rsidR="008B74FB">
        <w:rPr>
          <w:color w:val="000000" w:themeColor="text1"/>
        </w:rPr>
        <w:t xml:space="preserve"> </w:t>
      </w:r>
      <w:r w:rsidR="00B50191" w:rsidRPr="008C580C">
        <w:rPr>
          <w:color w:val="000000" w:themeColor="text1"/>
        </w:rPr>
        <w:t xml:space="preserve">confirmed that he </w:t>
      </w:r>
      <w:r w:rsidR="00545DC0" w:rsidRPr="008C580C">
        <w:rPr>
          <w:color w:val="000000" w:themeColor="text1"/>
        </w:rPr>
        <w:t xml:space="preserve">had </w:t>
      </w:r>
      <w:r w:rsidR="00B50191" w:rsidRPr="008C580C">
        <w:rPr>
          <w:color w:val="000000" w:themeColor="text1"/>
        </w:rPr>
        <w:t xml:space="preserve">told </w:t>
      </w:r>
      <w:r w:rsidR="00753313" w:rsidRPr="008C580C">
        <w:rPr>
          <w:color w:val="000000" w:themeColor="text1"/>
        </w:rPr>
        <w:t>Rebecca and defendant</w:t>
      </w:r>
      <w:r w:rsidR="00B50191" w:rsidRPr="008C580C">
        <w:rPr>
          <w:color w:val="000000" w:themeColor="text1"/>
        </w:rPr>
        <w:t xml:space="preserve"> that if they were “setting [him] up for something,” then </w:t>
      </w:r>
      <w:r w:rsidR="00753313" w:rsidRPr="008C580C">
        <w:rPr>
          <w:color w:val="000000" w:themeColor="text1"/>
        </w:rPr>
        <w:t>they “would be arrested</w:t>
      </w:r>
      <w:r w:rsidR="00B50191" w:rsidRPr="008C580C">
        <w:rPr>
          <w:color w:val="000000" w:themeColor="text1"/>
        </w:rPr>
        <w:t>.</w:t>
      </w:r>
      <w:r w:rsidR="00753313" w:rsidRPr="008C580C">
        <w:rPr>
          <w:color w:val="000000" w:themeColor="text1"/>
        </w:rPr>
        <w:t xml:space="preserve">” </w:t>
      </w:r>
      <w:r w:rsidR="00B50191" w:rsidRPr="008C580C">
        <w:rPr>
          <w:color w:val="000000" w:themeColor="text1"/>
        </w:rPr>
        <w:t xml:space="preserve"> </w:t>
      </w:r>
    </w:p>
    <w:p w14:paraId="70EB321D" w14:textId="7C8C4D72" w:rsidR="00CC7FB4" w:rsidRPr="008C580C" w:rsidRDefault="0037349F" w:rsidP="00EA0331">
      <w:pPr>
        <w:ind w:firstLine="720"/>
        <w:rPr>
          <w:color w:val="000000" w:themeColor="text1"/>
        </w:rPr>
      </w:pPr>
      <w:r w:rsidRPr="008C580C">
        <w:rPr>
          <w:color w:val="000000" w:themeColor="text1"/>
        </w:rPr>
        <w:t xml:space="preserve">With regard to </w:t>
      </w:r>
      <w:r w:rsidR="00807D0C" w:rsidRPr="008C580C">
        <w:rPr>
          <w:color w:val="000000" w:themeColor="text1"/>
        </w:rPr>
        <w:t xml:space="preserve">defendant’s third factual recitation </w:t>
      </w:r>
      <w:r w:rsidR="00AE5A9B" w:rsidRPr="008C580C">
        <w:rPr>
          <w:color w:val="000000" w:themeColor="text1"/>
        </w:rPr>
        <w:t xml:space="preserve">— </w:t>
      </w:r>
      <w:r w:rsidR="00807D0C" w:rsidRPr="008C580C">
        <w:rPr>
          <w:color w:val="000000" w:themeColor="text1"/>
        </w:rPr>
        <w:t>that Renteria “burst through” Rebecca’s front door and “lunged at</w:t>
      </w:r>
      <w:r w:rsidR="00181757" w:rsidRPr="008C580C">
        <w:rPr>
          <w:color w:val="000000" w:themeColor="text1"/>
        </w:rPr>
        <w:t>”</w:t>
      </w:r>
      <w:r w:rsidR="00807D0C" w:rsidRPr="008C580C">
        <w:rPr>
          <w:color w:val="000000" w:themeColor="text1"/>
        </w:rPr>
        <w:t xml:space="preserve"> defendant and Rebecca</w:t>
      </w:r>
      <w:r w:rsidR="00AE5A9B" w:rsidRPr="008C580C">
        <w:rPr>
          <w:color w:val="000000" w:themeColor="text1"/>
        </w:rPr>
        <w:t xml:space="preserve"> —</w:t>
      </w:r>
      <w:r w:rsidR="001D6D6B" w:rsidRPr="008C580C">
        <w:rPr>
          <w:color w:val="000000" w:themeColor="text1"/>
        </w:rPr>
        <w:t xml:space="preserve"> </w:t>
      </w:r>
      <w:r w:rsidR="00CD16AB" w:rsidRPr="008C580C">
        <w:rPr>
          <w:color w:val="000000" w:themeColor="text1"/>
        </w:rPr>
        <w:t xml:space="preserve">Renteria testified </w:t>
      </w:r>
      <w:r w:rsidR="00807D0C" w:rsidRPr="008C580C">
        <w:rPr>
          <w:color w:val="000000" w:themeColor="text1"/>
        </w:rPr>
        <w:t xml:space="preserve">at the preliminary hearing </w:t>
      </w:r>
      <w:r w:rsidR="00CD16AB" w:rsidRPr="008C580C">
        <w:rPr>
          <w:color w:val="000000" w:themeColor="text1"/>
        </w:rPr>
        <w:t xml:space="preserve">that, </w:t>
      </w:r>
      <w:r w:rsidR="002A35C8" w:rsidRPr="008C580C">
        <w:rPr>
          <w:color w:val="000000" w:themeColor="text1"/>
        </w:rPr>
        <w:t>soon after sundown, he told Rebecca by phone that he would return to the ho</w:t>
      </w:r>
      <w:r w:rsidR="00607745">
        <w:rPr>
          <w:color w:val="000000" w:themeColor="text1"/>
        </w:rPr>
        <w:t xml:space="preserve">use </w:t>
      </w:r>
      <w:r w:rsidR="002A35C8" w:rsidRPr="008C580C">
        <w:rPr>
          <w:color w:val="000000" w:themeColor="text1"/>
        </w:rPr>
        <w:t>to speak with her</w:t>
      </w:r>
      <w:r w:rsidR="00A26398" w:rsidRPr="008C580C">
        <w:rPr>
          <w:color w:val="000000" w:themeColor="text1"/>
        </w:rPr>
        <w:t xml:space="preserve">.  </w:t>
      </w:r>
      <w:r w:rsidR="00ED0FE1" w:rsidRPr="008C580C">
        <w:rPr>
          <w:color w:val="000000" w:themeColor="text1"/>
        </w:rPr>
        <w:t xml:space="preserve">Renteria </w:t>
      </w:r>
      <w:r w:rsidR="002A35C8" w:rsidRPr="008C580C">
        <w:rPr>
          <w:color w:val="000000" w:themeColor="text1"/>
        </w:rPr>
        <w:t>testified that after unlocking and entering the home’s front door, and immediately before he was shot, he was holding (only) a smartphone</w:t>
      </w:r>
      <w:r w:rsidR="000F3F71" w:rsidRPr="008C580C">
        <w:rPr>
          <w:color w:val="000000" w:themeColor="text1"/>
        </w:rPr>
        <w:t>,</w:t>
      </w:r>
      <w:r w:rsidR="002A35C8" w:rsidRPr="008C580C">
        <w:rPr>
          <w:color w:val="000000" w:themeColor="text1"/>
        </w:rPr>
        <w:t xml:space="preserve"> which he used to take two photographs of defendant wh</w:t>
      </w:r>
      <w:r w:rsidR="00C552B5" w:rsidRPr="008C580C">
        <w:rPr>
          <w:color w:val="000000" w:themeColor="text1"/>
        </w:rPr>
        <w:t xml:space="preserve">ile </w:t>
      </w:r>
      <w:r w:rsidR="002A35C8" w:rsidRPr="008C580C">
        <w:rPr>
          <w:color w:val="000000" w:themeColor="text1"/>
        </w:rPr>
        <w:t>defendant, sitting</w:t>
      </w:r>
      <w:r w:rsidR="00254889" w:rsidRPr="008C580C">
        <w:rPr>
          <w:color w:val="000000" w:themeColor="text1"/>
        </w:rPr>
        <w:t xml:space="preserve"> on a couch with Rebecca, </w:t>
      </w:r>
      <w:r w:rsidR="002A35C8" w:rsidRPr="008C580C">
        <w:rPr>
          <w:color w:val="000000" w:themeColor="text1"/>
        </w:rPr>
        <w:t xml:space="preserve">raised his gun and prepared to shoot Renteria. </w:t>
      </w:r>
      <w:r w:rsidR="00D004E7" w:rsidRPr="008C580C">
        <w:rPr>
          <w:color w:val="000000" w:themeColor="text1"/>
        </w:rPr>
        <w:t xml:space="preserve"> </w:t>
      </w:r>
      <w:r w:rsidR="002A35C8" w:rsidRPr="008C580C">
        <w:rPr>
          <w:color w:val="000000" w:themeColor="text1"/>
        </w:rPr>
        <w:t>Th</w:t>
      </w:r>
      <w:r w:rsidR="00C64AD0" w:rsidRPr="008C580C">
        <w:rPr>
          <w:color w:val="000000" w:themeColor="text1"/>
        </w:rPr>
        <w:t>os</w:t>
      </w:r>
      <w:r w:rsidR="002A35C8" w:rsidRPr="008C580C">
        <w:rPr>
          <w:color w:val="000000" w:themeColor="text1"/>
        </w:rPr>
        <w:t>e two photo</w:t>
      </w:r>
      <w:r w:rsidR="0006701A" w:rsidRPr="008C580C">
        <w:rPr>
          <w:color w:val="000000" w:themeColor="text1"/>
        </w:rPr>
        <w:t>s</w:t>
      </w:r>
      <w:r w:rsidR="000222F5">
        <w:rPr>
          <w:color w:val="000000" w:themeColor="text1"/>
        </w:rPr>
        <w:t>,</w:t>
      </w:r>
      <w:r w:rsidR="005161B1" w:rsidRPr="008C580C">
        <w:rPr>
          <w:color w:val="000000" w:themeColor="text1"/>
        </w:rPr>
        <w:t xml:space="preserve"> and other related photos</w:t>
      </w:r>
      <w:r w:rsidR="00C64AD0" w:rsidRPr="008C580C">
        <w:rPr>
          <w:color w:val="000000" w:themeColor="text1"/>
        </w:rPr>
        <w:t xml:space="preserve"> taken by police officers</w:t>
      </w:r>
      <w:r w:rsidR="002A35C8" w:rsidRPr="008C580C">
        <w:rPr>
          <w:color w:val="000000" w:themeColor="text1"/>
        </w:rPr>
        <w:t xml:space="preserve">, </w:t>
      </w:r>
      <w:r w:rsidR="005161B1" w:rsidRPr="008C580C">
        <w:rPr>
          <w:color w:val="000000" w:themeColor="text1"/>
        </w:rPr>
        <w:t xml:space="preserve">all </w:t>
      </w:r>
      <w:r w:rsidR="002A35C8" w:rsidRPr="008C580C">
        <w:rPr>
          <w:color w:val="000000" w:themeColor="text1"/>
        </w:rPr>
        <w:t>introduced as exhibits</w:t>
      </w:r>
      <w:r w:rsidR="00807D0C" w:rsidRPr="008C580C">
        <w:rPr>
          <w:color w:val="000000" w:themeColor="text1"/>
        </w:rPr>
        <w:t xml:space="preserve"> at the preliminary hearing</w:t>
      </w:r>
      <w:r w:rsidR="002A35C8" w:rsidRPr="008C580C">
        <w:rPr>
          <w:color w:val="000000" w:themeColor="text1"/>
        </w:rPr>
        <w:t xml:space="preserve">, show </w:t>
      </w:r>
      <w:r w:rsidR="00875BC0" w:rsidRPr="008C580C">
        <w:rPr>
          <w:color w:val="000000" w:themeColor="text1"/>
        </w:rPr>
        <w:t xml:space="preserve">a person identified as </w:t>
      </w:r>
      <w:r w:rsidR="0006701A" w:rsidRPr="008C580C">
        <w:rPr>
          <w:color w:val="000000" w:themeColor="text1"/>
        </w:rPr>
        <w:t>d</w:t>
      </w:r>
      <w:r w:rsidR="00254889" w:rsidRPr="008C580C">
        <w:rPr>
          <w:color w:val="000000" w:themeColor="text1"/>
        </w:rPr>
        <w:t xml:space="preserve">efendant, sitting back and cross-legged on a sofa, </w:t>
      </w:r>
      <w:r w:rsidR="002A35C8" w:rsidRPr="008C580C">
        <w:rPr>
          <w:color w:val="000000" w:themeColor="text1"/>
        </w:rPr>
        <w:t>apparently in the early and then later process of raising his gun, while s</w:t>
      </w:r>
      <w:r w:rsidR="004554AD">
        <w:rPr>
          <w:color w:val="000000" w:themeColor="text1"/>
        </w:rPr>
        <w:t xml:space="preserve">eated </w:t>
      </w:r>
      <w:r w:rsidR="002A35C8" w:rsidRPr="008C580C">
        <w:rPr>
          <w:color w:val="000000" w:themeColor="text1"/>
        </w:rPr>
        <w:t>next to Rebecca</w:t>
      </w:r>
      <w:r w:rsidR="00C9718D" w:rsidRPr="008C580C">
        <w:rPr>
          <w:color w:val="000000" w:themeColor="text1"/>
        </w:rPr>
        <w:t xml:space="preserve">.  </w:t>
      </w:r>
      <w:r w:rsidR="00FA33F4" w:rsidRPr="008C580C">
        <w:rPr>
          <w:color w:val="000000" w:themeColor="text1"/>
        </w:rPr>
        <w:t>D</w:t>
      </w:r>
      <w:r w:rsidR="00C9718D" w:rsidRPr="008C580C">
        <w:rPr>
          <w:color w:val="000000" w:themeColor="text1"/>
        </w:rPr>
        <w:t>efendant and Rebecca</w:t>
      </w:r>
      <w:r w:rsidR="00722B16" w:rsidRPr="008C580C">
        <w:rPr>
          <w:color w:val="000000" w:themeColor="text1"/>
        </w:rPr>
        <w:t xml:space="preserve"> </w:t>
      </w:r>
      <w:proofErr w:type="gramStart"/>
      <w:r w:rsidR="00722B16" w:rsidRPr="008C580C">
        <w:rPr>
          <w:color w:val="000000" w:themeColor="text1"/>
        </w:rPr>
        <w:t xml:space="preserve">appear to be </w:t>
      </w:r>
      <w:r w:rsidR="002A35C8" w:rsidRPr="008C580C">
        <w:rPr>
          <w:color w:val="000000" w:themeColor="text1"/>
        </w:rPr>
        <w:t>approximately</w:t>
      </w:r>
      <w:proofErr w:type="gramEnd"/>
      <w:r w:rsidR="002A35C8" w:rsidRPr="008C580C">
        <w:rPr>
          <w:color w:val="000000" w:themeColor="text1"/>
        </w:rPr>
        <w:t xml:space="preserve"> six to eight feet from the front door where Renteria stood </w:t>
      </w:r>
      <w:r w:rsidR="005903C4" w:rsidRPr="008C580C">
        <w:rPr>
          <w:color w:val="000000" w:themeColor="text1"/>
        </w:rPr>
        <w:t xml:space="preserve">and took the pictures </w:t>
      </w:r>
      <w:r w:rsidR="002A35C8" w:rsidRPr="008C580C">
        <w:rPr>
          <w:color w:val="000000" w:themeColor="text1"/>
        </w:rPr>
        <w:t xml:space="preserve">in the lighted room.  </w:t>
      </w:r>
      <w:r w:rsidR="00EB734D" w:rsidRPr="008C580C">
        <w:rPr>
          <w:color w:val="000000" w:themeColor="text1"/>
        </w:rPr>
        <w:t xml:space="preserve">This </w:t>
      </w:r>
      <w:r w:rsidR="00807D0C" w:rsidRPr="008C580C">
        <w:rPr>
          <w:color w:val="000000" w:themeColor="text1"/>
        </w:rPr>
        <w:t xml:space="preserve">evidence </w:t>
      </w:r>
      <w:r w:rsidR="00480837" w:rsidRPr="008C580C">
        <w:rPr>
          <w:color w:val="000000" w:themeColor="text1"/>
        </w:rPr>
        <w:t xml:space="preserve">is in tension with </w:t>
      </w:r>
      <w:r w:rsidR="00FE0B53" w:rsidRPr="008C580C">
        <w:rPr>
          <w:color w:val="000000" w:themeColor="text1"/>
        </w:rPr>
        <w:t>the</w:t>
      </w:r>
      <w:r w:rsidR="0067473E" w:rsidRPr="008C580C">
        <w:rPr>
          <w:color w:val="000000" w:themeColor="text1"/>
        </w:rPr>
        <w:t xml:space="preserve"> narrative </w:t>
      </w:r>
      <w:r w:rsidR="00CC7FB4" w:rsidRPr="008C580C">
        <w:rPr>
          <w:color w:val="000000" w:themeColor="text1"/>
        </w:rPr>
        <w:t xml:space="preserve">that </w:t>
      </w:r>
      <w:r w:rsidR="0067473E" w:rsidRPr="008C580C">
        <w:rPr>
          <w:color w:val="000000" w:themeColor="text1"/>
        </w:rPr>
        <w:t xml:space="preserve">defense counsel represented to </w:t>
      </w:r>
      <w:r w:rsidR="00BA0BF7" w:rsidRPr="008C580C">
        <w:rPr>
          <w:color w:val="000000" w:themeColor="text1"/>
        </w:rPr>
        <w:t xml:space="preserve">all three levels of courts until very </w:t>
      </w:r>
      <w:r w:rsidR="00BA0BF7" w:rsidRPr="008C580C">
        <w:rPr>
          <w:color w:val="000000" w:themeColor="text1"/>
        </w:rPr>
        <w:lastRenderedPageBreak/>
        <w:t>recently</w:t>
      </w:r>
      <w:r w:rsidR="008B74FB">
        <w:rPr>
          <w:color w:val="000000" w:themeColor="text1"/>
        </w:rPr>
        <w:t xml:space="preserve"> —</w:t>
      </w:r>
      <w:r w:rsidR="00BA0BF7" w:rsidRPr="008C580C">
        <w:rPr>
          <w:color w:val="000000" w:themeColor="text1"/>
        </w:rPr>
        <w:t xml:space="preserve"> </w:t>
      </w:r>
      <w:r w:rsidR="0067473E" w:rsidRPr="008C580C">
        <w:rPr>
          <w:color w:val="000000" w:themeColor="text1"/>
        </w:rPr>
        <w:t xml:space="preserve">that </w:t>
      </w:r>
      <w:r w:rsidR="002A35C8" w:rsidRPr="008C580C">
        <w:rPr>
          <w:color w:val="000000" w:themeColor="text1"/>
        </w:rPr>
        <w:t xml:space="preserve">Renteria “burst though” the door, </w:t>
      </w:r>
      <w:r w:rsidR="00626CC4" w:rsidRPr="008C580C">
        <w:rPr>
          <w:color w:val="000000" w:themeColor="text1"/>
        </w:rPr>
        <w:t>and that</w:t>
      </w:r>
      <w:r w:rsidR="005903C4" w:rsidRPr="008C580C">
        <w:rPr>
          <w:color w:val="000000" w:themeColor="text1"/>
        </w:rPr>
        <w:t xml:space="preserve"> </w:t>
      </w:r>
      <w:r w:rsidR="002A35C8" w:rsidRPr="008C580C">
        <w:rPr>
          <w:color w:val="000000" w:themeColor="text1"/>
        </w:rPr>
        <w:t>he “lunged at”</w:t>
      </w:r>
      <w:r w:rsidR="004D09B9" w:rsidRPr="008C580C">
        <w:rPr>
          <w:color w:val="000000" w:themeColor="text1"/>
        </w:rPr>
        <w:t xml:space="preserve"> </w:t>
      </w:r>
      <w:r w:rsidR="005903C4" w:rsidRPr="008C580C">
        <w:rPr>
          <w:color w:val="000000" w:themeColor="text1"/>
        </w:rPr>
        <w:t xml:space="preserve">(and inferentially </w:t>
      </w:r>
      <w:r w:rsidR="002A35C8" w:rsidRPr="008C580C">
        <w:rPr>
          <w:color w:val="000000" w:themeColor="text1"/>
        </w:rPr>
        <w:t>posed a deadly threat to</w:t>
      </w:r>
      <w:r w:rsidR="005903C4" w:rsidRPr="008C580C">
        <w:rPr>
          <w:color w:val="000000" w:themeColor="text1"/>
        </w:rPr>
        <w:t>)</w:t>
      </w:r>
      <w:r w:rsidR="004D09B9" w:rsidRPr="008C580C">
        <w:rPr>
          <w:color w:val="000000" w:themeColor="text1"/>
        </w:rPr>
        <w:t xml:space="preserve"> </w:t>
      </w:r>
      <w:r w:rsidR="002A35C8" w:rsidRPr="008C580C">
        <w:rPr>
          <w:color w:val="000000" w:themeColor="text1"/>
        </w:rPr>
        <w:t xml:space="preserve">defendant or his sister.  </w:t>
      </w:r>
      <w:r w:rsidR="00545DC0" w:rsidRPr="008C580C">
        <w:rPr>
          <w:color w:val="000000" w:themeColor="text1"/>
        </w:rPr>
        <w:t>Again, on cross-examination</w:t>
      </w:r>
      <w:r w:rsidR="00EB1BB1" w:rsidRPr="008C580C">
        <w:rPr>
          <w:color w:val="000000" w:themeColor="text1"/>
        </w:rPr>
        <w:t>,</w:t>
      </w:r>
      <w:r w:rsidR="00545DC0" w:rsidRPr="008C580C">
        <w:rPr>
          <w:color w:val="000000" w:themeColor="text1"/>
        </w:rPr>
        <w:t xml:space="preserve"> Renteria confirmed his testimony, emphasizing that he had his phone in his right hand when, intending to make a video, he instead “only hit the camera button,” and took the two pictures.  </w:t>
      </w:r>
      <w:r w:rsidR="00CC7FB4" w:rsidRPr="008C580C">
        <w:rPr>
          <w:color w:val="000000" w:themeColor="text1"/>
        </w:rPr>
        <w:t xml:space="preserve">Defense counsel </w:t>
      </w:r>
      <w:r w:rsidR="008D02D9" w:rsidRPr="008C580C">
        <w:rPr>
          <w:color w:val="000000" w:themeColor="text1"/>
        </w:rPr>
        <w:t xml:space="preserve">thereafter </w:t>
      </w:r>
      <w:r w:rsidR="00CC7FB4" w:rsidRPr="008C580C">
        <w:rPr>
          <w:color w:val="000000" w:themeColor="text1"/>
        </w:rPr>
        <w:t>declined the court’s invitation to offer “[a]</w:t>
      </w:r>
      <w:proofErr w:type="spellStart"/>
      <w:r w:rsidR="00CC7FB4" w:rsidRPr="008C580C">
        <w:rPr>
          <w:color w:val="000000" w:themeColor="text1"/>
        </w:rPr>
        <w:t>ny</w:t>
      </w:r>
      <w:proofErr w:type="spellEnd"/>
      <w:r w:rsidR="00CC7FB4" w:rsidRPr="008C580C">
        <w:rPr>
          <w:color w:val="000000" w:themeColor="text1"/>
        </w:rPr>
        <w:t xml:space="preserve"> affirmative evidence of the defense.”  </w:t>
      </w:r>
    </w:p>
    <w:p w14:paraId="1AAAFADC" w14:textId="5A765E23" w:rsidR="002D03F6" w:rsidRPr="008C580C" w:rsidRDefault="0070135C" w:rsidP="00EA0331">
      <w:pPr>
        <w:ind w:firstLine="720"/>
        <w:rPr>
          <w:color w:val="000000" w:themeColor="text1"/>
        </w:rPr>
      </w:pPr>
      <w:r w:rsidRPr="008C580C">
        <w:rPr>
          <w:color w:val="000000" w:themeColor="text1"/>
        </w:rPr>
        <w:t xml:space="preserve">In sum, </w:t>
      </w:r>
      <w:r w:rsidR="00FE0B53" w:rsidRPr="008C580C">
        <w:rPr>
          <w:color w:val="000000" w:themeColor="text1"/>
        </w:rPr>
        <w:t xml:space="preserve">the testimony and exhibits introduced at the preliminary hearing </w:t>
      </w:r>
      <w:r w:rsidR="007D7452" w:rsidRPr="008C580C">
        <w:rPr>
          <w:color w:val="000000" w:themeColor="text1"/>
        </w:rPr>
        <w:t xml:space="preserve">call into question </w:t>
      </w:r>
      <w:r w:rsidRPr="008C580C">
        <w:rPr>
          <w:color w:val="000000" w:themeColor="text1"/>
        </w:rPr>
        <w:t xml:space="preserve">(1) </w:t>
      </w:r>
      <w:r w:rsidR="008B0D0F" w:rsidRPr="008C580C">
        <w:rPr>
          <w:color w:val="000000" w:themeColor="text1"/>
        </w:rPr>
        <w:t xml:space="preserve">defendant’s asserted </w:t>
      </w:r>
      <w:r w:rsidR="00F8525C" w:rsidRPr="008C580C">
        <w:rPr>
          <w:color w:val="000000" w:themeColor="text1"/>
        </w:rPr>
        <w:t xml:space="preserve">self-defense </w:t>
      </w:r>
      <w:r w:rsidR="008B0D0F" w:rsidRPr="008C580C">
        <w:rPr>
          <w:color w:val="000000" w:themeColor="text1"/>
        </w:rPr>
        <w:t xml:space="preserve">justification for obtaining access to Renteria’s </w:t>
      </w:r>
      <w:r w:rsidR="00480837" w:rsidRPr="008C580C">
        <w:rPr>
          <w:color w:val="000000" w:themeColor="text1"/>
        </w:rPr>
        <w:t xml:space="preserve">restricted posts and </w:t>
      </w:r>
      <w:r w:rsidR="008B0D0F" w:rsidRPr="008C580C">
        <w:rPr>
          <w:color w:val="000000" w:themeColor="text1"/>
        </w:rPr>
        <w:t xml:space="preserve">private messages and </w:t>
      </w:r>
      <w:r w:rsidR="00751E2D" w:rsidRPr="008C580C">
        <w:rPr>
          <w:color w:val="000000" w:themeColor="text1"/>
        </w:rPr>
        <w:t xml:space="preserve">(2) </w:t>
      </w:r>
      <w:r w:rsidR="007B25A8">
        <w:rPr>
          <w:color w:val="000000" w:themeColor="text1"/>
        </w:rPr>
        <w:t>defendant’s</w:t>
      </w:r>
      <w:r w:rsidR="008B0D0F" w:rsidRPr="008C580C">
        <w:rPr>
          <w:color w:val="000000" w:themeColor="text1"/>
        </w:rPr>
        <w:t xml:space="preserve"> contention that </w:t>
      </w:r>
      <w:r w:rsidR="007B25A8">
        <w:rPr>
          <w:color w:val="000000" w:themeColor="text1"/>
        </w:rPr>
        <w:t>his</w:t>
      </w:r>
      <w:r w:rsidR="008B0D0F" w:rsidRPr="008C580C">
        <w:rPr>
          <w:color w:val="000000" w:themeColor="text1"/>
        </w:rPr>
        <w:t xml:space="preserve"> need for access to </w:t>
      </w:r>
      <w:r w:rsidR="00F8525C" w:rsidRPr="008C580C">
        <w:rPr>
          <w:color w:val="000000" w:themeColor="text1"/>
        </w:rPr>
        <w:t xml:space="preserve">such </w:t>
      </w:r>
      <w:r w:rsidR="008B0D0F" w:rsidRPr="008C580C">
        <w:rPr>
          <w:color w:val="000000" w:themeColor="text1"/>
        </w:rPr>
        <w:t>communications is particularly weighty</w:t>
      </w:r>
      <w:r w:rsidR="00FE0B53" w:rsidRPr="008C580C">
        <w:rPr>
          <w:color w:val="000000" w:themeColor="text1"/>
        </w:rPr>
        <w:t xml:space="preserve"> and </w:t>
      </w:r>
      <w:r w:rsidR="008B0D0F" w:rsidRPr="008C580C">
        <w:rPr>
          <w:color w:val="000000" w:themeColor="text1"/>
        </w:rPr>
        <w:t>overcomes any competing privacy interests of victim and social media user Renteria</w:t>
      </w:r>
      <w:r w:rsidR="00FE0B53" w:rsidRPr="008C580C">
        <w:rPr>
          <w:color w:val="000000" w:themeColor="text1"/>
        </w:rPr>
        <w:t>.</w:t>
      </w:r>
      <w:r w:rsidR="00703DA7" w:rsidRPr="008C580C">
        <w:rPr>
          <w:color w:val="000000" w:themeColor="text1"/>
        </w:rPr>
        <w:t xml:space="preserve"> </w:t>
      </w:r>
      <w:r w:rsidR="00751E2D" w:rsidRPr="008C580C">
        <w:rPr>
          <w:color w:val="000000" w:themeColor="text1"/>
        </w:rPr>
        <w:t xml:space="preserve"> Although</w:t>
      </w:r>
      <w:r w:rsidR="00E67F52" w:rsidRPr="008C580C">
        <w:rPr>
          <w:color w:val="000000" w:themeColor="text1"/>
        </w:rPr>
        <w:t xml:space="preserve"> </w:t>
      </w:r>
      <w:r w:rsidR="005903C4" w:rsidRPr="008C580C">
        <w:rPr>
          <w:color w:val="000000" w:themeColor="text1"/>
        </w:rPr>
        <w:t xml:space="preserve">this is, to be sure, </w:t>
      </w:r>
      <w:r w:rsidR="00E67F52" w:rsidRPr="008C580C">
        <w:rPr>
          <w:color w:val="000000" w:themeColor="text1"/>
        </w:rPr>
        <w:t xml:space="preserve">merely </w:t>
      </w:r>
      <w:r w:rsidR="00751E2D" w:rsidRPr="008C580C">
        <w:rPr>
          <w:color w:val="000000" w:themeColor="text1"/>
        </w:rPr>
        <w:t xml:space="preserve">preliminary hearing evidence, it nevertheless </w:t>
      </w:r>
      <w:r w:rsidR="00E67F52" w:rsidRPr="008C580C">
        <w:rPr>
          <w:color w:val="000000" w:themeColor="text1"/>
        </w:rPr>
        <w:t xml:space="preserve">constitutes </w:t>
      </w:r>
      <w:r w:rsidR="00751E2D" w:rsidRPr="008C580C">
        <w:rPr>
          <w:color w:val="000000" w:themeColor="text1"/>
        </w:rPr>
        <w:t xml:space="preserve">relevant material that </w:t>
      </w:r>
      <w:r w:rsidR="000609D1" w:rsidRPr="008C580C">
        <w:rPr>
          <w:color w:val="000000" w:themeColor="text1"/>
        </w:rPr>
        <w:t>c</w:t>
      </w:r>
      <w:r w:rsidR="009B6717" w:rsidRPr="008C580C">
        <w:rPr>
          <w:color w:val="000000" w:themeColor="text1"/>
        </w:rPr>
        <w:t xml:space="preserve">ould </w:t>
      </w:r>
      <w:r w:rsidR="00751E2D" w:rsidRPr="008C580C">
        <w:rPr>
          <w:color w:val="000000" w:themeColor="text1"/>
        </w:rPr>
        <w:t xml:space="preserve">properly be considered by </w:t>
      </w:r>
      <w:r w:rsidR="00E02609" w:rsidRPr="008C580C">
        <w:rPr>
          <w:color w:val="000000" w:themeColor="text1"/>
        </w:rPr>
        <w:t xml:space="preserve">a </w:t>
      </w:r>
      <w:r w:rsidR="00751E2D" w:rsidRPr="008C580C">
        <w:rPr>
          <w:color w:val="000000" w:themeColor="text1"/>
        </w:rPr>
        <w:t>trial court that</w:t>
      </w:r>
      <w:r w:rsidR="00A14536" w:rsidRPr="008C580C">
        <w:rPr>
          <w:color w:val="000000" w:themeColor="text1"/>
        </w:rPr>
        <w:t xml:space="preserve">, having been </w:t>
      </w:r>
      <w:r w:rsidR="00703DA7" w:rsidRPr="008C580C">
        <w:rPr>
          <w:color w:val="000000" w:themeColor="text1"/>
        </w:rPr>
        <w:t>presented with</w:t>
      </w:r>
      <w:r w:rsidR="00A14536" w:rsidRPr="008C580C">
        <w:rPr>
          <w:color w:val="000000" w:themeColor="text1"/>
        </w:rPr>
        <w:t xml:space="preserve"> an assertedly viable claim of self-defense, is </w:t>
      </w:r>
      <w:r w:rsidR="00E02609" w:rsidRPr="008C580C">
        <w:rPr>
          <w:color w:val="000000" w:themeColor="text1"/>
        </w:rPr>
        <w:t xml:space="preserve">required to rule on a </w:t>
      </w:r>
      <w:r w:rsidR="00751E2D" w:rsidRPr="008C580C">
        <w:rPr>
          <w:color w:val="000000" w:themeColor="text1"/>
        </w:rPr>
        <w:t xml:space="preserve">motion to quash a subpoena seeking </w:t>
      </w:r>
      <w:r w:rsidR="00A85586">
        <w:rPr>
          <w:color w:val="000000" w:themeColor="text1"/>
        </w:rPr>
        <w:t xml:space="preserve">restricted and </w:t>
      </w:r>
      <w:r w:rsidR="00751E2D" w:rsidRPr="008C580C">
        <w:rPr>
          <w:color w:val="000000" w:themeColor="text1"/>
        </w:rPr>
        <w:t xml:space="preserve">private social media communications. </w:t>
      </w:r>
      <w:r w:rsidR="00703DA7" w:rsidRPr="008C580C">
        <w:rPr>
          <w:color w:val="000000" w:themeColor="text1"/>
        </w:rPr>
        <w:t xml:space="preserve"> </w:t>
      </w:r>
    </w:p>
    <w:p w14:paraId="5B07DE93" w14:textId="307F6D6E" w:rsidR="00643E1E" w:rsidRPr="008C580C" w:rsidRDefault="00643E1E" w:rsidP="00AC7462">
      <w:pPr>
        <w:pStyle w:val="Heading1"/>
        <w:tabs>
          <w:tab w:val="left" w:pos="6300"/>
        </w:tabs>
        <w:ind w:left="1080" w:right="1080"/>
        <w:rPr>
          <w:color w:val="000000" w:themeColor="text1"/>
        </w:rPr>
      </w:pPr>
      <w:r w:rsidRPr="008C580C">
        <w:rPr>
          <w:color w:val="000000" w:themeColor="text1"/>
        </w:rPr>
        <w:t>I</w:t>
      </w:r>
      <w:r w:rsidR="00CC78E1" w:rsidRPr="008C580C">
        <w:rPr>
          <w:color w:val="000000" w:themeColor="text1"/>
        </w:rPr>
        <w:t>I</w:t>
      </w:r>
      <w:r w:rsidRPr="008C580C">
        <w:rPr>
          <w:color w:val="000000" w:themeColor="text1"/>
        </w:rPr>
        <w:t xml:space="preserve">I.  </w:t>
      </w:r>
      <w:r w:rsidR="005970C1" w:rsidRPr="008C580C">
        <w:rPr>
          <w:color w:val="000000" w:themeColor="text1"/>
        </w:rPr>
        <w:t xml:space="preserve">Subsequent </w:t>
      </w:r>
      <w:r w:rsidR="003F546F" w:rsidRPr="008C580C">
        <w:rPr>
          <w:color w:val="000000" w:themeColor="text1"/>
        </w:rPr>
        <w:t xml:space="preserve">Procedure:  </w:t>
      </w:r>
      <w:r w:rsidRPr="008C580C">
        <w:rPr>
          <w:color w:val="000000" w:themeColor="text1"/>
        </w:rPr>
        <w:t xml:space="preserve">The </w:t>
      </w:r>
      <w:r w:rsidR="00CC78E1" w:rsidRPr="008C580C">
        <w:rPr>
          <w:color w:val="000000" w:themeColor="text1"/>
        </w:rPr>
        <w:t>Preservation Order</w:t>
      </w:r>
      <w:r w:rsidR="009D25B5" w:rsidRPr="008C580C">
        <w:rPr>
          <w:color w:val="000000" w:themeColor="text1"/>
        </w:rPr>
        <w:t>;</w:t>
      </w:r>
      <w:r w:rsidR="00C7691F" w:rsidRPr="008C580C">
        <w:rPr>
          <w:color w:val="000000" w:themeColor="text1"/>
        </w:rPr>
        <w:t xml:space="preserve"> </w:t>
      </w:r>
      <w:r w:rsidR="00CC78E1" w:rsidRPr="008C580C">
        <w:rPr>
          <w:color w:val="000000" w:themeColor="text1"/>
        </w:rPr>
        <w:t xml:space="preserve">the </w:t>
      </w:r>
      <w:r w:rsidR="00627DAC" w:rsidRPr="008C580C">
        <w:rPr>
          <w:color w:val="000000" w:themeColor="text1"/>
        </w:rPr>
        <w:t xml:space="preserve">Sealed Declarations </w:t>
      </w:r>
      <w:r w:rsidR="00DF2935" w:rsidRPr="008C580C">
        <w:rPr>
          <w:color w:val="000000" w:themeColor="text1"/>
        </w:rPr>
        <w:t>and Exhibits Opposing the Motion to Quash</w:t>
      </w:r>
      <w:r w:rsidR="003F546F" w:rsidRPr="008C580C">
        <w:rPr>
          <w:color w:val="000000" w:themeColor="text1"/>
        </w:rPr>
        <w:t xml:space="preserve">; </w:t>
      </w:r>
      <w:r w:rsidR="0060740F" w:rsidRPr="008C580C">
        <w:rPr>
          <w:color w:val="000000" w:themeColor="text1"/>
        </w:rPr>
        <w:t>Unsealing of the Declarations and Exhibits</w:t>
      </w:r>
      <w:r w:rsidR="003F546F" w:rsidRPr="008C580C">
        <w:rPr>
          <w:color w:val="000000" w:themeColor="text1"/>
        </w:rPr>
        <w:t xml:space="preserve">; and Request for Supplemental Briefing </w:t>
      </w:r>
    </w:p>
    <w:p w14:paraId="57F28D9C" w14:textId="5B0C1993" w:rsidR="00F81FFE" w:rsidRPr="008C580C" w:rsidRDefault="000C6482" w:rsidP="00EA0331">
      <w:pPr>
        <w:pStyle w:val="Text"/>
        <w:spacing w:line="400" w:lineRule="exact"/>
        <w:ind w:firstLine="720"/>
        <w:rPr>
          <w:color w:val="000000" w:themeColor="text1"/>
          <w:szCs w:val="26"/>
        </w:rPr>
      </w:pPr>
      <w:r w:rsidRPr="008C580C">
        <w:rPr>
          <w:color w:val="000000" w:themeColor="text1"/>
        </w:rPr>
        <w:t xml:space="preserve">Five months </w:t>
      </w:r>
      <w:r w:rsidR="00820601" w:rsidRPr="008C580C">
        <w:rPr>
          <w:color w:val="000000" w:themeColor="text1"/>
        </w:rPr>
        <w:t>after the preliminary hearing described above, defendant sought</w:t>
      </w:r>
      <w:r w:rsidR="00D11772" w:rsidRPr="008C580C">
        <w:rPr>
          <w:color w:val="000000" w:themeColor="text1"/>
        </w:rPr>
        <w:t>, before a different judge,</w:t>
      </w:r>
      <w:r w:rsidR="00820601" w:rsidRPr="008C580C">
        <w:rPr>
          <w:color w:val="000000" w:themeColor="text1"/>
        </w:rPr>
        <w:t xml:space="preserve"> the underl</w:t>
      </w:r>
      <w:r w:rsidR="001D04BF" w:rsidRPr="008C580C">
        <w:rPr>
          <w:color w:val="000000" w:themeColor="text1"/>
        </w:rPr>
        <w:t>y</w:t>
      </w:r>
      <w:r w:rsidR="00820601" w:rsidRPr="008C580C">
        <w:rPr>
          <w:color w:val="000000" w:themeColor="text1"/>
        </w:rPr>
        <w:t xml:space="preserve">ing subpoena at issue in this litigation.  He </w:t>
      </w:r>
      <w:r w:rsidR="002A35C8" w:rsidRPr="008C580C">
        <w:rPr>
          <w:color w:val="000000" w:themeColor="text1"/>
        </w:rPr>
        <w:t xml:space="preserve">supported his </w:t>
      </w:r>
      <w:r w:rsidR="00377F5C" w:rsidRPr="008C580C">
        <w:rPr>
          <w:color w:val="000000" w:themeColor="text1"/>
        </w:rPr>
        <w:t xml:space="preserve">demand for </w:t>
      </w:r>
      <w:r w:rsidR="002A35C8" w:rsidRPr="008C580C">
        <w:rPr>
          <w:color w:val="000000" w:themeColor="text1"/>
        </w:rPr>
        <w:t xml:space="preserve">all of Renteria’s Facebook communications </w:t>
      </w:r>
      <w:r w:rsidR="002A35C8" w:rsidRPr="008C580C">
        <w:rPr>
          <w:color w:val="000000" w:themeColor="text1"/>
        </w:rPr>
        <w:lastRenderedPageBreak/>
        <w:t xml:space="preserve">(including </w:t>
      </w:r>
      <w:r w:rsidR="000E374B" w:rsidRPr="008C580C">
        <w:rPr>
          <w:color w:val="000000" w:themeColor="text1"/>
        </w:rPr>
        <w:t xml:space="preserve">restricted posts and </w:t>
      </w:r>
      <w:r w:rsidR="002A35C8" w:rsidRPr="008C580C">
        <w:rPr>
          <w:color w:val="000000" w:themeColor="text1"/>
        </w:rPr>
        <w:t xml:space="preserve">private messages), and a related request that Facebook preserve all </w:t>
      </w:r>
      <w:r w:rsidR="00CB71A0" w:rsidRPr="008C580C">
        <w:rPr>
          <w:color w:val="000000" w:themeColor="text1"/>
        </w:rPr>
        <w:t xml:space="preserve">such </w:t>
      </w:r>
      <w:r w:rsidR="002A35C8" w:rsidRPr="008C580C">
        <w:rPr>
          <w:color w:val="000000" w:themeColor="text1"/>
        </w:rPr>
        <w:t xml:space="preserve">communications, by offering a </w:t>
      </w:r>
      <w:r w:rsidR="002A35C8" w:rsidRPr="008C580C">
        <w:rPr>
          <w:i/>
          <w:color w:val="000000" w:themeColor="text1"/>
        </w:rPr>
        <w:t>sealed</w:t>
      </w:r>
      <w:r w:rsidR="002A35C8" w:rsidRPr="008C580C">
        <w:rPr>
          <w:color w:val="000000" w:themeColor="text1"/>
        </w:rPr>
        <w:t xml:space="preserve"> declaration describing and quoting certain public Facebook posts made by Renteria after the shooting that, defendant asserted, revealed Renteria’s violent general musings.</w:t>
      </w:r>
      <w:r w:rsidR="002A35C8" w:rsidRPr="008C580C">
        <w:rPr>
          <w:rStyle w:val="FootnoteReference"/>
          <w:color w:val="000000" w:themeColor="text1"/>
          <w:szCs w:val="26"/>
        </w:rPr>
        <w:footnoteReference w:id="3"/>
      </w:r>
      <w:r w:rsidR="002A35C8" w:rsidRPr="008C580C">
        <w:rPr>
          <w:color w:val="000000" w:themeColor="text1"/>
          <w:szCs w:val="26"/>
        </w:rPr>
        <w:t xml:space="preserve">  </w:t>
      </w:r>
      <w:r w:rsidR="006E1964" w:rsidRPr="008C580C">
        <w:rPr>
          <w:color w:val="000000" w:themeColor="text1"/>
          <w:szCs w:val="26"/>
        </w:rPr>
        <w:t xml:space="preserve">The trial judge ordered Facebook to comply with the subpoena or appear in court to address any objection to it and to preserve the account and related stored communications.  </w:t>
      </w:r>
    </w:p>
    <w:p w14:paraId="0F2F7C35" w14:textId="08B1BD96" w:rsidR="002A35C8" w:rsidRPr="008C580C" w:rsidRDefault="002A35C8" w:rsidP="00EA0331">
      <w:pPr>
        <w:ind w:firstLine="720"/>
        <w:rPr>
          <w:color w:val="000000" w:themeColor="text1"/>
          <w:szCs w:val="26"/>
        </w:rPr>
      </w:pPr>
      <w:r w:rsidRPr="008C580C">
        <w:rPr>
          <w:color w:val="000000" w:themeColor="text1"/>
        </w:rPr>
        <w:t>Facebook preserved Renteria’s account as directed</w:t>
      </w:r>
      <w:r w:rsidRPr="008C580C">
        <w:rPr>
          <w:color w:val="000000" w:themeColor="text1"/>
          <w:szCs w:val="26"/>
        </w:rPr>
        <w:t>,</w:t>
      </w:r>
      <w:r w:rsidRPr="008C580C">
        <w:rPr>
          <w:color w:val="000000" w:themeColor="text1"/>
        </w:rPr>
        <w:t xml:space="preserve"> and then moved to quash the subpoena.  </w:t>
      </w:r>
      <w:r w:rsidRPr="008C580C">
        <w:rPr>
          <w:color w:val="000000" w:themeColor="text1"/>
          <w:szCs w:val="26"/>
        </w:rPr>
        <w:t>Defendant’s publicly-filed brief opposing the motion to quash recited</w:t>
      </w:r>
      <w:r w:rsidR="00DD3BAD" w:rsidRPr="008C580C">
        <w:rPr>
          <w:color w:val="000000" w:themeColor="text1"/>
          <w:szCs w:val="26"/>
        </w:rPr>
        <w:t xml:space="preserve"> </w:t>
      </w:r>
      <w:r w:rsidRPr="008C580C">
        <w:rPr>
          <w:color w:val="000000" w:themeColor="text1"/>
          <w:szCs w:val="26"/>
        </w:rPr>
        <w:t>the familiar trilogy noted earlier:  (1)</w:t>
      </w:r>
      <w:r w:rsidR="001B7605" w:rsidRPr="008C580C">
        <w:rPr>
          <w:color w:val="000000" w:themeColor="text1"/>
          <w:szCs w:val="26"/>
        </w:rPr>
        <w:t> </w:t>
      </w:r>
      <w:r w:rsidRPr="008C580C">
        <w:rPr>
          <w:color w:val="000000" w:themeColor="text1"/>
          <w:szCs w:val="26"/>
        </w:rPr>
        <w:t>on the day of the shootings defendant “noticed that Rebecca’s personal guns and ammunition were missing from the apartment”; (2)</w:t>
      </w:r>
      <w:r w:rsidR="001B7605" w:rsidRPr="008C580C">
        <w:rPr>
          <w:color w:val="000000" w:themeColor="text1"/>
          <w:szCs w:val="26"/>
        </w:rPr>
        <w:t> </w:t>
      </w:r>
      <w:r w:rsidRPr="008C580C">
        <w:rPr>
          <w:color w:val="000000" w:themeColor="text1"/>
          <w:szCs w:val="26"/>
        </w:rPr>
        <w:t>upon contacting Renteria about this, he “made threatening statements to harm [defendant] and Rebecca,” causing them to be “concerned, alarmed, and afraid”; and (3)</w:t>
      </w:r>
      <w:r w:rsidR="001B7605" w:rsidRPr="008C580C">
        <w:rPr>
          <w:color w:val="000000" w:themeColor="text1"/>
          <w:szCs w:val="26"/>
        </w:rPr>
        <w:t> </w:t>
      </w:r>
      <w:r w:rsidRPr="008C580C">
        <w:rPr>
          <w:color w:val="000000" w:themeColor="text1"/>
          <w:szCs w:val="26"/>
        </w:rPr>
        <w:t xml:space="preserve">immediately before the shootings, “Renteria burst through the front door and charged at them.”  </w:t>
      </w:r>
    </w:p>
    <w:p w14:paraId="2BBCAB43" w14:textId="4FFFB9F4" w:rsidR="002A35C8" w:rsidRPr="008C580C" w:rsidRDefault="002A35C8" w:rsidP="00EA0331">
      <w:pPr>
        <w:ind w:firstLine="720"/>
        <w:rPr>
          <w:color w:val="000000" w:themeColor="text1"/>
          <w:szCs w:val="26"/>
        </w:rPr>
      </w:pPr>
      <w:r w:rsidRPr="008C580C">
        <w:rPr>
          <w:color w:val="000000" w:themeColor="text1"/>
          <w:szCs w:val="26"/>
        </w:rPr>
        <w:lastRenderedPageBreak/>
        <w:t xml:space="preserve">Defendant argued in his brief opposing the motion to quash that he had established the requisite “plausible justification” </w:t>
      </w:r>
      <w:r w:rsidR="00D40CE1">
        <w:rPr>
          <w:color w:val="000000" w:themeColor="text1"/>
          <w:szCs w:val="26"/>
        </w:rPr>
        <w:t>(</w:t>
      </w:r>
      <w:r w:rsidR="00582153">
        <w:rPr>
          <w:color w:val="000000" w:themeColor="text1"/>
          <w:szCs w:val="26"/>
        </w:rPr>
        <w:t>see</w:t>
      </w:r>
      <w:r w:rsidR="00F02332">
        <w:rPr>
          <w:color w:val="000000" w:themeColor="text1"/>
          <w:szCs w:val="26"/>
        </w:rPr>
        <w:t xml:space="preserve">, e.g., </w:t>
      </w:r>
      <w:r w:rsidR="00D40CE1" w:rsidRPr="008C580C">
        <w:rPr>
          <w:i/>
          <w:color w:val="000000" w:themeColor="text1"/>
          <w:szCs w:val="26"/>
        </w:rPr>
        <w:t>City of Alhambra v. Superior Court</w:t>
      </w:r>
      <w:r w:rsidR="00D40CE1" w:rsidRPr="008C580C">
        <w:rPr>
          <w:color w:val="000000" w:themeColor="text1"/>
          <w:szCs w:val="26"/>
        </w:rPr>
        <w:t xml:space="preserve"> (1988) 205 Cal.App.3d 1118, 113</w:t>
      </w:r>
      <w:r w:rsidR="006A62B4">
        <w:rPr>
          <w:color w:val="000000" w:themeColor="text1"/>
          <w:szCs w:val="26"/>
        </w:rPr>
        <w:t>4</w:t>
      </w:r>
      <w:r w:rsidR="00F02332">
        <w:rPr>
          <w:color w:val="000000" w:themeColor="text1"/>
          <w:szCs w:val="26"/>
        </w:rPr>
        <w:t xml:space="preserve"> (</w:t>
      </w:r>
      <w:r w:rsidR="00F02332" w:rsidRPr="00E66926">
        <w:rPr>
          <w:i/>
          <w:iCs/>
          <w:color w:val="000000" w:themeColor="text1"/>
          <w:szCs w:val="26"/>
        </w:rPr>
        <w:t>Alhambra</w:t>
      </w:r>
      <w:r w:rsidR="00F02332">
        <w:rPr>
          <w:color w:val="000000" w:themeColor="text1"/>
          <w:szCs w:val="26"/>
        </w:rPr>
        <w:t>)</w:t>
      </w:r>
      <w:r w:rsidR="00D40CE1">
        <w:rPr>
          <w:color w:val="000000" w:themeColor="text1"/>
          <w:szCs w:val="26"/>
        </w:rPr>
        <w:t>)</w:t>
      </w:r>
      <w:r w:rsidR="00D40CE1" w:rsidRPr="008C580C">
        <w:rPr>
          <w:color w:val="000000" w:themeColor="text1"/>
          <w:szCs w:val="26"/>
        </w:rPr>
        <w:t xml:space="preserve"> </w:t>
      </w:r>
      <w:r w:rsidRPr="008C580C">
        <w:rPr>
          <w:color w:val="000000" w:themeColor="text1"/>
          <w:szCs w:val="26"/>
        </w:rPr>
        <w:t xml:space="preserve">for acquiring </w:t>
      </w:r>
      <w:r w:rsidR="00C71E20" w:rsidRPr="008C580C">
        <w:rPr>
          <w:color w:val="000000" w:themeColor="text1"/>
          <w:szCs w:val="26"/>
        </w:rPr>
        <w:t xml:space="preserve">any </w:t>
      </w:r>
      <w:r w:rsidR="007B3C5C" w:rsidRPr="008C580C">
        <w:rPr>
          <w:color w:val="000000" w:themeColor="text1"/>
          <w:szCs w:val="26"/>
        </w:rPr>
        <w:t xml:space="preserve">restricted </w:t>
      </w:r>
      <w:r w:rsidR="00376097" w:rsidRPr="008C580C">
        <w:rPr>
          <w:color w:val="000000" w:themeColor="text1"/>
          <w:szCs w:val="26"/>
        </w:rPr>
        <w:t xml:space="preserve">posts and </w:t>
      </w:r>
      <w:r w:rsidR="00C71E20" w:rsidRPr="008C580C">
        <w:rPr>
          <w:color w:val="000000" w:themeColor="text1"/>
          <w:szCs w:val="26"/>
        </w:rPr>
        <w:t xml:space="preserve">private </w:t>
      </w:r>
      <w:r w:rsidR="00376097" w:rsidRPr="008C580C">
        <w:rPr>
          <w:color w:val="000000" w:themeColor="text1"/>
          <w:szCs w:val="26"/>
        </w:rPr>
        <w:t xml:space="preserve">messages, </w:t>
      </w:r>
      <w:r w:rsidRPr="008C580C">
        <w:rPr>
          <w:color w:val="000000" w:themeColor="text1"/>
          <w:szCs w:val="26"/>
        </w:rPr>
        <w:t xml:space="preserve">and that the motion to quash should be denied.  In support, defendant invited the trial judge to “review . . . the specific plausible justifications establishing [defendant’s] right to compel the disclosure of documents” set out in a </w:t>
      </w:r>
      <w:r w:rsidRPr="008C580C">
        <w:rPr>
          <w:i/>
          <w:color w:val="000000" w:themeColor="text1"/>
          <w:szCs w:val="26"/>
        </w:rPr>
        <w:t>second</w:t>
      </w:r>
      <w:r w:rsidRPr="008C580C">
        <w:rPr>
          <w:color w:val="000000" w:themeColor="text1"/>
          <w:szCs w:val="26"/>
        </w:rPr>
        <w:t xml:space="preserve"> and </w:t>
      </w:r>
      <w:r w:rsidRPr="008C580C">
        <w:rPr>
          <w:i/>
          <w:color w:val="000000" w:themeColor="text1"/>
          <w:szCs w:val="26"/>
        </w:rPr>
        <w:t>also sealed</w:t>
      </w:r>
      <w:r w:rsidRPr="008C580C">
        <w:rPr>
          <w:color w:val="000000" w:themeColor="text1"/>
          <w:szCs w:val="26"/>
        </w:rPr>
        <w:t xml:space="preserve"> </w:t>
      </w:r>
      <w:r w:rsidR="00AF52A1">
        <w:rPr>
          <w:color w:val="000000" w:themeColor="text1"/>
          <w:szCs w:val="26"/>
        </w:rPr>
        <w:t>d</w:t>
      </w:r>
      <w:r w:rsidRPr="008C580C">
        <w:rPr>
          <w:color w:val="000000" w:themeColor="text1"/>
          <w:szCs w:val="26"/>
        </w:rPr>
        <w:t xml:space="preserve">eclaration in </w:t>
      </w:r>
      <w:r w:rsidR="00AF52A1">
        <w:rPr>
          <w:color w:val="000000" w:themeColor="text1"/>
          <w:szCs w:val="26"/>
        </w:rPr>
        <w:t>o</w:t>
      </w:r>
      <w:r w:rsidRPr="008C580C">
        <w:rPr>
          <w:color w:val="000000" w:themeColor="text1"/>
          <w:szCs w:val="26"/>
        </w:rPr>
        <w:t xml:space="preserve">pposition to </w:t>
      </w:r>
      <w:r w:rsidR="00EC19E3">
        <w:rPr>
          <w:color w:val="000000" w:themeColor="text1"/>
          <w:szCs w:val="26"/>
        </w:rPr>
        <w:t xml:space="preserve">the </w:t>
      </w:r>
      <w:r w:rsidR="00AF52A1">
        <w:rPr>
          <w:color w:val="000000" w:themeColor="text1"/>
          <w:szCs w:val="26"/>
        </w:rPr>
        <w:t>m</w:t>
      </w:r>
      <w:r w:rsidRPr="008C580C">
        <w:rPr>
          <w:color w:val="000000" w:themeColor="text1"/>
          <w:szCs w:val="26"/>
        </w:rPr>
        <w:t xml:space="preserve">otion to </w:t>
      </w:r>
      <w:r w:rsidR="00AF52A1">
        <w:rPr>
          <w:color w:val="000000" w:themeColor="text1"/>
          <w:szCs w:val="26"/>
        </w:rPr>
        <w:t>q</w:t>
      </w:r>
      <w:r w:rsidRPr="008C580C">
        <w:rPr>
          <w:color w:val="000000" w:themeColor="text1"/>
          <w:szCs w:val="26"/>
        </w:rPr>
        <w:t>uash filed that date, April 21, 2017, simultaneously</w:t>
      </w:r>
      <w:r w:rsidRPr="008C580C">
        <w:rPr>
          <w:i/>
          <w:color w:val="000000" w:themeColor="text1"/>
          <w:szCs w:val="26"/>
        </w:rPr>
        <w:t xml:space="preserve"> </w:t>
      </w:r>
      <w:r w:rsidRPr="008C580C">
        <w:rPr>
          <w:color w:val="000000" w:themeColor="text1"/>
          <w:szCs w:val="26"/>
        </w:rPr>
        <w:t>with the opposition brief.</w:t>
      </w:r>
      <w:r w:rsidRPr="008C580C">
        <w:rPr>
          <w:rStyle w:val="FootnoteReference"/>
          <w:color w:val="000000" w:themeColor="text1"/>
          <w:szCs w:val="26"/>
        </w:rPr>
        <w:footnoteReference w:id="4"/>
      </w:r>
      <w:r w:rsidRPr="008C580C">
        <w:rPr>
          <w:color w:val="000000" w:themeColor="text1"/>
          <w:szCs w:val="26"/>
        </w:rPr>
        <w:t xml:space="preserve">  </w:t>
      </w:r>
    </w:p>
    <w:p w14:paraId="0002F10D" w14:textId="77A9FB22" w:rsidR="00091ACE" w:rsidRPr="008C580C" w:rsidRDefault="002A35C8" w:rsidP="00EA0331">
      <w:pPr>
        <w:ind w:firstLine="720"/>
        <w:rPr>
          <w:color w:val="000000" w:themeColor="text1"/>
          <w:szCs w:val="26"/>
        </w:rPr>
      </w:pPr>
      <w:r w:rsidRPr="008C580C">
        <w:rPr>
          <w:color w:val="000000" w:themeColor="text1"/>
          <w:szCs w:val="26"/>
        </w:rPr>
        <w:t xml:space="preserve">A </w:t>
      </w:r>
      <w:r w:rsidRPr="008C580C">
        <w:rPr>
          <w:i/>
          <w:color w:val="000000" w:themeColor="text1"/>
          <w:szCs w:val="26"/>
        </w:rPr>
        <w:t>redacted</w:t>
      </w:r>
      <w:r w:rsidRPr="008C580C">
        <w:rPr>
          <w:color w:val="000000" w:themeColor="text1"/>
          <w:szCs w:val="26"/>
        </w:rPr>
        <w:t xml:space="preserve"> version of th</w:t>
      </w:r>
      <w:r w:rsidR="00C868B6" w:rsidRPr="008C580C">
        <w:rPr>
          <w:color w:val="000000" w:themeColor="text1"/>
          <w:szCs w:val="26"/>
        </w:rPr>
        <w:t xml:space="preserve">e </w:t>
      </w:r>
      <w:r w:rsidRPr="008C580C">
        <w:rPr>
          <w:color w:val="000000" w:themeColor="text1"/>
          <w:szCs w:val="26"/>
        </w:rPr>
        <w:t xml:space="preserve">key April 21 declaration, along with supporting </w:t>
      </w:r>
      <w:r w:rsidRPr="008C580C">
        <w:rPr>
          <w:i/>
          <w:color w:val="000000" w:themeColor="text1"/>
          <w:szCs w:val="26"/>
        </w:rPr>
        <w:t>redacted</w:t>
      </w:r>
      <w:r w:rsidRPr="008C580C">
        <w:rPr>
          <w:color w:val="000000" w:themeColor="text1"/>
          <w:szCs w:val="26"/>
        </w:rPr>
        <w:t xml:space="preserve"> exhibits, was made available to the other interested parties </w:t>
      </w:r>
      <w:r w:rsidR="00F81FFE" w:rsidRPr="008C580C">
        <w:rPr>
          <w:color w:val="000000" w:themeColor="text1"/>
          <w:szCs w:val="26"/>
        </w:rPr>
        <w:t>(</w:t>
      </w:r>
      <w:r w:rsidRPr="008C580C">
        <w:rPr>
          <w:color w:val="000000" w:themeColor="text1"/>
          <w:szCs w:val="26"/>
        </w:rPr>
        <w:t xml:space="preserve">and </w:t>
      </w:r>
      <w:r w:rsidR="00F81FFE" w:rsidRPr="008C580C">
        <w:rPr>
          <w:color w:val="000000" w:themeColor="text1"/>
          <w:szCs w:val="26"/>
        </w:rPr>
        <w:t xml:space="preserve">was subsequently included </w:t>
      </w:r>
      <w:r w:rsidRPr="008C580C">
        <w:rPr>
          <w:color w:val="000000" w:themeColor="text1"/>
          <w:szCs w:val="26"/>
        </w:rPr>
        <w:t>in Facebook’s Appendix supporting its writ petition</w:t>
      </w:r>
      <w:r w:rsidR="00F81FFE" w:rsidRPr="008C580C">
        <w:rPr>
          <w:color w:val="000000" w:themeColor="text1"/>
          <w:szCs w:val="26"/>
        </w:rPr>
        <w:t>),</w:t>
      </w:r>
      <w:r w:rsidRPr="008C580C">
        <w:rPr>
          <w:color w:val="000000" w:themeColor="text1"/>
          <w:szCs w:val="26"/>
        </w:rPr>
        <w:t xml:space="preserve"> </w:t>
      </w:r>
      <w:r w:rsidR="00F81FFE" w:rsidRPr="008C580C">
        <w:rPr>
          <w:color w:val="000000" w:themeColor="text1"/>
          <w:szCs w:val="26"/>
        </w:rPr>
        <w:t xml:space="preserve">employing </w:t>
      </w:r>
      <w:r w:rsidRPr="008C580C">
        <w:rPr>
          <w:color w:val="000000" w:themeColor="text1"/>
          <w:szCs w:val="26"/>
        </w:rPr>
        <w:t>blackout to mask all descriptions of, and quotes from, the public posts and other documents referred to in counsel’s declaration opposi</w:t>
      </w:r>
      <w:r w:rsidR="00F81FFE" w:rsidRPr="008C580C">
        <w:rPr>
          <w:color w:val="000000" w:themeColor="text1"/>
          <w:szCs w:val="26"/>
        </w:rPr>
        <w:t xml:space="preserve">ng </w:t>
      </w:r>
      <w:r w:rsidRPr="008C580C">
        <w:rPr>
          <w:color w:val="000000" w:themeColor="text1"/>
          <w:szCs w:val="26"/>
        </w:rPr>
        <w:t xml:space="preserve">the motion to quash.  </w:t>
      </w:r>
      <w:r w:rsidR="00A847EE" w:rsidRPr="008C580C">
        <w:rPr>
          <w:color w:val="000000" w:themeColor="text1"/>
          <w:szCs w:val="26"/>
        </w:rPr>
        <w:t>Defense c</w:t>
      </w:r>
      <w:r w:rsidR="0004530E" w:rsidRPr="008C580C">
        <w:rPr>
          <w:color w:val="000000" w:themeColor="text1"/>
          <w:szCs w:val="26"/>
        </w:rPr>
        <w:t xml:space="preserve">ounsel </w:t>
      </w:r>
      <w:r w:rsidR="00A847EE" w:rsidRPr="008C580C">
        <w:rPr>
          <w:color w:val="000000" w:themeColor="text1"/>
          <w:szCs w:val="26"/>
        </w:rPr>
        <w:t>asserted</w:t>
      </w:r>
      <w:r w:rsidR="00091ACE" w:rsidRPr="008C580C">
        <w:rPr>
          <w:color w:val="000000" w:themeColor="text1"/>
          <w:szCs w:val="26"/>
        </w:rPr>
        <w:t>:  “Based on the foregoing recitation of facts and beliefs, the sought content from [the] account is relevant because (1)</w:t>
      </w:r>
      <w:r w:rsidR="001B7605" w:rsidRPr="008C580C">
        <w:rPr>
          <w:color w:val="000000" w:themeColor="text1"/>
          <w:szCs w:val="26"/>
        </w:rPr>
        <w:t> </w:t>
      </w:r>
      <w:r w:rsidR="00091ACE" w:rsidRPr="008C580C">
        <w:rPr>
          <w:color w:val="000000" w:themeColor="text1"/>
          <w:szCs w:val="26"/>
        </w:rPr>
        <w:t>it may contain additional information that is inconsistent with the information previously provided by . . . Renteria to law enforcement and the prosecution as it related to this case, (2)</w:t>
      </w:r>
      <w:r w:rsidR="001B7605" w:rsidRPr="008C580C">
        <w:rPr>
          <w:color w:val="000000" w:themeColor="text1"/>
          <w:szCs w:val="26"/>
        </w:rPr>
        <w:t> </w:t>
      </w:r>
      <w:r w:rsidR="00091ACE" w:rsidRPr="008C580C">
        <w:rPr>
          <w:color w:val="000000" w:themeColor="text1"/>
          <w:szCs w:val="26"/>
        </w:rPr>
        <w:t xml:space="preserve">it may contain </w:t>
      </w:r>
      <w:r w:rsidR="00091ACE" w:rsidRPr="008C580C">
        <w:rPr>
          <w:color w:val="000000" w:themeColor="text1"/>
          <w:szCs w:val="26"/>
        </w:rPr>
        <w:lastRenderedPageBreak/>
        <w:t>additional information that demonstrates a motivation or character for dishonesty in this matter, (3)</w:t>
      </w:r>
      <w:r w:rsidR="001B7605" w:rsidRPr="008C580C">
        <w:rPr>
          <w:color w:val="000000" w:themeColor="text1"/>
          <w:szCs w:val="26"/>
        </w:rPr>
        <w:t> </w:t>
      </w:r>
      <w:r w:rsidR="00091ACE" w:rsidRPr="008C580C">
        <w:rPr>
          <w:color w:val="000000" w:themeColor="text1"/>
          <w:szCs w:val="26"/>
        </w:rPr>
        <w:t>it may contain additional information that demonstrates a character for violence that is relevant to the self-defense that will be asserted by defense counsel at trial, and [</w:t>
      </w:r>
      <w:r w:rsidR="007F1D23">
        <w:rPr>
          <w:color w:val="000000" w:themeColor="text1"/>
          <w:szCs w:val="26"/>
        </w:rPr>
        <w:t>(</w:t>
      </w:r>
      <w:r w:rsidR="00091ACE" w:rsidRPr="008C580C">
        <w:rPr>
          <w:color w:val="000000" w:themeColor="text1"/>
          <w:szCs w:val="26"/>
        </w:rPr>
        <w:t>4</w:t>
      </w:r>
      <w:r w:rsidR="007F1D23">
        <w:rPr>
          <w:color w:val="000000" w:themeColor="text1"/>
          <w:szCs w:val="26"/>
        </w:rPr>
        <w:t>)</w:t>
      </w:r>
      <w:r w:rsidR="00091ACE" w:rsidRPr="008C580C">
        <w:rPr>
          <w:color w:val="000000" w:themeColor="text1"/>
          <w:szCs w:val="26"/>
        </w:rPr>
        <w:t xml:space="preserve">] it may contain additional information that provides exonerating, exculpatory evidence for [defendant].”  </w:t>
      </w:r>
      <w:r w:rsidR="00F81FFE" w:rsidRPr="008C580C">
        <w:rPr>
          <w:color w:val="000000" w:themeColor="text1"/>
          <w:szCs w:val="26"/>
        </w:rPr>
        <w:t xml:space="preserve">And this, </w:t>
      </w:r>
      <w:r w:rsidR="00091ACE" w:rsidRPr="008C580C">
        <w:rPr>
          <w:color w:val="000000" w:themeColor="text1"/>
          <w:szCs w:val="26"/>
        </w:rPr>
        <w:t>counsel</w:t>
      </w:r>
      <w:r w:rsidR="00A847EE" w:rsidRPr="008C580C">
        <w:rPr>
          <w:color w:val="000000" w:themeColor="text1"/>
          <w:szCs w:val="26"/>
        </w:rPr>
        <w:t xml:space="preserve"> asserted</w:t>
      </w:r>
      <w:r w:rsidR="00091ACE" w:rsidRPr="008C580C">
        <w:rPr>
          <w:color w:val="000000" w:themeColor="text1"/>
          <w:szCs w:val="26"/>
        </w:rPr>
        <w:t xml:space="preserve">, established a plausible justification for disclosure </w:t>
      </w:r>
      <w:r w:rsidR="003C5A4C" w:rsidRPr="008C580C">
        <w:rPr>
          <w:color w:val="000000" w:themeColor="text1"/>
          <w:szCs w:val="26"/>
        </w:rPr>
        <w:t>via the underlying subpoena</w:t>
      </w:r>
      <w:r w:rsidR="00091ACE" w:rsidRPr="008C580C">
        <w:rPr>
          <w:color w:val="000000" w:themeColor="text1"/>
          <w:szCs w:val="26"/>
        </w:rPr>
        <w:t xml:space="preserve">.  </w:t>
      </w:r>
    </w:p>
    <w:p w14:paraId="0BE62CAF" w14:textId="2D84094C" w:rsidR="00912481" w:rsidRPr="008C580C" w:rsidRDefault="002A35C8" w:rsidP="00EA0331">
      <w:pPr>
        <w:ind w:firstLine="720"/>
        <w:rPr>
          <w:color w:val="000000" w:themeColor="text1"/>
          <w:szCs w:val="26"/>
        </w:rPr>
      </w:pPr>
      <w:r w:rsidRPr="008C580C">
        <w:rPr>
          <w:color w:val="000000" w:themeColor="text1"/>
          <w:szCs w:val="26"/>
        </w:rPr>
        <w:t xml:space="preserve">The </w:t>
      </w:r>
      <w:r w:rsidRPr="008C580C">
        <w:rPr>
          <w:i/>
          <w:color w:val="000000" w:themeColor="text1"/>
          <w:szCs w:val="26"/>
        </w:rPr>
        <w:t>unredacted</w:t>
      </w:r>
      <w:r w:rsidRPr="008C580C">
        <w:rPr>
          <w:color w:val="000000" w:themeColor="text1"/>
          <w:szCs w:val="26"/>
        </w:rPr>
        <w:t xml:space="preserve"> version of the April 21 </w:t>
      </w:r>
      <w:r w:rsidR="00F81FFE" w:rsidRPr="008C580C">
        <w:rPr>
          <w:color w:val="000000" w:themeColor="text1"/>
          <w:szCs w:val="26"/>
        </w:rPr>
        <w:t xml:space="preserve">sealed </w:t>
      </w:r>
      <w:r w:rsidRPr="008C580C">
        <w:rPr>
          <w:color w:val="000000" w:themeColor="text1"/>
          <w:szCs w:val="26"/>
        </w:rPr>
        <w:t>declaration</w:t>
      </w:r>
      <w:r w:rsidR="007B2956" w:rsidRPr="008C580C">
        <w:rPr>
          <w:color w:val="000000" w:themeColor="text1"/>
          <w:szCs w:val="26"/>
        </w:rPr>
        <w:t xml:space="preserve"> </w:t>
      </w:r>
      <w:r w:rsidR="00294DFE" w:rsidRPr="008C580C">
        <w:rPr>
          <w:color w:val="000000" w:themeColor="text1"/>
          <w:szCs w:val="26"/>
        </w:rPr>
        <w:t xml:space="preserve">and related exhibits </w:t>
      </w:r>
      <w:r w:rsidRPr="008C580C">
        <w:rPr>
          <w:color w:val="000000" w:themeColor="text1"/>
          <w:szCs w:val="26"/>
        </w:rPr>
        <w:t>was made available to the trial court</w:t>
      </w:r>
      <w:r w:rsidR="00B15B03" w:rsidRPr="008C580C">
        <w:rPr>
          <w:color w:val="000000" w:themeColor="text1"/>
          <w:szCs w:val="26"/>
        </w:rPr>
        <w:t xml:space="preserve">.  </w:t>
      </w:r>
      <w:r w:rsidR="0064379E" w:rsidRPr="008C580C">
        <w:rPr>
          <w:color w:val="000000" w:themeColor="text1"/>
          <w:szCs w:val="26"/>
        </w:rPr>
        <w:t xml:space="preserve">Those documents </w:t>
      </w:r>
      <w:r w:rsidR="00B15B03" w:rsidRPr="008C580C">
        <w:rPr>
          <w:color w:val="000000" w:themeColor="text1"/>
          <w:szCs w:val="26"/>
        </w:rPr>
        <w:t xml:space="preserve">also </w:t>
      </w:r>
      <w:r w:rsidR="0064379E" w:rsidRPr="008C580C">
        <w:rPr>
          <w:color w:val="000000" w:themeColor="text1"/>
          <w:szCs w:val="26"/>
        </w:rPr>
        <w:t xml:space="preserve">were </w:t>
      </w:r>
      <w:r w:rsidRPr="008C580C">
        <w:rPr>
          <w:color w:val="000000" w:themeColor="text1"/>
          <w:szCs w:val="26"/>
        </w:rPr>
        <w:t xml:space="preserve">subsequently called up by the Court of Appeal, and thereafter </w:t>
      </w:r>
      <w:r w:rsidR="00603E3F" w:rsidRPr="008C580C">
        <w:rPr>
          <w:color w:val="000000" w:themeColor="text1"/>
          <w:szCs w:val="26"/>
        </w:rPr>
        <w:t xml:space="preserve">we obtained </w:t>
      </w:r>
      <w:r w:rsidR="0064379E" w:rsidRPr="008C580C">
        <w:rPr>
          <w:color w:val="000000" w:themeColor="text1"/>
          <w:szCs w:val="26"/>
        </w:rPr>
        <w:t xml:space="preserve">them </w:t>
      </w:r>
      <w:r w:rsidR="00603E3F" w:rsidRPr="008C580C">
        <w:rPr>
          <w:color w:val="000000" w:themeColor="text1"/>
          <w:szCs w:val="26"/>
        </w:rPr>
        <w:t>from the appellate court</w:t>
      </w:r>
      <w:r w:rsidR="007B2956" w:rsidRPr="008C580C">
        <w:rPr>
          <w:color w:val="000000" w:themeColor="text1"/>
          <w:szCs w:val="26"/>
        </w:rPr>
        <w:t xml:space="preserve">. </w:t>
      </w:r>
      <w:r w:rsidR="00B1585A" w:rsidRPr="008C580C">
        <w:rPr>
          <w:color w:val="000000" w:themeColor="text1"/>
          <w:szCs w:val="26"/>
        </w:rPr>
        <w:t xml:space="preserve"> </w:t>
      </w:r>
      <w:r w:rsidR="008D4121" w:rsidRPr="008C580C">
        <w:rPr>
          <w:color w:val="000000" w:themeColor="text1"/>
        </w:rPr>
        <w:t>After reviewing th</w:t>
      </w:r>
      <w:r w:rsidR="0064379E" w:rsidRPr="008C580C">
        <w:rPr>
          <w:color w:val="000000" w:themeColor="text1"/>
        </w:rPr>
        <w:t xml:space="preserve">ose documents </w:t>
      </w:r>
      <w:r w:rsidR="008D4121" w:rsidRPr="008C580C">
        <w:rPr>
          <w:color w:val="000000" w:themeColor="text1"/>
        </w:rPr>
        <w:t xml:space="preserve">and considering </w:t>
      </w:r>
      <w:r w:rsidR="00D8674C" w:rsidRPr="008C580C">
        <w:rPr>
          <w:color w:val="000000" w:themeColor="text1"/>
        </w:rPr>
        <w:t xml:space="preserve">that </w:t>
      </w:r>
      <w:r w:rsidR="00603E3F" w:rsidRPr="008C580C">
        <w:rPr>
          <w:color w:val="000000" w:themeColor="text1"/>
        </w:rPr>
        <w:t xml:space="preserve">material </w:t>
      </w:r>
      <w:r w:rsidR="008D4121" w:rsidRPr="008C580C">
        <w:rPr>
          <w:color w:val="000000" w:themeColor="text1"/>
        </w:rPr>
        <w:t xml:space="preserve">in conjunction with the earlier-described preliminary hearing transcript </w:t>
      </w:r>
      <w:r w:rsidR="00D8674C" w:rsidRPr="008C580C">
        <w:rPr>
          <w:color w:val="000000" w:themeColor="text1"/>
        </w:rPr>
        <w:t xml:space="preserve">and exhibits, we advised the parties under </w:t>
      </w:r>
      <w:r w:rsidR="00975FEE" w:rsidRPr="008C580C">
        <w:rPr>
          <w:color w:val="000000" w:themeColor="text1"/>
        </w:rPr>
        <w:t xml:space="preserve">California Rules of Court, rule 8.46(f)(3), </w:t>
      </w:r>
      <w:r w:rsidR="00247A14" w:rsidRPr="008C580C">
        <w:rPr>
          <w:color w:val="000000" w:themeColor="text1"/>
        </w:rPr>
        <w:t xml:space="preserve">that we contemplated </w:t>
      </w:r>
      <w:r w:rsidR="00BF36C2" w:rsidRPr="008C580C">
        <w:rPr>
          <w:color w:val="000000" w:themeColor="text1"/>
        </w:rPr>
        <w:t>unsealing</w:t>
      </w:r>
      <w:r w:rsidR="000B7EB9" w:rsidRPr="008C580C">
        <w:rPr>
          <w:color w:val="000000" w:themeColor="text1"/>
        </w:rPr>
        <w:t xml:space="preserve"> the declaration and related exhibits.  </w:t>
      </w:r>
      <w:r w:rsidR="00B15B03" w:rsidRPr="008C580C">
        <w:rPr>
          <w:color w:val="000000" w:themeColor="text1"/>
        </w:rPr>
        <w:t xml:space="preserve">We gave </w:t>
      </w:r>
      <w:r w:rsidR="00247A14" w:rsidRPr="008C580C">
        <w:rPr>
          <w:color w:val="000000" w:themeColor="text1"/>
        </w:rPr>
        <w:t xml:space="preserve">the parties an opportunity to </w:t>
      </w:r>
      <w:r w:rsidR="00BA2F06" w:rsidRPr="008C580C">
        <w:rPr>
          <w:color w:val="000000" w:themeColor="text1"/>
        </w:rPr>
        <w:t>comment and</w:t>
      </w:r>
      <w:r w:rsidR="00D46A29">
        <w:rPr>
          <w:color w:val="000000" w:themeColor="text1"/>
        </w:rPr>
        <w:t>,</w:t>
      </w:r>
      <w:r w:rsidR="00BA2F06" w:rsidRPr="008C580C">
        <w:rPr>
          <w:color w:val="000000" w:themeColor="text1"/>
        </w:rPr>
        <w:t xml:space="preserve"> receiving no objection, we </w:t>
      </w:r>
      <w:r w:rsidR="00F90B5F" w:rsidRPr="008C580C">
        <w:rPr>
          <w:color w:val="000000" w:themeColor="text1"/>
        </w:rPr>
        <w:t>unsealed</w:t>
      </w:r>
      <w:r w:rsidR="008A2E22" w:rsidRPr="008C580C">
        <w:rPr>
          <w:color w:val="000000" w:themeColor="text1"/>
        </w:rPr>
        <w:t xml:space="preserve"> the documents</w:t>
      </w:r>
      <w:r w:rsidR="00A84D7E" w:rsidRPr="008C580C">
        <w:rPr>
          <w:color w:val="000000" w:themeColor="text1"/>
        </w:rPr>
        <w:t>.</w:t>
      </w:r>
      <w:r w:rsidR="000B6866" w:rsidRPr="008C580C">
        <w:rPr>
          <w:rStyle w:val="FootnoteReference"/>
          <w:color w:val="000000" w:themeColor="text1"/>
        </w:rPr>
        <w:footnoteReference w:id="5"/>
      </w:r>
      <w:r w:rsidR="00EA3A79" w:rsidRPr="008C580C">
        <w:rPr>
          <w:color w:val="000000" w:themeColor="text1"/>
        </w:rPr>
        <w:t xml:space="preserve"> </w:t>
      </w:r>
    </w:p>
    <w:p w14:paraId="597E7843" w14:textId="77777777" w:rsidR="00586EB2" w:rsidRPr="008C580C" w:rsidRDefault="00586EB2" w:rsidP="00EA0331">
      <w:pPr>
        <w:pStyle w:val="Heading1"/>
        <w:ind w:left="1620" w:right="1620"/>
        <w:rPr>
          <w:color w:val="000000" w:themeColor="text1"/>
        </w:rPr>
      </w:pPr>
      <w:r w:rsidRPr="008C580C">
        <w:rPr>
          <w:color w:val="000000" w:themeColor="text1"/>
        </w:rPr>
        <w:lastRenderedPageBreak/>
        <w:t>I</w:t>
      </w:r>
      <w:r w:rsidR="00703671" w:rsidRPr="008C580C">
        <w:rPr>
          <w:color w:val="000000" w:themeColor="text1"/>
        </w:rPr>
        <w:t>V</w:t>
      </w:r>
      <w:r w:rsidRPr="008C580C">
        <w:rPr>
          <w:color w:val="000000" w:themeColor="text1"/>
        </w:rPr>
        <w:t xml:space="preserve">. </w:t>
      </w:r>
      <w:r w:rsidR="00703671" w:rsidRPr="008C580C">
        <w:rPr>
          <w:color w:val="000000" w:themeColor="text1"/>
        </w:rPr>
        <w:t xml:space="preserve"> Relevant </w:t>
      </w:r>
      <w:r w:rsidR="0044272A" w:rsidRPr="008C580C">
        <w:rPr>
          <w:color w:val="000000" w:themeColor="text1"/>
        </w:rPr>
        <w:t>L</w:t>
      </w:r>
      <w:r w:rsidR="00703671" w:rsidRPr="008C580C">
        <w:rPr>
          <w:color w:val="000000" w:themeColor="text1"/>
        </w:rPr>
        <w:t xml:space="preserve">aw </w:t>
      </w:r>
      <w:r w:rsidR="0044272A" w:rsidRPr="008C580C">
        <w:rPr>
          <w:color w:val="000000" w:themeColor="text1"/>
        </w:rPr>
        <w:t>C</w:t>
      </w:r>
      <w:r w:rsidR="00703671" w:rsidRPr="008C580C">
        <w:rPr>
          <w:color w:val="000000" w:themeColor="text1"/>
        </w:rPr>
        <w:t xml:space="preserve">oncerning a </w:t>
      </w:r>
      <w:r w:rsidR="0044272A" w:rsidRPr="008C580C">
        <w:rPr>
          <w:color w:val="000000" w:themeColor="text1"/>
        </w:rPr>
        <w:t>M</w:t>
      </w:r>
      <w:r w:rsidR="00703671" w:rsidRPr="008C580C">
        <w:rPr>
          <w:color w:val="000000" w:themeColor="text1"/>
        </w:rPr>
        <w:t xml:space="preserve">otion to </w:t>
      </w:r>
      <w:r w:rsidR="0044272A" w:rsidRPr="008C580C">
        <w:rPr>
          <w:color w:val="000000" w:themeColor="text1"/>
        </w:rPr>
        <w:t>Q</w:t>
      </w:r>
      <w:r w:rsidR="00703671" w:rsidRPr="008C580C">
        <w:rPr>
          <w:color w:val="000000" w:themeColor="text1"/>
        </w:rPr>
        <w:t xml:space="preserve">uash a </w:t>
      </w:r>
      <w:r w:rsidR="0044272A" w:rsidRPr="008C580C">
        <w:rPr>
          <w:color w:val="000000" w:themeColor="text1"/>
        </w:rPr>
        <w:t>C</w:t>
      </w:r>
      <w:r w:rsidR="00703671" w:rsidRPr="008C580C">
        <w:rPr>
          <w:color w:val="000000" w:themeColor="text1"/>
        </w:rPr>
        <w:t xml:space="preserve">riminal </w:t>
      </w:r>
      <w:r w:rsidR="0044272A" w:rsidRPr="008C580C">
        <w:rPr>
          <w:color w:val="000000" w:themeColor="text1"/>
        </w:rPr>
        <w:t>S</w:t>
      </w:r>
      <w:r w:rsidR="00703671" w:rsidRPr="008C580C">
        <w:rPr>
          <w:color w:val="000000" w:themeColor="text1"/>
        </w:rPr>
        <w:t xml:space="preserve">ubpoena </w:t>
      </w:r>
      <w:r w:rsidR="0044272A" w:rsidRPr="008C580C">
        <w:rPr>
          <w:color w:val="000000" w:themeColor="text1"/>
        </w:rPr>
        <w:t>D</w:t>
      </w:r>
      <w:r w:rsidR="00703671" w:rsidRPr="008C580C">
        <w:rPr>
          <w:color w:val="000000" w:themeColor="text1"/>
        </w:rPr>
        <w:t xml:space="preserve">uces Tecum </w:t>
      </w:r>
    </w:p>
    <w:p w14:paraId="63D88611" w14:textId="5057FB5E" w:rsidR="002A35C8" w:rsidRPr="008C580C" w:rsidRDefault="002A35C8" w:rsidP="00EA0331">
      <w:pPr>
        <w:pStyle w:val="Text"/>
        <w:spacing w:line="400" w:lineRule="exact"/>
        <w:ind w:firstLine="720"/>
        <w:rPr>
          <w:color w:val="000000" w:themeColor="text1"/>
        </w:rPr>
      </w:pPr>
      <w:r w:rsidRPr="008C580C">
        <w:rPr>
          <w:color w:val="000000" w:themeColor="text1"/>
        </w:rPr>
        <w:t xml:space="preserve">At this point it is useful to describe the relevant statutes and case law relating to criminal subpoenas.  Under Penal Code section 1326, subdivision (a), </w:t>
      </w:r>
      <w:r w:rsidRPr="008C580C">
        <w:rPr>
          <w:color w:val="000000" w:themeColor="text1"/>
          <w:szCs w:val="26"/>
        </w:rPr>
        <w:t>various officials or persons — including defense counsel, and any judge of the superior court — may issue a criminal subpoena duces tecum, and</w:t>
      </w:r>
      <w:r w:rsidR="004F325B">
        <w:rPr>
          <w:color w:val="000000" w:themeColor="text1"/>
          <w:szCs w:val="26"/>
        </w:rPr>
        <w:t>,</w:t>
      </w:r>
      <w:r w:rsidRPr="008C580C">
        <w:rPr>
          <w:color w:val="000000" w:themeColor="text1"/>
          <w:szCs w:val="26"/>
        </w:rPr>
        <w:t xml:space="preserve"> unlike civil subpoenas, there is no statutory requirement of a “</w:t>
      </w:r>
      <w:r w:rsidR="00D53B3E">
        <w:rPr>
          <w:color w:val="000000" w:themeColor="text1"/>
          <w:szCs w:val="26"/>
        </w:rPr>
        <w:t> </w:t>
      </w:r>
      <w:r w:rsidR="006A0C42">
        <w:rPr>
          <w:color w:val="000000" w:themeColor="text1"/>
          <w:szCs w:val="26"/>
        </w:rPr>
        <w:t>‘</w:t>
      </w:r>
      <w:r w:rsidRPr="008C580C">
        <w:rPr>
          <w:color w:val="000000" w:themeColor="text1"/>
          <w:szCs w:val="26"/>
        </w:rPr>
        <w:t>good cause</w:t>
      </w:r>
      <w:r w:rsidR="006A0C42">
        <w:rPr>
          <w:color w:val="000000" w:themeColor="text1"/>
          <w:szCs w:val="26"/>
        </w:rPr>
        <w:t>’</w:t>
      </w:r>
      <w:r w:rsidR="00D53B3E">
        <w:rPr>
          <w:color w:val="000000" w:themeColor="text1"/>
          <w:szCs w:val="26"/>
        </w:rPr>
        <w:t> </w:t>
      </w:r>
      <w:r w:rsidR="00C678D3">
        <w:rPr>
          <w:color w:val="000000" w:themeColor="text1"/>
          <w:szCs w:val="26"/>
        </w:rPr>
        <w:t>”</w:t>
      </w:r>
      <w:r w:rsidRPr="008C580C">
        <w:rPr>
          <w:color w:val="000000" w:themeColor="text1"/>
          <w:szCs w:val="26"/>
        </w:rPr>
        <w:t xml:space="preserve"> affidavit before such a subpoena may be issued.  (</w:t>
      </w:r>
      <w:r w:rsidRPr="008C580C">
        <w:rPr>
          <w:i/>
          <w:color w:val="000000" w:themeColor="text1"/>
          <w:szCs w:val="26"/>
        </w:rPr>
        <w:t>Pitchess v. Superior Court</w:t>
      </w:r>
      <w:r w:rsidRPr="008C580C">
        <w:rPr>
          <w:color w:val="000000" w:themeColor="text1"/>
          <w:szCs w:val="26"/>
        </w:rPr>
        <w:t xml:space="preserve"> (1974) 11 Cal.3d 531, 535 (</w:t>
      </w:r>
      <w:r w:rsidRPr="008C580C">
        <w:rPr>
          <w:i/>
          <w:color w:val="000000" w:themeColor="text1"/>
          <w:szCs w:val="26"/>
        </w:rPr>
        <w:t>Pitchess</w:t>
      </w:r>
      <w:r w:rsidRPr="008C580C">
        <w:rPr>
          <w:color w:val="000000" w:themeColor="text1"/>
          <w:szCs w:val="26"/>
        </w:rPr>
        <w:t xml:space="preserve">); </w:t>
      </w:r>
      <w:r w:rsidRPr="008C580C">
        <w:rPr>
          <w:i/>
          <w:color w:val="000000" w:themeColor="text1"/>
          <w:szCs w:val="26"/>
        </w:rPr>
        <w:t>City of Woodlake v. Tulare County Grand Jury</w:t>
      </w:r>
      <w:r w:rsidRPr="008C580C">
        <w:rPr>
          <w:color w:val="000000" w:themeColor="text1"/>
          <w:szCs w:val="26"/>
        </w:rPr>
        <w:t xml:space="preserve"> (2011) 197</w:t>
      </w:r>
      <w:r w:rsidR="00986BEA" w:rsidRPr="008C580C">
        <w:rPr>
          <w:color w:val="000000" w:themeColor="text1"/>
          <w:szCs w:val="26"/>
        </w:rPr>
        <w:t xml:space="preserve"> </w:t>
      </w:r>
      <w:r w:rsidRPr="008C580C">
        <w:rPr>
          <w:color w:val="000000" w:themeColor="text1"/>
          <w:szCs w:val="26"/>
        </w:rPr>
        <w:t xml:space="preserve">Cal.App.4th 1293, 1301 [no requirement of a </w:t>
      </w:r>
      <w:r w:rsidR="00514EBE">
        <w:rPr>
          <w:color w:val="000000" w:themeColor="text1"/>
          <w:szCs w:val="26"/>
        </w:rPr>
        <w:t>“</w:t>
      </w:r>
      <w:r w:rsidRPr="008C580C">
        <w:rPr>
          <w:color w:val="000000" w:themeColor="text1"/>
          <w:szCs w:val="26"/>
        </w:rPr>
        <w:t>good cause affidavit</w:t>
      </w:r>
      <w:r w:rsidR="00514EBE">
        <w:rPr>
          <w:color w:val="000000" w:themeColor="text1"/>
          <w:szCs w:val="26"/>
        </w:rPr>
        <w:t xml:space="preserve">” </w:t>
      </w:r>
      <w:r w:rsidRPr="008C580C">
        <w:rPr>
          <w:color w:val="000000" w:themeColor="text1"/>
          <w:szCs w:val="26"/>
        </w:rPr>
        <w:t xml:space="preserve">“[i]n criminal </w:t>
      </w:r>
      <w:r w:rsidR="008E040E">
        <w:rPr>
          <w:color w:val="000000" w:themeColor="text1"/>
          <w:szCs w:val="26"/>
        </w:rPr>
        <w:t>matters</w:t>
      </w:r>
      <w:r w:rsidRPr="008C580C">
        <w:rPr>
          <w:color w:val="000000" w:themeColor="text1"/>
          <w:szCs w:val="26"/>
        </w:rPr>
        <w:t xml:space="preserve">”].)  It is important to note, however, that such a criminal subpoena does not command, or even allow, the recipient to provide materials directly to the </w:t>
      </w:r>
      <w:r w:rsidR="00775ADC" w:rsidRPr="008C580C">
        <w:rPr>
          <w:color w:val="000000" w:themeColor="text1"/>
          <w:szCs w:val="26"/>
        </w:rPr>
        <w:t>requesting party</w:t>
      </w:r>
      <w:r w:rsidRPr="008C580C">
        <w:rPr>
          <w:color w:val="000000" w:themeColor="text1"/>
          <w:szCs w:val="26"/>
        </w:rPr>
        <w:t>.  Instead</w:t>
      </w:r>
      <w:r w:rsidR="002765EA" w:rsidRPr="008C580C">
        <w:rPr>
          <w:color w:val="000000" w:themeColor="text1"/>
          <w:szCs w:val="26"/>
        </w:rPr>
        <w:t xml:space="preserve">, </w:t>
      </w:r>
      <w:r w:rsidRPr="008C580C">
        <w:rPr>
          <w:color w:val="000000" w:themeColor="text1"/>
          <w:szCs w:val="26"/>
        </w:rPr>
        <w:t xml:space="preserve">under subdivision (c) of section 1326, the sought materials must be given </w:t>
      </w:r>
      <w:r w:rsidRPr="008C580C">
        <w:rPr>
          <w:i/>
          <w:color w:val="000000" w:themeColor="text1"/>
          <w:szCs w:val="26"/>
        </w:rPr>
        <w:t>to the superior court</w:t>
      </w:r>
      <w:r w:rsidRPr="008C580C">
        <w:rPr>
          <w:color w:val="000000" w:themeColor="text1"/>
          <w:szCs w:val="26"/>
        </w:rPr>
        <w:t xml:space="preserve"> for its in camera review so that it may “determine whether or not the</w:t>
      </w:r>
      <w:r w:rsidR="00775ADC" w:rsidRPr="008C580C">
        <w:rPr>
          <w:color w:val="000000" w:themeColor="text1"/>
          <w:szCs w:val="26"/>
        </w:rPr>
        <w:t xml:space="preserve"> [requesting party] </w:t>
      </w:r>
      <w:r w:rsidRPr="008C580C">
        <w:rPr>
          <w:color w:val="000000" w:themeColor="text1"/>
          <w:szCs w:val="26"/>
        </w:rPr>
        <w:t>is entitled to receive the documents.”  (</w:t>
      </w:r>
      <w:r w:rsidR="007A3F19">
        <w:rPr>
          <w:color w:val="000000" w:themeColor="text1"/>
          <w:szCs w:val="26"/>
        </w:rPr>
        <w:t>Pen. Code, § 1326, subd. (c)</w:t>
      </w:r>
      <w:r w:rsidRPr="008C580C">
        <w:rPr>
          <w:color w:val="000000" w:themeColor="text1"/>
          <w:szCs w:val="26"/>
        </w:rPr>
        <w:t xml:space="preserve">; see also </w:t>
      </w:r>
      <w:r w:rsidRPr="008C580C">
        <w:rPr>
          <w:i/>
          <w:color w:val="000000" w:themeColor="text1"/>
          <w:szCs w:val="26"/>
        </w:rPr>
        <w:t>People v. Blair</w:t>
      </w:r>
      <w:r w:rsidRPr="008C580C">
        <w:rPr>
          <w:color w:val="000000" w:themeColor="text1"/>
          <w:szCs w:val="26"/>
        </w:rPr>
        <w:t xml:space="preserve"> (1979) 25 Cal.3d 640, 651 [such materials cannot legally be given directly to the requesting party].)  </w:t>
      </w:r>
    </w:p>
    <w:p w14:paraId="049C3151" w14:textId="4EAECB76" w:rsidR="002A35C8" w:rsidRPr="008C580C" w:rsidRDefault="002A35C8" w:rsidP="001450DC">
      <w:pPr>
        <w:pStyle w:val="Text"/>
        <w:spacing w:line="400" w:lineRule="exact"/>
        <w:ind w:firstLine="720"/>
        <w:rPr>
          <w:color w:val="000000" w:themeColor="text1"/>
          <w:szCs w:val="26"/>
        </w:rPr>
      </w:pPr>
      <w:r w:rsidRPr="008C580C">
        <w:rPr>
          <w:color w:val="000000" w:themeColor="text1"/>
          <w:szCs w:val="26"/>
        </w:rPr>
        <w:t xml:space="preserve">Although no </w:t>
      </w:r>
      <w:r w:rsidR="003C5A4C" w:rsidRPr="008C580C">
        <w:rPr>
          <w:color w:val="000000" w:themeColor="text1"/>
          <w:szCs w:val="26"/>
        </w:rPr>
        <w:t xml:space="preserve">substantial </w:t>
      </w:r>
      <w:r w:rsidRPr="008C580C">
        <w:rPr>
          <w:color w:val="000000" w:themeColor="text1"/>
          <w:szCs w:val="26"/>
        </w:rPr>
        <w:t xml:space="preserve">showing is required to </w:t>
      </w:r>
      <w:r w:rsidRPr="008C580C">
        <w:rPr>
          <w:i/>
          <w:color w:val="000000" w:themeColor="text1"/>
          <w:szCs w:val="26"/>
        </w:rPr>
        <w:t>issue</w:t>
      </w:r>
      <w:r w:rsidRPr="008C580C">
        <w:rPr>
          <w:color w:val="000000" w:themeColor="text1"/>
          <w:szCs w:val="26"/>
        </w:rPr>
        <w:t xml:space="preserve"> a criminal subpoena duces tecum, as explained below, </w:t>
      </w:r>
      <w:r w:rsidRPr="008C580C">
        <w:rPr>
          <w:color w:val="000000" w:themeColor="text1"/>
        </w:rPr>
        <w:t xml:space="preserve">in order to </w:t>
      </w:r>
      <w:r w:rsidRPr="008C580C">
        <w:rPr>
          <w:i/>
          <w:color w:val="000000" w:themeColor="text1"/>
          <w:szCs w:val="26"/>
        </w:rPr>
        <w:t>defend</w:t>
      </w:r>
      <w:r w:rsidRPr="008C580C">
        <w:rPr>
          <w:color w:val="000000" w:themeColor="text1"/>
          <w:szCs w:val="26"/>
        </w:rPr>
        <w:t xml:space="preserve"> such a subpoena against a motion to quash, t</w:t>
      </w:r>
      <w:r w:rsidRPr="008C580C">
        <w:rPr>
          <w:color w:val="000000" w:themeColor="text1"/>
        </w:rPr>
        <w:t xml:space="preserve">he subpoenaing party must at that point establish good cause </w:t>
      </w:r>
      <w:r w:rsidR="0044272A" w:rsidRPr="008C580C">
        <w:rPr>
          <w:color w:val="000000" w:themeColor="text1"/>
        </w:rPr>
        <w:t xml:space="preserve">to </w:t>
      </w:r>
      <w:r w:rsidRPr="008C580C">
        <w:rPr>
          <w:color w:val="000000" w:themeColor="text1"/>
        </w:rPr>
        <w:t>acquir</w:t>
      </w:r>
      <w:r w:rsidR="0044272A" w:rsidRPr="008C580C">
        <w:rPr>
          <w:color w:val="000000" w:themeColor="text1"/>
        </w:rPr>
        <w:t xml:space="preserve">e </w:t>
      </w:r>
      <w:r w:rsidRPr="008C580C">
        <w:rPr>
          <w:color w:val="000000" w:themeColor="text1"/>
        </w:rPr>
        <w:t xml:space="preserve">the subpoenaed records. </w:t>
      </w:r>
      <w:r w:rsidR="00887089" w:rsidRPr="008C580C">
        <w:rPr>
          <w:color w:val="000000" w:themeColor="text1"/>
        </w:rPr>
        <w:t xml:space="preserve"> </w:t>
      </w:r>
      <w:r w:rsidRPr="008C580C">
        <w:rPr>
          <w:color w:val="000000" w:themeColor="text1"/>
        </w:rPr>
        <w:t xml:space="preserve">In other words, as we have observed, </w:t>
      </w:r>
      <w:r w:rsidR="007E6D92" w:rsidRPr="008C580C">
        <w:rPr>
          <w:color w:val="000000" w:themeColor="text1"/>
        </w:rPr>
        <w:t xml:space="preserve">at the motion to quash stage </w:t>
      </w:r>
      <w:r w:rsidRPr="008C580C">
        <w:rPr>
          <w:color w:val="000000" w:themeColor="text1"/>
        </w:rPr>
        <w:t xml:space="preserve">the defendant must show “some cause for discovery other than ‘a mere desire for the </w:t>
      </w:r>
      <w:r w:rsidRPr="008C580C">
        <w:rPr>
          <w:color w:val="000000" w:themeColor="text1"/>
        </w:rPr>
        <w:lastRenderedPageBreak/>
        <w:t>benefit of all information.’ ”  (</w:t>
      </w:r>
      <w:r w:rsidRPr="008C580C">
        <w:rPr>
          <w:i/>
          <w:color w:val="000000" w:themeColor="text1"/>
          <w:szCs w:val="26"/>
        </w:rPr>
        <w:t xml:space="preserve">Pitchess, supra, </w:t>
      </w:r>
      <w:r w:rsidRPr="008C580C">
        <w:rPr>
          <w:color w:val="000000" w:themeColor="text1"/>
          <w:szCs w:val="26"/>
        </w:rPr>
        <w:t>11 Cal.3d at p.</w:t>
      </w:r>
      <w:r w:rsidR="00F26891" w:rsidRPr="008C580C">
        <w:rPr>
          <w:color w:val="000000" w:themeColor="text1"/>
          <w:szCs w:val="26"/>
        </w:rPr>
        <w:t> </w:t>
      </w:r>
      <w:r w:rsidRPr="008C580C">
        <w:rPr>
          <w:color w:val="000000" w:themeColor="text1"/>
          <w:szCs w:val="26"/>
        </w:rPr>
        <w:t xml:space="preserve">537.)  </w:t>
      </w:r>
    </w:p>
    <w:p w14:paraId="644F8867" w14:textId="317CF19C" w:rsidR="00BE7B54" w:rsidRPr="008C580C" w:rsidRDefault="002A35C8" w:rsidP="00EA0331">
      <w:pPr>
        <w:pStyle w:val="Text"/>
        <w:spacing w:line="400" w:lineRule="exact"/>
        <w:ind w:firstLine="720"/>
        <w:rPr>
          <w:color w:val="000000" w:themeColor="text1"/>
          <w:szCs w:val="26"/>
        </w:rPr>
      </w:pPr>
      <w:r w:rsidRPr="008C580C">
        <w:rPr>
          <w:color w:val="000000" w:themeColor="text1"/>
          <w:szCs w:val="26"/>
        </w:rPr>
        <w:t xml:space="preserve">How should a trial court </w:t>
      </w:r>
      <w:r w:rsidRPr="008C580C">
        <w:rPr>
          <w:color w:val="000000" w:themeColor="text1"/>
        </w:rPr>
        <w:t>assess</w:t>
      </w:r>
      <w:r w:rsidR="00B43A04" w:rsidRPr="008C580C">
        <w:rPr>
          <w:color w:val="000000" w:themeColor="text1"/>
        </w:rPr>
        <w:t xml:space="preserve"> </w:t>
      </w:r>
      <w:proofErr w:type="gramStart"/>
      <w:r w:rsidRPr="008C580C">
        <w:rPr>
          <w:color w:val="000000" w:themeColor="text1"/>
        </w:rPr>
        <w:t>good cause</w:t>
      </w:r>
      <w:proofErr w:type="gramEnd"/>
      <w:r w:rsidRPr="008C580C">
        <w:rPr>
          <w:color w:val="000000" w:themeColor="text1"/>
        </w:rPr>
        <w:t xml:space="preserve"> to enforce a subpoena duces tecum in the face of a motion to quash?  A</w:t>
      </w:r>
      <w:r w:rsidR="00C9690A">
        <w:rPr>
          <w:color w:val="000000" w:themeColor="text1"/>
        </w:rPr>
        <w:t xml:space="preserve"> </w:t>
      </w:r>
      <w:r w:rsidRPr="008C580C">
        <w:rPr>
          <w:color w:val="000000" w:themeColor="text1"/>
        </w:rPr>
        <w:t xml:space="preserve">helpful decision by Justice </w:t>
      </w:r>
      <w:proofErr w:type="spellStart"/>
      <w:r w:rsidRPr="008C580C">
        <w:rPr>
          <w:color w:val="000000" w:themeColor="text1"/>
        </w:rPr>
        <w:t>Croskey</w:t>
      </w:r>
      <w:proofErr w:type="spellEnd"/>
      <w:r w:rsidRPr="008C580C">
        <w:rPr>
          <w:color w:val="000000" w:themeColor="text1"/>
        </w:rPr>
        <w:t xml:space="preserve">, filed more than three decades ago, lists seven factors that “[t]he </w:t>
      </w:r>
      <w:proofErr w:type="gramStart"/>
      <w:r w:rsidRPr="008C580C">
        <w:rPr>
          <w:color w:val="000000" w:themeColor="text1"/>
        </w:rPr>
        <w:t>trial</w:t>
      </w:r>
      <w:proofErr w:type="gramEnd"/>
      <w:r w:rsidRPr="008C580C">
        <w:rPr>
          <w:color w:val="000000" w:themeColor="text1"/>
        </w:rPr>
        <w:t xml:space="preserve"> court . . . must consider and balance” when “deciding whether the defendant shall be permitted to obtain </w:t>
      </w:r>
      <w:r w:rsidRPr="008C580C">
        <w:rPr>
          <w:i/>
          <w:color w:val="000000" w:themeColor="text1"/>
        </w:rPr>
        <w:t>disco</w:t>
      </w:r>
      <w:r w:rsidRPr="008C580C">
        <w:rPr>
          <w:i/>
          <w:color w:val="000000" w:themeColor="text1"/>
          <w:szCs w:val="26"/>
        </w:rPr>
        <w:t>very</w:t>
      </w:r>
      <w:r w:rsidRPr="008C580C">
        <w:rPr>
          <w:color w:val="000000" w:themeColor="text1"/>
          <w:szCs w:val="26"/>
        </w:rPr>
        <w:t xml:space="preserve"> of</w:t>
      </w:r>
      <w:r w:rsidR="00CF385E">
        <w:rPr>
          <w:color w:val="000000" w:themeColor="text1"/>
          <w:szCs w:val="26"/>
        </w:rPr>
        <w:t xml:space="preserve"> the </w:t>
      </w:r>
      <w:r w:rsidRPr="008C580C">
        <w:rPr>
          <w:color w:val="000000" w:themeColor="text1"/>
          <w:szCs w:val="26"/>
        </w:rPr>
        <w:t>requested material.”</w:t>
      </w:r>
      <w:r w:rsidRPr="008C580C">
        <w:rPr>
          <w:color w:val="000000" w:themeColor="text1"/>
        </w:rPr>
        <w:t xml:space="preserve">  (</w:t>
      </w:r>
      <w:r w:rsidRPr="008C580C">
        <w:rPr>
          <w:i/>
          <w:color w:val="000000" w:themeColor="text1"/>
          <w:szCs w:val="26"/>
        </w:rPr>
        <w:t>Alhambra</w:t>
      </w:r>
      <w:r w:rsidR="00F82CED">
        <w:rPr>
          <w:i/>
          <w:color w:val="000000" w:themeColor="text1"/>
          <w:szCs w:val="26"/>
        </w:rPr>
        <w:t xml:space="preserve">, supra, </w:t>
      </w:r>
      <w:bookmarkStart w:id="3" w:name="_Hlk28243374"/>
      <w:r w:rsidRPr="008C580C">
        <w:rPr>
          <w:color w:val="000000" w:themeColor="text1"/>
          <w:szCs w:val="26"/>
        </w:rPr>
        <w:t>205 Cal.App.3d 1118</w:t>
      </w:r>
      <w:bookmarkEnd w:id="3"/>
      <w:r w:rsidRPr="008C580C">
        <w:rPr>
          <w:color w:val="000000" w:themeColor="text1"/>
          <w:szCs w:val="26"/>
        </w:rPr>
        <w:t>, 1134</w:t>
      </w:r>
      <w:r w:rsidR="00786946" w:rsidRPr="008C580C">
        <w:rPr>
          <w:color w:val="000000" w:themeColor="text1"/>
          <w:szCs w:val="26"/>
        </w:rPr>
        <w:t>, italics added</w:t>
      </w:r>
      <w:r w:rsidRPr="008C580C">
        <w:rPr>
          <w:color w:val="000000" w:themeColor="text1"/>
          <w:szCs w:val="26"/>
        </w:rPr>
        <w:t>.)</w:t>
      </w:r>
      <w:r w:rsidRPr="008C580C">
        <w:rPr>
          <w:rStyle w:val="FootnoteReference"/>
          <w:color w:val="000000" w:themeColor="text1"/>
          <w:szCs w:val="26"/>
        </w:rPr>
        <w:footnoteReference w:id="6"/>
      </w:r>
      <w:r w:rsidRPr="008C580C">
        <w:rPr>
          <w:color w:val="000000" w:themeColor="text1"/>
        </w:rPr>
        <w:t xml:space="preserve">  In</w:t>
      </w:r>
      <w:r w:rsidR="0061666F" w:rsidRPr="008C580C">
        <w:rPr>
          <w:color w:val="000000" w:themeColor="text1"/>
        </w:rPr>
        <w:t xml:space="preserve"> </w:t>
      </w:r>
      <w:r w:rsidRPr="008C580C">
        <w:rPr>
          <w:color w:val="000000" w:themeColor="text1"/>
        </w:rPr>
        <w:t xml:space="preserve">turn, those seven factors </w:t>
      </w:r>
      <w:r w:rsidRPr="008C580C">
        <w:rPr>
          <w:color w:val="000000" w:themeColor="text1"/>
          <w:szCs w:val="26"/>
        </w:rPr>
        <w:t xml:space="preserve">are </w:t>
      </w:r>
      <w:r w:rsidRPr="008C580C">
        <w:rPr>
          <w:color w:val="000000" w:themeColor="text1"/>
        </w:rPr>
        <w:t xml:space="preserve">helpfully set forth, along with citations to </w:t>
      </w:r>
      <w:r w:rsidR="00617184" w:rsidRPr="008C580C">
        <w:rPr>
          <w:color w:val="000000" w:themeColor="text1"/>
        </w:rPr>
        <w:t xml:space="preserve">some of the </w:t>
      </w:r>
      <w:r w:rsidRPr="008C580C">
        <w:rPr>
          <w:color w:val="000000" w:themeColor="text1"/>
        </w:rPr>
        <w:t xml:space="preserve">cases concerning discussion of </w:t>
      </w:r>
      <w:r w:rsidR="0061373E" w:rsidRPr="008C580C">
        <w:rPr>
          <w:color w:val="000000" w:themeColor="text1"/>
        </w:rPr>
        <w:t xml:space="preserve">the </w:t>
      </w:r>
      <w:r w:rsidRPr="008C580C">
        <w:rPr>
          <w:color w:val="000000" w:themeColor="text1"/>
        </w:rPr>
        <w:t xml:space="preserve">issue we face in this case — </w:t>
      </w:r>
      <w:r w:rsidR="00A35487" w:rsidRPr="008C580C">
        <w:rPr>
          <w:color w:val="000000" w:themeColor="text1"/>
        </w:rPr>
        <w:t xml:space="preserve">that is, </w:t>
      </w:r>
      <w:r w:rsidR="00A35487" w:rsidRPr="008C580C">
        <w:rPr>
          <w:i/>
          <w:iCs/>
          <w:color w:val="000000" w:themeColor="text1"/>
        </w:rPr>
        <w:t xml:space="preserve">the </w:t>
      </w:r>
      <w:r w:rsidRPr="008C580C">
        <w:rPr>
          <w:i/>
          <w:color w:val="000000" w:themeColor="text1"/>
        </w:rPr>
        <w:t>enforcement of a criminal subpoena duces tecum issued to a third party</w:t>
      </w:r>
      <w:r w:rsidRPr="008C580C">
        <w:rPr>
          <w:color w:val="000000" w:themeColor="text1"/>
        </w:rPr>
        <w:t xml:space="preserve"> — in </w:t>
      </w:r>
      <w:r w:rsidR="007E6D92" w:rsidRPr="008C580C">
        <w:rPr>
          <w:color w:val="000000" w:themeColor="text1"/>
        </w:rPr>
        <w:t xml:space="preserve">a leading criminal discovery treatise, </w:t>
      </w:r>
      <w:r w:rsidRPr="008C580C">
        <w:rPr>
          <w:color w:val="000000" w:themeColor="text1"/>
          <w:szCs w:val="26"/>
        </w:rPr>
        <w:t>Hoffstadt, California Criminal Discovery (5th ed. 2015) §</w:t>
      </w:r>
      <w:r w:rsidR="000363B1" w:rsidRPr="008C580C">
        <w:rPr>
          <w:color w:val="000000" w:themeColor="text1"/>
          <w:szCs w:val="26"/>
        </w:rPr>
        <w:t> </w:t>
      </w:r>
      <w:r w:rsidRPr="008C580C">
        <w:rPr>
          <w:color w:val="000000" w:themeColor="text1"/>
          <w:szCs w:val="26"/>
        </w:rPr>
        <w:t>13.03, pages 390</w:t>
      </w:r>
      <w:r w:rsidR="00EA3DB4">
        <w:rPr>
          <w:color w:val="000000" w:themeColor="text1"/>
          <w:szCs w:val="26"/>
        </w:rPr>
        <w:t>–</w:t>
      </w:r>
      <w:r w:rsidRPr="008C580C">
        <w:rPr>
          <w:color w:val="000000" w:themeColor="text1"/>
          <w:szCs w:val="26"/>
        </w:rPr>
        <w:t>391 (</w:t>
      </w:r>
      <w:r w:rsidR="00530330" w:rsidRPr="008C580C">
        <w:rPr>
          <w:color w:val="000000" w:themeColor="text1"/>
          <w:szCs w:val="26"/>
        </w:rPr>
        <w:t xml:space="preserve">Hoffstadt on </w:t>
      </w:r>
      <w:r w:rsidRPr="008C580C">
        <w:rPr>
          <w:color w:val="000000" w:themeColor="text1"/>
          <w:szCs w:val="26"/>
        </w:rPr>
        <w:t>Criminal Discovery).</w:t>
      </w:r>
      <w:r w:rsidR="003966C2" w:rsidRPr="008C580C">
        <w:rPr>
          <w:color w:val="000000" w:themeColor="text1"/>
          <w:szCs w:val="26"/>
        </w:rPr>
        <w:t xml:space="preserve">  Most recently, the </w:t>
      </w:r>
      <w:r w:rsidR="0091399D" w:rsidRPr="008C580C">
        <w:rPr>
          <w:color w:val="000000" w:themeColor="text1"/>
          <w:szCs w:val="26"/>
        </w:rPr>
        <w:t xml:space="preserve">appellate </w:t>
      </w:r>
      <w:r w:rsidR="003966C2" w:rsidRPr="008C580C">
        <w:rPr>
          <w:color w:val="000000" w:themeColor="text1"/>
          <w:szCs w:val="26"/>
        </w:rPr>
        <w:t xml:space="preserve">court in </w:t>
      </w:r>
      <w:r w:rsidR="005D795B" w:rsidRPr="008C580C">
        <w:rPr>
          <w:i/>
          <w:iCs/>
          <w:color w:val="000000" w:themeColor="text1"/>
          <w:szCs w:val="26"/>
        </w:rPr>
        <w:t>Facebook v. Superior Court (Hunter</w:t>
      </w:r>
      <w:r w:rsidR="00EC5E1E">
        <w:rPr>
          <w:i/>
          <w:iCs/>
          <w:color w:val="000000" w:themeColor="text1"/>
          <w:szCs w:val="26"/>
        </w:rPr>
        <w:t>)</w:t>
      </w:r>
      <w:r w:rsidR="00F73E06" w:rsidRPr="008C580C">
        <w:rPr>
          <w:i/>
          <w:iCs/>
          <w:color w:val="000000" w:themeColor="text1"/>
          <w:szCs w:val="26"/>
        </w:rPr>
        <w:t xml:space="preserve"> </w:t>
      </w:r>
      <w:r w:rsidR="00002DA7" w:rsidRPr="008C580C">
        <w:rPr>
          <w:color w:val="000000" w:themeColor="text1"/>
          <w:szCs w:val="26"/>
        </w:rPr>
        <w:t xml:space="preserve">(2020) </w:t>
      </w:r>
      <w:r w:rsidR="002E0A36" w:rsidRPr="008C580C">
        <w:rPr>
          <w:color w:val="000000" w:themeColor="text1"/>
          <w:szCs w:val="26"/>
        </w:rPr>
        <w:t>46</w:t>
      </w:r>
      <w:r w:rsidR="00002DA7" w:rsidRPr="008C580C">
        <w:rPr>
          <w:color w:val="000000" w:themeColor="text1"/>
          <w:szCs w:val="26"/>
        </w:rPr>
        <w:t xml:space="preserve"> Cal.A</w:t>
      </w:r>
      <w:r w:rsidR="00002DA7" w:rsidRPr="00F6198D">
        <w:rPr>
          <w:color w:val="000000" w:themeColor="text1"/>
          <w:szCs w:val="26"/>
        </w:rPr>
        <w:t>pp.</w:t>
      </w:r>
      <w:r w:rsidR="00923011" w:rsidRPr="00F6198D">
        <w:rPr>
          <w:color w:val="000000" w:themeColor="text1"/>
          <w:szCs w:val="26"/>
        </w:rPr>
        <w:t>5</w:t>
      </w:r>
      <w:r w:rsidR="004954E1" w:rsidRPr="00F6198D">
        <w:rPr>
          <w:color w:val="000000" w:themeColor="text1"/>
          <w:szCs w:val="26"/>
        </w:rPr>
        <w:t xml:space="preserve">th </w:t>
      </w:r>
      <w:r w:rsidR="002E0A36" w:rsidRPr="00F6198D">
        <w:rPr>
          <w:color w:val="000000" w:themeColor="text1"/>
          <w:szCs w:val="26"/>
        </w:rPr>
        <w:t>109</w:t>
      </w:r>
      <w:r w:rsidR="00923011" w:rsidRPr="00F6198D">
        <w:rPr>
          <w:color w:val="000000" w:themeColor="text1"/>
          <w:szCs w:val="26"/>
        </w:rPr>
        <w:t xml:space="preserve">, </w:t>
      </w:r>
      <w:r w:rsidR="00FA2D45" w:rsidRPr="00F6198D">
        <w:rPr>
          <w:color w:val="000000" w:themeColor="text1"/>
          <w:szCs w:val="26"/>
        </w:rPr>
        <w:lastRenderedPageBreak/>
        <w:t>119</w:t>
      </w:r>
      <w:r w:rsidR="00EA3DB4" w:rsidRPr="00F6198D">
        <w:rPr>
          <w:color w:val="000000" w:themeColor="text1"/>
          <w:szCs w:val="26"/>
        </w:rPr>
        <w:t>–</w:t>
      </w:r>
      <w:r w:rsidR="00FA2D45" w:rsidRPr="00F6198D">
        <w:rPr>
          <w:color w:val="000000" w:themeColor="text1"/>
          <w:szCs w:val="26"/>
        </w:rPr>
        <w:t>121</w:t>
      </w:r>
      <w:r w:rsidR="00002DA7" w:rsidRPr="00F6198D">
        <w:rPr>
          <w:color w:val="000000" w:themeColor="text1"/>
          <w:szCs w:val="26"/>
        </w:rPr>
        <w:t xml:space="preserve"> </w:t>
      </w:r>
      <w:r w:rsidR="00E07C6E" w:rsidRPr="00F6198D">
        <w:rPr>
          <w:color w:val="000000" w:themeColor="text1"/>
          <w:szCs w:val="26"/>
        </w:rPr>
        <w:t>(</w:t>
      </w:r>
      <w:r w:rsidR="00F73E06" w:rsidRPr="00F6198D">
        <w:rPr>
          <w:color w:val="000000" w:themeColor="text1"/>
          <w:szCs w:val="26"/>
        </w:rPr>
        <w:t>rev</w:t>
      </w:r>
      <w:r w:rsidR="00F12423" w:rsidRPr="00F6198D">
        <w:rPr>
          <w:color w:val="000000" w:themeColor="text1"/>
          <w:szCs w:val="26"/>
        </w:rPr>
        <w:t>iew</w:t>
      </w:r>
      <w:r w:rsidR="0020390E" w:rsidRPr="00F6198D">
        <w:rPr>
          <w:color w:val="000000" w:themeColor="text1"/>
          <w:szCs w:val="26"/>
        </w:rPr>
        <w:t xml:space="preserve"> granted </w:t>
      </w:r>
      <w:r w:rsidR="00364359" w:rsidRPr="00F6198D">
        <w:rPr>
          <w:color w:val="000000" w:themeColor="text1"/>
          <w:szCs w:val="26"/>
        </w:rPr>
        <w:t>June</w:t>
      </w:r>
      <w:r w:rsidR="00F26891" w:rsidRPr="00F6198D">
        <w:rPr>
          <w:color w:val="000000" w:themeColor="text1"/>
          <w:szCs w:val="26"/>
        </w:rPr>
        <w:t> </w:t>
      </w:r>
      <w:r w:rsidR="00364359" w:rsidRPr="00F6198D">
        <w:rPr>
          <w:color w:val="000000" w:themeColor="text1"/>
          <w:szCs w:val="26"/>
        </w:rPr>
        <w:t>10, 2020</w:t>
      </w:r>
      <w:r w:rsidR="0051033D" w:rsidRPr="00F6198D">
        <w:rPr>
          <w:color w:val="000000" w:themeColor="text1"/>
          <w:szCs w:val="26"/>
        </w:rPr>
        <w:t>, S260846</w:t>
      </w:r>
      <w:r w:rsidR="00473215" w:rsidRPr="00F6198D">
        <w:rPr>
          <w:color w:val="000000" w:themeColor="text1"/>
          <w:szCs w:val="26"/>
        </w:rPr>
        <w:t>;</w:t>
      </w:r>
      <w:r w:rsidR="00002DA7" w:rsidRPr="00F6198D">
        <w:rPr>
          <w:color w:val="000000" w:themeColor="text1"/>
          <w:szCs w:val="26"/>
        </w:rPr>
        <w:t xml:space="preserve"> </w:t>
      </w:r>
      <w:r w:rsidR="008D2D35" w:rsidRPr="00F6198D">
        <w:rPr>
          <w:i/>
          <w:iCs/>
          <w:color w:val="000000" w:themeColor="text1"/>
          <w:szCs w:val="26"/>
        </w:rPr>
        <w:t>Facebook (Hunter</w:t>
      </w:r>
      <w:r w:rsidR="009460C9">
        <w:rPr>
          <w:i/>
          <w:iCs/>
          <w:color w:val="000000" w:themeColor="text1"/>
          <w:szCs w:val="26"/>
        </w:rPr>
        <w:t>)</w:t>
      </w:r>
      <w:r w:rsidR="003C0910">
        <w:rPr>
          <w:i/>
          <w:iCs/>
          <w:color w:val="000000" w:themeColor="text1"/>
          <w:szCs w:val="26"/>
        </w:rPr>
        <w:t> </w:t>
      </w:r>
      <w:r w:rsidR="008D2D35" w:rsidRPr="00F6198D">
        <w:rPr>
          <w:i/>
          <w:iCs/>
          <w:color w:val="000000" w:themeColor="text1"/>
          <w:szCs w:val="26"/>
        </w:rPr>
        <w:t>II</w:t>
      </w:r>
      <w:r w:rsidR="00624591" w:rsidRPr="00F6198D">
        <w:rPr>
          <w:color w:val="000000" w:themeColor="text1"/>
          <w:szCs w:val="26"/>
        </w:rPr>
        <w:t>)</w:t>
      </w:r>
      <w:r w:rsidR="008D2D35" w:rsidRPr="00F6198D">
        <w:rPr>
          <w:color w:val="000000" w:themeColor="text1"/>
          <w:szCs w:val="26"/>
        </w:rPr>
        <w:t xml:space="preserve"> </w:t>
      </w:r>
      <w:r w:rsidR="003966C2" w:rsidRPr="00F6198D">
        <w:rPr>
          <w:color w:val="000000" w:themeColor="text1"/>
          <w:szCs w:val="26"/>
        </w:rPr>
        <w:t xml:space="preserve">applied these </w:t>
      </w:r>
      <w:r w:rsidR="002171E7" w:rsidRPr="00F6198D">
        <w:rPr>
          <w:color w:val="000000" w:themeColor="text1"/>
          <w:szCs w:val="26"/>
        </w:rPr>
        <w:t xml:space="preserve">factors in </w:t>
      </w:r>
      <w:r w:rsidR="00D7345F" w:rsidRPr="00F6198D">
        <w:rPr>
          <w:color w:val="000000" w:themeColor="text1"/>
          <w:szCs w:val="26"/>
        </w:rPr>
        <w:t>the context</w:t>
      </w:r>
      <w:r w:rsidR="00D7345F" w:rsidRPr="008C580C">
        <w:rPr>
          <w:color w:val="000000" w:themeColor="text1"/>
          <w:szCs w:val="26"/>
        </w:rPr>
        <w:t xml:space="preserve"> of</w:t>
      </w:r>
      <w:r w:rsidR="00D40761" w:rsidRPr="008C580C">
        <w:rPr>
          <w:color w:val="000000" w:themeColor="text1"/>
          <w:szCs w:val="26"/>
        </w:rPr>
        <w:t xml:space="preserve"> evaluating</w:t>
      </w:r>
      <w:r w:rsidR="00D7345F" w:rsidRPr="008C580C">
        <w:rPr>
          <w:color w:val="000000" w:themeColor="text1"/>
          <w:szCs w:val="26"/>
        </w:rPr>
        <w:t xml:space="preserve"> </w:t>
      </w:r>
      <w:r w:rsidR="005678A6" w:rsidRPr="008C580C">
        <w:rPr>
          <w:color w:val="000000" w:themeColor="text1"/>
          <w:szCs w:val="26"/>
        </w:rPr>
        <w:t>the same criminal defense subpoena that we addresse</w:t>
      </w:r>
      <w:r w:rsidR="007B107E" w:rsidRPr="008C580C">
        <w:rPr>
          <w:color w:val="000000" w:themeColor="text1"/>
          <w:szCs w:val="26"/>
        </w:rPr>
        <w:t>d</w:t>
      </w:r>
      <w:r w:rsidR="005678A6" w:rsidRPr="008C580C">
        <w:rPr>
          <w:color w:val="000000" w:themeColor="text1"/>
          <w:szCs w:val="26"/>
        </w:rPr>
        <w:t xml:space="preserve"> in </w:t>
      </w:r>
      <w:r w:rsidR="005678A6" w:rsidRPr="008C580C">
        <w:rPr>
          <w:i/>
          <w:iCs/>
          <w:color w:val="000000" w:themeColor="text1"/>
          <w:szCs w:val="26"/>
        </w:rPr>
        <w:t>Facebook (Hunter), su</w:t>
      </w:r>
      <w:r w:rsidR="00C647DC" w:rsidRPr="008C580C">
        <w:rPr>
          <w:i/>
          <w:iCs/>
          <w:color w:val="000000" w:themeColor="text1"/>
          <w:szCs w:val="26"/>
        </w:rPr>
        <w:t>pra</w:t>
      </w:r>
      <w:r w:rsidR="00C647DC" w:rsidRPr="008C580C">
        <w:rPr>
          <w:color w:val="000000" w:themeColor="text1"/>
          <w:szCs w:val="26"/>
        </w:rPr>
        <w:t xml:space="preserve">, </w:t>
      </w:r>
      <w:r w:rsidR="00560F27" w:rsidRPr="008C580C">
        <w:rPr>
          <w:color w:val="000000" w:themeColor="text1"/>
          <w:szCs w:val="26"/>
        </w:rPr>
        <w:t xml:space="preserve">4 Cal.4th </w:t>
      </w:r>
      <w:r w:rsidR="000159E6" w:rsidRPr="008C580C">
        <w:rPr>
          <w:color w:val="000000" w:themeColor="text1"/>
          <w:szCs w:val="26"/>
        </w:rPr>
        <w:t>1245</w:t>
      </w:r>
      <w:r w:rsidR="00C647DC" w:rsidRPr="008C580C">
        <w:rPr>
          <w:color w:val="000000" w:themeColor="text1"/>
          <w:szCs w:val="26"/>
        </w:rPr>
        <w:t xml:space="preserve">.  </w:t>
      </w:r>
    </w:p>
    <w:p w14:paraId="19BFB251" w14:textId="77777777" w:rsidR="003C74E5" w:rsidRPr="008C580C" w:rsidRDefault="000436CF" w:rsidP="00EA0331">
      <w:pPr>
        <w:pStyle w:val="Heading2"/>
        <w:rPr>
          <w:color w:val="000000" w:themeColor="text1"/>
        </w:rPr>
      </w:pPr>
      <w:r w:rsidRPr="008C580C">
        <w:rPr>
          <w:color w:val="000000" w:themeColor="text1"/>
        </w:rPr>
        <w:t xml:space="preserve">A.  </w:t>
      </w:r>
      <w:r w:rsidR="003C74E5" w:rsidRPr="008C580C">
        <w:rPr>
          <w:color w:val="000000" w:themeColor="text1"/>
        </w:rPr>
        <w:t xml:space="preserve">The </w:t>
      </w:r>
      <w:r w:rsidR="003C74E5" w:rsidRPr="008C580C">
        <w:rPr>
          <w:i/>
          <w:iCs/>
          <w:color w:val="000000" w:themeColor="text1"/>
        </w:rPr>
        <w:t>Alhambra</w:t>
      </w:r>
      <w:r w:rsidR="003C74E5" w:rsidRPr="008C580C">
        <w:rPr>
          <w:color w:val="000000" w:themeColor="text1"/>
        </w:rPr>
        <w:t xml:space="preserve"> factors</w:t>
      </w:r>
    </w:p>
    <w:p w14:paraId="771C9C8E" w14:textId="3EC3AB95" w:rsidR="002A35C8" w:rsidRPr="008C580C" w:rsidRDefault="00EB1BB1" w:rsidP="00EA0331">
      <w:pPr>
        <w:pStyle w:val="Text"/>
        <w:spacing w:line="400" w:lineRule="exact"/>
        <w:ind w:firstLine="720"/>
        <w:rPr>
          <w:color w:val="000000" w:themeColor="text1"/>
          <w:szCs w:val="26"/>
        </w:rPr>
      </w:pPr>
      <w:r w:rsidRPr="008C580C">
        <w:rPr>
          <w:color w:val="000000" w:themeColor="text1"/>
          <w:szCs w:val="26"/>
        </w:rPr>
        <w:t>W</w:t>
      </w:r>
      <w:r w:rsidR="005E0CA3" w:rsidRPr="008C580C">
        <w:rPr>
          <w:color w:val="000000" w:themeColor="text1"/>
          <w:szCs w:val="26"/>
        </w:rPr>
        <w:t xml:space="preserve">e </w:t>
      </w:r>
      <w:r w:rsidR="0032517C" w:rsidRPr="008C580C">
        <w:rPr>
          <w:color w:val="000000" w:themeColor="text1"/>
          <w:szCs w:val="26"/>
        </w:rPr>
        <w:t xml:space="preserve">list </w:t>
      </w:r>
      <w:r w:rsidR="005E0CA3" w:rsidRPr="008C580C">
        <w:rPr>
          <w:color w:val="000000" w:themeColor="text1"/>
          <w:szCs w:val="26"/>
        </w:rPr>
        <w:t xml:space="preserve">the </w:t>
      </w:r>
      <w:r w:rsidR="002A35C8" w:rsidRPr="008C580C">
        <w:rPr>
          <w:color w:val="000000" w:themeColor="text1"/>
          <w:szCs w:val="26"/>
        </w:rPr>
        <w:t xml:space="preserve">seven factors </w:t>
      </w:r>
      <w:r w:rsidR="005E0CA3" w:rsidRPr="008C580C">
        <w:rPr>
          <w:color w:val="000000" w:themeColor="text1"/>
          <w:szCs w:val="26"/>
        </w:rPr>
        <w:t xml:space="preserve">that should be considered by a trial court in considering whether </w:t>
      </w:r>
      <w:proofErr w:type="gramStart"/>
      <w:r w:rsidR="005E0CA3" w:rsidRPr="008C580C">
        <w:rPr>
          <w:color w:val="000000" w:themeColor="text1"/>
          <w:szCs w:val="26"/>
        </w:rPr>
        <w:t>good cause</w:t>
      </w:r>
      <w:proofErr w:type="gramEnd"/>
      <w:r w:rsidR="005E0CA3" w:rsidRPr="008C580C">
        <w:rPr>
          <w:color w:val="000000" w:themeColor="text1"/>
          <w:szCs w:val="26"/>
        </w:rPr>
        <w:t xml:space="preserve"> has been shown to enforce a subpoena that has been challenged by a motion to quash</w:t>
      </w:r>
      <w:r w:rsidR="00BE7D13" w:rsidRPr="008C580C">
        <w:rPr>
          <w:color w:val="000000" w:themeColor="text1"/>
          <w:szCs w:val="26"/>
        </w:rPr>
        <w:t xml:space="preserve">.  In the process, we </w:t>
      </w:r>
      <w:r w:rsidR="00B60051" w:rsidRPr="008C580C">
        <w:rPr>
          <w:color w:val="000000" w:themeColor="text1"/>
          <w:szCs w:val="26"/>
        </w:rPr>
        <w:t>include additional relevant</w:t>
      </w:r>
      <w:r w:rsidR="00D90FA3" w:rsidRPr="008C580C">
        <w:rPr>
          <w:color w:val="000000" w:themeColor="text1"/>
          <w:szCs w:val="26"/>
        </w:rPr>
        <w:t xml:space="preserve"> </w:t>
      </w:r>
      <w:r w:rsidR="00B60051" w:rsidRPr="008C580C">
        <w:rPr>
          <w:color w:val="000000" w:themeColor="text1"/>
          <w:szCs w:val="26"/>
        </w:rPr>
        <w:t xml:space="preserve">case </w:t>
      </w:r>
      <w:r w:rsidR="00D90FA3" w:rsidRPr="008C580C">
        <w:rPr>
          <w:color w:val="000000" w:themeColor="text1"/>
          <w:szCs w:val="26"/>
        </w:rPr>
        <w:t>citations</w:t>
      </w:r>
      <w:r w:rsidR="00E21614" w:rsidRPr="008C580C">
        <w:rPr>
          <w:color w:val="000000" w:themeColor="text1"/>
          <w:szCs w:val="26"/>
        </w:rPr>
        <w:t xml:space="preserve"> </w:t>
      </w:r>
      <w:r w:rsidR="00B60051" w:rsidRPr="008C580C">
        <w:rPr>
          <w:color w:val="000000" w:themeColor="text1"/>
          <w:szCs w:val="26"/>
        </w:rPr>
        <w:t>to th</w:t>
      </w:r>
      <w:r w:rsidR="00457471" w:rsidRPr="008C580C">
        <w:rPr>
          <w:color w:val="000000" w:themeColor="text1"/>
          <w:szCs w:val="26"/>
        </w:rPr>
        <w:t xml:space="preserve">ose </w:t>
      </w:r>
      <w:r w:rsidR="00B60051" w:rsidRPr="008C580C">
        <w:rPr>
          <w:color w:val="000000" w:themeColor="text1"/>
          <w:szCs w:val="26"/>
        </w:rPr>
        <w:t>set forth</w:t>
      </w:r>
      <w:r w:rsidR="00E21614" w:rsidRPr="008C580C">
        <w:rPr>
          <w:color w:val="000000" w:themeColor="text1"/>
          <w:szCs w:val="26"/>
        </w:rPr>
        <w:t xml:space="preserve"> in </w:t>
      </w:r>
      <w:r w:rsidR="00E21614" w:rsidRPr="008C580C">
        <w:rPr>
          <w:i/>
          <w:iCs/>
          <w:color w:val="000000" w:themeColor="text1"/>
          <w:szCs w:val="26"/>
        </w:rPr>
        <w:t>Alhambra</w:t>
      </w:r>
      <w:r w:rsidR="00E21614" w:rsidRPr="008C580C">
        <w:rPr>
          <w:color w:val="000000" w:themeColor="text1"/>
          <w:szCs w:val="26"/>
        </w:rPr>
        <w:t xml:space="preserve"> and Hoffstadt</w:t>
      </w:r>
      <w:r w:rsidR="00B60051" w:rsidRPr="008C580C">
        <w:rPr>
          <w:color w:val="000000" w:themeColor="text1"/>
          <w:szCs w:val="26"/>
        </w:rPr>
        <w:t xml:space="preserve"> on Criminal Discovery</w:t>
      </w:r>
      <w:r w:rsidR="002A35C8" w:rsidRPr="008C580C">
        <w:rPr>
          <w:color w:val="000000" w:themeColor="text1"/>
          <w:szCs w:val="26"/>
        </w:rPr>
        <w:t xml:space="preserve">:  </w:t>
      </w:r>
    </w:p>
    <w:p w14:paraId="1FAEF344" w14:textId="46BB14C1" w:rsidR="002A35C8" w:rsidRPr="008C580C" w:rsidRDefault="00DE6BAB" w:rsidP="00EA0331">
      <w:pPr>
        <w:pStyle w:val="Text"/>
        <w:spacing w:line="400" w:lineRule="exact"/>
        <w:ind w:firstLine="720"/>
        <w:rPr>
          <w:color w:val="000000" w:themeColor="text1"/>
          <w:szCs w:val="26"/>
        </w:rPr>
      </w:pPr>
      <w:r>
        <w:rPr>
          <w:color w:val="000000" w:themeColor="text1"/>
        </w:rPr>
        <w:t>(</w:t>
      </w:r>
      <w:r w:rsidR="002A35C8" w:rsidRPr="008C580C">
        <w:rPr>
          <w:color w:val="000000" w:themeColor="text1"/>
        </w:rPr>
        <w:t>1</w:t>
      </w:r>
      <w:r>
        <w:rPr>
          <w:color w:val="000000" w:themeColor="text1"/>
        </w:rPr>
        <w:t>)</w:t>
      </w:r>
      <w:r w:rsidR="005D4C66" w:rsidRPr="008C580C">
        <w:rPr>
          <w:color w:val="000000" w:themeColor="text1"/>
        </w:rPr>
        <w:t xml:space="preserve"> </w:t>
      </w:r>
      <w:r w:rsidR="002A35C8" w:rsidRPr="008C580C">
        <w:rPr>
          <w:color w:val="000000" w:themeColor="text1"/>
        </w:rPr>
        <w:t xml:space="preserve"> H</w:t>
      </w:r>
      <w:r w:rsidR="002A35C8" w:rsidRPr="008C580C">
        <w:rPr>
          <w:color w:val="000000" w:themeColor="text1"/>
          <w:szCs w:val="26"/>
        </w:rPr>
        <w:t>as the defendant carried his burden of showing a “</w:t>
      </w:r>
      <w:r w:rsidR="00D766EF">
        <w:rPr>
          <w:color w:val="000000" w:themeColor="text1"/>
          <w:szCs w:val="26"/>
        </w:rPr>
        <w:t> </w:t>
      </w:r>
      <w:r w:rsidR="002F7DE4">
        <w:rPr>
          <w:color w:val="000000" w:themeColor="text1"/>
          <w:szCs w:val="26"/>
        </w:rPr>
        <w:t>‘</w:t>
      </w:r>
      <w:r w:rsidR="002A35C8" w:rsidRPr="00736C19">
        <w:rPr>
          <w:iCs/>
          <w:color w:val="000000" w:themeColor="text1"/>
          <w:szCs w:val="26"/>
        </w:rPr>
        <w:t>plausible justification</w:t>
      </w:r>
      <w:r w:rsidR="002F7DE4">
        <w:rPr>
          <w:iCs/>
          <w:color w:val="000000" w:themeColor="text1"/>
          <w:szCs w:val="26"/>
        </w:rPr>
        <w:t>’</w:t>
      </w:r>
      <w:r w:rsidR="00277B0A">
        <w:rPr>
          <w:iCs/>
          <w:color w:val="000000" w:themeColor="text1"/>
          <w:szCs w:val="26"/>
        </w:rPr>
        <w:t> </w:t>
      </w:r>
      <w:r w:rsidR="002A35C8" w:rsidRPr="008C580C">
        <w:rPr>
          <w:color w:val="000000" w:themeColor="text1"/>
          <w:szCs w:val="26"/>
        </w:rPr>
        <w:t>” for acquiring documents from a third party (</w:t>
      </w:r>
      <w:r w:rsidR="002A35C8" w:rsidRPr="008C580C">
        <w:rPr>
          <w:i/>
          <w:color w:val="000000" w:themeColor="text1"/>
          <w:szCs w:val="26"/>
        </w:rPr>
        <w:t>Kling v. Superior Court of Ventura County</w:t>
      </w:r>
      <w:r w:rsidR="002A35C8" w:rsidRPr="008C580C">
        <w:rPr>
          <w:color w:val="000000" w:themeColor="text1"/>
          <w:szCs w:val="26"/>
        </w:rPr>
        <w:t xml:space="preserve"> (2010) 50</w:t>
      </w:r>
      <w:r w:rsidR="00773D1C" w:rsidRPr="008C580C">
        <w:rPr>
          <w:color w:val="000000" w:themeColor="text1"/>
          <w:szCs w:val="26"/>
        </w:rPr>
        <w:t> </w:t>
      </w:r>
      <w:r w:rsidR="002A35C8" w:rsidRPr="008C580C">
        <w:rPr>
          <w:color w:val="000000" w:themeColor="text1"/>
          <w:szCs w:val="26"/>
        </w:rPr>
        <w:t>Cal.4th 1068, 1075 (</w:t>
      </w:r>
      <w:r w:rsidR="002A35C8" w:rsidRPr="008C580C">
        <w:rPr>
          <w:i/>
          <w:color w:val="000000" w:themeColor="text1"/>
          <w:szCs w:val="26"/>
        </w:rPr>
        <w:t>Kling</w:t>
      </w:r>
      <w:r w:rsidR="002A35C8" w:rsidRPr="008C580C">
        <w:rPr>
          <w:color w:val="000000" w:themeColor="text1"/>
          <w:szCs w:val="26"/>
        </w:rPr>
        <w:t>)</w:t>
      </w:r>
      <w:r w:rsidR="004D216B" w:rsidRPr="008C580C">
        <w:rPr>
          <w:color w:val="000000" w:themeColor="text1"/>
          <w:szCs w:val="26"/>
        </w:rPr>
        <w:t xml:space="preserve">; </w:t>
      </w:r>
      <w:r w:rsidR="004D216B" w:rsidRPr="008C580C">
        <w:rPr>
          <w:i/>
          <w:color w:val="000000" w:themeColor="text1"/>
          <w:szCs w:val="26"/>
        </w:rPr>
        <w:t>Hill v. Superior Court</w:t>
      </w:r>
      <w:r w:rsidR="004D216B" w:rsidRPr="008C580C">
        <w:rPr>
          <w:color w:val="000000" w:themeColor="text1"/>
          <w:szCs w:val="26"/>
        </w:rPr>
        <w:t xml:space="preserve"> (1974) 10</w:t>
      </w:r>
      <w:r w:rsidR="00773D1C" w:rsidRPr="008C580C">
        <w:rPr>
          <w:color w:val="000000" w:themeColor="text1"/>
          <w:szCs w:val="26"/>
        </w:rPr>
        <w:t> </w:t>
      </w:r>
      <w:r w:rsidR="004D216B" w:rsidRPr="008C580C">
        <w:rPr>
          <w:color w:val="000000" w:themeColor="text1"/>
          <w:szCs w:val="26"/>
        </w:rPr>
        <w:t>Cal.3d 812, 817</w:t>
      </w:r>
      <w:r w:rsidR="00EA3DB4">
        <w:rPr>
          <w:color w:val="000000" w:themeColor="text1"/>
          <w:szCs w:val="26"/>
        </w:rPr>
        <w:t>–</w:t>
      </w:r>
      <w:r w:rsidR="00A9548E" w:rsidRPr="008C580C">
        <w:rPr>
          <w:color w:val="000000" w:themeColor="text1"/>
          <w:szCs w:val="26"/>
        </w:rPr>
        <w:t>818</w:t>
      </w:r>
      <w:r w:rsidR="00A9228E">
        <w:rPr>
          <w:color w:val="000000" w:themeColor="text1"/>
          <w:szCs w:val="26"/>
        </w:rPr>
        <w:t xml:space="preserve"> </w:t>
      </w:r>
      <w:r w:rsidR="00A9228E" w:rsidRPr="008C580C">
        <w:rPr>
          <w:color w:val="000000" w:themeColor="text1"/>
          <w:szCs w:val="26"/>
        </w:rPr>
        <w:t>(</w:t>
      </w:r>
      <w:r w:rsidR="00A9228E" w:rsidRPr="008C580C">
        <w:rPr>
          <w:i/>
          <w:color w:val="000000" w:themeColor="text1"/>
          <w:szCs w:val="26"/>
        </w:rPr>
        <w:t>Hill</w:t>
      </w:r>
      <w:r w:rsidR="00A9228E" w:rsidRPr="008C580C">
        <w:rPr>
          <w:color w:val="000000" w:themeColor="text1"/>
          <w:szCs w:val="26"/>
        </w:rPr>
        <w:t>)</w:t>
      </w:r>
      <w:r w:rsidR="00B867DF">
        <w:rPr>
          <w:color w:val="000000" w:themeColor="text1"/>
          <w:szCs w:val="26"/>
        </w:rPr>
        <w:t xml:space="preserve"> </w:t>
      </w:r>
      <w:r w:rsidR="00E401A2" w:rsidRPr="008C580C">
        <w:rPr>
          <w:color w:val="000000" w:themeColor="text1"/>
          <w:szCs w:val="26"/>
        </w:rPr>
        <w:t>[discovery context]</w:t>
      </w:r>
      <w:r w:rsidR="004D216B" w:rsidRPr="008C580C">
        <w:rPr>
          <w:color w:val="000000" w:themeColor="text1"/>
          <w:szCs w:val="26"/>
        </w:rPr>
        <w:t>;</w:t>
      </w:r>
      <w:r w:rsidR="00D31457" w:rsidRPr="008C580C">
        <w:rPr>
          <w:color w:val="000000" w:themeColor="text1"/>
          <w:szCs w:val="26"/>
        </w:rPr>
        <w:t xml:space="preserve"> </w:t>
      </w:r>
      <w:r w:rsidR="00D31457" w:rsidRPr="008C580C">
        <w:rPr>
          <w:i/>
          <w:iCs/>
          <w:color w:val="000000" w:themeColor="text1"/>
          <w:szCs w:val="26"/>
        </w:rPr>
        <w:t>Joe Z. v. Superior Court</w:t>
      </w:r>
      <w:r w:rsidR="00D31457" w:rsidRPr="008C580C">
        <w:rPr>
          <w:color w:val="000000" w:themeColor="text1"/>
          <w:szCs w:val="26"/>
        </w:rPr>
        <w:t xml:space="preserve"> </w:t>
      </w:r>
      <w:r w:rsidR="00103E46" w:rsidRPr="008C580C">
        <w:rPr>
          <w:color w:val="000000" w:themeColor="text1"/>
          <w:szCs w:val="26"/>
        </w:rPr>
        <w:t>(19</w:t>
      </w:r>
      <w:r w:rsidR="009B1288" w:rsidRPr="008C580C">
        <w:rPr>
          <w:color w:val="000000" w:themeColor="text1"/>
          <w:szCs w:val="26"/>
        </w:rPr>
        <w:t>70</w:t>
      </w:r>
      <w:r w:rsidR="00103E46" w:rsidRPr="008C580C">
        <w:rPr>
          <w:color w:val="000000" w:themeColor="text1"/>
          <w:szCs w:val="26"/>
        </w:rPr>
        <w:t xml:space="preserve">) 3 Cal.3d </w:t>
      </w:r>
      <w:r w:rsidR="009B1288" w:rsidRPr="008C580C">
        <w:rPr>
          <w:color w:val="000000" w:themeColor="text1"/>
          <w:szCs w:val="26"/>
        </w:rPr>
        <w:t>797</w:t>
      </w:r>
      <w:r w:rsidR="00103E46" w:rsidRPr="008C580C">
        <w:rPr>
          <w:color w:val="000000" w:themeColor="text1"/>
          <w:szCs w:val="26"/>
        </w:rPr>
        <w:t>, 804</w:t>
      </w:r>
      <w:r w:rsidR="00D12ED5" w:rsidRPr="008C580C">
        <w:rPr>
          <w:color w:val="000000" w:themeColor="text1"/>
          <w:szCs w:val="26"/>
        </w:rPr>
        <w:t xml:space="preserve"> </w:t>
      </w:r>
      <w:r w:rsidR="00E94071">
        <w:rPr>
          <w:color w:val="000000" w:themeColor="text1"/>
          <w:szCs w:val="26"/>
        </w:rPr>
        <w:t>(</w:t>
      </w:r>
      <w:r w:rsidR="00E94071" w:rsidRPr="00E00BA1">
        <w:rPr>
          <w:i/>
          <w:iCs/>
          <w:color w:val="000000" w:themeColor="text1"/>
          <w:szCs w:val="26"/>
        </w:rPr>
        <w:t>Joe Z</w:t>
      </w:r>
      <w:r w:rsidR="00E94071">
        <w:rPr>
          <w:i/>
          <w:iCs/>
          <w:color w:val="000000" w:themeColor="text1"/>
          <w:szCs w:val="26"/>
        </w:rPr>
        <w:t>.</w:t>
      </w:r>
      <w:r w:rsidR="00E94071" w:rsidRPr="004B4421">
        <w:rPr>
          <w:color w:val="000000" w:themeColor="text1"/>
          <w:szCs w:val="26"/>
        </w:rPr>
        <w:t>)</w:t>
      </w:r>
      <w:r w:rsidR="00E94071" w:rsidRPr="008C580C">
        <w:rPr>
          <w:color w:val="000000" w:themeColor="text1"/>
          <w:szCs w:val="26"/>
        </w:rPr>
        <w:t xml:space="preserve"> </w:t>
      </w:r>
      <w:r w:rsidR="00D12ED5" w:rsidRPr="008C580C">
        <w:rPr>
          <w:color w:val="000000" w:themeColor="text1"/>
          <w:szCs w:val="26"/>
        </w:rPr>
        <w:t>[discovery context]</w:t>
      </w:r>
      <w:r w:rsidR="00103E46" w:rsidRPr="008C580C">
        <w:rPr>
          <w:color w:val="000000" w:themeColor="text1"/>
          <w:szCs w:val="26"/>
        </w:rPr>
        <w:t>;</w:t>
      </w:r>
      <w:r w:rsidR="00365E81" w:rsidRPr="008C580C">
        <w:rPr>
          <w:color w:val="000000" w:themeColor="text1"/>
          <w:szCs w:val="26"/>
        </w:rPr>
        <w:t xml:space="preserve"> </w:t>
      </w:r>
      <w:r w:rsidR="00A13827" w:rsidRPr="008C580C">
        <w:rPr>
          <w:i/>
          <w:color w:val="000000" w:themeColor="text1"/>
          <w:szCs w:val="26"/>
        </w:rPr>
        <w:t>Ballard</w:t>
      </w:r>
      <w:r w:rsidR="00B8747E" w:rsidRPr="008C580C">
        <w:rPr>
          <w:i/>
          <w:color w:val="000000" w:themeColor="text1"/>
          <w:szCs w:val="26"/>
        </w:rPr>
        <w:t xml:space="preserve"> v. S</w:t>
      </w:r>
      <w:r w:rsidR="00267970" w:rsidRPr="008C580C">
        <w:rPr>
          <w:i/>
          <w:color w:val="000000" w:themeColor="text1"/>
          <w:szCs w:val="26"/>
        </w:rPr>
        <w:t xml:space="preserve">uperior Court </w:t>
      </w:r>
      <w:r w:rsidR="00267970" w:rsidRPr="008C580C">
        <w:rPr>
          <w:iCs/>
          <w:color w:val="000000" w:themeColor="text1"/>
          <w:szCs w:val="26"/>
        </w:rPr>
        <w:t xml:space="preserve">(1966) </w:t>
      </w:r>
      <w:r w:rsidR="00A13827" w:rsidRPr="008C580C">
        <w:rPr>
          <w:color w:val="000000" w:themeColor="text1"/>
          <w:szCs w:val="26"/>
        </w:rPr>
        <w:t>64 Cal.2d 159</w:t>
      </w:r>
      <w:r w:rsidR="008A2450" w:rsidRPr="008C580C">
        <w:rPr>
          <w:color w:val="000000" w:themeColor="text1"/>
          <w:szCs w:val="26"/>
        </w:rPr>
        <w:t>, 167</w:t>
      </w:r>
      <w:r w:rsidR="006221F6">
        <w:rPr>
          <w:color w:val="000000" w:themeColor="text1"/>
          <w:szCs w:val="26"/>
        </w:rPr>
        <w:t> </w:t>
      </w:r>
      <w:r w:rsidR="00FC5BD0" w:rsidRPr="008C580C">
        <w:rPr>
          <w:color w:val="000000" w:themeColor="text1"/>
          <w:szCs w:val="26"/>
        </w:rPr>
        <w:t>(</w:t>
      </w:r>
      <w:r w:rsidR="00FC5BD0" w:rsidRPr="008C580C">
        <w:rPr>
          <w:i/>
          <w:iCs/>
          <w:color w:val="000000" w:themeColor="text1"/>
          <w:szCs w:val="26"/>
        </w:rPr>
        <w:t>Ballard</w:t>
      </w:r>
      <w:r w:rsidR="00FC5BD0" w:rsidRPr="008C580C">
        <w:rPr>
          <w:color w:val="000000" w:themeColor="text1"/>
          <w:szCs w:val="26"/>
        </w:rPr>
        <w:t xml:space="preserve">) </w:t>
      </w:r>
      <w:r w:rsidR="00267970" w:rsidRPr="008C580C">
        <w:rPr>
          <w:color w:val="000000" w:themeColor="text1"/>
          <w:szCs w:val="26"/>
        </w:rPr>
        <w:t>[discovery context]</w:t>
      </w:r>
      <w:r w:rsidR="002400F4" w:rsidRPr="008C580C">
        <w:rPr>
          <w:color w:val="000000" w:themeColor="text1"/>
          <w:szCs w:val="26"/>
        </w:rPr>
        <w:t xml:space="preserve">; </w:t>
      </w:r>
      <w:r w:rsidR="004D063B" w:rsidRPr="008C580C">
        <w:rPr>
          <w:color w:val="000000" w:themeColor="text1"/>
          <w:szCs w:val="26"/>
        </w:rPr>
        <w:t xml:space="preserve">see also, e.g., </w:t>
      </w:r>
      <w:r w:rsidR="00535D2F" w:rsidRPr="008C580C">
        <w:rPr>
          <w:i/>
          <w:iCs/>
          <w:color w:val="000000" w:themeColor="text1"/>
        </w:rPr>
        <w:t>Facebook (Hunter</w:t>
      </w:r>
      <w:r w:rsidR="00775F93">
        <w:rPr>
          <w:i/>
          <w:iCs/>
          <w:color w:val="000000" w:themeColor="text1"/>
        </w:rPr>
        <w:t>)</w:t>
      </w:r>
      <w:r w:rsidR="003C0910">
        <w:rPr>
          <w:i/>
          <w:iCs/>
          <w:color w:val="000000" w:themeColor="text1"/>
        </w:rPr>
        <w:t> </w:t>
      </w:r>
      <w:r w:rsidR="00535D2F" w:rsidRPr="008C580C">
        <w:rPr>
          <w:i/>
          <w:iCs/>
          <w:color w:val="000000" w:themeColor="text1"/>
        </w:rPr>
        <w:t>II, supra,</w:t>
      </w:r>
      <w:r w:rsidR="00535D2F" w:rsidRPr="008C580C">
        <w:rPr>
          <w:color w:val="000000" w:themeColor="text1"/>
        </w:rPr>
        <w:t xml:space="preserve"> </w:t>
      </w:r>
      <w:r w:rsidR="00535D2F" w:rsidRPr="008C580C">
        <w:rPr>
          <w:color w:val="000000" w:themeColor="text1"/>
          <w:szCs w:val="26"/>
        </w:rPr>
        <w:t>46</w:t>
      </w:r>
      <w:r w:rsidR="00773D1C" w:rsidRPr="008C580C">
        <w:rPr>
          <w:color w:val="000000" w:themeColor="text1"/>
          <w:szCs w:val="26"/>
        </w:rPr>
        <w:t> </w:t>
      </w:r>
      <w:r w:rsidR="00535D2F" w:rsidRPr="008C580C">
        <w:rPr>
          <w:color w:val="000000" w:themeColor="text1"/>
          <w:szCs w:val="26"/>
        </w:rPr>
        <w:t xml:space="preserve">Cal.App.5th at </w:t>
      </w:r>
      <w:r w:rsidR="00085249" w:rsidRPr="008C580C">
        <w:rPr>
          <w:color w:val="000000" w:themeColor="text1"/>
          <w:szCs w:val="26"/>
        </w:rPr>
        <w:t>p. 119</w:t>
      </w:r>
      <w:r w:rsidR="00E85712">
        <w:rPr>
          <w:color w:val="000000" w:themeColor="text1"/>
          <w:szCs w:val="26"/>
        </w:rPr>
        <w:t>, rev. granted</w:t>
      </w:r>
      <w:r w:rsidR="00085249" w:rsidRPr="008C580C">
        <w:rPr>
          <w:color w:val="000000" w:themeColor="text1"/>
          <w:szCs w:val="26"/>
        </w:rPr>
        <w:t xml:space="preserve">; </w:t>
      </w:r>
      <w:r w:rsidR="00EF21D5" w:rsidRPr="008C580C">
        <w:rPr>
          <w:i/>
          <w:color w:val="000000" w:themeColor="text1"/>
          <w:szCs w:val="26"/>
        </w:rPr>
        <w:t xml:space="preserve">Alhambra, supra, </w:t>
      </w:r>
      <w:r w:rsidR="00EF21D5" w:rsidRPr="008C580C">
        <w:rPr>
          <w:color w:val="000000" w:themeColor="text1"/>
          <w:szCs w:val="26"/>
        </w:rPr>
        <w:t>205</w:t>
      </w:r>
      <w:r w:rsidR="009B7A50" w:rsidRPr="008C580C">
        <w:rPr>
          <w:color w:val="000000" w:themeColor="text1"/>
          <w:szCs w:val="26"/>
        </w:rPr>
        <w:t xml:space="preserve"> </w:t>
      </w:r>
      <w:r w:rsidR="00EF21D5" w:rsidRPr="008C580C">
        <w:rPr>
          <w:color w:val="000000" w:themeColor="text1"/>
          <w:szCs w:val="26"/>
        </w:rPr>
        <w:t>Cal.App.3d at p</w:t>
      </w:r>
      <w:r w:rsidR="00A80D1A" w:rsidRPr="008C580C">
        <w:rPr>
          <w:color w:val="000000" w:themeColor="text1"/>
          <w:szCs w:val="26"/>
        </w:rPr>
        <w:t>p.</w:t>
      </w:r>
      <w:r w:rsidR="00773D1C" w:rsidRPr="008C580C">
        <w:rPr>
          <w:color w:val="000000" w:themeColor="text1"/>
          <w:szCs w:val="26"/>
        </w:rPr>
        <w:t> </w:t>
      </w:r>
      <w:r w:rsidR="00A80D1A" w:rsidRPr="008C580C">
        <w:rPr>
          <w:color w:val="000000" w:themeColor="text1"/>
          <w:szCs w:val="26"/>
        </w:rPr>
        <w:t>1</w:t>
      </w:r>
      <w:r w:rsidR="00B56B67" w:rsidRPr="008C580C">
        <w:rPr>
          <w:color w:val="000000" w:themeColor="text1"/>
          <w:szCs w:val="26"/>
        </w:rPr>
        <w:t>124, 1128, 1131</w:t>
      </w:r>
      <w:r w:rsidR="00EA3DB4">
        <w:rPr>
          <w:color w:val="000000" w:themeColor="text1"/>
          <w:szCs w:val="26"/>
        </w:rPr>
        <w:t>–</w:t>
      </w:r>
      <w:r w:rsidR="00B56B67" w:rsidRPr="008C580C">
        <w:rPr>
          <w:color w:val="000000" w:themeColor="text1"/>
          <w:szCs w:val="26"/>
        </w:rPr>
        <w:t>1136</w:t>
      </w:r>
      <w:r w:rsidR="00C96BDD" w:rsidRPr="008C580C">
        <w:rPr>
          <w:color w:val="000000" w:themeColor="text1"/>
          <w:szCs w:val="26"/>
        </w:rPr>
        <w:t xml:space="preserve"> </w:t>
      </w:r>
      <w:r w:rsidR="00EF21D5" w:rsidRPr="008C580C">
        <w:rPr>
          <w:color w:val="000000" w:themeColor="text1"/>
          <w:szCs w:val="26"/>
        </w:rPr>
        <w:t>[discovery context]</w:t>
      </w:r>
      <w:r w:rsidR="008E3FB9" w:rsidRPr="008C580C">
        <w:rPr>
          <w:color w:val="000000" w:themeColor="text1"/>
          <w:szCs w:val="26"/>
        </w:rPr>
        <w:t xml:space="preserve">; </w:t>
      </w:r>
      <w:proofErr w:type="spellStart"/>
      <w:r w:rsidR="006D3692" w:rsidRPr="008C580C">
        <w:rPr>
          <w:i/>
          <w:iCs/>
          <w:color w:val="000000" w:themeColor="text1"/>
          <w:szCs w:val="26"/>
        </w:rPr>
        <w:t>Lemelle</w:t>
      </w:r>
      <w:proofErr w:type="spellEnd"/>
      <w:r w:rsidR="006D3692" w:rsidRPr="008C580C">
        <w:rPr>
          <w:i/>
          <w:iCs/>
          <w:color w:val="000000" w:themeColor="text1"/>
          <w:szCs w:val="26"/>
        </w:rPr>
        <w:t xml:space="preserve"> v. Superior Court</w:t>
      </w:r>
      <w:r w:rsidR="006D3692" w:rsidRPr="008C580C">
        <w:rPr>
          <w:color w:val="000000" w:themeColor="text1"/>
          <w:szCs w:val="26"/>
        </w:rPr>
        <w:t xml:space="preserve"> (1978) 77</w:t>
      </w:r>
      <w:r w:rsidR="006221F6">
        <w:rPr>
          <w:color w:val="000000" w:themeColor="text1"/>
          <w:szCs w:val="26"/>
        </w:rPr>
        <w:t> </w:t>
      </w:r>
      <w:r w:rsidR="006D3692" w:rsidRPr="008C580C">
        <w:rPr>
          <w:color w:val="000000" w:themeColor="text1"/>
          <w:szCs w:val="26"/>
        </w:rPr>
        <w:t>Cal.App.3d 148, 162</w:t>
      </w:r>
      <w:r w:rsidR="00EA3DB4">
        <w:rPr>
          <w:color w:val="000000" w:themeColor="text1"/>
          <w:szCs w:val="26"/>
        </w:rPr>
        <w:t>–</w:t>
      </w:r>
      <w:r w:rsidR="006D3692" w:rsidRPr="008C580C">
        <w:rPr>
          <w:color w:val="000000" w:themeColor="text1"/>
          <w:szCs w:val="26"/>
        </w:rPr>
        <w:t>164</w:t>
      </w:r>
      <w:r w:rsidR="008E3FB9" w:rsidRPr="008C580C">
        <w:rPr>
          <w:color w:val="000000" w:themeColor="text1"/>
          <w:szCs w:val="26"/>
        </w:rPr>
        <w:t xml:space="preserve"> </w:t>
      </w:r>
      <w:r w:rsidR="00887A3E" w:rsidRPr="008C580C">
        <w:rPr>
          <w:color w:val="000000" w:themeColor="text1"/>
          <w:szCs w:val="26"/>
        </w:rPr>
        <w:t>(</w:t>
      </w:r>
      <w:proofErr w:type="spellStart"/>
      <w:r w:rsidR="00887A3E" w:rsidRPr="008C580C">
        <w:rPr>
          <w:i/>
          <w:iCs/>
          <w:color w:val="000000" w:themeColor="text1"/>
          <w:szCs w:val="26"/>
        </w:rPr>
        <w:t>Lemelle</w:t>
      </w:r>
      <w:proofErr w:type="spellEnd"/>
      <w:r w:rsidR="00887A3E" w:rsidRPr="008C580C">
        <w:rPr>
          <w:color w:val="000000" w:themeColor="text1"/>
          <w:szCs w:val="26"/>
        </w:rPr>
        <w:t xml:space="preserve">) </w:t>
      </w:r>
      <w:r w:rsidR="008E3FB9" w:rsidRPr="008C580C">
        <w:rPr>
          <w:color w:val="000000" w:themeColor="text1"/>
          <w:szCs w:val="26"/>
        </w:rPr>
        <w:t>[discovery context]</w:t>
      </w:r>
      <w:r w:rsidR="006D3692" w:rsidRPr="008C580C">
        <w:rPr>
          <w:color w:val="000000" w:themeColor="text1"/>
          <w:szCs w:val="26"/>
        </w:rPr>
        <w:t xml:space="preserve">; </w:t>
      </w:r>
      <w:r w:rsidR="00E2281F" w:rsidRPr="008C580C">
        <w:rPr>
          <w:i/>
          <w:color w:val="000000" w:themeColor="text1"/>
          <w:szCs w:val="26"/>
        </w:rPr>
        <w:t xml:space="preserve">Pacific Lighting Leasing Co. v. Superior Court </w:t>
      </w:r>
      <w:r w:rsidR="00E2281F" w:rsidRPr="008C580C">
        <w:rPr>
          <w:color w:val="000000" w:themeColor="text1"/>
          <w:szCs w:val="26"/>
        </w:rPr>
        <w:t>(1976) 60</w:t>
      </w:r>
      <w:r w:rsidR="006221F6">
        <w:rPr>
          <w:color w:val="000000" w:themeColor="text1"/>
          <w:szCs w:val="26"/>
        </w:rPr>
        <w:t> </w:t>
      </w:r>
      <w:r w:rsidR="00E2281F" w:rsidRPr="008C580C">
        <w:rPr>
          <w:color w:val="000000" w:themeColor="text1"/>
          <w:szCs w:val="26"/>
        </w:rPr>
        <w:t xml:space="preserve">Cal.App.3d 552, </w:t>
      </w:r>
      <w:r w:rsidR="00C67468" w:rsidRPr="008C580C">
        <w:rPr>
          <w:color w:val="000000" w:themeColor="text1"/>
          <w:szCs w:val="26"/>
        </w:rPr>
        <w:t>566</w:t>
      </w:r>
      <w:r w:rsidR="00EA3DB4">
        <w:rPr>
          <w:color w:val="000000" w:themeColor="text1"/>
          <w:szCs w:val="26"/>
        </w:rPr>
        <w:t>–</w:t>
      </w:r>
      <w:r w:rsidR="007A355E" w:rsidRPr="008C580C">
        <w:rPr>
          <w:color w:val="000000" w:themeColor="text1"/>
          <w:szCs w:val="26"/>
        </w:rPr>
        <w:t>567</w:t>
      </w:r>
      <w:r w:rsidR="00D923E4" w:rsidRPr="008C580C">
        <w:rPr>
          <w:color w:val="000000" w:themeColor="text1"/>
          <w:szCs w:val="26"/>
        </w:rPr>
        <w:t xml:space="preserve"> (</w:t>
      </w:r>
      <w:r w:rsidR="00D923E4" w:rsidRPr="008C580C">
        <w:rPr>
          <w:i/>
          <w:iCs/>
          <w:color w:val="000000" w:themeColor="text1"/>
          <w:szCs w:val="26"/>
        </w:rPr>
        <w:t>Pacific Lighting)</w:t>
      </w:r>
      <w:r w:rsidR="00D923E4" w:rsidRPr="008C580C">
        <w:rPr>
          <w:color w:val="000000" w:themeColor="text1"/>
          <w:szCs w:val="26"/>
        </w:rPr>
        <w:t>;</w:t>
      </w:r>
      <w:r w:rsidR="00CA0086" w:rsidRPr="008C580C">
        <w:rPr>
          <w:color w:val="000000" w:themeColor="text1"/>
          <w:szCs w:val="26"/>
        </w:rPr>
        <w:t xml:space="preserve"> </w:t>
      </w:r>
      <w:r w:rsidR="00365196" w:rsidRPr="008C580C">
        <w:rPr>
          <w:i/>
          <w:iCs/>
          <w:color w:val="000000" w:themeColor="text1"/>
          <w:szCs w:val="26"/>
        </w:rPr>
        <w:t>In re Valerie E</w:t>
      </w:r>
      <w:r w:rsidR="004D063B" w:rsidRPr="008C580C">
        <w:rPr>
          <w:color w:val="000000" w:themeColor="text1"/>
          <w:szCs w:val="26"/>
        </w:rPr>
        <w:t>. (19</w:t>
      </w:r>
      <w:r w:rsidR="003F1B00" w:rsidRPr="008C580C">
        <w:rPr>
          <w:color w:val="000000" w:themeColor="text1"/>
          <w:szCs w:val="26"/>
        </w:rPr>
        <w:t>75</w:t>
      </w:r>
      <w:r w:rsidR="004D063B" w:rsidRPr="008C580C">
        <w:rPr>
          <w:color w:val="000000" w:themeColor="text1"/>
          <w:szCs w:val="26"/>
        </w:rPr>
        <w:t xml:space="preserve">) 50 Cal.App.3d </w:t>
      </w:r>
      <w:r w:rsidR="003F1B00" w:rsidRPr="008C580C">
        <w:rPr>
          <w:color w:val="000000" w:themeColor="text1"/>
          <w:szCs w:val="26"/>
        </w:rPr>
        <w:t>213</w:t>
      </w:r>
      <w:r w:rsidR="004D063B" w:rsidRPr="008C580C">
        <w:rPr>
          <w:color w:val="000000" w:themeColor="text1"/>
          <w:szCs w:val="26"/>
        </w:rPr>
        <w:t>, 218</w:t>
      </w:r>
      <w:r w:rsidR="008E3FB9" w:rsidRPr="008C580C">
        <w:rPr>
          <w:color w:val="000000" w:themeColor="text1"/>
          <w:szCs w:val="26"/>
        </w:rPr>
        <w:t xml:space="preserve"> [discovery context]</w:t>
      </w:r>
      <w:r w:rsidR="00762ECB" w:rsidRPr="008C580C">
        <w:rPr>
          <w:color w:val="000000" w:themeColor="text1"/>
          <w:szCs w:val="26"/>
        </w:rPr>
        <w:t>)</w:t>
      </w:r>
      <w:r w:rsidR="002A35C8" w:rsidRPr="008C580C">
        <w:rPr>
          <w:color w:val="000000" w:themeColor="text1"/>
          <w:szCs w:val="26"/>
        </w:rPr>
        <w:t xml:space="preserve"> by presenting specific facts</w:t>
      </w:r>
      <w:r w:rsidR="00E269FA">
        <w:rPr>
          <w:color w:val="000000" w:themeColor="text1"/>
          <w:szCs w:val="26"/>
        </w:rPr>
        <w:t xml:space="preserve"> </w:t>
      </w:r>
      <w:r w:rsidR="002A35C8" w:rsidRPr="008C580C">
        <w:rPr>
          <w:color w:val="000000" w:themeColor="text1"/>
          <w:szCs w:val="26"/>
        </w:rPr>
        <w:t xml:space="preserve">demonstrating that the subpoenaed documents are admissible or </w:t>
      </w:r>
      <w:r w:rsidR="006A285D" w:rsidRPr="008C580C">
        <w:rPr>
          <w:color w:val="000000" w:themeColor="text1"/>
          <w:szCs w:val="26"/>
        </w:rPr>
        <w:t xml:space="preserve">might </w:t>
      </w:r>
      <w:r w:rsidR="002A35C8" w:rsidRPr="008C580C">
        <w:rPr>
          <w:color w:val="000000" w:themeColor="text1"/>
          <w:szCs w:val="26"/>
        </w:rPr>
        <w:t>lead to admissible evidence that will reasonably “</w:t>
      </w:r>
      <w:r w:rsidR="005E7290">
        <w:rPr>
          <w:color w:val="000000" w:themeColor="text1"/>
          <w:szCs w:val="26"/>
        </w:rPr>
        <w:t> </w:t>
      </w:r>
      <w:r w:rsidR="007C4A66">
        <w:rPr>
          <w:color w:val="000000" w:themeColor="text1"/>
          <w:szCs w:val="26"/>
        </w:rPr>
        <w:t>‘</w:t>
      </w:r>
      <w:r w:rsidR="002A35C8" w:rsidRPr="008C580C">
        <w:rPr>
          <w:color w:val="000000" w:themeColor="text1"/>
          <w:szCs w:val="26"/>
        </w:rPr>
        <w:t>assist [the defendant] in preparing his defense</w:t>
      </w:r>
      <w:r w:rsidR="007C4A66">
        <w:rPr>
          <w:color w:val="000000" w:themeColor="text1"/>
          <w:szCs w:val="26"/>
        </w:rPr>
        <w:t>’</w:t>
      </w:r>
      <w:r w:rsidR="005E7290">
        <w:rPr>
          <w:color w:val="000000" w:themeColor="text1"/>
          <w:szCs w:val="26"/>
        </w:rPr>
        <w:t> </w:t>
      </w:r>
      <w:r w:rsidR="002A35C8" w:rsidRPr="008C580C">
        <w:rPr>
          <w:color w:val="000000" w:themeColor="text1"/>
          <w:szCs w:val="26"/>
        </w:rPr>
        <w:t>”?  (</w:t>
      </w:r>
      <w:r w:rsidR="00E076D5" w:rsidRPr="008C580C">
        <w:rPr>
          <w:i/>
          <w:color w:val="000000" w:themeColor="text1"/>
        </w:rPr>
        <w:t xml:space="preserve">People v. Superior Court (Barrett) </w:t>
      </w:r>
      <w:r w:rsidR="00E076D5" w:rsidRPr="008C580C">
        <w:rPr>
          <w:color w:val="000000" w:themeColor="text1"/>
        </w:rPr>
        <w:t>(2000) 80 Cal.App.4th 1305</w:t>
      </w:r>
      <w:r w:rsidR="00E076D5" w:rsidRPr="008C580C">
        <w:rPr>
          <w:color w:val="000000" w:themeColor="text1"/>
          <w:szCs w:val="26"/>
        </w:rPr>
        <w:t xml:space="preserve">, </w:t>
      </w:r>
      <w:r w:rsidR="00E076D5">
        <w:rPr>
          <w:color w:val="000000" w:themeColor="text1"/>
          <w:szCs w:val="26"/>
        </w:rPr>
        <w:lastRenderedPageBreak/>
        <w:t>1318</w:t>
      </w:r>
      <w:r w:rsidR="00E076D5" w:rsidRPr="008C580C">
        <w:rPr>
          <w:color w:val="000000" w:themeColor="text1"/>
          <w:szCs w:val="26"/>
        </w:rPr>
        <w:t xml:space="preserve"> (</w:t>
      </w:r>
      <w:r w:rsidR="00E076D5" w:rsidRPr="008C580C">
        <w:rPr>
          <w:i/>
          <w:iCs/>
          <w:color w:val="000000" w:themeColor="text1"/>
          <w:szCs w:val="26"/>
        </w:rPr>
        <w:t>Barrett</w:t>
      </w:r>
      <w:r w:rsidR="00E076D5" w:rsidRPr="008C580C">
        <w:rPr>
          <w:color w:val="000000" w:themeColor="text1"/>
          <w:szCs w:val="26"/>
        </w:rPr>
        <w:t>)</w:t>
      </w:r>
      <w:r w:rsidR="002A35C8" w:rsidRPr="008C580C">
        <w:rPr>
          <w:color w:val="000000" w:themeColor="text1"/>
          <w:szCs w:val="26"/>
        </w:rPr>
        <w:t xml:space="preserve">; </w:t>
      </w:r>
      <w:r w:rsidR="002A35C8" w:rsidRPr="008C580C">
        <w:rPr>
          <w:i/>
          <w:color w:val="000000" w:themeColor="text1"/>
          <w:szCs w:val="26"/>
        </w:rPr>
        <w:t>Alhambra, supra</w:t>
      </w:r>
      <w:r w:rsidR="002A35C8" w:rsidRPr="008C580C">
        <w:rPr>
          <w:color w:val="000000" w:themeColor="text1"/>
          <w:szCs w:val="26"/>
        </w:rPr>
        <w:t>, 205 Cal.App.3d 1118, 1133</w:t>
      </w:r>
      <w:r w:rsidR="00EA3DB4">
        <w:rPr>
          <w:color w:val="000000" w:themeColor="text1"/>
          <w:szCs w:val="26"/>
        </w:rPr>
        <w:t>–</w:t>
      </w:r>
      <w:r w:rsidR="002A35C8" w:rsidRPr="008C580C">
        <w:rPr>
          <w:color w:val="000000" w:themeColor="text1"/>
          <w:szCs w:val="26"/>
        </w:rPr>
        <w:t>1134 [discovery context].)  Or does the subpoena amount to an impermissible “</w:t>
      </w:r>
      <w:r w:rsidR="00D558FE">
        <w:rPr>
          <w:color w:val="000000" w:themeColor="text1"/>
          <w:szCs w:val="26"/>
        </w:rPr>
        <w:t> </w:t>
      </w:r>
      <w:r w:rsidR="006A0C42">
        <w:rPr>
          <w:color w:val="000000" w:themeColor="text1"/>
          <w:szCs w:val="26"/>
        </w:rPr>
        <w:t>‘</w:t>
      </w:r>
      <w:r w:rsidR="002A35C8" w:rsidRPr="008C580C">
        <w:rPr>
          <w:color w:val="000000" w:themeColor="text1"/>
          <w:szCs w:val="26"/>
        </w:rPr>
        <w:t>fishing expedition</w:t>
      </w:r>
      <w:r w:rsidR="006A0C42">
        <w:rPr>
          <w:color w:val="000000" w:themeColor="text1"/>
          <w:szCs w:val="26"/>
        </w:rPr>
        <w:t>’</w:t>
      </w:r>
      <w:r w:rsidR="00D558FE">
        <w:rPr>
          <w:color w:val="000000" w:themeColor="text1"/>
          <w:szCs w:val="26"/>
        </w:rPr>
        <w:t> </w:t>
      </w:r>
      <w:r w:rsidR="002A35C8" w:rsidRPr="008C580C">
        <w:rPr>
          <w:color w:val="000000" w:themeColor="text1"/>
          <w:szCs w:val="26"/>
        </w:rPr>
        <w:t>”? (</w:t>
      </w:r>
      <w:r w:rsidR="002A35C8" w:rsidRPr="008C580C">
        <w:rPr>
          <w:i/>
          <w:color w:val="000000" w:themeColor="text1"/>
          <w:szCs w:val="26"/>
        </w:rPr>
        <w:t xml:space="preserve">Pitchess, supra, </w:t>
      </w:r>
      <w:r w:rsidR="002A35C8" w:rsidRPr="008C580C">
        <w:rPr>
          <w:color w:val="000000" w:themeColor="text1"/>
          <w:szCs w:val="26"/>
        </w:rPr>
        <w:t>11</w:t>
      </w:r>
      <w:r w:rsidR="00773D1C" w:rsidRPr="008C580C">
        <w:rPr>
          <w:color w:val="000000" w:themeColor="text1"/>
          <w:szCs w:val="26"/>
        </w:rPr>
        <w:t> </w:t>
      </w:r>
      <w:r w:rsidR="002A35C8" w:rsidRPr="008C580C">
        <w:rPr>
          <w:color w:val="000000" w:themeColor="text1"/>
          <w:szCs w:val="26"/>
        </w:rPr>
        <w:t xml:space="preserve">Cal.3d at p. 538; </w:t>
      </w:r>
      <w:r w:rsidR="002A35C8" w:rsidRPr="008C580C">
        <w:rPr>
          <w:i/>
          <w:color w:val="000000" w:themeColor="text1"/>
        </w:rPr>
        <w:t xml:space="preserve">Barrett, supra, </w:t>
      </w:r>
      <w:r w:rsidR="002A35C8" w:rsidRPr="008C580C">
        <w:rPr>
          <w:color w:val="000000" w:themeColor="text1"/>
        </w:rPr>
        <w:t>80 Cal.App.4th at p.</w:t>
      </w:r>
      <w:r w:rsidR="00773D1C" w:rsidRPr="008C580C">
        <w:rPr>
          <w:color w:val="000000" w:themeColor="text1"/>
        </w:rPr>
        <w:t> </w:t>
      </w:r>
      <w:r w:rsidR="002A35C8" w:rsidRPr="008C580C">
        <w:rPr>
          <w:color w:val="000000" w:themeColor="text1"/>
          <w:szCs w:val="26"/>
        </w:rPr>
        <w:t>1320, fn.</w:t>
      </w:r>
      <w:r w:rsidR="00773D1C" w:rsidRPr="008C580C">
        <w:rPr>
          <w:color w:val="000000" w:themeColor="text1"/>
          <w:szCs w:val="26"/>
        </w:rPr>
        <w:t> </w:t>
      </w:r>
      <w:r w:rsidR="002A35C8" w:rsidRPr="008C580C">
        <w:rPr>
          <w:color w:val="000000" w:themeColor="text1"/>
          <w:szCs w:val="26"/>
        </w:rPr>
        <w:t>7</w:t>
      </w:r>
      <w:r w:rsidR="002A35C8" w:rsidRPr="008C580C">
        <w:rPr>
          <w:color w:val="000000" w:themeColor="text1"/>
        </w:rPr>
        <w:t>.)</w:t>
      </w:r>
      <w:r w:rsidR="00251D1C" w:rsidRPr="008C580C">
        <w:rPr>
          <w:rStyle w:val="FootnoteReference"/>
          <w:color w:val="000000" w:themeColor="text1"/>
          <w:szCs w:val="26"/>
        </w:rPr>
        <w:footnoteReference w:id="7"/>
      </w:r>
      <w:r w:rsidR="002A35C8" w:rsidRPr="008C580C">
        <w:rPr>
          <w:color w:val="000000" w:themeColor="text1"/>
        </w:rPr>
        <w:t xml:space="preserve">  </w:t>
      </w:r>
    </w:p>
    <w:p w14:paraId="15B73EF6" w14:textId="3FEDC6AC" w:rsidR="002A35C8" w:rsidRPr="008C580C" w:rsidRDefault="0056768B" w:rsidP="00EA0331">
      <w:pPr>
        <w:ind w:firstLine="720"/>
        <w:rPr>
          <w:color w:val="000000" w:themeColor="text1"/>
          <w:szCs w:val="26"/>
        </w:rPr>
      </w:pPr>
      <w:r>
        <w:rPr>
          <w:color w:val="000000" w:themeColor="text1"/>
          <w:szCs w:val="26"/>
        </w:rPr>
        <w:t>(</w:t>
      </w:r>
      <w:r w:rsidR="002A35C8" w:rsidRPr="008C580C">
        <w:rPr>
          <w:color w:val="000000" w:themeColor="text1"/>
          <w:szCs w:val="26"/>
        </w:rPr>
        <w:t>2</w:t>
      </w:r>
      <w:r>
        <w:rPr>
          <w:color w:val="000000" w:themeColor="text1"/>
          <w:szCs w:val="26"/>
        </w:rPr>
        <w:t>)</w:t>
      </w:r>
      <w:r w:rsidR="005D4C66" w:rsidRPr="008C580C">
        <w:rPr>
          <w:color w:val="000000" w:themeColor="text1"/>
          <w:szCs w:val="26"/>
        </w:rPr>
        <w:t xml:space="preserve">  </w:t>
      </w:r>
      <w:r w:rsidR="002A35C8" w:rsidRPr="008C580C">
        <w:rPr>
          <w:color w:val="000000" w:themeColor="text1"/>
          <w:szCs w:val="26"/>
        </w:rPr>
        <w:t xml:space="preserve">Is the sought material </w:t>
      </w:r>
      <w:proofErr w:type="gramStart"/>
      <w:r w:rsidR="002A35C8" w:rsidRPr="008C580C">
        <w:rPr>
          <w:color w:val="000000" w:themeColor="text1"/>
          <w:szCs w:val="26"/>
        </w:rPr>
        <w:t>adequately described</w:t>
      </w:r>
      <w:proofErr w:type="gramEnd"/>
      <w:r w:rsidR="002A35C8" w:rsidRPr="008C580C">
        <w:rPr>
          <w:color w:val="000000" w:themeColor="text1"/>
          <w:szCs w:val="26"/>
        </w:rPr>
        <w:t xml:space="preserve"> and not overly broad?  (</w:t>
      </w:r>
      <w:r w:rsidR="002A35C8" w:rsidRPr="008C580C">
        <w:rPr>
          <w:i/>
          <w:color w:val="000000" w:themeColor="text1"/>
          <w:szCs w:val="26"/>
        </w:rPr>
        <w:t>People v. Serrata</w:t>
      </w:r>
      <w:r w:rsidR="002A35C8" w:rsidRPr="008C580C">
        <w:rPr>
          <w:color w:val="000000" w:themeColor="text1"/>
          <w:szCs w:val="26"/>
        </w:rPr>
        <w:t xml:space="preserve"> (1976) 62 Cal.App.3d 9, 15</w:t>
      </w:r>
      <w:r w:rsidR="006221F6">
        <w:rPr>
          <w:color w:val="000000" w:themeColor="text1"/>
          <w:szCs w:val="26"/>
        </w:rPr>
        <w:t> </w:t>
      </w:r>
      <w:r w:rsidR="002A35C8" w:rsidRPr="008C580C">
        <w:rPr>
          <w:color w:val="000000" w:themeColor="text1"/>
          <w:szCs w:val="26"/>
        </w:rPr>
        <w:t>(</w:t>
      </w:r>
      <w:r w:rsidR="002A35C8" w:rsidRPr="008C580C">
        <w:rPr>
          <w:i/>
          <w:color w:val="000000" w:themeColor="text1"/>
          <w:szCs w:val="26"/>
        </w:rPr>
        <w:t>Serrata</w:t>
      </w:r>
      <w:r w:rsidR="002A35C8" w:rsidRPr="008C580C">
        <w:rPr>
          <w:color w:val="000000" w:themeColor="text1"/>
          <w:szCs w:val="26"/>
        </w:rPr>
        <w:t xml:space="preserve">); </w:t>
      </w:r>
      <w:r w:rsidR="002A35C8" w:rsidRPr="008C580C">
        <w:rPr>
          <w:i/>
          <w:color w:val="000000" w:themeColor="text1"/>
          <w:szCs w:val="26"/>
        </w:rPr>
        <w:t xml:space="preserve">Alhambra, supra, </w:t>
      </w:r>
      <w:r w:rsidR="00EB1BB1" w:rsidRPr="008C580C">
        <w:rPr>
          <w:color w:val="000000" w:themeColor="text1"/>
          <w:szCs w:val="26"/>
        </w:rPr>
        <w:t>205</w:t>
      </w:r>
      <w:r w:rsidR="0038223C">
        <w:rPr>
          <w:color w:val="000000" w:themeColor="text1"/>
          <w:szCs w:val="26"/>
        </w:rPr>
        <w:t xml:space="preserve"> </w:t>
      </w:r>
      <w:r w:rsidR="002A35C8" w:rsidRPr="008C580C">
        <w:rPr>
          <w:color w:val="000000" w:themeColor="text1"/>
          <w:szCs w:val="26"/>
        </w:rPr>
        <w:t xml:space="preserve">Cal.App.3d at p. 1134 &amp; </w:t>
      </w:r>
      <w:r w:rsidR="002A35C8" w:rsidRPr="008C580C">
        <w:rPr>
          <w:color w:val="000000" w:themeColor="text1"/>
          <w:szCs w:val="26"/>
        </w:rPr>
        <w:lastRenderedPageBreak/>
        <w:t>fn.</w:t>
      </w:r>
      <w:r w:rsidR="006221F6">
        <w:rPr>
          <w:color w:val="000000" w:themeColor="text1"/>
          <w:szCs w:val="26"/>
        </w:rPr>
        <w:t> </w:t>
      </w:r>
      <w:r w:rsidR="002A35C8" w:rsidRPr="008C580C">
        <w:rPr>
          <w:color w:val="000000" w:themeColor="text1"/>
          <w:szCs w:val="26"/>
        </w:rPr>
        <w:t xml:space="preserve">16 [discovery context]; see also </w:t>
      </w:r>
      <w:proofErr w:type="spellStart"/>
      <w:r w:rsidR="002A35C8" w:rsidRPr="008C580C">
        <w:rPr>
          <w:i/>
          <w:color w:val="000000" w:themeColor="text1"/>
          <w:szCs w:val="26"/>
        </w:rPr>
        <w:t>Lemelle</w:t>
      </w:r>
      <w:proofErr w:type="spellEnd"/>
      <w:r w:rsidR="00B75C1B" w:rsidRPr="008C580C">
        <w:rPr>
          <w:i/>
          <w:color w:val="000000" w:themeColor="text1"/>
          <w:szCs w:val="26"/>
        </w:rPr>
        <w:t xml:space="preserve">, supra, </w:t>
      </w:r>
      <w:r w:rsidR="002A35C8" w:rsidRPr="008C580C">
        <w:rPr>
          <w:color w:val="000000" w:themeColor="text1"/>
          <w:szCs w:val="26"/>
        </w:rPr>
        <w:t xml:space="preserve">77 Cal.App.3d 148, 165, and cases cited [discovery context].)  </w:t>
      </w:r>
    </w:p>
    <w:p w14:paraId="31F7333E" w14:textId="2BE22AC4" w:rsidR="002A35C8" w:rsidRPr="008C580C" w:rsidRDefault="002A35C8" w:rsidP="00EA0331">
      <w:pPr>
        <w:shd w:val="clear" w:color="auto" w:fill="FFFFFF"/>
        <w:rPr>
          <w:color w:val="000000" w:themeColor="text1"/>
          <w:szCs w:val="26"/>
        </w:rPr>
      </w:pPr>
      <w:r w:rsidRPr="008C580C">
        <w:rPr>
          <w:color w:val="000000" w:themeColor="text1"/>
          <w:szCs w:val="26"/>
        </w:rPr>
        <w:tab/>
      </w:r>
      <w:r w:rsidR="001C1427">
        <w:rPr>
          <w:color w:val="000000" w:themeColor="text1"/>
          <w:szCs w:val="26"/>
        </w:rPr>
        <w:t>(</w:t>
      </w:r>
      <w:r w:rsidR="005D4C66" w:rsidRPr="008C580C">
        <w:rPr>
          <w:color w:val="000000" w:themeColor="text1"/>
          <w:szCs w:val="26"/>
        </w:rPr>
        <w:t>3</w:t>
      </w:r>
      <w:r w:rsidR="001C1427">
        <w:rPr>
          <w:color w:val="000000" w:themeColor="text1"/>
          <w:szCs w:val="26"/>
        </w:rPr>
        <w:t>)</w:t>
      </w:r>
      <w:r w:rsidR="005D4C66" w:rsidRPr="008C580C">
        <w:rPr>
          <w:color w:val="000000" w:themeColor="text1"/>
          <w:szCs w:val="26"/>
        </w:rPr>
        <w:t xml:space="preserve">  </w:t>
      </w:r>
      <w:r w:rsidRPr="008C580C">
        <w:rPr>
          <w:color w:val="000000" w:themeColor="text1"/>
          <w:szCs w:val="26"/>
        </w:rPr>
        <w:t xml:space="preserve">Is the material “reasonably available to </w:t>
      </w:r>
      <w:proofErr w:type="spellStart"/>
      <w:r w:rsidRPr="008C580C">
        <w:rPr>
          <w:color w:val="000000" w:themeColor="text1"/>
          <w:szCs w:val="26"/>
        </w:rPr>
        <w:t>the</w:t>
      </w:r>
      <w:proofErr w:type="spellEnd"/>
      <w:r w:rsidRPr="008C580C">
        <w:rPr>
          <w:color w:val="000000" w:themeColor="text1"/>
          <w:szCs w:val="26"/>
        </w:rPr>
        <w:t xml:space="preserve"> . . . entity from which it is sought (and </w:t>
      </w:r>
      <w:r w:rsidRPr="008C580C">
        <w:rPr>
          <w:i/>
          <w:color w:val="000000" w:themeColor="text1"/>
          <w:szCs w:val="26"/>
        </w:rPr>
        <w:t>not</w:t>
      </w:r>
      <w:r w:rsidRPr="008C580C">
        <w:rPr>
          <w:color w:val="000000" w:themeColor="text1"/>
          <w:szCs w:val="26"/>
        </w:rPr>
        <w:t xml:space="preserve"> readily available to the defendant from other sources)”? (</w:t>
      </w:r>
      <w:r w:rsidRPr="008C580C">
        <w:rPr>
          <w:i/>
          <w:color w:val="000000" w:themeColor="text1"/>
          <w:szCs w:val="26"/>
        </w:rPr>
        <w:t xml:space="preserve">Alhambra, </w:t>
      </w:r>
      <w:r w:rsidRPr="00D74521">
        <w:rPr>
          <w:i/>
          <w:color w:val="000000" w:themeColor="text1"/>
          <w:szCs w:val="26"/>
        </w:rPr>
        <w:t xml:space="preserve">supra, </w:t>
      </w:r>
      <w:r w:rsidRPr="00D74521">
        <w:rPr>
          <w:color w:val="000000" w:themeColor="text1"/>
          <w:szCs w:val="26"/>
        </w:rPr>
        <w:t>205</w:t>
      </w:r>
      <w:r w:rsidR="006221F6">
        <w:rPr>
          <w:color w:val="000000" w:themeColor="text1"/>
          <w:szCs w:val="26"/>
        </w:rPr>
        <w:t> </w:t>
      </w:r>
      <w:r w:rsidRPr="008C580C">
        <w:rPr>
          <w:color w:val="000000" w:themeColor="text1"/>
          <w:szCs w:val="26"/>
        </w:rPr>
        <w:t>Cal.App.3d at p. 1134</w:t>
      </w:r>
      <w:r w:rsidR="00E913FD" w:rsidRPr="008C580C">
        <w:rPr>
          <w:color w:val="000000" w:themeColor="text1"/>
          <w:szCs w:val="26"/>
        </w:rPr>
        <w:t>, italics added</w:t>
      </w:r>
      <w:r w:rsidRPr="008C580C">
        <w:rPr>
          <w:color w:val="000000" w:themeColor="text1"/>
          <w:szCs w:val="26"/>
        </w:rPr>
        <w:t xml:space="preserve"> [discovery co</w:t>
      </w:r>
      <w:r w:rsidRPr="00532BAC">
        <w:rPr>
          <w:color w:val="000000" w:themeColor="text1"/>
          <w:szCs w:val="26"/>
        </w:rPr>
        <w:t>ntext]</w:t>
      </w:r>
      <w:r w:rsidRPr="001F7E2A">
        <w:rPr>
          <w:color w:val="000000" w:themeColor="text1"/>
          <w:szCs w:val="26"/>
        </w:rPr>
        <w:t xml:space="preserve">; </w:t>
      </w:r>
      <w:r w:rsidRPr="005E672D">
        <w:rPr>
          <w:color w:val="000000" w:themeColor="text1"/>
          <w:szCs w:val="26"/>
        </w:rPr>
        <w:t xml:space="preserve">see also </w:t>
      </w:r>
      <w:r w:rsidRPr="005E672D">
        <w:rPr>
          <w:i/>
          <w:color w:val="000000" w:themeColor="text1"/>
          <w:szCs w:val="26"/>
        </w:rPr>
        <w:t>Facebook (Hunter), supra</w:t>
      </w:r>
      <w:r w:rsidRPr="00532BAC">
        <w:rPr>
          <w:color w:val="000000" w:themeColor="text1"/>
          <w:szCs w:val="26"/>
        </w:rPr>
        <w:t xml:space="preserve">, 4 Cal.5th at </w:t>
      </w:r>
      <w:r w:rsidR="00985584" w:rsidRPr="00532BAC">
        <w:rPr>
          <w:color w:val="000000" w:themeColor="text1"/>
          <w:szCs w:val="26"/>
        </w:rPr>
        <w:t>p</w:t>
      </w:r>
      <w:r w:rsidRPr="00532BAC">
        <w:rPr>
          <w:color w:val="000000" w:themeColor="text1"/>
          <w:szCs w:val="26"/>
        </w:rPr>
        <w:t>.</w:t>
      </w:r>
      <w:r w:rsidR="004342E0" w:rsidRPr="00532BAC">
        <w:rPr>
          <w:color w:val="000000" w:themeColor="text1"/>
        </w:rPr>
        <w:t xml:space="preserve"> </w:t>
      </w:r>
      <w:r w:rsidRPr="00532BAC">
        <w:rPr>
          <w:color w:val="000000" w:themeColor="text1"/>
          <w:szCs w:val="26"/>
        </w:rPr>
        <w:t xml:space="preserve">1290 [noting </w:t>
      </w:r>
      <w:r w:rsidR="00A90FD7" w:rsidRPr="00532BAC">
        <w:rPr>
          <w:color w:val="000000" w:themeColor="text1"/>
          <w:szCs w:val="26"/>
        </w:rPr>
        <w:t>p</w:t>
      </w:r>
      <w:r w:rsidR="002E0844" w:rsidRPr="00532BAC">
        <w:rPr>
          <w:color w:val="000000" w:themeColor="text1"/>
          <w:szCs w:val="26"/>
        </w:rPr>
        <w:t xml:space="preserve">rospect </w:t>
      </w:r>
      <w:r w:rsidR="00A90FD7" w:rsidRPr="00532BAC">
        <w:rPr>
          <w:color w:val="000000" w:themeColor="text1"/>
          <w:szCs w:val="26"/>
        </w:rPr>
        <w:t xml:space="preserve">that </w:t>
      </w:r>
      <w:r w:rsidRPr="00532BAC">
        <w:rPr>
          <w:color w:val="000000" w:themeColor="text1"/>
          <w:szCs w:val="26"/>
        </w:rPr>
        <w:t>“the proponents can obtain the same information by other means”</w:t>
      </w:r>
      <w:r w:rsidR="007308B4">
        <w:rPr>
          <w:color w:val="000000" w:themeColor="text1"/>
          <w:szCs w:val="26"/>
        </w:rPr>
        <w:t xml:space="preserve">] and </w:t>
      </w:r>
      <w:r w:rsidR="007308B4" w:rsidRPr="004B4421">
        <w:rPr>
          <w:i/>
          <w:iCs/>
          <w:color w:val="000000" w:themeColor="text1"/>
          <w:szCs w:val="26"/>
        </w:rPr>
        <w:t>id.</w:t>
      </w:r>
      <w:r w:rsidR="007308B4">
        <w:rPr>
          <w:color w:val="000000" w:themeColor="text1"/>
          <w:szCs w:val="26"/>
        </w:rPr>
        <w:t xml:space="preserve">, at p. </w:t>
      </w:r>
      <w:r w:rsidR="007308B4" w:rsidRPr="00532BAC">
        <w:rPr>
          <w:color w:val="000000" w:themeColor="text1"/>
          <w:szCs w:val="26"/>
        </w:rPr>
        <w:t>1291</w:t>
      </w:r>
      <w:r w:rsidR="00FA2202" w:rsidRPr="00532BAC">
        <w:rPr>
          <w:color w:val="000000" w:themeColor="text1"/>
          <w:szCs w:val="26"/>
        </w:rPr>
        <w:t xml:space="preserve"> </w:t>
      </w:r>
      <w:r w:rsidR="007308B4">
        <w:rPr>
          <w:color w:val="000000" w:themeColor="text1"/>
          <w:szCs w:val="26"/>
        </w:rPr>
        <w:t>[</w:t>
      </w:r>
      <w:r w:rsidR="002111B1" w:rsidRPr="00532BAC">
        <w:rPr>
          <w:color w:val="000000" w:themeColor="text1"/>
          <w:szCs w:val="26"/>
        </w:rPr>
        <w:t>s</w:t>
      </w:r>
      <w:r w:rsidR="00B96FA0" w:rsidRPr="00532BAC">
        <w:rPr>
          <w:color w:val="000000" w:themeColor="text1"/>
          <w:szCs w:val="26"/>
        </w:rPr>
        <w:t xml:space="preserve">uggesting </w:t>
      </w:r>
      <w:r w:rsidR="000300DB" w:rsidRPr="00532BAC">
        <w:rPr>
          <w:color w:val="000000" w:themeColor="text1"/>
          <w:szCs w:val="26"/>
        </w:rPr>
        <w:t xml:space="preserve">that </w:t>
      </w:r>
      <w:r w:rsidR="00B96FA0" w:rsidRPr="00532BAC">
        <w:rPr>
          <w:color w:val="000000" w:themeColor="text1"/>
          <w:szCs w:val="26"/>
        </w:rPr>
        <w:t xml:space="preserve">the trial court </w:t>
      </w:r>
      <w:r w:rsidR="00443D4F" w:rsidRPr="00532BAC">
        <w:rPr>
          <w:color w:val="000000" w:themeColor="text1"/>
          <w:szCs w:val="26"/>
        </w:rPr>
        <w:t xml:space="preserve">on remand </w:t>
      </w:r>
      <w:r w:rsidR="00B96FA0" w:rsidRPr="00532BAC">
        <w:rPr>
          <w:color w:val="000000" w:themeColor="text1"/>
          <w:szCs w:val="26"/>
        </w:rPr>
        <w:t xml:space="preserve">consider </w:t>
      </w:r>
      <w:r w:rsidR="003C3196" w:rsidRPr="00532BAC">
        <w:rPr>
          <w:color w:val="000000" w:themeColor="text1"/>
          <w:szCs w:val="26"/>
        </w:rPr>
        <w:t xml:space="preserve">alternative </w:t>
      </w:r>
      <w:r w:rsidR="00B96FA0" w:rsidRPr="00532BAC">
        <w:rPr>
          <w:color w:val="000000" w:themeColor="text1"/>
          <w:szCs w:val="26"/>
        </w:rPr>
        <w:t>m</w:t>
      </w:r>
      <w:r w:rsidR="00525062" w:rsidRPr="00532BAC">
        <w:rPr>
          <w:color w:val="000000" w:themeColor="text1"/>
          <w:szCs w:val="26"/>
        </w:rPr>
        <w:t>echanisms</w:t>
      </w:r>
      <w:r w:rsidRPr="00532BAC">
        <w:rPr>
          <w:color w:val="000000" w:themeColor="text1"/>
          <w:szCs w:val="26"/>
        </w:rPr>
        <w:t xml:space="preserve">]; </w:t>
      </w:r>
      <w:r w:rsidRPr="00532BAC">
        <w:rPr>
          <w:i/>
          <w:color w:val="000000" w:themeColor="text1"/>
          <w:szCs w:val="26"/>
        </w:rPr>
        <w:t>Hill</w:t>
      </w:r>
      <w:r w:rsidR="00B75C1B" w:rsidRPr="00532BAC">
        <w:rPr>
          <w:i/>
          <w:color w:val="000000" w:themeColor="text1"/>
          <w:szCs w:val="26"/>
        </w:rPr>
        <w:t xml:space="preserve">, supra, </w:t>
      </w:r>
      <w:r w:rsidRPr="00532BAC">
        <w:rPr>
          <w:color w:val="000000" w:themeColor="text1"/>
          <w:szCs w:val="26"/>
        </w:rPr>
        <w:t>10</w:t>
      </w:r>
      <w:r w:rsidR="00773D1C" w:rsidRPr="008C580C">
        <w:rPr>
          <w:color w:val="000000" w:themeColor="text1"/>
          <w:szCs w:val="26"/>
        </w:rPr>
        <w:t> </w:t>
      </w:r>
      <w:r w:rsidRPr="008C580C">
        <w:rPr>
          <w:color w:val="000000" w:themeColor="text1"/>
          <w:szCs w:val="26"/>
        </w:rPr>
        <w:t>Cal.3d 812, 817 [posing whether the defendant “cannot readily obtain the [discovery] information through his own efforts”</w:t>
      </w:r>
      <w:r w:rsidR="00CD74E1" w:rsidRPr="008C580C">
        <w:rPr>
          <w:color w:val="000000" w:themeColor="text1"/>
          <w:szCs w:val="26"/>
        </w:rPr>
        <w:t>]</w:t>
      </w:r>
      <w:r w:rsidRPr="008C580C">
        <w:rPr>
          <w:color w:val="000000" w:themeColor="text1"/>
          <w:szCs w:val="26"/>
        </w:rPr>
        <w:t xml:space="preserve">; </w:t>
      </w:r>
      <w:r w:rsidR="001E0333" w:rsidRPr="008C580C">
        <w:rPr>
          <w:i/>
          <w:iCs/>
          <w:color w:val="000000" w:themeColor="text1"/>
        </w:rPr>
        <w:t>Facebook (Hunter</w:t>
      </w:r>
      <w:r w:rsidR="00BB5167">
        <w:rPr>
          <w:i/>
          <w:iCs/>
          <w:color w:val="000000" w:themeColor="text1"/>
        </w:rPr>
        <w:t>)</w:t>
      </w:r>
      <w:r w:rsidR="00532363">
        <w:rPr>
          <w:i/>
          <w:iCs/>
          <w:color w:val="000000" w:themeColor="text1"/>
        </w:rPr>
        <w:t> </w:t>
      </w:r>
      <w:r w:rsidR="001E0333" w:rsidRPr="008C580C">
        <w:rPr>
          <w:i/>
          <w:iCs/>
          <w:color w:val="000000" w:themeColor="text1"/>
        </w:rPr>
        <w:t>II, supra,</w:t>
      </w:r>
      <w:r w:rsidR="001E0333" w:rsidRPr="008C580C">
        <w:rPr>
          <w:color w:val="000000" w:themeColor="text1"/>
        </w:rPr>
        <w:t xml:space="preserve"> </w:t>
      </w:r>
      <w:r w:rsidR="001E0333" w:rsidRPr="008C580C">
        <w:rPr>
          <w:color w:val="000000" w:themeColor="text1"/>
          <w:szCs w:val="26"/>
        </w:rPr>
        <w:t xml:space="preserve">46 Cal.App.5th </w:t>
      </w:r>
      <w:r w:rsidR="003338C4" w:rsidRPr="008C580C">
        <w:rPr>
          <w:color w:val="000000" w:themeColor="text1"/>
          <w:szCs w:val="26"/>
        </w:rPr>
        <w:t>at p</w:t>
      </w:r>
      <w:r w:rsidR="00347DF0" w:rsidRPr="008C580C">
        <w:rPr>
          <w:color w:val="000000" w:themeColor="text1"/>
          <w:szCs w:val="26"/>
        </w:rPr>
        <w:t>p</w:t>
      </w:r>
      <w:r w:rsidR="003338C4" w:rsidRPr="008C580C">
        <w:rPr>
          <w:color w:val="000000" w:themeColor="text1"/>
          <w:szCs w:val="26"/>
        </w:rPr>
        <w:t>.</w:t>
      </w:r>
      <w:r w:rsidR="00773D1C" w:rsidRPr="008C580C">
        <w:rPr>
          <w:color w:val="000000" w:themeColor="text1"/>
          <w:szCs w:val="26"/>
        </w:rPr>
        <w:t> </w:t>
      </w:r>
      <w:r w:rsidR="003338C4" w:rsidRPr="008C580C">
        <w:rPr>
          <w:color w:val="000000" w:themeColor="text1"/>
          <w:szCs w:val="26"/>
        </w:rPr>
        <w:t>120</w:t>
      </w:r>
      <w:r w:rsidR="00EA3DB4">
        <w:rPr>
          <w:color w:val="000000" w:themeColor="text1"/>
          <w:szCs w:val="26"/>
        </w:rPr>
        <w:t>–</w:t>
      </w:r>
      <w:r w:rsidR="00347DF0" w:rsidRPr="008C580C">
        <w:rPr>
          <w:color w:val="000000" w:themeColor="text1"/>
          <w:szCs w:val="26"/>
        </w:rPr>
        <w:t>121</w:t>
      </w:r>
      <w:r w:rsidR="009D74DA">
        <w:rPr>
          <w:color w:val="000000" w:themeColor="text1"/>
          <w:szCs w:val="26"/>
        </w:rPr>
        <w:t>, rev. granted</w:t>
      </w:r>
      <w:r w:rsidR="003338C4" w:rsidRPr="008C580C">
        <w:rPr>
          <w:color w:val="000000" w:themeColor="text1"/>
          <w:szCs w:val="26"/>
        </w:rPr>
        <w:t xml:space="preserve"> [</w:t>
      </w:r>
      <w:r w:rsidR="00FB728B" w:rsidRPr="008C580C">
        <w:rPr>
          <w:color w:val="000000" w:themeColor="text1"/>
          <w:szCs w:val="26"/>
        </w:rPr>
        <w:t>con</w:t>
      </w:r>
      <w:r w:rsidR="00D30674" w:rsidRPr="008C580C">
        <w:rPr>
          <w:color w:val="000000" w:themeColor="text1"/>
          <w:szCs w:val="26"/>
        </w:rPr>
        <w:t xml:space="preserve">sidering </w:t>
      </w:r>
      <w:r w:rsidR="00347DF0" w:rsidRPr="008C580C">
        <w:rPr>
          <w:color w:val="000000" w:themeColor="text1"/>
          <w:szCs w:val="26"/>
        </w:rPr>
        <w:t>various altern</w:t>
      </w:r>
      <w:r w:rsidR="00944C50" w:rsidRPr="008C580C">
        <w:rPr>
          <w:color w:val="000000" w:themeColor="text1"/>
          <w:szCs w:val="26"/>
        </w:rPr>
        <w:t>ative</w:t>
      </w:r>
      <w:r w:rsidR="0001004B" w:rsidRPr="008C580C">
        <w:rPr>
          <w:color w:val="000000" w:themeColor="text1"/>
          <w:szCs w:val="26"/>
        </w:rPr>
        <w:t xml:space="preserve"> sour</w:t>
      </w:r>
      <w:r w:rsidR="00895326" w:rsidRPr="008C580C">
        <w:rPr>
          <w:color w:val="000000" w:themeColor="text1"/>
          <w:szCs w:val="26"/>
        </w:rPr>
        <w:t xml:space="preserve">ces </w:t>
      </w:r>
      <w:r w:rsidR="002A116B" w:rsidRPr="008C580C">
        <w:rPr>
          <w:color w:val="000000" w:themeColor="text1"/>
          <w:szCs w:val="26"/>
        </w:rPr>
        <w:t>for the s</w:t>
      </w:r>
      <w:r w:rsidR="001C0E93" w:rsidRPr="008C580C">
        <w:rPr>
          <w:color w:val="000000" w:themeColor="text1"/>
          <w:szCs w:val="26"/>
        </w:rPr>
        <w:t xml:space="preserve">ubpoenaed </w:t>
      </w:r>
      <w:r w:rsidR="002A116B" w:rsidRPr="008C580C">
        <w:rPr>
          <w:color w:val="000000" w:themeColor="text1"/>
          <w:szCs w:val="26"/>
        </w:rPr>
        <w:t>information]</w:t>
      </w:r>
      <w:r w:rsidR="003338C4" w:rsidRPr="008C580C">
        <w:rPr>
          <w:color w:val="000000" w:themeColor="text1"/>
          <w:szCs w:val="26"/>
        </w:rPr>
        <w:t xml:space="preserve">; </w:t>
      </w:r>
      <w:r w:rsidRPr="008C580C">
        <w:rPr>
          <w:i/>
          <w:color w:val="000000" w:themeColor="text1"/>
          <w:szCs w:val="26"/>
        </w:rPr>
        <w:t>People v. Von Villas</w:t>
      </w:r>
      <w:r w:rsidRPr="008C580C">
        <w:rPr>
          <w:color w:val="000000" w:themeColor="text1"/>
          <w:szCs w:val="26"/>
        </w:rPr>
        <w:t xml:space="preserve"> (1992) 10 Cal.App.4th 201, 228</w:t>
      </w:r>
      <w:r w:rsidR="00EA3DB4">
        <w:rPr>
          <w:color w:val="000000" w:themeColor="text1"/>
          <w:szCs w:val="26"/>
        </w:rPr>
        <w:t>–</w:t>
      </w:r>
      <w:r w:rsidRPr="008C580C">
        <w:rPr>
          <w:color w:val="000000" w:themeColor="text1"/>
          <w:szCs w:val="26"/>
        </w:rPr>
        <w:t>236</w:t>
      </w:r>
      <w:r w:rsidR="00BE5EA0">
        <w:rPr>
          <w:color w:val="000000" w:themeColor="text1"/>
          <w:szCs w:val="26"/>
        </w:rPr>
        <w:t xml:space="preserve"> </w:t>
      </w:r>
      <w:r w:rsidR="00BE5EA0" w:rsidRPr="008C580C">
        <w:rPr>
          <w:color w:val="000000" w:themeColor="text1"/>
          <w:szCs w:val="26"/>
        </w:rPr>
        <w:t>(</w:t>
      </w:r>
      <w:r w:rsidR="00BE5EA0" w:rsidRPr="008C580C">
        <w:rPr>
          <w:i/>
          <w:color w:val="000000" w:themeColor="text1"/>
          <w:szCs w:val="26"/>
        </w:rPr>
        <w:t>Von Villas</w:t>
      </w:r>
      <w:r w:rsidR="00BE5EA0" w:rsidRPr="008C580C">
        <w:rPr>
          <w:color w:val="000000" w:themeColor="text1"/>
          <w:szCs w:val="26"/>
        </w:rPr>
        <w:t>)</w:t>
      </w:r>
      <w:r w:rsidRPr="008C580C">
        <w:rPr>
          <w:color w:val="000000" w:themeColor="text1"/>
          <w:szCs w:val="26"/>
        </w:rPr>
        <w:t xml:space="preserve"> [concludin</w:t>
      </w:r>
      <w:r w:rsidRPr="00D74521">
        <w:rPr>
          <w:color w:val="000000" w:themeColor="text1"/>
          <w:szCs w:val="26"/>
        </w:rPr>
        <w:t xml:space="preserve">g, in light of factors set out in </w:t>
      </w:r>
      <w:r w:rsidRPr="00D74521">
        <w:rPr>
          <w:i/>
          <w:color w:val="000000" w:themeColor="text1"/>
          <w:szCs w:val="26"/>
        </w:rPr>
        <w:t>Delaney v. Superior Court</w:t>
      </w:r>
      <w:r w:rsidRPr="00D74521">
        <w:rPr>
          <w:color w:val="000000" w:themeColor="text1"/>
          <w:szCs w:val="26"/>
        </w:rPr>
        <w:t xml:space="preserve"> (1990) 50</w:t>
      </w:r>
      <w:r w:rsidR="00DC44CE" w:rsidRPr="00736C19">
        <w:rPr>
          <w:color w:val="000000" w:themeColor="text1"/>
          <w:szCs w:val="26"/>
        </w:rPr>
        <w:t> </w:t>
      </w:r>
      <w:r w:rsidRPr="00D74521">
        <w:rPr>
          <w:color w:val="000000" w:themeColor="text1"/>
          <w:szCs w:val="26"/>
        </w:rPr>
        <w:t>Cal.3d 785, tha</w:t>
      </w:r>
      <w:r w:rsidRPr="008C580C">
        <w:rPr>
          <w:color w:val="000000" w:themeColor="text1"/>
          <w:szCs w:val="26"/>
        </w:rPr>
        <w:t>t the trial court properly granted a freelance newsperson’s motion to quash a subpoena duces tecum on the ground that there existed an alternative source for the requested information</w:t>
      </w:r>
      <w:r w:rsidR="00B07D3B" w:rsidRPr="008C580C">
        <w:rPr>
          <w:rStyle w:val="FootnoteReference"/>
          <w:color w:val="000000" w:themeColor="text1"/>
          <w:szCs w:val="26"/>
        </w:rPr>
        <w:footnoteReference w:id="8"/>
      </w:r>
      <w:r w:rsidRPr="008C580C">
        <w:rPr>
          <w:color w:val="000000" w:themeColor="text1"/>
          <w:szCs w:val="26"/>
        </w:rPr>
        <w:t xml:space="preserve">].)  </w:t>
      </w:r>
    </w:p>
    <w:p w14:paraId="73759D20" w14:textId="1D2CC739" w:rsidR="002A35C8" w:rsidRPr="008C580C" w:rsidRDefault="00846A6B" w:rsidP="00EA0331">
      <w:pPr>
        <w:tabs>
          <w:tab w:val="left" w:pos="1350"/>
        </w:tabs>
        <w:ind w:firstLine="720"/>
        <w:rPr>
          <w:color w:val="000000" w:themeColor="text1"/>
          <w:szCs w:val="26"/>
        </w:rPr>
      </w:pPr>
      <w:r>
        <w:rPr>
          <w:color w:val="000000" w:themeColor="text1"/>
          <w:szCs w:val="26"/>
        </w:rPr>
        <w:lastRenderedPageBreak/>
        <w:t>(</w:t>
      </w:r>
      <w:r w:rsidR="005D4C66" w:rsidRPr="008C580C">
        <w:rPr>
          <w:color w:val="000000" w:themeColor="text1"/>
          <w:szCs w:val="26"/>
        </w:rPr>
        <w:t>4</w:t>
      </w:r>
      <w:r>
        <w:rPr>
          <w:color w:val="000000" w:themeColor="text1"/>
          <w:szCs w:val="26"/>
        </w:rPr>
        <w:t>)</w:t>
      </w:r>
      <w:r w:rsidR="005D4C66" w:rsidRPr="008C580C">
        <w:rPr>
          <w:color w:val="000000" w:themeColor="text1"/>
          <w:szCs w:val="26"/>
        </w:rPr>
        <w:t xml:space="preserve">  </w:t>
      </w:r>
      <w:r w:rsidR="002A35C8" w:rsidRPr="008C580C">
        <w:rPr>
          <w:color w:val="000000" w:themeColor="text1"/>
          <w:szCs w:val="26"/>
        </w:rPr>
        <w:t>Would productio</w:t>
      </w:r>
      <w:r w:rsidR="002A35C8" w:rsidRPr="00D74521">
        <w:rPr>
          <w:color w:val="000000" w:themeColor="text1"/>
          <w:szCs w:val="26"/>
        </w:rPr>
        <w:t xml:space="preserve">n of the requested materials violate a third party’s “confidentiality or </w:t>
      </w:r>
      <w:r w:rsidR="00D25082" w:rsidRPr="00D74521">
        <w:rPr>
          <w:color w:val="000000" w:themeColor="text1"/>
          <w:szCs w:val="26"/>
        </w:rPr>
        <w:t>privacy</w:t>
      </w:r>
      <w:r w:rsidR="002A35C8" w:rsidRPr="00D74521">
        <w:rPr>
          <w:color w:val="000000" w:themeColor="text1"/>
          <w:szCs w:val="26"/>
        </w:rPr>
        <w:t xml:space="preserve"> rights</w:t>
      </w:r>
      <w:r w:rsidR="00A06535" w:rsidRPr="00736C19">
        <w:rPr>
          <w:color w:val="000000" w:themeColor="text1"/>
          <w:szCs w:val="26"/>
        </w:rPr>
        <w:t>”</w:t>
      </w:r>
      <w:r w:rsidR="002A35C8" w:rsidRPr="00D74521">
        <w:rPr>
          <w:color w:val="000000" w:themeColor="text1"/>
          <w:szCs w:val="26"/>
        </w:rPr>
        <w:t xml:space="preserve"> or intrude upon “any protected governmental interest”?  (</w:t>
      </w:r>
      <w:r w:rsidR="002A35C8" w:rsidRPr="00D74521">
        <w:rPr>
          <w:i/>
          <w:color w:val="000000" w:themeColor="text1"/>
          <w:szCs w:val="26"/>
        </w:rPr>
        <w:t>Alhambra, supra</w:t>
      </w:r>
      <w:r w:rsidR="002A35C8" w:rsidRPr="008C580C">
        <w:rPr>
          <w:i/>
          <w:color w:val="000000" w:themeColor="text1"/>
          <w:szCs w:val="26"/>
        </w:rPr>
        <w:t xml:space="preserve">, </w:t>
      </w:r>
      <w:r w:rsidR="002A35C8" w:rsidRPr="008C580C">
        <w:rPr>
          <w:color w:val="000000" w:themeColor="text1"/>
          <w:szCs w:val="26"/>
        </w:rPr>
        <w:t>205</w:t>
      </w:r>
      <w:r w:rsidR="006221F6">
        <w:rPr>
          <w:color w:val="000000" w:themeColor="text1"/>
          <w:szCs w:val="26"/>
        </w:rPr>
        <w:t> </w:t>
      </w:r>
      <w:r w:rsidR="002A35C8" w:rsidRPr="008C580C">
        <w:rPr>
          <w:color w:val="000000" w:themeColor="text1"/>
          <w:szCs w:val="26"/>
        </w:rPr>
        <w:t>Cal.App.3d at p. 1134 [discovery context];</w:t>
      </w:r>
      <w:r w:rsidR="00390292" w:rsidRPr="008C580C">
        <w:rPr>
          <w:color w:val="000000" w:themeColor="text1"/>
          <w:szCs w:val="26"/>
        </w:rPr>
        <w:t xml:space="preserve"> </w:t>
      </w:r>
      <w:r w:rsidR="00390292" w:rsidRPr="008C580C">
        <w:rPr>
          <w:i/>
          <w:iCs/>
          <w:color w:val="000000" w:themeColor="text1"/>
        </w:rPr>
        <w:t>Facebook (Hunter</w:t>
      </w:r>
      <w:r w:rsidR="00BB5167">
        <w:rPr>
          <w:i/>
          <w:iCs/>
          <w:color w:val="000000" w:themeColor="text1"/>
        </w:rPr>
        <w:t>)</w:t>
      </w:r>
      <w:r w:rsidR="00532363">
        <w:rPr>
          <w:i/>
          <w:iCs/>
          <w:color w:val="000000" w:themeColor="text1"/>
        </w:rPr>
        <w:t> </w:t>
      </w:r>
      <w:r w:rsidR="00390292" w:rsidRPr="008C580C">
        <w:rPr>
          <w:i/>
          <w:iCs/>
          <w:color w:val="000000" w:themeColor="text1"/>
        </w:rPr>
        <w:t>II, supra,</w:t>
      </w:r>
      <w:r w:rsidR="00390292" w:rsidRPr="008C580C">
        <w:rPr>
          <w:color w:val="000000" w:themeColor="text1"/>
        </w:rPr>
        <w:t xml:space="preserve"> </w:t>
      </w:r>
      <w:r w:rsidR="00390292" w:rsidRPr="008C580C">
        <w:rPr>
          <w:color w:val="000000" w:themeColor="text1"/>
          <w:szCs w:val="26"/>
        </w:rPr>
        <w:t>46 Cal.App.5th at p. 121</w:t>
      </w:r>
      <w:r w:rsidR="00137E10">
        <w:rPr>
          <w:color w:val="000000" w:themeColor="text1"/>
          <w:szCs w:val="26"/>
        </w:rPr>
        <w:t>, rev. granted</w:t>
      </w:r>
      <w:r w:rsidR="00390292" w:rsidRPr="008C580C">
        <w:rPr>
          <w:color w:val="000000" w:themeColor="text1"/>
          <w:szCs w:val="26"/>
        </w:rPr>
        <w:t xml:space="preserve"> [noting a social media user’s “</w:t>
      </w:r>
      <w:r w:rsidR="00C96466">
        <w:rPr>
          <w:color w:val="000000" w:themeColor="text1"/>
          <w:szCs w:val="26"/>
        </w:rPr>
        <w:t> </w:t>
      </w:r>
      <w:r w:rsidR="00A775AD">
        <w:rPr>
          <w:color w:val="000000" w:themeColor="text1"/>
          <w:szCs w:val="26"/>
        </w:rPr>
        <w:t>‘</w:t>
      </w:r>
      <w:r w:rsidR="00390292" w:rsidRPr="008C580C">
        <w:rPr>
          <w:color w:val="000000" w:themeColor="text1"/>
          <w:szCs w:val="26"/>
        </w:rPr>
        <w:t>privacy interests</w:t>
      </w:r>
      <w:r w:rsidR="00A775AD">
        <w:rPr>
          <w:color w:val="000000" w:themeColor="text1"/>
          <w:szCs w:val="26"/>
        </w:rPr>
        <w:t>’</w:t>
      </w:r>
      <w:r w:rsidR="00C96466">
        <w:rPr>
          <w:color w:val="000000" w:themeColor="text1"/>
          <w:szCs w:val="26"/>
        </w:rPr>
        <w:t> </w:t>
      </w:r>
      <w:r w:rsidR="00390292" w:rsidRPr="008C580C">
        <w:rPr>
          <w:color w:val="000000" w:themeColor="text1"/>
          <w:szCs w:val="26"/>
        </w:rPr>
        <w:t xml:space="preserve">” in subpoenaed material]; </w:t>
      </w:r>
      <w:r w:rsidR="00390292" w:rsidRPr="008C580C">
        <w:rPr>
          <w:i/>
          <w:color w:val="000000" w:themeColor="text1"/>
          <w:szCs w:val="26"/>
        </w:rPr>
        <w:t>Barrett, supra</w:t>
      </w:r>
      <w:r w:rsidR="00390292" w:rsidRPr="008C580C">
        <w:rPr>
          <w:color w:val="000000" w:themeColor="text1"/>
          <w:szCs w:val="26"/>
        </w:rPr>
        <w:t>, 80</w:t>
      </w:r>
      <w:r w:rsidR="00773D1C" w:rsidRPr="008C580C">
        <w:rPr>
          <w:color w:val="000000" w:themeColor="text1"/>
          <w:szCs w:val="26"/>
        </w:rPr>
        <w:t> </w:t>
      </w:r>
      <w:r w:rsidR="00390292" w:rsidRPr="008C580C">
        <w:rPr>
          <w:color w:val="000000" w:themeColor="text1"/>
          <w:szCs w:val="26"/>
        </w:rPr>
        <w:t>Cal.App.4th</w:t>
      </w:r>
      <w:r w:rsidR="00662CDF">
        <w:rPr>
          <w:color w:val="000000" w:themeColor="text1"/>
          <w:szCs w:val="26"/>
        </w:rPr>
        <w:t xml:space="preserve"> at p.</w:t>
      </w:r>
      <w:r w:rsidR="00390292" w:rsidRPr="008C580C">
        <w:rPr>
          <w:color w:val="000000" w:themeColor="text1"/>
          <w:szCs w:val="26"/>
        </w:rPr>
        <w:t xml:space="preserve"> 1316 [noting governmental interest in preventing disclosure of “</w:t>
      </w:r>
      <w:r w:rsidR="002453FA">
        <w:rPr>
          <w:color w:val="000000" w:themeColor="text1"/>
          <w:szCs w:val="26"/>
        </w:rPr>
        <w:t> </w:t>
      </w:r>
      <w:r w:rsidR="00FD2F32">
        <w:rPr>
          <w:color w:val="000000" w:themeColor="text1"/>
          <w:szCs w:val="26"/>
        </w:rPr>
        <w:t>‘</w:t>
      </w:r>
      <w:r w:rsidR="00390292" w:rsidRPr="008C580C">
        <w:rPr>
          <w:color w:val="000000" w:themeColor="text1"/>
          <w:szCs w:val="26"/>
        </w:rPr>
        <w:t>official information</w:t>
      </w:r>
      <w:r w:rsidR="00FD2F32">
        <w:rPr>
          <w:color w:val="000000" w:themeColor="text1"/>
          <w:szCs w:val="26"/>
        </w:rPr>
        <w:t>’</w:t>
      </w:r>
      <w:r w:rsidR="002453FA">
        <w:rPr>
          <w:color w:val="000000" w:themeColor="text1"/>
          <w:szCs w:val="26"/>
        </w:rPr>
        <w:t> </w:t>
      </w:r>
      <w:r w:rsidR="00390292" w:rsidRPr="008C580C">
        <w:rPr>
          <w:color w:val="000000" w:themeColor="text1"/>
          <w:szCs w:val="26"/>
        </w:rPr>
        <w:t xml:space="preserve">” as to which there is a necessity of preserving confidentiality]; </w:t>
      </w:r>
      <w:proofErr w:type="spellStart"/>
      <w:r w:rsidR="00390292" w:rsidRPr="008C580C">
        <w:rPr>
          <w:i/>
          <w:color w:val="000000" w:themeColor="text1"/>
          <w:szCs w:val="26"/>
        </w:rPr>
        <w:t>Millaud</w:t>
      </w:r>
      <w:proofErr w:type="spellEnd"/>
      <w:r w:rsidR="00390292" w:rsidRPr="008C580C">
        <w:rPr>
          <w:i/>
          <w:color w:val="000000" w:themeColor="text1"/>
          <w:szCs w:val="26"/>
        </w:rPr>
        <w:t xml:space="preserve"> v. Superior Court </w:t>
      </w:r>
      <w:r w:rsidR="00390292" w:rsidRPr="008C580C">
        <w:rPr>
          <w:color w:val="000000" w:themeColor="text1"/>
          <w:szCs w:val="26"/>
        </w:rPr>
        <w:t>(1986) 182</w:t>
      </w:r>
      <w:r w:rsidR="006221F6">
        <w:rPr>
          <w:color w:val="000000" w:themeColor="text1"/>
          <w:szCs w:val="26"/>
        </w:rPr>
        <w:t> </w:t>
      </w:r>
      <w:r w:rsidR="00390292" w:rsidRPr="008C580C">
        <w:rPr>
          <w:color w:val="000000" w:themeColor="text1"/>
          <w:szCs w:val="26"/>
        </w:rPr>
        <w:t xml:space="preserve">Cal.App.3d 471, 475 [subpoena must not constitute “an unreasonable search and seizure as to the third party”]; </w:t>
      </w:r>
      <w:r w:rsidR="00390292" w:rsidRPr="008C580C">
        <w:rPr>
          <w:i/>
          <w:color w:val="000000" w:themeColor="text1"/>
          <w:szCs w:val="26"/>
        </w:rPr>
        <w:t xml:space="preserve">Pacific Lighting, supra, </w:t>
      </w:r>
      <w:r w:rsidR="00390292" w:rsidRPr="008C580C">
        <w:rPr>
          <w:color w:val="000000" w:themeColor="text1"/>
          <w:szCs w:val="26"/>
        </w:rPr>
        <w:t xml:space="preserve">60 Cal.App.3d 552, </w:t>
      </w:r>
      <w:r w:rsidR="00390292" w:rsidRPr="008C580C">
        <w:rPr>
          <w:color w:val="000000" w:themeColor="text1"/>
        </w:rPr>
        <w:t xml:space="preserve">567 </w:t>
      </w:r>
      <w:r w:rsidR="00390292" w:rsidRPr="008C580C">
        <w:rPr>
          <w:color w:val="000000" w:themeColor="text1"/>
          <w:szCs w:val="26"/>
        </w:rPr>
        <w:t>[</w:t>
      </w:r>
      <w:r w:rsidR="00390292" w:rsidRPr="008C580C">
        <w:rPr>
          <w:color w:val="000000" w:themeColor="text1"/>
        </w:rPr>
        <w:t>“protection of the witness’s constitutional rights requires that the ‘ </w:t>
      </w:r>
      <w:r w:rsidR="00390292" w:rsidRPr="00677831">
        <w:rPr>
          <w:color w:val="000000" w:themeColor="text1"/>
        </w:rPr>
        <w:t>“plausible justification” for inspection’ [citation] be so substantiated as to make the seizure constitutionally reasonable”</w:t>
      </w:r>
      <w:r w:rsidR="00390292" w:rsidRPr="00677831">
        <w:rPr>
          <w:color w:val="000000" w:themeColor="text1"/>
          <w:szCs w:val="26"/>
        </w:rPr>
        <w:t>]</w:t>
      </w:r>
      <w:r w:rsidR="00320FEF" w:rsidRPr="008C580C">
        <w:rPr>
          <w:color w:val="000000" w:themeColor="text1"/>
          <w:szCs w:val="26"/>
        </w:rPr>
        <w:t xml:space="preserve">; </w:t>
      </w:r>
      <w:r w:rsidR="002A35C8" w:rsidRPr="008C580C">
        <w:rPr>
          <w:color w:val="000000" w:themeColor="text1"/>
          <w:szCs w:val="26"/>
        </w:rPr>
        <w:t xml:space="preserve">see also </w:t>
      </w:r>
      <w:r w:rsidR="002A35C8" w:rsidRPr="008C580C">
        <w:rPr>
          <w:i/>
          <w:color w:val="000000" w:themeColor="text1"/>
          <w:szCs w:val="26"/>
        </w:rPr>
        <w:t xml:space="preserve">Kling, supra, </w:t>
      </w:r>
      <w:r w:rsidR="002A35C8" w:rsidRPr="008C580C">
        <w:rPr>
          <w:color w:val="000000" w:themeColor="text1"/>
          <w:szCs w:val="26"/>
        </w:rPr>
        <w:t>50 Cal.4th at p. 1078 [noting that the People have an interest in ensuring that evidentiary privileges are not sacrificed merely because a subpoena recipient lacks interest to object]</w:t>
      </w:r>
      <w:r w:rsidR="0034484E">
        <w:rPr>
          <w:color w:val="000000" w:themeColor="text1"/>
          <w:szCs w:val="26"/>
        </w:rPr>
        <w:t xml:space="preserve"> </w:t>
      </w:r>
      <w:r w:rsidR="002A35C8" w:rsidRPr="008C580C">
        <w:rPr>
          <w:color w:val="000000" w:themeColor="text1"/>
          <w:szCs w:val="26"/>
        </w:rPr>
        <w:t xml:space="preserve">&amp; p. 1080 [noting crime victims’ rights under </w:t>
      </w:r>
      <w:proofErr w:type="spellStart"/>
      <w:r w:rsidR="0063735C" w:rsidRPr="008C580C">
        <w:rPr>
          <w:color w:val="000000" w:themeColor="text1"/>
          <w:szCs w:val="26"/>
        </w:rPr>
        <w:t>Marsy’s</w:t>
      </w:r>
      <w:proofErr w:type="spellEnd"/>
      <w:r w:rsidR="0063735C" w:rsidRPr="008C580C">
        <w:rPr>
          <w:color w:val="000000" w:themeColor="text1"/>
          <w:szCs w:val="26"/>
        </w:rPr>
        <w:t xml:space="preserve"> </w:t>
      </w:r>
      <w:r w:rsidR="00746964" w:rsidRPr="008C580C">
        <w:rPr>
          <w:color w:val="000000" w:themeColor="text1"/>
          <w:szCs w:val="26"/>
        </w:rPr>
        <w:t xml:space="preserve">Law, </w:t>
      </w:r>
      <w:r w:rsidR="002A35C8" w:rsidRPr="008C580C">
        <w:rPr>
          <w:color w:val="000000" w:themeColor="text1"/>
          <w:szCs w:val="26"/>
        </w:rPr>
        <w:t>Cal. Const., art. I, § 28, subd. (b)(4)</w:t>
      </w:r>
      <w:r w:rsidR="00D8396D" w:rsidRPr="008C580C">
        <w:rPr>
          <w:color w:val="000000" w:themeColor="text1"/>
          <w:szCs w:val="26"/>
        </w:rPr>
        <w:t>,</w:t>
      </w:r>
      <w:r w:rsidR="002A35C8" w:rsidRPr="008C580C">
        <w:rPr>
          <w:color w:val="000000" w:themeColor="text1"/>
          <w:szCs w:val="26"/>
        </w:rPr>
        <w:t xml:space="preserve"> to prevent disclosure of confidential information to a defendant]; </w:t>
      </w:r>
      <w:r w:rsidR="002A35C8" w:rsidRPr="008C580C">
        <w:rPr>
          <w:i/>
          <w:color w:val="000000" w:themeColor="text1"/>
          <w:szCs w:val="26"/>
        </w:rPr>
        <w:t>Alford</w:t>
      </w:r>
      <w:r w:rsidR="00FF18DB" w:rsidRPr="008C580C">
        <w:rPr>
          <w:i/>
          <w:color w:val="000000" w:themeColor="text1"/>
          <w:szCs w:val="26"/>
        </w:rPr>
        <w:t xml:space="preserve">, </w:t>
      </w:r>
      <w:r w:rsidR="00B16CEE" w:rsidRPr="008C580C">
        <w:rPr>
          <w:i/>
          <w:color w:val="000000" w:themeColor="text1"/>
          <w:szCs w:val="26"/>
        </w:rPr>
        <w:t xml:space="preserve">supra, </w:t>
      </w:r>
      <w:r w:rsidR="002A35C8" w:rsidRPr="008C580C">
        <w:rPr>
          <w:color w:val="000000" w:themeColor="text1"/>
          <w:szCs w:val="26"/>
        </w:rPr>
        <w:t>29</w:t>
      </w:r>
      <w:r w:rsidR="006221F6">
        <w:rPr>
          <w:color w:val="000000" w:themeColor="text1"/>
          <w:szCs w:val="26"/>
        </w:rPr>
        <w:t> </w:t>
      </w:r>
      <w:r w:rsidR="002A35C8" w:rsidRPr="008C580C">
        <w:rPr>
          <w:color w:val="000000" w:themeColor="text1"/>
          <w:szCs w:val="26"/>
        </w:rPr>
        <w:t>Cal.4th 1033, 1038</w:t>
      </w:r>
      <w:r w:rsidR="00EA3DB4">
        <w:rPr>
          <w:color w:val="000000" w:themeColor="text1"/>
          <w:szCs w:val="26"/>
        </w:rPr>
        <w:t>–</w:t>
      </w:r>
      <w:r w:rsidR="002A35C8" w:rsidRPr="008C580C">
        <w:rPr>
          <w:color w:val="000000" w:themeColor="text1"/>
          <w:szCs w:val="26"/>
        </w:rPr>
        <w:t xml:space="preserve">1039 [describing law enforcement officers’ privileges and procedures relating to third-party discovery concerning officer records]; </w:t>
      </w:r>
      <w:proofErr w:type="spellStart"/>
      <w:r w:rsidR="002A35C8" w:rsidRPr="008C580C">
        <w:rPr>
          <w:i/>
          <w:color w:val="000000" w:themeColor="text1"/>
          <w:szCs w:val="26"/>
        </w:rPr>
        <w:t>Hammon</w:t>
      </w:r>
      <w:proofErr w:type="spellEnd"/>
      <w:r w:rsidR="002A35C8" w:rsidRPr="008C580C">
        <w:rPr>
          <w:color w:val="000000" w:themeColor="text1"/>
          <w:szCs w:val="26"/>
        </w:rPr>
        <w:t>,</w:t>
      </w:r>
      <w:r w:rsidR="002A35C8" w:rsidRPr="008C580C">
        <w:rPr>
          <w:i/>
          <w:color w:val="000000" w:themeColor="text1"/>
          <w:szCs w:val="26"/>
        </w:rPr>
        <w:t xml:space="preserve"> supra</w:t>
      </w:r>
      <w:r w:rsidR="002A35C8" w:rsidRPr="008C580C">
        <w:rPr>
          <w:color w:val="000000" w:themeColor="text1"/>
          <w:szCs w:val="26"/>
        </w:rPr>
        <w:t xml:space="preserve">, </w:t>
      </w:r>
      <w:r w:rsidR="002A35C8" w:rsidRPr="008C580C">
        <w:rPr>
          <w:color w:val="000000" w:themeColor="text1"/>
        </w:rPr>
        <w:t>15</w:t>
      </w:r>
      <w:r w:rsidR="006221F6">
        <w:rPr>
          <w:color w:val="000000" w:themeColor="text1"/>
        </w:rPr>
        <w:t> </w:t>
      </w:r>
      <w:r w:rsidR="002A35C8" w:rsidRPr="008C580C">
        <w:rPr>
          <w:color w:val="000000" w:themeColor="text1"/>
        </w:rPr>
        <w:t xml:space="preserve">Cal.4th 1117, 1127 [noting </w:t>
      </w:r>
      <w:r w:rsidR="00CD74E1" w:rsidRPr="008C580C">
        <w:rPr>
          <w:color w:val="000000" w:themeColor="text1"/>
        </w:rPr>
        <w:t xml:space="preserve">a </w:t>
      </w:r>
      <w:r w:rsidR="002A35C8" w:rsidRPr="008C580C">
        <w:rPr>
          <w:color w:val="000000" w:themeColor="text1"/>
        </w:rPr>
        <w:t>patient’s statutory privilege and constitutional right of privacy</w:t>
      </w:r>
      <w:r w:rsidR="002A35C8" w:rsidRPr="008C580C">
        <w:rPr>
          <w:color w:val="000000" w:themeColor="text1"/>
          <w:szCs w:val="26"/>
        </w:rPr>
        <w:t xml:space="preserve">]; </w:t>
      </w:r>
      <w:r w:rsidR="002A35C8" w:rsidRPr="008C580C">
        <w:rPr>
          <w:i/>
          <w:color w:val="000000" w:themeColor="text1"/>
          <w:szCs w:val="26"/>
        </w:rPr>
        <w:t xml:space="preserve">Delaney, supra, </w:t>
      </w:r>
      <w:r w:rsidR="002A35C8" w:rsidRPr="008C580C">
        <w:rPr>
          <w:color w:val="000000" w:themeColor="text1"/>
          <w:szCs w:val="26"/>
        </w:rPr>
        <w:t>50</w:t>
      </w:r>
      <w:r w:rsidR="000363B1" w:rsidRPr="008C580C">
        <w:rPr>
          <w:color w:val="000000" w:themeColor="text1"/>
          <w:szCs w:val="26"/>
        </w:rPr>
        <w:t> </w:t>
      </w:r>
      <w:r w:rsidR="002A35C8" w:rsidRPr="008C580C">
        <w:rPr>
          <w:color w:val="000000" w:themeColor="text1"/>
          <w:szCs w:val="26"/>
        </w:rPr>
        <w:t xml:space="preserve">Cal.3d 785, </w:t>
      </w:r>
      <w:r w:rsidR="002A35C8" w:rsidRPr="008C580C">
        <w:rPr>
          <w:color w:val="000000" w:themeColor="text1"/>
          <w:szCs w:val="26"/>
        </w:rPr>
        <w:lastRenderedPageBreak/>
        <w:t>798</w:t>
      </w:r>
      <w:r w:rsidR="00EA3DB4">
        <w:rPr>
          <w:color w:val="000000" w:themeColor="text1"/>
          <w:szCs w:val="26"/>
        </w:rPr>
        <w:t>–</w:t>
      </w:r>
      <w:r w:rsidR="002A35C8" w:rsidRPr="008C580C">
        <w:rPr>
          <w:color w:val="000000" w:themeColor="text1"/>
          <w:szCs w:val="26"/>
        </w:rPr>
        <w:t xml:space="preserve">816 [construing scope of the state constitutional and statutory </w:t>
      </w:r>
      <w:r w:rsidR="002A35C8" w:rsidRPr="008C580C">
        <w:rPr>
          <w:color w:val="000000" w:themeColor="text1"/>
          <w:szCs w:val="26"/>
          <w:shd w:val="clear" w:color="auto" w:fill="FFFFFF"/>
        </w:rPr>
        <w:t>newsperson’s shield law in the context of a criminal defense subpoena]</w:t>
      </w:r>
      <w:r w:rsidR="002A35C8" w:rsidRPr="008C580C">
        <w:rPr>
          <w:color w:val="000000" w:themeColor="text1"/>
          <w:szCs w:val="26"/>
        </w:rPr>
        <w:t xml:space="preserve">.)  </w:t>
      </w:r>
    </w:p>
    <w:p w14:paraId="0219B908" w14:textId="5EDCCB50" w:rsidR="002A35C8" w:rsidRPr="008C580C" w:rsidRDefault="00A375A3" w:rsidP="00EA0331">
      <w:pPr>
        <w:ind w:firstLine="720"/>
        <w:rPr>
          <w:color w:val="000000" w:themeColor="text1"/>
          <w:szCs w:val="26"/>
        </w:rPr>
      </w:pPr>
      <w:r>
        <w:rPr>
          <w:color w:val="000000" w:themeColor="text1"/>
          <w:szCs w:val="26"/>
        </w:rPr>
        <w:t>(</w:t>
      </w:r>
      <w:r w:rsidR="005D4C66" w:rsidRPr="008C580C">
        <w:rPr>
          <w:color w:val="000000" w:themeColor="text1"/>
          <w:szCs w:val="26"/>
        </w:rPr>
        <w:t>5</w:t>
      </w:r>
      <w:r>
        <w:rPr>
          <w:color w:val="000000" w:themeColor="text1"/>
          <w:szCs w:val="26"/>
        </w:rPr>
        <w:t>)</w:t>
      </w:r>
      <w:r w:rsidR="005D4C66" w:rsidRPr="008C580C">
        <w:rPr>
          <w:color w:val="000000" w:themeColor="text1"/>
          <w:szCs w:val="26"/>
        </w:rPr>
        <w:t xml:space="preserve">  </w:t>
      </w:r>
      <w:r w:rsidR="002A35C8" w:rsidRPr="008C580C">
        <w:rPr>
          <w:color w:val="000000" w:themeColor="text1"/>
          <w:szCs w:val="26"/>
        </w:rPr>
        <w:t>Is defendant’s request timely?  (</w:t>
      </w:r>
      <w:r w:rsidR="002A35C8" w:rsidRPr="008C580C">
        <w:rPr>
          <w:i/>
          <w:color w:val="000000" w:themeColor="text1"/>
          <w:szCs w:val="26"/>
        </w:rPr>
        <w:t xml:space="preserve">Hill, supra, </w:t>
      </w:r>
      <w:r w:rsidR="002A35C8" w:rsidRPr="008C580C">
        <w:rPr>
          <w:color w:val="000000" w:themeColor="text1"/>
          <w:szCs w:val="26"/>
        </w:rPr>
        <w:t xml:space="preserve">10 Cal.3d 812, 821 [discovery context]; </w:t>
      </w:r>
      <w:r w:rsidR="002A35C8" w:rsidRPr="008C580C">
        <w:rPr>
          <w:i/>
          <w:color w:val="000000" w:themeColor="text1"/>
          <w:szCs w:val="26"/>
        </w:rPr>
        <w:t>People v. Cooper</w:t>
      </w:r>
      <w:r w:rsidR="002A35C8" w:rsidRPr="008C580C">
        <w:rPr>
          <w:color w:val="000000" w:themeColor="text1"/>
          <w:szCs w:val="26"/>
        </w:rPr>
        <w:t xml:space="preserve"> (1960) 53 Cal.2d 755, 771 [discovery context]; </w:t>
      </w:r>
      <w:r w:rsidR="002A35C8" w:rsidRPr="008C580C">
        <w:rPr>
          <w:i/>
          <w:color w:val="000000" w:themeColor="text1"/>
          <w:szCs w:val="26"/>
        </w:rPr>
        <w:t xml:space="preserve">Alhambra, supra, </w:t>
      </w:r>
      <w:r w:rsidR="002A35C8" w:rsidRPr="008C580C">
        <w:rPr>
          <w:color w:val="000000" w:themeColor="text1"/>
          <w:szCs w:val="26"/>
        </w:rPr>
        <w:t xml:space="preserve">205 Cal.App.3d </w:t>
      </w:r>
      <w:r w:rsidR="00733A6D">
        <w:rPr>
          <w:color w:val="000000" w:themeColor="text1"/>
          <w:szCs w:val="26"/>
        </w:rPr>
        <w:t>1</w:t>
      </w:r>
      <w:r w:rsidR="00662CDF">
        <w:rPr>
          <w:color w:val="000000" w:themeColor="text1"/>
          <w:szCs w:val="26"/>
        </w:rPr>
        <w:t>118,</w:t>
      </w:r>
      <w:r w:rsidR="002A35C8" w:rsidRPr="008C580C">
        <w:rPr>
          <w:color w:val="000000" w:themeColor="text1"/>
          <w:szCs w:val="26"/>
        </w:rPr>
        <w:t xml:space="preserve"> 1134 [discovery context].)  Or, alternatively, is the request premature?  (See </w:t>
      </w:r>
      <w:r w:rsidR="002A35C8" w:rsidRPr="008C580C">
        <w:rPr>
          <w:i/>
          <w:color w:val="000000" w:themeColor="text1"/>
          <w:szCs w:val="26"/>
        </w:rPr>
        <w:t>People v. Lopez</w:t>
      </w:r>
      <w:r w:rsidR="002A35C8" w:rsidRPr="008C580C">
        <w:rPr>
          <w:color w:val="000000" w:themeColor="text1"/>
          <w:szCs w:val="26"/>
        </w:rPr>
        <w:t xml:space="preserve"> (1963) 60 Cal.2d 223, 247 [“[u]</w:t>
      </w:r>
      <w:proofErr w:type="spellStart"/>
      <w:r w:rsidR="002A35C8" w:rsidRPr="008C580C">
        <w:rPr>
          <w:color w:val="000000" w:themeColor="text1"/>
          <w:szCs w:val="26"/>
        </w:rPr>
        <w:t>nder</w:t>
      </w:r>
      <w:proofErr w:type="spellEnd"/>
      <w:r w:rsidR="002A35C8" w:rsidRPr="008C580C">
        <w:rPr>
          <w:color w:val="000000" w:themeColor="text1"/>
          <w:szCs w:val="26"/>
        </w:rPr>
        <w:t xml:space="preserve"> certain circumstances, delayed disclosure</w:t>
      </w:r>
      <w:r w:rsidR="00F14726">
        <w:rPr>
          <w:color w:val="000000" w:themeColor="text1"/>
          <w:szCs w:val="26"/>
        </w:rPr>
        <w:t xml:space="preserve"> [via discovery</w:t>
      </w:r>
      <w:r w:rsidR="005741A9">
        <w:rPr>
          <w:color w:val="000000" w:themeColor="text1"/>
          <w:szCs w:val="26"/>
        </w:rPr>
        <w:t>]</w:t>
      </w:r>
      <w:r w:rsidR="002A35C8" w:rsidRPr="008C580C">
        <w:rPr>
          <w:color w:val="000000" w:themeColor="text1"/>
          <w:szCs w:val="26"/>
        </w:rPr>
        <w:t xml:space="preserve"> may </w:t>
      </w:r>
      <w:r w:rsidR="00060F0E">
        <w:rPr>
          <w:color w:val="000000" w:themeColor="text1"/>
          <w:szCs w:val="26"/>
        </w:rPr>
        <w:t xml:space="preserve">well </w:t>
      </w:r>
      <w:r w:rsidR="002A35C8" w:rsidRPr="008C580C">
        <w:rPr>
          <w:color w:val="000000" w:themeColor="text1"/>
          <w:szCs w:val="26"/>
        </w:rPr>
        <w:t xml:space="preserve">be appropriate”].)  </w:t>
      </w:r>
    </w:p>
    <w:p w14:paraId="2FDC2AAB" w14:textId="57709B12" w:rsidR="002A35C8" w:rsidRPr="008C580C" w:rsidRDefault="00B27FDE" w:rsidP="00EA0331">
      <w:pPr>
        <w:ind w:firstLine="720"/>
        <w:rPr>
          <w:color w:val="000000" w:themeColor="text1"/>
          <w:szCs w:val="26"/>
        </w:rPr>
      </w:pPr>
      <w:r>
        <w:rPr>
          <w:color w:val="000000" w:themeColor="text1"/>
          <w:szCs w:val="26"/>
        </w:rPr>
        <w:t>(</w:t>
      </w:r>
      <w:r w:rsidR="005D4C66" w:rsidRPr="008C580C">
        <w:rPr>
          <w:color w:val="000000" w:themeColor="text1"/>
          <w:szCs w:val="26"/>
        </w:rPr>
        <w:t>6</w:t>
      </w:r>
      <w:r>
        <w:rPr>
          <w:color w:val="000000" w:themeColor="text1"/>
          <w:szCs w:val="26"/>
        </w:rPr>
        <w:t>)</w:t>
      </w:r>
      <w:r w:rsidR="005D4C66" w:rsidRPr="008C580C">
        <w:rPr>
          <w:color w:val="000000" w:themeColor="text1"/>
          <w:szCs w:val="26"/>
        </w:rPr>
        <w:t xml:space="preserve">  </w:t>
      </w:r>
      <w:r w:rsidR="002A35C8" w:rsidRPr="008C580C">
        <w:rPr>
          <w:color w:val="000000" w:themeColor="text1"/>
          <w:szCs w:val="26"/>
        </w:rPr>
        <w:t>Would the “time required to produce the requested information . . . necessitate an unreasonable delay of defendant’s trial”?  (</w:t>
      </w:r>
      <w:r w:rsidR="002A35C8" w:rsidRPr="008C580C">
        <w:rPr>
          <w:i/>
          <w:color w:val="000000" w:themeColor="text1"/>
          <w:szCs w:val="26"/>
        </w:rPr>
        <w:t xml:space="preserve">Alhambra, supra, </w:t>
      </w:r>
      <w:r w:rsidR="002A35C8" w:rsidRPr="008C580C">
        <w:rPr>
          <w:color w:val="000000" w:themeColor="text1"/>
          <w:szCs w:val="26"/>
        </w:rPr>
        <w:t>205</w:t>
      </w:r>
      <w:r w:rsidR="000363B1" w:rsidRPr="008C580C">
        <w:rPr>
          <w:color w:val="000000" w:themeColor="text1"/>
          <w:szCs w:val="26"/>
        </w:rPr>
        <w:t> </w:t>
      </w:r>
      <w:r w:rsidR="002A35C8" w:rsidRPr="008C580C">
        <w:rPr>
          <w:color w:val="000000" w:themeColor="text1"/>
          <w:szCs w:val="26"/>
        </w:rPr>
        <w:t>Cal.App.3d at p.</w:t>
      </w:r>
      <w:r w:rsidR="00773D1C" w:rsidRPr="008C580C">
        <w:rPr>
          <w:color w:val="000000" w:themeColor="text1"/>
          <w:szCs w:val="26"/>
        </w:rPr>
        <w:t> </w:t>
      </w:r>
      <w:r w:rsidR="002A35C8" w:rsidRPr="008C580C">
        <w:rPr>
          <w:color w:val="000000" w:themeColor="text1"/>
          <w:szCs w:val="26"/>
        </w:rPr>
        <w:t xml:space="preserve">1134 &amp; fn. 17 [discovery context]; see also </w:t>
      </w:r>
      <w:r w:rsidR="002A35C8" w:rsidRPr="008C580C">
        <w:rPr>
          <w:i/>
          <w:color w:val="000000" w:themeColor="text1"/>
          <w:szCs w:val="26"/>
        </w:rPr>
        <w:t xml:space="preserve">Kling, supra, </w:t>
      </w:r>
      <w:r w:rsidR="002A35C8" w:rsidRPr="008C580C">
        <w:rPr>
          <w:color w:val="000000" w:themeColor="text1"/>
          <w:szCs w:val="26"/>
        </w:rPr>
        <w:t>50</w:t>
      </w:r>
      <w:r w:rsidR="000363B1" w:rsidRPr="008C580C">
        <w:rPr>
          <w:color w:val="000000" w:themeColor="text1"/>
          <w:szCs w:val="26"/>
        </w:rPr>
        <w:t> </w:t>
      </w:r>
      <w:r w:rsidR="002A35C8" w:rsidRPr="008C580C">
        <w:rPr>
          <w:color w:val="000000" w:themeColor="text1"/>
          <w:szCs w:val="26"/>
        </w:rPr>
        <w:t xml:space="preserve">Cal.4th at p. 1087 [noting the People’s right to a speedy trial].)  </w:t>
      </w:r>
    </w:p>
    <w:p w14:paraId="2C5DB5E5" w14:textId="2F3954B4" w:rsidR="002A35C8" w:rsidRPr="008C580C" w:rsidRDefault="00B27FDE" w:rsidP="00EA0331">
      <w:pPr>
        <w:ind w:firstLine="720"/>
        <w:rPr>
          <w:color w:val="000000" w:themeColor="text1"/>
          <w:szCs w:val="26"/>
        </w:rPr>
      </w:pPr>
      <w:r>
        <w:rPr>
          <w:color w:val="000000" w:themeColor="text1"/>
          <w:szCs w:val="26"/>
        </w:rPr>
        <w:t>(</w:t>
      </w:r>
      <w:r w:rsidR="005D4C66" w:rsidRPr="008C580C">
        <w:rPr>
          <w:color w:val="000000" w:themeColor="text1"/>
          <w:szCs w:val="26"/>
        </w:rPr>
        <w:t>7</w:t>
      </w:r>
      <w:r>
        <w:rPr>
          <w:color w:val="000000" w:themeColor="text1"/>
          <w:szCs w:val="26"/>
        </w:rPr>
        <w:t>)</w:t>
      </w:r>
      <w:r w:rsidR="005D4C66" w:rsidRPr="008C580C">
        <w:rPr>
          <w:color w:val="000000" w:themeColor="text1"/>
          <w:szCs w:val="26"/>
        </w:rPr>
        <w:t xml:space="preserve">  </w:t>
      </w:r>
      <w:r w:rsidR="002A35C8" w:rsidRPr="008C580C">
        <w:rPr>
          <w:color w:val="000000" w:themeColor="text1"/>
          <w:szCs w:val="26"/>
        </w:rPr>
        <w:t>Would “production of the records containing the requested information . . . place an unreasonable burden on the [third party]”?  (</w:t>
      </w:r>
      <w:r w:rsidR="002A35C8" w:rsidRPr="008C580C">
        <w:rPr>
          <w:i/>
          <w:color w:val="000000" w:themeColor="text1"/>
          <w:szCs w:val="26"/>
        </w:rPr>
        <w:t xml:space="preserve">Alhambra, supra, </w:t>
      </w:r>
      <w:r w:rsidR="002A35C8" w:rsidRPr="008C580C">
        <w:rPr>
          <w:color w:val="000000" w:themeColor="text1"/>
          <w:szCs w:val="26"/>
        </w:rPr>
        <w:t>205</w:t>
      </w:r>
      <w:r w:rsidR="000363B1" w:rsidRPr="008C580C">
        <w:rPr>
          <w:color w:val="000000" w:themeColor="text1"/>
          <w:szCs w:val="26"/>
        </w:rPr>
        <w:t> </w:t>
      </w:r>
      <w:r w:rsidR="002A35C8" w:rsidRPr="008C580C">
        <w:rPr>
          <w:color w:val="000000" w:themeColor="text1"/>
          <w:szCs w:val="26"/>
        </w:rPr>
        <w:t>Cal.App.3d at p.</w:t>
      </w:r>
      <w:r w:rsidR="00773D1C" w:rsidRPr="008C580C">
        <w:rPr>
          <w:color w:val="000000" w:themeColor="text1"/>
          <w:szCs w:val="26"/>
        </w:rPr>
        <w:t> </w:t>
      </w:r>
      <w:r w:rsidR="002A35C8" w:rsidRPr="008C580C">
        <w:rPr>
          <w:color w:val="000000" w:themeColor="text1"/>
          <w:szCs w:val="26"/>
        </w:rPr>
        <w:t xml:space="preserve">1134 [discovery context]; </w:t>
      </w:r>
      <w:r w:rsidR="00323824">
        <w:rPr>
          <w:color w:val="000000" w:themeColor="text1"/>
          <w:szCs w:val="26"/>
        </w:rPr>
        <w:t xml:space="preserve">see also </w:t>
      </w:r>
      <w:r w:rsidR="002A35C8" w:rsidRPr="008C580C">
        <w:rPr>
          <w:i/>
          <w:color w:val="000000" w:themeColor="text1"/>
          <w:szCs w:val="26"/>
        </w:rPr>
        <w:t>Facebook (Hunter), supra</w:t>
      </w:r>
      <w:r w:rsidR="002A35C8" w:rsidRPr="008C580C">
        <w:rPr>
          <w:color w:val="000000" w:themeColor="text1"/>
          <w:szCs w:val="26"/>
        </w:rPr>
        <w:t xml:space="preserve">, </w:t>
      </w:r>
      <w:r w:rsidR="00EB1BB1" w:rsidRPr="008C580C">
        <w:rPr>
          <w:color w:val="000000" w:themeColor="text1"/>
          <w:szCs w:val="26"/>
        </w:rPr>
        <w:t>4 </w:t>
      </w:r>
      <w:r w:rsidR="002A35C8" w:rsidRPr="008C580C">
        <w:rPr>
          <w:color w:val="000000" w:themeColor="text1"/>
          <w:szCs w:val="26"/>
        </w:rPr>
        <w:t>Cal.5th at pp.</w:t>
      </w:r>
      <w:r w:rsidR="00773D1C" w:rsidRPr="008C580C">
        <w:rPr>
          <w:color w:val="000000" w:themeColor="text1"/>
          <w:szCs w:val="26"/>
        </w:rPr>
        <w:t> </w:t>
      </w:r>
      <w:r w:rsidR="002A35C8" w:rsidRPr="008C580C">
        <w:rPr>
          <w:color w:val="000000" w:themeColor="text1"/>
          <w:szCs w:val="26"/>
        </w:rPr>
        <w:t>1289</w:t>
      </w:r>
      <w:r w:rsidR="00EA3DB4">
        <w:rPr>
          <w:color w:val="000000" w:themeColor="text1"/>
          <w:szCs w:val="26"/>
        </w:rPr>
        <w:t>–</w:t>
      </w:r>
      <w:r w:rsidR="002A35C8" w:rsidRPr="008C580C">
        <w:rPr>
          <w:color w:val="000000" w:themeColor="text1"/>
          <w:szCs w:val="26"/>
        </w:rPr>
        <w:t xml:space="preserve">1290 [regarding asserted burdens on a social media provider]; </w:t>
      </w:r>
      <w:r w:rsidR="002A35C8" w:rsidRPr="008C580C">
        <w:rPr>
          <w:i/>
          <w:color w:val="000000" w:themeColor="text1"/>
          <w:szCs w:val="26"/>
        </w:rPr>
        <w:t>Serrata, supra,</w:t>
      </w:r>
      <w:r w:rsidR="002A35C8" w:rsidRPr="008C580C">
        <w:rPr>
          <w:color w:val="000000" w:themeColor="text1"/>
          <w:szCs w:val="26"/>
        </w:rPr>
        <w:t xml:space="preserve"> 62 Cal.App.3d 9, 15; cf. </w:t>
      </w:r>
      <w:r w:rsidR="002A35C8" w:rsidRPr="008C580C">
        <w:rPr>
          <w:i/>
          <w:color w:val="000000" w:themeColor="text1"/>
          <w:szCs w:val="26"/>
        </w:rPr>
        <w:t xml:space="preserve">People v. </w:t>
      </w:r>
      <w:proofErr w:type="spellStart"/>
      <w:r w:rsidR="002A35C8" w:rsidRPr="008C580C">
        <w:rPr>
          <w:i/>
          <w:color w:val="000000" w:themeColor="text1"/>
          <w:szCs w:val="26"/>
        </w:rPr>
        <w:t>Kaurish</w:t>
      </w:r>
      <w:proofErr w:type="spellEnd"/>
      <w:r w:rsidR="002A35C8" w:rsidRPr="008C580C">
        <w:rPr>
          <w:color w:val="000000" w:themeColor="text1"/>
          <w:szCs w:val="26"/>
        </w:rPr>
        <w:t xml:space="preserve"> (1990) 52 Cal.3d 648, 686 [criminal discovery may be denied if “the burdens placed on government and on third parties </w:t>
      </w:r>
      <w:r w:rsidR="002A35C8" w:rsidRPr="008C580C">
        <w:rPr>
          <w:i/>
          <w:color w:val="000000" w:themeColor="text1"/>
          <w:szCs w:val="26"/>
        </w:rPr>
        <w:t>substantially</w:t>
      </w:r>
      <w:r w:rsidR="002A35C8" w:rsidRPr="008C580C">
        <w:rPr>
          <w:color w:val="000000" w:themeColor="text1"/>
          <w:szCs w:val="26"/>
        </w:rPr>
        <w:t xml:space="preserve"> outweigh the demonstrated need</w:t>
      </w:r>
      <w:r w:rsidR="00786946" w:rsidRPr="008C580C">
        <w:rPr>
          <w:color w:val="000000" w:themeColor="text1"/>
          <w:szCs w:val="26"/>
        </w:rPr>
        <w:t>”</w:t>
      </w:r>
      <w:r w:rsidR="00C75102">
        <w:rPr>
          <w:color w:val="000000" w:themeColor="text1"/>
          <w:szCs w:val="26"/>
        </w:rPr>
        <w:t>]</w:t>
      </w:r>
      <w:r w:rsidR="002A35C8" w:rsidRPr="008C580C">
        <w:rPr>
          <w:rFonts w:cstheme="minorHAnsi"/>
          <w:color w:val="000000" w:themeColor="text1"/>
          <w:szCs w:val="26"/>
        </w:rPr>
        <w:t>.)</w:t>
      </w:r>
      <w:r w:rsidR="002A35C8" w:rsidRPr="008C580C">
        <w:rPr>
          <w:color w:val="000000" w:themeColor="text1"/>
          <w:szCs w:val="26"/>
        </w:rPr>
        <w:t xml:space="preserve">  </w:t>
      </w:r>
    </w:p>
    <w:p w14:paraId="48C1377A" w14:textId="77777777" w:rsidR="00C50B3D" w:rsidRDefault="002A35C8" w:rsidP="009D7C57">
      <w:pPr>
        <w:ind w:firstLine="720"/>
        <w:rPr>
          <w:color w:val="000000" w:themeColor="text1"/>
          <w:szCs w:val="26"/>
        </w:rPr>
      </w:pPr>
      <w:r w:rsidRPr="008C580C">
        <w:rPr>
          <w:color w:val="000000" w:themeColor="text1"/>
          <w:szCs w:val="26"/>
        </w:rPr>
        <w:t xml:space="preserve">For convenience, </w:t>
      </w:r>
      <w:r w:rsidR="006D4283" w:rsidRPr="008C580C">
        <w:rPr>
          <w:color w:val="000000" w:themeColor="text1"/>
          <w:szCs w:val="26"/>
        </w:rPr>
        <w:t>we</w:t>
      </w:r>
      <w:r w:rsidRPr="008C580C">
        <w:rPr>
          <w:color w:val="000000" w:themeColor="text1"/>
          <w:szCs w:val="26"/>
        </w:rPr>
        <w:t xml:space="preserve"> will refer to </w:t>
      </w:r>
      <w:r w:rsidR="009D7C57">
        <w:rPr>
          <w:color w:val="000000" w:themeColor="text1"/>
          <w:szCs w:val="26"/>
        </w:rPr>
        <w:t>these seven</w:t>
      </w:r>
      <w:r w:rsidR="003D521E">
        <w:rPr>
          <w:color w:val="000000" w:themeColor="text1"/>
          <w:szCs w:val="26"/>
        </w:rPr>
        <w:t xml:space="preserve"> </w:t>
      </w:r>
      <w:r w:rsidR="003C6459">
        <w:rPr>
          <w:color w:val="000000" w:themeColor="text1"/>
          <w:szCs w:val="26"/>
        </w:rPr>
        <w:t xml:space="preserve">considerations </w:t>
      </w:r>
      <w:r w:rsidRPr="008C580C">
        <w:rPr>
          <w:color w:val="000000" w:themeColor="text1"/>
          <w:szCs w:val="26"/>
        </w:rPr>
        <w:t>as the “</w:t>
      </w:r>
      <w:r w:rsidRPr="008C580C">
        <w:rPr>
          <w:i/>
          <w:color w:val="000000" w:themeColor="text1"/>
          <w:szCs w:val="26"/>
        </w:rPr>
        <w:t>Alhambra</w:t>
      </w:r>
      <w:r w:rsidRPr="008C580C">
        <w:rPr>
          <w:color w:val="000000" w:themeColor="text1"/>
          <w:szCs w:val="26"/>
        </w:rPr>
        <w:t xml:space="preserve"> factors</w:t>
      </w:r>
      <w:r w:rsidR="003E1B2C" w:rsidRPr="008C580C">
        <w:rPr>
          <w:color w:val="000000" w:themeColor="text1"/>
          <w:szCs w:val="26"/>
        </w:rPr>
        <w:t>.</w:t>
      </w:r>
      <w:r w:rsidRPr="008C580C">
        <w:rPr>
          <w:color w:val="000000" w:themeColor="text1"/>
          <w:szCs w:val="26"/>
        </w:rPr>
        <w:t xml:space="preserve">” </w:t>
      </w:r>
      <w:r w:rsidR="00C50B3D">
        <w:rPr>
          <w:color w:val="000000" w:themeColor="text1"/>
          <w:szCs w:val="26"/>
        </w:rPr>
        <w:br w:type="page"/>
      </w:r>
    </w:p>
    <w:p w14:paraId="61204CB8" w14:textId="118D0528" w:rsidR="001618FA" w:rsidRPr="008C580C" w:rsidRDefault="00B45BEA" w:rsidP="00EA0331">
      <w:pPr>
        <w:pStyle w:val="Heading2"/>
        <w:rPr>
          <w:color w:val="000000" w:themeColor="text1"/>
        </w:rPr>
      </w:pPr>
      <w:r w:rsidRPr="008C580C">
        <w:rPr>
          <w:color w:val="000000" w:themeColor="text1"/>
        </w:rPr>
        <w:lastRenderedPageBreak/>
        <w:t xml:space="preserve">B.  </w:t>
      </w:r>
      <w:r w:rsidR="002E77D1" w:rsidRPr="008C580C">
        <w:rPr>
          <w:color w:val="000000" w:themeColor="text1"/>
        </w:rPr>
        <w:t>Appl</w:t>
      </w:r>
      <w:r w:rsidR="00186A16" w:rsidRPr="008C580C">
        <w:rPr>
          <w:color w:val="000000" w:themeColor="text1"/>
        </w:rPr>
        <w:t xml:space="preserve">ying the </w:t>
      </w:r>
      <w:r w:rsidR="00186A16" w:rsidRPr="008C580C">
        <w:rPr>
          <w:i/>
          <w:iCs/>
          <w:color w:val="000000" w:themeColor="text1"/>
        </w:rPr>
        <w:t>Alhambra</w:t>
      </w:r>
      <w:r w:rsidR="00186A16" w:rsidRPr="008C580C">
        <w:rPr>
          <w:color w:val="000000" w:themeColor="text1"/>
        </w:rPr>
        <w:t xml:space="preserve"> </w:t>
      </w:r>
      <w:r w:rsidR="00BE5098" w:rsidRPr="008C580C">
        <w:rPr>
          <w:color w:val="000000" w:themeColor="text1"/>
        </w:rPr>
        <w:t>F</w:t>
      </w:r>
      <w:r w:rsidR="00186A16" w:rsidRPr="008C580C">
        <w:rPr>
          <w:color w:val="000000" w:themeColor="text1"/>
        </w:rPr>
        <w:t>actors —</w:t>
      </w:r>
      <w:r w:rsidR="00A6578B" w:rsidRPr="008C580C">
        <w:rPr>
          <w:color w:val="000000" w:themeColor="text1"/>
        </w:rPr>
        <w:t xml:space="preserve"> </w:t>
      </w:r>
      <w:r w:rsidR="002E77D1" w:rsidRPr="008C580C">
        <w:rPr>
          <w:color w:val="000000" w:themeColor="text1"/>
        </w:rPr>
        <w:t>W</w:t>
      </w:r>
      <w:r w:rsidR="001618FA" w:rsidRPr="008C580C">
        <w:rPr>
          <w:color w:val="000000" w:themeColor="text1"/>
        </w:rPr>
        <w:t xml:space="preserve">ith </w:t>
      </w:r>
      <w:r w:rsidR="002E77D1" w:rsidRPr="008C580C">
        <w:rPr>
          <w:color w:val="000000" w:themeColor="text1"/>
        </w:rPr>
        <w:t>E</w:t>
      </w:r>
      <w:r w:rsidR="001618FA" w:rsidRPr="008C580C">
        <w:rPr>
          <w:color w:val="000000" w:themeColor="text1"/>
        </w:rPr>
        <w:t xml:space="preserve">mphasis on </w:t>
      </w:r>
      <w:r w:rsidR="003F745E" w:rsidRPr="008C580C">
        <w:rPr>
          <w:color w:val="000000" w:themeColor="text1"/>
        </w:rPr>
        <w:t xml:space="preserve">the </w:t>
      </w:r>
      <w:r w:rsidR="002E77D1" w:rsidRPr="008C580C">
        <w:rPr>
          <w:color w:val="000000" w:themeColor="text1"/>
        </w:rPr>
        <w:t>P</w:t>
      </w:r>
      <w:r w:rsidR="001618FA" w:rsidRPr="008C580C">
        <w:rPr>
          <w:color w:val="000000" w:themeColor="text1"/>
        </w:rPr>
        <w:t xml:space="preserve">lausible </w:t>
      </w:r>
      <w:r w:rsidR="00367184" w:rsidRPr="008C580C">
        <w:rPr>
          <w:color w:val="000000" w:themeColor="text1"/>
        </w:rPr>
        <w:t>J</w:t>
      </w:r>
      <w:r w:rsidR="001618FA" w:rsidRPr="008C580C">
        <w:rPr>
          <w:color w:val="000000" w:themeColor="text1"/>
        </w:rPr>
        <w:t xml:space="preserve">ustification </w:t>
      </w:r>
      <w:r w:rsidR="008104CC" w:rsidRPr="008C580C">
        <w:rPr>
          <w:color w:val="000000" w:themeColor="text1"/>
        </w:rPr>
        <w:t xml:space="preserve">and </w:t>
      </w:r>
      <w:r w:rsidR="005D5393" w:rsidRPr="008C580C">
        <w:rPr>
          <w:color w:val="000000" w:themeColor="text1"/>
          <w:szCs w:val="26"/>
        </w:rPr>
        <w:t>C</w:t>
      </w:r>
      <w:r w:rsidR="00396533" w:rsidRPr="008C580C">
        <w:rPr>
          <w:color w:val="000000" w:themeColor="text1"/>
          <w:szCs w:val="26"/>
        </w:rPr>
        <w:t>onfidentiality</w:t>
      </w:r>
      <w:r w:rsidR="00EA091F">
        <w:rPr>
          <w:color w:val="000000" w:themeColor="text1"/>
          <w:szCs w:val="26"/>
        </w:rPr>
        <w:t>/</w:t>
      </w:r>
      <w:r w:rsidR="005D5393" w:rsidRPr="008C580C">
        <w:rPr>
          <w:color w:val="000000" w:themeColor="text1"/>
          <w:szCs w:val="26"/>
        </w:rPr>
        <w:t>C</w:t>
      </w:r>
      <w:r w:rsidR="00396533" w:rsidRPr="008C580C">
        <w:rPr>
          <w:color w:val="000000" w:themeColor="text1"/>
          <w:szCs w:val="26"/>
        </w:rPr>
        <w:t xml:space="preserve">onstitutional </w:t>
      </w:r>
      <w:r w:rsidR="005D5393" w:rsidRPr="008C580C">
        <w:rPr>
          <w:color w:val="000000" w:themeColor="text1"/>
          <w:szCs w:val="26"/>
        </w:rPr>
        <w:t>R</w:t>
      </w:r>
      <w:r w:rsidR="00396533" w:rsidRPr="008C580C">
        <w:rPr>
          <w:color w:val="000000" w:themeColor="text1"/>
          <w:szCs w:val="26"/>
        </w:rPr>
        <w:t>ights</w:t>
      </w:r>
      <w:r w:rsidR="003F745E" w:rsidRPr="008C580C">
        <w:rPr>
          <w:color w:val="000000" w:themeColor="text1"/>
          <w:szCs w:val="26"/>
        </w:rPr>
        <w:t xml:space="preserve"> </w:t>
      </w:r>
      <w:r w:rsidR="00316E45" w:rsidRPr="008C580C">
        <w:rPr>
          <w:color w:val="000000" w:themeColor="text1"/>
          <w:szCs w:val="26"/>
        </w:rPr>
        <w:t>Considerations</w:t>
      </w:r>
    </w:p>
    <w:p w14:paraId="1EB77642" w14:textId="45733F1A" w:rsidR="00C807D4" w:rsidRPr="008C580C" w:rsidRDefault="00C807D4" w:rsidP="00773D1C">
      <w:pPr>
        <w:pStyle w:val="PRComments"/>
        <w:spacing w:line="400" w:lineRule="exact"/>
        <w:ind w:right="0" w:firstLine="720"/>
        <w:rPr>
          <w:color w:val="000000" w:themeColor="text1"/>
        </w:rPr>
      </w:pPr>
      <w:r w:rsidRPr="008C580C">
        <w:rPr>
          <w:color w:val="000000" w:themeColor="text1"/>
        </w:rPr>
        <w:t xml:space="preserve">We will review </w:t>
      </w:r>
      <w:r w:rsidR="001432E6" w:rsidRPr="008C580C">
        <w:rPr>
          <w:color w:val="000000" w:themeColor="text1"/>
        </w:rPr>
        <w:t xml:space="preserve">selected </w:t>
      </w:r>
      <w:r w:rsidRPr="008C580C">
        <w:rPr>
          <w:color w:val="000000" w:themeColor="text1"/>
        </w:rPr>
        <w:t>prior decisions c</w:t>
      </w:r>
      <w:r w:rsidRPr="001F7E2A">
        <w:rPr>
          <w:color w:val="000000" w:themeColor="text1"/>
        </w:rPr>
        <w:t xml:space="preserve">ited </w:t>
      </w:r>
      <w:r w:rsidRPr="002F6506">
        <w:rPr>
          <w:color w:val="000000" w:themeColor="text1"/>
        </w:rPr>
        <w:t>above</w:t>
      </w:r>
      <w:r w:rsidR="00F20042" w:rsidRPr="0031703E">
        <w:rPr>
          <w:color w:val="000000" w:themeColor="text1"/>
        </w:rPr>
        <w:t xml:space="preserve"> </w:t>
      </w:r>
      <w:proofErr w:type="gramStart"/>
      <w:r w:rsidRPr="008172DC">
        <w:rPr>
          <w:color w:val="000000" w:themeColor="text1"/>
        </w:rPr>
        <w:t>i</w:t>
      </w:r>
      <w:r w:rsidRPr="008C580C">
        <w:rPr>
          <w:color w:val="000000" w:themeColor="text1"/>
        </w:rPr>
        <w:t>n order to</w:t>
      </w:r>
      <w:proofErr w:type="gramEnd"/>
      <w:r w:rsidRPr="008C580C">
        <w:rPr>
          <w:color w:val="000000" w:themeColor="text1"/>
        </w:rPr>
        <w:t xml:space="preserve"> illustrate key underlying principles</w:t>
      </w:r>
      <w:r w:rsidR="00F819D9" w:rsidRPr="008C580C">
        <w:rPr>
          <w:color w:val="000000" w:themeColor="text1"/>
        </w:rPr>
        <w:t>,</w:t>
      </w:r>
      <w:r w:rsidRPr="008C580C">
        <w:rPr>
          <w:color w:val="000000" w:themeColor="text1"/>
        </w:rPr>
        <w:t xml:space="preserve"> with emphasis on the plausible justification </w:t>
      </w:r>
      <w:r w:rsidR="00116BF2" w:rsidRPr="008C580C">
        <w:rPr>
          <w:color w:val="000000" w:themeColor="text1"/>
        </w:rPr>
        <w:t xml:space="preserve">and </w:t>
      </w:r>
      <w:r w:rsidR="00B934F7" w:rsidRPr="008C580C">
        <w:rPr>
          <w:color w:val="000000" w:themeColor="text1"/>
        </w:rPr>
        <w:t>confidentiality/</w:t>
      </w:r>
      <w:r w:rsidR="00116BF2" w:rsidRPr="008C580C">
        <w:rPr>
          <w:color w:val="000000" w:themeColor="text1"/>
        </w:rPr>
        <w:t xml:space="preserve">constitutional rights </w:t>
      </w:r>
      <w:r w:rsidR="00CB728C" w:rsidRPr="008C580C">
        <w:rPr>
          <w:color w:val="000000" w:themeColor="text1"/>
        </w:rPr>
        <w:t>considerations</w:t>
      </w:r>
      <w:r w:rsidR="00612A31" w:rsidRPr="008C580C">
        <w:rPr>
          <w:color w:val="000000" w:themeColor="text1"/>
        </w:rPr>
        <w:t xml:space="preserve">, which are especially pertinent </w:t>
      </w:r>
      <w:r w:rsidR="00C6607E" w:rsidRPr="008C580C">
        <w:rPr>
          <w:color w:val="000000" w:themeColor="text1"/>
        </w:rPr>
        <w:t>to the present litigation</w:t>
      </w:r>
      <w:r w:rsidR="00116BF2" w:rsidRPr="008C580C">
        <w:rPr>
          <w:color w:val="000000" w:themeColor="text1"/>
        </w:rPr>
        <w:t xml:space="preserve">.  </w:t>
      </w:r>
    </w:p>
    <w:p w14:paraId="425013F3" w14:textId="3A28ADDF" w:rsidR="00BD7006" w:rsidRPr="008C580C" w:rsidRDefault="00F863D4" w:rsidP="00EA0331">
      <w:pPr>
        <w:pStyle w:val="Heading3"/>
        <w:rPr>
          <w:color w:val="000000" w:themeColor="text1"/>
        </w:rPr>
      </w:pPr>
      <w:r w:rsidRPr="008C580C">
        <w:rPr>
          <w:color w:val="000000" w:themeColor="text1"/>
        </w:rPr>
        <w:t xml:space="preserve">1.  </w:t>
      </w:r>
      <w:r w:rsidR="00936108" w:rsidRPr="008C580C">
        <w:rPr>
          <w:color w:val="000000" w:themeColor="text1"/>
        </w:rPr>
        <w:t xml:space="preserve">The </w:t>
      </w:r>
      <w:r w:rsidR="002F4EC7" w:rsidRPr="008C580C">
        <w:rPr>
          <w:color w:val="000000" w:themeColor="text1"/>
        </w:rPr>
        <w:t xml:space="preserve">plausible justification factor </w:t>
      </w:r>
    </w:p>
    <w:p w14:paraId="70113C72" w14:textId="510801F0" w:rsidR="008247BF" w:rsidRPr="006D50FA" w:rsidRDefault="007E2C30" w:rsidP="00EA0331">
      <w:pPr>
        <w:pStyle w:val="Heading4"/>
        <w:rPr>
          <w:color w:val="000000" w:themeColor="text1"/>
        </w:rPr>
      </w:pPr>
      <w:r w:rsidRPr="008C580C">
        <w:rPr>
          <w:color w:val="000000" w:themeColor="text1"/>
        </w:rPr>
        <w:t xml:space="preserve">a.  </w:t>
      </w:r>
      <w:r w:rsidRPr="006D50FA">
        <w:rPr>
          <w:i w:val="0"/>
          <w:iCs/>
          <w:color w:val="000000" w:themeColor="text1"/>
        </w:rPr>
        <w:t>Ballard</w:t>
      </w:r>
    </w:p>
    <w:p w14:paraId="7F40973E" w14:textId="7FF34CA4" w:rsidR="00C807D4"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t xml:space="preserve">We first articulated the plausible justification </w:t>
      </w:r>
      <w:r w:rsidR="00724CAD" w:rsidRPr="006D50FA">
        <w:rPr>
          <w:color w:val="000000" w:themeColor="text1"/>
          <w:szCs w:val="26"/>
        </w:rPr>
        <w:t xml:space="preserve">consideration </w:t>
      </w:r>
      <w:r w:rsidRPr="006D50FA">
        <w:rPr>
          <w:color w:val="000000" w:themeColor="text1"/>
          <w:szCs w:val="26"/>
        </w:rPr>
        <w:t xml:space="preserve">in </w:t>
      </w:r>
      <w:r w:rsidRPr="006D50FA">
        <w:rPr>
          <w:i/>
          <w:color w:val="000000" w:themeColor="text1"/>
          <w:szCs w:val="26"/>
        </w:rPr>
        <w:t xml:space="preserve">Ballard, supra, </w:t>
      </w:r>
      <w:r w:rsidRPr="006D50FA">
        <w:rPr>
          <w:color w:val="000000" w:themeColor="text1"/>
          <w:szCs w:val="26"/>
        </w:rPr>
        <w:t>64 Cal.2d 159.  There the defendant, a doctor, stood charged with drugging and raping his patient.  The prosecution, with the cooperation of the victim, made recordings of telephone conversations in which the defendant incriminated himself.  The defendant was granted discovery, and the prosecution also agreed to provide defense counsel with the names and addresses and the statements of witnesses that would be called at trial.  But</w:t>
      </w:r>
      <w:r w:rsidR="005C38C3" w:rsidRPr="006D50FA">
        <w:rPr>
          <w:color w:val="000000" w:themeColor="text1"/>
          <w:szCs w:val="26"/>
        </w:rPr>
        <w:t>, in addition,</w:t>
      </w:r>
      <w:r w:rsidR="00697683" w:rsidRPr="006D50FA">
        <w:rPr>
          <w:color w:val="000000" w:themeColor="text1"/>
          <w:szCs w:val="26"/>
        </w:rPr>
        <w:t xml:space="preserve"> the</w:t>
      </w:r>
      <w:r w:rsidRPr="006D50FA">
        <w:rPr>
          <w:color w:val="000000" w:themeColor="text1"/>
          <w:szCs w:val="26"/>
        </w:rPr>
        <w:t xml:space="preserve"> defendant sought to discover the names and addresses of </w:t>
      </w:r>
      <w:r w:rsidRPr="006D50FA">
        <w:rPr>
          <w:i/>
          <w:iCs/>
          <w:color w:val="000000" w:themeColor="text1"/>
          <w:szCs w:val="26"/>
        </w:rPr>
        <w:t>all</w:t>
      </w:r>
      <w:r w:rsidRPr="006D50FA">
        <w:rPr>
          <w:color w:val="000000" w:themeColor="text1"/>
          <w:szCs w:val="26"/>
        </w:rPr>
        <w:t xml:space="preserve"> persons interviewed by the police regarding the charge.  (</w:t>
      </w:r>
      <w:r w:rsidRPr="006D50FA">
        <w:rPr>
          <w:i/>
          <w:iCs/>
          <w:color w:val="000000" w:themeColor="text1"/>
          <w:szCs w:val="26"/>
        </w:rPr>
        <w:t>Id.</w:t>
      </w:r>
      <w:r w:rsidRPr="006D50FA">
        <w:rPr>
          <w:color w:val="000000" w:themeColor="text1"/>
          <w:szCs w:val="26"/>
        </w:rPr>
        <w:t xml:space="preserve">, at p. 166.)  </w:t>
      </w:r>
    </w:p>
    <w:p w14:paraId="6BF71A7C" w14:textId="29AD05AC" w:rsidR="00C807D4"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t xml:space="preserve">We </w:t>
      </w:r>
      <w:r w:rsidR="00074142" w:rsidRPr="006D50FA">
        <w:rPr>
          <w:color w:val="000000" w:themeColor="text1"/>
          <w:szCs w:val="26"/>
        </w:rPr>
        <w:t xml:space="preserve">found </w:t>
      </w:r>
      <w:r w:rsidR="006B477C" w:rsidRPr="006D50FA">
        <w:rPr>
          <w:color w:val="000000" w:themeColor="text1"/>
          <w:szCs w:val="26"/>
        </w:rPr>
        <w:t xml:space="preserve">the </w:t>
      </w:r>
      <w:r w:rsidRPr="006D50FA">
        <w:rPr>
          <w:color w:val="000000" w:themeColor="text1"/>
          <w:szCs w:val="26"/>
        </w:rPr>
        <w:t xml:space="preserve">trial court properly denied the blanket request for information beyond that already provided to </w:t>
      </w:r>
      <w:r w:rsidR="00A619E9" w:rsidRPr="006D50FA">
        <w:rPr>
          <w:color w:val="000000" w:themeColor="text1"/>
          <w:szCs w:val="26"/>
        </w:rPr>
        <w:t>the defendant</w:t>
      </w:r>
      <w:r w:rsidRPr="006D50FA">
        <w:rPr>
          <w:color w:val="000000" w:themeColor="text1"/>
          <w:szCs w:val="26"/>
        </w:rPr>
        <w:t>.  We explained</w:t>
      </w:r>
      <w:r w:rsidR="00AD2B5D" w:rsidRPr="006D50FA">
        <w:rPr>
          <w:color w:val="000000" w:themeColor="text1"/>
          <w:szCs w:val="26"/>
        </w:rPr>
        <w:t xml:space="preserve"> that</w:t>
      </w:r>
      <w:r w:rsidRPr="006D50FA">
        <w:rPr>
          <w:color w:val="000000" w:themeColor="text1"/>
          <w:szCs w:val="26"/>
        </w:rPr>
        <w:t xml:space="preserve"> “ ‘</w:t>
      </w:r>
      <w:r w:rsidR="00AD2B5D" w:rsidRPr="006D50FA">
        <w:rPr>
          <w:color w:val="000000" w:themeColor="text1"/>
          <w:szCs w:val="26"/>
        </w:rPr>
        <w:t>[a]</w:t>
      </w:r>
      <w:proofErr w:type="spellStart"/>
      <w:r w:rsidRPr="006D50FA">
        <w:rPr>
          <w:color w:val="000000" w:themeColor="text1"/>
          <w:szCs w:val="26"/>
        </w:rPr>
        <w:t>lthough</w:t>
      </w:r>
      <w:proofErr w:type="spellEnd"/>
      <w:r w:rsidRPr="006D50FA">
        <w:rPr>
          <w:color w:val="000000" w:themeColor="text1"/>
          <w:szCs w:val="26"/>
        </w:rPr>
        <w:t xml:space="preserve"> the defendant does not have to show, and indeed may be unable to show, that the evidence which he seeks to have produced would be admissible at the trial [citations], </w:t>
      </w:r>
      <w:r w:rsidRPr="006D50FA">
        <w:rPr>
          <w:i/>
          <w:iCs/>
          <w:color w:val="000000" w:themeColor="text1"/>
          <w:szCs w:val="26"/>
        </w:rPr>
        <w:t xml:space="preserve">he does have to show some better cause for inspection than a mere desire for the benefit of all information </w:t>
      </w:r>
      <w:r w:rsidRPr="006D50FA">
        <w:rPr>
          <w:i/>
          <w:iCs/>
          <w:color w:val="000000" w:themeColor="text1"/>
          <w:szCs w:val="26"/>
        </w:rPr>
        <w:lastRenderedPageBreak/>
        <w:t>which has been obtained by the People in their investigation of the crime</w:t>
      </w:r>
      <w:r w:rsidRPr="006D50FA">
        <w:rPr>
          <w:color w:val="000000" w:themeColor="text1"/>
          <w:szCs w:val="26"/>
        </w:rPr>
        <w:t xml:space="preserve">.’ ” </w:t>
      </w:r>
      <w:r w:rsidR="00C62BC2" w:rsidRPr="006D50FA">
        <w:rPr>
          <w:color w:val="000000" w:themeColor="text1"/>
          <w:szCs w:val="26"/>
        </w:rPr>
        <w:t xml:space="preserve"> (</w:t>
      </w:r>
      <w:r w:rsidR="00C62BC2" w:rsidRPr="006D50FA">
        <w:rPr>
          <w:i/>
          <w:color w:val="000000" w:themeColor="text1"/>
          <w:szCs w:val="26"/>
        </w:rPr>
        <w:t xml:space="preserve">Ballard, supra, </w:t>
      </w:r>
      <w:r w:rsidR="00C62BC2" w:rsidRPr="006D50FA">
        <w:rPr>
          <w:iCs/>
          <w:color w:val="000000" w:themeColor="text1"/>
          <w:szCs w:val="26"/>
        </w:rPr>
        <w:t xml:space="preserve">64 Cal.2d </w:t>
      </w:r>
      <w:r w:rsidR="00C62BC2" w:rsidRPr="006D50FA">
        <w:rPr>
          <w:color w:val="000000" w:themeColor="text1"/>
          <w:szCs w:val="26"/>
        </w:rPr>
        <w:t>at p.</w:t>
      </w:r>
      <w:r w:rsidR="00773D1C" w:rsidRPr="006D50FA">
        <w:rPr>
          <w:color w:val="000000" w:themeColor="text1"/>
          <w:szCs w:val="26"/>
        </w:rPr>
        <w:t> </w:t>
      </w:r>
      <w:r w:rsidR="00C62BC2" w:rsidRPr="006D50FA">
        <w:rPr>
          <w:color w:val="000000" w:themeColor="text1"/>
          <w:szCs w:val="26"/>
        </w:rPr>
        <w:t>167</w:t>
      </w:r>
      <w:r w:rsidR="00D92643" w:rsidRPr="006D50FA">
        <w:rPr>
          <w:color w:val="000000" w:themeColor="text1"/>
          <w:szCs w:val="26"/>
        </w:rPr>
        <w:t>, italics added</w:t>
      </w:r>
      <w:r w:rsidR="00C62BC2" w:rsidRPr="006D50FA">
        <w:rPr>
          <w:color w:val="000000" w:themeColor="text1"/>
          <w:szCs w:val="26"/>
        </w:rPr>
        <w:t xml:space="preserve">.)  </w:t>
      </w:r>
    </w:p>
    <w:p w14:paraId="01BFF5B8" w14:textId="51BDC052" w:rsidR="00C807D4"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t>We elaborated:  “A defendant’s motion for discovery must . . . describe the requested information with at least some degree of specificity and must be sustained by</w:t>
      </w:r>
      <w:r w:rsidRPr="006D50FA">
        <w:rPr>
          <w:i/>
          <w:iCs/>
          <w:color w:val="000000" w:themeColor="text1"/>
          <w:szCs w:val="26"/>
        </w:rPr>
        <w:t xml:space="preserve"> plausible justification</w:t>
      </w:r>
      <w:r w:rsidRPr="006D50FA">
        <w:rPr>
          <w:color w:val="000000" w:themeColor="text1"/>
          <w:szCs w:val="26"/>
        </w:rPr>
        <w:t>.”  (</w:t>
      </w:r>
      <w:r w:rsidRPr="006D50FA">
        <w:rPr>
          <w:i/>
          <w:color w:val="000000" w:themeColor="text1"/>
          <w:szCs w:val="26"/>
        </w:rPr>
        <w:t xml:space="preserve">Ballard, supra, </w:t>
      </w:r>
      <w:r w:rsidRPr="006D50FA">
        <w:rPr>
          <w:iCs/>
          <w:color w:val="000000" w:themeColor="text1"/>
          <w:szCs w:val="26"/>
        </w:rPr>
        <w:t xml:space="preserve">64 Cal.2d </w:t>
      </w:r>
      <w:r w:rsidRPr="006D50FA">
        <w:rPr>
          <w:color w:val="000000" w:themeColor="text1"/>
          <w:szCs w:val="26"/>
        </w:rPr>
        <w:t>at p. 167</w:t>
      </w:r>
      <w:r w:rsidR="00ED2155" w:rsidRPr="006D50FA">
        <w:rPr>
          <w:color w:val="000000" w:themeColor="text1"/>
          <w:szCs w:val="26"/>
        </w:rPr>
        <w:t>, italics added</w:t>
      </w:r>
      <w:r w:rsidRPr="006D50FA">
        <w:rPr>
          <w:color w:val="000000" w:themeColor="text1"/>
          <w:szCs w:val="26"/>
        </w:rPr>
        <w:t>.)  We immediately followed</w:t>
      </w:r>
      <w:r w:rsidR="003F5DB7" w:rsidRPr="006D50FA">
        <w:rPr>
          <w:color w:val="000000" w:themeColor="text1"/>
          <w:szCs w:val="26"/>
        </w:rPr>
        <w:t xml:space="preserve"> on that same page </w:t>
      </w:r>
      <w:r w:rsidRPr="006D50FA">
        <w:rPr>
          <w:color w:val="000000" w:themeColor="text1"/>
          <w:szCs w:val="26"/>
        </w:rPr>
        <w:t xml:space="preserve">by quoting a passage from a then-recent </w:t>
      </w:r>
      <w:r w:rsidR="00294E1E" w:rsidRPr="006D50FA">
        <w:rPr>
          <w:color w:val="000000" w:themeColor="text1"/>
          <w:szCs w:val="26"/>
        </w:rPr>
        <w:t xml:space="preserve">law review </w:t>
      </w:r>
      <w:r w:rsidRPr="006D50FA">
        <w:rPr>
          <w:color w:val="000000" w:themeColor="text1"/>
          <w:szCs w:val="26"/>
        </w:rPr>
        <w:t>article by Chief Justice Traynor, which, although not employing th</w:t>
      </w:r>
      <w:r w:rsidR="00180814" w:rsidRPr="006D50FA">
        <w:rPr>
          <w:color w:val="000000" w:themeColor="text1"/>
          <w:szCs w:val="26"/>
        </w:rPr>
        <w:t xml:space="preserve">e italicized </w:t>
      </w:r>
      <w:r w:rsidRPr="006D50FA">
        <w:rPr>
          <w:color w:val="000000" w:themeColor="text1"/>
          <w:szCs w:val="26"/>
        </w:rPr>
        <w:t xml:space="preserve">phrase, states:  “ ‘A showing [. . .] that the defendant cannot readily obtain the information through his own efforts will ordinarily entitle him to pretrial knowledge of any unprivileged evidence, or information that might lead to the discovery of evidence, </w:t>
      </w:r>
      <w:r w:rsidRPr="006D50FA">
        <w:rPr>
          <w:i/>
          <w:iCs/>
          <w:color w:val="000000" w:themeColor="text1"/>
          <w:szCs w:val="26"/>
        </w:rPr>
        <w:t>if it appears reasonable that such knowledge will assist him in preparing his defense</w:t>
      </w:r>
      <w:r w:rsidRPr="006D50FA">
        <w:rPr>
          <w:color w:val="000000" w:themeColor="text1"/>
          <w:szCs w:val="26"/>
        </w:rPr>
        <w:t xml:space="preserve">. . . .’  (Traynor, </w:t>
      </w:r>
      <w:r w:rsidRPr="006D50FA">
        <w:rPr>
          <w:i/>
          <w:iCs/>
          <w:color w:val="000000" w:themeColor="text1"/>
          <w:szCs w:val="26"/>
        </w:rPr>
        <w:t>Ground Lost and Found in Criminal Discovery</w:t>
      </w:r>
      <w:r w:rsidRPr="006D50FA">
        <w:rPr>
          <w:color w:val="000000" w:themeColor="text1"/>
          <w:szCs w:val="26"/>
        </w:rPr>
        <w:t xml:space="preserve"> (1964) 39 N.Y.U.</w:t>
      </w:r>
      <w:r w:rsidR="007B33CE" w:rsidRPr="006D50FA">
        <w:rPr>
          <w:color w:val="000000" w:themeColor="text1"/>
          <w:szCs w:val="26"/>
        </w:rPr>
        <w:t> </w:t>
      </w:r>
      <w:r w:rsidRPr="006D50FA">
        <w:rPr>
          <w:color w:val="000000" w:themeColor="text1"/>
          <w:szCs w:val="26"/>
        </w:rPr>
        <w:t xml:space="preserve">L.Rev. 228, 244; italics added.)” </w:t>
      </w:r>
      <w:r w:rsidR="005D2A0F" w:rsidRPr="006D50FA">
        <w:rPr>
          <w:color w:val="000000" w:themeColor="text1"/>
          <w:szCs w:val="26"/>
        </w:rPr>
        <w:t xml:space="preserve"> (</w:t>
      </w:r>
      <w:r w:rsidR="005D2A0F" w:rsidRPr="006D50FA">
        <w:rPr>
          <w:i/>
          <w:iCs/>
          <w:color w:val="000000" w:themeColor="text1"/>
          <w:szCs w:val="26"/>
        </w:rPr>
        <w:t>Ballard</w:t>
      </w:r>
      <w:r w:rsidR="005D2A0F" w:rsidRPr="006D50FA">
        <w:rPr>
          <w:color w:val="000000" w:themeColor="text1"/>
          <w:szCs w:val="26"/>
        </w:rPr>
        <w:t xml:space="preserve"> at p. 167.)</w:t>
      </w:r>
    </w:p>
    <w:p w14:paraId="3C425242" w14:textId="29CF180A" w:rsidR="00C807D4"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t xml:space="preserve">We then proceeded to apply and </w:t>
      </w:r>
      <w:r w:rsidR="00697683" w:rsidRPr="006D50FA">
        <w:rPr>
          <w:color w:val="000000" w:themeColor="text1"/>
          <w:szCs w:val="26"/>
        </w:rPr>
        <w:t>give</w:t>
      </w:r>
      <w:r w:rsidR="00085836" w:rsidRPr="006D50FA">
        <w:rPr>
          <w:color w:val="000000" w:themeColor="text1"/>
          <w:szCs w:val="26"/>
        </w:rPr>
        <w:t xml:space="preserve"> </w:t>
      </w:r>
      <w:r w:rsidR="006B371E" w:rsidRPr="006D50FA">
        <w:rPr>
          <w:color w:val="000000" w:themeColor="text1"/>
          <w:szCs w:val="26"/>
        </w:rPr>
        <w:t xml:space="preserve">meaning </w:t>
      </w:r>
      <w:r w:rsidRPr="006D50FA">
        <w:rPr>
          <w:color w:val="000000" w:themeColor="text1"/>
          <w:szCs w:val="26"/>
        </w:rPr>
        <w:t xml:space="preserve">to </w:t>
      </w:r>
      <w:r w:rsidR="00697683" w:rsidRPr="006D50FA">
        <w:rPr>
          <w:color w:val="000000" w:themeColor="text1"/>
          <w:szCs w:val="26"/>
        </w:rPr>
        <w:t xml:space="preserve">the </w:t>
      </w:r>
      <w:r w:rsidRPr="006D50FA">
        <w:rPr>
          <w:color w:val="000000" w:themeColor="text1"/>
          <w:szCs w:val="26"/>
        </w:rPr>
        <w:t>“plausible justification” standard</w:t>
      </w:r>
      <w:r w:rsidR="0064678D" w:rsidRPr="006D50FA">
        <w:rPr>
          <w:color w:val="000000" w:themeColor="text1"/>
          <w:szCs w:val="26"/>
        </w:rPr>
        <w:t xml:space="preserve">, </w:t>
      </w:r>
      <w:r w:rsidR="00B05366" w:rsidRPr="006D50FA">
        <w:rPr>
          <w:color w:val="000000" w:themeColor="text1"/>
          <w:szCs w:val="26"/>
        </w:rPr>
        <w:t xml:space="preserve">while </w:t>
      </w:r>
      <w:r w:rsidR="008971AD" w:rsidRPr="006D50FA">
        <w:rPr>
          <w:color w:val="000000" w:themeColor="text1"/>
          <w:szCs w:val="26"/>
        </w:rPr>
        <w:t>determining</w:t>
      </w:r>
      <w:r w:rsidR="00697683" w:rsidRPr="006D50FA">
        <w:rPr>
          <w:color w:val="000000" w:themeColor="text1"/>
          <w:szCs w:val="26"/>
        </w:rPr>
        <w:t xml:space="preserve"> </w:t>
      </w:r>
      <w:r w:rsidR="0064678D" w:rsidRPr="006D50FA">
        <w:rPr>
          <w:color w:val="000000" w:themeColor="text1"/>
          <w:szCs w:val="26"/>
        </w:rPr>
        <w:t xml:space="preserve">that </w:t>
      </w:r>
      <w:r w:rsidR="0020321C" w:rsidRPr="006D50FA">
        <w:rPr>
          <w:color w:val="000000" w:themeColor="text1"/>
          <w:szCs w:val="26"/>
        </w:rPr>
        <w:t>“</w:t>
      </w:r>
      <w:r w:rsidRPr="006D50FA">
        <w:rPr>
          <w:color w:val="000000" w:themeColor="text1"/>
          <w:szCs w:val="26"/>
        </w:rPr>
        <w:t>[i]n the instant case petitioner has not met these requirements.”  (</w:t>
      </w:r>
      <w:r w:rsidRPr="006D50FA">
        <w:rPr>
          <w:i/>
          <w:iCs/>
          <w:color w:val="000000" w:themeColor="text1"/>
          <w:szCs w:val="26"/>
        </w:rPr>
        <w:t>Ballard, supra,</w:t>
      </w:r>
      <w:r w:rsidRPr="006D50FA">
        <w:rPr>
          <w:color w:val="000000" w:themeColor="text1"/>
          <w:szCs w:val="26"/>
        </w:rPr>
        <w:t xml:space="preserve"> 64</w:t>
      </w:r>
      <w:r w:rsidR="00773D1C" w:rsidRPr="006D50FA">
        <w:rPr>
          <w:color w:val="000000" w:themeColor="text1"/>
          <w:szCs w:val="26"/>
        </w:rPr>
        <w:t> </w:t>
      </w:r>
      <w:r w:rsidRPr="006D50FA">
        <w:rPr>
          <w:color w:val="000000" w:themeColor="text1"/>
          <w:szCs w:val="26"/>
        </w:rPr>
        <w:t xml:space="preserve">Cal.2d at p. 167.)  We first observed that the defendant had failed to </w:t>
      </w:r>
      <w:r w:rsidR="002E77D8" w:rsidRPr="006D50FA">
        <w:rPr>
          <w:color w:val="000000" w:themeColor="text1"/>
          <w:szCs w:val="26"/>
        </w:rPr>
        <w:t xml:space="preserve">carry his burden </w:t>
      </w:r>
      <w:r w:rsidR="007B7FAB" w:rsidRPr="006D50FA">
        <w:rPr>
          <w:color w:val="000000" w:themeColor="text1"/>
          <w:szCs w:val="26"/>
        </w:rPr>
        <w:t xml:space="preserve">of </w:t>
      </w:r>
      <w:r w:rsidR="00721B42" w:rsidRPr="006D50FA">
        <w:rPr>
          <w:color w:val="000000" w:themeColor="text1"/>
          <w:szCs w:val="26"/>
        </w:rPr>
        <w:t xml:space="preserve">explaining </w:t>
      </w:r>
      <w:r w:rsidRPr="006D50FA">
        <w:rPr>
          <w:color w:val="000000" w:themeColor="text1"/>
          <w:szCs w:val="26"/>
        </w:rPr>
        <w:t xml:space="preserve">to the trial court his reasons for procuring the names and addresses of those </w:t>
      </w:r>
      <w:r w:rsidR="00245036" w:rsidRPr="006D50FA">
        <w:rPr>
          <w:color w:val="000000" w:themeColor="text1"/>
          <w:szCs w:val="26"/>
        </w:rPr>
        <w:t xml:space="preserve">persons </w:t>
      </w:r>
      <w:r w:rsidRPr="006D50FA">
        <w:rPr>
          <w:color w:val="000000" w:themeColor="text1"/>
          <w:szCs w:val="26"/>
        </w:rPr>
        <w:t>whom the prosecution does not intend to call as witnesses.  (</w:t>
      </w:r>
      <w:r w:rsidRPr="006D50FA">
        <w:rPr>
          <w:i/>
          <w:iCs/>
          <w:color w:val="000000" w:themeColor="text1"/>
          <w:szCs w:val="26"/>
        </w:rPr>
        <w:t>Id</w:t>
      </w:r>
      <w:r w:rsidRPr="006D50FA">
        <w:rPr>
          <w:color w:val="000000" w:themeColor="text1"/>
          <w:szCs w:val="26"/>
        </w:rPr>
        <w:t>., at pp.</w:t>
      </w:r>
      <w:r w:rsidR="00773D1C" w:rsidRPr="006D50FA">
        <w:rPr>
          <w:color w:val="000000" w:themeColor="text1"/>
          <w:szCs w:val="26"/>
        </w:rPr>
        <w:t> </w:t>
      </w:r>
      <w:r w:rsidRPr="006D50FA">
        <w:rPr>
          <w:color w:val="000000" w:themeColor="text1"/>
          <w:szCs w:val="26"/>
        </w:rPr>
        <w:t>167</w:t>
      </w:r>
      <w:r w:rsidR="00EA3DB4" w:rsidRPr="006D50FA">
        <w:rPr>
          <w:color w:val="000000" w:themeColor="text1"/>
          <w:szCs w:val="26"/>
        </w:rPr>
        <w:t>–</w:t>
      </w:r>
      <w:r w:rsidRPr="006D50FA">
        <w:rPr>
          <w:color w:val="000000" w:themeColor="text1"/>
          <w:szCs w:val="26"/>
        </w:rPr>
        <w:t xml:space="preserve">168.)  </w:t>
      </w:r>
      <w:r w:rsidR="00245036" w:rsidRPr="006D50FA">
        <w:rPr>
          <w:color w:val="000000" w:themeColor="text1"/>
          <w:szCs w:val="26"/>
        </w:rPr>
        <w:t>In reaching this conclusion</w:t>
      </w:r>
      <w:r w:rsidR="00A44D1F" w:rsidRPr="006D50FA">
        <w:rPr>
          <w:color w:val="000000" w:themeColor="text1"/>
          <w:szCs w:val="26"/>
        </w:rPr>
        <w:t>,</w:t>
      </w:r>
      <w:r w:rsidR="00245036" w:rsidRPr="006D50FA">
        <w:rPr>
          <w:color w:val="000000" w:themeColor="text1"/>
          <w:szCs w:val="26"/>
        </w:rPr>
        <w:t xml:space="preserve"> </w:t>
      </w:r>
      <w:r w:rsidRPr="006D50FA">
        <w:rPr>
          <w:color w:val="000000" w:themeColor="text1"/>
          <w:szCs w:val="26"/>
        </w:rPr>
        <w:t xml:space="preserve">we addressed the defendant’s “recently advanced ground for such discovery.”  </w:t>
      </w:r>
      <w:r w:rsidR="00E06496" w:rsidRPr="006D50FA">
        <w:rPr>
          <w:color w:val="000000" w:themeColor="text1"/>
          <w:szCs w:val="26"/>
        </w:rPr>
        <w:t>(</w:t>
      </w:r>
      <w:r w:rsidR="00E06496" w:rsidRPr="006D50FA">
        <w:rPr>
          <w:i/>
          <w:iCs/>
          <w:color w:val="000000" w:themeColor="text1"/>
          <w:szCs w:val="26"/>
        </w:rPr>
        <w:t>Id.</w:t>
      </w:r>
      <w:r w:rsidR="00E06496" w:rsidRPr="006D50FA">
        <w:rPr>
          <w:color w:val="000000" w:themeColor="text1"/>
          <w:szCs w:val="26"/>
        </w:rPr>
        <w:t xml:space="preserve">, at </w:t>
      </w:r>
      <w:r w:rsidR="005F0B73" w:rsidRPr="006D50FA">
        <w:rPr>
          <w:color w:val="000000" w:themeColor="text1"/>
          <w:szCs w:val="26"/>
        </w:rPr>
        <w:t xml:space="preserve">p. </w:t>
      </w:r>
      <w:r w:rsidR="00E06496" w:rsidRPr="006D50FA">
        <w:rPr>
          <w:color w:val="000000" w:themeColor="text1"/>
          <w:szCs w:val="26"/>
        </w:rPr>
        <w:t xml:space="preserve">168.)  </w:t>
      </w:r>
      <w:r w:rsidRPr="006D50FA">
        <w:rPr>
          <w:color w:val="000000" w:themeColor="text1"/>
          <w:szCs w:val="26"/>
        </w:rPr>
        <w:t xml:space="preserve">We noted that </w:t>
      </w:r>
      <w:r w:rsidR="00BC582A" w:rsidRPr="006D50FA">
        <w:rPr>
          <w:color w:val="000000" w:themeColor="text1"/>
          <w:szCs w:val="26"/>
        </w:rPr>
        <w:t>t</w:t>
      </w:r>
      <w:r w:rsidRPr="006D50FA">
        <w:rPr>
          <w:color w:val="000000" w:themeColor="text1"/>
          <w:szCs w:val="26"/>
        </w:rPr>
        <w:t xml:space="preserve">he </w:t>
      </w:r>
      <w:r w:rsidR="00BC582A" w:rsidRPr="006D50FA">
        <w:rPr>
          <w:color w:val="000000" w:themeColor="text1"/>
          <w:szCs w:val="26"/>
        </w:rPr>
        <w:t xml:space="preserve">defendant </w:t>
      </w:r>
      <w:r w:rsidRPr="006D50FA">
        <w:rPr>
          <w:color w:val="000000" w:themeColor="text1"/>
          <w:szCs w:val="26"/>
        </w:rPr>
        <w:t>claimed “he needs the names of these persons in order to determine ‘whether or not the accusatory stage had been reached</w:t>
      </w:r>
      <w:r w:rsidR="00A94175" w:rsidRPr="006D50FA">
        <w:rPr>
          <w:color w:val="000000" w:themeColor="text1"/>
          <w:szCs w:val="26"/>
        </w:rPr>
        <w:t>’</w:t>
      </w:r>
      <w:r w:rsidR="00374C8D" w:rsidRPr="006D50FA">
        <w:rPr>
          <w:color w:val="000000" w:themeColor="text1"/>
          <w:szCs w:val="26"/>
        </w:rPr>
        <w:t> </w:t>
      </w:r>
      <w:r w:rsidRPr="006D50FA">
        <w:rPr>
          <w:color w:val="000000" w:themeColor="text1"/>
          <w:szCs w:val="26"/>
        </w:rPr>
        <w:t>” when “</w:t>
      </w:r>
      <w:r w:rsidR="00374C8D" w:rsidRPr="006D50FA">
        <w:rPr>
          <w:color w:val="000000" w:themeColor="text1"/>
          <w:szCs w:val="26"/>
        </w:rPr>
        <w:t> </w:t>
      </w:r>
      <w:r w:rsidR="00A94175" w:rsidRPr="006D50FA">
        <w:rPr>
          <w:color w:val="000000" w:themeColor="text1"/>
          <w:szCs w:val="26"/>
        </w:rPr>
        <w:t>‘</w:t>
      </w:r>
      <w:r w:rsidRPr="006D50FA">
        <w:rPr>
          <w:color w:val="000000" w:themeColor="text1"/>
          <w:szCs w:val="26"/>
        </w:rPr>
        <w:t>the complained-of tape recordings were made.</w:t>
      </w:r>
      <w:r w:rsidR="00A94175" w:rsidRPr="006D50FA">
        <w:rPr>
          <w:color w:val="000000" w:themeColor="text1"/>
          <w:szCs w:val="26"/>
        </w:rPr>
        <w:t>’</w:t>
      </w:r>
      <w:r w:rsidR="00374C8D" w:rsidRPr="006D50FA">
        <w:rPr>
          <w:color w:val="000000" w:themeColor="text1"/>
          <w:szCs w:val="26"/>
        </w:rPr>
        <w:t> </w:t>
      </w:r>
      <w:r w:rsidRPr="006D50FA">
        <w:rPr>
          <w:color w:val="000000" w:themeColor="text1"/>
          <w:szCs w:val="26"/>
        </w:rPr>
        <w:t>”  (</w:t>
      </w:r>
      <w:r w:rsidRPr="006D50FA">
        <w:rPr>
          <w:i/>
          <w:iCs/>
          <w:color w:val="000000" w:themeColor="text1"/>
          <w:szCs w:val="26"/>
        </w:rPr>
        <w:t>I</w:t>
      </w:r>
      <w:r w:rsidR="00CD47F7" w:rsidRPr="006D50FA">
        <w:rPr>
          <w:i/>
          <w:iCs/>
          <w:color w:val="000000" w:themeColor="text1"/>
          <w:szCs w:val="26"/>
        </w:rPr>
        <w:t>bi</w:t>
      </w:r>
      <w:r w:rsidRPr="006D50FA">
        <w:rPr>
          <w:i/>
          <w:iCs/>
          <w:color w:val="000000" w:themeColor="text1"/>
          <w:szCs w:val="26"/>
        </w:rPr>
        <w:t>d.</w:t>
      </w:r>
      <w:r w:rsidRPr="006D50FA">
        <w:rPr>
          <w:color w:val="000000" w:themeColor="text1"/>
          <w:szCs w:val="26"/>
        </w:rPr>
        <w:t xml:space="preserve">)  “According to [the defendant], if that stage had been reached, </w:t>
      </w:r>
      <w:r w:rsidRPr="006D50FA">
        <w:rPr>
          <w:color w:val="000000" w:themeColor="text1"/>
          <w:szCs w:val="26"/>
        </w:rPr>
        <w:lastRenderedPageBreak/>
        <w:t>the failure of the police to advise him of his rights to counsel and to remain silent renders any evidence of his recorded statements inadmissible” under case law construing those constitutional rights.</w:t>
      </w:r>
      <w:r w:rsidR="008E02BC" w:rsidRPr="006D50FA">
        <w:rPr>
          <w:color w:val="000000" w:themeColor="text1"/>
          <w:szCs w:val="26"/>
        </w:rPr>
        <w:t xml:space="preserve">  (</w:t>
      </w:r>
      <w:r w:rsidR="003A6C85" w:rsidRPr="006D50FA">
        <w:rPr>
          <w:i/>
          <w:iCs/>
          <w:color w:val="000000" w:themeColor="text1"/>
          <w:szCs w:val="26"/>
        </w:rPr>
        <w:t xml:space="preserve">Ibid.) </w:t>
      </w:r>
      <w:r w:rsidR="00F74937" w:rsidRPr="006D50FA">
        <w:rPr>
          <w:i/>
          <w:iCs/>
          <w:color w:val="000000" w:themeColor="text1"/>
          <w:szCs w:val="26"/>
        </w:rPr>
        <w:t xml:space="preserve"> </w:t>
      </w:r>
      <w:r w:rsidRPr="006D50FA">
        <w:rPr>
          <w:color w:val="000000" w:themeColor="text1"/>
          <w:szCs w:val="26"/>
        </w:rPr>
        <w:t>But we rejected “such justification for discovery” because, we explained, the defendant “was not in custody at the time he gave such statements” and hence “the accusatory stage could not have been reached.”  (</w:t>
      </w:r>
      <w:r w:rsidRPr="006D50FA">
        <w:rPr>
          <w:i/>
          <w:iCs/>
          <w:color w:val="000000" w:themeColor="text1"/>
          <w:szCs w:val="26"/>
        </w:rPr>
        <w:t>Ibid</w:t>
      </w:r>
      <w:r w:rsidRPr="006D50FA">
        <w:rPr>
          <w:color w:val="000000" w:themeColor="text1"/>
          <w:szCs w:val="26"/>
        </w:rPr>
        <w:t>.</w:t>
      </w:r>
      <w:r w:rsidR="00563AB2" w:rsidRPr="006D50FA">
        <w:rPr>
          <w:color w:val="000000" w:themeColor="text1"/>
          <w:szCs w:val="26"/>
        </w:rPr>
        <w:t xml:space="preserve">)  After </w:t>
      </w:r>
      <w:r w:rsidRPr="006D50FA">
        <w:rPr>
          <w:color w:val="000000" w:themeColor="text1"/>
          <w:szCs w:val="26"/>
        </w:rPr>
        <w:t xml:space="preserve">undertaking an extended analysis of the defendant’s </w:t>
      </w:r>
      <w:r w:rsidR="00A2102F" w:rsidRPr="006D50FA">
        <w:rPr>
          <w:color w:val="000000" w:themeColor="text1"/>
          <w:szCs w:val="26"/>
        </w:rPr>
        <w:t>right</w:t>
      </w:r>
      <w:r w:rsidR="00097DF8" w:rsidRPr="006D50FA">
        <w:rPr>
          <w:color w:val="000000" w:themeColor="text1"/>
          <w:szCs w:val="26"/>
        </w:rPr>
        <w:t>-</w:t>
      </w:r>
      <w:r w:rsidR="00A2102F" w:rsidRPr="006D50FA">
        <w:rPr>
          <w:color w:val="000000" w:themeColor="text1"/>
          <w:szCs w:val="26"/>
        </w:rPr>
        <w:t>to</w:t>
      </w:r>
      <w:r w:rsidR="00097DF8" w:rsidRPr="006D50FA">
        <w:rPr>
          <w:color w:val="000000" w:themeColor="text1"/>
          <w:szCs w:val="26"/>
        </w:rPr>
        <w:t>-</w:t>
      </w:r>
      <w:r w:rsidR="00A2102F" w:rsidRPr="006D50FA">
        <w:rPr>
          <w:color w:val="000000" w:themeColor="text1"/>
          <w:szCs w:val="26"/>
        </w:rPr>
        <w:t xml:space="preserve">counsel and </w:t>
      </w:r>
      <w:r w:rsidR="00097DF8" w:rsidRPr="006D50FA">
        <w:rPr>
          <w:color w:val="000000" w:themeColor="text1"/>
          <w:szCs w:val="26"/>
        </w:rPr>
        <w:t xml:space="preserve">right-to-remain silent </w:t>
      </w:r>
      <w:r w:rsidRPr="006D50FA">
        <w:rPr>
          <w:color w:val="000000" w:themeColor="text1"/>
          <w:szCs w:val="26"/>
        </w:rPr>
        <w:t>claims underlying his asserted “plausible justification” for acquiring the sought information</w:t>
      </w:r>
      <w:r w:rsidR="00563AB2" w:rsidRPr="006D50FA">
        <w:rPr>
          <w:color w:val="000000" w:themeColor="text1"/>
          <w:szCs w:val="26"/>
        </w:rPr>
        <w:t xml:space="preserve"> (</w:t>
      </w:r>
      <w:r w:rsidR="00563AB2" w:rsidRPr="006D50FA">
        <w:rPr>
          <w:i/>
          <w:iCs/>
          <w:color w:val="000000" w:themeColor="text1"/>
          <w:szCs w:val="26"/>
        </w:rPr>
        <w:t>id</w:t>
      </w:r>
      <w:r w:rsidR="00563AB2" w:rsidRPr="006D50FA">
        <w:rPr>
          <w:color w:val="000000" w:themeColor="text1"/>
          <w:szCs w:val="26"/>
        </w:rPr>
        <w:t>., at pp.</w:t>
      </w:r>
      <w:r w:rsidR="006221F6" w:rsidRPr="006D50FA">
        <w:rPr>
          <w:color w:val="000000" w:themeColor="text1"/>
          <w:szCs w:val="26"/>
        </w:rPr>
        <w:t> </w:t>
      </w:r>
      <w:r w:rsidR="00563AB2" w:rsidRPr="006D50FA">
        <w:rPr>
          <w:color w:val="000000" w:themeColor="text1"/>
          <w:szCs w:val="26"/>
        </w:rPr>
        <w:t>16</w:t>
      </w:r>
      <w:r w:rsidR="00FB0CB2" w:rsidRPr="006D50FA">
        <w:rPr>
          <w:color w:val="000000" w:themeColor="text1"/>
          <w:szCs w:val="26"/>
        </w:rPr>
        <w:t>7</w:t>
      </w:r>
      <w:r w:rsidR="0003645D">
        <w:rPr>
          <w:color w:val="000000" w:themeColor="text1"/>
          <w:szCs w:val="26"/>
        </w:rPr>
        <w:t>–</w:t>
      </w:r>
      <w:r w:rsidR="00563AB2" w:rsidRPr="006D50FA">
        <w:rPr>
          <w:color w:val="000000" w:themeColor="text1"/>
          <w:szCs w:val="26"/>
        </w:rPr>
        <w:t>170), w</w:t>
      </w:r>
      <w:r w:rsidRPr="006D50FA">
        <w:rPr>
          <w:color w:val="000000" w:themeColor="text1"/>
          <w:szCs w:val="26"/>
        </w:rPr>
        <w:t>e concluded that because the defendant “was clearly not in custody at the time he uttered the incriminating statements to the victim, he cannot successfully challenge the admissibility of those statements on the basis of [the cited case law authority].</w:t>
      </w:r>
      <w:r w:rsidR="00C9732B" w:rsidRPr="006D50FA">
        <w:rPr>
          <w:color w:val="000000" w:themeColor="text1"/>
          <w:szCs w:val="26"/>
        </w:rPr>
        <w:t>”  (</w:t>
      </w:r>
      <w:r w:rsidR="0018542A" w:rsidRPr="006D50FA">
        <w:rPr>
          <w:i/>
          <w:iCs/>
          <w:color w:val="000000" w:themeColor="text1"/>
          <w:szCs w:val="26"/>
        </w:rPr>
        <w:t>Id</w:t>
      </w:r>
      <w:r w:rsidR="0018542A" w:rsidRPr="006D50FA">
        <w:rPr>
          <w:color w:val="000000" w:themeColor="text1"/>
          <w:szCs w:val="26"/>
        </w:rPr>
        <w:t xml:space="preserve">., at p. </w:t>
      </w:r>
      <w:r w:rsidR="00A27290" w:rsidRPr="006D50FA">
        <w:rPr>
          <w:color w:val="000000" w:themeColor="text1"/>
          <w:szCs w:val="26"/>
        </w:rPr>
        <w:t>170</w:t>
      </w:r>
      <w:r w:rsidR="0018542A" w:rsidRPr="006D50FA">
        <w:rPr>
          <w:color w:val="000000" w:themeColor="text1"/>
          <w:szCs w:val="26"/>
        </w:rPr>
        <w:t xml:space="preserve">.) </w:t>
      </w:r>
      <w:r w:rsidR="00AC1CBA" w:rsidRPr="006D50FA">
        <w:rPr>
          <w:color w:val="000000" w:themeColor="text1"/>
          <w:szCs w:val="26"/>
        </w:rPr>
        <w:t xml:space="preserve"> </w:t>
      </w:r>
      <w:r w:rsidRPr="006D50FA">
        <w:rPr>
          <w:color w:val="000000" w:themeColor="text1"/>
          <w:szCs w:val="26"/>
        </w:rPr>
        <w:t>Consequently,</w:t>
      </w:r>
      <w:r w:rsidR="00B365EC" w:rsidRPr="006D50FA">
        <w:rPr>
          <w:color w:val="000000" w:themeColor="text1"/>
          <w:szCs w:val="26"/>
        </w:rPr>
        <w:t xml:space="preserve"> w</w:t>
      </w:r>
      <w:r w:rsidRPr="006D50FA">
        <w:rPr>
          <w:color w:val="000000" w:themeColor="text1"/>
          <w:szCs w:val="26"/>
        </w:rPr>
        <w:t>e held</w:t>
      </w:r>
      <w:r w:rsidR="00BF6B07" w:rsidRPr="006D50FA">
        <w:rPr>
          <w:color w:val="000000" w:themeColor="text1"/>
          <w:szCs w:val="26"/>
        </w:rPr>
        <w:t>,</w:t>
      </w:r>
      <w:r w:rsidRPr="006D50FA">
        <w:rPr>
          <w:color w:val="000000" w:themeColor="text1"/>
          <w:szCs w:val="26"/>
        </w:rPr>
        <w:t xml:space="preserve"> the defendant’s invocation of </w:t>
      </w:r>
      <w:proofErr w:type="gramStart"/>
      <w:r w:rsidRPr="006D50FA">
        <w:rPr>
          <w:color w:val="000000" w:themeColor="text1"/>
          <w:szCs w:val="26"/>
        </w:rPr>
        <w:t>possible issues</w:t>
      </w:r>
      <w:proofErr w:type="gramEnd"/>
      <w:r w:rsidRPr="006D50FA">
        <w:rPr>
          <w:color w:val="000000" w:themeColor="text1"/>
          <w:szCs w:val="26"/>
        </w:rPr>
        <w:t xml:space="preserve"> concerning his rights to counsel and to remain silent did not plausibly “justify discovery in the instant case.”  </w:t>
      </w:r>
      <w:r w:rsidR="00910BB4" w:rsidRPr="006D50FA">
        <w:rPr>
          <w:color w:val="000000" w:themeColor="text1"/>
          <w:szCs w:val="26"/>
        </w:rPr>
        <w:t>(</w:t>
      </w:r>
      <w:r w:rsidR="00910BB4" w:rsidRPr="006D50FA">
        <w:rPr>
          <w:i/>
          <w:iCs/>
          <w:color w:val="000000" w:themeColor="text1"/>
          <w:szCs w:val="26"/>
        </w:rPr>
        <w:t>I</w:t>
      </w:r>
      <w:r w:rsidR="00195D12" w:rsidRPr="006D50FA">
        <w:rPr>
          <w:i/>
          <w:iCs/>
          <w:color w:val="000000" w:themeColor="text1"/>
          <w:szCs w:val="26"/>
        </w:rPr>
        <w:t>bid</w:t>
      </w:r>
      <w:r w:rsidR="00910BB4" w:rsidRPr="006D50FA">
        <w:rPr>
          <w:color w:val="000000" w:themeColor="text1"/>
          <w:szCs w:val="26"/>
        </w:rPr>
        <w:t xml:space="preserve">.)  </w:t>
      </w:r>
    </w:p>
    <w:p w14:paraId="71F96797" w14:textId="072A1492" w:rsidR="007B4622" w:rsidRPr="006D50FA" w:rsidRDefault="007B4622" w:rsidP="000B682C">
      <w:pPr>
        <w:pStyle w:val="PRComments"/>
        <w:spacing w:line="400" w:lineRule="exact"/>
        <w:ind w:right="0" w:firstLine="720"/>
        <w:rPr>
          <w:color w:val="000000" w:themeColor="text1"/>
          <w:szCs w:val="26"/>
        </w:rPr>
      </w:pPr>
      <w:r w:rsidRPr="006D50FA">
        <w:rPr>
          <w:color w:val="000000" w:themeColor="text1"/>
          <w:szCs w:val="26"/>
        </w:rPr>
        <w:t xml:space="preserve">As this recitation shows, </w:t>
      </w:r>
      <w:r w:rsidR="00412D6A" w:rsidRPr="006D50FA">
        <w:rPr>
          <w:color w:val="000000" w:themeColor="text1"/>
          <w:szCs w:val="26"/>
        </w:rPr>
        <w:t xml:space="preserve">in our </w:t>
      </w:r>
      <w:r w:rsidR="002B550A" w:rsidRPr="006D50FA">
        <w:rPr>
          <w:color w:val="000000" w:themeColor="text1"/>
          <w:szCs w:val="26"/>
        </w:rPr>
        <w:t xml:space="preserve">first decision articulating the plausible justification standard </w:t>
      </w:r>
      <w:r w:rsidRPr="006D50FA">
        <w:rPr>
          <w:color w:val="000000" w:themeColor="text1"/>
          <w:szCs w:val="26"/>
        </w:rPr>
        <w:t xml:space="preserve">we measured the defendant’s stated justification for acquiring the sought information against the legal claims (in </w:t>
      </w:r>
      <w:r w:rsidR="00C23E76" w:rsidRPr="00182331">
        <w:rPr>
          <w:color w:val="000000" w:themeColor="text1"/>
          <w:szCs w:val="26"/>
        </w:rPr>
        <w:t>that case</w:t>
      </w:r>
      <w:r w:rsidR="00C23E76" w:rsidRPr="006D50FA">
        <w:rPr>
          <w:color w:val="000000" w:themeColor="text1"/>
          <w:szCs w:val="26"/>
        </w:rPr>
        <w:t xml:space="preserve">, </w:t>
      </w:r>
      <w:r w:rsidRPr="006D50FA">
        <w:rPr>
          <w:color w:val="000000" w:themeColor="text1"/>
          <w:szCs w:val="26"/>
        </w:rPr>
        <w:t>asserted violations of the right</w:t>
      </w:r>
      <w:r w:rsidR="00510763" w:rsidRPr="006D50FA">
        <w:rPr>
          <w:color w:val="000000" w:themeColor="text1"/>
          <w:szCs w:val="26"/>
        </w:rPr>
        <w:t>s</w:t>
      </w:r>
      <w:r w:rsidRPr="006D50FA">
        <w:rPr>
          <w:color w:val="000000" w:themeColor="text1"/>
          <w:szCs w:val="26"/>
        </w:rPr>
        <w:t xml:space="preserve"> to counsel and to remain silent) pursuant to which the defendant urged the information would be relevant.  In resolving </w:t>
      </w:r>
      <w:r w:rsidR="00A653D8" w:rsidRPr="006D50FA">
        <w:rPr>
          <w:color w:val="000000" w:themeColor="text1"/>
          <w:szCs w:val="26"/>
        </w:rPr>
        <w:t xml:space="preserve">that </w:t>
      </w:r>
      <w:r w:rsidRPr="006D50FA">
        <w:rPr>
          <w:color w:val="000000" w:themeColor="text1"/>
          <w:szCs w:val="26"/>
        </w:rPr>
        <w:t xml:space="preserve">plausible justification </w:t>
      </w:r>
      <w:r w:rsidR="00A653D8" w:rsidRPr="006D50FA">
        <w:rPr>
          <w:color w:val="000000" w:themeColor="text1"/>
          <w:szCs w:val="26"/>
        </w:rPr>
        <w:t xml:space="preserve">inquiry </w:t>
      </w:r>
      <w:r w:rsidRPr="006D50FA">
        <w:rPr>
          <w:color w:val="000000" w:themeColor="text1"/>
          <w:szCs w:val="26"/>
        </w:rPr>
        <w:t>we considered the facts as then known, determined the underlying legal claims to be inapplicable on those facts, and hence found no plausible justification for acquiring the sought information</w:t>
      </w:r>
      <w:r w:rsidR="008A2FA2" w:rsidRPr="006D50FA">
        <w:rPr>
          <w:color w:val="000000" w:themeColor="text1"/>
          <w:szCs w:val="26"/>
        </w:rPr>
        <w:t xml:space="preserve"> to </w:t>
      </w:r>
      <w:r w:rsidR="00442DA7" w:rsidRPr="006D50FA">
        <w:rPr>
          <w:color w:val="000000" w:themeColor="text1"/>
          <w:szCs w:val="26"/>
        </w:rPr>
        <w:t xml:space="preserve">support such a legal claim.  </w:t>
      </w:r>
      <w:r w:rsidRPr="006D50FA">
        <w:rPr>
          <w:color w:val="000000" w:themeColor="text1"/>
          <w:szCs w:val="26"/>
        </w:rPr>
        <w:t xml:space="preserve">An analogous inquiry in the present case concerning defendant’s stated </w:t>
      </w:r>
      <w:r w:rsidR="006F2D85" w:rsidRPr="006D50FA">
        <w:rPr>
          <w:rFonts w:cstheme="minorHAnsi"/>
          <w:i/>
          <w:iCs/>
          <w:color w:val="000000" w:themeColor="text1"/>
          <w:szCs w:val="26"/>
        </w:rPr>
        <w:t>primary</w:t>
      </w:r>
      <w:r w:rsidR="006F2D85" w:rsidRPr="006D50FA">
        <w:rPr>
          <w:rFonts w:cstheme="minorHAnsi"/>
          <w:color w:val="000000" w:themeColor="text1"/>
          <w:szCs w:val="26"/>
        </w:rPr>
        <w:t xml:space="preserve"> ground for acquiring and inspecting the sought information</w:t>
      </w:r>
      <w:r w:rsidR="003E0A41" w:rsidRPr="006D50FA">
        <w:rPr>
          <w:rFonts w:cstheme="minorHAnsi"/>
          <w:color w:val="000000" w:themeColor="text1"/>
          <w:szCs w:val="26"/>
        </w:rPr>
        <w:t xml:space="preserve"> </w:t>
      </w:r>
      <w:r w:rsidRPr="006D50FA">
        <w:rPr>
          <w:color w:val="000000" w:themeColor="text1"/>
          <w:szCs w:val="26"/>
        </w:rPr>
        <w:t xml:space="preserve">— that is, to support an </w:t>
      </w:r>
      <w:r w:rsidRPr="006D50FA">
        <w:rPr>
          <w:color w:val="000000" w:themeColor="text1"/>
          <w:szCs w:val="26"/>
        </w:rPr>
        <w:lastRenderedPageBreak/>
        <w:t xml:space="preserve">assertion of self-defense — </w:t>
      </w:r>
      <w:r w:rsidR="00734BD3" w:rsidRPr="006D50FA">
        <w:rPr>
          <w:color w:val="000000" w:themeColor="text1"/>
          <w:szCs w:val="26"/>
        </w:rPr>
        <w:t xml:space="preserve">calls for an examination of </w:t>
      </w:r>
      <w:r w:rsidRPr="006D50FA">
        <w:rPr>
          <w:color w:val="000000" w:themeColor="text1"/>
          <w:szCs w:val="26"/>
        </w:rPr>
        <w:t>the facts as alleged in the briefs and also as reflected in the preliminary hearing transcript described earlier</w:t>
      </w:r>
      <w:r w:rsidR="003E3D34" w:rsidRPr="006D50FA">
        <w:rPr>
          <w:color w:val="000000" w:themeColor="text1"/>
          <w:szCs w:val="26"/>
        </w:rPr>
        <w:t xml:space="preserve">, in order to assess whether a claim of self-defense </w:t>
      </w:r>
      <w:r w:rsidR="00660E38" w:rsidRPr="006D50FA">
        <w:rPr>
          <w:color w:val="000000" w:themeColor="text1"/>
          <w:szCs w:val="26"/>
        </w:rPr>
        <w:t xml:space="preserve">is sufficiently viable to warrant the </w:t>
      </w:r>
      <w:r w:rsidR="00D836EF" w:rsidRPr="006D50FA">
        <w:rPr>
          <w:color w:val="000000" w:themeColor="text1"/>
          <w:szCs w:val="26"/>
        </w:rPr>
        <w:t xml:space="preserve">intrusion </w:t>
      </w:r>
      <w:r w:rsidR="00337DFA" w:rsidRPr="006D50FA">
        <w:rPr>
          <w:color w:val="000000" w:themeColor="text1"/>
          <w:szCs w:val="26"/>
        </w:rPr>
        <w:t xml:space="preserve">that would occur if the </w:t>
      </w:r>
      <w:r w:rsidR="00D836EF" w:rsidRPr="006D50FA">
        <w:rPr>
          <w:color w:val="000000" w:themeColor="text1"/>
          <w:szCs w:val="26"/>
        </w:rPr>
        <w:t xml:space="preserve">sought </w:t>
      </w:r>
      <w:r w:rsidR="00337DFA" w:rsidRPr="006D50FA">
        <w:rPr>
          <w:color w:val="000000" w:themeColor="text1"/>
          <w:szCs w:val="26"/>
        </w:rPr>
        <w:t xml:space="preserve">communications were required to be disclosed.  </w:t>
      </w:r>
    </w:p>
    <w:p w14:paraId="24B13089" w14:textId="7563FE9A" w:rsidR="000E290D" w:rsidRPr="006D50FA" w:rsidRDefault="000E290D" w:rsidP="00EA0331">
      <w:pPr>
        <w:pStyle w:val="Heading4"/>
        <w:rPr>
          <w:color w:val="000000" w:themeColor="text1"/>
        </w:rPr>
      </w:pPr>
      <w:r w:rsidRPr="006D50FA">
        <w:rPr>
          <w:color w:val="000000" w:themeColor="text1"/>
        </w:rPr>
        <w:t xml:space="preserve">b.  </w:t>
      </w:r>
      <w:r w:rsidRPr="006D50FA">
        <w:rPr>
          <w:i w:val="0"/>
          <w:iCs/>
          <w:color w:val="000000" w:themeColor="text1"/>
        </w:rPr>
        <w:t>Hill</w:t>
      </w:r>
    </w:p>
    <w:p w14:paraId="462D3241" w14:textId="08C7C44D" w:rsidR="002D3F07" w:rsidRPr="006D50FA" w:rsidRDefault="00CC5028" w:rsidP="00773D1C">
      <w:pPr>
        <w:pStyle w:val="PRComments"/>
        <w:spacing w:line="400" w:lineRule="exact"/>
        <w:ind w:right="0" w:firstLine="720"/>
        <w:rPr>
          <w:color w:val="000000" w:themeColor="text1"/>
          <w:szCs w:val="26"/>
        </w:rPr>
      </w:pPr>
      <w:r w:rsidRPr="006D50FA">
        <w:rPr>
          <w:color w:val="000000" w:themeColor="text1"/>
          <w:szCs w:val="26"/>
        </w:rPr>
        <w:t>As noted earlier, defendant in the present case asserts</w:t>
      </w:r>
      <w:r w:rsidR="00886C3D" w:rsidRPr="006D50FA">
        <w:rPr>
          <w:color w:val="000000" w:themeColor="text1"/>
          <w:szCs w:val="26"/>
        </w:rPr>
        <w:t xml:space="preserve"> two </w:t>
      </w:r>
      <w:r w:rsidR="00A20363" w:rsidRPr="006D50FA">
        <w:rPr>
          <w:color w:val="000000" w:themeColor="text1"/>
          <w:szCs w:val="26"/>
        </w:rPr>
        <w:t xml:space="preserve">bases </w:t>
      </w:r>
      <w:r w:rsidR="00886C3D" w:rsidRPr="006D50FA">
        <w:rPr>
          <w:color w:val="000000" w:themeColor="text1"/>
          <w:szCs w:val="26"/>
        </w:rPr>
        <w:t xml:space="preserve">for acquiring the sought information. </w:t>
      </w:r>
      <w:r w:rsidRPr="006D50FA">
        <w:rPr>
          <w:color w:val="000000" w:themeColor="text1"/>
          <w:szCs w:val="26"/>
        </w:rPr>
        <w:t xml:space="preserve"> </w:t>
      </w:r>
      <w:r w:rsidR="00886C3D" w:rsidRPr="006D50FA">
        <w:rPr>
          <w:color w:val="000000" w:themeColor="text1"/>
          <w:szCs w:val="26"/>
        </w:rPr>
        <w:t>I</w:t>
      </w:r>
      <w:r w:rsidR="00D10A9D" w:rsidRPr="006D50FA">
        <w:rPr>
          <w:color w:val="000000" w:themeColor="text1"/>
          <w:szCs w:val="26"/>
        </w:rPr>
        <w:t xml:space="preserve">n addition to his </w:t>
      </w:r>
      <w:r w:rsidR="004E0EE7" w:rsidRPr="006D50FA">
        <w:rPr>
          <w:color w:val="000000" w:themeColor="text1"/>
          <w:szCs w:val="26"/>
        </w:rPr>
        <w:t xml:space="preserve">primary justification </w:t>
      </w:r>
      <w:r w:rsidR="0012297A" w:rsidRPr="006D50FA">
        <w:rPr>
          <w:color w:val="000000" w:themeColor="text1"/>
          <w:szCs w:val="26"/>
        </w:rPr>
        <w:t>(</w:t>
      </w:r>
      <w:r w:rsidR="004E0EE7" w:rsidRPr="006D50FA">
        <w:rPr>
          <w:color w:val="000000" w:themeColor="text1"/>
          <w:szCs w:val="26"/>
        </w:rPr>
        <w:t xml:space="preserve">to </w:t>
      </w:r>
      <w:r w:rsidR="0012297A" w:rsidRPr="006D50FA">
        <w:rPr>
          <w:color w:val="000000" w:themeColor="text1"/>
          <w:szCs w:val="26"/>
        </w:rPr>
        <w:t>help establish a claim of self-defense</w:t>
      </w:r>
      <w:r w:rsidR="00E3229F" w:rsidRPr="006D50FA">
        <w:rPr>
          <w:color w:val="000000" w:themeColor="text1"/>
          <w:szCs w:val="26"/>
        </w:rPr>
        <w:t xml:space="preserve"> against Renteria</w:t>
      </w:r>
      <w:r w:rsidR="0012297A" w:rsidRPr="006D50FA">
        <w:rPr>
          <w:color w:val="000000" w:themeColor="text1"/>
          <w:szCs w:val="26"/>
        </w:rPr>
        <w:t>)</w:t>
      </w:r>
      <w:r w:rsidR="0012611F" w:rsidRPr="006D50FA">
        <w:rPr>
          <w:color w:val="000000" w:themeColor="text1"/>
          <w:szCs w:val="26"/>
        </w:rPr>
        <w:t>,</w:t>
      </w:r>
      <w:r w:rsidR="0012297A" w:rsidRPr="006D50FA">
        <w:rPr>
          <w:color w:val="000000" w:themeColor="text1"/>
          <w:szCs w:val="26"/>
        </w:rPr>
        <w:t xml:space="preserve"> </w:t>
      </w:r>
      <w:r w:rsidR="00596F8D" w:rsidRPr="006D50FA">
        <w:rPr>
          <w:color w:val="000000" w:themeColor="text1"/>
          <w:szCs w:val="26"/>
        </w:rPr>
        <w:t xml:space="preserve">he also </w:t>
      </w:r>
      <w:r w:rsidR="00DB3B10" w:rsidRPr="006D50FA">
        <w:rPr>
          <w:color w:val="000000" w:themeColor="text1"/>
          <w:szCs w:val="26"/>
        </w:rPr>
        <w:t xml:space="preserve">advances </w:t>
      </w:r>
      <w:r w:rsidR="0012297A" w:rsidRPr="006D50FA">
        <w:rPr>
          <w:color w:val="000000" w:themeColor="text1"/>
          <w:szCs w:val="26"/>
        </w:rPr>
        <w:t xml:space="preserve">a </w:t>
      </w:r>
      <w:r w:rsidR="0012297A" w:rsidRPr="006D50FA">
        <w:rPr>
          <w:i/>
          <w:iCs/>
          <w:color w:val="000000" w:themeColor="text1"/>
          <w:szCs w:val="26"/>
        </w:rPr>
        <w:t>secondary</w:t>
      </w:r>
      <w:r w:rsidR="000C03AD" w:rsidRPr="006D50FA">
        <w:rPr>
          <w:i/>
          <w:iCs/>
          <w:color w:val="000000" w:themeColor="text1"/>
          <w:szCs w:val="26"/>
        </w:rPr>
        <w:t xml:space="preserve"> </w:t>
      </w:r>
      <w:r w:rsidR="00D362AB" w:rsidRPr="006D50FA">
        <w:rPr>
          <w:color w:val="000000" w:themeColor="text1"/>
          <w:szCs w:val="26"/>
        </w:rPr>
        <w:t>(</w:t>
      </w:r>
      <w:r w:rsidR="000C03AD" w:rsidRPr="006D50FA">
        <w:rPr>
          <w:color w:val="000000" w:themeColor="text1"/>
          <w:szCs w:val="26"/>
        </w:rPr>
        <w:t>or</w:t>
      </w:r>
      <w:r w:rsidR="00D362AB" w:rsidRPr="006D50FA">
        <w:rPr>
          <w:color w:val="000000" w:themeColor="text1"/>
          <w:szCs w:val="26"/>
        </w:rPr>
        <w:t xml:space="preserve">, if the primary basis fails, </w:t>
      </w:r>
      <w:r w:rsidR="00D03C50" w:rsidRPr="006D50FA">
        <w:rPr>
          <w:color w:val="000000" w:themeColor="text1"/>
          <w:szCs w:val="26"/>
        </w:rPr>
        <w:t>an</w:t>
      </w:r>
      <w:r w:rsidR="000C03AD" w:rsidRPr="006D50FA">
        <w:rPr>
          <w:color w:val="000000" w:themeColor="text1"/>
          <w:szCs w:val="26"/>
        </w:rPr>
        <w:t xml:space="preserve"> </w:t>
      </w:r>
      <w:r w:rsidR="000C03AD" w:rsidRPr="006D50FA">
        <w:rPr>
          <w:i/>
          <w:iCs/>
          <w:color w:val="000000" w:themeColor="text1"/>
          <w:szCs w:val="26"/>
        </w:rPr>
        <w:t>alternative</w:t>
      </w:r>
      <w:r w:rsidR="00D03C50" w:rsidRPr="006D50FA">
        <w:rPr>
          <w:color w:val="000000" w:themeColor="text1"/>
          <w:szCs w:val="26"/>
        </w:rPr>
        <w:t>)</w:t>
      </w:r>
      <w:r w:rsidR="00DB3B10" w:rsidRPr="006D50FA">
        <w:rPr>
          <w:color w:val="000000" w:themeColor="text1"/>
          <w:szCs w:val="26"/>
        </w:rPr>
        <w:t xml:space="preserve"> </w:t>
      </w:r>
      <w:r w:rsidR="007E1BC7" w:rsidRPr="006D50FA">
        <w:rPr>
          <w:color w:val="000000" w:themeColor="text1"/>
          <w:szCs w:val="26"/>
        </w:rPr>
        <w:t xml:space="preserve">justification </w:t>
      </w:r>
      <w:r w:rsidR="0012297A" w:rsidRPr="006D50FA">
        <w:rPr>
          <w:color w:val="000000" w:themeColor="text1"/>
          <w:szCs w:val="26"/>
        </w:rPr>
        <w:t xml:space="preserve">— </w:t>
      </w:r>
      <w:r w:rsidR="007E1BC7" w:rsidRPr="006D50FA">
        <w:rPr>
          <w:color w:val="000000" w:themeColor="text1"/>
          <w:szCs w:val="26"/>
        </w:rPr>
        <w:t xml:space="preserve">to </w:t>
      </w:r>
      <w:r w:rsidR="004E0EE7" w:rsidRPr="006D50FA">
        <w:rPr>
          <w:color w:val="000000" w:themeColor="text1"/>
          <w:szCs w:val="26"/>
        </w:rPr>
        <w:t xml:space="preserve">impeach the prosecution’s anticipated witness, Renteria, </w:t>
      </w:r>
      <w:r w:rsidRPr="006D50FA">
        <w:rPr>
          <w:color w:val="000000" w:themeColor="text1"/>
          <w:szCs w:val="26"/>
        </w:rPr>
        <w:t xml:space="preserve">by highlighting his character for untruthfulness and violence.  In this regard, </w:t>
      </w:r>
      <w:r w:rsidR="0012611F" w:rsidRPr="006D50FA">
        <w:rPr>
          <w:i/>
          <w:color w:val="000000" w:themeColor="text1"/>
          <w:szCs w:val="26"/>
        </w:rPr>
        <w:t xml:space="preserve">Hill, supra, </w:t>
      </w:r>
      <w:r w:rsidR="0012611F" w:rsidRPr="006D50FA">
        <w:rPr>
          <w:color w:val="000000" w:themeColor="text1"/>
          <w:szCs w:val="26"/>
        </w:rPr>
        <w:t xml:space="preserve">10 Cal.3d 812, </w:t>
      </w:r>
      <w:r w:rsidR="00AC0E34" w:rsidRPr="006D50FA">
        <w:rPr>
          <w:color w:val="000000" w:themeColor="text1"/>
          <w:szCs w:val="26"/>
        </w:rPr>
        <w:t xml:space="preserve">which we decided eight years after </w:t>
      </w:r>
      <w:r w:rsidR="006E398A" w:rsidRPr="006D50FA">
        <w:rPr>
          <w:i/>
          <w:iCs/>
          <w:color w:val="000000" w:themeColor="text1"/>
          <w:szCs w:val="26"/>
        </w:rPr>
        <w:t>Ballard</w:t>
      </w:r>
      <w:r w:rsidR="006E398A" w:rsidRPr="006D50FA">
        <w:rPr>
          <w:color w:val="000000" w:themeColor="text1"/>
          <w:szCs w:val="26"/>
        </w:rPr>
        <w:t xml:space="preserve">, </w:t>
      </w:r>
      <w:r w:rsidR="00C807D4" w:rsidRPr="006D50FA">
        <w:rPr>
          <w:color w:val="000000" w:themeColor="text1"/>
          <w:szCs w:val="26"/>
        </w:rPr>
        <w:t>i</w:t>
      </w:r>
      <w:r w:rsidR="00AB7D45" w:rsidRPr="006D50FA">
        <w:rPr>
          <w:color w:val="000000" w:themeColor="text1"/>
          <w:szCs w:val="26"/>
        </w:rPr>
        <w:t xml:space="preserve">s enlightening.  </w:t>
      </w:r>
      <w:r w:rsidR="0092487D" w:rsidRPr="006D50FA">
        <w:rPr>
          <w:color w:val="000000" w:themeColor="text1"/>
          <w:szCs w:val="26"/>
        </w:rPr>
        <w:t>As explained below, i</w:t>
      </w:r>
      <w:r w:rsidR="00AB7D45" w:rsidRPr="006D50FA">
        <w:rPr>
          <w:color w:val="000000" w:themeColor="text1"/>
          <w:szCs w:val="26"/>
        </w:rPr>
        <w:t xml:space="preserve">n </w:t>
      </w:r>
      <w:r w:rsidR="00654C5C" w:rsidRPr="006D50FA">
        <w:rPr>
          <w:i/>
          <w:iCs/>
          <w:color w:val="000000" w:themeColor="text1"/>
          <w:szCs w:val="26"/>
        </w:rPr>
        <w:t>Hill</w:t>
      </w:r>
      <w:r w:rsidR="00654C5C" w:rsidRPr="006D50FA">
        <w:rPr>
          <w:color w:val="000000" w:themeColor="text1"/>
          <w:szCs w:val="26"/>
        </w:rPr>
        <w:t xml:space="preserve"> </w:t>
      </w:r>
      <w:r w:rsidR="00C807D4" w:rsidRPr="006D50FA">
        <w:rPr>
          <w:color w:val="000000" w:themeColor="text1"/>
          <w:szCs w:val="26"/>
        </w:rPr>
        <w:t xml:space="preserve">we found </w:t>
      </w:r>
      <w:r w:rsidR="00427D57" w:rsidRPr="006D50FA">
        <w:rPr>
          <w:color w:val="000000" w:themeColor="text1"/>
          <w:szCs w:val="26"/>
        </w:rPr>
        <w:t xml:space="preserve">that </w:t>
      </w:r>
      <w:r w:rsidR="00C807D4" w:rsidRPr="006D50FA">
        <w:rPr>
          <w:color w:val="000000" w:themeColor="text1"/>
          <w:szCs w:val="26"/>
        </w:rPr>
        <w:t xml:space="preserve">the defendant had indeed shown plausible justification </w:t>
      </w:r>
      <w:r w:rsidR="00C504F2" w:rsidRPr="006D50FA">
        <w:rPr>
          <w:color w:val="000000" w:themeColor="text1"/>
          <w:szCs w:val="26"/>
        </w:rPr>
        <w:t>to acquire such impeac</w:t>
      </w:r>
      <w:r w:rsidR="009A60C5" w:rsidRPr="006D50FA">
        <w:rPr>
          <w:color w:val="000000" w:themeColor="text1"/>
          <w:szCs w:val="26"/>
        </w:rPr>
        <w:t>hment evidence</w:t>
      </w:r>
      <w:r w:rsidR="0092487D" w:rsidRPr="006D50FA">
        <w:rPr>
          <w:color w:val="000000" w:themeColor="text1"/>
          <w:szCs w:val="26"/>
        </w:rPr>
        <w:t xml:space="preserve"> — </w:t>
      </w:r>
      <w:r w:rsidR="009A60C5" w:rsidRPr="006D50FA">
        <w:rPr>
          <w:color w:val="000000" w:themeColor="text1"/>
          <w:szCs w:val="26"/>
        </w:rPr>
        <w:t xml:space="preserve">but </w:t>
      </w:r>
      <w:r w:rsidR="0092487D" w:rsidRPr="006D50FA">
        <w:rPr>
          <w:color w:val="000000" w:themeColor="text1"/>
          <w:szCs w:val="26"/>
        </w:rPr>
        <w:t xml:space="preserve">that he </w:t>
      </w:r>
      <w:r w:rsidR="009A60C5" w:rsidRPr="006D50FA">
        <w:rPr>
          <w:color w:val="000000" w:themeColor="text1"/>
          <w:szCs w:val="26"/>
        </w:rPr>
        <w:t xml:space="preserve">had not established justification </w:t>
      </w:r>
      <w:r w:rsidR="001B631B" w:rsidRPr="006D50FA">
        <w:rPr>
          <w:color w:val="000000" w:themeColor="text1"/>
          <w:szCs w:val="26"/>
        </w:rPr>
        <w:t>under other theories</w:t>
      </w:r>
      <w:r w:rsidR="00C807D4" w:rsidRPr="006D50FA">
        <w:rPr>
          <w:color w:val="000000" w:themeColor="text1"/>
          <w:szCs w:val="26"/>
        </w:rPr>
        <w:t xml:space="preserve">.  </w:t>
      </w:r>
    </w:p>
    <w:p w14:paraId="50BEE61A" w14:textId="6F38F7F1" w:rsidR="00C807D4" w:rsidRPr="006D50FA" w:rsidRDefault="001C596C" w:rsidP="00773D1C">
      <w:pPr>
        <w:pStyle w:val="PRComments"/>
        <w:spacing w:line="400" w:lineRule="exact"/>
        <w:ind w:right="0" w:firstLine="720"/>
        <w:rPr>
          <w:color w:val="000000" w:themeColor="text1"/>
          <w:szCs w:val="26"/>
        </w:rPr>
      </w:pPr>
      <w:r>
        <w:rPr>
          <w:color w:val="000000" w:themeColor="text1"/>
          <w:szCs w:val="26"/>
        </w:rPr>
        <w:t>T</w:t>
      </w:r>
      <w:r w:rsidR="00C807D4" w:rsidRPr="006D50FA">
        <w:rPr>
          <w:color w:val="000000" w:themeColor="text1"/>
          <w:szCs w:val="26"/>
        </w:rPr>
        <w:t>he defendant</w:t>
      </w:r>
      <w:r>
        <w:rPr>
          <w:color w:val="000000" w:themeColor="text1"/>
          <w:szCs w:val="26"/>
        </w:rPr>
        <w:t xml:space="preserve"> in </w:t>
      </w:r>
      <w:r>
        <w:rPr>
          <w:i/>
          <w:iCs/>
          <w:color w:val="000000" w:themeColor="text1"/>
          <w:szCs w:val="26"/>
        </w:rPr>
        <w:t>Hill</w:t>
      </w:r>
      <w:r w:rsidR="00C807D4" w:rsidRPr="006D50FA">
        <w:rPr>
          <w:color w:val="000000" w:themeColor="text1"/>
          <w:szCs w:val="26"/>
        </w:rPr>
        <w:t>, charged with attempted burglary, sought to discover (1) an</w:t>
      </w:r>
      <w:r w:rsidR="009572BB" w:rsidRPr="006D50FA">
        <w:rPr>
          <w:color w:val="000000" w:themeColor="text1"/>
          <w:szCs w:val="26"/>
        </w:rPr>
        <w:t>y</w:t>
      </w:r>
      <w:r w:rsidR="00C807D4" w:rsidRPr="006D50FA">
        <w:rPr>
          <w:color w:val="000000" w:themeColor="text1"/>
          <w:szCs w:val="26"/>
        </w:rPr>
        <w:t xml:space="preserve"> </w:t>
      </w:r>
      <w:r w:rsidR="009572BB" w:rsidRPr="006D50FA">
        <w:rPr>
          <w:color w:val="000000" w:themeColor="text1"/>
          <w:szCs w:val="26"/>
        </w:rPr>
        <w:t xml:space="preserve">public </w:t>
      </w:r>
      <w:r w:rsidR="00387E3E" w:rsidRPr="006D50FA">
        <w:rPr>
          <w:color w:val="000000" w:themeColor="text1"/>
          <w:szCs w:val="26"/>
        </w:rPr>
        <w:t xml:space="preserve">records of </w:t>
      </w:r>
      <w:r w:rsidR="00C807D4" w:rsidRPr="006D50FA">
        <w:rPr>
          <w:i/>
          <w:iCs/>
          <w:color w:val="000000" w:themeColor="text1"/>
          <w:szCs w:val="26"/>
        </w:rPr>
        <w:t>felony conviction</w:t>
      </w:r>
      <w:r w:rsidR="00387E3E" w:rsidRPr="006D50FA">
        <w:rPr>
          <w:i/>
          <w:iCs/>
          <w:color w:val="000000" w:themeColor="text1"/>
          <w:szCs w:val="26"/>
        </w:rPr>
        <w:t xml:space="preserve">s </w:t>
      </w:r>
      <w:r w:rsidR="00C807D4" w:rsidRPr="006D50FA">
        <w:rPr>
          <w:color w:val="000000" w:themeColor="text1"/>
          <w:szCs w:val="26"/>
        </w:rPr>
        <w:t>that might exist regarding the prosecution’s prospective key witness against him</w:t>
      </w:r>
      <w:r w:rsidR="009964E4" w:rsidRPr="006D50FA">
        <w:rPr>
          <w:color w:val="000000" w:themeColor="text1"/>
          <w:szCs w:val="26"/>
        </w:rPr>
        <w:t xml:space="preserve"> —</w:t>
      </w:r>
      <w:r w:rsidR="00C807D4" w:rsidRPr="006D50FA">
        <w:rPr>
          <w:color w:val="000000" w:themeColor="text1"/>
          <w:szCs w:val="26"/>
        </w:rPr>
        <w:t xml:space="preserve"> in order to impeach that witness; and (2)</w:t>
      </w:r>
      <w:r w:rsidR="005B7685" w:rsidRPr="006D50FA">
        <w:rPr>
          <w:color w:val="000000" w:themeColor="text1"/>
          <w:szCs w:val="26"/>
        </w:rPr>
        <w:t> </w:t>
      </w:r>
      <w:r w:rsidR="00C807D4" w:rsidRPr="006D50FA">
        <w:rPr>
          <w:color w:val="000000" w:themeColor="text1"/>
          <w:szCs w:val="26"/>
        </w:rPr>
        <w:t xml:space="preserve">any </w:t>
      </w:r>
      <w:r w:rsidR="006B6284" w:rsidRPr="006D50FA">
        <w:rPr>
          <w:color w:val="000000" w:themeColor="text1"/>
          <w:szCs w:val="26"/>
        </w:rPr>
        <w:t xml:space="preserve">general </w:t>
      </w:r>
      <w:r w:rsidR="00C807D4" w:rsidRPr="006D50FA">
        <w:rPr>
          <w:i/>
          <w:iCs/>
          <w:color w:val="000000" w:themeColor="text1"/>
          <w:szCs w:val="26"/>
        </w:rPr>
        <w:t>arrest and detention records</w:t>
      </w:r>
      <w:r w:rsidR="00C807D4" w:rsidRPr="006D50FA">
        <w:rPr>
          <w:color w:val="000000" w:themeColor="text1"/>
          <w:szCs w:val="26"/>
        </w:rPr>
        <w:t xml:space="preserve"> that might exist regarding the prosecution’s prospective key witness against him</w:t>
      </w:r>
      <w:r w:rsidR="009964E4" w:rsidRPr="006D50FA">
        <w:rPr>
          <w:color w:val="000000" w:themeColor="text1"/>
          <w:szCs w:val="26"/>
        </w:rPr>
        <w:t xml:space="preserve"> —</w:t>
      </w:r>
      <w:r w:rsidR="00C807D4" w:rsidRPr="006D50FA">
        <w:rPr>
          <w:color w:val="000000" w:themeColor="text1"/>
          <w:szCs w:val="26"/>
        </w:rPr>
        <w:t xml:space="preserve"> in order to argue that the prosecution witness, who had </w:t>
      </w:r>
      <w:r w:rsidR="00C807D4" w:rsidRPr="006D50FA">
        <w:rPr>
          <w:color w:val="000000" w:themeColor="text1"/>
        </w:rPr>
        <w:t xml:space="preserve">reported the alleged crime to the police, </w:t>
      </w:r>
      <w:r w:rsidR="00C807D4" w:rsidRPr="006D50FA">
        <w:rPr>
          <w:color w:val="000000" w:themeColor="text1"/>
          <w:szCs w:val="26"/>
        </w:rPr>
        <w:t xml:space="preserve">in fact committed that </w:t>
      </w:r>
      <w:r w:rsidR="00C807D4" w:rsidRPr="006D50FA">
        <w:rPr>
          <w:color w:val="000000" w:themeColor="text1"/>
          <w:szCs w:val="26"/>
        </w:rPr>
        <w:lastRenderedPageBreak/>
        <w:t>under</w:t>
      </w:r>
      <w:r w:rsidR="00C807D4" w:rsidRPr="00F23E9F">
        <w:rPr>
          <w:color w:val="000000" w:themeColor="text1"/>
          <w:szCs w:val="26"/>
        </w:rPr>
        <w:t>l</w:t>
      </w:r>
      <w:r w:rsidR="00B83F02" w:rsidRPr="00F23E9F">
        <w:rPr>
          <w:color w:val="000000" w:themeColor="text1"/>
          <w:szCs w:val="26"/>
        </w:rPr>
        <w:t>y</w:t>
      </w:r>
      <w:r w:rsidR="00C807D4" w:rsidRPr="00F23E9F">
        <w:rPr>
          <w:color w:val="000000" w:themeColor="text1"/>
          <w:szCs w:val="26"/>
        </w:rPr>
        <w:t>i</w:t>
      </w:r>
      <w:r w:rsidR="00C807D4" w:rsidRPr="006D50FA">
        <w:rPr>
          <w:color w:val="000000" w:themeColor="text1"/>
          <w:szCs w:val="26"/>
        </w:rPr>
        <w:t>ng crime.</w:t>
      </w:r>
      <w:r w:rsidR="001E357E" w:rsidRPr="006D50FA">
        <w:rPr>
          <w:rStyle w:val="FootnoteReference"/>
          <w:color w:val="000000" w:themeColor="text1"/>
          <w:szCs w:val="26"/>
        </w:rPr>
        <w:footnoteReference w:id="9"/>
      </w:r>
      <w:r w:rsidR="00C807D4" w:rsidRPr="006D50FA">
        <w:rPr>
          <w:color w:val="000000" w:themeColor="text1"/>
          <w:szCs w:val="26"/>
        </w:rPr>
        <w:t xml:space="preserve">  The trial court </w:t>
      </w:r>
      <w:r w:rsidR="00C807D4" w:rsidRPr="006D50FA">
        <w:rPr>
          <w:rFonts w:cstheme="minorHAnsi"/>
          <w:color w:val="000000" w:themeColor="text1"/>
          <w:szCs w:val="26"/>
        </w:rPr>
        <w:t xml:space="preserve">denied both aspects of discovery on the ground that the defendant had not shown that </w:t>
      </w:r>
      <w:r w:rsidR="008F53AF" w:rsidRPr="006D50FA">
        <w:rPr>
          <w:rFonts w:cstheme="minorHAnsi"/>
          <w:color w:val="000000" w:themeColor="text1"/>
          <w:szCs w:val="26"/>
        </w:rPr>
        <w:t xml:space="preserve">any such records existed </w:t>
      </w:r>
      <w:r w:rsidR="00C807D4" w:rsidRPr="006D50FA">
        <w:rPr>
          <w:rFonts w:cstheme="minorHAnsi"/>
          <w:color w:val="000000" w:themeColor="text1"/>
          <w:szCs w:val="26"/>
        </w:rPr>
        <w:t>concerning the witness.  (</w:t>
      </w:r>
      <w:r w:rsidR="00C807D4" w:rsidRPr="006D50FA">
        <w:rPr>
          <w:rFonts w:cstheme="minorHAnsi"/>
          <w:i/>
          <w:iCs/>
          <w:color w:val="000000" w:themeColor="text1"/>
          <w:szCs w:val="26"/>
        </w:rPr>
        <w:t>Id.</w:t>
      </w:r>
      <w:r w:rsidR="00C807D4" w:rsidRPr="006D50FA">
        <w:rPr>
          <w:rFonts w:cstheme="minorHAnsi"/>
          <w:color w:val="000000" w:themeColor="text1"/>
          <w:szCs w:val="26"/>
        </w:rPr>
        <w:t>, at p.</w:t>
      </w:r>
      <w:r w:rsidR="00773D1C" w:rsidRPr="006D50FA">
        <w:rPr>
          <w:rFonts w:cstheme="minorHAnsi"/>
          <w:color w:val="000000" w:themeColor="text1"/>
          <w:szCs w:val="26"/>
        </w:rPr>
        <w:t> </w:t>
      </w:r>
      <w:r w:rsidR="00C807D4" w:rsidRPr="006D50FA">
        <w:rPr>
          <w:rFonts w:cstheme="minorHAnsi"/>
          <w:color w:val="000000" w:themeColor="text1"/>
          <w:szCs w:val="26"/>
        </w:rPr>
        <w:t xml:space="preserve">816.)  </w:t>
      </w:r>
    </w:p>
    <w:p w14:paraId="468E56F3" w14:textId="0396FA5B" w:rsidR="00C807D4" w:rsidRPr="006D50FA" w:rsidRDefault="00C807D4" w:rsidP="00773D1C">
      <w:pPr>
        <w:pStyle w:val="PRComments"/>
        <w:spacing w:line="400" w:lineRule="exact"/>
        <w:ind w:right="0" w:firstLine="720"/>
        <w:rPr>
          <w:rFonts w:cstheme="minorHAnsi"/>
          <w:color w:val="000000" w:themeColor="text1"/>
          <w:szCs w:val="26"/>
        </w:rPr>
      </w:pPr>
      <w:r w:rsidRPr="006D50FA">
        <w:rPr>
          <w:color w:val="000000" w:themeColor="text1"/>
          <w:szCs w:val="26"/>
        </w:rPr>
        <w:t>We first addressed the request for records of felony convictions</w:t>
      </w:r>
      <w:r w:rsidR="00486623" w:rsidRPr="006D50FA">
        <w:rPr>
          <w:color w:val="000000" w:themeColor="text1"/>
          <w:szCs w:val="26"/>
        </w:rPr>
        <w:t xml:space="preserve">, </w:t>
      </w:r>
      <w:proofErr w:type="gramStart"/>
      <w:r w:rsidR="00486623" w:rsidRPr="006D50FA">
        <w:rPr>
          <w:color w:val="000000" w:themeColor="text1"/>
          <w:szCs w:val="26"/>
        </w:rPr>
        <w:t>in order to</w:t>
      </w:r>
      <w:proofErr w:type="gramEnd"/>
      <w:r w:rsidR="00486623" w:rsidRPr="006D50FA">
        <w:rPr>
          <w:color w:val="000000" w:themeColor="text1"/>
          <w:szCs w:val="26"/>
        </w:rPr>
        <w:t xml:space="preserve"> impeach</w:t>
      </w:r>
      <w:r w:rsidRPr="006D50FA">
        <w:rPr>
          <w:color w:val="000000" w:themeColor="text1"/>
          <w:szCs w:val="26"/>
        </w:rPr>
        <w:t>.  We observed that “</w:t>
      </w:r>
      <w:r w:rsidR="00A60C09" w:rsidRPr="006D50FA">
        <w:rPr>
          <w:color w:val="000000" w:themeColor="text1"/>
          <w:szCs w:val="26"/>
        </w:rPr>
        <w:t> </w:t>
      </w:r>
      <w:r w:rsidR="00C712F3" w:rsidRPr="006D50FA">
        <w:rPr>
          <w:color w:val="000000" w:themeColor="text1"/>
          <w:szCs w:val="26"/>
        </w:rPr>
        <w:t>‘</w:t>
      </w:r>
      <w:r w:rsidRPr="006D50FA">
        <w:rPr>
          <w:color w:val="000000" w:themeColor="text1"/>
          <w:szCs w:val="26"/>
        </w:rPr>
        <w:t>[i]</w:t>
      </w:r>
      <w:r w:rsidRPr="006D50FA">
        <w:rPr>
          <w:rFonts w:cstheme="minorHAnsi"/>
          <w:color w:val="000000" w:themeColor="text1"/>
          <w:szCs w:val="26"/>
        </w:rPr>
        <w:t xml:space="preserve">n criminal cases, the trial court retains wide discretion to protect against the disclosure of information which might unduly hamper the prosecution or violate </w:t>
      </w:r>
      <w:proofErr w:type="gramStart"/>
      <w:r w:rsidRPr="006D50FA">
        <w:rPr>
          <w:rFonts w:cstheme="minorHAnsi"/>
          <w:color w:val="000000" w:themeColor="text1"/>
          <w:szCs w:val="26"/>
        </w:rPr>
        <w:t>some</w:t>
      </w:r>
      <w:proofErr w:type="gramEnd"/>
      <w:r w:rsidRPr="006D50FA">
        <w:rPr>
          <w:rFonts w:cstheme="minorHAnsi"/>
          <w:color w:val="000000" w:themeColor="text1"/>
          <w:szCs w:val="26"/>
        </w:rPr>
        <w:t xml:space="preserve"> other legitimate governmental interest.</w:t>
      </w:r>
      <w:r w:rsidR="00C712F3" w:rsidRPr="006D50FA">
        <w:rPr>
          <w:rFonts w:cstheme="minorHAnsi"/>
          <w:color w:val="000000" w:themeColor="text1"/>
          <w:szCs w:val="26"/>
        </w:rPr>
        <w:t>’</w:t>
      </w:r>
      <w:r w:rsidR="00A60C09" w:rsidRPr="006D50FA">
        <w:rPr>
          <w:rFonts w:cstheme="minorHAnsi"/>
          <w:color w:val="000000" w:themeColor="text1"/>
          <w:szCs w:val="26"/>
        </w:rPr>
        <w:t> </w:t>
      </w:r>
      <w:r w:rsidRPr="006D50FA">
        <w:rPr>
          <w:rFonts w:cstheme="minorHAnsi"/>
          <w:color w:val="000000" w:themeColor="text1"/>
          <w:szCs w:val="26"/>
        </w:rPr>
        <w:t>”  (</w:t>
      </w:r>
      <w:r w:rsidRPr="006D50FA">
        <w:rPr>
          <w:i/>
          <w:color w:val="000000" w:themeColor="text1"/>
          <w:szCs w:val="26"/>
        </w:rPr>
        <w:t xml:space="preserve">Hill, supra, </w:t>
      </w:r>
      <w:r w:rsidRPr="006D50FA">
        <w:rPr>
          <w:color w:val="000000" w:themeColor="text1"/>
          <w:szCs w:val="26"/>
        </w:rPr>
        <w:t>10 Cal.3d at p.</w:t>
      </w:r>
      <w:r w:rsidR="00773D1C" w:rsidRPr="006D50FA">
        <w:rPr>
          <w:color w:val="000000" w:themeColor="text1"/>
          <w:szCs w:val="26"/>
        </w:rPr>
        <w:t> </w:t>
      </w:r>
      <w:r w:rsidRPr="006D50FA">
        <w:rPr>
          <w:color w:val="000000" w:themeColor="text1"/>
          <w:szCs w:val="26"/>
        </w:rPr>
        <w:t>817.</w:t>
      </w:r>
      <w:r w:rsidRPr="006D50FA">
        <w:rPr>
          <w:rFonts w:cstheme="minorHAnsi"/>
          <w:color w:val="000000" w:themeColor="text1"/>
          <w:szCs w:val="26"/>
        </w:rPr>
        <w:t>)  Then we highlighted the plausible justification factor</w:t>
      </w:r>
      <w:r w:rsidR="00E50F62" w:rsidRPr="006D50FA">
        <w:rPr>
          <w:rFonts w:cstheme="minorHAnsi"/>
          <w:color w:val="000000" w:themeColor="text1"/>
          <w:szCs w:val="26"/>
        </w:rPr>
        <w:t>,</w:t>
      </w:r>
      <w:r w:rsidR="002B66A4" w:rsidRPr="006D50FA">
        <w:rPr>
          <w:rFonts w:cstheme="minorHAnsi"/>
          <w:color w:val="000000" w:themeColor="text1"/>
          <w:szCs w:val="26"/>
        </w:rPr>
        <w:t xml:space="preserve"> </w:t>
      </w:r>
      <w:r w:rsidR="009160B9" w:rsidRPr="006D50FA">
        <w:rPr>
          <w:rFonts w:cstheme="minorHAnsi"/>
          <w:color w:val="000000" w:themeColor="text1"/>
          <w:szCs w:val="26"/>
        </w:rPr>
        <w:t xml:space="preserve">as </w:t>
      </w:r>
      <w:r w:rsidR="002B66A4" w:rsidRPr="006D50FA">
        <w:rPr>
          <w:rFonts w:cstheme="minorHAnsi"/>
          <w:color w:val="000000" w:themeColor="text1"/>
          <w:szCs w:val="26"/>
        </w:rPr>
        <w:t xml:space="preserve">first </w:t>
      </w:r>
      <w:r w:rsidR="009160B9" w:rsidRPr="008D3115">
        <w:rPr>
          <w:rFonts w:cstheme="minorHAnsi"/>
          <w:color w:val="000000" w:themeColor="text1"/>
          <w:szCs w:val="26"/>
        </w:rPr>
        <w:t xml:space="preserve">articulated </w:t>
      </w:r>
      <w:r w:rsidR="000E1F16" w:rsidRPr="008D3115">
        <w:rPr>
          <w:rFonts w:cstheme="minorHAnsi"/>
          <w:color w:val="000000" w:themeColor="text1"/>
          <w:szCs w:val="26"/>
        </w:rPr>
        <w:t>in</w:t>
      </w:r>
      <w:r w:rsidR="000E1F16">
        <w:rPr>
          <w:rFonts w:cstheme="minorHAnsi"/>
          <w:color w:val="000000" w:themeColor="text1"/>
          <w:szCs w:val="26"/>
        </w:rPr>
        <w:t xml:space="preserve"> </w:t>
      </w:r>
      <w:r w:rsidRPr="006D50FA">
        <w:rPr>
          <w:i/>
          <w:iCs/>
          <w:color w:val="000000" w:themeColor="text1"/>
          <w:szCs w:val="26"/>
        </w:rPr>
        <w:t>Ballard</w:t>
      </w:r>
      <w:r w:rsidR="009160B9" w:rsidRPr="006D50FA">
        <w:rPr>
          <w:i/>
          <w:iCs/>
          <w:color w:val="000000" w:themeColor="text1"/>
          <w:szCs w:val="26"/>
        </w:rPr>
        <w:t>,</w:t>
      </w:r>
      <w:r w:rsidRPr="006D50FA">
        <w:rPr>
          <w:color w:val="000000" w:themeColor="text1"/>
          <w:szCs w:val="26"/>
        </w:rPr>
        <w:t xml:space="preserve"> and </w:t>
      </w:r>
      <w:r w:rsidR="009160B9" w:rsidRPr="006D50FA">
        <w:rPr>
          <w:color w:val="000000" w:themeColor="text1"/>
          <w:szCs w:val="26"/>
        </w:rPr>
        <w:t xml:space="preserve">we </w:t>
      </w:r>
      <w:r w:rsidRPr="006D50FA">
        <w:rPr>
          <w:color w:val="000000" w:themeColor="text1"/>
          <w:szCs w:val="26"/>
        </w:rPr>
        <w:t xml:space="preserve">quoted again from the same passage in Chief Justice Traynor’s article in the course of explaining that </w:t>
      </w:r>
      <w:r w:rsidRPr="006D50FA">
        <w:rPr>
          <w:rFonts w:cstheme="minorHAnsi"/>
          <w:color w:val="000000" w:themeColor="text1"/>
          <w:szCs w:val="26"/>
        </w:rPr>
        <w:t xml:space="preserve">trial courts have “discretion to deny discovery </w:t>
      </w:r>
      <w:r w:rsidRPr="006D50FA">
        <w:rPr>
          <w:rFonts w:cstheme="minorHAnsi"/>
          <w:i/>
          <w:iCs/>
          <w:color w:val="000000" w:themeColor="text1"/>
          <w:szCs w:val="26"/>
        </w:rPr>
        <w:t xml:space="preserve">in the absence of a showing which </w:t>
      </w:r>
      <w:r w:rsidRPr="006D50FA">
        <w:rPr>
          <w:rFonts w:cstheme="minorHAnsi"/>
          <w:color w:val="000000" w:themeColor="text1"/>
          <w:szCs w:val="26"/>
        </w:rPr>
        <w:t>specifies the material sought and</w:t>
      </w:r>
      <w:r w:rsidRPr="006D50FA">
        <w:rPr>
          <w:rFonts w:cstheme="minorHAnsi"/>
          <w:i/>
          <w:iCs/>
          <w:color w:val="000000" w:themeColor="text1"/>
          <w:szCs w:val="26"/>
        </w:rPr>
        <w:t xml:space="preserve"> furnishes a ‘plausible justification’</w:t>
      </w:r>
      <w:r w:rsidRPr="006D50FA">
        <w:rPr>
          <w:rFonts w:cstheme="minorHAnsi"/>
          <w:color w:val="000000" w:themeColor="text1"/>
          <w:szCs w:val="26"/>
        </w:rPr>
        <w:t xml:space="preserve"> for inspection.”  (</w:t>
      </w:r>
      <w:r w:rsidRPr="006D50FA">
        <w:rPr>
          <w:rFonts w:cstheme="minorHAnsi"/>
          <w:i/>
          <w:iCs/>
          <w:color w:val="000000" w:themeColor="text1"/>
          <w:szCs w:val="26"/>
        </w:rPr>
        <w:t>Ibid</w:t>
      </w:r>
      <w:r w:rsidRPr="006D50FA">
        <w:rPr>
          <w:rFonts w:cstheme="minorHAnsi"/>
          <w:color w:val="000000" w:themeColor="text1"/>
          <w:szCs w:val="26"/>
        </w:rPr>
        <w:t>.</w:t>
      </w:r>
      <w:r w:rsidR="007C236F" w:rsidRPr="006D50FA">
        <w:rPr>
          <w:rFonts w:cstheme="minorHAnsi"/>
          <w:color w:val="000000" w:themeColor="text1"/>
          <w:szCs w:val="26"/>
        </w:rPr>
        <w:t>, italics added.</w:t>
      </w:r>
      <w:r w:rsidRPr="006D50FA">
        <w:rPr>
          <w:rFonts w:cstheme="minorHAnsi"/>
          <w:color w:val="000000" w:themeColor="text1"/>
          <w:szCs w:val="26"/>
        </w:rPr>
        <w:t xml:space="preserve">)  </w:t>
      </w:r>
    </w:p>
    <w:p w14:paraId="72907C15" w14:textId="6520E5A7" w:rsidR="00C807D4"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t xml:space="preserve">We found that the defendant had </w:t>
      </w:r>
      <w:proofErr w:type="gramStart"/>
      <w:r w:rsidRPr="006D50FA">
        <w:rPr>
          <w:color w:val="000000" w:themeColor="text1"/>
          <w:szCs w:val="26"/>
        </w:rPr>
        <w:t>adequately described</w:t>
      </w:r>
      <w:proofErr w:type="gramEnd"/>
      <w:r w:rsidRPr="006D50FA">
        <w:rPr>
          <w:color w:val="000000" w:themeColor="text1"/>
          <w:szCs w:val="26"/>
        </w:rPr>
        <w:t xml:space="preserve"> the sought felony conviction records, </w:t>
      </w:r>
      <w:r w:rsidR="005F7067" w:rsidRPr="006D50FA">
        <w:rPr>
          <w:color w:val="000000" w:themeColor="text1"/>
          <w:szCs w:val="26"/>
        </w:rPr>
        <w:t xml:space="preserve">and </w:t>
      </w:r>
      <w:r w:rsidR="00B96D0F" w:rsidRPr="006D50FA">
        <w:rPr>
          <w:color w:val="000000" w:themeColor="text1"/>
          <w:szCs w:val="26"/>
        </w:rPr>
        <w:t xml:space="preserve">we </w:t>
      </w:r>
      <w:r w:rsidRPr="006D50FA">
        <w:rPr>
          <w:color w:val="000000" w:themeColor="text1"/>
          <w:szCs w:val="26"/>
        </w:rPr>
        <w:t xml:space="preserve">acknowledged that </w:t>
      </w:r>
      <w:r w:rsidRPr="006D50FA">
        <w:rPr>
          <w:color w:val="000000" w:themeColor="text1"/>
        </w:rPr>
        <w:t>the evidence code allows for such felony records to impeach a witness’s credibility</w:t>
      </w:r>
      <w:r w:rsidR="00253A22" w:rsidRPr="006D50FA">
        <w:rPr>
          <w:color w:val="000000" w:themeColor="text1"/>
        </w:rPr>
        <w:t xml:space="preserve">.  </w:t>
      </w:r>
      <w:r w:rsidRPr="006D50FA">
        <w:rPr>
          <w:rFonts w:cstheme="minorHAnsi"/>
          <w:color w:val="000000" w:themeColor="text1"/>
          <w:szCs w:val="26"/>
        </w:rPr>
        <w:t>(</w:t>
      </w:r>
      <w:r w:rsidRPr="006D50FA">
        <w:rPr>
          <w:i/>
          <w:color w:val="000000" w:themeColor="text1"/>
          <w:szCs w:val="26"/>
        </w:rPr>
        <w:t xml:space="preserve">Hill, supra, </w:t>
      </w:r>
      <w:r w:rsidRPr="006D50FA">
        <w:rPr>
          <w:color w:val="000000" w:themeColor="text1"/>
          <w:szCs w:val="26"/>
        </w:rPr>
        <w:t>10 Cal.3d at p. 817.</w:t>
      </w:r>
      <w:r w:rsidRPr="006D50FA">
        <w:rPr>
          <w:rFonts w:cstheme="minorHAnsi"/>
          <w:color w:val="000000" w:themeColor="text1"/>
          <w:szCs w:val="26"/>
        </w:rPr>
        <w:t>)  We determined that the defendant could not “ ‘</w:t>
      </w:r>
      <w:r w:rsidR="00A60C09" w:rsidRPr="006D50FA">
        <w:rPr>
          <w:rFonts w:cstheme="minorHAnsi"/>
          <w:color w:val="000000" w:themeColor="text1"/>
          <w:szCs w:val="26"/>
        </w:rPr>
        <w:t> </w:t>
      </w:r>
      <w:r w:rsidR="005460F7" w:rsidRPr="006D50FA">
        <w:rPr>
          <w:rFonts w:cstheme="minorHAnsi"/>
          <w:color w:val="000000" w:themeColor="text1"/>
          <w:szCs w:val="26"/>
        </w:rPr>
        <w:t>“</w:t>
      </w:r>
      <w:r w:rsidRPr="006D50FA">
        <w:rPr>
          <w:color w:val="000000" w:themeColor="text1"/>
          <w:szCs w:val="26"/>
        </w:rPr>
        <w:t>readily obtain the information through his own efforts” ’</w:t>
      </w:r>
      <w:r w:rsidR="00A60C09" w:rsidRPr="006D50FA">
        <w:rPr>
          <w:color w:val="000000" w:themeColor="text1"/>
          <w:szCs w:val="26"/>
        </w:rPr>
        <w:t> </w:t>
      </w:r>
      <w:r w:rsidR="005460F7" w:rsidRPr="006D50FA">
        <w:rPr>
          <w:color w:val="000000" w:themeColor="text1"/>
          <w:szCs w:val="26"/>
        </w:rPr>
        <w:t>”</w:t>
      </w:r>
      <w:r w:rsidRPr="006D50FA">
        <w:rPr>
          <w:color w:val="000000" w:themeColor="text1"/>
          <w:szCs w:val="26"/>
        </w:rPr>
        <w:t xml:space="preserve"> (</w:t>
      </w:r>
      <w:r w:rsidRPr="006D50FA">
        <w:rPr>
          <w:i/>
          <w:iCs/>
          <w:color w:val="000000" w:themeColor="text1"/>
          <w:szCs w:val="26"/>
        </w:rPr>
        <w:t>ibid</w:t>
      </w:r>
      <w:r w:rsidRPr="006D50FA">
        <w:rPr>
          <w:color w:val="000000" w:themeColor="text1"/>
          <w:szCs w:val="26"/>
        </w:rPr>
        <w:t xml:space="preserve">.; see also </w:t>
      </w:r>
      <w:r w:rsidRPr="006D50FA">
        <w:rPr>
          <w:i/>
          <w:iCs/>
          <w:color w:val="000000" w:themeColor="text1"/>
          <w:szCs w:val="26"/>
        </w:rPr>
        <w:t>id</w:t>
      </w:r>
      <w:r w:rsidRPr="006D50FA">
        <w:rPr>
          <w:color w:val="000000" w:themeColor="text1"/>
          <w:szCs w:val="26"/>
        </w:rPr>
        <w:t>., at pp.</w:t>
      </w:r>
      <w:r w:rsidR="00773D1C" w:rsidRPr="006D50FA">
        <w:rPr>
          <w:color w:val="000000" w:themeColor="text1"/>
          <w:szCs w:val="26"/>
        </w:rPr>
        <w:t> </w:t>
      </w:r>
      <w:r w:rsidRPr="006D50FA">
        <w:rPr>
          <w:color w:val="000000" w:themeColor="text1"/>
          <w:szCs w:val="26"/>
        </w:rPr>
        <w:t>817</w:t>
      </w:r>
      <w:r w:rsidR="00EA3DB4" w:rsidRPr="006D50FA">
        <w:rPr>
          <w:color w:val="000000" w:themeColor="text1"/>
          <w:szCs w:val="26"/>
        </w:rPr>
        <w:t>–</w:t>
      </w:r>
      <w:r w:rsidRPr="006D50FA">
        <w:rPr>
          <w:color w:val="000000" w:themeColor="text1"/>
          <w:szCs w:val="26"/>
        </w:rPr>
        <w:t xml:space="preserve">819), and then </w:t>
      </w:r>
      <w:r w:rsidR="00EB570D" w:rsidRPr="006D50FA">
        <w:rPr>
          <w:color w:val="000000" w:themeColor="text1"/>
          <w:szCs w:val="26"/>
        </w:rPr>
        <w:t xml:space="preserve">we </w:t>
      </w:r>
      <w:r w:rsidRPr="006D50FA">
        <w:rPr>
          <w:color w:val="000000" w:themeColor="text1"/>
          <w:szCs w:val="26"/>
        </w:rPr>
        <w:t xml:space="preserve">turned to the justification for </w:t>
      </w:r>
      <w:r w:rsidRPr="006D50FA">
        <w:rPr>
          <w:color w:val="000000" w:themeColor="text1"/>
          <w:szCs w:val="26"/>
        </w:rPr>
        <w:lastRenderedPageBreak/>
        <w:t>acqui</w:t>
      </w:r>
      <w:r w:rsidR="00A47FAA" w:rsidRPr="006D50FA">
        <w:rPr>
          <w:color w:val="000000" w:themeColor="text1"/>
          <w:szCs w:val="26"/>
        </w:rPr>
        <w:t xml:space="preserve">ring </w:t>
      </w:r>
      <w:r w:rsidRPr="006D50FA">
        <w:rPr>
          <w:color w:val="000000" w:themeColor="text1"/>
          <w:szCs w:val="26"/>
        </w:rPr>
        <w:t>and inspecti</w:t>
      </w:r>
      <w:r w:rsidR="00A47FAA" w:rsidRPr="006D50FA">
        <w:rPr>
          <w:color w:val="000000" w:themeColor="text1"/>
          <w:szCs w:val="26"/>
        </w:rPr>
        <w:t xml:space="preserve">ng </w:t>
      </w:r>
      <w:r w:rsidRPr="006D50FA">
        <w:rPr>
          <w:color w:val="000000" w:themeColor="text1"/>
          <w:szCs w:val="26"/>
        </w:rPr>
        <w:t>any such felony conviction records</w:t>
      </w:r>
      <w:r w:rsidR="00916670" w:rsidRPr="006D50FA">
        <w:rPr>
          <w:color w:val="000000" w:themeColor="text1"/>
          <w:szCs w:val="26"/>
        </w:rPr>
        <w:t>.</w:t>
      </w:r>
      <w:r w:rsidRPr="006D50FA">
        <w:rPr>
          <w:color w:val="000000" w:themeColor="text1"/>
          <w:szCs w:val="26"/>
        </w:rPr>
        <w:t xml:space="preserve">  </w:t>
      </w:r>
      <w:r w:rsidR="008248F3" w:rsidRPr="006D50FA">
        <w:rPr>
          <w:color w:val="000000" w:themeColor="text1"/>
          <w:szCs w:val="26"/>
        </w:rPr>
        <w:t>W</w:t>
      </w:r>
      <w:r w:rsidRPr="006D50FA">
        <w:rPr>
          <w:rFonts w:cstheme="minorHAnsi"/>
          <w:color w:val="000000" w:themeColor="text1"/>
          <w:szCs w:val="26"/>
        </w:rPr>
        <w:t xml:space="preserve">e </w:t>
      </w:r>
      <w:r w:rsidR="0050687A" w:rsidRPr="006D50FA">
        <w:rPr>
          <w:rFonts w:cstheme="minorHAnsi"/>
          <w:color w:val="000000" w:themeColor="text1"/>
          <w:szCs w:val="26"/>
        </w:rPr>
        <w:t xml:space="preserve">noted </w:t>
      </w:r>
      <w:r w:rsidRPr="006D50FA">
        <w:rPr>
          <w:rFonts w:cstheme="minorHAnsi"/>
          <w:color w:val="000000" w:themeColor="text1"/>
          <w:szCs w:val="26"/>
        </w:rPr>
        <w:t>that the subject of the records request</w:t>
      </w:r>
      <w:r w:rsidR="00490585" w:rsidRPr="006D50FA">
        <w:rPr>
          <w:rFonts w:cstheme="minorHAnsi"/>
          <w:color w:val="000000" w:themeColor="text1"/>
          <w:szCs w:val="26"/>
        </w:rPr>
        <w:t xml:space="preserve"> “</w:t>
      </w:r>
      <w:r w:rsidRPr="006D50FA">
        <w:rPr>
          <w:rFonts w:cstheme="minorHAnsi"/>
          <w:color w:val="000000" w:themeColor="text1"/>
          <w:szCs w:val="26"/>
        </w:rPr>
        <w:t>was an eyewitness to the felony charged</w:t>
      </w:r>
      <w:r w:rsidR="00934C38" w:rsidRPr="006D50FA">
        <w:rPr>
          <w:rFonts w:cstheme="minorHAnsi"/>
          <w:color w:val="000000" w:themeColor="text1"/>
          <w:szCs w:val="26"/>
        </w:rPr>
        <w:t xml:space="preserve">,” </w:t>
      </w:r>
      <w:r w:rsidRPr="006D50FA">
        <w:rPr>
          <w:rFonts w:cstheme="minorHAnsi"/>
          <w:color w:val="000000" w:themeColor="text1"/>
          <w:szCs w:val="26"/>
        </w:rPr>
        <w:t>he was evidently “the only eyewitness other than the persons he claimed perpetrated it,” and “the corroboration of his report was not strong.”  (</w:t>
      </w:r>
      <w:r w:rsidRPr="006D50FA">
        <w:rPr>
          <w:rFonts w:cstheme="minorHAnsi"/>
          <w:i/>
          <w:iCs/>
          <w:color w:val="000000" w:themeColor="text1"/>
          <w:szCs w:val="26"/>
        </w:rPr>
        <w:t>Id</w:t>
      </w:r>
      <w:r w:rsidRPr="006D50FA">
        <w:rPr>
          <w:rFonts w:cstheme="minorHAnsi"/>
          <w:color w:val="000000" w:themeColor="text1"/>
          <w:szCs w:val="26"/>
        </w:rPr>
        <w:t>.</w:t>
      </w:r>
      <w:r w:rsidR="005460F7" w:rsidRPr="006D50FA">
        <w:rPr>
          <w:rFonts w:cstheme="minorHAnsi"/>
          <w:color w:val="000000" w:themeColor="text1"/>
          <w:szCs w:val="26"/>
        </w:rPr>
        <w:t>, at p. 819</w:t>
      </w:r>
      <w:r w:rsidR="007422E8" w:rsidRPr="006D50FA">
        <w:rPr>
          <w:rFonts w:cstheme="minorHAnsi"/>
          <w:color w:val="000000" w:themeColor="text1"/>
          <w:szCs w:val="26"/>
        </w:rPr>
        <w:t>, italics omitted</w:t>
      </w:r>
      <w:r w:rsidR="005460F7" w:rsidRPr="006D50FA">
        <w:rPr>
          <w:rFonts w:cstheme="minorHAnsi"/>
          <w:color w:val="000000" w:themeColor="text1"/>
          <w:szCs w:val="26"/>
        </w:rPr>
        <w:t>.</w:t>
      </w:r>
      <w:r w:rsidRPr="006D50FA">
        <w:rPr>
          <w:rFonts w:cstheme="minorHAnsi"/>
          <w:color w:val="000000" w:themeColor="text1"/>
          <w:szCs w:val="26"/>
        </w:rPr>
        <w:t xml:space="preserve">)  </w:t>
      </w:r>
      <w:r w:rsidR="00C3583A" w:rsidRPr="006D50FA">
        <w:rPr>
          <w:color w:val="000000" w:themeColor="text1"/>
          <w:szCs w:val="26"/>
        </w:rPr>
        <w:t xml:space="preserve">Echoing Chief Justice Traynor’s phrasing first quoted in </w:t>
      </w:r>
      <w:r w:rsidR="00C3583A" w:rsidRPr="006D50FA">
        <w:rPr>
          <w:i/>
          <w:iCs/>
          <w:color w:val="000000" w:themeColor="text1"/>
          <w:szCs w:val="26"/>
        </w:rPr>
        <w:t>Ballard</w:t>
      </w:r>
      <w:r w:rsidR="00C3583A" w:rsidRPr="006D50FA">
        <w:rPr>
          <w:color w:val="000000" w:themeColor="text1"/>
          <w:szCs w:val="26"/>
        </w:rPr>
        <w:t>, we observed:  “</w:t>
      </w:r>
      <w:r w:rsidR="005D505F" w:rsidRPr="006D50FA">
        <w:rPr>
          <w:color w:val="000000" w:themeColor="text1"/>
          <w:szCs w:val="26"/>
        </w:rPr>
        <w:t> </w:t>
      </w:r>
      <w:r w:rsidR="008742EA" w:rsidRPr="006D50FA">
        <w:rPr>
          <w:color w:val="000000" w:themeColor="text1"/>
          <w:szCs w:val="26"/>
        </w:rPr>
        <w:t>‘</w:t>
      </w:r>
      <w:r w:rsidR="005D505F" w:rsidRPr="006D50FA">
        <w:rPr>
          <w:color w:val="000000" w:themeColor="text1"/>
          <w:szCs w:val="26"/>
        </w:rPr>
        <w:t> </w:t>
      </w:r>
      <w:r w:rsidR="008742EA" w:rsidRPr="006D50FA">
        <w:rPr>
          <w:color w:val="000000" w:themeColor="text1"/>
          <w:szCs w:val="26"/>
        </w:rPr>
        <w:t>“</w:t>
      </w:r>
      <w:r w:rsidR="00C3583A" w:rsidRPr="006D50FA">
        <w:rPr>
          <w:color w:val="000000" w:themeColor="text1"/>
          <w:szCs w:val="26"/>
        </w:rPr>
        <w:t>[I]</w:t>
      </w:r>
      <w:r w:rsidR="00C3583A" w:rsidRPr="006D50FA">
        <w:rPr>
          <w:rFonts w:cstheme="minorHAnsi"/>
          <w:color w:val="000000" w:themeColor="text1"/>
          <w:szCs w:val="26"/>
        </w:rPr>
        <w:t>t appears reasonable that such information will assist [the defendant] in preparing his defense.</w:t>
      </w:r>
      <w:r w:rsidR="008742EA" w:rsidRPr="006D50FA">
        <w:rPr>
          <w:rFonts w:cstheme="minorHAnsi"/>
          <w:color w:val="000000" w:themeColor="text1"/>
          <w:szCs w:val="26"/>
        </w:rPr>
        <w:t>”</w:t>
      </w:r>
      <w:r w:rsidR="005D505F" w:rsidRPr="006D50FA">
        <w:rPr>
          <w:rFonts w:cstheme="minorHAnsi"/>
          <w:color w:val="000000" w:themeColor="text1"/>
          <w:szCs w:val="26"/>
        </w:rPr>
        <w:t> </w:t>
      </w:r>
      <w:r w:rsidR="008742EA" w:rsidRPr="006D50FA">
        <w:rPr>
          <w:rFonts w:cstheme="minorHAnsi"/>
          <w:color w:val="000000" w:themeColor="text1"/>
          <w:szCs w:val="26"/>
        </w:rPr>
        <w:t>’</w:t>
      </w:r>
      <w:r w:rsidR="005D505F" w:rsidRPr="006D50FA">
        <w:rPr>
          <w:rFonts w:cstheme="minorHAnsi"/>
          <w:color w:val="000000" w:themeColor="text1"/>
          <w:szCs w:val="26"/>
        </w:rPr>
        <w:t> </w:t>
      </w:r>
      <w:r w:rsidR="00C3583A" w:rsidRPr="006D50FA">
        <w:rPr>
          <w:rFonts w:cstheme="minorHAnsi"/>
          <w:color w:val="000000" w:themeColor="text1"/>
          <w:szCs w:val="26"/>
        </w:rPr>
        <w:t>”  (</w:t>
      </w:r>
      <w:r w:rsidR="00C3583A" w:rsidRPr="006D50FA">
        <w:rPr>
          <w:rFonts w:cstheme="minorHAnsi"/>
          <w:i/>
          <w:iCs/>
          <w:color w:val="000000" w:themeColor="text1"/>
          <w:szCs w:val="26"/>
        </w:rPr>
        <w:t>Id</w:t>
      </w:r>
      <w:r w:rsidR="00C3583A" w:rsidRPr="006D50FA">
        <w:rPr>
          <w:rFonts w:cstheme="minorHAnsi"/>
          <w:color w:val="000000" w:themeColor="text1"/>
          <w:szCs w:val="26"/>
        </w:rPr>
        <w:t>., at p.</w:t>
      </w:r>
      <w:r w:rsidR="00773D1C" w:rsidRPr="006D50FA">
        <w:rPr>
          <w:rFonts w:cstheme="minorHAnsi"/>
          <w:color w:val="000000" w:themeColor="text1"/>
          <w:szCs w:val="26"/>
        </w:rPr>
        <w:t> </w:t>
      </w:r>
      <w:r w:rsidR="00C3583A" w:rsidRPr="006D50FA">
        <w:rPr>
          <w:rFonts w:cstheme="minorHAnsi"/>
          <w:color w:val="000000" w:themeColor="text1"/>
          <w:szCs w:val="26"/>
        </w:rPr>
        <w:t xml:space="preserve">817.)  </w:t>
      </w:r>
      <w:r w:rsidR="00707621" w:rsidRPr="006D50FA">
        <w:rPr>
          <w:rFonts w:cstheme="minorHAnsi"/>
          <w:color w:val="000000" w:themeColor="text1"/>
          <w:szCs w:val="26"/>
        </w:rPr>
        <w:t xml:space="preserve">We concluded, </w:t>
      </w:r>
      <w:r w:rsidRPr="006D50FA">
        <w:rPr>
          <w:rFonts w:cstheme="minorHAnsi"/>
          <w:color w:val="000000" w:themeColor="text1"/>
          <w:szCs w:val="26"/>
        </w:rPr>
        <w:t>“</w:t>
      </w:r>
      <w:r w:rsidR="00677CF1" w:rsidRPr="006D50FA">
        <w:rPr>
          <w:rFonts w:cstheme="minorHAnsi"/>
          <w:color w:val="000000" w:themeColor="text1"/>
          <w:szCs w:val="26"/>
        </w:rPr>
        <w:t>[m]</w:t>
      </w:r>
      <w:proofErr w:type="spellStart"/>
      <w:r w:rsidRPr="006D50FA">
        <w:rPr>
          <w:rFonts w:cstheme="minorHAnsi"/>
          <w:color w:val="000000" w:themeColor="text1"/>
          <w:szCs w:val="26"/>
        </w:rPr>
        <w:t>anifestly</w:t>
      </w:r>
      <w:proofErr w:type="spellEnd"/>
      <w:r w:rsidRPr="006D50FA">
        <w:rPr>
          <w:rFonts w:cstheme="minorHAnsi"/>
          <w:color w:val="000000" w:themeColor="text1"/>
          <w:szCs w:val="26"/>
        </w:rPr>
        <w:t xml:space="preserve"> it would be of help in preparing the defense to obtain information regarding any prior felony convictions of [the key prosecution witness], whose credibility was likely to be critical to the outcome of the trial.”  (</w:t>
      </w:r>
      <w:r w:rsidRPr="006D50FA">
        <w:rPr>
          <w:rFonts w:cstheme="minorHAnsi"/>
          <w:i/>
          <w:iCs/>
          <w:color w:val="000000" w:themeColor="text1"/>
          <w:szCs w:val="26"/>
        </w:rPr>
        <w:t>Id</w:t>
      </w:r>
      <w:r w:rsidRPr="006D50FA">
        <w:rPr>
          <w:rFonts w:cstheme="minorHAnsi"/>
          <w:color w:val="000000" w:themeColor="text1"/>
          <w:szCs w:val="26"/>
        </w:rPr>
        <w:t>., at p.</w:t>
      </w:r>
      <w:r w:rsidR="00773D1C" w:rsidRPr="006D50FA">
        <w:rPr>
          <w:rFonts w:cstheme="minorHAnsi"/>
          <w:color w:val="000000" w:themeColor="text1"/>
          <w:szCs w:val="26"/>
        </w:rPr>
        <w:t> </w:t>
      </w:r>
      <w:r w:rsidRPr="006D50FA">
        <w:rPr>
          <w:rFonts w:cstheme="minorHAnsi"/>
          <w:color w:val="000000" w:themeColor="text1"/>
          <w:szCs w:val="26"/>
        </w:rPr>
        <w:t xml:space="preserve">819.)  Considering and balancing these factors, we </w:t>
      </w:r>
      <w:r w:rsidR="00677CF1" w:rsidRPr="006D50FA">
        <w:rPr>
          <w:rFonts w:cstheme="minorHAnsi"/>
          <w:color w:val="000000" w:themeColor="text1"/>
          <w:szCs w:val="26"/>
        </w:rPr>
        <w:t xml:space="preserve">determined </w:t>
      </w:r>
      <w:r w:rsidRPr="006D50FA">
        <w:rPr>
          <w:rFonts w:cstheme="minorHAnsi"/>
          <w:color w:val="000000" w:themeColor="text1"/>
          <w:szCs w:val="26"/>
        </w:rPr>
        <w:t xml:space="preserve">that the defendant had established </w:t>
      </w:r>
      <w:proofErr w:type="gramStart"/>
      <w:r w:rsidRPr="006D50FA">
        <w:rPr>
          <w:color w:val="000000" w:themeColor="text1"/>
          <w:szCs w:val="26"/>
        </w:rPr>
        <w:t>good cause</w:t>
      </w:r>
      <w:proofErr w:type="gramEnd"/>
      <w:r w:rsidRPr="006D50FA">
        <w:rPr>
          <w:color w:val="000000" w:themeColor="text1"/>
          <w:szCs w:val="26"/>
        </w:rPr>
        <w:t xml:space="preserve"> for the proposed acquisition and inspection concerning </w:t>
      </w:r>
      <w:r w:rsidR="00434FF4" w:rsidRPr="006D50FA">
        <w:rPr>
          <w:color w:val="000000" w:themeColor="text1"/>
          <w:szCs w:val="26"/>
        </w:rPr>
        <w:t xml:space="preserve">impeachment of </w:t>
      </w:r>
      <w:r w:rsidRPr="006D50FA">
        <w:rPr>
          <w:color w:val="000000" w:themeColor="text1"/>
          <w:szCs w:val="26"/>
        </w:rPr>
        <w:t xml:space="preserve">the </w:t>
      </w:r>
      <w:r w:rsidR="00DA71B0" w:rsidRPr="006D50FA">
        <w:rPr>
          <w:color w:val="000000" w:themeColor="text1"/>
          <w:szCs w:val="26"/>
        </w:rPr>
        <w:t xml:space="preserve">prospective </w:t>
      </w:r>
      <w:r w:rsidRPr="006D50FA">
        <w:rPr>
          <w:color w:val="000000" w:themeColor="text1"/>
          <w:szCs w:val="26"/>
        </w:rPr>
        <w:t xml:space="preserve">prosecution witness.  </w:t>
      </w:r>
      <w:r w:rsidRPr="006D50FA">
        <w:rPr>
          <w:rFonts w:cstheme="minorHAnsi"/>
          <w:color w:val="000000" w:themeColor="text1"/>
          <w:szCs w:val="26"/>
        </w:rPr>
        <w:t>(</w:t>
      </w:r>
      <w:r w:rsidR="0083523F" w:rsidRPr="006D50FA">
        <w:rPr>
          <w:i/>
          <w:iCs/>
          <w:color w:val="000000" w:themeColor="text1"/>
          <w:szCs w:val="26"/>
        </w:rPr>
        <w:t>Id.</w:t>
      </w:r>
      <w:r w:rsidR="0083523F" w:rsidRPr="006D50FA">
        <w:rPr>
          <w:color w:val="000000" w:themeColor="text1"/>
          <w:szCs w:val="26"/>
        </w:rPr>
        <w:t>,</w:t>
      </w:r>
      <w:r w:rsidRPr="006D50FA">
        <w:rPr>
          <w:color w:val="000000" w:themeColor="text1"/>
          <w:szCs w:val="26"/>
        </w:rPr>
        <w:t xml:space="preserve"> at p.</w:t>
      </w:r>
      <w:r w:rsidR="00773D1C" w:rsidRPr="006D50FA">
        <w:rPr>
          <w:color w:val="000000" w:themeColor="text1"/>
          <w:szCs w:val="26"/>
        </w:rPr>
        <w:t> </w:t>
      </w:r>
      <w:r w:rsidR="00C113CA" w:rsidRPr="006D50FA">
        <w:rPr>
          <w:color w:val="000000" w:themeColor="text1"/>
          <w:szCs w:val="26"/>
        </w:rPr>
        <w:t>819</w:t>
      </w:r>
      <w:r w:rsidRPr="006D50FA">
        <w:rPr>
          <w:color w:val="000000" w:themeColor="text1"/>
          <w:szCs w:val="26"/>
        </w:rPr>
        <w:t>.</w:t>
      </w:r>
      <w:r w:rsidRPr="006D50FA">
        <w:rPr>
          <w:rFonts w:cstheme="minorHAnsi"/>
          <w:color w:val="000000" w:themeColor="text1"/>
          <w:szCs w:val="26"/>
        </w:rPr>
        <w:t>)</w:t>
      </w:r>
      <w:r w:rsidR="003B7B4A" w:rsidRPr="006D50FA">
        <w:rPr>
          <w:rStyle w:val="FootnoteReference"/>
          <w:rFonts w:cstheme="minorHAnsi"/>
          <w:color w:val="000000" w:themeColor="text1"/>
          <w:szCs w:val="26"/>
        </w:rPr>
        <w:footnoteReference w:id="10"/>
      </w:r>
      <w:r w:rsidRPr="006D50FA">
        <w:rPr>
          <w:rFonts w:cstheme="minorHAnsi"/>
          <w:color w:val="000000" w:themeColor="text1"/>
          <w:szCs w:val="26"/>
        </w:rPr>
        <w:t xml:space="preserve">  </w:t>
      </w:r>
    </w:p>
    <w:p w14:paraId="3C03B464" w14:textId="0E9F6807" w:rsidR="00C807D4" w:rsidRPr="006D50FA" w:rsidRDefault="00DA71B0" w:rsidP="00773D1C">
      <w:pPr>
        <w:pStyle w:val="PRComments"/>
        <w:spacing w:line="400" w:lineRule="exact"/>
        <w:ind w:right="0" w:firstLine="720"/>
        <w:rPr>
          <w:rFonts w:cstheme="minorHAnsi"/>
          <w:color w:val="000000" w:themeColor="text1"/>
          <w:szCs w:val="26"/>
        </w:rPr>
      </w:pPr>
      <w:r w:rsidRPr="006D50FA">
        <w:rPr>
          <w:color w:val="000000" w:themeColor="text1"/>
          <w:szCs w:val="26"/>
        </w:rPr>
        <w:t xml:space="preserve">We </w:t>
      </w:r>
      <w:r w:rsidR="00C807D4" w:rsidRPr="006D50FA">
        <w:rPr>
          <w:color w:val="000000" w:themeColor="text1"/>
          <w:szCs w:val="26"/>
        </w:rPr>
        <w:t xml:space="preserve">then turned to the </w:t>
      </w:r>
      <w:r w:rsidR="006E761A" w:rsidRPr="006D50FA">
        <w:rPr>
          <w:color w:val="000000" w:themeColor="text1"/>
          <w:szCs w:val="26"/>
        </w:rPr>
        <w:t xml:space="preserve">defendant’s </w:t>
      </w:r>
      <w:r w:rsidR="00C807D4" w:rsidRPr="006D50FA">
        <w:rPr>
          <w:color w:val="000000" w:themeColor="text1"/>
          <w:szCs w:val="26"/>
        </w:rPr>
        <w:t>additional request for access to and inspection of any “arrest and detention” records</w:t>
      </w:r>
      <w:r w:rsidR="005C09C1" w:rsidRPr="006D50FA">
        <w:rPr>
          <w:color w:val="000000" w:themeColor="text1"/>
          <w:szCs w:val="26"/>
        </w:rPr>
        <w:t xml:space="preserve">, </w:t>
      </w:r>
      <w:r w:rsidR="006C03DD" w:rsidRPr="006D50FA">
        <w:rPr>
          <w:color w:val="000000" w:themeColor="text1"/>
          <w:szCs w:val="26"/>
        </w:rPr>
        <w:t xml:space="preserve">which </w:t>
      </w:r>
      <w:r w:rsidR="006466D8" w:rsidRPr="006D50FA">
        <w:rPr>
          <w:color w:val="000000" w:themeColor="text1"/>
          <w:szCs w:val="26"/>
        </w:rPr>
        <w:t xml:space="preserve">as noted </w:t>
      </w:r>
      <w:r w:rsidR="008C580C" w:rsidRPr="006D50FA">
        <w:rPr>
          <w:color w:val="000000" w:themeColor="text1"/>
          <w:szCs w:val="26"/>
        </w:rPr>
        <w:t>earlier</w:t>
      </w:r>
      <w:r w:rsidR="006466D8" w:rsidRPr="006D50FA">
        <w:rPr>
          <w:color w:val="000000" w:themeColor="text1"/>
          <w:szCs w:val="26"/>
        </w:rPr>
        <w:t xml:space="preserve"> </w:t>
      </w:r>
      <w:r w:rsidR="006C03DD" w:rsidRPr="006D50FA">
        <w:rPr>
          <w:color w:val="000000" w:themeColor="text1"/>
          <w:szCs w:val="26"/>
        </w:rPr>
        <w:t xml:space="preserve">the defendant sought in order to </w:t>
      </w:r>
      <w:r w:rsidR="005C09C1" w:rsidRPr="006D50FA">
        <w:rPr>
          <w:color w:val="000000" w:themeColor="text1"/>
          <w:szCs w:val="26"/>
        </w:rPr>
        <w:t xml:space="preserve">probe whether the prospective witness, and not the </w:t>
      </w:r>
      <w:r w:rsidR="00D038A1" w:rsidRPr="006D50FA">
        <w:rPr>
          <w:color w:val="000000" w:themeColor="text1"/>
          <w:szCs w:val="26"/>
        </w:rPr>
        <w:t>defendant, committed the charged attempted burglary</w:t>
      </w:r>
      <w:r w:rsidR="006C03DD" w:rsidRPr="006D50FA">
        <w:rPr>
          <w:color w:val="000000" w:themeColor="text1"/>
          <w:szCs w:val="26"/>
        </w:rPr>
        <w:t xml:space="preserve">.  </w:t>
      </w:r>
      <w:r w:rsidR="00630DB0" w:rsidRPr="006D50FA">
        <w:rPr>
          <w:rFonts w:cstheme="minorHAnsi"/>
          <w:color w:val="000000" w:themeColor="text1"/>
          <w:szCs w:val="26"/>
        </w:rPr>
        <w:t>(</w:t>
      </w:r>
      <w:r w:rsidR="00630DB0" w:rsidRPr="006D50FA">
        <w:rPr>
          <w:i/>
          <w:color w:val="000000" w:themeColor="text1"/>
          <w:szCs w:val="26"/>
        </w:rPr>
        <w:t xml:space="preserve">Hill, supra, </w:t>
      </w:r>
      <w:r w:rsidR="00630DB0" w:rsidRPr="006D50FA">
        <w:rPr>
          <w:color w:val="000000" w:themeColor="text1"/>
          <w:szCs w:val="26"/>
        </w:rPr>
        <w:t>10</w:t>
      </w:r>
      <w:r w:rsidR="006221F6" w:rsidRPr="006D50FA">
        <w:rPr>
          <w:color w:val="000000" w:themeColor="text1"/>
          <w:szCs w:val="26"/>
        </w:rPr>
        <w:t> </w:t>
      </w:r>
      <w:r w:rsidR="00630DB0" w:rsidRPr="006D50FA">
        <w:rPr>
          <w:color w:val="000000" w:themeColor="text1"/>
          <w:szCs w:val="26"/>
        </w:rPr>
        <w:t>Cal.3d at p. 822.</w:t>
      </w:r>
      <w:r w:rsidR="00630DB0" w:rsidRPr="006D50FA">
        <w:rPr>
          <w:rFonts w:cstheme="minorHAnsi"/>
          <w:color w:val="000000" w:themeColor="text1"/>
          <w:szCs w:val="26"/>
        </w:rPr>
        <w:t xml:space="preserve">)  </w:t>
      </w:r>
      <w:r w:rsidR="00C807D4" w:rsidRPr="006D50FA">
        <w:rPr>
          <w:color w:val="000000" w:themeColor="text1"/>
          <w:szCs w:val="26"/>
        </w:rPr>
        <w:t xml:space="preserve">We acknowledged that the prospective </w:t>
      </w:r>
      <w:r w:rsidR="00C807D4" w:rsidRPr="006D50FA">
        <w:rPr>
          <w:color w:val="000000" w:themeColor="text1"/>
          <w:szCs w:val="26"/>
        </w:rPr>
        <w:lastRenderedPageBreak/>
        <w:t>witness’s “ </w:t>
      </w:r>
      <w:r w:rsidR="00C807D4" w:rsidRPr="006D50FA">
        <w:rPr>
          <w:rFonts w:cstheme="minorHAnsi"/>
          <w:color w:val="000000" w:themeColor="text1"/>
          <w:szCs w:val="26"/>
        </w:rPr>
        <w:t>‘rap sheet,’ if it exists, might contain information regarding arrests or detentions for prior burglaries or attempted burglaries, and such information conceivably might lead to the discovery of evidence of prior offenses by [the prospective witness] having a distinctive modus operandi common to both the prior offenses and the offense with which [the defendant] is charged.</w:t>
      </w:r>
      <w:r w:rsidR="00AA1372" w:rsidRPr="006D50FA">
        <w:rPr>
          <w:rFonts w:cstheme="minorHAnsi"/>
          <w:color w:val="000000" w:themeColor="text1"/>
          <w:szCs w:val="26"/>
        </w:rPr>
        <w:t>”  (</w:t>
      </w:r>
      <w:r w:rsidR="000128B6" w:rsidRPr="006D50FA">
        <w:rPr>
          <w:i/>
          <w:iCs/>
          <w:color w:val="000000" w:themeColor="text1"/>
          <w:szCs w:val="26"/>
        </w:rPr>
        <w:t>I</w:t>
      </w:r>
      <w:r w:rsidR="004E0511" w:rsidRPr="006D50FA">
        <w:rPr>
          <w:i/>
          <w:iCs/>
          <w:color w:val="000000" w:themeColor="text1"/>
          <w:szCs w:val="26"/>
        </w:rPr>
        <w:t>bid</w:t>
      </w:r>
      <w:r w:rsidR="00AA1372" w:rsidRPr="006D50FA">
        <w:rPr>
          <w:color w:val="000000" w:themeColor="text1"/>
          <w:szCs w:val="26"/>
        </w:rPr>
        <w:t>.</w:t>
      </w:r>
      <w:r w:rsidR="00AA1372" w:rsidRPr="006D50FA">
        <w:rPr>
          <w:rFonts w:cstheme="minorHAnsi"/>
          <w:color w:val="000000" w:themeColor="text1"/>
          <w:szCs w:val="26"/>
        </w:rPr>
        <w:t xml:space="preserve">)  </w:t>
      </w:r>
      <w:r w:rsidR="003C7C71" w:rsidRPr="006D50FA">
        <w:rPr>
          <w:rFonts w:cstheme="minorHAnsi"/>
          <w:color w:val="000000" w:themeColor="text1"/>
          <w:szCs w:val="26"/>
        </w:rPr>
        <w:t>But, we held, “[e]</w:t>
      </w:r>
      <w:proofErr w:type="spellStart"/>
      <w:r w:rsidR="00C807D4" w:rsidRPr="006D50FA">
        <w:rPr>
          <w:rFonts w:cstheme="minorHAnsi"/>
          <w:color w:val="000000" w:themeColor="text1"/>
          <w:szCs w:val="26"/>
        </w:rPr>
        <w:t>ven</w:t>
      </w:r>
      <w:proofErr w:type="spellEnd"/>
      <w:r w:rsidR="00C807D4" w:rsidRPr="006D50FA">
        <w:rPr>
          <w:rFonts w:cstheme="minorHAnsi"/>
          <w:color w:val="000000" w:themeColor="text1"/>
          <w:szCs w:val="26"/>
        </w:rPr>
        <w:t xml:space="preserve"> if it be assumed that such evidence would be admissible as tending to show that [the prospective witness] committed the instant offense, a matter that might affect his credibility by showing he had a motive to lie, it does not follow that [the trial court] erred in denying discovery of the arrest and detention records, if any.”  (</w:t>
      </w:r>
      <w:r w:rsidR="003C7C71" w:rsidRPr="006D50FA">
        <w:rPr>
          <w:i/>
          <w:color w:val="000000" w:themeColor="text1"/>
          <w:szCs w:val="26"/>
        </w:rPr>
        <w:t>Ibid</w:t>
      </w:r>
      <w:r w:rsidR="00C807D4" w:rsidRPr="006D50FA">
        <w:rPr>
          <w:color w:val="000000" w:themeColor="text1"/>
          <w:szCs w:val="26"/>
        </w:rPr>
        <w:t>.</w:t>
      </w:r>
      <w:r w:rsidR="00C807D4" w:rsidRPr="006D50FA">
        <w:rPr>
          <w:rFonts w:cstheme="minorHAnsi"/>
          <w:color w:val="000000" w:themeColor="text1"/>
          <w:szCs w:val="26"/>
        </w:rPr>
        <w:t xml:space="preserve">)  </w:t>
      </w:r>
      <w:r w:rsidR="00C807D4" w:rsidRPr="006D50FA">
        <w:rPr>
          <w:color w:val="000000" w:themeColor="text1"/>
          <w:szCs w:val="26"/>
        </w:rPr>
        <w:t>We explained:  “</w:t>
      </w:r>
      <w:r w:rsidR="00C807D4" w:rsidRPr="006D50FA">
        <w:rPr>
          <w:rFonts w:cstheme="minorHAnsi"/>
          <w:i/>
          <w:iCs/>
          <w:color w:val="000000" w:themeColor="text1"/>
          <w:szCs w:val="26"/>
        </w:rPr>
        <w:t>In view of the minimal showing of the worth of the information sought</w:t>
      </w:r>
      <w:r w:rsidR="00C807D4" w:rsidRPr="006D50FA">
        <w:rPr>
          <w:rFonts w:cstheme="minorHAnsi"/>
          <w:color w:val="000000" w:themeColor="text1"/>
          <w:szCs w:val="26"/>
        </w:rPr>
        <w:t xml:space="preserve"> and the fact that </w:t>
      </w:r>
      <w:r w:rsidR="00C807D4" w:rsidRPr="00F23E9F">
        <w:rPr>
          <w:rFonts w:cstheme="minorHAnsi"/>
          <w:color w:val="000000" w:themeColor="text1"/>
          <w:szCs w:val="26"/>
        </w:rPr>
        <w:t>requiring discovery on the basis of such a showing could deter eyewitnesses from reporting crimes</w:t>
      </w:r>
      <w:r w:rsidR="00C807D4" w:rsidRPr="006D50FA">
        <w:rPr>
          <w:rFonts w:cstheme="minorHAnsi"/>
          <w:color w:val="000000" w:themeColor="text1"/>
          <w:szCs w:val="26"/>
        </w:rPr>
        <w:t>, we are satisfied that [the trial court] did not abuse its discretion in denying discovery of those records, if they exist.”  (</w:t>
      </w:r>
      <w:r w:rsidR="00A644AF" w:rsidRPr="006D50FA">
        <w:rPr>
          <w:i/>
          <w:color w:val="000000" w:themeColor="text1"/>
          <w:szCs w:val="26"/>
        </w:rPr>
        <w:t>Ibid.,</w:t>
      </w:r>
      <w:r w:rsidR="003D3086" w:rsidRPr="006D50FA">
        <w:rPr>
          <w:color w:val="000000" w:themeColor="text1"/>
          <w:szCs w:val="26"/>
        </w:rPr>
        <w:t xml:space="preserve"> italics added</w:t>
      </w:r>
      <w:r w:rsidR="00C807D4" w:rsidRPr="006D50FA">
        <w:rPr>
          <w:color w:val="000000" w:themeColor="text1"/>
          <w:szCs w:val="26"/>
        </w:rPr>
        <w:t>.</w:t>
      </w:r>
      <w:r w:rsidR="00C807D4" w:rsidRPr="006D50FA">
        <w:rPr>
          <w:rFonts w:cstheme="minorHAnsi"/>
          <w:color w:val="000000" w:themeColor="text1"/>
          <w:szCs w:val="26"/>
        </w:rPr>
        <w:t>)</w:t>
      </w:r>
      <w:r w:rsidR="003B7B4A" w:rsidRPr="006D50FA">
        <w:rPr>
          <w:rStyle w:val="FootnoteReference"/>
          <w:rFonts w:cstheme="minorHAnsi"/>
          <w:color w:val="000000" w:themeColor="text1"/>
          <w:szCs w:val="26"/>
        </w:rPr>
        <w:footnoteReference w:id="11"/>
      </w:r>
      <w:r w:rsidR="00C807D4" w:rsidRPr="006D50FA">
        <w:rPr>
          <w:rFonts w:cstheme="minorHAnsi"/>
          <w:color w:val="000000" w:themeColor="text1"/>
          <w:szCs w:val="26"/>
        </w:rPr>
        <w:t xml:space="preserve">  </w:t>
      </w:r>
    </w:p>
    <w:p w14:paraId="0A866CD1" w14:textId="00D6A914" w:rsidR="005142CF" w:rsidRPr="006D50FA" w:rsidRDefault="00C807D4" w:rsidP="00773D1C">
      <w:pPr>
        <w:pStyle w:val="PRComments"/>
        <w:spacing w:line="400" w:lineRule="exact"/>
        <w:ind w:right="0" w:firstLine="720"/>
        <w:rPr>
          <w:color w:val="000000" w:themeColor="text1"/>
          <w:szCs w:val="26"/>
        </w:rPr>
      </w:pPr>
      <w:r w:rsidRPr="006D50FA">
        <w:rPr>
          <w:color w:val="000000" w:themeColor="text1"/>
          <w:szCs w:val="26"/>
        </w:rPr>
        <w:lastRenderedPageBreak/>
        <w:t>As th</w:t>
      </w:r>
      <w:r w:rsidR="001C0839" w:rsidRPr="006D50FA">
        <w:rPr>
          <w:color w:val="000000" w:themeColor="text1"/>
          <w:szCs w:val="26"/>
        </w:rPr>
        <w:t xml:space="preserve">is </w:t>
      </w:r>
      <w:r w:rsidR="001F1B74" w:rsidRPr="006D50FA">
        <w:rPr>
          <w:color w:val="000000" w:themeColor="text1"/>
          <w:szCs w:val="26"/>
        </w:rPr>
        <w:t xml:space="preserve">recitation </w:t>
      </w:r>
      <w:r w:rsidR="00A27B95" w:rsidRPr="006D50FA">
        <w:rPr>
          <w:color w:val="000000" w:themeColor="text1"/>
          <w:szCs w:val="26"/>
        </w:rPr>
        <w:t xml:space="preserve">from </w:t>
      </w:r>
      <w:r w:rsidR="00580CFF" w:rsidRPr="006D50FA">
        <w:rPr>
          <w:i/>
          <w:iCs/>
          <w:color w:val="000000" w:themeColor="text1"/>
          <w:szCs w:val="26"/>
        </w:rPr>
        <w:t>Hill</w:t>
      </w:r>
      <w:r w:rsidR="00580CFF" w:rsidRPr="006D50FA">
        <w:rPr>
          <w:color w:val="000000" w:themeColor="text1"/>
          <w:szCs w:val="26"/>
        </w:rPr>
        <w:t xml:space="preserve"> </w:t>
      </w:r>
      <w:r w:rsidR="004425FB" w:rsidRPr="006D50FA">
        <w:rPr>
          <w:color w:val="000000" w:themeColor="text1"/>
          <w:szCs w:val="26"/>
        </w:rPr>
        <w:t xml:space="preserve">again </w:t>
      </w:r>
      <w:r w:rsidR="00A27B95" w:rsidRPr="006D50FA">
        <w:rPr>
          <w:color w:val="000000" w:themeColor="text1"/>
          <w:szCs w:val="26"/>
        </w:rPr>
        <w:t xml:space="preserve">shows, </w:t>
      </w:r>
      <w:r w:rsidR="00292F79" w:rsidRPr="006D50FA">
        <w:rPr>
          <w:color w:val="000000" w:themeColor="text1"/>
          <w:szCs w:val="26"/>
        </w:rPr>
        <w:t>each</w:t>
      </w:r>
      <w:r w:rsidR="00A63F3B" w:rsidRPr="006D50FA">
        <w:rPr>
          <w:color w:val="000000" w:themeColor="text1"/>
          <w:szCs w:val="26"/>
        </w:rPr>
        <w:t xml:space="preserve"> </w:t>
      </w:r>
      <w:r w:rsidR="004425FB" w:rsidRPr="006D50FA">
        <w:rPr>
          <w:color w:val="000000" w:themeColor="text1"/>
          <w:szCs w:val="26"/>
        </w:rPr>
        <w:t>legal claim</w:t>
      </w:r>
      <w:r w:rsidR="0004570A" w:rsidRPr="006D50FA">
        <w:rPr>
          <w:color w:val="000000" w:themeColor="text1"/>
          <w:szCs w:val="26"/>
        </w:rPr>
        <w:t xml:space="preserve"> that a defendant advances to justify </w:t>
      </w:r>
      <w:r w:rsidR="00D5599D" w:rsidRPr="006D50FA">
        <w:rPr>
          <w:color w:val="000000" w:themeColor="text1"/>
          <w:szCs w:val="26"/>
        </w:rPr>
        <w:t>ac</w:t>
      </w:r>
      <w:r w:rsidR="00041DAD" w:rsidRPr="006D50FA">
        <w:rPr>
          <w:color w:val="000000" w:themeColor="text1"/>
          <w:szCs w:val="26"/>
        </w:rPr>
        <w:t>quiring and inspecting sought information</w:t>
      </w:r>
      <w:r w:rsidR="0004570A" w:rsidRPr="006D50FA">
        <w:rPr>
          <w:color w:val="000000" w:themeColor="text1"/>
          <w:szCs w:val="26"/>
        </w:rPr>
        <w:t xml:space="preserve"> </w:t>
      </w:r>
      <w:r w:rsidR="000D4081" w:rsidRPr="006D50FA">
        <w:rPr>
          <w:color w:val="000000" w:themeColor="text1"/>
          <w:szCs w:val="26"/>
        </w:rPr>
        <w:t xml:space="preserve">must </w:t>
      </w:r>
      <w:r w:rsidR="0004570A" w:rsidRPr="006D50FA">
        <w:rPr>
          <w:color w:val="000000" w:themeColor="text1"/>
          <w:szCs w:val="26"/>
        </w:rPr>
        <w:t xml:space="preserve">be </w:t>
      </w:r>
      <w:r w:rsidR="004C72B5" w:rsidRPr="006D50FA">
        <w:rPr>
          <w:color w:val="000000" w:themeColor="text1"/>
          <w:szCs w:val="26"/>
        </w:rPr>
        <w:t>scrutin</w:t>
      </w:r>
      <w:r w:rsidR="00DC5376" w:rsidRPr="006D50FA">
        <w:rPr>
          <w:color w:val="000000" w:themeColor="text1"/>
          <w:szCs w:val="26"/>
        </w:rPr>
        <w:t>ized a</w:t>
      </w:r>
      <w:r w:rsidR="004C72B5" w:rsidRPr="006D50FA">
        <w:rPr>
          <w:color w:val="000000" w:themeColor="text1"/>
          <w:szCs w:val="26"/>
        </w:rPr>
        <w:t xml:space="preserve">nd assessed regarding </w:t>
      </w:r>
      <w:r w:rsidR="00292F79" w:rsidRPr="006D50FA">
        <w:rPr>
          <w:color w:val="000000" w:themeColor="text1"/>
          <w:szCs w:val="26"/>
        </w:rPr>
        <w:t xml:space="preserve">its </w:t>
      </w:r>
      <w:r w:rsidR="00CC3633" w:rsidRPr="006D50FA">
        <w:rPr>
          <w:color w:val="000000" w:themeColor="text1"/>
          <w:szCs w:val="26"/>
        </w:rPr>
        <w:t xml:space="preserve">validity and strength.  </w:t>
      </w:r>
      <w:r w:rsidR="00782813" w:rsidRPr="006D50FA">
        <w:rPr>
          <w:color w:val="000000" w:themeColor="text1"/>
          <w:szCs w:val="26"/>
        </w:rPr>
        <w:t xml:space="preserve">In </w:t>
      </w:r>
      <w:r w:rsidR="00782813" w:rsidRPr="006D50FA">
        <w:rPr>
          <w:i/>
          <w:iCs/>
          <w:color w:val="000000" w:themeColor="text1"/>
          <w:szCs w:val="26"/>
        </w:rPr>
        <w:t>Hill</w:t>
      </w:r>
      <w:r w:rsidR="00782813" w:rsidRPr="006D50FA">
        <w:rPr>
          <w:color w:val="000000" w:themeColor="text1"/>
          <w:szCs w:val="26"/>
        </w:rPr>
        <w:t>, t</w:t>
      </w:r>
      <w:r w:rsidR="00197B9F" w:rsidRPr="006D50FA">
        <w:rPr>
          <w:color w:val="000000" w:themeColor="text1"/>
          <w:szCs w:val="26"/>
        </w:rPr>
        <w:t xml:space="preserve">he </w:t>
      </w:r>
      <w:r w:rsidR="00030260" w:rsidRPr="006D50FA">
        <w:rPr>
          <w:color w:val="000000" w:themeColor="text1"/>
          <w:szCs w:val="26"/>
        </w:rPr>
        <w:t>defendant</w:t>
      </w:r>
      <w:r w:rsidR="00197B9F" w:rsidRPr="006D50FA">
        <w:rPr>
          <w:color w:val="000000" w:themeColor="text1"/>
          <w:szCs w:val="26"/>
        </w:rPr>
        <w:t>’s</w:t>
      </w:r>
      <w:r w:rsidR="00030260" w:rsidRPr="006D50FA">
        <w:rPr>
          <w:color w:val="000000" w:themeColor="text1"/>
          <w:szCs w:val="26"/>
        </w:rPr>
        <w:t xml:space="preserve"> </w:t>
      </w:r>
      <w:r w:rsidR="00CC3633" w:rsidRPr="006D50FA">
        <w:rPr>
          <w:color w:val="000000" w:themeColor="text1"/>
          <w:szCs w:val="26"/>
        </w:rPr>
        <w:t>re</w:t>
      </w:r>
      <w:r w:rsidR="006B0BA6" w:rsidRPr="006D50FA">
        <w:rPr>
          <w:color w:val="000000" w:themeColor="text1"/>
          <w:szCs w:val="26"/>
        </w:rPr>
        <w:t xml:space="preserve">quest </w:t>
      </w:r>
      <w:r w:rsidR="009B131C" w:rsidRPr="006D50FA">
        <w:rPr>
          <w:color w:val="000000" w:themeColor="text1"/>
          <w:szCs w:val="26"/>
        </w:rPr>
        <w:t xml:space="preserve">to acquire and inspect </w:t>
      </w:r>
      <w:r w:rsidR="00DF2E26" w:rsidRPr="006D50FA">
        <w:rPr>
          <w:color w:val="000000" w:themeColor="text1"/>
          <w:szCs w:val="26"/>
        </w:rPr>
        <w:t xml:space="preserve">any </w:t>
      </w:r>
      <w:r w:rsidR="0041579F" w:rsidRPr="006D50FA">
        <w:rPr>
          <w:color w:val="000000" w:themeColor="text1"/>
          <w:szCs w:val="26"/>
        </w:rPr>
        <w:t xml:space="preserve">existing </w:t>
      </w:r>
      <w:r w:rsidR="00D078F1" w:rsidRPr="006D50FA">
        <w:rPr>
          <w:color w:val="000000" w:themeColor="text1"/>
          <w:szCs w:val="26"/>
        </w:rPr>
        <w:t xml:space="preserve">public records of </w:t>
      </w:r>
      <w:r w:rsidR="009B131C" w:rsidRPr="006D50FA">
        <w:rPr>
          <w:color w:val="000000" w:themeColor="text1"/>
          <w:szCs w:val="26"/>
        </w:rPr>
        <w:t>felony conviction</w:t>
      </w:r>
      <w:r w:rsidR="00D078F1" w:rsidRPr="006D50FA">
        <w:rPr>
          <w:color w:val="000000" w:themeColor="text1"/>
          <w:szCs w:val="26"/>
        </w:rPr>
        <w:t xml:space="preserve">s </w:t>
      </w:r>
      <w:r w:rsidR="006F0F64" w:rsidRPr="006D50FA">
        <w:rPr>
          <w:color w:val="000000" w:themeColor="text1"/>
          <w:szCs w:val="26"/>
        </w:rPr>
        <w:t xml:space="preserve">in order </w:t>
      </w:r>
      <w:r w:rsidR="0041579F" w:rsidRPr="006D50FA">
        <w:rPr>
          <w:color w:val="000000" w:themeColor="text1"/>
          <w:szCs w:val="26"/>
        </w:rPr>
        <w:t xml:space="preserve">to facilitate </w:t>
      </w:r>
      <w:r w:rsidR="001743AD" w:rsidRPr="006D50FA">
        <w:rPr>
          <w:color w:val="000000" w:themeColor="text1"/>
          <w:szCs w:val="26"/>
        </w:rPr>
        <w:t>proposed impeachment of the prospective witness</w:t>
      </w:r>
      <w:r w:rsidR="002A4C5C" w:rsidRPr="006D50FA">
        <w:rPr>
          <w:color w:val="000000" w:themeColor="text1"/>
          <w:szCs w:val="26"/>
        </w:rPr>
        <w:t xml:space="preserve"> was, under the circumstances, </w:t>
      </w:r>
      <w:r w:rsidR="002D1753" w:rsidRPr="006D50FA">
        <w:rPr>
          <w:color w:val="000000" w:themeColor="text1"/>
          <w:szCs w:val="26"/>
        </w:rPr>
        <w:t xml:space="preserve">supported by </w:t>
      </w:r>
      <w:r w:rsidR="002A4C5C" w:rsidRPr="006D50FA">
        <w:rPr>
          <w:color w:val="000000" w:themeColor="text1"/>
          <w:szCs w:val="26"/>
        </w:rPr>
        <w:t>plausible justification</w:t>
      </w:r>
      <w:r w:rsidR="00CB67F5" w:rsidRPr="006D50FA">
        <w:rPr>
          <w:color w:val="000000" w:themeColor="text1"/>
          <w:szCs w:val="26"/>
        </w:rPr>
        <w:t xml:space="preserve"> </w:t>
      </w:r>
      <w:r w:rsidR="00F063C3" w:rsidRPr="006D50FA">
        <w:rPr>
          <w:color w:val="000000" w:themeColor="text1"/>
          <w:szCs w:val="26"/>
        </w:rPr>
        <w:t>because</w:t>
      </w:r>
      <w:r w:rsidR="00F129D1" w:rsidRPr="006D50FA">
        <w:rPr>
          <w:color w:val="000000" w:themeColor="text1"/>
          <w:szCs w:val="26"/>
        </w:rPr>
        <w:t>:</w:t>
      </w:r>
      <w:r w:rsidR="00F063C3" w:rsidRPr="006D50FA">
        <w:rPr>
          <w:color w:val="000000" w:themeColor="text1"/>
          <w:szCs w:val="26"/>
        </w:rPr>
        <w:t xml:space="preserve"> </w:t>
      </w:r>
      <w:r w:rsidR="00F8577F" w:rsidRPr="006D50FA">
        <w:rPr>
          <w:color w:val="000000" w:themeColor="text1"/>
          <w:szCs w:val="26"/>
        </w:rPr>
        <w:t xml:space="preserve">it was </w:t>
      </w:r>
      <w:r w:rsidR="005147A5" w:rsidRPr="006D50FA">
        <w:rPr>
          <w:color w:val="000000" w:themeColor="text1"/>
          <w:szCs w:val="26"/>
        </w:rPr>
        <w:t>adequately described</w:t>
      </w:r>
      <w:r w:rsidR="00A62F55" w:rsidRPr="006D50FA">
        <w:rPr>
          <w:color w:val="000000" w:themeColor="text1"/>
          <w:szCs w:val="26"/>
        </w:rPr>
        <w:t>;</w:t>
      </w:r>
      <w:r w:rsidR="005147A5" w:rsidRPr="006D50FA">
        <w:rPr>
          <w:color w:val="000000" w:themeColor="text1"/>
          <w:szCs w:val="26"/>
        </w:rPr>
        <w:t xml:space="preserve"> </w:t>
      </w:r>
      <w:r w:rsidR="00C5610F" w:rsidRPr="006D50FA">
        <w:rPr>
          <w:color w:val="000000" w:themeColor="text1"/>
          <w:szCs w:val="26"/>
        </w:rPr>
        <w:t xml:space="preserve">the prospective </w:t>
      </w:r>
      <w:r w:rsidR="00EA194B" w:rsidRPr="006D50FA">
        <w:rPr>
          <w:color w:val="000000" w:themeColor="text1"/>
          <w:szCs w:val="26"/>
        </w:rPr>
        <w:t xml:space="preserve">(and sole) </w:t>
      </w:r>
      <w:r w:rsidR="00C5610F" w:rsidRPr="006D50FA">
        <w:rPr>
          <w:color w:val="000000" w:themeColor="text1"/>
          <w:szCs w:val="26"/>
        </w:rPr>
        <w:t>witness</w:t>
      </w:r>
      <w:r w:rsidR="0074318F" w:rsidRPr="006D50FA">
        <w:rPr>
          <w:color w:val="000000" w:themeColor="text1"/>
          <w:szCs w:val="26"/>
        </w:rPr>
        <w:t xml:space="preserve">’s credibility was likely to </w:t>
      </w:r>
      <w:r w:rsidR="007612C8" w:rsidRPr="006D50FA">
        <w:rPr>
          <w:color w:val="000000" w:themeColor="text1"/>
          <w:szCs w:val="26"/>
        </w:rPr>
        <w:t xml:space="preserve">be </w:t>
      </w:r>
      <w:r w:rsidR="008356E1" w:rsidRPr="006D50FA">
        <w:rPr>
          <w:color w:val="000000" w:themeColor="text1"/>
          <w:szCs w:val="26"/>
        </w:rPr>
        <w:t xml:space="preserve">critical to the outcome, </w:t>
      </w:r>
      <w:r w:rsidR="007612C8" w:rsidRPr="006D50FA">
        <w:rPr>
          <w:color w:val="000000" w:themeColor="text1"/>
          <w:szCs w:val="26"/>
        </w:rPr>
        <w:t xml:space="preserve">that person </w:t>
      </w:r>
      <w:r w:rsidR="008356E1" w:rsidRPr="006D50FA">
        <w:rPr>
          <w:color w:val="000000" w:themeColor="text1"/>
          <w:szCs w:val="26"/>
        </w:rPr>
        <w:t xml:space="preserve">was </w:t>
      </w:r>
      <w:r w:rsidR="0011659F" w:rsidRPr="006D50FA">
        <w:rPr>
          <w:color w:val="000000" w:themeColor="text1"/>
          <w:szCs w:val="26"/>
        </w:rPr>
        <w:t>particularly subject to impeachment</w:t>
      </w:r>
      <w:r w:rsidR="00C04DEE" w:rsidRPr="006D50FA">
        <w:rPr>
          <w:color w:val="000000" w:themeColor="text1"/>
          <w:szCs w:val="26"/>
        </w:rPr>
        <w:t xml:space="preserve">, and the information </w:t>
      </w:r>
      <w:r w:rsidR="00015EAB" w:rsidRPr="006D50FA">
        <w:rPr>
          <w:color w:val="000000" w:themeColor="text1"/>
          <w:szCs w:val="26"/>
        </w:rPr>
        <w:t xml:space="preserve">sought </w:t>
      </w:r>
      <w:r w:rsidR="00C04DEE" w:rsidRPr="006D50FA">
        <w:rPr>
          <w:color w:val="000000" w:themeColor="text1"/>
          <w:szCs w:val="26"/>
        </w:rPr>
        <w:t xml:space="preserve">was </w:t>
      </w:r>
      <w:r w:rsidR="008328DF" w:rsidRPr="006D50FA">
        <w:rPr>
          <w:color w:val="000000" w:themeColor="text1"/>
          <w:szCs w:val="26"/>
        </w:rPr>
        <w:t>relevant to that impeachment</w:t>
      </w:r>
      <w:r w:rsidR="0011659F" w:rsidRPr="006D50FA">
        <w:rPr>
          <w:color w:val="000000" w:themeColor="text1"/>
          <w:szCs w:val="26"/>
        </w:rPr>
        <w:t xml:space="preserve">; </w:t>
      </w:r>
      <w:r w:rsidR="00805A15" w:rsidRPr="006D50FA">
        <w:rPr>
          <w:color w:val="000000" w:themeColor="text1"/>
          <w:szCs w:val="26"/>
        </w:rPr>
        <w:t>and</w:t>
      </w:r>
      <w:r w:rsidR="007612C8" w:rsidRPr="006D50FA">
        <w:rPr>
          <w:color w:val="000000" w:themeColor="text1"/>
          <w:szCs w:val="26"/>
        </w:rPr>
        <w:t xml:space="preserve"> </w:t>
      </w:r>
      <w:r w:rsidR="00D015E0" w:rsidRPr="006D50FA">
        <w:rPr>
          <w:color w:val="000000" w:themeColor="text1"/>
          <w:szCs w:val="26"/>
        </w:rPr>
        <w:t xml:space="preserve">it reasonably appeared </w:t>
      </w:r>
      <w:r w:rsidR="00805A15" w:rsidRPr="006D50FA">
        <w:rPr>
          <w:rFonts w:cstheme="minorHAnsi"/>
          <w:color w:val="000000" w:themeColor="text1"/>
          <w:szCs w:val="26"/>
        </w:rPr>
        <w:t>that such information w</w:t>
      </w:r>
      <w:r w:rsidR="00D015E0" w:rsidRPr="006D50FA">
        <w:rPr>
          <w:rFonts w:cstheme="minorHAnsi"/>
          <w:color w:val="000000" w:themeColor="text1"/>
          <w:szCs w:val="26"/>
        </w:rPr>
        <w:t xml:space="preserve">ould </w:t>
      </w:r>
      <w:r w:rsidR="00805A15" w:rsidRPr="006D50FA">
        <w:rPr>
          <w:rFonts w:cstheme="minorHAnsi"/>
          <w:color w:val="000000" w:themeColor="text1"/>
          <w:szCs w:val="26"/>
        </w:rPr>
        <w:t xml:space="preserve">assist </w:t>
      </w:r>
      <w:r w:rsidR="00007D01" w:rsidRPr="006D50FA">
        <w:rPr>
          <w:rFonts w:cstheme="minorHAnsi"/>
          <w:color w:val="000000" w:themeColor="text1"/>
          <w:szCs w:val="26"/>
        </w:rPr>
        <w:t xml:space="preserve">in </w:t>
      </w:r>
      <w:r w:rsidR="00D015E0" w:rsidRPr="006D50FA">
        <w:rPr>
          <w:rFonts w:cstheme="minorHAnsi"/>
          <w:color w:val="000000" w:themeColor="text1"/>
          <w:szCs w:val="26"/>
        </w:rPr>
        <w:t xml:space="preserve">preparation of the </w:t>
      </w:r>
      <w:r w:rsidR="00805A15" w:rsidRPr="006D50FA">
        <w:rPr>
          <w:rFonts w:cstheme="minorHAnsi"/>
          <w:color w:val="000000" w:themeColor="text1"/>
          <w:szCs w:val="26"/>
        </w:rPr>
        <w:t>defense.</w:t>
      </w:r>
      <w:r w:rsidR="00D015E0" w:rsidRPr="006D50FA">
        <w:rPr>
          <w:rFonts w:cstheme="minorHAnsi"/>
          <w:color w:val="000000" w:themeColor="text1"/>
          <w:szCs w:val="26"/>
        </w:rPr>
        <w:t xml:space="preserve">  </w:t>
      </w:r>
      <w:r w:rsidR="00D81DE6" w:rsidRPr="006D50FA">
        <w:rPr>
          <w:color w:val="000000" w:themeColor="text1"/>
          <w:szCs w:val="26"/>
        </w:rPr>
        <w:t xml:space="preserve">But </w:t>
      </w:r>
      <w:r w:rsidR="00BF1C40" w:rsidRPr="006D50FA">
        <w:rPr>
          <w:color w:val="000000" w:themeColor="text1"/>
          <w:szCs w:val="26"/>
        </w:rPr>
        <w:t xml:space="preserve">the defendant </w:t>
      </w:r>
      <w:r w:rsidR="001743AD" w:rsidRPr="006D50FA">
        <w:rPr>
          <w:color w:val="000000" w:themeColor="text1"/>
          <w:szCs w:val="26"/>
        </w:rPr>
        <w:t>did</w:t>
      </w:r>
      <w:r w:rsidR="005128A0" w:rsidRPr="006D50FA">
        <w:rPr>
          <w:color w:val="000000" w:themeColor="text1"/>
          <w:szCs w:val="26"/>
        </w:rPr>
        <w:t xml:space="preserve"> not </w:t>
      </w:r>
      <w:r w:rsidR="001743AD" w:rsidRPr="006D50FA">
        <w:rPr>
          <w:color w:val="000000" w:themeColor="text1"/>
          <w:szCs w:val="26"/>
        </w:rPr>
        <w:t xml:space="preserve">meet the </w:t>
      </w:r>
      <w:r w:rsidR="009B131C" w:rsidRPr="006D50FA">
        <w:rPr>
          <w:color w:val="000000" w:themeColor="text1"/>
          <w:szCs w:val="26"/>
        </w:rPr>
        <w:t xml:space="preserve">same </w:t>
      </w:r>
      <w:r w:rsidR="005C5F1E" w:rsidRPr="006D50FA">
        <w:rPr>
          <w:color w:val="000000" w:themeColor="text1"/>
          <w:szCs w:val="26"/>
        </w:rPr>
        <w:t xml:space="preserve">plausible justification </w:t>
      </w:r>
      <w:r w:rsidR="001743AD" w:rsidRPr="006D50FA">
        <w:rPr>
          <w:color w:val="000000" w:themeColor="text1"/>
          <w:szCs w:val="26"/>
        </w:rPr>
        <w:t xml:space="preserve">test </w:t>
      </w:r>
      <w:r w:rsidR="008C02BC" w:rsidRPr="006D50FA">
        <w:rPr>
          <w:color w:val="000000" w:themeColor="text1"/>
          <w:szCs w:val="26"/>
        </w:rPr>
        <w:t xml:space="preserve">concerning his </w:t>
      </w:r>
      <w:r w:rsidR="00C03AFD" w:rsidRPr="006D50FA">
        <w:rPr>
          <w:color w:val="000000" w:themeColor="text1"/>
          <w:szCs w:val="26"/>
        </w:rPr>
        <w:t xml:space="preserve">effort to </w:t>
      </w:r>
      <w:r w:rsidR="00DF2E26" w:rsidRPr="006D50FA">
        <w:rPr>
          <w:color w:val="000000" w:themeColor="text1"/>
          <w:szCs w:val="26"/>
        </w:rPr>
        <w:t xml:space="preserve">acquire and inspect any </w:t>
      </w:r>
      <w:r w:rsidR="008C02BC" w:rsidRPr="006D50FA">
        <w:rPr>
          <w:color w:val="000000" w:themeColor="text1"/>
          <w:szCs w:val="26"/>
        </w:rPr>
        <w:t>existing</w:t>
      </w:r>
      <w:r w:rsidR="00D71AF4" w:rsidRPr="006D50FA">
        <w:rPr>
          <w:color w:val="000000" w:themeColor="text1"/>
          <w:szCs w:val="26"/>
        </w:rPr>
        <w:t xml:space="preserve">, and even more </w:t>
      </w:r>
      <w:r w:rsidR="00E34546" w:rsidRPr="006D50FA">
        <w:rPr>
          <w:color w:val="000000" w:themeColor="text1"/>
          <w:szCs w:val="26"/>
        </w:rPr>
        <w:t>sensitive</w:t>
      </w:r>
      <w:r w:rsidR="00E91D54" w:rsidRPr="006D50FA">
        <w:rPr>
          <w:color w:val="000000" w:themeColor="text1"/>
          <w:szCs w:val="26"/>
        </w:rPr>
        <w:t>,</w:t>
      </w:r>
      <w:r w:rsidR="00E34546" w:rsidRPr="006D50FA">
        <w:rPr>
          <w:color w:val="000000" w:themeColor="text1"/>
          <w:szCs w:val="26"/>
        </w:rPr>
        <w:t xml:space="preserve"> records</w:t>
      </w:r>
      <w:r w:rsidR="00327B5C" w:rsidRPr="006D50FA">
        <w:rPr>
          <w:color w:val="000000" w:themeColor="text1"/>
          <w:szCs w:val="26"/>
        </w:rPr>
        <w:t xml:space="preserve"> concerning </w:t>
      </w:r>
      <w:r w:rsidR="00E34546" w:rsidRPr="006D50FA">
        <w:rPr>
          <w:color w:val="000000" w:themeColor="text1"/>
          <w:szCs w:val="26"/>
        </w:rPr>
        <w:t xml:space="preserve">mere </w:t>
      </w:r>
      <w:r w:rsidR="00DF2E26" w:rsidRPr="006D50FA">
        <w:rPr>
          <w:color w:val="000000" w:themeColor="text1"/>
          <w:szCs w:val="26"/>
        </w:rPr>
        <w:t>arrest</w:t>
      </w:r>
      <w:r w:rsidR="00E34546" w:rsidRPr="006D50FA">
        <w:rPr>
          <w:color w:val="000000" w:themeColor="text1"/>
          <w:szCs w:val="26"/>
        </w:rPr>
        <w:t>s</w:t>
      </w:r>
      <w:r w:rsidR="00DF2E26" w:rsidRPr="006D50FA">
        <w:rPr>
          <w:color w:val="000000" w:themeColor="text1"/>
          <w:szCs w:val="26"/>
        </w:rPr>
        <w:t xml:space="preserve"> </w:t>
      </w:r>
      <w:r w:rsidR="00E34546" w:rsidRPr="006D50FA">
        <w:rPr>
          <w:color w:val="000000" w:themeColor="text1"/>
          <w:szCs w:val="26"/>
        </w:rPr>
        <w:t xml:space="preserve">or </w:t>
      </w:r>
      <w:r w:rsidR="00D71AF4" w:rsidRPr="006D50FA">
        <w:rPr>
          <w:color w:val="000000" w:themeColor="text1"/>
          <w:szCs w:val="26"/>
        </w:rPr>
        <w:t>detention</w:t>
      </w:r>
      <w:r w:rsidR="00E34546" w:rsidRPr="006D50FA">
        <w:rPr>
          <w:color w:val="000000" w:themeColor="text1"/>
          <w:szCs w:val="26"/>
        </w:rPr>
        <w:t xml:space="preserve">s, </w:t>
      </w:r>
      <w:r w:rsidR="00370E10" w:rsidRPr="006D50FA">
        <w:rPr>
          <w:color w:val="000000" w:themeColor="text1"/>
          <w:szCs w:val="26"/>
        </w:rPr>
        <w:t xml:space="preserve">which he sought </w:t>
      </w:r>
      <w:r w:rsidR="00E34546" w:rsidRPr="006D50FA">
        <w:rPr>
          <w:color w:val="000000" w:themeColor="text1"/>
          <w:szCs w:val="26"/>
        </w:rPr>
        <w:t xml:space="preserve">in </w:t>
      </w:r>
      <w:r w:rsidR="00DF2E26" w:rsidRPr="006D50FA">
        <w:rPr>
          <w:color w:val="000000" w:themeColor="text1"/>
          <w:szCs w:val="26"/>
        </w:rPr>
        <w:t xml:space="preserve">order to </w:t>
      </w:r>
      <w:r w:rsidR="008C02BC" w:rsidRPr="006D50FA">
        <w:rPr>
          <w:color w:val="000000" w:themeColor="text1"/>
          <w:szCs w:val="26"/>
        </w:rPr>
        <w:t xml:space="preserve">attempt to </w:t>
      </w:r>
      <w:r w:rsidR="00C03AFD" w:rsidRPr="006D50FA">
        <w:rPr>
          <w:color w:val="000000" w:themeColor="text1"/>
          <w:szCs w:val="26"/>
        </w:rPr>
        <w:t xml:space="preserve">shift </w:t>
      </w:r>
      <w:r w:rsidR="00E22E6B" w:rsidRPr="006D50FA">
        <w:rPr>
          <w:color w:val="000000" w:themeColor="text1"/>
          <w:szCs w:val="26"/>
        </w:rPr>
        <w:t xml:space="preserve">blame from </w:t>
      </w:r>
      <w:r w:rsidR="0026498C" w:rsidRPr="006D50FA">
        <w:rPr>
          <w:color w:val="000000" w:themeColor="text1"/>
          <w:szCs w:val="26"/>
        </w:rPr>
        <w:t xml:space="preserve">himself </w:t>
      </w:r>
      <w:r w:rsidR="00E22E6B" w:rsidRPr="006D50FA">
        <w:rPr>
          <w:color w:val="000000" w:themeColor="text1"/>
          <w:szCs w:val="26"/>
        </w:rPr>
        <w:t>to the prospective pro</w:t>
      </w:r>
      <w:r w:rsidR="0073696C" w:rsidRPr="006D50FA">
        <w:rPr>
          <w:color w:val="000000" w:themeColor="text1"/>
          <w:szCs w:val="26"/>
        </w:rPr>
        <w:t>secution witness</w:t>
      </w:r>
      <w:r w:rsidR="00DF2E26" w:rsidRPr="006D50FA">
        <w:rPr>
          <w:color w:val="000000" w:themeColor="text1"/>
          <w:szCs w:val="26"/>
        </w:rPr>
        <w:t xml:space="preserve">.  </w:t>
      </w:r>
      <w:r w:rsidR="0017710E" w:rsidRPr="006D50FA">
        <w:rPr>
          <w:color w:val="000000" w:themeColor="text1"/>
          <w:szCs w:val="26"/>
        </w:rPr>
        <w:t xml:space="preserve">As noted, we </w:t>
      </w:r>
      <w:r w:rsidR="00043400" w:rsidRPr="006D50FA">
        <w:rPr>
          <w:color w:val="000000" w:themeColor="text1"/>
          <w:szCs w:val="26"/>
        </w:rPr>
        <w:t>found only a “</w:t>
      </w:r>
      <w:r w:rsidR="00563A53" w:rsidRPr="006D50FA">
        <w:rPr>
          <w:rFonts w:cstheme="minorHAnsi"/>
          <w:color w:val="000000" w:themeColor="text1"/>
          <w:szCs w:val="26"/>
        </w:rPr>
        <w:t>minimal showing of the worth of</w:t>
      </w:r>
      <w:r w:rsidR="00E5462B" w:rsidRPr="006D50FA">
        <w:rPr>
          <w:rFonts w:cstheme="minorHAnsi"/>
          <w:color w:val="000000" w:themeColor="text1"/>
          <w:szCs w:val="26"/>
        </w:rPr>
        <w:t xml:space="preserve">” that </w:t>
      </w:r>
      <w:r w:rsidR="00563A53" w:rsidRPr="006D50FA">
        <w:rPr>
          <w:rFonts w:cstheme="minorHAnsi"/>
          <w:color w:val="000000" w:themeColor="text1"/>
          <w:szCs w:val="26"/>
        </w:rPr>
        <w:t>information</w:t>
      </w:r>
      <w:r w:rsidR="0089218C" w:rsidRPr="006D50FA">
        <w:rPr>
          <w:rFonts w:cstheme="minorHAnsi"/>
          <w:color w:val="000000" w:themeColor="text1"/>
          <w:szCs w:val="26"/>
        </w:rPr>
        <w:t>,</w:t>
      </w:r>
      <w:r w:rsidR="00563A53" w:rsidRPr="006D50FA">
        <w:rPr>
          <w:rFonts w:cstheme="minorHAnsi"/>
          <w:color w:val="000000" w:themeColor="text1"/>
          <w:szCs w:val="26"/>
        </w:rPr>
        <w:t xml:space="preserve"> </w:t>
      </w:r>
      <w:r w:rsidR="00043400" w:rsidRPr="006D50FA">
        <w:rPr>
          <w:rFonts w:cstheme="minorHAnsi"/>
          <w:color w:val="000000" w:themeColor="text1"/>
          <w:szCs w:val="26"/>
        </w:rPr>
        <w:t xml:space="preserve">and </w:t>
      </w:r>
      <w:r w:rsidR="009145F1" w:rsidRPr="006D50FA">
        <w:rPr>
          <w:rFonts w:cstheme="minorHAnsi"/>
          <w:color w:val="000000" w:themeColor="text1"/>
          <w:szCs w:val="26"/>
        </w:rPr>
        <w:t xml:space="preserve">expressed concern that </w:t>
      </w:r>
      <w:r w:rsidR="00563A53" w:rsidRPr="006D50FA">
        <w:rPr>
          <w:rFonts w:cstheme="minorHAnsi"/>
          <w:color w:val="000000" w:themeColor="text1"/>
          <w:szCs w:val="26"/>
        </w:rPr>
        <w:t xml:space="preserve">requiring discovery </w:t>
      </w:r>
      <w:r w:rsidR="004063C1" w:rsidRPr="006D50FA">
        <w:rPr>
          <w:rFonts w:cstheme="minorHAnsi"/>
          <w:color w:val="000000" w:themeColor="text1"/>
          <w:szCs w:val="26"/>
        </w:rPr>
        <w:t xml:space="preserve">of such sensitive </w:t>
      </w:r>
      <w:r w:rsidR="007077A3" w:rsidRPr="006D50FA">
        <w:rPr>
          <w:rFonts w:cstheme="minorHAnsi"/>
          <w:color w:val="000000" w:themeColor="text1"/>
          <w:szCs w:val="26"/>
        </w:rPr>
        <w:t>information</w:t>
      </w:r>
      <w:r w:rsidR="007F7DB8" w:rsidRPr="006D50FA">
        <w:rPr>
          <w:rFonts w:cstheme="minorHAnsi"/>
          <w:color w:val="000000" w:themeColor="text1"/>
          <w:szCs w:val="26"/>
        </w:rPr>
        <w:t xml:space="preserve"> (</w:t>
      </w:r>
      <w:r w:rsidR="00BD3485" w:rsidRPr="006D50FA">
        <w:rPr>
          <w:rFonts w:cstheme="minorHAnsi"/>
          <w:color w:val="000000" w:themeColor="text1"/>
          <w:szCs w:val="26"/>
        </w:rPr>
        <w:t xml:space="preserve">contrasted with </w:t>
      </w:r>
      <w:r w:rsidR="00BC50E3" w:rsidRPr="006D50FA">
        <w:rPr>
          <w:rFonts w:cstheme="minorHAnsi"/>
          <w:color w:val="000000" w:themeColor="text1"/>
          <w:szCs w:val="26"/>
        </w:rPr>
        <w:t xml:space="preserve">disclosure of </w:t>
      </w:r>
      <w:r w:rsidR="00BD3485" w:rsidRPr="006D50FA">
        <w:rPr>
          <w:rFonts w:cstheme="minorHAnsi"/>
          <w:color w:val="000000" w:themeColor="text1"/>
          <w:szCs w:val="26"/>
        </w:rPr>
        <w:t xml:space="preserve">public records of </w:t>
      </w:r>
      <w:r w:rsidR="00BD3485" w:rsidRPr="006D50FA">
        <w:rPr>
          <w:rFonts w:cstheme="minorHAnsi"/>
          <w:color w:val="000000" w:themeColor="text1"/>
          <w:szCs w:val="26"/>
        </w:rPr>
        <w:lastRenderedPageBreak/>
        <w:t>actual felony convi</w:t>
      </w:r>
      <w:r w:rsidR="007F7DB8" w:rsidRPr="006D50FA">
        <w:rPr>
          <w:rFonts w:cstheme="minorHAnsi"/>
          <w:color w:val="000000" w:themeColor="text1"/>
          <w:szCs w:val="26"/>
        </w:rPr>
        <w:t xml:space="preserve">ctions) </w:t>
      </w:r>
      <w:r w:rsidR="002A3354" w:rsidRPr="006D50FA">
        <w:rPr>
          <w:rFonts w:cstheme="minorHAnsi"/>
          <w:color w:val="000000" w:themeColor="text1"/>
          <w:szCs w:val="26"/>
        </w:rPr>
        <w:t>bas</w:t>
      </w:r>
      <w:r w:rsidR="008C3AC2" w:rsidRPr="006D50FA">
        <w:rPr>
          <w:rFonts w:cstheme="minorHAnsi"/>
          <w:color w:val="000000" w:themeColor="text1"/>
          <w:szCs w:val="26"/>
        </w:rPr>
        <w:t>e</w:t>
      </w:r>
      <w:r w:rsidR="002A3354" w:rsidRPr="006D50FA">
        <w:rPr>
          <w:rFonts w:cstheme="minorHAnsi"/>
          <w:color w:val="000000" w:themeColor="text1"/>
          <w:szCs w:val="26"/>
        </w:rPr>
        <w:t>d on such a</w:t>
      </w:r>
      <w:r w:rsidR="0089218C" w:rsidRPr="006D50FA">
        <w:rPr>
          <w:rFonts w:cstheme="minorHAnsi"/>
          <w:color w:val="000000" w:themeColor="text1"/>
          <w:szCs w:val="26"/>
        </w:rPr>
        <w:t xml:space="preserve">n insubstantial </w:t>
      </w:r>
      <w:r w:rsidR="00563A53" w:rsidRPr="006D50FA">
        <w:rPr>
          <w:rFonts w:cstheme="minorHAnsi"/>
          <w:color w:val="000000" w:themeColor="text1"/>
          <w:szCs w:val="26"/>
        </w:rPr>
        <w:t xml:space="preserve">showing could </w:t>
      </w:r>
      <w:r w:rsidR="002A3354" w:rsidRPr="006D50FA">
        <w:rPr>
          <w:rFonts w:cstheme="minorHAnsi"/>
          <w:color w:val="000000" w:themeColor="text1"/>
          <w:szCs w:val="26"/>
        </w:rPr>
        <w:t xml:space="preserve">have the </w:t>
      </w:r>
      <w:r w:rsidR="006F0F46" w:rsidRPr="006D50FA">
        <w:rPr>
          <w:rFonts w:cstheme="minorHAnsi"/>
          <w:color w:val="000000" w:themeColor="text1"/>
          <w:szCs w:val="26"/>
        </w:rPr>
        <w:t>undesirable effect of “</w:t>
      </w:r>
      <w:r w:rsidR="00563A53" w:rsidRPr="006D50FA">
        <w:rPr>
          <w:rFonts w:cstheme="minorHAnsi"/>
          <w:color w:val="000000" w:themeColor="text1"/>
          <w:szCs w:val="26"/>
        </w:rPr>
        <w:t>deter</w:t>
      </w:r>
      <w:r w:rsidR="006F0F46" w:rsidRPr="006D50FA">
        <w:rPr>
          <w:rFonts w:cstheme="minorHAnsi"/>
          <w:color w:val="000000" w:themeColor="text1"/>
          <w:szCs w:val="26"/>
        </w:rPr>
        <w:t>[ring</w:t>
      </w:r>
      <w:r w:rsidR="00370E10" w:rsidRPr="006D50FA">
        <w:rPr>
          <w:rFonts w:cstheme="minorHAnsi"/>
          <w:color w:val="000000" w:themeColor="text1"/>
          <w:szCs w:val="26"/>
        </w:rPr>
        <w:t>]</w:t>
      </w:r>
      <w:r w:rsidR="00563A53" w:rsidRPr="006D50FA">
        <w:rPr>
          <w:rFonts w:cstheme="minorHAnsi"/>
          <w:color w:val="000000" w:themeColor="text1"/>
          <w:szCs w:val="26"/>
        </w:rPr>
        <w:t xml:space="preserve"> eyewitnesses from reporting crimes</w:t>
      </w:r>
      <w:r w:rsidR="00CA6AB6" w:rsidRPr="006D50FA">
        <w:rPr>
          <w:rFonts w:cstheme="minorHAnsi"/>
          <w:color w:val="000000" w:themeColor="text1"/>
          <w:szCs w:val="26"/>
        </w:rPr>
        <w:t>.</w:t>
      </w:r>
      <w:r w:rsidR="0017710E" w:rsidRPr="006D50FA">
        <w:rPr>
          <w:rFonts w:cstheme="minorHAnsi"/>
          <w:color w:val="000000" w:themeColor="text1"/>
          <w:szCs w:val="26"/>
        </w:rPr>
        <w:t xml:space="preserve">”  </w:t>
      </w:r>
      <w:r w:rsidR="00CC6966" w:rsidRPr="006D50FA">
        <w:rPr>
          <w:rFonts w:cstheme="minorHAnsi"/>
          <w:color w:val="000000" w:themeColor="text1"/>
          <w:szCs w:val="26"/>
        </w:rPr>
        <w:t>(</w:t>
      </w:r>
      <w:r w:rsidR="00CC6966" w:rsidRPr="006D50FA">
        <w:rPr>
          <w:i/>
          <w:color w:val="000000" w:themeColor="text1"/>
          <w:szCs w:val="26"/>
        </w:rPr>
        <w:t xml:space="preserve">Hill, supra, </w:t>
      </w:r>
      <w:r w:rsidR="00CC6966" w:rsidRPr="006D50FA">
        <w:rPr>
          <w:color w:val="000000" w:themeColor="text1"/>
          <w:szCs w:val="26"/>
        </w:rPr>
        <w:t>10 Cal.3d at p.</w:t>
      </w:r>
      <w:r w:rsidR="00773D1C" w:rsidRPr="006D50FA">
        <w:rPr>
          <w:color w:val="000000" w:themeColor="text1"/>
          <w:szCs w:val="26"/>
        </w:rPr>
        <w:t> </w:t>
      </w:r>
      <w:r w:rsidR="00CC6966" w:rsidRPr="006D50FA">
        <w:rPr>
          <w:color w:val="000000" w:themeColor="text1"/>
          <w:szCs w:val="26"/>
        </w:rPr>
        <w:t xml:space="preserve">822.)  </w:t>
      </w:r>
    </w:p>
    <w:p w14:paraId="32FEB653" w14:textId="1D523960" w:rsidR="00525289" w:rsidRPr="006D50FA" w:rsidRDefault="00C12E06" w:rsidP="00773D1C">
      <w:pPr>
        <w:pStyle w:val="PRComments"/>
        <w:spacing w:line="400" w:lineRule="exact"/>
        <w:ind w:right="0" w:firstLine="720"/>
        <w:rPr>
          <w:color w:val="000000" w:themeColor="text1"/>
          <w:szCs w:val="26"/>
        </w:rPr>
      </w:pPr>
      <w:r w:rsidRPr="006D50FA">
        <w:rPr>
          <w:color w:val="000000" w:themeColor="text1"/>
          <w:szCs w:val="26"/>
        </w:rPr>
        <w:t>C</w:t>
      </w:r>
      <w:r w:rsidR="00B01686" w:rsidRPr="006D50FA">
        <w:rPr>
          <w:color w:val="000000" w:themeColor="text1"/>
          <w:szCs w:val="26"/>
        </w:rPr>
        <w:t xml:space="preserve">onsistent with the approach </w:t>
      </w:r>
      <w:r w:rsidR="00FD0ADE" w:rsidRPr="006D50FA">
        <w:rPr>
          <w:color w:val="000000" w:themeColor="text1"/>
          <w:szCs w:val="26"/>
        </w:rPr>
        <w:t xml:space="preserve">undertaken in </w:t>
      </w:r>
      <w:r w:rsidR="00FD0ADE" w:rsidRPr="006D50FA">
        <w:rPr>
          <w:i/>
          <w:iCs/>
          <w:color w:val="000000" w:themeColor="text1"/>
          <w:szCs w:val="26"/>
        </w:rPr>
        <w:t>B</w:t>
      </w:r>
      <w:r w:rsidR="00D25926" w:rsidRPr="006D50FA">
        <w:rPr>
          <w:i/>
          <w:iCs/>
          <w:color w:val="000000" w:themeColor="text1"/>
          <w:szCs w:val="26"/>
        </w:rPr>
        <w:t>a</w:t>
      </w:r>
      <w:r w:rsidR="00FD0ADE" w:rsidRPr="006D50FA">
        <w:rPr>
          <w:i/>
          <w:iCs/>
          <w:color w:val="000000" w:themeColor="text1"/>
          <w:szCs w:val="26"/>
        </w:rPr>
        <w:t>llard</w:t>
      </w:r>
      <w:r w:rsidR="00FD0ADE" w:rsidRPr="006D50FA">
        <w:rPr>
          <w:color w:val="000000" w:themeColor="text1"/>
          <w:szCs w:val="26"/>
        </w:rPr>
        <w:t xml:space="preserve"> and </w:t>
      </w:r>
      <w:r w:rsidR="00FD0ADE" w:rsidRPr="006D50FA">
        <w:rPr>
          <w:i/>
          <w:iCs/>
          <w:color w:val="000000" w:themeColor="text1"/>
          <w:szCs w:val="26"/>
        </w:rPr>
        <w:t>Hill</w:t>
      </w:r>
      <w:r w:rsidR="00FD0ADE" w:rsidRPr="006D50FA">
        <w:rPr>
          <w:color w:val="000000" w:themeColor="text1"/>
          <w:szCs w:val="26"/>
        </w:rPr>
        <w:t xml:space="preserve">, </w:t>
      </w:r>
      <w:r w:rsidR="00991AE2" w:rsidRPr="006D50FA">
        <w:rPr>
          <w:color w:val="000000" w:themeColor="text1"/>
          <w:szCs w:val="26"/>
        </w:rPr>
        <w:t xml:space="preserve">in </w:t>
      </w:r>
      <w:r w:rsidR="00A41D07" w:rsidRPr="006D50FA">
        <w:rPr>
          <w:rFonts w:cstheme="minorHAnsi"/>
          <w:color w:val="000000" w:themeColor="text1"/>
          <w:szCs w:val="26"/>
        </w:rPr>
        <w:t xml:space="preserve">assessing </w:t>
      </w:r>
      <w:r w:rsidR="00AC6ECF" w:rsidRPr="006D50FA">
        <w:rPr>
          <w:rFonts w:cstheme="minorHAnsi"/>
          <w:color w:val="000000" w:themeColor="text1"/>
          <w:szCs w:val="26"/>
        </w:rPr>
        <w:t xml:space="preserve">the present </w:t>
      </w:r>
      <w:r w:rsidR="00991AE2" w:rsidRPr="006D50FA">
        <w:rPr>
          <w:rFonts w:cstheme="minorHAnsi"/>
          <w:color w:val="000000" w:themeColor="text1"/>
          <w:szCs w:val="26"/>
        </w:rPr>
        <w:t xml:space="preserve">defendant’s </w:t>
      </w:r>
      <w:r w:rsidR="00991AE2" w:rsidRPr="006D50FA">
        <w:rPr>
          <w:rFonts w:cstheme="minorHAnsi"/>
          <w:i/>
          <w:iCs/>
          <w:color w:val="000000" w:themeColor="text1"/>
          <w:szCs w:val="26"/>
        </w:rPr>
        <w:t>primary</w:t>
      </w:r>
      <w:r w:rsidR="00991AE2" w:rsidRPr="006D50FA">
        <w:rPr>
          <w:rFonts w:cstheme="minorHAnsi"/>
          <w:color w:val="000000" w:themeColor="text1"/>
          <w:szCs w:val="26"/>
        </w:rPr>
        <w:t xml:space="preserve"> </w:t>
      </w:r>
      <w:r w:rsidR="00D4105A" w:rsidRPr="006D50FA">
        <w:rPr>
          <w:rFonts w:cstheme="minorHAnsi"/>
          <w:color w:val="000000" w:themeColor="text1"/>
          <w:szCs w:val="26"/>
        </w:rPr>
        <w:t>basis for plausible justification</w:t>
      </w:r>
      <w:r w:rsidR="008B548B" w:rsidRPr="006D50FA">
        <w:rPr>
          <w:rFonts w:cstheme="minorHAnsi"/>
          <w:color w:val="000000" w:themeColor="text1"/>
          <w:szCs w:val="26"/>
        </w:rPr>
        <w:t xml:space="preserve"> to </w:t>
      </w:r>
      <w:r w:rsidR="00C73344" w:rsidRPr="006D50FA">
        <w:rPr>
          <w:rFonts w:cstheme="minorHAnsi"/>
          <w:color w:val="000000" w:themeColor="text1"/>
          <w:szCs w:val="26"/>
        </w:rPr>
        <w:t>acquir</w:t>
      </w:r>
      <w:r w:rsidR="008B548B" w:rsidRPr="006D50FA">
        <w:rPr>
          <w:rFonts w:cstheme="minorHAnsi"/>
          <w:color w:val="000000" w:themeColor="text1"/>
          <w:szCs w:val="26"/>
        </w:rPr>
        <w:t xml:space="preserve">e </w:t>
      </w:r>
      <w:r w:rsidR="00C73344" w:rsidRPr="006D50FA">
        <w:rPr>
          <w:rFonts w:cstheme="minorHAnsi"/>
          <w:color w:val="000000" w:themeColor="text1"/>
          <w:szCs w:val="26"/>
        </w:rPr>
        <w:t>and inspect</w:t>
      </w:r>
      <w:r w:rsidR="008B548B" w:rsidRPr="006D50FA">
        <w:rPr>
          <w:rFonts w:cstheme="minorHAnsi"/>
          <w:color w:val="000000" w:themeColor="text1"/>
          <w:szCs w:val="26"/>
        </w:rPr>
        <w:t xml:space="preserve"> </w:t>
      </w:r>
      <w:r w:rsidR="00C73344" w:rsidRPr="006D50FA">
        <w:rPr>
          <w:rFonts w:cstheme="minorHAnsi"/>
          <w:color w:val="000000" w:themeColor="text1"/>
          <w:szCs w:val="26"/>
        </w:rPr>
        <w:t xml:space="preserve">the sought </w:t>
      </w:r>
      <w:r w:rsidR="00272CA9" w:rsidRPr="006D50FA">
        <w:rPr>
          <w:rFonts w:cstheme="minorHAnsi"/>
          <w:color w:val="000000" w:themeColor="text1"/>
          <w:szCs w:val="26"/>
        </w:rPr>
        <w:t xml:space="preserve">restricted posts and private messages </w:t>
      </w:r>
      <w:r w:rsidR="00780EC0" w:rsidRPr="006D50FA">
        <w:rPr>
          <w:rFonts w:cstheme="minorHAnsi"/>
          <w:color w:val="000000" w:themeColor="text1"/>
          <w:szCs w:val="26"/>
        </w:rPr>
        <w:t>(to support a claim of self-defense)</w:t>
      </w:r>
      <w:r w:rsidR="00C73344" w:rsidRPr="006D50FA">
        <w:rPr>
          <w:rFonts w:cstheme="minorHAnsi"/>
          <w:color w:val="000000" w:themeColor="text1"/>
          <w:szCs w:val="26"/>
        </w:rPr>
        <w:t xml:space="preserve">, </w:t>
      </w:r>
      <w:r w:rsidR="00883970" w:rsidRPr="006D50FA">
        <w:rPr>
          <w:rFonts w:cstheme="minorHAnsi"/>
          <w:color w:val="000000" w:themeColor="text1"/>
          <w:szCs w:val="26"/>
        </w:rPr>
        <w:t>a</w:t>
      </w:r>
      <w:r w:rsidR="00137442" w:rsidRPr="006D50FA">
        <w:rPr>
          <w:rFonts w:cstheme="minorHAnsi"/>
          <w:color w:val="000000" w:themeColor="text1"/>
          <w:szCs w:val="26"/>
        </w:rPr>
        <w:t xml:space="preserve">n appropriate inquiry </w:t>
      </w:r>
      <w:r w:rsidR="00745500" w:rsidRPr="006D50FA">
        <w:rPr>
          <w:color w:val="000000" w:themeColor="text1"/>
          <w:szCs w:val="26"/>
        </w:rPr>
        <w:t>would focus on the facts as alleged in the briefs and also as reflected in the preliminary hearing transcript</w:t>
      </w:r>
      <w:r w:rsidR="003134CB" w:rsidRPr="006D50FA">
        <w:rPr>
          <w:color w:val="000000" w:themeColor="text1"/>
          <w:szCs w:val="26"/>
        </w:rPr>
        <w:t xml:space="preserve"> </w:t>
      </w:r>
      <w:r w:rsidR="00B35AFD" w:rsidRPr="006D50FA">
        <w:rPr>
          <w:color w:val="000000" w:themeColor="text1"/>
          <w:szCs w:val="26"/>
        </w:rPr>
        <w:t>in order to assess whether a claim of self-defense is sufficiently viable to warrant th</w:t>
      </w:r>
      <w:r w:rsidR="00CD4831" w:rsidRPr="006D50FA">
        <w:rPr>
          <w:color w:val="000000" w:themeColor="text1"/>
          <w:szCs w:val="26"/>
        </w:rPr>
        <w:t xml:space="preserve">at </w:t>
      </w:r>
      <w:r w:rsidR="00F70D7F" w:rsidRPr="006D50FA">
        <w:rPr>
          <w:color w:val="000000" w:themeColor="text1"/>
          <w:szCs w:val="26"/>
        </w:rPr>
        <w:t xml:space="preserve">significant </w:t>
      </w:r>
      <w:r w:rsidR="00B35AFD" w:rsidRPr="006D50FA">
        <w:rPr>
          <w:color w:val="000000" w:themeColor="text1"/>
          <w:szCs w:val="26"/>
        </w:rPr>
        <w:t xml:space="preserve">intrusion.  </w:t>
      </w:r>
    </w:p>
    <w:p w14:paraId="11BD0C33" w14:textId="6D8D6ABD" w:rsidR="00EF011B" w:rsidRPr="006D50FA" w:rsidRDefault="00873A13" w:rsidP="00773D1C">
      <w:pPr>
        <w:pStyle w:val="PRComments"/>
        <w:spacing w:line="400" w:lineRule="exact"/>
        <w:ind w:right="0" w:firstLine="720"/>
        <w:rPr>
          <w:color w:val="000000" w:themeColor="text1"/>
          <w:szCs w:val="26"/>
        </w:rPr>
      </w:pPr>
      <w:r w:rsidRPr="006D50FA">
        <w:rPr>
          <w:color w:val="000000" w:themeColor="text1"/>
          <w:szCs w:val="26"/>
        </w:rPr>
        <w:t xml:space="preserve">Likewise, </w:t>
      </w:r>
      <w:r w:rsidR="00C65060" w:rsidRPr="006D50FA">
        <w:rPr>
          <w:color w:val="000000" w:themeColor="text1"/>
          <w:szCs w:val="26"/>
        </w:rPr>
        <w:t xml:space="preserve">in </w:t>
      </w:r>
      <w:r w:rsidR="00C65060" w:rsidRPr="006D50FA">
        <w:rPr>
          <w:rFonts w:cstheme="minorHAnsi"/>
          <w:color w:val="000000" w:themeColor="text1"/>
          <w:szCs w:val="26"/>
        </w:rPr>
        <w:t xml:space="preserve">assessing </w:t>
      </w:r>
      <w:r w:rsidR="007B0B99" w:rsidRPr="006D50FA">
        <w:rPr>
          <w:rFonts w:cstheme="minorHAnsi"/>
          <w:color w:val="000000" w:themeColor="text1"/>
          <w:szCs w:val="26"/>
        </w:rPr>
        <w:t xml:space="preserve">the </w:t>
      </w:r>
      <w:r w:rsidR="00344889" w:rsidRPr="006D50FA">
        <w:rPr>
          <w:rFonts w:cstheme="minorHAnsi"/>
          <w:color w:val="000000" w:themeColor="text1"/>
          <w:szCs w:val="26"/>
        </w:rPr>
        <w:t xml:space="preserve">present </w:t>
      </w:r>
      <w:r w:rsidR="00C65060" w:rsidRPr="006D50FA">
        <w:rPr>
          <w:rFonts w:cstheme="minorHAnsi"/>
          <w:color w:val="000000" w:themeColor="text1"/>
          <w:szCs w:val="26"/>
        </w:rPr>
        <w:t xml:space="preserve">defendant’s </w:t>
      </w:r>
      <w:r w:rsidR="00192293" w:rsidRPr="006D50FA">
        <w:rPr>
          <w:rFonts w:cstheme="minorHAnsi"/>
          <w:i/>
          <w:iCs/>
          <w:color w:val="000000" w:themeColor="text1"/>
          <w:szCs w:val="26"/>
        </w:rPr>
        <w:t>secondary</w:t>
      </w:r>
      <w:r w:rsidR="00192293" w:rsidRPr="006D50FA">
        <w:rPr>
          <w:rFonts w:cstheme="minorHAnsi"/>
          <w:color w:val="000000" w:themeColor="text1"/>
          <w:szCs w:val="26"/>
        </w:rPr>
        <w:t xml:space="preserve"> </w:t>
      </w:r>
      <w:r w:rsidR="00017B2E" w:rsidRPr="006D50FA">
        <w:rPr>
          <w:rFonts w:cstheme="minorHAnsi"/>
          <w:color w:val="000000" w:themeColor="text1"/>
          <w:szCs w:val="26"/>
        </w:rPr>
        <w:t>(and, if the self-defense</w:t>
      </w:r>
      <w:r w:rsidR="0007020F" w:rsidRPr="006D50FA">
        <w:rPr>
          <w:rFonts w:cstheme="minorHAnsi"/>
          <w:color w:val="000000" w:themeColor="text1"/>
          <w:szCs w:val="26"/>
        </w:rPr>
        <w:t>-</w:t>
      </w:r>
      <w:r w:rsidR="00017B2E" w:rsidRPr="006D50FA">
        <w:rPr>
          <w:rFonts w:cstheme="minorHAnsi"/>
          <w:color w:val="000000" w:themeColor="text1"/>
          <w:szCs w:val="26"/>
        </w:rPr>
        <w:t xml:space="preserve">claim </w:t>
      </w:r>
      <w:r w:rsidR="0007020F" w:rsidRPr="006D50FA">
        <w:rPr>
          <w:rFonts w:cstheme="minorHAnsi"/>
          <w:color w:val="000000" w:themeColor="text1"/>
          <w:szCs w:val="26"/>
        </w:rPr>
        <w:t xml:space="preserve">justification fails, </w:t>
      </w:r>
      <w:r w:rsidR="0007020F" w:rsidRPr="006D50FA">
        <w:rPr>
          <w:rFonts w:cstheme="minorHAnsi"/>
          <w:i/>
          <w:iCs/>
          <w:color w:val="000000" w:themeColor="text1"/>
          <w:szCs w:val="26"/>
        </w:rPr>
        <w:t>alternative</w:t>
      </w:r>
      <w:r w:rsidR="0007020F" w:rsidRPr="006D50FA">
        <w:rPr>
          <w:rFonts w:cstheme="minorHAnsi"/>
          <w:color w:val="000000" w:themeColor="text1"/>
          <w:szCs w:val="26"/>
        </w:rPr>
        <w:t xml:space="preserve">) </w:t>
      </w:r>
      <w:r w:rsidR="00C65060" w:rsidRPr="006D50FA">
        <w:rPr>
          <w:rFonts w:cstheme="minorHAnsi"/>
          <w:color w:val="000000" w:themeColor="text1"/>
          <w:szCs w:val="26"/>
        </w:rPr>
        <w:t>basis for plausible justification in the present case</w:t>
      </w:r>
      <w:r w:rsidR="007B2364" w:rsidRPr="006D50FA">
        <w:rPr>
          <w:rFonts w:cstheme="minorHAnsi"/>
          <w:color w:val="000000" w:themeColor="text1"/>
          <w:szCs w:val="26"/>
        </w:rPr>
        <w:t xml:space="preserve"> — </w:t>
      </w:r>
      <w:r w:rsidR="00C65060" w:rsidRPr="006D50FA">
        <w:rPr>
          <w:rFonts w:cstheme="minorHAnsi"/>
          <w:color w:val="000000" w:themeColor="text1"/>
          <w:szCs w:val="26"/>
        </w:rPr>
        <w:t xml:space="preserve">to </w:t>
      </w:r>
      <w:r w:rsidR="00DC189B" w:rsidRPr="006D50FA">
        <w:rPr>
          <w:rFonts w:cstheme="minorHAnsi"/>
          <w:color w:val="000000" w:themeColor="text1"/>
          <w:szCs w:val="26"/>
        </w:rPr>
        <w:t>impeach prospective witness Renteria</w:t>
      </w:r>
      <w:r w:rsidR="007B2364" w:rsidRPr="006D50FA">
        <w:rPr>
          <w:rFonts w:cstheme="minorHAnsi"/>
          <w:color w:val="000000" w:themeColor="text1"/>
          <w:szCs w:val="26"/>
        </w:rPr>
        <w:t xml:space="preserve"> —</w:t>
      </w:r>
      <w:r w:rsidR="00C65060" w:rsidRPr="006D50FA">
        <w:rPr>
          <w:rFonts w:cstheme="minorHAnsi"/>
          <w:color w:val="000000" w:themeColor="text1"/>
          <w:szCs w:val="26"/>
        </w:rPr>
        <w:t xml:space="preserve"> </w:t>
      </w:r>
      <w:r w:rsidR="006C4D13" w:rsidRPr="006D50FA">
        <w:rPr>
          <w:rFonts w:cstheme="minorHAnsi"/>
          <w:color w:val="000000" w:themeColor="text1"/>
          <w:szCs w:val="26"/>
        </w:rPr>
        <w:t>an appro</w:t>
      </w:r>
      <w:r w:rsidR="00C43352" w:rsidRPr="006D50FA">
        <w:rPr>
          <w:rFonts w:cstheme="minorHAnsi"/>
          <w:color w:val="000000" w:themeColor="text1"/>
          <w:szCs w:val="26"/>
        </w:rPr>
        <w:t xml:space="preserve">priate inquiry would </w:t>
      </w:r>
      <w:r w:rsidR="00C65060" w:rsidRPr="006D50FA">
        <w:rPr>
          <w:rFonts w:cstheme="minorHAnsi"/>
          <w:color w:val="000000" w:themeColor="text1"/>
          <w:szCs w:val="26"/>
        </w:rPr>
        <w:t xml:space="preserve">consider </w:t>
      </w:r>
      <w:r w:rsidR="00902DDD" w:rsidRPr="006D50FA">
        <w:rPr>
          <w:rFonts w:cstheme="minorHAnsi"/>
          <w:color w:val="000000" w:themeColor="text1"/>
          <w:szCs w:val="26"/>
        </w:rPr>
        <w:t>whether such a s</w:t>
      </w:r>
      <w:r w:rsidR="00170D42" w:rsidRPr="006D50FA">
        <w:rPr>
          <w:rFonts w:cstheme="minorHAnsi"/>
          <w:color w:val="000000" w:themeColor="text1"/>
          <w:szCs w:val="26"/>
        </w:rPr>
        <w:t xml:space="preserve">ignificant </w:t>
      </w:r>
      <w:r w:rsidR="00902DDD" w:rsidRPr="006D50FA">
        <w:rPr>
          <w:rFonts w:cstheme="minorHAnsi"/>
          <w:color w:val="000000" w:themeColor="text1"/>
          <w:szCs w:val="26"/>
        </w:rPr>
        <w:t>intrusion</w:t>
      </w:r>
      <w:r w:rsidRPr="006D50FA">
        <w:rPr>
          <w:rFonts w:cstheme="minorHAnsi"/>
          <w:color w:val="000000" w:themeColor="text1"/>
          <w:szCs w:val="26"/>
        </w:rPr>
        <w:t xml:space="preserve"> </w:t>
      </w:r>
      <w:r w:rsidR="004F1C94" w:rsidRPr="006D50FA">
        <w:rPr>
          <w:rFonts w:cstheme="minorHAnsi"/>
          <w:color w:val="000000" w:themeColor="text1"/>
          <w:szCs w:val="26"/>
        </w:rPr>
        <w:t xml:space="preserve">is warranted and necessary </w:t>
      </w:r>
      <w:r w:rsidR="004432D9" w:rsidRPr="006D50FA">
        <w:rPr>
          <w:rFonts w:cstheme="minorHAnsi"/>
          <w:color w:val="000000" w:themeColor="text1"/>
          <w:szCs w:val="26"/>
        </w:rPr>
        <w:t>to facilitate</w:t>
      </w:r>
      <w:r w:rsidR="00524CC1" w:rsidRPr="006D50FA">
        <w:rPr>
          <w:rFonts w:cstheme="minorHAnsi"/>
          <w:color w:val="000000" w:themeColor="text1"/>
          <w:szCs w:val="26"/>
        </w:rPr>
        <w:t xml:space="preserve"> the contempla</w:t>
      </w:r>
      <w:r w:rsidR="001B7E77" w:rsidRPr="006D50FA">
        <w:rPr>
          <w:rFonts w:cstheme="minorHAnsi"/>
          <w:color w:val="000000" w:themeColor="text1"/>
          <w:szCs w:val="26"/>
        </w:rPr>
        <w:t xml:space="preserve">ted </w:t>
      </w:r>
      <w:r w:rsidR="00F77C55" w:rsidRPr="006D50FA">
        <w:rPr>
          <w:rFonts w:cstheme="minorHAnsi"/>
          <w:color w:val="000000" w:themeColor="text1"/>
          <w:szCs w:val="26"/>
        </w:rPr>
        <w:t>impeachment</w:t>
      </w:r>
      <w:r w:rsidR="00B64C30" w:rsidRPr="006D50FA">
        <w:rPr>
          <w:rFonts w:cstheme="minorHAnsi"/>
          <w:color w:val="000000" w:themeColor="text1"/>
          <w:szCs w:val="26"/>
        </w:rPr>
        <w:t xml:space="preserve">.  </w:t>
      </w:r>
      <w:r w:rsidR="003539C8" w:rsidRPr="006D50FA">
        <w:rPr>
          <w:rFonts w:cstheme="minorHAnsi"/>
          <w:color w:val="000000" w:themeColor="text1"/>
          <w:szCs w:val="26"/>
        </w:rPr>
        <w:t>Th</w:t>
      </w:r>
      <w:r w:rsidR="00A91336" w:rsidRPr="006D50FA">
        <w:rPr>
          <w:rFonts w:cstheme="minorHAnsi"/>
          <w:color w:val="000000" w:themeColor="text1"/>
          <w:szCs w:val="26"/>
        </w:rPr>
        <w:t>e</w:t>
      </w:r>
      <w:r w:rsidR="0074579A" w:rsidRPr="006D50FA">
        <w:rPr>
          <w:rFonts w:cstheme="minorHAnsi"/>
          <w:color w:val="000000" w:themeColor="text1"/>
          <w:szCs w:val="26"/>
        </w:rPr>
        <w:t xml:space="preserve"> analysis </w:t>
      </w:r>
      <w:r w:rsidR="00B64C30" w:rsidRPr="006D50FA">
        <w:rPr>
          <w:rFonts w:cstheme="minorHAnsi"/>
          <w:color w:val="000000" w:themeColor="text1"/>
          <w:szCs w:val="26"/>
        </w:rPr>
        <w:t xml:space="preserve">should </w:t>
      </w:r>
      <w:r w:rsidR="00935589" w:rsidRPr="006D50FA">
        <w:rPr>
          <w:rFonts w:cstheme="minorHAnsi"/>
          <w:color w:val="000000" w:themeColor="text1"/>
          <w:szCs w:val="26"/>
        </w:rPr>
        <w:t xml:space="preserve">be informed by </w:t>
      </w:r>
      <w:r w:rsidR="00E36ACC" w:rsidRPr="006D50FA">
        <w:rPr>
          <w:rFonts w:cstheme="minorHAnsi"/>
          <w:color w:val="000000" w:themeColor="text1"/>
          <w:szCs w:val="26"/>
        </w:rPr>
        <w:t xml:space="preserve">the </w:t>
      </w:r>
      <w:r w:rsidR="00935589" w:rsidRPr="006D50FA">
        <w:rPr>
          <w:rFonts w:cstheme="minorHAnsi"/>
          <w:color w:val="000000" w:themeColor="text1"/>
          <w:szCs w:val="26"/>
        </w:rPr>
        <w:t xml:space="preserve">circumstance </w:t>
      </w:r>
      <w:r w:rsidR="00C65060" w:rsidRPr="006D50FA">
        <w:rPr>
          <w:color w:val="000000" w:themeColor="text1"/>
          <w:szCs w:val="26"/>
        </w:rPr>
        <w:t>that defendant has already acquired, not only Renteria’s public posts</w:t>
      </w:r>
      <w:r w:rsidR="004D4B32" w:rsidRPr="006D50FA">
        <w:rPr>
          <w:color w:val="000000" w:themeColor="text1"/>
          <w:szCs w:val="26"/>
        </w:rPr>
        <w:t xml:space="preserve"> (which</w:t>
      </w:r>
      <w:r w:rsidR="006C66CC" w:rsidRPr="006D50FA">
        <w:rPr>
          <w:color w:val="000000" w:themeColor="text1"/>
          <w:szCs w:val="26"/>
        </w:rPr>
        <w:t>, defendant asserts, contain substa</w:t>
      </w:r>
      <w:r w:rsidR="005D24D5" w:rsidRPr="006D50FA">
        <w:rPr>
          <w:color w:val="000000" w:themeColor="text1"/>
          <w:szCs w:val="26"/>
        </w:rPr>
        <w:t xml:space="preserve">ntial relevant information) </w:t>
      </w:r>
      <w:r w:rsidR="00C65060" w:rsidRPr="006D50FA">
        <w:rPr>
          <w:color w:val="000000" w:themeColor="text1"/>
          <w:szCs w:val="26"/>
        </w:rPr>
        <w:t>but also</w:t>
      </w:r>
      <w:r w:rsidR="00BB2A77" w:rsidRPr="006D50FA">
        <w:rPr>
          <w:color w:val="000000" w:themeColor="text1"/>
          <w:szCs w:val="26"/>
        </w:rPr>
        <w:t>,</w:t>
      </w:r>
      <w:r w:rsidR="00C65060" w:rsidRPr="006D50FA">
        <w:rPr>
          <w:color w:val="000000" w:themeColor="text1"/>
          <w:szCs w:val="26"/>
        </w:rPr>
        <w:t xml:space="preserve"> an</w:t>
      </w:r>
      <w:r w:rsidR="00C5428F" w:rsidRPr="006D50FA">
        <w:rPr>
          <w:color w:val="000000" w:themeColor="text1"/>
          <w:szCs w:val="26"/>
        </w:rPr>
        <w:t>d</w:t>
      </w:r>
      <w:r w:rsidR="00C65060" w:rsidRPr="006D50FA">
        <w:rPr>
          <w:color w:val="000000" w:themeColor="text1"/>
          <w:szCs w:val="26"/>
        </w:rPr>
        <w:t xml:space="preserve"> perhaps most importantly</w:t>
      </w:r>
      <w:r w:rsidR="00BB2A77" w:rsidRPr="006D50FA">
        <w:rPr>
          <w:color w:val="000000" w:themeColor="text1"/>
          <w:szCs w:val="26"/>
        </w:rPr>
        <w:t xml:space="preserve">, </w:t>
      </w:r>
      <w:r w:rsidR="005D24D5" w:rsidRPr="006D50FA">
        <w:rPr>
          <w:color w:val="000000" w:themeColor="text1"/>
          <w:szCs w:val="26"/>
        </w:rPr>
        <w:t xml:space="preserve">Renteria’s </w:t>
      </w:r>
      <w:r w:rsidR="00C65060" w:rsidRPr="006D50FA">
        <w:rPr>
          <w:color w:val="000000" w:themeColor="text1"/>
          <w:szCs w:val="26"/>
        </w:rPr>
        <w:t>probation reports</w:t>
      </w:r>
      <w:r w:rsidR="007723B2" w:rsidRPr="006D50FA">
        <w:rPr>
          <w:color w:val="000000" w:themeColor="text1"/>
          <w:szCs w:val="26"/>
        </w:rPr>
        <w:t xml:space="preserve"> (see </w:t>
      </w:r>
      <w:r w:rsidR="007723B2" w:rsidRPr="006D50FA">
        <w:rPr>
          <w:i/>
          <w:iCs/>
          <w:color w:val="000000" w:themeColor="text1"/>
          <w:szCs w:val="26"/>
        </w:rPr>
        <w:t>ante</w:t>
      </w:r>
      <w:r w:rsidR="007723B2" w:rsidRPr="006D50FA">
        <w:rPr>
          <w:color w:val="000000" w:themeColor="text1"/>
          <w:szCs w:val="26"/>
        </w:rPr>
        <w:t>, fn. 5)</w:t>
      </w:r>
      <w:r w:rsidR="00C65060" w:rsidRPr="006D50FA">
        <w:rPr>
          <w:color w:val="000000" w:themeColor="text1"/>
          <w:szCs w:val="26"/>
        </w:rPr>
        <w:t xml:space="preserve">, which in turn </w:t>
      </w:r>
      <w:r w:rsidR="003C339A" w:rsidRPr="006D50FA">
        <w:rPr>
          <w:color w:val="000000" w:themeColor="text1"/>
          <w:szCs w:val="26"/>
        </w:rPr>
        <w:t xml:space="preserve">detail </w:t>
      </w:r>
      <w:r w:rsidR="00C65060" w:rsidRPr="006D50FA">
        <w:rPr>
          <w:color w:val="000000" w:themeColor="text1"/>
          <w:szCs w:val="26"/>
        </w:rPr>
        <w:t>his prior conviction</w:t>
      </w:r>
      <w:r w:rsidR="00BB2A77" w:rsidRPr="006D50FA">
        <w:rPr>
          <w:color w:val="000000" w:themeColor="text1"/>
          <w:szCs w:val="26"/>
        </w:rPr>
        <w:t>s</w:t>
      </w:r>
      <w:r w:rsidR="00C65060" w:rsidRPr="006D50FA">
        <w:rPr>
          <w:color w:val="000000" w:themeColor="text1"/>
          <w:szCs w:val="26"/>
        </w:rPr>
        <w:t xml:space="preserve"> and </w:t>
      </w:r>
      <w:r w:rsidR="00A047A6" w:rsidRPr="006D50FA">
        <w:rPr>
          <w:color w:val="000000" w:themeColor="text1"/>
          <w:szCs w:val="26"/>
        </w:rPr>
        <w:t xml:space="preserve">contain </w:t>
      </w:r>
      <w:r w:rsidR="002B41DD" w:rsidRPr="006D50FA">
        <w:rPr>
          <w:color w:val="000000" w:themeColor="text1"/>
          <w:szCs w:val="26"/>
        </w:rPr>
        <w:t xml:space="preserve">other </w:t>
      </w:r>
      <w:r w:rsidR="00C65060" w:rsidRPr="006D50FA">
        <w:rPr>
          <w:color w:val="000000" w:themeColor="text1"/>
          <w:szCs w:val="26"/>
        </w:rPr>
        <w:t xml:space="preserve">substantial related impeachment information.  </w:t>
      </w:r>
      <w:r w:rsidR="005B0AA8" w:rsidRPr="006D50FA">
        <w:rPr>
          <w:color w:val="000000" w:themeColor="text1"/>
          <w:szCs w:val="26"/>
        </w:rPr>
        <w:t xml:space="preserve">Moreover, as explained below, when as here a subpoena seeks </w:t>
      </w:r>
      <w:r w:rsidR="005B0AA8" w:rsidRPr="006D50FA">
        <w:rPr>
          <w:color w:val="000000" w:themeColor="text1"/>
        </w:rPr>
        <w:t>restricted social media posts and private messages, i</w:t>
      </w:r>
      <w:r w:rsidR="00C5428F" w:rsidRPr="006D50FA">
        <w:rPr>
          <w:color w:val="000000" w:themeColor="text1"/>
        </w:rPr>
        <w:t xml:space="preserve">n the absence of </w:t>
      </w:r>
      <w:r w:rsidR="000E4BA3" w:rsidRPr="006D50FA">
        <w:rPr>
          <w:color w:val="000000" w:themeColor="text1"/>
        </w:rPr>
        <w:t xml:space="preserve">an apparent relationship </w:t>
      </w:r>
      <w:r w:rsidR="005B0AA8" w:rsidRPr="006D50FA">
        <w:rPr>
          <w:color w:val="000000" w:themeColor="text1"/>
        </w:rPr>
        <w:t xml:space="preserve">between the underlying </w:t>
      </w:r>
      <w:r w:rsidR="005B0AA8" w:rsidRPr="00F23E9F">
        <w:rPr>
          <w:color w:val="000000" w:themeColor="text1"/>
        </w:rPr>
        <w:t>crime and such communications</w:t>
      </w:r>
      <w:r w:rsidR="00B44E85" w:rsidRPr="00F23E9F">
        <w:rPr>
          <w:color w:val="000000" w:themeColor="text1"/>
        </w:rPr>
        <w:t>,</w:t>
      </w:r>
      <w:r w:rsidR="005B0AA8" w:rsidRPr="00F23E9F">
        <w:rPr>
          <w:color w:val="000000" w:themeColor="text1"/>
        </w:rPr>
        <w:t xml:space="preserve"> a trial court should </w:t>
      </w:r>
      <w:r w:rsidR="00331D2A" w:rsidRPr="00F23E9F">
        <w:rPr>
          <w:color w:val="000000" w:themeColor="text1"/>
        </w:rPr>
        <w:t xml:space="preserve">examine </w:t>
      </w:r>
      <w:r w:rsidR="00113820" w:rsidRPr="00F23E9F">
        <w:rPr>
          <w:color w:val="000000" w:themeColor="text1"/>
        </w:rPr>
        <w:t>even more c</w:t>
      </w:r>
      <w:r w:rsidR="00B07714" w:rsidRPr="00F23E9F">
        <w:rPr>
          <w:color w:val="000000" w:themeColor="text1"/>
        </w:rPr>
        <w:t xml:space="preserve">losely </w:t>
      </w:r>
      <w:r w:rsidR="00331D2A" w:rsidRPr="008D5539">
        <w:rPr>
          <w:color w:val="000000" w:themeColor="text1"/>
        </w:rPr>
        <w:t xml:space="preserve">the proffered showing of </w:t>
      </w:r>
      <w:r w:rsidR="005B0AA8" w:rsidRPr="005612E6">
        <w:rPr>
          <w:color w:val="000000" w:themeColor="text1"/>
        </w:rPr>
        <w:t>plausible justification</w:t>
      </w:r>
      <w:r w:rsidR="00FC6688" w:rsidRPr="005612E6">
        <w:rPr>
          <w:color w:val="000000" w:themeColor="text1"/>
        </w:rPr>
        <w:t xml:space="preserve"> </w:t>
      </w:r>
      <w:r w:rsidR="00E361B7" w:rsidRPr="005612E6">
        <w:rPr>
          <w:color w:val="000000" w:themeColor="text1"/>
        </w:rPr>
        <w:t>in support of</w:t>
      </w:r>
      <w:r w:rsidR="00FC6688" w:rsidRPr="007164E9">
        <w:rPr>
          <w:color w:val="000000" w:themeColor="text1"/>
        </w:rPr>
        <w:t xml:space="preserve"> such a</w:t>
      </w:r>
      <w:r w:rsidR="00B86459" w:rsidRPr="007164E9">
        <w:rPr>
          <w:color w:val="000000" w:themeColor="text1"/>
        </w:rPr>
        <w:t xml:space="preserve"> privacy </w:t>
      </w:r>
      <w:r w:rsidR="00FC6688" w:rsidRPr="007164E9">
        <w:rPr>
          <w:color w:val="000000" w:themeColor="text1"/>
        </w:rPr>
        <w:t>intrusion</w:t>
      </w:r>
      <w:r w:rsidR="005B0AA8" w:rsidRPr="005612E6">
        <w:rPr>
          <w:color w:val="000000" w:themeColor="text1"/>
        </w:rPr>
        <w:t>.</w:t>
      </w:r>
    </w:p>
    <w:p w14:paraId="60D7B7A4" w14:textId="654FBC21" w:rsidR="008E3D0A" w:rsidRPr="006D50FA" w:rsidRDefault="008E3D0A" w:rsidP="00EA0331">
      <w:pPr>
        <w:pStyle w:val="Heading3"/>
        <w:rPr>
          <w:color w:val="000000" w:themeColor="text1"/>
        </w:rPr>
      </w:pPr>
      <w:r w:rsidRPr="006D50FA">
        <w:rPr>
          <w:color w:val="000000" w:themeColor="text1"/>
        </w:rPr>
        <w:lastRenderedPageBreak/>
        <w:t xml:space="preserve">2.  </w:t>
      </w:r>
      <w:r w:rsidR="00FD2066" w:rsidRPr="006D50FA">
        <w:rPr>
          <w:color w:val="000000" w:themeColor="text1"/>
        </w:rPr>
        <w:t>A</w:t>
      </w:r>
      <w:r w:rsidRPr="006D50FA">
        <w:rPr>
          <w:color w:val="000000" w:themeColor="text1"/>
        </w:rPr>
        <w:t xml:space="preserve"> third party’s confidentiality or constitutional rights and “protected governmental interests”</w:t>
      </w:r>
    </w:p>
    <w:p w14:paraId="26964145" w14:textId="649B17D8" w:rsidR="004668EC" w:rsidRPr="006D50FA" w:rsidRDefault="0013283B" w:rsidP="00EA0331">
      <w:pPr>
        <w:ind w:firstLine="720"/>
        <w:rPr>
          <w:color w:val="000000" w:themeColor="text1"/>
          <w:szCs w:val="26"/>
        </w:rPr>
      </w:pPr>
      <w:r w:rsidRPr="006D50FA">
        <w:rPr>
          <w:color w:val="000000" w:themeColor="text1"/>
          <w:szCs w:val="26"/>
        </w:rPr>
        <w:t xml:space="preserve">As the Court of Appeal stressed in </w:t>
      </w:r>
      <w:r w:rsidRPr="006D50FA">
        <w:rPr>
          <w:i/>
          <w:color w:val="000000" w:themeColor="text1"/>
        </w:rPr>
        <w:t xml:space="preserve">Pacific Lighting, supra, </w:t>
      </w:r>
      <w:r w:rsidRPr="006D50FA">
        <w:rPr>
          <w:color w:val="000000" w:themeColor="text1"/>
        </w:rPr>
        <w:t xml:space="preserve">60 Cal.App.3d 552, </w:t>
      </w:r>
      <w:r w:rsidR="00FE6503" w:rsidRPr="006D50FA">
        <w:rPr>
          <w:color w:val="000000" w:themeColor="text1"/>
          <w:szCs w:val="26"/>
        </w:rPr>
        <w:t>when considering the enforceability of a criminal defense subpoena duces tecum</w:t>
      </w:r>
      <w:r w:rsidR="004748C0" w:rsidRPr="006D50FA">
        <w:rPr>
          <w:color w:val="000000" w:themeColor="text1"/>
          <w:szCs w:val="26"/>
        </w:rPr>
        <w:t>,</w:t>
      </w:r>
      <w:r w:rsidR="00FE6503" w:rsidRPr="006D50FA">
        <w:rPr>
          <w:color w:val="000000" w:themeColor="text1"/>
        </w:rPr>
        <w:t xml:space="preserve"> </w:t>
      </w:r>
      <w:r w:rsidRPr="006D50FA">
        <w:rPr>
          <w:color w:val="000000" w:themeColor="text1"/>
        </w:rPr>
        <w:t>“[t]he protection of [</w:t>
      </w:r>
      <w:r w:rsidR="00B44E85" w:rsidRPr="006D50FA">
        <w:rPr>
          <w:color w:val="000000" w:themeColor="text1"/>
        </w:rPr>
        <w:t xml:space="preserve">the subject </w:t>
      </w:r>
      <w:r w:rsidR="00301EBA" w:rsidRPr="006D50FA">
        <w:rPr>
          <w:color w:val="000000" w:themeColor="text1"/>
        </w:rPr>
        <w:t>of a subpoena’s</w:t>
      </w:r>
      <w:r w:rsidRPr="006D50FA">
        <w:rPr>
          <w:color w:val="000000" w:themeColor="text1"/>
        </w:rPr>
        <w:t xml:space="preserve">] right to be free from unreasonable search and seizure constitutes a ‘legitimate governmental interest.’  Thus, though ‘ordinarily’ a criminal defendant may be entitled to pretrial knowledge where ‘it appears reasonable that such knowledge will assist him in preparing his defense,’ </w:t>
      </w:r>
      <w:r w:rsidR="00E95640" w:rsidRPr="006D50FA">
        <w:rPr>
          <w:color w:val="000000" w:themeColor="text1"/>
        </w:rPr>
        <w:t xml:space="preserve">[citation] </w:t>
      </w:r>
      <w:r w:rsidRPr="006D50FA">
        <w:rPr>
          <w:color w:val="000000" w:themeColor="text1"/>
        </w:rPr>
        <w:t xml:space="preserve">the protection of the witness’s constitutional rights requires that the ‘ “plausible justification” for inspection’ </w:t>
      </w:r>
      <w:r w:rsidR="00E95640" w:rsidRPr="006D50FA">
        <w:rPr>
          <w:color w:val="000000" w:themeColor="text1"/>
        </w:rPr>
        <w:t xml:space="preserve">[citation] </w:t>
      </w:r>
      <w:r w:rsidRPr="006D50FA">
        <w:rPr>
          <w:color w:val="000000" w:themeColor="text1"/>
        </w:rPr>
        <w:t xml:space="preserve">be so substantiated as to make the seizure constitutionally reasonable.”  </w:t>
      </w:r>
      <w:r w:rsidR="006F43B5" w:rsidRPr="006D50FA">
        <w:rPr>
          <w:color w:val="000000" w:themeColor="text1"/>
        </w:rPr>
        <w:t>(</w:t>
      </w:r>
      <w:r w:rsidR="006F43B5" w:rsidRPr="006D50FA">
        <w:rPr>
          <w:i/>
          <w:iCs/>
          <w:color w:val="000000" w:themeColor="text1"/>
        </w:rPr>
        <w:t>Id.</w:t>
      </w:r>
      <w:r w:rsidR="006F43B5" w:rsidRPr="006D50FA">
        <w:rPr>
          <w:color w:val="000000" w:themeColor="text1"/>
        </w:rPr>
        <w:t xml:space="preserve">, at </w:t>
      </w:r>
      <w:r w:rsidR="00791FB0" w:rsidRPr="006D50FA">
        <w:rPr>
          <w:color w:val="000000" w:themeColor="text1"/>
        </w:rPr>
        <w:t xml:space="preserve">pp. </w:t>
      </w:r>
      <w:r w:rsidR="00DC0CFC" w:rsidRPr="006D50FA">
        <w:rPr>
          <w:color w:val="000000" w:themeColor="text1"/>
        </w:rPr>
        <w:t>566</w:t>
      </w:r>
      <w:r w:rsidR="00EA3DB4" w:rsidRPr="006D50FA">
        <w:rPr>
          <w:color w:val="000000" w:themeColor="text1"/>
        </w:rPr>
        <w:t>–</w:t>
      </w:r>
      <w:r w:rsidR="00DC0CFC" w:rsidRPr="006D50FA">
        <w:rPr>
          <w:color w:val="000000" w:themeColor="text1"/>
        </w:rPr>
        <w:t>567</w:t>
      </w:r>
      <w:r w:rsidR="006F43B5" w:rsidRPr="006D50FA">
        <w:rPr>
          <w:color w:val="000000" w:themeColor="text1"/>
        </w:rPr>
        <w:t xml:space="preserve">.)  </w:t>
      </w:r>
      <w:r w:rsidR="00B10F4E" w:rsidRPr="006D50FA">
        <w:rPr>
          <w:color w:val="000000" w:themeColor="text1"/>
        </w:rPr>
        <w:t xml:space="preserve">When, as in </w:t>
      </w:r>
      <w:r w:rsidR="00B10F4E" w:rsidRPr="006D50FA">
        <w:rPr>
          <w:color w:val="000000" w:themeColor="text1"/>
          <w:szCs w:val="26"/>
        </w:rPr>
        <w:t xml:space="preserve">the present case, a </w:t>
      </w:r>
      <w:r w:rsidR="00165B8E" w:rsidRPr="006D50FA">
        <w:rPr>
          <w:color w:val="000000" w:themeColor="text1"/>
          <w:szCs w:val="26"/>
        </w:rPr>
        <w:t xml:space="preserve">litigant </w:t>
      </w:r>
      <w:r w:rsidR="00B10F4E" w:rsidRPr="006D50FA">
        <w:rPr>
          <w:color w:val="000000" w:themeColor="text1"/>
          <w:szCs w:val="26"/>
        </w:rPr>
        <w:t>seeks to effectuate a significant intrusion into privacy by compelling production of a social media user’s restricted</w:t>
      </w:r>
      <w:r w:rsidR="004668EC" w:rsidRPr="006D50FA">
        <w:rPr>
          <w:color w:val="000000" w:themeColor="text1"/>
          <w:szCs w:val="26"/>
        </w:rPr>
        <w:t xml:space="preserve"> posts </w:t>
      </w:r>
      <w:r w:rsidR="00B10F4E" w:rsidRPr="006D50FA">
        <w:rPr>
          <w:color w:val="000000" w:themeColor="text1"/>
          <w:szCs w:val="26"/>
        </w:rPr>
        <w:t xml:space="preserve">and </w:t>
      </w:r>
      <w:r w:rsidR="00B10F4E" w:rsidRPr="00870DA7">
        <w:rPr>
          <w:color w:val="000000" w:themeColor="text1"/>
          <w:szCs w:val="26"/>
        </w:rPr>
        <w:t xml:space="preserve">private </w:t>
      </w:r>
      <w:r w:rsidR="000E1F16" w:rsidRPr="00870DA7">
        <w:rPr>
          <w:color w:val="000000" w:themeColor="text1"/>
          <w:szCs w:val="26"/>
        </w:rPr>
        <w:t>messages</w:t>
      </w:r>
      <w:r w:rsidR="004668EC" w:rsidRPr="00870DA7">
        <w:rPr>
          <w:color w:val="000000" w:themeColor="text1"/>
          <w:szCs w:val="26"/>
        </w:rPr>
        <w:t xml:space="preserve">, </w:t>
      </w:r>
      <w:r w:rsidR="00B10F4E" w:rsidRPr="00870DA7">
        <w:rPr>
          <w:color w:val="000000" w:themeColor="text1"/>
          <w:szCs w:val="26"/>
        </w:rPr>
        <w:t>the</w:t>
      </w:r>
      <w:r w:rsidR="00B10F4E" w:rsidRPr="006D50FA">
        <w:rPr>
          <w:color w:val="000000" w:themeColor="text1"/>
          <w:szCs w:val="26"/>
        </w:rPr>
        <w:t xml:space="preserve"> fourth </w:t>
      </w:r>
      <w:r w:rsidR="00B10F4E" w:rsidRPr="006D50FA">
        <w:rPr>
          <w:i/>
          <w:iCs/>
          <w:color w:val="000000" w:themeColor="text1"/>
        </w:rPr>
        <w:t xml:space="preserve">Alhambra </w:t>
      </w:r>
      <w:r w:rsidR="00B10F4E" w:rsidRPr="006D50FA">
        <w:rPr>
          <w:color w:val="000000" w:themeColor="text1"/>
        </w:rPr>
        <w:t xml:space="preserve">factor — concerning a </w:t>
      </w:r>
      <w:r w:rsidR="00B10F4E" w:rsidRPr="006D50FA">
        <w:rPr>
          <w:color w:val="000000" w:themeColor="text1"/>
          <w:szCs w:val="26"/>
        </w:rPr>
        <w:t xml:space="preserve">third party’s confidentiality or constitutional rights and protected governmental interests — </w:t>
      </w:r>
      <w:r w:rsidR="00C3552C" w:rsidRPr="006D50FA">
        <w:rPr>
          <w:color w:val="000000" w:themeColor="text1"/>
          <w:szCs w:val="26"/>
        </w:rPr>
        <w:t xml:space="preserve">becomes </w:t>
      </w:r>
      <w:r w:rsidR="00B10F4E" w:rsidRPr="006D50FA">
        <w:rPr>
          <w:color w:val="000000" w:themeColor="text1"/>
          <w:szCs w:val="26"/>
        </w:rPr>
        <w:t>especially significant.</w:t>
      </w:r>
      <w:r w:rsidR="00A17E39" w:rsidRPr="006D50FA">
        <w:rPr>
          <w:color w:val="000000" w:themeColor="text1"/>
          <w:szCs w:val="26"/>
        </w:rPr>
        <w:t xml:space="preserve">  </w:t>
      </w:r>
    </w:p>
    <w:p w14:paraId="021B11A2" w14:textId="03AE7C97" w:rsidR="001E0A34" w:rsidRPr="006D50FA" w:rsidRDefault="002035A0" w:rsidP="00EA0331">
      <w:pPr>
        <w:ind w:firstLine="720"/>
        <w:rPr>
          <w:color w:val="000000" w:themeColor="text1"/>
        </w:rPr>
      </w:pPr>
      <w:r w:rsidRPr="006D50FA">
        <w:rPr>
          <w:color w:val="000000" w:themeColor="text1"/>
        </w:rPr>
        <w:t>I</w:t>
      </w:r>
      <w:r w:rsidR="00F62F85" w:rsidRPr="006D50FA">
        <w:rPr>
          <w:color w:val="000000" w:themeColor="text1"/>
        </w:rPr>
        <w:t xml:space="preserve">t </w:t>
      </w:r>
      <w:r w:rsidR="001C6090" w:rsidRPr="006D50FA">
        <w:rPr>
          <w:color w:val="000000" w:themeColor="text1"/>
        </w:rPr>
        <w:t xml:space="preserve">is </w:t>
      </w:r>
      <w:r w:rsidR="00AD7002" w:rsidRPr="006D50FA">
        <w:rPr>
          <w:color w:val="000000" w:themeColor="text1"/>
        </w:rPr>
        <w:t>important</w:t>
      </w:r>
      <w:r w:rsidRPr="006D50FA">
        <w:rPr>
          <w:color w:val="000000" w:themeColor="text1"/>
        </w:rPr>
        <w:t>, as an initial matter,</w:t>
      </w:r>
      <w:r w:rsidR="001C6090" w:rsidRPr="006D50FA">
        <w:rPr>
          <w:color w:val="000000" w:themeColor="text1"/>
        </w:rPr>
        <w:t xml:space="preserve"> to bear in mind the </w:t>
      </w:r>
      <w:r w:rsidR="00971A67" w:rsidRPr="006D50FA">
        <w:rPr>
          <w:color w:val="000000" w:themeColor="text1"/>
        </w:rPr>
        <w:t xml:space="preserve">substantial </w:t>
      </w:r>
      <w:r w:rsidR="007246BF" w:rsidRPr="006D50FA">
        <w:rPr>
          <w:color w:val="000000" w:themeColor="text1"/>
        </w:rPr>
        <w:t>difference</w:t>
      </w:r>
      <w:r w:rsidR="00DB4A8C" w:rsidRPr="006D50FA">
        <w:rPr>
          <w:color w:val="000000" w:themeColor="text1"/>
        </w:rPr>
        <w:t xml:space="preserve">s underlying </w:t>
      </w:r>
      <w:r w:rsidR="007246BF" w:rsidRPr="006D50FA">
        <w:rPr>
          <w:color w:val="000000" w:themeColor="text1"/>
        </w:rPr>
        <w:t>the justification</w:t>
      </w:r>
      <w:r w:rsidR="00E0161D" w:rsidRPr="006D50FA">
        <w:rPr>
          <w:color w:val="000000" w:themeColor="text1"/>
        </w:rPr>
        <w:t xml:space="preserve">s offered </w:t>
      </w:r>
      <w:r w:rsidR="007246BF" w:rsidRPr="006D50FA">
        <w:rPr>
          <w:color w:val="000000" w:themeColor="text1"/>
        </w:rPr>
        <w:t>in the two cases</w:t>
      </w:r>
      <w:r w:rsidR="00EF3E1C" w:rsidRPr="006D50FA">
        <w:rPr>
          <w:color w:val="000000" w:themeColor="text1"/>
        </w:rPr>
        <w:t xml:space="preserve"> that we have encountered to date</w:t>
      </w:r>
      <w:r w:rsidR="006D1018" w:rsidRPr="006D50FA">
        <w:rPr>
          <w:color w:val="000000" w:themeColor="text1"/>
        </w:rPr>
        <w:t xml:space="preserve"> —</w:t>
      </w:r>
      <w:r w:rsidR="00EF3E1C" w:rsidRPr="006D50FA">
        <w:rPr>
          <w:color w:val="000000" w:themeColor="text1"/>
        </w:rPr>
        <w:t xml:space="preserve"> </w:t>
      </w:r>
      <w:r w:rsidR="00DD18E8" w:rsidRPr="006D50FA">
        <w:rPr>
          <w:i/>
          <w:iCs/>
          <w:color w:val="000000" w:themeColor="text1"/>
        </w:rPr>
        <w:t>Facebook (Hunter), supra</w:t>
      </w:r>
      <w:r w:rsidR="00DD18E8" w:rsidRPr="006D50FA">
        <w:rPr>
          <w:color w:val="000000" w:themeColor="text1"/>
        </w:rPr>
        <w:t xml:space="preserve">, </w:t>
      </w:r>
      <w:r w:rsidR="00CE258C" w:rsidRPr="006D50FA">
        <w:rPr>
          <w:color w:val="000000" w:themeColor="text1"/>
        </w:rPr>
        <w:t xml:space="preserve">4 Cal.5th </w:t>
      </w:r>
      <w:r w:rsidR="00B82368" w:rsidRPr="006D50FA">
        <w:rPr>
          <w:color w:val="000000" w:themeColor="text1"/>
        </w:rPr>
        <w:t xml:space="preserve">1245 </w:t>
      </w:r>
      <w:r w:rsidR="00A51029" w:rsidRPr="006D50FA">
        <w:rPr>
          <w:color w:val="000000" w:themeColor="text1"/>
        </w:rPr>
        <w:t>(</w:t>
      </w:r>
      <w:r w:rsidR="00422E29" w:rsidRPr="006D50FA">
        <w:rPr>
          <w:color w:val="000000" w:themeColor="text1"/>
        </w:rPr>
        <w:t xml:space="preserve">see also </w:t>
      </w:r>
      <w:r w:rsidR="008B682F" w:rsidRPr="006D50FA">
        <w:rPr>
          <w:i/>
          <w:iCs/>
          <w:color w:val="000000" w:themeColor="text1"/>
        </w:rPr>
        <w:t>Facebook (Hunter</w:t>
      </w:r>
      <w:r w:rsidR="00C4376B" w:rsidRPr="006D50FA">
        <w:rPr>
          <w:i/>
          <w:iCs/>
          <w:color w:val="000000" w:themeColor="text1"/>
        </w:rPr>
        <w:t>)</w:t>
      </w:r>
      <w:r w:rsidR="00532363" w:rsidRPr="006D50FA">
        <w:rPr>
          <w:i/>
          <w:iCs/>
          <w:color w:val="000000" w:themeColor="text1"/>
        </w:rPr>
        <w:t> </w:t>
      </w:r>
      <w:r w:rsidR="008B682F" w:rsidRPr="006D50FA">
        <w:rPr>
          <w:i/>
          <w:iCs/>
          <w:color w:val="000000" w:themeColor="text1"/>
        </w:rPr>
        <w:t>II</w:t>
      </w:r>
      <w:r w:rsidR="006A679F" w:rsidRPr="006D50FA">
        <w:rPr>
          <w:i/>
          <w:iCs/>
          <w:color w:val="000000" w:themeColor="text1"/>
        </w:rPr>
        <w:t>, supra</w:t>
      </w:r>
      <w:r w:rsidR="006A679F" w:rsidRPr="006D50FA">
        <w:rPr>
          <w:color w:val="000000" w:themeColor="text1"/>
        </w:rPr>
        <w:t>,</w:t>
      </w:r>
      <w:r w:rsidR="008B682F" w:rsidRPr="006D50FA">
        <w:rPr>
          <w:color w:val="000000" w:themeColor="text1"/>
        </w:rPr>
        <w:t xml:space="preserve"> </w:t>
      </w:r>
      <w:r w:rsidR="00317A4F" w:rsidRPr="006D50FA">
        <w:rPr>
          <w:color w:val="000000" w:themeColor="text1"/>
          <w:szCs w:val="26"/>
        </w:rPr>
        <w:t>46 Cal.App.5th 109</w:t>
      </w:r>
      <w:r w:rsidR="00A51029" w:rsidRPr="006D50FA">
        <w:rPr>
          <w:color w:val="000000" w:themeColor="text1"/>
          <w:szCs w:val="26"/>
        </w:rPr>
        <w:t>,</w:t>
      </w:r>
      <w:r w:rsidR="00E13DEC" w:rsidRPr="006D50FA">
        <w:rPr>
          <w:color w:val="000000" w:themeColor="text1"/>
          <w:szCs w:val="26"/>
        </w:rPr>
        <w:t xml:space="preserve"> </w:t>
      </w:r>
      <w:r w:rsidR="004671AD" w:rsidRPr="006D50FA">
        <w:rPr>
          <w:color w:val="000000" w:themeColor="text1"/>
        </w:rPr>
        <w:t>rev. granted</w:t>
      </w:r>
      <w:r w:rsidR="00E13DEC" w:rsidRPr="006D50FA">
        <w:rPr>
          <w:color w:val="000000" w:themeColor="text1"/>
        </w:rPr>
        <w:t>)</w:t>
      </w:r>
      <w:r w:rsidR="00A51029" w:rsidRPr="006D50FA">
        <w:rPr>
          <w:color w:val="000000" w:themeColor="text1"/>
        </w:rPr>
        <w:t>)</w:t>
      </w:r>
      <w:r w:rsidR="00EF3E1C" w:rsidRPr="006D50FA">
        <w:rPr>
          <w:color w:val="000000" w:themeColor="text1"/>
        </w:rPr>
        <w:t xml:space="preserve">, </w:t>
      </w:r>
      <w:r w:rsidR="00CE258C" w:rsidRPr="006D50FA">
        <w:rPr>
          <w:color w:val="000000" w:themeColor="text1"/>
        </w:rPr>
        <w:t xml:space="preserve">and </w:t>
      </w:r>
      <w:r w:rsidR="00DD18E8" w:rsidRPr="006D50FA">
        <w:rPr>
          <w:color w:val="000000" w:themeColor="text1"/>
        </w:rPr>
        <w:t>the present matter</w:t>
      </w:r>
      <w:r w:rsidR="007246BF" w:rsidRPr="006D50FA">
        <w:rPr>
          <w:color w:val="000000" w:themeColor="text1"/>
        </w:rPr>
        <w:t>.</w:t>
      </w:r>
      <w:r w:rsidR="00DD18E8" w:rsidRPr="006D50FA">
        <w:rPr>
          <w:color w:val="000000" w:themeColor="text1"/>
        </w:rPr>
        <w:t xml:space="preserve">  </w:t>
      </w:r>
    </w:p>
    <w:p w14:paraId="47C0949A" w14:textId="1A146E8D" w:rsidR="00EC56CC" w:rsidRPr="006D50FA" w:rsidRDefault="007246BF" w:rsidP="00EA0331">
      <w:pPr>
        <w:ind w:firstLine="720"/>
        <w:rPr>
          <w:color w:val="000000" w:themeColor="text1"/>
        </w:rPr>
      </w:pPr>
      <w:r w:rsidRPr="006D50FA">
        <w:rPr>
          <w:color w:val="000000" w:themeColor="text1"/>
        </w:rPr>
        <w:t>In the earlier case</w:t>
      </w:r>
      <w:r w:rsidR="00846E8F" w:rsidRPr="006D50FA">
        <w:rPr>
          <w:color w:val="000000" w:themeColor="text1"/>
        </w:rPr>
        <w:t xml:space="preserve">, </w:t>
      </w:r>
      <w:r w:rsidR="00575385" w:rsidRPr="006D50FA">
        <w:rPr>
          <w:i/>
          <w:iCs/>
          <w:color w:val="000000" w:themeColor="text1"/>
        </w:rPr>
        <w:t>Facebook (Hunter)</w:t>
      </w:r>
      <w:r w:rsidR="00647313" w:rsidRPr="006D50FA">
        <w:rPr>
          <w:color w:val="000000" w:themeColor="text1"/>
        </w:rPr>
        <w:t xml:space="preserve">, </w:t>
      </w:r>
      <w:r w:rsidRPr="006D50FA">
        <w:rPr>
          <w:color w:val="000000" w:themeColor="text1"/>
        </w:rPr>
        <w:t xml:space="preserve">there was significant evidence that the </w:t>
      </w:r>
      <w:r w:rsidR="00B07FE8" w:rsidRPr="006D50FA">
        <w:rPr>
          <w:color w:val="000000" w:themeColor="text1"/>
        </w:rPr>
        <w:t xml:space="preserve">underlying </w:t>
      </w:r>
      <w:r w:rsidRPr="006D50FA">
        <w:rPr>
          <w:color w:val="000000" w:themeColor="text1"/>
        </w:rPr>
        <w:t xml:space="preserve">shooting </w:t>
      </w:r>
      <w:r w:rsidR="00647313" w:rsidRPr="006D50FA">
        <w:rPr>
          <w:color w:val="000000" w:themeColor="text1"/>
        </w:rPr>
        <w:t xml:space="preserve">and </w:t>
      </w:r>
      <w:r w:rsidR="00F83C3E" w:rsidRPr="006D50FA">
        <w:rPr>
          <w:color w:val="000000" w:themeColor="text1"/>
        </w:rPr>
        <w:t xml:space="preserve">resulting </w:t>
      </w:r>
      <w:r w:rsidR="00647313" w:rsidRPr="006D50FA">
        <w:rPr>
          <w:color w:val="000000" w:themeColor="text1"/>
        </w:rPr>
        <w:t xml:space="preserve">homicide </w:t>
      </w:r>
      <w:r w:rsidRPr="006D50FA">
        <w:rPr>
          <w:color w:val="000000" w:themeColor="text1"/>
        </w:rPr>
        <w:t>may have related to</w:t>
      </w:r>
      <w:r w:rsidR="008460C5" w:rsidRPr="006D50FA">
        <w:rPr>
          <w:color w:val="000000" w:themeColor="text1"/>
        </w:rPr>
        <w:t xml:space="preserve">, and stemmed from, </w:t>
      </w:r>
      <w:r w:rsidRPr="006D50FA">
        <w:rPr>
          <w:color w:val="000000" w:themeColor="text1"/>
        </w:rPr>
        <w:t>social media posts</w:t>
      </w:r>
      <w:r w:rsidR="008460C5" w:rsidRPr="006D50FA">
        <w:rPr>
          <w:color w:val="000000" w:themeColor="text1"/>
        </w:rPr>
        <w:t xml:space="preserve"> —</w:t>
      </w:r>
      <w:r w:rsidR="00647313" w:rsidRPr="006D50FA">
        <w:rPr>
          <w:color w:val="000000" w:themeColor="text1"/>
        </w:rPr>
        <w:t xml:space="preserve"> </w:t>
      </w:r>
      <w:r w:rsidR="008C16E2" w:rsidRPr="006D50FA">
        <w:rPr>
          <w:color w:val="000000" w:themeColor="text1"/>
        </w:rPr>
        <w:t xml:space="preserve">and hence </w:t>
      </w:r>
      <w:r w:rsidRPr="006D50FA">
        <w:rPr>
          <w:color w:val="000000" w:themeColor="text1"/>
        </w:rPr>
        <w:t xml:space="preserve">the </w:t>
      </w:r>
      <w:r w:rsidR="00112513" w:rsidRPr="006D50FA">
        <w:rPr>
          <w:color w:val="000000" w:themeColor="text1"/>
        </w:rPr>
        <w:t xml:space="preserve">nexus, and </w:t>
      </w:r>
      <w:r w:rsidRPr="006D50FA">
        <w:rPr>
          <w:color w:val="000000" w:themeColor="text1"/>
        </w:rPr>
        <w:t xml:space="preserve">justification for </w:t>
      </w:r>
      <w:r w:rsidR="008C16E2" w:rsidRPr="006D50FA">
        <w:rPr>
          <w:color w:val="000000" w:themeColor="text1"/>
        </w:rPr>
        <w:t xml:space="preserve">intruding </w:t>
      </w:r>
      <w:r w:rsidRPr="006D50FA">
        <w:rPr>
          <w:color w:val="000000" w:themeColor="text1"/>
        </w:rPr>
        <w:t>into a victim</w:t>
      </w:r>
      <w:r w:rsidR="00647313" w:rsidRPr="006D50FA">
        <w:rPr>
          <w:color w:val="000000" w:themeColor="text1"/>
        </w:rPr>
        <w:t xml:space="preserve">’s </w:t>
      </w:r>
      <w:r w:rsidRPr="006D50FA">
        <w:rPr>
          <w:color w:val="000000" w:themeColor="text1"/>
        </w:rPr>
        <w:t>or witness</w:t>
      </w:r>
      <w:r w:rsidR="00647313" w:rsidRPr="006D50FA">
        <w:rPr>
          <w:color w:val="000000" w:themeColor="text1"/>
        </w:rPr>
        <w:t xml:space="preserve">’s </w:t>
      </w:r>
      <w:r w:rsidRPr="006D50FA">
        <w:rPr>
          <w:color w:val="000000" w:themeColor="text1"/>
        </w:rPr>
        <w:t>social media posts</w:t>
      </w:r>
      <w:r w:rsidR="007F2EB9" w:rsidRPr="006D50FA">
        <w:rPr>
          <w:color w:val="000000" w:themeColor="text1"/>
        </w:rPr>
        <w:t xml:space="preserve"> (</w:t>
      </w:r>
      <w:r w:rsidR="00A135B0" w:rsidRPr="006D50FA">
        <w:rPr>
          <w:color w:val="000000" w:themeColor="text1"/>
        </w:rPr>
        <w:t>public and restricted</w:t>
      </w:r>
      <w:r w:rsidR="00112513" w:rsidRPr="006D50FA">
        <w:rPr>
          <w:color w:val="000000" w:themeColor="text1"/>
        </w:rPr>
        <w:t xml:space="preserve">, </w:t>
      </w:r>
      <w:r w:rsidR="008C16E2" w:rsidRPr="006D50FA">
        <w:rPr>
          <w:color w:val="000000" w:themeColor="text1"/>
        </w:rPr>
        <w:lastRenderedPageBreak/>
        <w:t>and/or private messages</w:t>
      </w:r>
      <w:r w:rsidR="007F2EB9" w:rsidRPr="006D50FA">
        <w:rPr>
          <w:color w:val="000000" w:themeColor="text1"/>
        </w:rPr>
        <w:t>)</w:t>
      </w:r>
      <w:r w:rsidR="008C16E2" w:rsidRPr="006D50FA">
        <w:rPr>
          <w:color w:val="000000" w:themeColor="text1"/>
        </w:rPr>
        <w:t xml:space="preserve">, </w:t>
      </w:r>
      <w:r w:rsidRPr="006D50FA">
        <w:rPr>
          <w:color w:val="000000" w:themeColor="text1"/>
        </w:rPr>
        <w:t>w</w:t>
      </w:r>
      <w:r w:rsidR="00596030" w:rsidRPr="006D50FA">
        <w:rPr>
          <w:color w:val="000000" w:themeColor="text1"/>
        </w:rPr>
        <w:t xml:space="preserve">as </w:t>
      </w:r>
      <w:r w:rsidR="001B543D" w:rsidRPr="006D50FA">
        <w:rPr>
          <w:color w:val="000000" w:themeColor="text1"/>
        </w:rPr>
        <w:t>substantial</w:t>
      </w:r>
      <w:r w:rsidR="00647313" w:rsidRPr="006D50FA">
        <w:rPr>
          <w:color w:val="000000" w:themeColor="text1"/>
        </w:rPr>
        <w:t>.</w:t>
      </w:r>
      <w:r w:rsidR="002B1881" w:rsidRPr="006D50FA">
        <w:rPr>
          <w:rStyle w:val="FootnoteReference"/>
          <w:color w:val="000000" w:themeColor="text1"/>
        </w:rPr>
        <w:footnoteReference w:id="12"/>
      </w:r>
      <w:r w:rsidR="00647313" w:rsidRPr="006D50FA">
        <w:rPr>
          <w:color w:val="000000" w:themeColor="text1"/>
        </w:rPr>
        <w:t xml:space="preserve">  </w:t>
      </w:r>
      <w:r w:rsidR="00692C52" w:rsidRPr="006D50FA">
        <w:rPr>
          <w:color w:val="000000" w:themeColor="text1"/>
        </w:rPr>
        <w:t>Indeed, t</w:t>
      </w:r>
      <w:r w:rsidR="00152616" w:rsidRPr="006D50FA">
        <w:rPr>
          <w:color w:val="000000" w:themeColor="text1"/>
        </w:rPr>
        <w:t xml:space="preserve">he </w:t>
      </w:r>
      <w:r w:rsidR="00297123" w:rsidRPr="006D50FA">
        <w:rPr>
          <w:color w:val="000000" w:themeColor="text1"/>
        </w:rPr>
        <w:t>Court of Appeal, in its recent treatment</w:t>
      </w:r>
      <w:r w:rsidR="00185373" w:rsidRPr="006D50FA">
        <w:rPr>
          <w:color w:val="000000" w:themeColor="text1"/>
        </w:rPr>
        <w:t xml:space="preserve"> of th</w:t>
      </w:r>
      <w:r w:rsidR="005B4B97" w:rsidRPr="006D50FA">
        <w:rPr>
          <w:color w:val="000000" w:themeColor="text1"/>
        </w:rPr>
        <w:t xml:space="preserve">e plausible justification </w:t>
      </w:r>
      <w:r w:rsidR="00FA1B27" w:rsidRPr="006D50FA">
        <w:rPr>
          <w:color w:val="000000" w:themeColor="text1"/>
        </w:rPr>
        <w:t xml:space="preserve">factor </w:t>
      </w:r>
      <w:r w:rsidR="00185373" w:rsidRPr="006D50FA">
        <w:rPr>
          <w:color w:val="000000" w:themeColor="text1"/>
        </w:rPr>
        <w:t xml:space="preserve">issue in </w:t>
      </w:r>
      <w:r w:rsidR="00114E99" w:rsidRPr="006D50FA">
        <w:rPr>
          <w:color w:val="000000" w:themeColor="text1"/>
        </w:rPr>
        <w:t xml:space="preserve">that </w:t>
      </w:r>
      <w:r w:rsidR="00BA7BE1" w:rsidRPr="006D50FA">
        <w:rPr>
          <w:color w:val="000000" w:themeColor="text1"/>
        </w:rPr>
        <w:t xml:space="preserve">prior </w:t>
      </w:r>
      <w:r w:rsidR="00185373" w:rsidRPr="006D50FA">
        <w:rPr>
          <w:color w:val="000000" w:themeColor="text1"/>
        </w:rPr>
        <w:t xml:space="preserve">case, </w:t>
      </w:r>
      <w:r w:rsidR="00DC34A9" w:rsidRPr="006D50FA">
        <w:rPr>
          <w:color w:val="000000" w:themeColor="text1"/>
        </w:rPr>
        <w:t xml:space="preserve">had no difficulty </w:t>
      </w:r>
      <w:r w:rsidR="00185373" w:rsidRPr="006D50FA">
        <w:rPr>
          <w:color w:val="000000" w:themeColor="text1"/>
        </w:rPr>
        <w:t>f</w:t>
      </w:r>
      <w:r w:rsidR="00DC34A9" w:rsidRPr="006D50FA">
        <w:rPr>
          <w:color w:val="000000" w:themeColor="text1"/>
        </w:rPr>
        <w:t>ind</w:t>
      </w:r>
      <w:r w:rsidR="00BA7BE1" w:rsidRPr="006D50FA">
        <w:rPr>
          <w:color w:val="000000" w:themeColor="text1"/>
        </w:rPr>
        <w:t xml:space="preserve">ing </w:t>
      </w:r>
      <w:r w:rsidR="0027703F" w:rsidRPr="006D50FA">
        <w:rPr>
          <w:color w:val="000000" w:themeColor="text1"/>
        </w:rPr>
        <w:t xml:space="preserve">such </w:t>
      </w:r>
      <w:r w:rsidR="00692C52" w:rsidRPr="006D50FA">
        <w:rPr>
          <w:color w:val="000000" w:themeColor="text1"/>
        </w:rPr>
        <w:t xml:space="preserve">justification </w:t>
      </w:r>
      <w:r w:rsidR="005B7C26" w:rsidRPr="006D50FA">
        <w:rPr>
          <w:color w:val="000000" w:themeColor="text1"/>
        </w:rPr>
        <w:t>for the proposed intrusion</w:t>
      </w:r>
      <w:r w:rsidR="00692C52" w:rsidRPr="006D50FA">
        <w:rPr>
          <w:color w:val="000000" w:themeColor="text1"/>
        </w:rPr>
        <w:t>.  (</w:t>
      </w:r>
      <w:r w:rsidR="00FA1B27" w:rsidRPr="006D50FA">
        <w:rPr>
          <w:i/>
          <w:iCs/>
          <w:color w:val="000000" w:themeColor="text1"/>
        </w:rPr>
        <w:t>Facebook (Hunter</w:t>
      </w:r>
      <w:r w:rsidR="00C4376B" w:rsidRPr="006D50FA">
        <w:rPr>
          <w:i/>
          <w:iCs/>
          <w:color w:val="000000" w:themeColor="text1"/>
        </w:rPr>
        <w:t>) </w:t>
      </w:r>
      <w:r w:rsidR="00FA1B27" w:rsidRPr="006D50FA">
        <w:rPr>
          <w:i/>
          <w:iCs/>
          <w:color w:val="000000" w:themeColor="text1"/>
        </w:rPr>
        <w:t>II, supra</w:t>
      </w:r>
      <w:r w:rsidR="00FA1B27" w:rsidRPr="006D50FA">
        <w:rPr>
          <w:color w:val="000000" w:themeColor="text1"/>
        </w:rPr>
        <w:t xml:space="preserve">, </w:t>
      </w:r>
      <w:r w:rsidR="00FA1B27" w:rsidRPr="006D50FA">
        <w:rPr>
          <w:color w:val="000000" w:themeColor="text1"/>
          <w:szCs w:val="26"/>
        </w:rPr>
        <w:t>46 Cal.App.5th at p. 119</w:t>
      </w:r>
      <w:r w:rsidR="00C54209" w:rsidRPr="006D50FA">
        <w:rPr>
          <w:color w:val="000000" w:themeColor="text1"/>
          <w:szCs w:val="26"/>
        </w:rPr>
        <w:t>, rev. granted</w:t>
      </w:r>
      <w:r w:rsidR="00FA1B27" w:rsidRPr="006D50FA">
        <w:rPr>
          <w:color w:val="000000" w:themeColor="text1"/>
        </w:rPr>
        <w:t>]</w:t>
      </w:r>
      <w:r w:rsidR="00692C52" w:rsidRPr="006D50FA">
        <w:rPr>
          <w:color w:val="000000" w:themeColor="text1"/>
        </w:rPr>
        <w:t>.)</w:t>
      </w:r>
      <w:r w:rsidR="0027703F" w:rsidRPr="006D50FA">
        <w:rPr>
          <w:rStyle w:val="FootnoteReference"/>
          <w:color w:val="000000" w:themeColor="text1"/>
        </w:rPr>
        <w:footnoteReference w:id="13"/>
      </w:r>
      <w:r w:rsidR="00692C52" w:rsidRPr="006D50FA">
        <w:rPr>
          <w:color w:val="000000" w:themeColor="text1"/>
        </w:rPr>
        <w:t xml:space="preserve"> </w:t>
      </w:r>
    </w:p>
    <w:p w14:paraId="2D4D7415" w14:textId="492FE3F1" w:rsidR="007246BF" w:rsidRPr="006D50FA" w:rsidRDefault="00647313" w:rsidP="00FC65F4">
      <w:pPr>
        <w:ind w:firstLine="720"/>
        <w:rPr>
          <w:color w:val="000000" w:themeColor="text1"/>
        </w:rPr>
      </w:pPr>
      <w:r w:rsidRPr="006D50FA">
        <w:rPr>
          <w:color w:val="000000" w:themeColor="text1"/>
        </w:rPr>
        <w:lastRenderedPageBreak/>
        <w:t xml:space="preserve">In the present case, by contrast, </w:t>
      </w:r>
      <w:r w:rsidR="008A6994" w:rsidRPr="0011552F">
        <w:rPr>
          <w:color w:val="000000" w:themeColor="text1"/>
        </w:rPr>
        <w:t xml:space="preserve">it </w:t>
      </w:r>
      <w:r w:rsidR="00867E3F" w:rsidRPr="0011552F">
        <w:rPr>
          <w:color w:val="000000" w:themeColor="text1"/>
        </w:rPr>
        <w:t xml:space="preserve">is </w:t>
      </w:r>
      <w:r w:rsidR="00F50632" w:rsidRPr="007E4EEB">
        <w:rPr>
          <w:color w:val="000000" w:themeColor="text1"/>
        </w:rPr>
        <w:t xml:space="preserve">questionable </w:t>
      </w:r>
      <w:r w:rsidR="005B7B04" w:rsidRPr="007E4EEB">
        <w:rPr>
          <w:color w:val="000000" w:themeColor="text1"/>
        </w:rPr>
        <w:t xml:space="preserve">whether </w:t>
      </w:r>
      <w:r w:rsidR="008A6994" w:rsidRPr="007E4EEB">
        <w:rPr>
          <w:color w:val="000000" w:themeColor="text1"/>
        </w:rPr>
        <w:t>there</w:t>
      </w:r>
      <w:r w:rsidR="005B7C26" w:rsidRPr="007E4EEB">
        <w:rPr>
          <w:color w:val="000000" w:themeColor="text1"/>
        </w:rPr>
        <w:t xml:space="preserve"> </w:t>
      </w:r>
      <w:r w:rsidR="005B7B04" w:rsidRPr="007E4EEB">
        <w:rPr>
          <w:color w:val="000000" w:themeColor="text1"/>
        </w:rPr>
        <w:t xml:space="preserve">is </w:t>
      </w:r>
      <w:r w:rsidR="008A6994" w:rsidRPr="0011552F">
        <w:rPr>
          <w:color w:val="000000" w:themeColor="text1"/>
        </w:rPr>
        <w:t xml:space="preserve">any </w:t>
      </w:r>
      <w:r w:rsidR="001354CC" w:rsidRPr="0011552F">
        <w:rPr>
          <w:color w:val="000000" w:themeColor="text1"/>
        </w:rPr>
        <w:t xml:space="preserve">similar </w:t>
      </w:r>
      <w:r w:rsidR="008A6994" w:rsidRPr="0011552F">
        <w:rPr>
          <w:color w:val="000000" w:themeColor="text1"/>
        </w:rPr>
        <w:t xml:space="preserve">substantial </w:t>
      </w:r>
      <w:r w:rsidR="007246BF" w:rsidRPr="0011552F">
        <w:rPr>
          <w:color w:val="000000" w:themeColor="text1"/>
        </w:rPr>
        <w:t>connection between the victim’s social media posts and the alleged</w:t>
      </w:r>
      <w:r w:rsidR="0055161D" w:rsidRPr="0011552F">
        <w:rPr>
          <w:color w:val="000000" w:themeColor="text1"/>
        </w:rPr>
        <w:t xml:space="preserve"> attempted</w:t>
      </w:r>
      <w:r w:rsidR="001354CC" w:rsidRPr="0011552F">
        <w:rPr>
          <w:color w:val="000000" w:themeColor="text1"/>
        </w:rPr>
        <w:t xml:space="preserve"> murder</w:t>
      </w:r>
      <w:r w:rsidR="007246BF" w:rsidRPr="006D50FA">
        <w:rPr>
          <w:color w:val="000000" w:themeColor="text1"/>
        </w:rPr>
        <w:t>.</w:t>
      </w:r>
      <w:r w:rsidRPr="006D50FA">
        <w:rPr>
          <w:color w:val="000000" w:themeColor="text1"/>
        </w:rPr>
        <w:t xml:space="preserve">  </w:t>
      </w:r>
      <w:r w:rsidR="007328DB" w:rsidRPr="006D50FA">
        <w:rPr>
          <w:color w:val="000000" w:themeColor="text1"/>
        </w:rPr>
        <w:t>Moreover, a</w:t>
      </w:r>
      <w:r w:rsidR="007246BF" w:rsidRPr="006D50FA">
        <w:rPr>
          <w:color w:val="000000" w:themeColor="text1"/>
        </w:rPr>
        <w:t xml:space="preserve">lthough it is always possible that </w:t>
      </w:r>
      <w:r w:rsidR="00E53F27" w:rsidRPr="006D50FA">
        <w:rPr>
          <w:color w:val="000000" w:themeColor="text1"/>
        </w:rPr>
        <w:t xml:space="preserve">material </w:t>
      </w:r>
      <w:r w:rsidR="007246BF" w:rsidRPr="006D50FA">
        <w:rPr>
          <w:color w:val="000000" w:themeColor="text1"/>
        </w:rPr>
        <w:t>in a prior or subsequent social media post may be relevant to something that the defendant would like to rely upon, the requirement that a social media user or a social media provider disclose social media posts</w:t>
      </w:r>
      <w:r w:rsidR="00261E96" w:rsidRPr="006D50FA">
        <w:rPr>
          <w:color w:val="000000" w:themeColor="text1"/>
        </w:rPr>
        <w:t>,</w:t>
      </w:r>
      <w:r w:rsidR="007246BF" w:rsidRPr="006D50FA">
        <w:rPr>
          <w:color w:val="000000" w:themeColor="text1"/>
        </w:rPr>
        <w:t xml:space="preserve"> even to a judge for ex parte review </w:t>
      </w:r>
      <w:r w:rsidR="00E87994" w:rsidRPr="006D50FA">
        <w:rPr>
          <w:color w:val="000000" w:themeColor="text1"/>
        </w:rPr>
        <w:t>(</w:t>
      </w:r>
      <w:r w:rsidR="001113B7" w:rsidRPr="006D50FA">
        <w:rPr>
          <w:color w:val="000000" w:themeColor="text1"/>
        </w:rPr>
        <w:t xml:space="preserve">see </w:t>
      </w:r>
      <w:r w:rsidR="00BE3890" w:rsidRPr="006D50FA">
        <w:rPr>
          <w:color w:val="000000" w:themeColor="text1"/>
        </w:rPr>
        <w:t>Pen. Code</w:t>
      </w:r>
      <w:r w:rsidR="00391E42" w:rsidRPr="006D50FA">
        <w:rPr>
          <w:color w:val="000000" w:themeColor="text1"/>
        </w:rPr>
        <w:t>, §</w:t>
      </w:r>
      <w:r w:rsidR="00DD58CD" w:rsidRPr="006D50FA">
        <w:rPr>
          <w:color w:val="000000" w:themeColor="text1"/>
        </w:rPr>
        <w:t> </w:t>
      </w:r>
      <w:r w:rsidR="00BE3890" w:rsidRPr="006D50FA">
        <w:rPr>
          <w:color w:val="000000" w:themeColor="text1"/>
        </w:rPr>
        <w:t>1326, subd</w:t>
      </w:r>
      <w:r w:rsidR="00391E42" w:rsidRPr="006D50FA">
        <w:rPr>
          <w:color w:val="000000" w:themeColor="text1"/>
        </w:rPr>
        <w:t xml:space="preserve">. </w:t>
      </w:r>
      <w:r w:rsidR="00BE3890" w:rsidRPr="006D50FA">
        <w:rPr>
          <w:color w:val="000000" w:themeColor="text1"/>
        </w:rPr>
        <w:t>(c)</w:t>
      </w:r>
      <w:r w:rsidR="00391E42" w:rsidRPr="006D50FA">
        <w:rPr>
          <w:color w:val="000000" w:themeColor="text1"/>
        </w:rPr>
        <w:t>)</w:t>
      </w:r>
      <w:r w:rsidR="00BC0D0E" w:rsidRPr="006D50FA">
        <w:rPr>
          <w:color w:val="000000" w:themeColor="text1"/>
        </w:rPr>
        <w:t xml:space="preserve">, as a predicate to possible </w:t>
      </w:r>
      <w:r w:rsidR="001932DC" w:rsidRPr="006D50FA">
        <w:rPr>
          <w:color w:val="000000" w:themeColor="text1"/>
        </w:rPr>
        <w:t xml:space="preserve">broader disclosure, </w:t>
      </w:r>
      <w:r w:rsidR="004668EC" w:rsidRPr="006D50FA">
        <w:rPr>
          <w:color w:val="000000" w:themeColor="text1"/>
        </w:rPr>
        <w:t xml:space="preserve">itself </w:t>
      </w:r>
      <w:r w:rsidR="007246BF" w:rsidRPr="006D50FA">
        <w:rPr>
          <w:color w:val="000000" w:themeColor="text1"/>
        </w:rPr>
        <w:t>constitute</w:t>
      </w:r>
      <w:r w:rsidR="004668EC" w:rsidRPr="006D50FA">
        <w:rPr>
          <w:color w:val="000000" w:themeColor="text1"/>
        </w:rPr>
        <w:t>s</w:t>
      </w:r>
      <w:r w:rsidR="007246BF" w:rsidRPr="006D50FA">
        <w:rPr>
          <w:color w:val="000000" w:themeColor="text1"/>
        </w:rPr>
        <w:t xml:space="preserve"> </w:t>
      </w:r>
      <w:r w:rsidR="005B7C26" w:rsidRPr="006D50FA">
        <w:rPr>
          <w:color w:val="000000" w:themeColor="text1"/>
        </w:rPr>
        <w:t xml:space="preserve">a </w:t>
      </w:r>
      <w:r w:rsidR="007246BF" w:rsidRPr="006D50FA">
        <w:rPr>
          <w:color w:val="000000" w:themeColor="text1"/>
        </w:rPr>
        <w:t>significant impingement on the social media user’s privacy</w:t>
      </w:r>
      <w:r w:rsidR="004668EC" w:rsidRPr="006D50FA">
        <w:rPr>
          <w:color w:val="000000" w:themeColor="text1"/>
        </w:rPr>
        <w:t xml:space="preserve"> </w:t>
      </w:r>
      <w:r w:rsidR="007246BF" w:rsidRPr="006D50FA">
        <w:rPr>
          <w:color w:val="000000" w:themeColor="text1"/>
        </w:rPr>
        <w:t xml:space="preserve">with respect to </w:t>
      </w:r>
      <w:r w:rsidR="004668EC" w:rsidRPr="006D50FA">
        <w:rPr>
          <w:color w:val="000000" w:themeColor="text1"/>
        </w:rPr>
        <w:t xml:space="preserve">restricted posts </w:t>
      </w:r>
      <w:r w:rsidR="00867891">
        <w:rPr>
          <w:color w:val="000000" w:themeColor="text1"/>
        </w:rPr>
        <w:t xml:space="preserve">and </w:t>
      </w:r>
      <w:r w:rsidR="004668EC" w:rsidRPr="006D50FA">
        <w:rPr>
          <w:color w:val="000000" w:themeColor="text1"/>
        </w:rPr>
        <w:t>private m</w:t>
      </w:r>
      <w:r w:rsidR="005B7C26" w:rsidRPr="006D50FA">
        <w:rPr>
          <w:color w:val="000000" w:themeColor="text1"/>
        </w:rPr>
        <w:t>e</w:t>
      </w:r>
      <w:r w:rsidR="004668EC" w:rsidRPr="006D50FA">
        <w:rPr>
          <w:color w:val="000000" w:themeColor="text1"/>
        </w:rPr>
        <w:t xml:space="preserve">ssages.  Accordingly, </w:t>
      </w:r>
      <w:r w:rsidR="007246BF" w:rsidRPr="006D50FA">
        <w:rPr>
          <w:color w:val="000000" w:themeColor="text1"/>
        </w:rPr>
        <w:t xml:space="preserve">plausible justification </w:t>
      </w:r>
      <w:r w:rsidR="00623791" w:rsidRPr="006D50FA">
        <w:rPr>
          <w:color w:val="000000" w:themeColor="text1"/>
        </w:rPr>
        <w:t xml:space="preserve">— </w:t>
      </w:r>
      <w:r w:rsidR="00AF0F29" w:rsidRPr="006D50FA">
        <w:rPr>
          <w:color w:val="000000" w:themeColor="text1"/>
        </w:rPr>
        <w:t>which</w:t>
      </w:r>
      <w:r w:rsidR="004661F8" w:rsidRPr="006D50FA">
        <w:rPr>
          <w:color w:val="000000" w:themeColor="text1"/>
        </w:rPr>
        <w:t xml:space="preserve">, as noted above, </w:t>
      </w:r>
      <w:r w:rsidR="008829D9" w:rsidRPr="006D50FA">
        <w:rPr>
          <w:color w:val="000000" w:themeColor="text1"/>
        </w:rPr>
        <w:t xml:space="preserve">must </w:t>
      </w:r>
      <w:r w:rsidR="007A6F06" w:rsidRPr="006D50FA">
        <w:rPr>
          <w:color w:val="000000" w:themeColor="text1"/>
        </w:rPr>
        <w:t xml:space="preserve">in </w:t>
      </w:r>
      <w:r w:rsidR="007A6F06" w:rsidRPr="006D50FA">
        <w:rPr>
          <w:i/>
          <w:iCs/>
          <w:color w:val="000000" w:themeColor="text1"/>
        </w:rPr>
        <w:t>all</w:t>
      </w:r>
      <w:r w:rsidR="007A6F06" w:rsidRPr="006D50FA">
        <w:rPr>
          <w:color w:val="000000" w:themeColor="text1"/>
        </w:rPr>
        <w:t xml:space="preserve"> cases </w:t>
      </w:r>
      <w:r w:rsidR="008829D9" w:rsidRPr="006D50FA">
        <w:rPr>
          <w:color w:val="000000" w:themeColor="text1"/>
        </w:rPr>
        <w:t xml:space="preserve">be </w:t>
      </w:r>
      <w:r w:rsidR="00C61FCF" w:rsidRPr="006D50FA">
        <w:rPr>
          <w:color w:val="000000" w:themeColor="text1"/>
        </w:rPr>
        <w:t>“</w:t>
      </w:r>
      <w:r w:rsidR="00A20F74" w:rsidRPr="006D50FA">
        <w:rPr>
          <w:color w:val="000000" w:themeColor="text1"/>
        </w:rPr>
        <w:t xml:space="preserve">so </w:t>
      </w:r>
      <w:r w:rsidR="007246BF" w:rsidRPr="006D50FA">
        <w:rPr>
          <w:color w:val="000000" w:themeColor="text1"/>
        </w:rPr>
        <w:t>substanti</w:t>
      </w:r>
      <w:r w:rsidR="00C61FCF" w:rsidRPr="006D50FA">
        <w:rPr>
          <w:color w:val="000000" w:themeColor="text1"/>
        </w:rPr>
        <w:t>ated</w:t>
      </w:r>
      <w:r w:rsidR="00A20F74" w:rsidRPr="006D50FA">
        <w:rPr>
          <w:color w:val="000000" w:themeColor="text1"/>
        </w:rPr>
        <w:t xml:space="preserve"> as to make the seizure constitutionally reasonable” </w:t>
      </w:r>
      <w:r w:rsidR="00250A03" w:rsidRPr="006D50FA">
        <w:rPr>
          <w:color w:val="000000" w:themeColor="text1"/>
        </w:rPr>
        <w:t>(</w:t>
      </w:r>
      <w:r w:rsidR="00250A03" w:rsidRPr="006D50FA">
        <w:rPr>
          <w:i/>
          <w:color w:val="000000" w:themeColor="text1"/>
        </w:rPr>
        <w:t xml:space="preserve">Pacific Lighting, supra, </w:t>
      </w:r>
      <w:r w:rsidR="00250A03" w:rsidRPr="006D50FA">
        <w:rPr>
          <w:color w:val="000000" w:themeColor="text1"/>
        </w:rPr>
        <w:t xml:space="preserve">60 Cal.App.3d at p. 567) </w:t>
      </w:r>
      <w:r w:rsidR="006E3A03" w:rsidRPr="006D50FA">
        <w:rPr>
          <w:color w:val="000000" w:themeColor="text1"/>
        </w:rPr>
        <w:t>—</w:t>
      </w:r>
      <w:r w:rsidR="004661F8" w:rsidRPr="006D50FA">
        <w:rPr>
          <w:color w:val="000000" w:themeColor="text1"/>
        </w:rPr>
        <w:t xml:space="preserve"> </w:t>
      </w:r>
      <w:r w:rsidR="008D3675" w:rsidRPr="006D50FA">
        <w:rPr>
          <w:color w:val="000000" w:themeColor="text1"/>
        </w:rPr>
        <w:t xml:space="preserve">must be </w:t>
      </w:r>
      <w:r w:rsidR="00723A63" w:rsidRPr="006D50FA">
        <w:rPr>
          <w:color w:val="000000" w:themeColor="text1"/>
        </w:rPr>
        <w:t xml:space="preserve">subject to </w:t>
      </w:r>
      <w:r w:rsidR="007246BF" w:rsidRPr="006D50FA">
        <w:rPr>
          <w:color w:val="000000" w:themeColor="text1"/>
        </w:rPr>
        <w:t xml:space="preserve">even </w:t>
      </w:r>
      <w:r w:rsidR="00853E35">
        <w:rPr>
          <w:color w:val="000000" w:themeColor="text1"/>
        </w:rPr>
        <w:t>closer examination</w:t>
      </w:r>
      <w:r w:rsidR="00723A63" w:rsidRPr="006D50FA">
        <w:rPr>
          <w:color w:val="000000" w:themeColor="text1"/>
        </w:rPr>
        <w:t xml:space="preserve"> </w:t>
      </w:r>
      <w:r w:rsidR="00AC1675" w:rsidRPr="006D50FA">
        <w:rPr>
          <w:color w:val="000000" w:themeColor="text1"/>
        </w:rPr>
        <w:t xml:space="preserve">in the absence of an apparent </w:t>
      </w:r>
      <w:r w:rsidR="007246BF" w:rsidRPr="006D50FA">
        <w:rPr>
          <w:color w:val="000000" w:themeColor="text1"/>
        </w:rPr>
        <w:t xml:space="preserve">relationship between the alleged crime and </w:t>
      </w:r>
      <w:r w:rsidR="001521A0" w:rsidRPr="006D50FA">
        <w:rPr>
          <w:color w:val="000000" w:themeColor="text1"/>
        </w:rPr>
        <w:t xml:space="preserve">the </w:t>
      </w:r>
      <w:r w:rsidR="00B24E67" w:rsidRPr="006D50FA">
        <w:rPr>
          <w:color w:val="000000" w:themeColor="text1"/>
        </w:rPr>
        <w:t>sought</w:t>
      </w:r>
      <w:r w:rsidR="0099159F">
        <w:rPr>
          <w:color w:val="000000" w:themeColor="text1"/>
        </w:rPr>
        <w:t xml:space="preserve"> </w:t>
      </w:r>
      <w:r w:rsidR="0099159F" w:rsidRPr="00E447C0">
        <w:rPr>
          <w:color w:val="000000" w:themeColor="text1"/>
        </w:rPr>
        <w:t>private co</w:t>
      </w:r>
      <w:r w:rsidR="00A00BE2" w:rsidRPr="00E447C0">
        <w:rPr>
          <w:color w:val="000000" w:themeColor="text1"/>
        </w:rPr>
        <w:t>mmunications</w:t>
      </w:r>
      <w:r w:rsidR="007246BF" w:rsidRPr="006D50FA">
        <w:rPr>
          <w:color w:val="000000" w:themeColor="text1"/>
        </w:rPr>
        <w:t>.</w:t>
      </w:r>
      <w:r w:rsidR="008D3675" w:rsidRPr="006D50FA">
        <w:rPr>
          <w:color w:val="000000" w:themeColor="text1"/>
        </w:rPr>
        <w:t xml:space="preserve">  </w:t>
      </w:r>
      <w:r w:rsidR="00250A03" w:rsidRPr="006D50FA">
        <w:rPr>
          <w:color w:val="000000" w:themeColor="text1"/>
        </w:rPr>
        <w:t>(C</w:t>
      </w:r>
      <w:r w:rsidR="00DA2D95" w:rsidRPr="006D50FA">
        <w:rPr>
          <w:color w:val="000000" w:themeColor="text1"/>
        </w:rPr>
        <w:t xml:space="preserve">f. </w:t>
      </w:r>
      <w:proofErr w:type="spellStart"/>
      <w:r w:rsidR="006027E7" w:rsidRPr="006D50FA">
        <w:rPr>
          <w:i/>
          <w:color w:val="000000" w:themeColor="text1"/>
        </w:rPr>
        <w:t>Hammon</w:t>
      </w:r>
      <w:proofErr w:type="spellEnd"/>
      <w:r w:rsidR="006027E7" w:rsidRPr="006D50FA">
        <w:rPr>
          <w:i/>
          <w:color w:val="000000" w:themeColor="text1"/>
        </w:rPr>
        <w:t xml:space="preserve">, supra, </w:t>
      </w:r>
      <w:r w:rsidR="006027E7" w:rsidRPr="006D50FA">
        <w:rPr>
          <w:color w:val="000000" w:themeColor="text1"/>
        </w:rPr>
        <w:t xml:space="preserve">15 Cal.4th </w:t>
      </w:r>
      <w:r w:rsidR="00DA2D95" w:rsidRPr="006D50FA">
        <w:rPr>
          <w:color w:val="000000" w:themeColor="text1"/>
        </w:rPr>
        <w:t>at p.</w:t>
      </w:r>
      <w:r w:rsidR="00773D1C" w:rsidRPr="006D50FA">
        <w:rPr>
          <w:color w:val="000000" w:themeColor="text1"/>
        </w:rPr>
        <w:t> </w:t>
      </w:r>
      <w:r w:rsidR="006027E7" w:rsidRPr="006D50FA">
        <w:rPr>
          <w:color w:val="000000" w:themeColor="text1"/>
        </w:rPr>
        <w:t>1127</w:t>
      </w:r>
      <w:r w:rsidR="00DA2D95" w:rsidRPr="006D50FA">
        <w:rPr>
          <w:color w:val="000000" w:themeColor="text1"/>
        </w:rPr>
        <w:t xml:space="preserve"> [</w:t>
      </w:r>
      <w:r w:rsidR="006027E7" w:rsidRPr="006D50FA">
        <w:rPr>
          <w:color w:val="000000" w:themeColor="text1"/>
        </w:rPr>
        <w:t>courts should be especially reluctant to facilitate pretrial disclosure of privileged or confidential information that, as it may turn out, is unnecessary to use or introduce at trial</w:t>
      </w:r>
      <w:r w:rsidR="00DA2D95" w:rsidRPr="006D50FA">
        <w:rPr>
          <w:color w:val="000000" w:themeColor="text1"/>
        </w:rPr>
        <w:t>]</w:t>
      </w:r>
      <w:r w:rsidR="006027E7" w:rsidRPr="006D50FA">
        <w:rPr>
          <w:color w:val="000000" w:themeColor="text1"/>
        </w:rPr>
        <w:t>.</w:t>
      </w:r>
      <w:r w:rsidR="00DA2D95" w:rsidRPr="006D50FA">
        <w:rPr>
          <w:color w:val="000000" w:themeColor="text1"/>
        </w:rPr>
        <w:t xml:space="preserve">)  </w:t>
      </w:r>
      <w:r w:rsidR="00706DBD" w:rsidRPr="006D50FA">
        <w:rPr>
          <w:color w:val="000000" w:themeColor="text1"/>
        </w:rPr>
        <w:t>An appr</w:t>
      </w:r>
      <w:r w:rsidR="00335A49" w:rsidRPr="006D50FA">
        <w:rPr>
          <w:color w:val="000000" w:themeColor="text1"/>
        </w:rPr>
        <w:t xml:space="preserve">opriate </w:t>
      </w:r>
      <w:r w:rsidR="00BF380F" w:rsidRPr="006D50FA">
        <w:rPr>
          <w:color w:val="000000" w:themeColor="text1"/>
        </w:rPr>
        <w:lastRenderedPageBreak/>
        <w:t>asse</w:t>
      </w:r>
      <w:r w:rsidR="00131267" w:rsidRPr="006D50FA">
        <w:rPr>
          <w:color w:val="000000" w:themeColor="text1"/>
        </w:rPr>
        <w:t xml:space="preserve">ssment of </w:t>
      </w:r>
      <w:r w:rsidR="009C5909" w:rsidRPr="006D50FA">
        <w:rPr>
          <w:color w:val="000000" w:themeColor="text1"/>
        </w:rPr>
        <w:t xml:space="preserve">a social media user’s </w:t>
      </w:r>
      <w:r w:rsidR="00137B27" w:rsidRPr="006D50FA">
        <w:rPr>
          <w:color w:val="000000" w:themeColor="text1"/>
          <w:szCs w:val="26"/>
        </w:rPr>
        <w:t xml:space="preserve">rights </w:t>
      </w:r>
      <w:r w:rsidR="00D70F24" w:rsidRPr="006D50FA">
        <w:rPr>
          <w:color w:val="000000" w:themeColor="text1"/>
          <w:szCs w:val="26"/>
        </w:rPr>
        <w:t xml:space="preserve">implicated by </w:t>
      </w:r>
      <w:r w:rsidR="009C5909" w:rsidRPr="006D50FA">
        <w:rPr>
          <w:color w:val="000000" w:themeColor="text1"/>
          <w:szCs w:val="26"/>
        </w:rPr>
        <w:t xml:space="preserve">such a </w:t>
      </w:r>
      <w:r w:rsidR="00D70F24" w:rsidRPr="006D50FA">
        <w:rPr>
          <w:color w:val="000000" w:themeColor="text1"/>
          <w:szCs w:val="26"/>
        </w:rPr>
        <w:t xml:space="preserve">subpoena would </w:t>
      </w:r>
      <w:proofErr w:type="gramStart"/>
      <w:r w:rsidR="00B02C4E" w:rsidRPr="006D50FA">
        <w:rPr>
          <w:color w:val="000000" w:themeColor="text1"/>
          <w:szCs w:val="26"/>
        </w:rPr>
        <w:t>take into account</w:t>
      </w:r>
      <w:proofErr w:type="gramEnd"/>
      <w:r w:rsidR="00B02C4E" w:rsidRPr="006D50FA">
        <w:rPr>
          <w:color w:val="000000" w:themeColor="text1"/>
          <w:szCs w:val="26"/>
        </w:rPr>
        <w:t xml:space="preserve"> the </w:t>
      </w:r>
      <w:r w:rsidR="00F162B9">
        <w:rPr>
          <w:color w:val="000000" w:themeColor="text1"/>
          <w:szCs w:val="26"/>
        </w:rPr>
        <w:t>likelihood of that</w:t>
      </w:r>
      <w:r w:rsidR="00FC65F4">
        <w:rPr>
          <w:color w:val="000000" w:themeColor="text1"/>
          <w:szCs w:val="26"/>
        </w:rPr>
        <w:t xml:space="preserve"> </w:t>
      </w:r>
      <w:r w:rsidR="00F162B9">
        <w:rPr>
          <w:color w:val="000000" w:themeColor="text1"/>
          <w:szCs w:val="26"/>
        </w:rPr>
        <w:t xml:space="preserve">the </w:t>
      </w:r>
      <w:r w:rsidR="00FC65F4">
        <w:rPr>
          <w:color w:val="000000" w:themeColor="text1"/>
          <w:szCs w:val="26"/>
        </w:rPr>
        <w:t>a</w:t>
      </w:r>
      <w:r w:rsidR="00F162B9">
        <w:rPr>
          <w:color w:val="000000" w:themeColor="text1"/>
          <w:szCs w:val="26"/>
        </w:rPr>
        <w:t>sserted</w:t>
      </w:r>
      <w:r w:rsidR="00FC65F4">
        <w:rPr>
          <w:color w:val="000000" w:themeColor="text1"/>
          <w:szCs w:val="26"/>
        </w:rPr>
        <w:t xml:space="preserve"> </w:t>
      </w:r>
      <w:r w:rsidR="00712754" w:rsidRPr="006D50FA">
        <w:rPr>
          <w:color w:val="000000" w:themeColor="text1"/>
          <w:szCs w:val="26"/>
        </w:rPr>
        <w:t>connection</w:t>
      </w:r>
      <w:r w:rsidR="00FC65F4">
        <w:rPr>
          <w:color w:val="000000" w:themeColor="text1"/>
          <w:szCs w:val="26"/>
        </w:rPr>
        <w:t xml:space="preserve"> </w:t>
      </w:r>
      <w:r w:rsidR="00CC6443" w:rsidRPr="006D50FA">
        <w:rPr>
          <w:color w:val="000000" w:themeColor="text1"/>
        </w:rPr>
        <w:t xml:space="preserve">between </w:t>
      </w:r>
      <w:r w:rsidR="007162DF" w:rsidRPr="006D50FA">
        <w:rPr>
          <w:color w:val="000000" w:themeColor="text1"/>
        </w:rPr>
        <w:t xml:space="preserve">an </w:t>
      </w:r>
      <w:r w:rsidR="00CC6443" w:rsidRPr="006D50FA">
        <w:rPr>
          <w:color w:val="000000" w:themeColor="text1"/>
        </w:rPr>
        <w:t xml:space="preserve">underlying crime and </w:t>
      </w:r>
      <w:r w:rsidR="00BD62A2" w:rsidRPr="006D50FA">
        <w:rPr>
          <w:color w:val="000000" w:themeColor="text1"/>
        </w:rPr>
        <w:t xml:space="preserve">any sought </w:t>
      </w:r>
      <w:r w:rsidR="000F4BC2" w:rsidRPr="00665DC3">
        <w:rPr>
          <w:color w:val="000000" w:themeColor="text1"/>
        </w:rPr>
        <w:t>private communications</w:t>
      </w:r>
      <w:r w:rsidR="000F4BC2" w:rsidRPr="00B305F9">
        <w:rPr>
          <w:color w:val="000000" w:themeColor="text1"/>
        </w:rPr>
        <w:t xml:space="preserve"> </w:t>
      </w:r>
      <w:r w:rsidR="00E37898" w:rsidRPr="00B305F9">
        <w:rPr>
          <w:color w:val="000000" w:themeColor="text1"/>
        </w:rPr>
        <w:t>actually</w:t>
      </w:r>
      <w:r w:rsidR="00E37898">
        <w:rPr>
          <w:color w:val="000000" w:themeColor="text1"/>
        </w:rPr>
        <w:t xml:space="preserve"> </w:t>
      </w:r>
      <w:r w:rsidR="00F162B9">
        <w:rPr>
          <w:color w:val="000000" w:themeColor="text1"/>
          <w:szCs w:val="26"/>
        </w:rPr>
        <w:t>exists</w:t>
      </w:r>
      <w:r w:rsidR="007D3DFE" w:rsidRPr="006D50FA">
        <w:rPr>
          <w:color w:val="000000" w:themeColor="text1"/>
          <w:szCs w:val="26"/>
        </w:rPr>
        <w:t xml:space="preserve">. </w:t>
      </w:r>
      <w:r w:rsidR="004D7694" w:rsidRPr="006D50FA">
        <w:rPr>
          <w:color w:val="000000" w:themeColor="text1"/>
          <w:szCs w:val="26"/>
        </w:rPr>
        <w:t xml:space="preserve"> </w:t>
      </w:r>
    </w:p>
    <w:p w14:paraId="3CDD8EFC" w14:textId="2E0D0ACF" w:rsidR="00C630AD" w:rsidRDefault="00D23521" w:rsidP="00EA0331">
      <w:pPr>
        <w:ind w:firstLine="720"/>
        <w:rPr>
          <w:color w:val="000000" w:themeColor="text1"/>
          <w:szCs w:val="26"/>
        </w:rPr>
      </w:pPr>
      <w:r w:rsidRPr="006D50FA">
        <w:rPr>
          <w:color w:val="000000" w:themeColor="text1"/>
        </w:rPr>
        <w:t>Finally, we note that in the present circumstances, the California Constitution, as amended to incorporate</w:t>
      </w:r>
      <w:r w:rsidRPr="006D50FA">
        <w:rPr>
          <w:color w:val="000000" w:themeColor="text1"/>
          <w:szCs w:val="26"/>
        </w:rPr>
        <w:t xml:space="preserve"> </w:t>
      </w:r>
      <w:proofErr w:type="spellStart"/>
      <w:r w:rsidRPr="006D50FA">
        <w:rPr>
          <w:color w:val="000000" w:themeColor="text1"/>
        </w:rPr>
        <w:t>Marsy’s</w:t>
      </w:r>
      <w:proofErr w:type="spellEnd"/>
      <w:r w:rsidRPr="006D50FA">
        <w:rPr>
          <w:color w:val="000000" w:themeColor="text1"/>
        </w:rPr>
        <w:t xml:space="preserve"> Law</w:t>
      </w:r>
      <w:r w:rsidRPr="006D50FA">
        <w:rPr>
          <w:color w:val="000000" w:themeColor="text1"/>
          <w:szCs w:val="26"/>
        </w:rPr>
        <w:t>, calls for yet additional special inquiry.  (Cal. Const., art.</w:t>
      </w:r>
      <w:r w:rsidR="00773D1C" w:rsidRPr="006D50FA">
        <w:rPr>
          <w:color w:val="000000" w:themeColor="text1"/>
          <w:szCs w:val="26"/>
        </w:rPr>
        <w:t> </w:t>
      </w:r>
      <w:r w:rsidRPr="006D50FA">
        <w:rPr>
          <w:color w:val="000000" w:themeColor="text1"/>
          <w:szCs w:val="26"/>
        </w:rPr>
        <w:t>I, §</w:t>
      </w:r>
      <w:r w:rsidR="00D445F3" w:rsidRPr="006D50FA">
        <w:rPr>
          <w:color w:val="000000" w:themeColor="text1"/>
          <w:szCs w:val="26"/>
        </w:rPr>
        <w:t xml:space="preserve"> </w:t>
      </w:r>
      <w:r w:rsidRPr="006D50FA">
        <w:rPr>
          <w:color w:val="000000" w:themeColor="text1"/>
          <w:szCs w:val="26"/>
        </w:rPr>
        <w:t xml:space="preserve">28, subds. (b)(4), (b)(5), (c).)  </w:t>
      </w:r>
      <w:r w:rsidRPr="006D50FA">
        <w:rPr>
          <w:color w:val="000000" w:themeColor="text1"/>
        </w:rPr>
        <w:t xml:space="preserve">As alluded to earlier, the subpoena seeking Renteria’s </w:t>
      </w:r>
      <w:r w:rsidRPr="008A4B7E">
        <w:rPr>
          <w:color w:val="000000" w:themeColor="text1"/>
        </w:rPr>
        <w:t>private communications implicates</w:t>
      </w:r>
      <w:r w:rsidRPr="006D50FA">
        <w:rPr>
          <w:color w:val="000000" w:themeColor="text1"/>
        </w:rPr>
        <w:t xml:space="preserve"> </w:t>
      </w:r>
      <w:r w:rsidRPr="006D50FA">
        <w:rPr>
          <w:color w:val="000000" w:themeColor="text1"/>
          <w:szCs w:val="26"/>
        </w:rPr>
        <w:t>th</w:t>
      </w:r>
      <w:r w:rsidR="008173C9" w:rsidRPr="006D50FA">
        <w:rPr>
          <w:color w:val="000000" w:themeColor="text1"/>
          <w:szCs w:val="26"/>
        </w:rPr>
        <w:t>ese</w:t>
      </w:r>
      <w:r w:rsidRPr="006D50FA">
        <w:rPr>
          <w:color w:val="000000" w:themeColor="text1"/>
          <w:szCs w:val="26"/>
        </w:rPr>
        <w:t xml:space="preserve"> constitutional provisions, which recognize a victim’s right to prevent disclosure of matters “otherwise privileged or confidential by law” (</w:t>
      </w:r>
      <w:r w:rsidR="000B7415" w:rsidRPr="006D50FA">
        <w:rPr>
          <w:i/>
          <w:iCs/>
          <w:color w:val="000000" w:themeColor="text1"/>
          <w:szCs w:val="26"/>
        </w:rPr>
        <w:t>i</w:t>
      </w:r>
      <w:r w:rsidR="00D445F3" w:rsidRPr="006D50FA">
        <w:rPr>
          <w:i/>
          <w:iCs/>
          <w:color w:val="000000" w:themeColor="text1"/>
          <w:szCs w:val="26"/>
        </w:rPr>
        <w:t>d.</w:t>
      </w:r>
      <w:r w:rsidR="00D445F3" w:rsidRPr="006D50FA">
        <w:rPr>
          <w:color w:val="000000" w:themeColor="text1"/>
          <w:szCs w:val="26"/>
        </w:rPr>
        <w:t xml:space="preserve">, at </w:t>
      </w:r>
      <w:r w:rsidRPr="006D50FA">
        <w:rPr>
          <w:color w:val="000000" w:themeColor="text1"/>
          <w:szCs w:val="26"/>
        </w:rPr>
        <w:t>subd. (b)(4)) and to refuse a discovery request by a defendant (</w:t>
      </w:r>
      <w:r w:rsidR="003007FD" w:rsidRPr="006D50FA">
        <w:rPr>
          <w:i/>
          <w:iCs/>
          <w:color w:val="000000" w:themeColor="text1"/>
          <w:szCs w:val="26"/>
        </w:rPr>
        <w:t>i</w:t>
      </w:r>
      <w:r w:rsidR="00D445F3" w:rsidRPr="006D50FA">
        <w:rPr>
          <w:i/>
          <w:iCs/>
          <w:color w:val="000000" w:themeColor="text1"/>
          <w:szCs w:val="26"/>
        </w:rPr>
        <w:t>d.</w:t>
      </w:r>
      <w:r w:rsidR="00D445F3" w:rsidRPr="006D50FA">
        <w:rPr>
          <w:color w:val="000000" w:themeColor="text1"/>
          <w:szCs w:val="26"/>
        </w:rPr>
        <w:t xml:space="preserve">, at </w:t>
      </w:r>
      <w:r w:rsidRPr="006D50FA">
        <w:rPr>
          <w:color w:val="000000" w:themeColor="text1"/>
          <w:szCs w:val="26"/>
        </w:rPr>
        <w:t xml:space="preserve">subd. (b)(5)).  Moreover, subdivision (c)(1) </w:t>
      </w:r>
      <w:r w:rsidR="00DE3172" w:rsidRPr="006D50FA">
        <w:rPr>
          <w:color w:val="000000" w:themeColor="text1"/>
          <w:szCs w:val="26"/>
        </w:rPr>
        <w:t xml:space="preserve">of section 28 </w:t>
      </w:r>
      <w:r w:rsidRPr="006D50FA">
        <w:rPr>
          <w:color w:val="000000" w:themeColor="text1"/>
          <w:szCs w:val="26"/>
        </w:rPr>
        <w:t xml:space="preserve">allows the prosecution to enforce a victim’s rights under subdivision (b).  We have observed that these provisions contemplate “that the victim and </w:t>
      </w:r>
      <w:r w:rsidR="00EF4DB9" w:rsidRPr="006D50FA">
        <w:rPr>
          <w:color w:val="000000" w:themeColor="text1"/>
          <w:szCs w:val="26"/>
        </w:rPr>
        <w:t xml:space="preserve">the </w:t>
      </w:r>
      <w:r w:rsidRPr="006D50FA">
        <w:rPr>
          <w:color w:val="000000" w:themeColor="text1"/>
          <w:szCs w:val="26"/>
        </w:rPr>
        <w:t>prosecuting attorney would be aware that the defense had subpoenaed confidential records regarding the victim from third parties.”  (</w:t>
      </w:r>
      <w:r w:rsidRPr="006D50FA">
        <w:rPr>
          <w:i/>
          <w:color w:val="000000" w:themeColor="text1"/>
          <w:szCs w:val="26"/>
        </w:rPr>
        <w:t>Kling, supra</w:t>
      </w:r>
      <w:r w:rsidRPr="006D50FA">
        <w:rPr>
          <w:color w:val="000000" w:themeColor="text1"/>
          <w:szCs w:val="26"/>
        </w:rPr>
        <w:t xml:space="preserve">, </w:t>
      </w:r>
      <w:r w:rsidR="00EC32AA" w:rsidRPr="006D50FA">
        <w:rPr>
          <w:color w:val="000000" w:themeColor="text1"/>
          <w:szCs w:val="26"/>
        </w:rPr>
        <w:t>50 Cal.4th 1068,</w:t>
      </w:r>
      <w:r w:rsidRPr="006D50FA">
        <w:rPr>
          <w:color w:val="000000" w:themeColor="text1"/>
          <w:szCs w:val="26"/>
        </w:rPr>
        <w:t xml:space="preserve"> 1080.)  Accordingly, </w:t>
      </w:r>
      <w:r w:rsidR="00AA7545" w:rsidRPr="006D50FA">
        <w:rPr>
          <w:color w:val="000000" w:themeColor="text1"/>
          <w:szCs w:val="26"/>
        </w:rPr>
        <w:t xml:space="preserve">in circumstances like those here </w:t>
      </w:r>
      <w:r w:rsidR="007206E8" w:rsidRPr="006D50FA">
        <w:rPr>
          <w:color w:val="000000" w:themeColor="text1"/>
          <w:szCs w:val="26"/>
        </w:rPr>
        <w:t xml:space="preserve">it would be appropriate to </w:t>
      </w:r>
      <w:r w:rsidRPr="006D50FA">
        <w:rPr>
          <w:color w:val="000000" w:themeColor="text1"/>
          <w:szCs w:val="26"/>
        </w:rPr>
        <w:t>inquire whether</w:t>
      </w:r>
      <w:r w:rsidR="00672836" w:rsidRPr="006D50FA">
        <w:rPr>
          <w:color w:val="000000" w:themeColor="text1"/>
          <w:szCs w:val="26"/>
        </w:rPr>
        <w:t xml:space="preserve"> </w:t>
      </w:r>
      <w:r w:rsidRPr="006D50FA">
        <w:rPr>
          <w:color w:val="000000" w:themeColor="text1"/>
          <w:szCs w:val="26"/>
        </w:rPr>
        <w:t xml:space="preserve">such notice </w:t>
      </w:r>
      <w:r w:rsidR="00401FDC" w:rsidRPr="006D50FA">
        <w:rPr>
          <w:color w:val="000000" w:themeColor="text1"/>
          <w:szCs w:val="26"/>
        </w:rPr>
        <w:t xml:space="preserve">has been, or should be, </w:t>
      </w:r>
      <w:r w:rsidRPr="006D50FA">
        <w:rPr>
          <w:color w:val="000000" w:themeColor="text1"/>
          <w:szCs w:val="26"/>
        </w:rPr>
        <w:t>provided.</w:t>
      </w:r>
      <w:r w:rsidR="002C2183" w:rsidRPr="006D50FA">
        <w:rPr>
          <w:rStyle w:val="FootnoteReference"/>
          <w:color w:val="000000" w:themeColor="text1"/>
          <w:szCs w:val="26"/>
        </w:rPr>
        <w:footnoteReference w:id="14"/>
      </w:r>
      <w:r w:rsidR="00C630AD">
        <w:rPr>
          <w:color w:val="000000" w:themeColor="text1"/>
          <w:szCs w:val="26"/>
        </w:rPr>
        <w:br w:type="page"/>
      </w:r>
    </w:p>
    <w:p w14:paraId="15E7B36B" w14:textId="65BC93FB" w:rsidR="003C2011" w:rsidRPr="008C580C" w:rsidRDefault="003C2011" w:rsidP="00EA0331">
      <w:pPr>
        <w:pStyle w:val="Heading1"/>
        <w:ind w:left="1440" w:right="1440"/>
        <w:rPr>
          <w:color w:val="000000" w:themeColor="text1"/>
        </w:rPr>
      </w:pPr>
      <w:r w:rsidRPr="008C580C">
        <w:rPr>
          <w:color w:val="000000" w:themeColor="text1"/>
        </w:rPr>
        <w:lastRenderedPageBreak/>
        <w:t xml:space="preserve">V.  </w:t>
      </w:r>
      <w:r w:rsidRPr="00A75F56">
        <w:rPr>
          <w:color w:val="000000" w:themeColor="text1"/>
        </w:rPr>
        <w:t xml:space="preserve">The Underlying </w:t>
      </w:r>
      <w:r w:rsidR="00E71287" w:rsidRPr="00A75F56">
        <w:rPr>
          <w:color w:val="000000" w:themeColor="text1"/>
        </w:rPr>
        <w:t xml:space="preserve">Hearing on the </w:t>
      </w:r>
      <w:r w:rsidR="00786946" w:rsidRPr="00A75F56">
        <w:rPr>
          <w:color w:val="000000" w:themeColor="text1"/>
        </w:rPr>
        <w:t>M</w:t>
      </w:r>
      <w:r w:rsidR="00E71287" w:rsidRPr="00A75F56">
        <w:rPr>
          <w:color w:val="000000" w:themeColor="text1"/>
        </w:rPr>
        <w:t xml:space="preserve">otion to </w:t>
      </w:r>
      <w:r w:rsidR="00786946" w:rsidRPr="00A75F56">
        <w:rPr>
          <w:color w:val="000000" w:themeColor="text1"/>
        </w:rPr>
        <w:t>Q</w:t>
      </w:r>
      <w:r w:rsidR="00E71287" w:rsidRPr="00A75F56">
        <w:rPr>
          <w:color w:val="000000" w:themeColor="text1"/>
        </w:rPr>
        <w:t>uash, and the Court’s Ruling Upholding the Subpoena to Facebook</w:t>
      </w:r>
      <w:r w:rsidRPr="008C580C">
        <w:rPr>
          <w:color w:val="000000" w:themeColor="text1"/>
        </w:rPr>
        <w:t xml:space="preserve"> </w:t>
      </w:r>
    </w:p>
    <w:p w14:paraId="74DAC5E4" w14:textId="08DCC2DE" w:rsidR="002A35C8" w:rsidRPr="008C580C" w:rsidRDefault="00DA6308" w:rsidP="00EA0331">
      <w:pPr>
        <w:ind w:firstLine="720"/>
        <w:rPr>
          <w:color w:val="000000" w:themeColor="text1"/>
        </w:rPr>
      </w:pPr>
      <w:r w:rsidRPr="008C580C">
        <w:rPr>
          <w:color w:val="000000" w:themeColor="text1"/>
        </w:rPr>
        <w:t>T</w:t>
      </w:r>
      <w:r w:rsidR="002A35C8" w:rsidRPr="008C580C">
        <w:rPr>
          <w:color w:val="000000" w:themeColor="text1"/>
        </w:rPr>
        <w:t xml:space="preserve">he </w:t>
      </w:r>
      <w:r w:rsidR="008C142F" w:rsidRPr="008C580C">
        <w:rPr>
          <w:color w:val="000000" w:themeColor="text1"/>
        </w:rPr>
        <w:t xml:space="preserve">superior court </w:t>
      </w:r>
      <w:r w:rsidR="002A35C8" w:rsidRPr="008C580C">
        <w:rPr>
          <w:color w:val="000000" w:themeColor="text1"/>
        </w:rPr>
        <w:t>jud</w:t>
      </w:r>
      <w:r w:rsidR="008C142F" w:rsidRPr="008C580C">
        <w:rPr>
          <w:color w:val="000000" w:themeColor="text1"/>
        </w:rPr>
        <w:t xml:space="preserve">ge </w:t>
      </w:r>
      <w:r w:rsidR="002A35C8" w:rsidRPr="008C580C">
        <w:rPr>
          <w:color w:val="000000" w:themeColor="text1"/>
        </w:rPr>
        <w:t>who conducted the hearing on the motion to quash (and who</w:t>
      </w:r>
      <w:r w:rsidR="00867030" w:rsidRPr="008C580C">
        <w:rPr>
          <w:color w:val="000000" w:themeColor="text1"/>
        </w:rPr>
        <w:t xml:space="preserve"> </w:t>
      </w:r>
      <w:r w:rsidR="002A35C8" w:rsidRPr="008C580C">
        <w:rPr>
          <w:color w:val="000000" w:themeColor="text1"/>
          <w:szCs w:val="26"/>
        </w:rPr>
        <w:t xml:space="preserve">had not been involved in any of the earlier proceedings in this matter) </w:t>
      </w:r>
      <w:r w:rsidR="002A35C8" w:rsidRPr="008C580C">
        <w:rPr>
          <w:color w:val="000000" w:themeColor="text1"/>
        </w:rPr>
        <w:t xml:space="preserve">denied the motion, finding good cause for the subpoena.  </w:t>
      </w:r>
      <w:r w:rsidR="00D7616D" w:rsidRPr="008C580C">
        <w:rPr>
          <w:color w:val="000000" w:themeColor="text1"/>
        </w:rPr>
        <w:t>N</w:t>
      </w:r>
      <w:r w:rsidR="002A35C8" w:rsidRPr="008C580C">
        <w:rPr>
          <w:color w:val="000000" w:themeColor="text1"/>
          <w:szCs w:val="26"/>
        </w:rPr>
        <w:t xml:space="preserve">either </w:t>
      </w:r>
      <w:r w:rsidR="002A35C8" w:rsidRPr="008C580C">
        <w:rPr>
          <w:color w:val="000000" w:themeColor="text1"/>
        </w:rPr>
        <w:t xml:space="preserve">the reporter’s transcript of the hearing, nor the resulting minute order, reflects that the </w:t>
      </w:r>
      <w:r w:rsidR="00CE5351" w:rsidRPr="008C580C">
        <w:rPr>
          <w:color w:val="000000" w:themeColor="text1"/>
        </w:rPr>
        <w:t xml:space="preserve">court </w:t>
      </w:r>
      <w:r w:rsidR="002A35C8" w:rsidRPr="008C580C">
        <w:rPr>
          <w:color w:val="000000" w:themeColor="text1"/>
        </w:rPr>
        <w:t xml:space="preserve">expressly considered and balanced the most relevant </w:t>
      </w:r>
      <w:r w:rsidR="00A75F56" w:rsidRPr="004B4421">
        <w:rPr>
          <w:i/>
          <w:iCs/>
          <w:color w:val="000000" w:themeColor="text1"/>
        </w:rPr>
        <w:t>Alhambra</w:t>
      </w:r>
      <w:r w:rsidR="00A75F56" w:rsidRPr="00A75F56">
        <w:rPr>
          <w:color w:val="000000" w:themeColor="text1"/>
        </w:rPr>
        <w:t xml:space="preserve"> </w:t>
      </w:r>
      <w:r w:rsidR="002A35C8" w:rsidRPr="008C580C">
        <w:rPr>
          <w:color w:val="000000" w:themeColor="text1"/>
        </w:rPr>
        <w:t xml:space="preserve">factors.  </w:t>
      </w:r>
    </w:p>
    <w:p w14:paraId="07E6BA9C" w14:textId="03DF3898" w:rsidR="002A35C8" w:rsidRPr="008C580C" w:rsidRDefault="002A35C8" w:rsidP="00EA0331">
      <w:pPr>
        <w:ind w:firstLine="720"/>
        <w:rPr>
          <w:color w:val="000000" w:themeColor="text1"/>
        </w:rPr>
      </w:pPr>
      <w:r w:rsidRPr="008C580C">
        <w:rPr>
          <w:color w:val="000000" w:themeColor="text1"/>
        </w:rPr>
        <w:t>Specifically, the</w:t>
      </w:r>
      <w:r w:rsidR="00472103" w:rsidRPr="008C580C">
        <w:rPr>
          <w:color w:val="000000" w:themeColor="text1"/>
        </w:rPr>
        <w:t xml:space="preserve">re </w:t>
      </w:r>
      <w:r w:rsidR="007C189C" w:rsidRPr="008C580C">
        <w:rPr>
          <w:color w:val="000000" w:themeColor="text1"/>
        </w:rPr>
        <w:t xml:space="preserve">was </w:t>
      </w:r>
      <w:r w:rsidR="00472103" w:rsidRPr="008C580C">
        <w:rPr>
          <w:color w:val="000000" w:themeColor="text1"/>
        </w:rPr>
        <w:t xml:space="preserve">no </w:t>
      </w:r>
      <w:r w:rsidR="006025D1" w:rsidRPr="008C580C">
        <w:rPr>
          <w:color w:val="000000" w:themeColor="text1"/>
        </w:rPr>
        <w:t xml:space="preserve">express </w:t>
      </w:r>
      <w:r w:rsidRPr="008C580C">
        <w:rPr>
          <w:color w:val="000000" w:themeColor="text1"/>
        </w:rPr>
        <w:t>mention</w:t>
      </w:r>
      <w:r w:rsidR="007333FB" w:rsidRPr="008C580C">
        <w:rPr>
          <w:color w:val="000000" w:themeColor="text1"/>
        </w:rPr>
        <w:t xml:space="preserve"> of</w:t>
      </w:r>
      <w:r w:rsidRPr="008C580C">
        <w:rPr>
          <w:color w:val="000000" w:themeColor="text1"/>
        </w:rPr>
        <w:t xml:space="preserve">, let alone </w:t>
      </w:r>
      <w:r w:rsidR="00D61D5B" w:rsidRPr="008C580C">
        <w:rPr>
          <w:color w:val="000000" w:themeColor="text1"/>
        </w:rPr>
        <w:t xml:space="preserve">explicit </w:t>
      </w:r>
      <w:r w:rsidR="00044D0D" w:rsidRPr="008C580C">
        <w:rPr>
          <w:color w:val="000000" w:themeColor="text1"/>
        </w:rPr>
        <w:t>assess</w:t>
      </w:r>
      <w:r w:rsidR="007C189C" w:rsidRPr="008C580C">
        <w:rPr>
          <w:color w:val="000000" w:themeColor="text1"/>
        </w:rPr>
        <w:t>ment</w:t>
      </w:r>
      <w:r w:rsidR="006D0636" w:rsidRPr="008C580C">
        <w:rPr>
          <w:color w:val="000000" w:themeColor="text1"/>
        </w:rPr>
        <w:t xml:space="preserve"> concerning</w:t>
      </w:r>
      <w:r w:rsidR="007C189C" w:rsidRPr="008C580C">
        <w:rPr>
          <w:color w:val="000000" w:themeColor="text1"/>
        </w:rPr>
        <w:t xml:space="preserve">, </w:t>
      </w:r>
      <w:r w:rsidRPr="008C580C">
        <w:rPr>
          <w:color w:val="000000" w:themeColor="text1"/>
        </w:rPr>
        <w:t xml:space="preserve">the primary </w:t>
      </w:r>
      <w:proofErr w:type="gramStart"/>
      <w:r w:rsidRPr="008C580C">
        <w:rPr>
          <w:color w:val="000000" w:themeColor="text1"/>
        </w:rPr>
        <w:t>good cause</w:t>
      </w:r>
      <w:proofErr w:type="gramEnd"/>
      <w:r w:rsidRPr="008C580C">
        <w:rPr>
          <w:color w:val="000000" w:themeColor="text1"/>
        </w:rPr>
        <w:t xml:space="preserve"> factor — whether defendant ha</w:t>
      </w:r>
      <w:r w:rsidR="008C142F" w:rsidRPr="008C580C">
        <w:rPr>
          <w:color w:val="000000" w:themeColor="text1"/>
        </w:rPr>
        <w:t>d</w:t>
      </w:r>
      <w:r w:rsidRPr="008C580C">
        <w:rPr>
          <w:color w:val="000000" w:themeColor="text1"/>
        </w:rPr>
        <w:t xml:space="preserve"> shown plausible justification for acquiring crime victim Renteria’s </w:t>
      </w:r>
      <w:r w:rsidR="003739CE">
        <w:rPr>
          <w:color w:val="000000" w:themeColor="text1"/>
        </w:rPr>
        <w:t xml:space="preserve">restricted posts </w:t>
      </w:r>
      <w:r w:rsidR="00A85044">
        <w:rPr>
          <w:color w:val="000000" w:themeColor="text1"/>
        </w:rPr>
        <w:t>and</w:t>
      </w:r>
      <w:r w:rsidR="003739CE">
        <w:rPr>
          <w:color w:val="000000" w:themeColor="text1"/>
        </w:rPr>
        <w:t xml:space="preserve"> </w:t>
      </w:r>
      <w:r w:rsidRPr="008C580C">
        <w:rPr>
          <w:color w:val="000000" w:themeColor="text1"/>
        </w:rPr>
        <w:t xml:space="preserve">private messages.  Neither did the </w:t>
      </w:r>
      <w:r w:rsidR="00CE5351" w:rsidRPr="008C580C">
        <w:rPr>
          <w:color w:val="000000" w:themeColor="text1"/>
        </w:rPr>
        <w:t xml:space="preserve">court </w:t>
      </w:r>
      <w:r w:rsidRPr="008C580C">
        <w:rPr>
          <w:color w:val="000000" w:themeColor="text1"/>
        </w:rPr>
        <w:t>explicitly address the potential overbreadth of the subpoena</w:t>
      </w:r>
      <w:r w:rsidR="00EB0724" w:rsidRPr="008C580C">
        <w:rPr>
          <w:color w:val="000000" w:themeColor="text1"/>
        </w:rPr>
        <w:t xml:space="preserve">.  </w:t>
      </w:r>
      <w:r w:rsidR="007C0C73">
        <w:rPr>
          <w:color w:val="000000" w:themeColor="text1"/>
        </w:rPr>
        <w:t xml:space="preserve">Nor did </w:t>
      </w:r>
      <w:r w:rsidR="00EB0724" w:rsidRPr="008C580C">
        <w:rPr>
          <w:color w:val="000000" w:themeColor="text1"/>
        </w:rPr>
        <w:t xml:space="preserve">the </w:t>
      </w:r>
      <w:r w:rsidR="005C0CDA" w:rsidRPr="008C580C">
        <w:rPr>
          <w:color w:val="000000" w:themeColor="text1"/>
        </w:rPr>
        <w:t>court</w:t>
      </w:r>
      <w:r w:rsidR="009B12C0">
        <w:rPr>
          <w:color w:val="000000" w:themeColor="text1"/>
        </w:rPr>
        <w:t xml:space="preserve"> </w:t>
      </w:r>
      <w:proofErr w:type="gramStart"/>
      <w:r w:rsidR="00376C31">
        <w:rPr>
          <w:color w:val="000000" w:themeColor="text1"/>
        </w:rPr>
        <w:t xml:space="preserve">adequately </w:t>
      </w:r>
      <w:r w:rsidR="00B30373">
        <w:rPr>
          <w:color w:val="000000" w:themeColor="text1"/>
        </w:rPr>
        <w:t>consider</w:t>
      </w:r>
      <w:proofErr w:type="gramEnd"/>
      <w:r w:rsidR="00B30373">
        <w:rPr>
          <w:color w:val="000000" w:themeColor="text1"/>
        </w:rPr>
        <w:t xml:space="preserve"> defendant’s ability to obtain the material from other sources, such as the messages’ recipients, </w:t>
      </w:r>
      <w:r w:rsidR="007C0C73">
        <w:rPr>
          <w:color w:val="000000" w:themeColor="text1"/>
        </w:rPr>
        <w:t xml:space="preserve">or </w:t>
      </w:r>
      <w:r w:rsidR="00B30373">
        <w:rPr>
          <w:color w:val="000000" w:themeColor="text1"/>
        </w:rPr>
        <w:t>friends who could view Renteria’s restricted posts</w:t>
      </w:r>
      <w:r w:rsidR="003739CE">
        <w:rPr>
          <w:color w:val="000000" w:themeColor="text1"/>
        </w:rPr>
        <w:t xml:space="preserve"> </w:t>
      </w:r>
      <w:r w:rsidR="00A85044">
        <w:rPr>
          <w:color w:val="000000" w:themeColor="text1"/>
        </w:rPr>
        <w:t>and</w:t>
      </w:r>
      <w:r w:rsidR="003739CE">
        <w:rPr>
          <w:color w:val="000000" w:themeColor="text1"/>
        </w:rPr>
        <w:t xml:space="preserve"> private messages</w:t>
      </w:r>
      <w:r w:rsidR="00B30373">
        <w:rPr>
          <w:color w:val="000000" w:themeColor="text1"/>
        </w:rPr>
        <w:t>.</w:t>
      </w:r>
      <w:r w:rsidRPr="008C580C">
        <w:rPr>
          <w:color w:val="000000" w:themeColor="text1"/>
        </w:rPr>
        <w:t xml:space="preserve">  </w:t>
      </w:r>
      <w:r w:rsidR="007C0C73" w:rsidRPr="008C580C">
        <w:rPr>
          <w:color w:val="000000" w:themeColor="text1"/>
        </w:rPr>
        <w:t xml:space="preserve">The court did consider, and </w:t>
      </w:r>
      <w:proofErr w:type="gramStart"/>
      <w:r w:rsidR="007C0C73" w:rsidRPr="008C580C">
        <w:rPr>
          <w:color w:val="000000" w:themeColor="text1"/>
        </w:rPr>
        <w:t>evidently credited</w:t>
      </w:r>
      <w:proofErr w:type="gramEnd"/>
      <w:r w:rsidR="007C0C73" w:rsidRPr="008C580C">
        <w:rPr>
          <w:color w:val="000000" w:themeColor="text1"/>
        </w:rPr>
        <w:t>, defense counsel’s assertion that Renteria would not</w:t>
      </w:r>
      <w:r w:rsidR="007C0C73">
        <w:rPr>
          <w:color w:val="000000" w:themeColor="text1"/>
        </w:rPr>
        <w:t xml:space="preserve"> </w:t>
      </w:r>
      <w:r w:rsidR="007C0C73" w:rsidRPr="008C580C">
        <w:rPr>
          <w:color w:val="000000" w:themeColor="text1"/>
        </w:rPr>
        <w:t xml:space="preserve">be a </w:t>
      </w:r>
      <w:r w:rsidR="007C0C73">
        <w:rPr>
          <w:color w:val="000000" w:themeColor="text1"/>
        </w:rPr>
        <w:t xml:space="preserve">reliable </w:t>
      </w:r>
      <w:r w:rsidR="007C0C73" w:rsidRPr="008C580C">
        <w:rPr>
          <w:color w:val="000000" w:themeColor="text1"/>
        </w:rPr>
        <w:t xml:space="preserve">source for </w:t>
      </w:r>
      <w:r w:rsidR="007C0C73">
        <w:rPr>
          <w:color w:val="000000" w:themeColor="text1"/>
        </w:rPr>
        <w:t xml:space="preserve">handing over </w:t>
      </w:r>
      <w:r w:rsidR="007C0C73" w:rsidRPr="008C580C">
        <w:rPr>
          <w:color w:val="000000" w:themeColor="text1"/>
        </w:rPr>
        <w:t>the communications</w:t>
      </w:r>
      <w:r w:rsidR="007C0C73">
        <w:rPr>
          <w:color w:val="000000" w:themeColor="text1"/>
        </w:rPr>
        <w:t xml:space="preserve">.  </w:t>
      </w:r>
      <w:r w:rsidR="00572AEB">
        <w:rPr>
          <w:color w:val="000000" w:themeColor="text1"/>
        </w:rPr>
        <w:t>Yet</w:t>
      </w:r>
      <w:r w:rsidRPr="008C580C">
        <w:rPr>
          <w:color w:val="000000" w:themeColor="text1"/>
        </w:rPr>
        <w:t xml:space="preserve"> </w:t>
      </w:r>
      <w:r w:rsidR="00CE5351" w:rsidRPr="008C580C">
        <w:rPr>
          <w:color w:val="000000" w:themeColor="text1"/>
        </w:rPr>
        <w:t>nothing in the record</w:t>
      </w:r>
      <w:r w:rsidR="001E2B12" w:rsidRPr="008C580C">
        <w:rPr>
          <w:color w:val="000000" w:themeColor="text1"/>
        </w:rPr>
        <w:t xml:space="preserve"> </w:t>
      </w:r>
      <w:r w:rsidR="00FA33F4" w:rsidRPr="008C580C">
        <w:rPr>
          <w:color w:val="000000" w:themeColor="text1"/>
        </w:rPr>
        <w:t xml:space="preserve">suggests </w:t>
      </w:r>
      <w:r w:rsidR="001E2B12" w:rsidRPr="008C580C">
        <w:rPr>
          <w:color w:val="000000" w:themeColor="text1"/>
        </w:rPr>
        <w:t xml:space="preserve">that </w:t>
      </w:r>
      <w:r w:rsidRPr="008C580C">
        <w:rPr>
          <w:color w:val="000000" w:themeColor="text1"/>
        </w:rPr>
        <w:t xml:space="preserve">the </w:t>
      </w:r>
      <w:r w:rsidR="00CE5351" w:rsidRPr="008C580C">
        <w:rPr>
          <w:color w:val="000000" w:themeColor="text1"/>
        </w:rPr>
        <w:t xml:space="preserve">court </w:t>
      </w:r>
      <w:r w:rsidR="00044D0D" w:rsidRPr="008C580C">
        <w:rPr>
          <w:color w:val="000000" w:themeColor="text1"/>
        </w:rPr>
        <w:t xml:space="preserve">assessed, </w:t>
      </w:r>
      <w:r w:rsidRPr="008C580C">
        <w:rPr>
          <w:color w:val="000000" w:themeColor="text1"/>
        </w:rPr>
        <w:t>or balance</w:t>
      </w:r>
      <w:r w:rsidR="001E2B12" w:rsidRPr="008C580C">
        <w:rPr>
          <w:color w:val="000000" w:themeColor="text1"/>
        </w:rPr>
        <w:t>d</w:t>
      </w:r>
      <w:r w:rsidRPr="008C580C">
        <w:rPr>
          <w:color w:val="000000" w:themeColor="text1"/>
        </w:rPr>
        <w:t>, any confidentiality or constitutional interest</w:t>
      </w:r>
      <w:r w:rsidR="001E2B12" w:rsidRPr="008C580C">
        <w:rPr>
          <w:color w:val="000000" w:themeColor="text1"/>
        </w:rPr>
        <w:t>s</w:t>
      </w:r>
      <w:r w:rsidRPr="008C580C">
        <w:rPr>
          <w:color w:val="000000" w:themeColor="text1"/>
        </w:rPr>
        <w:t xml:space="preserve"> </w:t>
      </w:r>
      <w:r w:rsidR="00890FC1" w:rsidRPr="008C580C">
        <w:rPr>
          <w:color w:val="000000" w:themeColor="text1"/>
        </w:rPr>
        <w:t xml:space="preserve">or </w:t>
      </w:r>
      <w:r w:rsidR="004B29E4" w:rsidRPr="008C580C">
        <w:rPr>
          <w:color w:val="000000" w:themeColor="text1"/>
        </w:rPr>
        <w:t xml:space="preserve">privileges </w:t>
      </w:r>
      <w:r w:rsidRPr="008C580C">
        <w:rPr>
          <w:color w:val="000000" w:themeColor="text1"/>
        </w:rPr>
        <w:t>that Renteria might have</w:t>
      </w:r>
      <w:r w:rsidR="00E327EC" w:rsidRPr="008C580C">
        <w:rPr>
          <w:color w:val="000000" w:themeColor="text1"/>
        </w:rPr>
        <w:t xml:space="preserve">, including </w:t>
      </w:r>
      <w:r w:rsidR="00A114CC" w:rsidRPr="008C580C">
        <w:rPr>
          <w:color w:val="000000" w:themeColor="text1"/>
        </w:rPr>
        <w:t xml:space="preserve">possible rights </w:t>
      </w:r>
      <w:r w:rsidR="00E327EC" w:rsidRPr="008C580C">
        <w:rPr>
          <w:color w:val="000000" w:themeColor="text1"/>
        </w:rPr>
        <w:t xml:space="preserve">under </w:t>
      </w:r>
      <w:proofErr w:type="spellStart"/>
      <w:r w:rsidR="00E327EC" w:rsidRPr="008C580C">
        <w:rPr>
          <w:color w:val="000000" w:themeColor="text1"/>
        </w:rPr>
        <w:t>Mar</w:t>
      </w:r>
      <w:r w:rsidR="005A2F2B" w:rsidRPr="008C580C">
        <w:rPr>
          <w:color w:val="000000" w:themeColor="text1"/>
        </w:rPr>
        <w:t>sy’s</w:t>
      </w:r>
      <w:proofErr w:type="spellEnd"/>
      <w:r w:rsidR="005A2F2B" w:rsidRPr="008C580C">
        <w:rPr>
          <w:color w:val="000000" w:themeColor="text1"/>
        </w:rPr>
        <w:t xml:space="preserve"> law,</w:t>
      </w:r>
      <w:r w:rsidRPr="008C580C">
        <w:rPr>
          <w:color w:val="000000" w:themeColor="text1"/>
        </w:rPr>
        <w:t xml:space="preserve"> in </w:t>
      </w:r>
      <w:r w:rsidR="00CF3CDE" w:rsidRPr="008C580C">
        <w:rPr>
          <w:color w:val="000000" w:themeColor="text1"/>
        </w:rPr>
        <w:t xml:space="preserve">securing notice and </w:t>
      </w:r>
      <w:r w:rsidRPr="008C580C">
        <w:rPr>
          <w:color w:val="000000" w:themeColor="text1"/>
        </w:rPr>
        <w:t xml:space="preserve">avoiding </w:t>
      </w:r>
      <w:r w:rsidR="00615F80" w:rsidRPr="008C580C">
        <w:rPr>
          <w:color w:val="000000" w:themeColor="text1"/>
        </w:rPr>
        <w:t xml:space="preserve">cooperation with defense counsel and </w:t>
      </w:r>
      <w:r w:rsidRPr="008C580C">
        <w:rPr>
          <w:color w:val="000000" w:themeColor="text1"/>
        </w:rPr>
        <w:t xml:space="preserve">disclosure of his restricted </w:t>
      </w:r>
      <w:r w:rsidR="00855AA4">
        <w:rPr>
          <w:color w:val="000000" w:themeColor="text1"/>
        </w:rPr>
        <w:t xml:space="preserve">posts </w:t>
      </w:r>
      <w:r w:rsidR="00970566">
        <w:rPr>
          <w:color w:val="000000" w:themeColor="text1"/>
        </w:rPr>
        <w:t>and</w:t>
      </w:r>
      <w:r w:rsidR="00855AA4">
        <w:rPr>
          <w:color w:val="000000" w:themeColor="text1"/>
        </w:rPr>
        <w:t xml:space="preserve"> </w:t>
      </w:r>
      <w:r w:rsidR="00590EEB" w:rsidRPr="008C580C">
        <w:rPr>
          <w:color w:val="000000" w:themeColor="text1"/>
        </w:rPr>
        <w:t>private messages</w:t>
      </w:r>
      <w:r w:rsidRPr="008C580C">
        <w:rPr>
          <w:color w:val="000000" w:themeColor="text1"/>
        </w:rPr>
        <w:t>.</w:t>
      </w:r>
      <w:r w:rsidR="001E2B12" w:rsidRPr="008C580C">
        <w:rPr>
          <w:color w:val="000000" w:themeColor="text1"/>
        </w:rPr>
        <w:t xml:space="preserve">  </w:t>
      </w:r>
    </w:p>
    <w:p w14:paraId="53A5A4B1" w14:textId="458252E7" w:rsidR="00CD6F10" w:rsidRPr="008C580C" w:rsidRDefault="008C142F" w:rsidP="00EA0331">
      <w:pPr>
        <w:ind w:firstLine="720"/>
        <w:rPr>
          <w:color w:val="000000" w:themeColor="text1"/>
        </w:rPr>
      </w:pPr>
      <w:r w:rsidRPr="008C580C">
        <w:rPr>
          <w:color w:val="000000" w:themeColor="text1"/>
        </w:rPr>
        <w:t xml:space="preserve">The absence of such </w:t>
      </w:r>
      <w:r w:rsidR="00CE5351" w:rsidRPr="008C580C">
        <w:rPr>
          <w:color w:val="000000" w:themeColor="text1"/>
        </w:rPr>
        <w:t xml:space="preserve">a record of </w:t>
      </w:r>
      <w:r w:rsidRPr="008C580C">
        <w:rPr>
          <w:color w:val="000000" w:themeColor="text1"/>
        </w:rPr>
        <w:t>consideration in the present case is</w:t>
      </w:r>
      <w:r w:rsidR="00D20A61" w:rsidRPr="008C580C">
        <w:rPr>
          <w:color w:val="000000" w:themeColor="text1"/>
        </w:rPr>
        <w:t xml:space="preserve"> </w:t>
      </w:r>
      <w:proofErr w:type="gramStart"/>
      <w:r w:rsidR="00D20A61" w:rsidRPr="008C580C">
        <w:rPr>
          <w:color w:val="000000" w:themeColor="text1"/>
        </w:rPr>
        <w:t xml:space="preserve">somewhat </w:t>
      </w:r>
      <w:r w:rsidRPr="008C580C">
        <w:rPr>
          <w:color w:val="000000" w:themeColor="text1"/>
        </w:rPr>
        <w:t>understandable</w:t>
      </w:r>
      <w:proofErr w:type="gramEnd"/>
      <w:r w:rsidRPr="008D28C2">
        <w:rPr>
          <w:color w:val="000000" w:themeColor="text1"/>
        </w:rPr>
        <w:t xml:space="preserve">.  </w:t>
      </w:r>
      <w:r w:rsidR="001531EB" w:rsidRPr="008D28C2">
        <w:rPr>
          <w:color w:val="000000" w:themeColor="text1"/>
        </w:rPr>
        <w:t>At th</w:t>
      </w:r>
      <w:r w:rsidR="006B71AE" w:rsidRPr="008D28C2">
        <w:rPr>
          <w:color w:val="000000" w:themeColor="text1"/>
        </w:rPr>
        <w:t xml:space="preserve">e time of the </w:t>
      </w:r>
      <w:r w:rsidR="006B71AE" w:rsidRPr="008D28C2">
        <w:rPr>
          <w:color w:val="000000" w:themeColor="text1"/>
        </w:rPr>
        <w:lastRenderedPageBreak/>
        <w:t>hearing</w:t>
      </w:r>
      <w:r w:rsidR="001531EB" w:rsidRPr="00427FF3">
        <w:rPr>
          <w:color w:val="000000" w:themeColor="text1"/>
        </w:rPr>
        <w:t xml:space="preserve">, </w:t>
      </w:r>
      <w:r w:rsidR="002A35C8" w:rsidRPr="004B4421">
        <w:rPr>
          <w:i/>
          <w:color w:val="000000" w:themeColor="text1"/>
        </w:rPr>
        <w:t>Alhambra</w:t>
      </w:r>
      <w:r w:rsidR="002A35C8" w:rsidRPr="004B4421">
        <w:rPr>
          <w:color w:val="000000" w:themeColor="text1"/>
        </w:rPr>
        <w:t>’s</w:t>
      </w:r>
      <w:r w:rsidR="002A35C8" w:rsidRPr="004B4421">
        <w:rPr>
          <w:i/>
          <w:color w:val="000000" w:themeColor="text1"/>
        </w:rPr>
        <w:t xml:space="preserve"> </w:t>
      </w:r>
      <w:r w:rsidRPr="004B4421">
        <w:rPr>
          <w:color w:val="000000" w:themeColor="text1"/>
        </w:rPr>
        <w:t xml:space="preserve">useful </w:t>
      </w:r>
      <w:r w:rsidR="002A35C8" w:rsidRPr="004B4421">
        <w:rPr>
          <w:color w:val="000000" w:themeColor="text1"/>
        </w:rPr>
        <w:t>seven-factor balancing summary</w:t>
      </w:r>
      <w:r w:rsidRPr="004B4421">
        <w:rPr>
          <w:color w:val="000000" w:themeColor="text1"/>
        </w:rPr>
        <w:t xml:space="preserve">, </w:t>
      </w:r>
      <w:r w:rsidR="001531EB" w:rsidRPr="004B4421">
        <w:rPr>
          <w:color w:val="000000" w:themeColor="text1"/>
        </w:rPr>
        <w:t xml:space="preserve">although </w:t>
      </w:r>
      <w:r w:rsidR="00C71158" w:rsidRPr="004B4421">
        <w:rPr>
          <w:color w:val="000000" w:themeColor="text1"/>
        </w:rPr>
        <w:t xml:space="preserve">having been </w:t>
      </w:r>
      <w:r w:rsidRPr="004B4421">
        <w:rPr>
          <w:color w:val="000000" w:themeColor="text1"/>
        </w:rPr>
        <w:t xml:space="preserve">set forth </w:t>
      </w:r>
      <w:r w:rsidR="00C71158" w:rsidRPr="004B4421">
        <w:rPr>
          <w:color w:val="000000" w:themeColor="text1"/>
        </w:rPr>
        <w:t xml:space="preserve">nearly </w:t>
      </w:r>
      <w:r w:rsidRPr="004B4421">
        <w:rPr>
          <w:color w:val="000000" w:themeColor="text1"/>
        </w:rPr>
        <w:t xml:space="preserve">30 years </w:t>
      </w:r>
      <w:r w:rsidR="008D48CC" w:rsidRPr="004B4421">
        <w:rPr>
          <w:color w:val="000000" w:themeColor="text1"/>
        </w:rPr>
        <w:t>p</w:t>
      </w:r>
      <w:r w:rsidR="00895DEF" w:rsidRPr="004B4421">
        <w:rPr>
          <w:color w:val="000000" w:themeColor="text1"/>
        </w:rPr>
        <w:t>rior</w:t>
      </w:r>
      <w:r w:rsidR="00685CD2" w:rsidRPr="004B4421">
        <w:rPr>
          <w:color w:val="000000" w:themeColor="text1"/>
        </w:rPr>
        <w:t xml:space="preserve">, </w:t>
      </w:r>
      <w:r w:rsidR="0018119C" w:rsidRPr="004B4421">
        <w:rPr>
          <w:color w:val="000000" w:themeColor="text1"/>
        </w:rPr>
        <w:t xml:space="preserve">had </w:t>
      </w:r>
      <w:r w:rsidR="00783E21" w:rsidRPr="004B4421">
        <w:rPr>
          <w:color w:val="000000" w:themeColor="text1"/>
        </w:rPr>
        <w:t xml:space="preserve">gone </w:t>
      </w:r>
      <w:r w:rsidR="002A35C8" w:rsidRPr="004B4421">
        <w:rPr>
          <w:color w:val="000000" w:themeColor="text1"/>
        </w:rPr>
        <w:t xml:space="preserve">uncited except for in the 2015 edition of Justice </w:t>
      </w:r>
      <w:proofErr w:type="spellStart"/>
      <w:r w:rsidR="002A35C8" w:rsidRPr="004B4421">
        <w:rPr>
          <w:color w:val="000000" w:themeColor="text1"/>
          <w:szCs w:val="26"/>
        </w:rPr>
        <w:t>Hoffs</w:t>
      </w:r>
      <w:r w:rsidR="002A35C8" w:rsidRPr="008C580C">
        <w:rPr>
          <w:color w:val="000000" w:themeColor="text1"/>
          <w:szCs w:val="26"/>
        </w:rPr>
        <w:t>tadt’s</w:t>
      </w:r>
      <w:proofErr w:type="spellEnd"/>
      <w:r w:rsidR="002A35C8" w:rsidRPr="008C580C">
        <w:rPr>
          <w:color w:val="000000" w:themeColor="text1"/>
          <w:szCs w:val="26"/>
        </w:rPr>
        <w:t xml:space="preserve"> California Criminal Discovery</w:t>
      </w:r>
      <w:r w:rsidR="002A35C8" w:rsidRPr="008C580C" w:rsidDel="007A63EF">
        <w:rPr>
          <w:color w:val="000000" w:themeColor="text1"/>
        </w:rPr>
        <w:t xml:space="preserve"> </w:t>
      </w:r>
      <w:r w:rsidR="002A35C8" w:rsidRPr="008C580C">
        <w:rPr>
          <w:color w:val="000000" w:themeColor="text1"/>
        </w:rPr>
        <w:t>treatise</w:t>
      </w:r>
      <w:r w:rsidR="00201596" w:rsidRPr="008C580C">
        <w:rPr>
          <w:color w:val="000000" w:themeColor="text1"/>
        </w:rPr>
        <w:t xml:space="preserve"> </w:t>
      </w:r>
      <w:r w:rsidR="00B37657" w:rsidRPr="008C580C">
        <w:rPr>
          <w:color w:val="000000" w:themeColor="text1"/>
        </w:rPr>
        <w:t xml:space="preserve">in a passage </w:t>
      </w:r>
      <w:r w:rsidR="00201596" w:rsidRPr="008C580C">
        <w:rPr>
          <w:color w:val="000000" w:themeColor="text1"/>
        </w:rPr>
        <w:t>addressing a trial court’s in camera review of produced documents</w:t>
      </w:r>
      <w:r w:rsidR="002A35C8" w:rsidRPr="008C580C">
        <w:rPr>
          <w:color w:val="000000" w:themeColor="text1"/>
        </w:rPr>
        <w:t xml:space="preserve">.  </w:t>
      </w:r>
      <w:r w:rsidR="00835C2C" w:rsidRPr="008C580C">
        <w:rPr>
          <w:color w:val="000000" w:themeColor="text1"/>
        </w:rPr>
        <w:t xml:space="preserve">(See </w:t>
      </w:r>
      <w:r w:rsidR="00835C2C" w:rsidRPr="008C580C">
        <w:rPr>
          <w:color w:val="000000" w:themeColor="text1"/>
          <w:szCs w:val="26"/>
        </w:rPr>
        <w:t>Hoffstadt</w:t>
      </w:r>
      <w:r w:rsidR="0072541C">
        <w:rPr>
          <w:color w:val="000000" w:themeColor="text1"/>
          <w:szCs w:val="26"/>
        </w:rPr>
        <w:t xml:space="preserve"> on</w:t>
      </w:r>
      <w:r w:rsidR="00835C2C" w:rsidRPr="008C580C">
        <w:rPr>
          <w:color w:val="000000" w:themeColor="text1"/>
          <w:szCs w:val="26"/>
        </w:rPr>
        <w:t xml:space="preserve"> Criminal Discovery</w:t>
      </w:r>
      <w:r w:rsidR="00605E4E" w:rsidRPr="008C580C">
        <w:rPr>
          <w:color w:val="000000" w:themeColor="text1"/>
          <w:szCs w:val="26"/>
        </w:rPr>
        <w:t xml:space="preserve">, </w:t>
      </w:r>
      <w:r w:rsidR="00605E4E" w:rsidRPr="008C580C">
        <w:rPr>
          <w:i/>
          <w:iCs/>
          <w:color w:val="000000" w:themeColor="text1"/>
          <w:szCs w:val="26"/>
        </w:rPr>
        <w:t>supra,</w:t>
      </w:r>
      <w:r w:rsidR="00605E4E" w:rsidRPr="008C580C">
        <w:rPr>
          <w:color w:val="000000" w:themeColor="text1"/>
          <w:szCs w:val="26"/>
        </w:rPr>
        <w:t xml:space="preserve"> at pp. </w:t>
      </w:r>
      <w:r w:rsidR="00605E4E" w:rsidRPr="008C580C">
        <w:rPr>
          <w:color w:val="000000" w:themeColor="text1"/>
        </w:rPr>
        <w:t>390</w:t>
      </w:r>
      <w:r w:rsidR="00EA3DB4">
        <w:rPr>
          <w:color w:val="000000" w:themeColor="text1"/>
        </w:rPr>
        <w:t>–</w:t>
      </w:r>
      <w:r w:rsidR="00605E4E" w:rsidRPr="008C580C">
        <w:rPr>
          <w:color w:val="000000" w:themeColor="text1"/>
        </w:rPr>
        <w:t xml:space="preserve">391.)  </w:t>
      </w:r>
    </w:p>
    <w:p w14:paraId="258E3B3C" w14:textId="33B34FD8" w:rsidR="002A35C8" w:rsidRPr="008C580C" w:rsidRDefault="005416D3" w:rsidP="00773D1C">
      <w:pPr>
        <w:pStyle w:val="PRComments"/>
        <w:spacing w:line="400" w:lineRule="exact"/>
        <w:ind w:right="0" w:firstLine="720"/>
        <w:rPr>
          <w:color w:val="000000" w:themeColor="text1"/>
        </w:rPr>
      </w:pPr>
      <w:bookmarkStart w:id="4" w:name="co_tempAnchor"/>
      <w:bookmarkEnd w:id="4"/>
      <w:r w:rsidRPr="008C580C">
        <w:rPr>
          <w:color w:val="000000" w:themeColor="text1"/>
        </w:rPr>
        <w:t xml:space="preserve">Nevertheless, </w:t>
      </w:r>
      <w:r w:rsidR="00546A05" w:rsidRPr="008C580C">
        <w:rPr>
          <w:color w:val="000000" w:themeColor="text1"/>
        </w:rPr>
        <w:t xml:space="preserve">as shown </w:t>
      </w:r>
      <w:r w:rsidR="00B6084A" w:rsidRPr="008C580C">
        <w:rPr>
          <w:color w:val="000000" w:themeColor="text1"/>
        </w:rPr>
        <w:t xml:space="preserve">above, </w:t>
      </w:r>
      <w:r w:rsidR="00F2791A" w:rsidRPr="008C580C">
        <w:rPr>
          <w:color w:val="000000" w:themeColor="text1"/>
        </w:rPr>
        <w:t xml:space="preserve">a number </w:t>
      </w:r>
      <w:r w:rsidRPr="008C580C">
        <w:rPr>
          <w:color w:val="000000" w:themeColor="text1"/>
        </w:rPr>
        <w:t xml:space="preserve">of </w:t>
      </w:r>
      <w:r w:rsidR="00DD5EF4" w:rsidRPr="008C580C">
        <w:rPr>
          <w:color w:val="000000" w:themeColor="text1"/>
        </w:rPr>
        <w:t xml:space="preserve">long-established </w:t>
      </w:r>
      <w:r w:rsidR="00562252" w:rsidRPr="008C580C">
        <w:rPr>
          <w:color w:val="000000" w:themeColor="text1"/>
        </w:rPr>
        <w:t xml:space="preserve">decisions </w:t>
      </w:r>
      <w:r w:rsidR="00AB7B46" w:rsidRPr="008C580C">
        <w:rPr>
          <w:color w:val="000000" w:themeColor="text1"/>
        </w:rPr>
        <w:t xml:space="preserve">have </w:t>
      </w:r>
      <w:r w:rsidR="00550392" w:rsidRPr="008C580C">
        <w:rPr>
          <w:color w:val="000000" w:themeColor="text1"/>
        </w:rPr>
        <w:t xml:space="preserve">discussed, quite extensively, </w:t>
      </w:r>
      <w:r w:rsidR="002910CB" w:rsidRPr="008C580C">
        <w:rPr>
          <w:color w:val="000000" w:themeColor="text1"/>
        </w:rPr>
        <w:t>several</w:t>
      </w:r>
      <w:r w:rsidR="00F5500A" w:rsidRPr="008C580C">
        <w:rPr>
          <w:color w:val="000000" w:themeColor="text1"/>
        </w:rPr>
        <w:t xml:space="preserve"> of </w:t>
      </w:r>
      <w:r w:rsidR="00550392" w:rsidRPr="008C580C">
        <w:rPr>
          <w:color w:val="000000" w:themeColor="text1"/>
        </w:rPr>
        <w:t>these factors</w:t>
      </w:r>
      <w:r w:rsidR="00B76D8A" w:rsidRPr="008C580C">
        <w:rPr>
          <w:color w:val="000000" w:themeColor="text1"/>
        </w:rPr>
        <w:t xml:space="preserve">, </w:t>
      </w:r>
      <w:r w:rsidR="00BD5F54" w:rsidRPr="008C580C">
        <w:rPr>
          <w:color w:val="000000" w:themeColor="text1"/>
        </w:rPr>
        <w:t xml:space="preserve">including </w:t>
      </w:r>
      <w:r w:rsidR="00B76D8A" w:rsidRPr="008C580C">
        <w:rPr>
          <w:color w:val="000000" w:themeColor="text1"/>
        </w:rPr>
        <w:t xml:space="preserve">the </w:t>
      </w:r>
      <w:r w:rsidR="00BD5F54" w:rsidRPr="008C580C">
        <w:rPr>
          <w:color w:val="000000" w:themeColor="text1"/>
        </w:rPr>
        <w:t xml:space="preserve">two </w:t>
      </w:r>
      <w:r w:rsidR="009D625A" w:rsidRPr="008C580C">
        <w:rPr>
          <w:color w:val="000000" w:themeColor="text1"/>
        </w:rPr>
        <w:t xml:space="preserve">that deserve special </w:t>
      </w:r>
      <w:r w:rsidR="009D625A" w:rsidRPr="007E064B">
        <w:rPr>
          <w:color w:val="000000" w:themeColor="text1"/>
        </w:rPr>
        <w:t xml:space="preserve">attention in </w:t>
      </w:r>
      <w:r w:rsidR="00D12D14" w:rsidRPr="007E064B">
        <w:rPr>
          <w:color w:val="000000" w:themeColor="text1"/>
        </w:rPr>
        <w:t xml:space="preserve">the present </w:t>
      </w:r>
      <w:r w:rsidR="00961676" w:rsidRPr="007E064B">
        <w:rPr>
          <w:color w:val="000000" w:themeColor="text1"/>
        </w:rPr>
        <w:t>circumstances</w:t>
      </w:r>
      <w:r w:rsidR="00A7402C" w:rsidRPr="007E064B">
        <w:rPr>
          <w:color w:val="000000" w:themeColor="text1"/>
        </w:rPr>
        <w:t xml:space="preserve"> — plausible justification</w:t>
      </w:r>
      <w:r w:rsidR="00B4068C" w:rsidRPr="007E064B">
        <w:rPr>
          <w:color w:val="000000" w:themeColor="text1"/>
        </w:rPr>
        <w:t>,</w:t>
      </w:r>
      <w:r w:rsidR="006B265E" w:rsidRPr="007E064B">
        <w:rPr>
          <w:color w:val="000000" w:themeColor="text1"/>
        </w:rPr>
        <w:t xml:space="preserve"> and confidentiality or </w:t>
      </w:r>
      <w:r w:rsidR="008F574F" w:rsidRPr="007E064B">
        <w:rPr>
          <w:color w:val="000000" w:themeColor="text1"/>
        </w:rPr>
        <w:t>cons</w:t>
      </w:r>
      <w:r w:rsidR="006B265E" w:rsidRPr="007E064B">
        <w:rPr>
          <w:color w:val="000000" w:themeColor="text1"/>
        </w:rPr>
        <w:t xml:space="preserve">titutional interests </w:t>
      </w:r>
      <w:r w:rsidR="003F5E95" w:rsidRPr="007E064B">
        <w:rPr>
          <w:color w:val="000000" w:themeColor="text1"/>
        </w:rPr>
        <w:t>that a person i</w:t>
      </w:r>
      <w:r w:rsidR="003F5E95" w:rsidRPr="008C580C">
        <w:rPr>
          <w:color w:val="000000" w:themeColor="text1"/>
        </w:rPr>
        <w:t>n Re</w:t>
      </w:r>
      <w:r w:rsidR="006B265E" w:rsidRPr="008C580C">
        <w:rPr>
          <w:color w:val="000000" w:themeColor="text1"/>
        </w:rPr>
        <w:t>nteria</w:t>
      </w:r>
      <w:r w:rsidR="003F5E95" w:rsidRPr="008C580C">
        <w:rPr>
          <w:color w:val="000000" w:themeColor="text1"/>
        </w:rPr>
        <w:t xml:space="preserve">’s position </w:t>
      </w:r>
      <w:r w:rsidR="006B265E" w:rsidRPr="008C580C">
        <w:rPr>
          <w:color w:val="000000" w:themeColor="text1"/>
        </w:rPr>
        <w:t>might have</w:t>
      </w:r>
      <w:r w:rsidR="00976151" w:rsidRPr="008C580C">
        <w:rPr>
          <w:color w:val="000000" w:themeColor="text1"/>
        </w:rPr>
        <w:t xml:space="preserve">.  </w:t>
      </w:r>
      <w:r w:rsidR="00ED5C16" w:rsidRPr="008C580C">
        <w:rPr>
          <w:color w:val="000000" w:themeColor="text1"/>
        </w:rPr>
        <w:t>I</w:t>
      </w:r>
      <w:r w:rsidR="00EE0837" w:rsidRPr="008C580C">
        <w:rPr>
          <w:color w:val="000000" w:themeColor="text1"/>
        </w:rPr>
        <w:t xml:space="preserve">n other words, </w:t>
      </w:r>
      <w:r w:rsidR="00FF048A" w:rsidRPr="008C580C">
        <w:rPr>
          <w:color w:val="000000" w:themeColor="text1"/>
        </w:rPr>
        <w:t xml:space="preserve">as these and related cases demonstrate, </w:t>
      </w:r>
      <w:r w:rsidR="00EE0837" w:rsidRPr="008C580C">
        <w:rPr>
          <w:color w:val="000000" w:themeColor="text1"/>
        </w:rPr>
        <w:t xml:space="preserve">the </w:t>
      </w:r>
      <w:r w:rsidR="00EE0837" w:rsidRPr="008C580C">
        <w:rPr>
          <w:i/>
          <w:iCs/>
          <w:color w:val="000000" w:themeColor="text1"/>
        </w:rPr>
        <w:t>Al</w:t>
      </w:r>
      <w:r w:rsidR="00EF3B17" w:rsidRPr="008C580C">
        <w:rPr>
          <w:i/>
          <w:iCs/>
          <w:color w:val="000000" w:themeColor="text1"/>
        </w:rPr>
        <w:t>h</w:t>
      </w:r>
      <w:r w:rsidR="00EE0837" w:rsidRPr="008C580C">
        <w:rPr>
          <w:i/>
          <w:iCs/>
          <w:color w:val="000000" w:themeColor="text1"/>
        </w:rPr>
        <w:t>ambra</w:t>
      </w:r>
      <w:r w:rsidR="00EF3B17" w:rsidRPr="008C580C">
        <w:rPr>
          <w:color w:val="000000" w:themeColor="text1"/>
        </w:rPr>
        <w:t xml:space="preserve"> framework </w:t>
      </w:r>
      <w:r w:rsidR="008118D6" w:rsidRPr="008C580C">
        <w:rPr>
          <w:color w:val="000000" w:themeColor="text1"/>
        </w:rPr>
        <w:t xml:space="preserve">is built upon </w:t>
      </w:r>
      <w:r w:rsidR="00812119" w:rsidRPr="008C580C">
        <w:rPr>
          <w:color w:val="000000" w:themeColor="text1"/>
        </w:rPr>
        <w:t>a firm</w:t>
      </w:r>
      <w:r w:rsidR="00F546F5" w:rsidRPr="008C580C">
        <w:rPr>
          <w:color w:val="000000" w:themeColor="text1"/>
        </w:rPr>
        <w:t xml:space="preserve"> </w:t>
      </w:r>
      <w:r w:rsidR="00812119" w:rsidRPr="008C580C">
        <w:rPr>
          <w:color w:val="000000" w:themeColor="text1"/>
        </w:rPr>
        <w:t>foundation</w:t>
      </w:r>
      <w:r w:rsidR="00F25EF1" w:rsidRPr="008C580C">
        <w:rPr>
          <w:color w:val="000000" w:themeColor="text1"/>
        </w:rPr>
        <w:t xml:space="preserve">, and </w:t>
      </w:r>
      <w:r w:rsidR="00FF048A" w:rsidRPr="008C580C">
        <w:rPr>
          <w:color w:val="000000" w:themeColor="text1"/>
        </w:rPr>
        <w:t xml:space="preserve">the </w:t>
      </w:r>
      <w:r w:rsidR="00FF048A" w:rsidRPr="008C580C">
        <w:rPr>
          <w:i/>
          <w:iCs/>
          <w:color w:val="000000" w:themeColor="text1"/>
        </w:rPr>
        <w:t>Alhambra</w:t>
      </w:r>
      <w:r w:rsidR="00FF048A" w:rsidRPr="008C580C">
        <w:rPr>
          <w:color w:val="000000" w:themeColor="text1"/>
        </w:rPr>
        <w:t xml:space="preserve"> decision itself is innova</w:t>
      </w:r>
      <w:r w:rsidR="00ED5C16" w:rsidRPr="008C580C">
        <w:rPr>
          <w:color w:val="000000" w:themeColor="text1"/>
        </w:rPr>
        <w:t xml:space="preserve">tive </w:t>
      </w:r>
      <w:r w:rsidR="003B26FD" w:rsidRPr="008C580C">
        <w:rPr>
          <w:color w:val="000000" w:themeColor="text1"/>
        </w:rPr>
        <w:t>o</w:t>
      </w:r>
      <w:r w:rsidR="00F25EF1" w:rsidRPr="008C580C">
        <w:rPr>
          <w:color w:val="000000" w:themeColor="text1"/>
        </w:rPr>
        <w:t>nly in the sense that it collect</w:t>
      </w:r>
      <w:r w:rsidR="00FF048A" w:rsidRPr="008C580C">
        <w:rPr>
          <w:color w:val="000000" w:themeColor="text1"/>
        </w:rPr>
        <w:t xml:space="preserve">ed </w:t>
      </w:r>
      <w:r w:rsidR="00275E8C" w:rsidRPr="008C580C">
        <w:rPr>
          <w:color w:val="000000" w:themeColor="text1"/>
        </w:rPr>
        <w:t>these principles in a handy list</w:t>
      </w:r>
      <w:r w:rsidR="00FF6AFA" w:rsidRPr="008C580C">
        <w:rPr>
          <w:color w:val="000000" w:themeColor="text1"/>
        </w:rPr>
        <w:t xml:space="preserve">.  </w:t>
      </w:r>
    </w:p>
    <w:p w14:paraId="5C8333E7" w14:textId="2FA112C5" w:rsidR="002A35C8" w:rsidRDefault="002062C5" w:rsidP="00EA0331">
      <w:pPr>
        <w:ind w:firstLine="720"/>
        <w:rPr>
          <w:color w:val="000000" w:themeColor="text1"/>
        </w:rPr>
      </w:pPr>
      <w:r w:rsidRPr="008C580C">
        <w:rPr>
          <w:color w:val="000000" w:themeColor="text1"/>
        </w:rPr>
        <w:t xml:space="preserve">As recently acknowledged by the Court of Appeal in </w:t>
      </w:r>
      <w:r w:rsidRPr="008C580C">
        <w:rPr>
          <w:i/>
          <w:iCs/>
          <w:color w:val="000000" w:themeColor="text1"/>
        </w:rPr>
        <w:t>Facebook (Hunter</w:t>
      </w:r>
      <w:r w:rsidR="00846E8F">
        <w:rPr>
          <w:i/>
          <w:iCs/>
          <w:color w:val="000000" w:themeColor="text1"/>
        </w:rPr>
        <w:t>) </w:t>
      </w:r>
      <w:r w:rsidRPr="008C580C">
        <w:rPr>
          <w:i/>
          <w:iCs/>
          <w:color w:val="000000" w:themeColor="text1"/>
        </w:rPr>
        <w:t>II, supra,</w:t>
      </w:r>
      <w:r w:rsidRPr="008C580C">
        <w:rPr>
          <w:color w:val="000000" w:themeColor="text1"/>
        </w:rPr>
        <w:t xml:space="preserve"> </w:t>
      </w:r>
      <w:r w:rsidR="00735CE3" w:rsidRPr="008C580C">
        <w:rPr>
          <w:color w:val="000000" w:themeColor="text1"/>
          <w:szCs w:val="26"/>
        </w:rPr>
        <w:t xml:space="preserve">46 Cal.App.5th 109, </w:t>
      </w:r>
      <w:r w:rsidR="00C76CF5" w:rsidRPr="008C580C">
        <w:rPr>
          <w:color w:val="000000" w:themeColor="text1"/>
          <w:szCs w:val="26"/>
        </w:rPr>
        <w:t>119</w:t>
      </w:r>
      <w:r w:rsidR="00EA3DB4">
        <w:rPr>
          <w:color w:val="000000" w:themeColor="text1"/>
        </w:rPr>
        <w:t>–</w:t>
      </w:r>
      <w:r w:rsidR="008B1052" w:rsidRPr="008C580C">
        <w:rPr>
          <w:color w:val="000000" w:themeColor="text1"/>
        </w:rPr>
        <w:t>121</w:t>
      </w:r>
      <w:r w:rsidR="00530162">
        <w:rPr>
          <w:color w:val="000000" w:themeColor="text1"/>
        </w:rPr>
        <w:t xml:space="preserve"> (rev. granted)</w:t>
      </w:r>
      <w:r w:rsidR="00781182" w:rsidRPr="008C580C">
        <w:rPr>
          <w:color w:val="000000" w:themeColor="text1"/>
        </w:rPr>
        <w:t>,</w:t>
      </w:r>
      <w:r w:rsidR="00C16A15" w:rsidRPr="008C580C">
        <w:rPr>
          <w:color w:val="000000" w:themeColor="text1"/>
        </w:rPr>
        <w:t xml:space="preserve"> the </w:t>
      </w:r>
      <w:r w:rsidR="002A35C8" w:rsidRPr="008C580C">
        <w:rPr>
          <w:color w:val="000000" w:themeColor="text1"/>
        </w:rPr>
        <w:t xml:space="preserve">seven </w:t>
      </w:r>
      <w:r w:rsidR="00DD5EF4" w:rsidRPr="008C580C">
        <w:rPr>
          <w:i/>
          <w:iCs/>
          <w:color w:val="000000" w:themeColor="text1"/>
        </w:rPr>
        <w:t xml:space="preserve">Alhambra </w:t>
      </w:r>
      <w:r w:rsidR="002A35C8" w:rsidRPr="008C580C">
        <w:rPr>
          <w:color w:val="000000" w:themeColor="text1"/>
        </w:rPr>
        <w:t xml:space="preserve">factors </w:t>
      </w:r>
      <w:r w:rsidR="008C142F" w:rsidRPr="008C580C">
        <w:rPr>
          <w:color w:val="000000" w:themeColor="text1"/>
        </w:rPr>
        <w:t xml:space="preserve">are </w:t>
      </w:r>
      <w:r w:rsidR="002A35C8" w:rsidRPr="008C580C">
        <w:rPr>
          <w:color w:val="000000" w:themeColor="text1"/>
        </w:rPr>
        <w:t>relevant, and properly should be considered by a trial judge</w:t>
      </w:r>
      <w:r w:rsidR="00044D0D" w:rsidRPr="008C580C">
        <w:rPr>
          <w:color w:val="000000" w:themeColor="text1"/>
        </w:rPr>
        <w:t>,</w:t>
      </w:r>
      <w:r w:rsidR="002A35C8" w:rsidRPr="008C580C">
        <w:rPr>
          <w:color w:val="000000" w:themeColor="text1"/>
        </w:rPr>
        <w:t xml:space="preserve"> when ruling on a motion to quash a subpoena</w:t>
      </w:r>
      <w:r w:rsidR="008C142F" w:rsidRPr="008C580C">
        <w:rPr>
          <w:color w:val="000000" w:themeColor="text1"/>
        </w:rPr>
        <w:t xml:space="preserve"> directed at a third party</w:t>
      </w:r>
      <w:r w:rsidR="002A35C8" w:rsidRPr="008C580C">
        <w:rPr>
          <w:color w:val="000000" w:themeColor="text1"/>
        </w:rPr>
        <w:t xml:space="preserve">.  It is especially at </w:t>
      </w:r>
      <w:r w:rsidR="002A35C8" w:rsidRPr="008C580C">
        <w:rPr>
          <w:i/>
          <w:color w:val="000000" w:themeColor="text1"/>
        </w:rPr>
        <w:t>that point in the subpoena process</w:t>
      </w:r>
      <w:r w:rsidR="002A35C8" w:rsidRPr="008C580C">
        <w:rPr>
          <w:color w:val="000000" w:themeColor="text1"/>
        </w:rPr>
        <w:t xml:space="preserve"> that the judicial officer should </w:t>
      </w:r>
      <w:r w:rsidR="00044D0D" w:rsidRPr="008C580C">
        <w:rPr>
          <w:color w:val="000000" w:themeColor="text1"/>
        </w:rPr>
        <w:t xml:space="preserve">assess </w:t>
      </w:r>
      <w:r w:rsidR="002A35C8" w:rsidRPr="008C580C">
        <w:rPr>
          <w:color w:val="000000" w:themeColor="text1"/>
        </w:rPr>
        <w:t xml:space="preserve">and balance, not only the important plausible justification factor, but also all of the other factors — including </w:t>
      </w:r>
      <w:r w:rsidR="007139B0" w:rsidRPr="008C580C">
        <w:rPr>
          <w:color w:val="000000" w:themeColor="text1"/>
        </w:rPr>
        <w:t xml:space="preserve">the </w:t>
      </w:r>
      <w:r w:rsidR="002A35C8" w:rsidRPr="008C580C">
        <w:rPr>
          <w:color w:val="000000" w:themeColor="text1"/>
        </w:rPr>
        <w:t xml:space="preserve">adequacy of the description/overbreadth, availability of the sought material from other sources, privacy/confidentiality </w:t>
      </w:r>
      <w:r w:rsidR="00094941" w:rsidRPr="008C580C">
        <w:rPr>
          <w:color w:val="000000" w:themeColor="text1"/>
        </w:rPr>
        <w:t>and constitutional c</w:t>
      </w:r>
      <w:r w:rsidR="002A35C8" w:rsidRPr="008C580C">
        <w:rPr>
          <w:color w:val="000000" w:themeColor="text1"/>
        </w:rPr>
        <w:t>oncerns, timeliness, potential for delay of trial, and asserted undue burden on a producing third party.</w:t>
      </w:r>
      <w:r w:rsidR="00832F13">
        <w:rPr>
          <w:color w:val="000000" w:themeColor="text1"/>
        </w:rPr>
        <w:t xml:space="preserve">  The </w:t>
      </w:r>
      <w:r w:rsidR="00CC7F95">
        <w:rPr>
          <w:color w:val="000000" w:themeColor="text1"/>
        </w:rPr>
        <w:t xml:space="preserve">trial </w:t>
      </w:r>
      <w:r w:rsidR="00832F13">
        <w:rPr>
          <w:color w:val="000000" w:themeColor="text1"/>
        </w:rPr>
        <w:t xml:space="preserve">court did not do so here. </w:t>
      </w:r>
    </w:p>
    <w:p w14:paraId="6523FC5D" w14:textId="77777777" w:rsidR="0091054B" w:rsidRDefault="0091054B" w:rsidP="00EA0331">
      <w:pPr>
        <w:ind w:firstLine="720"/>
        <w:rPr>
          <w:color w:val="000000" w:themeColor="text1"/>
        </w:rPr>
      </w:pPr>
    </w:p>
    <w:p w14:paraId="5D226A14" w14:textId="535923FD" w:rsidR="00410A47" w:rsidRPr="00720FEF" w:rsidRDefault="00410A47" w:rsidP="00943382">
      <w:pPr>
        <w:pStyle w:val="Heading1"/>
        <w:tabs>
          <w:tab w:val="left" w:pos="990"/>
        </w:tabs>
        <w:ind w:left="1440" w:right="1440"/>
        <w:rPr>
          <w:b w:val="0"/>
          <w:color w:val="000000" w:themeColor="text1"/>
        </w:rPr>
      </w:pPr>
      <w:r w:rsidRPr="00720FEF">
        <w:rPr>
          <w:color w:val="000000" w:themeColor="text1"/>
        </w:rPr>
        <w:lastRenderedPageBreak/>
        <w:t xml:space="preserve">VI.  </w:t>
      </w:r>
      <w:r w:rsidR="0088570D" w:rsidRPr="00720FEF">
        <w:rPr>
          <w:color w:val="000000" w:themeColor="text1"/>
        </w:rPr>
        <w:t xml:space="preserve">Problems </w:t>
      </w:r>
      <w:r w:rsidR="006D4A25" w:rsidRPr="00720FEF">
        <w:rPr>
          <w:color w:val="000000" w:themeColor="text1"/>
        </w:rPr>
        <w:t xml:space="preserve">Raised </w:t>
      </w:r>
      <w:r w:rsidR="006B06AB" w:rsidRPr="00720FEF">
        <w:rPr>
          <w:color w:val="000000" w:themeColor="text1"/>
        </w:rPr>
        <w:t xml:space="preserve">by </w:t>
      </w:r>
      <w:r w:rsidR="0088570D" w:rsidRPr="00720FEF">
        <w:rPr>
          <w:color w:val="000000" w:themeColor="text1"/>
        </w:rPr>
        <w:t xml:space="preserve">Proceeding </w:t>
      </w:r>
      <w:r w:rsidRPr="00720FEF">
        <w:rPr>
          <w:color w:val="000000" w:themeColor="text1"/>
        </w:rPr>
        <w:t>Ex Parte</w:t>
      </w:r>
      <w:r w:rsidR="00D46358" w:rsidRPr="00720FEF">
        <w:rPr>
          <w:color w:val="000000" w:themeColor="text1"/>
        </w:rPr>
        <w:t xml:space="preserve"> </w:t>
      </w:r>
      <w:r w:rsidR="0088570D" w:rsidRPr="00720FEF">
        <w:rPr>
          <w:color w:val="000000" w:themeColor="text1"/>
        </w:rPr>
        <w:t>and Under Seal</w:t>
      </w:r>
      <w:r w:rsidR="00254B35" w:rsidRPr="00720FEF">
        <w:rPr>
          <w:color w:val="000000" w:themeColor="text1"/>
        </w:rPr>
        <w:t xml:space="preserve"> — and </w:t>
      </w:r>
      <w:r w:rsidR="001313F2" w:rsidRPr="00720FEF">
        <w:rPr>
          <w:color w:val="000000" w:themeColor="text1"/>
        </w:rPr>
        <w:t xml:space="preserve">Related </w:t>
      </w:r>
      <w:r w:rsidR="009D177F" w:rsidRPr="00720FEF">
        <w:rPr>
          <w:color w:val="000000" w:themeColor="text1"/>
        </w:rPr>
        <w:t>“</w:t>
      </w:r>
      <w:r w:rsidR="001313F2" w:rsidRPr="00720FEF">
        <w:rPr>
          <w:color w:val="000000" w:themeColor="text1"/>
        </w:rPr>
        <w:t>Best Practices</w:t>
      </w:r>
      <w:r w:rsidR="009D177F" w:rsidRPr="00720FEF">
        <w:rPr>
          <w:color w:val="000000" w:themeColor="text1"/>
        </w:rPr>
        <w:t>”</w:t>
      </w:r>
      <w:r w:rsidR="001313F2" w:rsidRPr="00720FEF">
        <w:rPr>
          <w:color w:val="000000" w:themeColor="text1"/>
        </w:rPr>
        <w:t xml:space="preserve"> Considerations </w:t>
      </w:r>
    </w:p>
    <w:p w14:paraId="4B14FB1E" w14:textId="34DDF90B" w:rsidR="008B4A5F" w:rsidRPr="00720FEF" w:rsidRDefault="00F15BAF" w:rsidP="00EA0331">
      <w:pPr>
        <w:pStyle w:val="Text"/>
        <w:spacing w:line="400" w:lineRule="exact"/>
        <w:ind w:firstLine="720"/>
        <w:rPr>
          <w:color w:val="000000" w:themeColor="text1"/>
        </w:rPr>
      </w:pPr>
      <w:r>
        <w:rPr>
          <w:color w:val="000000" w:themeColor="text1"/>
        </w:rPr>
        <w:t xml:space="preserve">In addition to </w:t>
      </w:r>
      <w:r w:rsidR="004F5A70">
        <w:rPr>
          <w:color w:val="000000" w:themeColor="text1"/>
        </w:rPr>
        <w:t xml:space="preserve">failing to </w:t>
      </w:r>
      <w:r w:rsidR="00E72E06">
        <w:rPr>
          <w:color w:val="000000" w:themeColor="text1"/>
        </w:rPr>
        <w:t xml:space="preserve">clearly </w:t>
      </w:r>
      <w:r w:rsidR="004F5A70">
        <w:rPr>
          <w:color w:val="000000" w:themeColor="text1"/>
        </w:rPr>
        <w:t>apply the</w:t>
      </w:r>
      <w:r>
        <w:rPr>
          <w:color w:val="000000" w:themeColor="text1"/>
        </w:rPr>
        <w:t xml:space="preserve"> </w:t>
      </w:r>
      <w:r>
        <w:rPr>
          <w:i/>
          <w:iCs/>
          <w:color w:val="000000" w:themeColor="text1"/>
        </w:rPr>
        <w:t>Alhambra</w:t>
      </w:r>
      <w:r>
        <w:rPr>
          <w:color w:val="000000" w:themeColor="text1"/>
        </w:rPr>
        <w:t xml:space="preserve"> factors, the trial court </w:t>
      </w:r>
      <w:r w:rsidR="004F5A70">
        <w:rPr>
          <w:color w:val="000000" w:themeColor="text1"/>
        </w:rPr>
        <w:t xml:space="preserve">also chose to proceed ex parte and under seal.  </w:t>
      </w:r>
      <w:r w:rsidR="00B64CBD" w:rsidRPr="00720FEF">
        <w:rPr>
          <w:color w:val="000000" w:themeColor="text1"/>
        </w:rPr>
        <w:t xml:space="preserve">We have acknowledged in cases such as </w:t>
      </w:r>
      <w:r w:rsidR="00B64CBD" w:rsidRPr="00720FEF">
        <w:rPr>
          <w:i/>
          <w:color w:val="000000" w:themeColor="text1"/>
          <w:szCs w:val="26"/>
        </w:rPr>
        <w:t xml:space="preserve">Kling, supra, </w:t>
      </w:r>
      <w:r w:rsidR="00EB5AFF" w:rsidRPr="00720FEF">
        <w:rPr>
          <w:color w:val="000000" w:themeColor="text1"/>
          <w:szCs w:val="26"/>
        </w:rPr>
        <w:t>50</w:t>
      </w:r>
      <w:r w:rsidR="005B7685" w:rsidRPr="00720FEF">
        <w:rPr>
          <w:color w:val="000000" w:themeColor="text1"/>
          <w:szCs w:val="26"/>
        </w:rPr>
        <w:t> </w:t>
      </w:r>
      <w:r w:rsidR="00EB5AFF" w:rsidRPr="00720FEF">
        <w:rPr>
          <w:color w:val="000000" w:themeColor="text1"/>
          <w:szCs w:val="26"/>
        </w:rPr>
        <w:t xml:space="preserve">Cal.4th </w:t>
      </w:r>
      <w:r w:rsidR="003E6619" w:rsidRPr="00720FEF">
        <w:rPr>
          <w:color w:val="000000" w:themeColor="text1"/>
          <w:szCs w:val="26"/>
        </w:rPr>
        <w:t xml:space="preserve">1068, </w:t>
      </w:r>
      <w:r w:rsidR="00B64CBD" w:rsidRPr="00720FEF">
        <w:rPr>
          <w:color w:val="000000" w:themeColor="text1"/>
          <w:szCs w:val="26"/>
        </w:rPr>
        <w:t xml:space="preserve">that </w:t>
      </w:r>
      <w:r w:rsidR="00635348" w:rsidRPr="00720FEF">
        <w:rPr>
          <w:color w:val="000000" w:themeColor="text1"/>
          <w:szCs w:val="26"/>
        </w:rPr>
        <w:t>in criminal</w:t>
      </w:r>
      <w:r w:rsidR="00336386" w:rsidRPr="00720FEF">
        <w:rPr>
          <w:color w:val="000000" w:themeColor="text1"/>
          <w:szCs w:val="26"/>
        </w:rPr>
        <w:t xml:space="preserve"> proceedings</w:t>
      </w:r>
      <w:r w:rsidR="00D50B8F" w:rsidRPr="00720FEF">
        <w:rPr>
          <w:color w:val="000000" w:themeColor="text1"/>
          <w:szCs w:val="26"/>
        </w:rPr>
        <w:t>,</w:t>
      </w:r>
      <w:r w:rsidR="00635348" w:rsidRPr="00720FEF">
        <w:rPr>
          <w:color w:val="000000" w:themeColor="text1"/>
          <w:szCs w:val="26"/>
        </w:rPr>
        <w:t xml:space="preserve"> </w:t>
      </w:r>
      <w:r w:rsidR="00B64CBD" w:rsidRPr="00720FEF">
        <w:rPr>
          <w:color w:val="000000" w:themeColor="text1"/>
          <w:szCs w:val="26"/>
        </w:rPr>
        <w:t xml:space="preserve">by virtue of Penal Code section 1326, “[t]he Legislature granted the defense special protections” </w:t>
      </w:r>
      <w:r w:rsidR="00B64CBD" w:rsidRPr="00720FEF">
        <w:rPr>
          <w:color w:val="000000" w:themeColor="text1"/>
        </w:rPr>
        <w:t xml:space="preserve">— permitting </w:t>
      </w:r>
      <w:r w:rsidR="00B64CBD" w:rsidRPr="00720FEF">
        <w:rPr>
          <w:color w:val="000000" w:themeColor="text1"/>
          <w:szCs w:val="26"/>
        </w:rPr>
        <w:t>criminal defendants to make the necessary showing of need for any sought materials outside the presence of the prosecution, if necessary to protect defense strategy and/or work product.  (</w:t>
      </w:r>
      <w:r w:rsidR="00B64CBD" w:rsidRPr="00720FEF">
        <w:rPr>
          <w:i/>
          <w:color w:val="000000" w:themeColor="text1"/>
          <w:szCs w:val="26"/>
        </w:rPr>
        <w:t>Kling, supra</w:t>
      </w:r>
      <w:r w:rsidR="00B64CBD" w:rsidRPr="00720FEF">
        <w:rPr>
          <w:color w:val="000000" w:themeColor="text1"/>
          <w:szCs w:val="26"/>
        </w:rPr>
        <w:t xml:space="preserve">, </w:t>
      </w:r>
      <w:bookmarkStart w:id="5" w:name="_Hlk42172351"/>
      <w:r w:rsidR="00B64CBD" w:rsidRPr="00720FEF">
        <w:rPr>
          <w:color w:val="000000" w:themeColor="text1"/>
          <w:szCs w:val="26"/>
        </w:rPr>
        <w:t>50 Cal.4th</w:t>
      </w:r>
      <w:bookmarkEnd w:id="5"/>
      <w:r w:rsidR="00B64CBD" w:rsidRPr="00720FEF">
        <w:rPr>
          <w:color w:val="000000" w:themeColor="text1"/>
          <w:szCs w:val="26"/>
        </w:rPr>
        <w:t xml:space="preserve"> at p.</w:t>
      </w:r>
      <w:r w:rsidR="006221F6" w:rsidRPr="00720FEF">
        <w:rPr>
          <w:color w:val="000000" w:themeColor="text1"/>
          <w:szCs w:val="26"/>
        </w:rPr>
        <w:t> </w:t>
      </w:r>
      <w:r w:rsidR="00B64CBD" w:rsidRPr="00720FEF">
        <w:rPr>
          <w:color w:val="000000" w:themeColor="text1"/>
          <w:szCs w:val="26"/>
        </w:rPr>
        <w:t>1075.)</w:t>
      </w:r>
      <w:r w:rsidR="00B64CBD" w:rsidRPr="00720FEF">
        <w:rPr>
          <w:rStyle w:val="FootnoteReference"/>
          <w:color w:val="000000" w:themeColor="text1"/>
          <w:szCs w:val="26"/>
        </w:rPr>
        <w:footnoteReference w:id="15"/>
      </w:r>
      <w:r w:rsidR="00B64CBD" w:rsidRPr="00720FEF">
        <w:rPr>
          <w:color w:val="000000" w:themeColor="text1"/>
          <w:szCs w:val="26"/>
        </w:rPr>
        <w:t xml:space="preserve">  At the same time</w:t>
      </w:r>
      <w:r w:rsidR="00336386" w:rsidRPr="00720FEF">
        <w:rPr>
          <w:color w:val="000000" w:themeColor="text1"/>
          <w:szCs w:val="26"/>
        </w:rPr>
        <w:t>,</w:t>
      </w:r>
      <w:r w:rsidR="00B64CBD" w:rsidRPr="00720FEF">
        <w:rPr>
          <w:color w:val="000000" w:themeColor="text1"/>
          <w:szCs w:val="26"/>
        </w:rPr>
        <w:t xml:space="preserve"> we</w:t>
      </w:r>
      <w:r w:rsidR="00B64CBD" w:rsidRPr="00720FEF">
        <w:rPr>
          <w:color w:val="000000" w:themeColor="text1"/>
        </w:rPr>
        <w:t xml:space="preserve"> </w:t>
      </w:r>
      <w:r w:rsidR="00576C23" w:rsidRPr="00720FEF">
        <w:rPr>
          <w:color w:val="000000" w:themeColor="text1"/>
        </w:rPr>
        <w:t xml:space="preserve">have </w:t>
      </w:r>
      <w:r w:rsidR="00B64CBD" w:rsidRPr="00720FEF">
        <w:rPr>
          <w:color w:val="000000" w:themeColor="text1"/>
        </w:rPr>
        <w:t xml:space="preserve">cautioned trial courts </w:t>
      </w:r>
      <w:r w:rsidR="00B64CBD" w:rsidRPr="00720FEF">
        <w:rPr>
          <w:color w:val="000000" w:themeColor="text1"/>
          <w:szCs w:val="26"/>
        </w:rPr>
        <w:t xml:space="preserve">against </w:t>
      </w:r>
      <w:r w:rsidR="00B64CBD" w:rsidRPr="00720FEF">
        <w:rPr>
          <w:color w:val="000000" w:themeColor="text1"/>
        </w:rPr>
        <w:t xml:space="preserve">allowing sealing in this setting unless </w:t>
      </w:r>
      <w:r w:rsidR="00B64CBD" w:rsidRPr="00720FEF">
        <w:rPr>
          <w:color w:val="000000" w:themeColor="text1"/>
          <w:szCs w:val="26"/>
        </w:rPr>
        <w:t>there is “ ‘a risk of revealing privileged information’ and a showing ‘that filing under seal is the only feasible way to protect that required information.’ ”  (</w:t>
      </w:r>
      <w:r w:rsidR="00B64CBD" w:rsidRPr="00720FEF">
        <w:rPr>
          <w:i/>
          <w:color w:val="000000" w:themeColor="text1"/>
          <w:szCs w:val="26"/>
        </w:rPr>
        <w:t>Ibid</w:t>
      </w:r>
      <w:r w:rsidR="00B64CBD" w:rsidRPr="00720FEF">
        <w:rPr>
          <w:color w:val="000000" w:themeColor="text1"/>
          <w:szCs w:val="26"/>
        </w:rPr>
        <w:t xml:space="preserve">.)  Moreover, </w:t>
      </w:r>
      <w:r w:rsidR="00B64CBD" w:rsidRPr="00720FEF">
        <w:rPr>
          <w:color w:val="000000" w:themeColor="text1"/>
        </w:rPr>
        <w:t xml:space="preserve">we explained, proceeding ex </w:t>
      </w:r>
      <w:r w:rsidR="00B64CBD" w:rsidRPr="00720FEF">
        <w:rPr>
          <w:color w:val="000000" w:themeColor="text1"/>
        </w:rPr>
        <w:lastRenderedPageBreak/>
        <w:t xml:space="preserve">parte is </w:t>
      </w:r>
      <w:r w:rsidR="00B64CBD" w:rsidRPr="00720FEF">
        <w:rPr>
          <w:color w:val="000000" w:themeColor="text1"/>
          <w:szCs w:val="26"/>
        </w:rPr>
        <w:t>“generally disfavored” (</w:t>
      </w:r>
      <w:r w:rsidR="00B64CBD" w:rsidRPr="00720FEF">
        <w:rPr>
          <w:i/>
          <w:color w:val="000000" w:themeColor="text1"/>
          <w:szCs w:val="26"/>
        </w:rPr>
        <w:t xml:space="preserve">id., </w:t>
      </w:r>
      <w:r w:rsidR="00B64CBD" w:rsidRPr="00720FEF">
        <w:rPr>
          <w:color w:val="000000" w:themeColor="text1"/>
          <w:szCs w:val="26"/>
        </w:rPr>
        <w:t>at p. 10</w:t>
      </w:r>
      <w:r w:rsidR="00C70893" w:rsidRPr="00720FEF">
        <w:rPr>
          <w:color w:val="000000" w:themeColor="text1"/>
          <w:szCs w:val="26"/>
        </w:rPr>
        <w:t>79</w:t>
      </w:r>
      <w:r w:rsidR="00B64CBD" w:rsidRPr="00720FEF">
        <w:rPr>
          <w:color w:val="000000" w:themeColor="text1"/>
          <w:szCs w:val="26"/>
        </w:rPr>
        <w:t xml:space="preserve">) because doing so </w:t>
      </w:r>
      <w:r w:rsidR="00B64CBD" w:rsidRPr="00720FEF">
        <w:rPr>
          <w:color w:val="000000" w:themeColor="text1"/>
        </w:rPr>
        <w:t>may lead judges, uninformed by adversarial input, to incorrectly deny a motion to quash and grant access to pretrial discovery.  (</w:t>
      </w:r>
      <w:r w:rsidR="00B64CBD" w:rsidRPr="00720FEF">
        <w:rPr>
          <w:i/>
          <w:color w:val="000000" w:themeColor="text1"/>
        </w:rPr>
        <w:t>Ibid</w:t>
      </w:r>
      <w:r w:rsidR="00B64CBD" w:rsidRPr="00720FEF">
        <w:rPr>
          <w:color w:val="000000" w:themeColor="text1"/>
        </w:rPr>
        <w:t xml:space="preserve">.) </w:t>
      </w:r>
      <w:r w:rsidR="00576C23" w:rsidRPr="00720FEF">
        <w:rPr>
          <w:color w:val="000000" w:themeColor="text1"/>
        </w:rPr>
        <w:t xml:space="preserve"> </w:t>
      </w:r>
      <w:r w:rsidR="00336386" w:rsidRPr="00720FEF">
        <w:rPr>
          <w:color w:val="000000" w:themeColor="text1"/>
        </w:rPr>
        <w:t xml:space="preserve">We elaborated on the “inherent deficiencies” of ex parte proceedings:  </w:t>
      </w:r>
      <w:r w:rsidR="00336386" w:rsidRPr="00720FEF">
        <w:rPr>
          <w:color w:val="000000" w:themeColor="text1"/>
          <w:szCs w:val="26"/>
        </w:rPr>
        <w:t xml:space="preserve">“ ‘ “[T]he </w:t>
      </w:r>
      <w:proofErr w:type="gramStart"/>
      <w:r w:rsidR="00336386" w:rsidRPr="00720FEF">
        <w:rPr>
          <w:color w:val="000000" w:themeColor="text1"/>
          <w:szCs w:val="26"/>
          <w:shd w:val="clear" w:color="auto" w:fill="FFFFFF"/>
        </w:rPr>
        <w:t>moving</w:t>
      </w:r>
      <w:proofErr w:type="gramEnd"/>
      <w:r w:rsidR="00336386" w:rsidRPr="00720FEF">
        <w:rPr>
          <w:color w:val="000000" w:themeColor="text1"/>
          <w:szCs w:val="26"/>
          <w:shd w:val="clear" w:color="auto" w:fill="FFFFFF"/>
        </w:rPr>
        <w:t xml:space="preserve"> party’s . . . presentation is often abbreviated because no challenge from the [opposing party] is anticipated at this point in the proceeding.  The deficiency is frequently crucial, as reasonably adequate factual and legal contentions from diverse perspectives can be essential to the court’s initial decision. . . .’ ”  [Citations.]  Moreover, ‘with only the moving party present to assist in drafting the court’s order there is a danger the order may sweep “more broadly than necessary.” ’ ”  </w:t>
      </w:r>
      <w:r w:rsidR="00336386" w:rsidRPr="00720FEF">
        <w:rPr>
          <w:color w:val="000000" w:themeColor="text1"/>
          <w:szCs w:val="26"/>
        </w:rPr>
        <w:t>(</w:t>
      </w:r>
      <w:r w:rsidR="00336386" w:rsidRPr="00720FEF">
        <w:rPr>
          <w:i/>
          <w:color w:val="000000" w:themeColor="text1"/>
          <w:szCs w:val="26"/>
        </w:rPr>
        <w:t>Ibid</w:t>
      </w:r>
      <w:r w:rsidR="00336386" w:rsidRPr="00720FEF">
        <w:rPr>
          <w:color w:val="000000" w:themeColor="text1"/>
          <w:szCs w:val="26"/>
        </w:rPr>
        <w:t>.)</w:t>
      </w:r>
      <w:r w:rsidR="00336386" w:rsidRPr="00720FEF">
        <w:rPr>
          <w:color w:val="000000" w:themeColor="text1"/>
          <w:szCs w:val="26"/>
          <w:shd w:val="clear" w:color="auto" w:fill="FFFFFF"/>
        </w:rPr>
        <w:t xml:space="preserve">  </w:t>
      </w:r>
      <w:r w:rsidR="00694EDC" w:rsidRPr="00720FEF">
        <w:rPr>
          <w:color w:val="000000" w:themeColor="text1"/>
          <w:szCs w:val="26"/>
          <w:shd w:val="clear" w:color="auto" w:fill="FFFFFF"/>
        </w:rPr>
        <w:t xml:space="preserve">Accordingly, </w:t>
      </w:r>
      <w:r w:rsidR="00C14C29" w:rsidRPr="00720FEF">
        <w:rPr>
          <w:color w:val="000000" w:themeColor="text1"/>
          <w:szCs w:val="26"/>
          <w:shd w:val="clear" w:color="auto" w:fill="FFFFFF"/>
        </w:rPr>
        <w:t xml:space="preserve">we explained, </w:t>
      </w:r>
      <w:r w:rsidR="00694EDC" w:rsidRPr="00720FEF">
        <w:rPr>
          <w:color w:val="000000" w:themeColor="text1"/>
        </w:rPr>
        <w:t>a trial court should “balance the People’s right to due process and a meaningful opportunity to effectively challenge the discovery request against the defendant’s constitutional rights and the need to protect defense counsel’s work product.”  (</w:t>
      </w:r>
      <w:r w:rsidR="00694EDC" w:rsidRPr="00720FEF">
        <w:rPr>
          <w:i/>
          <w:color w:val="000000" w:themeColor="text1"/>
        </w:rPr>
        <w:t>Id.</w:t>
      </w:r>
      <w:r w:rsidR="00694EDC" w:rsidRPr="00720FEF">
        <w:rPr>
          <w:color w:val="000000" w:themeColor="text1"/>
        </w:rPr>
        <w:t xml:space="preserve"> at p. 1079.)  </w:t>
      </w:r>
      <w:r w:rsidR="00792719" w:rsidRPr="00720FEF">
        <w:rPr>
          <w:color w:val="000000" w:themeColor="text1"/>
        </w:rPr>
        <w:t xml:space="preserve">A </w:t>
      </w:r>
      <w:r w:rsidR="00694EDC" w:rsidRPr="00720FEF">
        <w:rPr>
          <w:color w:val="000000" w:themeColor="text1"/>
        </w:rPr>
        <w:t>trial court ha</w:t>
      </w:r>
      <w:r w:rsidR="00792719" w:rsidRPr="00720FEF">
        <w:rPr>
          <w:color w:val="000000" w:themeColor="text1"/>
        </w:rPr>
        <w:t>s</w:t>
      </w:r>
      <w:r w:rsidR="00694EDC" w:rsidRPr="00720FEF">
        <w:rPr>
          <w:color w:val="000000" w:themeColor="text1"/>
        </w:rPr>
        <w:t xml:space="preserve"> discretion to balance these “competing interests” in determining how open proceedings </w:t>
      </w:r>
      <w:r w:rsidR="0050311F" w:rsidRPr="00720FEF">
        <w:rPr>
          <w:color w:val="000000" w:themeColor="text1"/>
        </w:rPr>
        <w:t xml:space="preserve">concerning </w:t>
      </w:r>
      <w:r w:rsidR="00694EDC" w:rsidRPr="00720FEF">
        <w:rPr>
          <w:color w:val="000000" w:themeColor="text1"/>
        </w:rPr>
        <w:t xml:space="preserve">the subpoena </w:t>
      </w:r>
      <w:r w:rsidR="00A1329A" w:rsidRPr="00720FEF">
        <w:rPr>
          <w:color w:val="000000" w:themeColor="text1"/>
        </w:rPr>
        <w:t>sh</w:t>
      </w:r>
      <w:r w:rsidR="00694EDC" w:rsidRPr="00720FEF">
        <w:rPr>
          <w:color w:val="000000" w:themeColor="text1"/>
        </w:rPr>
        <w:t>ould be.  (</w:t>
      </w:r>
      <w:r w:rsidR="00694EDC" w:rsidRPr="00720FEF">
        <w:rPr>
          <w:i/>
          <w:color w:val="000000" w:themeColor="text1"/>
        </w:rPr>
        <w:t>Id.</w:t>
      </w:r>
      <w:r w:rsidR="00694EDC" w:rsidRPr="00720FEF">
        <w:rPr>
          <w:color w:val="000000" w:themeColor="text1"/>
        </w:rPr>
        <w:t xml:space="preserve"> at p. 1080.)  </w:t>
      </w:r>
    </w:p>
    <w:p w14:paraId="2AC82330" w14:textId="723248CB" w:rsidR="009C3A66" w:rsidRPr="00720FEF" w:rsidRDefault="008B4A5F" w:rsidP="00EB6F7B">
      <w:pPr>
        <w:pStyle w:val="Text"/>
        <w:spacing w:line="400" w:lineRule="exact"/>
        <w:ind w:firstLine="720"/>
        <w:rPr>
          <w:color w:val="000000" w:themeColor="text1"/>
          <w:szCs w:val="26"/>
        </w:rPr>
      </w:pPr>
      <w:r w:rsidRPr="00720FEF">
        <w:rPr>
          <w:color w:val="000000" w:themeColor="text1"/>
        </w:rPr>
        <w:t xml:space="preserve">The </w:t>
      </w:r>
      <w:r w:rsidR="00A958C7" w:rsidRPr="00720FEF">
        <w:rPr>
          <w:color w:val="000000" w:themeColor="text1"/>
        </w:rPr>
        <w:t xml:space="preserve">balancing called for in circumstances such as these </w:t>
      </w:r>
      <w:r w:rsidR="004A1856" w:rsidRPr="00720FEF">
        <w:rPr>
          <w:color w:val="000000" w:themeColor="text1"/>
        </w:rPr>
        <w:t xml:space="preserve">can be complex and nuanced.  </w:t>
      </w:r>
      <w:r w:rsidR="004612CC" w:rsidRPr="00720FEF">
        <w:rPr>
          <w:color w:val="000000" w:themeColor="text1"/>
        </w:rPr>
        <w:t xml:space="preserve">For example, </w:t>
      </w:r>
      <w:r w:rsidR="00F35DF5" w:rsidRPr="00720FEF">
        <w:rPr>
          <w:color w:val="000000" w:themeColor="text1"/>
        </w:rPr>
        <w:t xml:space="preserve">as noted, </w:t>
      </w:r>
      <w:r w:rsidR="00B60A8D" w:rsidRPr="00720FEF">
        <w:rPr>
          <w:color w:val="000000" w:themeColor="text1"/>
        </w:rPr>
        <w:t>d</w:t>
      </w:r>
      <w:r w:rsidR="009C3A66" w:rsidRPr="00720FEF">
        <w:rPr>
          <w:color w:val="000000" w:themeColor="text1"/>
        </w:rPr>
        <w:t>efendant</w:t>
      </w:r>
      <w:r w:rsidR="00B60A8D" w:rsidRPr="00720FEF">
        <w:rPr>
          <w:color w:val="000000" w:themeColor="text1"/>
        </w:rPr>
        <w:t xml:space="preserve"> </w:t>
      </w:r>
      <w:r w:rsidR="009C3A66" w:rsidRPr="00720FEF">
        <w:rPr>
          <w:color w:val="000000" w:themeColor="text1"/>
        </w:rPr>
        <w:t xml:space="preserve">stresses </w:t>
      </w:r>
      <w:r w:rsidR="009C3A66" w:rsidRPr="00720FEF">
        <w:rPr>
          <w:i/>
          <w:color w:val="000000" w:themeColor="text1"/>
        </w:rPr>
        <w:t>his</w:t>
      </w:r>
      <w:r w:rsidR="009C3A66" w:rsidRPr="00720FEF">
        <w:rPr>
          <w:color w:val="000000" w:themeColor="text1"/>
        </w:rPr>
        <w:t xml:space="preserve"> right to acquire and present all relevant evidence in his defense, and insists he has established good cause to invade Renteria’s privacy interests by acquiring his restricted </w:t>
      </w:r>
      <w:r w:rsidR="001A607C" w:rsidRPr="00720FEF">
        <w:rPr>
          <w:color w:val="000000" w:themeColor="text1"/>
        </w:rPr>
        <w:t xml:space="preserve">posts and private </w:t>
      </w:r>
      <w:r w:rsidR="009C3A66" w:rsidRPr="00720FEF">
        <w:rPr>
          <w:color w:val="000000" w:themeColor="text1"/>
        </w:rPr>
        <w:t>communications via his underlying subpoena</w:t>
      </w:r>
      <w:r w:rsidR="00FB4659" w:rsidRPr="00720FEF">
        <w:rPr>
          <w:color w:val="000000" w:themeColor="text1"/>
        </w:rPr>
        <w:t xml:space="preserve">.  Yet the </w:t>
      </w:r>
      <w:r w:rsidR="004B2EF2" w:rsidRPr="00720FEF">
        <w:rPr>
          <w:color w:val="000000" w:themeColor="text1"/>
        </w:rPr>
        <w:t>district attorney</w:t>
      </w:r>
      <w:r w:rsidR="009C3A66" w:rsidRPr="00720FEF">
        <w:rPr>
          <w:color w:val="000000" w:themeColor="text1"/>
        </w:rPr>
        <w:t xml:space="preserve"> asserts that </w:t>
      </w:r>
      <w:r w:rsidR="009C3A66" w:rsidRPr="00720FEF">
        <w:rPr>
          <w:i/>
          <w:color w:val="000000" w:themeColor="text1"/>
        </w:rPr>
        <w:t xml:space="preserve">victim </w:t>
      </w:r>
      <w:r w:rsidR="009C3A66" w:rsidRPr="00720FEF">
        <w:rPr>
          <w:iCs/>
          <w:color w:val="000000" w:themeColor="text1"/>
        </w:rPr>
        <w:t>Renteria’</w:t>
      </w:r>
      <w:r w:rsidR="009C3A66" w:rsidRPr="00720FEF">
        <w:rPr>
          <w:color w:val="000000" w:themeColor="text1"/>
        </w:rPr>
        <w:t>s constitutional rights</w:t>
      </w:r>
      <w:r w:rsidR="00BF2230">
        <w:rPr>
          <w:color w:val="000000" w:themeColor="text1"/>
        </w:rPr>
        <w:t>, including</w:t>
      </w:r>
      <w:r w:rsidR="009C3A66" w:rsidRPr="00720FEF">
        <w:rPr>
          <w:color w:val="000000" w:themeColor="text1"/>
        </w:rPr>
        <w:t xml:space="preserve"> </w:t>
      </w:r>
      <w:r w:rsidR="00F30807" w:rsidRPr="004E0F38">
        <w:rPr>
          <w:color w:val="000000" w:themeColor="text1"/>
        </w:rPr>
        <w:t xml:space="preserve">under </w:t>
      </w:r>
      <w:proofErr w:type="spellStart"/>
      <w:r w:rsidR="00F30807" w:rsidRPr="004E0F38">
        <w:rPr>
          <w:color w:val="000000" w:themeColor="text1"/>
        </w:rPr>
        <w:t>Marsy’s</w:t>
      </w:r>
      <w:proofErr w:type="spellEnd"/>
      <w:r w:rsidR="00F30807" w:rsidRPr="004E0F38">
        <w:rPr>
          <w:color w:val="000000" w:themeColor="text1"/>
        </w:rPr>
        <w:t xml:space="preserve"> Law</w:t>
      </w:r>
      <w:r w:rsidR="000224FB">
        <w:rPr>
          <w:color w:val="000000" w:themeColor="text1"/>
        </w:rPr>
        <w:t>,</w:t>
      </w:r>
      <w:r w:rsidR="00F30807">
        <w:rPr>
          <w:color w:val="000000" w:themeColor="text1"/>
        </w:rPr>
        <w:t xml:space="preserve"> </w:t>
      </w:r>
      <w:r w:rsidR="009C3A66" w:rsidRPr="00720FEF">
        <w:rPr>
          <w:color w:val="000000" w:themeColor="text1"/>
        </w:rPr>
        <w:t xml:space="preserve">were violated when the trial court </w:t>
      </w:r>
      <w:r w:rsidR="00104D67" w:rsidRPr="00720FEF">
        <w:rPr>
          <w:color w:val="000000" w:themeColor="text1"/>
        </w:rPr>
        <w:t>order</w:t>
      </w:r>
      <w:r w:rsidR="005D53AF" w:rsidRPr="00720FEF">
        <w:rPr>
          <w:color w:val="000000" w:themeColor="text1"/>
        </w:rPr>
        <w:t xml:space="preserve">ed </w:t>
      </w:r>
      <w:r w:rsidR="00104D67" w:rsidRPr="00720FEF">
        <w:rPr>
          <w:color w:val="000000" w:themeColor="text1"/>
        </w:rPr>
        <w:t>Facebook to preserve the information</w:t>
      </w:r>
      <w:r w:rsidR="005D53AF" w:rsidRPr="00720FEF">
        <w:rPr>
          <w:color w:val="000000" w:themeColor="text1"/>
        </w:rPr>
        <w:t xml:space="preserve">, and then issued the subpoena, </w:t>
      </w:r>
      <w:r w:rsidR="009C3A66" w:rsidRPr="00720FEF">
        <w:rPr>
          <w:color w:val="000000" w:themeColor="text1"/>
        </w:rPr>
        <w:t xml:space="preserve">without giving the victim or the </w:t>
      </w:r>
      <w:r w:rsidR="009C3A66" w:rsidRPr="00720FEF">
        <w:rPr>
          <w:color w:val="000000" w:themeColor="text1"/>
        </w:rPr>
        <w:lastRenderedPageBreak/>
        <w:t xml:space="preserve">People </w:t>
      </w:r>
      <w:r w:rsidR="000A6058" w:rsidRPr="00720FEF">
        <w:rPr>
          <w:color w:val="000000" w:themeColor="text1"/>
        </w:rPr>
        <w:t xml:space="preserve">adequate </w:t>
      </w:r>
      <w:r w:rsidR="009C3A66" w:rsidRPr="00720FEF">
        <w:rPr>
          <w:color w:val="000000" w:themeColor="text1"/>
        </w:rPr>
        <w:t>notice and an opportunity to be heard</w:t>
      </w:r>
      <w:r w:rsidR="00384E2F" w:rsidRPr="00720FEF">
        <w:rPr>
          <w:color w:val="000000" w:themeColor="text1"/>
        </w:rPr>
        <w:t xml:space="preserve"> concerning </w:t>
      </w:r>
      <w:r w:rsidR="00607EC5" w:rsidRPr="00720FEF">
        <w:rPr>
          <w:color w:val="000000" w:themeColor="text1"/>
        </w:rPr>
        <w:t xml:space="preserve">issuance of </w:t>
      </w:r>
      <w:r w:rsidR="00384E2F" w:rsidRPr="00720FEF">
        <w:rPr>
          <w:color w:val="000000" w:themeColor="text1"/>
        </w:rPr>
        <w:t>the subpoena</w:t>
      </w:r>
      <w:r w:rsidR="009C3A66" w:rsidRPr="00720FEF">
        <w:rPr>
          <w:color w:val="000000" w:themeColor="text1"/>
        </w:rPr>
        <w:t>.</w:t>
      </w:r>
      <w:r w:rsidR="009C3A66" w:rsidRPr="00720FEF">
        <w:rPr>
          <w:color w:val="000000" w:themeColor="text1"/>
          <w:szCs w:val="26"/>
        </w:rPr>
        <w:t xml:space="preserve">  </w:t>
      </w:r>
    </w:p>
    <w:p w14:paraId="5957D00A" w14:textId="47DD837E" w:rsidR="00FA3F1D" w:rsidRPr="00720FEF" w:rsidRDefault="00831A02" w:rsidP="00EA0331">
      <w:pPr>
        <w:pStyle w:val="Text"/>
        <w:spacing w:line="400" w:lineRule="exact"/>
        <w:ind w:firstLine="720"/>
        <w:rPr>
          <w:color w:val="000000" w:themeColor="text1"/>
        </w:rPr>
      </w:pPr>
      <w:r w:rsidRPr="00720FEF">
        <w:rPr>
          <w:color w:val="000000" w:themeColor="text1"/>
        </w:rPr>
        <w:t xml:space="preserve">In the </w:t>
      </w:r>
      <w:r w:rsidR="00AA6D63" w:rsidRPr="00720FEF">
        <w:rPr>
          <w:color w:val="000000" w:themeColor="text1"/>
        </w:rPr>
        <w:t xml:space="preserve">trial court in </w:t>
      </w:r>
      <w:r w:rsidRPr="00720FEF">
        <w:rPr>
          <w:color w:val="000000" w:themeColor="text1"/>
        </w:rPr>
        <w:t>present case</w:t>
      </w:r>
      <w:r w:rsidR="00AA6D63" w:rsidRPr="00720FEF">
        <w:rPr>
          <w:color w:val="000000" w:themeColor="text1"/>
        </w:rPr>
        <w:t>,</w:t>
      </w:r>
      <w:r w:rsidR="002C0E38" w:rsidRPr="00720FEF">
        <w:rPr>
          <w:color w:val="000000" w:themeColor="text1"/>
        </w:rPr>
        <w:t xml:space="preserve"> </w:t>
      </w:r>
      <w:r w:rsidR="00DB7568" w:rsidRPr="00720FEF">
        <w:rPr>
          <w:color w:val="000000" w:themeColor="text1"/>
          <w:szCs w:val="26"/>
        </w:rPr>
        <w:t xml:space="preserve">defense counsel </w:t>
      </w:r>
      <w:proofErr w:type="gramStart"/>
      <w:r w:rsidR="00DB7568" w:rsidRPr="00720FEF">
        <w:rPr>
          <w:color w:val="000000" w:themeColor="text1"/>
          <w:szCs w:val="26"/>
        </w:rPr>
        <w:t>was allowed to</w:t>
      </w:r>
      <w:proofErr w:type="gramEnd"/>
      <w:r w:rsidR="00DB7568" w:rsidRPr="00720FEF">
        <w:rPr>
          <w:color w:val="000000" w:themeColor="text1"/>
          <w:szCs w:val="26"/>
        </w:rPr>
        <w:t xml:space="preserve"> proceed ex parte and </w:t>
      </w:r>
      <w:r w:rsidR="00812799" w:rsidRPr="00720FEF">
        <w:rPr>
          <w:color w:val="000000" w:themeColor="text1"/>
          <w:szCs w:val="26"/>
        </w:rPr>
        <w:t xml:space="preserve">to file under </w:t>
      </w:r>
      <w:r w:rsidR="00DB7568" w:rsidRPr="00720FEF">
        <w:rPr>
          <w:color w:val="000000" w:themeColor="text1"/>
          <w:szCs w:val="26"/>
        </w:rPr>
        <w:t>seal the key declaration and exhibits opposing the motion to quash</w:t>
      </w:r>
      <w:r w:rsidR="005E2ABE" w:rsidRPr="00720FEF">
        <w:rPr>
          <w:color w:val="000000" w:themeColor="text1"/>
          <w:szCs w:val="26"/>
        </w:rPr>
        <w:t xml:space="preserve">.  </w:t>
      </w:r>
      <w:r w:rsidR="00C614E3" w:rsidRPr="00720FEF">
        <w:rPr>
          <w:color w:val="000000" w:themeColor="text1"/>
          <w:szCs w:val="26"/>
        </w:rPr>
        <w:t>Acco</w:t>
      </w:r>
      <w:r w:rsidR="009478D0" w:rsidRPr="00720FEF">
        <w:rPr>
          <w:color w:val="000000" w:themeColor="text1"/>
          <w:szCs w:val="26"/>
        </w:rPr>
        <w:t>rdingl</w:t>
      </w:r>
      <w:r w:rsidR="006D645A" w:rsidRPr="00720FEF">
        <w:rPr>
          <w:color w:val="000000" w:themeColor="text1"/>
          <w:szCs w:val="26"/>
        </w:rPr>
        <w:t>y</w:t>
      </w:r>
      <w:r w:rsidR="009478D0" w:rsidRPr="00720FEF">
        <w:rPr>
          <w:color w:val="000000" w:themeColor="text1"/>
          <w:szCs w:val="26"/>
        </w:rPr>
        <w:t xml:space="preserve"> </w:t>
      </w:r>
      <w:r w:rsidR="00DB7568" w:rsidRPr="00720FEF">
        <w:rPr>
          <w:color w:val="000000" w:themeColor="text1"/>
          <w:szCs w:val="26"/>
        </w:rPr>
        <w:t xml:space="preserve">neither </w:t>
      </w:r>
      <w:r w:rsidR="00E629BC" w:rsidRPr="00720FEF">
        <w:rPr>
          <w:color w:val="000000" w:themeColor="text1"/>
        </w:rPr>
        <w:t xml:space="preserve">the </w:t>
      </w:r>
      <w:r w:rsidR="004B2EF2" w:rsidRPr="00720FEF">
        <w:rPr>
          <w:color w:val="000000" w:themeColor="text1"/>
        </w:rPr>
        <w:t>district attorney</w:t>
      </w:r>
      <w:r w:rsidR="00DB7568" w:rsidRPr="00720FEF">
        <w:rPr>
          <w:color w:val="000000" w:themeColor="text1"/>
        </w:rPr>
        <w:t xml:space="preserve"> nor Facebook was permitted to </w:t>
      </w:r>
      <w:r w:rsidR="00812799" w:rsidRPr="00720FEF">
        <w:rPr>
          <w:color w:val="000000" w:themeColor="text1"/>
        </w:rPr>
        <w:t xml:space="preserve">learn </w:t>
      </w:r>
      <w:r w:rsidR="00DB7568" w:rsidRPr="00720FEF">
        <w:rPr>
          <w:color w:val="000000" w:themeColor="text1"/>
        </w:rPr>
        <w:t>what public posts defendant relied upon</w:t>
      </w:r>
      <w:r w:rsidR="0028587C" w:rsidRPr="00720FEF">
        <w:rPr>
          <w:color w:val="000000" w:themeColor="text1"/>
        </w:rPr>
        <w:t xml:space="preserve"> —</w:t>
      </w:r>
      <w:r w:rsidR="00DB7568" w:rsidRPr="00720FEF">
        <w:rPr>
          <w:color w:val="000000" w:themeColor="text1"/>
        </w:rPr>
        <w:t xml:space="preserve"> and neither was in a position at the hearing </w:t>
      </w:r>
      <w:r w:rsidR="00CE7193" w:rsidRPr="00720FEF">
        <w:rPr>
          <w:color w:val="000000" w:themeColor="text1"/>
        </w:rPr>
        <w:t xml:space="preserve">concerning </w:t>
      </w:r>
      <w:r w:rsidR="00DB7568" w:rsidRPr="00720FEF">
        <w:rPr>
          <w:color w:val="000000" w:themeColor="text1"/>
        </w:rPr>
        <w:t>the motion to quash</w:t>
      </w:r>
      <w:r w:rsidR="00812799" w:rsidRPr="00720FEF">
        <w:rPr>
          <w:color w:val="000000" w:themeColor="text1"/>
        </w:rPr>
        <w:t xml:space="preserve"> to address</w:t>
      </w:r>
      <w:r w:rsidR="00AE1505" w:rsidRPr="00720FEF">
        <w:rPr>
          <w:color w:val="000000" w:themeColor="text1"/>
        </w:rPr>
        <w:t xml:space="preserve"> whether </w:t>
      </w:r>
      <w:r w:rsidR="00DB7568" w:rsidRPr="00720FEF">
        <w:rPr>
          <w:color w:val="000000" w:themeColor="text1"/>
        </w:rPr>
        <w:t xml:space="preserve">those posts </w:t>
      </w:r>
      <w:r w:rsidR="00201596" w:rsidRPr="00720FEF">
        <w:rPr>
          <w:color w:val="000000" w:themeColor="text1"/>
        </w:rPr>
        <w:t xml:space="preserve">support a finding of </w:t>
      </w:r>
      <w:r w:rsidR="00DB7568" w:rsidRPr="00720FEF">
        <w:rPr>
          <w:color w:val="000000" w:themeColor="text1"/>
        </w:rPr>
        <w:t>good cause for the underlying subpoena</w:t>
      </w:r>
      <w:r w:rsidR="00425B31" w:rsidRPr="00720FEF">
        <w:rPr>
          <w:color w:val="000000" w:themeColor="text1"/>
        </w:rPr>
        <w:t>.</w:t>
      </w:r>
      <w:r w:rsidR="00DB7568" w:rsidRPr="00720FEF">
        <w:rPr>
          <w:color w:val="000000" w:themeColor="text1"/>
        </w:rPr>
        <w:t xml:space="preserve">  </w:t>
      </w:r>
      <w:r w:rsidR="00B912F5" w:rsidRPr="00720FEF">
        <w:rPr>
          <w:color w:val="000000" w:themeColor="text1"/>
        </w:rPr>
        <w:t>When a tr</w:t>
      </w:r>
      <w:r w:rsidR="00FA3F1D" w:rsidRPr="00720FEF">
        <w:rPr>
          <w:color w:val="000000" w:themeColor="text1"/>
        </w:rPr>
        <w:t>ial court</w:t>
      </w:r>
      <w:r w:rsidR="00B912F5" w:rsidRPr="00720FEF">
        <w:rPr>
          <w:color w:val="000000" w:themeColor="text1"/>
        </w:rPr>
        <w:t xml:space="preserve"> </w:t>
      </w:r>
      <w:r w:rsidR="003B7838" w:rsidRPr="00720FEF">
        <w:rPr>
          <w:color w:val="000000" w:themeColor="text1"/>
        </w:rPr>
        <w:t xml:space="preserve">does </w:t>
      </w:r>
      <w:r w:rsidR="00FA3F1D" w:rsidRPr="00720FEF">
        <w:rPr>
          <w:color w:val="000000" w:themeColor="text1"/>
        </w:rPr>
        <w:t>conclud</w:t>
      </w:r>
      <w:r w:rsidR="003B7838" w:rsidRPr="00720FEF">
        <w:rPr>
          <w:color w:val="000000" w:themeColor="text1"/>
        </w:rPr>
        <w:t>e</w:t>
      </w:r>
      <w:r w:rsidR="00FA3F1D" w:rsidRPr="00720FEF">
        <w:rPr>
          <w:color w:val="000000" w:themeColor="text1"/>
        </w:rPr>
        <w:t xml:space="preserve">, after carefully balancing the respective </w:t>
      </w:r>
      <w:r w:rsidR="004E0C4E" w:rsidRPr="00720FEF">
        <w:rPr>
          <w:color w:val="000000" w:themeColor="text1"/>
        </w:rPr>
        <w:t>considerations</w:t>
      </w:r>
      <w:r w:rsidR="00FA3F1D" w:rsidRPr="00720FEF">
        <w:rPr>
          <w:color w:val="000000" w:themeColor="text1"/>
        </w:rPr>
        <w:t>, that it is necessary and appropriate to proceed ex parte and/or under seal, and hence to forego the benefit of normal adversarial testing, the court assumes a heightened obligation to undertake critical and objective inquiry, keep</w:t>
      </w:r>
      <w:r w:rsidR="00D54E76" w:rsidRPr="00720FEF">
        <w:rPr>
          <w:color w:val="000000" w:themeColor="text1"/>
        </w:rPr>
        <w:t>ing</w:t>
      </w:r>
      <w:r w:rsidR="00FA3F1D" w:rsidRPr="00720FEF">
        <w:rPr>
          <w:color w:val="000000" w:themeColor="text1"/>
        </w:rPr>
        <w:t xml:space="preserve"> in mind the interests of others</w:t>
      </w:r>
      <w:r w:rsidR="00C73BC6" w:rsidRPr="00720FEF">
        <w:rPr>
          <w:color w:val="000000" w:themeColor="text1"/>
        </w:rPr>
        <w:t xml:space="preserve"> not privy to the sealed materials</w:t>
      </w:r>
      <w:r w:rsidR="00FA3F1D" w:rsidRPr="00720FEF">
        <w:rPr>
          <w:color w:val="000000" w:themeColor="text1"/>
        </w:rPr>
        <w:t xml:space="preserve">.  </w:t>
      </w:r>
    </w:p>
    <w:p w14:paraId="32A45685" w14:textId="2D270F85" w:rsidR="001E1E26" w:rsidRPr="008C580C" w:rsidRDefault="00882B4A" w:rsidP="00EA0331">
      <w:pPr>
        <w:ind w:firstLine="720"/>
        <w:rPr>
          <w:color w:val="000000" w:themeColor="text1"/>
        </w:rPr>
      </w:pPr>
      <w:r w:rsidRPr="00720FEF">
        <w:rPr>
          <w:color w:val="000000" w:themeColor="text1"/>
        </w:rPr>
        <w:t xml:space="preserve">Finally, </w:t>
      </w:r>
      <w:r w:rsidR="00817147" w:rsidRPr="00720FEF">
        <w:rPr>
          <w:color w:val="000000" w:themeColor="text1"/>
        </w:rPr>
        <w:t xml:space="preserve">we caution that </w:t>
      </w:r>
      <w:r w:rsidR="00124EF1" w:rsidRPr="00720FEF">
        <w:rPr>
          <w:color w:val="000000" w:themeColor="text1"/>
        </w:rPr>
        <w:t xml:space="preserve">even when other </w:t>
      </w:r>
      <w:r w:rsidR="009C31BF" w:rsidRPr="00720FEF">
        <w:rPr>
          <w:color w:val="000000" w:themeColor="text1"/>
        </w:rPr>
        <w:t xml:space="preserve">entities </w:t>
      </w:r>
      <w:r w:rsidR="00124EF1" w:rsidRPr="00720FEF">
        <w:rPr>
          <w:color w:val="000000" w:themeColor="text1"/>
        </w:rPr>
        <w:t xml:space="preserve">are not excluded from full participation in the proceedings, a trial court </w:t>
      </w:r>
      <w:r w:rsidR="00706804" w:rsidRPr="00720FEF">
        <w:rPr>
          <w:color w:val="000000" w:themeColor="text1"/>
        </w:rPr>
        <w:t>ruling on a motion to quash — especially one that, like this</w:t>
      </w:r>
      <w:r w:rsidR="007D1355" w:rsidRPr="00720FEF">
        <w:rPr>
          <w:color w:val="000000" w:themeColor="text1"/>
        </w:rPr>
        <w:t>,</w:t>
      </w:r>
      <w:r w:rsidR="00706804" w:rsidRPr="00720FEF">
        <w:rPr>
          <w:color w:val="000000" w:themeColor="text1"/>
        </w:rPr>
        <w:t xml:space="preserve"> involves </w:t>
      </w:r>
      <w:r w:rsidR="005548EA" w:rsidRPr="00720FEF">
        <w:rPr>
          <w:color w:val="000000" w:themeColor="text1"/>
        </w:rPr>
        <w:t xml:space="preserve">a </w:t>
      </w:r>
      <w:r w:rsidR="009C31BF" w:rsidRPr="00720FEF">
        <w:rPr>
          <w:color w:val="000000" w:themeColor="text1"/>
        </w:rPr>
        <w:t xml:space="preserve">request to access </w:t>
      </w:r>
      <w:r w:rsidR="003E2FE3" w:rsidRPr="00720FEF">
        <w:rPr>
          <w:color w:val="000000" w:themeColor="text1"/>
        </w:rPr>
        <w:t xml:space="preserve">restricted </w:t>
      </w:r>
      <w:r w:rsidR="00C73BC6" w:rsidRPr="00720FEF">
        <w:rPr>
          <w:color w:val="000000" w:themeColor="text1"/>
        </w:rPr>
        <w:t xml:space="preserve">social media </w:t>
      </w:r>
      <w:r w:rsidR="003E2FE3" w:rsidRPr="00720FEF">
        <w:rPr>
          <w:color w:val="000000" w:themeColor="text1"/>
        </w:rPr>
        <w:t xml:space="preserve">posts and private messages </w:t>
      </w:r>
      <w:r w:rsidR="009C31BF" w:rsidRPr="00720FEF">
        <w:rPr>
          <w:color w:val="000000" w:themeColor="text1"/>
        </w:rPr>
        <w:t xml:space="preserve">held by a third party </w:t>
      </w:r>
      <w:r w:rsidR="00706804" w:rsidRPr="00720FEF">
        <w:rPr>
          <w:color w:val="000000" w:themeColor="text1"/>
        </w:rPr>
        <w:t xml:space="preserve">— </w:t>
      </w:r>
      <w:r w:rsidR="00124EF1" w:rsidRPr="00E3549C">
        <w:rPr>
          <w:color w:val="000000" w:themeColor="text1"/>
        </w:rPr>
        <w:t>should bear in mind the need to make a record</w:t>
      </w:r>
      <w:r w:rsidR="00706804" w:rsidRPr="00E3549C">
        <w:rPr>
          <w:color w:val="000000" w:themeColor="text1"/>
        </w:rPr>
        <w:t xml:space="preserve"> that will facilitate appellate review</w:t>
      </w:r>
      <w:r w:rsidR="00706804" w:rsidRPr="00720FEF">
        <w:rPr>
          <w:color w:val="000000" w:themeColor="text1"/>
        </w:rPr>
        <w:t xml:space="preserve">.  </w:t>
      </w:r>
      <w:r w:rsidR="00003DB2">
        <w:rPr>
          <w:color w:val="000000" w:themeColor="text1"/>
        </w:rPr>
        <w:t xml:space="preserve">We acknowledge that </w:t>
      </w:r>
      <w:r w:rsidR="00D63FE9">
        <w:rPr>
          <w:color w:val="000000" w:themeColor="text1"/>
        </w:rPr>
        <w:t>t</w:t>
      </w:r>
      <w:r w:rsidR="001639A2">
        <w:rPr>
          <w:color w:val="000000" w:themeColor="text1"/>
        </w:rPr>
        <w:t xml:space="preserve">he </w:t>
      </w:r>
      <w:r w:rsidR="00965A10" w:rsidRPr="00965A10">
        <w:rPr>
          <w:color w:val="000000"/>
          <w:szCs w:val="27"/>
        </w:rPr>
        <w:t xml:space="preserve">trial court </w:t>
      </w:r>
      <w:r w:rsidR="00965A10">
        <w:rPr>
          <w:color w:val="000000"/>
          <w:szCs w:val="27"/>
        </w:rPr>
        <w:t xml:space="preserve">below was not </w:t>
      </w:r>
      <w:r w:rsidR="00965A10" w:rsidRPr="00965A10">
        <w:rPr>
          <w:color w:val="000000"/>
          <w:szCs w:val="27"/>
        </w:rPr>
        <w:t>required</w:t>
      </w:r>
      <w:r w:rsidR="00857C9B">
        <w:rPr>
          <w:color w:val="000000"/>
          <w:szCs w:val="27"/>
        </w:rPr>
        <w:t xml:space="preserve"> </w:t>
      </w:r>
      <w:r w:rsidR="00965A10" w:rsidRPr="00965A10">
        <w:rPr>
          <w:color w:val="000000"/>
          <w:szCs w:val="27"/>
        </w:rPr>
        <w:t xml:space="preserve">to issue a </w:t>
      </w:r>
      <w:r w:rsidR="004F2C4F">
        <w:rPr>
          <w:color w:val="000000"/>
          <w:szCs w:val="27"/>
        </w:rPr>
        <w:t xml:space="preserve">written </w:t>
      </w:r>
      <w:r w:rsidR="00965A10" w:rsidRPr="00965A10">
        <w:rPr>
          <w:color w:val="000000"/>
          <w:szCs w:val="27"/>
        </w:rPr>
        <w:t xml:space="preserve">statement of decision </w:t>
      </w:r>
      <w:r w:rsidR="007C0950">
        <w:rPr>
          <w:color w:val="000000"/>
          <w:szCs w:val="27"/>
        </w:rPr>
        <w:t xml:space="preserve">concerning </w:t>
      </w:r>
      <w:r w:rsidR="00003DB2">
        <w:rPr>
          <w:color w:val="000000"/>
          <w:szCs w:val="27"/>
        </w:rPr>
        <w:t xml:space="preserve">its ruling on </w:t>
      </w:r>
      <w:r w:rsidR="007C0950">
        <w:rPr>
          <w:color w:val="000000"/>
          <w:szCs w:val="27"/>
        </w:rPr>
        <w:t xml:space="preserve">the </w:t>
      </w:r>
      <w:r w:rsidR="00003DB2">
        <w:rPr>
          <w:color w:val="000000"/>
          <w:szCs w:val="27"/>
        </w:rPr>
        <w:t xml:space="preserve">motion.  (See </w:t>
      </w:r>
      <w:r w:rsidR="00965A10" w:rsidRPr="00965A10">
        <w:rPr>
          <w:i/>
          <w:iCs/>
          <w:color w:val="000000"/>
          <w:szCs w:val="27"/>
        </w:rPr>
        <w:t xml:space="preserve">In re Marriage of </w:t>
      </w:r>
      <w:proofErr w:type="spellStart"/>
      <w:r w:rsidR="00965A10" w:rsidRPr="00965A10">
        <w:rPr>
          <w:i/>
          <w:iCs/>
          <w:color w:val="000000"/>
          <w:szCs w:val="27"/>
        </w:rPr>
        <w:t>Askmo</w:t>
      </w:r>
      <w:proofErr w:type="spellEnd"/>
      <w:r w:rsidR="003237CE">
        <w:rPr>
          <w:i/>
          <w:iCs/>
          <w:color w:val="000000"/>
          <w:szCs w:val="27"/>
        </w:rPr>
        <w:t xml:space="preserve"> </w:t>
      </w:r>
      <w:r w:rsidR="00965A10" w:rsidRPr="00965A10">
        <w:rPr>
          <w:color w:val="000000"/>
          <w:szCs w:val="27"/>
        </w:rPr>
        <w:t>(2000) 85 Cal.App.4th 1032, 1040</w:t>
      </w:r>
      <w:r w:rsidR="00003DB2">
        <w:rPr>
          <w:color w:val="000000"/>
          <w:szCs w:val="27"/>
        </w:rPr>
        <w:t xml:space="preserve"> [</w:t>
      </w:r>
      <w:r w:rsidR="00003DB2" w:rsidRPr="00965A10">
        <w:rPr>
          <w:color w:val="000000"/>
          <w:szCs w:val="27"/>
        </w:rPr>
        <w:t>Co</w:t>
      </w:r>
      <w:r w:rsidR="00003DB2" w:rsidRPr="002B4035">
        <w:rPr>
          <w:color w:val="000000"/>
          <w:szCs w:val="27"/>
        </w:rPr>
        <w:t>de of Civil Proc</w:t>
      </w:r>
      <w:r w:rsidR="004124A0" w:rsidRPr="002B4035">
        <w:rPr>
          <w:color w:val="000000"/>
          <w:szCs w:val="27"/>
        </w:rPr>
        <w:t xml:space="preserve">. </w:t>
      </w:r>
      <w:r w:rsidR="00676CF5" w:rsidRPr="002B4035">
        <w:rPr>
          <w:color w:val="000000" w:themeColor="text1"/>
          <w:szCs w:val="26"/>
          <w:shd w:val="clear" w:color="auto" w:fill="FFFFFF"/>
        </w:rPr>
        <w:t>§ </w:t>
      </w:r>
      <w:r w:rsidR="00003DB2" w:rsidRPr="002B4035">
        <w:rPr>
          <w:color w:val="000000"/>
          <w:szCs w:val="27"/>
        </w:rPr>
        <w:t>632</w:t>
      </w:r>
      <w:r w:rsidR="00A0058E" w:rsidRPr="006B408E">
        <w:rPr>
          <w:color w:val="000000"/>
          <w:szCs w:val="27"/>
        </w:rPr>
        <w:t xml:space="preserve">, </w:t>
      </w:r>
      <w:r w:rsidR="00A13585">
        <w:rPr>
          <w:color w:val="000000"/>
          <w:szCs w:val="27"/>
        </w:rPr>
        <w:t xml:space="preserve">which </w:t>
      </w:r>
      <w:r w:rsidR="00890D53" w:rsidRPr="006B408E">
        <w:rPr>
          <w:color w:val="000000"/>
          <w:szCs w:val="27"/>
        </w:rPr>
        <w:t>requir</w:t>
      </w:r>
      <w:r w:rsidR="00A13585">
        <w:rPr>
          <w:color w:val="000000"/>
          <w:szCs w:val="27"/>
        </w:rPr>
        <w:t>es</w:t>
      </w:r>
      <w:r w:rsidR="00BB68E8" w:rsidRPr="006B408E">
        <w:rPr>
          <w:color w:val="000000"/>
          <w:szCs w:val="27"/>
        </w:rPr>
        <w:t xml:space="preserve"> </w:t>
      </w:r>
      <w:r w:rsidR="00890D53" w:rsidRPr="00C279C7">
        <w:rPr>
          <w:color w:val="000000"/>
          <w:szCs w:val="27"/>
        </w:rPr>
        <w:t xml:space="preserve">a trial court to issue a </w:t>
      </w:r>
      <w:r w:rsidR="00785802" w:rsidRPr="002B4035">
        <w:rPr>
          <w:color w:val="3D3D3D"/>
          <w:szCs w:val="27"/>
          <w:shd w:val="clear" w:color="auto" w:fill="FFFFFF"/>
        </w:rPr>
        <w:t>statement of decision</w:t>
      </w:r>
      <w:r w:rsidR="00A13585">
        <w:rPr>
          <w:color w:val="3D3D3D"/>
          <w:szCs w:val="27"/>
          <w:shd w:val="clear" w:color="auto" w:fill="FFFFFF"/>
        </w:rPr>
        <w:t xml:space="preserve"> </w:t>
      </w:r>
      <w:r w:rsidR="00AD584C">
        <w:rPr>
          <w:color w:val="3D3D3D"/>
          <w:szCs w:val="27"/>
          <w:shd w:val="clear" w:color="auto" w:fill="FFFFFF"/>
        </w:rPr>
        <w:t xml:space="preserve">that </w:t>
      </w:r>
      <w:r w:rsidR="00785802" w:rsidRPr="002B4035">
        <w:rPr>
          <w:color w:val="3D3D3D"/>
          <w:szCs w:val="27"/>
          <w:shd w:val="clear" w:color="auto" w:fill="FFFFFF"/>
        </w:rPr>
        <w:t>explain</w:t>
      </w:r>
      <w:r w:rsidR="00AD584C">
        <w:rPr>
          <w:color w:val="3D3D3D"/>
          <w:szCs w:val="27"/>
          <w:shd w:val="clear" w:color="auto" w:fill="FFFFFF"/>
        </w:rPr>
        <w:t xml:space="preserve">s </w:t>
      </w:r>
      <w:r w:rsidR="00785802" w:rsidRPr="002B4035">
        <w:rPr>
          <w:color w:val="3D3D3D"/>
          <w:szCs w:val="27"/>
          <w:shd w:val="clear" w:color="auto" w:fill="FFFFFF"/>
        </w:rPr>
        <w:t xml:space="preserve">the factual and legal basis for its </w:t>
      </w:r>
      <w:r w:rsidR="00AD584C">
        <w:rPr>
          <w:color w:val="3D3D3D"/>
          <w:szCs w:val="27"/>
          <w:shd w:val="clear" w:color="auto" w:fill="FFFFFF"/>
        </w:rPr>
        <w:t>determination</w:t>
      </w:r>
      <w:r w:rsidR="00A06EF1">
        <w:rPr>
          <w:color w:val="3D3D3D"/>
          <w:szCs w:val="27"/>
          <w:shd w:val="clear" w:color="auto" w:fill="FFFFFF"/>
        </w:rPr>
        <w:t>s</w:t>
      </w:r>
      <w:r w:rsidR="00AD584C">
        <w:rPr>
          <w:color w:val="3D3D3D"/>
          <w:szCs w:val="27"/>
          <w:shd w:val="clear" w:color="auto" w:fill="FFFFFF"/>
        </w:rPr>
        <w:t xml:space="preserve">, </w:t>
      </w:r>
      <w:r w:rsidR="00B100E0" w:rsidRPr="005B6F3D">
        <w:rPr>
          <w:color w:val="000000"/>
          <w:szCs w:val="27"/>
        </w:rPr>
        <w:t xml:space="preserve">generally </w:t>
      </w:r>
      <w:r w:rsidR="00B172AA" w:rsidRPr="005B6F3D">
        <w:rPr>
          <w:color w:val="3D3D3D"/>
          <w:szCs w:val="27"/>
          <w:shd w:val="clear" w:color="auto" w:fill="FFFFFF"/>
        </w:rPr>
        <w:t xml:space="preserve">applies only “when there has been a trial followed by a </w:t>
      </w:r>
      <w:r w:rsidR="00B172AA" w:rsidRPr="00291227">
        <w:rPr>
          <w:color w:val="3D3D3D"/>
          <w:szCs w:val="27"/>
          <w:shd w:val="clear" w:color="auto" w:fill="FFFFFF"/>
        </w:rPr>
        <w:t>judgment</w:t>
      </w:r>
      <w:r w:rsidR="008E04BC" w:rsidRPr="00291227">
        <w:rPr>
          <w:color w:val="3D3D3D"/>
          <w:szCs w:val="27"/>
          <w:shd w:val="clear" w:color="auto" w:fill="FFFFFF"/>
        </w:rPr>
        <w:t>,</w:t>
      </w:r>
      <w:r w:rsidR="003B1DC5" w:rsidRPr="00291227">
        <w:rPr>
          <w:color w:val="3D3D3D"/>
          <w:szCs w:val="27"/>
          <w:shd w:val="clear" w:color="auto" w:fill="FFFFFF"/>
        </w:rPr>
        <w:t>”</w:t>
      </w:r>
      <w:r w:rsidR="008E04BC" w:rsidRPr="00291227">
        <w:rPr>
          <w:color w:val="3D3D3D"/>
          <w:szCs w:val="27"/>
          <w:shd w:val="clear" w:color="auto" w:fill="FFFFFF"/>
        </w:rPr>
        <w:t xml:space="preserve"> and “does not apply to an order </w:t>
      </w:r>
      <w:r w:rsidR="00B910DC" w:rsidRPr="00291227">
        <w:rPr>
          <w:color w:val="3D3D3D"/>
          <w:szCs w:val="27"/>
          <w:shd w:val="clear" w:color="auto" w:fill="FFFFFF"/>
        </w:rPr>
        <w:t xml:space="preserve">[resolving a] </w:t>
      </w:r>
      <w:r w:rsidR="008E04BC" w:rsidRPr="00291227">
        <w:rPr>
          <w:color w:val="3D3D3D"/>
          <w:szCs w:val="27"/>
          <w:shd w:val="clear" w:color="auto" w:fill="FFFFFF"/>
        </w:rPr>
        <w:t>motion</w:t>
      </w:r>
      <w:r w:rsidR="00B910DC" w:rsidRPr="00291227">
        <w:rPr>
          <w:color w:val="3D3D3D"/>
          <w:szCs w:val="27"/>
          <w:shd w:val="clear" w:color="auto" w:fill="FFFFFF"/>
        </w:rPr>
        <w:t>”</w:t>
      </w:r>
      <w:r w:rsidR="00003DB2" w:rsidRPr="00291227">
        <w:rPr>
          <w:color w:val="000000"/>
          <w:szCs w:val="27"/>
        </w:rPr>
        <w:t xml:space="preserve">].)  </w:t>
      </w:r>
      <w:r w:rsidR="00965A10" w:rsidRPr="00291227">
        <w:rPr>
          <w:color w:val="000000"/>
          <w:szCs w:val="27"/>
        </w:rPr>
        <w:t>Yet be</w:t>
      </w:r>
      <w:r w:rsidR="00965A10" w:rsidRPr="005B6F3D">
        <w:rPr>
          <w:color w:val="000000"/>
          <w:szCs w:val="27"/>
        </w:rPr>
        <w:t xml:space="preserve">cause we </w:t>
      </w:r>
      <w:r w:rsidR="007D37DD" w:rsidRPr="005B6F3D">
        <w:rPr>
          <w:color w:val="000000"/>
          <w:szCs w:val="27"/>
        </w:rPr>
        <w:t xml:space="preserve">today </w:t>
      </w:r>
      <w:r w:rsidR="00965A10" w:rsidRPr="005B6F3D">
        <w:rPr>
          <w:color w:val="000000"/>
          <w:szCs w:val="27"/>
        </w:rPr>
        <w:t>artic</w:t>
      </w:r>
      <w:r w:rsidR="00965A10" w:rsidRPr="00965A10">
        <w:rPr>
          <w:color w:val="000000"/>
          <w:szCs w:val="27"/>
        </w:rPr>
        <w:t>ulat</w:t>
      </w:r>
      <w:r w:rsidR="007D37DD">
        <w:rPr>
          <w:color w:val="000000"/>
          <w:szCs w:val="27"/>
        </w:rPr>
        <w:t xml:space="preserve">e </w:t>
      </w:r>
      <w:r w:rsidR="00965A10" w:rsidRPr="00965A10">
        <w:rPr>
          <w:color w:val="000000"/>
          <w:szCs w:val="27"/>
        </w:rPr>
        <w:t xml:space="preserve">seven factors that courts must balance when ruling </w:t>
      </w:r>
      <w:r w:rsidR="00965A10" w:rsidRPr="00064B0D">
        <w:rPr>
          <w:color w:val="000000"/>
          <w:szCs w:val="27"/>
        </w:rPr>
        <w:lastRenderedPageBreak/>
        <w:t xml:space="preserve">on </w:t>
      </w:r>
      <w:r w:rsidR="005B4AF9" w:rsidRPr="00064B0D">
        <w:rPr>
          <w:color w:val="000000"/>
          <w:szCs w:val="27"/>
        </w:rPr>
        <w:t xml:space="preserve">a </w:t>
      </w:r>
      <w:r w:rsidR="00965A10" w:rsidRPr="00064B0D">
        <w:rPr>
          <w:color w:val="000000"/>
          <w:szCs w:val="27"/>
        </w:rPr>
        <w:t xml:space="preserve">motion to quash, we </w:t>
      </w:r>
      <w:r w:rsidR="00DE0A40" w:rsidRPr="00064B0D">
        <w:rPr>
          <w:color w:val="000000"/>
          <w:szCs w:val="27"/>
        </w:rPr>
        <w:t>emphasize that courts should create a record that facilitates meaningful appellate review</w:t>
      </w:r>
      <w:r w:rsidR="00965A10" w:rsidRPr="00064B0D">
        <w:rPr>
          <w:color w:val="000000"/>
          <w:szCs w:val="27"/>
        </w:rPr>
        <w:t>.</w:t>
      </w:r>
      <w:r w:rsidR="002542F6" w:rsidRPr="00064B0D">
        <w:rPr>
          <w:color w:val="000000"/>
          <w:szCs w:val="27"/>
        </w:rPr>
        <w:t xml:space="preserve">  Accordingly, </w:t>
      </w:r>
      <w:r w:rsidR="00CF4B8A" w:rsidRPr="00064B0D">
        <w:rPr>
          <w:color w:val="000000"/>
          <w:szCs w:val="27"/>
        </w:rPr>
        <w:t>a</w:t>
      </w:r>
      <w:r w:rsidR="005548EA" w:rsidRPr="00064B0D">
        <w:rPr>
          <w:color w:val="000000" w:themeColor="text1"/>
        </w:rPr>
        <w:t xml:space="preserve"> trial court should, at a minimum, a</w:t>
      </w:r>
      <w:r w:rsidR="009C31BF" w:rsidRPr="00064B0D">
        <w:rPr>
          <w:color w:val="000000" w:themeColor="text1"/>
        </w:rPr>
        <w:t>rticulate</w:t>
      </w:r>
      <w:r w:rsidR="0086102C" w:rsidRPr="00064B0D">
        <w:rPr>
          <w:color w:val="000000" w:themeColor="text1"/>
        </w:rPr>
        <w:t xml:space="preserve"> orally, </w:t>
      </w:r>
      <w:r w:rsidR="009C31BF" w:rsidRPr="00064B0D">
        <w:rPr>
          <w:color w:val="000000" w:themeColor="text1"/>
        </w:rPr>
        <w:t xml:space="preserve">and </w:t>
      </w:r>
      <w:r w:rsidR="00720FEF" w:rsidRPr="00064B0D">
        <w:rPr>
          <w:color w:val="000000" w:themeColor="text1"/>
        </w:rPr>
        <w:t xml:space="preserve">have </w:t>
      </w:r>
      <w:r w:rsidR="00F1059E" w:rsidRPr="00064B0D">
        <w:rPr>
          <w:color w:val="000000" w:themeColor="text1"/>
        </w:rPr>
        <w:t>memorialize</w:t>
      </w:r>
      <w:r w:rsidR="00720FEF" w:rsidRPr="00064B0D">
        <w:rPr>
          <w:color w:val="000000" w:themeColor="text1"/>
        </w:rPr>
        <w:t>d</w:t>
      </w:r>
      <w:r w:rsidR="00F1059E" w:rsidRPr="00064B0D">
        <w:rPr>
          <w:color w:val="000000" w:themeColor="text1"/>
        </w:rPr>
        <w:t xml:space="preserve"> in the reporter’s transcript, </w:t>
      </w:r>
      <w:r w:rsidR="00124EF1" w:rsidRPr="00064B0D">
        <w:rPr>
          <w:color w:val="000000" w:themeColor="text1"/>
        </w:rPr>
        <w:t>its consideration of the relevant factors.</w:t>
      </w:r>
      <w:r w:rsidR="00124EF1" w:rsidRPr="008C580C">
        <w:rPr>
          <w:color w:val="000000" w:themeColor="text1"/>
        </w:rPr>
        <w:t xml:space="preserve">  </w:t>
      </w:r>
    </w:p>
    <w:p w14:paraId="70F1C448" w14:textId="040544CF" w:rsidR="00927C86" w:rsidRPr="008C580C" w:rsidRDefault="00927C86" w:rsidP="007442BD">
      <w:pPr>
        <w:pStyle w:val="Heading1"/>
        <w:tabs>
          <w:tab w:val="left" w:pos="990"/>
          <w:tab w:val="left" w:pos="6570"/>
        </w:tabs>
        <w:ind w:left="900" w:right="900"/>
        <w:rPr>
          <w:b w:val="0"/>
          <w:color w:val="000000" w:themeColor="text1"/>
        </w:rPr>
      </w:pPr>
      <w:r w:rsidRPr="008C580C">
        <w:rPr>
          <w:color w:val="000000" w:themeColor="text1"/>
        </w:rPr>
        <w:t>V</w:t>
      </w:r>
      <w:r w:rsidR="001B3FC2" w:rsidRPr="008C580C">
        <w:rPr>
          <w:color w:val="000000" w:themeColor="text1"/>
        </w:rPr>
        <w:t>I</w:t>
      </w:r>
      <w:r w:rsidRPr="008C580C">
        <w:rPr>
          <w:color w:val="000000" w:themeColor="text1"/>
        </w:rPr>
        <w:t xml:space="preserve">I.  We Will Remand to The Trial Court to Consider the Good Cause </w:t>
      </w:r>
      <w:r w:rsidR="00910206" w:rsidRPr="008C580C">
        <w:rPr>
          <w:color w:val="000000" w:themeColor="text1"/>
        </w:rPr>
        <w:t xml:space="preserve">Factors </w:t>
      </w:r>
      <w:r w:rsidRPr="008C580C">
        <w:rPr>
          <w:color w:val="000000" w:themeColor="text1"/>
        </w:rPr>
        <w:t xml:space="preserve">With Full Participation By All Three Parties, and </w:t>
      </w:r>
      <w:r w:rsidR="003B0CBF" w:rsidRPr="008C580C">
        <w:rPr>
          <w:color w:val="000000" w:themeColor="text1"/>
        </w:rPr>
        <w:t xml:space="preserve">We Will </w:t>
      </w:r>
      <w:r w:rsidRPr="008C580C">
        <w:rPr>
          <w:color w:val="000000" w:themeColor="text1"/>
        </w:rPr>
        <w:t xml:space="preserve">Decline to Resolve the Constitutional and Related Substantive Issues Raised in the Briefs </w:t>
      </w:r>
    </w:p>
    <w:p w14:paraId="0D99E722" w14:textId="7B0049FA" w:rsidR="000C7A32" w:rsidRPr="008C580C" w:rsidRDefault="001028F3" w:rsidP="001E12EB">
      <w:pPr>
        <w:pStyle w:val="Text"/>
        <w:spacing w:line="400" w:lineRule="exact"/>
        <w:ind w:firstLine="720"/>
        <w:rPr>
          <w:color w:val="000000" w:themeColor="text1"/>
        </w:rPr>
      </w:pPr>
      <w:r w:rsidRPr="008C580C">
        <w:rPr>
          <w:color w:val="000000" w:themeColor="text1"/>
        </w:rPr>
        <w:t>D</w:t>
      </w:r>
      <w:r w:rsidR="000663DA" w:rsidRPr="008C580C">
        <w:rPr>
          <w:color w:val="000000" w:themeColor="text1"/>
        </w:rPr>
        <w:t>efendant</w:t>
      </w:r>
      <w:r w:rsidR="004F6755" w:rsidRPr="008C580C">
        <w:rPr>
          <w:color w:val="000000" w:themeColor="text1"/>
        </w:rPr>
        <w:t xml:space="preserve"> </w:t>
      </w:r>
      <w:r w:rsidR="0060756C" w:rsidRPr="008C580C">
        <w:rPr>
          <w:color w:val="000000" w:themeColor="text1"/>
        </w:rPr>
        <w:t xml:space="preserve">insists </w:t>
      </w:r>
      <w:r w:rsidR="00270080" w:rsidRPr="008C580C">
        <w:rPr>
          <w:color w:val="000000" w:themeColor="text1"/>
        </w:rPr>
        <w:t xml:space="preserve">in his most recent briefing, and at oral argument, </w:t>
      </w:r>
      <w:r w:rsidR="000663DA" w:rsidRPr="008C580C">
        <w:rPr>
          <w:color w:val="000000" w:themeColor="text1"/>
        </w:rPr>
        <w:t xml:space="preserve">that the underlying subpoena is supported by </w:t>
      </w:r>
      <w:proofErr w:type="gramStart"/>
      <w:r w:rsidR="000663DA" w:rsidRPr="008C580C">
        <w:rPr>
          <w:color w:val="000000" w:themeColor="text1"/>
        </w:rPr>
        <w:t>good cause</w:t>
      </w:r>
      <w:proofErr w:type="gramEnd"/>
      <w:r w:rsidR="00FC20DE" w:rsidRPr="008C580C">
        <w:rPr>
          <w:color w:val="000000" w:themeColor="text1"/>
        </w:rPr>
        <w:t xml:space="preserve">, </w:t>
      </w:r>
      <w:r w:rsidR="004803A5" w:rsidRPr="008C580C">
        <w:rPr>
          <w:color w:val="000000" w:themeColor="text1"/>
        </w:rPr>
        <w:t xml:space="preserve">and </w:t>
      </w:r>
      <w:r w:rsidR="000663DA" w:rsidRPr="008C580C">
        <w:rPr>
          <w:color w:val="000000" w:themeColor="text1"/>
        </w:rPr>
        <w:t xml:space="preserve">that although its scope should be narrowed, </w:t>
      </w:r>
      <w:r w:rsidR="004803A5" w:rsidRPr="008C580C">
        <w:rPr>
          <w:color w:val="000000" w:themeColor="text1"/>
        </w:rPr>
        <w:t xml:space="preserve">the subpoena </w:t>
      </w:r>
      <w:r w:rsidR="000663DA" w:rsidRPr="008C580C">
        <w:rPr>
          <w:color w:val="000000" w:themeColor="text1"/>
        </w:rPr>
        <w:t>is generally enforceable</w:t>
      </w:r>
      <w:r w:rsidR="00D64C74" w:rsidRPr="008C580C">
        <w:rPr>
          <w:color w:val="000000" w:themeColor="text1"/>
        </w:rPr>
        <w:t xml:space="preserve">.  </w:t>
      </w:r>
      <w:r w:rsidR="007364E0" w:rsidRPr="008C580C">
        <w:rPr>
          <w:color w:val="000000" w:themeColor="text1"/>
        </w:rPr>
        <w:t xml:space="preserve">After </w:t>
      </w:r>
      <w:r w:rsidR="00AE1505" w:rsidRPr="008C580C">
        <w:rPr>
          <w:color w:val="000000" w:themeColor="text1"/>
        </w:rPr>
        <w:t xml:space="preserve">recently </w:t>
      </w:r>
      <w:r w:rsidR="0060756C" w:rsidRPr="008C580C">
        <w:rPr>
          <w:color w:val="000000" w:themeColor="text1"/>
        </w:rPr>
        <w:t>be</w:t>
      </w:r>
      <w:r w:rsidR="001C2EA7" w:rsidRPr="008C580C">
        <w:rPr>
          <w:color w:val="000000" w:themeColor="text1"/>
        </w:rPr>
        <w:t xml:space="preserve">ing </w:t>
      </w:r>
      <w:r w:rsidR="0060756C" w:rsidRPr="008C580C">
        <w:rPr>
          <w:color w:val="000000" w:themeColor="text1"/>
        </w:rPr>
        <w:t xml:space="preserve">permitted to see the </w:t>
      </w:r>
      <w:r w:rsidR="00452815" w:rsidRPr="008C580C">
        <w:rPr>
          <w:color w:val="000000" w:themeColor="text1"/>
        </w:rPr>
        <w:t>un</w:t>
      </w:r>
      <w:r w:rsidR="0060756C" w:rsidRPr="008C580C">
        <w:rPr>
          <w:color w:val="000000" w:themeColor="text1"/>
        </w:rPr>
        <w:t xml:space="preserve">sealed declaration and supporting exhibits, </w:t>
      </w:r>
      <w:proofErr w:type="gramStart"/>
      <w:r w:rsidR="000663DA" w:rsidRPr="008C580C">
        <w:rPr>
          <w:color w:val="000000" w:themeColor="text1"/>
        </w:rPr>
        <w:t>Facebook</w:t>
      </w:r>
      <w:proofErr w:type="gramEnd"/>
      <w:r w:rsidR="000663DA" w:rsidRPr="008C580C">
        <w:rPr>
          <w:color w:val="000000" w:themeColor="text1"/>
        </w:rPr>
        <w:t xml:space="preserve"> and </w:t>
      </w:r>
      <w:r w:rsidR="00E629BC">
        <w:rPr>
          <w:color w:val="000000" w:themeColor="text1"/>
        </w:rPr>
        <w:t xml:space="preserve">the </w:t>
      </w:r>
      <w:r w:rsidR="004B2EF2">
        <w:rPr>
          <w:color w:val="000000" w:themeColor="text1"/>
        </w:rPr>
        <w:t>district attorney</w:t>
      </w:r>
      <w:r w:rsidR="000663DA" w:rsidRPr="008C580C">
        <w:rPr>
          <w:color w:val="000000" w:themeColor="text1"/>
        </w:rPr>
        <w:t xml:space="preserve"> </w:t>
      </w:r>
      <w:r w:rsidR="00DD6A6F" w:rsidRPr="008C580C">
        <w:rPr>
          <w:color w:val="000000" w:themeColor="text1"/>
        </w:rPr>
        <w:t xml:space="preserve">both </w:t>
      </w:r>
      <w:r w:rsidR="007D7191" w:rsidRPr="008C580C">
        <w:rPr>
          <w:color w:val="000000" w:themeColor="text1"/>
        </w:rPr>
        <w:t xml:space="preserve">contend </w:t>
      </w:r>
      <w:r w:rsidR="008A3DF0" w:rsidRPr="008C580C">
        <w:rPr>
          <w:color w:val="000000" w:themeColor="text1"/>
        </w:rPr>
        <w:t xml:space="preserve">the subpoena is </w:t>
      </w:r>
      <w:r w:rsidR="008A3DF0" w:rsidRPr="008C580C">
        <w:rPr>
          <w:i/>
          <w:color w:val="000000" w:themeColor="text1"/>
        </w:rPr>
        <w:t>not</w:t>
      </w:r>
      <w:r w:rsidR="008A3DF0" w:rsidRPr="008C580C">
        <w:rPr>
          <w:color w:val="000000" w:themeColor="text1"/>
        </w:rPr>
        <w:t xml:space="preserve"> supported by good cause</w:t>
      </w:r>
      <w:r w:rsidR="00416944" w:rsidRPr="008C580C">
        <w:rPr>
          <w:color w:val="000000" w:themeColor="text1"/>
        </w:rPr>
        <w:t xml:space="preserve">.  </w:t>
      </w:r>
      <w:r w:rsidR="00B007FD" w:rsidRPr="008C580C">
        <w:rPr>
          <w:color w:val="000000" w:themeColor="text1"/>
        </w:rPr>
        <w:t>T</w:t>
      </w:r>
      <w:r w:rsidR="00233322" w:rsidRPr="008C580C">
        <w:rPr>
          <w:color w:val="000000" w:themeColor="text1"/>
        </w:rPr>
        <w:t>he tr</w:t>
      </w:r>
      <w:r w:rsidR="00C03C0F" w:rsidRPr="008C580C">
        <w:rPr>
          <w:color w:val="000000" w:themeColor="text1"/>
        </w:rPr>
        <w:t>ia</w:t>
      </w:r>
      <w:r w:rsidR="00233322" w:rsidRPr="008C580C">
        <w:rPr>
          <w:color w:val="000000" w:themeColor="text1"/>
        </w:rPr>
        <w:t xml:space="preserve">l court, </w:t>
      </w:r>
      <w:r w:rsidR="00095E01" w:rsidRPr="008C580C">
        <w:rPr>
          <w:color w:val="000000" w:themeColor="text1"/>
        </w:rPr>
        <w:t xml:space="preserve">having </w:t>
      </w:r>
      <w:r w:rsidR="00A459DD" w:rsidRPr="008C580C">
        <w:rPr>
          <w:color w:val="000000" w:themeColor="text1"/>
        </w:rPr>
        <w:t>allow</w:t>
      </w:r>
      <w:r w:rsidR="00CE5B83" w:rsidRPr="008C580C">
        <w:rPr>
          <w:color w:val="000000" w:themeColor="text1"/>
        </w:rPr>
        <w:t xml:space="preserve">ed </w:t>
      </w:r>
      <w:r w:rsidR="00A459DD" w:rsidRPr="008C580C">
        <w:rPr>
          <w:color w:val="000000" w:themeColor="text1"/>
        </w:rPr>
        <w:t>defendant to proceed ex parte and under seal</w:t>
      </w:r>
      <w:r w:rsidR="00CD70B6" w:rsidRPr="008C580C">
        <w:rPr>
          <w:color w:val="000000" w:themeColor="text1"/>
        </w:rPr>
        <w:t xml:space="preserve">, </w:t>
      </w:r>
      <w:r w:rsidR="00DF0ACF" w:rsidRPr="008C580C">
        <w:rPr>
          <w:color w:val="000000" w:themeColor="text1"/>
        </w:rPr>
        <w:t xml:space="preserve">has not </w:t>
      </w:r>
      <w:r w:rsidR="00AE1505" w:rsidRPr="008C580C">
        <w:rPr>
          <w:color w:val="000000" w:themeColor="text1"/>
        </w:rPr>
        <w:t xml:space="preserve">considered the input </w:t>
      </w:r>
      <w:r w:rsidR="00233322" w:rsidRPr="008C580C">
        <w:rPr>
          <w:color w:val="000000" w:themeColor="text1"/>
        </w:rPr>
        <w:t xml:space="preserve">that we have </w:t>
      </w:r>
      <w:r w:rsidR="00A32892" w:rsidRPr="008C580C">
        <w:rPr>
          <w:color w:val="000000" w:themeColor="text1"/>
        </w:rPr>
        <w:t xml:space="preserve">obtained </w:t>
      </w:r>
      <w:r w:rsidR="00233322" w:rsidRPr="008C580C">
        <w:rPr>
          <w:color w:val="000000" w:themeColor="text1"/>
        </w:rPr>
        <w:t xml:space="preserve">from </w:t>
      </w:r>
      <w:r w:rsidR="00E629BC">
        <w:rPr>
          <w:color w:val="000000" w:themeColor="text1"/>
        </w:rPr>
        <w:t xml:space="preserve">the </w:t>
      </w:r>
      <w:r w:rsidR="004B2EF2">
        <w:rPr>
          <w:color w:val="000000" w:themeColor="text1"/>
        </w:rPr>
        <w:t>district attorney</w:t>
      </w:r>
      <w:r w:rsidR="00233322" w:rsidRPr="008C580C">
        <w:rPr>
          <w:color w:val="000000" w:themeColor="text1"/>
        </w:rPr>
        <w:t xml:space="preserve"> and Facebook.  </w:t>
      </w:r>
    </w:p>
    <w:p w14:paraId="3904139C" w14:textId="67880A5C" w:rsidR="00900A50" w:rsidRPr="008C580C" w:rsidRDefault="000C7A32" w:rsidP="00EA0331">
      <w:pPr>
        <w:ind w:firstLine="720"/>
        <w:rPr>
          <w:color w:val="000000" w:themeColor="text1"/>
        </w:rPr>
      </w:pPr>
      <w:r w:rsidRPr="008C580C">
        <w:rPr>
          <w:color w:val="000000" w:themeColor="text1"/>
        </w:rPr>
        <w:t>We review a ruling on a motion to quash, like other discovery orders, for abuse of discretion.  (</w:t>
      </w:r>
      <w:r w:rsidRPr="008C580C">
        <w:rPr>
          <w:i/>
          <w:color w:val="000000" w:themeColor="text1"/>
        </w:rPr>
        <w:t xml:space="preserve">Pitchess, supra, </w:t>
      </w:r>
      <w:r w:rsidRPr="008C580C">
        <w:rPr>
          <w:color w:val="000000" w:themeColor="text1"/>
        </w:rPr>
        <w:t>11</w:t>
      </w:r>
      <w:r w:rsidR="005B7685" w:rsidRPr="008C580C">
        <w:rPr>
          <w:color w:val="000000" w:themeColor="text1"/>
        </w:rPr>
        <w:t> </w:t>
      </w:r>
      <w:r w:rsidRPr="008C580C">
        <w:rPr>
          <w:color w:val="000000" w:themeColor="text1"/>
        </w:rPr>
        <w:t xml:space="preserve">Cal.3d </w:t>
      </w:r>
      <w:r w:rsidR="009E47ED" w:rsidRPr="008C580C">
        <w:rPr>
          <w:color w:val="000000" w:themeColor="text1"/>
        </w:rPr>
        <w:t xml:space="preserve">at p. </w:t>
      </w:r>
      <w:r w:rsidRPr="008C580C">
        <w:rPr>
          <w:color w:val="000000" w:themeColor="text1"/>
        </w:rPr>
        <w:t>535; see also</w:t>
      </w:r>
      <w:r w:rsidR="00735CE3" w:rsidRPr="008C580C">
        <w:rPr>
          <w:color w:val="000000" w:themeColor="text1"/>
        </w:rPr>
        <w:t xml:space="preserve"> </w:t>
      </w:r>
      <w:r w:rsidR="00735CE3" w:rsidRPr="008C580C">
        <w:rPr>
          <w:i/>
          <w:iCs/>
          <w:color w:val="000000" w:themeColor="text1"/>
        </w:rPr>
        <w:t>Facebook (Hunter</w:t>
      </w:r>
      <w:r w:rsidR="00846E8F">
        <w:rPr>
          <w:i/>
          <w:iCs/>
          <w:color w:val="000000" w:themeColor="text1"/>
        </w:rPr>
        <w:t>) </w:t>
      </w:r>
      <w:r w:rsidR="00735CE3" w:rsidRPr="008C580C">
        <w:rPr>
          <w:i/>
          <w:iCs/>
          <w:color w:val="000000" w:themeColor="text1"/>
        </w:rPr>
        <w:t>II, supra,</w:t>
      </w:r>
      <w:r w:rsidR="00735CE3" w:rsidRPr="008C580C">
        <w:rPr>
          <w:color w:val="000000" w:themeColor="text1"/>
        </w:rPr>
        <w:t xml:space="preserve"> </w:t>
      </w:r>
      <w:r w:rsidR="00735CE3" w:rsidRPr="008C580C">
        <w:rPr>
          <w:color w:val="000000" w:themeColor="text1"/>
          <w:szCs w:val="26"/>
        </w:rPr>
        <w:t>46</w:t>
      </w:r>
      <w:r w:rsidR="005B7685" w:rsidRPr="008C580C">
        <w:rPr>
          <w:color w:val="000000" w:themeColor="text1"/>
          <w:szCs w:val="26"/>
        </w:rPr>
        <w:t> </w:t>
      </w:r>
      <w:r w:rsidR="00735CE3" w:rsidRPr="008C580C">
        <w:rPr>
          <w:color w:val="000000" w:themeColor="text1"/>
          <w:szCs w:val="26"/>
        </w:rPr>
        <w:t xml:space="preserve">Cal.App.5th </w:t>
      </w:r>
      <w:r w:rsidR="009E47ED" w:rsidRPr="008C580C">
        <w:rPr>
          <w:color w:val="000000" w:themeColor="text1"/>
          <w:szCs w:val="26"/>
        </w:rPr>
        <w:t xml:space="preserve">at p. </w:t>
      </w:r>
      <w:r w:rsidR="00F86CE1" w:rsidRPr="008C580C">
        <w:rPr>
          <w:color w:val="000000" w:themeColor="text1"/>
          <w:szCs w:val="26"/>
        </w:rPr>
        <w:t>118</w:t>
      </w:r>
      <w:r w:rsidR="00E83E94">
        <w:rPr>
          <w:color w:val="000000" w:themeColor="text1"/>
          <w:szCs w:val="26"/>
        </w:rPr>
        <w:t>, rev. granted</w:t>
      </w:r>
      <w:r w:rsidRPr="008C580C">
        <w:rPr>
          <w:color w:val="000000" w:themeColor="text1"/>
        </w:rPr>
        <w:t xml:space="preserve">.)  We conclude that the trial court below abused its discretion </w:t>
      </w:r>
      <w:r w:rsidR="00033663" w:rsidRPr="008C580C">
        <w:rPr>
          <w:color w:val="000000" w:themeColor="text1"/>
        </w:rPr>
        <w:t xml:space="preserve">when ruling on the motion to quash </w:t>
      </w:r>
      <w:r w:rsidRPr="008C580C">
        <w:rPr>
          <w:color w:val="000000" w:themeColor="text1"/>
        </w:rPr>
        <w:t>by failing to apply</w:t>
      </w:r>
      <w:r w:rsidR="00554C03" w:rsidRPr="008C580C">
        <w:rPr>
          <w:color w:val="000000" w:themeColor="text1"/>
        </w:rPr>
        <w:t xml:space="preserve"> t</w:t>
      </w:r>
      <w:r w:rsidR="002B39F5" w:rsidRPr="008C580C">
        <w:rPr>
          <w:color w:val="000000" w:themeColor="text1"/>
        </w:rPr>
        <w:t xml:space="preserve">he </w:t>
      </w:r>
      <w:r w:rsidRPr="008C580C">
        <w:rPr>
          <w:color w:val="000000" w:themeColor="text1"/>
        </w:rPr>
        <w:t xml:space="preserve">seven-factor </w:t>
      </w:r>
      <w:r w:rsidRPr="008C580C">
        <w:rPr>
          <w:i/>
          <w:iCs/>
          <w:color w:val="000000" w:themeColor="text1"/>
        </w:rPr>
        <w:t>Alhambra</w:t>
      </w:r>
      <w:r w:rsidRPr="008C580C">
        <w:rPr>
          <w:color w:val="000000" w:themeColor="text1"/>
        </w:rPr>
        <w:t xml:space="preserve"> test</w:t>
      </w:r>
      <w:r w:rsidR="00AA688F" w:rsidRPr="008C580C">
        <w:rPr>
          <w:color w:val="000000" w:themeColor="text1"/>
        </w:rPr>
        <w:t xml:space="preserve">.  </w:t>
      </w:r>
      <w:r w:rsidR="00900A50" w:rsidRPr="008C580C">
        <w:rPr>
          <w:color w:val="000000" w:themeColor="text1"/>
        </w:rPr>
        <w:t xml:space="preserve">Under these circumstances we find it prudent to afford the trial court an opportunity to consider the </w:t>
      </w:r>
      <w:proofErr w:type="gramStart"/>
      <w:r w:rsidR="00900A50" w:rsidRPr="008C580C">
        <w:rPr>
          <w:color w:val="000000" w:themeColor="text1"/>
        </w:rPr>
        <w:t>good cause</w:t>
      </w:r>
      <w:proofErr w:type="gramEnd"/>
      <w:r w:rsidR="00900A50" w:rsidRPr="008C580C">
        <w:rPr>
          <w:color w:val="000000" w:themeColor="text1"/>
        </w:rPr>
        <w:t xml:space="preserve"> issue anew, this time with full participation by all three parties.  </w:t>
      </w:r>
    </w:p>
    <w:p w14:paraId="21DF267A" w14:textId="75C8EDA0" w:rsidR="005B5B86" w:rsidRPr="008C580C" w:rsidRDefault="007E2A12" w:rsidP="0094413B">
      <w:pPr>
        <w:ind w:firstLine="720"/>
        <w:rPr>
          <w:color w:val="000000" w:themeColor="text1"/>
        </w:rPr>
      </w:pPr>
      <w:r w:rsidRPr="008C580C">
        <w:rPr>
          <w:color w:val="000000" w:themeColor="text1"/>
        </w:rPr>
        <w:lastRenderedPageBreak/>
        <w:t xml:space="preserve">Facebook </w:t>
      </w:r>
      <w:r w:rsidR="00E32CDC">
        <w:rPr>
          <w:color w:val="000000" w:themeColor="text1"/>
        </w:rPr>
        <w:t xml:space="preserve">nevertheless </w:t>
      </w:r>
      <w:r w:rsidRPr="008C580C">
        <w:rPr>
          <w:color w:val="000000" w:themeColor="text1"/>
        </w:rPr>
        <w:t xml:space="preserve">urges, and </w:t>
      </w:r>
      <w:r w:rsidR="001254F6">
        <w:rPr>
          <w:color w:val="000000" w:themeColor="text1"/>
        </w:rPr>
        <w:t xml:space="preserve">the </w:t>
      </w:r>
      <w:r w:rsidR="004B2EF2">
        <w:rPr>
          <w:color w:val="000000" w:themeColor="text1"/>
        </w:rPr>
        <w:t>district attorney</w:t>
      </w:r>
      <w:r w:rsidR="009E3B73">
        <w:rPr>
          <w:color w:val="000000" w:themeColor="text1"/>
        </w:rPr>
        <w:t xml:space="preserve"> </w:t>
      </w:r>
      <w:r w:rsidRPr="008C580C">
        <w:rPr>
          <w:color w:val="000000" w:themeColor="text1"/>
        </w:rPr>
        <w:t xml:space="preserve">suggests, </w:t>
      </w:r>
      <w:r w:rsidR="009F00AA">
        <w:rPr>
          <w:color w:val="000000" w:themeColor="text1"/>
        </w:rPr>
        <w:t xml:space="preserve">that </w:t>
      </w:r>
      <w:r w:rsidRPr="008C580C">
        <w:rPr>
          <w:color w:val="000000" w:themeColor="text1"/>
        </w:rPr>
        <w:t xml:space="preserve">we should </w:t>
      </w:r>
      <w:r w:rsidR="00196F51" w:rsidRPr="008C580C">
        <w:rPr>
          <w:color w:val="000000" w:themeColor="text1"/>
        </w:rPr>
        <w:t xml:space="preserve">overlook </w:t>
      </w:r>
      <w:r w:rsidR="006E495F" w:rsidRPr="008C580C">
        <w:rPr>
          <w:color w:val="000000" w:themeColor="text1"/>
        </w:rPr>
        <w:t xml:space="preserve">questions concerning the </w:t>
      </w:r>
      <w:r w:rsidR="002B740C" w:rsidRPr="008C580C">
        <w:rPr>
          <w:color w:val="000000" w:themeColor="text1"/>
        </w:rPr>
        <w:t xml:space="preserve">enforceability of the underlying subpoena and proceed to </w:t>
      </w:r>
      <w:r w:rsidR="004B37E2" w:rsidRPr="008C580C">
        <w:rPr>
          <w:color w:val="000000" w:themeColor="text1"/>
        </w:rPr>
        <w:t xml:space="preserve">address </w:t>
      </w:r>
      <w:r w:rsidR="002B740C" w:rsidRPr="008C580C">
        <w:rPr>
          <w:color w:val="000000" w:themeColor="text1"/>
        </w:rPr>
        <w:t xml:space="preserve">and </w:t>
      </w:r>
      <w:r w:rsidR="00CF0BAB" w:rsidRPr="008C580C">
        <w:rPr>
          <w:color w:val="000000" w:themeColor="text1"/>
        </w:rPr>
        <w:t xml:space="preserve">decide </w:t>
      </w:r>
      <w:r w:rsidRPr="008C580C">
        <w:rPr>
          <w:color w:val="000000" w:themeColor="text1"/>
        </w:rPr>
        <w:t xml:space="preserve">the various important underlying substantive legal issues </w:t>
      </w:r>
      <w:r w:rsidR="0010522D" w:rsidRPr="008C580C">
        <w:rPr>
          <w:color w:val="000000" w:themeColor="text1"/>
        </w:rPr>
        <w:t xml:space="preserve">discussed </w:t>
      </w:r>
      <w:r w:rsidRPr="008C580C">
        <w:rPr>
          <w:color w:val="000000" w:themeColor="text1"/>
        </w:rPr>
        <w:t xml:space="preserve">in the briefs.  </w:t>
      </w:r>
      <w:r w:rsidR="00104C39" w:rsidRPr="008C580C">
        <w:rPr>
          <w:color w:val="000000" w:themeColor="text1"/>
        </w:rPr>
        <w:t xml:space="preserve">We recognize that the parties have undertaken substantial </w:t>
      </w:r>
      <w:r w:rsidR="0033427C" w:rsidRPr="008C580C">
        <w:rPr>
          <w:color w:val="000000" w:themeColor="text1"/>
        </w:rPr>
        <w:t>efforts to</w:t>
      </w:r>
      <w:r w:rsidR="007C2E4A" w:rsidRPr="008C580C">
        <w:rPr>
          <w:color w:val="000000" w:themeColor="text1"/>
        </w:rPr>
        <w:t xml:space="preserve"> explore the </w:t>
      </w:r>
      <w:r w:rsidR="00734F1E" w:rsidRPr="008C580C">
        <w:rPr>
          <w:color w:val="000000" w:themeColor="text1"/>
        </w:rPr>
        <w:t xml:space="preserve">Fifth and Sixth Amendment </w:t>
      </w:r>
      <w:r w:rsidR="00E434B1">
        <w:rPr>
          <w:color w:val="000000" w:themeColor="text1"/>
        </w:rPr>
        <w:t xml:space="preserve">issues </w:t>
      </w:r>
      <w:r w:rsidR="008E7F1C">
        <w:rPr>
          <w:color w:val="000000" w:themeColor="text1"/>
        </w:rPr>
        <w:t>implicated in this case</w:t>
      </w:r>
      <w:r w:rsidR="002B0E1B" w:rsidRPr="008C580C">
        <w:rPr>
          <w:color w:val="000000" w:themeColor="text1"/>
        </w:rPr>
        <w:t xml:space="preserve">, </w:t>
      </w:r>
      <w:r w:rsidR="007A1FA6" w:rsidRPr="008C580C">
        <w:rPr>
          <w:color w:val="000000" w:themeColor="text1"/>
        </w:rPr>
        <w:t xml:space="preserve">as well </w:t>
      </w:r>
      <w:r w:rsidR="00BC3AAB" w:rsidRPr="008C580C">
        <w:rPr>
          <w:color w:val="000000" w:themeColor="text1"/>
        </w:rPr>
        <w:t xml:space="preserve">as </w:t>
      </w:r>
      <w:r w:rsidR="00AE0ADC" w:rsidRPr="008C580C">
        <w:rPr>
          <w:color w:val="000000" w:themeColor="text1"/>
        </w:rPr>
        <w:t xml:space="preserve">the </w:t>
      </w:r>
      <w:r w:rsidR="00104C39" w:rsidRPr="008C580C">
        <w:rPr>
          <w:color w:val="000000" w:themeColor="text1"/>
        </w:rPr>
        <w:t>various theories under which a</w:t>
      </w:r>
      <w:r w:rsidR="001D23D8" w:rsidRPr="008C580C">
        <w:rPr>
          <w:color w:val="000000" w:themeColor="text1"/>
        </w:rPr>
        <w:t xml:space="preserve"> proper </w:t>
      </w:r>
      <w:r w:rsidR="00104C39" w:rsidRPr="008C580C">
        <w:rPr>
          <w:color w:val="000000" w:themeColor="text1"/>
        </w:rPr>
        <w:t>state subpoena might be enforced against Facebook without resolving th</w:t>
      </w:r>
      <w:r w:rsidR="002B0E1B" w:rsidRPr="008C580C">
        <w:rPr>
          <w:color w:val="000000" w:themeColor="text1"/>
        </w:rPr>
        <w:t xml:space="preserve">ose </w:t>
      </w:r>
      <w:r w:rsidR="00104C39" w:rsidRPr="008C580C">
        <w:rPr>
          <w:color w:val="000000" w:themeColor="text1"/>
        </w:rPr>
        <w:t>constitutional issues</w:t>
      </w:r>
      <w:r w:rsidR="004A5602" w:rsidRPr="008C580C">
        <w:rPr>
          <w:color w:val="000000" w:themeColor="text1"/>
        </w:rPr>
        <w:t xml:space="preserve">. </w:t>
      </w:r>
      <w:r w:rsidR="00104C39" w:rsidRPr="008C580C">
        <w:rPr>
          <w:color w:val="000000" w:themeColor="text1"/>
        </w:rPr>
        <w:t xml:space="preserve"> </w:t>
      </w:r>
      <w:proofErr w:type="gramStart"/>
      <w:r w:rsidR="00104C39" w:rsidRPr="008C580C">
        <w:rPr>
          <w:color w:val="000000" w:themeColor="text1"/>
        </w:rPr>
        <w:t>In light of</w:t>
      </w:r>
      <w:proofErr w:type="gramEnd"/>
      <w:r w:rsidR="00104C39" w:rsidRPr="008C580C">
        <w:rPr>
          <w:color w:val="000000" w:themeColor="text1"/>
        </w:rPr>
        <w:t xml:space="preserve"> the potential significance of </w:t>
      </w:r>
      <w:r w:rsidR="00AE0ADC" w:rsidRPr="008C580C">
        <w:rPr>
          <w:color w:val="000000" w:themeColor="text1"/>
        </w:rPr>
        <w:t xml:space="preserve">all of </w:t>
      </w:r>
      <w:r w:rsidR="00104C39" w:rsidRPr="008C580C">
        <w:rPr>
          <w:color w:val="000000" w:themeColor="text1"/>
        </w:rPr>
        <w:t>these issues, however, we conclude it is preferable to reserve judgment on these questions until we can be confident that we are dealing with a</w:t>
      </w:r>
      <w:r w:rsidR="00335B20" w:rsidRPr="008C580C">
        <w:rPr>
          <w:color w:val="000000" w:themeColor="text1"/>
        </w:rPr>
        <w:t xml:space="preserve">n </w:t>
      </w:r>
      <w:r w:rsidR="00104C39" w:rsidRPr="008C580C">
        <w:rPr>
          <w:color w:val="000000" w:themeColor="text1"/>
        </w:rPr>
        <w:t xml:space="preserve">otherwise enforceable subpoena.  </w:t>
      </w:r>
    </w:p>
    <w:p w14:paraId="150FEB86" w14:textId="707C9573" w:rsidR="0092655D" w:rsidRPr="008C580C" w:rsidRDefault="008853AA" w:rsidP="005B7685">
      <w:pPr>
        <w:ind w:firstLine="720"/>
        <w:rPr>
          <w:color w:val="000000" w:themeColor="text1"/>
        </w:rPr>
      </w:pPr>
      <w:r w:rsidRPr="008C580C">
        <w:rPr>
          <w:color w:val="000000" w:themeColor="text1"/>
        </w:rPr>
        <w:t>Accordingly</w:t>
      </w:r>
      <w:r w:rsidR="005B5B86" w:rsidRPr="008C580C">
        <w:rPr>
          <w:color w:val="000000" w:themeColor="text1"/>
        </w:rPr>
        <w:t xml:space="preserve">, </w:t>
      </w:r>
      <w:r w:rsidR="00104C39" w:rsidRPr="008C580C">
        <w:rPr>
          <w:color w:val="000000" w:themeColor="text1"/>
        </w:rPr>
        <w:t xml:space="preserve">in light </w:t>
      </w:r>
      <w:r w:rsidR="00104C39" w:rsidRPr="00F47766">
        <w:rPr>
          <w:color w:val="000000" w:themeColor="text1"/>
        </w:rPr>
        <w:t>of questions</w:t>
      </w:r>
      <w:r w:rsidR="00104C39" w:rsidRPr="008C580C">
        <w:rPr>
          <w:color w:val="000000" w:themeColor="text1"/>
        </w:rPr>
        <w:t xml:space="preserve"> concerning whether the underlying subpoena is supported by good cause, we will direct the Court of Appeal to vacate the trial court’s denial of the motion to quash and </w:t>
      </w:r>
      <w:r w:rsidR="0030155E">
        <w:rPr>
          <w:color w:val="000000" w:themeColor="text1"/>
        </w:rPr>
        <w:t xml:space="preserve">instruct </w:t>
      </w:r>
      <w:r w:rsidR="00104C39" w:rsidRPr="008C580C">
        <w:rPr>
          <w:color w:val="000000" w:themeColor="text1"/>
        </w:rPr>
        <w:t xml:space="preserve">the trial court to reconsider that motion.  </w:t>
      </w:r>
    </w:p>
    <w:p w14:paraId="380C7A33" w14:textId="5D68410C" w:rsidR="00234301" w:rsidRPr="008C580C" w:rsidRDefault="00CD0DBF" w:rsidP="007442BD">
      <w:pPr>
        <w:pStyle w:val="Heading1"/>
        <w:ind w:left="1440" w:right="1440"/>
        <w:rPr>
          <w:b w:val="0"/>
          <w:color w:val="000000" w:themeColor="text1"/>
        </w:rPr>
      </w:pPr>
      <w:r w:rsidRPr="008C580C">
        <w:rPr>
          <w:color w:val="000000" w:themeColor="text1"/>
        </w:rPr>
        <w:t>V</w:t>
      </w:r>
      <w:r w:rsidR="001B3FC2" w:rsidRPr="008C580C">
        <w:rPr>
          <w:color w:val="000000" w:themeColor="text1"/>
        </w:rPr>
        <w:t>I</w:t>
      </w:r>
      <w:r w:rsidR="00CA1D5B" w:rsidRPr="008C580C">
        <w:rPr>
          <w:color w:val="000000" w:themeColor="text1"/>
        </w:rPr>
        <w:t>I</w:t>
      </w:r>
      <w:r w:rsidRPr="00B34C80">
        <w:rPr>
          <w:color w:val="000000" w:themeColor="text1"/>
        </w:rPr>
        <w:t xml:space="preserve">I.  </w:t>
      </w:r>
      <w:r w:rsidR="00560BBD" w:rsidRPr="00B34C80">
        <w:rPr>
          <w:color w:val="000000" w:themeColor="text1"/>
        </w:rPr>
        <w:t xml:space="preserve">Whether </w:t>
      </w:r>
      <w:r w:rsidR="00C868C9" w:rsidRPr="00B34C80">
        <w:rPr>
          <w:color w:val="000000" w:themeColor="text1"/>
        </w:rPr>
        <w:t xml:space="preserve">Facebook </w:t>
      </w:r>
      <w:r w:rsidR="0083407A" w:rsidRPr="00B34C80">
        <w:rPr>
          <w:color w:val="000000" w:themeColor="text1"/>
        </w:rPr>
        <w:t>is</w:t>
      </w:r>
      <w:r w:rsidR="00824F08" w:rsidRPr="00B34C80">
        <w:rPr>
          <w:color w:val="000000" w:themeColor="text1"/>
        </w:rPr>
        <w:t xml:space="preserve"> Covered</w:t>
      </w:r>
      <w:r w:rsidR="00824F08" w:rsidRPr="009127E2">
        <w:rPr>
          <w:color w:val="000000" w:themeColor="text1"/>
        </w:rPr>
        <w:t xml:space="preserve"> </w:t>
      </w:r>
      <w:r w:rsidR="00C868C9" w:rsidRPr="000912A8">
        <w:rPr>
          <w:color w:val="000000" w:themeColor="text1"/>
        </w:rPr>
        <w:t>Under</w:t>
      </w:r>
      <w:r w:rsidR="00C868C9" w:rsidRPr="0083407A">
        <w:rPr>
          <w:color w:val="000000" w:themeColor="text1"/>
        </w:rPr>
        <w:t xml:space="preserve"> the SCA</w:t>
      </w:r>
    </w:p>
    <w:p w14:paraId="51B8CCC5" w14:textId="350B19BF" w:rsidR="00527957" w:rsidRPr="008C580C" w:rsidRDefault="00532080" w:rsidP="00EA0331">
      <w:pPr>
        <w:pStyle w:val="Text"/>
        <w:spacing w:line="400" w:lineRule="exact"/>
        <w:ind w:firstLine="720"/>
        <w:rPr>
          <w:color w:val="000000" w:themeColor="text1"/>
        </w:rPr>
      </w:pPr>
      <w:r w:rsidRPr="008C580C">
        <w:rPr>
          <w:color w:val="000000" w:themeColor="text1"/>
        </w:rPr>
        <w:t>Although</w:t>
      </w:r>
      <w:r w:rsidR="00E82EA3" w:rsidRPr="008C580C">
        <w:rPr>
          <w:color w:val="000000" w:themeColor="text1"/>
        </w:rPr>
        <w:t xml:space="preserve"> </w:t>
      </w:r>
      <w:r w:rsidR="00BA7F73" w:rsidRPr="008C580C">
        <w:rPr>
          <w:color w:val="000000" w:themeColor="text1"/>
        </w:rPr>
        <w:t xml:space="preserve">we will </w:t>
      </w:r>
      <w:r w:rsidR="00F062A5" w:rsidRPr="008C580C">
        <w:rPr>
          <w:color w:val="000000" w:themeColor="text1"/>
        </w:rPr>
        <w:t>not</w:t>
      </w:r>
      <w:r w:rsidR="00786F20" w:rsidRPr="008C580C">
        <w:rPr>
          <w:color w:val="000000" w:themeColor="text1"/>
        </w:rPr>
        <w:t xml:space="preserve"> </w:t>
      </w:r>
      <w:r w:rsidR="00393C61" w:rsidRPr="008C580C">
        <w:rPr>
          <w:color w:val="000000" w:themeColor="text1"/>
        </w:rPr>
        <w:t xml:space="preserve">decide </w:t>
      </w:r>
      <w:r w:rsidRPr="008C580C">
        <w:rPr>
          <w:color w:val="000000" w:themeColor="text1"/>
        </w:rPr>
        <w:t>the</w:t>
      </w:r>
      <w:r w:rsidR="00F4121B" w:rsidRPr="008C580C">
        <w:rPr>
          <w:color w:val="000000" w:themeColor="text1"/>
        </w:rPr>
        <w:t xml:space="preserve"> important constitutional and related issues</w:t>
      </w:r>
      <w:r w:rsidR="007C5AC4" w:rsidRPr="008C580C">
        <w:rPr>
          <w:color w:val="000000" w:themeColor="text1"/>
        </w:rPr>
        <w:t xml:space="preserve"> raised in the earlier briefs,</w:t>
      </w:r>
      <w:r w:rsidR="00841486" w:rsidRPr="008C580C">
        <w:rPr>
          <w:color w:val="000000" w:themeColor="text1"/>
        </w:rPr>
        <w:t xml:space="preserve"> </w:t>
      </w:r>
      <w:r w:rsidR="00B61E35" w:rsidRPr="008C580C">
        <w:rPr>
          <w:color w:val="000000" w:themeColor="text1"/>
        </w:rPr>
        <w:t>we briefly address</w:t>
      </w:r>
      <w:r w:rsidR="001C25FC" w:rsidRPr="008C580C">
        <w:rPr>
          <w:color w:val="000000" w:themeColor="text1"/>
        </w:rPr>
        <w:t xml:space="preserve"> </w:t>
      </w:r>
      <w:r w:rsidR="00250BD5" w:rsidRPr="008C580C">
        <w:rPr>
          <w:color w:val="000000" w:themeColor="text1"/>
        </w:rPr>
        <w:t>Fac</w:t>
      </w:r>
      <w:r w:rsidR="00250BD5" w:rsidRPr="00B34C80">
        <w:rPr>
          <w:color w:val="000000" w:themeColor="text1"/>
        </w:rPr>
        <w:t xml:space="preserve">ebook’s </w:t>
      </w:r>
      <w:r w:rsidR="007A23F1" w:rsidRPr="00B34C80">
        <w:rPr>
          <w:color w:val="000000" w:themeColor="text1"/>
        </w:rPr>
        <w:t xml:space="preserve">suggestion </w:t>
      </w:r>
      <w:r w:rsidR="00E1570F" w:rsidRPr="00B34C80">
        <w:rPr>
          <w:color w:val="000000" w:themeColor="text1"/>
        </w:rPr>
        <w:t xml:space="preserve">that </w:t>
      </w:r>
      <w:r w:rsidR="00FF397C" w:rsidRPr="00B34C80">
        <w:rPr>
          <w:color w:val="000000" w:themeColor="text1"/>
        </w:rPr>
        <w:t xml:space="preserve">in </w:t>
      </w:r>
      <w:r w:rsidR="00FF397C" w:rsidRPr="009127E2">
        <w:rPr>
          <w:i/>
          <w:iCs/>
          <w:color w:val="000000" w:themeColor="text1"/>
        </w:rPr>
        <w:t>Facebook (Hunter)</w:t>
      </w:r>
      <w:r w:rsidR="00370D68" w:rsidRPr="000912A8">
        <w:rPr>
          <w:i/>
          <w:iCs/>
          <w:color w:val="000000" w:themeColor="text1"/>
        </w:rPr>
        <w:t xml:space="preserve">, supra, </w:t>
      </w:r>
      <w:r w:rsidR="00EB25EA" w:rsidRPr="00895DEF">
        <w:rPr>
          <w:color w:val="000000" w:themeColor="text1"/>
        </w:rPr>
        <w:t>4</w:t>
      </w:r>
      <w:r w:rsidR="005B7685" w:rsidRPr="00932D55">
        <w:rPr>
          <w:color w:val="000000" w:themeColor="text1"/>
        </w:rPr>
        <w:t> </w:t>
      </w:r>
      <w:r w:rsidR="00EB25EA" w:rsidRPr="008D28C2">
        <w:rPr>
          <w:color w:val="000000" w:themeColor="text1"/>
        </w:rPr>
        <w:t>Cal.5</w:t>
      </w:r>
      <w:r w:rsidR="00CC03A5" w:rsidRPr="008D28C2">
        <w:rPr>
          <w:color w:val="000000" w:themeColor="text1"/>
        </w:rPr>
        <w:t>t</w:t>
      </w:r>
      <w:r w:rsidR="00EB25EA" w:rsidRPr="008D28C2">
        <w:rPr>
          <w:color w:val="000000" w:themeColor="text1"/>
        </w:rPr>
        <w:t xml:space="preserve">h </w:t>
      </w:r>
      <w:r w:rsidR="00CC03A5" w:rsidRPr="00395492">
        <w:rPr>
          <w:color w:val="000000" w:themeColor="text1"/>
        </w:rPr>
        <w:t xml:space="preserve">1245, </w:t>
      </w:r>
      <w:r w:rsidR="00FF397C" w:rsidRPr="00427FF3">
        <w:rPr>
          <w:color w:val="000000" w:themeColor="text1"/>
        </w:rPr>
        <w:t xml:space="preserve">we </w:t>
      </w:r>
      <w:r w:rsidR="00DC7D33" w:rsidRPr="004B4421">
        <w:rPr>
          <w:color w:val="000000" w:themeColor="text1"/>
        </w:rPr>
        <w:t>resolved</w:t>
      </w:r>
      <w:r w:rsidR="00CF5AB3" w:rsidRPr="004B4421">
        <w:rPr>
          <w:color w:val="000000" w:themeColor="text1"/>
        </w:rPr>
        <w:t xml:space="preserve"> </w:t>
      </w:r>
      <w:r w:rsidR="00E1738F" w:rsidRPr="004B4421">
        <w:rPr>
          <w:color w:val="000000" w:themeColor="text1"/>
        </w:rPr>
        <w:t xml:space="preserve">in its favor </w:t>
      </w:r>
      <w:r w:rsidR="004C4A80" w:rsidRPr="004B4421">
        <w:rPr>
          <w:color w:val="000000" w:themeColor="text1"/>
        </w:rPr>
        <w:t xml:space="preserve">the question of whether </w:t>
      </w:r>
      <w:r w:rsidR="00F419EE" w:rsidRPr="004B4421">
        <w:rPr>
          <w:color w:val="000000" w:themeColor="text1"/>
        </w:rPr>
        <w:t xml:space="preserve">it </w:t>
      </w:r>
      <w:r w:rsidR="00DE364A" w:rsidRPr="004B4421">
        <w:rPr>
          <w:color w:val="000000" w:themeColor="text1"/>
        </w:rPr>
        <w:t>is covered</w:t>
      </w:r>
      <w:r w:rsidR="008807C5" w:rsidRPr="004B4421">
        <w:rPr>
          <w:color w:val="000000" w:themeColor="text1"/>
        </w:rPr>
        <w:t xml:space="preserve"> and </w:t>
      </w:r>
      <w:r w:rsidR="0030177C" w:rsidRPr="004B4421">
        <w:rPr>
          <w:color w:val="000000" w:themeColor="text1"/>
        </w:rPr>
        <w:t>bound by</w:t>
      </w:r>
      <w:r w:rsidR="002D37E0" w:rsidRPr="004B4421">
        <w:rPr>
          <w:color w:val="000000" w:themeColor="text1"/>
        </w:rPr>
        <w:t xml:space="preserve"> the SC</w:t>
      </w:r>
      <w:r w:rsidR="002D37E0" w:rsidRPr="008C580C">
        <w:rPr>
          <w:color w:val="000000" w:themeColor="text1"/>
        </w:rPr>
        <w:t>A</w:t>
      </w:r>
      <w:r w:rsidR="00FF657F" w:rsidRPr="008C580C">
        <w:rPr>
          <w:color w:val="000000" w:themeColor="text1"/>
        </w:rPr>
        <w:t xml:space="preserve">.  </w:t>
      </w:r>
    </w:p>
    <w:p w14:paraId="10B3B1EE" w14:textId="3F0AD33A" w:rsidR="002A35C8" w:rsidRPr="008C580C" w:rsidRDefault="0032114A" w:rsidP="00EA0331">
      <w:pPr>
        <w:pStyle w:val="Text"/>
        <w:spacing w:line="400" w:lineRule="exact"/>
        <w:ind w:firstLine="720"/>
        <w:rPr>
          <w:color w:val="000000" w:themeColor="text1"/>
        </w:rPr>
      </w:pPr>
      <w:r w:rsidRPr="008C580C">
        <w:rPr>
          <w:color w:val="000000" w:themeColor="text1"/>
        </w:rPr>
        <w:t xml:space="preserve">Facebook </w:t>
      </w:r>
      <w:r w:rsidR="008F6B97">
        <w:rPr>
          <w:color w:val="000000" w:themeColor="text1"/>
        </w:rPr>
        <w:t xml:space="preserve">raises </w:t>
      </w:r>
      <w:r w:rsidRPr="008C580C">
        <w:rPr>
          <w:color w:val="000000" w:themeColor="text1"/>
        </w:rPr>
        <w:t xml:space="preserve">this argument in response to </w:t>
      </w:r>
      <w:r w:rsidR="0007159D" w:rsidRPr="008C580C">
        <w:rPr>
          <w:color w:val="000000" w:themeColor="text1"/>
        </w:rPr>
        <w:t xml:space="preserve">the </w:t>
      </w:r>
      <w:r w:rsidR="009931C1" w:rsidRPr="008C580C">
        <w:rPr>
          <w:color w:val="000000" w:themeColor="text1"/>
        </w:rPr>
        <w:t>assertion</w:t>
      </w:r>
      <w:r w:rsidR="0007159D" w:rsidRPr="008C580C">
        <w:rPr>
          <w:color w:val="000000" w:themeColor="text1"/>
        </w:rPr>
        <w:t xml:space="preserve">, jointly </w:t>
      </w:r>
      <w:r w:rsidR="00557ACF" w:rsidRPr="008C580C">
        <w:rPr>
          <w:color w:val="000000" w:themeColor="text1"/>
        </w:rPr>
        <w:t xml:space="preserve">advanced </w:t>
      </w:r>
      <w:r w:rsidR="0007159D" w:rsidRPr="008C580C">
        <w:rPr>
          <w:color w:val="000000" w:themeColor="text1"/>
        </w:rPr>
        <w:t>by d</w:t>
      </w:r>
      <w:r w:rsidR="00B3659F" w:rsidRPr="008C580C">
        <w:rPr>
          <w:color w:val="000000" w:themeColor="text1"/>
        </w:rPr>
        <w:t xml:space="preserve">efendant and </w:t>
      </w:r>
      <w:r w:rsidR="00E629BC">
        <w:rPr>
          <w:color w:val="000000" w:themeColor="text1"/>
        </w:rPr>
        <w:t xml:space="preserve">the </w:t>
      </w:r>
      <w:r w:rsidR="004B2EF2">
        <w:rPr>
          <w:color w:val="000000" w:themeColor="text1"/>
        </w:rPr>
        <w:t>district attorney</w:t>
      </w:r>
      <w:r w:rsidR="0007159D" w:rsidRPr="008C580C">
        <w:rPr>
          <w:color w:val="000000" w:themeColor="text1"/>
        </w:rPr>
        <w:t xml:space="preserve">, </w:t>
      </w:r>
      <w:r w:rsidR="00527957" w:rsidRPr="008C580C">
        <w:rPr>
          <w:color w:val="000000" w:themeColor="text1"/>
        </w:rPr>
        <w:t xml:space="preserve">that </w:t>
      </w:r>
      <w:r w:rsidR="00497780" w:rsidRPr="008C580C">
        <w:rPr>
          <w:color w:val="000000" w:themeColor="text1"/>
        </w:rPr>
        <w:t>Facebook’s business model</w:t>
      </w:r>
      <w:r w:rsidR="00D971FB" w:rsidRPr="008C580C">
        <w:rPr>
          <w:color w:val="000000" w:themeColor="text1"/>
        </w:rPr>
        <w:t xml:space="preserve"> </w:t>
      </w:r>
      <w:r w:rsidR="00497780" w:rsidRPr="008C580C">
        <w:rPr>
          <w:color w:val="000000" w:themeColor="text1"/>
        </w:rPr>
        <w:t>p</w:t>
      </w:r>
      <w:r w:rsidR="00E256C7" w:rsidRPr="008C580C">
        <w:rPr>
          <w:color w:val="000000" w:themeColor="text1"/>
        </w:rPr>
        <w:t xml:space="preserve">laces </w:t>
      </w:r>
      <w:r w:rsidR="008212DE" w:rsidRPr="008C580C">
        <w:rPr>
          <w:color w:val="000000" w:themeColor="text1"/>
        </w:rPr>
        <w:t xml:space="preserve">it </w:t>
      </w:r>
      <w:r w:rsidR="00497780" w:rsidRPr="008C580C">
        <w:rPr>
          <w:color w:val="000000" w:themeColor="text1"/>
        </w:rPr>
        <w:t>outside key provisions of the SCA and renders it subject to a</w:t>
      </w:r>
      <w:r w:rsidR="009D6D38" w:rsidRPr="008C580C">
        <w:rPr>
          <w:color w:val="000000" w:themeColor="text1"/>
        </w:rPr>
        <w:t xml:space="preserve">n enforceable </w:t>
      </w:r>
      <w:r w:rsidR="00497780" w:rsidRPr="008C580C">
        <w:rPr>
          <w:color w:val="000000" w:themeColor="text1"/>
        </w:rPr>
        <w:t>state subpoena</w:t>
      </w:r>
      <w:r w:rsidR="00FB7330" w:rsidRPr="008C580C">
        <w:rPr>
          <w:color w:val="000000" w:themeColor="text1"/>
        </w:rPr>
        <w:t xml:space="preserve">.  </w:t>
      </w:r>
      <w:r w:rsidR="00AF3016" w:rsidRPr="008C580C">
        <w:rPr>
          <w:color w:val="000000" w:themeColor="text1"/>
        </w:rPr>
        <w:t>The</w:t>
      </w:r>
      <w:r w:rsidR="00616B2B" w:rsidRPr="008C580C">
        <w:rPr>
          <w:color w:val="000000" w:themeColor="text1"/>
        </w:rPr>
        <w:t xml:space="preserve"> </w:t>
      </w:r>
      <w:r w:rsidR="006859C0" w:rsidRPr="008C580C">
        <w:rPr>
          <w:color w:val="000000" w:themeColor="text1"/>
        </w:rPr>
        <w:t xml:space="preserve">theory suggested </w:t>
      </w:r>
      <w:r w:rsidR="009931C1" w:rsidRPr="008C580C">
        <w:rPr>
          <w:color w:val="000000" w:themeColor="text1"/>
        </w:rPr>
        <w:t xml:space="preserve">by defendant and </w:t>
      </w:r>
      <w:r w:rsidR="00E629BC">
        <w:rPr>
          <w:color w:val="000000" w:themeColor="text1"/>
        </w:rPr>
        <w:t xml:space="preserve">the </w:t>
      </w:r>
      <w:r w:rsidR="004B2EF2">
        <w:rPr>
          <w:color w:val="000000" w:themeColor="text1"/>
        </w:rPr>
        <w:lastRenderedPageBreak/>
        <w:t>district attorney</w:t>
      </w:r>
      <w:r w:rsidR="006C02C8" w:rsidRPr="008C580C">
        <w:rPr>
          <w:color w:val="000000" w:themeColor="text1"/>
        </w:rPr>
        <w:t xml:space="preserve">, which </w:t>
      </w:r>
      <w:r w:rsidR="002A35C8" w:rsidRPr="008C580C">
        <w:rPr>
          <w:color w:val="000000" w:themeColor="text1"/>
        </w:rPr>
        <w:t>is</w:t>
      </w:r>
      <w:r w:rsidR="00EC7146" w:rsidRPr="008C580C">
        <w:rPr>
          <w:color w:val="000000" w:themeColor="text1"/>
        </w:rPr>
        <w:t xml:space="preserve"> </w:t>
      </w:r>
      <w:r w:rsidR="00707C5E" w:rsidRPr="008C580C">
        <w:rPr>
          <w:color w:val="000000" w:themeColor="text1"/>
        </w:rPr>
        <w:t xml:space="preserve">premised on </w:t>
      </w:r>
      <w:r w:rsidR="002A35C8" w:rsidRPr="008C580C">
        <w:rPr>
          <w:color w:val="000000" w:themeColor="text1"/>
        </w:rPr>
        <w:t>Facebook’s Terms of Service</w:t>
      </w:r>
      <w:r w:rsidR="00993EFD" w:rsidRPr="008C580C">
        <w:rPr>
          <w:rStyle w:val="FootnoteReference"/>
          <w:color w:val="000000" w:themeColor="text1"/>
          <w:lang w:val="en"/>
        </w:rPr>
        <w:footnoteReference w:id="16"/>
      </w:r>
      <w:r w:rsidR="002A35C8" w:rsidRPr="008C580C">
        <w:rPr>
          <w:color w:val="000000" w:themeColor="text1"/>
        </w:rPr>
        <w:t xml:space="preserve"> and Data Policy</w:t>
      </w:r>
      <w:r w:rsidR="006C02C8" w:rsidRPr="008C580C">
        <w:rPr>
          <w:color w:val="000000" w:themeColor="text1"/>
        </w:rPr>
        <w:t>,</w:t>
      </w:r>
      <w:r w:rsidR="00993EFD" w:rsidRPr="008C580C">
        <w:rPr>
          <w:rStyle w:val="FootnoteReference"/>
          <w:color w:val="000000" w:themeColor="text1"/>
          <w:lang w:val="en"/>
        </w:rPr>
        <w:footnoteReference w:id="17"/>
      </w:r>
      <w:r w:rsidR="009B7DF4" w:rsidRPr="008C580C">
        <w:rPr>
          <w:color w:val="000000" w:themeColor="text1"/>
        </w:rPr>
        <w:t xml:space="preserve"> </w:t>
      </w:r>
      <w:r w:rsidR="0052546C" w:rsidRPr="008C580C">
        <w:rPr>
          <w:color w:val="000000" w:themeColor="text1"/>
        </w:rPr>
        <w:t xml:space="preserve">is that </w:t>
      </w:r>
      <w:r w:rsidR="00E367AC">
        <w:rPr>
          <w:color w:val="000000" w:themeColor="text1"/>
        </w:rPr>
        <w:t>Facebook’s business model of</w:t>
      </w:r>
      <w:r w:rsidR="00E367AC" w:rsidRPr="008C580C">
        <w:rPr>
          <w:color w:val="000000" w:themeColor="text1"/>
        </w:rPr>
        <w:t xml:space="preserve"> </w:t>
      </w:r>
      <w:r w:rsidR="00FF2D36" w:rsidRPr="008C580C">
        <w:rPr>
          <w:color w:val="000000" w:themeColor="text1"/>
        </w:rPr>
        <w:t xml:space="preserve">mining its users’ communications content, analyzing that content, and sharing the resulting information with third parties to facilitate targeted advertising, </w:t>
      </w:r>
      <w:r w:rsidR="002A35C8" w:rsidRPr="008C580C">
        <w:rPr>
          <w:color w:val="000000" w:themeColor="text1"/>
        </w:rPr>
        <w:t>preclude</w:t>
      </w:r>
      <w:r w:rsidR="00E367AC">
        <w:rPr>
          <w:color w:val="000000" w:themeColor="text1"/>
        </w:rPr>
        <w:t>s it</w:t>
      </w:r>
      <w:r w:rsidR="00361B06" w:rsidRPr="008C580C">
        <w:rPr>
          <w:color w:val="000000" w:themeColor="text1"/>
        </w:rPr>
        <w:t xml:space="preserve"> </w:t>
      </w:r>
      <w:r w:rsidR="002A35C8" w:rsidRPr="008C580C">
        <w:rPr>
          <w:color w:val="000000" w:themeColor="text1"/>
        </w:rPr>
        <w:t xml:space="preserve">from qualifying </w:t>
      </w:r>
      <w:r w:rsidR="002F00FA" w:rsidRPr="008C580C">
        <w:rPr>
          <w:color w:val="000000" w:themeColor="text1"/>
        </w:rPr>
        <w:t>as a</w:t>
      </w:r>
      <w:r w:rsidR="00975D63">
        <w:rPr>
          <w:color w:val="000000" w:themeColor="text1"/>
        </w:rPr>
        <w:t xml:space="preserve">n </w:t>
      </w:r>
      <w:r w:rsidR="00F26ECE">
        <w:rPr>
          <w:color w:val="000000" w:themeColor="text1"/>
        </w:rPr>
        <w:t>entity</w:t>
      </w:r>
      <w:r w:rsidR="00582201" w:rsidRPr="008C580C">
        <w:rPr>
          <w:color w:val="000000" w:themeColor="text1"/>
        </w:rPr>
        <w:t xml:space="preserve"> subject to the </w:t>
      </w:r>
      <w:r w:rsidR="0083634E" w:rsidRPr="008C580C">
        <w:rPr>
          <w:color w:val="000000" w:themeColor="text1"/>
        </w:rPr>
        <w:t>SCA</w:t>
      </w:r>
      <w:r w:rsidR="00582201" w:rsidRPr="008C580C">
        <w:rPr>
          <w:color w:val="000000" w:themeColor="text1"/>
        </w:rPr>
        <w:t xml:space="preserve">.  </w:t>
      </w:r>
      <w:r w:rsidR="00522C52" w:rsidRPr="008C580C">
        <w:rPr>
          <w:color w:val="000000" w:themeColor="text1"/>
        </w:rPr>
        <w:t>That law</w:t>
      </w:r>
      <w:r w:rsidR="002C4BC4" w:rsidRPr="008C580C">
        <w:rPr>
          <w:color w:val="000000" w:themeColor="text1"/>
        </w:rPr>
        <w:t xml:space="preserve">, defendant and </w:t>
      </w:r>
      <w:r w:rsidR="00E629BC">
        <w:rPr>
          <w:color w:val="000000" w:themeColor="text1"/>
        </w:rPr>
        <w:t xml:space="preserve">the </w:t>
      </w:r>
      <w:r w:rsidR="004B2EF2" w:rsidRPr="00B34C80">
        <w:rPr>
          <w:color w:val="000000" w:themeColor="text1"/>
        </w:rPr>
        <w:t>district attorney</w:t>
      </w:r>
      <w:r w:rsidR="002C4BC4" w:rsidRPr="00B34C80">
        <w:rPr>
          <w:color w:val="000000" w:themeColor="text1"/>
        </w:rPr>
        <w:t xml:space="preserve"> observe,</w:t>
      </w:r>
      <w:r w:rsidR="00522C52" w:rsidRPr="00B34C80">
        <w:rPr>
          <w:color w:val="000000" w:themeColor="text1"/>
        </w:rPr>
        <w:t xml:space="preserve"> </w:t>
      </w:r>
      <w:r w:rsidR="00374A59" w:rsidRPr="00B34C80">
        <w:rPr>
          <w:color w:val="000000" w:themeColor="text1"/>
        </w:rPr>
        <w:t>covers only t</w:t>
      </w:r>
      <w:r w:rsidR="00153942" w:rsidRPr="00B34C80">
        <w:rPr>
          <w:color w:val="000000" w:themeColor="text1"/>
        </w:rPr>
        <w:t>w</w:t>
      </w:r>
      <w:r w:rsidR="00374A59" w:rsidRPr="009127E2">
        <w:rPr>
          <w:color w:val="000000" w:themeColor="text1"/>
        </w:rPr>
        <w:t>o types of entities</w:t>
      </w:r>
      <w:r w:rsidR="00297E20" w:rsidRPr="009B75D2">
        <w:rPr>
          <w:color w:val="000000" w:themeColor="text1"/>
        </w:rPr>
        <w:t xml:space="preserve"> —</w:t>
      </w:r>
      <w:r w:rsidR="00374A59" w:rsidRPr="009B75D2">
        <w:rPr>
          <w:color w:val="000000" w:themeColor="text1"/>
        </w:rPr>
        <w:t xml:space="preserve"> </w:t>
      </w:r>
      <w:r w:rsidR="00E340BC" w:rsidRPr="009B75D2">
        <w:rPr>
          <w:color w:val="000000" w:themeColor="text1"/>
        </w:rPr>
        <w:t>(1)</w:t>
      </w:r>
      <w:r w:rsidR="002D28C8">
        <w:rPr>
          <w:color w:val="000000" w:themeColor="text1"/>
        </w:rPr>
        <w:t xml:space="preserve"> </w:t>
      </w:r>
      <w:r w:rsidR="00296438" w:rsidRPr="009B75D2">
        <w:rPr>
          <w:color w:val="000000" w:themeColor="text1"/>
        </w:rPr>
        <w:t xml:space="preserve">those that </w:t>
      </w:r>
      <w:r w:rsidR="0020746C" w:rsidRPr="00846E8F">
        <w:rPr>
          <w:color w:val="000000" w:themeColor="text1"/>
        </w:rPr>
        <w:t>provide</w:t>
      </w:r>
      <w:r w:rsidR="0020746C" w:rsidRPr="00BF09FE">
        <w:rPr>
          <w:color w:val="000000" w:themeColor="text1"/>
        </w:rPr>
        <w:t xml:space="preserve"> </w:t>
      </w:r>
      <w:r w:rsidR="00E340BC" w:rsidRPr="00984698">
        <w:rPr>
          <w:color w:val="000000" w:themeColor="text1"/>
        </w:rPr>
        <w:t>“electronic communication service” (ECS</w:t>
      </w:r>
      <w:r w:rsidR="00EE0AF5" w:rsidRPr="00AF52A1">
        <w:rPr>
          <w:color w:val="000000" w:themeColor="text1"/>
        </w:rPr>
        <w:t>)</w:t>
      </w:r>
      <w:r w:rsidR="00EE0AF5" w:rsidRPr="00AF52A1">
        <w:rPr>
          <w:color w:val="000000" w:themeColor="text1"/>
          <w:szCs w:val="26"/>
        </w:rPr>
        <w:t xml:space="preserve"> </w:t>
      </w:r>
      <w:r w:rsidR="00E340BC" w:rsidRPr="00AF52A1">
        <w:rPr>
          <w:color w:val="000000" w:themeColor="text1"/>
        </w:rPr>
        <w:t>and</w:t>
      </w:r>
      <w:r w:rsidR="00E340BC" w:rsidRPr="003A648D">
        <w:rPr>
          <w:color w:val="000000" w:themeColor="text1"/>
        </w:rPr>
        <w:t xml:space="preserve"> (2) </w:t>
      </w:r>
      <w:r w:rsidR="00296438" w:rsidRPr="003A648D">
        <w:rPr>
          <w:color w:val="000000" w:themeColor="text1"/>
        </w:rPr>
        <w:t xml:space="preserve">those that </w:t>
      </w:r>
      <w:r w:rsidR="00E340BC" w:rsidRPr="003A648D">
        <w:rPr>
          <w:color w:val="000000" w:themeColor="text1"/>
        </w:rPr>
        <w:t>provide</w:t>
      </w:r>
      <w:r w:rsidR="001D1C55" w:rsidRPr="003A648D">
        <w:rPr>
          <w:color w:val="000000" w:themeColor="text1"/>
        </w:rPr>
        <w:t xml:space="preserve"> </w:t>
      </w:r>
      <w:r w:rsidR="00E340BC" w:rsidRPr="003A648D">
        <w:rPr>
          <w:color w:val="000000" w:themeColor="text1"/>
        </w:rPr>
        <w:t>“remote computing service” (RCS)</w:t>
      </w:r>
      <w:r w:rsidR="00297E20" w:rsidRPr="003A648D">
        <w:rPr>
          <w:color w:val="000000" w:themeColor="text1"/>
        </w:rPr>
        <w:t xml:space="preserve"> —</w:t>
      </w:r>
      <w:r w:rsidR="00701FE2" w:rsidRPr="003A648D">
        <w:rPr>
          <w:color w:val="000000" w:themeColor="text1"/>
        </w:rPr>
        <w:t xml:space="preserve"> </w:t>
      </w:r>
      <w:r w:rsidR="00DA0B35" w:rsidRPr="003A648D">
        <w:rPr>
          <w:color w:val="000000" w:themeColor="text1"/>
        </w:rPr>
        <w:t xml:space="preserve">and </w:t>
      </w:r>
      <w:r w:rsidR="00597927" w:rsidRPr="000A2BFB">
        <w:rPr>
          <w:color w:val="000000" w:themeColor="text1"/>
        </w:rPr>
        <w:t xml:space="preserve">the </w:t>
      </w:r>
      <w:r w:rsidR="00066854" w:rsidRPr="000A2BFB">
        <w:rPr>
          <w:color w:val="000000" w:themeColor="text1"/>
        </w:rPr>
        <w:t>law</w:t>
      </w:r>
      <w:r w:rsidR="00597927" w:rsidRPr="000A2BFB">
        <w:rPr>
          <w:color w:val="000000" w:themeColor="text1"/>
        </w:rPr>
        <w:t xml:space="preserve"> </w:t>
      </w:r>
      <w:r w:rsidR="00DA0B35" w:rsidRPr="000A2BFB">
        <w:rPr>
          <w:color w:val="000000" w:themeColor="text1"/>
        </w:rPr>
        <w:t xml:space="preserve">bars </w:t>
      </w:r>
      <w:r w:rsidR="00085800" w:rsidRPr="00932D55">
        <w:rPr>
          <w:color w:val="000000" w:themeColor="text1"/>
        </w:rPr>
        <w:t xml:space="preserve">such </w:t>
      </w:r>
      <w:r w:rsidR="0031710A" w:rsidRPr="00932D55">
        <w:rPr>
          <w:color w:val="000000" w:themeColor="text1"/>
        </w:rPr>
        <w:t xml:space="preserve">entities </w:t>
      </w:r>
      <w:r w:rsidR="00701FE2" w:rsidRPr="00FF06C4">
        <w:rPr>
          <w:color w:val="000000" w:themeColor="text1"/>
        </w:rPr>
        <w:t xml:space="preserve">from </w:t>
      </w:r>
      <w:r w:rsidR="00700648" w:rsidRPr="00317CE7">
        <w:rPr>
          <w:iCs/>
          <w:color w:val="000000" w:themeColor="text1"/>
        </w:rPr>
        <w:t>divul</w:t>
      </w:r>
      <w:r w:rsidR="00700648" w:rsidRPr="00395492">
        <w:rPr>
          <w:iCs/>
          <w:color w:val="000000" w:themeColor="text1"/>
        </w:rPr>
        <w:t xml:space="preserve">ging to </w:t>
      </w:r>
      <w:r w:rsidR="00CC135A" w:rsidRPr="00395492">
        <w:rPr>
          <w:iCs/>
          <w:color w:val="000000" w:themeColor="text1"/>
        </w:rPr>
        <w:t xml:space="preserve">others </w:t>
      </w:r>
      <w:r w:rsidR="00700648" w:rsidRPr="00395492">
        <w:rPr>
          <w:iCs/>
          <w:color w:val="000000" w:themeColor="text1"/>
        </w:rPr>
        <w:t>the</w:t>
      </w:r>
      <w:r w:rsidR="00700648" w:rsidRPr="00FF06C4">
        <w:rPr>
          <w:iCs/>
          <w:color w:val="000000" w:themeColor="text1"/>
        </w:rPr>
        <w:t xml:space="preserve"> contents of </w:t>
      </w:r>
      <w:r w:rsidR="00DA0B35" w:rsidRPr="0038668B">
        <w:rPr>
          <w:iCs/>
          <w:color w:val="000000" w:themeColor="text1"/>
        </w:rPr>
        <w:t xml:space="preserve">their </w:t>
      </w:r>
      <w:r w:rsidR="006A6366" w:rsidRPr="0038668B">
        <w:rPr>
          <w:iCs/>
          <w:color w:val="000000" w:themeColor="text1"/>
        </w:rPr>
        <w:t xml:space="preserve">users’ </w:t>
      </w:r>
      <w:r w:rsidR="00700648" w:rsidRPr="0038668B">
        <w:rPr>
          <w:iCs/>
          <w:color w:val="000000" w:themeColor="text1"/>
        </w:rPr>
        <w:t>communication</w:t>
      </w:r>
      <w:r w:rsidR="006A6366" w:rsidRPr="0038668B">
        <w:rPr>
          <w:iCs/>
          <w:color w:val="000000" w:themeColor="text1"/>
        </w:rPr>
        <w:t>s</w:t>
      </w:r>
      <w:r w:rsidR="00E340BC" w:rsidRPr="0038668B">
        <w:rPr>
          <w:color w:val="000000" w:themeColor="text1"/>
        </w:rPr>
        <w:t>.</w:t>
      </w:r>
      <w:r w:rsidR="006A6366" w:rsidRPr="00B34C80">
        <w:rPr>
          <w:rStyle w:val="FootnoteReference"/>
          <w:color w:val="000000" w:themeColor="text1"/>
        </w:rPr>
        <w:footnoteReference w:id="18"/>
      </w:r>
      <w:r w:rsidR="00562189" w:rsidRPr="00B34C80">
        <w:rPr>
          <w:color w:val="000000" w:themeColor="text1"/>
        </w:rPr>
        <w:t xml:space="preserve">  </w:t>
      </w:r>
      <w:r w:rsidR="00C767F8" w:rsidRPr="00B34C80">
        <w:rPr>
          <w:color w:val="000000" w:themeColor="text1"/>
        </w:rPr>
        <w:t>D</w:t>
      </w:r>
      <w:r w:rsidR="00352A8B" w:rsidRPr="00B34C80">
        <w:rPr>
          <w:color w:val="000000" w:themeColor="text1"/>
        </w:rPr>
        <w:t xml:space="preserve">efendant and </w:t>
      </w:r>
      <w:r w:rsidR="00E629BC" w:rsidRPr="00B34C80">
        <w:rPr>
          <w:color w:val="000000" w:themeColor="text1"/>
        </w:rPr>
        <w:t xml:space="preserve">the </w:t>
      </w:r>
      <w:r w:rsidR="004B2EF2" w:rsidRPr="00B34C80">
        <w:rPr>
          <w:color w:val="000000" w:themeColor="text1"/>
        </w:rPr>
        <w:t>district attorney</w:t>
      </w:r>
      <w:r w:rsidR="00352A8B" w:rsidRPr="009127E2">
        <w:rPr>
          <w:color w:val="000000" w:themeColor="text1"/>
        </w:rPr>
        <w:t xml:space="preserve"> assert</w:t>
      </w:r>
      <w:r w:rsidR="00C767F8" w:rsidRPr="009B75D2">
        <w:rPr>
          <w:color w:val="000000" w:themeColor="text1"/>
        </w:rPr>
        <w:t xml:space="preserve"> that</w:t>
      </w:r>
      <w:r w:rsidR="00352A8B" w:rsidRPr="009B75D2">
        <w:rPr>
          <w:color w:val="000000" w:themeColor="text1"/>
        </w:rPr>
        <w:t xml:space="preserve"> Facebook </w:t>
      </w:r>
      <w:r w:rsidR="00FF72D5" w:rsidRPr="009B75D2">
        <w:rPr>
          <w:color w:val="000000" w:themeColor="text1"/>
        </w:rPr>
        <w:t xml:space="preserve">is </w:t>
      </w:r>
      <w:r w:rsidR="005D701E" w:rsidRPr="00846E8F">
        <w:rPr>
          <w:color w:val="000000" w:themeColor="text1"/>
        </w:rPr>
        <w:t>neither a</w:t>
      </w:r>
      <w:r w:rsidR="00A76EDE" w:rsidRPr="00846E8F">
        <w:rPr>
          <w:color w:val="000000" w:themeColor="text1"/>
        </w:rPr>
        <w:t xml:space="preserve"> pro</w:t>
      </w:r>
      <w:r w:rsidR="000F6150" w:rsidRPr="00846E8F">
        <w:rPr>
          <w:color w:val="000000" w:themeColor="text1"/>
        </w:rPr>
        <w:t>v</w:t>
      </w:r>
      <w:r w:rsidR="00A76EDE" w:rsidRPr="00BF09FE">
        <w:rPr>
          <w:color w:val="000000" w:themeColor="text1"/>
        </w:rPr>
        <w:t xml:space="preserve">ider of </w:t>
      </w:r>
      <w:r w:rsidR="005D701E" w:rsidRPr="00AF52A1">
        <w:rPr>
          <w:color w:val="000000" w:themeColor="text1"/>
        </w:rPr>
        <w:t xml:space="preserve">ECS </w:t>
      </w:r>
      <w:r w:rsidR="00A45E12" w:rsidRPr="00AF52A1">
        <w:rPr>
          <w:color w:val="000000" w:themeColor="text1"/>
        </w:rPr>
        <w:t xml:space="preserve">nor of </w:t>
      </w:r>
      <w:r w:rsidR="005D701E" w:rsidRPr="003A648D">
        <w:rPr>
          <w:color w:val="000000" w:themeColor="text1"/>
        </w:rPr>
        <w:t>RCS</w:t>
      </w:r>
      <w:r w:rsidR="009123AF" w:rsidRPr="003A648D">
        <w:rPr>
          <w:color w:val="000000" w:themeColor="text1"/>
        </w:rPr>
        <w:t xml:space="preserve"> under the provisions of the </w:t>
      </w:r>
      <w:r w:rsidR="00606F07" w:rsidRPr="003A648D">
        <w:rPr>
          <w:color w:val="000000" w:themeColor="text1"/>
        </w:rPr>
        <w:t>Act</w:t>
      </w:r>
      <w:r w:rsidR="005D701E" w:rsidRPr="003A648D">
        <w:rPr>
          <w:color w:val="000000" w:themeColor="text1"/>
        </w:rPr>
        <w:t>.</w:t>
      </w:r>
      <w:r w:rsidR="00352A8B" w:rsidRPr="008C580C">
        <w:rPr>
          <w:color w:val="000000" w:themeColor="text1"/>
        </w:rPr>
        <w:t xml:space="preserve"> </w:t>
      </w:r>
    </w:p>
    <w:p w14:paraId="5300CD3D" w14:textId="69F39760" w:rsidR="00D42340" w:rsidRPr="008C580C" w:rsidRDefault="00CF5FAE" w:rsidP="00EA0331">
      <w:pPr>
        <w:pStyle w:val="Text"/>
        <w:spacing w:line="400" w:lineRule="exact"/>
        <w:ind w:firstLine="720"/>
        <w:rPr>
          <w:color w:val="000000" w:themeColor="text1"/>
        </w:rPr>
      </w:pPr>
      <w:r w:rsidRPr="00B34C80">
        <w:rPr>
          <w:color w:val="000000" w:themeColor="text1"/>
        </w:rPr>
        <w:t xml:space="preserve">As noted, </w:t>
      </w:r>
      <w:r w:rsidR="00936654" w:rsidRPr="00B34C80">
        <w:rPr>
          <w:color w:val="000000" w:themeColor="text1"/>
        </w:rPr>
        <w:t xml:space="preserve">Facebook </w:t>
      </w:r>
      <w:r w:rsidR="00614AA9" w:rsidRPr="00B34C80">
        <w:rPr>
          <w:color w:val="000000" w:themeColor="text1"/>
        </w:rPr>
        <w:t xml:space="preserve">suggests our </w:t>
      </w:r>
      <w:r w:rsidR="00E0451D" w:rsidRPr="00B34C80">
        <w:rPr>
          <w:color w:val="000000" w:themeColor="text1"/>
        </w:rPr>
        <w:t>opinion</w:t>
      </w:r>
      <w:r w:rsidR="00F450D6" w:rsidRPr="00B34C80">
        <w:rPr>
          <w:color w:val="000000" w:themeColor="text1"/>
        </w:rPr>
        <w:t xml:space="preserve"> </w:t>
      </w:r>
      <w:r w:rsidR="00614AA9" w:rsidRPr="009B75D2">
        <w:rPr>
          <w:color w:val="000000" w:themeColor="text1"/>
        </w:rPr>
        <w:t xml:space="preserve">in </w:t>
      </w:r>
      <w:r w:rsidR="008442F4" w:rsidRPr="009B75D2">
        <w:rPr>
          <w:i/>
          <w:color w:val="000000" w:themeColor="text1"/>
        </w:rPr>
        <w:t>Facebook (Hunter) supra</w:t>
      </w:r>
      <w:r w:rsidR="008442F4" w:rsidRPr="0038668B">
        <w:rPr>
          <w:color w:val="000000" w:themeColor="text1"/>
        </w:rPr>
        <w:t>, 4 Cal.5th 1245</w:t>
      </w:r>
      <w:r w:rsidR="00405552" w:rsidRPr="0038668B">
        <w:rPr>
          <w:color w:val="000000" w:themeColor="text1"/>
        </w:rPr>
        <w:t xml:space="preserve">, </w:t>
      </w:r>
      <w:r w:rsidR="00936654" w:rsidRPr="0038668B">
        <w:rPr>
          <w:color w:val="000000" w:themeColor="text1"/>
        </w:rPr>
        <w:t xml:space="preserve">and </w:t>
      </w:r>
      <w:r w:rsidR="0017549C" w:rsidRPr="0038668B">
        <w:rPr>
          <w:color w:val="000000" w:themeColor="text1"/>
        </w:rPr>
        <w:t xml:space="preserve">decisions by </w:t>
      </w:r>
      <w:r w:rsidR="00A81811" w:rsidRPr="0038668B">
        <w:rPr>
          <w:color w:val="000000" w:themeColor="text1"/>
        </w:rPr>
        <w:t xml:space="preserve">other </w:t>
      </w:r>
      <w:r w:rsidR="009120C2" w:rsidRPr="0038668B">
        <w:rPr>
          <w:color w:val="000000" w:themeColor="text1"/>
        </w:rPr>
        <w:t xml:space="preserve">courts in </w:t>
      </w:r>
      <w:r w:rsidR="009120C2" w:rsidRPr="0038668B">
        <w:rPr>
          <w:color w:val="000000" w:themeColor="text1"/>
        </w:rPr>
        <w:lastRenderedPageBreak/>
        <w:t xml:space="preserve">prior </w:t>
      </w:r>
      <w:r w:rsidR="002B34B3" w:rsidRPr="0038668B">
        <w:rPr>
          <w:color w:val="000000" w:themeColor="text1"/>
        </w:rPr>
        <w:t>litigation</w:t>
      </w:r>
      <w:r w:rsidR="009120C2" w:rsidRPr="0038668B">
        <w:rPr>
          <w:color w:val="000000" w:themeColor="text1"/>
        </w:rPr>
        <w:t xml:space="preserve">, </w:t>
      </w:r>
      <w:r w:rsidR="00614AA9" w:rsidRPr="00CF74EB">
        <w:rPr>
          <w:color w:val="000000" w:themeColor="text1"/>
        </w:rPr>
        <w:t xml:space="preserve">have </w:t>
      </w:r>
      <w:r w:rsidR="000652F4" w:rsidRPr="00CF74EB">
        <w:rPr>
          <w:color w:val="000000" w:themeColor="text1"/>
        </w:rPr>
        <w:t xml:space="preserve">determined that </w:t>
      </w:r>
      <w:r w:rsidR="009120C2" w:rsidRPr="00CF74EB">
        <w:rPr>
          <w:color w:val="000000" w:themeColor="text1"/>
        </w:rPr>
        <w:t xml:space="preserve">Facebook </w:t>
      </w:r>
      <w:r w:rsidR="000652F4" w:rsidRPr="00CF74EB">
        <w:rPr>
          <w:color w:val="000000" w:themeColor="text1"/>
        </w:rPr>
        <w:t>operates a</w:t>
      </w:r>
      <w:r w:rsidR="00C82ED0" w:rsidRPr="00CF74EB">
        <w:rPr>
          <w:color w:val="000000" w:themeColor="text1"/>
        </w:rPr>
        <w:t>s</w:t>
      </w:r>
      <w:r w:rsidR="000652F4" w:rsidRPr="00CF74EB">
        <w:rPr>
          <w:color w:val="000000" w:themeColor="text1"/>
        </w:rPr>
        <w:t xml:space="preserve"> </w:t>
      </w:r>
      <w:r w:rsidR="005116F1" w:rsidRPr="00CF74EB">
        <w:rPr>
          <w:color w:val="000000" w:themeColor="text1"/>
        </w:rPr>
        <w:t>a prov</w:t>
      </w:r>
      <w:r w:rsidR="005A4855" w:rsidRPr="00CF74EB">
        <w:rPr>
          <w:color w:val="000000" w:themeColor="text1"/>
        </w:rPr>
        <w:t xml:space="preserve">ider of </w:t>
      </w:r>
      <w:r w:rsidR="00C82ED0" w:rsidRPr="00CF74EB">
        <w:rPr>
          <w:color w:val="000000" w:themeColor="text1"/>
        </w:rPr>
        <w:t>either ECS or RCS, and hence is covered by the Act.</w:t>
      </w:r>
      <w:r w:rsidR="00C82ED0" w:rsidRPr="008C580C">
        <w:rPr>
          <w:color w:val="000000" w:themeColor="text1"/>
        </w:rPr>
        <w:t xml:space="preserve">  </w:t>
      </w:r>
      <w:r w:rsidR="0038668B" w:rsidRPr="00395492">
        <w:rPr>
          <w:color w:val="000000" w:themeColor="text1"/>
        </w:rPr>
        <w:t xml:space="preserve">We </w:t>
      </w:r>
      <w:r w:rsidR="006306A2" w:rsidRPr="00395492">
        <w:rPr>
          <w:color w:val="000000" w:themeColor="text1"/>
        </w:rPr>
        <w:t xml:space="preserve">will not </w:t>
      </w:r>
      <w:r w:rsidR="009D2E3D" w:rsidRPr="00395492">
        <w:rPr>
          <w:color w:val="000000" w:themeColor="text1"/>
        </w:rPr>
        <w:t xml:space="preserve">assess the </w:t>
      </w:r>
      <w:r w:rsidR="000E04C7" w:rsidRPr="00395492">
        <w:rPr>
          <w:color w:val="000000" w:themeColor="text1"/>
        </w:rPr>
        <w:t xml:space="preserve">underlying </w:t>
      </w:r>
      <w:r w:rsidR="009D2E3D" w:rsidRPr="00427FF3">
        <w:rPr>
          <w:color w:val="000000" w:themeColor="text1"/>
        </w:rPr>
        <w:t xml:space="preserve">merits of the </w:t>
      </w:r>
      <w:r w:rsidR="000E04C7" w:rsidRPr="004B4421">
        <w:rPr>
          <w:color w:val="000000" w:themeColor="text1"/>
        </w:rPr>
        <w:t>business model thesis</w:t>
      </w:r>
      <w:r w:rsidR="0038668B" w:rsidRPr="004B4421">
        <w:rPr>
          <w:color w:val="000000" w:themeColor="text1"/>
        </w:rPr>
        <w:t xml:space="preserve">.  </w:t>
      </w:r>
      <w:r w:rsidR="00CF74EB" w:rsidRPr="004B4421">
        <w:rPr>
          <w:color w:val="000000" w:themeColor="text1"/>
        </w:rPr>
        <w:t xml:space="preserve">Yet </w:t>
      </w:r>
      <w:r w:rsidR="000E04C7" w:rsidRPr="00395492">
        <w:rPr>
          <w:color w:val="000000" w:themeColor="text1"/>
        </w:rPr>
        <w:t xml:space="preserve">we </w:t>
      </w:r>
      <w:r w:rsidR="00B23237" w:rsidRPr="00395492">
        <w:rPr>
          <w:color w:val="000000" w:themeColor="text1"/>
        </w:rPr>
        <w:t xml:space="preserve">observe </w:t>
      </w:r>
      <w:r w:rsidR="000E04C7" w:rsidRPr="00395492">
        <w:rPr>
          <w:color w:val="000000" w:themeColor="text1"/>
        </w:rPr>
        <w:t xml:space="preserve">that, </w:t>
      </w:r>
      <w:r w:rsidR="0028063B" w:rsidRPr="00395492">
        <w:rPr>
          <w:color w:val="000000" w:themeColor="text1"/>
        </w:rPr>
        <w:t>contrary to Facebook’s view</w:t>
      </w:r>
      <w:r w:rsidR="00163E8E" w:rsidRPr="00427FF3">
        <w:rPr>
          <w:color w:val="000000" w:themeColor="text1"/>
        </w:rPr>
        <w:t xml:space="preserve">, we have not determined that </w:t>
      </w:r>
      <w:r w:rsidR="008061CF" w:rsidRPr="004B4421">
        <w:rPr>
          <w:color w:val="000000" w:themeColor="text1"/>
        </w:rPr>
        <w:t xml:space="preserve">Facebook </w:t>
      </w:r>
      <w:r w:rsidR="00A02EFD" w:rsidRPr="004B4421">
        <w:rPr>
          <w:color w:val="000000" w:themeColor="text1"/>
        </w:rPr>
        <w:t xml:space="preserve">is a provider of </w:t>
      </w:r>
      <w:r w:rsidR="00BD5726" w:rsidRPr="004B4421">
        <w:rPr>
          <w:color w:val="000000" w:themeColor="text1"/>
        </w:rPr>
        <w:t xml:space="preserve">either </w:t>
      </w:r>
      <w:r w:rsidR="00163E8E" w:rsidRPr="004B4421">
        <w:rPr>
          <w:color w:val="000000" w:themeColor="text1"/>
        </w:rPr>
        <w:t>ECS or RCS under the Act.</w:t>
      </w:r>
      <w:r w:rsidR="00163E8E" w:rsidRPr="008C580C">
        <w:rPr>
          <w:color w:val="000000" w:themeColor="text1"/>
        </w:rPr>
        <w:t xml:space="preserve">  </w:t>
      </w:r>
    </w:p>
    <w:p w14:paraId="1B2EBCD7" w14:textId="49B3E3C2" w:rsidR="005D0F9F" w:rsidRDefault="004C11DC" w:rsidP="005B7685">
      <w:pPr>
        <w:pStyle w:val="Text"/>
        <w:spacing w:line="400" w:lineRule="exact"/>
        <w:ind w:firstLine="720"/>
        <w:rPr>
          <w:color w:val="000000" w:themeColor="text1"/>
        </w:rPr>
      </w:pPr>
      <w:r w:rsidRPr="008C580C">
        <w:rPr>
          <w:color w:val="000000" w:themeColor="text1"/>
        </w:rPr>
        <w:t xml:space="preserve">Our </w:t>
      </w:r>
      <w:r w:rsidR="0024185D">
        <w:rPr>
          <w:color w:val="000000" w:themeColor="text1"/>
        </w:rPr>
        <w:t>opinion</w:t>
      </w:r>
      <w:r w:rsidR="003C63AE">
        <w:rPr>
          <w:color w:val="000000" w:themeColor="text1"/>
        </w:rPr>
        <w:t xml:space="preserve"> </w:t>
      </w:r>
      <w:r w:rsidRPr="008C580C">
        <w:rPr>
          <w:color w:val="000000" w:themeColor="text1"/>
        </w:rPr>
        <w:t>in</w:t>
      </w:r>
      <w:r w:rsidR="00F72464" w:rsidRPr="008C580C">
        <w:rPr>
          <w:color w:val="000000" w:themeColor="text1"/>
        </w:rPr>
        <w:t xml:space="preserve"> </w:t>
      </w:r>
      <w:r w:rsidR="00F72464" w:rsidRPr="008C580C">
        <w:rPr>
          <w:i/>
          <w:color w:val="000000" w:themeColor="text1"/>
        </w:rPr>
        <w:t>Facebook (Hunter) supra</w:t>
      </w:r>
      <w:r w:rsidR="00F72464" w:rsidRPr="008C580C">
        <w:rPr>
          <w:color w:val="000000" w:themeColor="text1"/>
        </w:rPr>
        <w:t xml:space="preserve">, 4 Cal.5th 1245, </w:t>
      </w:r>
      <w:r w:rsidR="00BC028E" w:rsidRPr="008C580C">
        <w:rPr>
          <w:color w:val="000000" w:themeColor="text1"/>
        </w:rPr>
        <w:t>undert</w:t>
      </w:r>
      <w:r w:rsidR="00DA53BA">
        <w:rPr>
          <w:color w:val="000000" w:themeColor="text1"/>
        </w:rPr>
        <w:t xml:space="preserve">ook no </w:t>
      </w:r>
      <w:r w:rsidR="00BC028E" w:rsidRPr="008C580C">
        <w:rPr>
          <w:color w:val="000000" w:themeColor="text1"/>
        </w:rPr>
        <w:t>substantive</w:t>
      </w:r>
      <w:r w:rsidR="00F72464" w:rsidRPr="008C580C">
        <w:rPr>
          <w:color w:val="000000" w:themeColor="text1"/>
        </w:rPr>
        <w:t xml:space="preserve"> analysis </w:t>
      </w:r>
      <w:r w:rsidRPr="008C580C">
        <w:rPr>
          <w:color w:val="000000" w:themeColor="text1"/>
        </w:rPr>
        <w:t xml:space="preserve">concerning </w:t>
      </w:r>
      <w:r w:rsidR="00F72464" w:rsidRPr="008C580C">
        <w:rPr>
          <w:color w:val="000000" w:themeColor="text1"/>
        </w:rPr>
        <w:t xml:space="preserve">whether the entities </w:t>
      </w:r>
      <w:r w:rsidR="00F97280">
        <w:rPr>
          <w:color w:val="000000" w:themeColor="text1"/>
        </w:rPr>
        <w:t xml:space="preserve">in that </w:t>
      </w:r>
      <w:r w:rsidR="005F174F">
        <w:rPr>
          <w:color w:val="000000" w:themeColor="text1"/>
        </w:rPr>
        <w:t xml:space="preserve">case </w:t>
      </w:r>
      <w:r w:rsidR="00F72464" w:rsidRPr="008C580C">
        <w:rPr>
          <w:color w:val="000000" w:themeColor="text1"/>
        </w:rPr>
        <w:t>(</w:t>
      </w:r>
      <w:r w:rsidR="005F174F">
        <w:rPr>
          <w:color w:val="000000" w:themeColor="text1"/>
        </w:rPr>
        <w:t xml:space="preserve">including </w:t>
      </w:r>
      <w:r w:rsidR="00F72464" w:rsidRPr="00B34C80">
        <w:rPr>
          <w:color w:val="000000" w:themeColor="text1"/>
        </w:rPr>
        <w:t xml:space="preserve">Facebook) </w:t>
      </w:r>
      <w:r w:rsidR="00BD5726" w:rsidRPr="00846E8F">
        <w:rPr>
          <w:color w:val="000000" w:themeColor="text1"/>
        </w:rPr>
        <w:t>provide</w:t>
      </w:r>
      <w:r w:rsidR="00E61625" w:rsidRPr="00846E8F">
        <w:rPr>
          <w:color w:val="000000" w:themeColor="text1"/>
        </w:rPr>
        <w:t xml:space="preserve"> </w:t>
      </w:r>
      <w:r w:rsidR="00F72464" w:rsidRPr="00BF09FE">
        <w:rPr>
          <w:color w:val="000000" w:themeColor="text1"/>
        </w:rPr>
        <w:t>ECS or RCS</w:t>
      </w:r>
      <w:r w:rsidR="00F72464" w:rsidRPr="00984698">
        <w:rPr>
          <w:color w:val="000000" w:themeColor="text1"/>
        </w:rPr>
        <w:t xml:space="preserve"> </w:t>
      </w:r>
      <w:proofErr w:type="gramStart"/>
      <w:r w:rsidR="00F72464" w:rsidRPr="00AF52A1">
        <w:rPr>
          <w:color w:val="000000" w:themeColor="text1"/>
        </w:rPr>
        <w:t>with regard to</w:t>
      </w:r>
      <w:proofErr w:type="gramEnd"/>
      <w:r w:rsidR="00F72464" w:rsidRPr="00AF52A1">
        <w:rPr>
          <w:color w:val="000000" w:themeColor="text1"/>
        </w:rPr>
        <w:t xml:space="preserve"> the communications </w:t>
      </w:r>
      <w:r w:rsidR="00554FF1" w:rsidRPr="00AF52A1">
        <w:rPr>
          <w:color w:val="000000" w:themeColor="text1"/>
        </w:rPr>
        <w:t xml:space="preserve">there </w:t>
      </w:r>
      <w:r w:rsidR="00F72464" w:rsidRPr="00AF52A1">
        <w:rPr>
          <w:color w:val="000000" w:themeColor="text1"/>
        </w:rPr>
        <w:t>at issue</w:t>
      </w:r>
      <w:r w:rsidR="00F72464" w:rsidRPr="003A648D">
        <w:rPr>
          <w:color w:val="000000" w:themeColor="text1"/>
        </w:rPr>
        <w:t>.  Because (1)</w:t>
      </w:r>
      <w:r w:rsidR="00782E68">
        <w:rPr>
          <w:color w:val="000000" w:themeColor="text1"/>
        </w:rPr>
        <w:t> </w:t>
      </w:r>
      <w:r w:rsidR="00F72464" w:rsidRPr="004B4421">
        <w:rPr>
          <w:color w:val="000000" w:themeColor="text1"/>
        </w:rPr>
        <w:t xml:space="preserve">prior decisions had found or assumed that Facebook and </w:t>
      </w:r>
      <w:r w:rsidR="0091794E" w:rsidRPr="004B4421">
        <w:rPr>
          <w:color w:val="000000" w:themeColor="text1"/>
        </w:rPr>
        <w:t xml:space="preserve">analogous </w:t>
      </w:r>
      <w:r w:rsidR="00F72464" w:rsidRPr="004B4421">
        <w:rPr>
          <w:color w:val="000000" w:themeColor="text1"/>
        </w:rPr>
        <w:t xml:space="preserve">social media </w:t>
      </w:r>
      <w:r w:rsidR="008255CB" w:rsidRPr="004B4421">
        <w:rPr>
          <w:color w:val="000000" w:themeColor="text1"/>
        </w:rPr>
        <w:t xml:space="preserve">entities </w:t>
      </w:r>
      <w:r w:rsidR="00F72464" w:rsidRPr="004B4421">
        <w:rPr>
          <w:color w:val="000000" w:themeColor="text1"/>
        </w:rPr>
        <w:t>provide</w:t>
      </w:r>
      <w:r w:rsidR="008255CB" w:rsidRPr="004B4421">
        <w:rPr>
          <w:color w:val="000000" w:themeColor="text1"/>
        </w:rPr>
        <w:t xml:space="preserve"> </w:t>
      </w:r>
      <w:r w:rsidR="00F72464" w:rsidRPr="004B4421">
        <w:rPr>
          <w:i/>
          <w:color w:val="000000" w:themeColor="text1"/>
        </w:rPr>
        <w:t>either</w:t>
      </w:r>
      <w:r w:rsidR="00F72464" w:rsidRPr="004B4421">
        <w:rPr>
          <w:color w:val="000000" w:themeColor="text1"/>
        </w:rPr>
        <w:t xml:space="preserve"> ECS or RCS with regard to the type of sought </w:t>
      </w:r>
      <w:r w:rsidR="008D4CDB" w:rsidRPr="004B4421">
        <w:rPr>
          <w:color w:val="000000" w:themeColor="text1"/>
        </w:rPr>
        <w:t xml:space="preserve">posts and/or </w:t>
      </w:r>
      <w:r w:rsidR="00F72464" w:rsidRPr="004B4421">
        <w:rPr>
          <w:color w:val="000000" w:themeColor="text1"/>
        </w:rPr>
        <w:t xml:space="preserve">messages at issue in </w:t>
      </w:r>
      <w:r w:rsidR="00987BD1" w:rsidRPr="004B4421">
        <w:rPr>
          <w:color w:val="000000" w:themeColor="text1"/>
        </w:rPr>
        <w:t>th</w:t>
      </w:r>
      <w:r w:rsidR="008B6BC4" w:rsidRPr="004B4421">
        <w:rPr>
          <w:color w:val="000000" w:themeColor="text1"/>
        </w:rPr>
        <w:t>ose prior ca</w:t>
      </w:r>
      <w:r w:rsidR="00F678E8" w:rsidRPr="004B4421">
        <w:rPr>
          <w:color w:val="000000" w:themeColor="text1"/>
        </w:rPr>
        <w:t xml:space="preserve">ses and in </w:t>
      </w:r>
      <w:r w:rsidR="00F678E8" w:rsidRPr="004B4421">
        <w:rPr>
          <w:i/>
          <w:color w:val="000000" w:themeColor="text1"/>
        </w:rPr>
        <w:t>Facebook (Hunter)</w:t>
      </w:r>
      <w:r w:rsidR="00987BD1" w:rsidRPr="004B4421">
        <w:rPr>
          <w:color w:val="000000" w:themeColor="text1"/>
        </w:rPr>
        <w:t xml:space="preserve">, </w:t>
      </w:r>
      <w:r w:rsidR="00F72464" w:rsidRPr="004B4421">
        <w:rPr>
          <w:color w:val="000000" w:themeColor="text1"/>
        </w:rPr>
        <w:t>and (2)</w:t>
      </w:r>
      <w:r w:rsidR="00BF5E00">
        <w:rPr>
          <w:color w:val="000000" w:themeColor="text1"/>
        </w:rPr>
        <w:t xml:space="preserve"> </w:t>
      </w:r>
      <w:r w:rsidR="00F72464" w:rsidRPr="004B4421">
        <w:rPr>
          <w:color w:val="000000" w:themeColor="text1"/>
        </w:rPr>
        <w:t xml:space="preserve">neither party in </w:t>
      </w:r>
      <w:r w:rsidR="00F832CA" w:rsidRPr="004B4421">
        <w:rPr>
          <w:i/>
          <w:color w:val="000000" w:themeColor="text1"/>
        </w:rPr>
        <w:t xml:space="preserve">Facebook (Hunter) </w:t>
      </w:r>
      <w:r w:rsidR="00F72464" w:rsidRPr="004B4421">
        <w:rPr>
          <w:color w:val="000000" w:themeColor="text1"/>
        </w:rPr>
        <w:t>contested th</w:t>
      </w:r>
      <w:r w:rsidR="00F832CA" w:rsidRPr="004B4421">
        <w:rPr>
          <w:color w:val="000000" w:themeColor="text1"/>
        </w:rPr>
        <w:t>e</w:t>
      </w:r>
      <w:r w:rsidR="00F72464" w:rsidRPr="004B4421">
        <w:rPr>
          <w:color w:val="000000" w:themeColor="text1"/>
        </w:rPr>
        <w:t xml:space="preserve"> issue, we </w:t>
      </w:r>
      <w:r w:rsidR="00BC028E" w:rsidRPr="004B4421">
        <w:rPr>
          <w:color w:val="000000" w:themeColor="text1"/>
        </w:rPr>
        <w:t xml:space="preserve">stated </w:t>
      </w:r>
      <w:r w:rsidR="00F72464" w:rsidRPr="004B4421">
        <w:rPr>
          <w:color w:val="000000" w:themeColor="text1"/>
        </w:rPr>
        <w:t>that we saw “no reason to question [that] threshold determination.”  (4</w:t>
      </w:r>
      <w:r w:rsidR="00F11956" w:rsidRPr="004B4421">
        <w:rPr>
          <w:color w:val="000000" w:themeColor="text1"/>
        </w:rPr>
        <w:t> </w:t>
      </w:r>
      <w:r w:rsidR="00F72464" w:rsidRPr="004B4421">
        <w:rPr>
          <w:color w:val="000000" w:themeColor="text1"/>
        </w:rPr>
        <w:t>Cal.5th at p.</w:t>
      </w:r>
      <w:r w:rsidR="00F11956" w:rsidRPr="004B4421">
        <w:rPr>
          <w:color w:val="000000" w:themeColor="text1"/>
        </w:rPr>
        <w:t> </w:t>
      </w:r>
      <w:r w:rsidR="00F72464" w:rsidRPr="004B4421">
        <w:rPr>
          <w:color w:val="000000" w:themeColor="text1"/>
        </w:rPr>
        <w:t xml:space="preserve">1268.)  Accordingly, we assumed, but did not decide, that Facebook </w:t>
      </w:r>
      <w:r w:rsidR="00BF4C6A" w:rsidRPr="004B4421">
        <w:rPr>
          <w:color w:val="000000" w:themeColor="text1"/>
        </w:rPr>
        <w:t>provide</w:t>
      </w:r>
      <w:r w:rsidR="00DA7E2E" w:rsidRPr="004B4421">
        <w:rPr>
          <w:color w:val="000000" w:themeColor="text1"/>
        </w:rPr>
        <w:t>d</w:t>
      </w:r>
      <w:r w:rsidR="00D222FA" w:rsidRPr="004B4421">
        <w:rPr>
          <w:color w:val="000000" w:themeColor="text1"/>
        </w:rPr>
        <w:t xml:space="preserve"> </w:t>
      </w:r>
      <w:r w:rsidR="0087600F" w:rsidRPr="004B4421">
        <w:rPr>
          <w:color w:val="000000" w:themeColor="text1"/>
        </w:rPr>
        <w:t xml:space="preserve">either </w:t>
      </w:r>
      <w:r w:rsidR="00F72464" w:rsidRPr="004B4421">
        <w:rPr>
          <w:color w:val="000000" w:themeColor="text1"/>
        </w:rPr>
        <w:t>ECS or RCS with</w:t>
      </w:r>
      <w:r w:rsidR="00F72464" w:rsidRPr="008C580C">
        <w:rPr>
          <w:color w:val="000000" w:themeColor="text1"/>
        </w:rPr>
        <w:t xml:space="preserve"> regard to the communications sought</w:t>
      </w:r>
      <w:r w:rsidR="00BA6650">
        <w:rPr>
          <w:color w:val="000000" w:themeColor="text1"/>
        </w:rPr>
        <w:t xml:space="preserve"> —</w:t>
      </w:r>
      <w:r w:rsidR="00EE1F27" w:rsidRPr="008C580C">
        <w:rPr>
          <w:color w:val="000000" w:themeColor="text1"/>
        </w:rPr>
        <w:t xml:space="preserve"> </w:t>
      </w:r>
      <w:r w:rsidR="00F72464" w:rsidRPr="008C580C">
        <w:rPr>
          <w:color w:val="000000" w:themeColor="text1"/>
        </w:rPr>
        <w:t xml:space="preserve">and hence </w:t>
      </w:r>
      <w:r w:rsidR="00DA7E2E">
        <w:rPr>
          <w:color w:val="000000" w:themeColor="text1"/>
        </w:rPr>
        <w:t>was</w:t>
      </w:r>
      <w:r w:rsidR="00BD06FC">
        <w:rPr>
          <w:color w:val="000000" w:themeColor="text1"/>
        </w:rPr>
        <w:t xml:space="preserve"> </w:t>
      </w:r>
      <w:r w:rsidR="00F72464" w:rsidRPr="008C580C">
        <w:rPr>
          <w:color w:val="000000" w:themeColor="text1"/>
        </w:rPr>
        <w:t xml:space="preserve">covered by </w:t>
      </w:r>
      <w:r w:rsidR="00EC5EE1" w:rsidRPr="008C580C">
        <w:rPr>
          <w:color w:val="000000" w:themeColor="text1"/>
        </w:rPr>
        <w:t xml:space="preserve">the </w:t>
      </w:r>
      <w:r w:rsidR="00517ADD" w:rsidRPr="008C580C">
        <w:rPr>
          <w:color w:val="000000" w:themeColor="text1"/>
        </w:rPr>
        <w:t xml:space="preserve">Act’s </w:t>
      </w:r>
      <w:r w:rsidR="00F72464" w:rsidRPr="008C580C">
        <w:rPr>
          <w:color w:val="000000" w:themeColor="text1"/>
        </w:rPr>
        <w:t xml:space="preserve">general </w:t>
      </w:r>
      <w:r w:rsidR="00F72464" w:rsidRPr="00B34C80">
        <w:rPr>
          <w:color w:val="000000" w:themeColor="text1"/>
        </w:rPr>
        <w:t>ban on disclosure of content by any entity provid</w:t>
      </w:r>
      <w:r w:rsidR="00DB5C13" w:rsidRPr="009127E2">
        <w:rPr>
          <w:color w:val="000000" w:themeColor="text1"/>
        </w:rPr>
        <w:t>ing those services</w:t>
      </w:r>
      <w:r w:rsidR="00F72464" w:rsidRPr="009B75D2">
        <w:rPr>
          <w:color w:val="000000" w:themeColor="text1"/>
        </w:rPr>
        <w:t>.  (4 Cal.5th at p.</w:t>
      </w:r>
      <w:r w:rsidR="005B7685" w:rsidRPr="009B75D2">
        <w:rPr>
          <w:color w:val="000000" w:themeColor="text1"/>
        </w:rPr>
        <w:t> </w:t>
      </w:r>
      <w:r w:rsidR="00F72464" w:rsidRPr="009B75D2">
        <w:rPr>
          <w:color w:val="000000" w:themeColor="text1"/>
        </w:rPr>
        <w:t xml:space="preserve">1268 &amp; fn. 26.)  </w:t>
      </w:r>
      <w:r w:rsidR="005B48C8" w:rsidRPr="00846E8F">
        <w:rPr>
          <w:color w:val="000000" w:themeColor="text1"/>
        </w:rPr>
        <w:t>I</w:t>
      </w:r>
      <w:r w:rsidR="00C713E2" w:rsidRPr="00846E8F">
        <w:rPr>
          <w:color w:val="000000" w:themeColor="text1"/>
        </w:rPr>
        <w:t xml:space="preserve">n </w:t>
      </w:r>
      <w:r w:rsidR="00F8267A" w:rsidRPr="00BF09FE">
        <w:rPr>
          <w:color w:val="000000" w:themeColor="text1"/>
        </w:rPr>
        <w:t xml:space="preserve">so proceeding, </w:t>
      </w:r>
      <w:r w:rsidR="00C713E2" w:rsidRPr="00AF52A1">
        <w:rPr>
          <w:color w:val="000000" w:themeColor="text1"/>
        </w:rPr>
        <w:t>we did not consider whether</w:t>
      </w:r>
      <w:r w:rsidR="00284761" w:rsidRPr="00AF52A1">
        <w:rPr>
          <w:color w:val="000000" w:themeColor="text1"/>
        </w:rPr>
        <w:t>, u</w:t>
      </w:r>
      <w:r w:rsidR="00284761" w:rsidRPr="00395492">
        <w:rPr>
          <w:color w:val="000000" w:themeColor="text1"/>
        </w:rPr>
        <w:t>nder th</w:t>
      </w:r>
      <w:r w:rsidR="00CD211C" w:rsidRPr="00395492">
        <w:rPr>
          <w:color w:val="000000" w:themeColor="text1"/>
        </w:rPr>
        <w:t>e business model theory</w:t>
      </w:r>
      <w:r w:rsidR="008045E1" w:rsidRPr="00427FF3">
        <w:rPr>
          <w:color w:val="000000" w:themeColor="text1"/>
        </w:rPr>
        <w:t xml:space="preserve"> </w:t>
      </w:r>
      <w:r w:rsidR="00B96C9D" w:rsidRPr="004B4421">
        <w:rPr>
          <w:color w:val="000000" w:themeColor="text1"/>
        </w:rPr>
        <w:t xml:space="preserve">subsequently </w:t>
      </w:r>
      <w:r w:rsidR="008045E1" w:rsidRPr="004B4421">
        <w:rPr>
          <w:color w:val="000000" w:themeColor="text1"/>
        </w:rPr>
        <w:t>proffered in this case</w:t>
      </w:r>
      <w:r w:rsidR="00CD211C" w:rsidRPr="004B4421">
        <w:rPr>
          <w:color w:val="000000" w:themeColor="text1"/>
        </w:rPr>
        <w:t xml:space="preserve">, Facebook </w:t>
      </w:r>
      <w:r w:rsidR="00FC3149" w:rsidRPr="004B4421">
        <w:rPr>
          <w:color w:val="000000" w:themeColor="text1"/>
        </w:rPr>
        <w:t>provide</w:t>
      </w:r>
      <w:r w:rsidR="00DA00B5" w:rsidRPr="004B4421">
        <w:rPr>
          <w:color w:val="000000" w:themeColor="text1"/>
        </w:rPr>
        <w:t>s</w:t>
      </w:r>
      <w:r w:rsidR="00D50864" w:rsidRPr="004B4421">
        <w:rPr>
          <w:color w:val="000000" w:themeColor="text1"/>
        </w:rPr>
        <w:t xml:space="preserve"> either </w:t>
      </w:r>
      <w:r w:rsidR="00FC3149" w:rsidRPr="004B4421">
        <w:rPr>
          <w:color w:val="000000" w:themeColor="text1"/>
        </w:rPr>
        <w:t>ECS</w:t>
      </w:r>
      <w:r w:rsidR="003D4D76" w:rsidRPr="004B4421">
        <w:rPr>
          <w:color w:val="000000" w:themeColor="text1"/>
        </w:rPr>
        <w:t xml:space="preserve"> or </w:t>
      </w:r>
      <w:r w:rsidR="00FC3149" w:rsidRPr="004B4421">
        <w:rPr>
          <w:color w:val="000000" w:themeColor="text1"/>
        </w:rPr>
        <w:t>RCS</w:t>
      </w:r>
      <w:r w:rsidR="007741F1" w:rsidRPr="004B4421">
        <w:rPr>
          <w:color w:val="000000" w:themeColor="text1"/>
        </w:rPr>
        <w:t>, or neither</w:t>
      </w:r>
      <w:r w:rsidR="00D94792" w:rsidRPr="004B4421">
        <w:rPr>
          <w:color w:val="000000" w:themeColor="text1"/>
        </w:rPr>
        <w:t>,</w:t>
      </w:r>
      <w:r w:rsidR="007741F1" w:rsidRPr="004B4421">
        <w:rPr>
          <w:color w:val="000000" w:themeColor="text1"/>
        </w:rPr>
        <w:t xml:space="preserve"> </w:t>
      </w:r>
      <w:r w:rsidR="00FC3149" w:rsidRPr="004B4421">
        <w:rPr>
          <w:color w:val="000000" w:themeColor="text1"/>
        </w:rPr>
        <w:t>under the Act</w:t>
      </w:r>
      <w:r w:rsidR="008045E1" w:rsidRPr="004B4421">
        <w:rPr>
          <w:color w:val="000000" w:themeColor="text1"/>
        </w:rPr>
        <w:t xml:space="preserve">.  </w:t>
      </w:r>
      <w:r w:rsidR="008045E1" w:rsidRPr="004B4421">
        <w:rPr>
          <w:i/>
          <w:iCs/>
          <w:color w:val="000000" w:themeColor="text1"/>
        </w:rPr>
        <w:t>T</w:t>
      </w:r>
      <w:r w:rsidR="000426CB" w:rsidRPr="004B4421">
        <w:rPr>
          <w:i/>
          <w:iCs/>
          <w:color w:val="000000" w:themeColor="text1"/>
        </w:rPr>
        <w:t>h</w:t>
      </w:r>
      <w:r w:rsidR="00B746EC" w:rsidRPr="004B4421">
        <w:rPr>
          <w:i/>
          <w:iCs/>
          <w:color w:val="000000" w:themeColor="text1"/>
        </w:rPr>
        <w:t>at</w:t>
      </w:r>
      <w:r w:rsidR="00D206A9" w:rsidRPr="00395492">
        <w:rPr>
          <w:color w:val="000000" w:themeColor="text1"/>
        </w:rPr>
        <w:t xml:space="preserve"> potentially dispositive </w:t>
      </w:r>
      <w:r w:rsidR="000426CB" w:rsidRPr="00427FF3">
        <w:rPr>
          <w:color w:val="000000" w:themeColor="text1"/>
        </w:rPr>
        <w:t>issue remains unresolved.</w:t>
      </w:r>
      <w:r w:rsidR="00A559B5" w:rsidRPr="00395492">
        <w:rPr>
          <w:rStyle w:val="FootnoteReference"/>
          <w:color w:val="000000" w:themeColor="text1"/>
          <w:lang w:val="en"/>
        </w:rPr>
        <w:footnoteReference w:id="19"/>
      </w:r>
      <w:r w:rsidR="000426CB" w:rsidRPr="008C580C">
        <w:rPr>
          <w:color w:val="000000" w:themeColor="text1"/>
        </w:rPr>
        <w:t xml:space="preserve"> </w:t>
      </w:r>
    </w:p>
    <w:p w14:paraId="698C8BA2" w14:textId="5E887814" w:rsidR="005625B7" w:rsidRPr="008C580C" w:rsidRDefault="003A45C0" w:rsidP="00EA0331">
      <w:pPr>
        <w:pStyle w:val="Heading1"/>
        <w:ind w:left="900" w:right="900"/>
        <w:rPr>
          <w:color w:val="000000" w:themeColor="text1"/>
        </w:rPr>
      </w:pPr>
      <w:r w:rsidRPr="008C580C">
        <w:rPr>
          <w:color w:val="000000" w:themeColor="text1"/>
        </w:rPr>
        <w:lastRenderedPageBreak/>
        <w:t>I</w:t>
      </w:r>
      <w:r w:rsidR="00D126F1" w:rsidRPr="008C580C">
        <w:rPr>
          <w:color w:val="000000" w:themeColor="text1"/>
        </w:rPr>
        <w:t>X</w:t>
      </w:r>
      <w:r w:rsidR="005625B7" w:rsidRPr="008C580C">
        <w:rPr>
          <w:color w:val="000000" w:themeColor="text1"/>
        </w:rPr>
        <w:t xml:space="preserve">.  </w:t>
      </w:r>
      <w:r w:rsidR="002E07CA" w:rsidRPr="008C580C">
        <w:rPr>
          <w:color w:val="000000" w:themeColor="text1"/>
        </w:rPr>
        <w:t xml:space="preserve">Conclusion </w:t>
      </w:r>
    </w:p>
    <w:p w14:paraId="4FD5A9E1" w14:textId="29C54521" w:rsidR="002A35C8" w:rsidRPr="008C580C" w:rsidRDefault="008165E9" w:rsidP="00EA0331">
      <w:pPr>
        <w:pStyle w:val="Text"/>
        <w:spacing w:line="400" w:lineRule="exact"/>
        <w:ind w:firstLine="720"/>
        <w:rPr>
          <w:color w:val="000000" w:themeColor="text1"/>
        </w:rPr>
      </w:pPr>
      <w:r w:rsidRPr="008C580C">
        <w:rPr>
          <w:color w:val="000000" w:themeColor="text1"/>
        </w:rPr>
        <w:t xml:space="preserve">We </w:t>
      </w:r>
      <w:r w:rsidR="00FB782F" w:rsidRPr="008C580C">
        <w:rPr>
          <w:color w:val="000000" w:themeColor="text1"/>
        </w:rPr>
        <w:t xml:space="preserve">direct the Court of Appeal to remand this matter to the trial court with </w:t>
      </w:r>
      <w:r w:rsidR="00B13A60">
        <w:rPr>
          <w:color w:val="000000" w:themeColor="text1"/>
        </w:rPr>
        <w:t xml:space="preserve">instructions </w:t>
      </w:r>
      <w:r w:rsidR="00FB782F" w:rsidRPr="008C580C">
        <w:rPr>
          <w:color w:val="000000" w:themeColor="text1"/>
        </w:rPr>
        <w:t xml:space="preserve">that the trial court vacate its order denying the motion to quash and </w:t>
      </w:r>
      <w:r w:rsidR="002A35C8" w:rsidRPr="008C580C">
        <w:rPr>
          <w:color w:val="000000" w:themeColor="text1"/>
        </w:rPr>
        <w:t>reconsider the motion</w:t>
      </w:r>
      <w:r w:rsidR="000D36F0" w:rsidRPr="008C580C">
        <w:rPr>
          <w:color w:val="000000" w:themeColor="text1"/>
        </w:rPr>
        <w:t xml:space="preserve">, </w:t>
      </w:r>
      <w:r w:rsidR="00250D07" w:rsidRPr="008C580C">
        <w:rPr>
          <w:color w:val="000000" w:themeColor="text1"/>
        </w:rPr>
        <w:t xml:space="preserve">with full participation by the parties, </w:t>
      </w:r>
      <w:r w:rsidR="0079012F" w:rsidRPr="008C580C">
        <w:rPr>
          <w:color w:val="000000" w:themeColor="text1"/>
        </w:rPr>
        <w:t xml:space="preserve">by assessing and balancing the seven </w:t>
      </w:r>
      <w:r w:rsidR="0079012F" w:rsidRPr="008C580C">
        <w:rPr>
          <w:i/>
          <w:color w:val="000000" w:themeColor="text1"/>
        </w:rPr>
        <w:t>Alhambra</w:t>
      </w:r>
      <w:r w:rsidR="0079012F" w:rsidRPr="008C580C">
        <w:rPr>
          <w:color w:val="000000" w:themeColor="text1"/>
        </w:rPr>
        <w:t xml:space="preserve"> factors outlined </w:t>
      </w:r>
      <w:r w:rsidR="0079012F" w:rsidRPr="008C580C">
        <w:rPr>
          <w:i/>
          <w:color w:val="000000" w:themeColor="text1"/>
        </w:rPr>
        <w:t>ante</w:t>
      </w:r>
      <w:r w:rsidR="0079012F" w:rsidRPr="008C580C">
        <w:rPr>
          <w:color w:val="000000" w:themeColor="text1"/>
        </w:rPr>
        <w:t>, part IV</w:t>
      </w:r>
      <w:r w:rsidR="000D36F0" w:rsidRPr="008C580C">
        <w:rPr>
          <w:color w:val="000000" w:themeColor="text1"/>
        </w:rPr>
        <w:t>.</w:t>
      </w:r>
      <w:r w:rsidR="00DC2388">
        <w:rPr>
          <w:rStyle w:val="FootnoteReference"/>
          <w:color w:val="000000" w:themeColor="text1"/>
        </w:rPr>
        <w:footnoteReference w:id="20"/>
      </w:r>
      <w:r w:rsidR="000D36F0" w:rsidRPr="008C580C">
        <w:rPr>
          <w:color w:val="000000" w:themeColor="text1"/>
        </w:rPr>
        <w:t xml:space="preserve">  </w:t>
      </w:r>
    </w:p>
    <w:p w14:paraId="11DCEDB9" w14:textId="77777777" w:rsidR="005B7685" w:rsidRPr="008C580C" w:rsidRDefault="005B7685" w:rsidP="00EA0331">
      <w:pPr>
        <w:pStyle w:val="Text"/>
        <w:spacing w:line="400" w:lineRule="exact"/>
        <w:ind w:firstLine="720"/>
        <w:rPr>
          <w:color w:val="000000" w:themeColor="text1"/>
        </w:rPr>
      </w:pPr>
    </w:p>
    <w:p w14:paraId="52E30962" w14:textId="6881B5BD" w:rsidR="002A35C8" w:rsidRPr="008C580C" w:rsidRDefault="005B7685" w:rsidP="005B7685">
      <w:pPr>
        <w:pStyle w:val="Text"/>
        <w:tabs>
          <w:tab w:val="clear" w:pos="720"/>
          <w:tab w:val="clear" w:pos="1440"/>
          <w:tab w:val="clear" w:pos="2160"/>
          <w:tab w:val="clear" w:pos="4320"/>
          <w:tab w:val="right" w:pos="7740"/>
        </w:tabs>
        <w:spacing w:line="400" w:lineRule="exact"/>
        <w:ind w:firstLine="0"/>
        <w:rPr>
          <w:b/>
          <w:color w:val="000000" w:themeColor="text1"/>
        </w:rPr>
      </w:pPr>
      <w:r w:rsidRPr="008C580C">
        <w:rPr>
          <w:b/>
          <w:color w:val="000000" w:themeColor="text1"/>
        </w:rPr>
        <w:tab/>
      </w:r>
      <w:r w:rsidR="002A35C8" w:rsidRPr="008C580C">
        <w:rPr>
          <w:b/>
          <w:color w:val="000000" w:themeColor="text1"/>
        </w:rPr>
        <w:t>CANTIL-SAKAUYE, C.</w:t>
      </w:r>
      <w:r w:rsidR="00DE675B" w:rsidRPr="008C580C">
        <w:rPr>
          <w:b/>
          <w:color w:val="000000" w:themeColor="text1"/>
        </w:rPr>
        <w:t> </w:t>
      </w:r>
      <w:r w:rsidR="002A35C8" w:rsidRPr="008C580C">
        <w:rPr>
          <w:b/>
          <w:color w:val="000000" w:themeColor="text1"/>
        </w:rPr>
        <w:t xml:space="preserve">J. </w:t>
      </w:r>
    </w:p>
    <w:p w14:paraId="350E777F" w14:textId="77777777" w:rsidR="00A04EDF" w:rsidRDefault="00A04EDF" w:rsidP="00EA0331">
      <w:pPr>
        <w:pStyle w:val="Text"/>
        <w:spacing w:line="400" w:lineRule="exact"/>
        <w:ind w:firstLine="0"/>
        <w:rPr>
          <w:b/>
          <w:bCs/>
          <w:color w:val="000000" w:themeColor="text1"/>
          <w:szCs w:val="26"/>
        </w:rPr>
      </w:pPr>
    </w:p>
    <w:p w14:paraId="64EF9EE1" w14:textId="7601906C" w:rsidR="00C064D7" w:rsidRDefault="00C064D7" w:rsidP="00EA0331">
      <w:pPr>
        <w:pStyle w:val="Text"/>
        <w:spacing w:line="400" w:lineRule="exact"/>
        <w:ind w:firstLine="0"/>
        <w:rPr>
          <w:color w:val="000000" w:themeColor="text1"/>
          <w:szCs w:val="26"/>
        </w:rPr>
      </w:pPr>
      <w:r w:rsidRPr="008C580C">
        <w:rPr>
          <w:b/>
          <w:bCs/>
          <w:color w:val="000000" w:themeColor="text1"/>
          <w:szCs w:val="26"/>
        </w:rPr>
        <w:t>W</w:t>
      </w:r>
      <w:r w:rsidR="00956F4E">
        <w:rPr>
          <w:b/>
          <w:bCs/>
          <w:color w:val="000000" w:themeColor="text1"/>
          <w:szCs w:val="26"/>
        </w:rPr>
        <w:t>e</w:t>
      </w:r>
      <w:r w:rsidRPr="008C580C">
        <w:rPr>
          <w:b/>
          <w:bCs/>
          <w:color w:val="000000" w:themeColor="text1"/>
          <w:szCs w:val="26"/>
        </w:rPr>
        <w:t xml:space="preserve"> C</w:t>
      </w:r>
      <w:r w:rsidR="00956F4E">
        <w:rPr>
          <w:b/>
          <w:bCs/>
          <w:color w:val="000000" w:themeColor="text1"/>
          <w:szCs w:val="26"/>
        </w:rPr>
        <w:t>oncur</w:t>
      </w:r>
      <w:r w:rsidRPr="008C580C">
        <w:rPr>
          <w:color w:val="000000" w:themeColor="text1"/>
          <w:szCs w:val="26"/>
        </w:rPr>
        <w:t xml:space="preserve">:  </w:t>
      </w:r>
    </w:p>
    <w:p w14:paraId="1D9709BB" w14:textId="17785F59" w:rsidR="00A04EDF" w:rsidRPr="00A04EDF" w:rsidRDefault="00A04EDF" w:rsidP="00A04EDF">
      <w:pPr>
        <w:pStyle w:val="Text"/>
        <w:spacing w:after="0" w:line="240" w:lineRule="auto"/>
        <w:ind w:firstLine="0"/>
        <w:rPr>
          <w:b/>
          <w:bCs/>
          <w:color w:val="000000" w:themeColor="text1"/>
          <w:szCs w:val="26"/>
        </w:rPr>
      </w:pPr>
      <w:r w:rsidRPr="00A04EDF">
        <w:rPr>
          <w:b/>
          <w:bCs/>
          <w:color w:val="000000" w:themeColor="text1"/>
          <w:szCs w:val="26"/>
        </w:rPr>
        <w:t>CHIN, J.</w:t>
      </w:r>
    </w:p>
    <w:p w14:paraId="7FEEA77B" w14:textId="6CBB4B83" w:rsidR="00A04EDF" w:rsidRPr="00A04EDF" w:rsidRDefault="00A04EDF" w:rsidP="00A04EDF">
      <w:pPr>
        <w:pStyle w:val="Text"/>
        <w:spacing w:after="0" w:line="240" w:lineRule="auto"/>
        <w:ind w:firstLine="0"/>
        <w:rPr>
          <w:b/>
          <w:bCs/>
          <w:color w:val="000000" w:themeColor="text1"/>
          <w:szCs w:val="26"/>
        </w:rPr>
      </w:pPr>
      <w:r w:rsidRPr="00A04EDF">
        <w:rPr>
          <w:b/>
          <w:bCs/>
          <w:color w:val="000000" w:themeColor="text1"/>
          <w:szCs w:val="26"/>
        </w:rPr>
        <w:t>CORRIGAN, J.</w:t>
      </w:r>
    </w:p>
    <w:p w14:paraId="684CC36B" w14:textId="1C723845" w:rsidR="00A04EDF" w:rsidRPr="00A04EDF" w:rsidRDefault="00A04EDF" w:rsidP="00A04EDF">
      <w:pPr>
        <w:pStyle w:val="Text"/>
        <w:spacing w:after="0" w:line="240" w:lineRule="auto"/>
        <w:ind w:firstLine="0"/>
        <w:rPr>
          <w:b/>
          <w:bCs/>
          <w:color w:val="000000" w:themeColor="text1"/>
          <w:szCs w:val="26"/>
        </w:rPr>
      </w:pPr>
      <w:r w:rsidRPr="00A04EDF">
        <w:rPr>
          <w:b/>
          <w:bCs/>
          <w:color w:val="000000" w:themeColor="text1"/>
          <w:szCs w:val="26"/>
        </w:rPr>
        <w:t>LIU, J.</w:t>
      </w:r>
    </w:p>
    <w:p w14:paraId="2EFA24B7" w14:textId="454FA77F" w:rsidR="007F300E" w:rsidRDefault="007F300E" w:rsidP="00A04EDF">
      <w:pPr>
        <w:pStyle w:val="Text"/>
        <w:spacing w:after="0" w:line="240" w:lineRule="auto"/>
        <w:ind w:firstLine="0"/>
        <w:rPr>
          <w:b/>
          <w:bCs/>
          <w:color w:val="000000" w:themeColor="text1"/>
          <w:szCs w:val="26"/>
        </w:rPr>
      </w:pPr>
      <w:r>
        <w:rPr>
          <w:b/>
          <w:bCs/>
          <w:color w:val="000000" w:themeColor="text1"/>
          <w:szCs w:val="26"/>
        </w:rPr>
        <w:t>CUÉLLAR, J.</w:t>
      </w:r>
      <w:bookmarkStart w:id="6" w:name="_GoBack"/>
      <w:bookmarkEnd w:id="6"/>
    </w:p>
    <w:p w14:paraId="64E56B3B" w14:textId="553009F0" w:rsidR="00A04EDF" w:rsidRPr="00A04EDF" w:rsidRDefault="00A04EDF" w:rsidP="00A04EDF">
      <w:pPr>
        <w:pStyle w:val="Text"/>
        <w:spacing w:after="0" w:line="240" w:lineRule="auto"/>
        <w:ind w:firstLine="0"/>
        <w:rPr>
          <w:b/>
          <w:bCs/>
          <w:color w:val="000000" w:themeColor="text1"/>
          <w:szCs w:val="26"/>
        </w:rPr>
      </w:pPr>
      <w:r w:rsidRPr="00A04EDF">
        <w:rPr>
          <w:b/>
          <w:bCs/>
          <w:color w:val="000000" w:themeColor="text1"/>
          <w:szCs w:val="26"/>
        </w:rPr>
        <w:t>KRUGER, J.</w:t>
      </w:r>
    </w:p>
    <w:p w14:paraId="3848262F" w14:textId="32854452" w:rsidR="0063380C" w:rsidRPr="00A04EDF" w:rsidRDefault="00A04EDF" w:rsidP="00D74FF0">
      <w:pPr>
        <w:pStyle w:val="Text"/>
        <w:spacing w:after="0" w:line="240" w:lineRule="auto"/>
        <w:ind w:firstLine="0"/>
        <w:rPr>
          <w:b/>
          <w:bCs/>
          <w:color w:val="000000" w:themeColor="text1"/>
          <w:szCs w:val="26"/>
        </w:rPr>
      </w:pPr>
      <w:bookmarkStart w:id="7" w:name="initials"/>
      <w:bookmarkEnd w:id="7"/>
      <w:r>
        <w:rPr>
          <w:b/>
          <w:bCs/>
          <w:color w:val="000000" w:themeColor="text1"/>
          <w:szCs w:val="26"/>
        </w:rPr>
        <w:t>GROBAN, J.</w:t>
      </w:r>
    </w:p>
    <w:p w14:paraId="61F88D9E" w14:textId="77777777" w:rsidR="00480B30" w:rsidRDefault="00480B30" w:rsidP="00D74FF0">
      <w:pPr>
        <w:pStyle w:val="Text"/>
        <w:spacing w:after="0" w:line="240" w:lineRule="auto"/>
        <w:ind w:firstLine="0"/>
        <w:rPr>
          <w:color w:val="000000" w:themeColor="text1"/>
          <w:szCs w:val="26"/>
        </w:rPr>
        <w:sectPr w:rsidR="00480B30" w:rsidSect="00915A8C">
          <w:headerReference w:type="default" r:id="rId10"/>
          <w:footerReference w:type="default" r:id="rId11"/>
          <w:headerReference w:type="first" r:id="rId12"/>
          <w:footerReference w:type="first" r:id="rId13"/>
          <w:footnotePr>
            <w:numRestart w:val="eachSect"/>
          </w:footnotePr>
          <w:pgSz w:w="12240" w:h="15840"/>
          <w:pgMar w:top="1800" w:right="2160" w:bottom="1440" w:left="2160" w:header="720" w:footer="720" w:gutter="0"/>
          <w:pgNumType w:start="1"/>
          <w:cols w:space="720"/>
          <w:titlePg/>
          <w:docGrid w:linePitch="367"/>
        </w:sectPr>
      </w:pPr>
    </w:p>
    <w:p w14:paraId="3F5B9E8D" w14:textId="77777777" w:rsidR="00D039EB" w:rsidRPr="00D039EB" w:rsidRDefault="00D039EB" w:rsidP="00D039EB">
      <w:pPr>
        <w:tabs>
          <w:tab w:val="left" w:leader="underscore" w:pos="4680"/>
        </w:tabs>
        <w:jc w:val="center"/>
        <w:rPr>
          <w:bCs/>
          <w:caps/>
        </w:rPr>
      </w:pPr>
      <w:r w:rsidRPr="00D039EB">
        <w:rPr>
          <w:color w:val="000000" w:themeColor="text1"/>
        </w:rPr>
        <w:lastRenderedPageBreak/>
        <w:t>FACEBOOK, INC. v. SUPERIOR COURT</w:t>
      </w:r>
    </w:p>
    <w:p w14:paraId="38DE4E7B" w14:textId="77777777" w:rsidR="00D039EB" w:rsidRPr="00D039EB" w:rsidRDefault="00D039EB" w:rsidP="00D039EB">
      <w:pPr>
        <w:tabs>
          <w:tab w:val="left" w:pos="1440"/>
        </w:tabs>
        <w:spacing w:line="480" w:lineRule="exact"/>
        <w:jc w:val="center"/>
        <w:rPr>
          <w:b/>
          <w:caps/>
        </w:rPr>
      </w:pPr>
      <w:r w:rsidRPr="00D039EB">
        <w:rPr>
          <w:bCs/>
          <w:caps/>
        </w:rPr>
        <w:t>S245203</w:t>
      </w:r>
    </w:p>
    <w:p w14:paraId="4375948F" w14:textId="77777777" w:rsidR="00D039EB" w:rsidRPr="00D039EB" w:rsidRDefault="00D039EB" w:rsidP="00D039EB">
      <w:pPr>
        <w:tabs>
          <w:tab w:val="left" w:pos="1440"/>
        </w:tabs>
        <w:spacing w:line="480" w:lineRule="exact"/>
        <w:jc w:val="center"/>
        <w:rPr>
          <w:b/>
          <w:caps/>
        </w:rPr>
      </w:pPr>
    </w:p>
    <w:p w14:paraId="10D0FD8E" w14:textId="642B8C39" w:rsidR="00D039EB" w:rsidRPr="00074B5E" w:rsidRDefault="00D039EB" w:rsidP="00D039EB">
      <w:pPr>
        <w:tabs>
          <w:tab w:val="left" w:pos="1440"/>
        </w:tabs>
        <w:spacing w:line="480" w:lineRule="exact"/>
        <w:jc w:val="center"/>
        <w:rPr>
          <w:bCs/>
        </w:rPr>
      </w:pPr>
      <w:r w:rsidRPr="00074B5E">
        <w:rPr>
          <w:bCs/>
        </w:rPr>
        <w:t>C</w:t>
      </w:r>
      <w:r w:rsidR="00074B5E">
        <w:rPr>
          <w:bCs/>
        </w:rPr>
        <w:t xml:space="preserve">oncurring Opinion by </w:t>
      </w:r>
      <w:r w:rsidR="00CC5ED8">
        <w:rPr>
          <w:bCs/>
        </w:rPr>
        <w:t xml:space="preserve">Chief Justice </w:t>
      </w:r>
      <w:r w:rsidR="00074B5E">
        <w:rPr>
          <w:bCs/>
        </w:rPr>
        <w:t>Cantil-Sakauye</w:t>
      </w:r>
    </w:p>
    <w:p w14:paraId="3C9BEEA1" w14:textId="77777777" w:rsidR="00D039EB" w:rsidRPr="00D039EB" w:rsidRDefault="00D039EB" w:rsidP="00D039EB">
      <w:pPr>
        <w:tabs>
          <w:tab w:val="left" w:pos="1440"/>
        </w:tabs>
        <w:spacing w:line="480" w:lineRule="exact"/>
        <w:jc w:val="center"/>
        <w:rPr>
          <w:b/>
          <w:caps/>
        </w:rPr>
      </w:pPr>
    </w:p>
    <w:p w14:paraId="451E5940" w14:textId="77777777" w:rsidR="00D039EB" w:rsidRPr="00D039EB" w:rsidRDefault="00D039EB" w:rsidP="00D039EB">
      <w:pPr>
        <w:tabs>
          <w:tab w:val="left" w:pos="720"/>
          <w:tab w:val="left" w:pos="1440"/>
          <w:tab w:val="left" w:pos="2160"/>
          <w:tab w:val="center" w:pos="4320"/>
        </w:tabs>
        <w:ind w:firstLine="720"/>
      </w:pPr>
      <w:r w:rsidRPr="00D039EB">
        <w:t xml:space="preserve">As observed in the majority </w:t>
      </w:r>
      <w:r w:rsidRPr="00D039EB">
        <w:rPr>
          <w:color w:val="000000" w:themeColor="text1"/>
        </w:rPr>
        <w:t xml:space="preserve">opinion, </w:t>
      </w:r>
      <w:r w:rsidRPr="00D039EB">
        <w:t xml:space="preserve">Lance Touchstone, </w:t>
      </w:r>
      <w:r w:rsidRPr="00D039EB">
        <w:rPr>
          <w:color w:val="000000" w:themeColor="text1"/>
        </w:rPr>
        <w:t xml:space="preserve">defendant </w:t>
      </w:r>
      <w:r w:rsidRPr="00D039EB">
        <w:t xml:space="preserve">in the prosecution below (defendant), </w:t>
      </w:r>
      <w:r w:rsidRPr="00D039EB">
        <w:rPr>
          <w:color w:val="000000" w:themeColor="text1"/>
        </w:rPr>
        <w:t>and intervener San Diego County District Attorney (the district attorney) jointly advance a business model theory that, they contend, places Facebook, Inc., outside the ambit of a 34-year-old federal law, the Stored Communications Act (18 U.S.C. § 2701 et seq.; hereafter SCA or Act).</w:t>
      </w:r>
      <w:r w:rsidRPr="00D039EB">
        <w:rPr>
          <w:b/>
          <w:color w:val="000000" w:themeColor="text1"/>
          <w:position w:val="4"/>
          <w:vertAlign w:val="superscript"/>
        </w:rPr>
        <w:footnoteReference w:id="21"/>
      </w:r>
      <w:r w:rsidRPr="00D039EB">
        <w:rPr>
          <w:color w:val="000000" w:themeColor="text1"/>
        </w:rPr>
        <w:t xml:space="preserve">  I write </w:t>
      </w:r>
      <w:r w:rsidRPr="00D039EB">
        <w:t xml:space="preserve">separately to explore this theory in greater depth because, in my view, it deserves additional and focused attention, perhaps on remand in this case or at least in other similar future litigation.  </w:t>
      </w:r>
    </w:p>
    <w:p w14:paraId="3852C005" w14:textId="77777777" w:rsidR="00D039EB" w:rsidRPr="00D039EB" w:rsidRDefault="00D039EB" w:rsidP="00D039EB">
      <w:pPr>
        <w:tabs>
          <w:tab w:val="left" w:pos="720"/>
          <w:tab w:val="left" w:pos="1440"/>
          <w:tab w:val="left" w:pos="2160"/>
          <w:tab w:val="center" w:pos="4320"/>
        </w:tabs>
        <w:ind w:firstLine="720"/>
      </w:pPr>
      <w:r w:rsidRPr="00D039EB">
        <w:t xml:space="preserve">Defendant and the district attorney focus on Facebook’s authorization to undertake, and its practice of, mining its users’ communications content, analyzing that content, and sharing the resulting information with third parties to facilitate targeted advertising.  They assert this business model renders Facebook subject to a viable state subpoena duces tecum seeking the content of user communications, including restricted social media posts and private messages.  </w:t>
      </w:r>
    </w:p>
    <w:p w14:paraId="599D5C80" w14:textId="77777777" w:rsidR="00D039EB" w:rsidRPr="00D039EB" w:rsidRDefault="00D039EB" w:rsidP="00D039EB">
      <w:pPr>
        <w:tabs>
          <w:tab w:val="left" w:pos="720"/>
          <w:tab w:val="left" w:pos="1440"/>
          <w:tab w:val="left" w:pos="2160"/>
          <w:tab w:val="center" w:pos="4320"/>
        </w:tabs>
        <w:ind w:firstLine="720"/>
      </w:pPr>
      <w:r w:rsidRPr="00D039EB">
        <w:lastRenderedPageBreak/>
        <w:t>This contention, which is grounded on Facebook’s Terms of Service</w:t>
      </w:r>
      <w:r w:rsidRPr="00D039EB">
        <w:rPr>
          <w:b/>
          <w:position w:val="4"/>
          <w:vertAlign w:val="superscript"/>
          <w:lang w:val="en"/>
        </w:rPr>
        <w:footnoteReference w:id="22"/>
      </w:r>
      <w:r w:rsidRPr="00D039EB">
        <w:t xml:space="preserve"> and Data Policy,</w:t>
      </w:r>
      <w:r w:rsidRPr="00D039EB">
        <w:rPr>
          <w:b/>
          <w:position w:val="4"/>
          <w:vertAlign w:val="superscript"/>
          <w:lang w:val="en"/>
        </w:rPr>
        <w:footnoteReference w:id="23"/>
      </w:r>
      <w:r w:rsidRPr="00D039EB">
        <w:rPr>
          <w:lang w:val="en"/>
        </w:rPr>
        <w:t xml:space="preserve"> </w:t>
      </w:r>
      <w:r w:rsidRPr="00D039EB">
        <w:t xml:space="preserve">posits that the mining, analyzing, </w:t>
      </w:r>
      <w:r w:rsidRPr="00D039EB">
        <w:lastRenderedPageBreak/>
        <w:t xml:space="preserve">and sharing activities that these provisions permit Facebook to undertake preclude Facebook from qualifying under the SCA </w:t>
      </w:r>
      <w:r w:rsidRPr="00D039EB">
        <w:rPr>
          <w:i/>
        </w:rPr>
        <w:t>as a provider that is prohibited by the Act from disclosing user content</w:t>
      </w:r>
      <w:r w:rsidRPr="00D039EB">
        <w:t xml:space="preserve">.  Accordingly, defendant and the district attorney assert, Facebook cannot hold up the Act as a shield that protects it from complying with a viable state subpoena seeking such user communication content, including restricted posts and private messages.  </w:t>
      </w:r>
    </w:p>
    <w:p w14:paraId="04F28ECB" w14:textId="0FCC9E2A" w:rsidR="00D039EB" w:rsidRPr="00D039EB" w:rsidRDefault="00D039EB" w:rsidP="00D039EB">
      <w:pPr>
        <w:tabs>
          <w:tab w:val="left" w:pos="720"/>
          <w:tab w:val="left" w:pos="1440"/>
          <w:tab w:val="left" w:pos="2160"/>
          <w:tab w:val="center" w:pos="4320"/>
        </w:tabs>
        <w:ind w:firstLine="720"/>
      </w:pPr>
      <w:r w:rsidRPr="00D039EB">
        <w:t xml:space="preserve">Facebook does not contest that it mines, analyzes, and shares with third party </w:t>
      </w:r>
      <w:proofErr w:type="gramStart"/>
      <w:r w:rsidRPr="00D039EB">
        <w:t>advertisers</w:t>
      </w:r>
      <w:proofErr w:type="gramEnd"/>
      <w:r w:rsidRPr="00D039EB">
        <w:t xml:space="preserve"> information about content found in, among other things, its users’ communications</w:t>
      </w:r>
      <w:r w:rsidR="006168FB">
        <w:t> </w:t>
      </w:r>
      <w:r w:rsidRPr="00D039EB">
        <w:t xml:space="preserve">— including restricted posts and private messages.  Facebook maintains, however, that these practices do not remove it from the applicable provisions of the SCA.  </w:t>
      </w:r>
    </w:p>
    <w:p w14:paraId="685CB1A0" w14:textId="77777777" w:rsidR="00D039EB" w:rsidRPr="00D039EB" w:rsidRDefault="00D039EB" w:rsidP="00D039EB">
      <w:pPr>
        <w:tabs>
          <w:tab w:val="left" w:pos="720"/>
          <w:tab w:val="left" w:pos="1440"/>
          <w:tab w:val="left" w:pos="2160"/>
          <w:tab w:val="center" w:pos="4320"/>
        </w:tabs>
        <w:ind w:firstLine="720"/>
      </w:pPr>
      <w:r w:rsidRPr="00D039EB">
        <w:t xml:space="preserve">I outline below the key statutes and summarize defendant’s and the district attorney’s arguments, as well as Facebook’s responses.  </w:t>
      </w:r>
    </w:p>
    <w:p w14:paraId="47172396" w14:textId="77777777" w:rsidR="00D039EB" w:rsidRPr="00D039EB" w:rsidRDefault="00D039EB" w:rsidP="00D039EB">
      <w:pPr>
        <w:keepNext/>
        <w:spacing w:before="140" w:line="240" w:lineRule="atLeast"/>
        <w:ind w:left="900" w:right="900"/>
        <w:jc w:val="center"/>
        <w:outlineLvl w:val="0"/>
        <w:rPr>
          <w:b/>
          <w:smallCaps/>
        </w:rPr>
      </w:pPr>
      <w:r w:rsidRPr="00D039EB">
        <w:rPr>
          <w:b/>
          <w:smallCaps/>
        </w:rPr>
        <w:t>I.  Overview of the Business Model Argument:  Assertion That Facebook Does Not Provide “ECS” or “RCS” — and Hence Is Not Precluded by the SCA from Complying with a Viable State Subpoena</w:t>
      </w:r>
    </w:p>
    <w:p w14:paraId="5DBD10E0" w14:textId="77777777" w:rsidR="00D039EB" w:rsidRPr="00D039EB" w:rsidRDefault="00D039EB" w:rsidP="00D039EB">
      <w:pPr>
        <w:tabs>
          <w:tab w:val="left" w:pos="720"/>
          <w:tab w:val="left" w:pos="1440"/>
          <w:tab w:val="left" w:pos="2160"/>
          <w:tab w:val="center" w:pos="4320"/>
        </w:tabs>
        <w:ind w:firstLine="720"/>
      </w:pPr>
      <w:r w:rsidRPr="00D039EB">
        <w:t xml:space="preserve">As we observed in </w:t>
      </w:r>
      <w:r w:rsidRPr="00D039EB">
        <w:rPr>
          <w:i/>
        </w:rPr>
        <w:t xml:space="preserve">Facebook v. Superior Court </w:t>
      </w:r>
      <w:r w:rsidRPr="00D039EB">
        <w:rPr>
          <w:iCs/>
        </w:rPr>
        <w:t>(</w:t>
      </w:r>
      <w:r w:rsidRPr="00D039EB">
        <w:rPr>
          <w:i/>
        </w:rPr>
        <w:t>Hunter</w:t>
      </w:r>
      <w:r w:rsidRPr="00D039EB">
        <w:rPr>
          <w:iCs/>
        </w:rPr>
        <w:t>)</w:t>
      </w:r>
      <w:r w:rsidRPr="00D039EB">
        <w:rPr>
          <w:i/>
        </w:rPr>
        <w:t xml:space="preserve"> </w:t>
      </w:r>
      <w:r w:rsidRPr="00D039EB">
        <w:rPr>
          <w:iCs/>
        </w:rPr>
        <w:t>(2018)</w:t>
      </w:r>
      <w:r w:rsidRPr="00D039EB">
        <w:rPr>
          <w:i/>
        </w:rPr>
        <w:t xml:space="preserve"> </w:t>
      </w:r>
      <w:r w:rsidRPr="00D039EB">
        <w:t>4 Cal.5th 1245, 1264–1265</w:t>
      </w:r>
      <w:r w:rsidRPr="00D039EB">
        <w:rPr>
          <w:i/>
        </w:rPr>
        <w:t xml:space="preserve">, </w:t>
      </w:r>
      <w:r w:rsidRPr="00D039EB">
        <w:t>the SCA covers, and prohibits disclosure of, stored and/or electronic communications by</w:t>
      </w:r>
      <w:r w:rsidRPr="00D039EB">
        <w:rPr>
          <w:i/>
        </w:rPr>
        <w:t xml:space="preserve"> only</w:t>
      </w:r>
      <w:r w:rsidRPr="00D039EB">
        <w:t xml:space="preserve"> two specific types of entities — (1) those that provide “electronic </w:t>
      </w:r>
      <w:r w:rsidRPr="00D039EB">
        <w:lastRenderedPageBreak/>
        <w:t>communication service” (ECS), and/or (2) those that provide “remote computing service” (RCS).</w:t>
      </w:r>
      <w:r w:rsidRPr="00D039EB">
        <w:rPr>
          <w:b/>
          <w:position w:val="4"/>
          <w:vertAlign w:val="superscript"/>
        </w:rPr>
        <w:footnoteReference w:id="24"/>
      </w:r>
      <w:r w:rsidRPr="00D039EB">
        <w:t xml:space="preserve">  (§ 2702(a).)  If an entity does not act as a provider of ECS or RCS with regard to a given communication, the entity is not bound by any limitation that the SCA places on the disclosure of that communication — and hence the entity cannot rely upon the SCA as a shield against enforcement of a viable subpoena seeking that communication.  </w:t>
      </w:r>
    </w:p>
    <w:p w14:paraId="393D43FB" w14:textId="77777777" w:rsidR="00D039EB" w:rsidRPr="00D039EB" w:rsidRDefault="00D039EB" w:rsidP="00D039EB">
      <w:pPr>
        <w:tabs>
          <w:tab w:val="left" w:pos="720"/>
          <w:tab w:val="left" w:pos="1440"/>
          <w:tab w:val="left" w:pos="2160"/>
          <w:tab w:val="center" w:pos="4320"/>
        </w:tabs>
        <w:ind w:firstLine="720"/>
      </w:pPr>
      <w:r w:rsidRPr="00D039EB">
        <w:t xml:space="preserve">Defendant and the district attorney argue that stored communications, including restricted posts and private messages, are subject to disclosure by Facebook pursuant to a viable subpoena.  They assert this is so because, in light of the mining, analyzing, and sharing of licensed information about content that is authorized by Facebook’s policies, Facebook does not qualify as an entity that provides either ECS or RCS with respect to the sought communications — and hence Facebook cannot rely on the SCA provisions that bar disclosure of stored communications.  </w:t>
      </w:r>
    </w:p>
    <w:p w14:paraId="7E65CF85" w14:textId="77777777" w:rsidR="00D039EB" w:rsidRPr="00D039EB" w:rsidRDefault="00D039EB" w:rsidP="00D039EB">
      <w:pPr>
        <w:tabs>
          <w:tab w:val="left" w:pos="720"/>
          <w:tab w:val="left" w:pos="1440"/>
          <w:tab w:val="left" w:pos="2160"/>
          <w:tab w:val="center" w:pos="4320"/>
        </w:tabs>
        <w:ind w:firstLine="720"/>
      </w:pPr>
      <w:r w:rsidRPr="00D039EB">
        <w:t xml:space="preserve">To understand the business model argument, it is necessary to first review the SCA’s statutory definitions of ECS and RCS.  </w:t>
      </w:r>
    </w:p>
    <w:p w14:paraId="22D70B44" w14:textId="77777777" w:rsidR="00D039EB" w:rsidRPr="00D039EB" w:rsidRDefault="00D039EB" w:rsidP="00D039EB">
      <w:pPr>
        <w:keepNext/>
        <w:spacing w:before="140" w:line="240" w:lineRule="atLeast"/>
        <w:jc w:val="center"/>
        <w:outlineLvl w:val="0"/>
        <w:rPr>
          <w:b/>
          <w:smallCaps/>
        </w:rPr>
      </w:pPr>
      <w:r w:rsidRPr="00D039EB">
        <w:rPr>
          <w:b/>
          <w:smallCaps/>
        </w:rPr>
        <w:t xml:space="preserve">II.  ECS and RCS as Defined by the SCA </w:t>
      </w:r>
    </w:p>
    <w:p w14:paraId="2ED8038D" w14:textId="77777777" w:rsidR="00D039EB" w:rsidRPr="00D039EB" w:rsidRDefault="00D039EB" w:rsidP="00D039EB">
      <w:pPr>
        <w:tabs>
          <w:tab w:val="left" w:pos="720"/>
          <w:tab w:val="left" w:pos="1440"/>
          <w:tab w:val="left" w:pos="2160"/>
          <w:tab w:val="center" w:pos="4320"/>
        </w:tabs>
        <w:ind w:firstLine="720"/>
      </w:pPr>
      <w:r w:rsidRPr="00D039EB">
        <w:rPr>
          <w:szCs w:val="26"/>
        </w:rPr>
        <w:t>ECS is defined as “any service which provides to users thereof the ability to send or receive wire or electronic communications.”  (§ 2510(15) [</w:t>
      </w:r>
      <w:r w:rsidRPr="00D039EB">
        <w:rPr>
          <w:i/>
          <w:iCs/>
          <w:szCs w:val="26"/>
          <w:bdr w:val="none" w:sz="0" w:space="0" w:color="auto" w:frame="1"/>
          <w:shd w:val="clear" w:color="auto" w:fill="FFFFFF"/>
        </w:rPr>
        <w:t xml:space="preserve">incorporated into the SCA by </w:t>
      </w:r>
      <w:r w:rsidRPr="00D039EB">
        <w:rPr>
          <w:szCs w:val="26"/>
          <w:shd w:val="clear" w:color="auto" w:fill="FFFFFF"/>
        </w:rPr>
        <w:t>§ 2711(1)]</w:t>
      </w:r>
      <w:r w:rsidRPr="00D039EB">
        <w:rPr>
          <w:szCs w:val="26"/>
        </w:rPr>
        <w:t>.)  Section 2702(a</w:t>
      </w:r>
      <w:r w:rsidRPr="00D039EB">
        <w:rPr>
          <w:bCs/>
          <w:szCs w:val="26"/>
        </w:rPr>
        <w:t>)</w:t>
      </w:r>
      <w:r w:rsidRPr="00D039EB">
        <w:rPr>
          <w:szCs w:val="26"/>
        </w:rPr>
        <w:t>(1), directs th</w:t>
      </w:r>
      <w:r w:rsidRPr="00D039EB">
        <w:t>at an “</w:t>
      </w:r>
      <w:r w:rsidRPr="00D039EB">
        <w:rPr>
          <w:i/>
        </w:rPr>
        <w:t>entity providing an electronic communication service</w:t>
      </w:r>
      <w:r w:rsidRPr="00D039EB">
        <w:rPr>
          <w:iCs/>
        </w:rPr>
        <w:t xml:space="preserve"> </w:t>
      </w:r>
      <w:r w:rsidRPr="00D039EB">
        <w:rPr>
          <w:i/>
        </w:rPr>
        <w:t xml:space="preserve">to the public shall not </w:t>
      </w:r>
      <w:r w:rsidRPr="00D039EB">
        <w:rPr>
          <w:i/>
        </w:rPr>
        <w:lastRenderedPageBreak/>
        <w:t>knowingly</w:t>
      </w:r>
      <w:r w:rsidRPr="00D039EB">
        <w:rPr>
          <w:iCs/>
        </w:rPr>
        <w:t xml:space="preserve"> </w:t>
      </w:r>
      <w:r w:rsidRPr="00D039EB">
        <w:rPr>
          <w:i/>
        </w:rPr>
        <w:t>divulge to any person or entity</w:t>
      </w:r>
      <w:r w:rsidRPr="00D039EB">
        <w:t xml:space="preserve"> </w:t>
      </w:r>
      <w:r w:rsidRPr="00D039EB">
        <w:rPr>
          <w:i/>
        </w:rPr>
        <w:t>the contents of a communication</w:t>
      </w:r>
      <w:r w:rsidRPr="00D039EB">
        <w:t xml:space="preserve"> </w:t>
      </w:r>
      <w:r w:rsidRPr="00D039EB">
        <w:rPr>
          <w:i/>
          <w:iCs/>
        </w:rPr>
        <w:t>while</w:t>
      </w:r>
      <w:r w:rsidRPr="00D039EB">
        <w:t xml:space="preserve"> [</w:t>
      </w:r>
      <w:r w:rsidRPr="00D039EB">
        <w:rPr>
          <w:i/>
          <w:iCs/>
        </w:rPr>
        <w:t>the communication</w:t>
      </w:r>
      <w:r w:rsidRPr="00D039EB">
        <w:t xml:space="preserve">] </w:t>
      </w:r>
      <w:r w:rsidRPr="00D039EB">
        <w:rPr>
          <w:i/>
        </w:rPr>
        <w:t>is in</w:t>
      </w:r>
      <w:r w:rsidRPr="00D039EB">
        <w:t xml:space="preserve"> </w:t>
      </w:r>
      <w:r w:rsidRPr="00D039EB">
        <w:rPr>
          <w:i/>
        </w:rPr>
        <w:t>electronic storage by that service.</w:t>
      </w:r>
      <w:r w:rsidRPr="00D039EB">
        <w:t xml:space="preserve">”  (Italics added.)  “Electronic storage” is defined in section 2510(17), as “(A) </w:t>
      </w:r>
      <w:r w:rsidRPr="00D039EB">
        <w:rPr>
          <w:i/>
        </w:rPr>
        <w:t>any temporary, intermediate storage of a</w:t>
      </w:r>
      <w:r w:rsidRPr="00D039EB">
        <w:t xml:space="preserve"> wire or </w:t>
      </w:r>
      <w:r w:rsidRPr="00D039EB">
        <w:rPr>
          <w:i/>
        </w:rPr>
        <w:t>electronic communication incidental to the electronic transmission thereof</w:t>
      </w:r>
      <w:r w:rsidRPr="00D039EB">
        <w:t xml:space="preserve">; and </w:t>
      </w:r>
      <w:r w:rsidRPr="00D039EB">
        <w:rPr>
          <w:color w:val="1C1E21"/>
          <w:lang w:val="en"/>
        </w:rPr>
        <w:t>[¶]</w:t>
      </w:r>
      <w:r w:rsidRPr="00D039EB">
        <w:rPr>
          <w:lang w:val="en"/>
        </w:rPr>
        <w:t xml:space="preserve"> </w:t>
      </w:r>
      <w:r w:rsidRPr="00D039EB">
        <w:t xml:space="preserve">(B) </w:t>
      </w:r>
      <w:r w:rsidRPr="00D039EB">
        <w:rPr>
          <w:i/>
        </w:rPr>
        <w:t>any storage of such communication by an electronic communication service for purposes of backup protection of such communication</w:t>
      </w:r>
      <w:r w:rsidRPr="00D039EB">
        <w:t>.”  (Italics added.)</w:t>
      </w:r>
      <w:r w:rsidRPr="00D039EB">
        <w:rPr>
          <w:b/>
          <w:position w:val="4"/>
          <w:vertAlign w:val="superscript"/>
        </w:rPr>
        <w:footnoteReference w:id="25"/>
      </w:r>
      <w:r w:rsidRPr="00D039EB">
        <w:t xml:space="preserve">  </w:t>
      </w:r>
    </w:p>
    <w:p w14:paraId="300CF584" w14:textId="77777777" w:rsidR="00D039EB" w:rsidRPr="00D039EB" w:rsidRDefault="00D039EB" w:rsidP="00D039EB">
      <w:pPr>
        <w:tabs>
          <w:tab w:val="left" w:pos="720"/>
          <w:tab w:val="left" w:pos="1440"/>
          <w:tab w:val="left" w:pos="2160"/>
          <w:tab w:val="center" w:pos="4320"/>
        </w:tabs>
        <w:ind w:firstLine="720"/>
      </w:pPr>
      <w:r w:rsidRPr="00D039EB">
        <w:t>RCS, by contrast, is defined as “the provision to the public of computer storage or processing services by means of an electronic communications system.”  (§ 2711(2).)  Section 2702 (a</w:t>
      </w:r>
      <w:r w:rsidRPr="00D039EB">
        <w:rPr>
          <w:bCs/>
        </w:rPr>
        <w:t>)</w:t>
      </w:r>
      <w:r w:rsidRPr="00D039EB">
        <w:t>(2)’s introductory language directs that an “</w:t>
      </w:r>
      <w:r w:rsidRPr="00D039EB">
        <w:rPr>
          <w:i/>
        </w:rPr>
        <w:t>entity providing remote computing service to the public shall not knowingly divulge to any person or entity the contents of any communication which is carried or maintained on that service</w:t>
      </w:r>
      <w:r w:rsidRPr="00D039EB">
        <w:t xml:space="preserve">” when certain conditions are met.  (Italics added.)  </w:t>
      </w:r>
    </w:p>
    <w:p w14:paraId="7C3392C1" w14:textId="77777777" w:rsidR="00D039EB" w:rsidRPr="00D039EB" w:rsidRDefault="00D039EB" w:rsidP="00D039EB">
      <w:pPr>
        <w:tabs>
          <w:tab w:val="left" w:pos="720"/>
          <w:tab w:val="left" w:pos="1440"/>
          <w:tab w:val="left" w:pos="2160"/>
          <w:tab w:val="center" w:pos="4320"/>
        </w:tabs>
        <w:ind w:firstLine="720"/>
      </w:pPr>
      <w:r w:rsidRPr="00D039EB">
        <w:t xml:space="preserve">The next parts of section 2702(a)(2) describe the conditions that will trigger the duty of an entity providing RCS to “not knowingly divulge” the contents of any communication carried or maintained by that entity.  Defendant and the district attorney do not contend that Facebook fails to satisfy the first condition set out in subsection (a)(2)(A): the “carried or maintained” communication must be “on behalf of, and received </w:t>
      </w:r>
      <w:r w:rsidRPr="00D039EB">
        <w:lastRenderedPageBreak/>
        <w:t xml:space="preserve">by means of electronic transmission from . . . a subscriber or customer of such service.”  </w:t>
      </w:r>
    </w:p>
    <w:p w14:paraId="6191F318" w14:textId="77777777" w:rsidR="00D039EB" w:rsidRPr="00D039EB" w:rsidRDefault="00D039EB" w:rsidP="00D039EB">
      <w:pPr>
        <w:tabs>
          <w:tab w:val="left" w:pos="720"/>
          <w:tab w:val="left" w:pos="1440"/>
          <w:tab w:val="left" w:pos="2160"/>
          <w:tab w:val="center" w:pos="4320"/>
        </w:tabs>
        <w:ind w:firstLine="720"/>
      </w:pPr>
      <w:r w:rsidRPr="00D039EB">
        <w:t>It is the second condition set out in section 2702(a)(2)(B) that lies at the center of the business model argument advanced by defendant and the district attorney.  Under section 2702(a)(2)(B), the prohibition on disclosure by an entity that provides RCS applies only if the communication is carried or maintained on the service “</w:t>
      </w:r>
      <w:r w:rsidRPr="00D039EB">
        <w:rPr>
          <w:i/>
        </w:rPr>
        <w:t>solely for the purpose of providing storage or computer processing services to such subscriber or customer, if the provider is not authorized to access the contents of any such communications for purposes of providing any services other than storage or computer processing</w:t>
      </w:r>
      <w:r w:rsidRPr="00D039EB">
        <w:t xml:space="preserve">.”  (Italics added.)  </w:t>
      </w:r>
    </w:p>
    <w:p w14:paraId="3727B8A9" w14:textId="1FC8F2AD" w:rsidR="00D039EB" w:rsidRPr="00D039EB" w:rsidRDefault="00D039EB" w:rsidP="00D039EB">
      <w:pPr>
        <w:tabs>
          <w:tab w:val="left" w:pos="720"/>
          <w:tab w:val="left" w:pos="1440"/>
          <w:tab w:val="left" w:pos="2160"/>
          <w:tab w:val="center" w:pos="4320"/>
        </w:tabs>
        <w:ind w:firstLine="720"/>
        <w:rPr>
          <w:szCs w:val="26"/>
        </w:rPr>
      </w:pPr>
      <w:r w:rsidRPr="00D039EB">
        <w:rPr>
          <w:szCs w:val="26"/>
        </w:rPr>
        <w:t xml:space="preserve">This crucial passage is hardly a model of clarity.  It appears to express two related conditions in order to qualify as a communication held by an entity that provides </w:t>
      </w:r>
      <w:r w:rsidRPr="00D039EB">
        <w:rPr>
          <w:color w:val="000000" w:themeColor="text1"/>
          <w:szCs w:val="26"/>
        </w:rPr>
        <w:t>RCS: (1) the user’s data must be transmitted to the provider “solely for the purpose of providing storage or computer processing services”</w:t>
      </w:r>
      <w:r w:rsidRPr="00D039EB">
        <w:rPr>
          <w:szCs w:val="26"/>
        </w:rPr>
        <w:t xml:space="preserve">; </w:t>
      </w:r>
      <w:r w:rsidRPr="00D039EB">
        <w:rPr>
          <w:i/>
          <w:szCs w:val="26"/>
        </w:rPr>
        <w:t xml:space="preserve">and </w:t>
      </w:r>
      <w:r w:rsidRPr="00D039EB">
        <w:rPr>
          <w:szCs w:val="26"/>
        </w:rPr>
        <w:t xml:space="preserve">(2) the entity must </w:t>
      </w:r>
      <w:r w:rsidRPr="00D039EB">
        <w:rPr>
          <w:color w:val="000000" w:themeColor="text1"/>
          <w:szCs w:val="26"/>
        </w:rPr>
        <w:t xml:space="preserve">“not [be] authorized to access the contents of any such communications for </w:t>
      </w:r>
      <w:r w:rsidRPr="00D039EB">
        <w:rPr>
          <w:iCs/>
          <w:color w:val="000000" w:themeColor="text1"/>
          <w:szCs w:val="26"/>
        </w:rPr>
        <w:t>purposes of providing any services other than storage or computer processing</w:t>
      </w:r>
      <w:r w:rsidRPr="00D039EB">
        <w:rPr>
          <w:color w:val="000000" w:themeColor="text1"/>
          <w:szCs w:val="26"/>
        </w:rPr>
        <w:t>.”  (</w:t>
      </w:r>
      <w:r w:rsidRPr="00D039EB">
        <w:rPr>
          <w:szCs w:val="26"/>
        </w:rPr>
        <w:t>§ 2702(a)(2)(B)</w:t>
      </w:r>
      <w:r w:rsidRPr="00D039EB">
        <w:rPr>
          <w:color w:val="000000" w:themeColor="text1"/>
          <w:szCs w:val="26"/>
        </w:rPr>
        <w:t>; see, e.g., Robison</w:t>
      </w:r>
      <w:r w:rsidRPr="00D039EB">
        <w:rPr>
          <w:szCs w:val="26"/>
        </w:rPr>
        <w:t xml:space="preserve">, Note, </w:t>
      </w:r>
      <w:r w:rsidRPr="00D039EB">
        <w:rPr>
          <w:i/>
          <w:szCs w:val="26"/>
        </w:rPr>
        <w:t>Free at What Cost?: Cloud Computing Privacy Under the Stored Communications Act</w:t>
      </w:r>
      <w:r w:rsidRPr="00D039EB">
        <w:rPr>
          <w:szCs w:val="26"/>
        </w:rPr>
        <w:t xml:space="preserve"> (2010) 98 Geo. L.J. 1195, 1213–1214 (</w:t>
      </w:r>
      <w:r w:rsidRPr="00D039EB">
        <w:rPr>
          <w:i/>
          <w:iCs/>
          <w:szCs w:val="26"/>
        </w:rPr>
        <w:t>Free at What Cost?</w:t>
      </w:r>
      <w:r w:rsidRPr="00D039EB">
        <w:rPr>
          <w:szCs w:val="26"/>
        </w:rPr>
        <w:t>) [</w:t>
      </w:r>
      <w:proofErr w:type="gramStart"/>
      <w:r w:rsidRPr="00D039EB">
        <w:rPr>
          <w:szCs w:val="26"/>
        </w:rPr>
        <w:t>so</w:t>
      </w:r>
      <w:proofErr w:type="gramEnd"/>
      <w:r w:rsidRPr="00D039EB">
        <w:rPr>
          <w:szCs w:val="26"/>
        </w:rPr>
        <w:t xml:space="preserve"> construing the statute].)  Based on this language, the author of the cited law journal and other commentators have argued that if the entity </w:t>
      </w:r>
      <w:r w:rsidRPr="00D039EB">
        <w:rPr>
          <w:i/>
          <w:szCs w:val="26"/>
        </w:rPr>
        <w:t xml:space="preserve">is </w:t>
      </w:r>
      <w:r w:rsidRPr="00D039EB">
        <w:rPr>
          <w:color w:val="000000" w:themeColor="text1"/>
          <w:szCs w:val="26"/>
        </w:rPr>
        <w:t xml:space="preserve">“authorized to access the contents of any such communication for </w:t>
      </w:r>
      <w:r w:rsidRPr="00D039EB">
        <w:rPr>
          <w:iCs/>
          <w:color w:val="000000" w:themeColor="text1"/>
          <w:szCs w:val="26"/>
        </w:rPr>
        <w:t xml:space="preserve">purposes of providing any services </w:t>
      </w:r>
      <w:r w:rsidRPr="00D039EB">
        <w:rPr>
          <w:i/>
          <w:iCs/>
          <w:color w:val="000000" w:themeColor="text1"/>
          <w:szCs w:val="26"/>
        </w:rPr>
        <w:t>other than</w:t>
      </w:r>
      <w:r w:rsidRPr="00D039EB">
        <w:rPr>
          <w:iCs/>
          <w:color w:val="000000" w:themeColor="text1"/>
          <w:szCs w:val="26"/>
        </w:rPr>
        <w:t xml:space="preserve"> storage or computer processing</w:t>
      </w:r>
      <w:r w:rsidRPr="00D039EB">
        <w:rPr>
          <w:color w:val="000000" w:themeColor="text1"/>
          <w:szCs w:val="26"/>
        </w:rPr>
        <w:t>” (</w:t>
      </w:r>
      <w:r w:rsidRPr="00D039EB">
        <w:rPr>
          <w:szCs w:val="26"/>
        </w:rPr>
        <w:t>§ 2702(a)(2)(B), italics added)</w:t>
      </w:r>
      <w:r w:rsidR="008E710E">
        <w:rPr>
          <w:szCs w:val="26"/>
        </w:rPr>
        <w:t> </w:t>
      </w:r>
      <w:r w:rsidRPr="00D039EB">
        <w:rPr>
          <w:color w:val="000000" w:themeColor="text1"/>
          <w:szCs w:val="26"/>
        </w:rPr>
        <w:t xml:space="preserve">— that is, for the purposes of providing any services </w:t>
      </w:r>
      <w:r w:rsidRPr="00D039EB">
        <w:rPr>
          <w:i/>
          <w:color w:val="000000" w:themeColor="text1"/>
          <w:szCs w:val="26"/>
        </w:rPr>
        <w:t>in addition to</w:t>
      </w:r>
      <w:r w:rsidRPr="00D039EB">
        <w:rPr>
          <w:color w:val="000000" w:themeColor="text1"/>
          <w:szCs w:val="26"/>
        </w:rPr>
        <w:t xml:space="preserve"> storage or computer processing — the Act’s bar on </w:t>
      </w:r>
      <w:r w:rsidRPr="00D039EB">
        <w:rPr>
          <w:color w:val="000000" w:themeColor="text1"/>
          <w:szCs w:val="26"/>
        </w:rPr>
        <w:lastRenderedPageBreak/>
        <w:t>disclosure is inapplicable.</w:t>
      </w:r>
      <w:r w:rsidRPr="00D039EB">
        <w:rPr>
          <w:b/>
          <w:position w:val="4"/>
          <w:szCs w:val="26"/>
          <w:vertAlign w:val="superscript"/>
        </w:rPr>
        <w:footnoteReference w:id="26"/>
      </w:r>
      <w:r w:rsidRPr="00D039EB">
        <w:rPr>
          <w:color w:val="000000" w:themeColor="text1"/>
          <w:szCs w:val="26"/>
        </w:rPr>
        <w:t xml:space="preserve">  In other words, these commentators reason, such an entity would not be acting as an RCS that is, in </w:t>
      </w:r>
      <w:r w:rsidRPr="00D039EB">
        <w:rPr>
          <w:color w:val="000000" w:themeColor="text1"/>
          <w:szCs w:val="26"/>
        </w:rPr>
        <w:lastRenderedPageBreak/>
        <w:t>turn, generally barred from disclosing communications content</w:t>
      </w:r>
      <w:r w:rsidR="006168FB">
        <w:rPr>
          <w:color w:val="000000" w:themeColor="text1"/>
          <w:szCs w:val="26"/>
        </w:rPr>
        <w:t> </w:t>
      </w:r>
      <w:r w:rsidRPr="00D039EB">
        <w:rPr>
          <w:color w:val="000000" w:themeColor="text1"/>
          <w:szCs w:val="26"/>
        </w:rPr>
        <w:t xml:space="preserve">— and hence the entity would be subject to a viable subpoena duces tecum.  </w:t>
      </w:r>
    </w:p>
    <w:p w14:paraId="09E3F62D" w14:textId="77777777" w:rsidR="00D039EB" w:rsidRPr="00D039EB" w:rsidRDefault="00D039EB" w:rsidP="00D039EB">
      <w:pPr>
        <w:tabs>
          <w:tab w:val="left" w:pos="720"/>
          <w:tab w:val="left" w:pos="1440"/>
          <w:tab w:val="left" w:pos="2160"/>
          <w:tab w:val="center" w:pos="4320"/>
        </w:tabs>
        <w:ind w:firstLine="720"/>
      </w:pPr>
      <w:r w:rsidRPr="00D039EB">
        <w:t xml:space="preserve">It is important to recognize that with regard to both general directives against disclosure by an entity providing ECS or RCS, “contents” is broadly defined by the SCA to “include[] any information concerning the substance, purport, or meaning of [the] communication.”  (§ 2510(8).)  This definition would appear to encompass information </w:t>
      </w:r>
      <w:r w:rsidRPr="00D039EB">
        <w:rPr>
          <w:i/>
        </w:rPr>
        <w:t>about</w:t>
      </w:r>
      <w:r w:rsidRPr="00D039EB">
        <w:t xml:space="preserve"> or relating to the content of a communication — not just the bare or exact text of a communication, including of any restricted post or private message.  </w:t>
      </w:r>
    </w:p>
    <w:p w14:paraId="0967DA78" w14:textId="77777777" w:rsidR="00D039EB" w:rsidRPr="00D039EB" w:rsidRDefault="00D039EB" w:rsidP="00D039EB">
      <w:pPr>
        <w:keepNext/>
        <w:spacing w:before="140" w:line="240" w:lineRule="atLeast"/>
        <w:ind w:left="1260" w:right="1260"/>
        <w:jc w:val="center"/>
        <w:outlineLvl w:val="0"/>
        <w:rPr>
          <w:b/>
          <w:smallCaps/>
        </w:rPr>
      </w:pPr>
      <w:r w:rsidRPr="00D039EB">
        <w:rPr>
          <w:b/>
          <w:smallCaps/>
        </w:rPr>
        <w:t>III.  The Act’s ECS and RCS Categories Should Be Updated or Replaced by Congress</w:t>
      </w:r>
    </w:p>
    <w:p w14:paraId="7034D0F5" w14:textId="77777777" w:rsidR="00D039EB" w:rsidRPr="00D039EB" w:rsidRDefault="00D039EB" w:rsidP="00D039EB">
      <w:pPr>
        <w:tabs>
          <w:tab w:val="left" w:pos="720"/>
          <w:tab w:val="left" w:pos="1440"/>
          <w:tab w:val="left" w:pos="2160"/>
          <w:tab w:val="center" w:pos="4320"/>
        </w:tabs>
        <w:ind w:firstLine="720"/>
        <w:rPr>
          <w:color w:val="3D3D3D"/>
          <w:szCs w:val="26"/>
          <w:shd w:val="clear" w:color="auto" w:fill="FFFFFF"/>
        </w:rPr>
      </w:pPr>
      <w:r w:rsidRPr="00D039EB">
        <w:t xml:space="preserve">Courts and commentators have long acknowledged that, as applied to contemporary entities, the 34-year-old SCA is woefully outdated.  Eighteen years </w:t>
      </w:r>
      <w:proofErr w:type="gramStart"/>
      <w:r w:rsidRPr="00D039EB">
        <w:t>ago</w:t>
      </w:r>
      <w:proofErr w:type="gramEnd"/>
      <w:r w:rsidRPr="00D039EB">
        <w:t xml:space="preserve"> the decision in </w:t>
      </w:r>
      <w:proofErr w:type="spellStart"/>
      <w:r w:rsidRPr="00D039EB">
        <w:rPr>
          <w:i/>
          <w:iCs/>
          <w:color w:val="000000" w:themeColor="text1"/>
          <w:szCs w:val="26"/>
        </w:rPr>
        <w:t>Konop</w:t>
      </w:r>
      <w:proofErr w:type="spellEnd"/>
      <w:r w:rsidRPr="00D039EB">
        <w:rPr>
          <w:i/>
          <w:iCs/>
          <w:color w:val="000000" w:themeColor="text1"/>
          <w:szCs w:val="26"/>
        </w:rPr>
        <w:t xml:space="preserve"> v. Hawaiian Airlines</w:t>
      </w:r>
      <w:r w:rsidRPr="00D039EB">
        <w:rPr>
          <w:color w:val="000000" w:themeColor="text1"/>
          <w:szCs w:val="26"/>
        </w:rPr>
        <w:t xml:space="preserve"> (9th Cir. 2002) 302 F.3d 868, observed that because the SCA </w:t>
      </w:r>
      <w:r w:rsidRPr="00D039EB">
        <w:rPr>
          <w:color w:val="000000" w:themeColor="text1"/>
          <w:szCs w:val="26"/>
          <w:shd w:val="clear" w:color="auto" w:fill="FFFFFF"/>
        </w:rPr>
        <w:t>“was written prior to the advent of the Internet and the World Wide Web . . . , the . . . statutory framework is ill-suited to address modern forms of communication,” and hence courts “have struggled to analyze problems involving modern technology within the confines of this statutory framework.”  Moreover, the court emphasized, “</w:t>
      </w:r>
      <w:r w:rsidRPr="00D039EB">
        <w:rPr>
          <w:szCs w:val="26"/>
          <w:shd w:val="clear" w:color="auto" w:fill="FFFFFF"/>
        </w:rPr>
        <w:t xml:space="preserve">until Congress brings the laws in line with modern technology, protection of the Internet and websites . . . will remain a confusing and uncertain area of </w:t>
      </w:r>
      <w:r w:rsidRPr="00D039EB">
        <w:rPr>
          <w:szCs w:val="26"/>
          <w:shd w:val="clear" w:color="auto" w:fill="FFFFFF"/>
        </w:rPr>
        <w:lastRenderedPageBreak/>
        <w:t>the law.”  (</w:t>
      </w:r>
      <w:proofErr w:type="spellStart"/>
      <w:r w:rsidRPr="00D039EB">
        <w:rPr>
          <w:i/>
          <w:iCs/>
          <w:color w:val="000000" w:themeColor="text1"/>
          <w:szCs w:val="26"/>
        </w:rPr>
        <w:t>Konop</w:t>
      </w:r>
      <w:proofErr w:type="spellEnd"/>
      <w:r w:rsidRPr="00D039EB">
        <w:rPr>
          <w:color w:val="000000" w:themeColor="text1"/>
          <w:szCs w:val="26"/>
        </w:rPr>
        <w:t>,</w:t>
      </w:r>
      <w:r w:rsidRPr="00D039EB">
        <w:rPr>
          <w:i/>
          <w:iCs/>
          <w:color w:val="000000" w:themeColor="text1"/>
          <w:szCs w:val="26"/>
        </w:rPr>
        <w:t xml:space="preserve"> </w:t>
      </w:r>
      <w:r w:rsidRPr="00D039EB">
        <w:rPr>
          <w:color w:val="000000" w:themeColor="text1"/>
          <w:szCs w:val="26"/>
        </w:rPr>
        <w:t>at p. 874</w:t>
      </w:r>
      <w:r w:rsidRPr="00D039EB">
        <w:rPr>
          <w:i/>
          <w:iCs/>
          <w:szCs w:val="26"/>
          <w:shd w:val="clear" w:color="auto" w:fill="FFFFFF"/>
        </w:rPr>
        <w:t>.</w:t>
      </w:r>
      <w:r w:rsidRPr="00D039EB">
        <w:rPr>
          <w:szCs w:val="26"/>
          <w:shd w:val="clear" w:color="auto" w:fill="FFFFFF"/>
        </w:rPr>
        <w:t>)</w:t>
      </w:r>
      <w:r w:rsidRPr="00D039EB">
        <w:rPr>
          <w:b/>
          <w:position w:val="4"/>
          <w:vertAlign w:val="superscript"/>
        </w:rPr>
        <w:footnoteReference w:id="27"/>
      </w:r>
      <w:r w:rsidRPr="00D039EB">
        <w:t xml:space="preserve"> </w:t>
      </w:r>
      <w:r w:rsidRPr="00D039EB">
        <w:rPr>
          <w:color w:val="3D3D3D"/>
          <w:szCs w:val="26"/>
          <w:shd w:val="clear" w:color="auto" w:fill="FFFFFF"/>
        </w:rPr>
        <w:t xml:space="preserve"> </w:t>
      </w:r>
      <w:bookmarkStart w:id="8" w:name="_Hlk42610304"/>
      <w:r w:rsidRPr="00D039EB">
        <w:rPr>
          <w:szCs w:val="26"/>
          <w:shd w:val="clear" w:color="auto" w:fill="FFFFFF"/>
        </w:rPr>
        <w:t xml:space="preserve">Seven years ago, a federal district court wrote, in evident frustration:  </w:t>
      </w:r>
      <w:r w:rsidRPr="00D039EB">
        <w:rPr>
          <w:rFonts w:cs="Calibri"/>
          <w:szCs w:val="27"/>
        </w:rPr>
        <w:t>“Most courts, including this one, would prefer that Congress update the statute to take into account the invention of the Internet.”  (</w:t>
      </w:r>
      <w:proofErr w:type="spellStart"/>
      <w:r w:rsidRPr="00D039EB">
        <w:rPr>
          <w:rFonts w:cs="Calibri"/>
          <w:i/>
          <w:iCs/>
          <w:szCs w:val="27"/>
        </w:rPr>
        <w:t>Ehling</w:t>
      </w:r>
      <w:proofErr w:type="spellEnd"/>
      <w:r w:rsidRPr="00D039EB">
        <w:rPr>
          <w:rFonts w:cs="Calibri"/>
          <w:i/>
          <w:iCs/>
          <w:szCs w:val="27"/>
        </w:rPr>
        <w:t xml:space="preserve"> v. Monmouth Hosp. Corp.</w:t>
      </w:r>
      <w:r w:rsidRPr="00D039EB">
        <w:rPr>
          <w:rFonts w:cs="Calibri"/>
          <w:szCs w:val="27"/>
        </w:rPr>
        <w:t xml:space="preserve"> (D.N.J. 2013) 961 F.Supp.2d 659, 666, fn. 2.)</w:t>
      </w:r>
    </w:p>
    <w:p w14:paraId="35413D04" w14:textId="77777777" w:rsidR="00D039EB" w:rsidRPr="00D039EB" w:rsidRDefault="00D039EB" w:rsidP="00D039EB">
      <w:pPr>
        <w:tabs>
          <w:tab w:val="left" w:pos="720"/>
          <w:tab w:val="left" w:pos="1440"/>
          <w:tab w:val="left" w:pos="2160"/>
          <w:tab w:val="center" w:pos="4320"/>
        </w:tabs>
        <w:ind w:firstLine="720"/>
      </w:pPr>
      <w:r w:rsidRPr="00D039EB">
        <w:rPr>
          <w:szCs w:val="26"/>
          <w:shd w:val="clear" w:color="auto" w:fill="FFFFFF"/>
        </w:rPr>
        <w:t xml:space="preserve">The scholarly literature is similar.  For example, Professor Orin S. </w:t>
      </w:r>
      <w:r w:rsidRPr="00D039EB">
        <w:t xml:space="preserve">Kerr has observed </w:t>
      </w:r>
      <w:bookmarkEnd w:id="8"/>
      <w:r w:rsidRPr="00D039EB">
        <w:t>that the Act’s ECS/RCS dichotomy “</w:t>
      </w:r>
      <w:proofErr w:type="spellStart"/>
      <w:r w:rsidRPr="00D039EB">
        <w:t>freez</w:t>
      </w:r>
      <w:proofErr w:type="spellEnd"/>
      <w:r w:rsidRPr="00D039EB">
        <w:t xml:space="preserve">[es] into the law the understandings of computer network use as of 1986” — and he has urged Congress to amend the SCA to reflect current technology and conditions.  (Kerr, </w:t>
      </w:r>
      <w:r w:rsidRPr="00D039EB">
        <w:rPr>
          <w:i/>
        </w:rPr>
        <w:t xml:space="preserve">A User’s Guide to the Stored Communications Act, and a Legislator’s Guide to Amending It </w:t>
      </w:r>
      <w:r w:rsidRPr="00D039EB">
        <w:t>(2004)</w:t>
      </w:r>
      <w:r w:rsidRPr="00D039EB">
        <w:rPr>
          <w:i/>
        </w:rPr>
        <w:t xml:space="preserve"> </w:t>
      </w:r>
      <w:r w:rsidRPr="00D039EB">
        <w:t>72 </w:t>
      </w:r>
      <w:proofErr w:type="spellStart"/>
      <w:r w:rsidRPr="00D039EB">
        <w:t>Geo.Wash</w:t>
      </w:r>
      <w:proofErr w:type="spellEnd"/>
      <w:r w:rsidRPr="00D039EB">
        <w:t>. L.J. 1208, 1214 (</w:t>
      </w:r>
      <w:r w:rsidRPr="00D039EB">
        <w:rPr>
          <w:i/>
          <w:iCs/>
        </w:rPr>
        <w:t>A User’s Guide</w:t>
      </w:r>
      <w:r w:rsidRPr="00D039EB">
        <w:t>).)</w:t>
      </w:r>
      <w:r w:rsidRPr="00D039EB">
        <w:rPr>
          <w:b/>
          <w:position w:val="4"/>
          <w:vertAlign w:val="superscript"/>
        </w:rPr>
        <w:footnoteReference w:id="28"/>
      </w:r>
      <w:r w:rsidRPr="00D039EB">
        <w:t xml:space="preserve">  As Kerr has explained, Congress viewed </w:t>
      </w:r>
      <w:r w:rsidRPr="00D039EB">
        <w:lastRenderedPageBreak/>
        <w:t xml:space="preserve">entities that provided ECS as those that afforded phone services and rudimentary e-mail.  </w:t>
      </w:r>
      <w:proofErr w:type="gramStart"/>
      <w:r w:rsidRPr="00D039EB">
        <w:t>With regard to</w:t>
      </w:r>
      <w:proofErr w:type="gramEnd"/>
      <w:r w:rsidRPr="00D039EB">
        <w:t xml:space="preserve"> e-mail, “it was common for computers to copy the messages and store them temporarily pending delivery.  The copies that these providers of ‘electronic communication service’ created and placed in temporary ‘electronic storage’ in the course of transmission, sometimes stayed on a provider’s computer for several months.”  (</w:t>
      </w:r>
      <w:r w:rsidRPr="00D039EB">
        <w:rPr>
          <w:i/>
          <w:iCs/>
        </w:rPr>
        <w:t>A User’s Guide</w:t>
      </w:r>
      <w:r w:rsidRPr="00D039EB">
        <w:t xml:space="preserve">, at p. 1213 [citing legislative history].)  By contrast, as a general matter Congress viewed entities that provided RCS as those that undertook “outsourcing computer tasks” — for example, affording extra storage or data processing, both of which were then difficult if not impossible to accomplish with rudimentary home computers.  And yet, “[r]emote computing services raised privacy concerns because the service providers often retained these copies of their customers’ files for </w:t>
      </w:r>
      <w:proofErr w:type="gramStart"/>
      <w:r w:rsidRPr="00D039EB">
        <w:t>long periods</w:t>
      </w:r>
      <w:proofErr w:type="gramEnd"/>
      <w:r w:rsidRPr="00D039EB">
        <w:t xml:space="preserve"> of time.”  (</w:t>
      </w:r>
      <w:r w:rsidRPr="00D039EB">
        <w:rPr>
          <w:i/>
        </w:rPr>
        <w:t>Id.</w:t>
      </w:r>
      <w:r w:rsidRPr="00D039EB">
        <w:t xml:space="preserve">, at p. 1214 [citing legislative history].)  </w:t>
      </w:r>
    </w:p>
    <w:p w14:paraId="22CE9F97" w14:textId="77777777" w:rsidR="00D039EB" w:rsidRPr="00D039EB" w:rsidRDefault="00D039EB" w:rsidP="00D039EB">
      <w:pPr>
        <w:tabs>
          <w:tab w:val="left" w:pos="720"/>
          <w:tab w:val="left" w:pos="1440"/>
          <w:tab w:val="left" w:pos="2160"/>
          <w:tab w:val="center" w:pos="4320"/>
        </w:tabs>
        <w:ind w:firstLine="720"/>
      </w:pPr>
      <w:r w:rsidRPr="00D039EB">
        <w:t xml:space="preserve">Because Congress has not acted to alter the relevant provisions of the SCA despite the pleas of courts and commentators that it do so, litigants and judges have no option but to apply the Act’s outdated definitions to the evolved and still developing technology and entities of today.  </w:t>
      </w:r>
    </w:p>
    <w:p w14:paraId="6BCD353A" w14:textId="77777777" w:rsidR="00D039EB" w:rsidRPr="00D039EB" w:rsidRDefault="00D039EB" w:rsidP="00D039EB">
      <w:pPr>
        <w:keepNext/>
        <w:tabs>
          <w:tab w:val="left" w:pos="6930"/>
        </w:tabs>
        <w:spacing w:before="140" w:line="240" w:lineRule="atLeast"/>
        <w:ind w:left="900" w:right="1080"/>
        <w:jc w:val="center"/>
        <w:outlineLvl w:val="0"/>
        <w:rPr>
          <w:b/>
          <w:smallCaps/>
        </w:rPr>
      </w:pPr>
      <w:r w:rsidRPr="00D039EB">
        <w:rPr>
          <w:b/>
          <w:smallCaps/>
        </w:rPr>
        <w:lastRenderedPageBreak/>
        <w:t xml:space="preserve">IV.  The Parties’ Contentions Regarding Whether, Under the Act, Facebook Provides ECS, RCS, or Neither </w:t>
      </w:r>
    </w:p>
    <w:p w14:paraId="3A7FD5F3" w14:textId="77777777" w:rsidR="00D039EB" w:rsidRPr="00D039EB" w:rsidRDefault="00D039EB" w:rsidP="00D039EB">
      <w:pPr>
        <w:keepNext/>
        <w:tabs>
          <w:tab w:val="left" w:pos="1152"/>
        </w:tabs>
        <w:spacing w:before="140" w:line="240" w:lineRule="atLeast"/>
        <w:ind w:left="1152" w:hanging="432"/>
        <w:jc w:val="left"/>
        <w:outlineLvl w:val="1"/>
        <w:rPr>
          <w:b/>
        </w:rPr>
      </w:pPr>
      <w:r w:rsidRPr="00D039EB">
        <w:rPr>
          <w:b/>
        </w:rPr>
        <w:t xml:space="preserve">A.  Whether Facebook Provides ECS </w:t>
      </w:r>
    </w:p>
    <w:p w14:paraId="553FAA10" w14:textId="77777777" w:rsidR="00D039EB" w:rsidRPr="00D039EB" w:rsidRDefault="00D039EB" w:rsidP="00D039EB">
      <w:pPr>
        <w:tabs>
          <w:tab w:val="left" w:pos="720"/>
          <w:tab w:val="left" w:pos="1440"/>
          <w:tab w:val="left" w:pos="2160"/>
          <w:tab w:val="center" w:pos="4320"/>
        </w:tabs>
        <w:ind w:firstLine="720"/>
      </w:pPr>
      <w:r w:rsidRPr="00D039EB">
        <w:t xml:space="preserve">Defendant and the district attorney implicitly assert that, even if Facebook does </w:t>
      </w:r>
      <w:proofErr w:type="gramStart"/>
      <w:r w:rsidRPr="00D039EB">
        <w:t xml:space="preserve">to </w:t>
      </w:r>
      <w:r w:rsidRPr="00D039EB">
        <w:rPr>
          <w:i/>
        </w:rPr>
        <w:t xml:space="preserve">some </w:t>
      </w:r>
      <w:r w:rsidRPr="00D039EB">
        <w:t>extent provide</w:t>
      </w:r>
      <w:proofErr w:type="gramEnd"/>
      <w:r w:rsidRPr="00D039EB">
        <w:t xml:space="preserve"> electronic storage that is “temporary [and] intermediate . . . incidental to the electronic transmission thereof” (§ 2510(17)(A)) — or “for purposes of backup protection of [a] communication” (§ 2510(17)(B)) — nevertheless, Facebook still falls outside Congress’s understanding of an entity that provides ECS.  They argue that because (1) Facebook is authorized to mine, analyze, and share with third party advertisers licensed information about its users’ content (and actually does all these things), and (2) Facebook stores users’ communications indefinitely, lets users share the stored data with others, and facilitates</w:t>
      </w:r>
      <w:r w:rsidRPr="00D039EB">
        <w:rPr>
          <w:szCs w:val="26"/>
        </w:rPr>
        <w:t xml:space="preserve"> </w:t>
      </w:r>
      <w:r w:rsidRPr="00D039EB">
        <w:rPr>
          <w:sz w:val="16"/>
          <w:szCs w:val="26"/>
        </w:rPr>
        <w:t>manipulation of the data by the user thereafter</w:t>
      </w:r>
      <w:r w:rsidRPr="00D039EB">
        <w:t xml:space="preserve">, Facebook conducts itself in ways that go far beyond what Congress contemplated in 1986 that any ECS would undertake.  Accordingly, they argue, a court should find that Facebook does not act as an entity that provides ECS with regard to communications such as those sought in this case, and hence is subject to a viable state subpoena.  </w:t>
      </w:r>
    </w:p>
    <w:p w14:paraId="066BF90A" w14:textId="77777777" w:rsidR="00D039EB" w:rsidRPr="00D039EB" w:rsidRDefault="00D039EB" w:rsidP="00D039EB">
      <w:pPr>
        <w:tabs>
          <w:tab w:val="left" w:pos="720"/>
          <w:tab w:val="left" w:pos="1440"/>
          <w:tab w:val="left" w:pos="2160"/>
          <w:tab w:val="center" w:pos="4320"/>
        </w:tabs>
        <w:ind w:firstLine="720"/>
        <w:rPr>
          <w:strike/>
        </w:rPr>
      </w:pPr>
      <w:r w:rsidRPr="00D039EB">
        <w:rPr>
          <w:szCs w:val="26"/>
        </w:rPr>
        <w:t xml:space="preserve">Facebook, for its part, </w:t>
      </w:r>
      <w:r w:rsidRPr="00D039EB">
        <w:t xml:space="preserve">asserts that it qualifies as a provider of ECS because communications such as those sought in this case are either in “temporary or intermediate storage” (§ 2510(17)(A)), or they are housed “for purposes of backup protection” (§ 2510(17)(B)) and thus are barred from disclosure under section 2702(a)(1).  Facebook </w:t>
      </w:r>
      <w:r w:rsidRPr="00D039EB">
        <w:rPr>
          <w:szCs w:val="26"/>
        </w:rPr>
        <w:t xml:space="preserve">insists that whether it “has authority to access [a] communication in connection with the service is . . . irrelevant to whether [the communication] is in electronic storage.”  </w:t>
      </w:r>
    </w:p>
    <w:p w14:paraId="773DA436" w14:textId="77777777" w:rsidR="00D039EB" w:rsidRPr="00D039EB" w:rsidRDefault="00D039EB" w:rsidP="00D039EB">
      <w:pPr>
        <w:ind w:firstLine="720"/>
      </w:pPr>
      <w:r w:rsidRPr="00D039EB">
        <w:lastRenderedPageBreak/>
        <w:t xml:space="preserve">Facebook relies on </w:t>
      </w:r>
      <w:proofErr w:type="gramStart"/>
      <w:r w:rsidRPr="00D039EB">
        <w:t>a number of</w:t>
      </w:r>
      <w:proofErr w:type="gramEnd"/>
      <w:r w:rsidRPr="00D039EB">
        <w:t xml:space="preserve"> decisions finding or stating that it qualifies as a provider of ECS.  (Maj. opn., </w:t>
      </w:r>
      <w:r w:rsidRPr="00D039EB">
        <w:rPr>
          <w:i/>
          <w:iCs/>
        </w:rPr>
        <w:t>ante</w:t>
      </w:r>
      <w:r w:rsidRPr="00D039EB">
        <w:t>, at p. 41, fn. 18.)  But</w:t>
      </w:r>
      <w:r w:rsidRPr="00D039EB">
        <w:rPr>
          <w:szCs w:val="27"/>
        </w:rPr>
        <w:t xml:space="preserve"> as observed in </w:t>
      </w:r>
      <w:r w:rsidRPr="00D039EB">
        <w:rPr>
          <w:i/>
          <w:iCs/>
          <w:szCs w:val="27"/>
        </w:rPr>
        <w:t>In the Matter of the Application of the United States of America for a Search Warrant</w:t>
      </w:r>
      <w:r w:rsidRPr="00D039EB">
        <w:rPr>
          <w:szCs w:val="27"/>
        </w:rPr>
        <w:t xml:space="preserve"> (</w:t>
      </w:r>
      <w:proofErr w:type="spellStart"/>
      <w:r w:rsidRPr="00D039EB">
        <w:t>D.Or</w:t>
      </w:r>
      <w:proofErr w:type="spellEnd"/>
      <w:r w:rsidRPr="00D039EB">
        <w:t xml:space="preserve">. 2009) 665 F.Supp.2d 1210, 1214, </w:t>
      </w:r>
      <w:r w:rsidRPr="00D039EB">
        <w:rPr>
          <w:szCs w:val="27"/>
        </w:rPr>
        <w:t xml:space="preserve">whether </w:t>
      </w:r>
      <w:r w:rsidRPr="00D039EB">
        <w:rPr>
          <w:rFonts w:cs="Calibri"/>
          <w:szCs w:val="27"/>
        </w:rPr>
        <w:t>an</w:t>
      </w:r>
      <w:r w:rsidRPr="00D039EB">
        <w:rPr>
          <w:rFonts w:cs="Calibri"/>
          <w:color w:val="3D3D3D"/>
          <w:szCs w:val="27"/>
        </w:rPr>
        <w:t xml:space="preserve"> </w:t>
      </w:r>
      <w:r w:rsidRPr="00D039EB">
        <w:rPr>
          <w:rFonts w:cs="Calibri"/>
          <w:szCs w:val="27"/>
        </w:rPr>
        <w:t xml:space="preserve">entity provides ECS, or RCS, or neither, is a context-dependent inquiry:  The “distinction serves to define </w:t>
      </w:r>
      <w:r w:rsidRPr="00D039EB">
        <w:rPr>
          <w:rFonts w:cs="Calibri"/>
          <w:i/>
          <w:iCs/>
          <w:szCs w:val="27"/>
        </w:rPr>
        <w:t>the service</w:t>
      </w:r>
      <w:r w:rsidRPr="00D039EB">
        <w:rPr>
          <w:rFonts w:cs="Calibri"/>
          <w:szCs w:val="27"/>
        </w:rPr>
        <w:t xml:space="preserve"> that is being provided at a particular time (or as to a particular piece of electronic communication at a particular time), </w:t>
      </w:r>
      <w:r w:rsidRPr="00D039EB">
        <w:rPr>
          <w:rFonts w:cs="Calibri"/>
          <w:i/>
          <w:iCs/>
          <w:szCs w:val="27"/>
        </w:rPr>
        <w:t>rather than to define the service provider itself</w:t>
      </w:r>
      <w:r w:rsidRPr="00D039EB">
        <w:rPr>
          <w:rFonts w:cs="Calibri"/>
          <w:szCs w:val="27"/>
        </w:rPr>
        <w:t>.”  (Italics added.)</w:t>
      </w:r>
      <w:r w:rsidRPr="00D039EB">
        <w:rPr>
          <w:b/>
          <w:position w:val="4"/>
          <w:vertAlign w:val="superscript"/>
        </w:rPr>
        <w:footnoteReference w:id="29"/>
      </w:r>
      <w:r w:rsidRPr="00D039EB">
        <w:t xml:space="preserve">  </w:t>
      </w:r>
    </w:p>
    <w:p w14:paraId="12D19292" w14:textId="77777777" w:rsidR="00D039EB" w:rsidRPr="00D039EB" w:rsidRDefault="00D039EB" w:rsidP="00D039EB">
      <w:pPr>
        <w:tabs>
          <w:tab w:val="left" w:pos="4590"/>
        </w:tabs>
        <w:ind w:firstLine="720"/>
      </w:pPr>
      <w:r w:rsidRPr="00D039EB">
        <w:t xml:space="preserve">Consistent with this understanding, other federal decisions have held that when an entity analogous to Facebook (in those cases, providers of e-mail and text messages) retains a communication beyond the initial sending and provisional back-up stage, then once that message has been opened/accessed, the entity </w:t>
      </w:r>
      <w:r w:rsidRPr="00D039EB">
        <w:rPr>
          <w:i/>
        </w:rPr>
        <w:t xml:space="preserve">no longer acts as a provider of ECS but rather transforms </w:t>
      </w:r>
      <w:r w:rsidRPr="00D039EB">
        <w:rPr>
          <w:i/>
        </w:rPr>
        <w:lastRenderedPageBreak/>
        <w:t>into a provider of RCS</w:t>
      </w:r>
      <w:r w:rsidRPr="00D039EB">
        <w:t>.</w:t>
      </w:r>
      <w:r w:rsidRPr="00D039EB">
        <w:rPr>
          <w:b/>
          <w:position w:val="4"/>
          <w:vertAlign w:val="superscript"/>
        </w:rPr>
        <w:footnoteReference w:id="30"/>
      </w:r>
      <w:r w:rsidRPr="00D039EB">
        <w:t xml:space="preserve">  Under the reasoning of these cases, the same would seem to apply concerning Facebook — in which event its conduct should be examined under RCS, rather than ECS standards.  At least one court appears to have so held.  (</w:t>
      </w:r>
      <w:r w:rsidRPr="00D039EB">
        <w:rPr>
          <w:i/>
          <w:szCs w:val="26"/>
        </w:rPr>
        <w:t xml:space="preserve">Crispin, supra, </w:t>
      </w:r>
      <w:r w:rsidRPr="00D039EB">
        <w:rPr>
          <w:szCs w:val="26"/>
        </w:rPr>
        <w:t xml:space="preserve">717 F.Supp.2d 965, 987 [regarding </w:t>
      </w:r>
      <w:r w:rsidRPr="00D039EB">
        <w:t xml:space="preserve">private messages that had been opened, Facebook operates </w:t>
      </w:r>
      <w:r w:rsidRPr="00D039EB">
        <w:rPr>
          <w:szCs w:val="26"/>
        </w:rPr>
        <w:t>not as a provider of ECS, but as a provider of RCS].)</w:t>
      </w:r>
      <w:r w:rsidRPr="00D039EB">
        <w:t xml:space="preserve">  </w:t>
      </w:r>
    </w:p>
    <w:p w14:paraId="0CF0B4B2" w14:textId="77777777" w:rsidR="00D039EB" w:rsidRPr="00D039EB" w:rsidRDefault="00D039EB" w:rsidP="00D039EB">
      <w:pPr>
        <w:ind w:firstLine="720"/>
      </w:pPr>
      <w:r w:rsidRPr="00D039EB">
        <w:t xml:space="preserve">Thus, whether Facebook should be found to qualify as a provider of ECS under the SCA appears open to question.  Moreover, assuming that Facebook might qualify initially or provisionally as an entity that provides ECS, it seems that </w:t>
      </w:r>
      <w:r w:rsidRPr="00D039EB">
        <w:rPr>
          <w:szCs w:val="26"/>
        </w:rPr>
        <w:t>Facebook may also be obligated to establish its qualification as an entity that provides RCS with respect to stored communications sought in a viable state subpoena.</w:t>
      </w:r>
    </w:p>
    <w:p w14:paraId="0950D959" w14:textId="77777777" w:rsidR="00D039EB" w:rsidRPr="00D039EB" w:rsidRDefault="00D039EB" w:rsidP="00D039EB">
      <w:pPr>
        <w:keepNext/>
        <w:tabs>
          <w:tab w:val="left" w:pos="1152"/>
        </w:tabs>
        <w:spacing w:before="140" w:line="240" w:lineRule="atLeast"/>
        <w:ind w:left="1152" w:hanging="432"/>
        <w:jc w:val="left"/>
        <w:outlineLvl w:val="1"/>
        <w:rPr>
          <w:b/>
        </w:rPr>
      </w:pPr>
      <w:r w:rsidRPr="00D039EB">
        <w:rPr>
          <w:b/>
        </w:rPr>
        <w:t>B.  Whether Facebook Provides RCS</w:t>
      </w:r>
    </w:p>
    <w:p w14:paraId="7DAEE626" w14:textId="77777777" w:rsidR="00D039EB" w:rsidRPr="00D039EB" w:rsidRDefault="00D039EB" w:rsidP="00D039EB">
      <w:pPr>
        <w:tabs>
          <w:tab w:val="left" w:pos="720"/>
          <w:tab w:val="left" w:pos="1440"/>
          <w:tab w:val="left" w:pos="2160"/>
          <w:tab w:val="center" w:pos="4320"/>
        </w:tabs>
        <w:ind w:firstLine="720"/>
        <w:rPr>
          <w:color w:val="000000" w:themeColor="text1"/>
          <w:szCs w:val="26"/>
          <w:shd w:val="clear" w:color="auto" w:fill="FFFFFF"/>
        </w:rPr>
      </w:pPr>
      <w:r w:rsidRPr="00D039EB">
        <w:t xml:space="preserve">By the language and conditions established in section 2702(a)(2)(B), it appears Congress was aware that, in connection with rendering storage and computer processing services, an </w:t>
      </w:r>
      <w:r w:rsidRPr="00D039EB">
        <w:lastRenderedPageBreak/>
        <w:t xml:space="preserve">entity that provides RCS would be expected to have some authority to access its users’ data and communications for the purpose of affording such storage and computer processing services.  As noted, the section bars a provider of </w:t>
      </w:r>
      <w:r w:rsidRPr="00D039EB">
        <w:rPr>
          <w:color w:val="000000" w:themeColor="text1"/>
          <w:szCs w:val="26"/>
        </w:rPr>
        <w:t xml:space="preserve">RCS from </w:t>
      </w:r>
      <w:r w:rsidRPr="00D039EB">
        <w:rPr>
          <w:color w:val="000000" w:themeColor="text1"/>
          <w:szCs w:val="26"/>
          <w:shd w:val="clear" w:color="auto" w:fill="FFFFFF"/>
        </w:rPr>
        <w:t xml:space="preserve">divulging “the content of any electronic transmission that is carried or maintained on its service </w:t>
      </w:r>
      <w:r w:rsidRPr="00D039EB">
        <w:t xml:space="preserve">— . . . </w:t>
      </w:r>
      <w:r w:rsidRPr="00D039EB">
        <w:rPr>
          <w:color w:val="000000" w:themeColor="text1"/>
          <w:szCs w:val="26"/>
          <w:shd w:val="clear" w:color="auto" w:fill="FFFFFF"/>
        </w:rPr>
        <w:t xml:space="preserve">solely for the purpose of providing storage or computer processing services to [the] subscriber or customer, if the provider is not authorized to access the contents of any such communications for purposes of providing any services other than storage or computer processing.”  (§ </w:t>
      </w:r>
      <w:r w:rsidRPr="00D039EB">
        <w:t xml:space="preserve">2702(a)(2)(B).)  </w:t>
      </w:r>
      <w:r w:rsidRPr="00D039EB">
        <w:rPr>
          <w:color w:val="000000" w:themeColor="text1"/>
          <w:szCs w:val="26"/>
          <w:shd w:val="clear" w:color="auto" w:fill="FFFFFF"/>
        </w:rPr>
        <w:t xml:space="preserve">On the other hand, because the subsection precludes disclosure only if the entity is </w:t>
      </w:r>
      <w:r w:rsidRPr="00D039EB">
        <w:rPr>
          <w:i/>
          <w:iCs/>
          <w:color w:val="000000" w:themeColor="text1"/>
          <w:szCs w:val="26"/>
          <w:shd w:val="clear" w:color="auto" w:fill="FFFFFF"/>
        </w:rPr>
        <w:t>not</w:t>
      </w:r>
      <w:r w:rsidRPr="00D039EB">
        <w:rPr>
          <w:color w:val="000000" w:themeColor="text1"/>
          <w:szCs w:val="26"/>
          <w:shd w:val="clear" w:color="auto" w:fill="FFFFFF"/>
        </w:rPr>
        <w:t xml:space="preserve"> authorized to access its users’ communications for purposes “other than storage or computer processing,” the court in </w:t>
      </w:r>
      <w:r w:rsidRPr="00D039EB">
        <w:rPr>
          <w:i/>
          <w:szCs w:val="26"/>
        </w:rPr>
        <w:t>Juror Number One</w:t>
      </w:r>
      <w:r w:rsidRPr="00D039EB">
        <w:rPr>
          <w:szCs w:val="26"/>
        </w:rPr>
        <w:t xml:space="preserve"> </w:t>
      </w:r>
      <w:r w:rsidRPr="00D039EB">
        <w:rPr>
          <w:i/>
          <w:szCs w:val="26"/>
        </w:rPr>
        <w:t>v. Superior Court</w:t>
      </w:r>
      <w:r w:rsidRPr="00D039EB">
        <w:rPr>
          <w:szCs w:val="26"/>
        </w:rPr>
        <w:t xml:space="preserve"> (2012) 206 Cal.App.4th 854, 862 </w:t>
      </w:r>
      <w:r w:rsidRPr="00D039EB">
        <w:rPr>
          <w:color w:val="000000" w:themeColor="text1"/>
          <w:szCs w:val="26"/>
          <w:shd w:val="clear" w:color="auto" w:fill="FFFFFF"/>
        </w:rPr>
        <w:t xml:space="preserve">reasoned in dictum:  “[I]f the [entity] </w:t>
      </w:r>
      <w:r w:rsidRPr="00D039EB">
        <w:rPr>
          <w:i/>
          <w:color w:val="000000" w:themeColor="text1"/>
          <w:szCs w:val="26"/>
          <w:shd w:val="clear" w:color="auto" w:fill="FFFFFF"/>
        </w:rPr>
        <w:t>is</w:t>
      </w:r>
      <w:r w:rsidRPr="00D039EB">
        <w:rPr>
          <w:color w:val="000000" w:themeColor="text1"/>
          <w:szCs w:val="26"/>
          <w:shd w:val="clear" w:color="auto" w:fill="FFFFFF"/>
        </w:rPr>
        <w:t xml:space="preserve"> authorized to access the customer’s information for other purposes, such as to provide targeted advertising, SCA protection may be lost.”</w:t>
      </w:r>
      <w:r w:rsidRPr="00D039EB">
        <w:t xml:space="preserve">  As observed </w:t>
      </w:r>
      <w:r w:rsidRPr="00D039EB">
        <w:rPr>
          <w:i/>
          <w:iCs/>
        </w:rPr>
        <w:t>ante</w:t>
      </w:r>
      <w:r w:rsidRPr="00D039EB">
        <w:t xml:space="preserve">, footnote 6, commentators have suggested or concluded the same, asserting that when social media users authorize an entity to access their data and communications in order to facilitate targeted advertising, the entity may not, or does not, qualify under the SCA as one that provides RCS — and thus the entity is not barred from disclosing such content.  </w:t>
      </w:r>
    </w:p>
    <w:p w14:paraId="39C03033" w14:textId="77777777" w:rsidR="00D039EB" w:rsidRPr="00D039EB" w:rsidRDefault="00D039EB" w:rsidP="00D039EB">
      <w:pPr>
        <w:tabs>
          <w:tab w:val="left" w:pos="720"/>
          <w:tab w:val="left" w:pos="1440"/>
          <w:tab w:val="left" w:pos="2160"/>
          <w:tab w:val="center" w:pos="4320"/>
        </w:tabs>
        <w:ind w:firstLine="720"/>
        <w:rPr>
          <w:color w:val="000000" w:themeColor="text1"/>
          <w:szCs w:val="26"/>
        </w:rPr>
      </w:pPr>
      <w:r w:rsidRPr="00D039EB">
        <w:t>Consistent with these views, defendant and the district attorney both assert that in light of Facebook’s business model of mining, analyzing, and sharing information about its users’ communications content, Facebook</w:t>
      </w:r>
      <w:r w:rsidRPr="00D039EB">
        <w:rPr>
          <w:iCs/>
        </w:rPr>
        <w:t xml:space="preserve"> cannot qualify </w:t>
      </w:r>
      <w:r w:rsidRPr="00D039EB">
        <w:t xml:space="preserve">under section 2702(a)(2)(B) </w:t>
      </w:r>
      <w:r w:rsidRPr="00D039EB">
        <w:rPr>
          <w:iCs/>
        </w:rPr>
        <w:t>as an entity that provides RCS</w:t>
      </w:r>
      <w:r w:rsidRPr="00D039EB">
        <w:t xml:space="preserve">.  </w:t>
      </w:r>
      <w:r w:rsidRPr="00D039EB">
        <w:rPr>
          <w:color w:val="000000" w:themeColor="text1"/>
          <w:szCs w:val="26"/>
          <w:shd w:val="clear" w:color="auto" w:fill="FFFFFF"/>
        </w:rPr>
        <w:t xml:space="preserve">They argue that </w:t>
      </w:r>
      <w:r w:rsidRPr="00D039EB">
        <w:rPr>
          <w:szCs w:val="26"/>
        </w:rPr>
        <w:t xml:space="preserve">by compelling its users to give it authorization (a broad and transferable worldwide license — see </w:t>
      </w:r>
      <w:r w:rsidRPr="00D039EB">
        <w:rPr>
          <w:i/>
        </w:rPr>
        <w:t>ante</w:t>
      </w:r>
      <w:r w:rsidRPr="00D039EB">
        <w:t xml:space="preserve">, fn. 2) </w:t>
      </w:r>
      <w:r w:rsidRPr="00D039EB">
        <w:rPr>
          <w:szCs w:val="26"/>
        </w:rPr>
        <w:t xml:space="preserve">to utilize </w:t>
      </w:r>
      <w:r w:rsidRPr="00D039EB">
        <w:rPr>
          <w:szCs w:val="26"/>
        </w:rPr>
        <w:lastRenderedPageBreak/>
        <w:t xml:space="preserve">information about its users’ mined and analyzed content for sharing with third party advertisers, Facebook goes substantially beyond the limited authorization that would be necessary for it “solely” to provide “storage and computer processing.”  This, they assert, shows that Facebook </w:t>
      </w:r>
      <w:r w:rsidRPr="00D039EB">
        <w:rPr>
          <w:i/>
          <w:szCs w:val="26"/>
        </w:rPr>
        <w:t>is</w:t>
      </w:r>
      <w:r w:rsidRPr="00D039EB">
        <w:rPr>
          <w:szCs w:val="26"/>
        </w:rPr>
        <w:t xml:space="preserve"> “authorized to access the contents of . . . communications </w:t>
      </w:r>
      <w:r w:rsidRPr="00D039EB">
        <w:rPr>
          <w:i/>
          <w:szCs w:val="26"/>
        </w:rPr>
        <w:t xml:space="preserve">for </w:t>
      </w:r>
      <w:r w:rsidRPr="00D039EB">
        <w:rPr>
          <w:i/>
          <w:color w:val="000000" w:themeColor="text1"/>
          <w:szCs w:val="26"/>
          <w:shd w:val="clear" w:color="auto" w:fill="FFFFFF"/>
        </w:rPr>
        <w:t>purposes of providing</w:t>
      </w:r>
      <w:r w:rsidRPr="00D039EB">
        <w:rPr>
          <w:color w:val="000000" w:themeColor="text1"/>
          <w:szCs w:val="26"/>
          <w:shd w:val="clear" w:color="auto" w:fill="FFFFFF"/>
        </w:rPr>
        <w:t xml:space="preserve"> . . . </w:t>
      </w:r>
      <w:r w:rsidRPr="00D039EB">
        <w:rPr>
          <w:i/>
          <w:color w:val="000000" w:themeColor="text1"/>
          <w:szCs w:val="26"/>
          <w:shd w:val="clear" w:color="auto" w:fill="FFFFFF"/>
        </w:rPr>
        <w:t>services other than</w:t>
      </w:r>
      <w:r w:rsidRPr="00D039EB">
        <w:rPr>
          <w:color w:val="000000" w:themeColor="text1"/>
          <w:szCs w:val="26"/>
          <w:shd w:val="clear" w:color="auto" w:fill="FFFFFF"/>
        </w:rPr>
        <w:t xml:space="preserve"> storage or computer processing” </w:t>
      </w:r>
      <w:r w:rsidRPr="00D039EB">
        <w:t xml:space="preserve">— </w:t>
      </w:r>
      <w:r w:rsidRPr="00D039EB">
        <w:rPr>
          <w:color w:val="000000" w:themeColor="text1"/>
          <w:szCs w:val="26"/>
          <w:shd w:val="clear" w:color="auto" w:fill="FFFFFF"/>
        </w:rPr>
        <w:t xml:space="preserve">and </w:t>
      </w:r>
      <w:r w:rsidRPr="00D039EB">
        <w:rPr>
          <w:szCs w:val="26"/>
        </w:rPr>
        <w:t xml:space="preserve">demonstrates that Facebook is authorized to act </w:t>
      </w:r>
      <w:r w:rsidRPr="00D039EB">
        <w:rPr>
          <w:i/>
          <w:szCs w:val="26"/>
        </w:rPr>
        <w:t xml:space="preserve">in precisely the manner the statute says it must not </w:t>
      </w:r>
      <w:r w:rsidRPr="00D039EB">
        <w:rPr>
          <w:szCs w:val="26"/>
        </w:rPr>
        <w:t xml:space="preserve">if it wishes to qualify as a provider of RCS that is prohibited from disclosing its users’ communications content.  Accordingly, they argue, </w:t>
      </w:r>
      <w:r w:rsidRPr="00D039EB">
        <w:t xml:space="preserve">Facebook cannot qualify as an entity that provides RCS under the Act and thus cannot raise the SCA as a shield against being forced to comply with a viable state subpoena.  </w:t>
      </w:r>
    </w:p>
    <w:p w14:paraId="1D05D9B0" w14:textId="09A1CA62" w:rsidR="00D039EB" w:rsidRPr="00D039EB" w:rsidRDefault="00D039EB" w:rsidP="00D039EB">
      <w:pPr>
        <w:tabs>
          <w:tab w:val="left" w:pos="720"/>
          <w:tab w:val="left" w:pos="1440"/>
          <w:tab w:val="left" w:pos="2160"/>
          <w:tab w:val="center" w:pos="4320"/>
        </w:tabs>
        <w:ind w:firstLine="720"/>
      </w:pPr>
      <w:r w:rsidRPr="00D039EB">
        <w:t>Facebook responds that everything it is authorized to do</w:t>
      </w:r>
      <w:r w:rsidR="00D75CF8">
        <w:t> </w:t>
      </w:r>
      <w:r w:rsidRPr="00D039EB">
        <w:t xml:space="preserve">— including all mining, analyzing, and sharing of its licensed information about its users’ communications — constitutes “computer processing services,” and hence is contemplated by and covered under the Act in section 2702(a)(2)(B).  In other words, Facebook maintains that the phrase “computer processing services” should be broadly construed, and so interpreted, Facebook’s authority to access information is not for a purpose </w:t>
      </w:r>
      <w:r w:rsidRPr="00D039EB">
        <w:rPr>
          <w:i/>
        </w:rPr>
        <w:t>other than</w:t>
      </w:r>
      <w:r w:rsidRPr="00D039EB">
        <w:t xml:space="preserve"> computer processing but instead is </w:t>
      </w:r>
      <w:r w:rsidRPr="00D039EB">
        <w:rPr>
          <w:i/>
        </w:rPr>
        <w:t>for</w:t>
      </w:r>
      <w:r w:rsidRPr="00D039EB">
        <w:t xml:space="preserve"> computer processing.  Although Facebook cites a federal decision and legislative history, along with Professor Kerr’s article, to support its view that “computer processing services” in section 2702(a)(2)(B) should be broadly construed, it seems questionable whether those sources buttress Facebook’s position.  Indeed, they may suggest the opposite — that the term </w:t>
      </w:r>
      <w:r w:rsidRPr="00D039EB">
        <w:lastRenderedPageBreak/>
        <w:t>was intended to have a narrow, rather than broad, interpretation.</w:t>
      </w:r>
      <w:r w:rsidRPr="00D039EB">
        <w:rPr>
          <w:b/>
          <w:position w:val="4"/>
          <w:vertAlign w:val="superscript"/>
        </w:rPr>
        <w:footnoteReference w:id="31"/>
      </w:r>
    </w:p>
    <w:p w14:paraId="047D0185" w14:textId="77777777" w:rsidR="00D039EB" w:rsidRPr="00D039EB" w:rsidRDefault="00D039EB" w:rsidP="00D039EB">
      <w:pPr>
        <w:tabs>
          <w:tab w:val="left" w:pos="720"/>
          <w:tab w:val="left" w:pos="1440"/>
          <w:tab w:val="left" w:pos="2160"/>
          <w:tab w:val="center" w:pos="4320"/>
        </w:tabs>
        <w:ind w:firstLine="720"/>
      </w:pPr>
      <w:r w:rsidRPr="00D039EB">
        <w:t xml:space="preserve">Finally, Facebook insists, “every court to consider” whether Facebook </w:t>
      </w:r>
      <w:r w:rsidRPr="00D039EB">
        <w:rPr>
          <w:i/>
        </w:rPr>
        <w:t>itself</w:t>
      </w:r>
      <w:r w:rsidRPr="00D039EB">
        <w:t xml:space="preserve"> qualifies as an entity that provides RCS (or ECS, or both) has held that it meets at least one if not both tests.  Yet, as the majority opinion observes, it appears that </w:t>
      </w:r>
      <w:r w:rsidRPr="00D039EB">
        <w:rPr>
          <w:i/>
        </w:rPr>
        <w:t>no</w:t>
      </w:r>
      <w:r w:rsidRPr="00D039EB">
        <w:t xml:space="preserve"> court has ever been asked to address, with regard to Facebook itself (or, for that matter, any analogous entity), the specific claim advanced by defendant and the district attorney here:  That by virtue of its business model (under which it mines, analyzes, and shares licensed information about its users’ communications), and because Facebook has motivating purposes beyond facilitating temporary storage during transmission, or backup of its users’ communications, Facebook falls outside Congress’s contemplation of an entity that provides RCS or ECS.  Indeed, as the majority opinion observes, </w:t>
      </w:r>
      <w:r w:rsidRPr="00D039EB">
        <w:rPr>
          <w:i/>
          <w:iCs/>
        </w:rPr>
        <w:t>ante</w:t>
      </w:r>
      <w:r w:rsidRPr="00D039EB">
        <w:t xml:space="preserve"> at page 41 and footnote 18, the issue remains unresolved.</w:t>
      </w:r>
    </w:p>
    <w:p w14:paraId="4AAFF0DB" w14:textId="77777777" w:rsidR="00D039EB" w:rsidRPr="00D039EB" w:rsidRDefault="00D039EB" w:rsidP="00D039EB">
      <w:pPr>
        <w:keepNext/>
        <w:tabs>
          <w:tab w:val="left" w:pos="1152"/>
        </w:tabs>
        <w:spacing w:before="140" w:line="240" w:lineRule="atLeast"/>
        <w:ind w:left="1152" w:hanging="432"/>
        <w:jc w:val="left"/>
        <w:outlineLvl w:val="1"/>
        <w:rPr>
          <w:b/>
        </w:rPr>
      </w:pPr>
      <w:r w:rsidRPr="00D039EB">
        <w:rPr>
          <w:b/>
        </w:rPr>
        <w:lastRenderedPageBreak/>
        <w:t xml:space="preserve">C.  Tentative Assessment of Facebook’s Policy Arguments </w:t>
      </w:r>
    </w:p>
    <w:p w14:paraId="5AB7DB79" w14:textId="77777777" w:rsidR="00D039EB" w:rsidRPr="00D039EB" w:rsidRDefault="00D039EB" w:rsidP="00D039EB">
      <w:pPr>
        <w:tabs>
          <w:tab w:val="left" w:pos="720"/>
          <w:tab w:val="left" w:pos="1440"/>
          <w:tab w:val="left" w:pos="2160"/>
          <w:tab w:val="center" w:pos="4320"/>
        </w:tabs>
        <w:ind w:firstLine="720"/>
      </w:pPr>
      <w:r w:rsidRPr="00D039EB">
        <w:t xml:space="preserve">In addition to contending that the statutory language supports its status as an entity that provides ECS or RCS, Facebook asserts that policy considerations demonstrate it </w:t>
      </w:r>
      <w:r w:rsidRPr="00D039EB">
        <w:rPr>
          <w:i/>
        </w:rPr>
        <w:t>must</w:t>
      </w:r>
      <w:r w:rsidRPr="00D039EB">
        <w:t xml:space="preserve"> be found to so qualify because concluding otherwise would (1) unduly disrupt and impair technological innovation, (2) disappoint users’ settled privacy expectations, and (3) frustrate its ability to protect against malware.  </w:t>
      </w:r>
    </w:p>
    <w:p w14:paraId="5A6B8999" w14:textId="77777777" w:rsidR="00D039EB" w:rsidRPr="00D039EB" w:rsidRDefault="00D039EB" w:rsidP="00D039EB">
      <w:pPr>
        <w:tabs>
          <w:tab w:val="left" w:pos="720"/>
          <w:tab w:val="left" w:pos="1440"/>
          <w:tab w:val="left" w:pos="2160"/>
          <w:tab w:val="center" w:pos="4320"/>
        </w:tabs>
        <w:ind w:firstLine="720"/>
      </w:pPr>
      <w:r w:rsidRPr="00D039EB">
        <w:t xml:space="preserve">The first two contentions certainly should give a court pause before holding that Facebook and similar entities fall outside section 2702(a), and thus are not generally barred by that provision from voluntarily disclosing their users’ communications, including restricted posts and private messages.  Nonetheless, for practical marketplace reasons, it may be doubted that such a holding would </w:t>
      </w:r>
      <w:proofErr w:type="gramStart"/>
      <w:r w:rsidRPr="00D039EB">
        <w:t>likely lead</w:t>
      </w:r>
      <w:proofErr w:type="gramEnd"/>
      <w:r w:rsidRPr="00D039EB">
        <w:t xml:space="preserve"> to such disruptions or voluntary disclosures by most internet entities, absent legal compulsion.</w:t>
      </w:r>
      <w:r w:rsidRPr="00D039EB">
        <w:rPr>
          <w:b/>
          <w:position w:val="4"/>
          <w:vertAlign w:val="superscript"/>
        </w:rPr>
        <w:footnoteReference w:id="32"/>
      </w:r>
      <w:r w:rsidRPr="00D039EB">
        <w:t xml:space="preserve">  </w:t>
      </w:r>
    </w:p>
    <w:p w14:paraId="6A8A87D9" w14:textId="77777777" w:rsidR="00D039EB" w:rsidRPr="00D039EB" w:rsidRDefault="00D039EB" w:rsidP="00D039EB">
      <w:pPr>
        <w:tabs>
          <w:tab w:val="left" w:pos="720"/>
          <w:tab w:val="left" w:pos="1440"/>
          <w:tab w:val="left" w:pos="2160"/>
          <w:tab w:val="center" w:pos="4320"/>
        </w:tabs>
        <w:ind w:firstLine="720"/>
      </w:pPr>
      <w:r w:rsidRPr="00D039EB">
        <w:t xml:space="preserve">Neither does it appear likely that law enforcement actors </w:t>
      </w:r>
      <w:r w:rsidRPr="00D039EB">
        <w:rPr>
          <w:szCs w:val="26"/>
        </w:rPr>
        <w:t xml:space="preserve">would attempt to compel entities to disclose users’ communications with, as Facebook asserts in its briefing, “a </w:t>
      </w:r>
      <w:r w:rsidRPr="00D039EB">
        <w:rPr>
          <w:szCs w:val="26"/>
        </w:rPr>
        <w:lastRenderedPageBreak/>
        <w:t>mere subpoena”; other laws and authority already protect against that.</w:t>
      </w:r>
      <w:r w:rsidRPr="00D039EB">
        <w:rPr>
          <w:b/>
          <w:position w:val="4"/>
          <w:vertAlign w:val="superscript"/>
        </w:rPr>
        <w:footnoteReference w:id="33"/>
      </w:r>
      <w:r w:rsidRPr="00D039EB">
        <w:t xml:space="preserve">  Nor does it seem that a narrower construction of the phrase would leave Facebook and similar entities unable to protect against malware.</w:t>
      </w:r>
      <w:r w:rsidRPr="00D039EB">
        <w:rPr>
          <w:b/>
          <w:position w:val="4"/>
          <w:vertAlign w:val="superscript"/>
        </w:rPr>
        <w:footnoteReference w:id="34"/>
      </w:r>
      <w:r w:rsidRPr="00D039EB">
        <w:t xml:space="preserve">  Finally, as a matter of policy, a holding finding Facebook to lie outside the SCA might have the beneficial effect of spurring long-needed congressional adjustment of the outdated Act, as repeatedly advocated by courts and commentators.  (See </w:t>
      </w:r>
      <w:r w:rsidRPr="00D039EB">
        <w:rPr>
          <w:i/>
          <w:iCs/>
        </w:rPr>
        <w:t>ante</w:t>
      </w:r>
      <w:r w:rsidRPr="00D039EB">
        <w:t xml:space="preserve">, pt. III.)  </w:t>
      </w:r>
    </w:p>
    <w:p w14:paraId="5F8A84CB" w14:textId="77777777" w:rsidR="00D039EB" w:rsidRPr="00D039EB" w:rsidRDefault="00D039EB" w:rsidP="00D039EB">
      <w:pPr>
        <w:keepNext/>
        <w:spacing w:before="140" w:line="240" w:lineRule="atLeast"/>
        <w:jc w:val="center"/>
        <w:outlineLvl w:val="0"/>
        <w:rPr>
          <w:b/>
          <w:smallCaps/>
        </w:rPr>
      </w:pPr>
      <w:r w:rsidRPr="00D039EB">
        <w:rPr>
          <w:b/>
          <w:smallCaps/>
        </w:rPr>
        <w:lastRenderedPageBreak/>
        <w:t xml:space="preserve">V.  Conclusion </w:t>
      </w:r>
    </w:p>
    <w:p w14:paraId="60154E57" w14:textId="77777777" w:rsidR="00D039EB" w:rsidRPr="00D039EB" w:rsidRDefault="00D039EB" w:rsidP="00D039EB">
      <w:pPr>
        <w:tabs>
          <w:tab w:val="left" w:pos="720"/>
          <w:tab w:val="left" w:pos="1440"/>
          <w:tab w:val="left" w:pos="2160"/>
          <w:tab w:val="center" w:pos="4320"/>
        </w:tabs>
        <w:ind w:firstLine="720"/>
      </w:pPr>
      <w:r w:rsidRPr="00D039EB">
        <w:t xml:space="preserve">For reasons outlined above, the business model theory deserves additional and focused attention.  </w:t>
      </w:r>
      <w:r w:rsidRPr="00D039EB">
        <w:rPr>
          <w:szCs w:val="26"/>
        </w:rPr>
        <w:t>P</w:t>
      </w:r>
      <w:r w:rsidRPr="00D039EB">
        <w:t xml:space="preserve">erhaps the issue will arise on remand below, if the trial court again determines — this time after full and open participation by the parties and consideration of the good cause factors discussed in the majority opinion — that the underlying subpoena, as it exists or as it might be revised, is viable.  In any event, the business model issue deserves to be addressed when a similar issue arises in analogous future litigation.  </w:t>
      </w:r>
    </w:p>
    <w:p w14:paraId="2C6B3D58" w14:textId="77777777" w:rsidR="00D039EB" w:rsidRPr="00D039EB" w:rsidRDefault="00D039EB" w:rsidP="00D039EB">
      <w:pPr>
        <w:tabs>
          <w:tab w:val="right" w:pos="8460"/>
        </w:tabs>
        <w:rPr>
          <w:b/>
        </w:rPr>
      </w:pPr>
      <w:r w:rsidRPr="00D039EB">
        <w:tab/>
      </w:r>
      <w:r w:rsidRPr="00D039EB">
        <w:rPr>
          <w:b/>
        </w:rPr>
        <w:t xml:space="preserve">CANTIL-SAKAUYE, C. J. </w:t>
      </w:r>
    </w:p>
    <w:p w14:paraId="291D155D" w14:textId="77777777" w:rsidR="00D039EB" w:rsidRPr="00D039EB" w:rsidRDefault="00D039EB" w:rsidP="00D039EB">
      <w:pPr>
        <w:tabs>
          <w:tab w:val="left" w:pos="720"/>
          <w:tab w:val="left" w:pos="1440"/>
          <w:tab w:val="left" w:pos="2160"/>
          <w:tab w:val="center" w:pos="4320"/>
        </w:tabs>
        <w:rPr>
          <w:szCs w:val="26"/>
        </w:rPr>
      </w:pPr>
    </w:p>
    <w:p w14:paraId="5BC953B2" w14:textId="77777777" w:rsidR="00D039EB" w:rsidRPr="00D039EB" w:rsidRDefault="00D039EB" w:rsidP="00D039EB">
      <w:pPr>
        <w:spacing w:after="0" w:line="240" w:lineRule="auto"/>
        <w:jc w:val="left"/>
        <w:rPr>
          <w:szCs w:val="26"/>
        </w:rPr>
      </w:pPr>
    </w:p>
    <w:p w14:paraId="1DDDED3E" w14:textId="77777777" w:rsidR="00D56DFA" w:rsidRDefault="00D56DFA" w:rsidP="00D74FF0">
      <w:pPr>
        <w:pStyle w:val="Text"/>
        <w:spacing w:after="0" w:line="240" w:lineRule="auto"/>
        <w:ind w:firstLine="0"/>
        <w:rPr>
          <w:color w:val="000000" w:themeColor="text1"/>
          <w:szCs w:val="26"/>
        </w:rPr>
        <w:sectPr w:rsidR="00D56DFA" w:rsidSect="00915A8C">
          <w:headerReference w:type="default" r:id="rId14"/>
          <w:headerReference w:type="first" r:id="rId15"/>
          <w:footerReference w:type="first" r:id="rId16"/>
          <w:footnotePr>
            <w:numRestart w:val="eachSect"/>
          </w:footnotePr>
          <w:pgSz w:w="12240" w:h="15840"/>
          <w:pgMar w:top="1800" w:right="2160" w:bottom="1440" w:left="2160" w:header="720" w:footer="720" w:gutter="0"/>
          <w:pgNumType w:start="1"/>
          <w:cols w:space="720"/>
          <w:titlePg/>
          <w:docGrid w:linePitch="367"/>
        </w:sectPr>
      </w:pPr>
    </w:p>
    <w:p w14:paraId="039FDFFC" w14:textId="77777777" w:rsidR="00FB2A00" w:rsidRPr="00FB2A00" w:rsidRDefault="00FB2A00" w:rsidP="00FB2A00">
      <w:pPr>
        <w:tabs>
          <w:tab w:val="left" w:leader="underscore" w:pos="4680"/>
        </w:tabs>
        <w:spacing w:line="480" w:lineRule="atLeast"/>
        <w:jc w:val="center"/>
        <w:rPr>
          <w:bCs/>
          <w:caps/>
          <w:szCs w:val="27"/>
        </w:rPr>
      </w:pPr>
      <w:r w:rsidRPr="00FB2A00">
        <w:rPr>
          <w:color w:val="000000" w:themeColor="text1"/>
          <w:szCs w:val="27"/>
        </w:rPr>
        <w:lastRenderedPageBreak/>
        <w:t>FACEBOOK, INC. v. SUPERIOR COURT</w:t>
      </w:r>
    </w:p>
    <w:p w14:paraId="27606BF0" w14:textId="77777777" w:rsidR="00FB2A00" w:rsidRPr="00FB2A00" w:rsidRDefault="00FB2A00" w:rsidP="00FB2A00">
      <w:pPr>
        <w:spacing w:line="480" w:lineRule="atLeast"/>
        <w:jc w:val="center"/>
        <w:rPr>
          <w:bCs/>
          <w:caps/>
          <w:szCs w:val="27"/>
        </w:rPr>
      </w:pPr>
      <w:r w:rsidRPr="00FB2A00">
        <w:rPr>
          <w:bCs/>
          <w:caps/>
          <w:szCs w:val="27"/>
        </w:rPr>
        <w:t>S245203</w:t>
      </w:r>
    </w:p>
    <w:p w14:paraId="3919A22A" w14:textId="77777777" w:rsidR="00FB2A00" w:rsidRPr="00FB2A00" w:rsidRDefault="00FB2A00" w:rsidP="00FB2A00">
      <w:pPr>
        <w:spacing w:line="480" w:lineRule="atLeast"/>
        <w:jc w:val="center"/>
        <w:rPr>
          <w:bCs/>
          <w:caps/>
          <w:szCs w:val="27"/>
        </w:rPr>
      </w:pPr>
    </w:p>
    <w:p w14:paraId="276F0624" w14:textId="77777777" w:rsidR="00FB2A00" w:rsidRPr="00FB2A00" w:rsidRDefault="00FB2A00" w:rsidP="00FB2A00">
      <w:pPr>
        <w:spacing w:before="100" w:line="480" w:lineRule="atLeast"/>
        <w:jc w:val="center"/>
        <w:outlineLvl w:val="0"/>
        <w:rPr>
          <w:szCs w:val="27"/>
        </w:rPr>
      </w:pPr>
      <w:r w:rsidRPr="00FB2A00">
        <w:rPr>
          <w:szCs w:val="27"/>
        </w:rPr>
        <w:t>Concurring Opinion by Justice Cuéllar</w:t>
      </w:r>
    </w:p>
    <w:p w14:paraId="694B6798" w14:textId="77777777" w:rsidR="00FB2A00" w:rsidRPr="00FB2A00" w:rsidRDefault="00FB2A00" w:rsidP="00FB2A00">
      <w:pPr>
        <w:spacing w:line="480" w:lineRule="atLeast"/>
        <w:jc w:val="left"/>
        <w:rPr>
          <w:rFonts w:ascii="Times New Roman" w:hAnsi="Times New Roman"/>
          <w:b/>
          <w:sz w:val="26"/>
        </w:rPr>
      </w:pPr>
    </w:p>
    <w:p w14:paraId="0CD22E3B" w14:textId="1F37B4D5" w:rsidR="00FB2A00" w:rsidRPr="00FB2A00" w:rsidRDefault="00FB2A00" w:rsidP="00FB2A00">
      <w:pPr>
        <w:ind w:firstLine="720"/>
        <w:rPr>
          <w:szCs w:val="27"/>
        </w:rPr>
      </w:pPr>
      <w:bookmarkStart w:id="9" w:name="opinion"/>
      <w:bookmarkEnd w:id="9"/>
      <w:r w:rsidRPr="00FB2A00">
        <w:rPr>
          <w:szCs w:val="27"/>
        </w:rPr>
        <w:t xml:space="preserve">Lance Touchstone served a subpoena on Facebook, but the company denies it has any responsibility to honor it because it claims protection under the federal Stored Communications Act (18 U.S.C. § 2701 et seq.; the SCA).  We decline to address the parties’ arguments about this issue because it remains unclear whether </w:t>
      </w:r>
      <w:proofErr w:type="gramStart"/>
      <w:r w:rsidRPr="00FB2A00">
        <w:rPr>
          <w:szCs w:val="27"/>
        </w:rPr>
        <w:t>good cause</w:t>
      </w:r>
      <w:proofErr w:type="gramEnd"/>
      <w:r w:rsidRPr="00FB2A00">
        <w:rPr>
          <w:szCs w:val="27"/>
        </w:rPr>
        <w:t xml:space="preserve"> supports Touchstone’s subpoena.  (Cf.  </w:t>
      </w:r>
      <w:r w:rsidRPr="00FB2A00">
        <w:rPr>
          <w:i/>
          <w:iCs/>
          <w:szCs w:val="27"/>
        </w:rPr>
        <w:t>Loeffler v. Target Corp.</w:t>
      </w:r>
      <w:r w:rsidRPr="00FB2A00">
        <w:rPr>
          <w:szCs w:val="27"/>
        </w:rPr>
        <w:t xml:space="preserve"> (2014) 58 Cal.4th 1081, 1102.)  But as the Chief Justice observes in her own separate opinion, nothing in our majority opinion renders any less important the crucial matter of how broadly to read the SCA </w:t>
      </w:r>
      <w:r w:rsidR="007707E0">
        <w:rPr>
          <w:szCs w:val="27"/>
        </w:rPr>
        <w:t>—</w:t>
      </w:r>
      <w:r w:rsidRPr="00FB2A00">
        <w:rPr>
          <w:szCs w:val="27"/>
        </w:rPr>
        <w:t xml:space="preserve"> and, in particular, whether it protects Facebook and similar entities from the duty to honor valid subpoenas issued by our state courts.  I write to explain why, in the appropriate case, courts ought to take up that very question.  </w:t>
      </w:r>
    </w:p>
    <w:p w14:paraId="76443225" w14:textId="77777777" w:rsidR="00FB2A00" w:rsidRPr="00FB2A00" w:rsidRDefault="00FB2A00" w:rsidP="00FB2A00">
      <w:pPr>
        <w:ind w:firstLine="720"/>
        <w:rPr>
          <w:color w:val="000000" w:themeColor="text1"/>
          <w:szCs w:val="27"/>
        </w:rPr>
      </w:pPr>
      <w:r w:rsidRPr="00FB2A00">
        <w:rPr>
          <w:szCs w:val="27"/>
        </w:rPr>
        <w:t>Congress enacted the SCA in 1986 to create a “fair balance between the privacy expectations of citizens and the legitimate needs of law enforcement.”  (</w:t>
      </w:r>
      <w:proofErr w:type="spellStart"/>
      <w:r w:rsidRPr="00FB2A00">
        <w:rPr>
          <w:szCs w:val="27"/>
        </w:rPr>
        <w:t>H.R.Rep</w:t>
      </w:r>
      <w:proofErr w:type="spellEnd"/>
      <w:r w:rsidRPr="00FB2A00">
        <w:rPr>
          <w:szCs w:val="27"/>
        </w:rPr>
        <w:t xml:space="preserve">. No. 99-647, 2d Sess., p. 19 (1986).)  To this end, the SCA “creates limits on the government’s ability to compel [network service] providers to disclose information in their possession about their customers and subscribers.”  (Kerr, </w:t>
      </w:r>
      <w:r w:rsidRPr="00FB2A00">
        <w:rPr>
          <w:i/>
          <w:szCs w:val="27"/>
        </w:rPr>
        <w:t xml:space="preserve">A User’s Guide to the Stored Communications Act, and a Legislator’s Guide to Amending It </w:t>
      </w:r>
      <w:r w:rsidRPr="00FB2A00">
        <w:rPr>
          <w:szCs w:val="27"/>
        </w:rPr>
        <w:t>(2004)</w:t>
      </w:r>
      <w:r w:rsidRPr="00FB2A00">
        <w:rPr>
          <w:i/>
          <w:szCs w:val="27"/>
        </w:rPr>
        <w:t xml:space="preserve"> </w:t>
      </w:r>
      <w:r w:rsidRPr="00FB2A00">
        <w:rPr>
          <w:szCs w:val="27"/>
        </w:rPr>
        <w:t>72 </w:t>
      </w:r>
      <w:proofErr w:type="spellStart"/>
      <w:r w:rsidRPr="00FB2A00">
        <w:rPr>
          <w:szCs w:val="27"/>
        </w:rPr>
        <w:t>Geo.Wash</w:t>
      </w:r>
      <w:proofErr w:type="spellEnd"/>
      <w:r w:rsidRPr="00FB2A00">
        <w:rPr>
          <w:szCs w:val="27"/>
        </w:rPr>
        <w:t xml:space="preserve">. L.J. 1208, 1212, fn. omitted.)  Yet the SCA does not apply to all providers storing online communications.  </w:t>
      </w:r>
      <w:r w:rsidRPr="00FB2A00">
        <w:rPr>
          <w:szCs w:val="27"/>
        </w:rPr>
        <w:lastRenderedPageBreak/>
        <w:t xml:space="preserve">As the majority opinion explains, the only entities covered are those providing “electronic communication service” or “remote computing service.”  (Maj. opn., </w:t>
      </w:r>
      <w:r w:rsidRPr="00FB2A00">
        <w:rPr>
          <w:i/>
          <w:iCs/>
          <w:szCs w:val="27"/>
        </w:rPr>
        <w:t>ante</w:t>
      </w:r>
      <w:r w:rsidRPr="00FB2A00">
        <w:rPr>
          <w:szCs w:val="27"/>
        </w:rPr>
        <w:t xml:space="preserve">, at p. 40; see also Kerr, at p. 1214 [“The SCA is not a catch-all statute designed to protect the privacy of stored Internet communications”].)  Courts — including our own — have nonetheless assumed that social media entities such as Facebook are regulated by the SCA.  (See, e.g., </w:t>
      </w:r>
      <w:r w:rsidRPr="00FB2A00">
        <w:rPr>
          <w:i/>
          <w:color w:val="000000" w:themeColor="text1"/>
          <w:szCs w:val="27"/>
        </w:rPr>
        <w:t xml:space="preserve">Facebook v. Superior Court (Hunter) </w:t>
      </w:r>
      <w:r w:rsidRPr="00FB2A00">
        <w:rPr>
          <w:color w:val="000000" w:themeColor="text1"/>
          <w:szCs w:val="27"/>
        </w:rPr>
        <w:t xml:space="preserve">(2018) 4 Cal.5th 1245, 1268, fn. omitted [“We see no reason to question [the] threshold determination” that Facebook is “governed by . . . the SCA”].)  </w:t>
      </w:r>
    </w:p>
    <w:p w14:paraId="3144B5CB" w14:textId="77777777" w:rsidR="00FB2A00" w:rsidRPr="00FB2A00" w:rsidRDefault="00FB2A00" w:rsidP="00FB2A00">
      <w:pPr>
        <w:ind w:firstLine="720"/>
        <w:rPr>
          <w:szCs w:val="27"/>
        </w:rPr>
      </w:pPr>
      <w:r w:rsidRPr="00FB2A00">
        <w:rPr>
          <w:color w:val="000000" w:themeColor="text1"/>
          <w:szCs w:val="27"/>
        </w:rPr>
        <w:t xml:space="preserve">Why that assumption deserves to be probed is something this case starkly illustrates.  </w:t>
      </w:r>
      <w:r w:rsidRPr="00FB2A00">
        <w:rPr>
          <w:szCs w:val="27"/>
        </w:rPr>
        <w:t xml:space="preserve">Touchstone and </w:t>
      </w:r>
      <w:r w:rsidRPr="00FB2A00">
        <w:rPr>
          <w:color w:val="000000" w:themeColor="text1"/>
          <w:szCs w:val="27"/>
        </w:rPr>
        <w:t xml:space="preserve">the </w:t>
      </w:r>
      <w:r w:rsidRPr="00FB2A00">
        <w:rPr>
          <w:szCs w:val="27"/>
        </w:rPr>
        <w:t xml:space="preserve">San Diego County District Attorney devote a substantial portion of their briefing to a theory that no court appears to have addressed:  that because Facebook’s terms of service grant Facebook legal rights to users’ communications content, and because Facebook shares users’ data with third parties, the company doesn’t fall within the ambit of the SCA.  For this reason, they argue, Facebook may not rely on the SCA as a shield that protects it from complying with a subpoena seeking users’ communications. </w:t>
      </w:r>
    </w:p>
    <w:p w14:paraId="33FF0C6E" w14:textId="77777777" w:rsidR="00FB2A00" w:rsidRPr="00FB2A00" w:rsidRDefault="00FB2A00" w:rsidP="00FB2A00">
      <w:pPr>
        <w:ind w:firstLine="720"/>
        <w:rPr>
          <w:szCs w:val="27"/>
        </w:rPr>
      </w:pPr>
      <w:r w:rsidRPr="00FB2A00">
        <w:rPr>
          <w:szCs w:val="27"/>
        </w:rPr>
        <w:t xml:space="preserve">  Whether or not these arguments are </w:t>
      </w:r>
      <w:proofErr w:type="gramStart"/>
      <w:r w:rsidRPr="00FB2A00">
        <w:rPr>
          <w:szCs w:val="27"/>
        </w:rPr>
        <w:t>ultimately persuasive</w:t>
      </w:r>
      <w:proofErr w:type="gramEnd"/>
      <w:r w:rsidRPr="00FB2A00">
        <w:rPr>
          <w:szCs w:val="27"/>
        </w:rPr>
        <w:t>, courts should examine them in the appropriate cases.  They should endeavor to discern whether Congress’s purpose in enacting the SCA encompassed protecting communications held by social media companies such as Facebook.  That question is an important one:  Computers, smartphones, and digital media have become ubiquitous in our society, making ever more cases turn on evidence stored by digital platforms.  (See, e.g.,</w:t>
      </w:r>
      <w:r w:rsidRPr="00FB2A00">
        <w:rPr>
          <w:i/>
          <w:iCs/>
          <w:szCs w:val="27"/>
        </w:rPr>
        <w:t xml:space="preserve"> Facebook v. Superior Court (Hunter</w:t>
      </w:r>
      <w:r w:rsidRPr="00FB2A00">
        <w:rPr>
          <w:szCs w:val="27"/>
        </w:rPr>
        <w:t xml:space="preserve">) (2020) 46 Cal.App.5th 109, review granted June 10, </w:t>
      </w:r>
      <w:r w:rsidRPr="00FB2A00">
        <w:rPr>
          <w:szCs w:val="27"/>
        </w:rPr>
        <w:lastRenderedPageBreak/>
        <w:t xml:space="preserve">2020, S260846).)  Facebook acknowledged as much at oral argument, admitting that if it were free from any obligation “not to turn over this information, then we wouldn’t be here” — its “only interest in this case” is in resolving the scope of the SCA and the protections it provides.  </w:t>
      </w:r>
      <w:proofErr w:type="gramStart"/>
      <w:r w:rsidRPr="00FB2A00">
        <w:rPr>
          <w:szCs w:val="27"/>
        </w:rPr>
        <w:t>So</w:t>
      </w:r>
      <w:proofErr w:type="gramEnd"/>
      <w:r w:rsidRPr="00FB2A00">
        <w:rPr>
          <w:szCs w:val="27"/>
        </w:rPr>
        <w:t xml:space="preserve"> the Chief Justice is right to admonish:  Arguments regarding the SCA “deserve[] additional and focused attention” in future litigation.  (Conc. opn. of Cantil-Sakauye, C. J., </w:t>
      </w:r>
      <w:r w:rsidRPr="00FB2A00">
        <w:rPr>
          <w:i/>
          <w:iCs/>
          <w:szCs w:val="27"/>
        </w:rPr>
        <w:t>ante</w:t>
      </w:r>
      <w:r w:rsidRPr="00FB2A00">
        <w:rPr>
          <w:szCs w:val="27"/>
        </w:rPr>
        <w:t xml:space="preserve">, at p. 21.)  Given the SCA’s potentially profound implications on the availability of such digital evidence, I agree.  The companies storing ever-expanding troves of data about our lives would surely benefit from greater clarity about the full extent of their responsibility to honor a valid subpoena.  So would the people of California. </w:t>
      </w:r>
    </w:p>
    <w:p w14:paraId="5A8CB013" w14:textId="77777777" w:rsidR="00FB2A00" w:rsidRPr="00FB2A00" w:rsidRDefault="00FB2A00" w:rsidP="00FB2A00">
      <w:pPr>
        <w:tabs>
          <w:tab w:val="left" w:pos="720"/>
          <w:tab w:val="left" w:pos="1440"/>
          <w:tab w:val="left" w:pos="2160"/>
          <w:tab w:val="center" w:pos="4320"/>
        </w:tabs>
        <w:spacing w:after="0" w:line="480" w:lineRule="atLeast"/>
        <w:ind w:firstLine="720"/>
        <w:jc w:val="left"/>
        <w:outlineLvl w:val="0"/>
        <w:rPr>
          <w:szCs w:val="27"/>
        </w:rPr>
      </w:pPr>
      <w:r w:rsidRPr="00FB2A00">
        <w:rPr>
          <w:szCs w:val="27"/>
        </w:rPr>
        <w:tab/>
      </w:r>
      <w:r w:rsidRPr="00FB2A00">
        <w:rPr>
          <w:szCs w:val="27"/>
        </w:rPr>
        <w:tab/>
      </w:r>
      <w:r w:rsidRPr="00FB2A00">
        <w:rPr>
          <w:szCs w:val="27"/>
        </w:rPr>
        <w:tab/>
      </w:r>
      <w:r w:rsidRPr="00FB2A00">
        <w:rPr>
          <w:szCs w:val="27"/>
        </w:rPr>
        <w:tab/>
      </w:r>
      <w:r w:rsidRPr="00FB2A00">
        <w:rPr>
          <w:szCs w:val="27"/>
        </w:rPr>
        <w:tab/>
      </w:r>
      <w:r w:rsidRPr="00FB2A00">
        <w:rPr>
          <w:b/>
          <w:szCs w:val="27"/>
        </w:rPr>
        <w:t>CUÉLLAR, J.</w:t>
      </w:r>
    </w:p>
    <w:p w14:paraId="624BBA1E" w14:textId="77777777" w:rsidR="00FB2A00" w:rsidRPr="00FB2A00" w:rsidRDefault="00FB2A00" w:rsidP="00FB2A00">
      <w:pPr>
        <w:ind w:firstLine="720"/>
        <w:rPr>
          <w:szCs w:val="27"/>
        </w:rPr>
      </w:pPr>
    </w:p>
    <w:p w14:paraId="0E2FFC59" w14:textId="77777777" w:rsidR="00FB2A00" w:rsidRPr="00FB2A00" w:rsidRDefault="00FB2A00" w:rsidP="00FB2A00">
      <w:pPr>
        <w:ind w:firstLine="720"/>
        <w:rPr>
          <w:szCs w:val="27"/>
        </w:rPr>
      </w:pPr>
    </w:p>
    <w:p w14:paraId="61F0A7F0" w14:textId="77777777" w:rsidR="00FB2A00" w:rsidRPr="00FB2A00" w:rsidRDefault="00FB2A00" w:rsidP="00FB2A00">
      <w:pPr>
        <w:ind w:firstLine="720"/>
        <w:rPr>
          <w:szCs w:val="27"/>
        </w:rPr>
      </w:pPr>
      <w:r w:rsidRPr="00FB2A00">
        <w:rPr>
          <w:szCs w:val="27"/>
        </w:rPr>
        <w:t xml:space="preserve"> </w:t>
      </w:r>
    </w:p>
    <w:p w14:paraId="39AFC2B4" w14:textId="77777777" w:rsidR="004D24E5" w:rsidRDefault="004D24E5" w:rsidP="00D74FF0">
      <w:pPr>
        <w:pStyle w:val="Text"/>
        <w:spacing w:after="0" w:line="240" w:lineRule="auto"/>
        <w:ind w:firstLine="0"/>
        <w:rPr>
          <w:color w:val="000000" w:themeColor="text1"/>
          <w:szCs w:val="26"/>
        </w:rPr>
        <w:sectPr w:rsidR="004D24E5" w:rsidSect="00915A8C">
          <w:headerReference w:type="default" r:id="rId17"/>
          <w:headerReference w:type="first" r:id="rId18"/>
          <w:footerReference w:type="first" r:id="rId19"/>
          <w:footnotePr>
            <w:numRestart w:val="eachSect"/>
          </w:footnotePr>
          <w:pgSz w:w="12240" w:h="15840"/>
          <w:pgMar w:top="1800" w:right="2160" w:bottom="1440" w:left="2160" w:header="720" w:footer="720" w:gutter="0"/>
          <w:pgNumType w:start="1"/>
          <w:cols w:space="720"/>
          <w:titlePg/>
          <w:docGrid w:linePitch="367"/>
        </w:sectPr>
      </w:pPr>
    </w:p>
    <w:p w14:paraId="0FA0245B" w14:textId="77777777" w:rsidR="004D24E5" w:rsidRPr="004D24E5" w:rsidRDefault="004D24E5" w:rsidP="004D24E5">
      <w:pPr>
        <w:spacing w:after="0" w:line="240" w:lineRule="auto"/>
        <w:jc w:val="left"/>
        <w:rPr>
          <w:rFonts w:ascii="Times New Roman" w:hAnsi="Times New Roman"/>
          <w:i/>
          <w:sz w:val="20"/>
        </w:rPr>
      </w:pPr>
      <w:r w:rsidRPr="004D24E5">
        <w:rPr>
          <w:rFonts w:ascii="Times New Roman" w:hAnsi="Times New Roman"/>
          <w:i/>
          <w:sz w:val="20"/>
        </w:rPr>
        <w:lastRenderedPageBreak/>
        <w:t>See next page for addresses and telephone numbers for counsel who argued in Supreme Court.</w:t>
      </w:r>
    </w:p>
    <w:p w14:paraId="0D9F7720" w14:textId="77777777" w:rsidR="004D24E5" w:rsidRPr="004D24E5" w:rsidRDefault="004D24E5" w:rsidP="004D24E5">
      <w:pPr>
        <w:spacing w:after="0" w:line="240" w:lineRule="auto"/>
        <w:jc w:val="left"/>
        <w:rPr>
          <w:rFonts w:ascii="Times New Roman" w:hAnsi="Times New Roman"/>
          <w:i/>
          <w:sz w:val="20"/>
        </w:rPr>
      </w:pPr>
    </w:p>
    <w:p w14:paraId="39A9C5B7"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 xml:space="preserve">Name of Opinion  </w:t>
      </w:r>
      <w:r w:rsidRPr="004D24E5">
        <w:rPr>
          <w:rFonts w:ascii="Times New Roman" w:hAnsi="Times New Roman"/>
          <w:bCs/>
          <w:sz w:val="20"/>
        </w:rPr>
        <w:t>Facebook, Inc. v. Superior Court</w:t>
      </w:r>
      <w:r w:rsidRPr="004D24E5">
        <w:rPr>
          <w:rFonts w:ascii="Times New Roman" w:hAnsi="Times New Roman"/>
          <w:b/>
          <w:sz w:val="20"/>
        </w:rPr>
        <w:t xml:space="preserve"> </w:t>
      </w:r>
      <w:r w:rsidRPr="004D24E5">
        <w:rPr>
          <w:rFonts w:ascii="Times New Roman" w:hAnsi="Times New Roman"/>
          <w:bCs/>
          <w:sz w:val="20"/>
        </w:rPr>
        <w:t xml:space="preserve"> </w:t>
      </w:r>
      <w:r w:rsidRPr="004D24E5">
        <w:rPr>
          <w:rFonts w:ascii="Times New Roman" w:hAnsi="Times New Roman"/>
          <w:sz w:val="20"/>
        </w:rPr>
        <w:t xml:space="preserve"> </w:t>
      </w:r>
      <w:r w:rsidRPr="004D24E5">
        <w:rPr>
          <w:rFonts w:ascii="Times New Roman" w:hAnsi="Times New Roman"/>
          <w:b/>
          <w:sz w:val="20"/>
        </w:rPr>
        <w:t>__________________________________________________________________________________</w:t>
      </w:r>
    </w:p>
    <w:p w14:paraId="4112D512" w14:textId="77777777" w:rsidR="004D24E5" w:rsidRPr="004D24E5" w:rsidRDefault="004D24E5" w:rsidP="004D24E5">
      <w:pPr>
        <w:spacing w:after="0" w:line="240" w:lineRule="auto"/>
        <w:jc w:val="left"/>
        <w:rPr>
          <w:rFonts w:ascii="Times New Roman" w:hAnsi="Times New Roman"/>
          <w:b/>
          <w:sz w:val="20"/>
        </w:rPr>
      </w:pPr>
    </w:p>
    <w:p w14:paraId="0A84FA58"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Unpublished Opinion</w:t>
      </w:r>
    </w:p>
    <w:p w14:paraId="2A84BD8A"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b/>
          <w:sz w:val="20"/>
        </w:rPr>
        <w:t>Original Appeal</w:t>
      </w:r>
    </w:p>
    <w:p w14:paraId="41681A1E"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 xml:space="preserve">Original Proceeding </w:t>
      </w:r>
    </w:p>
    <w:p w14:paraId="51BED993"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Review Granted </w:t>
      </w:r>
      <w:r w:rsidRPr="004D24E5">
        <w:rPr>
          <w:rFonts w:ascii="Times New Roman" w:hAnsi="Times New Roman"/>
          <w:bCs/>
          <w:sz w:val="20"/>
        </w:rPr>
        <w:t xml:space="preserve">XX 15 Cal.App.5th 729  </w:t>
      </w:r>
    </w:p>
    <w:p w14:paraId="21ADACBA"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Rehearing Granted</w:t>
      </w:r>
    </w:p>
    <w:p w14:paraId="1EC82A9F" w14:textId="77777777" w:rsidR="004D24E5" w:rsidRPr="004D24E5" w:rsidRDefault="004D24E5" w:rsidP="004D24E5">
      <w:pPr>
        <w:spacing w:after="0" w:line="240" w:lineRule="auto"/>
        <w:jc w:val="left"/>
        <w:rPr>
          <w:rFonts w:ascii="Times New Roman" w:hAnsi="Times New Roman"/>
          <w:b/>
          <w:sz w:val="20"/>
        </w:rPr>
      </w:pPr>
    </w:p>
    <w:p w14:paraId="0017E172"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14:paraId="2F307110" w14:textId="77777777" w:rsidR="004D24E5" w:rsidRPr="004D24E5" w:rsidRDefault="004D24E5" w:rsidP="004D24E5">
      <w:pPr>
        <w:spacing w:after="0" w:line="240" w:lineRule="auto"/>
        <w:jc w:val="left"/>
        <w:rPr>
          <w:rFonts w:ascii="Times New Roman" w:hAnsi="Times New Roman"/>
          <w:b/>
          <w:sz w:val="20"/>
        </w:rPr>
      </w:pPr>
    </w:p>
    <w:p w14:paraId="706E3174"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Opinion No.</w:t>
      </w:r>
      <w:r w:rsidRPr="004D24E5">
        <w:rPr>
          <w:rFonts w:ascii="Times New Roman" w:hAnsi="Times New Roman"/>
          <w:sz w:val="20"/>
        </w:rPr>
        <w:t xml:space="preserve"> </w:t>
      </w:r>
      <w:bookmarkStart w:id="10" w:name="_Hlk46300572"/>
      <w:r w:rsidRPr="004D24E5">
        <w:rPr>
          <w:rFonts w:ascii="Times New Roman" w:hAnsi="Times New Roman"/>
          <w:sz w:val="20"/>
        </w:rPr>
        <w:t>S245203</w:t>
      </w:r>
      <w:bookmarkEnd w:id="10"/>
      <w:r w:rsidRPr="004D24E5">
        <w:rPr>
          <w:rFonts w:ascii="Times New Roman" w:hAnsi="Times New Roman"/>
          <w:sz w:val="20"/>
        </w:rPr>
        <w:t xml:space="preserve"> </w:t>
      </w:r>
    </w:p>
    <w:p w14:paraId="4E6C10EC"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Date Filed:  </w:t>
      </w:r>
      <w:r w:rsidRPr="004D24E5">
        <w:rPr>
          <w:rFonts w:ascii="Times New Roman" w:hAnsi="Times New Roman"/>
          <w:bCs/>
          <w:sz w:val="20"/>
        </w:rPr>
        <w:t>August 13, 2020</w:t>
      </w:r>
      <w:r w:rsidRPr="004D24E5">
        <w:rPr>
          <w:rFonts w:ascii="Times New Roman" w:hAnsi="Times New Roman"/>
          <w:sz w:val="20"/>
        </w:rPr>
        <w:t xml:space="preserve"> </w:t>
      </w:r>
    </w:p>
    <w:p w14:paraId="22D20939"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14:paraId="6EB8A13A" w14:textId="77777777" w:rsidR="004D24E5" w:rsidRPr="004D24E5" w:rsidRDefault="004D24E5" w:rsidP="004D24E5">
      <w:pPr>
        <w:spacing w:after="0" w:line="240" w:lineRule="auto"/>
        <w:jc w:val="left"/>
        <w:rPr>
          <w:rFonts w:ascii="Times New Roman" w:hAnsi="Times New Roman"/>
          <w:b/>
          <w:sz w:val="20"/>
        </w:rPr>
      </w:pPr>
    </w:p>
    <w:p w14:paraId="3C0E1FE3"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Court:  </w:t>
      </w:r>
      <w:r w:rsidRPr="004D24E5">
        <w:rPr>
          <w:rFonts w:ascii="Times New Roman" w:hAnsi="Times New Roman"/>
          <w:bCs/>
          <w:sz w:val="20"/>
        </w:rPr>
        <w:t>Superior</w:t>
      </w:r>
      <w:r w:rsidRPr="004D24E5">
        <w:rPr>
          <w:rFonts w:ascii="Times New Roman" w:hAnsi="Times New Roman"/>
          <w:b/>
          <w:sz w:val="20"/>
        </w:rPr>
        <w:t xml:space="preserve">   </w:t>
      </w:r>
    </w:p>
    <w:p w14:paraId="04EA1E03" w14:textId="77777777" w:rsidR="004D24E5" w:rsidRPr="004D24E5" w:rsidRDefault="004D24E5" w:rsidP="004D24E5">
      <w:pPr>
        <w:spacing w:after="0" w:line="240" w:lineRule="auto"/>
        <w:jc w:val="left"/>
        <w:rPr>
          <w:rFonts w:ascii="Times New Roman" w:hAnsi="Times New Roman"/>
          <w:bCs/>
          <w:sz w:val="20"/>
        </w:rPr>
      </w:pPr>
      <w:r w:rsidRPr="004D24E5">
        <w:rPr>
          <w:rFonts w:ascii="Times New Roman" w:hAnsi="Times New Roman"/>
          <w:b/>
          <w:sz w:val="20"/>
        </w:rPr>
        <w:t xml:space="preserve">County:  </w:t>
      </w:r>
      <w:r w:rsidRPr="004D24E5">
        <w:rPr>
          <w:rFonts w:ascii="Times New Roman" w:hAnsi="Times New Roman"/>
          <w:bCs/>
          <w:sz w:val="20"/>
        </w:rPr>
        <w:t>San Diego</w:t>
      </w:r>
      <w:r w:rsidRPr="004D24E5">
        <w:rPr>
          <w:rFonts w:ascii="Times New Roman" w:hAnsi="Times New Roman"/>
          <w:b/>
          <w:sz w:val="20"/>
        </w:rPr>
        <w:t xml:space="preserve">  </w:t>
      </w:r>
      <w:r w:rsidRPr="004D24E5">
        <w:rPr>
          <w:rFonts w:ascii="Times New Roman" w:hAnsi="Times New Roman"/>
          <w:bCs/>
          <w:sz w:val="20"/>
        </w:rPr>
        <w:t xml:space="preserve"> </w:t>
      </w:r>
    </w:p>
    <w:p w14:paraId="248E04B3" w14:textId="77777777" w:rsidR="004D24E5" w:rsidRPr="004D24E5" w:rsidRDefault="004D24E5" w:rsidP="004D24E5">
      <w:pPr>
        <w:spacing w:after="0" w:line="240" w:lineRule="auto"/>
        <w:ind w:left="720" w:hanging="720"/>
        <w:jc w:val="left"/>
        <w:rPr>
          <w:rFonts w:ascii="Times New Roman" w:hAnsi="Times New Roman"/>
          <w:bCs/>
          <w:sz w:val="20"/>
        </w:rPr>
      </w:pPr>
      <w:r w:rsidRPr="004D24E5">
        <w:rPr>
          <w:rFonts w:ascii="Times New Roman" w:hAnsi="Times New Roman"/>
          <w:b/>
          <w:sz w:val="20"/>
        </w:rPr>
        <w:t xml:space="preserve">Judge:  </w:t>
      </w:r>
      <w:r w:rsidRPr="004D24E5">
        <w:rPr>
          <w:rFonts w:ascii="Times New Roman" w:hAnsi="Times New Roman"/>
          <w:bCs/>
          <w:sz w:val="20"/>
        </w:rPr>
        <w:t>Kenneth Kai-Young So</w:t>
      </w:r>
    </w:p>
    <w:p w14:paraId="775715EC" w14:textId="77777777" w:rsidR="004D24E5" w:rsidRPr="004D24E5" w:rsidRDefault="004D24E5" w:rsidP="004D24E5">
      <w:pPr>
        <w:spacing w:after="0" w:line="240" w:lineRule="auto"/>
        <w:jc w:val="left"/>
        <w:rPr>
          <w:rFonts w:ascii="Times New Roman" w:hAnsi="Times New Roman"/>
          <w:b/>
          <w:sz w:val="20"/>
        </w:rPr>
      </w:pPr>
    </w:p>
    <w:p w14:paraId="62F10933"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__________________________________________________________________________________</w:t>
      </w:r>
    </w:p>
    <w:p w14:paraId="53FADD24" w14:textId="77777777" w:rsidR="004D24E5" w:rsidRPr="004D24E5" w:rsidRDefault="004D24E5" w:rsidP="004D24E5">
      <w:pPr>
        <w:spacing w:after="0" w:line="240" w:lineRule="auto"/>
        <w:jc w:val="left"/>
        <w:rPr>
          <w:rFonts w:ascii="Times New Roman" w:hAnsi="Times New Roman"/>
          <w:b/>
          <w:sz w:val="20"/>
        </w:rPr>
      </w:pPr>
    </w:p>
    <w:p w14:paraId="5A029255"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Counsel:</w:t>
      </w:r>
    </w:p>
    <w:p w14:paraId="2FB4A211" w14:textId="77777777" w:rsidR="004D24E5" w:rsidRPr="004D24E5" w:rsidRDefault="004D24E5" w:rsidP="004D24E5">
      <w:pPr>
        <w:spacing w:after="0" w:line="240" w:lineRule="auto"/>
        <w:jc w:val="left"/>
        <w:rPr>
          <w:rFonts w:ascii="Times New Roman" w:hAnsi="Times New Roman"/>
          <w:b/>
          <w:sz w:val="20"/>
        </w:rPr>
      </w:pPr>
    </w:p>
    <w:p w14:paraId="3FBA4230"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bookmarkStart w:id="11" w:name="PAGE_3103"/>
      <w:bookmarkEnd w:id="11"/>
      <w:r w:rsidRPr="004D24E5">
        <w:rPr>
          <w:rFonts w:ascii="Times New Roman" w:hAnsi="Times New Roman"/>
          <w:color w:val="373739"/>
          <w:sz w:val="20"/>
          <w:shd w:val="clear" w:color="auto" w:fill="FFFFFF"/>
        </w:rPr>
        <w:t xml:space="preserve">Perkins </w:t>
      </w:r>
      <w:proofErr w:type="spellStart"/>
      <w:r w:rsidRPr="004D24E5">
        <w:rPr>
          <w:rFonts w:ascii="Times New Roman" w:hAnsi="Times New Roman"/>
          <w:color w:val="373739"/>
          <w:sz w:val="20"/>
          <w:shd w:val="clear" w:color="auto" w:fill="FFFFFF"/>
        </w:rPr>
        <w:t>Coie</w:t>
      </w:r>
      <w:proofErr w:type="spellEnd"/>
      <w:r w:rsidRPr="004D24E5">
        <w:rPr>
          <w:rFonts w:ascii="Times New Roman" w:hAnsi="Times New Roman"/>
          <w:color w:val="373739"/>
          <w:sz w:val="20"/>
          <w:shd w:val="clear" w:color="auto" w:fill="FFFFFF"/>
        </w:rPr>
        <w:t xml:space="preserve">, </w:t>
      </w:r>
      <w:r w:rsidRPr="004D24E5">
        <w:rPr>
          <w:rFonts w:ascii="Times New Roman" w:hAnsi="Times New Roman"/>
          <w:sz w:val="20"/>
          <w:bdr w:val="none" w:sz="0" w:space="0" w:color="auto" w:frame="1"/>
        </w:rPr>
        <w:t>James G. Snell, Christian Lee</w:t>
      </w:r>
      <w:r w:rsidRPr="004D24E5">
        <w:rPr>
          <w:rFonts w:ascii="Times New Roman" w:hAnsi="Times New Roman"/>
          <w:color w:val="373739"/>
          <w:sz w:val="20"/>
          <w:shd w:val="clear" w:color="auto" w:fill="FFFFFF"/>
        </w:rPr>
        <w:t xml:space="preserve">; Gibson, Dunn &amp; Crutcher, Joshua S. </w:t>
      </w:r>
      <w:proofErr w:type="spellStart"/>
      <w:r w:rsidRPr="004D24E5">
        <w:rPr>
          <w:rFonts w:ascii="Times New Roman" w:hAnsi="Times New Roman"/>
          <w:color w:val="373739"/>
          <w:sz w:val="20"/>
          <w:shd w:val="clear" w:color="auto" w:fill="FFFFFF"/>
        </w:rPr>
        <w:t>Lipshutz</w:t>
      </w:r>
      <w:proofErr w:type="spellEnd"/>
      <w:r w:rsidRPr="004D24E5">
        <w:rPr>
          <w:rFonts w:ascii="Times New Roman" w:hAnsi="Times New Roman"/>
          <w:color w:val="373739"/>
          <w:sz w:val="20"/>
          <w:shd w:val="clear" w:color="auto" w:fill="FFFFFF"/>
        </w:rPr>
        <w:t xml:space="preserve"> and Michael J. </w:t>
      </w:r>
      <w:proofErr w:type="spellStart"/>
      <w:r w:rsidRPr="004D24E5">
        <w:rPr>
          <w:rFonts w:ascii="Times New Roman" w:hAnsi="Times New Roman"/>
          <w:color w:val="373739"/>
          <w:sz w:val="20"/>
          <w:shd w:val="clear" w:color="auto" w:fill="FFFFFF"/>
        </w:rPr>
        <w:t>Holecek</w:t>
      </w:r>
      <w:proofErr w:type="spellEnd"/>
      <w:r w:rsidRPr="004D24E5">
        <w:rPr>
          <w:rFonts w:ascii="Times New Roman" w:hAnsi="Times New Roman"/>
          <w:color w:val="373739"/>
          <w:sz w:val="20"/>
          <w:shd w:val="clear" w:color="auto" w:fill="FFFFFF"/>
        </w:rPr>
        <w:t xml:space="preserve"> for Petitioner.</w:t>
      </w:r>
    </w:p>
    <w:p w14:paraId="678A075F"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3549C2D8" w14:textId="77777777" w:rsidR="004D24E5" w:rsidRPr="004D24E5" w:rsidRDefault="004D24E5" w:rsidP="004D24E5">
      <w:pPr>
        <w:spacing w:after="0" w:line="240" w:lineRule="auto"/>
        <w:jc w:val="left"/>
        <w:rPr>
          <w:rFonts w:ascii="Times New Roman" w:hAnsi="Times New Roman"/>
          <w:sz w:val="20"/>
          <w:shd w:val="clear" w:color="auto" w:fill="FFFFFF"/>
        </w:rPr>
      </w:pPr>
      <w:r w:rsidRPr="004D24E5">
        <w:rPr>
          <w:rFonts w:ascii="Times New Roman" w:hAnsi="Times New Roman"/>
          <w:color w:val="373739"/>
          <w:sz w:val="20"/>
          <w:shd w:val="clear" w:color="auto" w:fill="FFFFFF"/>
        </w:rPr>
        <w:t>Horvitz &amp; Levy, Jeremy B. Rosen, Stanley H. Chen and Eric S. Boorstin for Google Inc., Oath Inc., Twitter, Inc.,</w:t>
      </w:r>
      <w:r w:rsidRPr="004D24E5">
        <w:rPr>
          <w:rFonts w:ascii="Times New Roman" w:hAnsi="Times New Roman"/>
          <w:color w:val="00B050"/>
          <w:sz w:val="20"/>
          <w:shd w:val="clear" w:color="auto" w:fill="FFFFFF"/>
        </w:rPr>
        <w:t xml:space="preserve"> </w:t>
      </w:r>
      <w:r w:rsidRPr="004D24E5">
        <w:rPr>
          <w:rFonts w:ascii="Times New Roman" w:hAnsi="Times New Roman"/>
          <w:color w:val="000000"/>
          <w:sz w:val="20"/>
          <w:shd w:val="clear" w:color="auto" w:fill="FFFFFF"/>
        </w:rPr>
        <w:t>and</w:t>
      </w:r>
      <w:r w:rsidRPr="004D24E5">
        <w:rPr>
          <w:rFonts w:ascii="Times New Roman" w:hAnsi="Times New Roman"/>
          <w:color w:val="00B050"/>
          <w:sz w:val="20"/>
          <w:shd w:val="clear" w:color="auto" w:fill="FFFFFF"/>
        </w:rPr>
        <w:t xml:space="preserve"> </w:t>
      </w:r>
      <w:r w:rsidRPr="004D24E5">
        <w:rPr>
          <w:rFonts w:ascii="Times New Roman" w:hAnsi="Times New Roman"/>
          <w:color w:val="373739"/>
          <w:sz w:val="20"/>
          <w:shd w:val="clear" w:color="auto" w:fill="FFFFFF"/>
        </w:rPr>
        <w:t>California Chamber of Commerce as Amici Curiae on behalf of Petitioner.</w:t>
      </w:r>
      <w:r w:rsidRPr="004D24E5">
        <w:rPr>
          <w:rFonts w:ascii="Times New Roman" w:hAnsi="Times New Roman"/>
          <w:color w:val="373739"/>
          <w:sz w:val="20"/>
        </w:rPr>
        <w:br/>
      </w:r>
      <w:r w:rsidRPr="004D24E5">
        <w:rPr>
          <w:rFonts w:ascii="Times New Roman" w:hAnsi="Times New Roman"/>
          <w:color w:val="373739"/>
          <w:sz w:val="20"/>
        </w:rPr>
        <w:br/>
      </w:r>
      <w:r w:rsidRPr="004D24E5">
        <w:rPr>
          <w:rFonts w:ascii="Times New Roman" w:hAnsi="Times New Roman"/>
          <w:color w:val="373739"/>
          <w:sz w:val="20"/>
          <w:shd w:val="clear" w:color="auto" w:fill="FFFFFF"/>
        </w:rPr>
        <w:t>No appearance for Respondent.</w:t>
      </w:r>
      <w:r w:rsidRPr="004D24E5">
        <w:rPr>
          <w:rFonts w:ascii="Times New Roman" w:hAnsi="Times New Roman"/>
          <w:color w:val="373739"/>
          <w:sz w:val="20"/>
        </w:rPr>
        <w:br/>
      </w:r>
      <w:r w:rsidRPr="004D24E5">
        <w:rPr>
          <w:rFonts w:ascii="Times New Roman" w:hAnsi="Times New Roman"/>
          <w:color w:val="373739"/>
          <w:sz w:val="20"/>
        </w:rPr>
        <w:br/>
      </w:r>
      <w:bookmarkStart w:id="12" w:name="_Hlk46299173"/>
      <w:bookmarkStart w:id="13" w:name="_Hlk46916057"/>
      <w:r w:rsidRPr="004D24E5">
        <w:rPr>
          <w:rFonts w:ascii="Times New Roman" w:hAnsi="Times New Roman"/>
          <w:sz w:val="20"/>
          <w:bdr w:val="none" w:sz="0" w:space="0" w:color="auto" w:frame="1"/>
        </w:rPr>
        <w:t>Megan Marcotte</w:t>
      </w:r>
      <w:r w:rsidRPr="004D24E5">
        <w:rPr>
          <w:rFonts w:ascii="Times New Roman" w:hAnsi="Times New Roman"/>
          <w:sz w:val="20"/>
          <w:shd w:val="clear" w:color="auto" w:fill="FFFFFF"/>
        </w:rPr>
        <w:t xml:space="preserve">, Chief Deputy Alternate Public Defender, and </w:t>
      </w:r>
      <w:r w:rsidRPr="004D24E5">
        <w:rPr>
          <w:rFonts w:ascii="Times New Roman" w:hAnsi="Times New Roman"/>
          <w:sz w:val="20"/>
          <w:bdr w:val="none" w:sz="0" w:space="0" w:color="auto" w:frame="1"/>
        </w:rPr>
        <w:t xml:space="preserve">Katherine I. </w:t>
      </w:r>
      <w:proofErr w:type="spellStart"/>
      <w:r w:rsidRPr="004D24E5">
        <w:rPr>
          <w:rFonts w:ascii="Times New Roman" w:hAnsi="Times New Roman"/>
          <w:sz w:val="20"/>
          <w:bdr w:val="none" w:sz="0" w:space="0" w:color="auto" w:frame="1"/>
        </w:rPr>
        <w:t>Tesch</w:t>
      </w:r>
      <w:proofErr w:type="spellEnd"/>
      <w:r w:rsidRPr="004D24E5">
        <w:rPr>
          <w:rFonts w:ascii="Times New Roman" w:hAnsi="Times New Roman"/>
          <w:sz w:val="20"/>
          <w:shd w:val="clear" w:color="auto" w:fill="FFFFFF"/>
        </w:rPr>
        <w:t xml:space="preserve">, Deputy Alternate Public Defender, for Real Party in Interest.  </w:t>
      </w:r>
      <w:bookmarkEnd w:id="12"/>
      <w:r w:rsidRPr="004D24E5">
        <w:rPr>
          <w:rFonts w:ascii="Times New Roman" w:hAnsi="Times New Roman"/>
          <w:sz w:val="20"/>
          <w:shd w:val="clear" w:color="auto" w:fill="FFFFFF"/>
        </w:rPr>
        <w:t xml:space="preserve"> </w:t>
      </w:r>
    </w:p>
    <w:bookmarkEnd w:id="13"/>
    <w:p w14:paraId="69C4B18E"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39DC93AA"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 xml:space="preserve">Todd W. </w:t>
      </w:r>
      <w:proofErr w:type="spellStart"/>
      <w:r w:rsidRPr="004D24E5">
        <w:rPr>
          <w:rFonts w:ascii="Times New Roman" w:hAnsi="Times New Roman"/>
          <w:color w:val="373739"/>
          <w:sz w:val="20"/>
          <w:shd w:val="clear" w:color="auto" w:fill="FFFFFF"/>
        </w:rPr>
        <w:t>Howeth</w:t>
      </w:r>
      <w:proofErr w:type="spellEnd"/>
      <w:r w:rsidRPr="004D24E5">
        <w:rPr>
          <w:rFonts w:ascii="Times New Roman" w:hAnsi="Times New Roman"/>
          <w:color w:val="373739"/>
          <w:sz w:val="20"/>
          <w:shd w:val="clear" w:color="auto" w:fill="FFFFFF"/>
        </w:rPr>
        <w:t xml:space="preserve"> and Michael C. McMahon for the California Public Defenders </w:t>
      </w:r>
      <w:proofErr w:type="spellStart"/>
      <w:r w:rsidRPr="004D24E5">
        <w:rPr>
          <w:rFonts w:ascii="Times New Roman" w:hAnsi="Times New Roman"/>
          <w:color w:val="373739"/>
          <w:sz w:val="20"/>
          <w:shd w:val="clear" w:color="auto" w:fill="FFFFFF"/>
        </w:rPr>
        <w:t>Assocation</w:t>
      </w:r>
      <w:proofErr w:type="spellEnd"/>
      <w:r w:rsidRPr="004D24E5">
        <w:rPr>
          <w:rFonts w:ascii="Times New Roman" w:hAnsi="Times New Roman"/>
          <w:color w:val="373739"/>
          <w:sz w:val="20"/>
          <w:shd w:val="clear" w:color="auto" w:fill="FFFFFF"/>
        </w:rPr>
        <w:t xml:space="preserve"> and the Public Defender of Ventura County as Amici Curiae on behalf of Real Party in Interest.</w:t>
      </w:r>
    </w:p>
    <w:p w14:paraId="5E19BCFE"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1C744D1E"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 xml:space="preserve">Law Offices of J.T. </w:t>
      </w:r>
      <w:proofErr w:type="spellStart"/>
      <w:r w:rsidRPr="004D24E5">
        <w:rPr>
          <w:rFonts w:ascii="Times New Roman" w:hAnsi="Times New Roman"/>
          <w:color w:val="373739"/>
          <w:sz w:val="20"/>
          <w:shd w:val="clear" w:color="auto" w:fill="FFFFFF"/>
        </w:rPr>
        <w:t>Philipsborn</w:t>
      </w:r>
      <w:proofErr w:type="spellEnd"/>
      <w:r w:rsidRPr="004D24E5">
        <w:rPr>
          <w:rFonts w:ascii="Times New Roman" w:hAnsi="Times New Roman"/>
          <w:color w:val="373739"/>
          <w:sz w:val="20"/>
          <w:shd w:val="clear" w:color="auto" w:fill="FFFFFF"/>
        </w:rPr>
        <w:t xml:space="preserve">, John T. </w:t>
      </w:r>
      <w:proofErr w:type="spellStart"/>
      <w:r w:rsidRPr="004D24E5">
        <w:rPr>
          <w:rFonts w:ascii="Times New Roman" w:hAnsi="Times New Roman"/>
          <w:color w:val="373739"/>
          <w:sz w:val="20"/>
          <w:shd w:val="clear" w:color="auto" w:fill="FFFFFF"/>
        </w:rPr>
        <w:t>Philipsborn</w:t>
      </w:r>
      <w:proofErr w:type="spellEnd"/>
      <w:r w:rsidRPr="004D24E5">
        <w:rPr>
          <w:rFonts w:ascii="Times New Roman" w:hAnsi="Times New Roman"/>
          <w:color w:val="373739"/>
          <w:sz w:val="20"/>
          <w:shd w:val="clear" w:color="auto" w:fill="FFFFFF"/>
        </w:rPr>
        <w:t xml:space="preserve">; Sanger </w:t>
      </w:r>
      <w:proofErr w:type="spellStart"/>
      <w:r w:rsidRPr="004D24E5">
        <w:rPr>
          <w:rFonts w:ascii="Times New Roman" w:hAnsi="Times New Roman"/>
          <w:color w:val="373739"/>
          <w:sz w:val="20"/>
          <w:shd w:val="clear" w:color="auto" w:fill="FFFFFF"/>
        </w:rPr>
        <w:t>Swysen</w:t>
      </w:r>
      <w:proofErr w:type="spellEnd"/>
      <w:r w:rsidRPr="004D24E5">
        <w:rPr>
          <w:rFonts w:ascii="Times New Roman" w:hAnsi="Times New Roman"/>
          <w:color w:val="373739"/>
          <w:sz w:val="20"/>
          <w:shd w:val="clear" w:color="auto" w:fill="FFFFFF"/>
        </w:rPr>
        <w:t xml:space="preserve"> &amp; </w:t>
      </w:r>
      <w:proofErr w:type="spellStart"/>
      <w:r w:rsidRPr="004D24E5">
        <w:rPr>
          <w:rFonts w:ascii="Times New Roman" w:hAnsi="Times New Roman"/>
          <w:color w:val="373739"/>
          <w:sz w:val="20"/>
          <w:shd w:val="clear" w:color="auto" w:fill="FFFFFF"/>
        </w:rPr>
        <w:t>Dunkle</w:t>
      </w:r>
      <w:proofErr w:type="spellEnd"/>
      <w:r w:rsidRPr="004D24E5">
        <w:rPr>
          <w:rFonts w:ascii="Times New Roman" w:hAnsi="Times New Roman"/>
          <w:color w:val="373739"/>
          <w:sz w:val="20"/>
          <w:shd w:val="clear" w:color="auto" w:fill="FFFFFF"/>
        </w:rPr>
        <w:t xml:space="preserve">, Stephen K. </w:t>
      </w:r>
      <w:proofErr w:type="spellStart"/>
      <w:r w:rsidRPr="004D24E5">
        <w:rPr>
          <w:rFonts w:ascii="Times New Roman" w:hAnsi="Times New Roman"/>
          <w:color w:val="373739"/>
          <w:sz w:val="20"/>
          <w:shd w:val="clear" w:color="auto" w:fill="FFFFFF"/>
        </w:rPr>
        <w:t>Dunkle</w:t>
      </w:r>
      <w:proofErr w:type="spellEnd"/>
      <w:r w:rsidRPr="004D24E5">
        <w:rPr>
          <w:rFonts w:ascii="Times New Roman" w:hAnsi="Times New Roman"/>
          <w:color w:val="373739"/>
          <w:sz w:val="20"/>
          <w:shd w:val="clear" w:color="auto" w:fill="FFFFFF"/>
        </w:rPr>
        <w:t xml:space="preserve">; The Law Office of Donald E. Landis, Jr., and Donald E. Landis, Jr., for California Attorneys for Criminal Justice as Amicus Curiae on behalf of Real Party in Interest. </w:t>
      </w:r>
    </w:p>
    <w:p w14:paraId="34BF4081"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281A6F14"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r w:rsidRPr="004D24E5">
        <w:rPr>
          <w:rFonts w:ascii="Times New Roman" w:hAnsi="Times New Roman"/>
          <w:color w:val="373739"/>
          <w:sz w:val="20"/>
          <w:shd w:val="clear" w:color="auto" w:fill="FFFFFF"/>
        </w:rPr>
        <w:t>Jeff Adachi, Public</w:t>
      </w:r>
      <w:r w:rsidRPr="004D24E5">
        <w:rPr>
          <w:rFonts w:ascii="Times New Roman" w:hAnsi="Times New Roman"/>
          <w:sz w:val="20"/>
          <w:shd w:val="clear" w:color="auto" w:fill="FFFFFF"/>
        </w:rPr>
        <w:t xml:space="preserve"> Defender</w:t>
      </w:r>
      <w:r w:rsidRPr="004D24E5">
        <w:rPr>
          <w:rFonts w:ascii="Times New Roman" w:hAnsi="Times New Roman"/>
          <w:color w:val="373739"/>
          <w:sz w:val="20"/>
          <w:shd w:val="clear" w:color="auto" w:fill="FFFFFF"/>
        </w:rPr>
        <w:t xml:space="preserve">, Matt Gonzalez, Chief Attorney, Dorothy Bischoff, Deputy Public Defender, for San Francisco Public Defender’s Office as Amicus Curiae on behalf of Real Party in Interest. </w:t>
      </w:r>
    </w:p>
    <w:p w14:paraId="1924206B"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19FC6DA8" w14:textId="77777777" w:rsidR="004D24E5" w:rsidRPr="004D24E5" w:rsidRDefault="004D24E5" w:rsidP="004D24E5">
      <w:pPr>
        <w:spacing w:after="0" w:line="240" w:lineRule="auto"/>
        <w:jc w:val="left"/>
        <w:rPr>
          <w:rFonts w:ascii="Times New Roman" w:hAnsi="Times New Roman"/>
          <w:sz w:val="20"/>
          <w:shd w:val="clear" w:color="auto" w:fill="FFFFFF"/>
        </w:rPr>
      </w:pPr>
      <w:bookmarkStart w:id="14" w:name="_Hlk46303188"/>
      <w:r w:rsidRPr="004D24E5">
        <w:rPr>
          <w:rFonts w:ascii="Times New Roman" w:hAnsi="Times New Roman"/>
          <w:color w:val="373739"/>
          <w:sz w:val="20"/>
          <w:shd w:val="clear" w:color="auto" w:fill="FFFFFF"/>
        </w:rPr>
        <w:t xml:space="preserve">Summer Stephan, District Attorney, Mark A. Amador, Linh Lam and Karl </w:t>
      </w:r>
      <w:proofErr w:type="spellStart"/>
      <w:r w:rsidRPr="004D24E5">
        <w:rPr>
          <w:rFonts w:ascii="Times New Roman" w:hAnsi="Times New Roman"/>
          <w:color w:val="373739"/>
          <w:sz w:val="20"/>
          <w:shd w:val="clear" w:color="auto" w:fill="FFFFFF"/>
        </w:rPr>
        <w:t>Husoe</w:t>
      </w:r>
      <w:proofErr w:type="spellEnd"/>
      <w:r w:rsidRPr="004D24E5">
        <w:rPr>
          <w:rFonts w:ascii="Times New Roman" w:hAnsi="Times New Roman"/>
          <w:color w:val="373739"/>
          <w:sz w:val="20"/>
          <w:shd w:val="clear" w:color="auto" w:fill="FFFFFF"/>
        </w:rPr>
        <w:t>, Deputy District Attorneys for</w:t>
      </w:r>
      <w:r w:rsidRPr="004D24E5">
        <w:rPr>
          <w:rFonts w:ascii="Times New Roman" w:hAnsi="Times New Roman"/>
          <w:sz w:val="20"/>
          <w:shd w:val="clear" w:color="auto" w:fill="FFFFFF"/>
        </w:rPr>
        <w:t xml:space="preserve"> Intervener.</w:t>
      </w:r>
    </w:p>
    <w:bookmarkEnd w:id="14"/>
    <w:p w14:paraId="04079622" w14:textId="77777777" w:rsidR="004D24E5" w:rsidRPr="004D24E5" w:rsidRDefault="004D24E5" w:rsidP="004D24E5">
      <w:pPr>
        <w:spacing w:after="0" w:line="240" w:lineRule="auto"/>
        <w:jc w:val="left"/>
        <w:rPr>
          <w:rFonts w:ascii="Times New Roman" w:hAnsi="Times New Roman"/>
          <w:color w:val="373739"/>
          <w:sz w:val="20"/>
          <w:shd w:val="clear" w:color="auto" w:fill="FFFFFF"/>
        </w:rPr>
      </w:pPr>
    </w:p>
    <w:p w14:paraId="71932EC9" w14:textId="77777777" w:rsidR="004D24E5" w:rsidRPr="004D24E5" w:rsidRDefault="004D24E5" w:rsidP="004D24E5">
      <w:pPr>
        <w:spacing w:after="0" w:line="240" w:lineRule="auto"/>
        <w:jc w:val="left"/>
        <w:rPr>
          <w:rFonts w:ascii="Times New Roman" w:hAnsi="Times New Roman"/>
          <w:b/>
          <w:bCs/>
          <w:sz w:val="20"/>
        </w:rPr>
      </w:pPr>
      <w:r w:rsidRPr="004D24E5">
        <w:rPr>
          <w:rFonts w:ascii="Times New Roman" w:hAnsi="Times New Roman"/>
          <w:b/>
          <w:bCs/>
          <w:sz w:val="20"/>
        </w:rPr>
        <w:br w:type="page"/>
      </w:r>
      <w:bookmarkStart w:id="15" w:name="_Hlk46916044"/>
    </w:p>
    <w:bookmarkEnd w:id="15"/>
    <w:p w14:paraId="3676C0B1" w14:textId="77777777" w:rsidR="004D24E5" w:rsidRPr="004D24E5" w:rsidRDefault="004D24E5" w:rsidP="004D24E5">
      <w:pPr>
        <w:spacing w:after="0" w:line="240" w:lineRule="auto"/>
        <w:jc w:val="left"/>
        <w:rPr>
          <w:rFonts w:ascii="Times New Roman" w:hAnsi="Times New Roman"/>
          <w:b/>
          <w:sz w:val="20"/>
        </w:rPr>
      </w:pPr>
    </w:p>
    <w:p w14:paraId="04CB20E5" w14:textId="77777777" w:rsidR="004D24E5" w:rsidRPr="004D24E5" w:rsidRDefault="004D24E5" w:rsidP="004D24E5">
      <w:pPr>
        <w:spacing w:after="0" w:line="240" w:lineRule="auto"/>
        <w:jc w:val="left"/>
        <w:rPr>
          <w:rFonts w:ascii="Times New Roman" w:hAnsi="Times New Roman"/>
          <w:b/>
          <w:sz w:val="20"/>
        </w:rPr>
      </w:pPr>
    </w:p>
    <w:p w14:paraId="7FB99574" w14:textId="77777777" w:rsidR="004D24E5" w:rsidRPr="004D24E5" w:rsidRDefault="004D24E5" w:rsidP="004D24E5">
      <w:pPr>
        <w:spacing w:after="0" w:line="240" w:lineRule="auto"/>
        <w:jc w:val="left"/>
        <w:rPr>
          <w:rFonts w:ascii="Times New Roman" w:hAnsi="Times New Roman"/>
          <w:b/>
          <w:sz w:val="20"/>
        </w:rPr>
      </w:pPr>
    </w:p>
    <w:p w14:paraId="0DA7800D" w14:textId="77777777" w:rsidR="004D24E5" w:rsidRPr="004D24E5" w:rsidRDefault="004D24E5" w:rsidP="004D24E5">
      <w:pPr>
        <w:spacing w:after="0" w:line="240" w:lineRule="auto"/>
        <w:jc w:val="left"/>
        <w:rPr>
          <w:rFonts w:ascii="Times New Roman" w:hAnsi="Times New Roman"/>
          <w:b/>
          <w:sz w:val="20"/>
        </w:rPr>
      </w:pPr>
      <w:r w:rsidRPr="004D24E5">
        <w:rPr>
          <w:rFonts w:ascii="Times New Roman" w:hAnsi="Times New Roman"/>
          <w:b/>
          <w:sz w:val="20"/>
        </w:rPr>
        <w:t>Counsel who argued in Supreme Court (not intended for publication with opinion):</w:t>
      </w:r>
    </w:p>
    <w:p w14:paraId="6DE81E67" w14:textId="77777777" w:rsidR="004D24E5" w:rsidRPr="004D24E5" w:rsidRDefault="004D24E5" w:rsidP="004D24E5">
      <w:pPr>
        <w:spacing w:after="0" w:line="240" w:lineRule="auto"/>
        <w:jc w:val="left"/>
        <w:rPr>
          <w:rFonts w:ascii="Times New Roman" w:hAnsi="Times New Roman"/>
          <w:b/>
          <w:sz w:val="20"/>
        </w:rPr>
      </w:pPr>
    </w:p>
    <w:p w14:paraId="7CE351A5"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 xml:space="preserve">Katherine </w:t>
      </w:r>
      <w:proofErr w:type="spellStart"/>
      <w:r w:rsidRPr="004D24E5">
        <w:rPr>
          <w:rFonts w:ascii="Times New Roman" w:hAnsi="Times New Roman"/>
          <w:sz w:val="20"/>
        </w:rPr>
        <w:t>Tesch</w:t>
      </w:r>
      <w:proofErr w:type="spellEnd"/>
    </w:p>
    <w:p w14:paraId="37C02D70"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Deputy Alternate Public Defender</w:t>
      </w:r>
    </w:p>
    <w:p w14:paraId="629BFD53"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450 B. Street, Suite 1200</w:t>
      </w:r>
    </w:p>
    <w:p w14:paraId="1552389D"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San Diego, CA 92101</w:t>
      </w:r>
    </w:p>
    <w:p w14:paraId="0E52A240"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(619) 446-2900</w:t>
      </w:r>
    </w:p>
    <w:p w14:paraId="1327221B" w14:textId="77777777" w:rsidR="004D24E5" w:rsidRPr="004D24E5" w:rsidRDefault="004D24E5" w:rsidP="004D24E5">
      <w:pPr>
        <w:spacing w:after="0" w:line="240" w:lineRule="auto"/>
        <w:jc w:val="left"/>
        <w:rPr>
          <w:rFonts w:ascii="Times New Roman" w:hAnsi="Times New Roman"/>
          <w:sz w:val="20"/>
        </w:rPr>
      </w:pPr>
    </w:p>
    <w:p w14:paraId="5F5429C4" w14:textId="77777777" w:rsidR="004D24E5" w:rsidRPr="004D24E5" w:rsidRDefault="004D24E5" w:rsidP="004D24E5">
      <w:pPr>
        <w:spacing w:after="0" w:line="240" w:lineRule="auto"/>
        <w:jc w:val="left"/>
        <w:rPr>
          <w:rFonts w:ascii="Times New Roman" w:hAnsi="Times New Roman"/>
          <w:sz w:val="20"/>
        </w:rPr>
      </w:pPr>
      <w:proofErr w:type="spellStart"/>
      <w:r w:rsidRPr="004D24E5">
        <w:rPr>
          <w:rFonts w:ascii="Times New Roman" w:hAnsi="Times New Roman"/>
          <w:sz w:val="20"/>
        </w:rPr>
        <w:t>Kal</w:t>
      </w:r>
      <w:proofErr w:type="spellEnd"/>
      <w:r w:rsidRPr="004D24E5">
        <w:rPr>
          <w:rFonts w:ascii="Times New Roman" w:hAnsi="Times New Roman"/>
          <w:sz w:val="20"/>
        </w:rPr>
        <w:t xml:space="preserve"> </w:t>
      </w:r>
      <w:proofErr w:type="spellStart"/>
      <w:r w:rsidRPr="004D24E5">
        <w:rPr>
          <w:rFonts w:ascii="Times New Roman" w:hAnsi="Times New Roman"/>
          <w:sz w:val="20"/>
        </w:rPr>
        <w:t>Husoe</w:t>
      </w:r>
      <w:proofErr w:type="spellEnd"/>
    </w:p>
    <w:p w14:paraId="3AD33ABE"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Deputy District Attorney</w:t>
      </w:r>
    </w:p>
    <w:p w14:paraId="54814C23"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330 W. Broadway, Suite 860</w:t>
      </w:r>
    </w:p>
    <w:p w14:paraId="7F52AEA2"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San Diego, CA 92101</w:t>
      </w:r>
    </w:p>
    <w:p w14:paraId="2202677A"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(619) 531-4213</w:t>
      </w:r>
    </w:p>
    <w:p w14:paraId="51487914" w14:textId="77777777" w:rsidR="004D24E5" w:rsidRPr="004D24E5" w:rsidRDefault="004D24E5" w:rsidP="004D24E5">
      <w:pPr>
        <w:spacing w:after="0" w:line="240" w:lineRule="auto"/>
        <w:jc w:val="left"/>
        <w:rPr>
          <w:rFonts w:ascii="Times New Roman" w:hAnsi="Times New Roman"/>
          <w:sz w:val="20"/>
        </w:rPr>
      </w:pPr>
    </w:p>
    <w:p w14:paraId="6459D239"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 xml:space="preserve">Joshua S. </w:t>
      </w:r>
      <w:proofErr w:type="spellStart"/>
      <w:r w:rsidRPr="004D24E5">
        <w:rPr>
          <w:rFonts w:ascii="Times New Roman" w:hAnsi="Times New Roman"/>
          <w:sz w:val="20"/>
        </w:rPr>
        <w:t>Lipshutz</w:t>
      </w:r>
      <w:proofErr w:type="spellEnd"/>
    </w:p>
    <w:p w14:paraId="64E2CC5E"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Gibson, Dunn &amp; Crutcher LLP</w:t>
      </w:r>
    </w:p>
    <w:p w14:paraId="6BC70F0F"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555 Mission Street</w:t>
      </w:r>
    </w:p>
    <w:p w14:paraId="4E999547"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San Francisco, CA 94105</w:t>
      </w:r>
    </w:p>
    <w:p w14:paraId="7500B51C" w14:textId="77777777" w:rsidR="004D24E5" w:rsidRPr="004D24E5" w:rsidRDefault="004D24E5" w:rsidP="004D24E5">
      <w:pPr>
        <w:spacing w:after="0" w:line="240" w:lineRule="auto"/>
        <w:jc w:val="left"/>
        <w:rPr>
          <w:rFonts w:ascii="Times New Roman" w:hAnsi="Times New Roman"/>
          <w:sz w:val="20"/>
        </w:rPr>
      </w:pPr>
      <w:r w:rsidRPr="004D24E5">
        <w:rPr>
          <w:rFonts w:ascii="Times New Roman" w:hAnsi="Times New Roman"/>
          <w:sz w:val="20"/>
        </w:rPr>
        <w:t>(415) 393-8200</w:t>
      </w:r>
    </w:p>
    <w:p w14:paraId="0C695A10" w14:textId="4EDAC476" w:rsidR="00D74FF0" w:rsidRPr="008C580C" w:rsidRDefault="00D74FF0" w:rsidP="00D74FF0">
      <w:pPr>
        <w:pStyle w:val="Text"/>
        <w:spacing w:after="0" w:line="240" w:lineRule="auto"/>
        <w:ind w:firstLine="0"/>
        <w:rPr>
          <w:color w:val="000000" w:themeColor="text1"/>
          <w:szCs w:val="26"/>
        </w:rPr>
      </w:pPr>
    </w:p>
    <w:sectPr w:rsidR="00D74FF0" w:rsidRPr="008C580C" w:rsidSect="004D24E5">
      <w:headerReference w:type="default" r:id="rId20"/>
      <w:footerReference w:type="default" r:id="rId21"/>
      <w:headerReference w:type="first" r:id="rId22"/>
      <w:footerReference w:type="first" r:id="rId23"/>
      <w:footnotePr>
        <w:numRestart w:val="eachSect"/>
      </w:footnotePr>
      <w:pgSz w:w="12240" w:h="15840"/>
      <w:pgMar w:top="1440" w:right="1800" w:bottom="1440" w:left="1800" w:header="720" w:footer="720" w:gutter="0"/>
      <w:pgNumType w:start="1"/>
      <w:cols w:space="720"/>
      <w:titlePg/>
      <w:docGrid w:linePitch="3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9026" w16cex:dateUtc="2020-07-22T17:15:00Z"/>
  <w16cex:commentExtensible w16cex:durableId="22C2905F" w16cex:dateUtc="2020-07-22T17: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A5F0" w14:textId="77777777" w:rsidR="006912E1" w:rsidRDefault="006912E1">
      <w:r>
        <w:separator/>
      </w:r>
    </w:p>
  </w:endnote>
  <w:endnote w:type="continuationSeparator" w:id="0">
    <w:p w14:paraId="5947E63D" w14:textId="77777777" w:rsidR="006912E1" w:rsidRDefault="006912E1">
      <w:r>
        <w:continuationSeparator/>
      </w:r>
    </w:p>
  </w:endnote>
  <w:endnote w:type="continuationNotice" w:id="1">
    <w:p w14:paraId="7E55E9CA" w14:textId="77777777" w:rsidR="006912E1" w:rsidRDefault="00691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864690"/>
      <w:docPartObj>
        <w:docPartGallery w:val="Page Numbers (Bottom of Page)"/>
        <w:docPartUnique/>
      </w:docPartObj>
    </w:sdtPr>
    <w:sdtEndPr>
      <w:rPr>
        <w:noProof/>
      </w:rPr>
    </w:sdtEndPr>
    <w:sdtContent>
      <w:p w14:paraId="386E8539" w14:textId="24F2A616" w:rsidR="00435F39" w:rsidRDefault="007F300E" w:rsidP="009F1C73">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80674"/>
      <w:docPartObj>
        <w:docPartGallery w:val="Page Numbers (Bottom of Page)"/>
        <w:docPartUnique/>
      </w:docPartObj>
    </w:sdtPr>
    <w:sdtEndPr>
      <w:rPr>
        <w:noProof/>
      </w:rPr>
    </w:sdtEndPr>
    <w:sdtContent>
      <w:p w14:paraId="73DF16AC" w14:textId="4D8F2DB8" w:rsidR="005B7685" w:rsidRDefault="005B7685">
        <w:pPr>
          <w:pStyle w:val="Footer"/>
        </w:pPr>
        <w:r>
          <w:fldChar w:fldCharType="begin"/>
        </w:r>
        <w:r>
          <w:instrText xml:space="preserve"> PAGE   \* MERGEFORMAT </w:instrText>
        </w:r>
        <w:r>
          <w:fldChar w:fldCharType="separate"/>
        </w:r>
        <w:r w:rsidR="007B1B07">
          <w:rPr>
            <w:noProof/>
          </w:rPr>
          <w:t>42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297482"/>
      <w:docPartObj>
        <w:docPartGallery w:val="Page Numbers (Bottom of Page)"/>
        <w:docPartUnique/>
      </w:docPartObj>
    </w:sdtPr>
    <w:sdtEndPr>
      <w:rPr>
        <w:noProof/>
      </w:rPr>
    </w:sdtEndPr>
    <w:sdtContent>
      <w:p w14:paraId="3367B4FF" w14:textId="4908E1BE" w:rsidR="005B7685" w:rsidRDefault="005B7685">
        <w:pPr>
          <w:pStyle w:val="Footer"/>
        </w:pPr>
        <w:r>
          <w:fldChar w:fldCharType="begin"/>
        </w:r>
        <w:r>
          <w:instrText xml:space="preserve"> PAGE   \* MERGEFORMAT </w:instrText>
        </w:r>
        <w:r>
          <w:fldChar w:fldCharType="separate"/>
        </w:r>
        <w:r w:rsidR="00797236">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704486"/>
      <w:docPartObj>
        <w:docPartGallery w:val="Page Numbers (Bottom of Page)"/>
        <w:docPartUnique/>
      </w:docPartObj>
    </w:sdtPr>
    <w:sdtEndPr>
      <w:rPr>
        <w:noProof/>
      </w:rPr>
    </w:sdtEndPr>
    <w:sdtContent>
      <w:p w14:paraId="0A462324" w14:textId="77777777" w:rsidR="00480B30" w:rsidRDefault="00480B3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16947"/>
      <w:docPartObj>
        <w:docPartGallery w:val="Page Numbers (Bottom of Page)"/>
        <w:docPartUnique/>
      </w:docPartObj>
    </w:sdtPr>
    <w:sdtEndPr>
      <w:rPr>
        <w:noProof/>
      </w:rPr>
    </w:sdtEndPr>
    <w:sdtContent>
      <w:p w14:paraId="3AD724AA" w14:textId="77777777" w:rsidR="00FB2A00" w:rsidRDefault="00FB2A00">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8909" w14:textId="72054158" w:rsidR="007C1863" w:rsidRDefault="007C186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0D7C" w14:textId="2BA69A8F" w:rsidR="004D24E5" w:rsidRDefault="004D2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168F7" w14:textId="77777777" w:rsidR="006912E1" w:rsidRDefault="006912E1">
      <w:r>
        <w:separator/>
      </w:r>
    </w:p>
  </w:footnote>
  <w:footnote w:type="continuationSeparator" w:id="0">
    <w:p w14:paraId="2BF8190E" w14:textId="77777777" w:rsidR="006912E1" w:rsidRDefault="006912E1">
      <w:pPr>
        <w:rPr>
          <w:sz w:val="22"/>
        </w:rPr>
      </w:pPr>
      <w:r>
        <w:continuationSeparator/>
      </w:r>
    </w:p>
  </w:footnote>
  <w:footnote w:type="continuationNotice" w:id="1">
    <w:p w14:paraId="7D9D0E58" w14:textId="77777777" w:rsidR="006912E1" w:rsidRPr="00912A5E" w:rsidRDefault="006912E1" w:rsidP="00912A5E">
      <w:pPr>
        <w:pStyle w:val="Footer"/>
      </w:pPr>
    </w:p>
  </w:footnote>
  <w:footnote w:id="2">
    <w:p w14:paraId="769328F1" w14:textId="6249EAD2" w:rsidR="005E1FBA" w:rsidRPr="008C580C" w:rsidRDefault="005E1FBA"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The </w:t>
      </w:r>
      <w:r w:rsidR="0092784F" w:rsidRPr="008C580C">
        <w:rPr>
          <w:color w:val="000000" w:themeColor="text1"/>
        </w:rPr>
        <w:t xml:space="preserve">petition </w:t>
      </w:r>
      <w:r w:rsidRPr="008C580C">
        <w:rPr>
          <w:color w:val="000000" w:themeColor="text1"/>
        </w:rPr>
        <w:t xml:space="preserve">continued:  “None of the wounds were fatal.  [¶]  [Defendant] set aside his weapon, called 911, and was </w:t>
      </w:r>
      <w:proofErr w:type="gramStart"/>
      <w:r w:rsidRPr="008C580C">
        <w:rPr>
          <w:color w:val="000000" w:themeColor="text1"/>
        </w:rPr>
        <w:t>ultimately arrested</w:t>
      </w:r>
      <w:proofErr w:type="gramEnd"/>
      <w:r w:rsidRPr="008C580C">
        <w:rPr>
          <w:color w:val="000000" w:themeColor="text1"/>
        </w:rPr>
        <w:t xml:space="preserve"> for assault.  He was compliant and cooperative with responding officers, giving a detailed explanation of the day’s events and efforts to defend himself and his sister against Renteria.  He was ultimately charged . . . with . . . attempted murder, with allegations of personal use of a firearm and inflicting great bodily injury[,] . . . expos[</w:t>
      </w:r>
      <w:proofErr w:type="spellStart"/>
      <w:r w:rsidRPr="008C580C">
        <w:rPr>
          <w:color w:val="000000" w:themeColor="text1"/>
        </w:rPr>
        <w:t>ing</w:t>
      </w:r>
      <w:proofErr w:type="spellEnd"/>
      <w:r w:rsidRPr="008C580C">
        <w:rPr>
          <w:color w:val="000000" w:themeColor="text1"/>
        </w:rPr>
        <w:t xml:space="preserve">] him to a maximum sentence of twenty-two years in State Prison.”  </w:t>
      </w:r>
    </w:p>
  </w:footnote>
  <w:footnote w:id="3">
    <w:p w14:paraId="091F84FF" w14:textId="7B966755" w:rsidR="00D246FB" w:rsidRPr="008C580C" w:rsidRDefault="00D246FB" w:rsidP="008B74FB">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The sealed declaration added:  “It is unknown whether additional relevant posts have been made to . . . Renteria’s </w:t>
      </w:r>
      <w:r w:rsidR="00001F66">
        <w:rPr>
          <w:color w:val="000000" w:themeColor="text1"/>
        </w:rPr>
        <w:t xml:space="preserve">[Facebook] </w:t>
      </w:r>
      <w:r w:rsidRPr="008C580C">
        <w:rPr>
          <w:color w:val="000000" w:themeColor="text1"/>
        </w:rPr>
        <w:t xml:space="preserve">page that are not visible to the public, or whether additional relevant messages have been sent through the Facebook messaging system that have not been disclosed to defense counsel. . . .  Through this subpoena, defense counsel seeks to preserve and obtain the stored contents of . . . Renteria’s personal Facebook page; these records are relevant, material, exculpatory, and reflect upon the character and propensity for violence of the prosecution’s key witness.”  </w:t>
      </w:r>
      <w:r w:rsidRPr="008C580C">
        <w:rPr>
          <w:color w:val="000000" w:themeColor="text1"/>
          <w:szCs w:val="26"/>
        </w:rPr>
        <w:t xml:space="preserve">This initial sealed declaration did not attach </w:t>
      </w:r>
      <w:r w:rsidR="008B74FB">
        <w:rPr>
          <w:color w:val="000000" w:themeColor="text1"/>
          <w:szCs w:val="26"/>
        </w:rPr>
        <w:t>the</w:t>
      </w:r>
      <w:r w:rsidRPr="008C580C">
        <w:rPr>
          <w:color w:val="000000" w:themeColor="text1"/>
          <w:szCs w:val="26"/>
        </w:rPr>
        <w:t xml:space="preserve"> described public post</w:t>
      </w:r>
      <w:r w:rsidR="00200B71">
        <w:rPr>
          <w:color w:val="000000" w:themeColor="text1"/>
          <w:szCs w:val="26"/>
        </w:rPr>
        <w:t>s</w:t>
      </w:r>
      <w:r w:rsidRPr="008C580C">
        <w:rPr>
          <w:color w:val="000000" w:themeColor="text1"/>
          <w:szCs w:val="26"/>
        </w:rPr>
        <w:t xml:space="preserve"> or any document supporting the declaration’s other statements.</w:t>
      </w:r>
      <w:r w:rsidRPr="008C580C">
        <w:rPr>
          <w:color w:val="000000" w:themeColor="text1"/>
        </w:rPr>
        <w:t xml:space="preserve">  </w:t>
      </w:r>
    </w:p>
  </w:footnote>
  <w:footnote w:id="4">
    <w:p w14:paraId="73906673" w14:textId="0185F01D" w:rsidR="00D246FB" w:rsidRPr="008C580C" w:rsidRDefault="00D246FB" w:rsidP="00EA0331">
      <w:pPr>
        <w:spacing w:line="300" w:lineRule="exact"/>
        <w:rPr>
          <w:color w:val="000000" w:themeColor="text1"/>
          <w:sz w:val="22"/>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Trial court documents reflect that, at defense counsel’s request, the trial judge permitted that declaration to be filed under seal.  In so requesting, </w:t>
      </w:r>
      <w:r w:rsidRPr="008C580C">
        <w:rPr>
          <w:color w:val="000000" w:themeColor="text1"/>
        </w:rPr>
        <w:t xml:space="preserve">counsel asserted that the declaration was “privileged” within the meaning of the federal Constitution, constituted protectable “work product, and [was] confidential [with respect] to a percipient witness (Jeffery Renteria)” — and that “[t]he redacted declarations [had been] narrowly tailored in order to protect . . . [these] </w:t>
      </w:r>
      <w:proofErr w:type="gramStart"/>
      <w:r w:rsidRPr="008C580C">
        <w:rPr>
          <w:color w:val="000000" w:themeColor="text1"/>
        </w:rPr>
        <w:t>rights, and</w:t>
      </w:r>
      <w:proofErr w:type="gramEnd"/>
      <w:r w:rsidRPr="008C580C">
        <w:rPr>
          <w:color w:val="000000" w:themeColor="text1"/>
        </w:rPr>
        <w:t xml:space="preserve"> permit interested parties” to respond substantively.  </w:t>
      </w:r>
    </w:p>
  </w:footnote>
  <w:footnote w:id="5">
    <w:p w14:paraId="608A575D" w14:textId="236A33A3" w:rsidR="00D246FB" w:rsidRPr="008C580C" w:rsidRDefault="00D246FB" w:rsidP="00EA0331">
      <w:pPr>
        <w:widowControl w:val="0"/>
        <w:tabs>
          <w:tab w:val="left" w:pos="720"/>
          <w:tab w:val="left" w:pos="1440"/>
          <w:tab w:val="left" w:pos="2880"/>
          <w:tab w:val="left" w:pos="3600"/>
          <w:tab w:val="left" w:pos="5040"/>
          <w:tab w:val="left" w:pos="7200"/>
          <w:tab w:val="left" w:pos="8640"/>
        </w:tabs>
        <w:autoSpaceDE w:val="0"/>
        <w:autoSpaceDN w:val="0"/>
        <w:adjustRightInd w:val="0"/>
        <w:spacing w:line="300" w:lineRule="exac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Our order specified that “[a]</w:t>
      </w:r>
      <w:r w:rsidRPr="008C580C">
        <w:rPr>
          <w:noProof/>
          <w:color w:val="000000" w:themeColor="text1"/>
          <w:szCs w:val="26"/>
        </w:rPr>
        <w:t>s to the parties,” we u</w:t>
      </w:r>
      <w:proofErr w:type="spellStart"/>
      <w:r w:rsidRPr="008C580C">
        <w:rPr>
          <w:color w:val="000000" w:themeColor="text1"/>
          <w:szCs w:val="26"/>
        </w:rPr>
        <w:t>nsealed</w:t>
      </w:r>
      <w:proofErr w:type="spellEnd"/>
      <w:r w:rsidRPr="008C580C">
        <w:rPr>
          <w:color w:val="000000" w:themeColor="text1"/>
          <w:szCs w:val="26"/>
        </w:rPr>
        <w:t xml:space="preserve"> “the entirety of the April 21, 2017 declaration and all related exhibits, which in turn quote from and present copies of public social media posts and conditionally confidential probation reports.  (Cal. Rules of Court, rule 8.46(f)(3)</w:t>
      </w:r>
      <w:r w:rsidR="00E947B1">
        <w:rPr>
          <w:color w:val="000000" w:themeColor="text1"/>
          <w:szCs w:val="26"/>
        </w:rPr>
        <w:t>.</w:t>
      </w:r>
      <w:r w:rsidRPr="008C580C">
        <w:rPr>
          <w:color w:val="000000" w:themeColor="text1"/>
          <w:szCs w:val="26"/>
        </w:rPr>
        <w:t xml:space="preserve">)”  We also specified:  “As to all others, the passages of the declaration and related exhibits that quote from and present copies of the public social media posts are unsealed; but the passages of the declaration and related exhibit that quote from and present copies of the probation reports are and remain sealed.”  </w:t>
      </w:r>
    </w:p>
  </w:footnote>
  <w:footnote w:id="6">
    <w:p w14:paraId="490757D6" w14:textId="18A7578B" w:rsidR="00D246FB" w:rsidRPr="008C580C" w:rsidRDefault="00D246FB"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In </w:t>
      </w:r>
      <w:r w:rsidRPr="008C580C">
        <w:rPr>
          <w:i/>
          <w:color w:val="000000" w:themeColor="text1"/>
        </w:rPr>
        <w:t>Alhambra</w:t>
      </w:r>
      <w:r w:rsidRPr="008C580C">
        <w:rPr>
          <w:color w:val="000000" w:themeColor="text1"/>
        </w:rPr>
        <w:t>, the defendant, who was charged with capital murder, sought (</w:t>
      </w:r>
      <w:r w:rsidR="00060AFE">
        <w:rPr>
          <w:color w:val="000000" w:themeColor="text1"/>
        </w:rPr>
        <w:t>1</w:t>
      </w:r>
      <w:r w:rsidRPr="008C580C">
        <w:rPr>
          <w:color w:val="000000" w:themeColor="text1"/>
        </w:rPr>
        <w:t xml:space="preserve">) by </w:t>
      </w:r>
      <w:r w:rsidRPr="008C580C">
        <w:rPr>
          <w:i/>
          <w:color w:val="000000" w:themeColor="text1"/>
        </w:rPr>
        <w:t>judicial subpoena</w:t>
      </w:r>
      <w:r w:rsidRPr="008C580C">
        <w:rPr>
          <w:color w:val="000000" w:themeColor="text1"/>
        </w:rPr>
        <w:t>, police reports relating to other ostensibly similar homicides; and subsequently, (</w:t>
      </w:r>
      <w:r w:rsidR="00060AFE">
        <w:rPr>
          <w:color w:val="000000" w:themeColor="text1"/>
        </w:rPr>
        <w:t>2</w:t>
      </w:r>
      <w:r w:rsidRPr="008C580C">
        <w:rPr>
          <w:color w:val="000000" w:themeColor="text1"/>
        </w:rPr>
        <w:t xml:space="preserve">) pretrial </w:t>
      </w:r>
      <w:r w:rsidRPr="008C580C">
        <w:rPr>
          <w:i/>
          <w:color w:val="000000" w:themeColor="text1"/>
        </w:rPr>
        <w:t>discovery</w:t>
      </w:r>
      <w:r w:rsidRPr="008C580C">
        <w:rPr>
          <w:color w:val="000000" w:themeColor="text1"/>
        </w:rPr>
        <w:t xml:space="preserve"> from the prosecution, again concerning similar police reports relating to other ostensibly similar homicides.  The Court of Appeal determined that the judicial subpoena had been improperly issued (by a pretrial judicial officer instead of the trial judge) an</w:t>
      </w:r>
      <w:r w:rsidRPr="00BF7323">
        <w:rPr>
          <w:color w:val="000000" w:themeColor="text1"/>
        </w:rPr>
        <w:t>d hence should have been quashed; accordingly, the appellate court vacated the order denying the motion to quash.  (205 Cal.App.3d at pp. 1127</w:t>
      </w:r>
      <w:r w:rsidR="00F73634" w:rsidRPr="00BF7323">
        <w:rPr>
          <w:color w:val="000000" w:themeColor="text1"/>
        </w:rPr>
        <w:t>–</w:t>
      </w:r>
      <w:r w:rsidRPr="00BF7323">
        <w:rPr>
          <w:color w:val="000000" w:themeColor="text1"/>
        </w:rPr>
        <w:t>1129, 1136</w:t>
      </w:r>
      <w:r w:rsidR="00BF7323" w:rsidRPr="00BF7323">
        <w:rPr>
          <w:color w:val="000000" w:themeColor="text1"/>
        </w:rPr>
        <w:t>–</w:t>
      </w:r>
      <w:r w:rsidRPr="00BF7323">
        <w:rPr>
          <w:color w:val="000000" w:themeColor="text1"/>
        </w:rPr>
        <w:t>1137.)  Regarding the related discovery request, the court rejected the prosecution’s objections to compliance and affirmed the propriety of that requested discovery.  (</w:t>
      </w:r>
      <w:r w:rsidRPr="00BF7323">
        <w:rPr>
          <w:i/>
          <w:color w:val="000000" w:themeColor="text1"/>
        </w:rPr>
        <w:t>Id</w:t>
      </w:r>
      <w:r w:rsidRPr="00BF7323">
        <w:rPr>
          <w:color w:val="000000" w:themeColor="text1"/>
        </w:rPr>
        <w:t>., at pp.</w:t>
      </w:r>
      <w:r w:rsidR="00986BEA" w:rsidRPr="00BF7323">
        <w:rPr>
          <w:color w:val="000000" w:themeColor="text1"/>
        </w:rPr>
        <w:t xml:space="preserve"> </w:t>
      </w:r>
      <w:r w:rsidRPr="00BF7323">
        <w:rPr>
          <w:color w:val="000000" w:themeColor="text1"/>
        </w:rPr>
        <w:t>1129</w:t>
      </w:r>
      <w:r w:rsidR="00BF7323" w:rsidRPr="00BF7323">
        <w:rPr>
          <w:color w:val="000000" w:themeColor="text1"/>
        </w:rPr>
        <w:t>–</w:t>
      </w:r>
      <w:r w:rsidRPr="00BF7323">
        <w:rPr>
          <w:color w:val="000000" w:themeColor="text1"/>
        </w:rPr>
        <w:t>1</w:t>
      </w:r>
      <w:r w:rsidRPr="008C580C">
        <w:rPr>
          <w:color w:val="000000" w:themeColor="text1"/>
        </w:rPr>
        <w:t xml:space="preserve">136, 1137.)  </w:t>
      </w:r>
      <w:proofErr w:type="gramStart"/>
      <w:r w:rsidRPr="008C580C">
        <w:rPr>
          <w:color w:val="000000" w:themeColor="text1"/>
        </w:rPr>
        <w:t>In the course of</w:t>
      </w:r>
      <w:proofErr w:type="gramEnd"/>
      <w:r w:rsidRPr="008C580C">
        <w:rPr>
          <w:color w:val="000000" w:themeColor="text1"/>
        </w:rPr>
        <w:t xml:space="preserve"> resolving the defendant’s </w:t>
      </w:r>
      <w:r w:rsidRPr="008C580C">
        <w:rPr>
          <w:i/>
          <w:color w:val="000000" w:themeColor="text1"/>
        </w:rPr>
        <w:t>discovery</w:t>
      </w:r>
      <w:r w:rsidRPr="008C580C">
        <w:rPr>
          <w:color w:val="000000" w:themeColor="text1"/>
        </w:rPr>
        <w:t xml:space="preserve"> request, the Court of Appeal proceeded to revie</w:t>
      </w:r>
      <w:r w:rsidRPr="00F6198D">
        <w:rPr>
          <w:color w:val="000000" w:themeColor="text1"/>
        </w:rPr>
        <w:t>w and apply seven “well established</w:t>
      </w:r>
      <w:r w:rsidR="006A65B1" w:rsidRPr="00F6198D">
        <w:rPr>
          <w:color w:val="000000" w:themeColor="text1"/>
        </w:rPr>
        <w:t xml:space="preserve"> </w:t>
      </w:r>
      <w:r w:rsidRPr="00F6198D">
        <w:rPr>
          <w:color w:val="000000" w:themeColor="text1"/>
        </w:rPr>
        <w:t>. . . principles” (</w:t>
      </w:r>
      <w:r w:rsidRPr="00F6198D">
        <w:rPr>
          <w:i/>
          <w:color w:val="000000" w:themeColor="text1"/>
        </w:rPr>
        <w:t>id</w:t>
      </w:r>
      <w:r w:rsidRPr="00F6198D">
        <w:rPr>
          <w:color w:val="000000" w:themeColor="text1"/>
        </w:rPr>
        <w:t>., at p. 1132), which it eventually summarized on page 1134.</w:t>
      </w:r>
      <w:r w:rsidRPr="008C580C">
        <w:rPr>
          <w:color w:val="000000" w:themeColor="text1"/>
        </w:rPr>
        <w:t xml:space="preserve">  </w:t>
      </w:r>
    </w:p>
  </w:footnote>
  <w:footnote w:id="7">
    <w:p w14:paraId="6298F4FB" w14:textId="1356D74F" w:rsidR="00251D1C" w:rsidRPr="008A5E0E" w:rsidRDefault="00251D1C"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A5E0E">
        <w:rPr>
          <w:color w:val="000000" w:themeColor="text1"/>
        </w:rPr>
        <w:t xml:space="preserve">The decision in </w:t>
      </w:r>
      <w:r w:rsidRPr="008A5E0E">
        <w:rPr>
          <w:i/>
          <w:color w:val="000000" w:themeColor="text1"/>
          <w:szCs w:val="26"/>
        </w:rPr>
        <w:t xml:space="preserve">Alhambra, supra, </w:t>
      </w:r>
      <w:r w:rsidRPr="008A5E0E">
        <w:rPr>
          <w:color w:val="000000" w:themeColor="text1"/>
          <w:szCs w:val="26"/>
        </w:rPr>
        <w:t xml:space="preserve">205 Cal.App.3d at page 1134, lists plausible justification </w:t>
      </w:r>
      <w:r w:rsidR="00FC3E7A" w:rsidRPr="008A5E0E">
        <w:rPr>
          <w:color w:val="000000" w:themeColor="text1"/>
          <w:szCs w:val="26"/>
        </w:rPr>
        <w:t xml:space="preserve">as the </w:t>
      </w:r>
      <w:r w:rsidRPr="008A5E0E">
        <w:rPr>
          <w:color w:val="000000" w:themeColor="text1"/>
          <w:szCs w:val="26"/>
        </w:rPr>
        <w:t xml:space="preserve">last of </w:t>
      </w:r>
      <w:r w:rsidR="001451C5" w:rsidRPr="008A5E0E">
        <w:rPr>
          <w:color w:val="000000" w:themeColor="text1"/>
          <w:szCs w:val="26"/>
        </w:rPr>
        <w:t xml:space="preserve">its </w:t>
      </w:r>
      <w:r w:rsidRPr="008A5E0E">
        <w:rPr>
          <w:color w:val="000000" w:themeColor="text1"/>
          <w:szCs w:val="26"/>
        </w:rPr>
        <w:t>seven</w:t>
      </w:r>
      <w:r w:rsidR="001451C5" w:rsidRPr="008A5E0E">
        <w:rPr>
          <w:color w:val="000000" w:themeColor="text1"/>
          <w:szCs w:val="26"/>
        </w:rPr>
        <w:t xml:space="preserve"> factors</w:t>
      </w:r>
      <w:r w:rsidRPr="008A5E0E">
        <w:rPr>
          <w:color w:val="000000" w:themeColor="text1"/>
          <w:szCs w:val="26"/>
        </w:rPr>
        <w:t xml:space="preserve"> — but we agree with Justice </w:t>
      </w:r>
      <w:proofErr w:type="spellStart"/>
      <w:r w:rsidRPr="008A5E0E">
        <w:rPr>
          <w:color w:val="000000" w:themeColor="text1"/>
          <w:szCs w:val="26"/>
        </w:rPr>
        <w:t>Hoffstadt’s</w:t>
      </w:r>
      <w:proofErr w:type="spellEnd"/>
      <w:r w:rsidRPr="008A5E0E">
        <w:rPr>
          <w:color w:val="000000" w:themeColor="text1"/>
          <w:szCs w:val="26"/>
        </w:rPr>
        <w:t xml:space="preserve"> treatise that this </w:t>
      </w:r>
      <w:r w:rsidR="00C677A3" w:rsidRPr="008A5E0E">
        <w:rPr>
          <w:color w:val="000000" w:themeColor="text1"/>
          <w:szCs w:val="26"/>
        </w:rPr>
        <w:t xml:space="preserve">consideration </w:t>
      </w:r>
      <w:r w:rsidRPr="008A5E0E">
        <w:rPr>
          <w:color w:val="000000" w:themeColor="text1"/>
          <w:szCs w:val="26"/>
        </w:rPr>
        <w:t xml:space="preserve">should be given prominence and listed first.  </w:t>
      </w:r>
    </w:p>
    <w:p w14:paraId="2D70DD63" w14:textId="051ED756" w:rsidR="00B42CEB" w:rsidRPr="008A5E0E" w:rsidRDefault="00251D1C" w:rsidP="00EA0331">
      <w:pPr>
        <w:pStyle w:val="FootnoteText"/>
        <w:ind w:firstLine="720"/>
        <w:rPr>
          <w:color w:val="000000" w:themeColor="text1"/>
          <w:szCs w:val="26"/>
        </w:rPr>
      </w:pPr>
      <w:r w:rsidRPr="008A5E0E">
        <w:rPr>
          <w:color w:val="000000" w:themeColor="text1"/>
          <w:szCs w:val="26"/>
        </w:rPr>
        <w:t xml:space="preserve">We also note that although most decisions phrase this factor as “plausible justification,” in </w:t>
      </w:r>
      <w:r w:rsidRPr="008A5E0E">
        <w:rPr>
          <w:i/>
          <w:color w:val="000000" w:themeColor="text1"/>
          <w:szCs w:val="26"/>
        </w:rPr>
        <w:t xml:space="preserve">Kling, supra, </w:t>
      </w:r>
      <w:r w:rsidRPr="008A5E0E">
        <w:rPr>
          <w:color w:val="000000" w:themeColor="text1"/>
          <w:szCs w:val="26"/>
        </w:rPr>
        <w:t xml:space="preserve">50 Cal.4th </w:t>
      </w:r>
      <w:r w:rsidR="00953294" w:rsidRPr="008A5E0E">
        <w:rPr>
          <w:color w:val="000000" w:themeColor="text1"/>
          <w:szCs w:val="26"/>
        </w:rPr>
        <w:t>at p</w:t>
      </w:r>
      <w:r w:rsidR="001C6A1E" w:rsidRPr="008A5E0E">
        <w:rPr>
          <w:color w:val="000000" w:themeColor="text1"/>
          <w:szCs w:val="26"/>
        </w:rPr>
        <w:t>age</w:t>
      </w:r>
      <w:r w:rsidRPr="008A5E0E">
        <w:rPr>
          <w:color w:val="000000" w:themeColor="text1"/>
          <w:szCs w:val="26"/>
        </w:rPr>
        <w:t xml:space="preserve"> 1075, we referred to “ ‘a plausible justification or a good cause showing of need,’ ” quoting the lead opinion in </w:t>
      </w:r>
      <w:r w:rsidRPr="008A5E0E">
        <w:rPr>
          <w:i/>
          <w:color w:val="000000" w:themeColor="text1"/>
          <w:szCs w:val="26"/>
        </w:rPr>
        <w:t>Alford v. Superior Court</w:t>
      </w:r>
      <w:r w:rsidRPr="008A5E0E">
        <w:rPr>
          <w:color w:val="000000" w:themeColor="text1"/>
          <w:szCs w:val="26"/>
        </w:rPr>
        <w:t xml:space="preserve"> (2003) 29</w:t>
      </w:r>
      <w:r w:rsidR="00C778B7" w:rsidRPr="008A5E0E">
        <w:rPr>
          <w:color w:val="000000" w:themeColor="text1"/>
          <w:szCs w:val="26"/>
        </w:rPr>
        <w:t> </w:t>
      </w:r>
      <w:r w:rsidRPr="008A5E0E">
        <w:rPr>
          <w:color w:val="000000" w:themeColor="text1"/>
          <w:szCs w:val="26"/>
        </w:rPr>
        <w:t>Cal.4th 1033, 1045 (</w:t>
      </w:r>
      <w:r w:rsidRPr="008A5E0E">
        <w:rPr>
          <w:i/>
          <w:iCs/>
          <w:color w:val="000000" w:themeColor="text1"/>
          <w:szCs w:val="26"/>
        </w:rPr>
        <w:t>Alford</w:t>
      </w:r>
      <w:r w:rsidRPr="008A5E0E">
        <w:rPr>
          <w:color w:val="000000" w:themeColor="text1"/>
          <w:szCs w:val="26"/>
        </w:rPr>
        <w:t xml:space="preserve">), which used that phrasing.  </w:t>
      </w:r>
      <w:r w:rsidRPr="008A5E0E">
        <w:rPr>
          <w:i/>
          <w:iCs/>
          <w:color w:val="000000" w:themeColor="text1"/>
          <w:szCs w:val="26"/>
        </w:rPr>
        <w:t>Alford</w:t>
      </w:r>
      <w:r w:rsidRPr="008A5E0E">
        <w:rPr>
          <w:color w:val="000000" w:themeColor="text1"/>
          <w:szCs w:val="26"/>
        </w:rPr>
        <w:t xml:space="preserve"> in turn cited to </w:t>
      </w:r>
      <w:r w:rsidR="00C55313" w:rsidRPr="008A5E0E">
        <w:rPr>
          <w:i/>
          <w:color w:val="000000" w:themeColor="text1"/>
        </w:rPr>
        <w:t xml:space="preserve">Barrett, supra, </w:t>
      </w:r>
      <w:r w:rsidR="00C55313" w:rsidRPr="008A5E0E">
        <w:rPr>
          <w:color w:val="000000" w:themeColor="text1"/>
        </w:rPr>
        <w:t>80</w:t>
      </w:r>
      <w:r w:rsidR="005D0F9F">
        <w:rPr>
          <w:color w:val="000000" w:themeColor="text1"/>
        </w:rPr>
        <w:t> </w:t>
      </w:r>
      <w:r w:rsidR="00C55313" w:rsidRPr="008A5E0E">
        <w:rPr>
          <w:color w:val="000000" w:themeColor="text1"/>
        </w:rPr>
        <w:t>Cal.App.4th</w:t>
      </w:r>
      <w:r w:rsidRPr="008A5E0E">
        <w:rPr>
          <w:color w:val="000000" w:themeColor="text1"/>
        </w:rPr>
        <w:t xml:space="preserve"> </w:t>
      </w:r>
      <w:r w:rsidR="00C55313" w:rsidRPr="008A5E0E">
        <w:rPr>
          <w:color w:val="000000" w:themeColor="text1"/>
          <w:szCs w:val="26"/>
        </w:rPr>
        <w:t xml:space="preserve">at </w:t>
      </w:r>
      <w:r w:rsidR="00A43127" w:rsidRPr="008A5E0E">
        <w:rPr>
          <w:color w:val="000000" w:themeColor="text1"/>
          <w:szCs w:val="26"/>
        </w:rPr>
        <w:t xml:space="preserve">pages </w:t>
      </w:r>
      <w:r w:rsidRPr="008A5E0E">
        <w:rPr>
          <w:color w:val="000000" w:themeColor="text1"/>
          <w:szCs w:val="26"/>
        </w:rPr>
        <w:t>1320</w:t>
      </w:r>
      <w:r w:rsidR="00FC4B5D" w:rsidRPr="008A5E0E">
        <w:rPr>
          <w:color w:val="000000" w:themeColor="text1"/>
          <w:szCs w:val="26"/>
        </w:rPr>
        <w:t>–</w:t>
      </w:r>
      <w:r w:rsidRPr="008A5E0E">
        <w:rPr>
          <w:color w:val="000000" w:themeColor="text1"/>
          <w:szCs w:val="26"/>
        </w:rPr>
        <w:t>1321</w:t>
      </w:r>
      <w:r w:rsidR="0018394F" w:rsidRPr="008A5E0E">
        <w:rPr>
          <w:color w:val="000000" w:themeColor="text1"/>
          <w:szCs w:val="26"/>
        </w:rPr>
        <w:t xml:space="preserve">, </w:t>
      </w:r>
      <w:r w:rsidRPr="008A5E0E">
        <w:rPr>
          <w:color w:val="000000" w:themeColor="text1"/>
          <w:szCs w:val="26"/>
        </w:rPr>
        <w:t>which</w:t>
      </w:r>
      <w:r w:rsidR="00D74521" w:rsidRPr="008A5E0E">
        <w:rPr>
          <w:color w:val="000000" w:themeColor="text1"/>
          <w:szCs w:val="26"/>
        </w:rPr>
        <w:t>,</w:t>
      </w:r>
      <w:r w:rsidRPr="008A5E0E">
        <w:rPr>
          <w:color w:val="000000" w:themeColor="text1"/>
          <w:szCs w:val="26"/>
        </w:rPr>
        <w:t xml:space="preserve"> in footnote</w:t>
      </w:r>
      <w:r w:rsidR="0020118D">
        <w:rPr>
          <w:color w:val="000000" w:themeColor="text1"/>
          <w:szCs w:val="26"/>
        </w:rPr>
        <w:t> </w:t>
      </w:r>
      <w:r w:rsidRPr="008A5E0E">
        <w:rPr>
          <w:color w:val="000000" w:themeColor="text1"/>
          <w:szCs w:val="26"/>
        </w:rPr>
        <w:t xml:space="preserve">7, employed the disjunctive phrasing.  Earlier, the appellate court’s decision in </w:t>
      </w:r>
      <w:r w:rsidRPr="008A5E0E">
        <w:rPr>
          <w:i/>
          <w:iCs/>
          <w:color w:val="000000" w:themeColor="text1"/>
          <w:szCs w:val="26"/>
        </w:rPr>
        <w:t>Hinojosa v. Superior Court</w:t>
      </w:r>
      <w:r w:rsidRPr="008A5E0E">
        <w:rPr>
          <w:color w:val="000000" w:themeColor="text1"/>
          <w:szCs w:val="26"/>
        </w:rPr>
        <w:t xml:space="preserve"> (1976) 55</w:t>
      </w:r>
      <w:r w:rsidR="00C778B7" w:rsidRPr="008A5E0E">
        <w:rPr>
          <w:color w:val="000000" w:themeColor="text1"/>
          <w:szCs w:val="26"/>
        </w:rPr>
        <w:t> </w:t>
      </w:r>
      <w:r w:rsidRPr="008A5E0E">
        <w:rPr>
          <w:color w:val="000000" w:themeColor="text1"/>
          <w:szCs w:val="26"/>
        </w:rPr>
        <w:t xml:space="preserve">Cal.App.3d 692, 695, also employed the disjunctive phrasing, while citing to our own decision in </w:t>
      </w:r>
      <w:r w:rsidRPr="008A5E0E">
        <w:rPr>
          <w:i/>
          <w:iCs/>
          <w:color w:val="000000" w:themeColor="text1"/>
          <w:szCs w:val="26"/>
        </w:rPr>
        <w:t>Hill</w:t>
      </w:r>
      <w:r w:rsidRPr="008A5E0E">
        <w:rPr>
          <w:color w:val="000000" w:themeColor="text1"/>
          <w:szCs w:val="26"/>
        </w:rPr>
        <w:t xml:space="preserve">, </w:t>
      </w:r>
      <w:r w:rsidRPr="008A5E0E">
        <w:rPr>
          <w:i/>
          <w:iCs/>
          <w:color w:val="000000" w:themeColor="text1"/>
          <w:szCs w:val="26"/>
        </w:rPr>
        <w:t>supra</w:t>
      </w:r>
      <w:r w:rsidRPr="008A5E0E">
        <w:rPr>
          <w:color w:val="000000" w:themeColor="text1"/>
          <w:szCs w:val="26"/>
        </w:rPr>
        <w:t>, 10</w:t>
      </w:r>
      <w:r w:rsidR="00D034F4" w:rsidRPr="008A5E0E">
        <w:rPr>
          <w:color w:val="000000" w:themeColor="text1"/>
          <w:szCs w:val="26"/>
        </w:rPr>
        <w:t> </w:t>
      </w:r>
      <w:r w:rsidRPr="008A5E0E">
        <w:rPr>
          <w:color w:val="000000" w:themeColor="text1"/>
          <w:szCs w:val="26"/>
        </w:rPr>
        <w:t>Cal.3d at p</w:t>
      </w:r>
      <w:r w:rsidR="00A412A4" w:rsidRPr="008A5E0E">
        <w:rPr>
          <w:color w:val="000000" w:themeColor="text1"/>
          <w:szCs w:val="26"/>
        </w:rPr>
        <w:t xml:space="preserve">age </w:t>
      </w:r>
      <w:r w:rsidRPr="008A5E0E">
        <w:rPr>
          <w:color w:val="000000" w:themeColor="text1"/>
          <w:szCs w:val="26"/>
        </w:rPr>
        <w:t xml:space="preserve">817, which, like our earlier decisions in </w:t>
      </w:r>
      <w:r w:rsidRPr="008A5E0E">
        <w:rPr>
          <w:i/>
          <w:color w:val="000000" w:themeColor="text1"/>
          <w:szCs w:val="26"/>
        </w:rPr>
        <w:t xml:space="preserve">Ballard, supra, </w:t>
      </w:r>
      <w:r w:rsidRPr="008A5E0E">
        <w:rPr>
          <w:color w:val="000000" w:themeColor="text1"/>
          <w:szCs w:val="26"/>
        </w:rPr>
        <w:t>64</w:t>
      </w:r>
      <w:r w:rsidR="00B505CF" w:rsidRPr="008A5E0E">
        <w:rPr>
          <w:color w:val="000000" w:themeColor="text1"/>
          <w:szCs w:val="26"/>
        </w:rPr>
        <w:t> </w:t>
      </w:r>
      <w:r w:rsidRPr="008A5E0E">
        <w:rPr>
          <w:color w:val="000000" w:themeColor="text1"/>
          <w:szCs w:val="26"/>
        </w:rPr>
        <w:t>Cal.2d at p</w:t>
      </w:r>
      <w:r w:rsidR="00A43127" w:rsidRPr="008A5E0E">
        <w:rPr>
          <w:color w:val="000000" w:themeColor="text1"/>
          <w:szCs w:val="26"/>
        </w:rPr>
        <w:t xml:space="preserve">age </w:t>
      </w:r>
      <w:r w:rsidRPr="008A5E0E">
        <w:rPr>
          <w:color w:val="000000" w:themeColor="text1"/>
          <w:szCs w:val="26"/>
        </w:rPr>
        <w:t xml:space="preserve">167, and </w:t>
      </w:r>
      <w:r w:rsidRPr="008A5E0E">
        <w:rPr>
          <w:i/>
          <w:iCs/>
          <w:color w:val="000000" w:themeColor="text1"/>
          <w:szCs w:val="26"/>
        </w:rPr>
        <w:t xml:space="preserve">Joe Z., supra, </w:t>
      </w:r>
      <w:r w:rsidRPr="008A5E0E">
        <w:rPr>
          <w:color w:val="000000" w:themeColor="text1"/>
          <w:szCs w:val="26"/>
        </w:rPr>
        <w:t>3</w:t>
      </w:r>
      <w:r w:rsidR="00D034F4" w:rsidRPr="008A5E0E">
        <w:rPr>
          <w:color w:val="000000" w:themeColor="text1"/>
          <w:szCs w:val="26"/>
        </w:rPr>
        <w:t> </w:t>
      </w:r>
      <w:r w:rsidRPr="008A5E0E">
        <w:rPr>
          <w:color w:val="000000" w:themeColor="text1"/>
          <w:szCs w:val="26"/>
        </w:rPr>
        <w:t xml:space="preserve">Cal.3d at </w:t>
      </w:r>
      <w:r w:rsidR="00A43127" w:rsidRPr="008A5E0E">
        <w:rPr>
          <w:color w:val="000000" w:themeColor="text1"/>
          <w:szCs w:val="26"/>
        </w:rPr>
        <w:t>page</w:t>
      </w:r>
      <w:r w:rsidRPr="008A5E0E">
        <w:rPr>
          <w:color w:val="000000" w:themeColor="text1"/>
          <w:szCs w:val="26"/>
        </w:rPr>
        <w:t xml:space="preserve"> 804, spoke only of “plausible justification.”</w:t>
      </w:r>
    </w:p>
    <w:p w14:paraId="3C894264" w14:textId="3129CA6F" w:rsidR="00B42CEB" w:rsidRPr="008C580C" w:rsidRDefault="00251D1C" w:rsidP="00EA0331">
      <w:pPr>
        <w:pStyle w:val="FootnoteText"/>
        <w:ind w:firstLine="720"/>
        <w:rPr>
          <w:color w:val="000000" w:themeColor="text1"/>
        </w:rPr>
      </w:pPr>
      <w:r w:rsidRPr="008A5E0E">
        <w:rPr>
          <w:color w:val="000000" w:themeColor="text1"/>
          <w:szCs w:val="26"/>
        </w:rPr>
        <w:t xml:space="preserve">On reflection, we believe that Justice </w:t>
      </w:r>
      <w:proofErr w:type="spellStart"/>
      <w:r w:rsidRPr="008A5E0E">
        <w:rPr>
          <w:color w:val="000000" w:themeColor="text1"/>
          <w:szCs w:val="26"/>
        </w:rPr>
        <w:t>Hoffstadt’s</w:t>
      </w:r>
      <w:proofErr w:type="spellEnd"/>
      <w:r w:rsidRPr="008A5E0E">
        <w:rPr>
          <w:color w:val="000000" w:themeColor="text1"/>
          <w:szCs w:val="26"/>
        </w:rPr>
        <w:t xml:space="preserve"> phrasing, reflecting that of most other cases (see, e.g., those cited in the text immediately above), is correct.  The plausible justification </w:t>
      </w:r>
      <w:r w:rsidR="000F1C5D" w:rsidRPr="008A5E0E">
        <w:rPr>
          <w:color w:val="000000" w:themeColor="text1"/>
          <w:szCs w:val="26"/>
        </w:rPr>
        <w:t xml:space="preserve">consideration </w:t>
      </w:r>
      <w:r w:rsidRPr="008A5E0E">
        <w:rPr>
          <w:color w:val="000000" w:themeColor="text1"/>
          <w:szCs w:val="26"/>
        </w:rPr>
        <w:t xml:space="preserve">is but one (albeit the most significant) of multiple factors that, together, reflect a global inquiry into whether there is </w:t>
      </w:r>
      <w:proofErr w:type="gramStart"/>
      <w:r w:rsidRPr="008A5E0E">
        <w:rPr>
          <w:color w:val="000000" w:themeColor="text1"/>
          <w:szCs w:val="26"/>
        </w:rPr>
        <w:t>good cause</w:t>
      </w:r>
      <w:proofErr w:type="gramEnd"/>
      <w:r w:rsidRPr="008A5E0E">
        <w:rPr>
          <w:color w:val="000000" w:themeColor="text1"/>
          <w:szCs w:val="26"/>
        </w:rPr>
        <w:t xml:space="preserve"> for a criminal subpoena.  It is included within the overall good</w:t>
      </w:r>
      <w:r w:rsidR="002C0D2E" w:rsidRPr="008A5E0E">
        <w:rPr>
          <w:color w:val="000000" w:themeColor="text1"/>
          <w:szCs w:val="26"/>
        </w:rPr>
        <w:t>-</w:t>
      </w:r>
      <w:r w:rsidRPr="008A5E0E">
        <w:rPr>
          <w:color w:val="000000" w:themeColor="text1"/>
          <w:szCs w:val="26"/>
        </w:rPr>
        <w:t xml:space="preserve">cause inquiry and is not an alternative to that inquiry.  Accordingly, we decline to employ the disjunctive phrasing used in </w:t>
      </w:r>
      <w:r w:rsidRPr="008A5E0E">
        <w:rPr>
          <w:i/>
          <w:iCs/>
          <w:color w:val="000000" w:themeColor="text1"/>
          <w:szCs w:val="26"/>
        </w:rPr>
        <w:t>Kling, Alford</w:t>
      </w:r>
      <w:r w:rsidRPr="008A5E0E">
        <w:rPr>
          <w:color w:val="000000" w:themeColor="text1"/>
          <w:szCs w:val="26"/>
        </w:rPr>
        <w:t xml:space="preserve">, </w:t>
      </w:r>
      <w:r w:rsidRPr="008A5E0E">
        <w:rPr>
          <w:i/>
          <w:iCs/>
          <w:color w:val="000000" w:themeColor="text1"/>
          <w:szCs w:val="26"/>
        </w:rPr>
        <w:t>Barrett</w:t>
      </w:r>
      <w:r w:rsidRPr="008A5E0E">
        <w:rPr>
          <w:color w:val="000000" w:themeColor="text1"/>
          <w:szCs w:val="26"/>
        </w:rPr>
        <w:t>, and</w:t>
      </w:r>
      <w:r w:rsidRPr="008A5E0E">
        <w:rPr>
          <w:i/>
          <w:iCs/>
          <w:color w:val="000000" w:themeColor="text1"/>
          <w:szCs w:val="26"/>
        </w:rPr>
        <w:t xml:space="preserve"> Hinojosa</w:t>
      </w:r>
      <w:r w:rsidRPr="008A5E0E">
        <w:rPr>
          <w:color w:val="000000" w:themeColor="text1"/>
          <w:szCs w:val="26"/>
        </w:rPr>
        <w:t>.</w:t>
      </w:r>
      <w:r w:rsidRPr="008C580C">
        <w:rPr>
          <w:color w:val="000000" w:themeColor="text1"/>
          <w:szCs w:val="26"/>
        </w:rPr>
        <w:t xml:space="preserve">  </w:t>
      </w:r>
    </w:p>
  </w:footnote>
  <w:footnote w:id="8">
    <w:p w14:paraId="05872E5B" w14:textId="4687D0A7" w:rsidR="00B07D3B" w:rsidRPr="008C580C" w:rsidRDefault="00B07D3B"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t xml:space="preserve">In </w:t>
      </w:r>
      <w:r w:rsidRPr="008C580C">
        <w:rPr>
          <w:i/>
          <w:color w:val="000000" w:themeColor="text1"/>
          <w:szCs w:val="26"/>
        </w:rPr>
        <w:t xml:space="preserve">Delaney, supra, </w:t>
      </w:r>
      <w:r w:rsidRPr="008C580C">
        <w:rPr>
          <w:color w:val="000000" w:themeColor="text1"/>
          <w:szCs w:val="26"/>
        </w:rPr>
        <w:t xml:space="preserve">50 Cal.3d 785, we held that </w:t>
      </w:r>
      <w:r w:rsidRPr="008C580C">
        <w:rPr>
          <w:color w:val="000000" w:themeColor="text1"/>
          <w:szCs w:val="26"/>
          <w:shd w:val="clear" w:color="auto" w:fill="FFFFFF"/>
        </w:rPr>
        <w:t xml:space="preserve">when a criminal </w:t>
      </w:r>
      <w:r w:rsidRPr="008C580C">
        <w:rPr>
          <w:color w:val="000000" w:themeColor="text1"/>
          <w:szCs w:val="26"/>
        </w:rPr>
        <w:t xml:space="preserve">defendant who seeks “unpublished information” protected by the </w:t>
      </w:r>
      <w:r w:rsidRPr="008C580C">
        <w:rPr>
          <w:color w:val="000000" w:themeColor="text1"/>
          <w:szCs w:val="26"/>
          <w:shd w:val="clear" w:color="auto" w:fill="FFFFFF"/>
        </w:rPr>
        <w:t xml:space="preserve">newsperson’s shield law (Cal. Const., art. I, § 2, subd. (b); </w:t>
      </w:r>
      <w:proofErr w:type="spellStart"/>
      <w:r w:rsidRPr="008C580C">
        <w:rPr>
          <w:color w:val="000000" w:themeColor="text1"/>
          <w:szCs w:val="26"/>
          <w:shd w:val="clear" w:color="auto" w:fill="FFFFFF"/>
        </w:rPr>
        <w:t>Evid</w:t>
      </w:r>
      <w:proofErr w:type="spellEnd"/>
      <w:r w:rsidRPr="008C580C">
        <w:rPr>
          <w:color w:val="000000" w:themeColor="text1"/>
          <w:szCs w:val="26"/>
          <w:shd w:val="clear" w:color="auto" w:fill="FFFFFF"/>
        </w:rPr>
        <w:t xml:space="preserve">. Code, § 1070) </w:t>
      </w:r>
      <w:r w:rsidRPr="008C580C">
        <w:rPr>
          <w:color w:val="000000" w:themeColor="text1"/>
          <w:szCs w:val="26"/>
        </w:rPr>
        <w:t>subpoenas a reporter and establishes “</w:t>
      </w:r>
      <w:r w:rsidRPr="008C580C">
        <w:rPr>
          <w:color w:val="000000" w:themeColor="text1"/>
          <w:szCs w:val="26"/>
          <w:shd w:val="clear" w:color="auto" w:fill="FFFFFF"/>
        </w:rPr>
        <w:t>a reasonable possibility the [sought] information will materially assist his defense” (50 Cal.3d at p.</w:t>
      </w:r>
      <w:r w:rsidR="00773D1C" w:rsidRPr="008C580C">
        <w:rPr>
          <w:color w:val="000000" w:themeColor="text1"/>
          <w:szCs w:val="26"/>
          <w:shd w:val="clear" w:color="auto" w:fill="FFFFFF"/>
        </w:rPr>
        <w:t> </w:t>
      </w:r>
      <w:r w:rsidRPr="008C580C">
        <w:rPr>
          <w:color w:val="000000" w:themeColor="text1"/>
          <w:szCs w:val="26"/>
          <w:shd w:val="clear" w:color="auto" w:fill="FFFFFF"/>
        </w:rPr>
        <w:t>809</w:t>
      </w:r>
      <w:r w:rsidR="00164939">
        <w:rPr>
          <w:color w:val="000000" w:themeColor="text1"/>
          <w:szCs w:val="26"/>
          <w:shd w:val="clear" w:color="auto" w:fill="FFFFFF"/>
        </w:rPr>
        <w:t>, italics omitted</w:t>
      </w:r>
      <w:r w:rsidRPr="008C580C">
        <w:rPr>
          <w:color w:val="000000" w:themeColor="text1"/>
          <w:szCs w:val="26"/>
          <w:shd w:val="clear" w:color="auto" w:fill="FFFFFF"/>
        </w:rPr>
        <w:t xml:space="preserve">), </w:t>
      </w:r>
      <w:r w:rsidRPr="008C580C">
        <w:rPr>
          <w:color w:val="000000" w:themeColor="text1"/>
          <w:szCs w:val="26"/>
        </w:rPr>
        <w:t>the court must consider and balance various factors, including w</w:t>
      </w:r>
      <w:r w:rsidRPr="008C580C">
        <w:rPr>
          <w:color w:val="000000" w:themeColor="text1"/>
          <w:szCs w:val="26"/>
          <w:shd w:val="clear" w:color="auto" w:fill="FFFFFF"/>
        </w:rPr>
        <w:t xml:space="preserve">hether there is an “alternative source” for the information sought.  Moreover, in considering whether to impose a “universal and inflexible” alternative source requirement in that setting, the trial court must consider </w:t>
      </w:r>
      <w:r w:rsidRPr="008C580C">
        <w:rPr>
          <w:color w:val="000000" w:themeColor="text1"/>
          <w:szCs w:val="26"/>
        </w:rPr>
        <w:t>“the type of information being sought . . . , the quality of the alternative source, and the practicality of obtaining the information from the alternative source.”  (</w:t>
      </w:r>
      <w:r w:rsidRPr="008C580C">
        <w:rPr>
          <w:i/>
          <w:color w:val="000000" w:themeColor="text1"/>
          <w:szCs w:val="26"/>
        </w:rPr>
        <w:t>Id</w:t>
      </w:r>
      <w:r w:rsidRPr="008C580C">
        <w:rPr>
          <w:color w:val="000000" w:themeColor="text1"/>
          <w:szCs w:val="26"/>
        </w:rPr>
        <w:t>., at pp.</w:t>
      </w:r>
      <w:r w:rsidR="0023199C">
        <w:rPr>
          <w:color w:val="000000" w:themeColor="text1"/>
          <w:szCs w:val="26"/>
        </w:rPr>
        <w:t xml:space="preserve"> </w:t>
      </w:r>
      <w:r w:rsidRPr="008C580C">
        <w:rPr>
          <w:color w:val="000000" w:themeColor="text1"/>
          <w:szCs w:val="26"/>
        </w:rPr>
        <w:t>812</w:t>
      </w:r>
      <w:r w:rsidR="009C5285">
        <w:rPr>
          <w:color w:val="000000" w:themeColor="text1"/>
          <w:szCs w:val="26"/>
        </w:rPr>
        <w:t>–</w:t>
      </w:r>
      <w:r w:rsidRPr="008C580C">
        <w:rPr>
          <w:color w:val="000000" w:themeColor="text1"/>
          <w:szCs w:val="26"/>
        </w:rPr>
        <w:t xml:space="preserve">813.)  </w:t>
      </w:r>
    </w:p>
  </w:footnote>
  <w:footnote w:id="9">
    <w:p w14:paraId="11163F6D" w14:textId="1CA1C324" w:rsidR="001E357E" w:rsidRPr="008C580C" w:rsidRDefault="001E357E"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CE5053" w:rsidRPr="008C580C">
        <w:rPr>
          <w:color w:val="000000" w:themeColor="text1"/>
          <w:szCs w:val="26"/>
        </w:rPr>
        <w:t>The motion for discovery asserted that such records, if they exist, “may show that [the witness] has a bias or motive to lie in the current action.”  Moreover, the defendant asserted, “</w:t>
      </w:r>
      <w:r w:rsidR="00CC1485">
        <w:rPr>
          <w:color w:val="000000" w:themeColor="text1"/>
          <w:szCs w:val="26"/>
        </w:rPr>
        <w:t>[The witness]</w:t>
      </w:r>
      <w:r w:rsidR="00CE5053" w:rsidRPr="008C580C">
        <w:rPr>
          <w:color w:val="000000" w:themeColor="text1"/>
          <w:szCs w:val="26"/>
        </w:rPr>
        <w:t xml:space="preserve"> may have prior arr</w:t>
      </w:r>
      <w:r w:rsidR="00CE5053" w:rsidRPr="00CB7845">
        <w:rPr>
          <w:color w:val="000000" w:themeColor="text1"/>
          <w:szCs w:val="26"/>
        </w:rPr>
        <w:t>ests</w:t>
      </w:r>
      <w:r w:rsidR="00D16471">
        <w:rPr>
          <w:color w:val="000000" w:themeColor="text1"/>
          <w:szCs w:val="26"/>
        </w:rPr>
        <w:t xml:space="preserve"> </w:t>
      </w:r>
      <w:r w:rsidR="00CE5053" w:rsidRPr="00CB7845">
        <w:rPr>
          <w:color w:val="000000" w:themeColor="text1"/>
          <w:szCs w:val="26"/>
        </w:rPr>
        <w:t>. . . for burglary.  These incidents may be similar to the current offense” a</w:t>
      </w:r>
      <w:r w:rsidR="00CE5053" w:rsidRPr="008C580C">
        <w:rPr>
          <w:color w:val="000000" w:themeColor="text1"/>
          <w:szCs w:val="26"/>
        </w:rPr>
        <w:t xml:space="preserve">nd could demonstrate that the witness “may be the actual perpetrator of the offense for which [the defendant] is now charged, thus giving him a motive to lie.”  </w:t>
      </w:r>
      <w:r w:rsidR="00CE5053" w:rsidRPr="007F0F22">
        <w:rPr>
          <w:color w:val="000000" w:themeColor="text1"/>
          <w:szCs w:val="26"/>
        </w:rPr>
        <w:t>(</w:t>
      </w:r>
      <w:r w:rsidR="00DD32F9" w:rsidRPr="007F0F22">
        <w:rPr>
          <w:i/>
          <w:color w:val="000000" w:themeColor="text1"/>
          <w:szCs w:val="26"/>
        </w:rPr>
        <w:t xml:space="preserve">Hill, supra, </w:t>
      </w:r>
      <w:r w:rsidR="00DD32F9" w:rsidRPr="007F0F22">
        <w:rPr>
          <w:color w:val="000000" w:themeColor="text1"/>
          <w:szCs w:val="26"/>
        </w:rPr>
        <w:t>10 Cal.3d at</w:t>
      </w:r>
      <w:r w:rsidR="00DD32F9" w:rsidRPr="004B4421">
        <w:rPr>
          <w:i/>
          <w:iCs/>
          <w:color w:val="000000" w:themeColor="text1"/>
          <w:szCs w:val="26"/>
        </w:rPr>
        <w:t xml:space="preserve"> </w:t>
      </w:r>
      <w:r w:rsidR="00CE5053" w:rsidRPr="007F0F22">
        <w:rPr>
          <w:color w:val="000000" w:themeColor="text1"/>
          <w:szCs w:val="26"/>
        </w:rPr>
        <w:t>p.</w:t>
      </w:r>
      <w:r w:rsidR="00773D1C" w:rsidRPr="007F0F22">
        <w:rPr>
          <w:color w:val="000000" w:themeColor="text1"/>
          <w:szCs w:val="26"/>
        </w:rPr>
        <w:t> </w:t>
      </w:r>
      <w:r w:rsidR="00CE5053" w:rsidRPr="007F0F22">
        <w:rPr>
          <w:color w:val="000000" w:themeColor="text1"/>
          <w:szCs w:val="26"/>
        </w:rPr>
        <w:t>815.)</w:t>
      </w:r>
      <w:r w:rsidR="00CE5053" w:rsidRPr="008C580C">
        <w:rPr>
          <w:color w:val="000000" w:themeColor="text1"/>
          <w:szCs w:val="26"/>
        </w:rPr>
        <w:t xml:space="preserve">  </w:t>
      </w:r>
    </w:p>
  </w:footnote>
  <w:footnote w:id="10">
    <w:p w14:paraId="62EEDB9E" w14:textId="0580094A" w:rsidR="003B7B4A" w:rsidRPr="008C580C" w:rsidRDefault="003B7B4A"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We were careful to stress, however, that our conclusion was based on a consideration of </w:t>
      </w:r>
      <w:r w:rsidRPr="008C580C">
        <w:rPr>
          <w:i/>
          <w:iCs/>
          <w:color w:val="000000" w:themeColor="text1"/>
          <w:szCs w:val="26"/>
        </w:rPr>
        <w:t>all</w:t>
      </w:r>
      <w:r w:rsidRPr="008C580C">
        <w:rPr>
          <w:color w:val="000000" w:themeColor="text1"/>
          <w:szCs w:val="26"/>
        </w:rPr>
        <w:t xml:space="preserve"> of the relevant factors — and we pointedly cautioned that a finding of good cause should not flow automatically “in every case in which a defendant charged with a felony seeks discovery of any felony convictions in any ‘rap sheet’ of prosecution witnesses.”  (</w:t>
      </w:r>
      <w:r w:rsidR="00B77FAC" w:rsidRPr="008C580C">
        <w:rPr>
          <w:i/>
          <w:color w:val="000000" w:themeColor="text1"/>
          <w:szCs w:val="26"/>
        </w:rPr>
        <w:t xml:space="preserve">Hill, supra, </w:t>
      </w:r>
      <w:r w:rsidR="00B77FAC" w:rsidRPr="008C580C">
        <w:rPr>
          <w:color w:val="000000" w:themeColor="text1"/>
          <w:szCs w:val="26"/>
        </w:rPr>
        <w:t>10 Cal.3d at p. 819.</w:t>
      </w:r>
      <w:r w:rsidRPr="008C580C">
        <w:rPr>
          <w:color w:val="000000" w:themeColor="text1"/>
          <w:szCs w:val="26"/>
        </w:rPr>
        <w:t>)  Instead, we clarified, discretion remains with the trial judge to determine, based on all the relevant factors, whether to grant such discovery.  (</w:t>
      </w:r>
      <w:r w:rsidRPr="008C580C">
        <w:rPr>
          <w:i/>
          <w:iCs/>
          <w:color w:val="000000" w:themeColor="text1"/>
          <w:szCs w:val="26"/>
        </w:rPr>
        <w:t>Id.</w:t>
      </w:r>
      <w:r w:rsidRPr="008C580C">
        <w:rPr>
          <w:color w:val="000000" w:themeColor="text1"/>
          <w:szCs w:val="26"/>
        </w:rPr>
        <w:t>, at p.</w:t>
      </w:r>
      <w:r w:rsidR="00773D1C" w:rsidRPr="008C580C">
        <w:rPr>
          <w:color w:val="000000" w:themeColor="text1"/>
          <w:szCs w:val="26"/>
        </w:rPr>
        <w:t> </w:t>
      </w:r>
      <w:r w:rsidRPr="008C580C">
        <w:rPr>
          <w:color w:val="000000" w:themeColor="text1"/>
          <w:szCs w:val="26"/>
        </w:rPr>
        <w:t>820.)</w:t>
      </w:r>
    </w:p>
  </w:footnote>
  <w:footnote w:id="11">
    <w:p w14:paraId="5DEC6455" w14:textId="41A010AA" w:rsidR="003B7B4A" w:rsidRPr="008C580C" w:rsidRDefault="003B7B4A"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rFonts w:cstheme="minorHAnsi"/>
          <w:color w:val="000000" w:themeColor="text1"/>
          <w:szCs w:val="26"/>
        </w:rPr>
        <w:t xml:space="preserve">We elaborated:  “Before ruling, [the trial court] inquired whether there were any facts in [defense counsel’s] declaration indicating that [the prospective witness] ‘may have been involved’ other than his claiming to have been an eyewitness, and [defense counsel] replied, ‘No . . . .’  [Defense counsel] also advised the court that [the prospective witness] was the one who ‘initially called the police’ </w:t>
      </w:r>
      <w:proofErr w:type="gramStart"/>
      <w:r w:rsidRPr="008C580C">
        <w:rPr>
          <w:rFonts w:cstheme="minorHAnsi"/>
          <w:color w:val="000000" w:themeColor="text1"/>
          <w:szCs w:val="26"/>
        </w:rPr>
        <w:t>apparently regarding</w:t>
      </w:r>
      <w:proofErr w:type="gramEnd"/>
      <w:r w:rsidRPr="008C580C">
        <w:rPr>
          <w:rFonts w:cstheme="minorHAnsi"/>
          <w:color w:val="000000" w:themeColor="text1"/>
          <w:szCs w:val="26"/>
        </w:rPr>
        <w:t xml:space="preserve"> the crime charged against [the defendant].  Even if [the prospective witness] committed prior offenses having a distinctive modus operandi common to both the prior offenses and the offense charged, that fact, together with his calling the police and claiming to have been an eyewitness to the offense charged would not, without more, warrant a reasonable belief that [the prospective witness] committed that offense and therefore had an interest in the case which might affect his credibility.  Those facts at best would raise only a suspicion that [the prospective witness] might have committed the instant offense.  And in the words of [the trial] court, ‘it seems . . . that what [</w:t>
      </w:r>
      <w:r w:rsidR="00F73958">
        <w:rPr>
          <w:rFonts w:cstheme="minorHAnsi"/>
          <w:color w:val="000000" w:themeColor="text1"/>
          <w:szCs w:val="26"/>
        </w:rPr>
        <w:t>[</w:t>
      </w:r>
      <w:r w:rsidRPr="008C580C">
        <w:rPr>
          <w:rFonts w:cstheme="minorHAnsi"/>
          <w:color w:val="000000" w:themeColor="text1"/>
          <w:szCs w:val="26"/>
        </w:rPr>
        <w:t>defense counsel] is</w:t>
      </w:r>
      <w:r w:rsidR="00F73958">
        <w:rPr>
          <w:rFonts w:cstheme="minorHAnsi"/>
          <w:color w:val="000000" w:themeColor="text1"/>
          <w:szCs w:val="26"/>
        </w:rPr>
        <w:t>]</w:t>
      </w:r>
      <w:r w:rsidRPr="008C580C">
        <w:rPr>
          <w:rFonts w:cstheme="minorHAnsi"/>
          <w:color w:val="000000" w:themeColor="text1"/>
          <w:szCs w:val="26"/>
        </w:rPr>
        <w:t xml:space="preserve"> suggesting </w:t>
      </w:r>
      <w:r w:rsidR="00F73958">
        <w:rPr>
          <w:rFonts w:cstheme="minorHAnsi"/>
          <w:color w:val="000000" w:themeColor="text1"/>
          <w:szCs w:val="26"/>
        </w:rPr>
        <w:t>[</w:t>
      </w:r>
      <w:r w:rsidRPr="008C580C">
        <w:rPr>
          <w:rFonts w:cstheme="minorHAnsi"/>
          <w:color w:val="000000" w:themeColor="text1"/>
          <w:szCs w:val="26"/>
        </w:rPr>
        <w:t>i.e., allowing discovery of [the</w:t>
      </w:r>
      <w:r w:rsidR="00F73958">
        <w:rPr>
          <w:rFonts w:cstheme="minorHAnsi"/>
          <w:color w:val="000000" w:themeColor="text1"/>
          <w:szCs w:val="26"/>
        </w:rPr>
        <w:t xml:space="preserve"> witness’s</w:t>
      </w:r>
      <w:r w:rsidRPr="008C580C">
        <w:rPr>
          <w:rFonts w:cstheme="minorHAnsi"/>
          <w:color w:val="000000" w:themeColor="text1"/>
          <w:szCs w:val="26"/>
        </w:rPr>
        <w:t>] arrest and detention records, if any</w:t>
      </w:r>
      <w:r w:rsidR="00F73958">
        <w:rPr>
          <w:rFonts w:cstheme="minorHAnsi"/>
          <w:color w:val="000000" w:themeColor="text1"/>
          <w:szCs w:val="26"/>
        </w:rPr>
        <w:t>]</w:t>
      </w:r>
      <w:r w:rsidRPr="008C580C">
        <w:rPr>
          <w:rFonts w:cstheme="minorHAnsi"/>
          <w:color w:val="000000" w:themeColor="text1"/>
          <w:szCs w:val="26"/>
        </w:rPr>
        <w:t xml:space="preserve"> would have </w:t>
      </w:r>
      <w:proofErr w:type="gramStart"/>
      <w:r w:rsidRPr="008C580C">
        <w:rPr>
          <w:rFonts w:cstheme="minorHAnsi"/>
          <w:color w:val="000000" w:themeColor="text1"/>
          <w:szCs w:val="26"/>
        </w:rPr>
        <w:t>an awesome</w:t>
      </w:r>
      <w:proofErr w:type="gramEnd"/>
      <w:r w:rsidRPr="008C580C">
        <w:rPr>
          <w:rFonts w:cstheme="minorHAnsi"/>
          <w:color w:val="000000" w:themeColor="text1"/>
          <w:szCs w:val="26"/>
        </w:rPr>
        <w:t xml:space="preserve"> effect on people reporting crime.’ ”  (</w:t>
      </w:r>
      <w:r w:rsidRPr="008C580C">
        <w:rPr>
          <w:i/>
          <w:color w:val="000000" w:themeColor="text1"/>
          <w:szCs w:val="26"/>
        </w:rPr>
        <w:t xml:space="preserve">Hill, supra, </w:t>
      </w:r>
      <w:r w:rsidRPr="008C580C">
        <w:rPr>
          <w:color w:val="000000" w:themeColor="text1"/>
          <w:szCs w:val="26"/>
        </w:rPr>
        <w:t>10 Cal.3d at pp.</w:t>
      </w:r>
      <w:r w:rsidR="00773D1C" w:rsidRPr="008C580C">
        <w:rPr>
          <w:color w:val="000000" w:themeColor="text1"/>
          <w:szCs w:val="26"/>
        </w:rPr>
        <w:t> </w:t>
      </w:r>
      <w:r w:rsidRPr="008C580C">
        <w:rPr>
          <w:color w:val="000000" w:themeColor="text1"/>
          <w:szCs w:val="26"/>
        </w:rPr>
        <w:t>822</w:t>
      </w:r>
      <w:r w:rsidR="005100EA">
        <w:rPr>
          <w:color w:val="000000" w:themeColor="text1"/>
          <w:szCs w:val="26"/>
        </w:rPr>
        <w:t>–</w:t>
      </w:r>
      <w:r w:rsidRPr="008C580C">
        <w:rPr>
          <w:color w:val="000000" w:themeColor="text1"/>
          <w:szCs w:val="26"/>
        </w:rPr>
        <w:t>823.</w:t>
      </w:r>
      <w:r w:rsidRPr="008C580C">
        <w:rPr>
          <w:rFonts w:cstheme="minorHAnsi"/>
          <w:color w:val="000000" w:themeColor="text1"/>
          <w:szCs w:val="26"/>
        </w:rPr>
        <w:t>)</w:t>
      </w:r>
      <w:r w:rsidRPr="008C580C">
        <w:rPr>
          <w:color w:val="000000" w:themeColor="text1"/>
          <w:szCs w:val="26"/>
        </w:rPr>
        <w:t xml:space="preserve"> </w:t>
      </w:r>
      <w:r w:rsidRPr="008C580C">
        <w:rPr>
          <w:rFonts w:cstheme="minorHAnsi"/>
          <w:color w:val="000000" w:themeColor="text1"/>
          <w:szCs w:val="26"/>
        </w:rPr>
        <w:t xml:space="preserve"> At the same time, and of potential significance to the present case, we suggested that such discovery might be proper if it related to a valid claim of self-defense, and if </w:t>
      </w:r>
      <w:r w:rsidRPr="008C580C">
        <w:rPr>
          <w:color w:val="000000" w:themeColor="text1"/>
        </w:rPr>
        <w:t>a jury could reasonably determine from the sought information, along with any other proffered evidence, that the defendant had been acting in self-defense</w:t>
      </w:r>
      <w:r w:rsidRPr="008C580C">
        <w:rPr>
          <w:rFonts w:cstheme="minorHAnsi"/>
          <w:color w:val="000000" w:themeColor="text1"/>
          <w:szCs w:val="26"/>
        </w:rPr>
        <w:t>.  (</w:t>
      </w:r>
      <w:r w:rsidRPr="008C580C">
        <w:rPr>
          <w:rFonts w:cstheme="minorHAnsi"/>
          <w:i/>
          <w:iCs/>
          <w:color w:val="000000" w:themeColor="text1"/>
          <w:szCs w:val="26"/>
        </w:rPr>
        <w:t>Id.</w:t>
      </w:r>
      <w:r w:rsidRPr="008C580C">
        <w:rPr>
          <w:rFonts w:cstheme="minorHAnsi"/>
          <w:color w:val="000000" w:themeColor="text1"/>
          <w:szCs w:val="26"/>
        </w:rPr>
        <w:t>, at p.</w:t>
      </w:r>
      <w:r w:rsidR="00773D1C" w:rsidRPr="008C580C">
        <w:rPr>
          <w:rFonts w:cstheme="minorHAnsi"/>
          <w:color w:val="000000" w:themeColor="text1"/>
          <w:szCs w:val="26"/>
        </w:rPr>
        <w:t> </w:t>
      </w:r>
      <w:r w:rsidRPr="008C580C">
        <w:rPr>
          <w:rFonts w:cstheme="minorHAnsi"/>
          <w:color w:val="000000" w:themeColor="text1"/>
          <w:szCs w:val="26"/>
        </w:rPr>
        <w:t>823.)</w:t>
      </w:r>
    </w:p>
  </w:footnote>
  <w:footnote w:id="12">
    <w:p w14:paraId="62B3CD14" w14:textId="73AC65E0" w:rsidR="00EC56CC" w:rsidRPr="008C580C" w:rsidRDefault="002B1881" w:rsidP="00EA0331">
      <w:pPr>
        <w:pStyle w:val="Text"/>
        <w:spacing w:line="300" w:lineRule="exact"/>
        <w:ind w:firstLine="0"/>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732E3D" w:rsidRPr="008C580C">
        <w:rPr>
          <w:color w:val="000000" w:themeColor="text1"/>
        </w:rPr>
        <w:t xml:space="preserve">In </w:t>
      </w:r>
      <w:r w:rsidR="00125413" w:rsidRPr="008C580C">
        <w:rPr>
          <w:i/>
          <w:color w:val="000000" w:themeColor="text1"/>
          <w:szCs w:val="26"/>
        </w:rPr>
        <w:t>Facebook (Hunter)</w:t>
      </w:r>
      <w:r w:rsidR="00125413" w:rsidRPr="008C580C">
        <w:rPr>
          <w:color w:val="000000" w:themeColor="text1"/>
          <w:szCs w:val="26"/>
        </w:rPr>
        <w:t xml:space="preserve"> the defendants sought social media communications related to two persons:  The homicide victim, Rice; and the prosecution’s </w:t>
      </w:r>
      <w:r w:rsidR="00A25866">
        <w:rPr>
          <w:color w:val="000000" w:themeColor="text1"/>
          <w:szCs w:val="26"/>
        </w:rPr>
        <w:t xml:space="preserve">key </w:t>
      </w:r>
      <w:r w:rsidR="00125413" w:rsidRPr="008C580C">
        <w:rPr>
          <w:color w:val="000000" w:themeColor="text1"/>
          <w:szCs w:val="26"/>
        </w:rPr>
        <w:t xml:space="preserve">witness, Lee.  Concerning the deceased Rice, the information was sought, not for character impeachment, but to (1) </w:t>
      </w:r>
      <w:r w:rsidR="00125413" w:rsidRPr="008C580C">
        <w:rPr>
          <w:i/>
          <w:color w:val="000000" w:themeColor="text1"/>
          <w:szCs w:val="26"/>
        </w:rPr>
        <w:t>directly challenge the prosecution expert’s anticipated testimony that the underlying shooting was gang-related</w:t>
      </w:r>
      <w:r w:rsidR="00125413" w:rsidRPr="008C580C">
        <w:rPr>
          <w:color w:val="000000" w:themeColor="text1"/>
          <w:szCs w:val="26"/>
        </w:rPr>
        <w:t xml:space="preserve">; and also </w:t>
      </w:r>
      <w:r w:rsidR="00EB6A3F">
        <w:rPr>
          <w:color w:val="000000" w:themeColor="text1"/>
          <w:szCs w:val="26"/>
        </w:rPr>
        <w:t xml:space="preserve">to </w:t>
      </w:r>
      <w:r w:rsidR="00125413" w:rsidRPr="008C580C">
        <w:rPr>
          <w:color w:val="000000" w:themeColor="text1"/>
          <w:szCs w:val="26"/>
        </w:rPr>
        <w:t>(2) “ ‘locate exculpatory evidence’ ” (and attempt to establish a form o</w:t>
      </w:r>
      <w:r w:rsidR="00916379">
        <w:rPr>
          <w:color w:val="000000" w:themeColor="text1"/>
          <w:szCs w:val="26"/>
        </w:rPr>
        <w:t>f</w:t>
      </w:r>
      <w:r w:rsidR="00125413" w:rsidRPr="008C580C">
        <w:rPr>
          <w:color w:val="000000" w:themeColor="text1"/>
          <w:szCs w:val="26"/>
        </w:rPr>
        <w:t xml:space="preserve"> self-defense, or imperfect self-defense), in light of </w:t>
      </w:r>
      <w:r w:rsidR="00E33AC4" w:rsidRPr="008C580C">
        <w:rPr>
          <w:color w:val="000000" w:themeColor="text1"/>
          <w:szCs w:val="26"/>
        </w:rPr>
        <w:t xml:space="preserve">Rice’s </w:t>
      </w:r>
      <w:r w:rsidR="00125413" w:rsidRPr="008C580C">
        <w:rPr>
          <w:color w:val="000000" w:themeColor="text1"/>
          <w:szCs w:val="26"/>
        </w:rPr>
        <w:t xml:space="preserve">public posts showing that </w:t>
      </w:r>
      <w:r w:rsidR="00AA7545" w:rsidRPr="008C580C">
        <w:rPr>
          <w:color w:val="000000" w:themeColor="text1"/>
          <w:szCs w:val="26"/>
        </w:rPr>
        <w:t xml:space="preserve">he </w:t>
      </w:r>
      <w:r w:rsidR="00125413" w:rsidRPr="008C580C">
        <w:rPr>
          <w:color w:val="000000" w:themeColor="text1"/>
          <w:szCs w:val="26"/>
        </w:rPr>
        <w:t xml:space="preserve">was a violent person who </w:t>
      </w:r>
      <w:r w:rsidR="00125413" w:rsidRPr="008C580C">
        <w:rPr>
          <w:i/>
          <w:color w:val="000000" w:themeColor="text1"/>
          <w:szCs w:val="26"/>
        </w:rPr>
        <w:t>had previously threate</w:t>
      </w:r>
      <w:r w:rsidR="00125413" w:rsidRPr="00126D58">
        <w:rPr>
          <w:i/>
          <w:color w:val="000000" w:themeColor="text1"/>
          <w:szCs w:val="26"/>
        </w:rPr>
        <w:t>ned the defendants and others</w:t>
      </w:r>
      <w:r w:rsidR="00EC56CC" w:rsidRPr="00126D58">
        <w:rPr>
          <w:i/>
          <w:color w:val="000000" w:themeColor="text1"/>
          <w:szCs w:val="26"/>
        </w:rPr>
        <w:t xml:space="preserve"> on social media</w:t>
      </w:r>
      <w:r w:rsidR="00125413" w:rsidRPr="00126D58">
        <w:rPr>
          <w:color w:val="000000" w:themeColor="text1"/>
          <w:szCs w:val="26"/>
        </w:rPr>
        <w:t>.  (</w:t>
      </w:r>
      <w:r w:rsidR="00125413" w:rsidRPr="006053C2">
        <w:rPr>
          <w:i/>
          <w:color w:val="000000" w:themeColor="text1"/>
          <w:szCs w:val="26"/>
        </w:rPr>
        <w:t xml:space="preserve">Facebook (Hunter), supra, </w:t>
      </w:r>
      <w:r w:rsidR="00125413" w:rsidRPr="006053C2">
        <w:rPr>
          <w:color w:val="000000" w:themeColor="text1"/>
          <w:szCs w:val="26"/>
        </w:rPr>
        <w:t xml:space="preserve">4 Cal.5th at </w:t>
      </w:r>
      <w:r w:rsidR="00125413" w:rsidRPr="00126D58">
        <w:rPr>
          <w:color w:val="000000" w:themeColor="text1"/>
          <w:szCs w:val="26"/>
        </w:rPr>
        <w:t>p. 1256</w:t>
      </w:r>
      <w:r w:rsidR="005B7CF2">
        <w:rPr>
          <w:color w:val="000000" w:themeColor="text1"/>
          <w:szCs w:val="26"/>
        </w:rPr>
        <w:t xml:space="preserve">; see also </w:t>
      </w:r>
      <w:r w:rsidR="00A32714" w:rsidRPr="004B4421">
        <w:rPr>
          <w:i/>
          <w:iCs/>
          <w:color w:val="000000" w:themeColor="text1"/>
          <w:szCs w:val="26"/>
        </w:rPr>
        <w:t>id.</w:t>
      </w:r>
      <w:r w:rsidR="00A32714">
        <w:rPr>
          <w:color w:val="000000" w:themeColor="text1"/>
          <w:szCs w:val="26"/>
        </w:rPr>
        <w:t xml:space="preserve">, at p. </w:t>
      </w:r>
      <w:r w:rsidR="00125413" w:rsidRPr="006053C2">
        <w:rPr>
          <w:color w:val="000000" w:themeColor="text1"/>
          <w:szCs w:val="26"/>
        </w:rPr>
        <w:t>1257.)  Concerning witness Lee, defen</w:t>
      </w:r>
      <w:r w:rsidR="00125413" w:rsidRPr="008C580C">
        <w:rPr>
          <w:color w:val="000000" w:themeColor="text1"/>
          <w:szCs w:val="26"/>
        </w:rPr>
        <w:t xml:space="preserve">dants sought to obtain yet more of her violence-inflected </w:t>
      </w:r>
      <w:r w:rsidR="00366E11">
        <w:rPr>
          <w:color w:val="000000" w:themeColor="text1"/>
          <w:szCs w:val="26"/>
        </w:rPr>
        <w:t xml:space="preserve">social media </w:t>
      </w:r>
      <w:r w:rsidR="00125413" w:rsidRPr="008C580C">
        <w:rPr>
          <w:color w:val="000000" w:themeColor="text1"/>
          <w:szCs w:val="26"/>
        </w:rPr>
        <w:t xml:space="preserve">posts so as to </w:t>
      </w:r>
      <w:r w:rsidR="00125413" w:rsidRPr="008C580C">
        <w:rPr>
          <w:i/>
          <w:color w:val="000000" w:themeColor="text1"/>
          <w:szCs w:val="26"/>
        </w:rPr>
        <w:t>impeach</w:t>
      </w:r>
      <w:r w:rsidR="00125413" w:rsidRPr="008C580C">
        <w:rPr>
          <w:color w:val="000000" w:themeColor="text1"/>
          <w:szCs w:val="26"/>
        </w:rPr>
        <w:t xml:space="preserve"> her by emphasizing her threats made to others, and to argue that her testimony against defendants, one of whom was her former boyfriend, was motivated by jealous rage.  (</w:t>
      </w:r>
      <w:r w:rsidR="00125413" w:rsidRPr="008C580C">
        <w:rPr>
          <w:i/>
          <w:color w:val="000000" w:themeColor="text1"/>
          <w:szCs w:val="26"/>
        </w:rPr>
        <w:t>Id.</w:t>
      </w:r>
      <w:r w:rsidR="00125413" w:rsidRPr="008C580C">
        <w:rPr>
          <w:color w:val="000000" w:themeColor="text1"/>
          <w:szCs w:val="26"/>
        </w:rPr>
        <w:t xml:space="preserve">, at p. 1257.)  </w:t>
      </w:r>
      <w:r w:rsidR="004C41BA">
        <w:rPr>
          <w:color w:val="000000" w:themeColor="text1"/>
          <w:szCs w:val="26"/>
        </w:rPr>
        <w:t xml:space="preserve">In addition, Lee had been </w:t>
      </w:r>
      <w:r w:rsidR="00125413" w:rsidRPr="008C580C">
        <w:rPr>
          <w:color w:val="000000" w:themeColor="text1"/>
          <w:szCs w:val="26"/>
        </w:rPr>
        <w:t xml:space="preserve">implicated by </w:t>
      </w:r>
      <w:proofErr w:type="gramStart"/>
      <w:r w:rsidR="00125413" w:rsidRPr="008C580C">
        <w:rPr>
          <w:color w:val="000000" w:themeColor="text1"/>
          <w:szCs w:val="26"/>
        </w:rPr>
        <w:t>some</w:t>
      </w:r>
      <w:proofErr w:type="gramEnd"/>
      <w:r w:rsidR="00125413" w:rsidRPr="008C580C">
        <w:rPr>
          <w:color w:val="000000" w:themeColor="text1"/>
          <w:szCs w:val="26"/>
        </w:rPr>
        <w:t xml:space="preserve"> witnesses as the driver of the car used by defendants </w:t>
      </w:r>
      <w:r w:rsidR="002A2661">
        <w:rPr>
          <w:color w:val="000000" w:themeColor="text1"/>
          <w:szCs w:val="26"/>
        </w:rPr>
        <w:t xml:space="preserve">when </w:t>
      </w:r>
      <w:r w:rsidR="00125413" w:rsidRPr="008C580C">
        <w:rPr>
          <w:color w:val="000000" w:themeColor="text1"/>
          <w:szCs w:val="26"/>
        </w:rPr>
        <w:t>the shooting</w:t>
      </w:r>
      <w:r w:rsidR="002A2661">
        <w:rPr>
          <w:color w:val="000000" w:themeColor="text1"/>
          <w:szCs w:val="26"/>
        </w:rPr>
        <w:t xml:space="preserve"> </w:t>
      </w:r>
      <w:r w:rsidR="00AF33D1">
        <w:rPr>
          <w:color w:val="000000" w:themeColor="text1"/>
          <w:szCs w:val="26"/>
        </w:rPr>
        <w:t>occurred</w:t>
      </w:r>
      <w:r w:rsidR="00125413" w:rsidRPr="008C580C">
        <w:rPr>
          <w:color w:val="000000" w:themeColor="text1"/>
          <w:szCs w:val="26"/>
        </w:rPr>
        <w:t>.  (</w:t>
      </w:r>
      <w:r w:rsidR="00125413" w:rsidRPr="008C580C">
        <w:rPr>
          <w:i/>
          <w:color w:val="000000" w:themeColor="text1"/>
          <w:szCs w:val="26"/>
        </w:rPr>
        <w:t>Id</w:t>
      </w:r>
      <w:r w:rsidR="00125413" w:rsidRPr="008C580C">
        <w:rPr>
          <w:color w:val="000000" w:themeColor="text1"/>
          <w:szCs w:val="26"/>
        </w:rPr>
        <w:t>., at p.</w:t>
      </w:r>
      <w:r w:rsidR="006221F6">
        <w:rPr>
          <w:color w:val="000000" w:themeColor="text1"/>
          <w:szCs w:val="26"/>
        </w:rPr>
        <w:t> </w:t>
      </w:r>
      <w:r w:rsidR="00125413" w:rsidRPr="008C580C">
        <w:rPr>
          <w:color w:val="000000" w:themeColor="text1"/>
          <w:szCs w:val="26"/>
        </w:rPr>
        <w:t>1253, fn.</w:t>
      </w:r>
      <w:r w:rsidR="0020118D">
        <w:rPr>
          <w:color w:val="000000" w:themeColor="text1"/>
          <w:szCs w:val="26"/>
        </w:rPr>
        <w:t> </w:t>
      </w:r>
      <w:r w:rsidR="00125413" w:rsidRPr="008C580C">
        <w:rPr>
          <w:color w:val="000000" w:themeColor="text1"/>
          <w:szCs w:val="26"/>
        </w:rPr>
        <w:t xml:space="preserve">4.)  </w:t>
      </w:r>
      <w:r w:rsidR="004C41BA">
        <w:rPr>
          <w:color w:val="000000" w:themeColor="text1"/>
          <w:szCs w:val="26"/>
        </w:rPr>
        <w:t xml:space="preserve">These facts gave the defense a more specific basis for seeking the communications of Rice and </w:t>
      </w:r>
      <w:r w:rsidR="004C41BA" w:rsidRPr="00B5521F">
        <w:rPr>
          <w:color w:val="000000" w:themeColor="text1"/>
          <w:szCs w:val="26"/>
        </w:rPr>
        <w:t>Lee</w:t>
      </w:r>
      <w:r w:rsidR="00852628" w:rsidRPr="00B5521F">
        <w:rPr>
          <w:color w:val="000000" w:themeColor="text1"/>
          <w:szCs w:val="26"/>
        </w:rPr>
        <w:t xml:space="preserve">, beyond </w:t>
      </w:r>
      <w:r w:rsidR="00992EAE">
        <w:rPr>
          <w:color w:val="000000" w:themeColor="text1"/>
          <w:szCs w:val="26"/>
        </w:rPr>
        <w:t xml:space="preserve">identifying general character impeachment evidence.  </w:t>
      </w:r>
      <w:r w:rsidR="00866FCD">
        <w:rPr>
          <w:color w:val="000000" w:themeColor="text1"/>
          <w:szCs w:val="26"/>
        </w:rPr>
        <w:t xml:space="preserve">Under the </w:t>
      </w:r>
      <w:r w:rsidR="00866FCD">
        <w:rPr>
          <w:i/>
          <w:color w:val="000000" w:themeColor="text1"/>
          <w:szCs w:val="26"/>
        </w:rPr>
        <w:t>Alhambra</w:t>
      </w:r>
      <w:r w:rsidR="00866FCD">
        <w:rPr>
          <w:color w:val="000000" w:themeColor="text1"/>
          <w:szCs w:val="26"/>
        </w:rPr>
        <w:t xml:space="preserve"> framework, a trial court may </w:t>
      </w:r>
      <w:proofErr w:type="gramStart"/>
      <w:r w:rsidR="00866FCD">
        <w:rPr>
          <w:color w:val="000000" w:themeColor="text1"/>
          <w:szCs w:val="26"/>
        </w:rPr>
        <w:t>take into account</w:t>
      </w:r>
      <w:proofErr w:type="gramEnd"/>
      <w:r w:rsidR="00866FCD">
        <w:rPr>
          <w:color w:val="000000" w:themeColor="text1"/>
          <w:szCs w:val="26"/>
        </w:rPr>
        <w:t xml:space="preserve"> these </w:t>
      </w:r>
      <w:r w:rsidR="00AF5A37">
        <w:rPr>
          <w:color w:val="000000" w:themeColor="text1"/>
          <w:szCs w:val="26"/>
        </w:rPr>
        <w:t>kinds</w:t>
      </w:r>
      <w:r w:rsidR="00866FCD">
        <w:rPr>
          <w:color w:val="000000" w:themeColor="text1"/>
          <w:szCs w:val="26"/>
        </w:rPr>
        <w:t xml:space="preserve"> of c</w:t>
      </w:r>
      <w:r w:rsidR="00570647">
        <w:rPr>
          <w:color w:val="000000" w:themeColor="text1"/>
          <w:szCs w:val="26"/>
        </w:rPr>
        <w:t xml:space="preserve">ase-specific considerations </w:t>
      </w:r>
      <w:r w:rsidR="00866FCD">
        <w:rPr>
          <w:color w:val="000000" w:themeColor="text1"/>
          <w:szCs w:val="26"/>
        </w:rPr>
        <w:t>in evaluating</w:t>
      </w:r>
      <w:r w:rsidR="00570647">
        <w:rPr>
          <w:color w:val="000000" w:themeColor="text1"/>
          <w:szCs w:val="26"/>
        </w:rPr>
        <w:t xml:space="preserve"> whether a defendant has </w:t>
      </w:r>
      <w:r w:rsidR="000324D7">
        <w:rPr>
          <w:color w:val="000000" w:themeColor="text1"/>
          <w:szCs w:val="26"/>
        </w:rPr>
        <w:t>established a</w:t>
      </w:r>
      <w:r w:rsidR="00570647">
        <w:rPr>
          <w:color w:val="000000" w:themeColor="text1"/>
          <w:szCs w:val="26"/>
        </w:rPr>
        <w:t xml:space="preserve"> colorable and substantial basis for seeking </w:t>
      </w:r>
      <w:r w:rsidR="00404659">
        <w:rPr>
          <w:color w:val="000000" w:themeColor="text1"/>
          <w:szCs w:val="26"/>
        </w:rPr>
        <w:t xml:space="preserve">social media </w:t>
      </w:r>
      <w:r w:rsidR="00570647">
        <w:rPr>
          <w:color w:val="000000" w:themeColor="text1"/>
          <w:szCs w:val="26"/>
        </w:rPr>
        <w:t xml:space="preserve">communications by subpoena. </w:t>
      </w:r>
      <w:r w:rsidR="00A75F47">
        <w:rPr>
          <w:color w:val="000000" w:themeColor="text1"/>
          <w:szCs w:val="26"/>
        </w:rPr>
        <w:t xml:space="preserve"> </w:t>
      </w:r>
    </w:p>
  </w:footnote>
  <w:footnote w:id="13">
    <w:p w14:paraId="673B08F1" w14:textId="5497A684" w:rsidR="0027703F" w:rsidRPr="008C580C" w:rsidRDefault="0027703F"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003D7492" w:rsidRPr="008C580C">
        <w:rPr>
          <w:color w:val="000000" w:themeColor="text1"/>
        </w:rPr>
        <w:tab/>
        <w:t>Ultimat</w:t>
      </w:r>
      <w:r w:rsidR="003D7492" w:rsidRPr="008C580C">
        <w:rPr>
          <w:color w:val="000000" w:themeColor="text1"/>
          <w:szCs w:val="26"/>
        </w:rPr>
        <w:t>ely</w:t>
      </w:r>
      <w:r w:rsidR="00F871E0" w:rsidRPr="008C580C">
        <w:rPr>
          <w:color w:val="000000" w:themeColor="text1"/>
          <w:szCs w:val="26"/>
        </w:rPr>
        <w:t xml:space="preserve"> </w:t>
      </w:r>
      <w:r w:rsidR="003D7492" w:rsidRPr="008C580C">
        <w:rPr>
          <w:color w:val="000000" w:themeColor="text1"/>
          <w:szCs w:val="26"/>
        </w:rPr>
        <w:t xml:space="preserve">the Court of Appeal determined </w:t>
      </w:r>
      <w:r w:rsidR="0030013B" w:rsidRPr="008C580C">
        <w:rPr>
          <w:color w:val="000000" w:themeColor="text1"/>
          <w:szCs w:val="26"/>
        </w:rPr>
        <w:t xml:space="preserve">that </w:t>
      </w:r>
      <w:r w:rsidR="003D7492" w:rsidRPr="008C580C">
        <w:rPr>
          <w:color w:val="000000" w:themeColor="text1"/>
          <w:szCs w:val="26"/>
        </w:rPr>
        <w:t>the trial court</w:t>
      </w:r>
      <w:r w:rsidR="0030013B" w:rsidRPr="008C580C">
        <w:rPr>
          <w:color w:val="000000" w:themeColor="text1"/>
          <w:szCs w:val="26"/>
        </w:rPr>
        <w:t xml:space="preserve"> abuse</w:t>
      </w:r>
      <w:r w:rsidR="00D0320A" w:rsidRPr="008C580C">
        <w:rPr>
          <w:color w:val="000000" w:themeColor="text1"/>
          <w:szCs w:val="26"/>
        </w:rPr>
        <w:t>d</w:t>
      </w:r>
      <w:r w:rsidR="0030013B" w:rsidRPr="008C580C">
        <w:rPr>
          <w:color w:val="000000" w:themeColor="text1"/>
          <w:szCs w:val="26"/>
        </w:rPr>
        <w:t xml:space="preserve"> its discretion in</w:t>
      </w:r>
      <w:r w:rsidR="00824A15" w:rsidRPr="008C580C">
        <w:rPr>
          <w:color w:val="000000" w:themeColor="text1"/>
          <w:szCs w:val="26"/>
        </w:rPr>
        <w:t xml:space="preserve"> denying Facebook’s motion to quash </w:t>
      </w:r>
      <w:r w:rsidR="00025966" w:rsidRPr="008C580C">
        <w:rPr>
          <w:color w:val="000000" w:themeColor="text1"/>
          <w:szCs w:val="26"/>
        </w:rPr>
        <w:t xml:space="preserve">by </w:t>
      </w:r>
      <w:r w:rsidR="005E27D1" w:rsidRPr="008C580C">
        <w:rPr>
          <w:color w:val="000000" w:themeColor="text1"/>
          <w:szCs w:val="26"/>
        </w:rPr>
        <w:t xml:space="preserve">failing to properly consider and balance </w:t>
      </w:r>
      <w:r w:rsidR="005E27D1" w:rsidRPr="008C580C">
        <w:rPr>
          <w:i/>
          <w:iCs/>
          <w:color w:val="000000" w:themeColor="text1"/>
          <w:szCs w:val="26"/>
        </w:rPr>
        <w:t>all</w:t>
      </w:r>
      <w:r w:rsidR="005E27D1" w:rsidRPr="008C580C">
        <w:rPr>
          <w:color w:val="000000" w:themeColor="text1"/>
          <w:szCs w:val="26"/>
        </w:rPr>
        <w:t xml:space="preserve"> of the relevant good </w:t>
      </w:r>
      <w:r w:rsidR="00054CDE" w:rsidRPr="008C580C">
        <w:rPr>
          <w:color w:val="000000" w:themeColor="text1"/>
          <w:szCs w:val="26"/>
        </w:rPr>
        <w:t>cause factors</w:t>
      </w:r>
      <w:r w:rsidR="00EE3AD2" w:rsidRPr="008C580C">
        <w:rPr>
          <w:color w:val="000000" w:themeColor="text1"/>
          <w:szCs w:val="26"/>
        </w:rPr>
        <w:t xml:space="preserve"> — </w:t>
      </w:r>
      <w:r w:rsidR="00CF4163" w:rsidRPr="008C580C">
        <w:rPr>
          <w:color w:val="000000" w:themeColor="text1"/>
          <w:szCs w:val="26"/>
        </w:rPr>
        <w:t>“particularly options for obtaining materials from other sources</w:t>
      </w:r>
      <w:r w:rsidR="00287B0C" w:rsidRPr="008C580C">
        <w:rPr>
          <w:color w:val="000000" w:themeColor="text1"/>
          <w:szCs w:val="26"/>
        </w:rPr>
        <w:t>.</w:t>
      </w:r>
      <w:r w:rsidR="00400FF4" w:rsidRPr="008C580C">
        <w:rPr>
          <w:color w:val="000000" w:themeColor="text1"/>
          <w:szCs w:val="26"/>
        </w:rPr>
        <w:t xml:space="preserve">” </w:t>
      </w:r>
      <w:r w:rsidR="00287B0C" w:rsidRPr="008C580C">
        <w:rPr>
          <w:color w:val="000000" w:themeColor="text1"/>
          <w:szCs w:val="26"/>
        </w:rPr>
        <w:t xml:space="preserve"> </w:t>
      </w:r>
      <w:r w:rsidR="00400FF4" w:rsidRPr="008C580C">
        <w:rPr>
          <w:color w:val="000000" w:themeColor="text1"/>
          <w:szCs w:val="26"/>
        </w:rPr>
        <w:t>(</w:t>
      </w:r>
      <w:r w:rsidR="0031172A">
        <w:rPr>
          <w:i/>
          <w:iCs/>
          <w:color w:val="000000" w:themeColor="text1"/>
          <w:szCs w:val="26"/>
        </w:rPr>
        <w:t>Facebook (Hunter</w:t>
      </w:r>
      <w:r w:rsidR="00BF09FE">
        <w:rPr>
          <w:i/>
          <w:iCs/>
          <w:color w:val="000000" w:themeColor="text1"/>
          <w:szCs w:val="26"/>
        </w:rPr>
        <w:t>) </w:t>
      </w:r>
      <w:r w:rsidR="0031172A">
        <w:rPr>
          <w:i/>
          <w:iCs/>
          <w:color w:val="000000" w:themeColor="text1"/>
          <w:szCs w:val="26"/>
        </w:rPr>
        <w:t xml:space="preserve">II, </w:t>
      </w:r>
      <w:r w:rsidR="00400FF4" w:rsidRPr="007E064B">
        <w:rPr>
          <w:color w:val="000000" w:themeColor="text1"/>
          <w:szCs w:val="26"/>
        </w:rPr>
        <w:t>46</w:t>
      </w:r>
      <w:r w:rsidR="00AE7834" w:rsidRPr="007E064B">
        <w:rPr>
          <w:color w:val="000000" w:themeColor="text1"/>
          <w:szCs w:val="26"/>
        </w:rPr>
        <w:t> </w:t>
      </w:r>
      <w:r w:rsidR="00400FF4" w:rsidRPr="007E064B">
        <w:rPr>
          <w:color w:val="000000" w:themeColor="text1"/>
          <w:szCs w:val="26"/>
        </w:rPr>
        <w:t>Cal.Ap</w:t>
      </w:r>
      <w:r w:rsidR="00400FF4" w:rsidRPr="008C580C">
        <w:rPr>
          <w:color w:val="000000" w:themeColor="text1"/>
          <w:szCs w:val="26"/>
        </w:rPr>
        <w:t>p.5th at p. 11</w:t>
      </w:r>
      <w:r w:rsidR="00D737E8" w:rsidRPr="008C580C">
        <w:rPr>
          <w:color w:val="000000" w:themeColor="text1"/>
          <w:szCs w:val="26"/>
        </w:rPr>
        <w:t>9</w:t>
      </w:r>
      <w:r w:rsidR="00F37079">
        <w:rPr>
          <w:color w:val="000000" w:themeColor="text1"/>
          <w:szCs w:val="26"/>
        </w:rPr>
        <w:t>, rev. granted</w:t>
      </w:r>
      <w:r w:rsidR="00662442" w:rsidRPr="008C580C">
        <w:rPr>
          <w:color w:val="000000" w:themeColor="text1"/>
          <w:szCs w:val="26"/>
        </w:rPr>
        <w:t xml:space="preserve">; see also, </w:t>
      </w:r>
      <w:r w:rsidR="00662442" w:rsidRPr="008C580C">
        <w:rPr>
          <w:i/>
          <w:iCs/>
          <w:color w:val="000000" w:themeColor="text1"/>
          <w:szCs w:val="26"/>
        </w:rPr>
        <w:t>id</w:t>
      </w:r>
      <w:r w:rsidR="00662442" w:rsidRPr="008C580C">
        <w:rPr>
          <w:color w:val="000000" w:themeColor="text1"/>
          <w:szCs w:val="26"/>
        </w:rPr>
        <w:t>., at pp.</w:t>
      </w:r>
      <w:r w:rsidR="0020118D">
        <w:rPr>
          <w:color w:val="000000" w:themeColor="text1"/>
          <w:szCs w:val="26"/>
        </w:rPr>
        <w:t> </w:t>
      </w:r>
      <w:r w:rsidR="00693DA2" w:rsidRPr="008C580C">
        <w:rPr>
          <w:color w:val="000000" w:themeColor="text1"/>
          <w:szCs w:val="26"/>
        </w:rPr>
        <w:t>120</w:t>
      </w:r>
      <w:r w:rsidR="00024C33">
        <w:rPr>
          <w:color w:val="000000" w:themeColor="text1"/>
          <w:szCs w:val="26"/>
        </w:rPr>
        <w:t>–</w:t>
      </w:r>
      <w:r w:rsidR="003D658C" w:rsidRPr="008C580C">
        <w:rPr>
          <w:color w:val="000000" w:themeColor="text1"/>
          <w:szCs w:val="26"/>
        </w:rPr>
        <w:t>121</w:t>
      </w:r>
      <w:r w:rsidR="00287B0C" w:rsidRPr="008C580C">
        <w:rPr>
          <w:color w:val="000000" w:themeColor="text1"/>
          <w:szCs w:val="26"/>
        </w:rPr>
        <w:t>.</w:t>
      </w:r>
      <w:r w:rsidR="0090227B" w:rsidRPr="008C580C">
        <w:rPr>
          <w:color w:val="000000" w:themeColor="text1"/>
          <w:szCs w:val="26"/>
        </w:rPr>
        <w:t>)</w:t>
      </w:r>
      <w:r w:rsidR="00287B0C" w:rsidRPr="008C580C">
        <w:rPr>
          <w:color w:val="000000" w:themeColor="text1"/>
          <w:szCs w:val="26"/>
        </w:rPr>
        <w:t xml:space="preserve">  Moreover, and </w:t>
      </w:r>
      <w:r w:rsidR="0090227B" w:rsidRPr="008C580C">
        <w:rPr>
          <w:color w:val="000000" w:themeColor="text1"/>
          <w:szCs w:val="26"/>
        </w:rPr>
        <w:t>significantly</w:t>
      </w:r>
      <w:r w:rsidR="00590DE7" w:rsidRPr="008C580C">
        <w:rPr>
          <w:color w:val="000000" w:themeColor="text1"/>
          <w:szCs w:val="26"/>
        </w:rPr>
        <w:t xml:space="preserve">, </w:t>
      </w:r>
      <w:r w:rsidR="00AA01E7" w:rsidRPr="008C580C">
        <w:rPr>
          <w:color w:val="000000" w:themeColor="text1"/>
          <w:szCs w:val="26"/>
        </w:rPr>
        <w:t xml:space="preserve">the appellate court </w:t>
      </w:r>
      <w:r w:rsidR="00AA7128" w:rsidRPr="008C580C">
        <w:rPr>
          <w:color w:val="000000" w:themeColor="text1"/>
          <w:szCs w:val="26"/>
        </w:rPr>
        <w:t xml:space="preserve">correctly </w:t>
      </w:r>
      <w:r w:rsidR="00AA01E7" w:rsidRPr="008C580C">
        <w:rPr>
          <w:color w:val="000000" w:themeColor="text1"/>
          <w:szCs w:val="26"/>
        </w:rPr>
        <w:t xml:space="preserve">observed that </w:t>
      </w:r>
      <w:r w:rsidR="00287B0C" w:rsidRPr="008C580C">
        <w:rPr>
          <w:color w:val="000000" w:themeColor="text1"/>
          <w:szCs w:val="26"/>
        </w:rPr>
        <w:t xml:space="preserve">the </w:t>
      </w:r>
      <w:r w:rsidR="00590DE7" w:rsidRPr="008C580C">
        <w:rPr>
          <w:color w:val="000000" w:themeColor="text1"/>
          <w:szCs w:val="26"/>
        </w:rPr>
        <w:t xml:space="preserve">trial court </w:t>
      </w:r>
      <w:r w:rsidR="00054CDE" w:rsidRPr="008C580C">
        <w:rPr>
          <w:color w:val="000000" w:themeColor="text1"/>
          <w:szCs w:val="26"/>
        </w:rPr>
        <w:t>also fail</w:t>
      </w:r>
      <w:r w:rsidR="00590DE7" w:rsidRPr="008C580C">
        <w:rPr>
          <w:color w:val="000000" w:themeColor="text1"/>
          <w:szCs w:val="26"/>
        </w:rPr>
        <w:t xml:space="preserve">ed </w:t>
      </w:r>
      <w:r w:rsidR="00054CDE" w:rsidRPr="008C580C">
        <w:rPr>
          <w:color w:val="000000" w:themeColor="text1"/>
          <w:szCs w:val="26"/>
        </w:rPr>
        <w:t xml:space="preserve">to </w:t>
      </w:r>
      <w:r w:rsidR="003D658C" w:rsidRPr="008C580C">
        <w:rPr>
          <w:color w:val="000000" w:themeColor="text1"/>
          <w:szCs w:val="26"/>
        </w:rPr>
        <w:t>“</w:t>
      </w:r>
      <w:r w:rsidR="00752501" w:rsidRPr="008C580C">
        <w:rPr>
          <w:color w:val="000000" w:themeColor="text1"/>
          <w:szCs w:val="27"/>
        </w:rPr>
        <w:t>evaluate [the] continuing need for private content</w:t>
      </w:r>
      <w:r w:rsidR="00B45773" w:rsidRPr="008C580C">
        <w:rPr>
          <w:color w:val="000000" w:themeColor="text1"/>
          <w:szCs w:val="27"/>
        </w:rPr>
        <w:t xml:space="preserve"> </w:t>
      </w:r>
      <w:r w:rsidR="00752501" w:rsidRPr="008C580C">
        <w:rPr>
          <w:i/>
          <w:iCs/>
          <w:color w:val="000000" w:themeColor="text1"/>
          <w:szCs w:val="27"/>
          <w:bdr w:val="none" w:sz="0" w:space="0" w:color="auto" w:frame="1"/>
        </w:rPr>
        <w:t>after</w:t>
      </w:r>
      <w:r w:rsidR="00B45773" w:rsidRPr="008C580C">
        <w:rPr>
          <w:i/>
          <w:iCs/>
          <w:color w:val="000000" w:themeColor="text1"/>
          <w:szCs w:val="27"/>
          <w:bdr w:val="none" w:sz="0" w:space="0" w:color="auto" w:frame="1"/>
        </w:rPr>
        <w:t xml:space="preserve"> </w:t>
      </w:r>
      <w:r w:rsidR="00752501" w:rsidRPr="008C580C">
        <w:rPr>
          <w:color w:val="000000" w:themeColor="text1"/>
          <w:szCs w:val="27"/>
        </w:rPr>
        <w:t xml:space="preserve">the public content </w:t>
      </w:r>
      <w:r w:rsidR="00227B90" w:rsidRPr="008C580C">
        <w:rPr>
          <w:color w:val="000000" w:themeColor="text1"/>
          <w:szCs w:val="27"/>
        </w:rPr>
        <w:t>[had been]</w:t>
      </w:r>
      <w:r w:rsidR="00752501" w:rsidRPr="008C580C">
        <w:rPr>
          <w:color w:val="000000" w:themeColor="text1"/>
          <w:szCs w:val="27"/>
        </w:rPr>
        <w:t xml:space="preserve"> produced</w:t>
      </w:r>
      <w:r w:rsidR="00227B90" w:rsidRPr="008C580C">
        <w:rPr>
          <w:color w:val="000000" w:themeColor="text1"/>
          <w:szCs w:val="27"/>
        </w:rPr>
        <w:t xml:space="preserve">” by Facebook, </w:t>
      </w:r>
      <w:r w:rsidR="005728D3" w:rsidRPr="008C580C">
        <w:rPr>
          <w:color w:val="000000" w:themeColor="text1"/>
          <w:szCs w:val="27"/>
        </w:rPr>
        <w:t xml:space="preserve">as we had directed.  </w:t>
      </w:r>
      <w:r w:rsidR="0090227B" w:rsidRPr="008C580C">
        <w:rPr>
          <w:color w:val="000000" w:themeColor="text1"/>
          <w:szCs w:val="26"/>
        </w:rPr>
        <w:t>(</w:t>
      </w:r>
      <w:r w:rsidR="00892B9F" w:rsidRPr="008C580C">
        <w:rPr>
          <w:i/>
          <w:iCs/>
          <w:color w:val="000000" w:themeColor="text1"/>
          <w:szCs w:val="26"/>
        </w:rPr>
        <w:t>Id.</w:t>
      </w:r>
      <w:r w:rsidR="00892B9F" w:rsidRPr="008C580C">
        <w:rPr>
          <w:color w:val="000000" w:themeColor="text1"/>
          <w:szCs w:val="26"/>
        </w:rPr>
        <w:t xml:space="preserve">, </w:t>
      </w:r>
      <w:r w:rsidR="00CE4FC8" w:rsidRPr="008C580C">
        <w:rPr>
          <w:color w:val="000000" w:themeColor="text1"/>
          <w:szCs w:val="26"/>
        </w:rPr>
        <w:t xml:space="preserve">at </w:t>
      </w:r>
      <w:r w:rsidR="001D3408" w:rsidRPr="008C580C">
        <w:rPr>
          <w:color w:val="000000" w:themeColor="text1"/>
          <w:szCs w:val="26"/>
        </w:rPr>
        <w:t>p.</w:t>
      </w:r>
      <w:r w:rsidR="006221F6">
        <w:rPr>
          <w:color w:val="000000" w:themeColor="text1"/>
          <w:szCs w:val="26"/>
        </w:rPr>
        <w:t> </w:t>
      </w:r>
      <w:r w:rsidR="00A96F3B" w:rsidRPr="008C580C">
        <w:rPr>
          <w:color w:val="000000" w:themeColor="text1"/>
          <w:szCs w:val="26"/>
        </w:rPr>
        <w:t>121</w:t>
      </w:r>
      <w:r w:rsidR="00CE4FC8" w:rsidRPr="008C580C">
        <w:rPr>
          <w:color w:val="000000" w:themeColor="text1"/>
          <w:szCs w:val="26"/>
        </w:rPr>
        <w:t xml:space="preserve">.) </w:t>
      </w:r>
      <w:r w:rsidR="00A96F3B" w:rsidRPr="008C580C">
        <w:rPr>
          <w:color w:val="000000" w:themeColor="text1"/>
          <w:szCs w:val="26"/>
        </w:rPr>
        <w:t xml:space="preserve"> In the latter regard, the </w:t>
      </w:r>
      <w:r w:rsidR="00D37CC7" w:rsidRPr="008C580C">
        <w:rPr>
          <w:color w:val="000000" w:themeColor="text1"/>
          <w:szCs w:val="26"/>
        </w:rPr>
        <w:t xml:space="preserve">court </w:t>
      </w:r>
      <w:r w:rsidR="00AA7128" w:rsidRPr="008C580C">
        <w:rPr>
          <w:color w:val="000000" w:themeColor="text1"/>
          <w:szCs w:val="26"/>
        </w:rPr>
        <w:t xml:space="preserve">stated:  </w:t>
      </w:r>
      <w:r w:rsidR="00D37CC7" w:rsidRPr="008C580C">
        <w:rPr>
          <w:color w:val="000000" w:themeColor="text1"/>
          <w:szCs w:val="26"/>
        </w:rPr>
        <w:t xml:space="preserve">“[W]e </w:t>
      </w:r>
      <w:proofErr w:type="gramStart"/>
      <w:r w:rsidR="00D37CC7" w:rsidRPr="008C580C">
        <w:rPr>
          <w:color w:val="000000" w:themeColor="text1"/>
          <w:szCs w:val="26"/>
        </w:rPr>
        <w:t>do</w:t>
      </w:r>
      <w:proofErr w:type="gramEnd"/>
      <w:r w:rsidR="00D37CC7" w:rsidRPr="008C580C">
        <w:rPr>
          <w:color w:val="000000" w:themeColor="text1"/>
          <w:szCs w:val="26"/>
        </w:rPr>
        <w:t xml:space="preserve"> not know whether providers had already produced the key communication</w:t>
      </w:r>
      <w:r w:rsidR="00B12EE8" w:rsidRPr="008C580C">
        <w:rPr>
          <w:color w:val="000000" w:themeColor="text1"/>
          <w:szCs w:val="26"/>
        </w:rPr>
        <w:t xml:space="preserve"> . . .</w:t>
      </w:r>
      <w:r w:rsidR="00692315">
        <w:rPr>
          <w:color w:val="000000" w:themeColor="text1"/>
          <w:szCs w:val="26"/>
        </w:rPr>
        <w:t> </w:t>
      </w:r>
      <w:r w:rsidR="009D3849">
        <w:rPr>
          <w:color w:val="000000" w:themeColor="text1"/>
          <w:szCs w:val="26"/>
        </w:rPr>
        <w:t>,</w:t>
      </w:r>
      <w:r w:rsidR="00B12EE8" w:rsidRPr="008C580C">
        <w:rPr>
          <w:color w:val="000000" w:themeColor="text1"/>
          <w:szCs w:val="26"/>
        </w:rPr>
        <w:t xml:space="preserve"> </w:t>
      </w:r>
      <w:r w:rsidR="00D37CC7" w:rsidRPr="008C580C">
        <w:rPr>
          <w:color w:val="000000" w:themeColor="text1"/>
          <w:szCs w:val="26"/>
        </w:rPr>
        <w:t>or comparable communications, as part of their</w:t>
      </w:r>
      <w:r w:rsidR="00B12EE8" w:rsidRPr="008C580C">
        <w:rPr>
          <w:color w:val="000000" w:themeColor="text1"/>
          <w:szCs w:val="26"/>
        </w:rPr>
        <w:t xml:space="preserve"> </w:t>
      </w:r>
      <w:r w:rsidR="00D37CC7" w:rsidRPr="008C580C">
        <w:rPr>
          <w:i/>
          <w:iCs/>
          <w:color w:val="000000" w:themeColor="text1"/>
          <w:szCs w:val="26"/>
          <w:bdr w:val="none" w:sz="0" w:space="0" w:color="auto" w:frame="1"/>
        </w:rPr>
        <w:t>public</w:t>
      </w:r>
      <w:r w:rsidR="00B12EE8" w:rsidRPr="008C580C">
        <w:rPr>
          <w:i/>
          <w:iCs/>
          <w:color w:val="000000" w:themeColor="text1"/>
          <w:szCs w:val="26"/>
          <w:bdr w:val="none" w:sz="0" w:space="0" w:color="auto" w:frame="1"/>
        </w:rPr>
        <w:t xml:space="preserve"> </w:t>
      </w:r>
      <w:r w:rsidR="00D37CC7" w:rsidRPr="008C580C">
        <w:rPr>
          <w:color w:val="000000" w:themeColor="text1"/>
          <w:szCs w:val="26"/>
        </w:rPr>
        <w:t xml:space="preserve">production. </w:t>
      </w:r>
      <w:r w:rsidR="00B12EE8" w:rsidRPr="008C580C">
        <w:rPr>
          <w:color w:val="000000" w:themeColor="text1"/>
          <w:szCs w:val="26"/>
        </w:rPr>
        <w:t xml:space="preserve"> </w:t>
      </w:r>
      <w:r w:rsidR="00D37CC7" w:rsidRPr="008C580C">
        <w:rPr>
          <w:color w:val="000000" w:themeColor="text1"/>
          <w:szCs w:val="26"/>
        </w:rPr>
        <w:t xml:space="preserve">We question how the trial court could properly balance all the good cause factors, including </w:t>
      </w:r>
      <w:r w:rsidR="008B7BEB" w:rsidRPr="008C580C">
        <w:rPr>
          <w:color w:val="000000" w:themeColor="text1"/>
          <w:szCs w:val="26"/>
        </w:rPr>
        <w:t>[the prospective prosecution witness’</w:t>
      </w:r>
      <w:r w:rsidR="009D3849">
        <w:rPr>
          <w:color w:val="000000" w:themeColor="text1"/>
          <w:szCs w:val="26"/>
        </w:rPr>
        <w:t>s</w:t>
      </w:r>
      <w:r w:rsidR="008B7BEB" w:rsidRPr="008C580C">
        <w:rPr>
          <w:color w:val="000000" w:themeColor="text1"/>
          <w:szCs w:val="26"/>
        </w:rPr>
        <w:t xml:space="preserve">] </w:t>
      </w:r>
      <w:r w:rsidR="00D37CC7" w:rsidRPr="008C580C">
        <w:rPr>
          <w:color w:val="000000" w:themeColor="text1"/>
          <w:szCs w:val="26"/>
        </w:rPr>
        <w:t>privacy interests and the other policies served by the Act, without any review of what had already been produced.</w:t>
      </w:r>
      <w:r w:rsidR="008B7BEB" w:rsidRPr="008C580C">
        <w:rPr>
          <w:color w:val="000000" w:themeColor="text1"/>
          <w:szCs w:val="26"/>
        </w:rPr>
        <w:t>”  (</w:t>
      </w:r>
      <w:r w:rsidR="00F871E0" w:rsidRPr="008C580C">
        <w:rPr>
          <w:i/>
          <w:iCs/>
          <w:color w:val="000000" w:themeColor="text1"/>
          <w:szCs w:val="26"/>
        </w:rPr>
        <w:t>Ibid</w:t>
      </w:r>
      <w:r w:rsidR="00F871E0" w:rsidRPr="008C580C">
        <w:rPr>
          <w:color w:val="000000" w:themeColor="text1"/>
          <w:szCs w:val="26"/>
        </w:rPr>
        <w:t xml:space="preserve">.)  </w:t>
      </w:r>
    </w:p>
  </w:footnote>
  <w:footnote w:id="14">
    <w:p w14:paraId="08705E8B" w14:textId="4B6B82F9" w:rsidR="002C2183" w:rsidRPr="008C580C" w:rsidRDefault="002C2183"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 xml:space="preserve">As recited </w:t>
      </w:r>
      <w:r w:rsidRPr="00CC038C">
        <w:rPr>
          <w:i/>
          <w:iCs/>
          <w:color w:val="000000" w:themeColor="text1"/>
          <w:szCs w:val="26"/>
        </w:rPr>
        <w:t>ante</w:t>
      </w:r>
      <w:r w:rsidRPr="00CC038C">
        <w:rPr>
          <w:color w:val="000000" w:themeColor="text1"/>
          <w:szCs w:val="26"/>
        </w:rPr>
        <w:t>,</w:t>
      </w:r>
      <w:r w:rsidRPr="006053C2">
        <w:rPr>
          <w:color w:val="000000" w:themeColor="text1"/>
          <w:szCs w:val="26"/>
        </w:rPr>
        <w:t xml:space="preserve"> par</w:t>
      </w:r>
      <w:r w:rsidRPr="008C580C">
        <w:rPr>
          <w:color w:val="000000" w:themeColor="text1"/>
          <w:szCs w:val="26"/>
        </w:rPr>
        <w:t xml:space="preserve">t III, the trial court ordered Facebook to preserve the sought files and information, and Facebook reported that it had done so.  </w:t>
      </w:r>
      <w:r w:rsidR="00E4700E">
        <w:rPr>
          <w:color w:val="000000" w:themeColor="text1"/>
          <w:szCs w:val="26"/>
        </w:rPr>
        <w:t xml:space="preserve">In </w:t>
      </w:r>
      <w:r w:rsidR="00330624" w:rsidRPr="008C580C">
        <w:rPr>
          <w:color w:val="000000" w:themeColor="text1"/>
          <w:szCs w:val="26"/>
        </w:rPr>
        <w:t>these circumstances a</w:t>
      </w:r>
      <w:r w:rsidRPr="008C580C">
        <w:rPr>
          <w:color w:val="000000" w:themeColor="text1"/>
          <w:szCs w:val="26"/>
        </w:rPr>
        <w:t>n appropriate assessment of a victim’s rights under the constitutional provision would consider</w:t>
      </w:r>
      <w:r w:rsidR="0022258A" w:rsidRPr="008C580C">
        <w:rPr>
          <w:color w:val="000000" w:themeColor="text1"/>
          <w:szCs w:val="26"/>
        </w:rPr>
        <w:t xml:space="preserve"> </w:t>
      </w:r>
      <w:r w:rsidRPr="008C580C">
        <w:rPr>
          <w:color w:val="000000" w:themeColor="text1"/>
          <w:szCs w:val="26"/>
        </w:rPr>
        <w:t>whether</w:t>
      </w:r>
      <w:r w:rsidR="00F43AC0" w:rsidRPr="008C580C">
        <w:rPr>
          <w:color w:val="000000" w:themeColor="text1"/>
          <w:szCs w:val="26"/>
        </w:rPr>
        <w:t>,</w:t>
      </w:r>
      <w:r w:rsidRPr="008C580C">
        <w:rPr>
          <w:color w:val="000000" w:themeColor="text1"/>
          <w:szCs w:val="26"/>
        </w:rPr>
        <w:t xml:space="preserve"> after such preservation has occurred (hence presumably addressing concerns about possible spoliation by a social media user), notice </w:t>
      </w:r>
      <w:r w:rsidR="007C5DEB" w:rsidRPr="008C580C">
        <w:rPr>
          <w:color w:val="000000" w:themeColor="text1"/>
          <w:szCs w:val="26"/>
        </w:rPr>
        <w:t>to a vic</w:t>
      </w:r>
      <w:r w:rsidR="00E27929" w:rsidRPr="008C580C">
        <w:rPr>
          <w:color w:val="000000" w:themeColor="text1"/>
          <w:szCs w:val="26"/>
        </w:rPr>
        <w:t>tim</w:t>
      </w:r>
      <w:r w:rsidR="002D7C04" w:rsidRPr="008C580C">
        <w:rPr>
          <w:color w:val="000000" w:themeColor="text1"/>
          <w:szCs w:val="26"/>
        </w:rPr>
        <w:t>/</w:t>
      </w:r>
      <w:r w:rsidR="007C5DEB" w:rsidRPr="008C580C">
        <w:rPr>
          <w:color w:val="000000" w:themeColor="text1"/>
          <w:szCs w:val="26"/>
        </w:rPr>
        <w:t xml:space="preserve">social media user </w:t>
      </w:r>
      <w:r w:rsidRPr="008C580C">
        <w:rPr>
          <w:color w:val="000000" w:themeColor="text1"/>
          <w:szCs w:val="26"/>
        </w:rPr>
        <w:t>should be provided in order to facilitate the victim’s confidentiality and related rights.</w:t>
      </w:r>
    </w:p>
  </w:footnote>
  <w:footnote w:id="15">
    <w:p w14:paraId="7D11EFDE" w14:textId="018023F1" w:rsidR="00D246FB" w:rsidRPr="008C580C" w:rsidRDefault="00D246FB" w:rsidP="00EA0331">
      <w:pPr>
        <w:pStyle w:val="FootnoteText"/>
        <w:rPr>
          <w:color w:val="000000" w:themeColor="text1"/>
          <w:szCs w:val="26"/>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Pr="008C580C">
        <w:rPr>
          <w:color w:val="000000" w:themeColor="text1"/>
          <w:szCs w:val="26"/>
        </w:rPr>
        <w:t>See a</w:t>
      </w:r>
      <w:r w:rsidRPr="00CC038C">
        <w:rPr>
          <w:color w:val="000000" w:themeColor="text1"/>
          <w:szCs w:val="26"/>
        </w:rPr>
        <w:t xml:space="preserve">lso </w:t>
      </w:r>
      <w:r w:rsidR="00F30A7F" w:rsidRPr="00CC038C">
        <w:rPr>
          <w:i/>
          <w:color w:val="000000" w:themeColor="text1"/>
          <w:szCs w:val="26"/>
        </w:rPr>
        <w:t>Kling, supra</w:t>
      </w:r>
      <w:r w:rsidR="00F30A7F" w:rsidRPr="006053C2">
        <w:rPr>
          <w:color w:val="000000" w:themeColor="text1"/>
          <w:szCs w:val="26"/>
        </w:rPr>
        <w:t>, 50 Cal.4th</w:t>
      </w:r>
      <w:r w:rsidRPr="002F6506">
        <w:rPr>
          <w:color w:val="000000" w:themeColor="text1"/>
          <w:szCs w:val="26"/>
        </w:rPr>
        <w:t>, at p</w:t>
      </w:r>
      <w:r w:rsidRPr="0031703E">
        <w:rPr>
          <w:color w:val="000000" w:themeColor="text1"/>
          <w:szCs w:val="26"/>
        </w:rPr>
        <w:t>age 107</w:t>
      </w:r>
      <w:r w:rsidR="003F2F4C" w:rsidRPr="00BD4725">
        <w:rPr>
          <w:color w:val="000000" w:themeColor="text1"/>
          <w:szCs w:val="26"/>
        </w:rPr>
        <w:t>5</w:t>
      </w:r>
      <w:r w:rsidRPr="003539C8">
        <w:rPr>
          <w:color w:val="000000" w:themeColor="text1"/>
          <w:szCs w:val="26"/>
        </w:rPr>
        <w:t xml:space="preserve"> [</w:t>
      </w:r>
      <w:r w:rsidR="00026E48">
        <w:rPr>
          <w:color w:val="000000" w:themeColor="text1"/>
          <w:szCs w:val="26"/>
        </w:rPr>
        <w:t>the</w:t>
      </w:r>
      <w:r w:rsidRPr="003539C8">
        <w:rPr>
          <w:color w:val="000000" w:themeColor="text1"/>
          <w:szCs w:val="26"/>
        </w:rPr>
        <w:t xml:space="preserve"> defen</w:t>
      </w:r>
      <w:r w:rsidR="00026E48">
        <w:rPr>
          <w:color w:val="000000" w:themeColor="text1"/>
          <w:szCs w:val="26"/>
        </w:rPr>
        <w:t>se</w:t>
      </w:r>
      <w:r w:rsidRPr="003539C8">
        <w:rPr>
          <w:color w:val="000000" w:themeColor="text1"/>
          <w:szCs w:val="26"/>
        </w:rPr>
        <w:t xml:space="preserve"> “ ‘is not required, on pain of revealing its possible </w:t>
      </w:r>
      <w:r w:rsidRPr="00CC038C">
        <w:rPr>
          <w:color w:val="000000" w:themeColor="text1"/>
          <w:szCs w:val="26"/>
        </w:rPr>
        <w:t>defense strategies and work product, to provide the prosecution with notice of i</w:t>
      </w:r>
      <w:r w:rsidRPr="008C580C">
        <w:rPr>
          <w:color w:val="000000" w:themeColor="text1"/>
          <w:szCs w:val="26"/>
        </w:rPr>
        <w:t>ts theories of relevancy of the materials sought</w:t>
      </w:r>
      <w:r w:rsidR="00733F44">
        <w:rPr>
          <w:color w:val="000000" w:themeColor="text1"/>
          <w:szCs w:val="26"/>
        </w:rPr>
        <w:t>’</w:t>
      </w:r>
      <w:r w:rsidR="003D401E">
        <w:rPr>
          <w:color w:val="000000" w:themeColor="text1"/>
          <w:szCs w:val="26"/>
        </w:rPr>
        <w:t> </w:t>
      </w:r>
      <w:r w:rsidRPr="008C580C">
        <w:rPr>
          <w:color w:val="000000" w:themeColor="text1"/>
          <w:szCs w:val="26"/>
        </w:rPr>
        <w:t xml:space="preserve">”].)  Instead, </w:t>
      </w:r>
      <w:r w:rsidR="0057082E">
        <w:rPr>
          <w:color w:val="000000" w:themeColor="text1"/>
          <w:szCs w:val="26"/>
        </w:rPr>
        <w:t>a</w:t>
      </w:r>
      <w:r w:rsidRPr="008C580C">
        <w:rPr>
          <w:color w:val="000000" w:themeColor="text1"/>
          <w:szCs w:val="26"/>
        </w:rPr>
        <w:t xml:space="preserve"> defendant may mak</w:t>
      </w:r>
      <w:r w:rsidRPr="007E064B">
        <w:rPr>
          <w:color w:val="000000" w:themeColor="text1"/>
          <w:szCs w:val="26"/>
        </w:rPr>
        <w:t xml:space="preserve">e “ ‘an offer </w:t>
      </w:r>
      <w:r w:rsidR="004B7835" w:rsidRPr="007E064B">
        <w:rPr>
          <w:color w:val="000000" w:themeColor="text1"/>
          <w:szCs w:val="26"/>
        </w:rPr>
        <w:t xml:space="preserve">of </w:t>
      </w:r>
      <w:r w:rsidRPr="007E064B">
        <w:rPr>
          <w:color w:val="000000" w:themeColor="text1"/>
          <w:szCs w:val="26"/>
        </w:rPr>
        <w:t>proof at an in camera [and ex parte] hearing.’ ”  (</w:t>
      </w:r>
      <w:r w:rsidRPr="007E064B">
        <w:rPr>
          <w:i/>
          <w:color w:val="000000" w:themeColor="text1"/>
          <w:szCs w:val="26"/>
        </w:rPr>
        <w:t>I</w:t>
      </w:r>
      <w:r w:rsidR="00DB6949" w:rsidRPr="007E064B">
        <w:rPr>
          <w:i/>
          <w:iCs/>
          <w:color w:val="000000" w:themeColor="text1"/>
          <w:szCs w:val="26"/>
        </w:rPr>
        <w:t>bid.</w:t>
      </w:r>
      <w:r w:rsidRPr="007E064B">
        <w:rPr>
          <w:color w:val="000000" w:themeColor="text1"/>
          <w:szCs w:val="26"/>
        </w:rPr>
        <w:t>; see</w:t>
      </w:r>
      <w:r w:rsidRPr="008C580C">
        <w:rPr>
          <w:color w:val="000000" w:themeColor="text1"/>
          <w:szCs w:val="26"/>
        </w:rPr>
        <w:t xml:space="preserve"> also </w:t>
      </w:r>
      <w:r w:rsidRPr="008C580C">
        <w:rPr>
          <w:i/>
          <w:color w:val="000000" w:themeColor="text1"/>
          <w:szCs w:val="26"/>
        </w:rPr>
        <w:t>id</w:t>
      </w:r>
      <w:r w:rsidRPr="008C580C">
        <w:rPr>
          <w:color w:val="000000" w:themeColor="text1"/>
          <w:szCs w:val="26"/>
        </w:rPr>
        <w:t>., at pp.</w:t>
      </w:r>
      <w:r w:rsidR="005D0F9F">
        <w:rPr>
          <w:color w:val="000000" w:themeColor="text1"/>
          <w:szCs w:val="26"/>
        </w:rPr>
        <w:t> </w:t>
      </w:r>
      <w:r w:rsidRPr="008C580C">
        <w:rPr>
          <w:color w:val="000000" w:themeColor="text1"/>
          <w:szCs w:val="26"/>
        </w:rPr>
        <w:t>1076</w:t>
      </w:r>
      <w:r w:rsidR="001B398F">
        <w:rPr>
          <w:color w:val="000000" w:themeColor="text1"/>
          <w:szCs w:val="26"/>
        </w:rPr>
        <w:t>–</w:t>
      </w:r>
      <w:r w:rsidRPr="008C580C">
        <w:rPr>
          <w:color w:val="000000" w:themeColor="text1"/>
          <w:szCs w:val="26"/>
        </w:rPr>
        <w:t xml:space="preserve">1077.)  Nonetheless, as noted earlier, a </w:t>
      </w:r>
      <w:r w:rsidR="00223B3D" w:rsidRPr="008C580C">
        <w:rPr>
          <w:color w:val="000000" w:themeColor="text1"/>
          <w:szCs w:val="26"/>
        </w:rPr>
        <w:t xml:space="preserve">failure </w:t>
      </w:r>
      <w:r w:rsidRPr="008C580C">
        <w:rPr>
          <w:color w:val="000000" w:themeColor="text1"/>
          <w:szCs w:val="26"/>
        </w:rPr>
        <w:t xml:space="preserve">to establish </w:t>
      </w:r>
      <w:proofErr w:type="gramStart"/>
      <w:r w:rsidRPr="008C580C">
        <w:rPr>
          <w:color w:val="000000" w:themeColor="text1"/>
          <w:szCs w:val="26"/>
        </w:rPr>
        <w:t>good cause</w:t>
      </w:r>
      <w:proofErr w:type="gramEnd"/>
      <w:r w:rsidRPr="008C580C">
        <w:rPr>
          <w:color w:val="000000" w:themeColor="text1"/>
          <w:szCs w:val="26"/>
        </w:rPr>
        <w:t xml:space="preserve"> —</w:t>
      </w:r>
      <w:r w:rsidR="00A91641" w:rsidRPr="008C580C">
        <w:rPr>
          <w:color w:val="000000" w:themeColor="text1"/>
          <w:szCs w:val="26"/>
        </w:rPr>
        <w:t xml:space="preserve"> </w:t>
      </w:r>
      <w:r w:rsidRPr="008C580C">
        <w:rPr>
          <w:color w:val="000000" w:themeColor="text1"/>
          <w:szCs w:val="26"/>
        </w:rPr>
        <w:t>amount</w:t>
      </w:r>
      <w:r w:rsidR="00A91641" w:rsidRPr="008C580C">
        <w:rPr>
          <w:color w:val="000000" w:themeColor="text1"/>
          <w:szCs w:val="26"/>
        </w:rPr>
        <w:t xml:space="preserve">ing </w:t>
      </w:r>
      <w:r w:rsidRPr="008C580C">
        <w:rPr>
          <w:color w:val="000000" w:themeColor="text1"/>
          <w:szCs w:val="26"/>
        </w:rPr>
        <w:t xml:space="preserve">to a </w:t>
      </w:r>
      <w:r w:rsidR="00A91641" w:rsidRPr="008C580C">
        <w:rPr>
          <w:color w:val="000000" w:themeColor="text1"/>
          <w:szCs w:val="26"/>
        </w:rPr>
        <w:t xml:space="preserve">mere </w:t>
      </w:r>
      <w:r w:rsidRPr="008C580C">
        <w:rPr>
          <w:color w:val="000000" w:themeColor="text1"/>
          <w:szCs w:val="26"/>
        </w:rPr>
        <w:t xml:space="preserve">fishing expedition — </w:t>
      </w:r>
      <w:r w:rsidR="000A6741" w:rsidRPr="008C580C">
        <w:rPr>
          <w:color w:val="000000" w:themeColor="text1"/>
          <w:szCs w:val="26"/>
        </w:rPr>
        <w:t>will lead to the granting of a motion to quash</w:t>
      </w:r>
      <w:r w:rsidRPr="008C580C">
        <w:rPr>
          <w:color w:val="000000" w:themeColor="text1"/>
          <w:szCs w:val="26"/>
        </w:rPr>
        <w:t>.  (</w:t>
      </w:r>
      <w:r w:rsidRPr="008C580C">
        <w:rPr>
          <w:i/>
          <w:color w:val="000000" w:themeColor="text1"/>
          <w:szCs w:val="26"/>
        </w:rPr>
        <w:t>Id.</w:t>
      </w:r>
      <w:r w:rsidRPr="008C580C">
        <w:rPr>
          <w:color w:val="000000" w:themeColor="text1"/>
          <w:szCs w:val="26"/>
        </w:rPr>
        <w:t xml:space="preserve">, at p. 1075; see also </w:t>
      </w:r>
      <w:r w:rsidRPr="008C580C">
        <w:rPr>
          <w:i/>
          <w:color w:val="000000" w:themeColor="text1"/>
        </w:rPr>
        <w:t xml:space="preserve">Barrett, supra, </w:t>
      </w:r>
      <w:r w:rsidRPr="008C580C">
        <w:rPr>
          <w:color w:val="000000" w:themeColor="text1"/>
        </w:rPr>
        <w:t>80 Cal.App.4th 1305</w:t>
      </w:r>
      <w:r w:rsidRPr="008C580C">
        <w:rPr>
          <w:color w:val="000000" w:themeColor="text1"/>
          <w:szCs w:val="26"/>
        </w:rPr>
        <w:t xml:space="preserve">, 1320, fn. 7.)  </w:t>
      </w:r>
    </w:p>
    <w:p w14:paraId="1831D3AD" w14:textId="2C01C28A" w:rsidR="00D246FB" w:rsidRPr="008C580C" w:rsidRDefault="00D246FB" w:rsidP="00EA0331">
      <w:pPr>
        <w:spacing w:line="300" w:lineRule="exact"/>
        <w:ind w:firstLine="720"/>
        <w:rPr>
          <w:color w:val="000000" w:themeColor="text1"/>
        </w:rPr>
      </w:pPr>
      <w:r w:rsidRPr="008C580C">
        <w:rPr>
          <w:color w:val="000000" w:themeColor="text1"/>
          <w:szCs w:val="26"/>
        </w:rPr>
        <w:t xml:space="preserve">In this case, defendant has freely disclosed his self-defense and impeachment strategy, both in the trial court and the Court of Appeal, </w:t>
      </w:r>
      <w:proofErr w:type="gramStart"/>
      <w:r w:rsidRPr="008C580C">
        <w:rPr>
          <w:color w:val="000000" w:themeColor="text1"/>
          <w:szCs w:val="26"/>
        </w:rPr>
        <w:t>and also</w:t>
      </w:r>
      <w:proofErr w:type="gramEnd"/>
      <w:r w:rsidRPr="008C580C">
        <w:rPr>
          <w:color w:val="000000" w:themeColor="text1"/>
          <w:szCs w:val="26"/>
        </w:rPr>
        <w:t xml:space="preserve"> in this court.  As he concedes, it “is no secret” that his strategy has been and will be (1)</w:t>
      </w:r>
      <w:r w:rsidR="000363B1" w:rsidRPr="008C580C">
        <w:rPr>
          <w:color w:val="000000" w:themeColor="text1"/>
          <w:szCs w:val="26"/>
        </w:rPr>
        <w:t> </w:t>
      </w:r>
      <w:r w:rsidRPr="008C580C">
        <w:rPr>
          <w:i/>
          <w:color w:val="000000" w:themeColor="text1"/>
          <w:szCs w:val="26"/>
        </w:rPr>
        <w:t>primarily</w:t>
      </w:r>
      <w:r w:rsidRPr="008C580C">
        <w:rPr>
          <w:color w:val="000000" w:themeColor="text1"/>
          <w:szCs w:val="26"/>
        </w:rPr>
        <w:t xml:space="preserve"> </w:t>
      </w:r>
      <w:r w:rsidR="0024442F" w:rsidRPr="008C580C">
        <w:rPr>
          <w:color w:val="000000" w:themeColor="text1"/>
          <w:szCs w:val="26"/>
        </w:rPr>
        <w:t xml:space="preserve">to </w:t>
      </w:r>
      <w:r w:rsidRPr="008C580C">
        <w:rPr>
          <w:color w:val="000000" w:themeColor="text1"/>
          <w:szCs w:val="26"/>
        </w:rPr>
        <w:t>claim self-defense; and (2)</w:t>
      </w:r>
      <w:r w:rsidR="000363B1" w:rsidRPr="008C580C">
        <w:rPr>
          <w:color w:val="000000" w:themeColor="text1"/>
          <w:szCs w:val="26"/>
        </w:rPr>
        <w:t> </w:t>
      </w:r>
      <w:r w:rsidRPr="008C580C">
        <w:rPr>
          <w:i/>
          <w:color w:val="000000" w:themeColor="text1"/>
          <w:szCs w:val="26"/>
        </w:rPr>
        <w:t>secondarily</w:t>
      </w:r>
      <w:r w:rsidRPr="008C580C">
        <w:rPr>
          <w:color w:val="000000" w:themeColor="text1"/>
          <w:szCs w:val="26"/>
        </w:rPr>
        <w:t xml:space="preserve"> </w:t>
      </w:r>
      <w:r w:rsidR="004B64D4" w:rsidRPr="008C580C">
        <w:rPr>
          <w:color w:val="000000" w:themeColor="text1"/>
          <w:szCs w:val="26"/>
        </w:rPr>
        <w:t>and alter</w:t>
      </w:r>
      <w:r w:rsidR="00EF08A7" w:rsidRPr="008C580C">
        <w:rPr>
          <w:color w:val="000000" w:themeColor="text1"/>
          <w:szCs w:val="26"/>
        </w:rPr>
        <w:t xml:space="preserve">natively, </w:t>
      </w:r>
      <w:r w:rsidRPr="008C580C">
        <w:rPr>
          <w:color w:val="000000" w:themeColor="text1"/>
          <w:szCs w:val="26"/>
        </w:rPr>
        <w:t xml:space="preserve">to impeach the victim’s character and portray him as violent.  </w:t>
      </w:r>
    </w:p>
  </w:footnote>
  <w:footnote w:id="16">
    <w:p w14:paraId="4E4243F5" w14:textId="54B18807" w:rsidR="00D246FB" w:rsidRPr="00395492" w:rsidRDefault="00D246FB"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45408A">
        <w:t xml:space="preserve">Facebook, </w:t>
      </w:r>
      <w:r w:rsidR="0045408A" w:rsidRPr="00A03A1F">
        <w:rPr>
          <w:i/>
        </w:rPr>
        <w:t>Terms of Servi</w:t>
      </w:r>
      <w:r w:rsidR="0045408A">
        <w:rPr>
          <w:i/>
        </w:rPr>
        <w:t>c</w:t>
      </w:r>
      <w:r w:rsidR="0045408A" w:rsidRPr="00A03A1F">
        <w:rPr>
          <w:i/>
        </w:rPr>
        <w:t>e</w:t>
      </w:r>
      <w:r w:rsidR="0045408A">
        <w:rPr>
          <w:i/>
        </w:rPr>
        <w:t xml:space="preserve"> </w:t>
      </w:r>
      <w:r w:rsidR="00595192">
        <w:t>&lt;</w:t>
      </w:r>
      <w:r w:rsidR="00A8239D" w:rsidRPr="0024770D">
        <w:t>www.facebook.com/</w:t>
      </w:r>
      <w:r w:rsidR="006F4D4B" w:rsidRPr="0024770D">
        <w:t xml:space="preserve"> </w:t>
      </w:r>
      <w:r w:rsidR="00A8239D" w:rsidRPr="0024770D">
        <w:t>legal/terms/</w:t>
      </w:r>
      <w:proofErr w:type="spellStart"/>
      <w:r w:rsidR="00A8239D" w:rsidRPr="0024770D">
        <w:t>plain_text_terms</w:t>
      </w:r>
      <w:proofErr w:type="spellEnd"/>
      <w:r w:rsidR="001A0704">
        <w:t>&gt;</w:t>
      </w:r>
      <w:r w:rsidRPr="00395492">
        <w:rPr>
          <w:color w:val="000000" w:themeColor="text1"/>
        </w:rPr>
        <w:t xml:space="preserve"> (revised July</w:t>
      </w:r>
      <w:r w:rsidR="00A8239D">
        <w:rPr>
          <w:color w:val="000000" w:themeColor="text1"/>
        </w:rPr>
        <w:t> </w:t>
      </w:r>
      <w:r w:rsidRPr="00395492">
        <w:rPr>
          <w:color w:val="000000" w:themeColor="text1"/>
        </w:rPr>
        <w:t xml:space="preserve">31, 2019) [as of </w:t>
      </w:r>
      <w:r w:rsidR="006F4D4B">
        <w:rPr>
          <w:color w:val="000000" w:themeColor="text1"/>
        </w:rPr>
        <w:t>August 10</w:t>
      </w:r>
      <w:r w:rsidR="009F2AA9" w:rsidRPr="00395492">
        <w:rPr>
          <w:color w:val="000000" w:themeColor="text1"/>
        </w:rPr>
        <w:t xml:space="preserve">, </w:t>
      </w:r>
      <w:r w:rsidR="00BB389C" w:rsidRPr="00427FF3">
        <w:rPr>
          <w:color w:val="000000" w:themeColor="text1"/>
        </w:rPr>
        <w:t>2020</w:t>
      </w:r>
      <w:r w:rsidRPr="004B4421">
        <w:rPr>
          <w:color w:val="000000" w:themeColor="text1"/>
        </w:rPr>
        <w:t xml:space="preserve">].  All Internet citations </w:t>
      </w:r>
      <w:proofErr w:type="gramStart"/>
      <w:r w:rsidRPr="004B4421">
        <w:rPr>
          <w:color w:val="000000" w:themeColor="text1"/>
        </w:rPr>
        <w:t>in our opinion will</w:t>
      </w:r>
      <w:proofErr w:type="gramEnd"/>
      <w:r w:rsidRPr="004B4421">
        <w:rPr>
          <w:color w:val="000000" w:themeColor="text1"/>
        </w:rPr>
        <w:t xml:space="preserve"> be archived by year, docket number and case name at &lt;</w:t>
      </w:r>
      <w:r w:rsidRPr="0024770D">
        <w:t>https://www.courts.ca.gov/38324.htm</w:t>
      </w:r>
      <w:r w:rsidRPr="00395492">
        <w:rPr>
          <w:color w:val="000000" w:themeColor="text1"/>
        </w:rPr>
        <w:t xml:space="preserve">&gt;. </w:t>
      </w:r>
    </w:p>
  </w:footnote>
  <w:footnote w:id="17">
    <w:p w14:paraId="3D179D57" w14:textId="518D491E" w:rsidR="00D246FB" w:rsidRPr="008C580C" w:rsidRDefault="00D246FB" w:rsidP="00EA0331">
      <w:pPr>
        <w:pStyle w:val="FootnoteText"/>
        <w:rPr>
          <w:color w:val="000000" w:themeColor="text1"/>
          <w:sz w:val="25"/>
          <w:szCs w:val="25"/>
        </w:rPr>
      </w:pPr>
      <w:r w:rsidRPr="00395492">
        <w:rPr>
          <w:rStyle w:val="FootnoteReference"/>
          <w:color w:val="000000" w:themeColor="text1"/>
        </w:rPr>
        <w:footnoteRef/>
      </w:r>
      <w:r w:rsidRPr="00395492">
        <w:rPr>
          <w:color w:val="000000" w:themeColor="text1"/>
        </w:rPr>
        <w:t xml:space="preserve"> </w:t>
      </w:r>
      <w:r w:rsidRPr="00395492">
        <w:rPr>
          <w:color w:val="000000" w:themeColor="text1"/>
        </w:rPr>
        <w:tab/>
        <w:t xml:space="preserve">Facebook, </w:t>
      </w:r>
      <w:r w:rsidRPr="00395492">
        <w:rPr>
          <w:i/>
          <w:color w:val="000000" w:themeColor="text1"/>
        </w:rPr>
        <w:t xml:space="preserve">Data Policy </w:t>
      </w:r>
      <w:r w:rsidRPr="00395492">
        <w:rPr>
          <w:color w:val="000000" w:themeColor="text1"/>
        </w:rPr>
        <w:t>&lt;</w:t>
      </w:r>
      <w:r w:rsidRPr="0024770D">
        <w:t>www.facebook.com/full_data</w:t>
      </w:r>
      <w:r w:rsidR="0070377E" w:rsidRPr="0024770D">
        <w:t xml:space="preserve"> </w:t>
      </w:r>
      <w:r w:rsidRPr="0024770D">
        <w:t>_</w:t>
      </w:r>
      <w:proofErr w:type="spellStart"/>
      <w:r w:rsidRPr="0024770D">
        <w:t>use_policy</w:t>
      </w:r>
      <w:proofErr w:type="spellEnd"/>
      <w:r w:rsidRPr="00395492">
        <w:rPr>
          <w:color w:val="000000" w:themeColor="text1"/>
        </w:rPr>
        <w:t xml:space="preserve">&gt; (revised April 19, 2018) [as of </w:t>
      </w:r>
      <w:r w:rsidR="006F4D4B">
        <w:rPr>
          <w:color w:val="000000" w:themeColor="text1"/>
        </w:rPr>
        <w:t>August 10</w:t>
      </w:r>
      <w:r w:rsidR="001E3360" w:rsidRPr="00395492">
        <w:rPr>
          <w:color w:val="000000" w:themeColor="text1"/>
        </w:rPr>
        <w:t xml:space="preserve">, </w:t>
      </w:r>
      <w:r w:rsidR="00363EE7" w:rsidRPr="00395492">
        <w:rPr>
          <w:color w:val="000000" w:themeColor="text1"/>
        </w:rPr>
        <w:t>2020</w:t>
      </w:r>
      <w:r w:rsidRPr="00395492">
        <w:rPr>
          <w:color w:val="000000" w:themeColor="text1"/>
        </w:rPr>
        <w:t>].</w:t>
      </w:r>
      <w:r w:rsidRPr="008C580C">
        <w:rPr>
          <w:color w:val="000000" w:themeColor="text1"/>
        </w:rPr>
        <w:t xml:space="preserve">  </w:t>
      </w:r>
    </w:p>
  </w:footnote>
  <w:footnote w:id="18">
    <w:p w14:paraId="7510E958" w14:textId="6BFDE490" w:rsidR="006A6366" w:rsidRPr="008C580C" w:rsidRDefault="006A6366" w:rsidP="00EA0331">
      <w:pPr>
        <w:pStyle w:val="FootnoteText"/>
        <w:rPr>
          <w:color w:val="000000" w:themeColor="text1"/>
        </w:rPr>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2B0B59" w:rsidRPr="008C580C">
        <w:rPr>
          <w:color w:val="000000" w:themeColor="text1"/>
        </w:rPr>
        <w:t xml:space="preserve">Regarding </w:t>
      </w:r>
      <w:r w:rsidR="00C002A4" w:rsidRPr="008C580C">
        <w:rPr>
          <w:color w:val="000000" w:themeColor="text1"/>
        </w:rPr>
        <w:t>an</w:t>
      </w:r>
      <w:r w:rsidR="00232852">
        <w:rPr>
          <w:color w:val="000000" w:themeColor="text1"/>
        </w:rPr>
        <w:t xml:space="preserve"> entity that provides</w:t>
      </w:r>
      <w:r w:rsidR="00C002A4" w:rsidRPr="008C580C">
        <w:rPr>
          <w:color w:val="000000" w:themeColor="text1"/>
        </w:rPr>
        <w:t xml:space="preserve"> </w:t>
      </w:r>
      <w:r w:rsidR="002B0B59" w:rsidRPr="008C580C">
        <w:rPr>
          <w:color w:val="000000" w:themeColor="text1"/>
        </w:rPr>
        <w:t>ECS, s</w:t>
      </w:r>
      <w:r w:rsidR="00CF67D4" w:rsidRPr="008C580C">
        <w:rPr>
          <w:color w:val="000000" w:themeColor="text1"/>
        </w:rPr>
        <w:t xml:space="preserve">ee </w:t>
      </w:r>
      <w:r w:rsidRPr="008C580C">
        <w:rPr>
          <w:color w:val="000000" w:themeColor="text1"/>
          <w:szCs w:val="26"/>
        </w:rPr>
        <w:t xml:space="preserve">18 U.S.C. </w:t>
      </w:r>
      <w:r w:rsidR="002741AB" w:rsidRPr="008C580C">
        <w:rPr>
          <w:color w:val="000000" w:themeColor="text1"/>
          <w:szCs w:val="26"/>
        </w:rPr>
        <w:t xml:space="preserve">section </w:t>
      </w:r>
      <w:r w:rsidRPr="008C580C">
        <w:rPr>
          <w:color w:val="000000" w:themeColor="text1"/>
          <w:szCs w:val="26"/>
        </w:rPr>
        <w:t>2510(15) [</w:t>
      </w:r>
      <w:r w:rsidR="00CF67D4" w:rsidRPr="008C580C">
        <w:rPr>
          <w:color w:val="000000" w:themeColor="text1"/>
          <w:szCs w:val="26"/>
        </w:rPr>
        <w:t xml:space="preserve">defining </w:t>
      </w:r>
      <w:r w:rsidR="000608C8" w:rsidRPr="008C580C">
        <w:rPr>
          <w:color w:val="000000" w:themeColor="text1"/>
          <w:szCs w:val="26"/>
        </w:rPr>
        <w:t>that term</w:t>
      </w:r>
      <w:r w:rsidR="00121FFE" w:rsidRPr="008C580C">
        <w:rPr>
          <w:color w:val="000000" w:themeColor="text1"/>
          <w:szCs w:val="26"/>
        </w:rPr>
        <w:t xml:space="preserve">, </w:t>
      </w:r>
      <w:r w:rsidR="00886C1C" w:rsidRPr="008C580C">
        <w:rPr>
          <w:color w:val="000000" w:themeColor="text1"/>
          <w:szCs w:val="26"/>
        </w:rPr>
        <w:t xml:space="preserve">as </w:t>
      </w:r>
      <w:r w:rsidRPr="008C580C">
        <w:rPr>
          <w:rStyle w:val="Emphasis"/>
          <w:i w:val="0"/>
          <w:color w:val="000000" w:themeColor="text1"/>
          <w:szCs w:val="26"/>
          <w:bdr w:val="none" w:sz="0" w:space="0" w:color="auto" w:frame="1"/>
          <w:shd w:val="clear" w:color="auto" w:fill="FFFFFF"/>
        </w:rPr>
        <w:t>incorporated into the SCA by</w:t>
      </w:r>
      <w:r w:rsidR="00502B9B">
        <w:rPr>
          <w:rStyle w:val="Emphasis"/>
          <w:i w:val="0"/>
          <w:color w:val="000000" w:themeColor="text1"/>
          <w:szCs w:val="26"/>
          <w:bdr w:val="none" w:sz="0" w:space="0" w:color="auto" w:frame="1"/>
          <w:shd w:val="clear" w:color="auto" w:fill="FFFFFF"/>
        </w:rPr>
        <w:t xml:space="preserve"> </w:t>
      </w:r>
      <w:r w:rsidR="00502B9B">
        <w:rPr>
          <w:rStyle w:val="Emphasis"/>
          <w:iCs w:val="0"/>
          <w:color w:val="000000" w:themeColor="text1"/>
          <w:szCs w:val="26"/>
          <w:bdr w:val="none" w:sz="0" w:space="0" w:color="auto" w:frame="1"/>
          <w:shd w:val="clear" w:color="auto" w:fill="FFFFFF"/>
        </w:rPr>
        <w:t>id.,</w:t>
      </w:r>
      <w:r w:rsidRPr="008C580C">
        <w:rPr>
          <w:rStyle w:val="Emphasis"/>
          <w:color w:val="000000" w:themeColor="text1"/>
          <w:szCs w:val="26"/>
          <w:bdr w:val="none" w:sz="0" w:space="0" w:color="auto" w:frame="1"/>
          <w:shd w:val="clear" w:color="auto" w:fill="FFFFFF"/>
        </w:rPr>
        <w:t xml:space="preserve"> </w:t>
      </w:r>
      <w:r w:rsidRPr="008C580C">
        <w:rPr>
          <w:color w:val="000000" w:themeColor="text1"/>
          <w:szCs w:val="26"/>
          <w:shd w:val="clear" w:color="auto" w:fill="FFFFFF"/>
        </w:rPr>
        <w:t>§</w:t>
      </w:r>
      <w:r w:rsidR="000A30DF">
        <w:rPr>
          <w:color w:val="000000" w:themeColor="text1"/>
          <w:szCs w:val="26"/>
          <w:shd w:val="clear" w:color="auto" w:fill="FFFFFF"/>
        </w:rPr>
        <w:t> </w:t>
      </w:r>
      <w:r w:rsidRPr="008C580C">
        <w:rPr>
          <w:color w:val="000000" w:themeColor="text1"/>
          <w:szCs w:val="26"/>
          <w:shd w:val="clear" w:color="auto" w:fill="FFFFFF"/>
        </w:rPr>
        <w:t>2711(1)]</w:t>
      </w:r>
      <w:r w:rsidR="0042505C" w:rsidRPr="008C580C">
        <w:rPr>
          <w:color w:val="000000" w:themeColor="text1"/>
          <w:szCs w:val="26"/>
          <w:shd w:val="clear" w:color="auto" w:fill="FFFFFF"/>
        </w:rPr>
        <w:t xml:space="preserve">; </w:t>
      </w:r>
      <w:r w:rsidR="00DD1B41" w:rsidRPr="008C580C">
        <w:rPr>
          <w:i/>
          <w:iCs/>
          <w:color w:val="000000" w:themeColor="text1"/>
          <w:szCs w:val="26"/>
          <w:shd w:val="clear" w:color="auto" w:fill="FFFFFF"/>
        </w:rPr>
        <w:t>id.</w:t>
      </w:r>
      <w:r w:rsidR="00DD1B41" w:rsidRPr="008C580C">
        <w:rPr>
          <w:color w:val="000000" w:themeColor="text1"/>
          <w:szCs w:val="26"/>
          <w:shd w:val="clear" w:color="auto" w:fill="FFFFFF"/>
        </w:rPr>
        <w:t xml:space="preserve">, </w:t>
      </w:r>
      <w:r w:rsidR="002741AB" w:rsidRPr="008C580C">
        <w:rPr>
          <w:color w:val="000000" w:themeColor="text1"/>
          <w:szCs w:val="26"/>
          <w:shd w:val="clear" w:color="auto" w:fill="FFFFFF"/>
        </w:rPr>
        <w:t xml:space="preserve">section </w:t>
      </w:r>
      <w:r w:rsidRPr="008C580C">
        <w:rPr>
          <w:color w:val="000000" w:themeColor="text1"/>
          <w:szCs w:val="26"/>
        </w:rPr>
        <w:t>2702(a</w:t>
      </w:r>
      <w:r w:rsidRPr="00736C19">
        <w:rPr>
          <w:bCs/>
          <w:color w:val="000000" w:themeColor="text1"/>
          <w:szCs w:val="26"/>
        </w:rPr>
        <w:t>)</w:t>
      </w:r>
      <w:r w:rsidRPr="008C580C">
        <w:rPr>
          <w:color w:val="000000" w:themeColor="text1"/>
          <w:szCs w:val="26"/>
        </w:rPr>
        <w:t>(1)</w:t>
      </w:r>
      <w:r w:rsidR="00E15BBA" w:rsidRPr="008C580C">
        <w:rPr>
          <w:color w:val="000000" w:themeColor="text1"/>
          <w:szCs w:val="26"/>
        </w:rPr>
        <w:t xml:space="preserve"> [barring disclosure</w:t>
      </w:r>
      <w:r w:rsidR="00AF0193" w:rsidRPr="008C580C">
        <w:rPr>
          <w:color w:val="000000" w:themeColor="text1"/>
          <w:szCs w:val="26"/>
        </w:rPr>
        <w:t xml:space="preserve"> by an </w:t>
      </w:r>
      <w:r w:rsidR="00232852">
        <w:rPr>
          <w:color w:val="000000" w:themeColor="text1"/>
          <w:szCs w:val="26"/>
        </w:rPr>
        <w:t xml:space="preserve">entity that provides </w:t>
      </w:r>
      <w:r w:rsidR="00AF0193" w:rsidRPr="008C580C">
        <w:rPr>
          <w:color w:val="000000" w:themeColor="text1"/>
          <w:szCs w:val="26"/>
        </w:rPr>
        <w:t>ECS</w:t>
      </w:r>
      <w:r w:rsidR="00C971D7" w:rsidRPr="008C580C">
        <w:rPr>
          <w:color w:val="000000" w:themeColor="text1"/>
          <w:szCs w:val="26"/>
        </w:rPr>
        <w:t xml:space="preserve"> of any </w:t>
      </w:r>
      <w:r w:rsidRPr="008C580C">
        <w:rPr>
          <w:color w:val="000000" w:themeColor="text1"/>
        </w:rPr>
        <w:t>communication “in electronic storage by that service”</w:t>
      </w:r>
      <w:r w:rsidR="00EB16A3" w:rsidRPr="008C580C">
        <w:rPr>
          <w:color w:val="000000" w:themeColor="text1"/>
        </w:rPr>
        <w:t xml:space="preserve">]; </w:t>
      </w:r>
      <w:r w:rsidR="00EB16A3" w:rsidRPr="008C580C">
        <w:rPr>
          <w:i/>
          <w:iCs/>
          <w:color w:val="000000" w:themeColor="text1"/>
        </w:rPr>
        <w:t>id</w:t>
      </w:r>
      <w:r w:rsidR="00EB16A3" w:rsidRPr="008C580C">
        <w:rPr>
          <w:color w:val="000000" w:themeColor="text1"/>
        </w:rPr>
        <w:t>.</w:t>
      </w:r>
      <w:r w:rsidR="00073F0A">
        <w:rPr>
          <w:color w:val="000000" w:themeColor="text1"/>
        </w:rPr>
        <w:t>,</w:t>
      </w:r>
      <w:r w:rsidR="00EB16A3" w:rsidRPr="008C580C">
        <w:rPr>
          <w:color w:val="000000" w:themeColor="text1"/>
        </w:rPr>
        <w:t xml:space="preserve"> </w:t>
      </w:r>
      <w:r w:rsidR="006B6425" w:rsidRPr="008C580C">
        <w:rPr>
          <w:color w:val="000000" w:themeColor="text1"/>
        </w:rPr>
        <w:t xml:space="preserve">section </w:t>
      </w:r>
      <w:r w:rsidRPr="008C580C">
        <w:rPr>
          <w:color w:val="000000" w:themeColor="text1"/>
        </w:rPr>
        <w:t>2510(17)</w:t>
      </w:r>
      <w:r w:rsidR="00794ED9" w:rsidRPr="008C580C">
        <w:rPr>
          <w:color w:val="000000" w:themeColor="text1"/>
        </w:rPr>
        <w:t>(A)</w:t>
      </w:r>
      <w:r w:rsidR="005A2445">
        <w:rPr>
          <w:color w:val="000000" w:themeColor="text1"/>
        </w:rPr>
        <w:t>–</w:t>
      </w:r>
      <w:r w:rsidR="00794ED9" w:rsidRPr="008C580C">
        <w:rPr>
          <w:color w:val="000000" w:themeColor="text1"/>
        </w:rPr>
        <w:t xml:space="preserve">(B) </w:t>
      </w:r>
      <w:r w:rsidR="00EB16A3" w:rsidRPr="008C580C">
        <w:rPr>
          <w:color w:val="000000" w:themeColor="text1"/>
        </w:rPr>
        <w:t xml:space="preserve">[defining </w:t>
      </w:r>
      <w:r w:rsidR="00886C1C" w:rsidRPr="008C580C">
        <w:rPr>
          <w:color w:val="000000" w:themeColor="text1"/>
        </w:rPr>
        <w:t>“</w:t>
      </w:r>
      <w:r w:rsidR="002B0B59" w:rsidRPr="008C580C">
        <w:rPr>
          <w:color w:val="000000" w:themeColor="text1"/>
        </w:rPr>
        <w:t>electronic storage</w:t>
      </w:r>
      <w:r w:rsidR="00886C1C" w:rsidRPr="008C580C">
        <w:rPr>
          <w:color w:val="000000" w:themeColor="text1"/>
        </w:rPr>
        <w:t>”</w:t>
      </w:r>
      <w:r w:rsidR="002B0B59" w:rsidRPr="008C580C">
        <w:rPr>
          <w:color w:val="000000" w:themeColor="text1"/>
        </w:rPr>
        <w:t xml:space="preserve">].  Regarding </w:t>
      </w:r>
      <w:r w:rsidR="00C002A4" w:rsidRPr="008C580C">
        <w:rPr>
          <w:color w:val="000000" w:themeColor="text1"/>
        </w:rPr>
        <w:t xml:space="preserve">an </w:t>
      </w:r>
      <w:r w:rsidR="00F572DD">
        <w:rPr>
          <w:color w:val="000000" w:themeColor="text1"/>
        </w:rPr>
        <w:t xml:space="preserve">entity that provides </w:t>
      </w:r>
      <w:r w:rsidR="002B0B59" w:rsidRPr="008C580C">
        <w:rPr>
          <w:color w:val="000000" w:themeColor="text1"/>
        </w:rPr>
        <w:t>RCS, see</w:t>
      </w:r>
      <w:r w:rsidR="0010297B" w:rsidRPr="008C580C">
        <w:rPr>
          <w:color w:val="000000" w:themeColor="text1"/>
        </w:rPr>
        <w:t xml:space="preserve"> </w:t>
      </w:r>
      <w:r w:rsidR="0010297B" w:rsidRPr="008C580C">
        <w:rPr>
          <w:i/>
          <w:iCs/>
          <w:color w:val="000000" w:themeColor="text1"/>
        </w:rPr>
        <w:t>id</w:t>
      </w:r>
      <w:r w:rsidR="0010297B" w:rsidRPr="008C580C">
        <w:rPr>
          <w:color w:val="000000" w:themeColor="text1"/>
        </w:rPr>
        <w:t>.,</w:t>
      </w:r>
      <w:r w:rsidR="000608C8" w:rsidRPr="008C580C">
        <w:rPr>
          <w:color w:val="000000" w:themeColor="text1"/>
        </w:rPr>
        <w:t xml:space="preserve"> </w:t>
      </w:r>
      <w:r w:rsidR="006B6425" w:rsidRPr="008C580C">
        <w:rPr>
          <w:color w:val="000000" w:themeColor="text1"/>
        </w:rPr>
        <w:t xml:space="preserve">section </w:t>
      </w:r>
      <w:r w:rsidR="000608C8" w:rsidRPr="008C580C">
        <w:rPr>
          <w:color w:val="000000" w:themeColor="text1"/>
        </w:rPr>
        <w:t>2711(2) [defining that term]</w:t>
      </w:r>
      <w:r w:rsidR="00E845F6" w:rsidRPr="008C580C">
        <w:rPr>
          <w:color w:val="000000" w:themeColor="text1"/>
        </w:rPr>
        <w:t xml:space="preserve">; </w:t>
      </w:r>
      <w:r w:rsidR="00E845F6" w:rsidRPr="008C580C">
        <w:rPr>
          <w:i/>
          <w:iCs/>
          <w:color w:val="000000" w:themeColor="text1"/>
        </w:rPr>
        <w:t>id</w:t>
      </w:r>
      <w:r w:rsidR="00E845F6" w:rsidRPr="008C580C">
        <w:rPr>
          <w:color w:val="000000" w:themeColor="text1"/>
        </w:rPr>
        <w:t xml:space="preserve">., </w:t>
      </w:r>
      <w:r w:rsidR="006B6425" w:rsidRPr="008C580C">
        <w:rPr>
          <w:color w:val="000000" w:themeColor="text1"/>
        </w:rPr>
        <w:t xml:space="preserve">section </w:t>
      </w:r>
      <w:r w:rsidRPr="008C580C">
        <w:rPr>
          <w:color w:val="000000" w:themeColor="text1"/>
        </w:rPr>
        <w:t>2702(a</w:t>
      </w:r>
      <w:r w:rsidRPr="004B4421">
        <w:rPr>
          <w:bCs/>
          <w:color w:val="000000" w:themeColor="text1"/>
        </w:rPr>
        <w:t>)</w:t>
      </w:r>
      <w:r w:rsidRPr="008C580C">
        <w:rPr>
          <w:color w:val="000000" w:themeColor="text1"/>
        </w:rPr>
        <w:t>(2)</w:t>
      </w:r>
      <w:r w:rsidR="00440190" w:rsidRPr="008C580C">
        <w:rPr>
          <w:color w:val="000000" w:themeColor="text1"/>
        </w:rPr>
        <w:t xml:space="preserve"> [barring disclosure by an </w:t>
      </w:r>
      <w:r w:rsidR="00F572DD">
        <w:rPr>
          <w:color w:val="000000" w:themeColor="text1"/>
        </w:rPr>
        <w:t xml:space="preserve">entity that provides </w:t>
      </w:r>
      <w:r w:rsidR="00440190" w:rsidRPr="008C580C">
        <w:rPr>
          <w:color w:val="000000" w:themeColor="text1"/>
        </w:rPr>
        <w:t xml:space="preserve">RCS of </w:t>
      </w:r>
      <w:r w:rsidR="000A297D" w:rsidRPr="008C580C">
        <w:rPr>
          <w:color w:val="000000" w:themeColor="text1"/>
        </w:rPr>
        <w:t>“</w:t>
      </w:r>
      <w:r w:rsidRPr="008C580C">
        <w:rPr>
          <w:color w:val="000000" w:themeColor="text1"/>
        </w:rPr>
        <w:t xml:space="preserve">the contents of any communication which is carried or maintained on that service” when </w:t>
      </w:r>
      <w:r w:rsidR="000C48C6" w:rsidRPr="008C580C">
        <w:rPr>
          <w:color w:val="000000" w:themeColor="text1"/>
        </w:rPr>
        <w:t xml:space="preserve">certain </w:t>
      </w:r>
      <w:r w:rsidRPr="008C580C">
        <w:rPr>
          <w:color w:val="000000" w:themeColor="text1"/>
        </w:rPr>
        <w:t xml:space="preserve">conditions </w:t>
      </w:r>
      <w:r w:rsidR="000C48C6" w:rsidRPr="008C580C">
        <w:rPr>
          <w:color w:val="000000" w:themeColor="text1"/>
        </w:rPr>
        <w:t>apply</w:t>
      </w:r>
      <w:r w:rsidR="00C002A4" w:rsidRPr="008C580C">
        <w:rPr>
          <w:color w:val="000000" w:themeColor="text1"/>
        </w:rPr>
        <w:t>]</w:t>
      </w:r>
      <w:r w:rsidR="000C48C6" w:rsidRPr="008C580C">
        <w:rPr>
          <w:color w:val="000000" w:themeColor="text1"/>
        </w:rPr>
        <w:t xml:space="preserve">.  </w:t>
      </w:r>
    </w:p>
  </w:footnote>
  <w:footnote w:id="19">
    <w:p w14:paraId="76B0E4A7" w14:textId="1C41945E" w:rsidR="00A559B5" w:rsidRPr="008022E2" w:rsidRDefault="00A559B5" w:rsidP="00EA0331">
      <w:pPr>
        <w:shd w:val="clear" w:color="auto" w:fill="FFFFFF"/>
        <w:spacing w:line="300" w:lineRule="exact"/>
        <w:textAlignment w:val="baseline"/>
      </w:pPr>
      <w:r w:rsidRPr="008C580C">
        <w:rPr>
          <w:rStyle w:val="FootnoteReference"/>
          <w:color w:val="000000" w:themeColor="text1"/>
        </w:rPr>
        <w:footnoteRef/>
      </w:r>
      <w:r w:rsidRPr="008C580C">
        <w:rPr>
          <w:color w:val="000000" w:themeColor="text1"/>
        </w:rPr>
        <w:t xml:space="preserve"> </w:t>
      </w:r>
      <w:r w:rsidRPr="008C580C">
        <w:rPr>
          <w:color w:val="000000" w:themeColor="text1"/>
        </w:rPr>
        <w:tab/>
      </w:r>
      <w:r w:rsidR="00AF28BE" w:rsidRPr="008C580C">
        <w:rPr>
          <w:color w:val="000000" w:themeColor="text1"/>
        </w:rPr>
        <w:t>Facebook</w:t>
      </w:r>
      <w:r w:rsidR="00492CCB" w:rsidRPr="008C580C">
        <w:rPr>
          <w:color w:val="000000" w:themeColor="text1"/>
        </w:rPr>
        <w:t xml:space="preserve"> also asserts </w:t>
      </w:r>
      <w:r w:rsidR="003068FA">
        <w:rPr>
          <w:color w:val="000000" w:themeColor="text1"/>
        </w:rPr>
        <w:t xml:space="preserve">in its briefing </w:t>
      </w:r>
      <w:r w:rsidR="00492CCB" w:rsidRPr="008C580C">
        <w:rPr>
          <w:color w:val="000000" w:themeColor="text1"/>
        </w:rPr>
        <w:t xml:space="preserve">that </w:t>
      </w:r>
      <w:r w:rsidR="00AF28BE" w:rsidRPr="008C580C">
        <w:rPr>
          <w:color w:val="000000" w:themeColor="text1"/>
        </w:rPr>
        <w:t>“</w:t>
      </w:r>
      <w:r w:rsidR="00AF28BE" w:rsidRPr="008C580C">
        <w:rPr>
          <w:i/>
          <w:iCs/>
          <w:color w:val="000000" w:themeColor="text1"/>
        </w:rPr>
        <w:t>every</w:t>
      </w:r>
      <w:r w:rsidR="002D12ED" w:rsidRPr="008C580C">
        <w:rPr>
          <w:color w:val="000000" w:themeColor="text1"/>
        </w:rPr>
        <w:t xml:space="preserve"> </w:t>
      </w:r>
      <w:r w:rsidR="00AF28BE" w:rsidRPr="008C580C">
        <w:rPr>
          <w:color w:val="000000" w:themeColor="text1"/>
        </w:rPr>
        <w:t>court to consider the issue has concluded that Facebook and other social media providers qualify as either an ECS or an RCS provider.”</w:t>
      </w:r>
      <w:r w:rsidR="00492CCB" w:rsidRPr="008C580C">
        <w:rPr>
          <w:color w:val="000000" w:themeColor="text1"/>
        </w:rPr>
        <w:t xml:space="preserve">  </w:t>
      </w:r>
      <w:r w:rsidR="003C1DBA">
        <w:rPr>
          <w:color w:val="000000" w:themeColor="text1"/>
        </w:rPr>
        <w:t>(</w:t>
      </w:r>
      <w:r w:rsidR="00C244C7">
        <w:rPr>
          <w:color w:val="000000" w:themeColor="text1"/>
        </w:rPr>
        <w:t>See</w:t>
      </w:r>
      <w:r w:rsidR="00231544">
        <w:rPr>
          <w:color w:val="000000" w:themeColor="text1"/>
        </w:rPr>
        <w:t>,</w:t>
      </w:r>
      <w:r w:rsidR="00C244C7">
        <w:rPr>
          <w:color w:val="000000" w:themeColor="text1"/>
        </w:rPr>
        <w:t xml:space="preserve"> e.g., </w:t>
      </w:r>
      <w:r w:rsidR="00C244C7" w:rsidRPr="00240105">
        <w:rPr>
          <w:i/>
          <w:iCs/>
          <w:color w:val="000000" w:themeColor="text1"/>
        </w:rPr>
        <w:t>State v. Johnson</w:t>
      </w:r>
      <w:r w:rsidR="00C244C7">
        <w:rPr>
          <w:color w:val="000000" w:themeColor="text1"/>
        </w:rPr>
        <w:t xml:space="preserve"> </w:t>
      </w:r>
      <w:r w:rsidR="00C244C7" w:rsidRPr="00AE78BE">
        <w:rPr>
          <w:color w:val="000000" w:themeColor="text1"/>
        </w:rPr>
        <w:t>(Tenn.</w:t>
      </w:r>
      <w:r w:rsidR="001D6714" w:rsidRPr="00AE78BE">
        <w:rPr>
          <w:color w:val="000000" w:themeColor="text1"/>
        </w:rPr>
        <w:t xml:space="preserve"> </w:t>
      </w:r>
      <w:r w:rsidR="00C244C7" w:rsidRPr="00AE78BE">
        <w:rPr>
          <w:color w:val="000000" w:themeColor="text1"/>
        </w:rPr>
        <w:t>Crim.</w:t>
      </w:r>
      <w:r w:rsidR="001D6714" w:rsidRPr="00AE78BE">
        <w:rPr>
          <w:color w:val="000000" w:themeColor="text1"/>
        </w:rPr>
        <w:t xml:space="preserve"> </w:t>
      </w:r>
      <w:r w:rsidR="00C244C7" w:rsidRPr="00AE78BE">
        <w:rPr>
          <w:color w:val="000000" w:themeColor="text1"/>
        </w:rPr>
        <w:t>App.</w:t>
      </w:r>
      <w:r w:rsidR="00C244C7">
        <w:rPr>
          <w:color w:val="000000" w:themeColor="text1"/>
        </w:rPr>
        <w:t xml:space="preserve"> 2017) 538 S.W.3d 32, 68</w:t>
      </w:r>
      <w:r w:rsidR="004D4C8D">
        <w:rPr>
          <w:color w:val="000000" w:themeColor="text1"/>
        </w:rPr>
        <w:t>–</w:t>
      </w:r>
      <w:r w:rsidR="00C244C7">
        <w:rPr>
          <w:color w:val="000000" w:themeColor="text1"/>
        </w:rPr>
        <w:t>69, and cases cited</w:t>
      </w:r>
      <w:r w:rsidR="00011085">
        <w:rPr>
          <w:color w:val="000000" w:themeColor="text1"/>
        </w:rPr>
        <w:t xml:space="preserve">.)  </w:t>
      </w:r>
      <w:r w:rsidR="00492CCB" w:rsidRPr="008C580C">
        <w:rPr>
          <w:color w:val="000000" w:themeColor="text1"/>
        </w:rPr>
        <w:t>And yet</w:t>
      </w:r>
      <w:r w:rsidR="00672B6C" w:rsidRPr="008C580C">
        <w:rPr>
          <w:color w:val="000000" w:themeColor="text1"/>
        </w:rPr>
        <w:t xml:space="preserve">, it appears, </w:t>
      </w:r>
      <w:r w:rsidR="00672B6C" w:rsidRPr="007E00C1">
        <w:rPr>
          <w:i/>
          <w:iCs/>
          <w:color w:val="000000" w:themeColor="text1"/>
        </w:rPr>
        <w:t>no</w:t>
      </w:r>
      <w:r w:rsidR="00672B6C" w:rsidRPr="008C580C">
        <w:rPr>
          <w:color w:val="000000" w:themeColor="text1"/>
        </w:rPr>
        <w:t xml:space="preserve"> court</w:t>
      </w:r>
      <w:r w:rsidR="00777FF0" w:rsidRPr="008C580C">
        <w:rPr>
          <w:color w:val="000000" w:themeColor="text1"/>
        </w:rPr>
        <w:t xml:space="preserve">, including, most recently, </w:t>
      </w:r>
      <w:r w:rsidR="001F4929">
        <w:rPr>
          <w:color w:val="000000" w:themeColor="text1"/>
        </w:rPr>
        <w:t xml:space="preserve">two </w:t>
      </w:r>
      <w:r w:rsidR="00761737">
        <w:rPr>
          <w:color w:val="000000" w:themeColor="text1"/>
        </w:rPr>
        <w:t xml:space="preserve">decisions relied upon by Facebook — </w:t>
      </w:r>
      <w:r w:rsidR="00EA0018" w:rsidRPr="00736C19">
        <w:rPr>
          <w:rFonts w:cs="TimesNewRomanPS-ItalicMT"/>
          <w:i/>
          <w:iCs/>
          <w:color w:val="000000" w:themeColor="text1"/>
          <w:szCs w:val="26"/>
        </w:rPr>
        <w:t xml:space="preserve">Facebook, Inc. v. </w:t>
      </w:r>
      <w:proofErr w:type="spellStart"/>
      <w:r w:rsidR="00EA0018" w:rsidRPr="00736C19">
        <w:rPr>
          <w:rFonts w:cs="TimesNewRomanPS-ItalicMT"/>
          <w:i/>
          <w:iCs/>
          <w:color w:val="000000" w:themeColor="text1"/>
          <w:szCs w:val="26"/>
        </w:rPr>
        <w:t>Wint</w:t>
      </w:r>
      <w:proofErr w:type="spellEnd"/>
      <w:r w:rsidR="00EA0018" w:rsidRPr="00736C19">
        <w:rPr>
          <w:rFonts w:cs="TimesNewRomanPS-ItalicMT"/>
          <w:i/>
          <w:iCs/>
          <w:color w:val="000000" w:themeColor="text1"/>
          <w:szCs w:val="26"/>
        </w:rPr>
        <w:t xml:space="preserve"> </w:t>
      </w:r>
      <w:r w:rsidR="00EA0018" w:rsidRPr="00736C19">
        <w:rPr>
          <w:rFonts w:cs="TimesNewRomanPSMT"/>
          <w:color w:val="000000" w:themeColor="text1"/>
          <w:szCs w:val="26"/>
        </w:rPr>
        <w:t>(D.C. 2019) 199 A.3d 625</w:t>
      </w:r>
      <w:r w:rsidR="006D6675" w:rsidRPr="00736C19">
        <w:rPr>
          <w:rFonts w:cs="TimesNewRomanPSMT"/>
          <w:color w:val="000000" w:themeColor="text1"/>
          <w:szCs w:val="26"/>
        </w:rPr>
        <w:t>,</w:t>
      </w:r>
      <w:r w:rsidR="00EA0018" w:rsidRPr="00736C19">
        <w:rPr>
          <w:rFonts w:cs="TimesNewRomanPSMT"/>
          <w:color w:val="000000" w:themeColor="text1"/>
          <w:szCs w:val="26"/>
        </w:rPr>
        <w:t xml:space="preserve"> and</w:t>
      </w:r>
      <w:r w:rsidR="00254902" w:rsidRPr="00736C19">
        <w:rPr>
          <w:rFonts w:cs="TimesNewRomanPSMT"/>
          <w:color w:val="000000" w:themeColor="text1"/>
          <w:szCs w:val="26"/>
        </w:rPr>
        <w:t xml:space="preserve"> </w:t>
      </w:r>
      <w:r w:rsidR="00254902" w:rsidRPr="00736C19">
        <w:rPr>
          <w:rFonts w:cs="TimesNewRomanPSMT"/>
          <w:i/>
          <w:iCs/>
          <w:color w:val="000000" w:themeColor="text1"/>
          <w:szCs w:val="26"/>
        </w:rPr>
        <w:t>Facebook (Hunter</w:t>
      </w:r>
      <w:r w:rsidR="00984698">
        <w:rPr>
          <w:rFonts w:cs="TimesNewRomanPSMT"/>
          <w:i/>
          <w:iCs/>
          <w:color w:val="000000" w:themeColor="text1"/>
          <w:szCs w:val="26"/>
        </w:rPr>
        <w:t>) </w:t>
      </w:r>
      <w:r w:rsidR="00254902" w:rsidRPr="00736C19">
        <w:rPr>
          <w:rFonts w:cs="TimesNewRomanPSMT"/>
          <w:i/>
          <w:iCs/>
          <w:color w:val="000000" w:themeColor="text1"/>
          <w:szCs w:val="26"/>
        </w:rPr>
        <w:t>II</w:t>
      </w:r>
      <w:r w:rsidR="00254902" w:rsidRPr="00736C19">
        <w:rPr>
          <w:rFonts w:cs="TimesNewRomanPSMT"/>
          <w:color w:val="000000" w:themeColor="text1"/>
          <w:szCs w:val="26"/>
        </w:rPr>
        <w:t xml:space="preserve">, </w:t>
      </w:r>
      <w:r w:rsidR="00254902" w:rsidRPr="00736C19">
        <w:rPr>
          <w:rFonts w:cs="TimesNewRomanPSMT"/>
          <w:i/>
          <w:iCs/>
          <w:color w:val="000000" w:themeColor="text1"/>
          <w:szCs w:val="26"/>
        </w:rPr>
        <w:t>supra</w:t>
      </w:r>
      <w:r w:rsidR="00254902" w:rsidRPr="00736C19">
        <w:rPr>
          <w:rFonts w:cs="TimesNewRomanPSMT"/>
          <w:color w:val="000000" w:themeColor="text1"/>
          <w:szCs w:val="26"/>
        </w:rPr>
        <w:t>,</w:t>
      </w:r>
      <w:r w:rsidR="00254902" w:rsidRPr="008C580C">
        <w:rPr>
          <w:rFonts w:ascii="TimesNewRomanPSMT" w:hAnsi="TimesNewRomanPSMT" w:cs="TimesNewRomanPSMT"/>
          <w:color w:val="000000" w:themeColor="text1"/>
          <w:szCs w:val="26"/>
        </w:rPr>
        <w:t xml:space="preserve"> </w:t>
      </w:r>
      <w:r w:rsidR="002D12ED" w:rsidRPr="008C580C">
        <w:rPr>
          <w:color w:val="000000" w:themeColor="text1"/>
          <w:szCs w:val="26"/>
        </w:rPr>
        <w:t>46 Cal.App.5th 109</w:t>
      </w:r>
      <w:r w:rsidR="00165948">
        <w:rPr>
          <w:color w:val="000000" w:themeColor="text1"/>
          <w:szCs w:val="26"/>
        </w:rPr>
        <w:t xml:space="preserve"> (rev. granted)</w:t>
      </w:r>
      <w:r w:rsidR="00761737">
        <w:rPr>
          <w:color w:val="000000" w:themeColor="text1"/>
          <w:szCs w:val="26"/>
        </w:rPr>
        <w:t xml:space="preserve"> —</w:t>
      </w:r>
      <w:r w:rsidR="00254902" w:rsidRPr="008C580C">
        <w:rPr>
          <w:rFonts w:ascii="TimesNewRomanPSMT" w:hAnsi="TimesNewRomanPSMT" w:cs="TimesNewRomanPSMT"/>
          <w:color w:val="000000" w:themeColor="text1"/>
          <w:szCs w:val="26"/>
        </w:rPr>
        <w:t xml:space="preserve"> </w:t>
      </w:r>
      <w:r w:rsidR="00672B6C" w:rsidRPr="008C580C">
        <w:rPr>
          <w:color w:val="000000" w:themeColor="text1"/>
        </w:rPr>
        <w:t>has considered the issue in light of the business model theory ad</w:t>
      </w:r>
      <w:r w:rsidR="00654107" w:rsidRPr="008C580C">
        <w:rPr>
          <w:color w:val="000000" w:themeColor="text1"/>
        </w:rPr>
        <w:t xml:space="preserve">vanced by defendant and </w:t>
      </w:r>
      <w:r w:rsidR="00E629BC">
        <w:rPr>
          <w:color w:val="000000" w:themeColor="text1"/>
        </w:rPr>
        <w:t xml:space="preserve">the </w:t>
      </w:r>
      <w:r w:rsidR="00984698">
        <w:rPr>
          <w:color w:val="000000" w:themeColor="text1"/>
        </w:rPr>
        <w:t>d</w:t>
      </w:r>
      <w:r w:rsidR="00E629BC">
        <w:rPr>
          <w:color w:val="000000" w:themeColor="text1"/>
        </w:rPr>
        <w:t xml:space="preserve">istrict </w:t>
      </w:r>
      <w:r w:rsidR="00984698">
        <w:rPr>
          <w:color w:val="000000" w:themeColor="text1"/>
        </w:rPr>
        <w:t>a</w:t>
      </w:r>
      <w:r w:rsidR="00E629BC">
        <w:rPr>
          <w:color w:val="000000" w:themeColor="text1"/>
        </w:rPr>
        <w:t>ttorney</w:t>
      </w:r>
      <w:r w:rsidR="00654107" w:rsidRPr="008C580C">
        <w:rPr>
          <w:color w:val="000000" w:themeColor="text1"/>
        </w:rPr>
        <w:t xml:space="preserve">.  </w:t>
      </w:r>
    </w:p>
  </w:footnote>
  <w:footnote w:id="20">
    <w:p w14:paraId="63669BE0" w14:textId="51459E16" w:rsidR="00DC2388" w:rsidRPr="008D45C5" w:rsidRDefault="00DC2388" w:rsidP="00736C19">
      <w:pPr>
        <w:spacing w:after="0" w:line="240" w:lineRule="auto"/>
        <w:rPr>
          <w:szCs w:val="27"/>
        </w:rPr>
      </w:pPr>
      <w:r>
        <w:rPr>
          <w:rStyle w:val="FootnoteReference"/>
        </w:rPr>
        <w:footnoteRef/>
      </w:r>
      <w:r>
        <w:t xml:space="preserve"> </w:t>
      </w:r>
      <w:r>
        <w:tab/>
      </w:r>
      <w:r w:rsidRPr="00736C19">
        <w:rPr>
          <w:color w:val="000000"/>
          <w:szCs w:val="27"/>
        </w:rPr>
        <w:t xml:space="preserve">On June 12, 2020 — a week before oral argument — defendant filed a motion seeking to “augment” the record in this writ proceeding under California Rules of Court, rule 8.340(c), by presenting a “printout from the California Department of Corrections” concerning Renteria. </w:t>
      </w:r>
      <w:r w:rsidR="009E2AD6">
        <w:rPr>
          <w:color w:val="000000"/>
          <w:szCs w:val="27"/>
        </w:rPr>
        <w:t xml:space="preserve"> </w:t>
      </w:r>
      <w:r w:rsidRPr="00736C19">
        <w:rPr>
          <w:color w:val="000000"/>
          <w:szCs w:val="27"/>
        </w:rPr>
        <w:t>Because the</w:t>
      </w:r>
      <w:r w:rsidR="004B4238">
        <w:rPr>
          <w:color w:val="000000"/>
          <w:szCs w:val="27"/>
        </w:rPr>
        <w:t xml:space="preserve"> </w:t>
      </w:r>
      <w:r w:rsidRPr="00736C19">
        <w:rPr>
          <w:color w:val="272727"/>
          <w:szCs w:val="27"/>
        </w:rPr>
        <w:t>proffered document was not, as required by corresponding rule 8.155</w:t>
      </w:r>
      <w:r w:rsidR="006C2EAE">
        <w:rPr>
          <w:color w:val="272727"/>
          <w:szCs w:val="27"/>
        </w:rPr>
        <w:t>(a)(1)</w:t>
      </w:r>
      <w:r w:rsidRPr="00736C19">
        <w:rPr>
          <w:color w:val="272727"/>
          <w:szCs w:val="27"/>
        </w:rPr>
        <w:t>,</w:t>
      </w:r>
      <w:r w:rsidR="004B4238">
        <w:rPr>
          <w:color w:val="272727"/>
          <w:szCs w:val="27"/>
        </w:rPr>
        <w:t xml:space="preserve"> </w:t>
      </w:r>
      <w:r w:rsidRPr="00736C19">
        <w:rPr>
          <w:color w:val="272727"/>
          <w:szCs w:val="27"/>
          <w:shd w:val="clear" w:color="auto" w:fill="FFFFFF"/>
        </w:rPr>
        <w:t>“</w:t>
      </w:r>
      <w:r w:rsidRPr="00736C19">
        <w:rPr>
          <w:color w:val="272727"/>
          <w:szCs w:val="27"/>
        </w:rPr>
        <w:t>filed or lodged in the case in superior court,” nor does it constitute a “certified transcript </w:t>
      </w:r>
      <w:r w:rsidRPr="00736C19">
        <w:rPr>
          <w:color w:val="000000"/>
          <w:szCs w:val="27"/>
        </w:rPr>
        <w:t>— </w:t>
      </w:r>
      <w:r w:rsidRPr="00736C19">
        <w:rPr>
          <w:color w:val="272727"/>
          <w:szCs w:val="27"/>
        </w:rPr>
        <w:t>or agreed or settled statement </w:t>
      </w:r>
      <w:r w:rsidRPr="00736C19">
        <w:rPr>
          <w:color w:val="000000"/>
          <w:szCs w:val="27"/>
        </w:rPr>
        <w:t>— </w:t>
      </w:r>
      <w:r w:rsidRPr="00736C19">
        <w:rPr>
          <w:color w:val="272727"/>
          <w:szCs w:val="27"/>
        </w:rPr>
        <w:t>of oral proceedings,” it is not properly subject to augmentation under rule </w:t>
      </w:r>
      <w:r w:rsidRPr="00736C19">
        <w:rPr>
          <w:color w:val="000000"/>
          <w:szCs w:val="27"/>
        </w:rPr>
        <w:t>8.340(c), and t</w:t>
      </w:r>
      <w:r w:rsidRPr="00736C19">
        <w:rPr>
          <w:color w:val="272727"/>
          <w:szCs w:val="27"/>
        </w:rPr>
        <w:t>he motion is hereby denied.</w:t>
      </w:r>
      <w:r w:rsidR="00A20B89">
        <w:rPr>
          <w:color w:val="272727"/>
          <w:szCs w:val="27"/>
        </w:rPr>
        <w:t xml:space="preserve"> </w:t>
      </w:r>
      <w:r w:rsidRPr="00736C19">
        <w:rPr>
          <w:color w:val="272727"/>
          <w:szCs w:val="27"/>
        </w:rPr>
        <w:t xml:space="preserve"> In any event, the document’s contents are irrelevant to our analysis and disposition in this proceeding. </w:t>
      </w:r>
    </w:p>
  </w:footnote>
  <w:footnote w:id="21">
    <w:p w14:paraId="559CB55F" w14:textId="77777777" w:rsidR="00D039EB" w:rsidRDefault="00D039EB" w:rsidP="00D039EB">
      <w:pPr>
        <w:pStyle w:val="FootnoteText"/>
      </w:pPr>
      <w:r>
        <w:rPr>
          <w:rStyle w:val="FootnoteReference"/>
        </w:rPr>
        <w:footnoteRef/>
      </w:r>
      <w:r>
        <w:t xml:space="preserve"> </w:t>
      </w:r>
      <w:r>
        <w:tab/>
        <w:t xml:space="preserve">All future section citations are to title 18 of the United States Code unless otherwise indicated.  </w:t>
      </w:r>
    </w:p>
  </w:footnote>
  <w:footnote w:id="22">
    <w:p w14:paraId="77E6D1F4" w14:textId="77777777" w:rsidR="00D039EB" w:rsidRDefault="00D039EB" w:rsidP="00D039EB">
      <w:pPr>
        <w:pStyle w:val="FootnoteText"/>
      </w:pPr>
      <w:r>
        <w:rPr>
          <w:rStyle w:val="FootnoteReference"/>
        </w:rPr>
        <w:footnoteRef/>
      </w:r>
      <w:r>
        <w:t xml:space="preserve"> </w:t>
      </w:r>
      <w:r>
        <w:tab/>
        <w:t xml:space="preserve">Facebook, </w:t>
      </w:r>
      <w:r>
        <w:rPr>
          <w:iCs/>
        </w:rPr>
        <w:t>Terms of Service</w:t>
      </w:r>
      <w:r>
        <w:rPr>
          <w:i/>
        </w:rPr>
        <w:t xml:space="preserve"> </w:t>
      </w:r>
      <w:r>
        <w:t>&lt;www.facebook.com/legal/</w:t>
      </w:r>
      <w:r>
        <w:br/>
        <w:t>terms/</w:t>
      </w:r>
      <w:proofErr w:type="spellStart"/>
      <w:r>
        <w:t>plain_text_terms</w:t>
      </w:r>
      <w:proofErr w:type="spellEnd"/>
      <w:r>
        <w:t xml:space="preserve">&gt; (revised July 31, 2019) [as of August 10, 2020].  </w:t>
      </w:r>
      <w:r>
        <w:rPr>
          <w:szCs w:val="27"/>
        </w:rPr>
        <w:t>(</w:t>
      </w:r>
      <w:r>
        <w:rPr>
          <w:rFonts w:cs="Calibri"/>
          <w:szCs w:val="27"/>
        </w:rPr>
        <w:t>All Internet citations in this opinion are archived by year, docket number, and case name at</w:t>
      </w:r>
      <w:r>
        <w:rPr>
          <w:rFonts w:cs="Calibri"/>
          <w:i/>
          <w:szCs w:val="27"/>
        </w:rPr>
        <w:t xml:space="preserve"> </w:t>
      </w:r>
      <w:r>
        <w:rPr>
          <w:rFonts w:cs="Calibri"/>
          <w:szCs w:val="27"/>
        </w:rPr>
        <w:t>&lt;http://www.courts.ca.gov/38324.htm&gt;.)</w:t>
      </w:r>
      <w:r>
        <w:rPr>
          <w:szCs w:val="27"/>
        </w:rPr>
        <w:t xml:space="preserve"> These “Terms” provide:  </w:t>
      </w:r>
      <w:r>
        <w:t>“</w:t>
      </w:r>
      <w:r>
        <w:rPr>
          <w:color w:val="1C1E21"/>
          <w:lang w:val="en"/>
        </w:rPr>
        <w:t xml:space="preserve">Instead of paying to use Facebook and the other products and services we offer, by using the Facebook Products covered by these Terms, you agree that we can show you ads that businesses and organizations pay us to promote on and off the Facebook Company Products.  We use your personal data, such as information about your activity and interests, to show you ads that are more relevant to you.  [¶] . . . . [¶]  We collect and use your personal data </w:t>
      </w:r>
      <w:proofErr w:type="gramStart"/>
      <w:r>
        <w:rPr>
          <w:color w:val="1C1E21"/>
          <w:lang w:val="en"/>
        </w:rPr>
        <w:t>in order to</w:t>
      </w:r>
      <w:proofErr w:type="gramEnd"/>
      <w:r>
        <w:rPr>
          <w:color w:val="1C1E21"/>
          <w:lang w:val="en"/>
        </w:rPr>
        <w:t xml:space="preserve"> provide the services described above to you.”  (</w:t>
      </w:r>
      <w:r>
        <w:rPr>
          <w:i/>
          <w:color w:val="1C1E21"/>
          <w:lang w:val="en"/>
        </w:rPr>
        <w:t>Id</w:t>
      </w:r>
      <w:r>
        <w:rPr>
          <w:color w:val="1C1E21"/>
          <w:lang w:val="en"/>
        </w:rPr>
        <w:t xml:space="preserve">., at pt. </w:t>
      </w:r>
      <w:r>
        <w:rPr>
          <w:iCs/>
        </w:rPr>
        <w:t xml:space="preserve">2, </w:t>
      </w:r>
      <w:r>
        <w:rPr>
          <w:i/>
        </w:rPr>
        <w:t>How our services are funded</w:t>
      </w:r>
      <w:r>
        <w:t>.)  Moreover, the Terms provide:  “</w:t>
      </w:r>
      <w:r>
        <w:rPr>
          <w:color w:val="1C1E21"/>
          <w:lang w:val="en"/>
        </w:rPr>
        <w:t xml:space="preserve">We need certain permissions from you to provide our services:  [¶] . . . .  [¶]  [T]o </w:t>
      </w:r>
      <w:proofErr w:type="gramStart"/>
      <w:r>
        <w:rPr>
          <w:color w:val="1C1E21"/>
          <w:lang w:val="en"/>
        </w:rPr>
        <w:t>provide</w:t>
      </w:r>
      <w:proofErr w:type="gramEnd"/>
      <w:r>
        <w:rPr>
          <w:color w:val="1C1E21"/>
          <w:lang w:val="en"/>
        </w:rPr>
        <w:t xml:space="preserve"> our services we need you to give us some legal permissions (known as a ‘license’) to use this content . . . .  [¶]  Specifically, when you share, post, or upload content that is covered by intellectual property rights on or in connection with our Products, you grant us a non-exclusive, transferable, sub-licensable, royalty-free, and worldwide license to host, use, distribute, modify, run, copy, publicly perform or display, translate, and create derivative works of your content (consistent with your privacy and application settings).  This means, for example, that if you share a photo on Facebook, you give us permission to store, copy, and share it with others (again, consistent with your settings) such as service providers that support our service or other Facebook Products you use.”  (</w:t>
      </w:r>
      <w:r>
        <w:rPr>
          <w:i/>
          <w:color w:val="1C1E21"/>
          <w:lang w:val="en"/>
        </w:rPr>
        <w:t>Id.</w:t>
      </w:r>
      <w:r>
        <w:rPr>
          <w:color w:val="1C1E21"/>
          <w:lang w:val="en"/>
        </w:rPr>
        <w:t xml:space="preserve">, at pt. </w:t>
      </w:r>
      <w:r>
        <w:rPr>
          <w:iCs/>
        </w:rPr>
        <w:t xml:space="preserve">3, </w:t>
      </w:r>
      <w:r>
        <w:rPr>
          <w:i/>
        </w:rPr>
        <w:t xml:space="preserve">Your Commitments to Facebook and Our Community, </w:t>
      </w:r>
      <w:r>
        <w:rPr>
          <w:iCs/>
        </w:rPr>
        <w:t xml:space="preserve">pt. 3.3, </w:t>
      </w:r>
      <w:r>
        <w:rPr>
          <w:i/>
        </w:rPr>
        <w:t xml:space="preserve">The permissions you give us, </w:t>
      </w:r>
      <w:r>
        <w:rPr>
          <w:iCs/>
        </w:rPr>
        <w:t xml:space="preserve">pt. 3.3.1, </w:t>
      </w:r>
      <w:r>
        <w:rPr>
          <w:i/>
        </w:rPr>
        <w:t>Permission to use content you create and share</w:t>
      </w:r>
      <w:r>
        <w:t xml:space="preserve">.)  </w:t>
      </w:r>
    </w:p>
  </w:footnote>
  <w:footnote w:id="23">
    <w:p w14:paraId="6D1172AD" w14:textId="77777777" w:rsidR="00D039EB" w:rsidRDefault="00D039EB" w:rsidP="00D039EB">
      <w:pPr>
        <w:pStyle w:val="FootnoteText"/>
        <w:rPr>
          <w:color w:val="212121"/>
          <w:sz w:val="25"/>
          <w:szCs w:val="25"/>
        </w:rPr>
      </w:pPr>
      <w:r>
        <w:rPr>
          <w:rStyle w:val="FootnoteReference"/>
        </w:rPr>
        <w:footnoteRef/>
      </w:r>
      <w:r>
        <w:t xml:space="preserve"> </w:t>
      </w:r>
      <w:r>
        <w:tab/>
        <w:t xml:space="preserve">Facebook, </w:t>
      </w:r>
      <w:r>
        <w:rPr>
          <w:iCs/>
        </w:rPr>
        <w:t>Data Policy</w:t>
      </w:r>
      <w:r>
        <w:rPr>
          <w:i/>
        </w:rPr>
        <w:t xml:space="preserve"> </w:t>
      </w:r>
      <w:r>
        <w:t>&lt;www.facebook.com/full_data</w:t>
      </w:r>
      <w:r>
        <w:br/>
        <w:t>_</w:t>
      </w:r>
      <w:proofErr w:type="spellStart"/>
      <w:r>
        <w:t>use_policy</w:t>
      </w:r>
      <w:proofErr w:type="spellEnd"/>
      <w:r>
        <w:t>&gt; (revised Apr. 19, 2018) [as of August 10, 2020].  The Data Policy describes what Facebook mines:  “</w:t>
      </w:r>
      <w:r>
        <w:rPr>
          <w:lang w:val="en"/>
        </w:rPr>
        <w:t xml:space="preserve">We collect the content, communications and other information you provide when you use our Products, including when you . . . message or communicate with others.  This can include information in or about the content you provide . . . .  Our systems automatically process content and communications you and others provide to analyze context . . . .  </w:t>
      </w:r>
      <w:r>
        <w:rPr>
          <w:color w:val="1C1E21"/>
          <w:lang w:val="en"/>
        </w:rPr>
        <w:t xml:space="preserve">[¶] . . . .  [¶]  </w:t>
      </w:r>
      <w:r>
        <w:rPr>
          <w:lang w:val="en"/>
        </w:rPr>
        <w:t>We also receive and analyze content, communications and information that other people provide when they use our Products.”  (</w:t>
      </w:r>
      <w:r>
        <w:rPr>
          <w:i/>
          <w:lang w:val="en"/>
        </w:rPr>
        <w:t>Id.</w:t>
      </w:r>
      <w:r>
        <w:rPr>
          <w:lang w:val="en"/>
        </w:rPr>
        <w:t xml:space="preserve">, at pt. </w:t>
      </w:r>
      <w:r>
        <w:rPr>
          <w:iCs/>
        </w:rPr>
        <w:t xml:space="preserve">I, </w:t>
      </w:r>
      <w:r>
        <w:rPr>
          <w:i/>
        </w:rPr>
        <w:t xml:space="preserve">What kinds of information do we collect?/ Things you and others do and provide/ Information and content you provide/ </w:t>
      </w:r>
      <w:r>
        <w:rPr>
          <w:i/>
          <w:lang w:val="en"/>
        </w:rPr>
        <w:t>Th</w:t>
      </w:r>
      <w:r>
        <w:rPr>
          <w:bCs/>
          <w:i/>
          <w:lang w:val="en"/>
        </w:rPr>
        <w:t>ings others do and information they provide about you.</w:t>
      </w:r>
      <w:r>
        <w:rPr>
          <w:bCs/>
          <w:lang w:val="en"/>
        </w:rPr>
        <w:t xml:space="preserve">)  </w:t>
      </w:r>
      <w:r>
        <w:rPr>
          <w:lang w:val="en"/>
        </w:rPr>
        <w:t>Thereafter,</w:t>
      </w:r>
      <w:r>
        <w:t xml:space="preserve"> Facebook’s Data Policy explains, it employs </w:t>
      </w:r>
      <w:proofErr w:type="gramStart"/>
      <w:r>
        <w:t>users’</w:t>
      </w:r>
      <w:proofErr w:type="gramEnd"/>
      <w:r>
        <w:t xml:space="preserve"> mined and analyzed content to facilitate various services, including to “[p]</w:t>
      </w:r>
      <w:proofErr w:type="spellStart"/>
      <w:r>
        <w:t>rovide</w:t>
      </w:r>
      <w:proofErr w:type="spellEnd"/>
      <w:r>
        <w:t xml:space="preserve">, personalize, and improve our Products  </w:t>
      </w:r>
      <w:r>
        <w:rPr>
          <w:color w:val="1C1E21"/>
          <w:lang w:val="en"/>
        </w:rPr>
        <w:t xml:space="preserve">[¶] </w:t>
      </w:r>
      <w:r>
        <w:t>. . . and make suggestions for you” by showing users “personalize[d] ads, offers, and other sponsored content.”  (</w:t>
      </w:r>
      <w:r>
        <w:rPr>
          <w:i/>
          <w:lang w:val="en"/>
        </w:rPr>
        <w:t>Id.</w:t>
      </w:r>
      <w:r>
        <w:rPr>
          <w:lang w:val="en"/>
        </w:rPr>
        <w:t>,</w:t>
      </w:r>
      <w:r>
        <w:rPr>
          <w:i/>
          <w:lang w:val="en"/>
        </w:rPr>
        <w:t xml:space="preserve"> </w:t>
      </w:r>
      <w:r>
        <w:rPr>
          <w:iCs/>
        </w:rPr>
        <w:t xml:space="preserve">at pt. II, </w:t>
      </w:r>
      <w:r>
        <w:rPr>
          <w:i/>
        </w:rPr>
        <w:t xml:space="preserve">How do we use this information?/ Provide, </w:t>
      </w:r>
      <w:proofErr w:type="gramStart"/>
      <w:r>
        <w:rPr>
          <w:i/>
        </w:rPr>
        <w:t>personalize</w:t>
      </w:r>
      <w:proofErr w:type="gramEnd"/>
      <w:r>
        <w:rPr>
          <w:i/>
        </w:rPr>
        <w:t xml:space="preserve"> and improve our Products/ Ads and other sponsored content.</w:t>
      </w:r>
      <w:r>
        <w:t xml:space="preserve">) </w:t>
      </w:r>
      <w:r>
        <w:rPr>
          <w:i/>
        </w:rPr>
        <w:t xml:space="preserve"> </w:t>
      </w:r>
      <w:r>
        <w:t>In that regard, Facebook relates, it shares information about its users’ content with “third-party partners . . . which [in turn] makes it possible to operate our companies and provide free services to people around the world.”  (</w:t>
      </w:r>
      <w:r>
        <w:rPr>
          <w:i/>
          <w:lang w:val="en"/>
        </w:rPr>
        <w:t>Id.</w:t>
      </w:r>
      <w:r>
        <w:rPr>
          <w:lang w:val="en"/>
        </w:rPr>
        <w:t xml:space="preserve">, at pt. </w:t>
      </w:r>
      <w:r>
        <w:rPr>
          <w:iCs/>
        </w:rPr>
        <w:t xml:space="preserve">III, </w:t>
      </w:r>
      <w:r>
        <w:rPr>
          <w:i/>
        </w:rPr>
        <w:t>How is this information shared?/ Sharing with Third-Party Partners.</w:t>
      </w:r>
      <w:r>
        <w:t xml:space="preserve">)  </w:t>
      </w:r>
      <w:r>
        <w:rPr>
          <w:lang w:val="en"/>
        </w:rPr>
        <w:t>Facebook states that it “do[es]</w:t>
      </w:r>
      <w:proofErr w:type="spellStart"/>
      <w:r>
        <w:rPr>
          <w:lang w:val="en"/>
        </w:rPr>
        <w:t>n’t</w:t>
      </w:r>
      <w:proofErr w:type="spellEnd"/>
      <w:r>
        <w:rPr>
          <w:lang w:val="en"/>
        </w:rPr>
        <w:t xml:space="preserve"> </w:t>
      </w:r>
      <w:r>
        <w:rPr>
          <w:i/>
          <w:lang w:val="en"/>
        </w:rPr>
        <w:t>sell</w:t>
      </w:r>
      <w:r>
        <w:rPr>
          <w:lang w:val="en"/>
        </w:rPr>
        <w:t xml:space="preserve"> any of your information to anyone,” but instead “[s]har[es] with,” “work[s] with,” and “provide[s]” that information</w:t>
      </w:r>
      <w:r>
        <w:rPr>
          <w:i/>
          <w:lang w:val="en"/>
        </w:rPr>
        <w:t xml:space="preserve"> </w:t>
      </w:r>
      <w:r>
        <w:rPr>
          <w:lang w:val="en"/>
        </w:rPr>
        <w:t>to “third-party partners.”  (</w:t>
      </w:r>
      <w:r>
        <w:rPr>
          <w:i/>
          <w:lang w:val="en"/>
        </w:rPr>
        <w:t>Ibid</w:t>
      </w:r>
      <w:r>
        <w:rPr>
          <w:lang w:val="en"/>
        </w:rPr>
        <w:t xml:space="preserve">., italics added.)  </w:t>
      </w:r>
      <w:r>
        <w:t xml:space="preserve">Specifically, for </w:t>
      </w:r>
      <w:proofErr w:type="gramStart"/>
      <w:r>
        <w:t>some</w:t>
      </w:r>
      <w:proofErr w:type="gramEnd"/>
      <w:r>
        <w:t xml:space="preserve"> partners, it supplies “aggregated statistics and insights that help people and businesses understand how people are engaging with their posts . . . and other content.”  (</w:t>
      </w:r>
      <w:r>
        <w:rPr>
          <w:i/>
        </w:rPr>
        <w:t>Id.</w:t>
      </w:r>
      <w:r>
        <w:rPr>
          <w:iCs/>
        </w:rPr>
        <w:t xml:space="preserve"> at pt. III, </w:t>
      </w:r>
      <w:r>
        <w:rPr>
          <w:i/>
        </w:rPr>
        <w:t>Partners who use our analytics services.</w:t>
      </w:r>
      <w:r>
        <w:t>)</w:t>
      </w:r>
      <w:r>
        <w:rPr>
          <w:i/>
        </w:rPr>
        <w:t xml:space="preserve">  </w:t>
      </w:r>
      <w:r>
        <w:t>And for advertisers, Facebook explains:  “</w:t>
      </w:r>
      <w:r>
        <w:rPr>
          <w:lang w:val="en"/>
        </w:rPr>
        <w:t>We provide . . . reports about the kinds of people seeing their ads and how their ads are performing.”  (</w:t>
      </w:r>
      <w:r>
        <w:rPr>
          <w:i/>
          <w:lang w:val="en"/>
        </w:rPr>
        <w:t>Id.</w:t>
      </w:r>
      <w:r>
        <w:rPr>
          <w:lang w:val="en"/>
        </w:rPr>
        <w:t xml:space="preserve">, at pt. III, </w:t>
      </w:r>
      <w:r>
        <w:rPr>
          <w:i/>
        </w:rPr>
        <w:t>Sharing with Third-Party Partners/ Advertisers.</w:t>
      </w:r>
      <w:r>
        <w:t>)</w:t>
      </w:r>
      <w:r>
        <w:rPr>
          <w:i/>
        </w:rPr>
        <w:t xml:space="preserve">  </w:t>
      </w:r>
      <w:r>
        <w:t>At the same time, Facebook stresses:  “[W]</w:t>
      </w:r>
      <w:r>
        <w:rPr>
          <w:color w:val="1D2129"/>
          <w:lang w:val="en"/>
        </w:rPr>
        <w:t>e don’t share information that personally identifies you (information such as your name or email address that by itself can be used to contact you or identifies who you are) unless you give us permission.  For example, we provide general demographic and interest information to advertisers (for example, that an ad was seen by a woman between the ages of 25 and 34 who lives in Madrid and likes software engineering) to help them better understand their audience.  We also confirm which Facebook ads led you to make a purchase or take an action with an advertiser.”  (</w:t>
      </w:r>
      <w:r>
        <w:rPr>
          <w:i/>
          <w:color w:val="1D2129"/>
          <w:lang w:val="en"/>
        </w:rPr>
        <w:t>Ibid</w:t>
      </w:r>
      <w:r>
        <w:rPr>
          <w:color w:val="1D2129"/>
          <w:lang w:val="en"/>
        </w:rPr>
        <w:t xml:space="preserve">.)  </w:t>
      </w:r>
    </w:p>
  </w:footnote>
  <w:footnote w:id="24">
    <w:p w14:paraId="51694C8F" w14:textId="77777777" w:rsidR="00D039EB" w:rsidRDefault="00D039EB" w:rsidP="00D039EB">
      <w:pPr>
        <w:pStyle w:val="FootnoteText"/>
      </w:pPr>
      <w:r>
        <w:rPr>
          <w:rStyle w:val="FootnoteReference"/>
        </w:rPr>
        <w:footnoteRef/>
      </w:r>
      <w:r>
        <w:t xml:space="preserve"> </w:t>
      </w:r>
      <w:r>
        <w:tab/>
        <w:t xml:space="preserve">The Act lists exceptions under which such providers may (or in some circumstances must) disclose communications content </w:t>
      </w:r>
      <w:r>
        <w:rPr>
          <w:szCs w:val="26"/>
        </w:rPr>
        <w:t>(§ 2702(b)–(c)</w:t>
      </w:r>
      <w:r>
        <w:t xml:space="preserve"> but no exception applies with regard to any restricted post or private message at issue in this case.  </w:t>
      </w:r>
    </w:p>
  </w:footnote>
  <w:footnote w:id="25">
    <w:p w14:paraId="4FAAF193" w14:textId="77777777" w:rsidR="00D039EB" w:rsidRDefault="00D039EB" w:rsidP="00D039EB">
      <w:pPr>
        <w:pStyle w:val="FootnoteText"/>
      </w:pPr>
      <w:r>
        <w:rPr>
          <w:rStyle w:val="FootnoteReference"/>
        </w:rPr>
        <w:footnoteRef/>
      </w:r>
      <w:r>
        <w:t xml:space="preserve"> </w:t>
      </w:r>
      <w:r>
        <w:tab/>
        <w:t xml:space="preserve">By their terms, the two subdivisions of section 2510(17) establish that they refer to two separate types of storage, and past decisions have interpreted the statute to mean that “electronic storage” can be established by meeting either the definition in (A) or that in (B).  </w:t>
      </w:r>
    </w:p>
  </w:footnote>
  <w:footnote w:id="26">
    <w:p w14:paraId="6C027642" w14:textId="77777777" w:rsidR="00D039EB" w:rsidRDefault="00D039EB" w:rsidP="00D039EB">
      <w:pPr>
        <w:pStyle w:val="FootnoteText"/>
      </w:pPr>
      <w:r>
        <w:rPr>
          <w:rStyle w:val="FootnoteReference"/>
        </w:rPr>
        <w:footnoteRef/>
      </w:r>
      <w:r>
        <w:t xml:space="preserve"> </w:t>
      </w:r>
      <w:r>
        <w:tab/>
        <w:t xml:space="preserve">See </w:t>
      </w:r>
      <w:r>
        <w:rPr>
          <w:i/>
          <w:szCs w:val="26"/>
        </w:rPr>
        <w:t>Free at What Cost?</w:t>
      </w:r>
      <w:r>
        <w:rPr>
          <w:iCs/>
          <w:szCs w:val="26"/>
        </w:rPr>
        <w:t>,</w:t>
      </w:r>
      <w:r>
        <w:rPr>
          <w:i/>
          <w:szCs w:val="26"/>
        </w:rPr>
        <w:t xml:space="preserve"> supra</w:t>
      </w:r>
      <w:r>
        <w:rPr>
          <w:iCs/>
          <w:szCs w:val="26"/>
        </w:rPr>
        <w:t>,</w:t>
      </w:r>
      <w:r>
        <w:rPr>
          <w:i/>
          <w:szCs w:val="26"/>
        </w:rPr>
        <w:t xml:space="preserve"> </w:t>
      </w:r>
      <w:r>
        <w:rPr>
          <w:szCs w:val="26"/>
        </w:rPr>
        <w:t>98 Geo. L.J. at page 1214</w:t>
      </w:r>
      <w:r>
        <w:rPr>
          <w:color w:val="000000" w:themeColor="text1"/>
          <w:szCs w:val="26"/>
        </w:rPr>
        <w:t xml:space="preserve"> [“</w:t>
      </w:r>
      <w:r>
        <w:rPr>
          <w:color w:val="000000" w:themeColor="text1"/>
          <w:szCs w:val="26"/>
          <w:shd w:val="clear" w:color="auto" w:fill="FFFFFF"/>
        </w:rPr>
        <w:t>The Act’s RCS privacy protections require that ‘storage or computer processing’ be the sole reason that a customer transmits her data to the cloud provider” but “[w]hen data is also shared with the cloud provider to facilitate contextual advertising, this requirement is not satisfied”; moreover, “[t]he Act . . . requires that the cloud provider . . . be authorized to access the customer’s data [only] to provide the processing or storage service” — yet “by agreeing to share her data with the cloud provider for contextual advertising purposes, this additional requirement is unfulfilled”]</w:t>
      </w:r>
      <w:r>
        <w:rPr>
          <w:color w:val="000000" w:themeColor="text1"/>
          <w:szCs w:val="26"/>
        </w:rPr>
        <w:t xml:space="preserve">; see also </w:t>
      </w:r>
      <w:proofErr w:type="spellStart"/>
      <w:r>
        <w:rPr>
          <w:color w:val="000000" w:themeColor="text1"/>
          <w:szCs w:val="26"/>
        </w:rPr>
        <w:t>Katten</w:t>
      </w:r>
      <w:proofErr w:type="spellEnd"/>
      <w:r>
        <w:rPr>
          <w:color w:val="000000" w:themeColor="text1"/>
          <w:szCs w:val="26"/>
        </w:rPr>
        <w:t xml:space="preserve">, </w:t>
      </w:r>
      <w:r>
        <w:rPr>
          <w:color w:val="000000" w:themeColor="text1"/>
        </w:rPr>
        <w:t xml:space="preserve">Note, </w:t>
      </w:r>
      <w:r>
        <w:rPr>
          <w:i/>
          <w:color w:val="000000" w:themeColor="text1"/>
        </w:rPr>
        <w:t xml:space="preserve">Cloudy Privacy </w:t>
      </w:r>
      <w:r>
        <w:rPr>
          <w:i/>
        </w:rPr>
        <w:t>Protections:  Why the Stored Communications Act Fails to Protect the Privac</w:t>
      </w:r>
      <w:r>
        <w:rPr>
          <w:i/>
          <w:color w:val="000000" w:themeColor="text1"/>
          <w:szCs w:val="26"/>
        </w:rPr>
        <w:t>y of Communications Stored in the Cloud</w:t>
      </w:r>
      <w:r>
        <w:rPr>
          <w:color w:val="000000" w:themeColor="text1"/>
          <w:szCs w:val="26"/>
        </w:rPr>
        <w:t xml:space="preserve"> (2011) 13 </w:t>
      </w:r>
      <w:proofErr w:type="spellStart"/>
      <w:r>
        <w:rPr>
          <w:color w:val="000000" w:themeColor="text1"/>
          <w:szCs w:val="26"/>
        </w:rPr>
        <w:t>Vand</w:t>
      </w:r>
      <w:proofErr w:type="spellEnd"/>
      <w:r>
        <w:rPr>
          <w:color w:val="000000" w:themeColor="text1"/>
          <w:szCs w:val="26"/>
        </w:rPr>
        <w:t>. J. Ent. &amp; Tech. L. 617, 640, fn. omitted (</w:t>
      </w:r>
      <w:r>
        <w:rPr>
          <w:i/>
          <w:iCs/>
          <w:color w:val="000000" w:themeColor="text1"/>
          <w:szCs w:val="26"/>
        </w:rPr>
        <w:t>Cloudy Privacy Protections</w:t>
      </w:r>
      <w:r>
        <w:rPr>
          <w:color w:val="000000" w:themeColor="text1"/>
          <w:szCs w:val="26"/>
        </w:rPr>
        <w:t>) [asserting that “</w:t>
      </w:r>
      <w:r>
        <w:rPr>
          <w:color w:val="000000" w:themeColor="text1"/>
          <w:szCs w:val="26"/>
          <w:shd w:val="clear" w:color="auto" w:fill="FFFFFF"/>
        </w:rPr>
        <w:t xml:space="preserve">when a customer consents to a user agreement which permits the service provider to access his data to provide targeted advertising, the user’s emails may not be protected [under the SCA] as communications maintained by” an ECS or RCS]; </w:t>
      </w:r>
      <w:proofErr w:type="spellStart"/>
      <w:r>
        <w:t>Zimmeck</w:t>
      </w:r>
      <w:proofErr w:type="spellEnd"/>
      <w:r>
        <w:t xml:space="preserve">, </w:t>
      </w:r>
      <w:r>
        <w:rPr>
          <w:i/>
        </w:rPr>
        <w:t>The Information Privacy Law of Web Applications and Cloud Computing</w:t>
      </w:r>
      <w:r>
        <w:t xml:space="preserve"> (2012–2013) 29 Santa Clara Computer &amp; High Tech. L.J. 451, 472 (fn. omitted) [“if the service provider and the user agreed that the provider can access the communication contents of users, for </w:t>
      </w:r>
      <w:r>
        <w:rPr>
          <w:sz w:val="28"/>
          <w:szCs w:val="22"/>
        </w:rPr>
        <w:t xml:space="preserve">. . . </w:t>
      </w:r>
      <w:r>
        <w:t xml:space="preserve">purposes of contextual advertising, such contents can be disclosed” because such an entity is not acting as an RCS]; Fairfield &amp; Luna, </w:t>
      </w:r>
      <w:r>
        <w:rPr>
          <w:i/>
        </w:rPr>
        <w:t>Digital Innocence</w:t>
      </w:r>
      <w:r>
        <w:rPr>
          <w:iCs/>
        </w:rPr>
        <w:t xml:space="preserve"> (2014)</w:t>
      </w:r>
      <w:r>
        <w:rPr>
          <w:i/>
        </w:rPr>
        <w:t xml:space="preserve"> </w:t>
      </w:r>
      <w:r>
        <w:t xml:space="preserve">99 Cornell L.Rev. 981, 1062–1063 [observing that “Google (and many other free e-mail providers) scan e-mails for purposes of targeted advertising” and that resulting user information is not stored “ ‘solely for the purpose of providing storage or computer processing services’ ” — hence “[o]n this statutory reading” the SCA would not apply]; Raquel, Comment, </w:t>
      </w:r>
      <w:r>
        <w:rPr>
          <w:i/>
        </w:rPr>
        <w:t>Blue Skies Ahead: Clearing the Air for Information Privacy in the Cloud</w:t>
      </w:r>
      <w:r>
        <w:t xml:space="preserve"> (2015) 55 Santa Clara L.Rev. 467, 495–496 (</w:t>
      </w:r>
      <w:r>
        <w:rPr>
          <w:i/>
          <w:iCs/>
        </w:rPr>
        <w:t>Blue Skies Ahead</w:t>
      </w:r>
      <w:r>
        <w:t xml:space="preserve">) [concluding that when “customers authorize access to their data for . . . advertising services in exchange for free access to the cloud services,” the entity does not qualify as a provider under the SCA and “the data will be subject to disclosure”].  </w:t>
      </w:r>
    </w:p>
  </w:footnote>
  <w:footnote w:id="27">
    <w:p w14:paraId="357FA45C" w14:textId="77777777" w:rsidR="00D039EB" w:rsidRDefault="00D039EB" w:rsidP="00D039EB">
      <w:pPr>
        <w:spacing w:line="300" w:lineRule="exact"/>
        <w:rPr>
          <w:szCs w:val="27"/>
        </w:rPr>
      </w:pPr>
      <w:r>
        <w:rPr>
          <w:rStyle w:val="FootnoteReference"/>
        </w:rPr>
        <w:footnoteRef/>
      </w:r>
      <w:r>
        <w:t xml:space="preserve"> </w:t>
      </w:r>
      <w:r>
        <w:tab/>
      </w:r>
      <w:r>
        <w:rPr>
          <w:szCs w:val="27"/>
        </w:rPr>
        <w:t>See also, e.</w:t>
      </w:r>
      <w:r>
        <w:rPr>
          <w:color w:val="000000" w:themeColor="text1"/>
          <w:szCs w:val="27"/>
        </w:rPr>
        <w:t xml:space="preserve">g., </w:t>
      </w:r>
      <w:r>
        <w:rPr>
          <w:i/>
          <w:color w:val="000000" w:themeColor="text1"/>
          <w:szCs w:val="27"/>
        </w:rPr>
        <w:t xml:space="preserve">Crispin v. Christian </w:t>
      </w:r>
      <w:proofErr w:type="spellStart"/>
      <w:r>
        <w:rPr>
          <w:i/>
          <w:color w:val="000000" w:themeColor="text1"/>
          <w:szCs w:val="27"/>
        </w:rPr>
        <w:t>Audigier</w:t>
      </w:r>
      <w:proofErr w:type="spellEnd"/>
      <w:r>
        <w:rPr>
          <w:i/>
          <w:color w:val="000000" w:themeColor="text1"/>
          <w:szCs w:val="27"/>
        </w:rPr>
        <w:t xml:space="preserve">, Inc. </w:t>
      </w:r>
      <w:r>
        <w:rPr>
          <w:color w:val="000000" w:themeColor="text1"/>
          <w:szCs w:val="27"/>
        </w:rPr>
        <w:t>(</w:t>
      </w:r>
      <w:proofErr w:type="spellStart"/>
      <w:r>
        <w:rPr>
          <w:color w:val="000000" w:themeColor="text1"/>
          <w:szCs w:val="27"/>
        </w:rPr>
        <w:t>C.D.Cal</w:t>
      </w:r>
      <w:proofErr w:type="spellEnd"/>
      <w:r>
        <w:rPr>
          <w:color w:val="000000" w:themeColor="text1"/>
          <w:szCs w:val="27"/>
        </w:rPr>
        <w:t>. 2010) 717 F.Supp.2d 965, 971, footnote 15 (</w:t>
      </w:r>
      <w:r>
        <w:rPr>
          <w:i/>
          <w:iCs/>
          <w:color w:val="000000" w:themeColor="text1"/>
          <w:szCs w:val="27"/>
        </w:rPr>
        <w:t>Crispin</w:t>
      </w:r>
      <w:r>
        <w:rPr>
          <w:color w:val="000000" w:themeColor="text1"/>
          <w:szCs w:val="27"/>
        </w:rPr>
        <w:t>) [observing that the “</w:t>
      </w:r>
      <w:r>
        <w:rPr>
          <w:color w:val="000000" w:themeColor="text1"/>
          <w:szCs w:val="27"/>
          <w:shd w:val="clear" w:color="auto" w:fill="FFFFFF"/>
        </w:rPr>
        <w:t>framework governing online communication is . . . old and has not been amended to keep pace with changes in technology”]</w:t>
      </w:r>
      <w:r>
        <w:rPr>
          <w:color w:val="000000" w:themeColor="text1"/>
          <w:szCs w:val="27"/>
        </w:rPr>
        <w:t xml:space="preserve">; </w:t>
      </w:r>
      <w:r>
        <w:rPr>
          <w:rFonts w:cs="Calibri"/>
          <w:i/>
          <w:iCs/>
          <w:color w:val="000000" w:themeColor="text1"/>
          <w:szCs w:val="27"/>
        </w:rPr>
        <w:t xml:space="preserve">In the Matter of the Application of the State of N.J. for Communications Data Warrants </w:t>
      </w:r>
      <w:r>
        <w:rPr>
          <w:rFonts w:cs="Calibri"/>
          <w:color w:val="000000" w:themeColor="text1"/>
          <w:szCs w:val="27"/>
        </w:rPr>
        <w:t xml:space="preserve">(2017) 448 </w:t>
      </w:r>
      <w:proofErr w:type="spellStart"/>
      <w:r>
        <w:rPr>
          <w:rFonts w:cs="Calibri"/>
          <w:color w:val="000000" w:themeColor="text1"/>
          <w:szCs w:val="27"/>
        </w:rPr>
        <w:t>N.J.Super</w:t>
      </w:r>
      <w:proofErr w:type="spellEnd"/>
      <w:r>
        <w:rPr>
          <w:rFonts w:cs="Calibri"/>
          <w:color w:val="000000" w:themeColor="text1"/>
          <w:szCs w:val="27"/>
        </w:rPr>
        <w:t>. 471, 484 [“</w:t>
      </w:r>
      <w:r>
        <w:rPr>
          <w:rFonts w:cs="Calibri"/>
          <w:color w:val="000000" w:themeColor="text1"/>
          <w:szCs w:val="27"/>
          <w:shd w:val="clear" w:color="auto" w:fill="FFFFFF"/>
        </w:rPr>
        <w:t xml:space="preserve">Courts have expressed frustration with the failure to update the federal statute to keep pace with the advent of the </w:t>
      </w:r>
      <w:r>
        <w:rPr>
          <w:rStyle w:val="cosearchterm"/>
          <w:rFonts w:cs="Calibri"/>
          <w:color w:val="000000" w:themeColor="text1"/>
          <w:szCs w:val="27"/>
          <w:bdr w:val="none" w:sz="0" w:space="0" w:color="auto" w:frame="1"/>
        </w:rPr>
        <w:t xml:space="preserve">Internet </w:t>
      </w:r>
      <w:r>
        <w:rPr>
          <w:rFonts w:cs="Calibri"/>
          <w:color w:val="000000" w:themeColor="text1"/>
          <w:szCs w:val="27"/>
          <w:shd w:val="clear" w:color="auto" w:fill="FFFFFF"/>
        </w:rPr>
        <w:t xml:space="preserve">and social media platforms”].  </w:t>
      </w:r>
      <w:r>
        <w:rPr>
          <w:rFonts w:cs="Calibri"/>
          <w:szCs w:val="27"/>
          <w:shd w:val="clear" w:color="auto" w:fill="FFFFFF"/>
        </w:rPr>
        <w:t xml:space="preserve">Accord, </w:t>
      </w:r>
      <w:r>
        <w:rPr>
          <w:rFonts w:cs="Calibri"/>
          <w:i/>
          <w:iCs/>
          <w:szCs w:val="27"/>
          <w:shd w:val="clear" w:color="auto" w:fill="FFFFFF"/>
        </w:rPr>
        <w:t>Anzaldua v. Northwest Ambulance &amp; Fire Prot. Dist.</w:t>
      </w:r>
      <w:r>
        <w:rPr>
          <w:rFonts w:cs="Calibri"/>
          <w:szCs w:val="27"/>
          <w:shd w:val="clear" w:color="auto" w:fill="FFFFFF"/>
        </w:rPr>
        <w:t xml:space="preserve"> (8th Cir. 2015) 793 F.3d 822, 839, fn. 5 </w:t>
      </w:r>
      <w:r>
        <w:rPr>
          <w:rStyle w:val="Hyperlink"/>
          <w:color w:val="000000" w:themeColor="text1"/>
          <w:szCs w:val="27"/>
          <w:bdr w:val="none" w:sz="0" w:space="0" w:color="auto" w:frame="1"/>
          <w:shd w:val="clear" w:color="auto" w:fill="FFFFFF"/>
        </w:rPr>
        <w:t>[</w:t>
      </w:r>
      <w:r>
        <w:rPr>
          <w:color w:val="000000" w:themeColor="text1"/>
          <w:szCs w:val="27"/>
          <w:shd w:val="clear" w:color="auto" w:fill="FFFFFF"/>
        </w:rPr>
        <w:t>“I</w:t>
      </w:r>
      <w:r>
        <w:rPr>
          <w:szCs w:val="27"/>
          <w:shd w:val="clear" w:color="auto" w:fill="FFFFFF"/>
        </w:rPr>
        <w:t xml:space="preserve">t is not always easy to square the decades-old SCA with the current state of email technology”]; </w:t>
      </w:r>
      <w:r>
        <w:rPr>
          <w:i/>
          <w:iCs/>
          <w:color w:val="000000" w:themeColor="text1"/>
          <w:szCs w:val="27"/>
        </w:rPr>
        <w:t>State v. Johnson</w:t>
      </w:r>
      <w:r>
        <w:rPr>
          <w:color w:val="000000" w:themeColor="text1"/>
          <w:szCs w:val="27"/>
        </w:rPr>
        <w:t xml:space="preserve"> (</w:t>
      </w:r>
      <w:proofErr w:type="spellStart"/>
      <w:r>
        <w:rPr>
          <w:color w:val="000000" w:themeColor="text1"/>
          <w:szCs w:val="27"/>
        </w:rPr>
        <w:t>Tenn.Crim.App</w:t>
      </w:r>
      <w:proofErr w:type="spellEnd"/>
      <w:r>
        <w:rPr>
          <w:color w:val="000000" w:themeColor="text1"/>
          <w:szCs w:val="27"/>
        </w:rPr>
        <w:t>. 2017) 538 S.W.3d 32, 68 [“</w:t>
      </w:r>
      <w:r>
        <w:rPr>
          <w:color w:val="000000" w:themeColor="text1"/>
          <w:szCs w:val="27"/>
          <w:shd w:val="clear" w:color="auto" w:fill="FFFFFF"/>
        </w:rPr>
        <w:t xml:space="preserve">Because the framework created in the SCA relies entirely on 1986 computing technology, determining the precise scope of its application to the type of social media communications at issue . . . presents difficulties”].  </w:t>
      </w:r>
    </w:p>
  </w:footnote>
  <w:footnote w:id="28">
    <w:p w14:paraId="7CD123ED" w14:textId="77777777" w:rsidR="00D039EB" w:rsidRDefault="00D039EB" w:rsidP="00D039EB">
      <w:pPr>
        <w:shd w:val="clear" w:color="auto" w:fill="FFFFFF"/>
        <w:spacing w:line="300" w:lineRule="exact"/>
        <w:textAlignment w:val="baseline"/>
      </w:pPr>
      <w:r>
        <w:rPr>
          <w:rStyle w:val="FootnoteReference"/>
        </w:rPr>
        <w:footnoteRef/>
      </w:r>
      <w:r>
        <w:t xml:space="preserve"> </w:t>
      </w:r>
      <w:r>
        <w:tab/>
        <w:t xml:space="preserve">See also, e.g., </w:t>
      </w:r>
      <w:proofErr w:type="spellStart"/>
      <w:r>
        <w:t>Zwillinger</w:t>
      </w:r>
      <w:proofErr w:type="spellEnd"/>
      <w:r>
        <w:t xml:space="preserve"> &amp; </w:t>
      </w:r>
      <w:proofErr w:type="spellStart"/>
      <w:r>
        <w:t>Genetski</w:t>
      </w:r>
      <w:proofErr w:type="spellEnd"/>
      <w:r>
        <w:t xml:space="preserve">, </w:t>
      </w:r>
      <w:r>
        <w:rPr>
          <w:i/>
        </w:rPr>
        <w:t>Criminal Discovery of Internet Communications Under the Stored Communications Act:  It’s Not a Level Playing Field</w:t>
      </w:r>
      <w:r>
        <w:t xml:space="preserve"> (2007) 97 J. Crim. L. &amp; Criminology 569, 597–598 [proposing the SCA be amended to allow courts to order providers to disclose communications to criminal and civil litigants under specified circumstances]; </w:t>
      </w:r>
      <w:proofErr w:type="spellStart"/>
      <w:r>
        <w:rPr>
          <w:color w:val="000000" w:themeColor="text1"/>
          <w:szCs w:val="26"/>
          <w:shd w:val="clear" w:color="auto" w:fill="FFFFFF"/>
        </w:rPr>
        <w:t>Gleicher</w:t>
      </w:r>
      <w:proofErr w:type="spellEnd"/>
      <w:r>
        <w:rPr>
          <w:color w:val="000000" w:themeColor="text1"/>
          <w:szCs w:val="26"/>
          <w:shd w:val="clear" w:color="auto" w:fill="FFFFFF"/>
        </w:rPr>
        <w:t xml:space="preserve">, Comment, </w:t>
      </w:r>
      <w:r>
        <w:rPr>
          <w:i/>
          <w:iCs/>
          <w:color w:val="000000" w:themeColor="text1"/>
          <w:szCs w:val="26"/>
          <w:shd w:val="clear" w:color="auto" w:fill="FFFFFF"/>
        </w:rPr>
        <w:t>Neither a Customer Nor a Subscriber Be:  Regulating the Release of User Information on the World Wide Web</w:t>
      </w:r>
      <w:r>
        <w:rPr>
          <w:color w:val="000000" w:themeColor="text1"/>
          <w:szCs w:val="26"/>
          <w:shd w:val="clear" w:color="auto" w:fill="FFFFFF"/>
        </w:rPr>
        <w:t xml:space="preserve"> (2009) 118 Yale L.J. 1945, 1946 &amp; 1954 [discussing the “dangers posed by the Act’s continued reliance on” language “written for 1986 technology” — and observing that just as the sponsors of the SCA had warned that then-“existing law was ‘hopelessly out of date,’ . . . [t]</w:t>
      </w:r>
      <w:proofErr w:type="spellStart"/>
      <w:r>
        <w:rPr>
          <w:color w:val="000000" w:themeColor="text1"/>
          <w:szCs w:val="26"/>
          <w:shd w:val="clear" w:color="auto" w:fill="FFFFFF"/>
        </w:rPr>
        <w:t>oday</w:t>
      </w:r>
      <w:proofErr w:type="spellEnd"/>
      <w:r>
        <w:rPr>
          <w:color w:val="000000" w:themeColor="text1"/>
          <w:szCs w:val="26"/>
          <w:shd w:val="clear" w:color="auto" w:fill="FFFFFF"/>
        </w:rPr>
        <w:t xml:space="preserve">, the Act itself suffers the same flaw”]; </w:t>
      </w:r>
      <w:r>
        <w:rPr>
          <w:i/>
          <w:szCs w:val="26"/>
        </w:rPr>
        <w:t xml:space="preserve">Free at What Cost?, supra, </w:t>
      </w:r>
      <w:r>
        <w:rPr>
          <w:szCs w:val="26"/>
        </w:rPr>
        <w:t>98 Geo. L.J. 1195, 1196 &amp; 1235</w:t>
      </w:r>
      <w:r>
        <w:rPr>
          <w:color w:val="000000" w:themeColor="text1"/>
          <w:szCs w:val="26"/>
        </w:rPr>
        <w:t xml:space="preserve"> [observing that “[d]</w:t>
      </w:r>
      <w:proofErr w:type="spellStart"/>
      <w:r>
        <w:rPr>
          <w:color w:val="000000" w:themeColor="text1"/>
          <w:szCs w:val="26"/>
        </w:rPr>
        <w:t>espite</w:t>
      </w:r>
      <w:proofErr w:type="spellEnd"/>
      <w:r>
        <w:rPr>
          <w:color w:val="000000" w:themeColor="text1"/>
          <w:szCs w:val="26"/>
        </w:rPr>
        <w:t xml:space="preserve"> the rapid evolution of computer and networking technology since the SCA’s adoption, its language has remained surprisingly static” and the “</w:t>
      </w:r>
      <w:r>
        <w:rPr>
          <w:color w:val="000000" w:themeColor="text1"/>
          <w:szCs w:val="26"/>
          <w:shd w:val="clear" w:color="auto" w:fill="FFFFFF"/>
        </w:rPr>
        <w:t xml:space="preserve">balance that the Act struck . . . may no longer be appropriate”]; </w:t>
      </w:r>
      <w:r>
        <w:t xml:space="preserve">Ward, Note, </w:t>
      </w:r>
      <w:r>
        <w:rPr>
          <w:i/>
        </w:rPr>
        <w:t>Discovering Facebook: Social Network Subpoenas and the Stored Communications Act</w:t>
      </w:r>
      <w:r>
        <w:t xml:space="preserve"> (2011) 24 </w:t>
      </w:r>
      <w:proofErr w:type="spellStart"/>
      <w:r>
        <w:t>Harv</w:t>
      </w:r>
      <w:proofErr w:type="spellEnd"/>
      <w:r>
        <w:t>. J. Law &amp; Tech. 563, 566, fn. omitted [“</w:t>
      </w:r>
      <w:r>
        <w:rPr>
          <w:color w:val="212121"/>
        </w:rPr>
        <w:t xml:space="preserve">Because Congress has not updated the statute, courts have struggled to apply the SCA in light of the explosive growth of the World Wide Web”]; </w:t>
      </w:r>
      <w:r>
        <w:rPr>
          <w:i/>
        </w:rPr>
        <w:t>Cloudy Privacy Protections, supra</w:t>
      </w:r>
      <w:r>
        <w:rPr>
          <w:iCs/>
        </w:rPr>
        <w:t>,</w:t>
      </w:r>
      <w:r>
        <w:rPr>
          <w:i/>
        </w:rPr>
        <w:t xml:space="preserve"> </w:t>
      </w:r>
      <w:r>
        <w:t xml:space="preserve">13 </w:t>
      </w:r>
      <w:proofErr w:type="spellStart"/>
      <w:r>
        <w:t>Vand</w:t>
      </w:r>
      <w:proofErr w:type="spellEnd"/>
      <w:r>
        <w:t xml:space="preserve">. J. Ent. &amp; Tech. L. 617, 620 [asserting the SCA “may not protect cloud-computing technologies” and proposing that Congress amend the Act to address that problem]; </w:t>
      </w:r>
      <w:r>
        <w:rPr>
          <w:szCs w:val="27"/>
          <w:bdr w:val="none" w:sz="0" w:space="0" w:color="auto" w:frame="1"/>
          <w:shd w:val="clear" w:color="auto" w:fill="FFFFFF"/>
        </w:rPr>
        <w:t xml:space="preserve">Medina, Note, </w:t>
      </w:r>
      <w:r>
        <w:rPr>
          <w:i/>
          <w:iCs/>
          <w:szCs w:val="27"/>
          <w:bdr w:val="none" w:sz="0" w:space="0" w:color="auto" w:frame="1"/>
          <w:shd w:val="clear" w:color="auto" w:fill="FFFFFF"/>
        </w:rPr>
        <w:t>The Stored Communications Act: An Old Statute for Modern Times</w:t>
      </w:r>
      <w:r>
        <w:rPr>
          <w:szCs w:val="27"/>
          <w:bdr w:val="none" w:sz="0" w:space="0" w:color="auto" w:frame="1"/>
          <w:shd w:val="clear" w:color="auto" w:fill="FFFFFF"/>
        </w:rPr>
        <w:t xml:space="preserve"> (2013) 63 </w:t>
      </w:r>
      <w:proofErr w:type="spellStart"/>
      <w:r>
        <w:rPr>
          <w:szCs w:val="27"/>
          <w:bdr w:val="none" w:sz="0" w:space="0" w:color="auto" w:frame="1"/>
          <w:shd w:val="clear" w:color="auto" w:fill="FFFFFF"/>
        </w:rPr>
        <w:t>Am.U</w:t>
      </w:r>
      <w:proofErr w:type="spellEnd"/>
      <w:r>
        <w:rPr>
          <w:szCs w:val="27"/>
          <w:bdr w:val="none" w:sz="0" w:space="0" w:color="auto" w:frame="1"/>
          <w:shd w:val="clear" w:color="auto" w:fill="FFFFFF"/>
        </w:rPr>
        <w:t>. L.Rev. 267, 287 [</w:t>
      </w:r>
      <w:r>
        <w:rPr>
          <w:szCs w:val="27"/>
          <w:shd w:val="clear" w:color="auto" w:fill="FFFFFF"/>
        </w:rPr>
        <w:t>“The Act’s framework made sense in 1986 when service providers served two distinct functions,” but subsequently the SCA “has become hopelessly outdated”];</w:t>
      </w:r>
      <w:r>
        <w:t xml:space="preserve"> Fairfield &amp; Luna, </w:t>
      </w:r>
      <w:r>
        <w:rPr>
          <w:i/>
        </w:rPr>
        <w:t xml:space="preserve">Digital Innocence, supra, </w:t>
      </w:r>
      <w:r>
        <w:t xml:space="preserve">99 Cornell L.Rev. 981, 1054–1063, 1056 [asserting “the advance of cloud computing” has rendered the ECS and RCS classifications “archaic,” and those categories “largely obsolete”]; </w:t>
      </w:r>
      <w:r>
        <w:rPr>
          <w:i/>
        </w:rPr>
        <w:t xml:space="preserve">Blue Skies Ahead, supra, </w:t>
      </w:r>
      <w:r>
        <w:t xml:space="preserve">55 Santa Clara L.Rev. 467, 492, fn. omitted [the “complicated ECS-RCS analytical framework . . . no longer bears any technological significance today”]; Brehm, Comment, </w:t>
      </w:r>
      <w:r>
        <w:rPr>
          <w:i/>
        </w:rPr>
        <w:t>Downloading the Latest Protection Updates:  Regularly Updating the Stored Communications Act</w:t>
      </w:r>
      <w:r>
        <w:t xml:space="preserve"> (2014) 16 Loy. J. Pub. Int. L. 1, 28–30 [urging creation of a commission to update the SCA by issuing regulations to accommodate new technologies and revise “antiquated definitions”];</w:t>
      </w:r>
      <w:r>
        <w:rPr>
          <w:color w:val="000000" w:themeColor="text1"/>
        </w:rPr>
        <w:t xml:space="preserve"> </w:t>
      </w:r>
      <w:proofErr w:type="spellStart"/>
      <w:r>
        <w:rPr>
          <w:color w:val="000000" w:themeColor="text1"/>
          <w:szCs w:val="26"/>
          <w:shd w:val="clear" w:color="auto" w:fill="FFFFFF"/>
        </w:rPr>
        <w:t>Schlabach</w:t>
      </w:r>
      <w:proofErr w:type="spellEnd"/>
      <w:r>
        <w:rPr>
          <w:color w:val="000000" w:themeColor="text1"/>
          <w:szCs w:val="26"/>
          <w:shd w:val="clear" w:color="auto" w:fill="FFFFFF"/>
        </w:rPr>
        <w:t xml:space="preserve">, Note, </w:t>
      </w:r>
      <w:r>
        <w:rPr>
          <w:i/>
        </w:rPr>
        <w:t>Privacy in the Cloud: The Mosaic Theory and the Stored Communications Act</w:t>
      </w:r>
      <w:r>
        <w:t xml:space="preserve"> (2015) 67 Stan. L.Rev. 677, 695 [asserting the Act’s “dated terminology threatens its effectiveness” and proposing amendments]; </w:t>
      </w:r>
      <w:proofErr w:type="spellStart"/>
      <w:r>
        <w:rPr>
          <w:color w:val="000000" w:themeColor="text1"/>
          <w:szCs w:val="26"/>
          <w:shd w:val="clear" w:color="auto" w:fill="FFFFFF"/>
        </w:rPr>
        <w:t>Bianchini</w:t>
      </w:r>
      <w:proofErr w:type="spellEnd"/>
      <w:r>
        <w:rPr>
          <w:color w:val="000000" w:themeColor="text1"/>
          <w:szCs w:val="26"/>
          <w:shd w:val="clear" w:color="auto" w:fill="FFFFFF"/>
        </w:rPr>
        <w:t xml:space="preserve">, Note, </w:t>
      </w:r>
      <w:r>
        <w:rPr>
          <w:i/>
        </w:rPr>
        <w:t>Always On, Always Listening:  Navigating Fourth Amendment Rights in a Smart Home</w:t>
      </w:r>
      <w:r>
        <w:t xml:space="preserve"> (2018) 86 Geo. Wash. L.J. Arguendo 1, 19, 24–29 [asserting that modern technology has rendered the Act’s ECS/RCS distinctions outdated, making application of the SCA to modern stored information unclear — and proposing amendments to the Act].  </w:t>
      </w:r>
    </w:p>
  </w:footnote>
  <w:footnote w:id="29">
    <w:p w14:paraId="7E5C3860" w14:textId="2E975D40" w:rsidR="00D039EB" w:rsidRDefault="00D039EB" w:rsidP="00D039EB">
      <w:pPr>
        <w:pStyle w:val="FootnoteText"/>
        <w:rPr>
          <w:szCs w:val="27"/>
        </w:rPr>
      </w:pPr>
      <w:r>
        <w:rPr>
          <w:rStyle w:val="FootnoteReference"/>
        </w:rPr>
        <w:footnoteRef/>
      </w:r>
      <w:r>
        <w:t xml:space="preserve"> </w:t>
      </w:r>
      <w:r>
        <w:tab/>
      </w:r>
      <w:r>
        <w:rPr>
          <w:rFonts w:cs="Calibri"/>
          <w:szCs w:val="27"/>
          <w:shd w:val="clear" w:color="auto" w:fill="FFFFFF"/>
        </w:rPr>
        <w:t>Accord, K</w:t>
      </w:r>
      <w:r>
        <w:t xml:space="preserve">err, </w:t>
      </w:r>
      <w:r>
        <w:rPr>
          <w:i/>
        </w:rPr>
        <w:t xml:space="preserve">A User’s Guide, supra, </w:t>
      </w:r>
      <w:r>
        <w:t>72 </w:t>
      </w:r>
      <w:proofErr w:type="spellStart"/>
      <w:r>
        <w:t>Geo.Wash</w:t>
      </w:r>
      <w:proofErr w:type="spellEnd"/>
      <w:r>
        <w:t>. L.J. 1208, 1215–1216: “</w:t>
      </w:r>
      <w:r>
        <w:rPr>
          <w:rFonts w:cs="Calibri"/>
          <w:szCs w:val="27"/>
          <w:shd w:val="clear" w:color="auto" w:fill="FFFFFF"/>
        </w:rPr>
        <w:t xml:space="preserve">The classifications of ECS and RCS are context sensitive: the key is the provider’s role with respect to a particular copy of a particular communication, rather than the provider’s status in the abstract.  A provider can act as an RCS with respect to some communications, an ECS with respect to other communications, and neither an RCS nor an ECS with respect to other communications.”  See also </w:t>
      </w:r>
      <w:r>
        <w:rPr>
          <w:rFonts w:cs="Calibri"/>
          <w:i/>
          <w:iCs/>
          <w:szCs w:val="27"/>
          <w:shd w:val="clear" w:color="auto" w:fill="FFFFFF"/>
        </w:rPr>
        <w:t>id</w:t>
      </w:r>
      <w:r>
        <w:rPr>
          <w:rFonts w:cs="Calibri"/>
          <w:szCs w:val="27"/>
          <w:shd w:val="clear" w:color="auto" w:fill="FFFFFF"/>
        </w:rPr>
        <w:t xml:space="preserve">., at pages </w:t>
      </w:r>
      <w:r>
        <w:rPr>
          <w:szCs w:val="27"/>
        </w:rPr>
        <w:t xml:space="preserve">1216–1218 [asserting that </w:t>
      </w:r>
      <w:r>
        <w:rPr>
          <w:szCs w:val="27"/>
          <w:shd w:val="clear" w:color="auto" w:fill="FFFFFF"/>
        </w:rPr>
        <w:t>e-mails in transit or that have been delivered yet not opened, are stored by a provider of ECS; whereas e-mails that have been opened and left on a server are stored by a provider of RCS</w:t>
      </w:r>
      <w:r>
        <w:rPr>
          <w:szCs w:val="27"/>
        </w:rPr>
        <w:t xml:space="preserve">].  </w:t>
      </w:r>
    </w:p>
    <w:p w14:paraId="7FE11A64" w14:textId="64C9DA43" w:rsidR="00B42FD8" w:rsidRDefault="00B42FD8" w:rsidP="00D039EB">
      <w:pPr>
        <w:pStyle w:val="FootnoteText"/>
      </w:pPr>
    </w:p>
    <w:p w14:paraId="2EC72910" w14:textId="77777777" w:rsidR="00D56DFA" w:rsidRDefault="00D56DFA" w:rsidP="00D039EB">
      <w:pPr>
        <w:pStyle w:val="FootnoteText"/>
      </w:pPr>
    </w:p>
  </w:footnote>
  <w:footnote w:id="30">
    <w:p w14:paraId="32EBAFB0" w14:textId="77777777" w:rsidR="00D039EB" w:rsidRDefault="00D039EB" w:rsidP="00D039EB">
      <w:pPr>
        <w:pStyle w:val="FootnoteText"/>
      </w:pPr>
      <w:r>
        <w:rPr>
          <w:rStyle w:val="FootnoteReference"/>
        </w:rPr>
        <w:footnoteRef/>
      </w:r>
      <w:r>
        <w:t xml:space="preserve"> </w:t>
      </w:r>
      <w:r>
        <w:tab/>
      </w:r>
      <w:r>
        <w:rPr>
          <w:i/>
          <w:szCs w:val="26"/>
        </w:rPr>
        <w:t>U.S. v. Weaver</w:t>
      </w:r>
      <w:r>
        <w:rPr>
          <w:szCs w:val="26"/>
        </w:rPr>
        <w:t xml:space="preserve"> (</w:t>
      </w:r>
      <w:proofErr w:type="spellStart"/>
      <w:r>
        <w:rPr>
          <w:szCs w:val="26"/>
        </w:rPr>
        <w:t>C.D.Ill</w:t>
      </w:r>
      <w:proofErr w:type="spellEnd"/>
      <w:r>
        <w:rPr>
          <w:szCs w:val="26"/>
        </w:rPr>
        <w:t xml:space="preserve">. 2009) 636 F.Supp.2d 769, 772–773, quoting § 2703(b)(2) [relying on the language and legislative history of the SCA to conclude that once a user opened an e-mail message and kept that message on the user’s Hotmail account, Microsoft maintained the message “ ‘solely for the purpose of providing storage or computer processing services to such subscriber or customer,’ ” ceased being a provider of ECS, and transformed into a provider of RCS]; </w:t>
      </w:r>
      <w:r>
        <w:rPr>
          <w:i/>
          <w:szCs w:val="26"/>
        </w:rPr>
        <w:t>Flagg v. City of Detroit</w:t>
      </w:r>
      <w:r>
        <w:rPr>
          <w:szCs w:val="26"/>
        </w:rPr>
        <w:t xml:space="preserve"> (</w:t>
      </w:r>
      <w:proofErr w:type="spellStart"/>
      <w:r>
        <w:rPr>
          <w:szCs w:val="26"/>
        </w:rPr>
        <w:t>E.D.Mich</w:t>
      </w:r>
      <w:proofErr w:type="spellEnd"/>
      <w:r>
        <w:rPr>
          <w:szCs w:val="26"/>
        </w:rPr>
        <w:t>. 2008) 252 F.R.D. 346, 362–363 [finding that Skytel, an entity that provided text message services, had initially been a provider of ECS; but after text communications had been accessed and stored, Skytel transformed into a provider of RCS].  S</w:t>
      </w:r>
      <w:r>
        <w:t xml:space="preserve">ee </w:t>
      </w:r>
      <w:proofErr w:type="gramStart"/>
      <w:r>
        <w:t>generally the</w:t>
      </w:r>
      <w:proofErr w:type="gramEnd"/>
      <w:r>
        <w:t xml:space="preserve"> useful discussion of these and related cases in </w:t>
      </w:r>
      <w:r>
        <w:rPr>
          <w:i/>
        </w:rPr>
        <w:t xml:space="preserve">Crispin, supra, </w:t>
      </w:r>
      <w:r>
        <w:t xml:space="preserve">717 F.Supp.2d 965, </w:t>
      </w:r>
      <w:r>
        <w:rPr>
          <w:szCs w:val="26"/>
        </w:rPr>
        <w:t xml:space="preserve">984–987.  </w:t>
      </w:r>
    </w:p>
  </w:footnote>
  <w:footnote w:id="31">
    <w:p w14:paraId="16BFD3AC" w14:textId="77777777" w:rsidR="00D039EB" w:rsidRDefault="00D039EB" w:rsidP="00D039EB">
      <w:pPr>
        <w:spacing w:line="300" w:lineRule="exact"/>
      </w:pPr>
      <w:r>
        <w:rPr>
          <w:rStyle w:val="FootnoteReference"/>
        </w:rPr>
        <w:footnoteRef/>
      </w:r>
      <w:r>
        <w:t xml:space="preserve"> </w:t>
      </w:r>
      <w:r>
        <w:tab/>
        <w:t xml:space="preserve">See </w:t>
      </w:r>
      <w:r>
        <w:rPr>
          <w:i/>
          <w:szCs w:val="26"/>
        </w:rPr>
        <w:t>Low v. LinkedIn Corp</w:t>
      </w:r>
      <w:r>
        <w:rPr>
          <w:szCs w:val="26"/>
        </w:rPr>
        <w:t>. (</w:t>
      </w:r>
      <w:proofErr w:type="spellStart"/>
      <w:r>
        <w:rPr>
          <w:szCs w:val="26"/>
        </w:rPr>
        <w:t>N.D.Cal</w:t>
      </w:r>
      <w:proofErr w:type="spellEnd"/>
      <w:r>
        <w:rPr>
          <w:szCs w:val="26"/>
        </w:rPr>
        <w:t>. 2012) 900 F.Supp.2d 1010, 1024, fn. omitted [rejecting an argument that LinkedIn, by “</w:t>
      </w:r>
      <w:proofErr w:type="spellStart"/>
      <w:r>
        <w:rPr>
          <w:szCs w:val="26"/>
        </w:rPr>
        <w:t>disclos</w:t>
      </w:r>
      <w:proofErr w:type="spellEnd"/>
      <w:r>
        <w:rPr>
          <w:szCs w:val="26"/>
        </w:rPr>
        <w:t>[</w:t>
      </w:r>
      <w:proofErr w:type="spellStart"/>
      <w:r>
        <w:rPr>
          <w:szCs w:val="26"/>
        </w:rPr>
        <w:t>ing</w:t>
      </w:r>
      <w:proofErr w:type="spellEnd"/>
      <w:r>
        <w:rPr>
          <w:szCs w:val="26"/>
        </w:rPr>
        <w:t xml:space="preserve"> its users’] IDs and the URLs of viewed [profile] pages to third parties,” acted as an RCS provider, and in the process, appearing to endorse a narrow, rather than broad, view of the term computer “ ‘processing services’ ”]; </w:t>
      </w:r>
      <w:r>
        <w:rPr>
          <w:color w:val="212121"/>
        </w:rPr>
        <w:t xml:space="preserve">Senate Report No. 99-541, 2d Session, page 3 (1986) [suggesting that Congress, in </w:t>
      </w:r>
      <w:r>
        <w:rPr>
          <w:szCs w:val="26"/>
        </w:rPr>
        <w:t xml:space="preserve">focusing on entities that provide data processing “outsourcing functions,” contemplated a narrow understanding of “computer processing” when it established the RCS category]; </w:t>
      </w:r>
      <w:r>
        <w:t xml:space="preserve">Kerr, </w:t>
      </w:r>
      <w:r>
        <w:rPr>
          <w:i/>
        </w:rPr>
        <w:t>A User’s Guide, supra</w:t>
      </w:r>
      <w:r>
        <w:rPr>
          <w:szCs w:val="26"/>
        </w:rPr>
        <w:t>, 72 </w:t>
      </w:r>
      <w:proofErr w:type="spellStart"/>
      <w:r>
        <w:rPr>
          <w:szCs w:val="26"/>
        </w:rPr>
        <w:t>Geo.Wash</w:t>
      </w:r>
      <w:proofErr w:type="spellEnd"/>
      <w:r>
        <w:rPr>
          <w:szCs w:val="26"/>
        </w:rPr>
        <w:t xml:space="preserve">. L.Rev. 1208, 1230–1231 [asserting that the key term “processing services” should be limited and construed narrowly, to “refer to outsourcing functions,” and not broadly, which would essentially include every website].)  </w:t>
      </w:r>
    </w:p>
  </w:footnote>
  <w:footnote w:id="32">
    <w:p w14:paraId="58283411" w14:textId="77777777" w:rsidR="00D039EB" w:rsidRDefault="00D039EB" w:rsidP="00D039EB">
      <w:pPr>
        <w:spacing w:line="300" w:lineRule="exact"/>
        <w:rPr>
          <w:szCs w:val="26"/>
        </w:rPr>
      </w:pPr>
      <w:r>
        <w:rPr>
          <w:rStyle w:val="FootnoteReference"/>
        </w:rPr>
        <w:footnoteRef/>
      </w:r>
      <w:r>
        <w:t xml:space="preserve">  </w:t>
      </w:r>
      <w:r>
        <w:tab/>
      </w:r>
      <w:r>
        <w:rPr>
          <w:szCs w:val="26"/>
        </w:rPr>
        <w:t xml:space="preserve">Facebook posits that if disclosure is not prohibited by the SCA, a “provider could choose to disclose a communication to anyone.”  Moreover, as Facebook observes, if an entity were to do so it might cause users to “quickly lose confidence in communications technology as their privacy rights disappear, undermining the stated intent of Congress in enacting the SCA.”  Yet it appears that an entity that became known for disclosing its users’ communications on its own, without legal compulsion, would not long survive in the market — and hence would refrain from doing so in the first place.  </w:t>
      </w:r>
    </w:p>
  </w:footnote>
  <w:footnote w:id="33">
    <w:p w14:paraId="19624E10" w14:textId="77777777" w:rsidR="00D039EB" w:rsidRDefault="00D039EB" w:rsidP="00D039EB">
      <w:pPr>
        <w:spacing w:line="300" w:lineRule="exact"/>
        <w:rPr>
          <w:szCs w:val="26"/>
        </w:rPr>
      </w:pPr>
      <w:r>
        <w:rPr>
          <w:rStyle w:val="FootnoteReference"/>
        </w:rPr>
        <w:footnoteRef/>
      </w:r>
      <w:r>
        <w:t xml:space="preserve">  </w:t>
      </w:r>
      <w:r>
        <w:tab/>
      </w:r>
      <w:r>
        <w:rPr>
          <w:szCs w:val="26"/>
        </w:rPr>
        <w:t xml:space="preserve">California’s Electronic Communications Privacy Act of 2015 (Pen. Code, § 1546 et seq.) </w:t>
      </w:r>
      <w:proofErr w:type="gramStart"/>
      <w:r>
        <w:rPr>
          <w:szCs w:val="26"/>
        </w:rPr>
        <w:t>generally requires</w:t>
      </w:r>
      <w:proofErr w:type="gramEnd"/>
      <w:r>
        <w:rPr>
          <w:szCs w:val="26"/>
        </w:rPr>
        <w:t xml:space="preserve"> a warrant or comparable instrument to acquire such a communication (</w:t>
      </w:r>
      <w:r>
        <w:rPr>
          <w:i/>
          <w:szCs w:val="26"/>
        </w:rPr>
        <w:t>id</w:t>
      </w:r>
      <w:r>
        <w:rPr>
          <w:szCs w:val="26"/>
        </w:rPr>
        <w:t xml:space="preserve">., § 1546.1, subd. (b)(1)–(5)), and in any event, it </w:t>
      </w:r>
      <w:r>
        <w:rPr>
          <w:i/>
          <w:szCs w:val="26"/>
        </w:rPr>
        <w:t>precludes use of a subpoena</w:t>
      </w:r>
      <w:r>
        <w:rPr>
          <w:szCs w:val="26"/>
        </w:rPr>
        <w:t xml:space="preserve"> “for the purpose of investigating or prosecuting a criminal offense” (</w:t>
      </w:r>
      <w:r>
        <w:rPr>
          <w:i/>
          <w:szCs w:val="26"/>
        </w:rPr>
        <w:t>id</w:t>
      </w:r>
      <w:r>
        <w:rPr>
          <w:szCs w:val="26"/>
        </w:rPr>
        <w:t xml:space="preserve">., subd. (b)(4)).  Moreover, federal case law requires a search warrant, instead of a mere subpoena or court </w:t>
      </w:r>
      <w:proofErr w:type="gramStart"/>
      <w:r>
        <w:rPr>
          <w:szCs w:val="26"/>
        </w:rPr>
        <w:t>order, before</w:t>
      </w:r>
      <w:proofErr w:type="gramEnd"/>
      <w:r>
        <w:rPr>
          <w:szCs w:val="26"/>
        </w:rPr>
        <w:t xml:space="preserve"> a governmental entity may obtain private electronic communications.  (</w:t>
      </w:r>
      <w:r>
        <w:rPr>
          <w:i/>
          <w:szCs w:val="26"/>
        </w:rPr>
        <w:t xml:space="preserve">U.S. v. </w:t>
      </w:r>
      <w:proofErr w:type="spellStart"/>
      <w:r>
        <w:rPr>
          <w:i/>
          <w:szCs w:val="26"/>
        </w:rPr>
        <w:t>Warshak</w:t>
      </w:r>
      <w:proofErr w:type="spellEnd"/>
      <w:r>
        <w:rPr>
          <w:szCs w:val="26"/>
        </w:rPr>
        <w:t xml:space="preserve"> (6th Cir. 2010) 631 F.3d 266, 288 [pertaining to e-mail communications].)  </w:t>
      </w:r>
    </w:p>
  </w:footnote>
  <w:footnote w:id="34">
    <w:p w14:paraId="6B598624" w14:textId="77777777" w:rsidR="00D039EB" w:rsidRDefault="00D039EB" w:rsidP="00D039EB">
      <w:pPr>
        <w:spacing w:line="300" w:lineRule="exact"/>
        <w:rPr>
          <w:szCs w:val="26"/>
        </w:rPr>
      </w:pPr>
      <w:r>
        <w:rPr>
          <w:rStyle w:val="FootnoteReference"/>
        </w:rPr>
        <w:footnoteRef/>
      </w:r>
      <w:r>
        <w:t xml:space="preserve">  </w:t>
      </w:r>
      <w:r>
        <w:tab/>
      </w:r>
      <w:r>
        <w:rPr>
          <w:szCs w:val="26"/>
        </w:rPr>
        <w:t xml:space="preserve">Facebook asserts that it and similar entities should not be forced to “choose between the security and integrity of their service, and the privacy of the communications maintained on that service.”  But this </w:t>
      </w:r>
      <w:proofErr w:type="gramStart"/>
      <w:r>
        <w:rPr>
          <w:szCs w:val="26"/>
        </w:rPr>
        <w:t>appears to be</w:t>
      </w:r>
      <w:proofErr w:type="gramEnd"/>
      <w:r>
        <w:rPr>
          <w:szCs w:val="26"/>
        </w:rPr>
        <w:t xml:space="preserve"> a questionable dichotomy.  It would seem that protection against malware and viruses, etc., might be viewed as reasonably necessary to ensure the safety and integrity of any computer system, and in that sense, such monitoring and resulting measures to counteract malware might well be found to fall within a narrower definition of “computer processing,” even if that same term would not broadly encompass the sharing with third party advertisers of mined and analyzed information about content.  In any event, Facebook or any similar entity might, presumably, revert to an old-school pay-for-service business model, and still undertake such services to scan and protect against malware, and viruses, etc., while at the same time avoiding sharing with third party advertisers mined and analyzed information about content.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4C35" w14:textId="312AF473" w:rsidR="006762B8" w:rsidRPr="006762B8" w:rsidRDefault="006762B8" w:rsidP="006762B8">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2718" w14:textId="77777777" w:rsidR="009F1C73" w:rsidRDefault="009F1C73" w:rsidP="009F1C73">
    <w:pPr>
      <w:pStyle w:val="Header"/>
    </w:pPr>
    <w:r>
      <w:t>FACEBOOK, INC. v. SUPERIOR COURT</w:t>
    </w:r>
  </w:p>
  <w:p w14:paraId="5F487ACA" w14:textId="77777777" w:rsidR="009F1C73" w:rsidRDefault="009F1C73" w:rsidP="009F1C73">
    <w:pPr>
      <w:pStyle w:val="Header"/>
    </w:pPr>
    <w:r>
      <w:t>Opinion of the Court by Cantil-Sakauye, C. J.</w:t>
    </w:r>
  </w:p>
  <w:p w14:paraId="57E1F0CF" w14:textId="77777777" w:rsidR="009F1C73" w:rsidRDefault="009F1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AEAE" w14:textId="77777777" w:rsidR="00915A8C" w:rsidRPr="00915A8C" w:rsidRDefault="00915A8C" w:rsidP="00915A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3AA2" w14:textId="77777777" w:rsidR="00311F1D" w:rsidRDefault="00311F1D" w:rsidP="009F1C73">
    <w:pPr>
      <w:pStyle w:val="Header"/>
    </w:pPr>
    <w:r>
      <w:t>FACEBOOK, INC. v. SUPERIOR COURT</w:t>
    </w:r>
  </w:p>
  <w:p w14:paraId="0200511E" w14:textId="3163BB2C" w:rsidR="00311F1D" w:rsidRDefault="00311F1D" w:rsidP="009F1C73">
    <w:pPr>
      <w:pStyle w:val="Header"/>
    </w:pPr>
    <w:r>
      <w:t>Cantil-Sakauye, C. J., concurring</w:t>
    </w:r>
  </w:p>
  <w:p w14:paraId="61348D77" w14:textId="77777777" w:rsidR="00311F1D" w:rsidRDefault="00311F1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F1546" w14:textId="77777777" w:rsidR="00480B30" w:rsidRPr="00915A8C" w:rsidRDefault="00480B30" w:rsidP="00915A8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302D" w14:textId="77777777" w:rsidR="00FB2A00" w:rsidRDefault="00FB2A00" w:rsidP="009F1C73">
    <w:pPr>
      <w:pStyle w:val="Header"/>
    </w:pPr>
    <w:r>
      <w:t>FACEBOOK, INC. v. SUPERIOR COURT</w:t>
    </w:r>
  </w:p>
  <w:p w14:paraId="6D82D190" w14:textId="59484863" w:rsidR="00FB2A00" w:rsidRDefault="00FB2A00" w:rsidP="009F1C73">
    <w:pPr>
      <w:pStyle w:val="Header"/>
    </w:pPr>
    <w:r>
      <w:t>Cuéllar, J., concurring</w:t>
    </w:r>
  </w:p>
  <w:p w14:paraId="4EAE74E4" w14:textId="77777777" w:rsidR="00FB2A00" w:rsidRDefault="00FB2A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312A" w14:textId="77777777" w:rsidR="00FB2A00" w:rsidRPr="00915A8C" w:rsidRDefault="00FB2A00" w:rsidP="00915A8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EC3AC" w14:textId="77777777" w:rsidR="007C1863" w:rsidRPr="007C1863" w:rsidRDefault="007C1863" w:rsidP="007C18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EA1E5" w14:textId="77777777" w:rsidR="004D24E5" w:rsidRPr="00915A8C" w:rsidRDefault="004D24E5" w:rsidP="00915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6FDF"/>
    <w:multiLevelType w:val="hybridMultilevel"/>
    <w:tmpl w:val="0B6EDF64"/>
    <w:lvl w:ilvl="0" w:tplc="280CD932">
      <w:start w:val="1"/>
      <w:numFmt w:val="lowerRoman"/>
      <w:lvlText w:val="%1."/>
      <w:lvlJc w:val="left"/>
      <w:pPr>
        <w:ind w:left="3024" w:hanging="72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 w15:restartNumberingAfterBreak="0">
    <w:nsid w:val="13170BFD"/>
    <w:multiLevelType w:val="hybridMultilevel"/>
    <w:tmpl w:val="9276615C"/>
    <w:lvl w:ilvl="0" w:tplc="6C624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A2AB5"/>
    <w:multiLevelType w:val="hybridMultilevel"/>
    <w:tmpl w:val="81FADD34"/>
    <w:lvl w:ilvl="0" w:tplc="CBB6842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9B0255C"/>
    <w:multiLevelType w:val="hybridMultilevel"/>
    <w:tmpl w:val="BB681B3A"/>
    <w:lvl w:ilvl="0" w:tplc="919A2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5E3404"/>
    <w:multiLevelType w:val="hybridMultilevel"/>
    <w:tmpl w:val="09E02916"/>
    <w:lvl w:ilvl="0" w:tplc="EBA6FE5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15:restartNumberingAfterBreak="0">
    <w:nsid w:val="29F14F62"/>
    <w:multiLevelType w:val="hybridMultilevel"/>
    <w:tmpl w:val="0E5412CC"/>
    <w:lvl w:ilvl="0" w:tplc="B936F1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2CAD2BC9"/>
    <w:multiLevelType w:val="hybridMultilevel"/>
    <w:tmpl w:val="37A871A0"/>
    <w:lvl w:ilvl="0" w:tplc="70248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817018"/>
    <w:multiLevelType w:val="hybridMultilevel"/>
    <w:tmpl w:val="BEE4D43C"/>
    <w:lvl w:ilvl="0" w:tplc="D5BC159E">
      <w:start w:val="2"/>
      <w:numFmt w:val="lowerRoman"/>
      <w:lvlText w:val="%1."/>
      <w:lvlJc w:val="left"/>
      <w:pPr>
        <w:ind w:left="2664" w:hanging="72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8" w15:restartNumberingAfterBreak="0">
    <w:nsid w:val="338A6F2D"/>
    <w:multiLevelType w:val="hybridMultilevel"/>
    <w:tmpl w:val="92F8A394"/>
    <w:lvl w:ilvl="0" w:tplc="CBB68428">
      <w:start w:val="4"/>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36E65A22"/>
    <w:multiLevelType w:val="hybridMultilevel"/>
    <w:tmpl w:val="DC425A06"/>
    <w:lvl w:ilvl="0" w:tplc="994A45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B13CE"/>
    <w:multiLevelType w:val="hybridMultilevel"/>
    <w:tmpl w:val="35F44696"/>
    <w:lvl w:ilvl="0" w:tplc="4970DE3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483824"/>
    <w:multiLevelType w:val="hybridMultilevel"/>
    <w:tmpl w:val="13FC2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955AE"/>
    <w:multiLevelType w:val="hybridMultilevel"/>
    <w:tmpl w:val="3D58C66A"/>
    <w:lvl w:ilvl="0" w:tplc="069E3D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575513"/>
    <w:multiLevelType w:val="hybridMultilevel"/>
    <w:tmpl w:val="0CCC4E7E"/>
    <w:lvl w:ilvl="0" w:tplc="5FDAC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2732FE"/>
    <w:multiLevelType w:val="multilevel"/>
    <w:tmpl w:val="CC3838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F15954"/>
    <w:multiLevelType w:val="hybridMultilevel"/>
    <w:tmpl w:val="35F0C424"/>
    <w:lvl w:ilvl="0" w:tplc="9A761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E95046"/>
    <w:multiLevelType w:val="hybridMultilevel"/>
    <w:tmpl w:val="B16C0CB2"/>
    <w:lvl w:ilvl="0" w:tplc="31F876AA">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 w15:restartNumberingAfterBreak="0">
    <w:nsid w:val="723524F0"/>
    <w:multiLevelType w:val="hybridMultilevel"/>
    <w:tmpl w:val="09E02916"/>
    <w:lvl w:ilvl="0" w:tplc="EBA6FE5E">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734A1FD2"/>
    <w:multiLevelType w:val="multilevel"/>
    <w:tmpl w:val="E2987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E96B8C"/>
    <w:multiLevelType w:val="hybridMultilevel"/>
    <w:tmpl w:val="0D2CA546"/>
    <w:lvl w:ilvl="0" w:tplc="A544D5B4">
      <w:start w:val="1"/>
      <w:numFmt w:val="lowerLetter"/>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0" w15:restartNumberingAfterBreak="0">
    <w:nsid w:val="757F49C2"/>
    <w:multiLevelType w:val="hybridMultilevel"/>
    <w:tmpl w:val="F6607446"/>
    <w:lvl w:ilvl="0" w:tplc="0C881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4448FC"/>
    <w:multiLevelType w:val="hybridMultilevel"/>
    <w:tmpl w:val="E84C73DA"/>
    <w:lvl w:ilvl="0" w:tplc="21FC390C">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2" w15:restartNumberingAfterBreak="0">
    <w:nsid w:val="7E3D41C5"/>
    <w:multiLevelType w:val="hybridMultilevel"/>
    <w:tmpl w:val="0E5412CC"/>
    <w:lvl w:ilvl="0" w:tplc="B936F10C">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3" w15:restartNumberingAfterBreak="0">
    <w:nsid w:val="7F38527E"/>
    <w:multiLevelType w:val="hybridMultilevel"/>
    <w:tmpl w:val="33B2B604"/>
    <w:lvl w:ilvl="0" w:tplc="D9C4DBD0">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15:restartNumberingAfterBreak="0">
    <w:nsid w:val="7FFC2DEA"/>
    <w:multiLevelType w:val="hybridMultilevel"/>
    <w:tmpl w:val="81FADD34"/>
    <w:lvl w:ilvl="0" w:tplc="CBB6842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14"/>
  </w:num>
  <w:num w:numId="2">
    <w:abstractNumId w:val="1"/>
  </w:num>
  <w:num w:numId="3">
    <w:abstractNumId w:val="2"/>
  </w:num>
  <w:num w:numId="4">
    <w:abstractNumId w:val="24"/>
  </w:num>
  <w:num w:numId="5">
    <w:abstractNumId w:val="6"/>
  </w:num>
  <w:num w:numId="6">
    <w:abstractNumId w:val="12"/>
  </w:num>
  <w:num w:numId="7">
    <w:abstractNumId w:val="23"/>
  </w:num>
  <w:num w:numId="8">
    <w:abstractNumId w:val="8"/>
  </w:num>
  <w:num w:numId="9">
    <w:abstractNumId w:val="10"/>
  </w:num>
  <w:num w:numId="10">
    <w:abstractNumId w:val="17"/>
  </w:num>
  <w:num w:numId="11">
    <w:abstractNumId w:val="4"/>
  </w:num>
  <w:num w:numId="12">
    <w:abstractNumId w:val="20"/>
  </w:num>
  <w:num w:numId="13">
    <w:abstractNumId w:val="16"/>
  </w:num>
  <w:num w:numId="14">
    <w:abstractNumId w:val="19"/>
  </w:num>
  <w:num w:numId="15">
    <w:abstractNumId w:val="0"/>
  </w:num>
  <w:num w:numId="16">
    <w:abstractNumId w:val="21"/>
  </w:num>
  <w:num w:numId="17">
    <w:abstractNumId w:val="7"/>
  </w:num>
  <w:num w:numId="18">
    <w:abstractNumId w:val="9"/>
  </w:num>
  <w:num w:numId="19">
    <w:abstractNumId w:val="13"/>
  </w:num>
  <w:num w:numId="20">
    <w:abstractNumId w:val="5"/>
  </w:num>
  <w:num w:numId="21">
    <w:abstractNumId w:val="15"/>
  </w:num>
  <w:num w:numId="22">
    <w:abstractNumId w:val="3"/>
  </w:num>
  <w:num w:numId="23">
    <w:abstractNumId w:val="11"/>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9D"/>
    <w:rsid w:val="000006C4"/>
    <w:rsid w:val="00001F66"/>
    <w:rsid w:val="00002BD3"/>
    <w:rsid w:val="00002DA7"/>
    <w:rsid w:val="00002F8A"/>
    <w:rsid w:val="00003DB2"/>
    <w:rsid w:val="000043F5"/>
    <w:rsid w:val="0000443B"/>
    <w:rsid w:val="00004F4F"/>
    <w:rsid w:val="00005125"/>
    <w:rsid w:val="000059F2"/>
    <w:rsid w:val="0000606F"/>
    <w:rsid w:val="00006474"/>
    <w:rsid w:val="000069F0"/>
    <w:rsid w:val="000072A9"/>
    <w:rsid w:val="00007D01"/>
    <w:rsid w:val="0001004B"/>
    <w:rsid w:val="00010B01"/>
    <w:rsid w:val="00011085"/>
    <w:rsid w:val="000110E2"/>
    <w:rsid w:val="000113AA"/>
    <w:rsid w:val="0001164E"/>
    <w:rsid w:val="00011ADF"/>
    <w:rsid w:val="00011F30"/>
    <w:rsid w:val="000128B6"/>
    <w:rsid w:val="00014ABF"/>
    <w:rsid w:val="00015188"/>
    <w:rsid w:val="000154F1"/>
    <w:rsid w:val="0001596E"/>
    <w:rsid w:val="000159E6"/>
    <w:rsid w:val="00015C6C"/>
    <w:rsid w:val="00015EAB"/>
    <w:rsid w:val="00015EB4"/>
    <w:rsid w:val="00016C24"/>
    <w:rsid w:val="00016ECF"/>
    <w:rsid w:val="00017045"/>
    <w:rsid w:val="00017573"/>
    <w:rsid w:val="0001788B"/>
    <w:rsid w:val="0001789B"/>
    <w:rsid w:val="00017B2E"/>
    <w:rsid w:val="00021334"/>
    <w:rsid w:val="0002162C"/>
    <w:rsid w:val="000216C8"/>
    <w:rsid w:val="00021FC7"/>
    <w:rsid w:val="000222F5"/>
    <w:rsid w:val="000224FB"/>
    <w:rsid w:val="00022807"/>
    <w:rsid w:val="0002283B"/>
    <w:rsid w:val="00022B7F"/>
    <w:rsid w:val="00022CBC"/>
    <w:rsid w:val="00022F96"/>
    <w:rsid w:val="00022FCA"/>
    <w:rsid w:val="000239F8"/>
    <w:rsid w:val="00024C33"/>
    <w:rsid w:val="00025966"/>
    <w:rsid w:val="00026262"/>
    <w:rsid w:val="00026B51"/>
    <w:rsid w:val="00026B67"/>
    <w:rsid w:val="00026E48"/>
    <w:rsid w:val="000300DB"/>
    <w:rsid w:val="00030260"/>
    <w:rsid w:val="000302EA"/>
    <w:rsid w:val="00030F54"/>
    <w:rsid w:val="00031515"/>
    <w:rsid w:val="00031727"/>
    <w:rsid w:val="00031A9B"/>
    <w:rsid w:val="000324D7"/>
    <w:rsid w:val="00032EF9"/>
    <w:rsid w:val="00033320"/>
    <w:rsid w:val="00033663"/>
    <w:rsid w:val="00034649"/>
    <w:rsid w:val="000348F7"/>
    <w:rsid w:val="00034A03"/>
    <w:rsid w:val="0003528C"/>
    <w:rsid w:val="0003579A"/>
    <w:rsid w:val="00035B97"/>
    <w:rsid w:val="0003616E"/>
    <w:rsid w:val="000363B1"/>
    <w:rsid w:val="0003645D"/>
    <w:rsid w:val="000366EC"/>
    <w:rsid w:val="0003679D"/>
    <w:rsid w:val="00036D13"/>
    <w:rsid w:val="000375FB"/>
    <w:rsid w:val="00037818"/>
    <w:rsid w:val="00037954"/>
    <w:rsid w:val="00037C68"/>
    <w:rsid w:val="00040257"/>
    <w:rsid w:val="00040674"/>
    <w:rsid w:val="00040B94"/>
    <w:rsid w:val="00040EB6"/>
    <w:rsid w:val="00041098"/>
    <w:rsid w:val="00041259"/>
    <w:rsid w:val="00041DAD"/>
    <w:rsid w:val="00041EF9"/>
    <w:rsid w:val="00041F27"/>
    <w:rsid w:val="00042030"/>
    <w:rsid w:val="000426CB"/>
    <w:rsid w:val="00042CD6"/>
    <w:rsid w:val="00042DA2"/>
    <w:rsid w:val="00042FD7"/>
    <w:rsid w:val="00043400"/>
    <w:rsid w:val="000436CF"/>
    <w:rsid w:val="0004372C"/>
    <w:rsid w:val="00043861"/>
    <w:rsid w:val="00043BCD"/>
    <w:rsid w:val="00043C73"/>
    <w:rsid w:val="00043F14"/>
    <w:rsid w:val="0004440E"/>
    <w:rsid w:val="000446EA"/>
    <w:rsid w:val="000448E0"/>
    <w:rsid w:val="00044D0D"/>
    <w:rsid w:val="00044FEB"/>
    <w:rsid w:val="0004530E"/>
    <w:rsid w:val="00045311"/>
    <w:rsid w:val="0004570A"/>
    <w:rsid w:val="00045AC3"/>
    <w:rsid w:val="00045D6B"/>
    <w:rsid w:val="00046DD7"/>
    <w:rsid w:val="00050AD6"/>
    <w:rsid w:val="00051139"/>
    <w:rsid w:val="000518AA"/>
    <w:rsid w:val="00051954"/>
    <w:rsid w:val="00052239"/>
    <w:rsid w:val="000530B1"/>
    <w:rsid w:val="00053D6F"/>
    <w:rsid w:val="00053EB0"/>
    <w:rsid w:val="00054210"/>
    <w:rsid w:val="000544AE"/>
    <w:rsid w:val="000545B5"/>
    <w:rsid w:val="0005491E"/>
    <w:rsid w:val="00054CDE"/>
    <w:rsid w:val="00055A3D"/>
    <w:rsid w:val="00055E85"/>
    <w:rsid w:val="000563F1"/>
    <w:rsid w:val="0005681C"/>
    <w:rsid w:val="00056A8D"/>
    <w:rsid w:val="000572E1"/>
    <w:rsid w:val="00057B40"/>
    <w:rsid w:val="0006010C"/>
    <w:rsid w:val="0006060C"/>
    <w:rsid w:val="000608C8"/>
    <w:rsid w:val="000609D1"/>
    <w:rsid w:val="000609EC"/>
    <w:rsid w:val="00060A5F"/>
    <w:rsid w:val="00060AFE"/>
    <w:rsid w:val="00060F0E"/>
    <w:rsid w:val="00060FF6"/>
    <w:rsid w:val="00061DFE"/>
    <w:rsid w:val="0006371C"/>
    <w:rsid w:val="00063727"/>
    <w:rsid w:val="00063815"/>
    <w:rsid w:val="00063BF8"/>
    <w:rsid w:val="00063CB5"/>
    <w:rsid w:val="00064B0D"/>
    <w:rsid w:val="000650BF"/>
    <w:rsid w:val="000652F4"/>
    <w:rsid w:val="000663DA"/>
    <w:rsid w:val="00066685"/>
    <w:rsid w:val="00066854"/>
    <w:rsid w:val="00066A71"/>
    <w:rsid w:val="00066B6C"/>
    <w:rsid w:val="0006701A"/>
    <w:rsid w:val="0007020F"/>
    <w:rsid w:val="00070386"/>
    <w:rsid w:val="000709ED"/>
    <w:rsid w:val="0007159D"/>
    <w:rsid w:val="00071A7E"/>
    <w:rsid w:val="00071B50"/>
    <w:rsid w:val="00071E65"/>
    <w:rsid w:val="00071FCF"/>
    <w:rsid w:val="000724DE"/>
    <w:rsid w:val="00072AC7"/>
    <w:rsid w:val="00072B29"/>
    <w:rsid w:val="00072B35"/>
    <w:rsid w:val="00073F0A"/>
    <w:rsid w:val="00074142"/>
    <w:rsid w:val="00074B5E"/>
    <w:rsid w:val="00074EEA"/>
    <w:rsid w:val="000750FD"/>
    <w:rsid w:val="000757E7"/>
    <w:rsid w:val="000768D3"/>
    <w:rsid w:val="00077136"/>
    <w:rsid w:val="0007714F"/>
    <w:rsid w:val="000778CF"/>
    <w:rsid w:val="00077DED"/>
    <w:rsid w:val="000800C8"/>
    <w:rsid w:val="00080569"/>
    <w:rsid w:val="00080DD7"/>
    <w:rsid w:val="00081000"/>
    <w:rsid w:val="00081E8A"/>
    <w:rsid w:val="00083409"/>
    <w:rsid w:val="0008360A"/>
    <w:rsid w:val="00083843"/>
    <w:rsid w:val="00083962"/>
    <w:rsid w:val="000844D4"/>
    <w:rsid w:val="00084B7F"/>
    <w:rsid w:val="00084F9B"/>
    <w:rsid w:val="00085187"/>
    <w:rsid w:val="00085249"/>
    <w:rsid w:val="0008578A"/>
    <w:rsid w:val="00085800"/>
    <w:rsid w:val="00085836"/>
    <w:rsid w:val="00085CA3"/>
    <w:rsid w:val="00085E8B"/>
    <w:rsid w:val="00085FAD"/>
    <w:rsid w:val="000864BA"/>
    <w:rsid w:val="000864CA"/>
    <w:rsid w:val="000868BF"/>
    <w:rsid w:val="000875E1"/>
    <w:rsid w:val="0008788A"/>
    <w:rsid w:val="0009071A"/>
    <w:rsid w:val="00090FCB"/>
    <w:rsid w:val="000912A8"/>
    <w:rsid w:val="000913D3"/>
    <w:rsid w:val="000917F6"/>
    <w:rsid w:val="00091ACE"/>
    <w:rsid w:val="00092613"/>
    <w:rsid w:val="0009296C"/>
    <w:rsid w:val="0009311C"/>
    <w:rsid w:val="00093211"/>
    <w:rsid w:val="000935A1"/>
    <w:rsid w:val="00093EEF"/>
    <w:rsid w:val="000946E4"/>
    <w:rsid w:val="00094941"/>
    <w:rsid w:val="0009498D"/>
    <w:rsid w:val="00094A52"/>
    <w:rsid w:val="00094ABC"/>
    <w:rsid w:val="00095489"/>
    <w:rsid w:val="00095C8A"/>
    <w:rsid w:val="00095E01"/>
    <w:rsid w:val="00096965"/>
    <w:rsid w:val="00096FBF"/>
    <w:rsid w:val="00097101"/>
    <w:rsid w:val="00097B6F"/>
    <w:rsid w:val="00097DF8"/>
    <w:rsid w:val="000A0461"/>
    <w:rsid w:val="000A0A2F"/>
    <w:rsid w:val="000A0B1F"/>
    <w:rsid w:val="000A0C98"/>
    <w:rsid w:val="000A1840"/>
    <w:rsid w:val="000A1D7A"/>
    <w:rsid w:val="000A2718"/>
    <w:rsid w:val="000A297D"/>
    <w:rsid w:val="000A2BFB"/>
    <w:rsid w:val="000A30DF"/>
    <w:rsid w:val="000A40FA"/>
    <w:rsid w:val="000A4C18"/>
    <w:rsid w:val="000A56D7"/>
    <w:rsid w:val="000A6058"/>
    <w:rsid w:val="000A6741"/>
    <w:rsid w:val="000A6FB9"/>
    <w:rsid w:val="000A6FBB"/>
    <w:rsid w:val="000A7273"/>
    <w:rsid w:val="000A7A96"/>
    <w:rsid w:val="000B0A96"/>
    <w:rsid w:val="000B1152"/>
    <w:rsid w:val="000B11EE"/>
    <w:rsid w:val="000B13E7"/>
    <w:rsid w:val="000B155D"/>
    <w:rsid w:val="000B320D"/>
    <w:rsid w:val="000B35F4"/>
    <w:rsid w:val="000B3AE3"/>
    <w:rsid w:val="000B3EBF"/>
    <w:rsid w:val="000B46BB"/>
    <w:rsid w:val="000B56BD"/>
    <w:rsid w:val="000B5CF2"/>
    <w:rsid w:val="000B5DCD"/>
    <w:rsid w:val="000B6260"/>
    <w:rsid w:val="000B682C"/>
    <w:rsid w:val="000B6859"/>
    <w:rsid w:val="000B6866"/>
    <w:rsid w:val="000B6B26"/>
    <w:rsid w:val="000B6C85"/>
    <w:rsid w:val="000B6DC0"/>
    <w:rsid w:val="000B71BF"/>
    <w:rsid w:val="000B7415"/>
    <w:rsid w:val="000B767B"/>
    <w:rsid w:val="000B7E5E"/>
    <w:rsid w:val="000B7EB9"/>
    <w:rsid w:val="000B7FC6"/>
    <w:rsid w:val="000B7FF2"/>
    <w:rsid w:val="000C03AD"/>
    <w:rsid w:val="000C1093"/>
    <w:rsid w:val="000C10E9"/>
    <w:rsid w:val="000C17FC"/>
    <w:rsid w:val="000C19B2"/>
    <w:rsid w:val="000C2C51"/>
    <w:rsid w:val="000C405E"/>
    <w:rsid w:val="000C45BE"/>
    <w:rsid w:val="000C46D2"/>
    <w:rsid w:val="000C48C6"/>
    <w:rsid w:val="000C49B4"/>
    <w:rsid w:val="000C4C0F"/>
    <w:rsid w:val="000C4D7D"/>
    <w:rsid w:val="000C53FB"/>
    <w:rsid w:val="000C5B40"/>
    <w:rsid w:val="000C603D"/>
    <w:rsid w:val="000C6482"/>
    <w:rsid w:val="000C6CDA"/>
    <w:rsid w:val="000C725D"/>
    <w:rsid w:val="000C75B3"/>
    <w:rsid w:val="000C75EC"/>
    <w:rsid w:val="000C791F"/>
    <w:rsid w:val="000C7A32"/>
    <w:rsid w:val="000C7AE8"/>
    <w:rsid w:val="000C7B79"/>
    <w:rsid w:val="000D00CA"/>
    <w:rsid w:val="000D06C3"/>
    <w:rsid w:val="000D1549"/>
    <w:rsid w:val="000D2300"/>
    <w:rsid w:val="000D2BE4"/>
    <w:rsid w:val="000D36F0"/>
    <w:rsid w:val="000D38E0"/>
    <w:rsid w:val="000D3EED"/>
    <w:rsid w:val="000D4081"/>
    <w:rsid w:val="000D421E"/>
    <w:rsid w:val="000D46C1"/>
    <w:rsid w:val="000D5488"/>
    <w:rsid w:val="000D5CAD"/>
    <w:rsid w:val="000D6318"/>
    <w:rsid w:val="000D6438"/>
    <w:rsid w:val="000D6707"/>
    <w:rsid w:val="000D6908"/>
    <w:rsid w:val="000D6971"/>
    <w:rsid w:val="000D75C8"/>
    <w:rsid w:val="000E0137"/>
    <w:rsid w:val="000E04C7"/>
    <w:rsid w:val="000E0C1A"/>
    <w:rsid w:val="000E0E8C"/>
    <w:rsid w:val="000E0EE2"/>
    <w:rsid w:val="000E1BAA"/>
    <w:rsid w:val="000E1F16"/>
    <w:rsid w:val="000E2889"/>
    <w:rsid w:val="000E290D"/>
    <w:rsid w:val="000E2AF8"/>
    <w:rsid w:val="000E374B"/>
    <w:rsid w:val="000E38E4"/>
    <w:rsid w:val="000E44A6"/>
    <w:rsid w:val="000E4BA3"/>
    <w:rsid w:val="000E4E52"/>
    <w:rsid w:val="000E504B"/>
    <w:rsid w:val="000E5823"/>
    <w:rsid w:val="000E60B0"/>
    <w:rsid w:val="000E6A27"/>
    <w:rsid w:val="000E6C91"/>
    <w:rsid w:val="000E7596"/>
    <w:rsid w:val="000E7925"/>
    <w:rsid w:val="000E7B31"/>
    <w:rsid w:val="000F018A"/>
    <w:rsid w:val="000F06B8"/>
    <w:rsid w:val="000F06F2"/>
    <w:rsid w:val="000F1128"/>
    <w:rsid w:val="000F1419"/>
    <w:rsid w:val="000F15F7"/>
    <w:rsid w:val="000F170D"/>
    <w:rsid w:val="000F1C5D"/>
    <w:rsid w:val="000F20B5"/>
    <w:rsid w:val="000F3521"/>
    <w:rsid w:val="000F353C"/>
    <w:rsid w:val="000F360C"/>
    <w:rsid w:val="000F39FF"/>
    <w:rsid w:val="000F3F71"/>
    <w:rsid w:val="000F43FC"/>
    <w:rsid w:val="000F4762"/>
    <w:rsid w:val="000F48E8"/>
    <w:rsid w:val="000F4BC2"/>
    <w:rsid w:val="000F60FA"/>
    <w:rsid w:val="000F6150"/>
    <w:rsid w:val="000F6A45"/>
    <w:rsid w:val="000F6ADB"/>
    <w:rsid w:val="000F6CCD"/>
    <w:rsid w:val="000F720C"/>
    <w:rsid w:val="000F761D"/>
    <w:rsid w:val="00100101"/>
    <w:rsid w:val="001006CB"/>
    <w:rsid w:val="00100C86"/>
    <w:rsid w:val="0010179A"/>
    <w:rsid w:val="00102346"/>
    <w:rsid w:val="001028F3"/>
    <w:rsid w:val="0010297B"/>
    <w:rsid w:val="00103A75"/>
    <w:rsid w:val="00103DF4"/>
    <w:rsid w:val="00103E46"/>
    <w:rsid w:val="001042C6"/>
    <w:rsid w:val="00104323"/>
    <w:rsid w:val="001048C7"/>
    <w:rsid w:val="00104C39"/>
    <w:rsid w:val="00104D67"/>
    <w:rsid w:val="0010522D"/>
    <w:rsid w:val="0010570E"/>
    <w:rsid w:val="001062BA"/>
    <w:rsid w:val="00106A1F"/>
    <w:rsid w:val="00106C4F"/>
    <w:rsid w:val="001075CA"/>
    <w:rsid w:val="001103EC"/>
    <w:rsid w:val="001105B1"/>
    <w:rsid w:val="001106F8"/>
    <w:rsid w:val="0011076A"/>
    <w:rsid w:val="001108CD"/>
    <w:rsid w:val="001113B7"/>
    <w:rsid w:val="001114E6"/>
    <w:rsid w:val="00111DCF"/>
    <w:rsid w:val="00112513"/>
    <w:rsid w:val="00112671"/>
    <w:rsid w:val="001137C1"/>
    <w:rsid w:val="00113820"/>
    <w:rsid w:val="001147AF"/>
    <w:rsid w:val="00114903"/>
    <w:rsid w:val="00114E99"/>
    <w:rsid w:val="0011552F"/>
    <w:rsid w:val="00115592"/>
    <w:rsid w:val="00115833"/>
    <w:rsid w:val="00115A54"/>
    <w:rsid w:val="00116166"/>
    <w:rsid w:val="00116388"/>
    <w:rsid w:val="0011659F"/>
    <w:rsid w:val="00116794"/>
    <w:rsid w:val="00116BF2"/>
    <w:rsid w:val="001171C0"/>
    <w:rsid w:val="00117677"/>
    <w:rsid w:val="001176BF"/>
    <w:rsid w:val="001177F4"/>
    <w:rsid w:val="00117D20"/>
    <w:rsid w:val="00117D66"/>
    <w:rsid w:val="00117DDF"/>
    <w:rsid w:val="00117E8B"/>
    <w:rsid w:val="0012003D"/>
    <w:rsid w:val="0012071E"/>
    <w:rsid w:val="00120A3D"/>
    <w:rsid w:val="00120B3E"/>
    <w:rsid w:val="00120F95"/>
    <w:rsid w:val="00121253"/>
    <w:rsid w:val="00121F6A"/>
    <w:rsid w:val="00121FFE"/>
    <w:rsid w:val="0012215C"/>
    <w:rsid w:val="0012297A"/>
    <w:rsid w:val="001229BC"/>
    <w:rsid w:val="00122F1A"/>
    <w:rsid w:val="0012308F"/>
    <w:rsid w:val="001232D0"/>
    <w:rsid w:val="00123A84"/>
    <w:rsid w:val="001249BA"/>
    <w:rsid w:val="00124EF1"/>
    <w:rsid w:val="00125413"/>
    <w:rsid w:val="00125421"/>
    <w:rsid w:val="001254F6"/>
    <w:rsid w:val="00125CB0"/>
    <w:rsid w:val="0012611F"/>
    <w:rsid w:val="00126D58"/>
    <w:rsid w:val="0012723E"/>
    <w:rsid w:val="00127A34"/>
    <w:rsid w:val="001309DA"/>
    <w:rsid w:val="00131267"/>
    <w:rsid w:val="001313F2"/>
    <w:rsid w:val="00131694"/>
    <w:rsid w:val="00131FEC"/>
    <w:rsid w:val="00132576"/>
    <w:rsid w:val="0013283B"/>
    <w:rsid w:val="0013415A"/>
    <w:rsid w:val="00134651"/>
    <w:rsid w:val="00134ACF"/>
    <w:rsid w:val="00134AF0"/>
    <w:rsid w:val="00134BFD"/>
    <w:rsid w:val="0013534F"/>
    <w:rsid w:val="001354CC"/>
    <w:rsid w:val="00135C28"/>
    <w:rsid w:val="00136374"/>
    <w:rsid w:val="00136B1E"/>
    <w:rsid w:val="00136E67"/>
    <w:rsid w:val="00137265"/>
    <w:rsid w:val="00137442"/>
    <w:rsid w:val="0013794A"/>
    <w:rsid w:val="00137A69"/>
    <w:rsid w:val="00137B27"/>
    <w:rsid w:val="00137B66"/>
    <w:rsid w:val="00137E10"/>
    <w:rsid w:val="00137E50"/>
    <w:rsid w:val="00140254"/>
    <w:rsid w:val="00140289"/>
    <w:rsid w:val="0014032B"/>
    <w:rsid w:val="0014060F"/>
    <w:rsid w:val="00140A84"/>
    <w:rsid w:val="00140B3E"/>
    <w:rsid w:val="0014176B"/>
    <w:rsid w:val="00141D5A"/>
    <w:rsid w:val="00142AD4"/>
    <w:rsid w:val="001432E6"/>
    <w:rsid w:val="0014368B"/>
    <w:rsid w:val="00143C28"/>
    <w:rsid w:val="00143C8F"/>
    <w:rsid w:val="00144296"/>
    <w:rsid w:val="00144CA1"/>
    <w:rsid w:val="00144D37"/>
    <w:rsid w:val="001450DC"/>
    <w:rsid w:val="001451C5"/>
    <w:rsid w:val="001452DF"/>
    <w:rsid w:val="001463F4"/>
    <w:rsid w:val="001465CA"/>
    <w:rsid w:val="0014682D"/>
    <w:rsid w:val="0014770D"/>
    <w:rsid w:val="00150049"/>
    <w:rsid w:val="00151048"/>
    <w:rsid w:val="0015120F"/>
    <w:rsid w:val="00151D3B"/>
    <w:rsid w:val="001521A0"/>
    <w:rsid w:val="00152616"/>
    <w:rsid w:val="00152F81"/>
    <w:rsid w:val="001531EB"/>
    <w:rsid w:val="00153790"/>
    <w:rsid w:val="0015381E"/>
    <w:rsid w:val="00153942"/>
    <w:rsid w:val="00153E2A"/>
    <w:rsid w:val="0015490F"/>
    <w:rsid w:val="001559A9"/>
    <w:rsid w:val="00155BEA"/>
    <w:rsid w:val="00156188"/>
    <w:rsid w:val="001563D9"/>
    <w:rsid w:val="00156822"/>
    <w:rsid w:val="00156E9D"/>
    <w:rsid w:val="0015715F"/>
    <w:rsid w:val="0015770B"/>
    <w:rsid w:val="00157BE2"/>
    <w:rsid w:val="00160DF8"/>
    <w:rsid w:val="0016106A"/>
    <w:rsid w:val="0016107A"/>
    <w:rsid w:val="001618FA"/>
    <w:rsid w:val="00161FB1"/>
    <w:rsid w:val="00162F03"/>
    <w:rsid w:val="00162F7D"/>
    <w:rsid w:val="001639A2"/>
    <w:rsid w:val="00163E8E"/>
    <w:rsid w:val="00164939"/>
    <w:rsid w:val="00164CD4"/>
    <w:rsid w:val="00164F74"/>
    <w:rsid w:val="0016581B"/>
    <w:rsid w:val="00165948"/>
    <w:rsid w:val="00165B8E"/>
    <w:rsid w:val="0016611F"/>
    <w:rsid w:val="0016623F"/>
    <w:rsid w:val="00166512"/>
    <w:rsid w:val="001666C5"/>
    <w:rsid w:val="00166C71"/>
    <w:rsid w:val="001671DC"/>
    <w:rsid w:val="00167320"/>
    <w:rsid w:val="00167343"/>
    <w:rsid w:val="001677E6"/>
    <w:rsid w:val="00167E17"/>
    <w:rsid w:val="00167EB4"/>
    <w:rsid w:val="0017032E"/>
    <w:rsid w:val="0017065A"/>
    <w:rsid w:val="00170913"/>
    <w:rsid w:val="00170D42"/>
    <w:rsid w:val="00171C6F"/>
    <w:rsid w:val="00172472"/>
    <w:rsid w:val="00172A27"/>
    <w:rsid w:val="001733B0"/>
    <w:rsid w:val="00173558"/>
    <w:rsid w:val="001743AD"/>
    <w:rsid w:val="00174DC2"/>
    <w:rsid w:val="00175236"/>
    <w:rsid w:val="0017549C"/>
    <w:rsid w:val="00175CFF"/>
    <w:rsid w:val="00175F29"/>
    <w:rsid w:val="0017710E"/>
    <w:rsid w:val="0017751E"/>
    <w:rsid w:val="00177A04"/>
    <w:rsid w:val="00177A6D"/>
    <w:rsid w:val="00177B7F"/>
    <w:rsid w:val="00180814"/>
    <w:rsid w:val="0018119C"/>
    <w:rsid w:val="00181757"/>
    <w:rsid w:val="00181894"/>
    <w:rsid w:val="00182331"/>
    <w:rsid w:val="00182336"/>
    <w:rsid w:val="001830F8"/>
    <w:rsid w:val="0018394F"/>
    <w:rsid w:val="0018416D"/>
    <w:rsid w:val="00184D5C"/>
    <w:rsid w:val="00184DA8"/>
    <w:rsid w:val="00185373"/>
    <w:rsid w:val="0018542A"/>
    <w:rsid w:val="001856C2"/>
    <w:rsid w:val="001869F0"/>
    <w:rsid w:val="00186A16"/>
    <w:rsid w:val="00186B4F"/>
    <w:rsid w:val="00186E19"/>
    <w:rsid w:val="00187429"/>
    <w:rsid w:val="00187844"/>
    <w:rsid w:val="00190B08"/>
    <w:rsid w:val="00190D58"/>
    <w:rsid w:val="001916BD"/>
    <w:rsid w:val="00191902"/>
    <w:rsid w:val="00191E58"/>
    <w:rsid w:val="0019204B"/>
    <w:rsid w:val="00192293"/>
    <w:rsid w:val="001927DD"/>
    <w:rsid w:val="001929B0"/>
    <w:rsid w:val="001929C6"/>
    <w:rsid w:val="00192BD8"/>
    <w:rsid w:val="00192E9B"/>
    <w:rsid w:val="001932DC"/>
    <w:rsid w:val="001935B1"/>
    <w:rsid w:val="00193755"/>
    <w:rsid w:val="001939A3"/>
    <w:rsid w:val="00193E90"/>
    <w:rsid w:val="001943EA"/>
    <w:rsid w:val="00194710"/>
    <w:rsid w:val="00195257"/>
    <w:rsid w:val="00195BE3"/>
    <w:rsid w:val="00195D12"/>
    <w:rsid w:val="0019645C"/>
    <w:rsid w:val="00196F51"/>
    <w:rsid w:val="001972C7"/>
    <w:rsid w:val="00197309"/>
    <w:rsid w:val="00197B9F"/>
    <w:rsid w:val="001A0704"/>
    <w:rsid w:val="001A099A"/>
    <w:rsid w:val="001A1240"/>
    <w:rsid w:val="001A1E31"/>
    <w:rsid w:val="001A2056"/>
    <w:rsid w:val="001A23C8"/>
    <w:rsid w:val="001A24B3"/>
    <w:rsid w:val="001A373E"/>
    <w:rsid w:val="001A3A84"/>
    <w:rsid w:val="001A417D"/>
    <w:rsid w:val="001A46B4"/>
    <w:rsid w:val="001A4B76"/>
    <w:rsid w:val="001A5338"/>
    <w:rsid w:val="001A5AD1"/>
    <w:rsid w:val="001A5D4A"/>
    <w:rsid w:val="001A5DDA"/>
    <w:rsid w:val="001A607C"/>
    <w:rsid w:val="001A74E6"/>
    <w:rsid w:val="001A7760"/>
    <w:rsid w:val="001A779A"/>
    <w:rsid w:val="001B00DF"/>
    <w:rsid w:val="001B0419"/>
    <w:rsid w:val="001B07B5"/>
    <w:rsid w:val="001B0EF7"/>
    <w:rsid w:val="001B1F46"/>
    <w:rsid w:val="001B24F5"/>
    <w:rsid w:val="001B2802"/>
    <w:rsid w:val="001B2F88"/>
    <w:rsid w:val="001B2FED"/>
    <w:rsid w:val="001B398F"/>
    <w:rsid w:val="001B3BAF"/>
    <w:rsid w:val="001B3BDA"/>
    <w:rsid w:val="001B3FC2"/>
    <w:rsid w:val="001B4B5D"/>
    <w:rsid w:val="001B500E"/>
    <w:rsid w:val="001B543D"/>
    <w:rsid w:val="001B55A7"/>
    <w:rsid w:val="001B631B"/>
    <w:rsid w:val="001B6E79"/>
    <w:rsid w:val="001B7605"/>
    <w:rsid w:val="001B7E77"/>
    <w:rsid w:val="001B7FC8"/>
    <w:rsid w:val="001C005F"/>
    <w:rsid w:val="001C00C3"/>
    <w:rsid w:val="001C0337"/>
    <w:rsid w:val="001C0839"/>
    <w:rsid w:val="001C0D85"/>
    <w:rsid w:val="001C0E93"/>
    <w:rsid w:val="001C125C"/>
    <w:rsid w:val="001C1427"/>
    <w:rsid w:val="001C1556"/>
    <w:rsid w:val="001C1C70"/>
    <w:rsid w:val="001C25FC"/>
    <w:rsid w:val="001C2EA7"/>
    <w:rsid w:val="001C3622"/>
    <w:rsid w:val="001C3F87"/>
    <w:rsid w:val="001C450D"/>
    <w:rsid w:val="001C45A7"/>
    <w:rsid w:val="001C4D24"/>
    <w:rsid w:val="001C596C"/>
    <w:rsid w:val="001C6090"/>
    <w:rsid w:val="001C66B0"/>
    <w:rsid w:val="001C66DC"/>
    <w:rsid w:val="001C6719"/>
    <w:rsid w:val="001C6A1E"/>
    <w:rsid w:val="001C6F71"/>
    <w:rsid w:val="001C7BE1"/>
    <w:rsid w:val="001D0169"/>
    <w:rsid w:val="001D03AE"/>
    <w:rsid w:val="001D0417"/>
    <w:rsid w:val="001D04BF"/>
    <w:rsid w:val="001D0595"/>
    <w:rsid w:val="001D08E2"/>
    <w:rsid w:val="001D1312"/>
    <w:rsid w:val="001D15A0"/>
    <w:rsid w:val="001D1858"/>
    <w:rsid w:val="001D18F7"/>
    <w:rsid w:val="001D1C55"/>
    <w:rsid w:val="001D23D8"/>
    <w:rsid w:val="001D25AD"/>
    <w:rsid w:val="001D2796"/>
    <w:rsid w:val="001D32C6"/>
    <w:rsid w:val="001D3408"/>
    <w:rsid w:val="001D3797"/>
    <w:rsid w:val="001D38A1"/>
    <w:rsid w:val="001D3A25"/>
    <w:rsid w:val="001D3C40"/>
    <w:rsid w:val="001D407D"/>
    <w:rsid w:val="001D42BC"/>
    <w:rsid w:val="001D48DD"/>
    <w:rsid w:val="001D5292"/>
    <w:rsid w:val="001D590F"/>
    <w:rsid w:val="001D6062"/>
    <w:rsid w:val="001D60A4"/>
    <w:rsid w:val="001D61AF"/>
    <w:rsid w:val="001D6714"/>
    <w:rsid w:val="001D6D6B"/>
    <w:rsid w:val="001D6F05"/>
    <w:rsid w:val="001D710A"/>
    <w:rsid w:val="001D7464"/>
    <w:rsid w:val="001D7869"/>
    <w:rsid w:val="001D7AF8"/>
    <w:rsid w:val="001D7DB9"/>
    <w:rsid w:val="001D7F23"/>
    <w:rsid w:val="001E0333"/>
    <w:rsid w:val="001E04DF"/>
    <w:rsid w:val="001E050A"/>
    <w:rsid w:val="001E0A34"/>
    <w:rsid w:val="001E0CC3"/>
    <w:rsid w:val="001E0E4F"/>
    <w:rsid w:val="001E12EB"/>
    <w:rsid w:val="001E163D"/>
    <w:rsid w:val="001E1E11"/>
    <w:rsid w:val="001E1E26"/>
    <w:rsid w:val="001E29EE"/>
    <w:rsid w:val="001E2ACA"/>
    <w:rsid w:val="001E2B12"/>
    <w:rsid w:val="001E2E02"/>
    <w:rsid w:val="001E2E51"/>
    <w:rsid w:val="001E323E"/>
    <w:rsid w:val="001E3360"/>
    <w:rsid w:val="001E3434"/>
    <w:rsid w:val="001E357E"/>
    <w:rsid w:val="001E40D0"/>
    <w:rsid w:val="001E4911"/>
    <w:rsid w:val="001E4B84"/>
    <w:rsid w:val="001E55FB"/>
    <w:rsid w:val="001E5DB6"/>
    <w:rsid w:val="001E6249"/>
    <w:rsid w:val="001E694B"/>
    <w:rsid w:val="001E6D62"/>
    <w:rsid w:val="001E7405"/>
    <w:rsid w:val="001E7891"/>
    <w:rsid w:val="001F0768"/>
    <w:rsid w:val="001F090E"/>
    <w:rsid w:val="001F12E5"/>
    <w:rsid w:val="001F17C3"/>
    <w:rsid w:val="001F1B74"/>
    <w:rsid w:val="001F1F3C"/>
    <w:rsid w:val="001F29A9"/>
    <w:rsid w:val="001F2FA1"/>
    <w:rsid w:val="001F3051"/>
    <w:rsid w:val="001F33F7"/>
    <w:rsid w:val="001F4929"/>
    <w:rsid w:val="001F4A19"/>
    <w:rsid w:val="001F5808"/>
    <w:rsid w:val="001F5D9A"/>
    <w:rsid w:val="001F668A"/>
    <w:rsid w:val="001F6FAD"/>
    <w:rsid w:val="001F770A"/>
    <w:rsid w:val="001F79C2"/>
    <w:rsid w:val="001F7E2A"/>
    <w:rsid w:val="0020028E"/>
    <w:rsid w:val="002003ED"/>
    <w:rsid w:val="00200B71"/>
    <w:rsid w:val="00200C66"/>
    <w:rsid w:val="0020113C"/>
    <w:rsid w:val="0020118D"/>
    <w:rsid w:val="00201596"/>
    <w:rsid w:val="00201A81"/>
    <w:rsid w:val="00202065"/>
    <w:rsid w:val="002028C8"/>
    <w:rsid w:val="00202C20"/>
    <w:rsid w:val="0020321C"/>
    <w:rsid w:val="002032A1"/>
    <w:rsid w:val="0020347C"/>
    <w:rsid w:val="002035A0"/>
    <w:rsid w:val="0020390E"/>
    <w:rsid w:val="0020440B"/>
    <w:rsid w:val="00204D4B"/>
    <w:rsid w:val="00205C03"/>
    <w:rsid w:val="00205CCE"/>
    <w:rsid w:val="002062C5"/>
    <w:rsid w:val="00206323"/>
    <w:rsid w:val="00207243"/>
    <w:rsid w:val="0020746C"/>
    <w:rsid w:val="002111B1"/>
    <w:rsid w:val="0021285E"/>
    <w:rsid w:val="00212B21"/>
    <w:rsid w:val="002133CE"/>
    <w:rsid w:val="002149BD"/>
    <w:rsid w:val="00214B69"/>
    <w:rsid w:val="00214C45"/>
    <w:rsid w:val="00215005"/>
    <w:rsid w:val="00215973"/>
    <w:rsid w:val="00215F4C"/>
    <w:rsid w:val="002160CF"/>
    <w:rsid w:val="002161C3"/>
    <w:rsid w:val="002167AF"/>
    <w:rsid w:val="00216E02"/>
    <w:rsid w:val="002171E7"/>
    <w:rsid w:val="002178D8"/>
    <w:rsid w:val="00217A9D"/>
    <w:rsid w:val="00217FF7"/>
    <w:rsid w:val="00220895"/>
    <w:rsid w:val="002208A8"/>
    <w:rsid w:val="00220AF3"/>
    <w:rsid w:val="0022258A"/>
    <w:rsid w:val="00223171"/>
    <w:rsid w:val="00223198"/>
    <w:rsid w:val="002234ED"/>
    <w:rsid w:val="00223A3B"/>
    <w:rsid w:val="00223B3D"/>
    <w:rsid w:val="00224817"/>
    <w:rsid w:val="00224E07"/>
    <w:rsid w:val="0022548C"/>
    <w:rsid w:val="002255FE"/>
    <w:rsid w:val="002259C4"/>
    <w:rsid w:val="00225B9E"/>
    <w:rsid w:val="00225FD2"/>
    <w:rsid w:val="002262A6"/>
    <w:rsid w:val="00226DEA"/>
    <w:rsid w:val="002277CD"/>
    <w:rsid w:val="00227B90"/>
    <w:rsid w:val="00230B52"/>
    <w:rsid w:val="002310E8"/>
    <w:rsid w:val="00231544"/>
    <w:rsid w:val="0023199C"/>
    <w:rsid w:val="00231B04"/>
    <w:rsid w:val="0023216E"/>
    <w:rsid w:val="00232852"/>
    <w:rsid w:val="00233322"/>
    <w:rsid w:val="00233E83"/>
    <w:rsid w:val="00234301"/>
    <w:rsid w:val="00235463"/>
    <w:rsid w:val="00235E5B"/>
    <w:rsid w:val="002361C2"/>
    <w:rsid w:val="002364F9"/>
    <w:rsid w:val="002367D5"/>
    <w:rsid w:val="00236F0E"/>
    <w:rsid w:val="0023795E"/>
    <w:rsid w:val="002400A3"/>
    <w:rsid w:val="002400F4"/>
    <w:rsid w:val="002402A1"/>
    <w:rsid w:val="00240835"/>
    <w:rsid w:val="0024106E"/>
    <w:rsid w:val="0024185D"/>
    <w:rsid w:val="00241D7B"/>
    <w:rsid w:val="00241FC6"/>
    <w:rsid w:val="00242676"/>
    <w:rsid w:val="00242AC4"/>
    <w:rsid w:val="0024402D"/>
    <w:rsid w:val="0024409C"/>
    <w:rsid w:val="0024442F"/>
    <w:rsid w:val="0024469D"/>
    <w:rsid w:val="00245036"/>
    <w:rsid w:val="0024524E"/>
    <w:rsid w:val="002453FA"/>
    <w:rsid w:val="00246CED"/>
    <w:rsid w:val="0024770D"/>
    <w:rsid w:val="00247A14"/>
    <w:rsid w:val="00250A03"/>
    <w:rsid w:val="00250BD5"/>
    <w:rsid w:val="00250C6E"/>
    <w:rsid w:val="00250D07"/>
    <w:rsid w:val="00251098"/>
    <w:rsid w:val="00251B4E"/>
    <w:rsid w:val="00251D1C"/>
    <w:rsid w:val="00252A6E"/>
    <w:rsid w:val="00252D62"/>
    <w:rsid w:val="00253A22"/>
    <w:rsid w:val="00253FF9"/>
    <w:rsid w:val="002542F6"/>
    <w:rsid w:val="0025485F"/>
    <w:rsid w:val="00254889"/>
    <w:rsid w:val="002548BA"/>
    <w:rsid w:val="00254902"/>
    <w:rsid w:val="00254AA0"/>
    <w:rsid w:val="00254B35"/>
    <w:rsid w:val="00254B4C"/>
    <w:rsid w:val="00254CF3"/>
    <w:rsid w:val="00254FC3"/>
    <w:rsid w:val="00255597"/>
    <w:rsid w:val="0025607B"/>
    <w:rsid w:val="0025716D"/>
    <w:rsid w:val="002572BD"/>
    <w:rsid w:val="002578FD"/>
    <w:rsid w:val="00257D35"/>
    <w:rsid w:val="00257F96"/>
    <w:rsid w:val="00260689"/>
    <w:rsid w:val="00260C34"/>
    <w:rsid w:val="00261266"/>
    <w:rsid w:val="002615B5"/>
    <w:rsid w:val="00261E20"/>
    <w:rsid w:val="00261E96"/>
    <w:rsid w:val="002622B1"/>
    <w:rsid w:val="00262BB3"/>
    <w:rsid w:val="00263E75"/>
    <w:rsid w:val="0026434A"/>
    <w:rsid w:val="0026498C"/>
    <w:rsid w:val="00265297"/>
    <w:rsid w:val="00265375"/>
    <w:rsid w:val="00265BCD"/>
    <w:rsid w:val="00266BA6"/>
    <w:rsid w:val="002672CC"/>
    <w:rsid w:val="00267970"/>
    <w:rsid w:val="00267F06"/>
    <w:rsid w:val="00270080"/>
    <w:rsid w:val="00270D58"/>
    <w:rsid w:val="00271230"/>
    <w:rsid w:val="002714B6"/>
    <w:rsid w:val="002714E9"/>
    <w:rsid w:val="002716BC"/>
    <w:rsid w:val="00272A12"/>
    <w:rsid w:val="00272CA9"/>
    <w:rsid w:val="00272D67"/>
    <w:rsid w:val="0027316B"/>
    <w:rsid w:val="002741AB"/>
    <w:rsid w:val="00275754"/>
    <w:rsid w:val="002758BC"/>
    <w:rsid w:val="00275BC0"/>
    <w:rsid w:val="00275E8C"/>
    <w:rsid w:val="002765EA"/>
    <w:rsid w:val="0027703F"/>
    <w:rsid w:val="002770D2"/>
    <w:rsid w:val="002774A0"/>
    <w:rsid w:val="00277739"/>
    <w:rsid w:val="00277B0A"/>
    <w:rsid w:val="00277D18"/>
    <w:rsid w:val="002802B3"/>
    <w:rsid w:val="0028049A"/>
    <w:rsid w:val="0028063B"/>
    <w:rsid w:val="00280672"/>
    <w:rsid w:val="002806F8"/>
    <w:rsid w:val="00280C99"/>
    <w:rsid w:val="00282475"/>
    <w:rsid w:val="002824EB"/>
    <w:rsid w:val="0028265D"/>
    <w:rsid w:val="00282F09"/>
    <w:rsid w:val="002836C9"/>
    <w:rsid w:val="00283B24"/>
    <w:rsid w:val="00283BF6"/>
    <w:rsid w:val="0028474E"/>
    <w:rsid w:val="00284761"/>
    <w:rsid w:val="00284AE3"/>
    <w:rsid w:val="00284E18"/>
    <w:rsid w:val="00285802"/>
    <w:rsid w:val="0028587C"/>
    <w:rsid w:val="002866D4"/>
    <w:rsid w:val="002872E3"/>
    <w:rsid w:val="002875F5"/>
    <w:rsid w:val="00287956"/>
    <w:rsid w:val="00287B0C"/>
    <w:rsid w:val="002908CA"/>
    <w:rsid w:val="0029097A"/>
    <w:rsid w:val="002910CB"/>
    <w:rsid w:val="00291227"/>
    <w:rsid w:val="002918E6"/>
    <w:rsid w:val="00291C23"/>
    <w:rsid w:val="00292126"/>
    <w:rsid w:val="00292576"/>
    <w:rsid w:val="00292BD8"/>
    <w:rsid w:val="00292F79"/>
    <w:rsid w:val="002932E1"/>
    <w:rsid w:val="002933CA"/>
    <w:rsid w:val="0029368D"/>
    <w:rsid w:val="00293A52"/>
    <w:rsid w:val="00293F4B"/>
    <w:rsid w:val="00294C8E"/>
    <w:rsid w:val="00294DF8"/>
    <w:rsid w:val="00294DFE"/>
    <w:rsid w:val="00294E1E"/>
    <w:rsid w:val="00295336"/>
    <w:rsid w:val="00296438"/>
    <w:rsid w:val="002969B5"/>
    <w:rsid w:val="00296CF3"/>
    <w:rsid w:val="00296F62"/>
    <w:rsid w:val="00297123"/>
    <w:rsid w:val="002975B8"/>
    <w:rsid w:val="002978FA"/>
    <w:rsid w:val="00297E20"/>
    <w:rsid w:val="002A0117"/>
    <w:rsid w:val="002A0403"/>
    <w:rsid w:val="002A0756"/>
    <w:rsid w:val="002A116B"/>
    <w:rsid w:val="002A121F"/>
    <w:rsid w:val="002A1EC0"/>
    <w:rsid w:val="002A20A9"/>
    <w:rsid w:val="002A218F"/>
    <w:rsid w:val="002A2661"/>
    <w:rsid w:val="002A2CB3"/>
    <w:rsid w:val="002A2F2A"/>
    <w:rsid w:val="002A3354"/>
    <w:rsid w:val="002A35C8"/>
    <w:rsid w:val="002A3757"/>
    <w:rsid w:val="002A3BB1"/>
    <w:rsid w:val="002A3C58"/>
    <w:rsid w:val="002A3C6E"/>
    <w:rsid w:val="002A4599"/>
    <w:rsid w:val="002A4C5C"/>
    <w:rsid w:val="002A510C"/>
    <w:rsid w:val="002A590D"/>
    <w:rsid w:val="002A6F12"/>
    <w:rsid w:val="002A740A"/>
    <w:rsid w:val="002A7C3F"/>
    <w:rsid w:val="002B0074"/>
    <w:rsid w:val="002B0B59"/>
    <w:rsid w:val="002B0C91"/>
    <w:rsid w:val="002B0CCA"/>
    <w:rsid w:val="002B0E1B"/>
    <w:rsid w:val="002B1881"/>
    <w:rsid w:val="002B1998"/>
    <w:rsid w:val="002B1BBB"/>
    <w:rsid w:val="002B1D5D"/>
    <w:rsid w:val="002B2335"/>
    <w:rsid w:val="002B2356"/>
    <w:rsid w:val="002B2914"/>
    <w:rsid w:val="002B2A65"/>
    <w:rsid w:val="002B2B6F"/>
    <w:rsid w:val="002B3046"/>
    <w:rsid w:val="002B30B1"/>
    <w:rsid w:val="002B34B3"/>
    <w:rsid w:val="002B3638"/>
    <w:rsid w:val="002B39F5"/>
    <w:rsid w:val="002B3E0A"/>
    <w:rsid w:val="002B3FD7"/>
    <w:rsid w:val="002B4035"/>
    <w:rsid w:val="002B41DD"/>
    <w:rsid w:val="002B4CE5"/>
    <w:rsid w:val="002B550A"/>
    <w:rsid w:val="002B56F3"/>
    <w:rsid w:val="002B58C2"/>
    <w:rsid w:val="002B6220"/>
    <w:rsid w:val="002B6402"/>
    <w:rsid w:val="002B64A0"/>
    <w:rsid w:val="002B66A4"/>
    <w:rsid w:val="002B6BA0"/>
    <w:rsid w:val="002B7297"/>
    <w:rsid w:val="002B740C"/>
    <w:rsid w:val="002C0D2E"/>
    <w:rsid w:val="002C0E38"/>
    <w:rsid w:val="002C1480"/>
    <w:rsid w:val="002C1B44"/>
    <w:rsid w:val="002C2183"/>
    <w:rsid w:val="002C27BB"/>
    <w:rsid w:val="002C28C5"/>
    <w:rsid w:val="002C30A0"/>
    <w:rsid w:val="002C3361"/>
    <w:rsid w:val="002C3EFD"/>
    <w:rsid w:val="002C4BC4"/>
    <w:rsid w:val="002C4DCF"/>
    <w:rsid w:val="002C58E9"/>
    <w:rsid w:val="002C6C8A"/>
    <w:rsid w:val="002C7E23"/>
    <w:rsid w:val="002C7F50"/>
    <w:rsid w:val="002D03F6"/>
    <w:rsid w:val="002D047F"/>
    <w:rsid w:val="002D0A79"/>
    <w:rsid w:val="002D1157"/>
    <w:rsid w:val="002D12ED"/>
    <w:rsid w:val="002D13AF"/>
    <w:rsid w:val="002D16CD"/>
    <w:rsid w:val="002D1753"/>
    <w:rsid w:val="002D1838"/>
    <w:rsid w:val="002D1E51"/>
    <w:rsid w:val="002D289B"/>
    <w:rsid w:val="002D28C8"/>
    <w:rsid w:val="002D37E0"/>
    <w:rsid w:val="002D3F07"/>
    <w:rsid w:val="002D4CE2"/>
    <w:rsid w:val="002D5491"/>
    <w:rsid w:val="002D5D93"/>
    <w:rsid w:val="002D5D95"/>
    <w:rsid w:val="002D5E5C"/>
    <w:rsid w:val="002D6022"/>
    <w:rsid w:val="002D671A"/>
    <w:rsid w:val="002D69BE"/>
    <w:rsid w:val="002D69EF"/>
    <w:rsid w:val="002D76D1"/>
    <w:rsid w:val="002D7A51"/>
    <w:rsid w:val="002D7C04"/>
    <w:rsid w:val="002E0234"/>
    <w:rsid w:val="002E07CA"/>
    <w:rsid w:val="002E0844"/>
    <w:rsid w:val="002E08E2"/>
    <w:rsid w:val="002E0A36"/>
    <w:rsid w:val="002E0B39"/>
    <w:rsid w:val="002E0D33"/>
    <w:rsid w:val="002E16B8"/>
    <w:rsid w:val="002E1812"/>
    <w:rsid w:val="002E203C"/>
    <w:rsid w:val="002E270B"/>
    <w:rsid w:val="002E28F8"/>
    <w:rsid w:val="002E2B85"/>
    <w:rsid w:val="002E3657"/>
    <w:rsid w:val="002E464D"/>
    <w:rsid w:val="002E5400"/>
    <w:rsid w:val="002E5F48"/>
    <w:rsid w:val="002E602B"/>
    <w:rsid w:val="002E77D1"/>
    <w:rsid w:val="002E77D8"/>
    <w:rsid w:val="002E7A87"/>
    <w:rsid w:val="002F00FA"/>
    <w:rsid w:val="002F036D"/>
    <w:rsid w:val="002F06AF"/>
    <w:rsid w:val="002F0B4D"/>
    <w:rsid w:val="002F1015"/>
    <w:rsid w:val="002F16B6"/>
    <w:rsid w:val="002F1B48"/>
    <w:rsid w:val="002F1E71"/>
    <w:rsid w:val="002F27D7"/>
    <w:rsid w:val="002F2C69"/>
    <w:rsid w:val="002F328B"/>
    <w:rsid w:val="002F333A"/>
    <w:rsid w:val="002F3E90"/>
    <w:rsid w:val="002F4EC7"/>
    <w:rsid w:val="002F4F86"/>
    <w:rsid w:val="002F5E1F"/>
    <w:rsid w:val="002F6506"/>
    <w:rsid w:val="002F6518"/>
    <w:rsid w:val="002F6F8F"/>
    <w:rsid w:val="002F7084"/>
    <w:rsid w:val="002F7791"/>
    <w:rsid w:val="002F7872"/>
    <w:rsid w:val="002F7955"/>
    <w:rsid w:val="002F7DE4"/>
    <w:rsid w:val="0030013B"/>
    <w:rsid w:val="003003F1"/>
    <w:rsid w:val="003007FD"/>
    <w:rsid w:val="00301454"/>
    <w:rsid w:val="0030155E"/>
    <w:rsid w:val="0030177C"/>
    <w:rsid w:val="00301EBA"/>
    <w:rsid w:val="00302DA4"/>
    <w:rsid w:val="00303691"/>
    <w:rsid w:val="00304011"/>
    <w:rsid w:val="00304686"/>
    <w:rsid w:val="00305280"/>
    <w:rsid w:val="00305832"/>
    <w:rsid w:val="00306333"/>
    <w:rsid w:val="003068FA"/>
    <w:rsid w:val="00306CD4"/>
    <w:rsid w:val="00306E17"/>
    <w:rsid w:val="00306FB5"/>
    <w:rsid w:val="003072D7"/>
    <w:rsid w:val="00307539"/>
    <w:rsid w:val="00310090"/>
    <w:rsid w:val="0031172A"/>
    <w:rsid w:val="00311F1D"/>
    <w:rsid w:val="00312BB0"/>
    <w:rsid w:val="00312F2C"/>
    <w:rsid w:val="00313100"/>
    <w:rsid w:val="003134CB"/>
    <w:rsid w:val="003135C1"/>
    <w:rsid w:val="00313C51"/>
    <w:rsid w:val="00314C4F"/>
    <w:rsid w:val="00314F14"/>
    <w:rsid w:val="0031501E"/>
    <w:rsid w:val="00315B28"/>
    <w:rsid w:val="00315C2C"/>
    <w:rsid w:val="00316227"/>
    <w:rsid w:val="00316E45"/>
    <w:rsid w:val="0031703E"/>
    <w:rsid w:val="0031710A"/>
    <w:rsid w:val="00317502"/>
    <w:rsid w:val="00317A4F"/>
    <w:rsid w:val="00317CE7"/>
    <w:rsid w:val="00317E5A"/>
    <w:rsid w:val="00317E97"/>
    <w:rsid w:val="003202E3"/>
    <w:rsid w:val="003204DF"/>
    <w:rsid w:val="0032061F"/>
    <w:rsid w:val="00320FEF"/>
    <w:rsid w:val="00321069"/>
    <w:rsid w:val="0032114A"/>
    <w:rsid w:val="003211AF"/>
    <w:rsid w:val="003218D3"/>
    <w:rsid w:val="00321E1F"/>
    <w:rsid w:val="00321E5D"/>
    <w:rsid w:val="00322141"/>
    <w:rsid w:val="0032379E"/>
    <w:rsid w:val="003237CE"/>
    <w:rsid w:val="00323824"/>
    <w:rsid w:val="00323EC3"/>
    <w:rsid w:val="00324E54"/>
    <w:rsid w:val="00324E9B"/>
    <w:rsid w:val="0032517C"/>
    <w:rsid w:val="003251A9"/>
    <w:rsid w:val="003254F6"/>
    <w:rsid w:val="00326D44"/>
    <w:rsid w:val="00327B5C"/>
    <w:rsid w:val="00327BD2"/>
    <w:rsid w:val="00327C5E"/>
    <w:rsid w:val="00330624"/>
    <w:rsid w:val="00331AB3"/>
    <w:rsid w:val="00331C9C"/>
    <w:rsid w:val="00331D2A"/>
    <w:rsid w:val="0033257A"/>
    <w:rsid w:val="00332A62"/>
    <w:rsid w:val="0033324C"/>
    <w:rsid w:val="003338C4"/>
    <w:rsid w:val="00333993"/>
    <w:rsid w:val="0033427C"/>
    <w:rsid w:val="00334304"/>
    <w:rsid w:val="00335A49"/>
    <w:rsid w:val="00335B20"/>
    <w:rsid w:val="00335DDD"/>
    <w:rsid w:val="00336386"/>
    <w:rsid w:val="003376ED"/>
    <w:rsid w:val="00337C03"/>
    <w:rsid w:val="00337DFA"/>
    <w:rsid w:val="0034022F"/>
    <w:rsid w:val="00342158"/>
    <w:rsid w:val="003435E3"/>
    <w:rsid w:val="00343C0E"/>
    <w:rsid w:val="0034484E"/>
    <w:rsid w:val="00344889"/>
    <w:rsid w:val="00346085"/>
    <w:rsid w:val="003462E5"/>
    <w:rsid w:val="003465F5"/>
    <w:rsid w:val="003467B9"/>
    <w:rsid w:val="0034699F"/>
    <w:rsid w:val="00346AF7"/>
    <w:rsid w:val="0034714A"/>
    <w:rsid w:val="003478CC"/>
    <w:rsid w:val="00347DF0"/>
    <w:rsid w:val="00350B48"/>
    <w:rsid w:val="00351306"/>
    <w:rsid w:val="003514E7"/>
    <w:rsid w:val="003515DC"/>
    <w:rsid w:val="00351CC0"/>
    <w:rsid w:val="00351E4D"/>
    <w:rsid w:val="0035242B"/>
    <w:rsid w:val="00352A8B"/>
    <w:rsid w:val="00352AA5"/>
    <w:rsid w:val="00353318"/>
    <w:rsid w:val="003539C8"/>
    <w:rsid w:val="00354298"/>
    <w:rsid w:val="003544E2"/>
    <w:rsid w:val="00354512"/>
    <w:rsid w:val="00354667"/>
    <w:rsid w:val="00354904"/>
    <w:rsid w:val="0035515E"/>
    <w:rsid w:val="0035553B"/>
    <w:rsid w:val="00355946"/>
    <w:rsid w:val="00355C64"/>
    <w:rsid w:val="0035649C"/>
    <w:rsid w:val="00356B69"/>
    <w:rsid w:val="003600A4"/>
    <w:rsid w:val="0036072C"/>
    <w:rsid w:val="00360B5D"/>
    <w:rsid w:val="00361084"/>
    <w:rsid w:val="003611C2"/>
    <w:rsid w:val="00361429"/>
    <w:rsid w:val="0036184B"/>
    <w:rsid w:val="00361B06"/>
    <w:rsid w:val="00361E6B"/>
    <w:rsid w:val="003626CD"/>
    <w:rsid w:val="0036272D"/>
    <w:rsid w:val="00362FD3"/>
    <w:rsid w:val="00363762"/>
    <w:rsid w:val="00363EE7"/>
    <w:rsid w:val="00364359"/>
    <w:rsid w:val="003645C0"/>
    <w:rsid w:val="003649D7"/>
    <w:rsid w:val="00365196"/>
    <w:rsid w:val="00365347"/>
    <w:rsid w:val="003658AD"/>
    <w:rsid w:val="00365E81"/>
    <w:rsid w:val="0036600C"/>
    <w:rsid w:val="003667A4"/>
    <w:rsid w:val="00366AFB"/>
    <w:rsid w:val="00366C6F"/>
    <w:rsid w:val="00366E11"/>
    <w:rsid w:val="00367184"/>
    <w:rsid w:val="0036791D"/>
    <w:rsid w:val="003701FA"/>
    <w:rsid w:val="00370D68"/>
    <w:rsid w:val="00370E10"/>
    <w:rsid w:val="00370F91"/>
    <w:rsid w:val="0037200E"/>
    <w:rsid w:val="003721B3"/>
    <w:rsid w:val="00372728"/>
    <w:rsid w:val="00373264"/>
    <w:rsid w:val="0037349F"/>
    <w:rsid w:val="0037359B"/>
    <w:rsid w:val="003739CE"/>
    <w:rsid w:val="00373C3F"/>
    <w:rsid w:val="00373E04"/>
    <w:rsid w:val="00373F0D"/>
    <w:rsid w:val="00373FB8"/>
    <w:rsid w:val="00374A44"/>
    <w:rsid w:val="00374A59"/>
    <w:rsid w:val="00374C8D"/>
    <w:rsid w:val="00374DB1"/>
    <w:rsid w:val="0037582D"/>
    <w:rsid w:val="003759B3"/>
    <w:rsid w:val="00376097"/>
    <w:rsid w:val="0037610C"/>
    <w:rsid w:val="00376C31"/>
    <w:rsid w:val="00376EB0"/>
    <w:rsid w:val="00376F8B"/>
    <w:rsid w:val="00377801"/>
    <w:rsid w:val="00377916"/>
    <w:rsid w:val="00377F53"/>
    <w:rsid w:val="00377F5C"/>
    <w:rsid w:val="003800E9"/>
    <w:rsid w:val="003804F6"/>
    <w:rsid w:val="00380666"/>
    <w:rsid w:val="00380D1B"/>
    <w:rsid w:val="003810F0"/>
    <w:rsid w:val="00381445"/>
    <w:rsid w:val="003818FD"/>
    <w:rsid w:val="00381F28"/>
    <w:rsid w:val="00382065"/>
    <w:rsid w:val="00382162"/>
    <w:rsid w:val="0038223C"/>
    <w:rsid w:val="00382A64"/>
    <w:rsid w:val="00382FD3"/>
    <w:rsid w:val="0038342D"/>
    <w:rsid w:val="003846B2"/>
    <w:rsid w:val="00384E2F"/>
    <w:rsid w:val="0038668B"/>
    <w:rsid w:val="00386CC7"/>
    <w:rsid w:val="00387970"/>
    <w:rsid w:val="00387CB8"/>
    <w:rsid w:val="00387E3E"/>
    <w:rsid w:val="00390199"/>
    <w:rsid w:val="00390292"/>
    <w:rsid w:val="003902F2"/>
    <w:rsid w:val="00390FFA"/>
    <w:rsid w:val="00391686"/>
    <w:rsid w:val="00391747"/>
    <w:rsid w:val="00391E42"/>
    <w:rsid w:val="003923F2"/>
    <w:rsid w:val="00392996"/>
    <w:rsid w:val="00392B44"/>
    <w:rsid w:val="00393675"/>
    <w:rsid w:val="003938C4"/>
    <w:rsid w:val="00393C61"/>
    <w:rsid w:val="003941C4"/>
    <w:rsid w:val="00394590"/>
    <w:rsid w:val="00394E7E"/>
    <w:rsid w:val="00395492"/>
    <w:rsid w:val="00396533"/>
    <w:rsid w:val="003965AD"/>
    <w:rsid w:val="003966C2"/>
    <w:rsid w:val="00396B16"/>
    <w:rsid w:val="003A0162"/>
    <w:rsid w:val="003A038F"/>
    <w:rsid w:val="003A0665"/>
    <w:rsid w:val="003A1904"/>
    <w:rsid w:val="003A1E00"/>
    <w:rsid w:val="003A215D"/>
    <w:rsid w:val="003A24F2"/>
    <w:rsid w:val="003A2569"/>
    <w:rsid w:val="003A2EAD"/>
    <w:rsid w:val="003A330C"/>
    <w:rsid w:val="003A36A7"/>
    <w:rsid w:val="003A45C0"/>
    <w:rsid w:val="003A4F1E"/>
    <w:rsid w:val="003A5022"/>
    <w:rsid w:val="003A56FE"/>
    <w:rsid w:val="003A58CC"/>
    <w:rsid w:val="003A648D"/>
    <w:rsid w:val="003A6C85"/>
    <w:rsid w:val="003B0B33"/>
    <w:rsid w:val="003B0CBF"/>
    <w:rsid w:val="003B1DC5"/>
    <w:rsid w:val="003B2068"/>
    <w:rsid w:val="003B26FD"/>
    <w:rsid w:val="003B3384"/>
    <w:rsid w:val="003B3958"/>
    <w:rsid w:val="003B43FF"/>
    <w:rsid w:val="003B4724"/>
    <w:rsid w:val="003B4C63"/>
    <w:rsid w:val="003B511D"/>
    <w:rsid w:val="003B6A0F"/>
    <w:rsid w:val="003B7599"/>
    <w:rsid w:val="003B7807"/>
    <w:rsid w:val="003B7838"/>
    <w:rsid w:val="003B7A31"/>
    <w:rsid w:val="003B7B4A"/>
    <w:rsid w:val="003B7D9F"/>
    <w:rsid w:val="003B7F16"/>
    <w:rsid w:val="003C02F1"/>
    <w:rsid w:val="003C0910"/>
    <w:rsid w:val="003C1142"/>
    <w:rsid w:val="003C1C64"/>
    <w:rsid w:val="003C1DBA"/>
    <w:rsid w:val="003C2011"/>
    <w:rsid w:val="003C21A0"/>
    <w:rsid w:val="003C2260"/>
    <w:rsid w:val="003C2635"/>
    <w:rsid w:val="003C3196"/>
    <w:rsid w:val="003C3220"/>
    <w:rsid w:val="003C339A"/>
    <w:rsid w:val="003C34E3"/>
    <w:rsid w:val="003C3F2F"/>
    <w:rsid w:val="003C3F68"/>
    <w:rsid w:val="003C5A4C"/>
    <w:rsid w:val="003C63AE"/>
    <w:rsid w:val="003C6459"/>
    <w:rsid w:val="003C6A90"/>
    <w:rsid w:val="003C74E5"/>
    <w:rsid w:val="003C7AB6"/>
    <w:rsid w:val="003C7C71"/>
    <w:rsid w:val="003D00DE"/>
    <w:rsid w:val="003D0D28"/>
    <w:rsid w:val="003D0F80"/>
    <w:rsid w:val="003D29AE"/>
    <w:rsid w:val="003D3086"/>
    <w:rsid w:val="003D3792"/>
    <w:rsid w:val="003D3CC9"/>
    <w:rsid w:val="003D401E"/>
    <w:rsid w:val="003D4081"/>
    <w:rsid w:val="003D41CA"/>
    <w:rsid w:val="003D47C9"/>
    <w:rsid w:val="003D4AB5"/>
    <w:rsid w:val="003D4D76"/>
    <w:rsid w:val="003D521E"/>
    <w:rsid w:val="003D526B"/>
    <w:rsid w:val="003D5C21"/>
    <w:rsid w:val="003D5C97"/>
    <w:rsid w:val="003D658C"/>
    <w:rsid w:val="003D67B8"/>
    <w:rsid w:val="003D6B3D"/>
    <w:rsid w:val="003D738A"/>
    <w:rsid w:val="003D7492"/>
    <w:rsid w:val="003E04A1"/>
    <w:rsid w:val="003E0A41"/>
    <w:rsid w:val="003E14EA"/>
    <w:rsid w:val="003E1845"/>
    <w:rsid w:val="003E1B2C"/>
    <w:rsid w:val="003E1C68"/>
    <w:rsid w:val="003E223D"/>
    <w:rsid w:val="003E22DB"/>
    <w:rsid w:val="003E2BE0"/>
    <w:rsid w:val="003E2C32"/>
    <w:rsid w:val="003E2C39"/>
    <w:rsid w:val="003E2FE3"/>
    <w:rsid w:val="003E34E9"/>
    <w:rsid w:val="003E3C3B"/>
    <w:rsid w:val="003E3D34"/>
    <w:rsid w:val="003E3FAF"/>
    <w:rsid w:val="003E3FC2"/>
    <w:rsid w:val="003E5135"/>
    <w:rsid w:val="003E53B4"/>
    <w:rsid w:val="003E53BC"/>
    <w:rsid w:val="003E58D0"/>
    <w:rsid w:val="003E5EE9"/>
    <w:rsid w:val="003E6364"/>
    <w:rsid w:val="003E6619"/>
    <w:rsid w:val="003E7EC5"/>
    <w:rsid w:val="003F058F"/>
    <w:rsid w:val="003F0F59"/>
    <w:rsid w:val="003F1138"/>
    <w:rsid w:val="003F1834"/>
    <w:rsid w:val="003F1A18"/>
    <w:rsid w:val="003F1B00"/>
    <w:rsid w:val="003F207C"/>
    <w:rsid w:val="003F2F4C"/>
    <w:rsid w:val="003F3C82"/>
    <w:rsid w:val="003F3EC3"/>
    <w:rsid w:val="003F48A3"/>
    <w:rsid w:val="003F546F"/>
    <w:rsid w:val="003F59FA"/>
    <w:rsid w:val="003F5CF0"/>
    <w:rsid w:val="003F5D84"/>
    <w:rsid w:val="003F5DB7"/>
    <w:rsid w:val="003F5E95"/>
    <w:rsid w:val="003F65BE"/>
    <w:rsid w:val="003F6DFB"/>
    <w:rsid w:val="003F745E"/>
    <w:rsid w:val="00400135"/>
    <w:rsid w:val="00400590"/>
    <w:rsid w:val="00400851"/>
    <w:rsid w:val="00400FF4"/>
    <w:rsid w:val="00401258"/>
    <w:rsid w:val="00401B7E"/>
    <w:rsid w:val="00401FDC"/>
    <w:rsid w:val="004021B0"/>
    <w:rsid w:val="00403C98"/>
    <w:rsid w:val="00404047"/>
    <w:rsid w:val="004040D7"/>
    <w:rsid w:val="00404659"/>
    <w:rsid w:val="00405552"/>
    <w:rsid w:val="004057D0"/>
    <w:rsid w:val="00405FA3"/>
    <w:rsid w:val="004063C1"/>
    <w:rsid w:val="00406613"/>
    <w:rsid w:val="00406645"/>
    <w:rsid w:val="00407D0E"/>
    <w:rsid w:val="004107FB"/>
    <w:rsid w:val="0041080A"/>
    <w:rsid w:val="00410A47"/>
    <w:rsid w:val="004110C1"/>
    <w:rsid w:val="00411BD2"/>
    <w:rsid w:val="004124A0"/>
    <w:rsid w:val="00412D6A"/>
    <w:rsid w:val="004133A0"/>
    <w:rsid w:val="00413670"/>
    <w:rsid w:val="00413804"/>
    <w:rsid w:val="00413913"/>
    <w:rsid w:val="00413CCC"/>
    <w:rsid w:val="004143B5"/>
    <w:rsid w:val="0041466C"/>
    <w:rsid w:val="0041570E"/>
    <w:rsid w:val="0041579F"/>
    <w:rsid w:val="00416944"/>
    <w:rsid w:val="0041758F"/>
    <w:rsid w:val="00417D96"/>
    <w:rsid w:val="00417E88"/>
    <w:rsid w:val="00417F04"/>
    <w:rsid w:val="00420546"/>
    <w:rsid w:val="004207D5"/>
    <w:rsid w:val="004209C9"/>
    <w:rsid w:val="00421E7B"/>
    <w:rsid w:val="00422DA1"/>
    <w:rsid w:val="00422E29"/>
    <w:rsid w:val="00423432"/>
    <w:rsid w:val="0042409B"/>
    <w:rsid w:val="0042480B"/>
    <w:rsid w:val="00424F3D"/>
    <w:rsid w:val="0042505C"/>
    <w:rsid w:val="00425B31"/>
    <w:rsid w:val="004261F5"/>
    <w:rsid w:val="00426630"/>
    <w:rsid w:val="00426801"/>
    <w:rsid w:val="004269BF"/>
    <w:rsid w:val="00427878"/>
    <w:rsid w:val="004279EA"/>
    <w:rsid w:val="00427D57"/>
    <w:rsid w:val="00427DAB"/>
    <w:rsid w:val="00427FF3"/>
    <w:rsid w:val="004308B7"/>
    <w:rsid w:val="004312CD"/>
    <w:rsid w:val="0043174A"/>
    <w:rsid w:val="004319AF"/>
    <w:rsid w:val="0043226B"/>
    <w:rsid w:val="00433E37"/>
    <w:rsid w:val="004342E0"/>
    <w:rsid w:val="00434309"/>
    <w:rsid w:val="00434560"/>
    <w:rsid w:val="00434AEE"/>
    <w:rsid w:val="00434B75"/>
    <w:rsid w:val="00434FF4"/>
    <w:rsid w:val="00435C0D"/>
    <w:rsid w:val="0043682F"/>
    <w:rsid w:val="00440190"/>
    <w:rsid w:val="00440798"/>
    <w:rsid w:val="0044122E"/>
    <w:rsid w:val="00441AD9"/>
    <w:rsid w:val="00442146"/>
    <w:rsid w:val="004425FB"/>
    <w:rsid w:val="0044272A"/>
    <w:rsid w:val="00442A57"/>
    <w:rsid w:val="00442DA7"/>
    <w:rsid w:val="00443190"/>
    <w:rsid w:val="004432D9"/>
    <w:rsid w:val="00443516"/>
    <w:rsid w:val="00443529"/>
    <w:rsid w:val="0044375F"/>
    <w:rsid w:val="00443BFF"/>
    <w:rsid w:val="00443D4F"/>
    <w:rsid w:val="00444618"/>
    <w:rsid w:val="00444A12"/>
    <w:rsid w:val="00445470"/>
    <w:rsid w:val="00445B64"/>
    <w:rsid w:val="00447E9B"/>
    <w:rsid w:val="00450245"/>
    <w:rsid w:val="004508D9"/>
    <w:rsid w:val="0045212D"/>
    <w:rsid w:val="00452815"/>
    <w:rsid w:val="00452EA1"/>
    <w:rsid w:val="00453DD1"/>
    <w:rsid w:val="0045408A"/>
    <w:rsid w:val="004554AD"/>
    <w:rsid w:val="00456DFE"/>
    <w:rsid w:val="00456F89"/>
    <w:rsid w:val="00457471"/>
    <w:rsid w:val="00460425"/>
    <w:rsid w:val="004610A4"/>
    <w:rsid w:val="00461170"/>
    <w:rsid w:val="004612CC"/>
    <w:rsid w:val="004616E7"/>
    <w:rsid w:val="00461D2C"/>
    <w:rsid w:val="0046209C"/>
    <w:rsid w:val="004623E9"/>
    <w:rsid w:val="00462E19"/>
    <w:rsid w:val="004635C1"/>
    <w:rsid w:val="00463976"/>
    <w:rsid w:val="00464342"/>
    <w:rsid w:val="00464E07"/>
    <w:rsid w:val="0046568F"/>
    <w:rsid w:val="00465707"/>
    <w:rsid w:val="00465AC7"/>
    <w:rsid w:val="004661F8"/>
    <w:rsid w:val="00466533"/>
    <w:rsid w:val="004668EC"/>
    <w:rsid w:val="004671AD"/>
    <w:rsid w:val="00467633"/>
    <w:rsid w:val="004676B9"/>
    <w:rsid w:val="004679B2"/>
    <w:rsid w:val="00467A66"/>
    <w:rsid w:val="004701C6"/>
    <w:rsid w:val="00470578"/>
    <w:rsid w:val="004711B8"/>
    <w:rsid w:val="00471EA1"/>
    <w:rsid w:val="004720E4"/>
    <w:rsid w:val="00472103"/>
    <w:rsid w:val="004729E8"/>
    <w:rsid w:val="00473215"/>
    <w:rsid w:val="00473260"/>
    <w:rsid w:val="004748AF"/>
    <w:rsid w:val="004748C0"/>
    <w:rsid w:val="004748C1"/>
    <w:rsid w:val="004749C6"/>
    <w:rsid w:val="0047501D"/>
    <w:rsid w:val="00475DB4"/>
    <w:rsid w:val="004762D9"/>
    <w:rsid w:val="00476FCA"/>
    <w:rsid w:val="00476FEF"/>
    <w:rsid w:val="004803A5"/>
    <w:rsid w:val="00480837"/>
    <w:rsid w:val="00480B30"/>
    <w:rsid w:val="00481636"/>
    <w:rsid w:val="004819B0"/>
    <w:rsid w:val="00481A11"/>
    <w:rsid w:val="0048251E"/>
    <w:rsid w:val="00482CB4"/>
    <w:rsid w:val="004840AF"/>
    <w:rsid w:val="00484173"/>
    <w:rsid w:val="0048466A"/>
    <w:rsid w:val="00484841"/>
    <w:rsid w:val="004860E5"/>
    <w:rsid w:val="00486623"/>
    <w:rsid w:val="004868B3"/>
    <w:rsid w:val="00487149"/>
    <w:rsid w:val="004875C6"/>
    <w:rsid w:val="0048781F"/>
    <w:rsid w:val="00487E4B"/>
    <w:rsid w:val="00490585"/>
    <w:rsid w:val="004905E0"/>
    <w:rsid w:val="00490D6A"/>
    <w:rsid w:val="004917AC"/>
    <w:rsid w:val="004917C1"/>
    <w:rsid w:val="00491915"/>
    <w:rsid w:val="00492B16"/>
    <w:rsid w:val="00492CCB"/>
    <w:rsid w:val="0049393B"/>
    <w:rsid w:val="00493D5D"/>
    <w:rsid w:val="004946AF"/>
    <w:rsid w:val="00494D3B"/>
    <w:rsid w:val="004954E1"/>
    <w:rsid w:val="00495BCD"/>
    <w:rsid w:val="00495DBC"/>
    <w:rsid w:val="0049701A"/>
    <w:rsid w:val="00497780"/>
    <w:rsid w:val="004A00A2"/>
    <w:rsid w:val="004A0251"/>
    <w:rsid w:val="004A05AC"/>
    <w:rsid w:val="004A0702"/>
    <w:rsid w:val="004A0E55"/>
    <w:rsid w:val="004A110D"/>
    <w:rsid w:val="004A141C"/>
    <w:rsid w:val="004A16C4"/>
    <w:rsid w:val="004A1856"/>
    <w:rsid w:val="004A282C"/>
    <w:rsid w:val="004A3027"/>
    <w:rsid w:val="004A3BE3"/>
    <w:rsid w:val="004A4A42"/>
    <w:rsid w:val="004A4D81"/>
    <w:rsid w:val="004A5375"/>
    <w:rsid w:val="004A5602"/>
    <w:rsid w:val="004A5A3C"/>
    <w:rsid w:val="004A5D6D"/>
    <w:rsid w:val="004A5F8F"/>
    <w:rsid w:val="004A607B"/>
    <w:rsid w:val="004A645A"/>
    <w:rsid w:val="004B0E92"/>
    <w:rsid w:val="004B1089"/>
    <w:rsid w:val="004B26EF"/>
    <w:rsid w:val="004B29E4"/>
    <w:rsid w:val="004B2EF2"/>
    <w:rsid w:val="004B2F26"/>
    <w:rsid w:val="004B351E"/>
    <w:rsid w:val="004B37E2"/>
    <w:rsid w:val="004B3D20"/>
    <w:rsid w:val="004B4008"/>
    <w:rsid w:val="004B4238"/>
    <w:rsid w:val="004B4421"/>
    <w:rsid w:val="004B450F"/>
    <w:rsid w:val="004B4561"/>
    <w:rsid w:val="004B48F3"/>
    <w:rsid w:val="004B4910"/>
    <w:rsid w:val="004B4BE5"/>
    <w:rsid w:val="004B4C27"/>
    <w:rsid w:val="004B5BC4"/>
    <w:rsid w:val="004B5D32"/>
    <w:rsid w:val="004B64D4"/>
    <w:rsid w:val="004B6E72"/>
    <w:rsid w:val="004B7038"/>
    <w:rsid w:val="004B7698"/>
    <w:rsid w:val="004B7835"/>
    <w:rsid w:val="004B7953"/>
    <w:rsid w:val="004B7DCE"/>
    <w:rsid w:val="004C0455"/>
    <w:rsid w:val="004C06F0"/>
    <w:rsid w:val="004C11DC"/>
    <w:rsid w:val="004C1683"/>
    <w:rsid w:val="004C190C"/>
    <w:rsid w:val="004C2A17"/>
    <w:rsid w:val="004C2B32"/>
    <w:rsid w:val="004C35CB"/>
    <w:rsid w:val="004C40DA"/>
    <w:rsid w:val="004C41BA"/>
    <w:rsid w:val="004C4A80"/>
    <w:rsid w:val="004C52D2"/>
    <w:rsid w:val="004C55AE"/>
    <w:rsid w:val="004C72B5"/>
    <w:rsid w:val="004D0099"/>
    <w:rsid w:val="004D05C4"/>
    <w:rsid w:val="004D063B"/>
    <w:rsid w:val="004D09B9"/>
    <w:rsid w:val="004D1171"/>
    <w:rsid w:val="004D1E87"/>
    <w:rsid w:val="004D216B"/>
    <w:rsid w:val="004D24E5"/>
    <w:rsid w:val="004D279E"/>
    <w:rsid w:val="004D4391"/>
    <w:rsid w:val="004D4536"/>
    <w:rsid w:val="004D4B32"/>
    <w:rsid w:val="004D4C8D"/>
    <w:rsid w:val="004D5452"/>
    <w:rsid w:val="004D6103"/>
    <w:rsid w:val="004D7014"/>
    <w:rsid w:val="004D7083"/>
    <w:rsid w:val="004D755A"/>
    <w:rsid w:val="004D7694"/>
    <w:rsid w:val="004D7A5C"/>
    <w:rsid w:val="004D7A71"/>
    <w:rsid w:val="004D7B95"/>
    <w:rsid w:val="004D7F1A"/>
    <w:rsid w:val="004E0511"/>
    <w:rsid w:val="004E0C4E"/>
    <w:rsid w:val="004E0D2D"/>
    <w:rsid w:val="004E0E31"/>
    <w:rsid w:val="004E0EE7"/>
    <w:rsid w:val="004E0F38"/>
    <w:rsid w:val="004E1855"/>
    <w:rsid w:val="004E1D98"/>
    <w:rsid w:val="004E1E02"/>
    <w:rsid w:val="004E2A66"/>
    <w:rsid w:val="004E30C6"/>
    <w:rsid w:val="004E421A"/>
    <w:rsid w:val="004E437E"/>
    <w:rsid w:val="004E43AC"/>
    <w:rsid w:val="004E6485"/>
    <w:rsid w:val="004E6960"/>
    <w:rsid w:val="004E6DCC"/>
    <w:rsid w:val="004E6E51"/>
    <w:rsid w:val="004E703B"/>
    <w:rsid w:val="004E7161"/>
    <w:rsid w:val="004E7997"/>
    <w:rsid w:val="004F01E6"/>
    <w:rsid w:val="004F0442"/>
    <w:rsid w:val="004F0AEC"/>
    <w:rsid w:val="004F0D08"/>
    <w:rsid w:val="004F0D97"/>
    <w:rsid w:val="004F0E75"/>
    <w:rsid w:val="004F0EB9"/>
    <w:rsid w:val="004F100B"/>
    <w:rsid w:val="004F1326"/>
    <w:rsid w:val="004F1998"/>
    <w:rsid w:val="004F1C75"/>
    <w:rsid w:val="004F1C94"/>
    <w:rsid w:val="004F21B9"/>
    <w:rsid w:val="004F2522"/>
    <w:rsid w:val="004F26D8"/>
    <w:rsid w:val="004F2C06"/>
    <w:rsid w:val="004F2C4F"/>
    <w:rsid w:val="004F2EC4"/>
    <w:rsid w:val="004F325B"/>
    <w:rsid w:val="004F4583"/>
    <w:rsid w:val="004F4685"/>
    <w:rsid w:val="004F46AA"/>
    <w:rsid w:val="004F4B15"/>
    <w:rsid w:val="004F4B78"/>
    <w:rsid w:val="004F5A70"/>
    <w:rsid w:val="004F5EEC"/>
    <w:rsid w:val="004F6755"/>
    <w:rsid w:val="004F6B01"/>
    <w:rsid w:val="004F72AA"/>
    <w:rsid w:val="004F74B1"/>
    <w:rsid w:val="004F74C0"/>
    <w:rsid w:val="004F7554"/>
    <w:rsid w:val="004F7E2A"/>
    <w:rsid w:val="00500110"/>
    <w:rsid w:val="00500D10"/>
    <w:rsid w:val="00501053"/>
    <w:rsid w:val="00501C2B"/>
    <w:rsid w:val="005027E3"/>
    <w:rsid w:val="00502B3D"/>
    <w:rsid w:val="00502B9B"/>
    <w:rsid w:val="00502C91"/>
    <w:rsid w:val="0050311F"/>
    <w:rsid w:val="00503B63"/>
    <w:rsid w:val="00504544"/>
    <w:rsid w:val="00504D11"/>
    <w:rsid w:val="00505343"/>
    <w:rsid w:val="0050687A"/>
    <w:rsid w:val="00507083"/>
    <w:rsid w:val="00507543"/>
    <w:rsid w:val="00507A9F"/>
    <w:rsid w:val="00507B33"/>
    <w:rsid w:val="00507B40"/>
    <w:rsid w:val="00507BD2"/>
    <w:rsid w:val="005100EA"/>
    <w:rsid w:val="0051033D"/>
    <w:rsid w:val="00510763"/>
    <w:rsid w:val="005116F1"/>
    <w:rsid w:val="00511898"/>
    <w:rsid w:val="00511BE9"/>
    <w:rsid w:val="005126F9"/>
    <w:rsid w:val="005128A0"/>
    <w:rsid w:val="00512D23"/>
    <w:rsid w:val="005131F1"/>
    <w:rsid w:val="00513A45"/>
    <w:rsid w:val="005142CF"/>
    <w:rsid w:val="005147A5"/>
    <w:rsid w:val="005149A9"/>
    <w:rsid w:val="00514DB4"/>
    <w:rsid w:val="00514EBE"/>
    <w:rsid w:val="0051591F"/>
    <w:rsid w:val="005159E7"/>
    <w:rsid w:val="005161B1"/>
    <w:rsid w:val="0051682C"/>
    <w:rsid w:val="0051690C"/>
    <w:rsid w:val="00516A12"/>
    <w:rsid w:val="00516AD2"/>
    <w:rsid w:val="0051757B"/>
    <w:rsid w:val="0051772E"/>
    <w:rsid w:val="00517ADD"/>
    <w:rsid w:val="00520502"/>
    <w:rsid w:val="00520A2A"/>
    <w:rsid w:val="00520B8D"/>
    <w:rsid w:val="0052174F"/>
    <w:rsid w:val="0052177E"/>
    <w:rsid w:val="005218B7"/>
    <w:rsid w:val="00521E0B"/>
    <w:rsid w:val="00522C52"/>
    <w:rsid w:val="005249C8"/>
    <w:rsid w:val="00524CC1"/>
    <w:rsid w:val="00525049"/>
    <w:rsid w:val="00525062"/>
    <w:rsid w:val="00525289"/>
    <w:rsid w:val="0052546C"/>
    <w:rsid w:val="005259BC"/>
    <w:rsid w:val="00525ED0"/>
    <w:rsid w:val="005263C5"/>
    <w:rsid w:val="00527957"/>
    <w:rsid w:val="00530162"/>
    <w:rsid w:val="00530330"/>
    <w:rsid w:val="00530639"/>
    <w:rsid w:val="00530650"/>
    <w:rsid w:val="00531617"/>
    <w:rsid w:val="00532080"/>
    <w:rsid w:val="00532363"/>
    <w:rsid w:val="005328CC"/>
    <w:rsid w:val="005329D2"/>
    <w:rsid w:val="00532BAC"/>
    <w:rsid w:val="00532CA6"/>
    <w:rsid w:val="00533885"/>
    <w:rsid w:val="00534231"/>
    <w:rsid w:val="00534529"/>
    <w:rsid w:val="00535238"/>
    <w:rsid w:val="005353D0"/>
    <w:rsid w:val="00535C1A"/>
    <w:rsid w:val="00535D2F"/>
    <w:rsid w:val="0053604C"/>
    <w:rsid w:val="00537679"/>
    <w:rsid w:val="00537ECD"/>
    <w:rsid w:val="005402A4"/>
    <w:rsid w:val="005403AE"/>
    <w:rsid w:val="0054047F"/>
    <w:rsid w:val="005416D3"/>
    <w:rsid w:val="00542124"/>
    <w:rsid w:val="00542240"/>
    <w:rsid w:val="00542303"/>
    <w:rsid w:val="00543A1B"/>
    <w:rsid w:val="00543A68"/>
    <w:rsid w:val="00543B0C"/>
    <w:rsid w:val="00545237"/>
    <w:rsid w:val="00545DC0"/>
    <w:rsid w:val="005460F7"/>
    <w:rsid w:val="00546636"/>
    <w:rsid w:val="00546A05"/>
    <w:rsid w:val="00546AE1"/>
    <w:rsid w:val="005472F1"/>
    <w:rsid w:val="005473BE"/>
    <w:rsid w:val="00547524"/>
    <w:rsid w:val="00547D3D"/>
    <w:rsid w:val="00550392"/>
    <w:rsid w:val="00550674"/>
    <w:rsid w:val="00550B43"/>
    <w:rsid w:val="0055161D"/>
    <w:rsid w:val="00551A9C"/>
    <w:rsid w:val="0055213A"/>
    <w:rsid w:val="00552550"/>
    <w:rsid w:val="00552BE4"/>
    <w:rsid w:val="00552E69"/>
    <w:rsid w:val="00553E91"/>
    <w:rsid w:val="005548EA"/>
    <w:rsid w:val="00554999"/>
    <w:rsid w:val="00554C03"/>
    <w:rsid w:val="00554FF1"/>
    <w:rsid w:val="00555360"/>
    <w:rsid w:val="005557F0"/>
    <w:rsid w:val="00556301"/>
    <w:rsid w:val="005564D3"/>
    <w:rsid w:val="00556960"/>
    <w:rsid w:val="00556CB5"/>
    <w:rsid w:val="00557129"/>
    <w:rsid w:val="00557ACF"/>
    <w:rsid w:val="00557D46"/>
    <w:rsid w:val="00560717"/>
    <w:rsid w:val="00560B74"/>
    <w:rsid w:val="00560BBD"/>
    <w:rsid w:val="00560F27"/>
    <w:rsid w:val="005612E6"/>
    <w:rsid w:val="00561A80"/>
    <w:rsid w:val="00562189"/>
    <w:rsid w:val="00562252"/>
    <w:rsid w:val="005625B7"/>
    <w:rsid w:val="00562D33"/>
    <w:rsid w:val="00562DDE"/>
    <w:rsid w:val="00563A53"/>
    <w:rsid w:val="00563AB2"/>
    <w:rsid w:val="00563F11"/>
    <w:rsid w:val="00563FD9"/>
    <w:rsid w:val="0056405D"/>
    <w:rsid w:val="005640FF"/>
    <w:rsid w:val="0056416B"/>
    <w:rsid w:val="00564341"/>
    <w:rsid w:val="005645C4"/>
    <w:rsid w:val="005653CD"/>
    <w:rsid w:val="005655E7"/>
    <w:rsid w:val="00567600"/>
    <w:rsid w:val="0056768B"/>
    <w:rsid w:val="0056782E"/>
    <w:rsid w:val="005678A6"/>
    <w:rsid w:val="00567D30"/>
    <w:rsid w:val="0057060E"/>
    <w:rsid w:val="00570647"/>
    <w:rsid w:val="0057082E"/>
    <w:rsid w:val="00570A21"/>
    <w:rsid w:val="00570A4D"/>
    <w:rsid w:val="00570DB6"/>
    <w:rsid w:val="005713C0"/>
    <w:rsid w:val="0057164E"/>
    <w:rsid w:val="005716BD"/>
    <w:rsid w:val="00571D3F"/>
    <w:rsid w:val="00571E76"/>
    <w:rsid w:val="0057260D"/>
    <w:rsid w:val="005727D5"/>
    <w:rsid w:val="00572824"/>
    <w:rsid w:val="005728D3"/>
    <w:rsid w:val="00572AEB"/>
    <w:rsid w:val="00572D74"/>
    <w:rsid w:val="005741A9"/>
    <w:rsid w:val="00574428"/>
    <w:rsid w:val="00574592"/>
    <w:rsid w:val="005749DE"/>
    <w:rsid w:val="00574D03"/>
    <w:rsid w:val="00575385"/>
    <w:rsid w:val="005753AF"/>
    <w:rsid w:val="005757A9"/>
    <w:rsid w:val="0057669D"/>
    <w:rsid w:val="0057688D"/>
    <w:rsid w:val="00576C23"/>
    <w:rsid w:val="0058053A"/>
    <w:rsid w:val="00580CFF"/>
    <w:rsid w:val="00581C7A"/>
    <w:rsid w:val="00582153"/>
    <w:rsid w:val="00582201"/>
    <w:rsid w:val="005828AF"/>
    <w:rsid w:val="00584219"/>
    <w:rsid w:val="00584BD5"/>
    <w:rsid w:val="00585D72"/>
    <w:rsid w:val="005862F8"/>
    <w:rsid w:val="00586375"/>
    <w:rsid w:val="00586EB2"/>
    <w:rsid w:val="00587AF6"/>
    <w:rsid w:val="00587C7E"/>
    <w:rsid w:val="0059027F"/>
    <w:rsid w:val="005903C4"/>
    <w:rsid w:val="00590DE7"/>
    <w:rsid w:val="00590EEB"/>
    <w:rsid w:val="00593935"/>
    <w:rsid w:val="005945C6"/>
    <w:rsid w:val="00594640"/>
    <w:rsid w:val="00594F33"/>
    <w:rsid w:val="00595192"/>
    <w:rsid w:val="0059536D"/>
    <w:rsid w:val="005954C1"/>
    <w:rsid w:val="00595DD4"/>
    <w:rsid w:val="00596030"/>
    <w:rsid w:val="005960A6"/>
    <w:rsid w:val="00596B13"/>
    <w:rsid w:val="00596F8D"/>
    <w:rsid w:val="005970C1"/>
    <w:rsid w:val="00597927"/>
    <w:rsid w:val="00597F3C"/>
    <w:rsid w:val="005A07C1"/>
    <w:rsid w:val="005A1299"/>
    <w:rsid w:val="005A19F3"/>
    <w:rsid w:val="005A1DA7"/>
    <w:rsid w:val="005A2445"/>
    <w:rsid w:val="005A28AA"/>
    <w:rsid w:val="005A2F2B"/>
    <w:rsid w:val="005A31D4"/>
    <w:rsid w:val="005A3316"/>
    <w:rsid w:val="005A34B6"/>
    <w:rsid w:val="005A381D"/>
    <w:rsid w:val="005A38F6"/>
    <w:rsid w:val="005A3AB9"/>
    <w:rsid w:val="005A4527"/>
    <w:rsid w:val="005A4855"/>
    <w:rsid w:val="005A5411"/>
    <w:rsid w:val="005A55BA"/>
    <w:rsid w:val="005A5EAA"/>
    <w:rsid w:val="005A6DE9"/>
    <w:rsid w:val="005A75BF"/>
    <w:rsid w:val="005A787E"/>
    <w:rsid w:val="005A78F2"/>
    <w:rsid w:val="005B0AA8"/>
    <w:rsid w:val="005B0C22"/>
    <w:rsid w:val="005B0CE3"/>
    <w:rsid w:val="005B0E91"/>
    <w:rsid w:val="005B0F30"/>
    <w:rsid w:val="005B10C5"/>
    <w:rsid w:val="005B1B01"/>
    <w:rsid w:val="005B1C14"/>
    <w:rsid w:val="005B1DEE"/>
    <w:rsid w:val="005B2198"/>
    <w:rsid w:val="005B2ABA"/>
    <w:rsid w:val="005B3134"/>
    <w:rsid w:val="005B349D"/>
    <w:rsid w:val="005B369E"/>
    <w:rsid w:val="005B37DD"/>
    <w:rsid w:val="005B4166"/>
    <w:rsid w:val="005B42F2"/>
    <w:rsid w:val="005B48C8"/>
    <w:rsid w:val="005B4AF9"/>
    <w:rsid w:val="005B4B97"/>
    <w:rsid w:val="005B5B86"/>
    <w:rsid w:val="005B5FFD"/>
    <w:rsid w:val="005B67CE"/>
    <w:rsid w:val="005B68E7"/>
    <w:rsid w:val="005B6F3D"/>
    <w:rsid w:val="005B71DA"/>
    <w:rsid w:val="005B7685"/>
    <w:rsid w:val="005B774F"/>
    <w:rsid w:val="005B78A9"/>
    <w:rsid w:val="005B7B04"/>
    <w:rsid w:val="005B7C26"/>
    <w:rsid w:val="005B7CF2"/>
    <w:rsid w:val="005B7D95"/>
    <w:rsid w:val="005C09C1"/>
    <w:rsid w:val="005C0CDA"/>
    <w:rsid w:val="005C0D33"/>
    <w:rsid w:val="005C1378"/>
    <w:rsid w:val="005C19CB"/>
    <w:rsid w:val="005C1B8B"/>
    <w:rsid w:val="005C28BB"/>
    <w:rsid w:val="005C2CEB"/>
    <w:rsid w:val="005C2E64"/>
    <w:rsid w:val="005C38C3"/>
    <w:rsid w:val="005C3E8B"/>
    <w:rsid w:val="005C3FB6"/>
    <w:rsid w:val="005C4524"/>
    <w:rsid w:val="005C463B"/>
    <w:rsid w:val="005C598E"/>
    <w:rsid w:val="005C5F1E"/>
    <w:rsid w:val="005C62E0"/>
    <w:rsid w:val="005C670B"/>
    <w:rsid w:val="005C6E7F"/>
    <w:rsid w:val="005C6E97"/>
    <w:rsid w:val="005C71F5"/>
    <w:rsid w:val="005C7C68"/>
    <w:rsid w:val="005D0183"/>
    <w:rsid w:val="005D0ECF"/>
    <w:rsid w:val="005D0F9F"/>
    <w:rsid w:val="005D11D8"/>
    <w:rsid w:val="005D18FB"/>
    <w:rsid w:val="005D24D5"/>
    <w:rsid w:val="005D2905"/>
    <w:rsid w:val="005D2A0F"/>
    <w:rsid w:val="005D2F25"/>
    <w:rsid w:val="005D3356"/>
    <w:rsid w:val="005D46E6"/>
    <w:rsid w:val="005D4C66"/>
    <w:rsid w:val="005D505F"/>
    <w:rsid w:val="005D5393"/>
    <w:rsid w:val="005D53AF"/>
    <w:rsid w:val="005D5755"/>
    <w:rsid w:val="005D5AA5"/>
    <w:rsid w:val="005D5D56"/>
    <w:rsid w:val="005D5E22"/>
    <w:rsid w:val="005D701E"/>
    <w:rsid w:val="005D795B"/>
    <w:rsid w:val="005D79A1"/>
    <w:rsid w:val="005E0160"/>
    <w:rsid w:val="005E0CA3"/>
    <w:rsid w:val="005E1FBA"/>
    <w:rsid w:val="005E25B1"/>
    <w:rsid w:val="005E27D1"/>
    <w:rsid w:val="005E2A0C"/>
    <w:rsid w:val="005E2ABE"/>
    <w:rsid w:val="005E2CF9"/>
    <w:rsid w:val="005E2FD2"/>
    <w:rsid w:val="005E30E2"/>
    <w:rsid w:val="005E323B"/>
    <w:rsid w:val="005E3999"/>
    <w:rsid w:val="005E3AB0"/>
    <w:rsid w:val="005E42B4"/>
    <w:rsid w:val="005E58D8"/>
    <w:rsid w:val="005E5B92"/>
    <w:rsid w:val="005E5E08"/>
    <w:rsid w:val="005E63AA"/>
    <w:rsid w:val="005E672D"/>
    <w:rsid w:val="005E6C83"/>
    <w:rsid w:val="005E71FC"/>
    <w:rsid w:val="005E7290"/>
    <w:rsid w:val="005E750C"/>
    <w:rsid w:val="005F0462"/>
    <w:rsid w:val="005F0950"/>
    <w:rsid w:val="005F0B72"/>
    <w:rsid w:val="005F0B73"/>
    <w:rsid w:val="005F0C38"/>
    <w:rsid w:val="005F13CC"/>
    <w:rsid w:val="005F1512"/>
    <w:rsid w:val="005F174F"/>
    <w:rsid w:val="005F19DB"/>
    <w:rsid w:val="005F1A65"/>
    <w:rsid w:val="005F1D34"/>
    <w:rsid w:val="005F244B"/>
    <w:rsid w:val="005F2473"/>
    <w:rsid w:val="005F29DE"/>
    <w:rsid w:val="005F2F27"/>
    <w:rsid w:val="005F32A2"/>
    <w:rsid w:val="005F35C6"/>
    <w:rsid w:val="005F37A1"/>
    <w:rsid w:val="005F47B9"/>
    <w:rsid w:val="005F4993"/>
    <w:rsid w:val="005F4D4A"/>
    <w:rsid w:val="005F5128"/>
    <w:rsid w:val="005F59A3"/>
    <w:rsid w:val="005F5A83"/>
    <w:rsid w:val="005F629D"/>
    <w:rsid w:val="005F6594"/>
    <w:rsid w:val="005F68A4"/>
    <w:rsid w:val="005F6BAA"/>
    <w:rsid w:val="005F7067"/>
    <w:rsid w:val="005F74EF"/>
    <w:rsid w:val="005F7B37"/>
    <w:rsid w:val="006004CF"/>
    <w:rsid w:val="00600569"/>
    <w:rsid w:val="006008A4"/>
    <w:rsid w:val="0060137D"/>
    <w:rsid w:val="00601416"/>
    <w:rsid w:val="00601455"/>
    <w:rsid w:val="00601735"/>
    <w:rsid w:val="0060175F"/>
    <w:rsid w:val="00601EB2"/>
    <w:rsid w:val="0060200A"/>
    <w:rsid w:val="00602362"/>
    <w:rsid w:val="0060240D"/>
    <w:rsid w:val="006025D1"/>
    <w:rsid w:val="006027E7"/>
    <w:rsid w:val="00602B24"/>
    <w:rsid w:val="00602E56"/>
    <w:rsid w:val="00603E3F"/>
    <w:rsid w:val="006053C2"/>
    <w:rsid w:val="00605E4E"/>
    <w:rsid w:val="00606E00"/>
    <w:rsid w:val="00606F07"/>
    <w:rsid w:val="00606FC7"/>
    <w:rsid w:val="00606FCB"/>
    <w:rsid w:val="0060718E"/>
    <w:rsid w:val="006072F6"/>
    <w:rsid w:val="0060740F"/>
    <w:rsid w:val="0060756C"/>
    <w:rsid w:val="0060759A"/>
    <w:rsid w:val="00607745"/>
    <w:rsid w:val="00607BD0"/>
    <w:rsid w:val="00607EC5"/>
    <w:rsid w:val="00610DF6"/>
    <w:rsid w:val="00611480"/>
    <w:rsid w:val="00612A31"/>
    <w:rsid w:val="00612CA3"/>
    <w:rsid w:val="0061373E"/>
    <w:rsid w:val="00613A4C"/>
    <w:rsid w:val="00613E7E"/>
    <w:rsid w:val="00613FD4"/>
    <w:rsid w:val="00614165"/>
    <w:rsid w:val="006146D5"/>
    <w:rsid w:val="00614AA9"/>
    <w:rsid w:val="00614B44"/>
    <w:rsid w:val="0061540C"/>
    <w:rsid w:val="006154E5"/>
    <w:rsid w:val="00615616"/>
    <w:rsid w:val="00615F80"/>
    <w:rsid w:val="0061666F"/>
    <w:rsid w:val="006168FB"/>
    <w:rsid w:val="00616B2B"/>
    <w:rsid w:val="00616C38"/>
    <w:rsid w:val="00617184"/>
    <w:rsid w:val="00617D7F"/>
    <w:rsid w:val="0062094D"/>
    <w:rsid w:val="00620AED"/>
    <w:rsid w:val="0062184E"/>
    <w:rsid w:val="006218EA"/>
    <w:rsid w:val="00621AA5"/>
    <w:rsid w:val="00621E1E"/>
    <w:rsid w:val="00621E55"/>
    <w:rsid w:val="00622016"/>
    <w:rsid w:val="006221F6"/>
    <w:rsid w:val="0062238E"/>
    <w:rsid w:val="00622B47"/>
    <w:rsid w:val="006233B8"/>
    <w:rsid w:val="00623791"/>
    <w:rsid w:val="00623F56"/>
    <w:rsid w:val="00624221"/>
    <w:rsid w:val="00624591"/>
    <w:rsid w:val="006245EB"/>
    <w:rsid w:val="00625776"/>
    <w:rsid w:val="00626CC4"/>
    <w:rsid w:val="00627473"/>
    <w:rsid w:val="00627C54"/>
    <w:rsid w:val="00627DAC"/>
    <w:rsid w:val="00630636"/>
    <w:rsid w:val="006306A2"/>
    <w:rsid w:val="00630AB5"/>
    <w:rsid w:val="00630DB0"/>
    <w:rsid w:val="00631106"/>
    <w:rsid w:val="00631187"/>
    <w:rsid w:val="006313A7"/>
    <w:rsid w:val="00631409"/>
    <w:rsid w:val="006318CE"/>
    <w:rsid w:val="00633038"/>
    <w:rsid w:val="0063338B"/>
    <w:rsid w:val="0063380C"/>
    <w:rsid w:val="0063388F"/>
    <w:rsid w:val="0063405E"/>
    <w:rsid w:val="0063411D"/>
    <w:rsid w:val="006344B9"/>
    <w:rsid w:val="00634DF5"/>
    <w:rsid w:val="00635348"/>
    <w:rsid w:val="00636CC0"/>
    <w:rsid w:val="00637054"/>
    <w:rsid w:val="0063735C"/>
    <w:rsid w:val="00637F56"/>
    <w:rsid w:val="0064058E"/>
    <w:rsid w:val="00640623"/>
    <w:rsid w:val="0064093E"/>
    <w:rsid w:val="00641588"/>
    <w:rsid w:val="0064160B"/>
    <w:rsid w:val="006420A5"/>
    <w:rsid w:val="006420F2"/>
    <w:rsid w:val="0064364F"/>
    <w:rsid w:val="0064379E"/>
    <w:rsid w:val="00643869"/>
    <w:rsid w:val="00643A39"/>
    <w:rsid w:val="00643C56"/>
    <w:rsid w:val="00643E1E"/>
    <w:rsid w:val="0064488D"/>
    <w:rsid w:val="00644DC7"/>
    <w:rsid w:val="006466D8"/>
    <w:rsid w:val="0064678D"/>
    <w:rsid w:val="00646BFA"/>
    <w:rsid w:val="00647313"/>
    <w:rsid w:val="00647BE8"/>
    <w:rsid w:val="00647DAF"/>
    <w:rsid w:val="00647DBE"/>
    <w:rsid w:val="00647ED0"/>
    <w:rsid w:val="00650C2A"/>
    <w:rsid w:val="00650E2D"/>
    <w:rsid w:val="00650F60"/>
    <w:rsid w:val="00650FE8"/>
    <w:rsid w:val="0065136A"/>
    <w:rsid w:val="00653134"/>
    <w:rsid w:val="00653D51"/>
    <w:rsid w:val="00653D64"/>
    <w:rsid w:val="00654107"/>
    <w:rsid w:val="00654C5C"/>
    <w:rsid w:val="006551F5"/>
    <w:rsid w:val="00655524"/>
    <w:rsid w:val="00655F78"/>
    <w:rsid w:val="00656677"/>
    <w:rsid w:val="00656F57"/>
    <w:rsid w:val="00657D3A"/>
    <w:rsid w:val="00660205"/>
    <w:rsid w:val="00660E38"/>
    <w:rsid w:val="00661D3E"/>
    <w:rsid w:val="00662442"/>
    <w:rsid w:val="006627B3"/>
    <w:rsid w:val="00662CDF"/>
    <w:rsid w:val="00662E01"/>
    <w:rsid w:val="00663294"/>
    <w:rsid w:val="00663AD4"/>
    <w:rsid w:val="00664006"/>
    <w:rsid w:val="00664F46"/>
    <w:rsid w:val="00665DC3"/>
    <w:rsid w:val="00666856"/>
    <w:rsid w:val="0066751C"/>
    <w:rsid w:val="006676F5"/>
    <w:rsid w:val="00667DE7"/>
    <w:rsid w:val="006700D7"/>
    <w:rsid w:val="00670217"/>
    <w:rsid w:val="00671CB3"/>
    <w:rsid w:val="00671F18"/>
    <w:rsid w:val="00672328"/>
    <w:rsid w:val="00672836"/>
    <w:rsid w:val="00672B6C"/>
    <w:rsid w:val="00673D30"/>
    <w:rsid w:val="006745C2"/>
    <w:rsid w:val="0067473E"/>
    <w:rsid w:val="00674B1E"/>
    <w:rsid w:val="00674EDF"/>
    <w:rsid w:val="006755E5"/>
    <w:rsid w:val="00675E1E"/>
    <w:rsid w:val="0067611E"/>
    <w:rsid w:val="006762B8"/>
    <w:rsid w:val="006763FD"/>
    <w:rsid w:val="00676545"/>
    <w:rsid w:val="006768D2"/>
    <w:rsid w:val="00676B57"/>
    <w:rsid w:val="00676CE4"/>
    <w:rsid w:val="00676CF5"/>
    <w:rsid w:val="006776A7"/>
    <w:rsid w:val="00677831"/>
    <w:rsid w:val="00677AD5"/>
    <w:rsid w:val="00677C3F"/>
    <w:rsid w:val="00677C94"/>
    <w:rsid w:val="00677CF1"/>
    <w:rsid w:val="00680780"/>
    <w:rsid w:val="006807D8"/>
    <w:rsid w:val="00680CF1"/>
    <w:rsid w:val="006811B6"/>
    <w:rsid w:val="00681298"/>
    <w:rsid w:val="006816F7"/>
    <w:rsid w:val="00682024"/>
    <w:rsid w:val="006824B5"/>
    <w:rsid w:val="00683081"/>
    <w:rsid w:val="00683CF4"/>
    <w:rsid w:val="0068415A"/>
    <w:rsid w:val="006842FD"/>
    <w:rsid w:val="0068445B"/>
    <w:rsid w:val="00684DA6"/>
    <w:rsid w:val="00685020"/>
    <w:rsid w:val="006855DD"/>
    <w:rsid w:val="00685689"/>
    <w:rsid w:val="006859C0"/>
    <w:rsid w:val="00685CD2"/>
    <w:rsid w:val="00686A71"/>
    <w:rsid w:val="00687193"/>
    <w:rsid w:val="00687AF7"/>
    <w:rsid w:val="0069000E"/>
    <w:rsid w:val="00690536"/>
    <w:rsid w:val="00690C64"/>
    <w:rsid w:val="006912E1"/>
    <w:rsid w:val="0069159D"/>
    <w:rsid w:val="00692200"/>
    <w:rsid w:val="00692315"/>
    <w:rsid w:val="00692C52"/>
    <w:rsid w:val="00692D0D"/>
    <w:rsid w:val="00693B01"/>
    <w:rsid w:val="00693DA2"/>
    <w:rsid w:val="0069403D"/>
    <w:rsid w:val="0069414B"/>
    <w:rsid w:val="0069415C"/>
    <w:rsid w:val="0069427B"/>
    <w:rsid w:val="006947E9"/>
    <w:rsid w:val="00694827"/>
    <w:rsid w:val="00694EDC"/>
    <w:rsid w:val="0069531C"/>
    <w:rsid w:val="006959EC"/>
    <w:rsid w:val="00696A16"/>
    <w:rsid w:val="00696E41"/>
    <w:rsid w:val="00696F6D"/>
    <w:rsid w:val="00697145"/>
    <w:rsid w:val="00697683"/>
    <w:rsid w:val="006A0C42"/>
    <w:rsid w:val="006A26C7"/>
    <w:rsid w:val="006A285D"/>
    <w:rsid w:val="006A2BA0"/>
    <w:rsid w:val="006A3258"/>
    <w:rsid w:val="006A3390"/>
    <w:rsid w:val="006A41D0"/>
    <w:rsid w:val="006A46A2"/>
    <w:rsid w:val="006A4C24"/>
    <w:rsid w:val="006A62B4"/>
    <w:rsid w:val="006A6366"/>
    <w:rsid w:val="006A65B1"/>
    <w:rsid w:val="006A679F"/>
    <w:rsid w:val="006A7A34"/>
    <w:rsid w:val="006A7D32"/>
    <w:rsid w:val="006B06AB"/>
    <w:rsid w:val="006B087E"/>
    <w:rsid w:val="006B0BA6"/>
    <w:rsid w:val="006B265E"/>
    <w:rsid w:val="006B2E4A"/>
    <w:rsid w:val="006B3202"/>
    <w:rsid w:val="006B333C"/>
    <w:rsid w:val="006B351D"/>
    <w:rsid w:val="006B371E"/>
    <w:rsid w:val="006B408E"/>
    <w:rsid w:val="006B45CC"/>
    <w:rsid w:val="006B477C"/>
    <w:rsid w:val="006B5415"/>
    <w:rsid w:val="006B571D"/>
    <w:rsid w:val="006B6284"/>
    <w:rsid w:val="006B6425"/>
    <w:rsid w:val="006B660D"/>
    <w:rsid w:val="006B6677"/>
    <w:rsid w:val="006B6D89"/>
    <w:rsid w:val="006B71AE"/>
    <w:rsid w:val="006C02C8"/>
    <w:rsid w:val="006C03DD"/>
    <w:rsid w:val="006C088F"/>
    <w:rsid w:val="006C0952"/>
    <w:rsid w:val="006C0AB1"/>
    <w:rsid w:val="006C2069"/>
    <w:rsid w:val="006C21CE"/>
    <w:rsid w:val="006C2AEF"/>
    <w:rsid w:val="006C2EAE"/>
    <w:rsid w:val="006C351B"/>
    <w:rsid w:val="006C435E"/>
    <w:rsid w:val="006C475F"/>
    <w:rsid w:val="006C4B59"/>
    <w:rsid w:val="006C4D13"/>
    <w:rsid w:val="006C4DCD"/>
    <w:rsid w:val="006C5F6B"/>
    <w:rsid w:val="006C66CC"/>
    <w:rsid w:val="006C6811"/>
    <w:rsid w:val="006C6B1C"/>
    <w:rsid w:val="006D0120"/>
    <w:rsid w:val="006D0636"/>
    <w:rsid w:val="006D06AE"/>
    <w:rsid w:val="006D0E48"/>
    <w:rsid w:val="006D1018"/>
    <w:rsid w:val="006D1299"/>
    <w:rsid w:val="006D20D2"/>
    <w:rsid w:val="006D272D"/>
    <w:rsid w:val="006D2FB2"/>
    <w:rsid w:val="006D3196"/>
    <w:rsid w:val="006D3629"/>
    <w:rsid w:val="006D3692"/>
    <w:rsid w:val="006D3EBA"/>
    <w:rsid w:val="006D4283"/>
    <w:rsid w:val="006D44A9"/>
    <w:rsid w:val="006D4A25"/>
    <w:rsid w:val="006D4B09"/>
    <w:rsid w:val="006D50FA"/>
    <w:rsid w:val="006D5BDA"/>
    <w:rsid w:val="006D621D"/>
    <w:rsid w:val="006D6224"/>
    <w:rsid w:val="006D645A"/>
    <w:rsid w:val="006D64BA"/>
    <w:rsid w:val="006D6675"/>
    <w:rsid w:val="006D684F"/>
    <w:rsid w:val="006D6A75"/>
    <w:rsid w:val="006D74B5"/>
    <w:rsid w:val="006D785B"/>
    <w:rsid w:val="006D7C69"/>
    <w:rsid w:val="006D7F5B"/>
    <w:rsid w:val="006E0CA0"/>
    <w:rsid w:val="006E13DE"/>
    <w:rsid w:val="006E1964"/>
    <w:rsid w:val="006E1C53"/>
    <w:rsid w:val="006E263F"/>
    <w:rsid w:val="006E2715"/>
    <w:rsid w:val="006E2D29"/>
    <w:rsid w:val="006E2EEC"/>
    <w:rsid w:val="006E398A"/>
    <w:rsid w:val="006E3A03"/>
    <w:rsid w:val="006E3B84"/>
    <w:rsid w:val="006E433D"/>
    <w:rsid w:val="006E46EC"/>
    <w:rsid w:val="006E495F"/>
    <w:rsid w:val="006E497E"/>
    <w:rsid w:val="006E5E8A"/>
    <w:rsid w:val="006E6676"/>
    <w:rsid w:val="006E6BAB"/>
    <w:rsid w:val="006E761A"/>
    <w:rsid w:val="006E767C"/>
    <w:rsid w:val="006E7E40"/>
    <w:rsid w:val="006E7F28"/>
    <w:rsid w:val="006E7FE3"/>
    <w:rsid w:val="006F01FB"/>
    <w:rsid w:val="006F0F46"/>
    <w:rsid w:val="006F0F64"/>
    <w:rsid w:val="006F0F9F"/>
    <w:rsid w:val="006F1C41"/>
    <w:rsid w:val="006F2109"/>
    <w:rsid w:val="006F2D85"/>
    <w:rsid w:val="006F2E47"/>
    <w:rsid w:val="006F32F6"/>
    <w:rsid w:val="006F3559"/>
    <w:rsid w:val="006F3DC0"/>
    <w:rsid w:val="006F425E"/>
    <w:rsid w:val="006F43B5"/>
    <w:rsid w:val="006F4853"/>
    <w:rsid w:val="006F486D"/>
    <w:rsid w:val="006F4D4B"/>
    <w:rsid w:val="006F4FDF"/>
    <w:rsid w:val="006F5785"/>
    <w:rsid w:val="006F72B4"/>
    <w:rsid w:val="006F74EA"/>
    <w:rsid w:val="00700648"/>
    <w:rsid w:val="007009EA"/>
    <w:rsid w:val="00701208"/>
    <w:rsid w:val="0070135C"/>
    <w:rsid w:val="00701F7B"/>
    <w:rsid w:val="00701FE2"/>
    <w:rsid w:val="00702960"/>
    <w:rsid w:val="00702991"/>
    <w:rsid w:val="00702DC4"/>
    <w:rsid w:val="00702F75"/>
    <w:rsid w:val="00703671"/>
    <w:rsid w:val="0070377E"/>
    <w:rsid w:val="00703A8C"/>
    <w:rsid w:val="00703C37"/>
    <w:rsid w:val="00703DA7"/>
    <w:rsid w:val="00703E55"/>
    <w:rsid w:val="00704E6D"/>
    <w:rsid w:val="00705266"/>
    <w:rsid w:val="007059AD"/>
    <w:rsid w:val="00705D21"/>
    <w:rsid w:val="0070616D"/>
    <w:rsid w:val="007064CB"/>
    <w:rsid w:val="00706804"/>
    <w:rsid w:val="00706DBD"/>
    <w:rsid w:val="007072C8"/>
    <w:rsid w:val="00707621"/>
    <w:rsid w:val="007077A3"/>
    <w:rsid w:val="00707C5E"/>
    <w:rsid w:val="00707E76"/>
    <w:rsid w:val="007104B3"/>
    <w:rsid w:val="00710A2F"/>
    <w:rsid w:val="00710ED3"/>
    <w:rsid w:val="00711513"/>
    <w:rsid w:val="007115EF"/>
    <w:rsid w:val="007118FD"/>
    <w:rsid w:val="00712003"/>
    <w:rsid w:val="00712622"/>
    <w:rsid w:val="00712754"/>
    <w:rsid w:val="00712E0B"/>
    <w:rsid w:val="0071337A"/>
    <w:rsid w:val="007139B0"/>
    <w:rsid w:val="00713E28"/>
    <w:rsid w:val="00713FCD"/>
    <w:rsid w:val="0071406B"/>
    <w:rsid w:val="007145D4"/>
    <w:rsid w:val="007148BC"/>
    <w:rsid w:val="00715C63"/>
    <w:rsid w:val="007162DF"/>
    <w:rsid w:val="007164E9"/>
    <w:rsid w:val="00716D73"/>
    <w:rsid w:val="0071799E"/>
    <w:rsid w:val="0072036D"/>
    <w:rsid w:val="007206E8"/>
    <w:rsid w:val="007208DC"/>
    <w:rsid w:val="00720FB6"/>
    <w:rsid w:val="00720FEF"/>
    <w:rsid w:val="007210EE"/>
    <w:rsid w:val="00721626"/>
    <w:rsid w:val="00721B42"/>
    <w:rsid w:val="00721BBD"/>
    <w:rsid w:val="00722614"/>
    <w:rsid w:val="00722B16"/>
    <w:rsid w:val="0072312B"/>
    <w:rsid w:val="00723166"/>
    <w:rsid w:val="0072316A"/>
    <w:rsid w:val="00723A63"/>
    <w:rsid w:val="0072455D"/>
    <w:rsid w:val="007246BF"/>
    <w:rsid w:val="00724828"/>
    <w:rsid w:val="00724CAD"/>
    <w:rsid w:val="0072541C"/>
    <w:rsid w:val="0072566A"/>
    <w:rsid w:val="007258C2"/>
    <w:rsid w:val="00725941"/>
    <w:rsid w:val="00725F3F"/>
    <w:rsid w:val="007264AE"/>
    <w:rsid w:val="00726644"/>
    <w:rsid w:val="00726B8B"/>
    <w:rsid w:val="00726F1F"/>
    <w:rsid w:val="0072794A"/>
    <w:rsid w:val="0073061A"/>
    <w:rsid w:val="00730783"/>
    <w:rsid w:val="007308B4"/>
    <w:rsid w:val="00730A09"/>
    <w:rsid w:val="00730C45"/>
    <w:rsid w:val="0073106C"/>
    <w:rsid w:val="00731148"/>
    <w:rsid w:val="00731481"/>
    <w:rsid w:val="00731DB6"/>
    <w:rsid w:val="007328DB"/>
    <w:rsid w:val="00732E3D"/>
    <w:rsid w:val="007333FB"/>
    <w:rsid w:val="00733A6D"/>
    <w:rsid w:val="00733F44"/>
    <w:rsid w:val="00734BD3"/>
    <w:rsid w:val="00734F1E"/>
    <w:rsid w:val="00735638"/>
    <w:rsid w:val="00735645"/>
    <w:rsid w:val="00735BC8"/>
    <w:rsid w:val="00735CE3"/>
    <w:rsid w:val="00735E3A"/>
    <w:rsid w:val="00735EB6"/>
    <w:rsid w:val="00735F43"/>
    <w:rsid w:val="007362C4"/>
    <w:rsid w:val="007364E0"/>
    <w:rsid w:val="00736834"/>
    <w:rsid w:val="0073696C"/>
    <w:rsid w:val="00736C19"/>
    <w:rsid w:val="00737125"/>
    <w:rsid w:val="0073733A"/>
    <w:rsid w:val="007374F0"/>
    <w:rsid w:val="007377E9"/>
    <w:rsid w:val="00737A28"/>
    <w:rsid w:val="00737C98"/>
    <w:rsid w:val="00737DA8"/>
    <w:rsid w:val="00740270"/>
    <w:rsid w:val="00740E0E"/>
    <w:rsid w:val="0074169D"/>
    <w:rsid w:val="00741FE0"/>
    <w:rsid w:val="0074201F"/>
    <w:rsid w:val="007422E8"/>
    <w:rsid w:val="0074318F"/>
    <w:rsid w:val="007442BD"/>
    <w:rsid w:val="007445A3"/>
    <w:rsid w:val="00744E18"/>
    <w:rsid w:val="00744F38"/>
    <w:rsid w:val="00745500"/>
    <w:rsid w:val="0074554A"/>
    <w:rsid w:val="0074579A"/>
    <w:rsid w:val="0074599D"/>
    <w:rsid w:val="00745F21"/>
    <w:rsid w:val="007464AC"/>
    <w:rsid w:val="0074659E"/>
    <w:rsid w:val="007467DE"/>
    <w:rsid w:val="00746964"/>
    <w:rsid w:val="00746FD6"/>
    <w:rsid w:val="00747046"/>
    <w:rsid w:val="00747E27"/>
    <w:rsid w:val="00747F18"/>
    <w:rsid w:val="00747F20"/>
    <w:rsid w:val="007510E1"/>
    <w:rsid w:val="007515C7"/>
    <w:rsid w:val="00751E2D"/>
    <w:rsid w:val="00752029"/>
    <w:rsid w:val="00752079"/>
    <w:rsid w:val="00752136"/>
    <w:rsid w:val="007522FA"/>
    <w:rsid w:val="00752501"/>
    <w:rsid w:val="0075270A"/>
    <w:rsid w:val="00753313"/>
    <w:rsid w:val="00753FF1"/>
    <w:rsid w:val="00754B15"/>
    <w:rsid w:val="00754CD8"/>
    <w:rsid w:val="007550CE"/>
    <w:rsid w:val="0075706D"/>
    <w:rsid w:val="00757E70"/>
    <w:rsid w:val="0076025F"/>
    <w:rsid w:val="00760E62"/>
    <w:rsid w:val="00760FAB"/>
    <w:rsid w:val="007612C8"/>
    <w:rsid w:val="00761403"/>
    <w:rsid w:val="007615E0"/>
    <w:rsid w:val="00761667"/>
    <w:rsid w:val="00761713"/>
    <w:rsid w:val="00761737"/>
    <w:rsid w:val="007617A3"/>
    <w:rsid w:val="00761ABC"/>
    <w:rsid w:val="00761BB0"/>
    <w:rsid w:val="00761EC5"/>
    <w:rsid w:val="00762ECB"/>
    <w:rsid w:val="00763B9A"/>
    <w:rsid w:val="00763FA0"/>
    <w:rsid w:val="00764E84"/>
    <w:rsid w:val="00764FA8"/>
    <w:rsid w:val="00764FD1"/>
    <w:rsid w:val="00764FF4"/>
    <w:rsid w:val="0076556F"/>
    <w:rsid w:val="00765FD2"/>
    <w:rsid w:val="007667B6"/>
    <w:rsid w:val="00766BDC"/>
    <w:rsid w:val="00767FDB"/>
    <w:rsid w:val="00770180"/>
    <w:rsid w:val="007707E0"/>
    <w:rsid w:val="0077201F"/>
    <w:rsid w:val="00772328"/>
    <w:rsid w:val="007723B2"/>
    <w:rsid w:val="00772624"/>
    <w:rsid w:val="0077293F"/>
    <w:rsid w:val="00772F97"/>
    <w:rsid w:val="0077321C"/>
    <w:rsid w:val="007736C1"/>
    <w:rsid w:val="00773AFE"/>
    <w:rsid w:val="00773D1C"/>
    <w:rsid w:val="00773FCA"/>
    <w:rsid w:val="007741F1"/>
    <w:rsid w:val="00774D81"/>
    <w:rsid w:val="00774E01"/>
    <w:rsid w:val="00774E0F"/>
    <w:rsid w:val="0077561C"/>
    <w:rsid w:val="00775ADC"/>
    <w:rsid w:val="00775F93"/>
    <w:rsid w:val="007766C7"/>
    <w:rsid w:val="00777F22"/>
    <w:rsid w:val="00777FF0"/>
    <w:rsid w:val="00780EC0"/>
    <w:rsid w:val="00781182"/>
    <w:rsid w:val="00781362"/>
    <w:rsid w:val="00782567"/>
    <w:rsid w:val="00782813"/>
    <w:rsid w:val="00782E46"/>
    <w:rsid w:val="00782E68"/>
    <w:rsid w:val="00783E21"/>
    <w:rsid w:val="0078430C"/>
    <w:rsid w:val="00784689"/>
    <w:rsid w:val="00784834"/>
    <w:rsid w:val="00784864"/>
    <w:rsid w:val="00784BA8"/>
    <w:rsid w:val="00784FC5"/>
    <w:rsid w:val="00785620"/>
    <w:rsid w:val="0078570A"/>
    <w:rsid w:val="00785802"/>
    <w:rsid w:val="007858AB"/>
    <w:rsid w:val="00785AEC"/>
    <w:rsid w:val="00786082"/>
    <w:rsid w:val="00786175"/>
    <w:rsid w:val="007868D7"/>
    <w:rsid w:val="00786946"/>
    <w:rsid w:val="00786A7D"/>
    <w:rsid w:val="00786F20"/>
    <w:rsid w:val="00787AA1"/>
    <w:rsid w:val="00787B62"/>
    <w:rsid w:val="00787FA4"/>
    <w:rsid w:val="0079006E"/>
    <w:rsid w:val="0079012F"/>
    <w:rsid w:val="0079074F"/>
    <w:rsid w:val="0079148F"/>
    <w:rsid w:val="00791FB0"/>
    <w:rsid w:val="00792719"/>
    <w:rsid w:val="00793506"/>
    <w:rsid w:val="00793975"/>
    <w:rsid w:val="00794ED9"/>
    <w:rsid w:val="00795CDC"/>
    <w:rsid w:val="00795D97"/>
    <w:rsid w:val="00796314"/>
    <w:rsid w:val="00796A45"/>
    <w:rsid w:val="00797236"/>
    <w:rsid w:val="007A04AB"/>
    <w:rsid w:val="007A0636"/>
    <w:rsid w:val="007A0B09"/>
    <w:rsid w:val="007A1FA6"/>
    <w:rsid w:val="007A23F1"/>
    <w:rsid w:val="007A24B3"/>
    <w:rsid w:val="007A26A9"/>
    <w:rsid w:val="007A28B1"/>
    <w:rsid w:val="007A2B51"/>
    <w:rsid w:val="007A355E"/>
    <w:rsid w:val="007A35FA"/>
    <w:rsid w:val="007A3771"/>
    <w:rsid w:val="007A3B64"/>
    <w:rsid w:val="007A3F19"/>
    <w:rsid w:val="007A4064"/>
    <w:rsid w:val="007A4083"/>
    <w:rsid w:val="007A481D"/>
    <w:rsid w:val="007A4977"/>
    <w:rsid w:val="007A5B50"/>
    <w:rsid w:val="007A5C1E"/>
    <w:rsid w:val="007A5CDB"/>
    <w:rsid w:val="007A5F8F"/>
    <w:rsid w:val="007A6313"/>
    <w:rsid w:val="007A6AE8"/>
    <w:rsid w:val="007A6F06"/>
    <w:rsid w:val="007A7048"/>
    <w:rsid w:val="007A7274"/>
    <w:rsid w:val="007A75BD"/>
    <w:rsid w:val="007A7BE8"/>
    <w:rsid w:val="007A7D82"/>
    <w:rsid w:val="007B04FC"/>
    <w:rsid w:val="007B0AA0"/>
    <w:rsid w:val="007B0B99"/>
    <w:rsid w:val="007B0BAA"/>
    <w:rsid w:val="007B107E"/>
    <w:rsid w:val="007B12F8"/>
    <w:rsid w:val="007B1B07"/>
    <w:rsid w:val="007B22FE"/>
    <w:rsid w:val="007B2361"/>
    <w:rsid w:val="007B2364"/>
    <w:rsid w:val="007B25A8"/>
    <w:rsid w:val="007B286C"/>
    <w:rsid w:val="007B2956"/>
    <w:rsid w:val="007B2BCC"/>
    <w:rsid w:val="007B2E65"/>
    <w:rsid w:val="007B30B0"/>
    <w:rsid w:val="007B33CE"/>
    <w:rsid w:val="007B3C5C"/>
    <w:rsid w:val="007B3E9D"/>
    <w:rsid w:val="007B3F3F"/>
    <w:rsid w:val="007B411B"/>
    <w:rsid w:val="007B4181"/>
    <w:rsid w:val="007B4347"/>
    <w:rsid w:val="007B4622"/>
    <w:rsid w:val="007B472F"/>
    <w:rsid w:val="007B50B2"/>
    <w:rsid w:val="007B518C"/>
    <w:rsid w:val="007B5F12"/>
    <w:rsid w:val="007B5F42"/>
    <w:rsid w:val="007B5F6D"/>
    <w:rsid w:val="007B6D0A"/>
    <w:rsid w:val="007B6D21"/>
    <w:rsid w:val="007B70BB"/>
    <w:rsid w:val="007B7723"/>
    <w:rsid w:val="007B7D98"/>
    <w:rsid w:val="007B7FAB"/>
    <w:rsid w:val="007C03A4"/>
    <w:rsid w:val="007C0950"/>
    <w:rsid w:val="007C0B47"/>
    <w:rsid w:val="007C0C1C"/>
    <w:rsid w:val="007C0C73"/>
    <w:rsid w:val="007C0FEA"/>
    <w:rsid w:val="007C1498"/>
    <w:rsid w:val="007C1863"/>
    <w:rsid w:val="007C189C"/>
    <w:rsid w:val="007C1B8D"/>
    <w:rsid w:val="007C236F"/>
    <w:rsid w:val="007C2BE3"/>
    <w:rsid w:val="007C2DF6"/>
    <w:rsid w:val="007C2E4A"/>
    <w:rsid w:val="007C3AA2"/>
    <w:rsid w:val="007C3BEF"/>
    <w:rsid w:val="007C3D6B"/>
    <w:rsid w:val="007C4862"/>
    <w:rsid w:val="007C4880"/>
    <w:rsid w:val="007C4A53"/>
    <w:rsid w:val="007C4A66"/>
    <w:rsid w:val="007C4DC2"/>
    <w:rsid w:val="007C56D1"/>
    <w:rsid w:val="007C57EC"/>
    <w:rsid w:val="007C58AA"/>
    <w:rsid w:val="007C5AC4"/>
    <w:rsid w:val="007C5DEB"/>
    <w:rsid w:val="007C6B77"/>
    <w:rsid w:val="007C7AE3"/>
    <w:rsid w:val="007D1293"/>
    <w:rsid w:val="007D133D"/>
    <w:rsid w:val="007D1355"/>
    <w:rsid w:val="007D15D3"/>
    <w:rsid w:val="007D19B4"/>
    <w:rsid w:val="007D1E98"/>
    <w:rsid w:val="007D2C39"/>
    <w:rsid w:val="007D3037"/>
    <w:rsid w:val="007D37DD"/>
    <w:rsid w:val="007D3A61"/>
    <w:rsid w:val="007D3DFE"/>
    <w:rsid w:val="007D4C4B"/>
    <w:rsid w:val="007D50C9"/>
    <w:rsid w:val="007D5203"/>
    <w:rsid w:val="007D55AB"/>
    <w:rsid w:val="007D5A46"/>
    <w:rsid w:val="007D5B02"/>
    <w:rsid w:val="007D5B0C"/>
    <w:rsid w:val="007D664D"/>
    <w:rsid w:val="007D6FBC"/>
    <w:rsid w:val="007D7191"/>
    <w:rsid w:val="007D71AD"/>
    <w:rsid w:val="007D730F"/>
    <w:rsid w:val="007D7452"/>
    <w:rsid w:val="007E00C1"/>
    <w:rsid w:val="007E064B"/>
    <w:rsid w:val="007E07AC"/>
    <w:rsid w:val="007E0FE4"/>
    <w:rsid w:val="007E1255"/>
    <w:rsid w:val="007E1BC7"/>
    <w:rsid w:val="007E1D7A"/>
    <w:rsid w:val="007E2A12"/>
    <w:rsid w:val="007E2C30"/>
    <w:rsid w:val="007E2EE0"/>
    <w:rsid w:val="007E3877"/>
    <w:rsid w:val="007E3E7D"/>
    <w:rsid w:val="007E4EEB"/>
    <w:rsid w:val="007E5150"/>
    <w:rsid w:val="007E5171"/>
    <w:rsid w:val="007E5B25"/>
    <w:rsid w:val="007E5E71"/>
    <w:rsid w:val="007E6069"/>
    <w:rsid w:val="007E60CD"/>
    <w:rsid w:val="007E63BB"/>
    <w:rsid w:val="007E6A71"/>
    <w:rsid w:val="007E6D92"/>
    <w:rsid w:val="007E76CF"/>
    <w:rsid w:val="007F03F5"/>
    <w:rsid w:val="007F0472"/>
    <w:rsid w:val="007F0ADD"/>
    <w:rsid w:val="007F0F22"/>
    <w:rsid w:val="007F10ED"/>
    <w:rsid w:val="007F1C49"/>
    <w:rsid w:val="007F1CC3"/>
    <w:rsid w:val="007F1D23"/>
    <w:rsid w:val="007F2E52"/>
    <w:rsid w:val="007F2EB9"/>
    <w:rsid w:val="007F300E"/>
    <w:rsid w:val="007F359F"/>
    <w:rsid w:val="007F38AF"/>
    <w:rsid w:val="007F38CD"/>
    <w:rsid w:val="007F3A77"/>
    <w:rsid w:val="007F3B28"/>
    <w:rsid w:val="007F3B6C"/>
    <w:rsid w:val="007F4611"/>
    <w:rsid w:val="007F49CF"/>
    <w:rsid w:val="007F4F05"/>
    <w:rsid w:val="007F59ED"/>
    <w:rsid w:val="007F6578"/>
    <w:rsid w:val="007F6E9C"/>
    <w:rsid w:val="007F7272"/>
    <w:rsid w:val="007F7DB8"/>
    <w:rsid w:val="008009EE"/>
    <w:rsid w:val="008017D0"/>
    <w:rsid w:val="00802072"/>
    <w:rsid w:val="008022E2"/>
    <w:rsid w:val="00802443"/>
    <w:rsid w:val="008026CB"/>
    <w:rsid w:val="00802768"/>
    <w:rsid w:val="00802DC2"/>
    <w:rsid w:val="00802FDC"/>
    <w:rsid w:val="00803306"/>
    <w:rsid w:val="00803709"/>
    <w:rsid w:val="0080389B"/>
    <w:rsid w:val="008039A9"/>
    <w:rsid w:val="00803D12"/>
    <w:rsid w:val="008045E1"/>
    <w:rsid w:val="00804725"/>
    <w:rsid w:val="00805617"/>
    <w:rsid w:val="00805782"/>
    <w:rsid w:val="008057AC"/>
    <w:rsid w:val="00805A15"/>
    <w:rsid w:val="00805A7A"/>
    <w:rsid w:val="00805DF7"/>
    <w:rsid w:val="008061CF"/>
    <w:rsid w:val="00807AA7"/>
    <w:rsid w:val="00807D0C"/>
    <w:rsid w:val="0081040D"/>
    <w:rsid w:val="008104CC"/>
    <w:rsid w:val="008105EB"/>
    <w:rsid w:val="008106FB"/>
    <w:rsid w:val="0081125F"/>
    <w:rsid w:val="00811779"/>
    <w:rsid w:val="008118D6"/>
    <w:rsid w:val="00811C0C"/>
    <w:rsid w:val="0081201D"/>
    <w:rsid w:val="00812119"/>
    <w:rsid w:val="00812785"/>
    <w:rsid w:val="00812799"/>
    <w:rsid w:val="0081286E"/>
    <w:rsid w:val="00812AE4"/>
    <w:rsid w:val="008133A2"/>
    <w:rsid w:val="008144D4"/>
    <w:rsid w:val="008149E5"/>
    <w:rsid w:val="00815833"/>
    <w:rsid w:val="008165E9"/>
    <w:rsid w:val="00817147"/>
    <w:rsid w:val="008172DC"/>
    <w:rsid w:val="008173C9"/>
    <w:rsid w:val="0081746A"/>
    <w:rsid w:val="0081756C"/>
    <w:rsid w:val="00817705"/>
    <w:rsid w:val="00817B22"/>
    <w:rsid w:val="00820601"/>
    <w:rsid w:val="00820B3A"/>
    <w:rsid w:val="008212DE"/>
    <w:rsid w:val="00822835"/>
    <w:rsid w:val="008228A9"/>
    <w:rsid w:val="00822E0B"/>
    <w:rsid w:val="008239FA"/>
    <w:rsid w:val="008244B7"/>
    <w:rsid w:val="008244DA"/>
    <w:rsid w:val="008247BF"/>
    <w:rsid w:val="008248F3"/>
    <w:rsid w:val="00824A15"/>
    <w:rsid w:val="00824AF9"/>
    <w:rsid w:val="00824F08"/>
    <w:rsid w:val="008255CB"/>
    <w:rsid w:val="00825C22"/>
    <w:rsid w:val="00825DD3"/>
    <w:rsid w:val="00826364"/>
    <w:rsid w:val="0082674F"/>
    <w:rsid w:val="00826897"/>
    <w:rsid w:val="00826A67"/>
    <w:rsid w:val="00826CEF"/>
    <w:rsid w:val="00826E33"/>
    <w:rsid w:val="008278CF"/>
    <w:rsid w:val="0083002A"/>
    <w:rsid w:val="00830184"/>
    <w:rsid w:val="008305CD"/>
    <w:rsid w:val="00830ADF"/>
    <w:rsid w:val="00830CF8"/>
    <w:rsid w:val="008310F3"/>
    <w:rsid w:val="00831A02"/>
    <w:rsid w:val="00831C89"/>
    <w:rsid w:val="00832092"/>
    <w:rsid w:val="008321C4"/>
    <w:rsid w:val="008327C8"/>
    <w:rsid w:val="008328DF"/>
    <w:rsid w:val="00832A38"/>
    <w:rsid w:val="00832F13"/>
    <w:rsid w:val="0083383B"/>
    <w:rsid w:val="0083407A"/>
    <w:rsid w:val="0083523F"/>
    <w:rsid w:val="008356E1"/>
    <w:rsid w:val="00835A1E"/>
    <w:rsid w:val="00835C2C"/>
    <w:rsid w:val="0083634E"/>
    <w:rsid w:val="0083666F"/>
    <w:rsid w:val="0083669A"/>
    <w:rsid w:val="00836BC3"/>
    <w:rsid w:val="00836F36"/>
    <w:rsid w:val="008407F4"/>
    <w:rsid w:val="00841486"/>
    <w:rsid w:val="00841748"/>
    <w:rsid w:val="00841D06"/>
    <w:rsid w:val="008436DB"/>
    <w:rsid w:val="00843C73"/>
    <w:rsid w:val="008442F4"/>
    <w:rsid w:val="0084483C"/>
    <w:rsid w:val="00844C46"/>
    <w:rsid w:val="008455E7"/>
    <w:rsid w:val="008458B4"/>
    <w:rsid w:val="008460C5"/>
    <w:rsid w:val="008462C8"/>
    <w:rsid w:val="00846468"/>
    <w:rsid w:val="00846A6B"/>
    <w:rsid w:val="00846E8F"/>
    <w:rsid w:val="00847106"/>
    <w:rsid w:val="00847DEB"/>
    <w:rsid w:val="00850C84"/>
    <w:rsid w:val="00850D98"/>
    <w:rsid w:val="00851162"/>
    <w:rsid w:val="00851E91"/>
    <w:rsid w:val="00852628"/>
    <w:rsid w:val="00852BEB"/>
    <w:rsid w:val="0085303A"/>
    <w:rsid w:val="008530F4"/>
    <w:rsid w:val="008533A6"/>
    <w:rsid w:val="00853537"/>
    <w:rsid w:val="00853E35"/>
    <w:rsid w:val="00854747"/>
    <w:rsid w:val="00854946"/>
    <w:rsid w:val="00854AB3"/>
    <w:rsid w:val="00854B5B"/>
    <w:rsid w:val="00854C83"/>
    <w:rsid w:val="00855AA4"/>
    <w:rsid w:val="00855DFE"/>
    <w:rsid w:val="00856092"/>
    <w:rsid w:val="00856CB8"/>
    <w:rsid w:val="008575EF"/>
    <w:rsid w:val="00857BF5"/>
    <w:rsid w:val="00857C56"/>
    <w:rsid w:val="00857C9B"/>
    <w:rsid w:val="00857DA0"/>
    <w:rsid w:val="00857FEA"/>
    <w:rsid w:val="00860103"/>
    <w:rsid w:val="00860E90"/>
    <w:rsid w:val="0086102C"/>
    <w:rsid w:val="00861632"/>
    <w:rsid w:val="008618D4"/>
    <w:rsid w:val="00861924"/>
    <w:rsid w:val="00861EDB"/>
    <w:rsid w:val="0086228A"/>
    <w:rsid w:val="00862541"/>
    <w:rsid w:val="00862945"/>
    <w:rsid w:val="008629BC"/>
    <w:rsid w:val="00862FF3"/>
    <w:rsid w:val="00863365"/>
    <w:rsid w:val="008637D3"/>
    <w:rsid w:val="0086391D"/>
    <w:rsid w:val="00865760"/>
    <w:rsid w:val="008659F1"/>
    <w:rsid w:val="00865F6E"/>
    <w:rsid w:val="00866018"/>
    <w:rsid w:val="00866032"/>
    <w:rsid w:val="00866340"/>
    <w:rsid w:val="008665CA"/>
    <w:rsid w:val="00866DCE"/>
    <w:rsid w:val="00866FCD"/>
    <w:rsid w:val="00867030"/>
    <w:rsid w:val="00867891"/>
    <w:rsid w:val="00867E3F"/>
    <w:rsid w:val="00870DA7"/>
    <w:rsid w:val="0087337F"/>
    <w:rsid w:val="008736DF"/>
    <w:rsid w:val="0087370A"/>
    <w:rsid w:val="00873A13"/>
    <w:rsid w:val="008742EA"/>
    <w:rsid w:val="00874E02"/>
    <w:rsid w:val="00875B0A"/>
    <w:rsid w:val="00875BC0"/>
    <w:rsid w:val="00875C80"/>
    <w:rsid w:val="0087600F"/>
    <w:rsid w:val="00876CB7"/>
    <w:rsid w:val="00877042"/>
    <w:rsid w:val="00877670"/>
    <w:rsid w:val="008776AE"/>
    <w:rsid w:val="008779C2"/>
    <w:rsid w:val="0088052C"/>
    <w:rsid w:val="008807C5"/>
    <w:rsid w:val="00881266"/>
    <w:rsid w:val="00881553"/>
    <w:rsid w:val="008829D9"/>
    <w:rsid w:val="008829F1"/>
    <w:rsid w:val="00882B4A"/>
    <w:rsid w:val="00882D34"/>
    <w:rsid w:val="0088342D"/>
    <w:rsid w:val="00883961"/>
    <w:rsid w:val="00883970"/>
    <w:rsid w:val="0088486E"/>
    <w:rsid w:val="008853AA"/>
    <w:rsid w:val="0088570D"/>
    <w:rsid w:val="0088605D"/>
    <w:rsid w:val="00886778"/>
    <w:rsid w:val="00886C1C"/>
    <w:rsid w:val="00886C3D"/>
    <w:rsid w:val="00886EBD"/>
    <w:rsid w:val="00887089"/>
    <w:rsid w:val="0088743E"/>
    <w:rsid w:val="008874AC"/>
    <w:rsid w:val="0088779E"/>
    <w:rsid w:val="00887844"/>
    <w:rsid w:val="00887A3E"/>
    <w:rsid w:val="00887A7E"/>
    <w:rsid w:val="00887F47"/>
    <w:rsid w:val="0089078C"/>
    <w:rsid w:val="008909EF"/>
    <w:rsid w:val="00890C5F"/>
    <w:rsid w:val="00890D53"/>
    <w:rsid w:val="00890FC1"/>
    <w:rsid w:val="00891040"/>
    <w:rsid w:val="00891CEB"/>
    <w:rsid w:val="0089218C"/>
    <w:rsid w:val="00892291"/>
    <w:rsid w:val="00892ABA"/>
    <w:rsid w:val="00892B9F"/>
    <w:rsid w:val="00893375"/>
    <w:rsid w:val="008938B7"/>
    <w:rsid w:val="00893CC3"/>
    <w:rsid w:val="0089482F"/>
    <w:rsid w:val="00894D6C"/>
    <w:rsid w:val="00895306"/>
    <w:rsid w:val="00895326"/>
    <w:rsid w:val="0089580A"/>
    <w:rsid w:val="00895A39"/>
    <w:rsid w:val="00895DEF"/>
    <w:rsid w:val="008961FD"/>
    <w:rsid w:val="00896ECC"/>
    <w:rsid w:val="00896ED3"/>
    <w:rsid w:val="00896FB1"/>
    <w:rsid w:val="008971AD"/>
    <w:rsid w:val="008A018E"/>
    <w:rsid w:val="008A0665"/>
    <w:rsid w:val="008A0ECB"/>
    <w:rsid w:val="008A2450"/>
    <w:rsid w:val="008A2E22"/>
    <w:rsid w:val="008A2FA2"/>
    <w:rsid w:val="008A3622"/>
    <w:rsid w:val="008A366A"/>
    <w:rsid w:val="008A36B6"/>
    <w:rsid w:val="008A36C9"/>
    <w:rsid w:val="008A3891"/>
    <w:rsid w:val="008A39A8"/>
    <w:rsid w:val="008A3B38"/>
    <w:rsid w:val="008A3DF0"/>
    <w:rsid w:val="008A42EE"/>
    <w:rsid w:val="008A449F"/>
    <w:rsid w:val="008A458A"/>
    <w:rsid w:val="008A4B7E"/>
    <w:rsid w:val="008A4F59"/>
    <w:rsid w:val="008A5113"/>
    <w:rsid w:val="008A543A"/>
    <w:rsid w:val="008A57AE"/>
    <w:rsid w:val="008A57DE"/>
    <w:rsid w:val="008A5B5E"/>
    <w:rsid w:val="008A5D40"/>
    <w:rsid w:val="008A5E0E"/>
    <w:rsid w:val="008A625E"/>
    <w:rsid w:val="008A6994"/>
    <w:rsid w:val="008A6C4E"/>
    <w:rsid w:val="008A7CA9"/>
    <w:rsid w:val="008B06D2"/>
    <w:rsid w:val="008B0D0F"/>
    <w:rsid w:val="008B1052"/>
    <w:rsid w:val="008B1A40"/>
    <w:rsid w:val="008B1D0F"/>
    <w:rsid w:val="008B1F3E"/>
    <w:rsid w:val="008B1FFD"/>
    <w:rsid w:val="008B2158"/>
    <w:rsid w:val="008B3586"/>
    <w:rsid w:val="008B35B8"/>
    <w:rsid w:val="008B3677"/>
    <w:rsid w:val="008B3754"/>
    <w:rsid w:val="008B37C9"/>
    <w:rsid w:val="008B3995"/>
    <w:rsid w:val="008B4A5F"/>
    <w:rsid w:val="008B4CD5"/>
    <w:rsid w:val="008B53D7"/>
    <w:rsid w:val="008B548B"/>
    <w:rsid w:val="008B55C6"/>
    <w:rsid w:val="008B638C"/>
    <w:rsid w:val="008B682F"/>
    <w:rsid w:val="008B6BC4"/>
    <w:rsid w:val="008B6F98"/>
    <w:rsid w:val="008B6FD4"/>
    <w:rsid w:val="008B7018"/>
    <w:rsid w:val="008B74FB"/>
    <w:rsid w:val="008B7BEB"/>
    <w:rsid w:val="008C00CE"/>
    <w:rsid w:val="008C02BC"/>
    <w:rsid w:val="008C0F60"/>
    <w:rsid w:val="008C0FED"/>
    <w:rsid w:val="008C142F"/>
    <w:rsid w:val="008C1468"/>
    <w:rsid w:val="008C16E2"/>
    <w:rsid w:val="008C1B6E"/>
    <w:rsid w:val="008C2226"/>
    <w:rsid w:val="008C2543"/>
    <w:rsid w:val="008C27F4"/>
    <w:rsid w:val="008C2BB4"/>
    <w:rsid w:val="008C30AE"/>
    <w:rsid w:val="008C3AC2"/>
    <w:rsid w:val="008C3C57"/>
    <w:rsid w:val="008C3E90"/>
    <w:rsid w:val="008C40B4"/>
    <w:rsid w:val="008C4503"/>
    <w:rsid w:val="008C4FF6"/>
    <w:rsid w:val="008C5613"/>
    <w:rsid w:val="008C5691"/>
    <w:rsid w:val="008C580C"/>
    <w:rsid w:val="008C5B19"/>
    <w:rsid w:val="008C63A7"/>
    <w:rsid w:val="008D02D9"/>
    <w:rsid w:val="008D03FF"/>
    <w:rsid w:val="008D0451"/>
    <w:rsid w:val="008D0641"/>
    <w:rsid w:val="008D0831"/>
    <w:rsid w:val="008D0C8E"/>
    <w:rsid w:val="008D1250"/>
    <w:rsid w:val="008D1915"/>
    <w:rsid w:val="008D1935"/>
    <w:rsid w:val="008D21B6"/>
    <w:rsid w:val="008D28B7"/>
    <w:rsid w:val="008D28C2"/>
    <w:rsid w:val="008D2937"/>
    <w:rsid w:val="008D2C66"/>
    <w:rsid w:val="008D2D35"/>
    <w:rsid w:val="008D3115"/>
    <w:rsid w:val="008D348F"/>
    <w:rsid w:val="008D363C"/>
    <w:rsid w:val="008D3675"/>
    <w:rsid w:val="008D4121"/>
    <w:rsid w:val="008D424A"/>
    <w:rsid w:val="008D4295"/>
    <w:rsid w:val="008D45C5"/>
    <w:rsid w:val="008D48CC"/>
    <w:rsid w:val="008D4CDB"/>
    <w:rsid w:val="008D54CF"/>
    <w:rsid w:val="008D5539"/>
    <w:rsid w:val="008D66CC"/>
    <w:rsid w:val="008D69E7"/>
    <w:rsid w:val="008D72D6"/>
    <w:rsid w:val="008D75DC"/>
    <w:rsid w:val="008D7736"/>
    <w:rsid w:val="008E02BC"/>
    <w:rsid w:val="008E040E"/>
    <w:rsid w:val="008E04BC"/>
    <w:rsid w:val="008E11B7"/>
    <w:rsid w:val="008E15A8"/>
    <w:rsid w:val="008E1CCC"/>
    <w:rsid w:val="008E1E81"/>
    <w:rsid w:val="008E21E9"/>
    <w:rsid w:val="008E2B1B"/>
    <w:rsid w:val="008E2F76"/>
    <w:rsid w:val="008E3D0A"/>
    <w:rsid w:val="008E3FB9"/>
    <w:rsid w:val="008E4550"/>
    <w:rsid w:val="008E4F2D"/>
    <w:rsid w:val="008E585B"/>
    <w:rsid w:val="008E59FB"/>
    <w:rsid w:val="008E5D8B"/>
    <w:rsid w:val="008E6BE1"/>
    <w:rsid w:val="008E6C6B"/>
    <w:rsid w:val="008E710E"/>
    <w:rsid w:val="008E7362"/>
    <w:rsid w:val="008E7F1C"/>
    <w:rsid w:val="008F03E7"/>
    <w:rsid w:val="008F0FCE"/>
    <w:rsid w:val="008F13DF"/>
    <w:rsid w:val="008F173F"/>
    <w:rsid w:val="008F19FC"/>
    <w:rsid w:val="008F2763"/>
    <w:rsid w:val="008F2D60"/>
    <w:rsid w:val="008F3F59"/>
    <w:rsid w:val="008F4056"/>
    <w:rsid w:val="008F5098"/>
    <w:rsid w:val="008F53AF"/>
    <w:rsid w:val="008F5453"/>
    <w:rsid w:val="008F574F"/>
    <w:rsid w:val="008F616A"/>
    <w:rsid w:val="008F652E"/>
    <w:rsid w:val="008F6B6B"/>
    <w:rsid w:val="008F6B97"/>
    <w:rsid w:val="009004F3"/>
    <w:rsid w:val="00900A50"/>
    <w:rsid w:val="0090156C"/>
    <w:rsid w:val="00901B30"/>
    <w:rsid w:val="0090203B"/>
    <w:rsid w:val="0090227B"/>
    <w:rsid w:val="00902592"/>
    <w:rsid w:val="009027C7"/>
    <w:rsid w:val="00902D07"/>
    <w:rsid w:val="00902DDD"/>
    <w:rsid w:val="0090356B"/>
    <w:rsid w:val="0090403A"/>
    <w:rsid w:val="00904293"/>
    <w:rsid w:val="009046E7"/>
    <w:rsid w:val="00904C96"/>
    <w:rsid w:val="00906308"/>
    <w:rsid w:val="00906952"/>
    <w:rsid w:val="00907BF1"/>
    <w:rsid w:val="00907C30"/>
    <w:rsid w:val="00907CBD"/>
    <w:rsid w:val="00910206"/>
    <w:rsid w:val="009104F1"/>
    <w:rsid w:val="0091054B"/>
    <w:rsid w:val="00910BB4"/>
    <w:rsid w:val="00910D54"/>
    <w:rsid w:val="00911136"/>
    <w:rsid w:val="00911444"/>
    <w:rsid w:val="00911510"/>
    <w:rsid w:val="009120C2"/>
    <w:rsid w:val="009123AF"/>
    <w:rsid w:val="00912481"/>
    <w:rsid w:val="00912685"/>
    <w:rsid w:val="009127E2"/>
    <w:rsid w:val="009128BD"/>
    <w:rsid w:val="00912A5E"/>
    <w:rsid w:val="00912B3C"/>
    <w:rsid w:val="00912D92"/>
    <w:rsid w:val="00913394"/>
    <w:rsid w:val="0091399D"/>
    <w:rsid w:val="00913C52"/>
    <w:rsid w:val="009141C5"/>
    <w:rsid w:val="009141DE"/>
    <w:rsid w:val="009145F1"/>
    <w:rsid w:val="009153D8"/>
    <w:rsid w:val="009155EB"/>
    <w:rsid w:val="009156E5"/>
    <w:rsid w:val="0091575A"/>
    <w:rsid w:val="00915A65"/>
    <w:rsid w:val="00915A8C"/>
    <w:rsid w:val="00915ECA"/>
    <w:rsid w:val="00915F08"/>
    <w:rsid w:val="009160B9"/>
    <w:rsid w:val="0091613E"/>
    <w:rsid w:val="00916379"/>
    <w:rsid w:val="00916460"/>
    <w:rsid w:val="00916670"/>
    <w:rsid w:val="00916759"/>
    <w:rsid w:val="009171FD"/>
    <w:rsid w:val="0091723B"/>
    <w:rsid w:val="00917399"/>
    <w:rsid w:val="009175FD"/>
    <w:rsid w:val="0091794E"/>
    <w:rsid w:val="00917DC7"/>
    <w:rsid w:val="009217C1"/>
    <w:rsid w:val="0092245E"/>
    <w:rsid w:val="00922C25"/>
    <w:rsid w:val="00923011"/>
    <w:rsid w:val="0092305C"/>
    <w:rsid w:val="009231B7"/>
    <w:rsid w:val="009231C7"/>
    <w:rsid w:val="0092356B"/>
    <w:rsid w:val="009238B2"/>
    <w:rsid w:val="00923A69"/>
    <w:rsid w:val="00923C1C"/>
    <w:rsid w:val="0092415D"/>
    <w:rsid w:val="009242F0"/>
    <w:rsid w:val="0092487D"/>
    <w:rsid w:val="00924C68"/>
    <w:rsid w:val="00924C79"/>
    <w:rsid w:val="00925391"/>
    <w:rsid w:val="00925A6C"/>
    <w:rsid w:val="0092655D"/>
    <w:rsid w:val="009269EC"/>
    <w:rsid w:val="00926AFA"/>
    <w:rsid w:val="00926E7D"/>
    <w:rsid w:val="0092784F"/>
    <w:rsid w:val="00927AB0"/>
    <w:rsid w:val="00927C86"/>
    <w:rsid w:val="00930C9A"/>
    <w:rsid w:val="00930DA0"/>
    <w:rsid w:val="009315A8"/>
    <w:rsid w:val="009316F2"/>
    <w:rsid w:val="009317BD"/>
    <w:rsid w:val="0093191A"/>
    <w:rsid w:val="00931DF8"/>
    <w:rsid w:val="00932529"/>
    <w:rsid w:val="00932C5D"/>
    <w:rsid w:val="00932D55"/>
    <w:rsid w:val="009330AE"/>
    <w:rsid w:val="00933E97"/>
    <w:rsid w:val="009341F0"/>
    <w:rsid w:val="00934501"/>
    <w:rsid w:val="00934C38"/>
    <w:rsid w:val="00935589"/>
    <w:rsid w:val="00936108"/>
    <w:rsid w:val="00936654"/>
    <w:rsid w:val="00937071"/>
    <w:rsid w:val="0093744D"/>
    <w:rsid w:val="00937C6D"/>
    <w:rsid w:val="009413A3"/>
    <w:rsid w:val="00942692"/>
    <w:rsid w:val="00943178"/>
    <w:rsid w:val="00943382"/>
    <w:rsid w:val="00943791"/>
    <w:rsid w:val="00943E68"/>
    <w:rsid w:val="0094413B"/>
    <w:rsid w:val="0094419F"/>
    <w:rsid w:val="00944699"/>
    <w:rsid w:val="009446D1"/>
    <w:rsid w:val="00944C50"/>
    <w:rsid w:val="009458A6"/>
    <w:rsid w:val="009460C9"/>
    <w:rsid w:val="009466F2"/>
    <w:rsid w:val="009472F9"/>
    <w:rsid w:val="009476E1"/>
    <w:rsid w:val="009478D0"/>
    <w:rsid w:val="00947A95"/>
    <w:rsid w:val="00947EC5"/>
    <w:rsid w:val="00950039"/>
    <w:rsid w:val="00950B15"/>
    <w:rsid w:val="0095124D"/>
    <w:rsid w:val="00951F2B"/>
    <w:rsid w:val="00952305"/>
    <w:rsid w:val="009526BE"/>
    <w:rsid w:val="009531F5"/>
    <w:rsid w:val="00953294"/>
    <w:rsid w:val="009532AE"/>
    <w:rsid w:val="00955568"/>
    <w:rsid w:val="009556F6"/>
    <w:rsid w:val="00955CBB"/>
    <w:rsid w:val="00955E2C"/>
    <w:rsid w:val="0095610E"/>
    <w:rsid w:val="00956F4E"/>
    <w:rsid w:val="009572BB"/>
    <w:rsid w:val="0096064F"/>
    <w:rsid w:val="00960E37"/>
    <w:rsid w:val="0096108F"/>
    <w:rsid w:val="00961676"/>
    <w:rsid w:val="0096182A"/>
    <w:rsid w:val="0096229F"/>
    <w:rsid w:val="009624C7"/>
    <w:rsid w:val="00962559"/>
    <w:rsid w:val="00962B0C"/>
    <w:rsid w:val="00962BEF"/>
    <w:rsid w:val="0096319C"/>
    <w:rsid w:val="00964130"/>
    <w:rsid w:val="00964953"/>
    <w:rsid w:val="00965A10"/>
    <w:rsid w:val="009660B0"/>
    <w:rsid w:val="00967B97"/>
    <w:rsid w:val="00970566"/>
    <w:rsid w:val="0097067A"/>
    <w:rsid w:val="00971A67"/>
    <w:rsid w:val="00971F10"/>
    <w:rsid w:val="009722A6"/>
    <w:rsid w:val="00972558"/>
    <w:rsid w:val="00972576"/>
    <w:rsid w:val="00972F88"/>
    <w:rsid w:val="0097386D"/>
    <w:rsid w:val="00973B98"/>
    <w:rsid w:val="00973D72"/>
    <w:rsid w:val="00974BD4"/>
    <w:rsid w:val="009755AC"/>
    <w:rsid w:val="00975A30"/>
    <w:rsid w:val="00975D48"/>
    <w:rsid w:val="00975D63"/>
    <w:rsid w:val="00975FEE"/>
    <w:rsid w:val="00976151"/>
    <w:rsid w:val="00976D2D"/>
    <w:rsid w:val="009779CF"/>
    <w:rsid w:val="009813EA"/>
    <w:rsid w:val="009816D1"/>
    <w:rsid w:val="0098172A"/>
    <w:rsid w:val="0098228A"/>
    <w:rsid w:val="009826A2"/>
    <w:rsid w:val="009827B7"/>
    <w:rsid w:val="00983081"/>
    <w:rsid w:val="0098345F"/>
    <w:rsid w:val="009834C3"/>
    <w:rsid w:val="00983ACC"/>
    <w:rsid w:val="00983FA1"/>
    <w:rsid w:val="00984698"/>
    <w:rsid w:val="009848E7"/>
    <w:rsid w:val="00985584"/>
    <w:rsid w:val="00985676"/>
    <w:rsid w:val="009858A1"/>
    <w:rsid w:val="00986150"/>
    <w:rsid w:val="00986BEA"/>
    <w:rsid w:val="00986CA9"/>
    <w:rsid w:val="00986FC7"/>
    <w:rsid w:val="009870FD"/>
    <w:rsid w:val="00987858"/>
    <w:rsid w:val="00987BD1"/>
    <w:rsid w:val="009900EB"/>
    <w:rsid w:val="00990600"/>
    <w:rsid w:val="00990DA0"/>
    <w:rsid w:val="009912E9"/>
    <w:rsid w:val="0099159F"/>
    <w:rsid w:val="00991AE2"/>
    <w:rsid w:val="009922E2"/>
    <w:rsid w:val="0099283D"/>
    <w:rsid w:val="00992A60"/>
    <w:rsid w:val="00992AD4"/>
    <w:rsid w:val="00992EAE"/>
    <w:rsid w:val="009931C1"/>
    <w:rsid w:val="0099338F"/>
    <w:rsid w:val="00993B35"/>
    <w:rsid w:val="00993EFD"/>
    <w:rsid w:val="009949EB"/>
    <w:rsid w:val="00994C84"/>
    <w:rsid w:val="00994E28"/>
    <w:rsid w:val="00995420"/>
    <w:rsid w:val="00995BD3"/>
    <w:rsid w:val="00995FBE"/>
    <w:rsid w:val="009964E4"/>
    <w:rsid w:val="00996BC4"/>
    <w:rsid w:val="00997388"/>
    <w:rsid w:val="00997B17"/>
    <w:rsid w:val="009A018D"/>
    <w:rsid w:val="009A04E4"/>
    <w:rsid w:val="009A052B"/>
    <w:rsid w:val="009A06FD"/>
    <w:rsid w:val="009A1023"/>
    <w:rsid w:val="009A1209"/>
    <w:rsid w:val="009A139E"/>
    <w:rsid w:val="009A21CC"/>
    <w:rsid w:val="009A243D"/>
    <w:rsid w:val="009A3343"/>
    <w:rsid w:val="009A3E4D"/>
    <w:rsid w:val="009A4746"/>
    <w:rsid w:val="009A4B9A"/>
    <w:rsid w:val="009A4DF7"/>
    <w:rsid w:val="009A5CBA"/>
    <w:rsid w:val="009A6001"/>
    <w:rsid w:val="009A60C5"/>
    <w:rsid w:val="009A61CE"/>
    <w:rsid w:val="009A6B05"/>
    <w:rsid w:val="009A701B"/>
    <w:rsid w:val="009A772C"/>
    <w:rsid w:val="009A77ED"/>
    <w:rsid w:val="009B0392"/>
    <w:rsid w:val="009B0451"/>
    <w:rsid w:val="009B0655"/>
    <w:rsid w:val="009B07DC"/>
    <w:rsid w:val="009B0811"/>
    <w:rsid w:val="009B1116"/>
    <w:rsid w:val="009B1288"/>
    <w:rsid w:val="009B12C0"/>
    <w:rsid w:val="009B131C"/>
    <w:rsid w:val="009B1973"/>
    <w:rsid w:val="009B1C73"/>
    <w:rsid w:val="009B22BF"/>
    <w:rsid w:val="009B2448"/>
    <w:rsid w:val="009B2538"/>
    <w:rsid w:val="009B2A1F"/>
    <w:rsid w:val="009B36FC"/>
    <w:rsid w:val="009B389B"/>
    <w:rsid w:val="009B3BB6"/>
    <w:rsid w:val="009B41DE"/>
    <w:rsid w:val="009B52AE"/>
    <w:rsid w:val="009B6289"/>
    <w:rsid w:val="009B62EA"/>
    <w:rsid w:val="009B6717"/>
    <w:rsid w:val="009B6B3D"/>
    <w:rsid w:val="009B6E82"/>
    <w:rsid w:val="009B7355"/>
    <w:rsid w:val="009B7506"/>
    <w:rsid w:val="009B75D2"/>
    <w:rsid w:val="009B769E"/>
    <w:rsid w:val="009B7A50"/>
    <w:rsid w:val="009B7DF4"/>
    <w:rsid w:val="009C00DC"/>
    <w:rsid w:val="009C05E6"/>
    <w:rsid w:val="009C0ACE"/>
    <w:rsid w:val="009C0C13"/>
    <w:rsid w:val="009C0C15"/>
    <w:rsid w:val="009C0C71"/>
    <w:rsid w:val="009C0CB0"/>
    <w:rsid w:val="009C1D6E"/>
    <w:rsid w:val="009C21BA"/>
    <w:rsid w:val="009C22C8"/>
    <w:rsid w:val="009C295D"/>
    <w:rsid w:val="009C31BF"/>
    <w:rsid w:val="009C3A66"/>
    <w:rsid w:val="009C3CBA"/>
    <w:rsid w:val="009C4011"/>
    <w:rsid w:val="009C438C"/>
    <w:rsid w:val="009C5285"/>
    <w:rsid w:val="009C5688"/>
    <w:rsid w:val="009C5909"/>
    <w:rsid w:val="009C7240"/>
    <w:rsid w:val="009C779E"/>
    <w:rsid w:val="009C795A"/>
    <w:rsid w:val="009D02F7"/>
    <w:rsid w:val="009D064E"/>
    <w:rsid w:val="009D0704"/>
    <w:rsid w:val="009D10EB"/>
    <w:rsid w:val="009D12DD"/>
    <w:rsid w:val="009D177F"/>
    <w:rsid w:val="009D195F"/>
    <w:rsid w:val="009D25B5"/>
    <w:rsid w:val="009D26F7"/>
    <w:rsid w:val="009D27A3"/>
    <w:rsid w:val="009D2A3E"/>
    <w:rsid w:val="009D2DB4"/>
    <w:rsid w:val="009D2E1D"/>
    <w:rsid w:val="009D2E3D"/>
    <w:rsid w:val="009D3849"/>
    <w:rsid w:val="009D4048"/>
    <w:rsid w:val="009D409F"/>
    <w:rsid w:val="009D4105"/>
    <w:rsid w:val="009D47CA"/>
    <w:rsid w:val="009D4A71"/>
    <w:rsid w:val="009D4B26"/>
    <w:rsid w:val="009D5C62"/>
    <w:rsid w:val="009D5E89"/>
    <w:rsid w:val="009D625A"/>
    <w:rsid w:val="009D671C"/>
    <w:rsid w:val="009D6ACA"/>
    <w:rsid w:val="009D6B87"/>
    <w:rsid w:val="009D6D38"/>
    <w:rsid w:val="009D73EF"/>
    <w:rsid w:val="009D74DA"/>
    <w:rsid w:val="009D7710"/>
    <w:rsid w:val="009D796B"/>
    <w:rsid w:val="009D7C57"/>
    <w:rsid w:val="009E0234"/>
    <w:rsid w:val="009E095E"/>
    <w:rsid w:val="009E1A29"/>
    <w:rsid w:val="009E28BC"/>
    <w:rsid w:val="009E2AD6"/>
    <w:rsid w:val="009E2CE3"/>
    <w:rsid w:val="009E2D38"/>
    <w:rsid w:val="009E3B73"/>
    <w:rsid w:val="009E44A6"/>
    <w:rsid w:val="009E4653"/>
    <w:rsid w:val="009E47ED"/>
    <w:rsid w:val="009E53CF"/>
    <w:rsid w:val="009E5F3E"/>
    <w:rsid w:val="009E6A7C"/>
    <w:rsid w:val="009E6B7C"/>
    <w:rsid w:val="009E70AC"/>
    <w:rsid w:val="009E70DF"/>
    <w:rsid w:val="009E720E"/>
    <w:rsid w:val="009E7228"/>
    <w:rsid w:val="009E73CE"/>
    <w:rsid w:val="009F00AA"/>
    <w:rsid w:val="009F0906"/>
    <w:rsid w:val="009F0BAB"/>
    <w:rsid w:val="009F0C0E"/>
    <w:rsid w:val="009F0D00"/>
    <w:rsid w:val="009F0F71"/>
    <w:rsid w:val="009F1C73"/>
    <w:rsid w:val="009F1E99"/>
    <w:rsid w:val="009F203F"/>
    <w:rsid w:val="009F2AA9"/>
    <w:rsid w:val="009F3346"/>
    <w:rsid w:val="009F4A81"/>
    <w:rsid w:val="009F518F"/>
    <w:rsid w:val="009F591E"/>
    <w:rsid w:val="009F5B32"/>
    <w:rsid w:val="009F5B49"/>
    <w:rsid w:val="009F606C"/>
    <w:rsid w:val="009F639D"/>
    <w:rsid w:val="009F6A4A"/>
    <w:rsid w:val="009F7E3F"/>
    <w:rsid w:val="00A00406"/>
    <w:rsid w:val="00A0058E"/>
    <w:rsid w:val="00A00BE2"/>
    <w:rsid w:val="00A01657"/>
    <w:rsid w:val="00A016E3"/>
    <w:rsid w:val="00A01F02"/>
    <w:rsid w:val="00A02EFD"/>
    <w:rsid w:val="00A047A6"/>
    <w:rsid w:val="00A04EDF"/>
    <w:rsid w:val="00A05315"/>
    <w:rsid w:val="00A05BD8"/>
    <w:rsid w:val="00A05C12"/>
    <w:rsid w:val="00A0608E"/>
    <w:rsid w:val="00A06535"/>
    <w:rsid w:val="00A06C95"/>
    <w:rsid w:val="00A06C9A"/>
    <w:rsid w:val="00A06EF1"/>
    <w:rsid w:val="00A06FCC"/>
    <w:rsid w:val="00A0761A"/>
    <w:rsid w:val="00A07CCC"/>
    <w:rsid w:val="00A07E1A"/>
    <w:rsid w:val="00A07F63"/>
    <w:rsid w:val="00A114CC"/>
    <w:rsid w:val="00A120D4"/>
    <w:rsid w:val="00A131FE"/>
    <w:rsid w:val="00A1329A"/>
    <w:rsid w:val="00A13585"/>
    <w:rsid w:val="00A135B0"/>
    <w:rsid w:val="00A1379B"/>
    <w:rsid w:val="00A13827"/>
    <w:rsid w:val="00A14059"/>
    <w:rsid w:val="00A14201"/>
    <w:rsid w:val="00A14536"/>
    <w:rsid w:val="00A15083"/>
    <w:rsid w:val="00A15084"/>
    <w:rsid w:val="00A160CF"/>
    <w:rsid w:val="00A16458"/>
    <w:rsid w:val="00A16916"/>
    <w:rsid w:val="00A16A55"/>
    <w:rsid w:val="00A171D0"/>
    <w:rsid w:val="00A17BBD"/>
    <w:rsid w:val="00A17E39"/>
    <w:rsid w:val="00A201DF"/>
    <w:rsid w:val="00A20363"/>
    <w:rsid w:val="00A206A7"/>
    <w:rsid w:val="00A2083D"/>
    <w:rsid w:val="00A20B89"/>
    <w:rsid w:val="00A20F74"/>
    <w:rsid w:val="00A2102F"/>
    <w:rsid w:val="00A21292"/>
    <w:rsid w:val="00A2183E"/>
    <w:rsid w:val="00A221F8"/>
    <w:rsid w:val="00A23BC9"/>
    <w:rsid w:val="00A2411B"/>
    <w:rsid w:val="00A2437A"/>
    <w:rsid w:val="00A248D6"/>
    <w:rsid w:val="00A25298"/>
    <w:rsid w:val="00A254E5"/>
    <w:rsid w:val="00A25866"/>
    <w:rsid w:val="00A25DEF"/>
    <w:rsid w:val="00A2608F"/>
    <w:rsid w:val="00A26277"/>
    <w:rsid w:val="00A26311"/>
    <w:rsid w:val="00A26398"/>
    <w:rsid w:val="00A2685B"/>
    <w:rsid w:val="00A26DE7"/>
    <w:rsid w:val="00A27290"/>
    <w:rsid w:val="00A27B95"/>
    <w:rsid w:val="00A30184"/>
    <w:rsid w:val="00A30291"/>
    <w:rsid w:val="00A3043D"/>
    <w:rsid w:val="00A31073"/>
    <w:rsid w:val="00A3154E"/>
    <w:rsid w:val="00A31EE3"/>
    <w:rsid w:val="00A32714"/>
    <w:rsid w:val="00A32892"/>
    <w:rsid w:val="00A32A0E"/>
    <w:rsid w:val="00A336E4"/>
    <w:rsid w:val="00A34556"/>
    <w:rsid w:val="00A34881"/>
    <w:rsid w:val="00A35041"/>
    <w:rsid w:val="00A35487"/>
    <w:rsid w:val="00A3591A"/>
    <w:rsid w:val="00A363A5"/>
    <w:rsid w:val="00A368AC"/>
    <w:rsid w:val="00A375A3"/>
    <w:rsid w:val="00A379FC"/>
    <w:rsid w:val="00A412A4"/>
    <w:rsid w:val="00A412E5"/>
    <w:rsid w:val="00A413E0"/>
    <w:rsid w:val="00A4182E"/>
    <w:rsid w:val="00A41D07"/>
    <w:rsid w:val="00A4214F"/>
    <w:rsid w:val="00A42161"/>
    <w:rsid w:val="00A42DA8"/>
    <w:rsid w:val="00A43127"/>
    <w:rsid w:val="00A431A7"/>
    <w:rsid w:val="00A434E2"/>
    <w:rsid w:val="00A436FE"/>
    <w:rsid w:val="00A43A9B"/>
    <w:rsid w:val="00A4402E"/>
    <w:rsid w:val="00A44D1F"/>
    <w:rsid w:val="00A44EC9"/>
    <w:rsid w:val="00A44F6D"/>
    <w:rsid w:val="00A45917"/>
    <w:rsid w:val="00A459DD"/>
    <w:rsid w:val="00A45E12"/>
    <w:rsid w:val="00A46393"/>
    <w:rsid w:val="00A46EAD"/>
    <w:rsid w:val="00A47FAA"/>
    <w:rsid w:val="00A50629"/>
    <w:rsid w:val="00A50AC7"/>
    <w:rsid w:val="00A51029"/>
    <w:rsid w:val="00A515BD"/>
    <w:rsid w:val="00A534FF"/>
    <w:rsid w:val="00A559B5"/>
    <w:rsid w:val="00A55DAE"/>
    <w:rsid w:val="00A5663A"/>
    <w:rsid w:val="00A569F4"/>
    <w:rsid w:val="00A56F06"/>
    <w:rsid w:val="00A5785D"/>
    <w:rsid w:val="00A57A33"/>
    <w:rsid w:val="00A57D17"/>
    <w:rsid w:val="00A609A1"/>
    <w:rsid w:val="00A60C09"/>
    <w:rsid w:val="00A61275"/>
    <w:rsid w:val="00A61516"/>
    <w:rsid w:val="00A619E9"/>
    <w:rsid w:val="00A61A25"/>
    <w:rsid w:val="00A61BAC"/>
    <w:rsid w:val="00A61CF7"/>
    <w:rsid w:val="00A623DA"/>
    <w:rsid w:val="00A62608"/>
    <w:rsid w:val="00A62F55"/>
    <w:rsid w:val="00A63815"/>
    <w:rsid w:val="00A63F3B"/>
    <w:rsid w:val="00A6409A"/>
    <w:rsid w:val="00A644AF"/>
    <w:rsid w:val="00A64651"/>
    <w:rsid w:val="00A6491C"/>
    <w:rsid w:val="00A653D8"/>
    <w:rsid w:val="00A6578B"/>
    <w:rsid w:val="00A66497"/>
    <w:rsid w:val="00A66BDB"/>
    <w:rsid w:val="00A6704B"/>
    <w:rsid w:val="00A6718D"/>
    <w:rsid w:val="00A67199"/>
    <w:rsid w:val="00A6728D"/>
    <w:rsid w:val="00A6755E"/>
    <w:rsid w:val="00A675E3"/>
    <w:rsid w:val="00A707BB"/>
    <w:rsid w:val="00A710CE"/>
    <w:rsid w:val="00A713B3"/>
    <w:rsid w:val="00A71791"/>
    <w:rsid w:val="00A720D4"/>
    <w:rsid w:val="00A72762"/>
    <w:rsid w:val="00A72D39"/>
    <w:rsid w:val="00A73ADD"/>
    <w:rsid w:val="00A73AE7"/>
    <w:rsid w:val="00A73CC7"/>
    <w:rsid w:val="00A73CEB"/>
    <w:rsid w:val="00A73E21"/>
    <w:rsid w:val="00A7402C"/>
    <w:rsid w:val="00A74136"/>
    <w:rsid w:val="00A7464E"/>
    <w:rsid w:val="00A74AC6"/>
    <w:rsid w:val="00A75601"/>
    <w:rsid w:val="00A75656"/>
    <w:rsid w:val="00A758F6"/>
    <w:rsid w:val="00A75C7F"/>
    <w:rsid w:val="00A75D51"/>
    <w:rsid w:val="00A75F47"/>
    <w:rsid w:val="00A75F56"/>
    <w:rsid w:val="00A76467"/>
    <w:rsid w:val="00A76A6F"/>
    <w:rsid w:val="00A76E95"/>
    <w:rsid w:val="00A76EDE"/>
    <w:rsid w:val="00A772D4"/>
    <w:rsid w:val="00A775AD"/>
    <w:rsid w:val="00A77627"/>
    <w:rsid w:val="00A779C9"/>
    <w:rsid w:val="00A77A3A"/>
    <w:rsid w:val="00A77A82"/>
    <w:rsid w:val="00A77C8E"/>
    <w:rsid w:val="00A804B6"/>
    <w:rsid w:val="00A80D1A"/>
    <w:rsid w:val="00A812AD"/>
    <w:rsid w:val="00A8132B"/>
    <w:rsid w:val="00A81811"/>
    <w:rsid w:val="00A8197A"/>
    <w:rsid w:val="00A81DBA"/>
    <w:rsid w:val="00A82157"/>
    <w:rsid w:val="00A8239D"/>
    <w:rsid w:val="00A8293A"/>
    <w:rsid w:val="00A82CE8"/>
    <w:rsid w:val="00A82D0D"/>
    <w:rsid w:val="00A83796"/>
    <w:rsid w:val="00A846D3"/>
    <w:rsid w:val="00A847EE"/>
    <w:rsid w:val="00A84D7E"/>
    <w:rsid w:val="00A85044"/>
    <w:rsid w:val="00A85586"/>
    <w:rsid w:val="00A85F3D"/>
    <w:rsid w:val="00A86C9C"/>
    <w:rsid w:val="00A90760"/>
    <w:rsid w:val="00A90814"/>
    <w:rsid w:val="00A90BE6"/>
    <w:rsid w:val="00A90F3A"/>
    <w:rsid w:val="00A90FD7"/>
    <w:rsid w:val="00A91336"/>
    <w:rsid w:val="00A91641"/>
    <w:rsid w:val="00A91C19"/>
    <w:rsid w:val="00A9228E"/>
    <w:rsid w:val="00A9307A"/>
    <w:rsid w:val="00A94175"/>
    <w:rsid w:val="00A952C7"/>
    <w:rsid w:val="00A9548E"/>
    <w:rsid w:val="00A958C7"/>
    <w:rsid w:val="00A959F0"/>
    <w:rsid w:val="00A96201"/>
    <w:rsid w:val="00A96729"/>
    <w:rsid w:val="00A96F3B"/>
    <w:rsid w:val="00A979A6"/>
    <w:rsid w:val="00A97F63"/>
    <w:rsid w:val="00AA01E7"/>
    <w:rsid w:val="00AA0D14"/>
    <w:rsid w:val="00AA1372"/>
    <w:rsid w:val="00AA2110"/>
    <w:rsid w:val="00AA24CC"/>
    <w:rsid w:val="00AA277B"/>
    <w:rsid w:val="00AA287B"/>
    <w:rsid w:val="00AA2C13"/>
    <w:rsid w:val="00AA2E57"/>
    <w:rsid w:val="00AA2F3E"/>
    <w:rsid w:val="00AA325F"/>
    <w:rsid w:val="00AA371A"/>
    <w:rsid w:val="00AA3F1F"/>
    <w:rsid w:val="00AA457C"/>
    <w:rsid w:val="00AA4AA4"/>
    <w:rsid w:val="00AA4EA0"/>
    <w:rsid w:val="00AA4F4F"/>
    <w:rsid w:val="00AA596D"/>
    <w:rsid w:val="00AA5A89"/>
    <w:rsid w:val="00AA630C"/>
    <w:rsid w:val="00AA6601"/>
    <w:rsid w:val="00AA66E4"/>
    <w:rsid w:val="00AA688F"/>
    <w:rsid w:val="00AA6D63"/>
    <w:rsid w:val="00AA7128"/>
    <w:rsid w:val="00AA7545"/>
    <w:rsid w:val="00AA76F2"/>
    <w:rsid w:val="00AA7A7B"/>
    <w:rsid w:val="00AB0899"/>
    <w:rsid w:val="00AB0AE3"/>
    <w:rsid w:val="00AB0C7B"/>
    <w:rsid w:val="00AB1851"/>
    <w:rsid w:val="00AB19C4"/>
    <w:rsid w:val="00AB20D7"/>
    <w:rsid w:val="00AB2B68"/>
    <w:rsid w:val="00AB2CB9"/>
    <w:rsid w:val="00AB2DBC"/>
    <w:rsid w:val="00AB3549"/>
    <w:rsid w:val="00AB5221"/>
    <w:rsid w:val="00AB53FB"/>
    <w:rsid w:val="00AB5436"/>
    <w:rsid w:val="00AB57CC"/>
    <w:rsid w:val="00AB5834"/>
    <w:rsid w:val="00AB6F7A"/>
    <w:rsid w:val="00AB70A8"/>
    <w:rsid w:val="00AB76E8"/>
    <w:rsid w:val="00AB792B"/>
    <w:rsid w:val="00AB7B46"/>
    <w:rsid w:val="00AB7D45"/>
    <w:rsid w:val="00AC01BD"/>
    <w:rsid w:val="00AC0256"/>
    <w:rsid w:val="00AC0501"/>
    <w:rsid w:val="00AC0A86"/>
    <w:rsid w:val="00AC0E34"/>
    <w:rsid w:val="00AC1211"/>
    <w:rsid w:val="00AC145C"/>
    <w:rsid w:val="00AC1675"/>
    <w:rsid w:val="00AC170B"/>
    <w:rsid w:val="00AC1725"/>
    <w:rsid w:val="00AC17DD"/>
    <w:rsid w:val="00AC18FA"/>
    <w:rsid w:val="00AC19C7"/>
    <w:rsid w:val="00AC1CBA"/>
    <w:rsid w:val="00AC2755"/>
    <w:rsid w:val="00AC333D"/>
    <w:rsid w:val="00AC34D7"/>
    <w:rsid w:val="00AC361F"/>
    <w:rsid w:val="00AC3DE2"/>
    <w:rsid w:val="00AC4B69"/>
    <w:rsid w:val="00AC4BA7"/>
    <w:rsid w:val="00AC550F"/>
    <w:rsid w:val="00AC55AB"/>
    <w:rsid w:val="00AC5CF3"/>
    <w:rsid w:val="00AC6471"/>
    <w:rsid w:val="00AC6935"/>
    <w:rsid w:val="00AC6ECF"/>
    <w:rsid w:val="00AC7276"/>
    <w:rsid w:val="00AC7462"/>
    <w:rsid w:val="00AC7BD2"/>
    <w:rsid w:val="00AC7DF1"/>
    <w:rsid w:val="00AD05C8"/>
    <w:rsid w:val="00AD06A9"/>
    <w:rsid w:val="00AD08C1"/>
    <w:rsid w:val="00AD0C70"/>
    <w:rsid w:val="00AD1018"/>
    <w:rsid w:val="00AD1619"/>
    <w:rsid w:val="00AD26DC"/>
    <w:rsid w:val="00AD2AB1"/>
    <w:rsid w:val="00AD2B5D"/>
    <w:rsid w:val="00AD2FF6"/>
    <w:rsid w:val="00AD3311"/>
    <w:rsid w:val="00AD3EF0"/>
    <w:rsid w:val="00AD4024"/>
    <w:rsid w:val="00AD4407"/>
    <w:rsid w:val="00AD459B"/>
    <w:rsid w:val="00AD4C8E"/>
    <w:rsid w:val="00AD584C"/>
    <w:rsid w:val="00AD6058"/>
    <w:rsid w:val="00AD64B0"/>
    <w:rsid w:val="00AD7002"/>
    <w:rsid w:val="00AD7290"/>
    <w:rsid w:val="00AE020F"/>
    <w:rsid w:val="00AE0ADC"/>
    <w:rsid w:val="00AE11BB"/>
    <w:rsid w:val="00AE1505"/>
    <w:rsid w:val="00AE3D6C"/>
    <w:rsid w:val="00AE3F76"/>
    <w:rsid w:val="00AE4040"/>
    <w:rsid w:val="00AE44D6"/>
    <w:rsid w:val="00AE45FF"/>
    <w:rsid w:val="00AE48A0"/>
    <w:rsid w:val="00AE5287"/>
    <w:rsid w:val="00AE578D"/>
    <w:rsid w:val="00AE582E"/>
    <w:rsid w:val="00AE58BF"/>
    <w:rsid w:val="00AE5A9B"/>
    <w:rsid w:val="00AE60A0"/>
    <w:rsid w:val="00AE632A"/>
    <w:rsid w:val="00AE637A"/>
    <w:rsid w:val="00AE640A"/>
    <w:rsid w:val="00AE6694"/>
    <w:rsid w:val="00AE6A19"/>
    <w:rsid w:val="00AE7834"/>
    <w:rsid w:val="00AE78BE"/>
    <w:rsid w:val="00AE7A4C"/>
    <w:rsid w:val="00AF0193"/>
    <w:rsid w:val="00AF0A3E"/>
    <w:rsid w:val="00AF0F29"/>
    <w:rsid w:val="00AF0F37"/>
    <w:rsid w:val="00AF16D7"/>
    <w:rsid w:val="00AF18A3"/>
    <w:rsid w:val="00AF1A36"/>
    <w:rsid w:val="00AF1AAE"/>
    <w:rsid w:val="00AF1DD8"/>
    <w:rsid w:val="00AF234E"/>
    <w:rsid w:val="00AF2731"/>
    <w:rsid w:val="00AF28A6"/>
    <w:rsid w:val="00AF28BE"/>
    <w:rsid w:val="00AF2A7B"/>
    <w:rsid w:val="00AF3016"/>
    <w:rsid w:val="00AF336C"/>
    <w:rsid w:val="00AF33D1"/>
    <w:rsid w:val="00AF3CB9"/>
    <w:rsid w:val="00AF41B4"/>
    <w:rsid w:val="00AF43A8"/>
    <w:rsid w:val="00AF5119"/>
    <w:rsid w:val="00AF52A1"/>
    <w:rsid w:val="00AF5896"/>
    <w:rsid w:val="00AF5A37"/>
    <w:rsid w:val="00AF5A8D"/>
    <w:rsid w:val="00AF60A3"/>
    <w:rsid w:val="00AF65F6"/>
    <w:rsid w:val="00AF66A2"/>
    <w:rsid w:val="00B007FD"/>
    <w:rsid w:val="00B0082A"/>
    <w:rsid w:val="00B0151A"/>
    <w:rsid w:val="00B01686"/>
    <w:rsid w:val="00B01A2C"/>
    <w:rsid w:val="00B01D41"/>
    <w:rsid w:val="00B024AD"/>
    <w:rsid w:val="00B02C4E"/>
    <w:rsid w:val="00B02D23"/>
    <w:rsid w:val="00B02E58"/>
    <w:rsid w:val="00B031B3"/>
    <w:rsid w:val="00B03C2E"/>
    <w:rsid w:val="00B03C7B"/>
    <w:rsid w:val="00B049D9"/>
    <w:rsid w:val="00B04D69"/>
    <w:rsid w:val="00B05018"/>
    <w:rsid w:val="00B05366"/>
    <w:rsid w:val="00B05EA4"/>
    <w:rsid w:val="00B063AE"/>
    <w:rsid w:val="00B06F0A"/>
    <w:rsid w:val="00B07714"/>
    <w:rsid w:val="00B07D3B"/>
    <w:rsid w:val="00B07FE8"/>
    <w:rsid w:val="00B100E0"/>
    <w:rsid w:val="00B10ADD"/>
    <w:rsid w:val="00B10F4E"/>
    <w:rsid w:val="00B11878"/>
    <w:rsid w:val="00B11956"/>
    <w:rsid w:val="00B11BFA"/>
    <w:rsid w:val="00B12441"/>
    <w:rsid w:val="00B12824"/>
    <w:rsid w:val="00B12CC9"/>
    <w:rsid w:val="00B12EE8"/>
    <w:rsid w:val="00B1328F"/>
    <w:rsid w:val="00B13718"/>
    <w:rsid w:val="00B139FB"/>
    <w:rsid w:val="00B13A60"/>
    <w:rsid w:val="00B13A89"/>
    <w:rsid w:val="00B1404D"/>
    <w:rsid w:val="00B151C5"/>
    <w:rsid w:val="00B15682"/>
    <w:rsid w:val="00B1585A"/>
    <w:rsid w:val="00B15B03"/>
    <w:rsid w:val="00B16A28"/>
    <w:rsid w:val="00B16CEE"/>
    <w:rsid w:val="00B172AA"/>
    <w:rsid w:val="00B2088A"/>
    <w:rsid w:val="00B21D22"/>
    <w:rsid w:val="00B21FAB"/>
    <w:rsid w:val="00B22988"/>
    <w:rsid w:val="00B23237"/>
    <w:rsid w:val="00B233E5"/>
    <w:rsid w:val="00B24E67"/>
    <w:rsid w:val="00B25F82"/>
    <w:rsid w:val="00B26F0C"/>
    <w:rsid w:val="00B2707A"/>
    <w:rsid w:val="00B27FDE"/>
    <w:rsid w:val="00B301C6"/>
    <w:rsid w:val="00B30373"/>
    <w:rsid w:val="00B305F9"/>
    <w:rsid w:val="00B30956"/>
    <w:rsid w:val="00B317A7"/>
    <w:rsid w:val="00B32416"/>
    <w:rsid w:val="00B3264A"/>
    <w:rsid w:val="00B32817"/>
    <w:rsid w:val="00B32D7D"/>
    <w:rsid w:val="00B32FCF"/>
    <w:rsid w:val="00B33150"/>
    <w:rsid w:val="00B334A0"/>
    <w:rsid w:val="00B339A6"/>
    <w:rsid w:val="00B3410E"/>
    <w:rsid w:val="00B34540"/>
    <w:rsid w:val="00B3473B"/>
    <w:rsid w:val="00B34C80"/>
    <w:rsid w:val="00B3586C"/>
    <w:rsid w:val="00B35AFD"/>
    <w:rsid w:val="00B361F4"/>
    <w:rsid w:val="00B3659F"/>
    <w:rsid w:val="00B365EC"/>
    <w:rsid w:val="00B3669F"/>
    <w:rsid w:val="00B36DFB"/>
    <w:rsid w:val="00B37657"/>
    <w:rsid w:val="00B37A24"/>
    <w:rsid w:val="00B4068C"/>
    <w:rsid w:val="00B4107B"/>
    <w:rsid w:val="00B411C9"/>
    <w:rsid w:val="00B415C5"/>
    <w:rsid w:val="00B41C1A"/>
    <w:rsid w:val="00B41F81"/>
    <w:rsid w:val="00B42495"/>
    <w:rsid w:val="00B424C5"/>
    <w:rsid w:val="00B42744"/>
    <w:rsid w:val="00B42906"/>
    <w:rsid w:val="00B42CEB"/>
    <w:rsid w:val="00B42FD8"/>
    <w:rsid w:val="00B437D3"/>
    <w:rsid w:val="00B43A04"/>
    <w:rsid w:val="00B44080"/>
    <w:rsid w:val="00B44261"/>
    <w:rsid w:val="00B446F0"/>
    <w:rsid w:val="00B44E85"/>
    <w:rsid w:val="00B44F4F"/>
    <w:rsid w:val="00B4512A"/>
    <w:rsid w:val="00B45174"/>
    <w:rsid w:val="00B45699"/>
    <w:rsid w:val="00B45735"/>
    <w:rsid w:val="00B45773"/>
    <w:rsid w:val="00B4577E"/>
    <w:rsid w:val="00B45BEA"/>
    <w:rsid w:val="00B45C84"/>
    <w:rsid w:val="00B46CDC"/>
    <w:rsid w:val="00B47756"/>
    <w:rsid w:val="00B47953"/>
    <w:rsid w:val="00B47DC7"/>
    <w:rsid w:val="00B50191"/>
    <w:rsid w:val="00B505CF"/>
    <w:rsid w:val="00B505FD"/>
    <w:rsid w:val="00B517D1"/>
    <w:rsid w:val="00B51B50"/>
    <w:rsid w:val="00B5218C"/>
    <w:rsid w:val="00B52A34"/>
    <w:rsid w:val="00B52FBA"/>
    <w:rsid w:val="00B53125"/>
    <w:rsid w:val="00B542E2"/>
    <w:rsid w:val="00B54999"/>
    <w:rsid w:val="00B549AD"/>
    <w:rsid w:val="00B54A8F"/>
    <w:rsid w:val="00B5521F"/>
    <w:rsid w:val="00B55279"/>
    <w:rsid w:val="00B5564B"/>
    <w:rsid w:val="00B561AD"/>
    <w:rsid w:val="00B5620D"/>
    <w:rsid w:val="00B56A6F"/>
    <w:rsid w:val="00B56B67"/>
    <w:rsid w:val="00B56CBC"/>
    <w:rsid w:val="00B57626"/>
    <w:rsid w:val="00B578DE"/>
    <w:rsid w:val="00B579D6"/>
    <w:rsid w:val="00B60051"/>
    <w:rsid w:val="00B60614"/>
    <w:rsid w:val="00B606DB"/>
    <w:rsid w:val="00B6084A"/>
    <w:rsid w:val="00B60A8D"/>
    <w:rsid w:val="00B6100A"/>
    <w:rsid w:val="00B613FA"/>
    <w:rsid w:val="00B61A36"/>
    <w:rsid w:val="00B61CA6"/>
    <w:rsid w:val="00B61E35"/>
    <w:rsid w:val="00B622A1"/>
    <w:rsid w:val="00B62A75"/>
    <w:rsid w:val="00B62E8F"/>
    <w:rsid w:val="00B63110"/>
    <w:rsid w:val="00B6331D"/>
    <w:rsid w:val="00B63426"/>
    <w:rsid w:val="00B6455B"/>
    <w:rsid w:val="00B64C30"/>
    <w:rsid w:val="00B64CBD"/>
    <w:rsid w:val="00B65851"/>
    <w:rsid w:val="00B65C27"/>
    <w:rsid w:val="00B65ED1"/>
    <w:rsid w:val="00B66210"/>
    <w:rsid w:val="00B669F3"/>
    <w:rsid w:val="00B66E67"/>
    <w:rsid w:val="00B67122"/>
    <w:rsid w:val="00B67F51"/>
    <w:rsid w:val="00B7037B"/>
    <w:rsid w:val="00B70EF0"/>
    <w:rsid w:val="00B71744"/>
    <w:rsid w:val="00B71D54"/>
    <w:rsid w:val="00B724C9"/>
    <w:rsid w:val="00B729E3"/>
    <w:rsid w:val="00B73481"/>
    <w:rsid w:val="00B73E8A"/>
    <w:rsid w:val="00B741FE"/>
    <w:rsid w:val="00B746EC"/>
    <w:rsid w:val="00B75205"/>
    <w:rsid w:val="00B752F4"/>
    <w:rsid w:val="00B75C1B"/>
    <w:rsid w:val="00B7603D"/>
    <w:rsid w:val="00B760F3"/>
    <w:rsid w:val="00B76D39"/>
    <w:rsid w:val="00B76D8A"/>
    <w:rsid w:val="00B777E9"/>
    <w:rsid w:val="00B778E0"/>
    <w:rsid w:val="00B77BA0"/>
    <w:rsid w:val="00B77BA4"/>
    <w:rsid w:val="00B77F66"/>
    <w:rsid w:val="00B77FAC"/>
    <w:rsid w:val="00B80023"/>
    <w:rsid w:val="00B806E7"/>
    <w:rsid w:val="00B80CF7"/>
    <w:rsid w:val="00B81154"/>
    <w:rsid w:val="00B81C45"/>
    <w:rsid w:val="00B82368"/>
    <w:rsid w:val="00B82635"/>
    <w:rsid w:val="00B83615"/>
    <w:rsid w:val="00B83F02"/>
    <w:rsid w:val="00B8495A"/>
    <w:rsid w:val="00B85B23"/>
    <w:rsid w:val="00B85F1C"/>
    <w:rsid w:val="00B85F3A"/>
    <w:rsid w:val="00B86459"/>
    <w:rsid w:val="00B867DF"/>
    <w:rsid w:val="00B8682A"/>
    <w:rsid w:val="00B86A79"/>
    <w:rsid w:val="00B8747E"/>
    <w:rsid w:val="00B876D9"/>
    <w:rsid w:val="00B87BA5"/>
    <w:rsid w:val="00B87EE1"/>
    <w:rsid w:val="00B87FF9"/>
    <w:rsid w:val="00B90687"/>
    <w:rsid w:val="00B90C37"/>
    <w:rsid w:val="00B910DC"/>
    <w:rsid w:val="00B911F8"/>
    <w:rsid w:val="00B912F5"/>
    <w:rsid w:val="00B9187D"/>
    <w:rsid w:val="00B91A3C"/>
    <w:rsid w:val="00B920A2"/>
    <w:rsid w:val="00B920EE"/>
    <w:rsid w:val="00B92158"/>
    <w:rsid w:val="00B925C4"/>
    <w:rsid w:val="00B93345"/>
    <w:rsid w:val="00B93385"/>
    <w:rsid w:val="00B934F7"/>
    <w:rsid w:val="00B93C34"/>
    <w:rsid w:val="00B940D1"/>
    <w:rsid w:val="00B94C45"/>
    <w:rsid w:val="00B94EBA"/>
    <w:rsid w:val="00B95975"/>
    <w:rsid w:val="00B95A82"/>
    <w:rsid w:val="00B95B3F"/>
    <w:rsid w:val="00B95DFA"/>
    <w:rsid w:val="00B96003"/>
    <w:rsid w:val="00B9612C"/>
    <w:rsid w:val="00B9673A"/>
    <w:rsid w:val="00B9676E"/>
    <w:rsid w:val="00B96AA2"/>
    <w:rsid w:val="00B96C9D"/>
    <w:rsid w:val="00B96D0F"/>
    <w:rsid w:val="00B96DAB"/>
    <w:rsid w:val="00B96FA0"/>
    <w:rsid w:val="00B97792"/>
    <w:rsid w:val="00BA056C"/>
    <w:rsid w:val="00BA0587"/>
    <w:rsid w:val="00BA0BF7"/>
    <w:rsid w:val="00BA0F73"/>
    <w:rsid w:val="00BA199A"/>
    <w:rsid w:val="00BA22B4"/>
    <w:rsid w:val="00BA2423"/>
    <w:rsid w:val="00BA27E8"/>
    <w:rsid w:val="00BA27F8"/>
    <w:rsid w:val="00BA29C7"/>
    <w:rsid w:val="00BA2F06"/>
    <w:rsid w:val="00BA3431"/>
    <w:rsid w:val="00BA35FA"/>
    <w:rsid w:val="00BA375D"/>
    <w:rsid w:val="00BA4185"/>
    <w:rsid w:val="00BA4F51"/>
    <w:rsid w:val="00BA5159"/>
    <w:rsid w:val="00BA5333"/>
    <w:rsid w:val="00BA55F9"/>
    <w:rsid w:val="00BA5C60"/>
    <w:rsid w:val="00BA6650"/>
    <w:rsid w:val="00BA6D2F"/>
    <w:rsid w:val="00BA70D5"/>
    <w:rsid w:val="00BA74DE"/>
    <w:rsid w:val="00BA783B"/>
    <w:rsid w:val="00BA7BE1"/>
    <w:rsid w:val="00BA7E43"/>
    <w:rsid w:val="00BA7ECB"/>
    <w:rsid w:val="00BA7F73"/>
    <w:rsid w:val="00BB0918"/>
    <w:rsid w:val="00BB0EB3"/>
    <w:rsid w:val="00BB1923"/>
    <w:rsid w:val="00BB241F"/>
    <w:rsid w:val="00BB2A77"/>
    <w:rsid w:val="00BB389C"/>
    <w:rsid w:val="00BB3A0B"/>
    <w:rsid w:val="00BB3CA6"/>
    <w:rsid w:val="00BB3DC8"/>
    <w:rsid w:val="00BB419D"/>
    <w:rsid w:val="00BB4EB8"/>
    <w:rsid w:val="00BB5167"/>
    <w:rsid w:val="00BB51C2"/>
    <w:rsid w:val="00BB58DB"/>
    <w:rsid w:val="00BB620B"/>
    <w:rsid w:val="00BB68E8"/>
    <w:rsid w:val="00BB6918"/>
    <w:rsid w:val="00BB71A7"/>
    <w:rsid w:val="00BB7A4C"/>
    <w:rsid w:val="00BB7B0C"/>
    <w:rsid w:val="00BB7DD5"/>
    <w:rsid w:val="00BB7F35"/>
    <w:rsid w:val="00BC0000"/>
    <w:rsid w:val="00BC009F"/>
    <w:rsid w:val="00BC028E"/>
    <w:rsid w:val="00BC047E"/>
    <w:rsid w:val="00BC0588"/>
    <w:rsid w:val="00BC0D0E"/>
    <w:rsid w:val="00BC0D42"/>
    <w:rsid w:val="00BC22AD"/>
    <w:rsid w:val="00BC28FF"/>
    <w:rsid w:val="00BC31A4"/>
    <w:rsid w:val="00BC3346"/>
    <w:rsid w:val="00BC338B"/>
    <w:rsid w:val="00BC3AAB"/>
    <w:rsid w:val="00BC3BAD"/>
    <w:rsid w:val="00BC3C4E"/>
    <w:rsid w:val="00BC3E39"/>
    <w:rsid w:val="00BC3E84"/>
    <w:rsid w:val="00BC3F22"/>
    <w:rsid w:val="00BC466E"/>
    <w:rsid w:val="00BC50E3"/>
    <w:rsid w:val="00BC5554"/>
    <w:rsid w:val="00BC575C"/>
    <w:rsid w:val="00BC582A"/>
    <w:rsid w:val="00BC5A3A"/>
    <w:rsid w:val="00BC6E74"/>
    <w:rsid w:val="00BC76C8"/>
    <w:rsid w:val="00BC779D"/>
    <w:rsid w:val="00BC7BB9"/>
    <w:rsid w:val="00BD0133"/>
    <w:rsid w:val="00BD016D"/>
    <w:rsid w:val="00BD029F"/>
    <w:rsid w:val="00BD06FC"/>
    <w:rsid w:val="00BD0AC6"/>
    <w:rsid w:val="00BD1DC9"/>
    <w:rsid w:val="00BD2981"/>
    <w:rsid w:val="00BD3485"/>
    <w:rsid w:val="00BD4203"/>
    <w:rsid w:val="00BD43A4"/>
    <w:rsid w:val="00BD4725"/>
    <w:rsid w:val="00BD48B9"/>
    <w:rsid w:val="00BD48CE"/>
    <w:rsid w:val="00BD491E"/>
    <w:rsid w:val="00BD56C1"/>
    <w:rsid w:val="00BD5726"/>
    <w:rsid w:val="00BD58E0"/>
    <w:rsid w:val="00BD5F54"/>
    <w:rsid w:val="00BD62A2"/>
    <w:rsid w:val="00BD6A87"/>
    <w:rsid w:val="00BD7006"/>
    <w:rsid w:val="00BD7310"/>
    <w:rsid w:val="00BD750F"/>
    <w:rsid w:val="00BD7583"/>
    <w:rsid w:val="00BD7761"/>
    <w:rsid w:val="00BD7DC4"/>
    <w:rsid w:val="00BE0747"/>
    <w:rsid w:val="00BE08C8"/>
    <w:rsid w:val="00BE0984"/>
    <w:rsid w:val="00BE16E5"/>
    <w:rsid w:val="00BE1D3D"/>
    <w:rsid w:val="00BE213D"/>
    <w:rsid w:val="00BE22CB"/>
    <w:rsid w:val="00BE271F"/>
    <w:rsid w:val="00BE3890"/>
    <w:rsid w:val="00BE39A3"/>
    <w:rsid w:val="00BE3C12"/>
    <w:rsid w:val="00BE5098"/>
    <w:rsid w:val="00BE51CD"/>
    <w:rsid w:val="00BE5EA0"/>
    <w:rsid w:val="00BE5EE3"/>
    <w:rsid w:val="00BE69DF"/>
    <w:rsid w:val="00BE7B54"/>
    <w:rsid w:val="00BE7D13"/>
    <w:rsid w:val="00BF04DE"/>
    <w:rsid w:val="00BF07CA"/>
    <w:rsid w:val="00BF09FE"/>
    <w:rsid w:val="00BF0C4D"/>
    <w:rsid w:val="00BF11E6"/>
    <w:rsid w:val="00BF1773"/>
    <w:rsid w:val="00BF1B6C"/>
    <w:rsid w:val="00BF1C40"/>
    <w:rsid w:val="00BF2230"/>
    <w:rsid w:val="00BF2AC3"/>
    <w:rsid w:val="00BF2C83"/>
    <w:rsid w:val="00BF350A"/>
    <w:rsid w:val="00BF36C2"/>
    <w:rsid w:val="00BF380F"/>
    <w:rsid w:val="00BF4C6A"/>
    <w:rsid w:val="00BF5425"/>
    <w:rsid w:val="00BF56B5"/>
    <w:rsid w:val="00BF5E00"/>
    <w:rsid w:val="00BF6B07"/>
    <w:rsid w:val="00BF6C48"/>
    <w:rsid w:val="00BF7323"/>
    <w:rsid w:val="00C00127"/>
    <w:rsid w:val="00C002A4"/>
    <w:rsid w:val="00C00518"/>
    <w:rsid w:val="00C007F5"/>
    <w:rsid w:val="00C008C0"/>
    <w:rsid w:val="00C0123E"/>
    <w:rsid w:val="00C030BD"/>
    <w:rsid w:val="00C033F8"/>
    <w:rsid w:val="00C037D4"/>
    <w:rsid w:val="00C0393D"/>
    <w:rsid w:val="00C03AFD"/>
    <w:rsid w:val="00C03C0F"/>
    <w:rsid w:val="00C03D1C"/>
    <w:rsid w:val="00C041C1"/>
    <w:rsid w:val="00C04C4A"/>
    <w:rsid w:val="00C04DEE"/>
    <w:rsid w:val="00C05B15"/>
    <w:rsid w:val="00C05CFB"/>
    <w:rsid w:val="00C064D7"/>
    <w:rsid w:val="00C07ABC"/>
    <w:rsid w:val="00C10215"/>
    <w:rsid w:val="00C10297"/>
    <w:rsid w:val="00C10672"/>
    <w:rsid w:val="00C113CA"/>
    <w:rsid w:val="00C11B5A"/>
    <w:rsid w:val="00C12448"/>
    <w:rsid w:val="00C125DF"/>
    <w:rsid w:val="00C126A0"/>
    <w:rsid w:val="00C12E06"/>
    <w:rsid w:val="00C139FE"/>
    <w:rsid w:val="00C13CFF"/>
    <w:rsid w:val="00C14050"/>
    <w:rsid w:val="00C145F4"/>
    <w:rsid w:val="00C14C29"/>
    <w:rsid w:val="00C150E0"/>
    <w:rsid w:val="00C1550B"/>
    <w:rsid w:val="00C16A15"/>
    <w:rsid w:val="00C17C2D"/>
    <w:rsid w:val="00C209D2"/>
    <w:rsid w:val="00C20D56"/>
    <w:rsid w:val="00C20E30"/>
    <w:rsid w:val="00C226F8"/>
    <w:rsid w:val="00C22B3B"/>
    <w:rsid w:val="00C23B82"/>
    <w:rsid w:val="00C23E76"/>
    <w:rsid w:val="00C23FDC"/>
    <w:rsid w:val="00C244C7"/>
    <w:rsid w:val="00C2459A"/>
    <w:rsid w:val="00C2473E"/>
    <w:rsid w:val="00C24782"/>
    <w:rsid w:val="00C2496A"/>
    <w:rsid w:val="00C26014"/>
    <w:rsid w:val="00C26871"/>
    <w:rsid w:val="00C269B4"/>
    <w:rsid w:val="00C27078"/>
    <w:rsid w:val="00C27179"/>
    <w:rsid w:val="00C279C7"/>
    <w:rsid w:val="00C27F8B"/>
    <w:rsid w:val="00C30047"/>
    <w:rsid w:val="00C30C0F"/>
    <w:rsid w:val="00C319D3"/>
    <w:rsid w:val="00C323D4"/>
    <w:rsid w:val="00C32859"/>
    <w:rsid w:val="00C32A6C"/>
    <w:rsid w:val="00C33060"/>
    <w:rsid w:val="00C33AE8"/>
    <w:rsid w:val="00C33E7D"/>
    <w:rsid w:val="00C33FD9"/>
    <w:rsid w:val="00C342F0"/>
    <w:rsid w:val="00C344AE"/>
    <w:rsid w:val="00C3485F"/>
    <w:rsid w:val="00C350AE"/>
    <w:rsid w:val="00C3552C"/>
    <w:rsid w:val="00C3583A"/>
    <w:rsid w:val="00C359BC"/>
    <w:rsid w:val="00C35D81"/>
    <w:rsid w:val="00C35D93"/>
    <w:rsid w:val="00C3671F"/>
    <w:rsid w:val="00C369BD"/>
    <w:rsid w:val="00C36CD7"/>
    <w:rsid w:val="00C36E87"/>
    <w:rsid w:val="00C40163"/>
    <w:rsid w:val="00C4026E"/>
    <w:rsid w:val="00C4053C"/>
    <w:rsid w:val="00C40F7D"/>
    <w:rsid w:val="00C42123"/>
    <w:rsid w:val="00C42BA8"/>
    <w:rsid w:val="00C42DDD"/>
    <w:rsid w:val="00C43352"/>
    <w:rsid w:val="00C435CF"/>
    <w:rsid w:val="00C436CC"/>
    <w:rsid w:val="00C4376B"/>
    <w:rsid w:val="00C43E8C"/>
    <w:rsid w:val="00C43EE7"/>
    <w:rsid w:val="00C44ABF"/>
    <w:rsid w:val="00C44D39"/>
    <w:rsid w:val="00C45635"/>
    <w:rsid w:val="00C45710"/>
    <w:rsid w:val="00C458CA"/>
    <w:rsid w:val="00C463AF"/>
    <w:rsid w:val="00C4743A"/>
    <w:rsid w:val="00C504F2"/>
    <w:rsid w:val="00C50886"/>
    <w:rsid w:val="00C5094C"/>
    <w:rsid w:val="00C50B3D"/>
    <w:rsid w:val="00C5104B"/>
    <w:rsid w:val="00C51391"/>
    <w:rsid w:val="00C515FB"/>
    <w:rsid w:val="00C52354"/>
    <w:rsid w:val="00C52500"/>
    <w:rsid w:val="00C52C59"/>
    <w:rsid w:val="00C5361D"/>
    <w:rsid w:val="00C54209"/>
    <w:rsid w:val="00C5428F"/>
    <w:rsid w:val="00C545D5"/>
    <w:rsid w:val="00C552B5"/>
    <w:rsid w:val="00C55313"/>
    <w:rsid w:val="00C5610F"/>
    <w:rsid w:val="00C5678F"/>
    <w:rsid w:val="00C5690F"/>
    <w:rsid w:val="00C573AA"/>
    <w:rsid w:val="00C57821"/>
    <w:rsid w:val="00C57D1B"/>
    <w:rsid w:val="00C57F6C"/>
    <w:rsid w:val="00C60366"/>
    <w:rsid w:val="00C60A19"/>
    <w:rsid w:val="00C6101A"/>
    <w:rsid w:val="00C610DC"/>
    <w:rsid w:val="00C61302"/>
    <w:rsid w:val="00C614E3"/>
    <w:rsid w:val="00C61A54"/>
    <w:rsid w:val="00C61FB5"/>
    <w:rsid w:val="00C61FCF"/>
    <w:rsid w:val="00C61FE2"/>
    <w:rsid w:val="00C61FEE"/>
    <w:rsid w:val="00C62BC2"/>
    <w:rsid w:val="00C62CA0"/>
    <w:rsid w:val="00C630AD"/>
    <w:rsid w:val="00C6322F"/>
    <w:rsid w:val="00C63D63"/>
    <w:rsid w:val="00C63E81"/>
    <w:rsid w:val="00C647DC"/>
    <w:rsid w:val="00C64816"/>
    <w:rsid w:val="00C64AD0"/>
    <w:rsid w:val="00C64E7B"/>
    <w:rsid w:val="00C65060"/>
    <w:rsid w:val="00C65FD6"/>
    <w:rsid w:val="00C6607E"/>
    <w:rsid w:val="00C661BE"/>
    <w:rsid w:val="00C667E6"/>
    <w:rsid w:val="00C67468"/>
    <w:rsid w:val="00C6747A"/>
    <w:rsid w:val="00C67783"/>
    <w:rsid w:val="00C677A3"/>
    <w:rsid w:val="00C678D3"/>
    <w:rsid w:val="00C700AB"/>
    <w:rsid w:val="00C702E3"/>
    <w:rsid w:val="00C70893"/>
    <w:rsid w:val="00C7104A"/>
    <w:rsid w:val="00C71158"/>
    <w:rsid w:val="00C712F3"/>
    <w:rsid w:val="00C71335"/>
    <w:rsid w:val="00C713C8"/>
    <w:rsid w:val="00C713E2"/>
    <w:rsid w:val="00C71A2D"/>
    <w:rsid w:val="00C71BF1"/>
    <w:rsid w:val="00C71E20"/>
    <w:rsid w:val="00C7254A"/>
    <w:rsid w:val="00C73344"/>
    <w:rsid w:val="00C7343C"/>
    <w:rsid w:val="00C73BC6"/>
    <w:rsid w:val="00C74C47"/>
    <w:rsid w:val="00C74E28"/>
    <w:rsid w:val="00C74F35"/>
    <w:rsid w:val="00C75102"/>
    <w:rsid w:val="00C758F3"/>
    <w:rsid w:val="00C75E51"/>
    <w:rsid w:val="00C7600A"/>
    <w:rsid w:val="00C767F8"/>
    <w:rsid w:val="00C7691F"/>
    <w:rsid w:val="00C76CF5"/>
    <w:rsid w:val="00C778B7"/>
    <w:rsid w:val="00C77A60"/>
    <w:rsid w:val="00C77B10"/>
    <w:rsid w:val="00C77B45"/>
    <w:rsid w:val="00C806AC"/>
    <w:rsid w:val="00C807D4"/>
    <w:rsid w:val="00C80B3A"/>
    <w:rsid w:val="00C80BD8"/>
    <w:rsid w:val="00C8237C"/>
    <w:rsid w:val="00C82410"/>
    <w:rsid w:val="00C82C46"/>
    <w:rsid w:val="00C82ED0"/>
    <w:rsid w:val="00C82F24"/>
    <w:rsid w:val="00C83244"/>
    <w:rsid w:val="00C835E3"/>
    <w:rsid w:val="00C83EDC"/>
    <w:rsid w:val="00C8417C"/>
    <w:rsid w:val="00C841F5"/>
    <w:rsid w:val="00C84865"/>
    <w:rsid w:val="00C85326"/>
    <w:rsid w:val="00C868B6"/>
    <w:rsid w:val="00C868C9"/>
    <w:rsid w:val="00C86D6A"/>
    <w:rsid w:val="00C87B83"/>
    <w:rsid w:val="00C90C3F"/>
    <w:rsid w:val="00C90F5C"/>
    <w:rsid w:val="00C92AF7"/>
    <w:rsid w:val="00C92D72"/>
    <w:rsid w:val="00C93D10"/>
    <w:rsid w:val="00C94109"/>
    <w:rsid w:val="00C941F1"/>
    <w:rsid w:val="00C944FF"/>
    <w:rsid w:val="00C9583D"/>
    <w:rsid w:val="00C95CF1"/>
    <w:rsid w:val="00C9604D"/>
    <w:rsid w:val="00C96466"/>
    <w:rsid w:val="00C9690A"/>
    <w:rsid w:val="00C96BDD"/>
    <w:rsid w:val="00C96D84"/>
    <w:rsid w:val="00C96EAA"/>
    <w:rsid w:val="00C9718D"/>
    <w:rsid w:val="00C971D7"/>
    <w:rsid w:val="00C9732B"/>
    <w:rsid w:val="00CA0086"/>
    <w:rsid w:val="00CA03C4"/>
    <w:rsid w:val="00CA16C2"/>
    <w:rsid w:val="00CA183F"/>
    <w:rsid w:val="00CA1D5B"/>
    <w:rsid w:val="00CA1E8B"/>
    <w:rsid w:val="00CA3094"/>
    <w:rsid w:val="00CA31CB"/>
    <w:rsid w:val="00CA3B5C"/>
    <w:rsid w:val="00CA4491"/>
    <w:rsid w:val="00CA658F"/>
    <w:rsid w:val="00CA6674"/>
    <w:rsid w:val="00CA6790"/>
    <w:rsid w:val="00CA6AB6"/>
    <w:rsid w:val="00CA6E59"/>
    <w:rsid w:val="00CA6ECE"/>
    <w:rsid w:val="00CB0B1C"/>
    <w:rsid w:val="00CB0F80"/>
    <w:rsid w:val="00CB0F9C"/>
    <w:rsid w:val="00CB0FED"/>
    <w:rsid w:val="00CB222F"/>
    <w:rsid w:val="00CB236F"/>
    <w:rsid w:val="00CB2B0A"/>
    <w:rsid w:val="00CB2DD7"/>
    <w:rsid w:val="00CB2F33"/>
    <w:rsid w:val="00CB412B"/>
    <w:rsid w:val="00CB5244"/>
    <w:rsid w:val="00CB58AC"/>
    <w:rsid w:val="00CB5EAB"/>
    <w:rsid w:val="00CB67F5"/>
    <w:rsid w:val="00CB6CB9"/>
    <w:rsid w:val="00CB70CF"/>
    <w:rsid w:val="00CB71A0"/>
    <w:rsid w:val="00CB728C"/>
    <w:rsid w:val="00CB73FE"/>
    <w:rsid w:val="00CB7651"/>
    <w:rsid w:val="00CB7845"/>
    <w:rsid w:val="00CC01D1"/>
    <w:rsid w:val="00CC038C"/>
    <w:rsid w:val="00CC03A5"/>
    <w:rsid w:val="00CC0CD1"/>
    <w:rsid w:val="00CC0CE6"/>
    <w:rsid w:val="00CC1147"/>
    <w:rsid w:val="00CC135A"/>
    <w:rsid w:val="00CC1485"/>
    <w:rsid w:val="00CC1F59"/>
    <w:rsid w:val="00CC2231"/>
    <w:rsid w:val="00CC3633"/>
    <w:rsid w:val="00CC5028"/>
    <w:rsid w:val="00CC54D1"/>
    <w:rsid w:val="00CC550A"/>
    <w:rsid w:val="00CC5ED8"/>
    <w:rsid w:val="00CC6443"/>
    <w:rsid w:val="00CC6966"/>
    <w:rsid w:val="00CC78E1"/>
    <w:rsid w:val="00CC797B"/>
    <w:rsid w:val="00CC7F95"/>
    <w:rsid w:val="00CC7FB4"/>
    <w:rsid w:val="00CD092B"/>
    <w:rsid w:val="00CD0A0D"/>
    <w:rsid w:val="00CD0C9B"/>
    <w:rsid w:val="00CD0DBF"/>
    <w:rsid w:val="00CD16AB"/>
    <w:rsid w:val="00CD1865"/>
    <w:rsid w:val="00CD1CBE"/>
    <w:rsid w:val="00CD211C"/>
    <w:rsid w:val="00CD2899"/>
    <w:rsid w:val="00CD2AE6"/>
    <w:rsid w:val="00CD355A"/>
    <w:rsid w:val="00CD37D4"/>
    <w:rsid w:val="00CD3A87"/>
    <w:rsid w:val="00CD4022"/>
    <w:rsid w:val="00CD41D6"/>
    <w:rsid w:val="00CD4387"/>
    <w:rsid w:val="00CD47F7"/>
    <w:rsid w:val="00CD4831"/>
    <w:rsid w:val="00CD4C53"/>
    <w:rsid w:val="00CD4FF0"/>
    <w:rsid w:val="00CD5641"/>
    <w:rsid w:val="00CD5B91"/>
    <w:rsid w:val="00CD6A04"/>
    <w:rsid w:val="00CD6F10"/>
    <w:rsid w:val="00CD70B6"/>
    <w:rsid w:val="00CD712E"/>
    <w:rsid w:val="00CD716C"/>
    <w:rsid w:val="00CD7349"/>
    <w:rsid w:val="00CD74E1"/>
    <w:rsid w:val="00CD78AC"/>
    <w:rsid w:val="00CD7BD9"/>
    <w:rsid w:val="00CE0575"/>
    <w:rsid w:val="00CE09B7"/>
    <w:rsid w:val="00CE1A05"/>
    <w:rsid w:val="00CE258C"/>
    <w:rsid w:val="00CE34DA"/>
    <w:rsid w:val="00CE3D14"/>
    <w:rsid w:val="00CE4001"/>
    <w:rsid w:val="00CE4195"/>
    <w:rsid w:val="00CE4E45"/>
    <w:rsid w:val="00CE4F76"/>
    <w:rsid w:val="00CE4FC8"/>
    <w:rsid w:val="00CE5053"/>
    <w:rsid w:val="00CE5351"/>
    <w:rsid w:val="00CE5B83"/>
    <w:rsid w:val="00CE6188"/>
    <w:rsid w:val="00CE6623"/>
    <w:rsid w:val="00CE70B9"/>
    <w:rsid w:val="00CE70D8"/>
    <w:rsid w:val="00CE7174"/>
    <w:rsid w:val="00CE7193"/>
    <w:rsid w:val="00CF06CC"/>
    <w:rsid w:val="00CF0BAB"/>
    <w:rsid w:val="00CF0BD5"/>
    <w:rsid w:val="00CF0C50"/>
    <w:rsid w:val="00CF0D0E"/>
    <w:rsid w:val="00CF0E4B"/>
    <w:rsid w:val="00CF0E90"/>
    <w:rsid w:val="00CF1119"/>
    <w:rsid w:val="00CF1B4F"/>
    <w:rsid w:val="00CF2682"/>
    <w:rsid w:val="00CF271E"/>
    <w:rsid w:val="00CF2D22"/>
    <w:rsid w:val="00CF2EB8"/>
    <w:rsid w:val="00CF337E"/>
    <w:rsid w:val="00CF358A"/>
    <w:rsid w:val="00CF385E"/>
    <w:rsid w:val="00CF3AE8"/>
    <w:rsid w:val="00CF3CDE"/>
    <w:rsid w:val="00CF4163"/>
    <w:rsid w:val="00CF471B"/>
    <w:rsid w:val="00CF4B8A"/>
    <w:rsid w:val="00CF5AB3"/>
    <w:rsid w:val="00CF5FAE"/>
    <w:rsid w:val="00CF67D4"/>
    <w:rsid w:val="00CF7220"/>
    <w:rsid w:val="00CF74EB"/>
    <w:rsid w:val="00CF75D0"/>
    <w:rsid w:val="00D004E7"/>
    <w:rsid w:val="00D00542"/>
    <w:rsid w:val="00D00A79"/>
    <w:rsid w:val="00D015E0"/>
    <w:rsid w:val="00D01A72"/>
    <w:rsid w:val="00D0211D"/>
    <w:rsid w:val="00D0320A"/>
    <w:rsid w:val="00D034F4"/>
    <w:rsid w:val="00D038A1"/>
    <w:rsid w:val="00D039EB"/>
    <w:rsid w:val="00D03C50"/>
    <w:rsid w:val="00D043A9"/>
    <w:rsid w:val="00D05383"/>
    <w:rsid w:val="00D05BB7"/>
    <w:rsid w:val="00D06067"/>
    <w:rsid w:val="00D065AC"/>
    <w:rsid w:val="00D06893"/>
    <w:rsid w:val="00D078F1"/>
    <w:rsid w:val="00D07C4B"/>
    <w:rsid w:val="00D07E64"/>
    <w:rsid w:val="00D10A9D"/>
    <w:rsid w:val="00D11772"/>
    <w:rsid w:val="00D122FE"/>
    <w:rsid w:val="00D126F1"/>
    <w:rsid w:val="00D1274D"/>
    <w:rsid w:val="00D12D14"/>
    <w:rsid w:val="00D12E75"/>
    <w:rsid w:val="00D12E76"/>
    <w:rsid w:val="00D12ED5"/>
    <w:rsid w:val="00D1385E"/>
    <w:rsid w:val="00D13E82"/>
    <w:rsid w:val="00D14650"/>
    <w:rsid w:val="00D153E9"/>
    <w:rsid w:val="00D15A28"/>
    <w:rsid w:val="00D160BB"/>
    <w:rsid w:val="00D16471"/>
    <w:rsid w:val="00D16FAE"/>
    <w:rsid w:val="00D17BDB"/>
    <w:rsid w:val="00D206A9"/>
    <w:rsid w:val="00D2099B"/>
    <w:rsid w:val="00D20A61"/>
    <w:rsid w:val="00D20FB0"/>
    <w:rsid w:val="00D212F9"/>
    <w:rsid w:val="00D21E26"/>
    <w:rsid w:val="00D222FA"/>
    <w:rsid w:val="00D22640"/>
    <w:rsid w:val="00D228A3"/>
    <w:rsid w:val="00D22A4F"/>
    <w:rsid w:val="00D22C4E"/>
    <w:rsid w:val="00D22CAE"/>
    <w:rsid w:val="00D23521"/>
    <w:rsid w:val="00D2380B"/>
    <w:rsid w:val="00D23F10"/>
    <w:rsid w:val="00D2412E"/>
    <w:rsid w:val="00D243DB"/>
    <w:rsid w:val="00D246D7"/>
    <w:rsid w:val="00D246FB"/>
    <w:rsid w:val="00D24852"/>
    <w:rsid w:val="00D24D7B"/>
    <w:rsid w:val="00D25082"/>
    <w:rsid w:val="00D250FB"/>
    <w:rsid w:val="00D252D1"/>
    <w:rsid w:val="00D25366"/>
    <w:rsid w:val="00D25443"/>
    <w:rsid w:val="00D25557"/>
    <w:rsid w:val="00D25926"/>
    <w:rsid w:val="00D25E31"/>
    <w:rsid w:val="00D26023"/>
    <w:rsid w:val="00D26358"/>
    <w:rsid w:val="00D26389"/>
    <w:rsid w:val="00D2653C"/>
    <w:rsid w:val="00D26C13"/>
    <w:rsid w:val="00D26E2C"/>
    <w:rsid w:val="00D27171"/>
    <w:rsid w:val="00D2733C"/>
    <w:rsid w:val="00D273F2"/>
    <w:rsid w:val="00D27F22"/>
    <w:rsid w:val="00D30068"/>
    <w:rsid w:val="00D30674"/>
    <w:rsid w:val="00D3086F"/>
    <w:rsid w:val="00D30B22"/>
    <w:rsid w:val="00D31457"/>
    <w:rsid w:val="00D31FC4"/>
    <w:rsid w:val="00D32AE0"/>
    <w:rsid w:val="00D33E99"/>
    <w:rsid w:val="00D33EF3"/>
    <w:rsid w:val="00D33F6E"/>
    <w:rsid w:val="00D34A33"/>
    <w:rsid w:val="00D34CBE"/>
    <w:rsid w:val="00D3533F"/>
    <w:rsid w:val="00D35A79"/>
    <w:rsid w:val="00D362AB"/>
    <w:rsid w:val="00D3787B"/>
    <w:rsid w:val="00D37CC7"/>
    <w:rsid w:val="00D400DF"/>
    <w:rsid w:val="00D40567"/>
    <w:rsid w:val="00D40761"/>
    <w:rsid w:val="00D40A3E"/>
    <w:rsid w:val="00D40B4A"/>
    <w:rsid w:val="00D40C54"/>
    <w:rsid w:val="00D40CCE"/>
    <w:rsid w:val="00D40CE1"/>
    <w:rsid w:val="00D4105A"/>
    <w:rsid w:val="00D415EC"/>
    <w:rsid w:val="00D42340"/>
    <w:rsid w:val="00D4249F"/>
    <w:rsid w:val="00D43ECD"/>
    <w:rsid w:val="00D445F3"/>
    <w:rsid w:val="00D44749"/>
    <w:rsid w:val="00D44929"/>
    <w:rsid w:val="00D44967"/>
    <w:rsid w:val="00D44A69"/>
    <w:rsid w:val="00D44D8F"/>
    <w:rsid w:val="00D45CBE"/>
    <w:rsid w:val="00D45E70"/>
    <w:rsid w:val="00D46358"/>
    <w:rsid w:val="00D46A29"/>
    <w:rsid w:val="00D46D52"/>
    <w:rsid w:val="00D46FA9"/>
    <w:rsid w:val="00D4715B"/>
    <w:rsid w:val="00D4770B"/>
    <w:rsid w:val="00D5008D"/>
    <w:rsid w:val="00D5027A"/>
    <w:rsid w:val="00D50864"/>
    <w:rsid w:val="00D50B8F"/>
    <w:rsid w:val="00D51231"/>
    <w:rsid w:val="00D52393"/>
    <w:rsid w:val="00D52B45"/>
    <w:rsid w:val="00D52F51"/>
    <w:rsid w:val="00D53B3E"/>
    <w:rsid w:val="00D54DDE"/>
    <w:rsid w:val="00D54E45"/>
    <w:rsid w:val="00D54E66"/>
    <w:rsid w:val="00D54E76"/>
    <w:rsid w:val="00D54FCA"/>
    <w:rsid w:val="00D5535E"/>
    <w:rsid w:val="00D554DD"/>
    <w:rsid w:val="00D556D4"/>
    <w:rsid w:val="00D556F3"/>
    <w:rsid w:val="00D558FE"/>
    <w:rsid w:val="00D5599D"/>
    <w:rsid w:val="00D55FB7"/>
    <w:rsid w:val="00D56553"/>
    <w:rsid w:val="00D56AE6"/>
    <w:rsid w:val="00D56DFA"/>
    <w:rsid w:val="00D57267"/>
    <w:rsid w:val="00D57738"/>
    <w:rsid w:val="00D602ED"/>
    <w:rsid w:val="00D6080E"/>
    <w:rsid w:val="00D60CEE"/>
    <w:rsid w:val="00D611BE"/>
    <w:rsid w:val="00D613BC"/>
    <w:rsid w:val="00D61860"/>
    <w:rsid w:val="00D61D5B"/>
    <w:rsid w:val="00D622F0"/>
    <w:rsid w:val="00D62B00"/>
    <w:rsid w:val="00D63066"/>
    <w:rsid w:val="00D63FE9"/>
    <w:rsid w:val="00D6499F"/>
    <w:rsid w:val="00D64A03"/>
    <w:rsid w:val="00D64B6A"/>
    <w:rsid w:val="00D64C74"/>
    <w:rsid w:val="00D660A1"/>
    <w:rsid w:val="00D662C0"/>
    <w:rsid w:val="00D6636E"/>
    <w:rsid w:val="00D66966"/>
    <w:rsid w:val="00D66D7D"/>
    <w:rsid w:val="00D67177"/>
    <w:rsid w:val="00D674C0"/>
    <w:rsid w:val="00D67692"/>
    <w:rsid w:val="00D67F44"/>
    <w:rsid w:val="00D67FCD"/>
    <w:rsid w:val="00D700F0"/>
    <w:rsid w:val="00D70231"/>
    <w:rsid w:val="00D70F24"/>
    <w:rsid w:val="00D71866"/>
    <w:rsid w:val="00D71AF4"/>
    <w:rsid w:val="00D73164"/>
    <w:rsid w:val="00D7345F"/>
    <w:rsid w:val="00D737E8"/>
    <w:rsid w:val="00D73E82"/>
    <w:rsid w:val="00D74288"/>
    <w:rsid w:val="00D74521"/>
    <w:rsid w:val="00D745BD"/>
    <w:rsid w:val="00D748CE"/>
    <w:rsid w:val="00D74FF0"/>
    <w:rsid w:val="00D752A9"/>
    <w:rsid w:val="00D75557"/>
    <w:rsid w:val="00D75CF8"/>
    <w:rsid w:val="00D7616D"/>
    <w:rsid w:val="00D766EF"/>
    <w:rsid w:val="00D76B4C"/>
    <w:rsid w:val="00D803E8"/>
    <w:rsid w:val="00D811F1"/>
    <w:rsid w:val="00D813D5"/>
    <w:rsid w:val="00D81436"/>
    <w:rsid w:val="00D81DE6"/>
    <w:rsid w:val="00D82BA5"/>
    <w:rsid w:val="00D8322B"/>
    <w:rsid w:val="00D83337"/>
    <w:rsid w:val="00D836EF"/>
    <w:rsid w:val="00D8396D"/>
    <w:rsid w:val="00D839A2"/>
    <w:rsid w:val="00D84BC3"/>
    <w:rsid w:val="00D84E04"/>
    <w:rsid w:val="00D85545"/>
    <w:rsid w:val="00D85BD5"/>
    <w:rsid w:val="00D8674C"/>
    <w:rsid w:val="00D875BD"/>
    <w:rsid w:val="00D87DA5"/>
    <w:rsid w:val="00D90515"/>
    <w:rsid w:val="00D906C9"/>
    <w:rsid w:val="00D90EB6"/>
    <w:rsid w:val="00D90FA3"/>
    <w:rsid w:val="00D91414"/>
    <w:rsid w:val="00D923E4"/>
    <w:rsid w:val="00D92643"/>
    <w:rsid w:val="00D93209"/>
    <w:rsid w:val="00D938F9"/>
    <w:rsid w:val="00D94792"/>
    <w:rsid w:val="00D971FB"/>
    <w:rsid w:val="00D97CB7"/>
    <w:rsid w:val="00D97E9D"/>
    <w:rsid w:val="00D97F8F"/>
    <w:rsid w:val="00DA00B5"/>
    <w:rsid w:val="00DA01A5"/>
    <w:rsid w:val="00DA0B35"/>
    <w:rsid w:val="00DA1366"/>
    <w:rsid w:val="00DA1D32"/>
    <w:rsid w:val="00DA2D95"/>
    <w:rsid w:val="00DA300D"/>
    <w:rsid w:val="00DA3700"/>
    <w:rsid w:val="00DA3795"/>
    <w:rsid w:val="00DA3B98"/>
    <w:rsid w:val="00DA5219"/>
    <w:rsid w:val="00DA5296"/>
    <w:rsid w:val="00DA53BA"/>
    <w:rsid w:val="00DA6308"/>
    <w:rsid w:val="00DA682B"/>
    <w:rsid w:val="00DA6B82"/>
    <w:rsid w:val="00DA6FF2"/>
    <w:rsid w:val="00DA71B0"/>
    <w:rsid w:val="00DA782A"/>
    <w:rsid w:val="00DA7A80"/>
    <w:rsid w:val="00DA7AA4"/>
    <w:rsid w:val="00DA7E2E"/>
    <w:rsid w:val="00DB0856"/>
    <w:rsid w:val="00DB10A2"/>
    <w:rsid w:val="00DB1B94"/>
    <w:rsid w:val="00DB1DAE"/>
    <w:rsid w:val="00DB2E94"/>
    <w:rsid w:val="00DB332E"/>
    <w:rsid w:val="00DB3B10"/>
    <w:rsid w:val="00DB3D1E"/>
    <w:rsid w:val="00DB4367"/>
    <w:rsid w:val="00DB4A8C"/>
    <w:rsid w:val="00DB4AA1"/>
    <w:rsid w:val="00DB52B1"/>
    <w:rsid w:val="00DB5A53"/>
    <w:rsid w:val="00DB5C13"/>
    <w:rsid w:val="00DB642D"/>
    <w:rsid w:val="00DB6949"/>
    <w:rsid w:val="00DB6D6A"/>
    <w:rsid w:val="00DB7568"/>
    <w:rsid w:val="00DB784B"/>
    <w:rsid w:val="00DB7A42"/>
    <w:rsid w:val="00DB7D3B"/>
    <w:rsid w:val="00DC01E5"/>
    <w:rsid w:val="00DC0CFC"/>
    <w:rsid w:val="00DC0ED0"/>
    <w:rsid w:val="00DC189B"/>
    <w:rsid w:val="00DC21A1"/>
    <w:rsid w:val="00DC2388"/>
    <w:rsid w:val="00DC2CB1"/>
    <w:rsid w:val="00DC34A9"/>
    <w:rsid w:val="00DC3B6C"/>
    <w:rsid w:val="00DC3D27"/>
    <w:rsid w:val="00DC3E47"/>
    <w:rsid w:val="00DC44CE"/>
    <w:rsid w:val="00DC472F"/>
    <w:rsid w:val="00DC4A6E"/>
    <w:rsid w:val="00DC5307"/>
    <w:rsid w:val="00DC5376"/>
    <w:rsid w:val="00DC5704"/>
    <w:rsid w:val="00DC5B45"/>
    <w:rsid w:val="00DC5C98"/>
    <w:rsid w:val="00DC6727"/>
    <w:rsid w:val="00DC7620"/>
    <w:rsid w:val="00DC78BF"/>
    <w:rsid w:val="00DC7D33"/>
    <w:rsid w:val="00DD036E"/>
    <w:rsid w:val="00DD0CFA"/>
    <w:rsid w:val="00DD0F6A"/>
    <w:rsid w:val="00DD173C"/>
    <w:rsid w:val="00DD18E8"/>
    <w:rsid w:val="00DD1B41"/>
    <w:rsid w:val="00DD32F9"/>
    <w:rsid w:val="00DD35B8"/>
    <w:rsid w:val="00DD3967"/>
    <w:rsid w:val="00DD3BAD"/>
    <w:rsid w:val="00DD4C8B"/>
    <w:rsid w:val="00DD58CD"/>
    <w:rsid w:val="00DD5A93"/>
    <w:rsid w:val="00DD5D98"/>
    <w:rsid w:val="00DD5DEE"/>
    <w:rsid w:val="00DD5EF4"/>
    <w:rsid w:val="00DD5F70"/>
    <w:rsid w:val="00DD6A02"/>
    <w:rsid w:val="00DD6A6F"/>
    <w:rsid w:val="00DD6EBF"/>
    <w:rsid w:val="00DD74C6"/>
    <w:rsid w:val="00DD75DD"/>
    <w:rsid w:val="00DE0026"/>
    <w:rsid w:val="00DE0415"/>
    <w:rsid w:val="00DE0965"/>
    <w:rsid w:val="00DE0A40"/>
    <w:rsid w:val="00DE0B4C"/>
    <w:rsid w:val="00DE0BEB"/>
    <w:rsid w:val="00DE1580"/>
    <w:rsid w:val="00DE18ED"/>
    <w:rsid w:val="00DE3172"/>
    <w:rsid w:val="00DE364A"/>
    <w:rsid w:val="00DE38D5"/>
    <w:rsid w:val="00DE64CA"/>
    <w:rsid w:val="00DE675B"/>
    <w:rsid w:val="00DE6BAB"/>
    <w:rsid w:val="00DE7183"/>
    <w:rsid w:val="00DE7312"/>
    <w:rsid w:val="00DE796E"/>
    <w:rsid w:val="00DF0226"/>
    <w:rsid w:val="00DF046F"/>
    <w:rsid w:val="00DF0595"/>
    <w:rsid w:val="00DF0ACF"/>
    <w:rsid w:val="00DF0FFB"/>
    <w:rsid w:val="00DF2935"/>
    <w:rsid w:val="00DF2E26"/>
    <w:rsid w:val="00DF2ED4"/>
    <w:rsid w:val="00DF389E"/>
    <w:rsid w:val="00DF3DD6"/>
    <w:rsid w:val="00DF4703"/>
    <w:rsid w:val="00DF4B75"/>
    <w:rsid w:val="00DF5B51"/>
    <w:rsid w:val="00DF5D89"/>
    <w:rsid w:val="00DF5E8D"/>
    <w:rsid w:val="00DF5F4F"/>
    <w:rsid w:val="00DF5F6E"/>
    <w:rsid w:val="00DF70F3"/>
    <w:rsid w:val="00DF71CD"/>
    <w:rsid w:val="00DF7753"/>
    <w:rsid w:val="00DF7801"/>
    <w:rsid w:val="00E0049C"/>
    <w:rsid w:val="00E00BA1"/>
    <w:rsid w:val="00E00E35"/>
    <w:rsid w:val="00E0161D"/>
    <w:rsid w:val="00E01C37"/>
    <w:rsid w:val="00E02609"/>
    <w:rsid w:val="00E0365F"/>
    <w:rsid w:val="00E03BAF"/>
    <w:rsid w:val="00E0451D"/>
    <w:rsid w:val="00E046B0"/>
    <w:rsid w:val="00E04C6C"/>
    <w:rsid w:val="00E04E7D"/>
    <w:rsid w:val="00E05552"/>
    <w:rsid w:val="00E059CB"/>
    <w:rsid w:val="00E06443"/>
    <w:rsid w:val="00E06496"/>
    <w:rsid w:val="00E0649F"/>
    <w:rsid w:val="00E06E06"/>
    <w:rsid w:val="00E07157"/>
    <w:rsid w:val="00E076D5"/>
    <w:rsid w:val="00E07711"/>
    <w:rsid w:val="00E07793"/>
    <w:rsid w:val="00E0789C"/>
    <w:rsid w:val="00E078D9"/>
    <w:rsid w:val="00E07C6E"/>
    <w:rsid w:val="00E11453"/>
    <w:rsid w:val="00E117DB"/>
    <w:rsid w:val="00E11993"/>
    <w:rsid w:val="00E126E6"/>
    <w:rsid w:val="00E12E09"/>
    <w:rsid w:val="00E1356D"/>
    <w:rsid w:val="00E139DA"/>
    <w:rsid w:val="00E139E2"/>
    <w:rsid w:val="00E13DEC"/>
    <w:rsid w:val="00E14428"/>
    <w:rsid w:val="00E1570F"/>
    <w:rsid w:val="00E15BBA"/>
    <w:rsid w:val="00E16123"/>
    <w:rsid w:val="00E1655F"/>
    <w:rsid w:val="00E168EA"/>
    <w:rsid w:val="00E1738F"/>
    <w:rsid w:val="00E176C9"/>
    <w:rsid w:val="00E17747"/>
    <w:rsid w:val="00E2003B"/>
    <w:rsid w:val="00E20722"/>
    <w:rsid w:val="00E20871"/>
    <w:rsid w:val="00E2109F"/>
    <w:rsid w:val="00E2115B"/>
    <w:rsid w:val="00E21614"/>
    <w:rsid w:val="00E218EB"/>
    <w:rsid w:val="00E21DD1"/>
    <w:rsid w:val="00E2201E"/>
    <w:rsid w:val="00E22665"/>
    <w:rsid w:val="00E2281F"/>
    <w:rsid w:val="00E2299A"/>
    <w:rsid w:val="00E22E6B"/>
    <w:rsid w:val="00E22EA8"/>
    <w:rsid w:val="00E231B6"/>
    <w:rsid w:val="00E24600"/>
    <w:rsid w:val="00E24811"/>
    <w:rsid w:val="00E24F5D"/>
    <w:rsid w:val="00E25323"/>
    <w:rsid w:val="00E25386"/>
    <w:rsid w:val="00E256C7"/>
    <w:rsid w:val="00E269B1"/>
    <w:rsid w:val="00E269FA"/>
    <w:rsid w:val="00E26B3D"/>
    <w:rsid w:val="00E27929"/>
    <w:rsid w:val="00E31241"/>
    <w:rsid w:val="00E31715"/>
    <w:rsid w:val="00E32080"/>
    <w:rsid w:val="00E3229F"/>
    <w:rsid w:val="00E32412"/>
    <w:rsid w:val="00E327EC"/>
    <w:rsid w:val="00E32CDC"/>
    <w:rsid w:val="00E32E04"/>
    <w:rsid w:val="00E32F79"/>
    <w:rsid w:val="00E33247"/>
    <w:rsid w:val="00E3373A"/>
    <w:rsid w:val="00E33AC4"/>
    <w:rsid w:val="00E340BC"/>
    <w:rsid w:val="00E34264"/>
    <w:rsid w:val="00E34546"/>
    <w:rsid w:val="00E351AE"/>
    <w:rsid w:val="00E3549C"/>
    <w:rsid w:val="00E355E5"/>
    <w:rsid w:val="00E35637"/>
    <w:rsid w:val="00E35777"/>
    <w:rsid w:val="00E3612D"/>
    <w:rsid w:val="00E361B7"/>
    <w:rsid w:val="00E361DF"/>
    <w:rsid w:val="00E36319"/>
    <w:rsid w:val="00E364C0"/>
    <w:rsid w:val="00E366C5"/>
    <w:rsid w:val="00E3675D"/>
    <w:rsid w:val="00E367AC"/>
    <w:rsid w:val="00E36ACC"/>
    <w:rsid w:val="00E36BFF"/>
    <w:rsid w:val="00E37898"/>
    <w:rsid w:val="00E401A2"/>
    <w:rsid w:val="00E4033C"/>
    <w:rsid w:val="00E4089C"/>
    <w:rsid w:val="00E40FF9"/>
    <w:rsid w:val="00E41672"/>
    <w:rsid w:val="00E4265B"/>
    <w:rsid w:val="00E42D44"/>
    <w:rsid w:val="00E430E4"/>
    <w:rsid w:val="00E434B1"/>
    <w:rsid w:val="00E43EC2"/>
    <w:rsid w:val="00E447C0"/>
    <w:rsid w:val="00E449F3"/>
    <w:rsid w:val="00E44C29"/>
    <w:rsid w:val="00E44F96"/>
    <w:rsid w:val="00E45353"/>
    <w:rsid w:val="00E45AE4"/>
    <w:rsid w:val="00E469F9"/>
    <w:rsid w:val="00E4700E"/>
    <w:rsid w:val="00E4712C"/>
    <w:rsid w:val="00E47AC3"/>
    <w:rsid w:val="00E502A9"/>
    <w:rsid w:val="00E505FA"/>
    <w:rsid w:val="00E50F62"/>
    <w:rsid w:val="00E52242"/>
    <w:rsid w:val="00E53358"/>
    <w:rsid w:val="00E538CD"/>
    <w:rsid w:val="00E53E55"/>
    <w:rsid w:val="00E53F27"/>
    <w:rsid w:val="00E5417E"/>
    <w:rsid w:val="00E5462B"/>
    <w:rsid w:val="00E54F66"/>
    <w:rsid w:val="00E553CA"/>
    <w:rsid w:val="00E553E2"/>
    <w:rsid w:val="00E55AC2"/>
    <w:rsid w:val="00E56432"/>
    <w:rsid w:val="00E56C86"/>
    <w:rsid w:val="00E57AFE"/>
    <w:rsid w:val="00E6006A"/>
    <w:rsid w:val="00E603E6"/>
    <w:rsid w:val="00E60984"/>
    <w:rsid w:val="00E60C3D"/>
    <w:rsid w:val="00E6138F"/>
    <w:rsid w:val="00E61592"/>
    <w:rsid w:val="00E61625"/>
    <w:rsid w:val="00E616ED"/>
    <w:rsid w:val="00E624B3"/>
    <w:rsid w:val="00E629BC"/>
    <w:rsid w:val="00E63203"/>
    <w:rsid w:val="00E635D9"/>
    <w:rsid w:val="00E64E0D"/>
    <w:rsid w:val="00E654A8"/>
    <w:rsid w:val="00E65690"/>
    <w:rsid w:val="00E65A5C"/>
    <w:rsid w:val="00E66926"/>
    <w:rsid w:val="00E66A38"/>
    <w:rsid w:val="00E66E76"/>
    <w:rsid w:val="00E66FBF"/>
    <w:rsid w:val="00E67DB6"/>
    <w:rsid w:val="00E67F15"/>
    <w:rsid w:val="00E67F2A"/>
    <w:rsid w:val="00E67F52"/>
    <w:rsid w:val="00E70D03"/>
    <w:rsid w:val="00E71194"/>
    <w:rsid w:val="00E71287"/>
    <w:rsid w:val="00E71554"/>
    <w:rsid w:val="00E71610"/>
    <w:rsid w:val="00E71FE1"/>
    <w:rsid w:val="00E72D64"/>
    <w:rsid w:val="00E72E06"/>
    <w:rsid w:val="00E73997"/>
    <w:rsid w:val="00E74455"/>
    <w:rsid w:val="00E745EA"/>
    <w:rsid w:val="00E74705"/>
    <w:rsid w:val="00E74970"/>
    <w:rsid w:val="00E74BC6"/>
    <w:rsid w:val="00E74C11"/>
    <w:rsid w:val="00E7504E"/>
    <w:rsid w:val="00E751AE"/>
    <w:rsid w:val="00E75256"/>
    <w:rsid w:val="00E75E88"/>
    <w:rsid w:val="00E76283"/>
    <w:rsid w:val="00E76386"/>
    <w:rsid w:val="00E76474"/>
    <w:rsid w:val="00E767E6"/>
    <w:rsid w:val="00E76BD7"/>
    <w:rsid w:val="00E76E64"/>
    <w:rsid w:val="00E772C7"/>
    <w:rsid w:val="00E777D7"/>
    <w:rsid w:val="00E7780C"/>
    <w:rsid w:val="00E77F88"/>
    <w:rsid w:val="00E8006D"/>
    <w:rsid w:val="00E800DB"/>
    <w:rsid w:val="00E81672"/>
    <w:rsid w:val="00E82BAE"/>
    <w:rsid w:val="00E82EA3"/>
    <w:rsid w:val="00E83406"/>
    <w:rsid w:val="00E8355D"/>
    <w:rsid w:val="00E83E94"/>
    <w:rsid w:val="00E8404C"/>
    <w:rsid w:val="00E84587"/>
    <w:rsid w:val="00E845F6"/>
    <w:rsid w:val="00E848BD"/>
    <w:rsid w:val="00E84CC7"/>
    <w:rsid w:val="00E85179"/>
    <w:rsid w:val="00E85712"/>
    <w:rsid w:val="00E859F4"/>
    <w:rsid w:val="00E871C5"/>
    <w:rsid w:val="00E87994"/>
    <w:rsid w:val="00E90CCD"/>
    <w:rsid w:val="00E910FA"/>
    <w:rsid w:val="00E91230"/>
    <w:rsid w:val="00E913FD"/>
    <w:rsid w:val="00E91568"/>
    <w:rsid w:val="00E91A90"/>
    <w:rsid w:val="00E91D54"/>
    <w:rsid w:val="00E91DA7"/>
    <w:rsid w:val="00E91EFB"/>
    <w:rsid w:val="00E93C39"/>
    <w:rsid w:val="00E93DD9"/>
    <w:rsid w:val="00E94071"/>
    <w:rsid w:val="00E9428E"/>
    <w:rsid w:val="00E9448C"/>
    <w:rsid w:val="00E947B1"/>
    <w:rsid w:val="00E94812"/>
    <w:rsid w:val="00E94F7C"/>
    <w:rsid w:val="00E95065"/>
    <w:rsid w:val="00E95640"/>
    <w:rsid w:val="00E962A0"/>
    <w:rsid w:val="00E96A89"/>
    <w:rsid w:val="00E96B2E"/>
    <w:rsid w:val="00E96CA2"/>
    <w:rsid w:val="00E96F48"/>
    <w:rsid w:val="00E971C6"/>
    <w:rsid w:val="00E9752B"/>
    <w:rsid w:val="00E97910"/>
    <w:rsid w:val="00EA0018"/>
    <w:rsid w:val="00EA0331"/>
    <w:rsid w:val="00EA091F"/>
    <w:rsid w:val="00EA0C64"/>
    <w:rsid w:val="00EA1139"/>
    <w:rsid w:val="00EA14CD"/>
    <w:rsid w:val="00EA1871"/>
    <w:rsid w:val="00EA194B"/>
    <w:rsid w:val="00EA19B0"/>
    <w:rsid w:val="00EA1CDA"/>
    <w:rsid w:val="00EA239F"/>
    <w:rsid w:val="00EA29F3"/>
    <w:rsid w:val="00EA2A46"/>
    <w:rsid w:val="00EA2FFA"/>
    <w:rsid w:val="00EA30F6"/>
    <w:rsid w:val="00EA3464"/>
    <w:rsid w:val="00EA34E3"/>
    <w:rsid w:val="00EA3844"/>
    <w:rsid w:val="00EA3A79"/>
    <w:rsid w:val="00EA3DB4"/>
    <w:rsid w:val="00EA41F4"/>
    <w:rsid w:val="00EA465D"/>
    <w:rsid w:val="00EA4E97"/>
    <w:rsid w:val="00EA563F"/>
    <w:rsid w:val="00EA6383"/>
    <w:rsid w:val="00EA7204"/>
    <w:rsid w:val="00EA7575"/>
    <w:rsid w:val="00EB0724"/>
    <w:rsid w:val="00EB077A"/>
    <w:rsid w:val="00EB09BA"/>
    <w:rsid w:val="00EB0B9E"/>
    <w:rsid w:val="00EB0E14"/>
    <w:rsid w:val="00EB10BC"/>
    <w:rsid w:val="00EB16A3"/>
    <w:rsid w:val="00EB1BB1"/>
    <w:rsid w:val="00EB25EA"/>
    <w:rsid w:val="00EB2B89"/>
    <w:rsid w:val="00EB32F9"/>
    <w:rsid w:val="00EB336E"/>
    <w:rsid w:val="00EB570D"/>
    <w:rsid w:val="00EB599D"/>
    <w:rsid w:val="00EB5AFF"/>
    <w:rsid w:val="00EB6079"/>
    <w:rsid w:val="00EB6887"/>
    <w:rsid w:val="00EB6A3F"/>
    <w:rsid w:val="00EB6F7B"/>
    <w:rsid w:val="00EB724F"/>
    <w:rsid w:val="00EB734D"/>
    <w:rsid w:val="00EB783C"/>
    <w:rsid w:val="00EC03FF"/>
    <w:rsid w:val="00EC05B6"/>
    <w:rsid w:val="00EC0736"/>
    <w:rsid w:val="00EC0A85"/>
    <w:rsid w:val="00EC0EB4"/>
    <w:rsid w:val="00EC19E3"/>
    <w:rsid w:val="00EC1CB6"/>
    <w:rsid w:val="00EC24E0"/>
    <w:rsid w:val="00EC2652"/>
    <w:rsid w:val="00EC29C4"/>
    <w:rsid w:val="00EC2A90"/>
    <w:rsid w:val="00EC32AA"/>
    <w:rsid w:val="00EC3388"/>
    <w:rsid w:val="00EC378B"/>
    <w:rsid w:val="00EC383B"/>
    <w:rsid w:val="00EC56CC"/>
    <w:rsid w:val="00EC5E1E"/>
    <w:rsid w:val="00EC5EE1"/>
    <w:rsid w:val="00EC5FAE"/>
    <w:rsid w:val="00EC6091"/>
    <w:rsid w:val="00EC6DD7"/>
    <w:rsid w:val="00EC7146"/>
    <w:rsid w:val="00EC7520"/>
    <w:rsid w:val="00EC787E"/>
    <w:rsid w:val="00EC7FBB"/>
    <w:rsid w:val="00ED0E9F"/>
    <w:rsid w:val="00ED0FE1"/>
    <w:rsid w:val="00ED2155"/>
    <w:rsid w:val="00ED2482"/>
    <w:rsid w:val="00ED2C67"/>
    <w:rsid w:val="00ED3129"/>
    <w:rsid w:val="00ED3C3B"/>
    <w:rsid w:val="00ED3E17"/>
    <w:rsid w:val="00ED424B"/>
    <w:rsid w:val="00ED4997"/>
    <w:rsid w:val="00ED51BE"/>
    <w:rsid w:val="00ED5C16"/>
    <w:rsid w:val="00ED6DF1"/>
    <w:rsid w:val="00ED748B"/>
    <w:rsid w:val="00ED751B"/>
    <w:rsid w:val="00ED7CEA"/>
    <w:rsid w:val="00ED7D7A"/>
    <w:rsid w:val="00EE0060"/>
    <w:rsid w:val="00EE04A9"/>
    <w:rsid w:val="00EE0837"/>
    <w:rsid w:val="00EE08F4"/>
    <w:rsid w:val="00EE0AF5"/>
    <w:rsid w:val="00EE1122"/>
    <w:rsid w:val="00EE1350"/>
    <w:rsid w:val="00EE17CE"/>
    <w:rsid w:val="00EE1F27"/>
    <w:rsid w:val="00EE3AD2"/>
    <w:rsid w:val="00EE3EAD"/>
    <w:rsid w:val="00EE4181"/>
    <w:rsid w:val="00EE477E"/>
    <w:rsid w:val="00EE57A2"/>
    <w:rsid w:val="00EE5BE0"/>
    <w:rsid w:val="00EE6774"/>
    <w:rsid w:val="00EE6835"/>
    <w:rsid w:val="00EE6B9F"/>
    <w:rsid w:val="00EE6CF4"/>
    <w:rsid w:val="00EE6FAE"/>
    <w:rsid w:val="00EE7435"/>
    <w:rsid w:val="00EE74ED"/>
    <w:rsid w:val="00EE79BA"/>
    <w:rsid w:val="00EF011B"/>
    <w:rsid w:val="00EF08A7"/>
    <w:rsid w:val="00EF092A"/>
    <w:rsid w:val="00EF09B8"/>
    <w:rsid w:val="00EF0C94"/>
    <w:rsid w:val="00EF0D6D"/>
    <w:rsid w:val="00EF0FB9"/>
    <w:rsid w:val="00EF1610"/>
    <w:rsid w:val="00EF1ABF"/>
    <w:rsid w:val="00EF1B79"/>
    <w:rsid w:val="00EF1F90"/>
    <w:rsid w:val="00EF209F"/>
    <w:rsid w:val="00EF21D5"/>
    <w:rsid w:val="00EF21E7"/>
    <w:rsid w:val="00EF22C0"/>
    <w:rsid w:val="00EF230A"/>
    <w:rsid w:val="00EF244E"/>
    <w:rsid w:val="00EF272C"/>
    <w:rsid w:val="00EF3710"/>
    <w:rsid w:val="00EF3B17"/>
    <w:rsid w:val="00EF3B2E"/>
    <w:rsid w:val="00EF3B3E"/>
    <w:rsid w:val="00EF3E1C"/>
    <w:rsid w:val="00EF3FD7"/>
    <w:rsid w:val="00EF4DB9"/>
    <w:rsid w:val="00EF51F8"/>
    <w:rsid w:val="00EF7C57"/>
    <w:rsid w:val="00EF7DF4"/>
    <w:rsid w:val="00F00F0D"/>
    <w:rsid w:val="00F010B2"/>
    <w:rsid w:val="00F016EC"/>
    <w:rsid w:val="00F01B33"/>
    <w:rsid w:val="00F01B38"/>
    <w:rsid w:val="00F02332"/>
    <w:rsid w:val="00F03184"/>
    <w:rsid w:val="00F03525"/>
    <w:rsid w:val="00F03C35"/>
    <w:rsid w:val="00F040AE"/>
    <w:rsid w:val="00F0418D"/>
    <w:rsid w:val="00F05670"/>
    <w:rsid w:val="00F05923"/>
    <w:rsid w:val="00F05C88"/>
    <w:rsid w:val="00F062A5"/>
    <w:rsid w:val="00F0637D"/>
    <w:rsid w:val="00F063C3"/>
    <w:rsid w:val="00F06D81"/>
    <w:rsid w:val="00F070F8"/>
    <w:rsid w:val="00F0794E"/>
    <w:rsid w:val="00F07A6B"/>
    <w:rsid w:val="00F1059E"/>
    <w:rsid w:val="00F107B1"/>
    <w:rsid w:val="00F10EDA"/>
    <w:rsid w:val="00F11053"/>
    <w:rsid w:val="00F11956"/>
    <w:rsid w:val="00F12089"/>
    <w:rsid w:val="00F12423"/>
    <w:rsid w:val="00F12778"/>
    <w:rsid w:val="00F129D1"/>
    <w:rsid w:val="00F12E80"/>
    <w:rsid w:val="00F13C7C"/>
    <w:rsid w:val="00F13CC1"/>
    <w:rsid w:val="00F13D97"/>
    <w:rsid w:val="00F13DAC"/>
    <w:rsid w:val="00F14486"/>
    <w:rsid w:val="00F14726"/>
    <w:rsid w:val="00F14E21"/>
    <w:rsid w:val="00F1527F"/>
    <w:rsid w:val="00F1538A"/>
    <w:rsid w:val="00F15689"/>
    <w:rsid w:val="00F15BAF"/>
    <w:rsid w:val="00F162B9"/>
    <w:rsid w:val="00F16D43"/>
    <w:rsid w:val="00F16DD5"/>
    <w:rsid w:val="00F1716A"/>
    <w:rsid w:val="00F175FE"/>
    <w:rsid w:val="00F17B41"/>
    <w:rsid w:val="00F20042"/>
    <w:rsid w:val="00F21359"/>
    <w:rsid w:val="00F2160B"/>
    <w:rsid w:val="00F22078"/>
    <w:rsid w:val="00F220CC"/>
    <w:rsid w:val="00F22B1E"/>
    <w:rsid w:val="00F22FBF"/>
    <w:rsid w:val="00F23D27"/>
    <w:rsid w:val="00F23E9F"/>
    <w:rsid w:val="00F245AF"/>
    <w:rsid w:val="00F2489A"/>
    <w:rsid w:val="00F24FC0"/>
    <w:rsid w:val="00F25388"/>
    <w:rsid w:val="00F253A6"/>
    <w:rsid w:val="00F256F5"/>
    <w:rsid w:val="00F25B64"/>
    <w:rsid w:val="00F25EF1"/>
    <w:rsid w:val="00F266F7"/>
    <w:rsid w:val="00F26891"/>
    <w:rsid w:val="00F26ECE"/>
    <w:rsid w:val="00F271D8"/>
    <w:rsid w:val="00F2791A"/>
    <w:rsid w:val="00F279C1"/>
    <w:rsid w:val="00F27B22"/>
    <w:rsid w:val="00F303F4"/>
    <w:rsid w:val="00F30807"/>
    <w:rsid w:val="00F30928"/>
    <w:rsid w:val="00F30A7F"/>
    <w:rsid w:val="00F319B6"/>
    <w:rsid w:val="00F31C82"/>
    <w:rsid w:val="00F3217C"/>
    <w:rsid w:val="00F3235C"/>
    <w:rsid w:val="00F325D2"/>
    <w:rsid w:val="00F32BDD"/>
    <w:rsid w:val="00F33695"/>
    <w:rsid w:val="00F34131"/>
    <w:rsid w:val="00F3426B"/>
    <w:rsid w:val="00F343CC"/>
    <w:rsid w:val="00F34634"/>
    <w:rsid w:val="00F3492C"/>
    <w:rsid w:val="00F34BE0"/>
    <w:rsid w:val="00F35175"/>
    <w:rsid w:val="00F35DF5"/>
    <w:rsid w:val="00F35F45"/>
    <w:rsid w:val="00F35FAA"/>
    <w:rsid w:val="00F36219"/>
    <w:rsid w:val="00F37079"/>
    <w:rsid w:val="00F3744A"/>
    <w:rsid w:val="00F40040"/>
    <w:rsid w:val="00F401C2"/>
    <w:rsid w:val="00F4121B"/>
    <w:rsid w:val="00F416D4"/>
    <w:rsid w:val="00F419EE"/>
    <w:rsid w:val="00F41B56"/>
    <w:rsid w:val="00F41F56"/>
    <w:rsid w:val="00F42DB1"/>
    <w:rsid w:val="00F43AC0"/>
    <w:rsid w:val="00F44725"/>
    <w:rsid w:val="00F4487B"/>
    <w:rsid w:val="00F450C4"/>
    <w:rsid w:val="00F450D6"/>
    <w:rsid w:val="00F45F4A"/>
    <w:rsid w:val="00F4648E"/>
    <w:rsid w:val="00F466A5"/>
    <w:rsid w:val="00F46A84"/>
    <w:rsid w:val="00F47766"/>
    <w:rsid w:val="00F47C0F"/>
    <w:rsid w:val="00F50086"/>
    <w:rsid w:val="00F502CA"/>
    <w:rsid w:val="00F50469"/>
    <w:rsid w:val="00F50632"/>
    <w:rsid w:val="00F50C27"/>
    <w:rsid w:val="00F518B1"/>
    <w:rsid w:val="00F52409"/>
    <w:rsid w:val="00F524A5"/>
    <w:rsid w:val="00F533D4"/>
    <w:rsid w:val="00F533DF"/>
    <w:rsid w:val="00F546F5"/>
    <w:rsid w:val="00F5500A"/>
    <w:rsid w:val="00F5516B"/>
    <w:rsid w:val="00F554A7"/>
    <w:rsid w:val="00F555CC"/>
    <w:rsid w:val="00F56FD3"/>
    <w:rsid w:val="00F572DD"/>
    <w:rsid w:val="00F57624"/>
    <w:rsid w:val="00F5767D"/>
    <w:rsid w:val="00F57B0D"/>
    <w:rsid w:val="00F57CEC"/>
    <w:rsid w:val="00F60A27"/>
    <w:rsid w:val="00F60BDE"/>
    <w:rsid w:val="00F60C35"/>
    <w:rsid w:val="00F60F1E"/>
    <w:rsid w:val="00F60F91"/>
    <w:rsid w:val="00F61067"/>
    <w:rsid w:val="00F61072"/>
    <w:rsid w:val="00F6116D"/>
    <w:rsid w:val="00F612C2"/>
    <w:rsid w:val="00F6144C"/>
    <w:rsid w:val="00F6198D"/>
    <w:rsid w:val="00F61C29"/>
    <w:rsid w:val="00F624F0"/>
    <w:rsid w:val="00F62C3B"/>
    <w:rsid w:val="00F62F85"/>
    <w:rsid w:val="00F645E1"/>
    <w:rsid w:val="00F648A7"/>
    <w:rsid w:val="00F64A28"/>
    <w:rsid w:val="00F64C73"/>
    <w:rsid w:val="00F64D28"/>
    <w:rsid w:val="00F65AB3"/>
    <w:rsid w:val="00F661F5"/>
    <w:rsid w:val="00F6682A"/>
    <w:rsid w:val="00F671A4"/>
    <w:rsid w:val="00F678E8"/>
    <w:rsid w:val="00F67A1B"/>
    <w:rsid w:val="00F67C1B"/>
    <w:rsid w:val="00F67C8C"/>
    <w:rsid w:val="00F67F1F"/>
    <w:rsid w:val="00F70135"/>
    <w:rsid w:val="00F70307"/>
    <w:rsid w:val="00F704AD"/>
    <w:rsid w:val="00F70BE5"/>
    <w:rsid w:val="00F70D7F"/>
    <w:rsid w:val="00F710DF"/>
    <w:rsid w:val="00F72464"/>
    <w:rsid w:val="00F73634"/>
    <w:rsid w:val="00F7364A"/>
    <w:rsid w:val="00F73958"/>
    <w:rsid w:val="00F73E06"/>
    <w:rsid w:val="00F7444E"/>
    <w:rsid w:val="00F74937"/>
    <w:rsid w:val="00F74ED3"/>
    <w:rsid w:val="00F75856"/>
    <w:rsid w:val="00F75875"/>
    <w:rsid w:val="00F7611E"/>
    <w:rsid w:val="00F77226"/>
    <w:rsid w:val="00F7741E"/>
    <w:rsid w:val="00F7769C"/>
    <w:rsid w:val="00F77C55"/>
    <w:rsid w:val="00F77D5A"/>
    <w:rsid w:val="00F80088"/>
    <w:rsid w:val="00F806DC"/>
    <w:rsid w:val="00F80824"/>
    <w:rsid w:val="00F80E35"/>
    <w:rsid w:val="00F819D9"/>
    <w:rsid w:val="00F81C0D"/>
    <w:rsid w:val="00F81FFE"/>
    <w:rsid w:val="00F8267A"/>
    <w:rsid w:val="00F82CED"/>
    <w:rsid w:val="00F82DE8"/>
    <w:rsid w:val="00F82EEC"/>
    <w:rsid w:val="00F83091"/>
    <w:rsid w:val="00F832CA"/>
    <w:rsid w:val="00F83C3E"/>
    <w:rsid w:val="00F8508B"/>
    <w:rsid w:val="00F8525C"/>
    <w:rsid w:val="00F8566F"/>
    <w:rsid w:val="00F8577F"/>
    <w:rsid w:val="00F859B3"/>
    <w:rsid w:val="00F85C62"/>
    <w:rsid w:val="00F8634D"/>
    <w:rsid w:val="00F863D4"/>
    <w:rsid w:val="00F864F2"/>
    <w:rsid w:val="00F86CE1"/>
    <w:rsid w:val="00F86E9A"/>
    <w:rsid w:val="00F86FA3"/>
    <w:rsid w:val="00F871E0"/>
    <w:rsid w:val="00F87670"/>
    <w:rsid w:val="00F87B3F"/>
    <w:rsid w:val="00F9061A"/>
    <w:rsid w:val="00F90B5F"/>
    <w:rsid w:val="00F91348"/>
    <w:rsid w:val="00F91A5C"/>
    <w:rsid w:val="00F91CAB"/>
    <w:rsid w:val="00F91E1D"/>
    <w:rsid w:val="00F91E87"/>
    <w:rsid w:val="00F92516"/>
    <w:rsid w:val="00F92901"/>
    <w:rsid w:val="00F92C6A"/>
    <w:rsid w:val="00F92CBB"/>
    <w:rsid w:val="00F930DE"/>
    <w:rsid w:val="00F93344"/>
    <w:rsid w:val="00F95631"/>
    <w:rsid w:val="00F968C0"/>
    <w:rsid w:val="00F9691C"/>
    <w:rsid w:val="00F96B17"/>
    <w:rsid w:val="00F97280"/>
    <w:rsid w:val="00F9728F"/>
    <w:rsid w:val="00FA00ED"/>
    <w:rsid w:val="00FA0541"/>
    <w:rsid w:val="00FA1993"/>
    <w:rsid w:val="00FA19F7"/>
    <w:rsid w:val="00FA1B27"/>
    <w:rsid w:val="00FA1BF7"/>
    <w:rsid w:val="00FA2202"/>
    <w:rsid w:val="00FA2BE3"/>
    <w:rsid w:val="00FA2D45"/>
    <w:rsid w:val="00FA33F4"/>
    <w:rsid w:val="00FA36AC"/>
    <w:rsid w:val="00FA3F1D"/>
    <w:rsid w:val="00FA4296"/>
    <w:rsid w:val="00FA4745"/>
    <w:rsid w:val="00FA47C5"/>
    <w:rsid w:val="00FA598C"/>
    <w:rsid w:val="00FA6774"/>
    <w:rsid w:val="00FA72D1"/>
    <w:rsid w:val="00FA74E9"/>
    <w:rsid w:val="00FA7D7D"/>
    <w:rsid w:val="00FA7E18"/>
    <w:rsid w:val="00FA7FC5"/>
    <w:rsid w:val="00FB0245"/>
    <w:rsid w:val="00FB027E"/>
    <w:rsid w:val="00FB09D3"/>
    <w:rsid w:val="00FB0CB2"/>
    <w:rsid w:val="00FB1F6E"/>
    <w:rsid w:val="00FB28FC"/>
    <w:rsid w:val="00FB2A00"/>
    <w:rsid w:val="00FB3A9A"/>
    <w:rsid w:val="00FB4029"/>
    <w:rsid w:val="00FB438F"/>
    <w:rsid w:val="00FB43BD"/>
    <w:rsid w:val="00FB461B"/>
    <w:rsid w:val="00FB4659"/>
    <w:rsid w:val="00FB50A1"/>
    <w:rsid w:val="00FB534D"/>
    <w:rsid w:val="00FB5814"/>
    <w:rsid w:val="00FB5AD8"/>
    <w:rsid w:val="00FB664D"/>
    <w:rsid w:val="00FB6B0F"/>
    <w:rsid w:val="00FB6CE1"/>
    <w:rsid w:val="00FB7203"/>
    <w:rsid w:val="00FB728B"/>
    <w:rsid w:val="00FB7330"/>
    <w:rsid w:val="00FB782F"/>
    <w:rsid w:val="00FB7C85"/>
    <w:rsid w:val="00FB7D76"/>
    <w:rsid w:val="00FC0449"/>
    <w:rsid w:val="00FC0BBC"/>
    <w:rsid w:val="00FC20CE"/>
    <w:rsid w:val="00FC20DE"/>
    <w:rsid w:val="00FC225A"/>
    <w:rsid w:val="00FC2E5D"/>
    <w:rsid w:val="00FC3149"/>
    <w:rsid w:val="00FC31A1"/>
    <w:rsid w:val="00FC3E7A"/>
    <w:rsid w:val="00FC4B5D"/>
    <w:rsid w:val="00FC4DC1"/>
    <w:rsid w:val="00FC503F"/>
    <w:rsid w:val="00FC5592"/>
    <w:rsid w:val="00FC59E8"/>
    <w:rsid w:val="00FC5BD0"/>
    <w:rsid w:val="00FC5E2C"/>
    <w:rsid w:val="00FC65F4"/>
    <w:rsid w:val="00FC6688"/>
    <w:rsid w:val="00FC6919"/>
    <w:rsid w:val="00FC75ED"/>
    <w:rsid w:val="00FC782E"/>
    <w:rsid w:val="00FC7C01"/>
    <w:rsid w:val="00FD0920"/>
    <w:rsid w:val="00FD0ADE"/>
    <w:rsid w:val="00FD0B70"/>
    <w:rsid w:val="00FD171E"/>
    <w:rsid w:val="00FD1994"/>
    <w:rsid w:val="00FD1C08"/>
    <w:rsid w:val="00FD2066"/>
    <w:rsid w:val="00FD2F32"/>
    <w:rsid w:val="00FD3448"/>
    <w:rsid w:val="00FD3526"/>
    <w:rsid w:val="00FD4DD0"/>
    <w:rsid w:val="00FD4DE9"/>
    <w:rsid w:val="00FD53B5"/>
    <w:rsid w:val="00FD6D82"/>
    <w:rsid w:val="00FD6FC8"/>
    <w:rsid w:val="00FD7426"/>
    <w:rsid w:val="00FD7B42"/>
    <w:rsid w:val="00FE0B53"/>
    <w:rsid w:val="00FE101B"/>
    <w:rsid w:val="00FE1436"/>
    <w:rsid w:val="00FE159B"/>
    <w:rsid w:val="00FE1725"/>
    <w:rsid w:val="00FE17E9"/>
    <w:rsid w:val="00FE1984"/>
    <w:rsid w:val="00FE1C06"/>
    <w:rsid w:val="00FE206F"/>
    <w:rsid w:val="00FE22E0"/>
    <w:rsid w:val="00FE2305"/>
    <w:rsid w:val="00FE2BDD"/>
    <w:rsid w:val="00FE324A"/>
    <w:rsid w:val="00FE4568"/>
    <w:rsid w:val="00FE46D0"/>
    <w:rsid w:val="00FE4F94"/>
    <w:rsid w:val="00FE521C"/>
    <w:rsid w:val="00FE530D"/>
    <w:rsid w:val="00FE6503"/>
    <w:rsid w:val="00FE6ADA"/>
    <w:rsid w:val="00FE7604"/>
    <w:rsid w:val="00FF02C8"/>
    <w:rsid w:val="00FF03C5"/>
    <w:rsid w:val="00FF048A"/>
    <w:rsid w:val="00FF06C4"/>
    <w:rsid w:val="00FF12C3"/>
    <w:rsid w:val="00FF16E3"/>
    <w:rsid w:val="00FF1805"/>
    <w:rsid w:val="00FF18DB"/>
    <w:rsid w:val="00FF1C07"/>
    <w:rsid w:val="00FF2CD0"/>
    <w:rsid w:val="00FF2D36"/>
    <w:rsid w:val="00FF2E08"/>
    <w:rsid w:val="00FF3919"/>
    <w:rsid w:val="00FF397C"/>
    <w:rsid w:val="00FF406A"/>
    <w:rsid w:val="00FF6318"/>
    <w:rsid w:val="00FF657F"/>
    <w:rsid w:val="00FF6AFA"/>
    <w:rsid w:val="00FF72D5"/>
    <w:rsid w:val="00FF7D97"/>
    <w:rsid w:val="00FF7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36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033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EA0331"/>
    <w:pPr>
      <w:keepNext/>
      <w:spacing w:before="140" w:line="240" w:lineRule="atLeast"/>
      <w:jc w:val="center"/>
      <w:outlineLvl w:val="0"/>
    </w:pPr>
    <w:rPr>
      <w:b/>
      <w:smallCaps/>
    </w:rPr>
  </w:style>
  <w:style w:type="paragraph" w:styleId="Heading2">
    <w:name w:val="heading 2"/>
    <w:basedOn w:val="Normal"/>
    <w:next w:val="Normal"/>
    <w:link w:val="Heading2Char"/>
    <w:qFormat/>
    <w:rsid w:val="00EA033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EA033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EA033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EA033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unhideWhenUsed/>
    <w:qFormat/>
    <w:rsid w:val="002A35C8"/>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2A35C8"/>
    <w:pPr>
      <w:spacing w:before="240" w:after="60"/>
      <w:outlineLvl w:val="6"/>
    </w:pPr>
    <w:rPr>
      <w:rFonts w:asciiTheme="minorHAnsi" w:eastAsia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A0331"/>
    <w:pPr>
      <w:ind w:left="720"/>
    </w:pPr>
  </w:style>
  <w:style w:type="paragraph" w:styleId="Footer">
    <w:name w:val="footer"/>
    <w:basedOn w:val="Normal"/>
    <w:link w:val="FooterChar"/>
    <w:uiPriority w:val="99"/>
    <w:qFormat/>
    <w:rsid w:val="00EA0331"/>
    <w:pPr>
      <w:tabs>
        <w:tab w:val="center" w:pos="3960"/>
        <w:tab w:val="right" w:pos="10080"/>
      </w:tabs>
      <w:spacing w:after="0" w:line="240" w:lineRule="auto"/>
      <w:jc w:val="center"/>
    </w:pPr>
    <w:rPr>
      <w:sz w:val="22"/>
    </w:rPr>
  </w:style>
  <w:style w:type="paragraph" w:styleId="Header">
    <w:name w:val="header"/>
    <w:basedOn w:val="Normal"/>
    <w:link w:val="HeaderChar"/>
    <w:qFormat/>
    <w:rsid w:val="00EA0331"/>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A0331"/>
    <w:rPr>
      <w:rFonts w:ascii="Century Schoolbook" w:hAnsi="Century Schoolbook"/>
      <w:b/>
      <w:i w:val="0"/>
      <w:position w:val="4"/>
      <w:sz w:val="27"/>
      <w:vertAlign w:val="superscript"/>
    </w:rPr>
  </w:style>
  <w:style w:type="paragraph" w:styleId="FootnoteText">
    <w:name w:val="footnote text"/>
    <w:basedOn w:val="Normal"/>
    <w:link w:val="FootnoteTextChar"/>
    <w:rsid w:val="00EA0331"/>
    <w:pPr>
      <w:spacing w:line="300" w:lineRule="exact"/>
    </w:pPr>
  </w:style>
  <w:style w:type="paragraph" w:customStyle="1" w:styleId="Title1">
    <w:name w:val="Title1"/>
    <w:basedOn w:val="Normal"/>
    <w:rsid w:val="00EA0331"/>
    <w:pPr>
      <w:tabs>
        <w:tab w:val="left" w:pos="5760"/>
        <w:tab w:val="left" w:pos="6480"/>
      </w:tabs>
      <w:spacing w:line="240" w:lineRule="atLeast"/>
    </w:pPr>
  </w:style>
  <w:style w:type="paragraph" w:customStyle="1" w:styleId="Recommend">
    <w:name w:val="Recommend"/>
    <w:basedOn w:val="Normal"/>
    <w:rsid w:val="00EA0331"/>
  </w:style>
  <w:style w:type="paragraph" w:customStyle="1" w:styleId="Summary">
    <w:name w:val="Summary"/>
    <w:basedOn w:val="Normal"/>
    <w:rsid w:val="00EA0331"/>
    <w:pPr>
      <w:ind w:left="2160" w:hanging="2160"/>
    </w:pPr>
  </w:style>
  <w:style w:type="paragraph" w:customStyle="1" w:styleId="Text">
    <w:name w:val="Text"/>
    <w:basedOn w:val="Normal"/>
    <w:rsid w:val="00EA0331"/>
    <w:pPr>
      <w:tabs>
        <w:tab w:val="left" w:pos="720"/>
        <w:tab w:val="left" w:pos="1440"/>
        <w:tab w:val="left" w:pos="2160"/>
        <w:tab w:val="center" w:pos="4320"/>
      </w:tabs>
      <w:spacing w:line="480" w:lineRule="atLeast"/>
      <w:ind w:firstLine="540"/>
    </w:pPr>
  </w:style>
  <w:style w:type="paragraph" w:styleId="Date">
    <w:name w:val="Date"/>
    <w:basedOn w:val="Normal"/>
    <w:semiHidden/>
    <w:rsid w:val="00EA0331"/>
    <w:pPr>
      <w:jc w:val="right"/>
    </w:pPr>
  </w:style>
  <w:style w:type="character" w:styleId="PageNumber">
    <w:name w:val="page number"/>
    <w:basedOn w:val="DefaultParagraphFont"/>
    <w:semiHidden/>
    <w:rsid w:val="00EA0331"/>
  </w:style>
  <w:style w:type="paragraph" w:customStyle="1" w:styleId="subject">
    <w:name w:val="subject"/>
    <w:basedOn w:val="Normal"/>
    <w:rsid w:val="00EA0331"/>
    <w:pPr>
      <w:tabs>
        <w:tab w:val="left" w:pos="1008"/>
      </w:tabs>
      <w:ind w:left="990" w:hanging="990"/>
    </w:pPr>
    <w:rPr>
      <w:b/>
    </w:rPr>
  </w:style>
  <w:style w:type="paragraph" w:customStyle="1" w:styleId="Titles">
    <w:name w:val="Titles"/>
    <w:basedOn w:val="Normal"/>
    <w:rsid w:val="00EA0331"/>
    <w:pPr>
      <w:tabs>
        <w:tab w:val="left" w:pos="2160"/>
      </w:tabs>
      <w:ind w:left="2160" w:hanging="2160"/>
    </w:pPr>
    <w:rPr>
      <w:b/>
    </w:rPr>
  </w:style>
  <w:style w:type="paragraph" w:styleId="TOAHeading">
    <w:name w:val="toa heading"/>
    <w:basedOn w:val="Normal"/>
    <w:next w:val="Normal"/>
    <w:semiHidden/>
    <w:rsid w:val="00EA0331"/>
    <w:pPr>
      <w:spacing w:before="120"/>
    </w:pPr>
    <w:rPr>
      <w:b/>
    </w:rPr>
  </w:style>
  <w:style w:type="paragraph" w:styleId="TOC1">
    <w:name w:val="toc 1"/>
    <w:basedOn w:val="Normal"/>
    <w:next w:val="Normal"/>
    <w:autoRedefine/>
    <w:semiHidden/>
    <w:rsid w:val="00EA0331"/>
  </w:style>
  <w:style w:type="paragraph" w:styleId="TOC2">
    <w:name w:val="toc 2"/>
    <w:basedOn w:val="Normal"/>
    <w:next w:val="Normal"/>
    <w:autoRedefine/>
    <w:semiHidden/>
    <w:rsid w:val="00EA0331"/>
    <w:pPr>
      <w:ind w:left="259"/>
    </w:pPr>
  </w:style>
  <w:style w:type="paragraph" w:styleId="TOC3">
    <w:name w:val="toc 3"/>
    <w:basedOn w:val="Normal"/>
    <w:next w:val="Normal"/>
    <w:autoRedefine/>
    <w:semiHidden/>
    <w:rsid w:val="00EA0331"/>
    <w:pPr>
      <w:ind w:left="520"/>
    </w:pPr>
  </w:style>
  <w:style w:type="paragraph" w:styleId="TOC4">
    <w:name w:val="toc 4"/>
    <w:basedOn w:val="Normal"/>
    <w:next w:val="Normal"/>
    <w:autoRedefine/>
    <w:semiHidden/>
    <w:rsid w:val="00EA0331"/>
    <w:pPr>
      <w:ind w:left="780"/>
    </w:pPr>
  </w:style>
  <w:style w:type="paragraph" w:styleId="TOC5">
    <w:name w:val="toc 5"/>
    <w:basedOn w:val="Normal"/>
    <w:next w:val="Normal"/>
    <w:autoRedefine/>
    <w:semiHidden/>
    <w:rsid w:val="00EA0331"/>
    <w:pPr>
      <w:ind w:left="1040"/>
    </w:pPr>
  </w:style>
  <w:style w:type="paragraph" w:styleId="TOC6">
    <w:name w:val="toc 6"/>
    <w:basedOn w:val="Normal"/>
    <w:next w:val="Normal"/>
    <w:autoRedefine/>
    <w:semiHidden/>
    <w:rsid w:val="00EA0331"/>
    <w:pPr>
      <w:ind w:left="1300"/>
    </w:pPr>
  </w:style>
  <w:style w:type="paragraph" w:styleId="TOC7">
    <w:name w:val="toc 7"/>
    <w:basedOn w:val="Normal"/>
    <w:next w:val="Normal"/>
    <w:autoRedefine/>
    <w:semiHidden/>
    <w:rsid w:val="00EA0331"/>
    <w:pPr>
      <w:ind w:left="1560"/>
    </w:pPr>
  </w:style>
  <w:style w:type="paragraph" w:styleId="TOC8">
    <w:name w:val="toc 8"/>
    <w:basedOn w:val="Normal"/>
    <w:next w:val="Normal"/>
    <w:autoRedefine/>
    <w:semiHidden/>
    <w:rsid w:val="00EA0331"/>
    <w:pPr>
      <w:ind w:left="1820"/>
    </w:pPr>
  </w:style>
  <w:style w:type="paragraph" w:styleId="TOC9">
    <w:name w:val="toc 9"/>
    <w:basedOn w:val="Normal"/>
    <w:next w:val="Normal"/>
    <w:autoRedefine/>
    <w:semiHidden/>
    <w:rsid w:val="00EA0331"/>
    <w:pPr>
      <w:ind w:left="2080"/>
    </w:pPr>
  </w:style>
  <w:style w:type="paragraph" w:customStyle="1" w:styleId="Contents">
    <w:name w:val="Contents"/>
    <w:basedOn w:val="Normal"/>
    <w:rsid w:val="00EA0331"/>
    <w:pPr>
      <w:jc w:val="center"/>
    </w:pPr>
    <w:rPr>
      <w:b/>
      <w:spacing w:val="100"/>
    </w:rPr>
  </w:style>
  <w:style w:type="character" w:customStyle="1" w:styleId="Heading6Char">
    <w:name w:val="Heading 6 Char"/>
    <w:basedOn w:val="DefaultParagraphFont"/>
    <w:link w:val="Heading6"/>
    <w:uiPriority w:val="9"/>
    <w:rsid w:val="002A35C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A35C8"/>
    <w:rPr>
      <w:rFonts w:asciiTheme="minorHAnsi" w:eastAsiaTheme="minorHAnsi" w:hAnsiTheme="minorHAnsi"/>
      <w:sz w:val="24"/>
      <w:szCs w:val="24"/>
    </w:rPr>
  </w:style>
  <w:style w:type="character" w:customStyle="1" w:styleId="FootnoteTextChar">
    <w:name w:val="Footnote Text Char"/>
    <w:link w:val="FootnoteText"/>
    <w:rsid w:val="002A35C8"/>
    <w:rPr>
      <w:rFonts w:ascii="Century Schoolbook" w:hAnsi="Century Schoolbook"/>
      <w:sz w:val="27"/>
    </w:rPr>
  </w:style>
  <w:style w:type="character" w:styleId="Hyperlink">
    <w:name w:val="Hyperlink"/>
    <w:basedOn w:val="DefaultParagraphFont"/>
    <w:uiPriority w:val="99"/>
    <w:unhideWhenUsed/>
    <w:rsid w:val="002A35C8"/>
    <w:rPr>
      <w:color w:val="0000FF" w:themeColor="hyperlink"/>
      <w:u w:val="single"/>
    </w:rPr>
  </w:style>
  <w:style w:type="character" w:customStyle="1" w:styleId="costarpage">
    <w:name w:val="co_starpage"/>
    <w:basedOn w:val="DefaultParagraphFont"/>
    <w:rsid w:val="002A35C8"/>
  </w:style>
  <w:style w:type="character" w:styleId="Emphasis">
    <w:name w:val="Emphasis"/>
    <w:basedOn w:val="DefaultParagraphFont"/>
    <w:uiPriority w:val="20"/>
    <w:qFormat/>
    <w:rsid w:val="002A35C8"/>
    <w:rPr>
      <w:i/>
      <w:iCs/>
    </w:rPr>
  </w:style>
  <w:style w:type="character" w:styleId="FollowedHyperlink">
    <w:name w:val="FollowedHyperlink"/>
    <w:basedOn w:val="DefaultParagraphFont"/>
    <w:uiPriority w:val="99"/>
    <w:semiHidden/>
    <w:unhideWhenUsed/>
    <w:rsid w:val="002A35C8"/>
    <w:rPr>
      <w:color w:val="800080" w:themeColor="followedHyperlink"/>
      <w:u w:val="single"/>
    </w:rPr>
  </w:style>
  <w:style w:type="character" w:customStyle="1" w:styleId="cosearchwithinterm">
    <w:name w:val="co_searchwithinterm"/>
    <w:basedOn w:val="DefaultParagraphFont"/>
    <w:rsid w:val="002A35C8"/>
  </w:style>
  <w:style w:type="character" w:customStyle="1" w:styleId="copinpointicon">
    <w:name w:val="co_pinpointicon"/>
    <w:basedOn w:val="DefaultParagraphFont"/>
    <w:rsid w:val="002A35C8"/>
  </w:style>
  <w:style w:type="paragraph" w:styleId="Title">
    <w:name w:val="Title"/>
    <w:basedOn w:val="Normal"/>
    <w:next w:val="Normal"/>
    <w:link w:val="TitleChar"/>
    <w:uiPriority w:val="10"/>
    <w:qFormat/>
    <w:rsid w:val="002A35C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35C8"/>
    <w:rPr>
      <w:rFonts w:asciiTheme="majorHAnsi" w:eastAsiaTheme="majorEastAsia" w:hAnsiTheme="majorHAnsi"/>
      <w:b/>
      <w:bCs/>
      <w:kern w:val="28"/>
      <w:sz w:val="32"/>
      <w:szCs w:val="32"/>
    </w:rPr>
  </w:style>
  <w:style w:type="character" w:customStyle="1" w:styleId="cosmallcaps">
    <w:name w:val="co_smallcaps"/>
    <w:basedOn w:val="DefaultParagraphFont"/>
    <w:rsid w:val="002A35C8"/>
  </w:style>
  <w:style w:type="character" w:customStyle="1" w:styleId="cosearchterm">
    <w:name w:val="co_searchterm"/>
    <w:basedOn w:val="DefaultParagraphFont"/>
    <w:rsid w:val="002A35C8"/>
  </w:style>
  <w:style w:type="paragraph" w:styleId="ListParagraph">
    <w:name w:val="List Paragraph"/>
    <w:basedOn w:val="Normal"/>
    <w:uiPriority w:val="34"/>
    <w:qFormat/>
    <w:rsid w:val="002A35C8"/>
    <w:pPr>
      <w:ind w:left="720"/>
      <w:contextualSpacing/>
    </w:pPr>
  </w:style>
  <w:style w:type="paragraph" w:customStyle="1" w:styleId="Default">
    <w:name w:val="Default"/>
    <w:rsid w:val="002A35C8"/>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2A35C8"/>
    <w:rPr>
      <w:sz w:val="16"/>
      <w:szCs w:val="16"/>
    </w:rPr>
  </w:style>
  <w:style w:type="paragraph" w:styleId="CommentText">
    <w:name w:val="annotation text"/>
    <w:basedOn w:val="Normal"/>
    <w:link w:val="CommentTextChar"/>
    <w:uiPriority w:val="99"/>
    <w:semiHidden/>
    <w:unhideWhenUsed/>
    <w:rsid w:val="002A35C8"/>
    <w:rPr>
      <w:sz w:val="20"/>
    </w:rPr>
  </w:style>
  <w:style w:type="character" w:customStyle="1" w:styleId="CommentTextChar">
    <w:name w:val="Comment Text Char"/>
    <w:basedOn w:val="DefaultParagraphFont"/>
    <w:link w:val="CommentText"/>
    <w:uiPriority w:val="99"/>
    <w:semiHidden/>
    <w:rsid w:val="002A35C8"/>
  </w:style>
  <w:style w:type="paragraph" w:styleId="BalloonText">
    <w:name w:val="Balloon Text"/>
    <w:basedOn w:val="Normal"/>
    <w:link w:val="BalloonTextChar"/>
    <w:uiPriority w:val="99"/>
    <w:semiHidden/>
    <w:unhideWhenUsed/>
    <w:rsid w:val="002A3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C8"/>
    <w:rPr>
      <w:rFonts w:ascii="Segoe UI" w:hAnsi="Segoe UI" w:cs="Segoe UI"/>
      <w:sz w:val="18"/>
      <w:szCs w:val="18"/>
    </w:rPr>
  </w:style>
  <w:style w:type="paragraph" w:styleId="NormalWeb">
    <w:name w:val="Normal (Web)"/>
    <w:basedOn w:val="Normal"/>
    <w:uiPriority w:val="99"/>
    <w:semiHidden/>
    <w:unhideWhenUsed/>
    <w:rsid w:val="002A35C8"/>
    <w:pPr>
      <w:spacing w:before="100" w:beforeAutospacing="1" w:afterAutospacing="1"/>
    </w:pPr>
    <w:rPr>
      <w:sz w:val="24"/>
      <w:szCs w:val="24"/>
    </w:rPr>
  </w:style>
  <w:style w:type="character" w:customStyle="1" w:styleId="Heading4Char">
    <w:name w:val="Heading 4 Char"/>
    <w:basedOn w:val="DefaultParagraphFont"/>
    <w:link w:val="Heading4"/>
    <w:rsid w:val="002A35C8"/>
    <w:rPr>
      <w:rFonts w:ascii="Century Schoolbook" w:hAnsi="Century Schoolbook"/>
      <w:i/>
      <w:sz w:val="27"/>
    </w:rPr>
  </w:style>
  <w:style w:type="paragraph" w:styleId="CommentSubject">
    <w:name w:val="annotation subject"/>
    <w:basedOn w:val="CommentText"/>
    <w:next w:val="CommentText"/>
    <w:link w:val="CommentSubjectChar"/>
    <w:uiPriority w:val="99"/>
    <w:semiHidden/>
    <w:unhideWhenUsed/>
    <w:rsid w:val="002A35C8"/>
    <w:rPr>
      <w:b/>
      <w:bCs/>
    </w:rPr>
  </w:style>
  <w:style w:type="character" w:customStyle="1" w:styleId="CommentSubjectChar">
    <w:name w:val="Comment Subject Char"/>
    <w:basedOn w:val="CommentTextChar"/>
    <w:link w:val="CommentSubject"/>
    <w:uiPriority w:val="99"/>
    <w:semiHidden/>
    <w:rsid w:val="002A35C8"/>
    <w:rPr>
      <w:b/>
      <w:bCs/>
    </w:rPr>
  </w:style>
  <w:style w:type="paragraph" w:styleId="Revision">
    <w:name w:val="Revision"/>
    <w:hidden/>
    <w:uiPriority w:val="99"/>
    <w:semiHidden/>
    <w:rsid w:val="002A35C8"/>
    <w:rPr>
      <w:sz w:val="26"/>
    </w:rPr>
  </w:style>
  <w:style w:type="character" w:customStyle="1" w:styleId="Heading5Char">
    <w:name w:val="Heading 5 Char"/>
    <w:basedOn w:val="DefaultParagraphFont"/>
    <w:link w:val="Heading5"/>
    <w:rsid w:val="002A35C8"/>
    <w:rPr>
      <w:rFonts w:ascii="Century Schoolbook" w:hAnsi="Century Schoolbook"/>
      <w:i/>
      <w:sz w:val="27"/>
    </w:rPr>
  </w:style>
  <w:style w:type="character" w:customStyle="1" w:styleId="Heading2Char">
    <w:name w:val="Heading 2 Char"/>
    <w:basedOn w:val="DefaultParagraphFont"/>
    <w:link w:val="Heading2"/>
    <w:rsid w:val="002A35C8"/>
    <w:rPr>
      <w:rFonts w:ascii="Century Schoolbook" w:hAnsi="Century Schoolbook"/>
      <w:b/>
      <w:sz w:val="27"/>
    </w:rPr>
  </w:style>
  <w:style w:type="character" w:customStyle="1" w:styleId="Heading3Char">
    <w:name w:val="Heading 3 Char"/>
    <w:basedOn w:val="DefaultParagraphFont"/>
    <w:link w:val="Heading3"/>
    <w:rsid w:val="002A35C8"/>
    <w:rPr>
      <w:rFonts w:ascii="Century Schoolbook" w:hAnsi="Century Schoolbook"/>
      <w:i/>
      <w:sz w:val="27"/>
    </w:rPr>
  </w:style>
  <w:style w:type="character" w:customStyle="1" w:styleId="Heading1Char">
    <w:name w:val="Heading 1 Char"/>
    <w:basedOn w:val="DefaultParagraphFont"/>
    <w:link w:val="Heading1"/>
    <w:rsid w:val="002A35C8"/>
    <w:rPr>
      <w:rFonts w:ascii="Century Schoolbook" w:hAnsi="Century Schoolbook"/>
      <w:b/>
      <w:smallCaps/>
      <w:sz w:val="27"/>
    </w:rPr>
  </w:style>
  <w:style w:type="paragraph" w:styleId="NoSpacing">
    <w:name w:val="No Spacing"/>
    <w:uiPriority w:val="1"/>
    <w:qFormat/>
    <w:rsid w:val="002A35C8"/>
    <w:rPr>
      <w:rFonts w:asciiTheme="minorHAnsi" w:eastAsiaTheme="minorHAnsi" w:hAnsiTheme="minorHAnsi" w:cstheme="minorBidi"/>
      <w:sz w:val="22"/>
      <w:szCs w:val="22"/>
    </w:rPr>
  </w:style>
  <w:style w:type="character" w:customStyle="1" w:styleId="HeaderChar">
    <w:name w:val="Header Char"/>
    <w:basedOn w:val="DefaultParagraphFont"/>
    <w:link w:val="Header"/>
    <w:rsid w:val="002A35C8"/>
    <w:rPr>
      <w:rFonts w:ascii="Century Schoolbook" w:hAnsi="Century Schoolbook"/>
      <w:sz w:val="22"/>
    </w:rPr>
  </w:style>
  <w:style w:type="character" w:customStyle="1" w:styleId="FooterChar">
    <w:name w:val="Footer Char"/>
    <w:basedOn w:val="DefaultParagraphFont"/>
    <w:link w:val="Footer"/>
    <w:uiPriority w:val="99"/>
    <w:rsid w:val="002A35C8"/>
    <w:rPr>
      <w:rFonts w:ascii="Century Schoolbook" w:hAnsi="Century Schoolbook"/>
      <w:sz w:val="22"/>
    </w:rPr>
  </w:style>
  <w:style w:type="character" w:customStyle="1" w:styleId="coinlinekeyciteflag">
    <w:name w:val="co_inlinekeyciteflag"/>
    <w:basedOn w:val="DefaultParagraphFont"/>
    <w:rsid w:val="002A35C8"/>
  </w:style>
  <w:style w:type="character" w:customStyle="1" w:styleId="UnresolvedMention1">
    <w:name w:val="Unresolved Mention1"/>
    <w:basedOn w:val="DefaultParagraphFont"/>
    <w:uiPriority w:val="99"/>
    <w:semiHidden/>
    <w:unhideWhenUsed/>
    <w:rsid w:val="00A21292"/>
    <w:rPr>
      <w:color w:val="605E5C"/>
      <w:shd w:val="clear" w:color="auto" w:fill="E1DFDD"/>
    </w:rPr>
  </w:style>
  <w:style w:type="paragraph" w:customStyle="1" w:styleId="PRComments">
    <w:name w:val="PR Comments"/>
    <w:basedOn w:val="Normal"/>
    <w:rsid w:val="00022FCA"/>
    <w:pPr>
      <w:spacing w:line="360" w:lineRule="atLeast"/>
      <w:ind w:right="-360"/>
    </w:pPr>
  </w:style>
  <w:style w:type="character" w:customStyle="1" w:styleId="coinlinekeyciteflagillegallinkremoved">
    <w:name w:val="co_inlinekeyciteflagillegallinkremoved"/>
    <w:basedOn w:val="DefaultParagraphFont"/>
    <w:rsid w:val="00A2083D"/>
  </w:style>
  <w:style w:type="character" w:styleId="Strong">
    <w:name w:val="Strong"/>
    <w:basedOn w:val="DefaultParagraphFont"/>
    <w:uiPriority w:val="22"/>
    <w:qFormat/>
    <w:rsid w:val="003D41CA"/>
    <w:rPr>
      <w:b/>
      <w:bCs/>
    </w:rPr>
  </w:style>
  <w:style w:type="paragraph" w:styleId="BodyText">
    <w:name w:val="Body Text"/>
    <w:basedOn w:val="Normal"/>
    <w:link w:val="BodyTextChar"/>
    <w:qFormat/>
    <w:rsid w:val="00EA0331"/>
  </w:style>
  <w:style w:type="character" w:customStyle="1" w:styleId="BodyTextChar">
    <w:name w:val="Body Text Char"/>
    <w:basedOn w:val="DefaultParagraphFont"/>
    <w:link w:val="BodyText"/>
    <w:rsid w:val="00EA0331"/>
    <w:rPr>
      <w:rFonts w:ascii="Century Schoolbook" w:hAnsi="Century Schoolbook"/>
      <w:sz w:val="27"/>
    </w:rPr>
  </w:style>
  <w:style w:type="character" w:customStyle="1" w:styleId="apple-converted-space">
    <w:name w:val="apple-converted-space"/>
    <w:basedOn w:val="DefaultParagraphFont"/>
    <w:rsid w:val="00DC2388"/>
  </w:style>
  <w:style w:type="character" w:styleId="UnresolvedMention">
    <w:name w:val="Unresolved Mention"/>
    <w:basedOn w:val="DefaultParagraphFont"/>
    <w:uiPriority w:val="99"/>
    <w:rsid w:val="00241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88567">
      <w:bodyDiv w:val="1"/>
      <w:marLeft w:val="0"/>
      <w:marRight w:val="0"/>
      <w:marTop w:val="0"/>
      <w:marBottom w:val="0"/>
      <w:divBdr>
        <w:top w:val="none" w:sz="0" w:space="0" w:color="auto"/>
        <w:left w:val="none" w:sz="0" w:space="0" w:color="auto"/>
        <w:bottom w:val="none" w:sz="0" w:space="0" w:color="auto"/>
        <w:right w:val="none" w:sz="0" w:space="0" w:color="auto"/>
      </w:divBdr>
    </w:div>
    <w:div w:id="480123744">
      <w:bodyDiv w:val="1"/>
      <w:marLeft w:val="0"/>
      <w:marRight w:val="0"/>
      <w:marTop w:val="0"/>
      <w:marBottom w:val="0"/>
      <w:divBdr>
        <w:top w:val="none" w:sz="0" w:space="0" w:color="auto"/>
        <w:left w:val="none" w:sz="0" w:space="0" w:color="auto"/>
        <w:bottom w:val="none" w:sz="0" w:space="0" w:color="auto"/>
        <w:right w:val="none" w:sz="0" w:space="0" w:color="auto"/>
      </w:divBdr>
    </w:div>
    <w:div w:id="539248627">
      <w:bodyDiv w:val="1"/>
      <w:marLeft w:val="0"/>
      <w:marRight w:val="0"/>
      <w:marTop w:val="0"/>
      <w:marBottom w:val="0"/>
      <w:divBdr>
        <w:top w:val="none" w:sz="0" w:space="0" w:color="auto"/>
        <w:left w:val="none" w:sz="0" w:space="0" w:color="auto"/>
        <w:bottom w:val="none" w:sz="0" w:space="0" w:color="auto"/>
        <w:right w:val="none" w:sz="0" w:space="0" w:color="auto"/>
      </w:divBdr>
      <w:divsChild>
        <w:div w:id="518396846">
          <w:marLeft w:val="0"/>
          <w:marRight w:val="0"/>
          <w:marTop w:val="0"/>
          <w:marBottom w:val="0"/>
          <w:divBdr>
            <w:top w:val="none" w:sz="0" w:space="0" w:color="auto"/>
            <w:left w:val="none" w:sz="0" w:space="0" w:color="auto"/>
            <w:bottom w:val="none" w:sz="0" w:space="0" w:color="auto"/>
            <w:right w:val="none" w:sz="0" w:space="0" w:color="auto"/>
          </w:divBdr>
          <w:divsChild>
            <w:div w:id="907034292">
              <w:marLeft w:val="0"/>
              <w:marRight w:val="0"/>
              <w:marTop w:val="0"/>
              <w:marBottom w:val="0"/>
              <w:divBdr>
                <w:top w:val="none" w:sz="0" w:space="0" w:color="auto"/>
                <w:left w:val="none" w:sz="0" w:space="0" w:color="auto"/>
                <w:bottom w:val="none" w:sz="0" w:space="0" w:color="auto"/>
                <w:right w:val="none" w:sz="0" w:space="0" w:color="auto"/>
              </w:divBdr>
              <w:divsChild>
                <w:div w:id="5848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1030">
          <w:marLeft w:val="0"/>
          <w:marRight w:val="0"/>
          <w:marTop w:val="0"/>
          <w:marBottom w:val="0"/>
          <w:divBdr>
            <w:top w:val="none" w:sz="0" w:space="0" w:color="auto"/>
            <w:left w:val="none" w:sz="0" w:space="0" w:color="auto"/>
            <w:bottom w:val="none" w:sz="0" w:space="0" w:color="auto"/>
            <w:right w:val="none" w:sz="0" w:space="0" w:color="auto"/>
          </w:divBdr>
          <w:divsChild>
            <w:div w:id="1428890445">
              <w:marLeft w:val="0"/>
              <w:marRight w:val="0"/>
              <w:marTop w:val="0"/>
              <w:marBottom w:val="0"/>
              <w:divBdr>
                <w:top w:val="none" w:sz="0" w:space="0" w:color="auto"/>
                <w:left w:val="none" w:sz="0" w:space="0" w:color="auto"/>
                <w:bottom w:val="none" w:sz="0" w:space="0" w:color="auto"/>
                <w:right w:val="none" w:sz="0" w:space="0" w:color="auto"/>
              </w:divBdr>
              <w:divsChild>
                <w:div w:id="2052656264">
                  <w:marLeft w:val="0"/>
                  <w:marRight w:val="0"/>
                  <w:marTop w:val="0"/>
                  <w:marBottom w:val="0"/>
                  <w:divBdr>
                    <w:top w:val="none" w:sz="0" w:space="0" w:color="auto"/>
                    <w:left w:val="none" w:sz="0" w:space="0" w:color="auto"/>
                    <w:bottom w:val="none" w:sz="0" w:space="0" w:color="auto"/>
                    <w:right w:val="none" w:sz="0" w:space="0" w:color="auto"/>
                  </w:divBdr>
                </w:div>
              </w:divsChild>
            </w:div>
            <w:div w:id="985626371">
              <w:marLeft w:val="0"/>
              <w:marRight w:val="0"/>
              <w:marTop w:val="0"/>
              <w:marBottom w:val="0"/>
              <w:divBdr>
                <w:top w:val="none" w:sz="0" w:space="0" w:color="auto"/>
                <w:left w:val="none" w:sz="0" w:space="0" w:color="auto"/>
                <w:bottom w:val="none" w:sz="0" w:space="0" w:color="auto"/>
                <w:right w:val="none" w:sz="0" w:space="0" w:color="auto"/>
              </w:divBdr>
              <w:divsChild>
                <w:div w:id="1536195210">
                  <w:marLeft w:val="0"/>
                  <w:marRight w:val="0"/>
                  <w:marTop w:val="0"/>
                  <w:marBottom w:val="0"/>
                  <w:divBdr>
                    <w:top w:val="none" w:sz="0" w:space="0" w:color="auto"/>
                    <w:left w:val="none" w:sz="0" w:space="0" w:color="auto"/>
                    <w:bottom w:val="none" w:sz="0" w:space="0" w:color="auto"/>
                    <w:right w:val="none" w:sz="0" w:space="0" w:color="auto"/>
                  </w:divBdr>
                </w:div>
              </w:divsChild>
            </w:div>
            <w:div w:id="876698962">
              <w:marLeft w:val="0"/>
              <w:marRight w:val="0"/>
              <w:marTop w:val="0"/>
              <w:marBottom w:val="0"/>
              <w:divBdr>
                <w:top w:val="none" w:sz="0" w:space="0" w:color="auto"/>
                <w:left w:val="none" w:sz="0" w:space="0" w:color="auto"/>
                <w:bottom w:val="none" w:sz="0" w:space="0" w:color="auto"/>
                <w:right w:val="none" w:sz="0" w:space="0" w:color="auto"/>
              </w:divBdr>
              <w:divsChild>
                <w:div w:id="16488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51392">
      <w:bodyDiv w:val="1"/>
      <w:marLeft w:val="0"/>
      <w:marRight w:val="0"/>
      <w:marTop w:val="0"/>
      <w:marBottom w:val="0"/>
      <w:divBdr>
        <w:top w:val="none" w:sz="0" w:space="0" w:color="auto"/>
        <w:left w:val="none" w:sz="0" w:space="0" w:color="auto"/>
        <w:bottom w:val="none" w:sz="0" w:space="0" w:color="auto"/>
        <w:right w:val="none" w:sz="0" w:space="0" w:color="auto"/>
      </w:divBdr>
    </w:div>
    <w:div w:id="715852316">
      <w:bodyDiv w:val="1"/>
      <w:marLeft w:val="0"/>
      <w:marRight w:val="0"/>
      <w:marTop w:val="0"/>
      <w:marBottom w:val="0"/>
      <w:divBdr>
        <w:top w:val="none" w:sz="0" w:space="0" w:color="auto"/>
        <w:left w:val="none" w:sz="0" w:space="0" w:color="auto"/>
        <w:bottom w:val="none" w:sz="0" w:space="0" w:color="auto"/>
        <w:right w:val="none" w:sz="0" w:space="0" w:color="auto"/>
      </w:divBdr>
      <w:divsChild>
        <w:div w:id="971179750">
          <w:marLeft w:val="0"/>
          <w:marRight w:val="0"/>
          <w:marTop w:val="0"/>
          <w:marBottom w:val="0"/>
          <w:divBdr>
            <w:top w:val="none" w:sz="0" w:space="0" w:color="auto"/>
            <w:left w:val="none" w:sz="0" w:space="0" w:color="auto"/>
            <w:bottom w:val="none" w:sz="0" w:space="0" w:color="auto"/>
            <w:right w:val="none" w:sz="0" w:space="0" w:color="auto"/>
          </w:divBdr>
          <w:divsChild>
            <w:div w:id="1363628673">
              <w:marLeft w:val="0"/>
              <w:marRight w:val="0"/>
              <w:marTop w:val="0"/>
              <w:marBottom w:val="0"/>
              <w:divBdr>
                <w:top w:val="none" w:sz="0" w:space="0" w:color="auto"/>
                <w:left w:val="none" w:sz="0" w:space="0" w:color="auto"/>
                <w:bottom w:val="none" w:sz="0" w:space="0" w:color="auto"/>
                <w:right w:val="none" w:sz="0" w:space="0" w:color="auto"/>
              </w:divBdr>
              <w:divsChild>
                <w:div w:id="722026396">
                  <w:marLeft w:val="0"/>
                  <w:marRight w:val="0"/>
                  <w:marTop w:val="0"/>
                  <w:marBottom w:val="0"/>
                  <w:divBdr>
                    <w:top w:val="none" w:sz="0" w:space="0" w:color="auto"/>
                    <w:left w:val="none" w:sz="0" w:space="0" w:color="auto"/>
                    <w:bottom w:val="none" w:sz="0" w:space="0" w:color="auto"/>
                    <w:right w:val="none" w:sz="0" w:space="0" w:color="auto"/>
                  </w:divBdr>
                  <w:divsChild>
                    <w:div w:id="918294270">
                      <w:marLeft w:val="0"/>
                      <w:marRight w:val="0"/>
                      <w:marTop w:val="0"/>
                      <w:marBottom w:val="0"/>
                      <w:divBdr>
                        <w:top w:val="none" w:sz="0" w:space="0" w:color="auto"/>
                        <w:left w:val="none" w:sz="0" w:space="0" w:color="auto"/>
                        <w:bottom w:val="none" w:sz="0" w:space="0" w:color="auto"/>
                        <w:right w:val="none" w:sz="0" w:space="0" w:color="auto"/>
                      </w:divBdr>
                      <w:divsChild>
                        <w:div w:id="1073158697">
                          <w:marLeft w:val="0"/>
                          <w:marRight w:val="0"/>
                          <w:marTop w:val="600"/>
                          <w:marBottom w:val="100"/>
                          <w:divBdr>
                            <w:top w:val="none" w:sz="0" w:space="0" w:color="auto"/>
                            <w:left w:val="none" w:sz="0" w:space="0" w:color="auto"/>
                            <w:bottom w:val="none" w:sz="0" w:space="0" w:color="auto"/>
                            <w:right w:val="none" w:sz="0" w:space="0" w:color="auto"/>
                          </w:divBdr>
                          <w:divsChild>
                            <w:div w:id="1864778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40764">
      <w:bodyDiv w:val="1"/>
      <w:marLeft w:val="0"/>
      <w:marRight w:val="0"/>
      <w:marTop w:val="0"/>
      <w:marBottom w:val="0"/>
      <w:divBdr>
        <w:top w:val="none" w:sz="0" w:space="0" w:color="auto"/>
        <w:left w:val="none" w:sz="0" w:space="0" w:color="auto"/>
        <w:bottom w:val="none" w:sz="0" w:space="0" w:color="auto"/>
        <w:right w:val="none" w:sz="0" w:space="0" w:color="auto"/>
      </w:divBdr>
    </w:div>
    <w:div w:id="908805829">
      <w:bodyDiv w:val="1"/>
      <w:marLeft w:val="0"/>
      <w:marRight w:val="0"/>
      <w:marTop w:val="0"/>
      <w:marBottom w:val="0"/>
      <w:divBdr>
        <w:top w:val="none" w:sz="0" w:space="0" w:color="auto"/>
        <w:left w:val="none" w:sz="0" w:space="0" w:color="auto"/>
        <w:bottom w:val="none" w:sz="0" w:space="0" w:color="auto"/>
        <w:right w:val="none" w:sz="0" w:space="0" w:color="auto"/>
      </w:divBdr>
    </w:div>
    <w:div w:id="937448947">
      <w:bodyDiv w:val="1"/>
      <w:marLeft w:val="0"/>
      <w:marRight w:val="0"/>
      <w:marTop w:val="0"/>
      <w:marBottom w:val="0"/>
      <w:divBdr>
        <w:top w:val="none" w:sz="0" w:space="0" w:color="auto"/>
        <w:left w:val="none" w:sz="0" w:space="0" w:color="auto"/>
        <w:bottom w:val="none" w:sz="0" w:space="0" w:color="auto"/>
        <w:right w:val="none" w:sz="0" w:space="0" w:color="auto"/>
      </w:divBdr>
      <w:divsChild>
        <w:div w:id="1652514497">
          <w:marLeft w:val="0"/>
          <w:marRight w:val="0"/>
          <w:marTop w:val="0"/>
          <w:marBottom w:val="0"/>
          <w:divBdr>
            <w:top w:val="none" w:sz="0" w:space="0" w:color="auto"/>
            <w:left w:val="none" w:sz="0" w:space="0" w:color="auto"/>
            <w:bottom w:val="none" w:sz="0" w:space="0" w:color="auto"/>
            <w:right w:val="none" w:sz="0" w:space="0" w:color="auto"/>
          </w:divBdr>
          <w:divsChild>
            <w:div w:id="126895325">
              <w:marLeft w:val="0"/>
              <w:marRight w:val="0"/>
              <w:marTop w:val="0"/>
              <w:marBottom w:val="0"/>
              <w:divBdr>
                <w:top w:val="none" w:sz="0" w:space="0" w:color="auto"/>
                <w:left w:val="none" w:sz="0" w:space="0" w:color="auto"/>
                <w:bottom w:val="none" w:sz="0" w:space="0" w:color="auto"/>
                <w:right w:val="none" w:sz="0" w:space="0" w:color="auto"/>
              </w:divBdr>
            </w:div>
          </w:divsChild>
        </w:div>
        <w:div w:id="1153256173">
          <w:marLeft w:val="0"/>
          <w:marRight w:val="0"/>
          <w:marTop w:val="0"/>
          <w:marBottom w:val="0"/>
          <w:divBdr>
            <w:top w:val="none" w:sz="0" w:space="0" w:color="auto"/>
            <w:left w:val="none" w:sz="0" w:space="0" w:color="auto"/>
            <w:bottom w:val="none" w:sz="0" w:space="0" w:color="auto"/>
            <w:right w:val="none" w:sz="0" w:space="0" w:color="auto"/>
          </w:divBdr>
        </w:div>
        <w:div w:id="1985234952">
          <w:marLeft w:val="0"/>
          <w:marRight w:val="0"/>
          <w:marTop w:val="0"/>
          <w:marBottom w:val="0"/>
          <w:divBdr>
            <w:top w:val="none" w:sz="0" w:space="0" w:color="auto"/>
            <w:left w:val="none" w:sz="0" w:space="0" w:color="auto"/>
            <w:bottom w:val="none" w:sz="0" w:space="0" w:color="auto"/>
            <w:right w:val="none" w:sz="0" w:space="0" w:color="auto"/>
          </w:divBdr>
          <w:divsChild>
            <w:div w:id="20474647">
              <w:marLeft w:val="0"/>
              <w:marRight w:val="0"/>
              <w:marTop w:val="0"/>
              <w:marBottom w:val="0"/>
              <w:divBdr>
                <w:top w:val="none" w:sz="0" w:space="0" w:color="auto"/>
                <w:left w:val="none" w:sz="0" w:space="0" w:color="auto"/>
                <w:bottom w:val="none" w:sz="0" w:space="0" w:color="auto"/>
                <w:right w:val="none" w:sz="0" w:space="0" w:color="auto"/>
              </w:divBdr>
            </w:div>
          </w:divsChild>
        </w:div>
        <w:div w:id="2116905827">
          <w:marLeft w:val="0"/>
          <w:marRight w:val="0"/>
          <w:marTop w:val="0"/>
          <w:marBottom w:val="0"/>
          <w:divBdr>
            <w:top w:val="none" w:sz="0" w:space="0" w:color="auto"/>
            <w:left w:val="none" w:sz="0" w:space="0" w:color="auto"/>
            <w:bottom w:val="none" w:sz="0" w:space="0" w:color="auto"/>
            <w:right w:val="none" w:sz="0" w:space="0" w:color="auto"/>
          </w:divBdr>
        </w:div>
        <w:div w:id="78255476">
          <w:marLeft w:val="0"/>
          <w:marRight w:val="0"/>
          <w:marTop w:val="0"/>
          <w:marBottom w:val="0"/>
          <w:divBdr>
            <w:top w:val="none" w:sz="0" w:space="0" w:color="auto"/>
            <w:left w:val="none" w:sz="0" w:space="0" w:color="auto"/>
            <w:bottom w:val="none" w:sz="0" w:space="0" w:color="auto"/>
            <w:right w:val="none" w:sz="0" w:space="0" w:color="auto"/>
          </w:divBdr>
          <w:divsChild>
            <w:div w:id="1471022821">
              <w:marLeft w:val="0"/>
              <w:marRight w:val="0"/>
              <w:marTop w:val="0"/>
              <w:marBottom w:val="0"/>
              <w:divBdr>
                <w:top w:val="none" w:sz="0" w:space="0" w:color="auto"/>
                <w:left w:val="none" w:sz="0" w:space="0" w:color="auto"/>
                <w:bottom w:val="none" w:sz="0" w:space="0" w:color="auto"/>
                <w:right w:val="none" w:sz="0" w:space="0" w:color="auto"/>
              </w:divBdr>
            </w:div>
          </w:divsChild>
        </w:div>
        <w:div w:id="227959844">
          <w:marLeft w:val="0"/>
          <w:marRight w:val="0"/>
          <w:marTop w:val="0"/>
          <w:marBottom w:val="0"/>
          <w:divBdr>
            <w:top w:val="none" w:sz="0" w:space="0" w:color="auto"/>
            <w:left w:val="none" w:sz="0" w:space="0" w:color="auto"/>
            <w:bottom w:val="none" w:sz="0" w:space="0" w:color="auto"/>
            <w:right w:val="none" w:sz="0" w:space="0" w:color="auto"/>
          </w:divBdr>
        </w:div>
        <w:div w:id="1876190825">
          <w:marLeft w:val="0"/>
          <w:marRight w:val="0"/>
          <w:marTop w:val="0"/>
          <w:marBottom w:val="0"/>
          <w:divBdr>
            <w:top w:val="none" w:sz="0" w:space="0" w:color="auto"/>
            <w:left w:val="none" w:sz="0" w:space="0" w:color="auto"/>
            <w:bottom w:val="none" w:sz="0" w:space="0" w:color="auto"/>
            <w:right w:val="none" w:sz="0" w:space="0" w:color="auto"/>
          </w:divBdr>
        </w:div>
        <w:div w:id="148597835">
          <w:marLeft w:val="0"/>
          <w:marRight w:val="0"/>
          <w:marTop w:val="0"/>
          <w:marBottom w:val="0"/>
          <w:divBdr>
            <w:top w:val="none" w:sz="0" w:space="0" w:color="auto"/>
            <w:left w:val="none" w:sz="0" w:space="0" w:color="auto"/>
            <w:bottom w:val="none" w:sz="0" w:space="0" w:color="auto"/>
            <w:right w:val="none" w:sz="0" w:space="0" w:color="auto"/>
          </w:divBdr>
          <w:divsChild>
            <w:div w:id="1630237287">
              <w:marLeft w:val="0"/>
              <w:marRight w:val="0"/>
              <w:marTop w:val="0"/>
              <w:marBottom w:val="0"/>
              <w:divBdr>
                <w:top w:val="none" w:sz="0" w:space="0" w:color="auto"/>
                <w:left w:val="none" w:sz="0" w:space="0" w:color="auto"/>
                <w:bottom w:val="none" w:sz="0" w:space="0" w:color="auto"/>
                <w:right w:val="none" w:sz="0" w:space="0" w:color="auto"/>
              </w:divBdr>
            </w:div>
          </w:divsChild>
        </w:div>
        <w:div w:id="712534069">
          <w:marLeft w:val="0"/>
          <w:marRight w:val="0"/>
          <w:marTop w:val="0"/>
          <w:marBottom w:val="0"/>
          <w:divBdr>
            <w:top w:val="none" w:sz="0" w:space="0" w:color="auto"/>
            <w:left w:val="none" w:sz="0" w:space="0" w:color="auto"/>
            <w:bottom w:val="none" w:sz="0" w:space="0" w:color="auto"/>
            <w:right w:val="none" w:sz="0" w:space="0" w:color="auto"/>
          </w:divBdr>
        </w:div>
        <w:div w:id="1943957425">
          <w:marLeft w:val="0"/>
          <w:marRight w:val="0"/>
          <w:marTop w:val="0"/>
          <w:marBottom w:val="0"/>
          <w:divBdr>
            <w:top w:val="none" w:sz="0" w:space="0" w:color="auto"/>
            <w:left w:val="none" w:sz="0" w:space="0" w:color="auto"/>
            <w:bottom w:val="none" w:sz="0" w:space="0" w:color="auto"/>
            <w:right w:val="none" w:sz="0" w:space="0" w:color="auto"/>
          </w:divBdr>
          <w:divsChild>
            <w:div w:id="1600285283">
              <w:marLeft w:val="0"/>
              <w:marRight w:val="0"/>
              <w:marTop w:val="0"/>
              <w:marBottom w:val="0"/>
              <w:divBdr>
                <w:top w:val="none" w:sz="0" w:space="0" w:color="auto"/>
                <w:left w:val="none" w:sz="0" w:space="0" w:color="auto"/>
                <w:bottom w:val="none" w:sz="0" w:space="0" w:color="auto"/>
                <w:right w:val="none" w:sz="0" w:space="0" w:color="auto"/>
              </w:divBdr>
            </w:div>
          </w:divsChild>
        </w:div>
        <w:div w:id="2040353030">
          <w:marLeft w:val="0"/>
          <w:marRight w:val="0"/>
          <w:marTop w:val="0"/>
          <w:marBottom w:val="0"/>
          <w:divBdr>
            <w:top w:val="none" w:sz="0" w:space="0" w:color="auto"/>
            <w:left w:val="none" w:sz="0" w:space="0" w:color="auto"/>
            <w:bottom w:val="none" w:sz="0" w:space="0" w:color="auto"/>
            <w:right w:val="none" w:sz="0" w:space="0" w:color="auto"/>
          </w:divBdr>
          <w:divsChild>
            <w:div w:id="85732859">
              <w:marLeft w:val="0"/>
              <w:marRight w:val="0"/>
              <w:marTop w:val="0"/>
              <w:marBottom w:val="0"/>
              <w:divBdr>
                <w:top w:val="none" w:sz="0" w:space="0" w:color="auto"/>
                <w:left w:val="none" w:sz="0" w:space="0" w:color="auto"/>
                <w:bottom w:val="none" w:sz="0" w:space="0" w:color="auto"/>
                <w:right w:val="none" w:sz="0" w:space="0" w:color="auto"/>
              </w:divBdr>
            </w:div>
          </w:divsChild>
        </w:div>
        <w:div w:id="1994022469">
          <w:marLeft w:val="0"/>
          <w:marRight w:val="0"/>
          <w:marTop w:val="0"/>
          <w:marBottom w:val="0"/>
          <w:divBdr>
            <w:top w:val="none" w:sz="0" w:space="0" w:color="auto"/>
            <w:left w:val="none" w:sz="0" w:space="0" w:color="auto"/>
            <w:bottom w:val="none" w:sz="0" w:space="0" w:color="auto"/>
            <w:right w:val="none" w:sz="0" w:space="0" w:color="auto"/>
          </w:divBdr>
        </w:div>
        <w:div w:id="713895226">
          <w:marLeft w:val="0"/>
          <w:marRight w:val="0"/>
          <w:marTop w:val="0"/>
          <w:marBottom w:val="0"/>
          <w:divBdr>
            <w:top w:val="none" w:sz="0" w:space="0" w:color="auto"/>
            <w:left w:val="none" w:sz="0" w:space="0" w:color="auto"/>
            <w:bottom w:val="none" w:sz="0" w:space="0" w:color="auto"/>
            <w:right w:val="none" w:sz="0" w:space="0" w:color="auto"/>
          </w:divBdr>
        </w:div>
        <w:div w:id="150368451">
          <w:marLeft w:val="0"/>
          <w:marRight w:val="0"/>
          <w:marTop w:val="0"/>
          <w:marBottom w:val="0"/>
          <w:divBdr>
            <w:top w:val="none" w:sz="0" w:space="0" w:color="auto"/>
            <w:left w:val="none" w:sz="0" w:space="0" w:color="auto"/>
            <w:bottom w:val="none" w:sz="0" w:space="0" w:color="auto"/>
            <w:right w:val="none" w:sz="0" w:space="0" w:color="auto"/>
          </w:divBdr>
          <w:divsChild>
            <w:div w:id="641085353">
              <w:marLeft w:val="0"/>
              <w:marRight w:val="0"/>
              <w:marTop w:val="0"/>
              <w:marBottom w:val="0"/>
              <w:divBdr>
                <w:top w:val="none" w:sz="0" w:space="0" w:color="auto"/>
                <w:left w:val="none" w:sz="0" w:space="0" w:color="auto"/>
                <w:bottom w:val="none" w:sz="0" w:space="0" w:color="auto"/>
                <w:right w:val="none" w:sz="0" w:space="0" w:color="auto"/>
              </w:divBdr>
            </w:div>
          </w:divsChild>
        </w:div>
        <w:div w:id="774911367">
          <w:marLeft w:val="0"/>
          <w:marRight w:val="0"/>
          <w:marTop w:val="0"/>
          <w:marBottom w:val="0"/>
          <w:divBdr>
            <w:top w:val="none" w:sz="0" w:space="0" w:color="auto"/>
            <w:left w:val="none" w:sz="0" w:space="0" w:color="auto"/>
            <w:bottom w:val="none" w:sz="0" w:space="0" w:color="auto"/>
            <w:right w:val="none" w:sz="0" w:space="0" w:color="auto"/>
          </w:divBdr>
          <w:divsChild>
            <w:div w:id="105543072">
              <w:marLeft w:val="0"/>
              <w:marRight w:val="0"/>
              <w:marTop w:val="0"/>
              <w:marBottom w:val="0"/>
              <w:divBdr>
                <w:top w:val="none" w:sz="0" w:space="0" w:color="auto"/>
                <w:left w:val="none" w:sz="0" w:space="0" w:color="auto"/>
                <w:bottom w:val="none" w:sz="0" w:space="0" w:color="auto"/>
                <w:right w:val="none" w:sz="0" w:space="0" w:color="auto"/>
              </w:divBdr>
            </w:div>
          </w:divsChild>
        </w:div>
        <w:div w:id="1139612081">
          <w:marLeft w:val="0"/>
          <w:marRight w:val="0"/>
          <w:marTop w:val="0"/>
          <w:marBottom w:val="0"/>
          <w:divBdr>
            <w:top w:val="none" w:sz="0" w:space="0" w:color="auto"/>
            <w:left w:val="none" w:sz="0" w:space="0" w:color="auto"/>
            <w:bottom w:val="none" w:sz="0" w:space="0" w:color="auto"/>
            <w:right w:val="none" w:sz="0" w:space="0" w:color="auto"/>
          </w:divBdr>
          <w:divsChild>
            <w:div w:id="646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3056">
      <w:bodyDiv w:val="1"/>
      <w:marLeft w:val="0"/>
      <w:marRight w:val="0"/>
      <w:marTop w:val="0"/>
      <w:marBottom w:val="0"/>
      <w:divBdr>
        <w:top w:val="none" w:sz="0" w:space="0" w:color="auto"/>
        <w:left w:val="none" w:sz="0" w:space="0" w:color="auto"/>
        <w:bottom w:val="none" w:sz="0" w:space="0" w:color="auto"/>
        <w:right w:val="none" w:sz="0" w:space="0" w:color="auto"/>
      </w:divBdr>
      <w:divsChild>
        <w:div w:id="258413223">
          <w:marLeft w:val="0"/>
          <w:marRight w:val="0"/>
          <w:marTop w:val="0"/>
          <w:marBottom w:val="0"/>
          <w:divBdr>
            <w:top w:val="none" w:sz="0" w:space="0" w:color="auto"/>
            <w:left w:val="none" w:sz="0" w:space="0" w:color="auto"/>
            <w:bottom w:val="none" w:sz="0" w:space="0" w:color="auto"/>
            <w:right w:val="none" w:sz="0" w:space="0" w:color="auto"/>
          </w:divBdr>
        </w:div>
        <w:div w:id="1206866487">
          <w:marLeft w:val="0"/>
          <w:marRight w:val="0"/>
          <w:marTop w:val="0"/>
          <w:marBottom w:val="0"/>
          <w:divBdr>
            <w:top w:val="none" w:sz="0" w:space="0" w:color="auto"/>
            <w:left w:val="none" w:sz="0" w:space="0" w:color="auto"/>
            <w:bottom w:val="none" w:sz="0" w:space="0" w:color="auto"/>
            <w:right w:val="none" w:sz="0" w:space="0" w:color="auto"/>
          </w:divBdr>
          <w:divsChild>
            <w:div w:id="366295953">
              <w:marLeft w:val="0"/>
              <w:marRight w:val="0"/>
              <w:marTop w:val="0"/>
              <w:marBottom w:val="0"/>
              <w:divBdr>
                <w:top w:val="none" w:sz="0" w:space="0" w:color="auto"/>
                <w:left w:val="none" w:sz="0" w:space="0" w:color="auto"/>
                <w:bottom w:val="none" w:sz="0" w:space="0" w:color="auto"/>
                <w:right w:val="none" w:sz="0" w:space="0" w:color="auto"/>
              </w:divBdr>
            </w:div>
          </w:divsChild>
        </w:div>
        <w:div w:id="569773302">
          <w:marLeft w:val="0"/>
          <w:marRight w:val="0"/>
          <w:marTop w:val="0"/>
          <w:marBottom w:val="0"/>
          <w:divBdr>
            <w:top w:val="none" w:sz="0" w:space="0" w:color="auto"/>
            <w:left w:val="none" w:sz="0" w:space="0" w:color="auto"/>
            <w:bottom w:val="none" w:sz="0" w:space="0" w:color="auto"/>
            <w:right w:val="none" w:sz="0" w:space="0" w:color="auto"/>
          </w:divBdr>
          <w:divsChild>
            <w:div w:id="4047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42974">
      <w:bodyDiv w:val="1"/>
      <w:marLeft w:val="0"/>
      <w:marRight w:val="0"/>
      <w:marTop w:val="0"/>
      <w:marBottom w:val="0"/>
      <w:divBdr>
        <w:top w:val="none" w:sz="0" w:space="0" w:color="auto"/>
        <w:left w:val="none" w:sz="0" w:space="0" w:color="auto"/>
        <w:bottom w:val="none" w:sz="0" w:space="0" w:color="auto"/>
        <w:right w:val="none" w:sz="0" w:space="0" w:color="auto"/>
      </w:divBdr>
      <w:divsChild>
        <w:div w:id="1876654540">
          <w:marLeft w:val="0"/>
          <w:marRight w:val="0"/>
          <w:marTop w:val="0"/>
          <w:marBottom w:val="0"/>
          <w:divBdr>
            <w:top w:val="none" w:sz="0" w:space="0" w:color="auto"/>
            <w:left w:val="none" w:sz="0" w:space="0" w:color="auto"/>
            <w:bottom w:val="none" w:sz="0" w:space="0" w:color="auto"/>
            <w:right w:val="none" w:sz="0" w:space="0" w:color="auto"/>
          </w:divBdr>
        </w:div>
      </w:divsChild>
    </w:div>
    <w:div w:id="1217357454">
      <w:bodyDiv w:val="1"/>
      <w:marLeft w:val="0"/>
      <w:marRight w:val="0"/>
      <w:marTop w:val="0"/>
      <w:marBottom w:val="0"/>
      <w:divBdr>
        <w:top w:val="none" w:sz="0" w:space="0" w:color="auto"/>
        <w:left w:val="none" w:sz="0" w:space="0" w:color="auto"/>
        <w:bottom w:val="none" w:sz="0" w:space="0" w:color="auto"/>
        <w:right w:val="none" w:sz="0" w:space="0" w:color="auto"/>
      </w:divBdr>
    </w:div>
    <w:div w:id="1464152256">
      <w:bodyDiv w:val="1"/>
      <w:marLeft w:val="0"/>
      <w:marRight w:val="0"/>
      <w:marTop w:val="0"/>
      <w:marBottom w:val="0"/>
      <w:divBdr>
        <w:top w:val="none" w:sz="0" w:space="0" w:color="auto"/>
        <w:left w:val="none" w:sz="0" w:space="0" w:color="auto"/>
        <w:bottom w:val="none" w:sz="0" w:space="0" w:color="auto"/>
        <w:right w:val="none" w:sz="0" w:space="0" w:color="auto"/>
      </w:divBdr>
      <w:divsChild>
        <w:div w:id="1756004046">
          <w:marLeft w:val="0"/>
          <w:marRight w:val="0"/>
          <w:marTop w:val="0"/>
          <w:marBottom w:val="0"/>
          <w:divBdr>
            <w:top w:val="none" w:sz="0" w:space="0" w:color="auto"/>
            <w:left w:val="none" w:sz="0" w:space="0" w:color="auto"/>
            <w:bottom w:val="none" w:sz="0" w:space="0" w:color="auto"/>
            <w:right w:val="none" w:sz="0" w:space="0" w:color="auto"/>
          </w:divBdr>
          <w:divsChild>
            <w:div w:id="2109932046">
              <w:marLeft w:val="0"/>
              <w:marRight w:val="0"/>
              <w:marTop w:val="0"/>
              <w:marBottom w:val="0"/>
              <w:divBdr>
                <w:top w:val="none" w:sz="0" w:space="0" w:color="auto"/>
                <w:left w:val="none" w:sz="0" w:space="0" w:color="auto"/>
                <w:bottom w:val="none" w:sz="0" w:space="0" w:color="auto"/>
                <w:right w:val="none" w:sz="0" w:space="0" w:color="auto"/>
              </w:divBdr>
            </w:div>
          </w:divsChild>
        </w:div>
        <w:div w:id="1285424572">
          <w:marLeft w:val="0"/>
          <w:marRight w:val="0"/>
          <w:marTop w:val="0"/>
          <w:marBottom w:val="0"/>
          <w:divBdr>
            <w:top w:val="none" w:sz="0" w:space="0" w:color="auto"/>
            <w:left w:val="none" w:sz="0" w:space="0" w:color="auto"/>
            <w:bottom w:val="none" w:sz="0" w:space="0" w:color="auto"/>
            <w:right w:val="none" w:sz="0" w:space="0" w:color="auto"/>
          </w:divBdr>
          <w:divsChild>
            <w:div w:id="1202354273">
              <w:marLeft w:val="0"/>
              <w:marRight w:val="0"/>
              <w:marTop w:val="0"/>
              <w:marBottom w:val="0"/>
              <w:divBdr>
                <w:top w:val="none" w:sz="0" w:space="0" w:color="auto"/>
                <w:left w:val="none" w:sz="0" w:space="0" w:color="auto"/>
                <w:bottom w:val="none" w:sz="0" w:space="0" w:color="auto"/>
                <w:right w:val="none" w:sz="0" w:space="0" w:color="auto"/>
              </w:divBdr>
            </w:div>
          </w:divsChild>
        </w:div>
        <w:div w:id="1703360198">
          <w:marLeft w:val="0"/>
          <w:marRight w:val="0"/>
          <w:marTop w:val="0"/>
          <w:marBottom w:val="0"/>
          <w:divBdr>
            <w:top w:val="none" w:sz="0" w:space="0" w:color="auto"/>
            <w:left w:val="none" w:sz="0" w:space="0" w:color="auto"/>
            <w:bottom w:val="none" w:sz="0" w:space="0" w:color="auto"/>
            <w:right w:val="none" w:sz="0" w:space="0" w:color="auto"/>
          </w:divBdr>
          <w:divsChild>
            <w:div w:id="138570762">
              <w:marLeft w:val="0"/>
              <w:marRight w:val="0"/>
              <w:marTop w:val="0"/>
              <w:marBottom w:val="0"/>
              <w:divBdr>
                <w:top w:val="none" w:sz="0" w:space="0" w:color="auto"/>
                <w:left w:val="none" w:sz="0" w:space="0" w:color="auto"/>
                <w:bottom w:val="none" w:sz="0" w:space="0" w:color="auto"/>
                <w:right w:val="none" w:sz="0" w:space="0" w:color="auto"/>
              </w:divBdr>
            </w:div>
          </w:divsChild>
        </w:div>
        <w:div w:id="1254316307">
          <w:marLeft w:val="0"/>
          <w:marRight w:val="0"/>
          <w:marTop w:val="0"/>
          <w:marBottom w:val="0"/>
          <w:divBdr>
            <w:top w:val="none" w:sz="0" w:space="0" w:color="auto"/>
            <w:left w:val="none" w:sz="0" w:space="0" w:color="auto"/>
            <w:bottom w:val="none" w:sz="0" w:space="0" w:color="auto"/>
            <w:right w:val="none" w:sz="0" w:space="0" w:color="auto"/>
          </w:divBdr>
          <w:divsChild>
            <w:div w:id="17330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04174">
      <w:bodyDiv w:val="1"/>
      <w:marLeft w:val="0"/>
      <w:marRight w:val="0"/>
      <w:marTop w:val="0"/>
      <w:marBottom w:val="0"/>
      <w:divBdr>
        <w:top w:val="none" w:sz="0" w:space="0" w:color="auto"/>
        <w:left w:val="none" w:sz="0" w:space="0" w:color="auto"/>
        <w:bottom w:val="none" w:sz="0" w:space="0" w:color="auto"/>
        <w:right w:val="none" w:sz="0" w:space="0" w:color="auto"/>
      </w:divBdr>
    </w:div>
    <w:div w:id="1651589990">
      <w:bodyDiv w:val="1"/>
      <w:marLeft w:val="0"/>
      <w:marRight w:val="0"/>
      <w:marTop w:val="0"/>
      <w:marBottom w:val="0"/>
      <w:divBdr>
        <w:top w:val="none" w:sz="0" w:space="0" w:color="auto"/>
        <w:left w:val="none" w:sz="0" w:space="0" w:color="auto"/>
        <w:bottom w:val="none" w:sz="0" w:space="0" w:color="auto"/>
        <w:right w:val="none" w:sz="0" w:space="0" w:color="auto"/>
      </w:divBdr>
    </w:div>
    <w:div w:id="1656686229">
      <w:bodyDiv w:val="1"/>
      <w:marLeft w:val="0"/>
      <w:marRight w:val="0"/>
      <w:marTop w:val="0"/>
      <w:marBottom w:val="0"/>
      <w:divBdr>
        <w:top w:val="none" w:sz="0" w:space="0" w:color="auto"/>
        <w:left w:val="none" w:sz="0" w:space="0" w:color="auto"/>
        <w:bottom w:val="none" w:sz="0" w:space="0" w:color="auto"/>
        <w:right w:val="none" w:sz="0" w:space="0" w:color="auto"/>
      </w:divBdr>
    </w:div>
    <w:div w:id="1698697053">
      <w:bodyDiv w:val="1"/>
      <w:marLeft w:val="0"/>
      <w:marRight w:val="0"/>
      <w:marTop w:val="0"/>
      <w:marBottom w:val="0"/>
      <w:divBdr>
        <w:top w:val="none" w:sz="0" w:space="0" w:color="auto"/>
        <w:left w:val="none" w:sz="0" w:space="0" w:color="auto"/>
        <w:bottom w:val="none" w:sz="0" w:space="0" w:color="auto"/>
        <w:right w:val="none" w:sz="0" w:space="0" w:color="auto"/>
      </w:divBdr>
      <w:divsChild>
        <w:div w:id="276834844">
          <w:marLeft w:val="0"/>
          <w:marRight w:val="0"/>
          <w:marTop w:val="0"/>
          <w:marBottom w:val="0"/>
          <w:divBdr>
            <w:top w:val="none" w:sz="0" w:space="0" w:color="auto"/>
            <w:left w:val="none" w:sz="0" w:space="0" w:color="auto"/>
            <w:bottom w:val="none" w:sz="0" w:space="0" w:color="auto"/>
            <w:right w:val="none" w:sz="0" w:space="0" w:color="auto"/>
          </w:divBdr>
        </w:div>
        <w:div w:id="2123570411">
          <w:marLeft w:val="0"/>
          <w:marRight w:val="0"/>
          <w:marTop w:val="0"/>
          <w:marBottom w:val="0"/>
          <w:divBdr>
            <w:top w:val="none" w:sz="0" w:space="0" w:color="auto"/>
            <w:left w:val="none" w:sz="0" w:space="0" w:color="auto"/>
            <w:bottom w:val="none" w:sz="0" w:space="0" w:color="auto"/>
            <w:right w:val="none" w:sz="0" w:space="0" w:color="auto"/>
          </w:divBdr>
        </w:div>
        <w:div w:id="1843860891">
          <w:marLeft w:val="0"/>
          <w:marRight w:val="0"/>
          <w:marTop w:val="0"/>
          <w:marBottom w:val="0"/>
          <w:divBdr>
            <w:top w:val="none" w:sz="0" w:space="0" w:color="auto"/>
            <w:left w:val="none" w:sz="0" w:space="0" w:color="auto"/>
            <w:bottom w:val="none" w:sz="0" w:space="0" w:color="auto"/>
            <w:right w:val="none" w:sz="0" w:space="0" w:color="auto"/>
          </w:divBdr>
        </w:div>
      </w:divsChild>
    </w:div>
    <w:div w:id="1934052766">
      <w:bodyDiv w:val="1"/>
      <w:marLeft w:val="0"/>
      <w:marRight w:val="0"/>
      <w:marTop w:val="0"/>
      <w:marBottom w:val="0"/>
      <w:divBdr>
        <w:top w:val="none" w:sz="0" w:space="0" w:color="auto"/>
        <w:left w:val="none" w:sz="0" w:space="0" w:color="auto"/>
        <w:bottom w:val="none" w:sz="0" w:space="0" w:color="auto"/>
        <w:right w:val="none" w:sz="0" w:space="0" w:color="auto"/>
      </w:divBdr>
      <w:divsChild>
        <w:div w:id="1323464325">
          <w:marLeft w:val="0"/>
          <w:marRight w:val="0"/>
          <w:marTop w:val="0"/>
          <w:marBottom w:val="0"/>
          <w:divBdr>
            <w:top w:val="none" w:sz="0" w:space="0" w:color="auto"/>
            <w:left w:val="none" w:sz="0" w:space="0" w:color="auto"/>
            <w:bottom w:val="none" w:sz="0" w:space="0" w:color="auto"/>
            <w:right w:val="none" w:sz="0" w:space="0" w:color="auto"/>
          </w:divBdr>
          <w:divsChild>
            <w:div w:id="1797986561">
              <w:marLeft w:val="0"/>
              <w:marRight w:val="0"/>
              <w:marTop w:val="0"/>
              <w:marBottom w:val="0"/>
              <w:divBdr>
                <w:top w:val="none" w:sz="0" w:space="0" w:color="auto"/>
                <w:left w:val="none" w:sz="0" w:space="0" w:color="auto"/>
                <w:bottom w:val="none" w:sz="0" w:space="0" w:color="auto"/>
                <w:right w:val="none" w:sz="0" w:space="0" w:color="auto"/>
              </w:divBdr>
              <w:divsChild>
                <w:div w:id="235745846">
                  <w:marLeft w:val="0"/>
                  <w:marRight w:val="0"/>
                  <w:marTop w:val="0"/>
                  <w:marBottom w:val="0"/>
                  <w:divBdr>
                    <w:top w:val="none" w:sz="0" w:space="0" w:color="auto"/>
                    <w:left w:val="none" w:sz="0" w:space="0" w:color="auto"/>
                    <w:bottom w:val="none" w:sz="0" w:space="0" w:color="auto"/>
                    <w:right w:val="none" w:sz="0" w:space="0" w:color="auto"/>
                  </w:divBdr>
                  <w:divsChild>
                    <w:div w:id="1171138309">
                      <w:marLeft w:val="0"/>
                      <w:marRight w:val="0"/>
                      <w:marTop w:val="0"/>
                      <w:marBottom w:val="0"/>
                      <w:divBdr>
                        <w:top w:val="none" w:sz="0" w:space="0" w:color="auto"/>
                        <w:left w:val="none" w:sz="0" w:space="0" w:color="auto"/>
                        <w:bottom w:val="none" w:sz="0" w:space="0" w:color="auto"/>
                        <w:right w:val="none" w:sz="0" w:space="0" w:color="auto"/>
                      </w:divBdr>
                      <w:divsChild>
                        <w:div w:id="1592859361">
                          <w:marLeft w:val="0"/>
                          <w:marRight w:val="0"/>
                          <w:marTop w:val="600"/>
                          <w:marBottom w:val="100"/>
                          <w:divBdr>
                            <w:top w:val="none" w:sz="0" w:space="0" w:color="auto"/>
                            <w:left w:val="none" w:sz="0" w:space="0" w:color="auto"/>
                            <w:bottom w:val="none" w:sz="0" w:space="0" w:color="auto"/>
                            <w:right w:val="none" w:sz="0" w:space="0" w:color="auto"/>
                          </w:divBdr>
                          <w:divsChild>
                            <w:div w:id="16081506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9989">
      <w:bodyDiv w:val="1"/>
      <w:marLeft w:val="0"/>
      <w:marRight w:val="0"/>
      <w:marTop w:val="0"/>
      <w:marBottom w:val="0"/>
      <w:divBdr>
        <w:top w:val="none" w:sz="0" w:space="0" w:color="auto"/>
        <w:left w:val="none" w:sz="0" w:space="0" w:color="auto"/>
        <w:bottom w:val="none" w:sz="0" w:space="0" w:color="auto"/>
        <w:right w:val="none" w:sz="0" w:space="0" w:color="auto"/>
      </w:divBdr>
      <w:divsChild>
        <w:div w:id="2108890685">
          <w:marLeft w:val="0"/>
          <w:marRight w:val="0"/>
          <w:marTop w:val="0"/>
          <w:marBottom w:val="0"/>
          <w:divBdr>
            <w:top w:val="none" w:sz="0" w:space="0" w:color="auto"/>
            <w:left w:val="none" w:sz="0" w:space="0" w:color="auto"/>
            <w:bottom w:val="none" w:sz="0" w:space="0" w:color="auto"/>
            <w:right w:val="none" w:sz="0" w:space="0" w:color="auto"/>
          </w:divBdr>
        </w:div>
        <w:div w:id="1112434215">
          <w:marLeft w:val="0"/>
          <w:marRight w:val="0"/>
          <w:marTop w:val="0"/>
          <w:marBottom w:val="0"/>
          <w:divBdr>
            <w:top w:val="none" w:sz="0" w:space="0" w:color="auto"/>
            <w:left w:val="none" w:sz="0" w:space="0" w:color="auto"/>
            <w:bottom w:val="none" w:sz="0" w:space="0" w:color="auto"/>
            <w:right w:val="none" w:sz="0" w:space="0" w:color="auto"/>
          </w:divBdr>
          <w:divsChild>
            <w:div w:id="494687750">
              <w:marLeft w:val="0"/>
              <w:marRight w:val="0"/>
              <w:marTop w:val="0"/>
              <w:marBottom w:val="0"/>
              <w:divBdr>
                <w:top w:val="none" w:sz="0" w:space="0" w:color="auto"/>
                <w:left w:val="none" w:sz="0" w:space="0" w:color="auto"/>
                <w:bottom w:val="none" w:sz="0" w:space="0" w:color="auto"/>
                <w:right w:val="none" w:sz="0" w:space="0" w:color="auto"/>
              </w:divBdr>
            </w:div>
          </w:divsChild>
        </w:div>
        <w:div w:id="1568565411">
          <w:marLeft w:val="0"/>
          <w:marRight w:val="0"/>
          <w:marTop w:val="0"/>
          <w:marBottom w:val="0"/>
          <w:divBdr>
            <w:top w:val="none" w:sz="0" w:space="0" w:color="auto"/>
            <w:left w:val="none" w:sz="0" w:space="0" w:color="auto"/>
            <w:bottom w:val="none" w:sz="0" w:space="0" w:color="auto"/>
            <w:right w:val="none" w:sz="0" w:space="0" w:color="auto"/>
          </w:divBdr>
          <w:divsChild>
            <w:div w:id="200868283">
              <w:marLeft w:val="0"/>
              <w:marRight w:val="0"/>
              <w:marTop w:val="0"/>
              <w:marBottom w:val="0"/>
              <w:divBdr>
                <w:top w:val="none" w:sz="0" w:space="0" w:color="auto"/>
                <w:left w:val="none" w:sz="0" w:space="0" w:color="auto"/>
                <w:bottom w:val="none" w:sz="0" w:space="0" w:color="auto"/>
                <w:right w:val="none" w:sz="0" w:space="0" w:color="auto"/>
              </w:divBdr>
            </w:div>
          </w:divsChild>
        </w:div>
        <w:div w:id="332689395">
          <w:marLeft w:val="0"/>
          <w:marRight w:val="0"/>
          <w:marTop w:val="0"/>
          <w:marBottom w:val="0"/>
          <w:divBdr>
            <w:top w:val="none" w:sz="0" w:space="0" w:color="auto"/>
            <w:left w:val="none" w:sz="0" w:space="0" w:color="auto"/>
            <w:bottom w:val="none" w:sz="0" w:space="0" w:color="auto"/>
            <w:right w:val="none" w:sz="0" w:space="0" w:color="auto"/>
          </w:divBdr>
          <w:divsChild>
            <w:div w:id="1266578507">
              <w:marLeft w:val="0"/>
              <w:marRight w:val="0"/>
              <w:marTop w:val="0"/>
              <w:marBottom w:val="0"/>
              <w:divBdr>
                <w:top w:val="none" w:sz="0" w:space="0" w:color="auto"/>
                <w:left w:val="none" w:sz="0" w:space="0" w:color="auto"/>
                <w:bottom w:val="none" w:sz="0" w:space="0" w:color="auto"/>
                <w:right w:val="none" w:sz="0" w:space="0" w:color="auto"/>
              </w:divBdr>
            </w:div>
          </w:divsChild>
        </w:div>
        <w:div w:id="1855609829">
          <w:marLeft w:val="0"/>
          <w:marRight w:val="0"/>
          <w:marTop w:val="0"/>
          <w:marBottom w:val="0"/>
          <w:divBdr>
            <w:top w:val="none" w:sz="0" w:space="0" w:color="auto"/>
            <w:left w:val="none" w:sz="0" w:space="0" w:color="auto"/>
            <w:bottom w:val="none" w:sz="0" w:space="0" w:color="auto"/>
            <w:right w:val="none" w:sz="0" w:space="0" w:color="auto"/>
          </w:divBdr>
          <w:divsChild>
            <w:div w:id="1805734710">
              <w:marLeft w:val="0"/>
              <w:marRight w:val="0"/>
              <w:marTop w:val="0"/>
              <w:marBottom w:val="0"/>
              <w:divBdr>
                <w:top w:val="none" w:sz="0" w:space="0" w:color="auto"/>
                <w:left w:val="none" w:sz="0" w:space="0" w:color="auto"/>
                <w:bottom w:val="none" w:sz="0" w:space="0" w:color="auto"/>
                <w:right w:val="none" w:sz="0" w:space="0" w:color="auto"/>
              </w:divBdr>
            </w:div>
          </w:divsChild>
        </w:div>
        <w:div w:id="263877753">
          <w:marLeft w:val="0"/>
          <w:marRight w:val="0"/>
          <w:marTop w:val="0"/>
          <w:marBottom w:val="0"/>
          <w:divBdr>
            <w:top w:val="none" w:sz="0" w:space="0" w:color="auto"/>
            <w:left w:val="none" w:sz="0" w:space="0" w:color="auto"/>
            <w:bottom w:val="none" w:sz="0" w:space="0" w:color="auto"/>
            <w:right w:val="none" w:sz="0" w:space="0" w:color="auto"/>
          </w:divBdr>
        </w:div>
        <w:div w:id="2068408079">
          <w:marLeft w:val="0"/>
          <w:marRight w:val="0"/>
          <w:marTop w:val="0"/>
          <w:marBottom w:val="0"/>
          <w:divBdr>
            <w:top w:val="none" w:sz="0" w:space="0" w:color="auto"/>
            <w:left w:val="none" w:sz="0" w:space="0" w:color="auto"/>
            <w:bottom w:val="none" w:sz="0" w:space="0" w:color="auto"/>
            <w:right w:val="none" w:sz="0" w:space="0" w:color="auto"/>
          </w:divBdr>
        </w:div>
        <w:div w:id="1224635328">
          <w:marLeft w:val="0"/>
          <w:marRight w:val="0"/>
          <w:marTop w:val="0"/>
          <w:marBottom w:val="0"/>
          <w:divBdr>
            <w:top w:val="none" w:sz="0" w:space="0" w:color="auto"/>
            <w:left w:val="none" w:sz="0" w:space="0" w:color="auto"/>
            <w:bottom w:val="none" w:sz="0" w:space="0" w:color="auto"/>
            <w:right w:val="none" w:sz="0" w:space="0" w:color="auto"/>
          </w:divBdr>
        </w:div>
        <w:div w:id="902066149">
          <w:marLeft w:val="0"/>
          <w:marRight w:val="0"/>
          <w:marTop w:val="0"/>
          <w:marBottom w:val="0"/>
          <w:divBdr>
            <w:top w:val="none" w:sz="0" w:space="0" w:color="auto"/>
            <w:left w:val="none" w:sz="0" w:space="0" w:color="auto"/>
            <w:bottom w:val="none" w:sz="0" w:space="0" w:color="auto"/>
            <w:right w:val="none" w:sz="0" w:space="0" w:color="auto"/>
          </w:divBdr>
        </w:div>
        <w:div w:id="664936429">
          <w:marLeft w:val="0"/>
          <w:marRight w:val="0"/>
          <w:marTop w:val="0"/>
          <w:marBottom w:val="0"/>
          <w:divBdr>
            <w:top w:val="none" w:sz="0" w:space="0" w:color="auto"/>
            <w:left w:val="none" w:sz="0" w:space="0" w:color="auto"/>
            <w:bottom w:val="none" w:sz="0" w:space="0" w:color="auto"/>
            <w:right w:val="none" w:sz="0" w:space="0" w:color="auto"/>
          </w:divBdr>
          <w:divsChild>
            <w:div w:id="1583220023">
              <w:marLeft w:val="0"/>
              <w:marRight w:val="0"/>
              <w:marTop w:val="0"/>
              <w:marBottom w:val="0"/>
              <w:divBdr>
                <w:top w:val="none" w:sz="0" w:space="0" w:color="auto"/>
                <w:left w:val="none" w:sz="0" w:space="0" w:color="auto"/>
                <w:bottom w:val="none" w:sz="0" w:space="0" w:color="auto"/>
                <w:right w:val="none" w:sz="0" w:space="0" w:color="auto"/>
              </w:divBdr>
            </w:div>
          </w:divsChild>
        </w:div>
        <w:div w:id="1738671915">
          <w:marLeft w:val="0"/>
          <w:marRight w:val="0"/>
          <w:marTop w:val="0"/>
          <w:marBottom w:val="0"/>
          <w:divBdr>
            <w:top w:val="none" w:sz="0" w:space="0" w:color="auto"/>
            <w:left w:val="none" w:sz="0" w:space="0" w:color="auto"/>
            <w:bottom w:val="none" w:sz="0" w:space="0" w:color="auto"/>
            <w:right w:val="none" w:sz="0" w:space="0" w:color="auto"/>
          </w:divBdr>
        </w:div>
      </w:divsChild>
    </w:div>
    <w:div w:id="1951163292">
      <w:bodyDiv w:val="1"/>
      <w:marLeft w:val="0"/>
      <w:marRight w:val="0"/>
      <w:marTop w:val="0"/>
      <w:marBottom w:val="0"/>
      <w:divBdr>
        <w:top w:val="none" w:sz="0" w:space="0" w:color="auto"/>
        <w:left w:val="none" w:sz="0" w:space="0" w:color="auto"/>
        <w:bottom w:val="none" w:sz="0" w:space="0" w:color="auto"/>
        <w:right w:val="none" w:sz="0" w:space="0" w:color="auto"/>
      </w:divBdr>
    </w:div>
    <w:div w:id="207076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EB952-A7F8-4EC3-B501-581DDCB6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13590</Words>
  <Characters>75527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2020-08-14T15:34:00Z</dcterms:created>
  <dcterms:modified xsi:type="dcterms:W3CDTF">2020-08-14T15:35:00Z</dcterms:modified>
</cp:coreProperties>
</file>