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73C19" w14:textId="438B8DF4" w:rsidR="003075FB" w:rsidRDefault="003075FB" w:rsidP="003075FB">
      <w:pPr>
        <w:tabs>
          <w:tab w:val="left" w:pos="1440"/>
        </w:tabs>
        <w:spacing w:after="0"/>
        <w:jc w:val="center"/>
        <w:rPr>
          <w:caps/>
          <w:sz w:val="36"/>
          <w:szCs w:val="26"/>
        </w:rPr>
      </w:pPr>
      <w:bookmarkStart w:id="0" w:name="MarkDocLoc"/>
      <w:bookmarkEnd w:id="0"/>
      <w:r>
        <w:rPr>
          <w:b/>
          <w:caps/>
          <w:sz w:val="36"/>
          <w:szCs w:val="26"/>
        </w:rPr>
        <w:t>IN THE SUPREME COURT OF CALIFORNIA</w:t>
      </w:r>
    </w:p>
    <w:p w14:paraId="5BD1B084" w14:textId="166DA0DB" w:rsidR="003075FB" w:rsidRDefault="003075FB" w:rsidP="003075FB">
      <w:pPr>
        <w:tabs>
          <w:tab w:val="left" w:pos="1440"/>
        </w:tabs>
        <w:spacing w:after="0"/>
        <w:jc w:val="center"/>
        <w:rPr>
          <w:caps/>
          <w:szCs w:val="26"/>
        </w:rPr>
      </w:pPr>
    </w:p>
    <w:p w14:paraId="06C0B06D" w14:textId="1A992BAF" w:rsidR="003075FB" w:rsidRDefault="003075FB" w:rsidP="003075FB">
      <w:pPr>
        <w:tabs>
          <w:tab w:val="left" w:pos="1440"/>
        </w:tabs>
        <w:spacing w:after="0"/>
        <w:jc w:val="center"/>
        <w:rPr>
          <w:caps/>
          <w:szCs w:val="26"/>
        </w:rPr>
      </w:pPr>
      <w:r>
        <w:rPr>
          <w:caps/>
          <w:szCs w:val="26"/>
        </w:rPr>
        <w:t xml:space="preserve">CHRISTOPHER GARDNER, </w:t>
      </w:r>
      <w:r w:rsidRPr="003075FB">
        <w:rPr>
          <w:szCs w:val="26"/>
        </w:rPr>
        <w:t>as Public</w:t>
      </w:r>
      <w:r>
        <w:rPr>
          <w:szCs w:val="26"/>
        </w:rPr>
        <w:t xml:space="preserve"> Defender</w:t>
      </w:r>
      <w:r w:rsidR="00306074">
        <w:rPr>
          <w:szCs w:val="26"/>
        </w:rPr>
        <w:t>, etc.,</w:t>
      </w:r>
    </w:p>
    <w:p w14:paraId="609A1B98" w14:textId="260B7848" w:rsidR="003075FB" w:rsidRPr="003075FB" w:rsidRDefault="003075FB" w:rsidP="003075FB">
      <w:pPr>
        <w:tabs>
          <w:tab w:val="left" w:pos="1440"/>
        </w:tabs>
        <w:spacing w:after="0"/>
        <w:jc w:val="center"/>
        <w:rPr>
          <w:szCs w:val="26"/>
        </w:rPr>
      </w:pPr>
      <w:r w:rsidRPr="003075FB">
        <w:rPr>
          <w:szCs w:val="26"/>
        </w:rPr>
        <w:t>Petitioner</w:t>
      </w:r>
      <w:r w:rsidR="00FB50CC">
        <w:rPr>
          <w:szCs w:val="26"/>
        </w:rPr>
        <w:t>,</w:t>
      </w:r>
    </w:p>
    <w:p w14:paraId="58B98D9A" w14:textId="2AE8C04B" w:rsidR="003075FB" w:rsidRDefault="003075FB" w:rsidP="003075FB">
      <w:pPr>
        <w:tabs>
          <w:tab w:val="left" w:pos="1440"/>
        </w:tabs>
        <w:spacing w:after="0"/>
        <w:jc w:val="center"/>
        <w:rPr>
          <w:caps/>
          <w:szCs w:val="26"/>
        </w:rPr>
      </w:pPr>
      <w:r w:rsidRPr="003075FB">
        <w:rPr>
          <w:szCs w:val="26"/>
        </w:rPr>
        <w:t>v</w:t>
      </w:r>
      <w:r>
        <w:rPr>
          <w:caps/>
          <w:szCs w:val="26"/>
        </w:rPr>
        <w:t>.</w:t>
      </w:r>
    </w:p>
    <w:p w14:paraId="58C199F2" w14:textId="2237C7FF" w:rsidR="003075FB" w:rsidRDefault="00306074" w:rsidP="003075FB">
      <w:pPr>
        <w:tabs>
          <w:tab w:val="left" w:pos="1440"/>
        </w:tabs>
        <w:spacing w:after="0"/>
        <w:jc w:val="center"/>
        <w:rPr>
          <w:caps/>
          <w:szCs w:val="26"/>
        </w:rPr>
      </w:pPr>
      <w:r>
        <w:rPr>
          <w:caps/>
          <w:szCs w:val="26"/>
        </w:rPr>
        <w:t xml:space="preserve">APPELLATE DIVISION OF THE </w:t>
      </w:r>
      <w:r w:rsidR="003075FB">
        <w:rPr>
          <w:caps/>
          <w:szCs w:val="26"/>
        </w:rPr>
        <w:t>superior court OF SAN BERNARDINO COUNTY,</w:t>
      </w:r>
    </w:p>
    <w:p w14:paraId="58F2DFA2" w14:textId="324E2111" w:rsidR="003075FB" w:rsidRDefault="003075FB" w:rsidP="003075FB">
      <w:pPr>
        <w:tabs>
          <w:tab w:val="left" w:pos="1440"/>
        </w:tabs>
        <w:spacing w:after="0"/>
        <w:jc w:val="center"/>
        <w:rPr>
          <w:szCs w:val="26"/>
        </w:rPr>
      </w:pPr>
      <w:r>
        <w:rPr>
          <w:caps/>
          <w:szCs w:val="26"/>
        </w:rPr>
        <w:t>r</w:t>
      </w:r>
      <w:r>
        <w:rPr>
          <w:szCs w:val="26"/>
        </w:rPr>
        <w:t>espondent;</w:t>
      </w:r>
    </w:p>
    <w:p w14:paraId="7A576A0E" w14:textId="06D2D7A5" w:rsidR="003075FB" w:rsidRDefault="003075FB" w:rsidP="003075FB">
      <w:pPr>
        <w:tabs>
          <w:tab w:val="left" w:pos="1440"/>
        </w:tabs>
        <w:spacing w:after="0"/>
        <w:jc w:val="center"/>
        <w:rPr>
          <w:szCs w:val="26"/>
        </w:rPr>
      </w:pPr>
    </w:p>
    <w:p w14:paraId="61A78485" w14:textId="403137B4" w:rsidR="003075FB" w:rsidRDefault="003075FB" w:rsidP="003075FB">
      <w:pPr>
        <w:tabs>
          <w:tab w:val="left" w:pos="1440"/>
        </w:tabs>
        <w:spacing w:after="0"/>
        <w:jc w:val="center"/>
        <w:rPr>
          <w:szCs w:val="26"/>
        </w:rPr>
      </w:pPr>
      <w:r>
        <w:rPr>
          <w:szCs w:val="26"/>
        </w:rPr>
        <w:t>THE PEOPLE,</w:t>
      </w:r>
    </w:p>
    <w:p w14:paraId="3B32BAF9" w14:textId="2926DCA5" w:rsidR="003075FB" w:rsidRDefault="003075FB" w:rsidP="003075FB">
      <w:pPr>
        <w:tabs>
          <w:tab w:val="left" w:pos="1440"/>
        </w:tabs>
        <w:spacing w:after="0"/>
        <w:jc w:val="center"/>
        <w:rPr>
          <w:szCs w:val="26"/>
        </w:rPr>
      </w:pPr>
      <w:r>
        <w:rPr>
          <w:szCs w:val="26"/>
        </w:rPr>
        <w:t>Real Party in Interest.</w:t>
      </w:r>
    </w:p>
    <w:p w14:paraId="52EB6D7F" w14:textId="77777777" w:rsidR="00D72940" w:rsidRPr="003075FB" w:rsidRDefault="00D72940" w:rsidP="003075FB">
      <w:pPr>
        <w:tabs>
          <w:tab w:val="left" w:pos="1440"/>
        </w:tabs>
        <w:spacing w:after="0"/>
        <w:jc w:val="center"/>
        <w:rPr>
          <w:szCs w:val="26"/>
        </w:rPr>
      </w:pPr>
    </w:p>
    <w:p w14:paraId="5C3E4D94" w14:textId="2CD48CE3" w:rsidR="003075FB" w:rsidRDefault="003075FB" w:rsidP="003075FB">
      <w:pPr>
        <w:tabs>
          <w:tab w:val="left" w:pos="1440"/>
        </w:tabs>
        <w:spacing w:after="0"/>
        <w:jc w:val="center"/>
        <w:rPr>
          <w:caps/>
          <w:szCs w:val="26"/>
        </w:rPr>
      </w:pPr>
      <w:r>
        <w:rPr>
          <w:caps/>
          <w:szCs w:val="26"/>
        </w:rPr>
        <w:t>S246214</w:t>
      </w:r>
    </w:p>
    <w:p w14:paraId="712D9B95" w14:textId="77777777" w:rsidR="00D72940" w:rsidRDefault="00D72940" w:rsidP="003075FB">
      <w:pPr>
        <w:tabs>
          <w:tab w:val="left" w:pos="1440"/>
        </w:tabs>
        <w:spacing w:after="0"/>
        <w:jc w:val="center"/>
        <w:rPr>
          <w:caps/>
          <w:szCs w:val="26"/>
        </w:rPr>
      </w:pPr>
    </w:p>
    <w:p w14:paraId="68B22878" w14:textId="77777777" w:rsidR="003075FB" w:rsidRDefault="003075FB" w:rsidP="003075FB">
      <w:pPr>
        <w:tabs>
          <w:tab w:val="left" w:pos="1440"/>
        </w:tabs>
        <w:spacing w:after="0"/>
        <w:jc w:val="center"/>
        <w:rPr>
          <w:szCs w:val="26"/>
        </w:rPr>
      </w:pPr>
      <w:r>
        <w:rPr>
          <w:caps/>
          <w:szCs w:val="26"/>
        </w:rPr>
        <w:t>f</w:t>
      </w:r>
      <w:r>
        <w:rPr>
          <w:szCs w:val="26"/>
        </w:rPr>
        <w:t>ourth Appellate District, Division Two</w:t>
      </w:r>
    </w:p>
    <w:p w14:paraId="0D3177DE" w14:textId="22AC6FE4" w:rsidR="003075FB" w:rsidRDefault="003075FB" w:rsidP="003075FB">
      <w:pPr>
        <w:tabs>
          <w:tab w:val="left" w:pos="1440"/>
        </w:tabs>
        <w:spacing w:after="0"/>
        <w:jc w:val="center"/>
        <w:rPr>
          <w:caps/>
          <w:szCs w:val="26"/>
        </w:rPr>
      </w:pPr>
      <w:r>
        <w:rPr>
          <w:caps/>
          <w:szCs w:val="26"/>
        </w:rPr>
        <w:t>E066330</w:t>
      </w:r>
    </w:p>
    <w:p w14:paraId="144933F3" w14:textId="575AABF2" w:rsidR="003075FB" w:rsidRDefault="003075FB" w:rsidP="003075FB">
      <w:pPr>
        <w:tabs>
          <w:tab w:val="left" w:pos="1440"/>
        </w:tabs>
        <w:spacing w:after="0"/>
        <w:jc w:val="center"/>
        <w:rPr>
          <w:caps/>
          <w:szCs w:val="26"/>
        </w:rPr>
      </w:pPr>
    </w:p>
    <w:p w14:paraId="52D828CC" w14:textId="77777777" w:rsidR="003075FB" w:rsidRDefault="003075FB" w:rsidP="003075FB">
      <w:pPr>
        <w:tabs>
          <w:tab w:val="left" w:pos="1440"/>
        </w:tabs>
        <w:spacing w:after="0"/>
        <w:jc w:val="center"/>
        <w:rPr>
          <w:szCs w:val="26"/>
        </w:rPr>
      </w:pPr>
      <w:r>
        <w:rPr>
          <w:caps/>
          <w:szCs w:val="26"/>
        </w:rPr>
        <w:t>S</w:t>
      </w:r>
      <w:r>
        <w:rPr>
          <w:szCs w:val="26"/>
        </w:rPr>
        <w:t>an Bernardino County Superior Court</w:t>
      </w:r>
    </w:p>
    <w:p w14:paraId="026DD5B8" w14:textId="537BE39F" w:rsidR="003075FB" w:rsidRDefault="003075FB" w:rsidP="003075FB">
      <w:pPr>
        <w:tabs>
          <w:tab w:val="left" w:pos="1440"/>
        </w:tabs>
        <w:spacing w:after="0"/>
        <w:jc w:val="center"/>
        <w:rPr>
          <w:caps/>
          <w:szCs w:val="26"/>
        </w:rPr>
      </w:pPr>
      <w:r>
        <w:rPr>
          <w:caps/>
          <w:szCs w:val="26"/>
        </w:rPr>
        <w:t>CIVDS1610302 &amp; ACRAS1600028</w:t>
      </w:r>
    </w:p>
    <w:p w14:paraId="4B59F5FB" w14:textId="553E6E95" w:rsidR="003075FB" w:rsidRDefault="003075FB" w:rsidP="003075FB">
      <w:pPr>
        <w:pBdr>
          <w:bottom w:val="single" w:sz="4" w:space="1" w:color="auto"/>
        </w:pBdr>
        <w:tabs>
          <w:tab w:val="left" w:pos="1440"/>
        </w:tabs>
        <w:spacing w:after="0"/>
        <w:jc w:val="center"/>
        <w:rPr>
          <w:caps/>
          <w:szCs w:val="26"/>
        </w:rPr>
      </w:pPr>
    </w:p>
    <w:p w14:paraId="57252025" w14:textId="464F195C" w:rsidR="003075FB" w:rsidRDefault="003075FB" w:rsidP="003075FB">
      <w:pPr>
        <w:tabs>
          <w:tab w:val="left" w:pos="1440"/>
        </w:tabs>
        <w:spacing w:after="0"/>
        <w:jc w:val="center"/>
        <w:rPr>
          <w:caps/>
          <w:szCs w:val="26"/>
        </w:rPr>
      </w:pPr>
    </w:p>
    <w:p w14:paraId="638CCA2B" w14:textId="654D5B47" w:rsidR="003075FB" w:rsidRDefault="00A20216" w:rsidP="003075FB">
      <w:pPr>
        <w:tabs>
          <w:tab w:val="left" w:pos="1440"/>
        </w:tabs>
        <w:spacing w:after="0"/>
        <w:jc w:val="center"/>
        <w:rPr>
          <w:caps/>
          <w:szCs w:val="26"/>
        </w:rPr>
      </w:pPr>
      <w:r>
        <w:rPr>
          <w:caps/>
          <w:szCs w:val="26"/>
        </w:rPr>
        <w:t>M</w:t>
      </w:r>
      <w:r>
        <w:rPr>
          <w:szCs w:val="26"/>
        </w:rPr>
        <w:t>arch 2</w:t>
      </w:r>
      <w:r w:rsidR="003B1CE2">
        <w:rPr>
          <w:szCs w:val="26"/>
        </w:rPr>
        <w:t>8</w:t>
      </w:r>
      <w:r w:rsidR="00DA5577">
        <w:rPr>
          <w:caps/>
          <w:szCs w:val="26"/>
        </w:rPr>
        <w:t>, 2019</w:t>
      </w:r>
    </w:p>
    <w:p w14:paraId="0079A68C" w14:textId="77777777" w:rsidR="00834B58" w:rsidRDefault="00834B58" w:rsidP="003075FB">
      <w:pPr>
        <w:tabs>
          <w:tab w:val="left" w:pos="1440"/>
        </w:tabs>
        <w:spacing w:after="0"/>
        <w:jc w:val="center"/>
        <w:rPr>
          <w:caps/>
          <w:szCs w:val="26"/>
        </w:rPr>
      </w:pPr>
    </w:p>
    <w:p w14:paraId="0BD7C4A9" w14:textId="1AA41E27" w:rsidR="003075FB" w:rsidRPr="003075FB" w:rsidRDefault="003075FB" w:rsidP="00834B58">
      <w:pPr>
        <w:tabs>
          <w:tab w:val="left" w:pos="1440"/>
        </w:tabs>
        <w:spacing w:after="0"/>
        <w:jc w:val="left"/>
        <w:rPr>
          <w:szCs w:val="26"/>
        </w:rPr>
      </w:pPr>
      <w:r>
        <w:rPr>
          <w:caps/>
          <w:szCs w:val="26"/>
        </w:rPr>
        <w:t>J</w:t>
      </w:r>
      <w:r>
        <w:rPr>
          <w:szCs w:val="26"/>
        </w:rPr>
        <w:t xml:space="preserve">ustice Kruger authored the opinion of the court, in which </w:t>
      </w:r>
      <w:r w:rsidR="00A20216">
        <w:rPr>
          <w:szCs w:val="26"/>
        </w:rPr>
        <w:t xml:space="preserve">Chief Justice Cantil-Sakauye and Justices Chin, Corrigan, Liu, Cuéllar, and Groban </w:t>
      </w:r>
      <w:r>
        <w:rPr>
          <w:szCs w:val="26"/>
        </w:rPr>
        <w:t>concurred.</w:t>
      </w:r>
    </w:p>
    <w:p w14:paraId="4F590D5F" w14:textId="2662C397" w:rsidR="003075FB" w:rsidRDefault="003075FB" w:rsidP="003075FB">
      <w:pPr>
        <w:tabs>
          <w:tab w:val="left" w:pos="1440"/>
        </w:tabs>
        <w:spacing w:after="0"/>
        <w:jc w:val="center"/>
        <w:rPr>
          <w:caps/>
          <w:szCs w:val="26"/>
        </w:rPr>
      </w:pPr>
    </w:p>
    <w:p w14:paraId="5990FB03" w14:textId="77777777" w:rsidR="003075FB" w:rsidRPr="003075FB" w:rsidRDefault="003075FB" w:rsidP="003075FB">
      <w:pPr>
        <w:pBdr>
          <w:bottom w:val="single" w:sz="4" w:space="1" w:color="auto"/>
        </w:pBdr>
        <w:tabs>
          <w:tab w:val="left" w:pos="1440"/>
        </w:tabs>
        <w:spacing w:line="480" w:lineRule="exact"/>
        <w:jc w:val="left"/>
        <w:rPr>
          <w:caps/>
          <w:szCs w:val="26"/>
        </w:rPr>
      </w:pPr>
      <w:bookmarkStart w:id="1" w:name="Return"/>
      <w:bookmarkEnd w:id="1"/>
    </w:p>
    <w:p w14:paraId="764672C9" w14:textId="77777777" w:rsidR="003075FB" w:rsidRDefault="003075FB" w:rsidP="00626E0B">
      <w:pPr>
        <w:tabs>
          <w:tab w:val="left" w:pos="1440"/>
        </w:tabs>
        <w:spacing w:line="480" w:lineRule="exact"/>
        <w:jc w:val="center"/>
        <w:rPr>
          <w:b/>
          <w:caps/>
          <w:szCs w:val="26"/>
        </w:rPr>
        <w:sectPr w:rsidR="003075FB" w:rsidSect="003075FB">
          <w:headerReference w:type="default" r:id="rId7"/>
          <w:footerReference w:type="default" r:id="rId8"/>
          <w:pgSz w:w="12240" w:h="15840"/>
          <w:pgMar w:top="1800" w:right="2160" w:bottom="1440" w:left="2160" w:header="720" w:footer="720" w:gutter="0"/>
          <w:cols w:space="720"/>
          <w:titlePg/>
          <w:docGrid w:linePitch="367"/>
        </w:sectPr>
      </w:pPr>
    </w:p>
    <w:p w14:paraId="1DFFD866" w14:textId="0AE12E8E" w:rsidR="00326F46" w:rsidRPr="00306074" w:rsidRDefault="003075FB" w:rsidP="003075FB">
      <w:pPr>
        <w:tabs>
          <w:tab w:val="left" w:pos="1440"/>
        </w:tabs>
        <w:jc w:val="center"/>
        <w:rPr>
          <w:szCs w:val="26"/>
        </w:rPr>
      </w:pPr>
      <w:r w:rsidRPr="00306074">
        <w:rPr>
          <w:caps/>
          <w:szCs w:val="26"/>
        </w:rPr>
        <w:lastRenderedPageBreak/>
        <w:t>GARDNER</w:t>
      </w:r>
      <w:r w:rsidR="00D72940" w:rsidRPr="00306074">
        <w:rPr>
          <w:caps/>
          <w:szCs w:val="26"/>
        </w:rPr>
        <w:t xml:space="preserve"> </w:t>
      </w:r>
      <w:r w:rsidR="00D72940" w:rsidRPr="00306074">
        <w:rPr>
          <w:szCs w:val="26"/>
        </w:rPr>
        <w:t xml:space="preserve">v. </w:t>
      </w:r>
      <w:r w:rsidR="00657F06">
        <w:rPr>
          <w:szCs w:val="26"/>
        </w:rPr>
        <w:t>APPELLATE DIVISION OF</w:t>
      </w:r>
      <w:r w:rsidR="00657F06">
        <w:rPr>
          <w:szCs w:val="26"/>
        </w:rPr>
        <w:br/>
      </w:r>
      <w:r w:rsidR="00E04668">
        <w:rPr>
          <w:szCs w:val="26"/>
        </w:rPr>
        <w:t>S</w:t>
      </w:r>
      <w:r w:rsidR="00D72940" w:rsidRPr="00306074">
        <w:rPr>
          <w:szCs w:val="26"/>
        </w:rPr>
        <w:t xml:space="preserve">UPERIOR COURT </w:t>
      </w:r>
    </w:p>
    <w:p w14:paraId="38CF203F" w14:textId="0E739749" w:rsidR="00326F46" w:rsidRPr="00306074" w:rsidRDefault="00326F46" w:rsidP="00326F46">
      <w:pPr>
        <w:tabs>
          <w:tab w:val="left" w:pos="1440"/>
        </w:tabs>
        <w:jc w:val="center"/>
        <w:rPr>
          <w:szCs w:val="26"/>
        </w:rPr>
      </w:pPr>
      <w:r w:rsidRPr="00306074">
        <w:rPr>
          <w:szCs w:val="26"/>
        </w:rPr>
        <w:t>S246214</w:t>
      </w:r>
    </w:p>
    <w:p w14:paraId="11A914C8" w14:textId="77777777" w:rsidR="003075FB" w:rsidRPr="00306074" w:rsidRDefault="003075FB" w:rsidP="003075FB">
      <w:pPr>
        <w:tabs>
          <w:tab w:val="left" w:pos="1440"/>
        </w:tabs>
        <w:jc w:val="center"/>
        <w:rPr>
          <w:caps/>
          <w:szCs w:val="26"/>
        </w:rPr>
      </w:pPr>
    </w:p>
    <w:p w14:paraId="4868AF41" w14:textId="2A323725" w:rsidR="003075FB" w:rsidRPr="00D72940" w:rsidRDefault="003075FB" w:rsidP="003075FB">
      <w:pPr>
        <w:tabs>
          <w:tab w:val="left" w:pos="1440"/>
        </w:tabs>
        <w:jc w:val="center"/>
        <w:rPr>
          <w:b/>
          <w:szCs w:val="26"/>
        </w:rPr>
      </w:pPr>
      <w:r w:rsidRPr="00306074">
        <w:rPr>
          <w:szCs w:val="26"/>
        </w:rPr>
        <w:t xml:space="preserve">Opinion of the Court by </w:t>
      </w:r>
      <w:r w:rsidR="00D72940" w:rsidRPr="00306074">
        <w:rPr>
          <w:szCs w:val="26"/>
        </w:rPr>
        <w:t>Kruger, J.</w:t>
      </w:r>
    </w:p>
    <w:p w14:paraId="0AA1889C" w14:textId="77777777" w:rsidR="00123A0D" w:rsidRPr="003075FB" w:rsidRDefault="00123A0D" w:rsidP="003075FB">
      <w:pPr>
        <w:tabs>
          <w:tab w:val="left" w:pos="1440"/>
        </w:tabs>
        <w:rPr>
          <w:b/>
          <w:caps/>
          <w:szCs w:val="26"/>
        </w:rPr>
      </w:pPr>
      <w:bookmarkStart w:id="2" w:name="justice"/>
      <w:bookmarkEnd w:id="2"/>
    </w:p>
    <w:p w14:paraId="72028C8E" w14:textId="6F971655" w:rsidR="004B63BB" w:rsidRPr="003075FB" w:rsidRDefault="004B154B" w:rsidP="003075FB">
      <w:pPr>
        <w:ind w:firstLine="720"/>
        <w:rPr>
          <w:szCs w:val="26"/>
        </w:rPr>
      </w:pPr>
      <w:bookmarkStart w:id="3" w:name="mainstory"/>
      <w:bookmarkEnd w:id="3"/>
      <w:r w:rsidRPr="003075FB">
        <w:rPr>
          <w:szCs w:val="26"/>
        </w:rPr>
        <w:t>W</w:t>
      </w:r>
      <w:r w:rsidR="00ED52B3" w:rsidRPr="003075FB">
        <w:rPr>
          <w:szCs w:val="26"/>
        </w:rPr>
        <w:t>ith the help of court-appointed counsel</w:t>
      </w:r>
      <w:r w:rsidR="00CD32A2" w:rsidRPr="003075FB">
        <w:rPr>
          <w:szCs w:val="26"/>
        </w:rPr>
        <w:t>,</w:t>
      </w:r>
      <w:r w:rsidR="00ED52B3" w:rsidRPr="003075FB">
        <w:rPr>
          <w:szCs w:val="26"/>
        </w:rPr>
        <w:t xml:space="preserve"> a criminal defendant </w:t>
      </w:r>
      <w:r w:rsidR="0015771E" w:rsidRPr="003075FB">
        <w:rPr>
          <w:szCs w:val="26"/>
        </w:rPr>
        <w:t xml:space="preserve">facing misdemeanor charges </w:t>
      </w:r>
      <w:r w:rsidR="0058563C" w:rsidRPr="003075FB">
        <w:rPr>
          <w:szCs w:val="26"/>
        </w:rPr>
        <w:t>filed a successful motion to suppress the prosecution’s evidence against her</w:t>
      </w:r>
      <w:r w:rsidR="00C63FFB" w:rsidRPr="003075FB">
        <w:rPr>
          <w:szCs w:val="26"/>
        </w:rPr>
        <w:t>.</w:t>
      </w:r>
      <w:r w:rsidR="005F2B29" w:rsidRPr="003075FB">
        <w:rPr>
          <w:szCs w:val="26"/>
        </w:rPr>
        <w:t xml:space="preserve">  The prosecution </w:t>
      </w:r>
      <w:r w:rsidR="000718AD" w:rsidRPr="003075FB">
        <w:rPr>
          <w:szCs w:val="26"/>
        </w:rPr>
        <w:t>appeal</w:t>
      </w:r>
      <w:r w:rsidR="0058563C" w:rsidRPr="003075FB">
        <w:rPr>
          <w:szCs w:val="26"/>
        </w:rPr>
        <w:t>ed</w:t>
      </w:r>
      <w:r w:rsidR="005F2B29" w:rsidRPr="003075FB">
        <w:rPr>
          <w:szCs w:val="26"/>
        </w:rPr>
        <w:t>.  The qu</w:t>
      </w:r>
      <w:r w:rsidR="007F45A9" w:rsidRPr="003075FB">
        <w:rPr>
          <w:szCs w:val="26"/>
        </w:rPr>
        <w:t xml:space="preserve">estion </w:t>
      </w:r>
      <w:r w:rsidR="00DF02F9" w:rsidRPr="003075FB">
        <w:rPr>
          <w:szCs w:val="26"/>
        </w:rPr>
        <w:t>i</w:t>
      </w:r>
      <w:r w:rsidR="007F45A9" w:rsidRPr="003075FB">
        <w:rPr>
          <w:szCs w:val="26"/>
        </w:rPr>
        <w:t>s whether the defendant</w:t>
      </w:r>
      <w:r w:rsidR="00BD078E" w:rsidRPr="003075FB">
        <w:rPr>
          <w:szCs w:val="26"/>
        </w:rPr>
        <w:t xml:space="preserve"> </w:t>
      </w:r>
      <w:r w:rsidR="007F45A9" w:rsidRPr="003075FB">
        <w:rPr>
          <w:szCs w:val="26"/>
        </w:rPr>
        <w:t>is</w:t>
      </w:r>
      <w:r w:rsidR="00EB422F">
        <w:rPr>
          <w:szCs w:val="26"/>
        </w:rPr>
        <w:t xml:space="preserve"> </w:t>
      </w:r>
      <w:r w:rsidR="005F2B29" w:rsidRPr="003075FB">
        <w:rPr>
          <w:szCs w:val="26"/>
        </w:rPr>
        <w:t xml:space="preserve">entitled to </w:t>
      </w:r>
      <w:r w:rsidRPr="003075FB">
        <w:rPr>
          <w:szCs w:val="26"/>
        </w:rPr>
        <w:t xml:space="preserve">the help of </w:t>
      </w:r>
      <w:r w:rsidR="00B83B3A" w:rsidRPr="003075FB">
        <w:rPr>
          <w:szCs w:val="26"/>
        </w:rPr>
        <w:t xml:space="preserve">appointed counsel in </w:t>
      </w:r>
      <w:r w:rsidR="001337F3" w:rsidRPr="003075FB">
        <w:rPr>
          <w:szCs w:val="26"/>
        </w:rPr>
        <w:t>respond</w:t>
      </w:r>
      <w:r w:rsidR="00B83B3A" w:rsidRPr="003075FB">
        <w:rPr>
          <w:szCs w:val="26"/>
        </w:rPr>
        <w:t>ing</w:t>
      </w:r>
      <w:r w:rsidR="00496A43" w:rsidRPr="003075FB">
        <w:rPr>
          <w:szCs w:val="26"/>
        </w:rPr>
        <w:t xml:space="preserve"> to th</w:t>
      </w:r>
      <w:r w:rsidR="0058563C" w:rsidRPr="003075FB">
        <w:rPr>
          <w:szCs w:val="26"/>
        </w:rPr>
        <w:t>e</w:t>
      </w:r>
      <w:r w:rsidR="004D54CE" w:rsidRPr="003075FB">
        <w:rPr>
          <w:szCs w:val="26"/>
        </w:rPr>
        <w:t xml:space="preserve"> </w:t>
      </w:r>
      <w:r w:rsidR="0058563C" w:rsidRPr="003075FB">
        <w:rPr>
          <w:szCs w:val="26"/>
        </w:rPr>
        <w:t xml:space="preserve">prosecution’s </w:t>
      </w:r>
      <w:r w:rsidR="004D54CE" w:rsidRPr="003075FB">
        <w:rPr>
          <w:szCs w:val="26"/>
        </w:rPr>
        <w:t>appea</w:t>
      </w:r>
      <w:r w:rsidR="00D51EF3" w:rsidRPr="003075FB">
        <w:rPr>
          <w:szCs w:val="26"/>
        </w:rPr>
        <w:t>l</w:t>
      </w:r>
      <w:r w:rsidR="003D5A92" w:rsidRPr="003075FB">
        <w:rPr>
          <w:szCs w:val="26"/>
        </w:rPr>
        <w:t xml:space="preserve"> of the suppression order</w:t>
      </w:r>
      <w:r w:rsidR="00D51EF3" w:rsidRPr="003075FB">
        <w:rPr>
          <w:szCs w:val="26"/>
        </w:rPr>
        <w:t xml:space="preserve">.  </w:t>
      </w:r>
      <w:r w:rsidR="009263CE" w:rsidRPr="003075FB">
        <w:rPr>
          <w:szCs w:val="26"/>
        </w:rPr>
        <w:t>B</w:t>
      </w:r>
      <w:r w:rsidR="001E4B1F" w:rsidRPr="003075FB">
        <w:rPr>
          <w:szCs w:val="26"/>
        </w:rPr>
        <w:t xml:space="preserve">ased on </w:t>
      </w:r>
      <w:r w:rsidR="00727E34" w:rsidRPr="003075FB">
        <w:rPr>
          <w:szCs w:val="26"/>
        </w:rPr>
        <w:t xml:space="preserve">article I, section 15 of the California Constitution, </w:t>
      </w:r>
      <w:r w:rsidR="009263CE" w:rsidRPr="003075FB">
        <w:rPr>
          <w:szCs w:val="26"/>
        </w:rPr>
        <w:t>we conclude the answer is yes.</w:t>
      </w:r>
      <w:r w:rsidR="009263CE" w:rsidRPr="003075FB" w:rsidDel="003D5A92">
        <w:rPr>
          <w:szCs w:val="26"/>
        </w:rPr>
        <w:t xml:space="preserve"> </w:t>
      </w:r>
    </w:p>
    <w:p w14:paraId="66D71327" w14:textId="77777777" w:rsidR="00242F3B" w:rsidRPr="003075FB" w:rsidRDefault="00242F3B" w:rsidP="00834B58">
      <w:pPr>
        <w:jc w:val="center"/>
        <w:rPr>
          <w:b/>
          <w:szCs w:val="26"/>
        </w:rPr>
      </w:pPr>
      <w:r w:rsidRPr="003075FB">
        <w:rPr>
          <w:b/>
          <w:szCs w:val="26"/>
        </w:rPr>
        <w:t>I</w:t>
      </w:r>
      <w:r w:rsidR="00AE0E4A" w:rsidRPr="003075FB">
        <w:rPr>
          <w:b/>
          <w:szCs w:val="26"/>
        </w:rPr>
        <w:t>.</w:t>
      </w:r>
    </w:p>
    <w:p w14:paraId="6406AAD7" w14:textId="756CBF20" w:rsidR="00E75931" w:rsidRPr="003075FB" w:rsidRDefault="00C61776" w:rsidP="003075FB">
      <w:pPr>
        <w:ind w:firstLine="720"/>
        <w:rPr>
          <w:szCs w:val="26"/>
        </w:rPr>
      </w:pPr>
      <w:r w:rsidRPr="003075FB">
        <w:rPr>
          <w:szCs w:val="26"/>
        </w:rPr>
        <w:t xml:space="preserve">This case arises from the criminal prosecution of </w:t>
      </w:r>
      <w:r w:rsidR="0008605E" w:rsidRPr="003075FB">
        <w:rPr>
          <w:szCs w:val="26"/>
        </w:rPr>
        <w:t>Ruth Zapata Lopez</w:t>
      </w:r>
      <w:r w:rsidRPr="003075FB">
        <w:rPr>
          <w:szCs w:val="26"/>
        </w:rPr>
        <w:t>, who</w:t>
      </w:r>
      <w:r w:rsidR="00E108D5" w:rsidRPr="003075FB">
        <w:rPr>
          <w:szCs w:val="26"/>
        </w:rPr>
        <w:t xml:space="preserve"> </w:t>
      </w:r>
      <w:r w:rsidR="0008605E" w:rsidRPr="003075FB">
        <w:rPr>
          <w:szCs w:val="26"/>
        </w:rPr>
        <w:t>was charged by misdemeanor complaint with driving</w:t>
      </w:r>
      <w:r w:rsidR="00757877" w:rsidRPr="003075FB">
        <w:rPr>
          <w:szCs w:val="26"/>
        </w:rPr>
        <w:t xml:space="preserve"> under the influence of alcohol (Veh. Code, </w:t>
      </w:r>
      <w:r w:rsidR="00757877" w:rsidRPr="003075FB">
        <w:rPr>
          <w:rFonts w:cstheme="minorHAnsi"/>
          <w:szCs w:val="26"/>
        </w:rPr>
        <w:t>§ </w:t>
      </w:r>
      <w:r w:rsidR="00757877" w:rsidRPr="003075FB">
        <w:rPr>
          <w:szCs w:val="26"/>
        </w:rPr>
        <w:t xml:space="preserve">23152, subd. (a)) </w:t>
      </w:r>
      <w:r w:rsidR="0008605E" w:rsidRPr="003075FB">
        <w:rPr>
          <w:szCs w:val="26"/>
        </w:rPr>
        <w:t xml:space="preserve">and </w:t>
      </w:r>
      <w:r w:rsidR="00AD6D3B" w:rsidRPr="003075FB">
        <w:rPr>
          <w:szCs w:val="26"/>
        </w:rPr>
        <w:t xml:space="preserve">driving </w:t>
      </w:r>
      <w:r w:rsidR="0008605E" w:rsidRPr="003075FB">
        <w:rPr>
          <w:szCs w:val="26"/>
        </w:rPr>
        <w:t>while having a blood</w:t>
      </w:r>
      <w:r w:rsidR="00306074">
        <w:rPr>
          <w:szCs w:val="26"/>
        </w:rPr>
        <w:t>-</w:t>
      </w:r>
      <w:r w:rsidR="0008605E" w:rsidRPr="003075FB">
        <w:rPr>
          <w:szCs w:val="26"/>
        </w:rPr>
        <w:t>alcohol content of 0.08</w:t>
      </w:r>
      <w:r w:rsidR="00EC7880" w:rsidRPr="003075FB">
        <w:rPr>
          <w:szCs w:val="26"/>
        </w:rPr>
        <w:t xml:space="preserve"> percent </w:t>
      </w:r>
      <w:r w:rsidR="0008605E" w:rsidRPr="003075FB">
        <w:rPr>
          <w:szCs w:val="26"/>
        </w:rPr>
        <w:t>or higher</w:t>
      </w:r>
      <w:r w:rsidR="00757877" w:rsidRPr="003075FB">
        <w:rPr>
          <w:szCs w:val="26"/>
        </w:rPr>
        <w:t xml:space="preserve"> (</w:t>
      </w:r>
      <w:r w:rsidR="00757877" w:rsidRPr="003075FB">
        <w:rPr>
          <w:i/>
          <w:szCs w:val="26"/>
        </w:rPr>
        <w:t>id.</w:t>
      </w:r>
      <w:r w:rsidR="0000785F" w:rsidRPr="003075FB">
        <w:rPr>
          <w:szCs w:val="26"/>
        </w:rPr>
        <w:t>,</w:t>
      </w:r>
      <w:r w:rsidR="0008605E" w:rsidRPr="003075FB">
        <w:rPr>
          <w:rFonts w:cstheme="minorHAnsi"/>
          <w:szCs w:val="26"/>
        </w:rPr>
        <w:t> </w:t>
      </w:r>
      <w:r w:rsidR="0000785F" w:rsidRPr="003075FB">
        <w:rPr>
          <w:rFonts w:cstheme="minorHAnsi"/>
          <w:szCs w:val="26"/>
        </w:rPr>
        <w:t>§ </w:t>
      </w:r>
      <w:r w:rsidR="000104CA" w:rsidRPr="003075FB">
        <w:rPr>
          <w:szCs w:val="26"/>
        </w:rPr>
        <w:t>23152, subd. (b</w:t>
      </w:r>
      <w:r w:rsidR="0008605E" w:rsidRPr="003075FB">
        <w:rPr>
          <w:szCs w:val="26"/>
        </w:rPr>
        <w:t>)</w:t>
      </w:r>
      <w:r w:rsidR="0000785F" w:rsidRPr="003075FB">
        <w:rPr>
          <w:szCs w:val="26"/>
        </w:rPr>
        <w:t>).</w:t>
      </w:r>
      <w:r w:rsidR="0008605E" w:rsidRPr="003075FB">
        <w:rPr>
          <w:szCs w:val="26"/>
        </w:rPr>
        <w:t xml:space="preserve">  The complaint also alleged that Lopez had suffered a prior conviction for driving while having a blood</w:t>
      </w:r>
      <w:r w:rsidR="00306074">
        <w:rPr>
          <w:szCs w:val="26"/>
        </w:rPr>
        <w:t>-</w:t>
      </w:r>
      <w:r w:rsidR="0008605E" w:rsidRPr="003075FB">
        <w:rPr>
          <w:szCs w:val="26"/>
        </w:rPr>
        <w:t>alcohol content of 0.08</w:t>
      </w:r>
      <w:r w:rsidR="00EC7880" w:rsidRPr="003075FB">
        <w:rPr>
          <w:szCs w:val="26"/>
        </w:rPr>
        <w:t xml:space="preserve"> percent</w:t>
      </w:r>
      <w:r w:rsidR="0008605E" w:rsidRPr="003075FB">
        <w:rPr>
          <w:szCs w:val="26"/>
        </w:rPr>
        <w:t xml:space="preserve"> or higher.  </w:t>
      </w:r>
      <w:r w:rsidR="002D34CB" w:rsidRPr="003075FB">
        <w:rPr>
          <w:szCs w:val="26"/>
        </w:rPr>
        <w:t xml:space="preserve">The charges against Lopez are punishable by </w:t>
      </w:r>
      <w:r w:rsidR="009600C4" w:rsidRPr="003075FB">
        <w:rPr>
          <w:szCs w:val="26"/>
        </w:rPr>
        <w:t xml:space="preserve">confinement in county jail.  </w:t>
      </w:r>
      <w:r w:rsidR="0066396D" w:rsidRPr="003075FB">
        <w:rPr>
          <w:szCs w:val="26"/>
        </w:rPr>
        <w:t xml:space="preserve">(See </w:t>
      </w:r>
      <w:r w:rsidR="00816959" w:rsidRPr="00FC28E1">
        <w:rPr>
          <w:i/>
          <w:szCs w:val="26"/>
        </w:rPr>
        <w:t>id.</w:t>
      </w:r>
      <w:r w:rsidR="0066396D" w:rsidRPr="003075FB">
        <w:rPr>
          <w:szCs w:val="26"/>
        </w:rPr>
        <w:t>, §</w:t>
      </w:r>
      <w:r w:rsidR="001F2F76" w:rsidRPr="003075FB">
        <w:rPr>
          <w:szCs w:val="26"/>
        </w:rPr>
        <w:t> </w:t>
      </w:r>
      <w:r w:rsidR="0066396D" w:rsidRPr="003075FB">
        <w:rPr>
          <w:szCs w:val="26"/>
        </w:rPr>
        <w:t>23540, subd. (a) [</w:t>
      </w:r>
      <w:r w:rsidR="00EC7880" w:rsidRPr="003075FB">
        <w:rPr>
          <w:szCs w:val="26"/>
        </w:rPr>
        <w:t>minimum punishment for</w:t>
      </w:r>
      <w:r w:rsidR="0015579F" w:rsidRPr="003075FB">
        <w:rPr>
          <w:szCs w:val="26"/>
        </w:rPr>
        <w:t xml:space="preserve"> violating</w:t>
      </w:r>
      <w:r w:rsidR="00EC7880" w:rsidRPr="003075FB">
        <w:rPr>
          <w:szCs w:val="26"/>
        </w:rPr>
        <w:t xml:space="preserve"> </w:t>
      </w:r>
      <w:r w:rsidR="00306074">
        <w:rPr>
          <w:szCs w:val="26"/>
        </w:rPr>
        <w:t xml:space="preserve">Veh. Code, </w:t>
      </w:r>
      <w:r w:rsidR="003139B7" w:rsidRPr="003075FB">
        <w:rPr>
          <w:szCs w:val="26"/>
        </w:rPr>
        <w:t>§ </w:t>
      </w:r>
      <w:r w:rsidR="00EC7880" w:rsidRPr="003075FB">
        <w:rPr>
          <w:szCs w:val="26"/>
        </w:rPr>
        <w:t xml:space="preserve">23152 </w:t>
      </w:r>
      <w:r w:rsidR="0015579F" w:rsidRPr="003075FB">
        <w:rPr>
          <w:szCs w:val="26"/>
        </w:rPr>
        <w:t xml:space="preserve">within </w:t>
      </w:r>
      <w:r w:rsidR="00D82837" w:rsidRPr="003075FB">
        <w:rPr>
          <w:szCs w:val="26"/>
        </w:rPr>
        <w:t>10</w:t>
      </w:r>
      <w:r w:rsidR="0015579F" w:rsidRPr="003075FB">
        <w:rPr>
          <w:szCs w:val="26"/>
        </w:rPr>
        <w:t xml:space="preserve"> years of prior</w:t>
      </w:r>
      <w:r w:rsidR="00EC7880" w:rsidRPr="003075FB">
        <w:rPr>
          <w:szCs w:val="26"/>
        </w:rPr>
        <w:t xml:space="preserve"> conviction under </w:t>
      </w:r>
      <w:r w:rsidR="003139B7" w:rsidRPr="003075FB">
        <w:rPr>
          <w:szCs w:val="26"/>
        </w:rPr>
        <w:t>§ </w:t>
      </w:r>
      <w:r w:rsidR="00EC7880" w:rsidRPr="003075FB">
        <w:rPr>
          <w:szCs w:val="26"/>
        </w:rPr>
        <w:t>23152 is “</w:t>
      </w:r>
      <w:r w:rsidR="0015579F" w:rsidRPr="003075FB">
        <w:rPr>
          <w:szCs w:val="26"/>
        </w:rPr>
        <w:t xml:space="preserve">imprisonment in the county jail for not less than 90 days nor more than one year” and a fine]; see also </w:t>
      </w:r>
      <w:r w:rsidR="0015579F" w:rsidRPr="003075FB">
        <w:rPr>
          <w:i/>
          <w:szCs w:val="26"/>
        </w:rPr>
        <w:t>id.</w:t>
      </w:r>
      <w:r w:rsidR="0015579F" w:rsidRPr="003075FB">
        <w:rPr>
          <w:szCs w:val="26"/>
        </w:rPr>
        <w:t>, §</w:t>
      </w:r>
      <w:r w:rsidR="001F2F76" w:rsidRPr="003075FB">
        <w:rPr>
          <w:szCs w:val="26"/>
        </w:rPr>
        <w:t> </w:t>
      </w:r>
      <w:r w:rsidR="0015579F" w:rsidRPr="003075FB">
        <w:rPr>
          <w:szCs w:val="26"/>
        </w:rPr>
        <w:t>23542, subd. (a)(1)</w:t>
      </w:r>
      <w:r w:rsidR="00306074">
        <w:rPr>
          <w:szCs w:val="26"/>
        </w:rPr>
        <w:t>(B)</w:t>
      </w:r>
      <w:r w:rsidR="0015579F" w:rsidRPr="003075FB">
        <w:rPr>
          <w:szCs w:val="26"/>
        </w:rPr>
        <w:t xml:space="preserve"> [grant of probation requires confinement in county jail </w:t>
      </w:r>
      <w:r w:rsidR="002B764A" w:rsidRPr="003075FB">
        <w:rPr>
          <w:szCs w:val="26"/>
        </w:rPr>
        <w:t>“</w:t>
      </w:r>
      <w:r w:rsidR="00306074">
        <w:rPr>
          <w:szCs w:val="26"/>
        </w:rPr>
        <w:t>[</w:t>
      </w:r>
      <w:r w:rsidR="0015579F" w:rsidRPr="003075FB">
        <w:rPr>
          <w:szCs w:val="26"/>
        </w:rPr>
        <w:t>f</w:t>
      </w:r>
      <w:r w:rsidR="00306074">
        <w:rPr>
          <w:szCs w:val="26"/>
        </w:rPr>
        <w:t>]</w:t>
      </w:r>
      <w:r w:rsidR="0015579F" w:rsidRPr="003075FB">
        <w:rPr>
          <w:szCs w:val="26"/>
        </w:rPr>
        <w:t>or at least 96 hours</w:t>
      </w:r>
      <w:r w:rsidR="00DD1B4C" w:rsidRPr="003075FB">
        <w:rPr>
          <w:szCs w:val="26"/>
        </w:rPr>
        <w:t>”</w:t>
      </w:r>
      <w:r w:rsidR="0015579F" w:rsidRPr="003075FB">
        <w:rPr>
          <w:szCs w:val="26"/>
        </w:rPr>
        <w:t>].)</w:t>
      </w:r>
    </w:p>
    <w:p w14:paraId="6ED4D49E" w14:textId="7FC8BA10" w:rsidR="00D574C1" w:rsidRPr="003075FB" w:rsidRDefault="00B83B3A" w:rsidP="003075FB">
      <w:pPr>
        <w:ind w:firstLine="720"/>
        <w:rPr>
          <w:szCs w:val="26"/>
        </w:rPr>
      </w:pPr>
      <w:r w:rsidRPr="003075FB">
        <w:rPr>
          <w:szCs w:val="26"/>
        </w:rPr>
        <w:t>The p</w:t>
      </w:r>
      <w:r w:rsidR="00E75931" w:rsidRPr="003075FB">
        <w:rPr>
          <w:szCs w:val="26"/>
        </w:rPr>
        <w:t>etitioner in this case is the Public Defender of San Bernardino County, who</w:t>
      </w:r>
      <w:r w:rsidR="0085493F" w:rsidRPr="003075FB">
        <w:rPr>
          <w:szCs w:val="26"/>
        </w:rPr>
        <w:t xml:space="preserve">m the </w:t>
      </w:r>
      <w:r w:rsidR="00B33F51">
        <w:rPr>
          <w:szCs w:val="26"/>
        </w:rPr>
        <w:t>s</w:t>
      </w:r>
      <w:r w:rsidR="0085493F" w:rsidRPr="003075FB">
        <w:rPr>
          <w:szCs w:val="26"/>
        </w:rPr>
        <w:t xml:space="preserve">uperior </w:t>
      </w:r>
      <w:r w:rsidR="00B33F51">
        <w:rPr>
          <w:szCs w:val="26"/>
        </w:rPr>
        <w:t>c</w:t>
      </w:r>
      <w:r w:rsidR="0085493F" w:rsidRPr="003075FB">
        <w:rPr>
          <w:szCs w:val="26"/>
        </w:rPr>
        <w:t xml:space="preserve">ourt appointed to </w:t>
      </w:r>
      <w:r w:rsidR="00E75931" w:rsidRPr="003075FB">
        <w:rPr>
          <w:szCs w:val="26"/>
        </w:rPr>
        <w:t>represent Lopez.</w:t>
      </w:r>
      <w:r w:rsidR="00D82837" w:rsidRPr="003075FB">
        <w:rPr>
          <w:rStyle w:val="FootnoteReference"/>
          <w:szCs w:val="26"/>
        </w:rPr>
        <w:footnoteReference w:id="2"/>
      </w:r>
      <w:r w:rsidR="00E75931" w:rsidRPr="003075FB">
        <w:rPr>
          <w:szCs w:val="26"/>
        </w:rPr>
        <w:t xml:space="preserve">  </w:t>
      </w:r>
      <w:r w:rsidR="00DB4AD9" w:rsidRPr="003075FB">
        <w:rPr>
          <w:szCs w:val="26"/>
        </w:rPr>
        <w:t>(See Pen. Code, §</w:t>
      </w:r>
      <w:r w:rsidR="001F2F76" w:rsidRPr="003075FB">
        <w:rPr>
          <w:szCs w:val="26"/>
        </w:rPr>
        <w:t> </w:t>
      </w:r>
      <w:r w:rsidR="00DB4AD9" w:rsidRPr="003075FB">
        <w:rPr>
          <w:szCs w:val="26"/>
        </w:rPr>
        <w:t xml:space="preserve">987, subd. </w:t>
      </w:r>
      <w:r w:rsidR="00041C34" w:rsidRPr="003075FB">
        <w:rPr>
          <w:szCs w:val="26"/>
        </w:rPr>
        <w:t>(</w:t>
      </w:r>
      <w:r w:rsidR="00DB4AD9" w:rsidRPr="003075FB">
        <w:rPr>
          <w:szCs w:val="26"/>
        </w:rPr>
        <w:t>a</w:t>
      </w:r>
      <w:r w:rsidR="00041C34" w:rsidRPr="003075FB">
        <w:rPr>
          <w:szCs w:val="26"/>
        </w:rPr>
        <w:t>)</w:t>
      </w:r>
      <w:r w:rsidR="00DB4AD9" w:rsidRPr="003075FB">
        <w:rPr>
          <w:szCs w:val="26"/>
        </w:rPr>
        <w:t xml:space="preserve">; </w:t>
      </w:r>
      <w:r w:rsidR="00041C34" w:rsidRPr="003075FB">
        <w:rPr>
          <w:szCs w:val="26"/>
        </w:rPr>
        <w:t xml:space="preserve">see also </w:t>
      </w:r>
      <w:r w:rsidR="00DB4AD9" w:rsidRPr="003075FB">
        <w:rPr>
          <w:i/>
          <w:szCs w:val="26"/>
        </w:rPr>
        <w:t>id.</w:t>
      </w:r>
      <w:r w:rsidR="001F2F76" w:rsidRPr="003075FB">
        <w:rPr>
          <w:szCs w:val="26"/>
        </w:rPr>
        <w:t>,</w:t>
      </w:r>
      <w:r w:rsidR="00DB4AD9" w:rsidRPr="003075FB">
        <w:rPr>
          <w:i/>
          <w:szCs w:val="26"/>
        </w:rPr>
        <w:t xml:space="preserve"> </w:t>
      </w:r>
      <w:r w:rsidR="00DB4AD9" w:rsidRPr="003075FB">
        <w:rPr>
          <w:szCs w:val="26"/>
        </w:rPr>
        <w:t>§</w:t>
      </w:r>
      <w:r w:rsidR="001F2F76" w:rsidRPr="003075FB">
        <w:rPr>
          <w:szCs w:val="26"/>
        </w:rPr>
        <w:t> </w:t>
      </w:r>
      <w:r w:rsidR="00DB4AD9" w:rsidRPr="003075FB">
        <w:rPr>
          <w:szCs w:val="26"/>
        </w:rPr>
        <w:t>987.2, subd.</w:t>
      </w:r>
      <w:r w:rsidR="002D34CB" w:rsidRPr="003075FB">
        <w:rPr>
          <w:szCs w:val="26"/>
        </w:rPr>
        <w:t xml:space="preserve"> (</w:t>
      </w:r>
      <w:proofErr w:type="spellStart"/>
      <w:r w:rsidR="00DB4AD9" w:rsidRPr="003075FB">
        <w:rPr>
          <w:szCs w:val="26"/>
        </w:rPr>
        <w:t>i</w:t>
      </w:r>
      <w:proofErr w:type="spellEnd"/>
      <w:r w:rsidR="002D34CB" w:rsidRPr="003075FB">
        <w:rPr>
          <w:szCs w:val="26"/>
        </w:rPr>
        <w:t>)</w:t>
      </w:r>
      <w:r w:rsidR="00772076" w:rsidRPr="003075FB">
        <w:rPr>
          <w:szCs w:val="26"/>
        </w:rPr>
        <w:t>.</w:t>
      </w:r>
      <w:r w:rsidR="00DB4AD9" w:rsidRPr="003075FB">
        <w:rPr>
          <w:szCs w:val="26"/>
        </w:rPr>
        <w:t>)</w:t>
      </w:r>
      <w:r w:rsidR="00F3305E" w:rsidRPr="003075FB">
        <w:rPr>
          <w:rStyle w:val="FootnoteReference"/>
        </w:rPr>
        <w:footnoteReference w:id="3"/>
      </w:r>
      <w:r w:rsidR="00E108D5" w:rsidRPr="003075FB">
        <w:rPr>
          <w:szCs w:val="26"/>
        </w:rPr>
        <w:t xml:space="preserve">  </w:t>
      </w:r>
      <w:r w:rsidR="00711388" w:rsidRPr="003075FB">
        <w:rPr>
          <w:szCs w:val="26"/>
        </w:rPr>
        <w:t xml:space="preserve">On behalf of Lopez, </w:t>
      </w:r>
      <w:r w:rsidR="00541A91" w:rsidRPr="003075FB">
        <w:rPr>
          <w:szCs w:val="26"/>
        </w:rPr>
        <w:t xml:space="preserve">petitioner </w:t>
      </w:r>
      <w:r w:rsidR="00117331" w:rsidRPr="003075FB">
        <w:rPr>
          <w:szCs w:val="26"/>
        </w:rPr>
        <w:t xml:space="preserve">filed </w:t>
      </w:r>
      <w:r w:rsidR="0008605E" w:rsidRPr="003075FB">
        <w:rPr>
          <w:szCs w:val="26"/>
        </w:rPr>
        <w:t>a motion under Penal Code section 1538.5</w:t>
      </w:r>
      <w:r w:rsidR="0000785F" w:rsidRPr="003075FB">
        <w:rPr>
          <w:szCs w:val="26"/>
        </w:rPr>
        <w:t xml:space="preserve"> </w:t>
      </w:r>
      <w:r w:rsidR="00F62A94" w:rsidRPr="003075FB">
        <w:rPr>
          <w:szCs w:val="26"/>
        </w:rPr>
        <w:t xml:space="preserve">to suppress evidence collected </w:t>
      </w:r>
      <w:r w:rsidR="009C469C" w:rsidRPr="003075FB">
        <w:rPr>
          <w:szCs w:val="26"/>
        </w:rPr>
        <w:t xml:space="preserve">during a warrantless traffic stop. </w:t>
      </w:r>
      <w:r w:rsidR="00E459D2" w:rsidRPr="003075FB">
        <w:rPr>
          <w:szCs w:val="26"/>
        </w:rPr>
        <w:t xml:space="preserve"> </w:t>
      </w:r>
      <w:r w:rsidR="009C469C" w:rsidRPr="003075FB">
        <w:rPr>
          <w:szCs w:val="26"/>
        </w:rPr>
        <w:t>T</w:t>
      </w:r>
      <w:r w:rsidR="00160DAB" w:rsidRPr="003075FB">
        <w:rPr>
          <w:szCs w:val="26"/>
        </w:rPr>
        <w:t>he court conducted a limited</w:t>
      </w:r>
      <w:r w:rsidR="00657E52" w:rsidRPr="003075FB">
        <w:rPr>
          <w:szCs w:val="26"/>
        </w:rPr>
        <w:t xml:space="preserve"> hearing</w:t>
      </w:r>
      <w:r w:rsidR="00160DAB" w:rsidRPr="003075FB">
        <w:rPr>
          <w:szCs w:val="26"/>
        </w:rPr>
        <w:t xml:space="preserve"> </w:t>
      </w:r>
      <w:r w:rsidR="009C469C" w:rsidRPr="003075FB">
        <w:rPr>
          <w:szCs w:val="26"/>
        </w:rPr>
        <w:t xml:space="preserve">on the motion, </w:t>
      </w:r>
      <w:r w:rsidR="00207970" w:rsidRPr="003075FB">
        <w:rPr>
          <w:szCs w:val="26"/>
        </w:rPr>
        <w:t>during which</w:t>
      </w:r>
      <w:r w:rsidR="009C469C" w:rsidRPr="003075FB">
        <w:rPr>
          <w:szCs w:val="26"/>
        </w:rPr>
        <w:t xml:space="preserve"> Lopez was </w:t>
      </w:r>
      <w:r w:rsidR="00207970" w:rsidRPr="003075FB">
        <w:rPr>
          <w:szCs w:val="26"/>
        </w:rPr>
        <w:t>assisted by</w:t>
      </w:r>
      <w:r w:rsidR="009C469C" w:rsidRPr="003075FB">
        <w:rPr>
          <w:szCs w:val="26"/>
        </w:rPr>
        <w:t xml:space="preserve"> a Spanish</w:t>
      </w:r>
      <w:r w:rsidR="00207970" w:rsidRPr="003075FB">
        <w:rPr>
          <w:szCs w:val="26"/>
        </w:rPr>
        <w:t xml:space="preserve"> language</w:t>
      </w:r>
      <w:r w:rsidR="009C469C" w:rsidRPr="003075FB">
        <w:rPr>
          <w:szCs w:val="26"/>
        </w:rPr>
        <w:t xml:space="preserve"> interpreter.  Petitioner argued that the traffic stop leading to Lopez’s </w:t>
      </w:r>
      <w:r w:rsidR="00207970" w:rsidRPr="003075FB">
        <w:rPr>
          <w:szCs w:val="26"/>
        </w:rPr>
        <w:t>detention</w:t>
      </w:r>
      <w:r w:rsidR="009C469C" w:rsidRPr="003075FB">
        <w:rPr>
          <w:szCs w:val="26"/>
        </w:rPr>
        <w:t xml:space="preserve"> was invalid, </w:t>
      </w:r>
      <w:r w:rsidR="00207970" w:rsidRPr="003075FB">
        <w:rPr>
          <w:szCs w:val="26"/>
        </w:rPr>
        <w:t xml:space="preserve">rendering the subsequent search </w:t>
      </w:r>
      <w:r w:rsidR="009C469C" w:rsidRPr="003075FB">
        <w:rPr>
          <w:szCs w:val="26"/>
        </w:rPr>
        <w:t xml:space="preserve">unlawful. </w:t>
      </w:r>
      <w:r w:rsidR="0084670A" w:rsidRPr="003075FB">
        <w:rPr>
          <w:szCs w:val="26"/>
        </w:rPr>
        <w:t xml:space="preserve"> </w:t>
      </w:r>
      <w:r w:rsidR="009C469C" w:rsidRPr="003075FB">
        <w:rPr>
          <w:szCs w:val="26"/>
        </w:rPr>
        <w:t>T</w:t>
      </w:r>
      <w:r w:rsidR="00657E52" w:rsidRPr="003075FB">
        <w:rPr>
          <w:szCs w:val="26"/>
        </w:rPr>
        <w:t xml:space="preserve">he court </w:t>
      </w:r>
      <w:r w:rsidR="00EB422F">
        <w:rPr>
          <w:szCs w:val="26"/>
        </w:rPr>
        <w:t>agreed and</w:t>
      </w:r>
      <w:r w:rsidR="009C469C" w:rsidRPr="003075FB">
        <w:rPr>
          <w:szCs w:val="26"/>
        </w:rPr>
        <w:t xml:space="preserve"> </w:t>
      </w:r>
      <w:r w:rsidR="00657E52" w:rsidRPr="003075FB">
        <w:rPr>
          <w:szCs w:val="26"/>
        </w:rPr>
        <w:t xml:space="preserve">granted </w:t>
      </w:r>
      <w:r w:rsidR="00706C02" w:rsidRPr="003075FB">
        <w:rPr>
          <w:szCs w:val="26"/>
        </w:rPr>
        <w:t>the</w:t>
      </w:r>
      <w:r w:rsidR="00657E52" w:rsidRPr="003075FB">
        <w:rPr>
          <w:szCs w:val="26"/>
        </w:rPr>
        <w:t xml:space="preserve"> motion to suppress. </w:t>
      </w:r>
      <w:r w:rsidR="00AB1548" w:rsidRPr="003075FB">
        <w:rPr>
          <w:szCs w:val="26"/>
        </w:rPr>
        <w:t xml:space="preserve"> </w:t>
      </w:r>
      <w:r w:rsidR="00C72B22" w:rsidRPr="003075FB">
        <w:rPr>
          <w:szCs w:val="26"/>
        </w:rPr>
        <w:t>T</w:t>
      </w:r>
      <w:r w:rsidR="00E108D5" w:rsidRPr="003075FB">
        <w:rPr>
          <w:szCs w:val="26"/>
        </w:rPr>
        <w:t xml:space="preserve">he court </w:t>
      </w:r>
      <w:r w:rsidR="00C72B22" w:rsidRPr="003075FB">
        <w:rPr>
          <w:szCs w:val="26"/>
        </w:rPr>
        <w:t xml:space="preserve">then dismissed </w:t>
      </w:r>
      <w:r w:rsidR="00E108D5" w:rsidRPr="003075FB">
        <w:rPr>
          <w:szCs w:val="26"/>
        </w:rPr>
        <w:t>the underlying case</w:t>
      </w:r>
      <w:r w:rsidR="00746A98" w:rsidRPr="003075FB">
        <w:rPr>
          <w:szCs w:val="26"/>
        </w:rPr>
        <w:t xml:space="preserve"> </w:t>
      </w:r>
      <w:r w:rsidR="00D37AF9" w:rsidRPr="003075FB">
        <w:rPr>
          <w:szCs w:val="26"/>
        </w:rPr>
        <w:t>under</w:t>
      </w:r>
      <w:r w:rsidR="00746A98" w:rsidRPr="003075FB">
        <w:rPr>
          <w:szCs w:val="26"/>
        </w:rPr>
        <w:t xml:space="preserve"> Penal Code section 1385.  (Pen. Code</w:t>
      </w:r>
      <w:r w:rsidR="00A419F4">
        <w:rPr>
          <w:szCs w:val="26"/>
        </w:rPr>
        <w:t>,</w:t>
      </w:r>
      <w:r w:rsidR="00746A98" w:rsidRPr="003075FB">
        <w:rPr>
          <w:szCs w:val="26"/>
        </w:rPr>
        <w:t xml:space="preserve"> §</w:t>
      </w:r>
      <w:r w:rsidR="009F2278">
        <w:rPr>
          <w:szCs w:val="26"/>
        </w:rPr>
        <w:t> </w:t>
      </w:r>
      <w:r w:rsidR="00746A98" w:rsidRPr="003075FB">
        <w:rPr>
          <w:szCs w:val="26"/>
        </w:rPr>
        <w:t xml:space="preserve">1385, subd. (a) [authorizing judge to </w:t>
      </w:r>
      <w:r w:rsidR="00C72B22" w:rsidRPr="003075FB">
        <w:rPr>
          <w:szCs w:val="26"/>
        </w:rPr>
        <w:t xml:space="preserve">dismiss </w:t>
      </w:r>
      <w:r w:rsidR="00746A98" w:rsidRPr="003075FB">
        <w:rPr>
          <w:szCs w:val="26"/>
        </w:rPr>
        <w:t>action “in furtherance of justice”].)</w:t>
      </w:r>
    </w:p>
    <w:p w14:paraId="75ED9B6B" w14:textId="1FAAC17D" w:rsidR="00A10DA9" w:rsidRPr="003075FB" w:rsidRDefault="0008605E" w:rsidP="003075FB">
      <w:pPr>
        <w:ind w:firstLine="720"/>
        <w:rPr>
          <w:szCs w:val="26"/>
        </w:rPr>
      </w:pPr>
      <w:r w:rsidRPr="003075FB">
        <w:rPr>
          <w:szCs w:val="26"/>
        </w:rPr>
        <w:t xml:space="preserve">The prosecution </w:t>
      </w:r>
      <w:r w:rsidR="00711388" w:rsidRPr="003075FB">
        <w:rPr>
          <w:szCs w:val="26"/>
        </w:rPr>
        <w:t xml:space="preserve">appealed the suppression order to the </w:t>
      </w:r>
      <w:r w:rsidR="00306074">
        <w:rPr>
          <w:szCs w:val="26"/>
        </w:rPr>
        <w:t>a</w:t>
      </w:r>
      <w:r w:rsidR="00711388" w:rsidRPr="003075FB">
        <w:rPr>
          <w:szCs w:val="26"/>
        </w:rPr>
        <w:t xml:space="preserve">ppellate </w:t>
      </w:r>
      <w:r w:rsidR="00306074">
        <w:rPr>
          <w:szCs w:val="26"/>
        </w:rPr>
        <w:t>d</w:t>
      </w:r>
      <w:r w:rsidR="00711388" w:rsidRPr="003075FB">
        <w:rPr>
          <w:szCs w:val="26"/>
        </w:rPr>
        <w:t xml:space="preserve">ivision of the </w:t>
      </w:r>
      <w:r w:rsidR="00306074">
        <w:rPr>
          <w:szCs w:val="26"/>
        </w:rPr>
        <w:t>s</w:t>
      </w:r>
      <w:r w:rsidR="00711388" w:rsidRPr="003075FB">
        <w:rPr>
          <w:szCs w:val="26"/>
        </w:rPr>
        <w:t xml:space="preserve">uperior </w:t>
      </w:r>
      <w:r w:rsidR="00306074">
        <w:rPr>
          <w:szCs w:val="26"/>
        </w:rPr>
        <w:t>c</w:t>
      </w:r>
      <w:r w:rsidR="00711388" w:rsidRPr="003075FB">
        <w:rPr>
          <w:szCs w:val="26"/>
        </w:rPr>
        <w:t>ourt</w:t>
      </w:r>
      <w:r w:rsidR="00D574C1" w:rsidRPr="003075FB">
        <w:rPr>
          <w:szCs w:val="26"/>
        </w:rPr>
        <w:t>.</w:t>
      </w:r>
      <w:r w:rsidR="00B33F51">
        <w:rPr>
          <w:szCs w:val="26"/>
        </w:rPr>
        <w:t xml:space="preserve"> </w:t>
      </w:r>
      <w:r w:rsidR="00D574C1" w:rsidRPr="003075FB">
        <w:rPr>
          <w:szCs w:val="26"/>
        </w:rPr>
        <w:t xml:space="preserve"> (See </w:t>
      </w:r>
      <w:r w:rsidR="00306074">
        <w:rPr>
          <w:szCs w:val="26"/>
        </w:rPr>
        <w:t xml:space="preserve">Pen. Code, </w:t>
      </w:r>
      <w:r w:rsidR="00D574C1" w:rsidRPr="003075FB">
        <w:rPr>
          <w:szCs w:val="26"/>
        </w:rPr>
        <w:t>§</w:t>
      </w:r>
      <w:r w:rsidR="0060242A">
        <w:rPr>
          <w:szCs w:val="26"/>
        </w:rPr>
        <w:t> </w:t>
      </w:r>
      <w:r w:rsidR="008A3DC3" w:rsidRPr="003075FB">
        <w:rPr>
          <w:szCs w:val="26"/>
        </w:rPr>
        <w:t>1538.5, subd</w:t>
      </w:r>
      <w:r w:rsidR="00FC28E1">
        <w:rPr>
          <w:szCs w:val="26"/>
        </w:rPr>
        <w:t>. </w:t>
      </w:r>
      <w:r w:rsidR="008A3DC3" w:rsidRPr="003075FB">
        <w:rPr>
          <w:szCs w:val="26"/>
        </w:rPr>
        <w:t xml:space="preserve">(j) </w:t>
      </w:r>
      <w:r w:rsidR="00711388" w:rsidRPr="003075FB">
        <w:rPr>
          <w:szCs w:val="26"/>
        </w:rPr>
        <w:t>[</w:t>
      </w:r>
      <w:r w:rsidR="00F3305E" w:rsidRPr="003075FB">
        <w:rPr>
          <w:szCs w:val="26"/>
        </w:rPr>
        <w:t xml:space="preserve">“If the property or evidence seized relates solely to a misdemeanor complaint, and the defendant made a motion for . . . the suppression of evidence in the superior court prior to trial, both the people and defendant shall have the right to appeal any decision of that court relating to that motion </w:t>
      </w:r>
      <w:r w:rsidR="00117331" w:rsidRPr="003075FB">
        <w:rPr>
          <w:szCs w:val="26"/>
        </w:rPr>
        <w:t>to the appellate divisio</w:t>
      </w:r>
      <w:r w:rsidR="00711388" w:rsidRPr="003075FB">
        <w:rPr>
          <w:szCs w:val="26"/>
        </w:rPr>
        <w:t>n .</w:t>
      </w:r>
      <w:r w:rsidR="001F2F76" w:rsidRPr="003075FB">
        <w:rPr>
          <w:szCs w:val="26"/>
        </w:rPr>
        <w:t> </w:t>
      </w:r>
      <w:r w:rsidR="00711388" w:rsidRPr="003075FB">
        <w:rPr>
          <w:szCs w:val="26"/>
        </w:rPr>
        <w:t>.</w:t>
      </w:r>
      <w:r w:rsidR="001F2F76" w:rsidRPr="003075FB">
        <w:rPr>
          <w:szCs w:val="26"/>
        </w:rPr>
        <w:t> </w:t>
      </w:r>
      <w:r w:rsidR="00711388" w:rsidRPr="003075FB">
        <w:rPr>
          <w:szCs w:val="26"/>
        </w:rPr>
        <w:t>.</w:t>
      </w:r>
      <w:r w:rsidR="001F2F76" w:rsidRPr="003075FB">
        <w:rPr>
          <w:szCs w:val="26"/>
        </w:rPr>
        <w:t> </w:t>
      </w:r>
      <w:r w:rsidR="00711388" w:rsidRPr="003075FB">
        <w:rPr>
          <w:szCs w:val="26"/>
        </w:rPr>
        <w:t>.</w:t>
      </w:r>
      <w:r w:rsidR="00F3305E" w:rsidRPr="003075FB">
        <w:rPr>
          <w:szCs w:val="26"/>
        </w:rPr>
        <w:t>”</w:t>
      </w:r>
      <w:r w:rsidR="00711388" w:rsidRPr="003075FB">
        <w:rPr>
          <w:szCs w:val="26"/>
        </w:rPr>
        <w:t>].</w:t>
      </w:r>
      <w:r w:rsidR="00D574C1" w:rsidRPr="003075FB">
        <w:rPr>
          <w:szCs w:val="26"/>
        </w:rPr>
        <w:t xml:space="preserve">)  </w:t>
      </w:r>
      <w:r w:rsidR="00BB187C" w:rsidRPr="003075FB">
        <w:rPr>
          <w:szCs w:val="26"/>
        </w:rPr>
        <w:t xml:space="preserve">Questions promptly arose as to who, if anyone, would represent Lopez </w:t>
      </w:r>
      <w:r w:rsidR="00D574C1" w:rsidRPr="003075FB">
        <w:rPr>
          <w:szCs w:val="26"/>
        </w:rPr>
        <w:t>i</w:t>
      </w:r>
      <w:r w:rsidR="00557E22" w:rsidRPr="003075FB">
        <w:rPr>
          <w:szCs w:val="26"/>
        </w:rPr>
        <w:t xml:space="preserve">n responding to the </w:t>
      </w:r>
      <w:r w:rsidR="00BB187C" w:rsidRPr="003075FB">
        <w:rPr>
          <w:szCs w:val="26"/>
        </w:rPr>
        <w:t xml:space="preserve">appeal.  Petitioner took the view that the </w:t>
      </w:r>
      <w:r w:rsidR="00306074">
        <w:rPr>
          <w:szCs w:val="26"/>
        </w:rPr>
        <w:t>p</w:t>
      </w:r>
      <w:r w:rsidR="00BB187C" w:rsidRPr="003075FB">
        <w:rPr>
          <w:szCs w:val="26"/>
        </w:rPr>
        <w:t xml:space="preserve">ublic </w:t>
      </w:r>
      <w:r w:rsidR="00306074">
        <w:rPr>
          <w:szCs w:val="26"/>
        </w:rPr>
        <w:t>d</w:t>
      </w:r>
      <w:r w:rsidR="00BB187C" w:rsidRPr="003075FB">
        <w:rPr>
          <w:szCs w:val="26"/>
        </w:rPr>
        <w:t>efender’s office was no longer obligated to represent Lopez,</w:t>
      </w:r>
      <w:r w:rsidR="007F21F6" w:rsidRPr="003075FB">
        <w:rPr>
          <w:rStyle w:val="FootnoteReference"/>
          <w:szCs w:val="26"/>
        </w:rPr>
        <w:footnoteReference w:id="4"/>
      </w:r>
      <w:r w:rsidR="00BB187C" w:rsidRPr="003075FB">
        <w:rPr>
          <w:szCs w:val="26"/>
        </w:rPr>
        <w:t xml:space="preserve"> and asked </w:t>
      </w:r>
      <w:r w:rsidR="00711388" w:rsidRPr="003075FB">
        <w:rPr>
          <w:szCs w:val="26"/>
        </w:rPr>
        <w:t>th</w:t>
      </w:r>
      <w:r w:rsidR="00BB187C" w:rsidRPr="003075FB">
        <w:rPr>
          <w:szCs w:val="26"/>
        </w:rPr>
        <w:t xml:space="preserve">e </w:t>
      </w:r>
      <w:r w:rsidR="00306074">
        <w:rPr>
          <w:szCs w:val="26"/>
        </w:rPr>
        <w:t>a</w:t>
      </w:r>
      <w:r w:rsidR="00BB187C" w:rsidRPr="003075FB">
        <w:rPr>
          <w:szCs w:val="26"/>
        </w:rPr>
        <w:t xml:space="preserve">ppellate </w:t>
      </w:r>
      <w:r w:rsidR="00306074">
        <w:rPr>
          <w:szCs w:val="26"/>
        </w:rPr>
        <w:t>d</w:t>
      </w:r>
      <w:r w:rsidR="00BB187C" w:rsidRPr="003075FB">
        <w:rPr>
          <w:szCs w:val="26"/>
        </w:rPr>
        <w:t>ivision to appoint new counsel to represent her</w:t>
      </w:r>
      <w:r w:rsidR="00711388" w:rsidRPr="003075FB">
        <w:rPr>
          <w:szCs w:val="26"/>
        </w:rPr>
        <w:t>.</w:t>
      </w:r>
      <w:r w:rsidR="00117331" w:rsidRPr="003075FB">
        <w:rPr>
          <w:rStyle w:val="FootnoteReference"/>
        </w:rPr>
        <w:footnoteReference w:id="5"/>
      </w:r>
      <w:r w:rsidR="00117331" w:rsidRPr="003075FB">
        <w:rPr>
          <w:szCs w:val="26"/>
        </w:rPr>
        <w:t xml:space="preserve">  </w:t>
      </w:r>
      <w:r w:rsidR="00BB187C" w:rsidRPr="003075FB">
        <w:rPr>
          <w:szCs w:val="26"/>
        </w:rPr>
        <w:t xml:space="preserve">The </w:t>
      </w:r>
      <w:r w:rsidR="00306074">
        <w:rPr>
          <w:szCs w:val="26"/>
        </w:rPr>
        <w:t>a</w:t>
      </w:r>
      <w:r w:rsidR="00BB187C" w:rsidRPr="003075FB">
        <w:rPr>
          <w:szCs w:val="26"/>
        </w:rPr>
        <w:t xml:space="preserve">ppellate </w:t>
      </w:r>
      <w:r w:rsidR="00306074">
        <w:rPr>
          <w:szCs w:val="26"/>
        </w:rPr>
        <w:t>d</w:t>
      </w:r>
      <w:r w:rsidR="00BB187C" w:rsidRPr="003075FB">
        <w:rPr>
          <w:szCs w:val="26"/>
        </w:rPr>
        <w:t>ivision refused.  C</w:t>
      </w:r>
      <w:r w:rsidRPr="003075FB">
        <w:rPr>
          <w:szCs w:val="26"/>
        </w:rPr>
        <w:t xml:space="preserve">ourt clerks informed </w:t>
      </w:r>
      <w:r w:rsidR="00D3442D" w:rsidRPr="003075FB">
        <w:rPr>
          <w:szCs w:val="26"/>
        </w:rPr>
        <w:t xml:space="preserve">petitioner </w:t>
      </w:r>
      <w:r w:rsidRPr="003075FB">
        <w:rPr>
          <w:szCs w:val="26"/>
        </w:rPr>
        <w:t>that</w:t>
      </w:r>
      <w:r w:rsidR="00A10DA9" w:rsidRPr="003075FB">
        <w:rPr>
          <w:szCs w:val="26"/>
        </w:rPr>
        <w:t xml:space="preserve">, as the respondent in a misdemeanor appeal, </w:t>
      </w:r>
      <w:r w:rsidRPr="003075FB">
        <w:rPr>
          <w:szCs w:val="26"/>
        </w:rPr>
        <w:t xml:space="preserve">Lopez was not eligible for appointment of </w:t>
      </w:r>
      <w:r w:rsidR="009D06B6" w:rsidRPr="003075FB">
        <w:rPr>
          <w:szCs w:val="26"/>
        </w:rPr>
        <w:t xml:space="preserve">appellate </w:t>
      </w:r>
      <w:r w:rsidRPr="003075FB">
        <w:rPr>
          <w:szCs w:val="26"/>
        </w:rPr>
        <w:t>counsel</w:t>
      </w:r>
      <w:r w:rsidR="001E5141" w:rsidRPr="003075FB">
        <w:rPr>
          <w:szCs w:val="26"/>
        </w:rPr>
        <w:t xml:space="preserve">.  </w:t>
      </w:r>
      <w:r w:rsidR="001267BD" w:rsidRPr="003075FB">
        <w:rPr>
          <w:szCs w:val="26"/>
        </w:rPr>
        <w:t>In an e</w:t>
      </w:r>
      <w:r w:rsidR="00306074">
        <w:rPr>
          <w:szCs w:val="26"/>
        </w:rPr>
        <w:t>-</w:t>
      </w:r>
      <w:r w:rsidR="001267BD" w:rsidRPr="003075FB">
        <w:rPr>
          <w:szCs w:val="26"/>
        </w:rPr>
        <w:t xml:space="preserve">mail to a member of the office, a clerk also wrote that, in the court’s view, </w:t>
      </w:r>
      <w:r w:rsidR="00CB5F54" w:rsidRPr="003075FB">
        <w:rPr>
          <w:szCs w:val="26"/>
        </w:rPr>
        <w:t xml:space="preserve">the </w:t>
      </w:r>
      <w:r w:rsidR="00306074">
        <w:rPr>
          <w:szCs w:val="26"/>
        </w:rPr>
        <w:t>p</w:t>
      </w:r>
      <w:r w:rsidR="00CB5F54" w:rsidRPr="003075FB">
        <w:rPr>
          <w:szCs w:val="26"/>
        </w:rPr>
        <w:t xml:space="preserve">ublic </w:t>
      </w:r>
      <w:r w:rsidR="00306074">
        <w:rPr>
          <w:szCs w:val="26"/>
        </w:rPr>
        <w:t>d</w:t>
      </w:r>
      <w:r w:rsidR="00CB5F54" w:rsidRPr="003075FB">
        <w:rPr>
          <w:szCs w:val="26"/>
        </w:rPr>
        <w:t>efender “</w:t>
      </w:r>
      <w:r w:rsidR="00FC28E1">
        <w:rPr>
          <w:szCs w:val="26"/>
        </w:rPr>
        <w:t> ‘</w:t>
      </w:r>
      <w:r w:rsidR="00CB5F54" w:rsidRPr="003075FB">
        <w:rPr>
          <w:szCs w:val="26"/>
        </w:rPr>
        <w:t>is still counsel</w:t>
      </w:r>
      <w:r w:rsidR="00FC28E1">
        <w:rPr>
          <w:szCs w:val="26"/>
        </w:rPr>
        <w:t>’ </w:t>
      </w:r>
      <w:r w:rsidR="00CB5F54" w:rsidRPr="003075FB">
        <w:rPr>
          <w:szCs w:val="26"/>
        </w:rPr>
        <w:t>”</w:t>
      </w:r>
      <w:r w:rsidR="006E4F83" w:rsidRPr="003075FB">
        <w:rPr>
          <w:szCs w:val="26"/>
        </w:rPr>
        <w:t xml:space="preserve"> for Lopez.</w:t>
      </w:r>
      <w:r w:rsidR="00CB5F54" w:rsidRPr="003075FB">
        <w:rPr>
          <w:szCs w:val="26"/>
        </w:rPr>
        <w:t xml:space="preserve">  </w:t>
      </w:r>
      <w:r w:rsidRPr="003075FB">
        <w:rPr>
          <w:szCs w:val="26"/>
        </w:rPr>
        <w:t>(</w:t>
      </w:r>
      <w:r w:rsidRPr="003075FB">
        <w:rPr>
          <w:i/>
          <w:szCs w:val="26"/>
        </w:rPr>
        <w:t>Morris v. Appellate Division of Superior Court</w:t>
      </w:r>
      <w:r w:rsidRPr="003075FB">
        <w:rPr>
          <w:szCs w:val="26"/>
        </w:rPr>
        <w:t xml:space="preserve"> (2017) 17 Cal.App.5th 636, 6</w:t>
      </w:r>
      <w:r w:rsidR="00436554" w:rsidRPr="003075FB">
        <w:rPr>
          <w:szCs w:val="26"/>
        </w:rPr>
        <w:t>54</w:t>
      </w:r>
      <w:r w:rsidRPr="003075FB">
        <w:rPr>
          <w:szCs w:val="26"/>
        </w:rPr>
        <w:t xml:space="preserve"> (</w:t>
      </w:r>
      <w:r w:rsidRPr="003075FB">
        <w:rPr>
          <w:i/>
          <w:szCs w:val="26"/>
        </w:rPr>
        <w:t>Morris</w:t>
      </w:r>
      <w:r w:rsidRPr="003075FB">
        <w:rPr>
          <w:szCs w:val="26"/>
        </w:rPr>
        <w:t>).)</w:t>
      </w:r>
      <w:r w:rsidR="00A10DA9" w:rsidRPr="003075FB">
        <w:rPr>
          <w:szCs w:val="26"/>
        </w:rPr>
        <w:t xml:space="preserve"> </w:t>
      </w:r>
    </w:p>
    <w:p w14:paraId="377058F9" w14:textId="6CDA8C1D" w:rsidR="00706C02" w:rsidRPr="003075FB" w:rsidRDefault="00BB187C" w:rsidP="003075FB">
      <w:pPr>
        <w:ind w:firstLine="720"/>
      </w:pPr>
      <w:r w:rsidRPr="003075FB">
        <w:rPr>
          <w:szCs w:val="26"/>
        </w:rPr>
        <w:t xml:space="preserve">Petitioner </w:t>
      </w:r>
      <w:r w:rsidR="00D3442D" w:rsidRPr="003075FB">
        <w:rPr>
          <w:szCs w:val="26"/>
        </w:rPr>
        <w:t xml:space="preserve">filed a petition for </w:t>
      </w:r>
      <w:r w:rsidR="002131DA" w:rsidRPr="003075FB">
        <w:rPr>
          <w:szCs w:val="26"/>
        </w:rPr>
        <w:t xml:space="preserve">writ of mandate </w:t>
      </w:r>
      <w:r w:rsidR="00CA0BA6" w:rsidRPr="003075FB">
        <w:rPr>
          <w:szCs w:val="26"/>
        </w:rPr>
        <w:t xml:space="preserve">in </w:t>
      </w:r>
      <w:r w:rsidR="00A10DA9" w:rsidRPr="003075FB">
        <w:rPr>
          <w:szCs w:val="26"/>
        </w:rPr>
        <w:t xml:space="preserve">the </w:t>
      </w:r>
      <w:r w:rsidR="00306074">
        <w:rPr>
          <w:szCs w:val="26"/>
        </w:rPr>
        <w:t>a</w:t>
      </w:r>
      <w:r w:rsidR="00A10DA9" w:rsidRPr="003075FB">
        <w:rPr>
          <w:szCs w:val="26"/>
        </w:rPr>
        <w:t xml:space="preserve">ppellate </w:t>
      </w:r>
      <w:r w:rsidR="00306074">
        <w:rPr>
          <w:szCs w:val="26"/>
        </w:rPr>
        <w:t>d</w:t>
      </w:r>
      <w:r w:rsidR="00A10DA9" w:rsidRPr="003075FB">
        <w:rPr>
          <w:szCs w:val="26"/>
        </w:rPr>
        <w:t>ivision</w:t>
      </w:r>
      <w:r w:rsidR="009051CC" w:rsidRPr="003075FB">
        <w:rPr>
          <w:szCs w:val="26"/>
        </w:rPr>
        <w:t>.  The petition asked the court to</w:t>
      </w:r>
      <w:r w:rsidR="002131DA" w:rsidRPr="003075FB">
        <w:rPr>
          <w:szCs w:val="26"/>
        </w:rPr>
        <w:t xml:space="preserve"> direct the </w:t>
      </w:r>
      <w:r w:rsidR="00FC28E1">
        <w:rPr>
          <w:szCs w:val="26"/>
        </w:rPr>
        <w:t>s</w:t>
      </w:r>
      <w:r w:rsidR="002131DA" w:rsidRPr="003075FB">
        <w:rPr>
          <w:szCs w:val="26"/>
        </w:rPr>
        <w:t xml:space="preserve">uperior </w:t>
      </w:r>
      <w:r w:rsidR="00FC28E1">
        <w:rPr>
          <w:szCs w:val="26"/>
        </w:rPr>
        <w:t>c</w:t>
      </w:r>
      <w:r w:rsidR="002131DA" w:rsidRPr="003075FB">
        <w:rPr>
          <w:szCs w:val="26"/>
        </w:rPr>
        <w:t xml:space="preserve">ourt “to appoint counsel for all indigent appellees in all misdemeanor </w:t>
      </w:r>
      <w:r w:rsidR="00F116C3" w:rsidRPr="003075FB">
        <w:rPr>
          <w:szCs w:val="26"/>
        </w:rPr>
        <w:t>criminal appeals</w:t>
      </w:r>
      <w:r w:rsidRPr="003075FB">
        <w:rPr>
          <w:szCs w:val="26"/>
        </w:rPr>
        <w:t>,</w:t>
      </w:r>
      <w:r w:rsidR="002131DA" w:rsidRPr="003075FB">
        <w:rPr>
          <w:szCs w:val="26"/>
        </w:rPr>
        <w:t>”</w:t>
      </w:r>
      <w:r w:rsidR="00F116C3" w:rsidRPr="003075FB">
        <w:rPr>
          <w:szCs w:val="26"/>
        </w:rPr>
        <w:t xml:space="preserve"> </w:t>
      </w:r>
      <w:r w:rsidRPr="003075FB">
        <w:rPr>
          <w:szCs w:val="26"/>
        </w:rPr>
        <w:t xml:space="preserve">as well as </w:t>
      </w:r>
      <w:r w:rsidR="004F2448" w:rsidRPr="003075FB">
        <w:rPr>
          <w:szCs w:val="26"/>
        </w:rPr>
        <w:t xml:space="preserve">to issue </w:t>
      </w:r>
      <w:r w:rsidR="00F116C3" w:rsidRPr="003075FB">
        <w:rPr>
          <w:szCs w:val="26"/>
        </w:rPr>
        <w:t xml:space="preserve">a judgment declaring that the </w:t>
      </w:r>
      <w:r w:rsidR="00FC28E1">
        <w:rPr>
          <w:szCs w:val="26"/>
        </w:rPr>
        <w:t>s</w:t>
      </w:r>
      <w:r w:rsidR="00F116C3" w:rsidRPr="003075FB">
        <w:rPr>
          <w:szCs w:val="26"/>
        </w:rPr>
        <w:t xml:space="preserve">uperior </w:t>
      </w:r>
      <w:r w:rsidR="00FC28E1">
        <w:rPr>
          <w:szCs w:val="26"/>
        </w:rPr>
        <w:t>c</w:t>
      </w:r>
      <w:r w:rsidR="00F116C3" w:rsidRPr="003075FB">
        <w:rPr>
          <w:szCs w:val="26"/>
        </w:rPr>
        <w:t xml:space="preserve">ourt “may not appoint the Public Defender to represent indigent appellees in misdemeanor criminal appeals, or declare the Public Defender to remain appointed in cases where the Public Defender previously represented an indigent appellee in the Superior Court.” </w:t>
      </w:r>
      <w:r w:rsidR="00891DFF" w:rsidRPr="003075FB">
        <w:rPr>
          <w:szCs w:val="26"/>
        </w:rPr>
        <w:t xml:space="preserve"> </w:t>
      </w:r>
      <w:r w:rsidR="002D6BC4" w:rsidRPr="003075FB">
        <w:rPr>
          <w:szCs w:val="26"/>
        </w:rPr>
        <w:t xml:space="preserve">The </w:t>
      </w:r>
      <w:r w:rsidR="00A37845">
        <w:rPr>
          <w:szCs w:val="26"/>
        </w:rPr>
        <w:t>a</w:t>
      </w:r>
      <w:r w:rsidR="00F116C3" w:rsidRPr="003075FB">
        <w:rPr>
          <w:szCs w:val="26"/>
        </w:rPr>
        <w:t xml:space="preserve">ppellate </w:t>
      </w:r>
      <w:r w:rsidR="00A37845">
        <w:rPr>
          <w:szCs w:val="26"/>
        </w:rPr>
        <w:t>d</w:t>
      </w:r>
      <w:r w:rsidR="00F116C3" w:rsidRPr="003075FB">
        <w:rPr>
          <w:szCs w:val="26"/>
        </w:rPr>
        <w:t>ivision summarily denied the petition.</w:t>
      </w:r>
      <w:r w:rsidR="00A10DA9" w:rsidRPr="003075FB">
        <w:rPr>
          <w:szCs w:val="26"/>
        </w:rPr>
        <w:t xml:space="preserve">  </w:t>
      </w:r>
      <w:r w:rsidR="00A10DA9" w:rsidRPr="003075FB">
        <w:t xml:space="preserve">Petitioner then </w:t>
      </w:r>
      <w:r w:rsidR="000449CC" w:rsidRPr="003075FB">
        <w:t xml:space="preserve">sought a </w:t>
      </w:r>
      <w:r w:rsidR="00A10DA9" w:rsidRPr="003075FB">
        <w:t>writ of mandate in the Court of Appeal</w:t>
      </w:r>
      <w:r w:rsidR="00F116C3" w:rsidRPr="003075FB">
        <w:t>, which also issued a summary denial.</w:t>
      </w:r>
      <w:r w:rsidR="00A10DA9" w:rsidRPr="003075FB">
        <w:t xml:space="preserve">  This court granted review and transferred the matter to the Court of Appeal with directions to issue an order to show cause.  </w:t>
      </w:r>
    </w:p>
    <w:p w14:paraId="6C122118" w14:textId="68922DCB" w:rsidR="001267BD" w:rsidRPr="003075FB" w:rsidRDefault="00A10DA9" w:rsidP="003075FB">
      <w:pPr>
        <w:ind w:firstLine="720"/>
        <w:rPr>
          <w:szCs w:val="26"/>
        </w:rPr>
      </w:pPr>
      <w:r w:rsidRPr="003075FB">
        <w:t xml:space="preserve">In a published opinion, </w:t>
      </w:r>
      <w:r w:rsidR="00234758" w:rsidRPr="003075FB">
        <w:t xml:space="preserve">the Court of Appeal </w:t>
      </w:r>
      <w:r w:rsidR="00D31C45" w:rsidRPr="003075FB">
        <w:t>again denied the petition</w:t>
      </w:r>
      <w:r w:rsidR="00FD0CC7" w:rsidRPr="003075FB">
        <w:t>.</w:t>
      </w:r>
      <w:r w:rsidR="001E5141" w:rsidRPr="003075FB">
        <w:t xml:space="preserve">  </w:t>
      </w:r>
      <w:r w:rsidR="00FD0CC7" w:rsidRPr="003075FB">
        <w:t xml:space="preserve">Without addressing whether the </w:t>
      </w:r>
      <w:r w:rsidR="00306074">
        <w:t>p</w:t>
      </w:r>
      <w:r w:rsidR="00FD0CC7" w:rsidRPr="003075FB">
        <w:t xml:space="preserve">ublic </w:t>
      </w:r>
      <w:r w:rsidR="00306074">
        <w:t>d</w:t>
      </w:r>
      <w:r w:rsidR="00FD0CC7" w:rsidRPr="003075FB">
        <w:t xml:space="preserve">efender remains appointed to represent Lopez, the Court of Appeal </w:t>
      </w:r>
      <w:r w:rsidR="009E48D0" w:rsidRPr="003075FB">
        <w:t xml:space="preserve">held </w:t>
      </w:r>
      <w:r w:rsidR="006E4F83" w:rsidRPr="003075FB">
        <w:t xml:space="preserve">that Lopez </w:t>
      </w:r>
      <w:r w:rsidR="005955B3" w:rsidRPr="003075FB">
        <w:t xml:space="preserve">neither has the right </w:t>
      </w:r>
      <w:r w:rsidR="00B54387" w:rsidRPr="003075FB">
        <w:t xml:space="preserve">to appointment of counsel </w:t>
      </w:r>
      <w:r w:rsidR="00947F94" w:rsidRPr="003075FB">
        <w:t xml:space="preserve">under court rules </w:t>
      </w:r>
      <w:r w:rsidR="005955B3" w:rsidRPr="003075FB">
        <w:t xml:space="preserve">nor </w:t>
      </w:r>
      <w:r w:rsidR="00AC20EF" w:rsidRPr="003075FB">
        <w:t xml:space="preserve">a </w:t>
      </w:r>
      <w:r w:rsidR="005955B3" w:rsidRPr="003075FB">
        <w:t xml:space="preserve">constitutional entitlement to be represented by counsel </w:t>
      </w:r>
      <w:r w:rsidR="009E48D0" w:rsidRPr="003075FB">
        <w:t>on appeal.</w:t>
      </w:r>
      <w:r w:rsidR="009E48D0" w:rsidRPr="003075FB">
        <w:rPr>
          <w:szCs w:val="26"/>
        </w:rPr>
        <w:t xml:space="preserve">  (</w:t>
      </w:r>
      <w:r w:rsidR="0008605E" w:rsidRPr="003075FB">
        <w:rPr>
          <w:i/>
          <w:szCs w:val="26"/>
        </w:rPr>
        <w:t>Morris</w:t>
      </w:r>
      <w:r w:rsidR="0008605E" w:rsidRPr="003075FB">
        <w:rPr>
          <w:szCs w:val="26"/>
        </w:rPr>
        <w:t xml:space="preserve">, </w:t>
      </w:r>
      <w:r w:rsidR="0008605E" w:rsidRPr="003075FB">
        <w:rPr>
          <w:i/>
          <w:szCs w:val="26"/>
        </w:rPr>
        <w:t>supra</w:t>
      </w:r>
      <w:r w:rsidR="0008605E" w:rsidRPr="003075FB">
        <w:rPr>
          <w:szCs w:val="26"/>
        </w:rPr>
        <w:t xml:space="preserve">, 17 Cal.App.5th at </w:t>
      </w:r>
      <w:r w:rsidR="001F56F2" w:rsidRPr="003075FB">
        <w:rPr>
          <w:szCs w:val="26"/>
        </w:rPr>
        <w:t>p</w:t>
      </w:r>
      <w:r w:rsidR="0008605E" w:rsidRPr="003075FB">
        <w:rPr>
          <w:szCs w:val="26"/>
        </w:rPr>
        <w:t>p. 64</w:t>
      </w:r>
      <w:r w:rsidR="001F56F2" w:rsidRPr="003075FB">
        <w:rPr>
          <w:szCs w:val="26"/>
        </w:rPr>
        <w:t>4, 653</w:t>
      </w:r>
      <w:r w:rsidR="0008605E" w:rsidRPr="003075FB">
        <w:rPr>
          <w:szCs w:val="26"/>
        </w:rPr>
        <w:t>.)</w:t>
      </w:r>
    </w:p>
    <w:p w14:paraId="0E8C915B" w14:textId="36789E84" w:rsidR="00234758" w:rsidRPr="003075FB" w:rsidRDefault="009049D8" w:rsidP="003075FB">
      <w:pPr>
        <w:ind w:firstLine="720"/>
        <w:rPr>
          <w:szCs w:val="26"/>
        </w:rPr>
      </w:pPr>
      <w:r>
        <w:rPr>
          <w:szCs w:val="26"/>
        </w:rPr>
        <w:t>T</w:t>
      </w:r>
      <w:r w:rsidR="001267BD" w:rsidRPr="003075FB">
        <w:rPr>
          <w:szCs w:val="26"/>
        </w:rPr>
        <w:t xml:space="preserve">he </w:t>
      </w:r>
      <w:r w:rsidR="00AC20EF" w:rsidRPr="003075FB">
        <w:rPr>
          <w:szCs w:val="26"/>
        </w:rPr>
        <w:t xml:space="preserve">Court of Appeal explained that the </w:t>
      </w:r>
      <w:r w:rsidR="00306074">
        <w:rPr>
          <w:szCs w:val="26"/>
        </w:rPr>
        <w:t>a</w:t>
      </w:r>
      <w:r w:rsidR="00AC20EF" w:rsidRPr="003075FB">
        <w:rPr>
          <w:szCs w:val="26"/>
        </w:rPr>
        <w:t xml:space="preserve">ppellate </w:t>
      </w:r>
      <w:r w:rsidR="00306074">
        <w:rPr>
          <w:szCs w:val="26"/>
        </w:rPr>
        <w:t>d</w:t>
      </w:r>
      <w:r w:rsidR="00AC20EF" w:rsidRPr="003075FB">
        <w:rPr>
          <w:szCs w:val="26"/>
        </w:rPr>
        <w:t>ivision had been correct</w:t>
      </w:r>
      <w:r>
        <w:rPr>
          <w:szCs w:val="26"/>
        </w:rPr>
        <w:t xml:space="preserve"> as to court rules</w:t>
      </w:r>
      <w:r w:rsidR="00AC20EF" w:rsidRPr="003075FB">
        <w:rPr>
          <w:szCs w:val="26"/>
        </w:rPr>
        <w:t>:</w:t>
      </w:r>
      <w:r w:rsidR="0008605E" w:rsidRPr="003075FB">
        <w:rPr>
          <w:szCs w:val="26"/>
        </w:rPr>
        <w:t xml:space="preserve">  </w:t>
      </w:r>
      <w:r w:rsidR="00633850" w:rsidRPr="003075FB">
        <w:rPr>
          <w:szCs w:val="26"/>
        </w:rPr>
        <w:t xml:space="preserve">While the </w:t>
      </w:r>
      <w:r w:rsidR="00306074">
        <w:rPr>
          <w:szCs w:val="26"/>
        </w:rPr>
        <w:t xml:space="preserve">California </w:t>
      </w:r>
      <w:r w:rsidR="00633850" w:rsidRPr="003075FB">
        <w:rPr>
          <w:szCs w:val="26"/>
        </w:rPr>
        <w:t xml:space="preserve">Rules of Court </w:t>
      </w:r>
      <w:r w:rsidR="008F7EC4" w:rsidRPr="003075FB">
        <w:rPr>
          <w:szCs w:val="26"/>
        </w:rPr>
        <w:t xml:space="preserve">provide for the appointment of appellate counsel </w:t>
      </w:r>
      <w:r w:rsidR="00234758" w:rsidRPr="003075FB">
        <w:rPr>
          <w:szCs w:val="26"/>
        </w:rPr>
        <w:t>for an indigent criminal defendant “convicted of a misdemeanor” (</w:t>
      </w:r>
      <w:r w:rsidR="008F7EC4" w:rsidRPr="003075FB">
        <w:rPr>
          <w:szCs w:val="26"/>
        </w:rPr>
        <w:t xml:space="preserve">Cal. </w:t>
      </w:r>
      <w:r w:rsidR="00772D9B" w:rsidRPr="003075FB">
        <w:rPr>
          <w:szCs w:val="26"/>
        </w:rPr>
        <w:t>R</w:t>
      </w:r>
      <w:r w:rsidR="008F7EC4" w:rsidRPr="003075FB">
        <w:rPr>
          <w:szCs w:val="26"/>
        </w:rPr>
        <w:t xml:space="preserve">ules of </w:t>
      </w:r>
      <w:r w:rsidR="00772D9B" w:rsidRPr="003075FB">
        <w:rPr>
          <w:szCs w:val="26"/>
        </w:rPr>
        <w:t>C</w:t>
      </w:r>
      <w:r w:rsidR="008F7EC4" w:rsidRPr="003075FB">
        <w:rPr>
          <w:szCs w:val="26"/>
        </w:rPr>
        <w:t>ourt, rule 8.851</w:t>
      </w:r>
      <w:r w:rsidR="00234758" w:rsidRPr="003075FB">
        <w:rPr>
          <w:szCs w:val="26"/>
        </w:rPr>
        <w:t>(a)(1)</w:t>
      </w:r>
      <w:r w:rsidR="00772D9B" w:rsidRPr="003075FB">
        <w:rPr>
          <w:szCs w:val="26"/>
        </w:rPr>
        <w:t xml:space="preserve">, </w:t>
      </w:r>
      <w:r w:rsidR="00234758" w:rsidRPr="003075FB">
        <w:rPr>
          <w:szCs w:val="26"/>
        </w:rPr>
        <w:t xml:space="preserve">(2)), </w:t>
      </w:r>
      <w:r w:rsidR="00633850" w:rsidRPr="003075FB">
        <w:rPr>
          <w:szCs w:val="26"/>
        </w:rPr>
        <w:t xml:space="preserve">the rules </w:t>
      </w:r>
      <w:r w:rsidR="00234758" w:rsidRPr="003075FB">
        <w:rPr>
          <w:szCs w:val="26"/>
        </w:rPr>
        <w:t xml:space="preserve">make no provision for the appointment of appellate counsel to represent a </w:t>
      </w:r>
      <w:r w:rsidR="002D6BC4" w:rsidRPr="003075FB">
        <w:rPr>
          <w:szCs w:val="26"/>
        </w:rPr>
        <w:t xml:space="preserve">misdemeanor </w:t>
      </w:r>
      <w:r w:rsidR="00234758" w:rsidRPr="003075FB">
        <w:rPr>
          <w:szCs w:val="26"/>
        </w:rPr>
        <w:t>defendant who</w:t>
      </w:r>
      <w:r w:rsidR="00633850" w:rsidRPr="003075FB">
        <w:rPr>
          <w:szCs w:val="26"/>
        </w:rPr>
        <w:t xml:space="preserve">, like Lopez, </w:t>
      </w:r>
      <w:r w:rsidR="00234758" w:rsidRPr="003075FB">
        <w:rPr>
          <w:szCs w:val="26"/>
        </w:rPr>
        <w:t xml:space="preserve">has not </w:t>
      </w:r>
      <w:r w:rsidR="002D6BC4" w:rsidRPr="003075FB">
        <w:rPr>
          <w:szCs w:val="26"/>
        </w:rPr>
        <w:t xml:space="preserve">yet </w:t>
      </w:r>
      <w:r w:rsidR="00234758" w:rsidRPr="003075FB">
        <w:rPr>
          <w:szCs w:val="26"/>
        </w:rPr>
        <w:t xml:space="preserve">been convicted.  </w:t>
      </w:r>
      <w:r w:rsidR="00117331" w:rsidRPr="003075FB">
        <w:rPr>
          <w:szCs w:val="26"/>
        </w:rPr>
        <w:t>(</w:t>
      </w:r>
      <w:r w:rsidR="00117331" w:rsidRPr="003075FB">
        <w:rPr>
          <w:i/>
          <w:szCs w:val="26"/>
        </w:rPr>
        <w:t>Morris</w:t>
      </w:r>
      <w:r w:rsidR="00117331" w:rsidRPr="003075FB">
        <w:rPr>
          <w:szCs w:val="26"/>
        </w:rPr>
        <w:t xml:space="preserve">, </w:t>
      </w:r>
      <w:r w:rsidR="00117331" w:rsidRPr="003075FB">
        <w:rPr>
          <w:i/>
          <w:szCs w:val="26"/>
        </w:rPr>
        <w:t>supra</w:t>
      </w:r>
      <w:r w:rsidR="00117331" w:rsidRPr="003075FB">
        <w:rPr>
          <w:szCs w:val="26"/>
        </w:rPr>
        <w:t xml:space="preserve">, </w:t>
      </w:r>
      <w:r w:rsidR="00FC28E1">
        <w:rPr>
          <w:szCs w:val="26"/>
        </w:rPr>
        <w:t xml:space="preserve">17 Cal.App.5th </w:t>
      </w:r>
      <w:r w:rsidR="00117331" w:rsidRPr="003075FB">
        <w:rPr>
          <w:szCs w:val="26"/>
        </w:rPr>
        <w:t xml:space="preserve">at p. 644.)  </w:t>
      </w:r>
      <w:r w:rsidR="00234758" w:rsidRPr="003075FB">
        <w:rPr>
          <w:szCs w:val="26"/>
        </w:rPr>
        <w:t xml:space="preserve">The court </w:t>
      </w:r>
      <w:r w:rsidR="003F3FE2" w:rsidRPr="003075FB">
        <w:rPr>
          <w:szCs w:val="26"/>
        </w:rPr>
        <w:t>went on to consider</w:t>
      </w:r>
      <w:r w:rsidR="00633850" w:rsidRPr="003075FB">
        <w:rPr>
          <w:szCs w:val="26"/>
        </w:rPr>
        <w:t xml:space="preserve"> </w:t>
      </w:r>
      <w:r w:rsidR="00AC20EF" w:rsidRPr="003075FB">
        <w:rPr>
          <w:szCs w:val="26"/>
        </w:rPr>
        <w:t xml:space="preserve">whether, notwithstanding the </w:t>
      </w:r>
      <w:r w:rsidR="000B5F1E" w:rsidRPr="003075FB">
        <w:rPr>
          <w:szCs w:val="26"/>
        </w:rPr>
        <w:t xml:space="preserve">limited scope of the </w:t>
      </w:r>
      <w:r w:rsidR="00AC20EF" w:rsidRPr="003075FB">
        <w:rPr>
          <w:szCs w:val="26"/>
        </w:rPr>
        <w:t xml:space="preserve">court rules, the Sixth and Fourteenth Amendments to the United States Constitution require that Lopez be represented by counsel if she so chooses.  The court answered that question in the negative.  </w:t>
      </w:r>
      <w:r w:rsidR="00E87F00" w:rsidRPr="003075FB">
        <w:rPr>
          <w:szCs w:val="26"/>
        </w:rPr>
        <w:t xml:space="preserve">As an initial matter, the court </w:t>
      </w:r>
      <w:r w:rsidR="000C2557" w:rsidRPr="003075FB">
        <w:rPr>
          <w:szCs w:val="26"/>
        </w:rPr>
        <w:t xml:space="preserve">concluded that the </w:t>
      </w:r>
      <w:r w:rsidR="003C3618" w:rsidRPr="003075FB">
        <w:rPr>
          <w:szCs w:val="26"/>
        </w:rPr>
        <w:t xml:space="preserve">Sixth Amendment </w:t>
      </w:r>
      <w:r w:rsidR="008A3DC3" w:rsidRPr="003075FB">
        <w:rPr>
          <w:szCs w:val="26"/>
        </w:rPr>
        <w:t xml:space="preserve">right to </w:t>
      </w:r>
      <w:r w:rsidR="003C3618" w:rsidRPr="003075FB">
        <w:rPr>
          <w:szCs w:val="26"/>
        </w:rPr>
        <w:t xml:space="preserve">appointed </w:t>
      </w:r>
      <w:r w:rsidR="008A3DC3" w:rsidRPr="003075FB">
        <w:rPr>
          <w:szCs w:val="26"/>
        </w:rPr>
        <w:t xml:space="preserve">counsel </w:t>
      </w:r>
      <w:r w:rsidR="00706C02" w:rsidRPr="003075FB">
        <w:rPr>
          <w:szCs w:val="26"/>
        </w:rPr>
        <w:t>does n</w:t>
      </w:r>
      <w:r w:rsidR="00905D07" w:rsidRPr="003075FB">
        <w:rPr>
          <w:szCs w:val="26"/>
        </w:rPr>
        <w:t>ot</w:t>
      </w:r>
      <w:r w:rsidR="00706C02" w:rsidRPr="003075FB">
        <w:rPr>
          <w:szCs w:val="26"/>
        </w:rPr>
        <w:t xml:space="preserve"> apply </w:t>
      </w:r>
      <w:r w:rsidR="00BD42CD" w:rsidRPr="003075FB">
        <w:rPr>
          <w:szCs w:val="26"/>
        </w:rPr>
        <w:t xml:space="preserve">in </w:t>
      </w:r>
      <w:r w:rsidR="00706C02" w:rsidRPr="003075FB">
        <w:rPr>
          <w:szCs w:val="26"/>
        </w:rPr>
        <w:t>appellate proceedings</w:t>
      </w:r>
      <w:r w:rsidR="00BD42CD" w:rsidRPr="003075FB">
        <w:rPr>
          <w:szCs w:val="26"/>
        </w:rPr>
        <w:t>; the right to appellate counsel is instead governed by the due process and equal protection clauses of the Fourteenth Amendment</w:t>
      </w:r>
      <w:r w:rsidR="00706C02" w:rsidRPr="003075FB">
        <w:rPr>
          <w:szCs w:val="26"/>
        </w:rPr>
        <w:t xml:space="preserve">. </w:t>
      </w:r>
      <w:r w:rsidR="002D6BC4" w:rsidRPr="003075FB">
        <w:rPr>
          <w:szCs w:val="26"/>
        </w:rPr>
        <w:t xml:space="preserve"> </w:t>
      </w:r>
      <w:r w:rsidR="00513190" w:rsidRPr="003075FB">
        <w:rPr>
          <w:szCs w:val="26"/>
        </w:rPr>
        <w:t>(</w:t>
      </w:r>
      <w:r w:rsidR="00FC28E1" w:rsidRPr="00FC28E1">
        <w:rPr>
          <w:i/>
          <w:szCs w:val="26"/>
        </w:rPr>
        <w:t>Morris</w:t>
      </w:r>
      <w:r w:rsidR="00FC28E1">
        <w:rPr>
          <w:szCs w:val="26"/>
        </w:rPr>
        <w:t>,</w:t>
      </w:r>
      <w:r w:rsidR="00706C02" w:rsidRPr="003075FB">
        <w:rPr>
          <w:szCs w:val="26"/>
        </w:rPr>
        <w:t xml:space="preserve"> </w:t>
      </w:r>
      <w:r w:rsidR="00513190" w:rsidRPr="003075FB">
        <w:rPr>
          <w:szCs w:val="26"/>
        </w:rPr>
        <w:t>at p. 645</w:t>
      </w:r>
      <w:r w:rsidR="000C2557" w:rsidRPr="003075FB">
        <w:rPr>
          <w:szCs w:val="26"/>
        </w:rPr>
        <w:t>.</w:t>
      </w:r>
      <w:r w:rsidR="00513190" w:rsidRPr="003075FB">
        <w:rPr>
          <w:szCs w:val="26"/>
        </w:rPr>
        <w:t xml:space="preserve">) </w:t>
      </w:r>
      <w:r w:rsidR="00706C02" w:rsidRPr="003075FB">
        <w:rPr>
          <w:szCs w:val="26"/>
        </w:rPr>
        <w:t xml:space="preserve"> </w:t>
      </w:r>
      <w:r w:rsidR="003976A6" w:rsidRPr="003075FB">
        <w:rPr>
          <w:szCs w:val="26"/>
        </w:rPr>
        <w:t xml:space="preserve">But in any event, under the Sixth and Fourteenth Amendments alike, the </w:t>
      </w:r>
      <w:r w:rsidR="004B30FA" w:rsidRPr="003075FB">
        <w:rPr>
          <w:szCs w:val="26"/>
        </w:rPr>
        <w:t xml:space="preserve">right to counsel applies only </w:t>
      </w:r>
      <w:r w:rsidR="00622062" w:rsidRPr="003075FB">
        <w:rPr>
          <w:szCs w:val="26"/>
        </w:rPr>
        <w:t xml:space="preserve">when the defendant </w:t>
      </w:r>
      <w:r w:rsidR="00706C02" w:rsidRPr="003075FB">
        <w:rPr>
          <w:szCs w:val="26"/>
        </w:rPr>
        <w:t xml:space="preserve">may lose </w:t>
      </w:r>
      <w:r w:rsidR="004B30FA" w:rsidRPr="003075FB">
        <w:rPr>
          <w:szCs w:val="26"/>
        </w:rPr>
        <w:t xml:space="preserve">his or </w:t>
      </w:r>
      <w:r w:rsidR="00706C02" w:rsidRPr="003075FB">
        <w:rPr>
          <w:szCs w:val="26"/>
        </w:rPr>
        <w:t xml:space="preserve">her physical liberty </w:t>
      </w:r>
      <w:r w:rsidR="00513190" w:rsidRPr="003075FB">
        <w:rPr>
          <w:szCs w:val="26"/>
        </w:rPr>
        <w:t xml:space="preserve">as a direct consequence of the action. </w:t>
      </w:r>
      <w:r w:rsidR="002D6BC4" w:rsidRPr="003075FB">
        <w:rPr>
          <w:szCs w:val="26"/>
        </w:rPr>
        <w:t xml:space="preserve"> </w:t>
      </w:r>
      <w:r w:rsidR="00706C02" w:rsidRPr="003075FB">
        <w:rPr>
          <w:szCs w:val="26"/>
        </w:rPr>
        <w:t>(</w:t>
      </w:r>
      <w:r w:rsidR="00FC28E1" w:rsidRPr="00FC28E1">
        <w:rPr>
          <w:i/>
          <w:szCs w:val="26"/>
        </w:rPr>
        <w:t>Morris</w:t>
      </w:r>
      <w:r w:rsidR="00FC28E1">
        <w:rPr>
          <w:szCs w:val="26"/>
        </w:rPr>
        <w:t>,</w:t>
      </w:r>
      <w:r w:rsidR="00822175" w:rsidRPr="003075FB">
        <w:rPr>
          <w:i/>
          <w:szCs w:val="26"/>
        </w:rPr>
        <w:t xml:space="preserve"> </w:t>
      </w:r>
      <w:r w:rsidR="00822175" w:rsidRPr="003075FB">
        <w:rPr>
          <w:szCs w:val="26"/>
        </w:rPr>
        <w:t>at pp. 646–647.</w:t>
      </w:r>
      <w:r w:rsidR="00706C02" w:rsidRPr="003075FB">
        <w:rPr>
          <w:szCs w:val="26"/>
        </w:rPr>
        <w:t>)</w:t>
      </w:r>
      <w:r w:rsidR="00917810" w:rsidRPr="003075FB">
        <w:rPr>
          <w:szCs w:val="26"/>
        </w:rPr>
        <w:t xml:space="preserve">  Here, the court opined, </w:t>
      </w:r>
      <w:r w:rsidR="002245CD" w:rsidRPr="003075FB">
        <w:rPr>
          <w:szCs w:val="26"/>
        </w:rPr>
        <w:t xml:space="preserve">that is not the case; </w:t>
      </w:r>
      <w:r w:rsidR="00E90926" w:rsidRPr="003075FB">
        <w:rPr>
          <w:szCs w:val="26"/>
        </w:rPr>
        <w:t xml:space="preserve">even if no counsel is appointed for purposes of the appeal, </w:t>
      </w:r>
      <w:r w:rsidR="003F6A0D" w:rsidRPr="003075FB">
        <w:rPr>
          <w:szCs w:val="26"/>
        </w:rPr>
        <w:t xml:space="preserve">Lopez </w:t>
      </w:r>
      <w:r w:rsidR="002D6BC4" w:rsidRPr="003075FB">
        <w:rPr>
          <w:szCs w:val="26"/>
        </w:rPr>
        <w:t xml:space="preserve">faces no </w:t>
      </w:r>
      <w:r w:rsidR="00E90926" w:rsidRPr="003075FB">
        <w:rPr>
          <w:szCs w:val="26"/>
        </w:rPr>
        <w:t xml:space="preserve">deprivation </w:t>
      </w:r>
      <w:r w:rsidR="00E605D8" w:rsidRPr="003075FB">
        <w:rPr>
          <w:szCs w:val="26"/>
        </w:rPr>
        <w:t xml:space="preserve">of </w:t>
      </w:r>
      <w:r w:rsidR="006D622B" w:rsidRPr="003075FB">
        <w:rPr>
          <w:szCs w:val="26"/>
        </w:rPr>
        <w:t>“</w:t>
      </w:r>
      <w:r w:rsidR="00E605D8" w:rsidRPr="003075FB">
        <w:rPr>
          <w:szCs w:val="26"/>
        </w:rPr>
        <w:t>th</w:t>
      </w:r>
      <w:r w:rsidR="00321BA6" w:rsidRPr="003075FB">
        <w:rPr>
          <w:szCs w:val="26"/>
        </w:rPr>
        <w:t>e</w:t>
      </w:r>
      <w:r w:rsidR="00E605D8" w:rsidRPr="003075FB">
        <w:rPr>
          <w:szCs w:val="26"/>
        </w:rPr>
        <w:t xml:space="preserve"> </w:t>
      </w:r>
      <w:r w:rsidR="003F6A0D" w:rsidRPr="003075FB">
        <w:rPr>
          <w:szCs w:val="26"/>
        </w:rPr>
        <w:t>right to be free from uncounseled imprisonment</w:t>
      </w:r>
      <w:r w:rsidR="00306074">
        <w:rPr>
          <w:szCs w:val="26"/>
        </w:rPr>
        <w:t>”</w:t>
      </w:r>
      <w:r w:rsidR="003F6A0D" w:rsidRPr="003075FB">
        <w:rPr>
          <w:szCs w:val="26"/>
        </w:rPr>
        <w:t xml:space="preserve"> </w:t>
      </w:r>
      <w:r w:rsidR="00306074">
        <w:rPr>
          <w:szCs w:val="26"/>
        </w:rPr>
        <w:t>“</w:t>
      </w:r>
      <w:r w:rsidR="003F6A0D" w:rsidRPr="003075FB">
        <w:rPr>
          <w:szCs w:val="26"/>
        </w:rPr>
        <w:t>since she will be represented at trial even if the People prevail in the appellate division.”  (</w:t>
      </w:r>
      <w:r w:rsidR="003F6A0D" w:rsidRPr="003075FB">
        <w:rPr>
          <w:i/>
          <w:szCs w:val="26"/>
        </w:rPr>
        <w:t>Id.</w:t>
      </w:r>
      <w:r w:rsidR="003F6A0D" w:rsidRPr="003075FB">
        <w:rPr>
          <w:szCs w:val="26"/>
        </w:rPr>
        <w:t xml:space="preserve"> at p.</w:t>
      </w:r>
      <w:r w:rsidR="001208F4" w:rsidRPr="003075FB">
        <w:rPr>
          <w:szCs w:val="26"/>
        </w:rPr>
        <w:t> </w:t>
      </w:r>
      <w:r w:rsidR="003F6A0D" w:rsidRPr="003075FB">
        <w:rPr>
          <w:szCs w:val="26"/>
        </w:rPr>
        <w:t>647.)</w:t>
      </w:r>
    </w:p>
    <w:p w14:paraId="41B0F872" w14:textId="77777777" w:rsidR="0008605E" w:rsidRPr="003075FB" w:rsidRDefault="00F65282" w:rsidP="003075FB">
      <w:pPr>
        <w:ind w:firstLine="720"/>
        <w:rPr>
          <w:szCs w:val="26"/>
        </w:rPr>
      </w:pPr>
      <w:r w:rsidRPr="003075FB">
        <w:rPr>
          <w:szCs w:val="26"/>
        </w:rPr>
        <w:t>We granted review.</w:t>
      </w:r>
    </w:p>
    <w:p w14:paraId="3D380395" w14:textId="77777777" w:rsidR="00222D5D" w:rsidRPr="003075FB" w:rsidRDefault="0008605E" w:rsidP="0060242A">
      <w:pPr>
        <w:jc w:val="center"/>
        <w:rPr>
          <w:b/>
          <w:szCs w:val="26"/>
        </w:rPr>
      </w:pPr>
      <w:r w:rsidRPr="003075FB">
        <w:rPr>
          <w:b/>
          <w:szCs w:val="26"/>
        </w:rPr>
        <w:t>II</w:t>
      </w:r>
      <w:r w:rsidR="00AE0E4A" w:rsidRPr="003075FB">
        <w:rPr>
          <w:b/>
          <w:szCs w:val="26"/>
        </w:rPr>
        <w:t>.</w:t>
      </w:r>
    </w:p>
    <w:p w14:paraId="28EE40A0" w14:textId="77777777" w:rsidR="00597B1F" w:rsidRPr="003075FB" w:rsidRDefault="00F65282" w:rsidP="003075FB">
      <w:pPr>
        <w:ind w:firstLine="720"/>
        <w:rPr>
          <w:szCs w:val="26"/>
        </w:rPr>
      </w:pPr>
      <w:r w:rsidRPr="003075FB">
        <w:rPr>
          <w:szCs w:val="26"/>
        </w:rPr>
        <w:t xml:space="preserve">Before turning to the merits, we address a threshold </w:t>
      </w:r>
      <w:r w:rsidR="004D33F5" w:rsidRPr="003075FB">
        <w:rPr>
          <w:szCs w:val="26"/>
        </w:rPr>
        <w:t>issue</w:t>
      </w:r>
      <w:r w:rsidR="00FE6D31" w:rsidRPr="003075FB">
        <w:rPr>
          <w:szCs w:val="26"/>
        </w:rPr>
        <w:t xml:space="preserve"> concerning the </w:t>
      </w:r>
      <w:r w:rsidR="003908B4" w:rsidRPr="003075FB">
        <w:rPr>
          <w:szCs w:val="26"/>
        </w:rPr>
        <w:t>legal framework for our decision</w:t>
      </w:r>
      <w:r w:rsidRPr="003075FB">
        <w:rPr>
          <w:szCs w:val="26"/>
        </w:rPr>
        <w:t xml:space="preserve">.  In their initial briefing </w:t>
      </w:r>
      <w:r w:rsidR="00694563" w:rsidRPr="003075FB">
        <w:rPr>
          <w:szCs w:val="26"/>
        </w:rPr>
        <w:t xml:space="preserve">before this court, </w:t>
      </w:r>
      <w:r w:rsidR="006D622B" w:rsidRPr="003075FB">
        <w:rPr>
          <w:szCs w:val="26"/>
        </w:rPr>
        <w:t xml:space="preserve">the parties </w:t>
      </w:r>
      <w:r w:rsidR="00694563" w:rsidRPr="003075FB">
        <w:rPr>
          <w:szCs w:val="26"/>
        </w:rPr>
        <w:t xml:space="preserve">focused on </w:t>
      </w:r>
      <w:r w:rsidRPr="003075FB">
        <w:rPr>
          <w:szCs w:val="26"/>
        </w:rPr>
        <w:t>the scope of the right to counsel secured by the Sixth Amendment to the United States Constitution</w:t>
      </w:r>
      <w:r w:rsidR="00597B1F" w:rsidRPr="003075FB">
        <w:rPr>
          <w:szCs w:val="26"/>
        </w:rPr>
        <w:t xml:space="preserve">.  </w:t>
      </w:r>
      <w:r w:rsidR="009B6A8B" w:rsidRPr="003075FB">
        <w:rPr>
          <w:szCs w:val="26"/>
        </w:rPr>
        <w:t>That amendment</w:t>
      </w:r>
      <w:r w:rsidR="00597B1F" w:rsidRPr="003075FB">
        <w:rPr>
          <w:szCs w:val="26"/>
        </w:rPr>
        <w:t>, which is binding on the states through the Fourteenth Amendment, gives an indigent defendant facing incarceration the right to court-appointed counsel</w:t>
      </w:r>
      <w:r w:rsidR="00E72007" w:rsidRPr="003075FB">
        <w:rPr>
          <w:szCs w:val="26"/>
        </w:rPr>
        <w:t xml:space="preserve"> for his or her defense</w:t>
      </w:r>
      <w:r w:rsidR="00597B1F" w:rsidRPr="003075FB">
        <w:rPr>
          <w:szCs w:val="26"/>
        </w:rPr>
        <w:t>.  (</w:t>
      </w:r>
      <w:r w:rsidR="00597B1F" w:rsidRPr="003075FB">
        <w:rPr>
          <w:i/>
          <w:szCs w:val="26"/>
        </w:rPr>
        <w:t xml:space="preserve">Gideon v. Wainwright </w:t>
      </w:r>
      <w:r w:rsidR="00597B1F" w:rsidRPr="003075FB">
        <w:rPr>
          <w:szCs w:val="26"/>
        </w:rPr>
        <w:t>(1963) 372 U.S. 335, 342</w:t>
      </w:r>
      <w:r w:rsidR="00597B1F" w:rsidRPr="003075FB">
        <w:t>–</w:t>
      </w:r>
      <w:r w:rsidR="00597B1F" w:rsidRPr="003075FB">
        <w:rPr>
          <w:szCs w:val="26"/>
        </w:rPr>
        <w:t>343 (</w:t>
      </w:r>
      <w:r w:rsidR="00597B1F" w:rsidRPr="003075FB">
        <w:rPr>
          <w:i/>
          <w:szCs w:val="26"/>
        </w:rPr>
        <w:t>Gideon</w:t>
      </w:r>
      <w:r w:rsidR="00597B1F" w:rsidRPr="003075FB">
        <w:rPr>
          <w:szCs w:val="26"/>
        </w:rPr>
        <w:t>)</w:t>
      </w:r>
      <w:r w:rsidR="00597B1F" w:rsidRPr="003075FB">
        <w:t>.</w:t>
      </w:r>
      <w:r w:rsidR="00597B1F" w:rsidRPr="003075FB">
        <w:rPr>
          <w:szCs w:val="26"/>
        </w:rPr>
        <w:t>)</w:t>
      </w:r>
    </w:p>
    <w:p w14:paraId="32E7CDEF" w14:textId="56A272B4" w:rsidR="007333C5" w:rsidRPr="003075FB" w:rsidRDefault="0058445E" w:rsidP="003075FB">
      <w:pPr>
        <w:ind w:firstLine="720"/>
        <w:rPr>
          <w:szCs w:val="26"/>
        </w:rPr>
      </w:pPr>
      <w:r w:rsidRPr="003075FB">
        <w:rPr>
          <w:szCs w:val="26"/>
        </w:rPr>
        <w:t xml:space="preserve">But in California courts, the federal Constitution is not the sole source of a </w:t>
      </w:r>
      <w:r w:rsidR="001119BD" w:rsidRPr="003075FB">
        <w:rPr>
          <w:szCs w:val="26"/>
        </w:rPr>
        <w:t xml:space="preserve">criminal </w:t>
      </w:r>
      <w:r w:rsidRPr="003075FB">
        <w:rPr>
          <w:szCs w:val="26"/>
        </w:rPr>
        <w:t xml:space="preserve">defendant’s right to representation.  Article I, section 15 of the California Constitution, too, </w:t>
      </w:r>
      <w:r w:rsidR="00283F38" w:rsidRPr="003075FB">
        <w:rPr>
          <w:szCs w:val="26"/>
        </w:rPr>
        <w:t xml:space="preserve">guarantees </w:t>
      </w:r>
      <w:r w:rsidRPr="003075FB">
        <w:rPr>
          <w:szCs w:val="26"/>
        </w:rPr>
        <w:t>a right to “the assistance of counsel for the defendant’s defense” in a “criminal cause.”  (Cal. Const., art. I, § 15.)</w:t>
      </w:r>
      <w:r w:rsidR="0060242A">
        <w:rPr>
          <w:szCs w:val="26"/>
        </w:rPr>
        <w:t xml:space="preserve">  </w:t>
      </w:r>
      <w:r w:rsidRPr="003075FB">
        <w:rPr>
          <w:szCs w:val="26"/>
        </w:rPr>
        <w:t xml:space="preserve">Much like its federal counterpart, </w:t>
      </w:r>
      <w:r w:rsidR="00961B55" w:rsidRPr="003075FB">
        <w:rPr>
          <w:szCs w:val="26"/>
        </w:rPr>
        <w:t xml:space="preserve">article I, section 15 </w:t>
      </w:r>
      <w:r w:rsidRPr="003075FB">
        <w:rPr>
          <w:szCs w:val="26"/>
        </w:rPr>
        <w:t>has been understood to confer a right to state-appointed counsel for indigent defendants.</w:t>
      </w:r>
      <w:r w:rsidR="00D265C1" w:rsidRPr="003075FB">
        <w:rPr>
          <w:szCs w:val="26"/>
        </w:rPr>
        <w:t xml:space="preserve">  (</w:t>
      </w:r>
      <w:r w:rsidR="00362B5A" w:rsidRPr="003075FB">
        <w:rPr>
          <w:i/>
          <w:szCs w:val="26"/>
        </w:rPr>
        <w:t xml:space="preserve">Mills v. Municipal Court </w:t>
      </w:r>
      <w:r w:rsidR="00362B5A" w:rsidRPr="003075FB">
        <w:rPr>
          <w:szCs w:val="26"/>
        </w:rPr>
        <w:t>(1973) 10 Cal.3d 288, 301</w:t>
      </w:r>
      <w:r w:rsidR="00DB4B32" w:rsidRPr="003075FB">
        <w:rPr>
          <w:szCs w:val="26"/>
        </w:rPr>
        <w:t xml:space="preserve"> (</w:t>
      </w:r>
      <w:r w:rsidR="00DB4B32" w:rsidRPr="003075FB">
        <w:rPr>
          <w:i/>
          <w:szCs w:val="26"/>
        </w:rPr>
        <w:t>Mills</w:t>
      </w:r>
      <w:r w:rsidR="00DB4B32" w:rsidRPr="003075FB">
        <w:rPr>
          <w:szCs w:val="26"/>
        </w:rPr>
        <w:t>)</w:t>
      </w:r>
      <w:r w:rsidR="00362B5A" w:rsidRPr="003075FB">
        <w:rPr>
          <w:szCs w:val="26"/>
        </w:rPr>
        <w:t>;</w:t>
      </w:r>
      <w:r w:rsidR="0070787A" w:rsidRPr="003075FB">
        <w:rPr>
          <w:szCs w:val="26"/>
        </w:rPr>
        <w:t xml:space="preserve"> </w:t>
      </w:r>
      <w:r w:rsidR="0070787A" w:rsidRPr="003075FB">
        <w:rPr>
          <w:i/>
          <w:szCs w:val="26"/>
        </w:rPr>
        <w:t xml:space="preserve">In re Johnson </w:t>
      </w:r>
      <w:r w:rsidR="0070787A" w:rsidRPr="003075FB">
        <w:rPr>
          <w:szCs w:val="26"/>
        </w:rPr>
        <w:t>(1965) 62 Cal.2d 325, 329–330</w:t>
      </w:r>
      <w:r w:rsidR="00DB4B32" w:rsidRPr="003075FB">
        <w:rPr>
          <w:szCs w:val="26"/>
        </w:rPr>
        <w:t xml:space="preserve"> (</w:t>
      </w:r>
      <w:r w:rsidR="00DB4B32" w:rsidRPr="003075FB">
        <w:rPr>
          <w:i/>
          <w:szCs w:val="26"/>
        </w:rPr>
        <w:t>Johnson</w:t>
      </w:r>
      <w:r w:rsidR="00DB4B32" w:rsidRPr="003075FB">
        <w:rPr>
          <w:szCs w:val="26"/>
        </w:rPr>
        <w:t>)</w:t>
      </w:r>
      <w:r w:rsidR="0060242A">
        <w:rPr>
          <w:szCs w:val="26"/>
        </w:rPr>
        <w:t xml:space="preserve">.) </w:t>
      </w:r>
      <w:r w:rsidRPr="003075FB">
        <w:rPr>
          <w:szCs w:val="26"/>
        </w:rPr>
        <w:t xml:space="preserve"> </w:t>
      </w:r>
      <w:r w:rsidR="00961B55" w:rsidRPr="003075FB">
        <w:rPr>
          <w:szCs w:val="26"/>
        </w:rPr>
        <w:t xml:space="preserve">But </w:t>
      </w:r>
      <w:r w:rsidRPr="003075FB">
        <w:rPr>
          <w:szCs w:val="26"/>
        </w:rPr>
        <w:t>it has also been u</w:t>
      </w:r>
      <w:r w:rsidR="0008410A" w:rsidRPr="003075FB">
        <w:rPr>
          <w:szCs w:val="26"/>
        </w:rPr>
        <w:t>nderstood to extend more broadly</w:t>
      </w:r>
      <w:r w:rsidR="004A7572" w:rsidRPr="003075FB">
        <w:rPr>
          <w:szCs w:val="26"/>
        </w:rPr>
        <w:t xml:space="preserve"> than its federal counterpart</w:t>
      </w:r>
      <w:r w:rsidR="0094331F" w:rsidRPr="003075FB">
        <w:rPr>
          <w:szCs w:val="26"/>
        </w:rPr>
        <w:t>, particularly in relation to misdemeanor cases</w:t>
      </w:r>
      <w:r w:rsidR="005D0FA7" w:rsidRPr="003075FB">
        <w:rPr>
          <w:szCs w:val="26"/>
        </w:rPr>
        <w:t xml:space="preserve"> like this one</w:t>
      </w:r>
      <w:r w:rsidR="0094331F" w:rsidRPr="003075FB">
        <w:rPr>
          <w:szCs w:val="26"/>
        </w:rPr>
        <w:t xml:space="preserve">.  (Compare </w:t>
      </w:r>
      <w:r w:rsidR="0094331F" w:rsidRPr="003075FB">
        <w:rPr>
          <w:i/>
          <w:szCs w:val="26"/>
        </w:rPr>
        <w:t>Alabama v. Shelton</w:t>
      </w:r>
      <w:r w:rsidR="0094331F" w:rsidRPr="003075FB">
        <w:rPr>
          <w:szCs w:val="26"/>
        </w:rPr>
        <w:t xml:space="preserve"> (2002) 535 U.S. 654, 661</w:t>
      </w:r>
      <w:r w:rsidR="0094331F" w:rsidRPr="003075FB">
        <w:t>–</w:t>
      </w:r>
      <w:r w:rsidR="0094331F" w:rsidRPr="003075FB">
        <w:rPr>
          <w:szCs w:val="26"/>
        </w:rPr>
        <w:t>662 (</w:t>
      </w:r>
      <w:r w:rsidR="0094331F" w:rsidRPr="003075FB">
        <w:rPr>
          <w:i/>
          <w:szCs w:val="26"/>
        </w:rPr>
        <w:t>Shelton</w:t>
      </w:r>
      <w:r w:rsidR="0094331F" w:rsidRPr="003075FB">
        <w:rPr>
          <w:szCs w:val="26"/>
        </w:rPr>
        <w:t>) [</w:t>
      </w:r>
      <w:r w:rsidR="00306074">
        <w:rPr>
          <w:szCs w:val="26"/>
        </w:rPr>
        <w:t>6th</w:t>
      </w:r>
      <w:r w:rsidR="0094331F" w:rsidRPr="003075FB">
        <w:rPr>
          <w:szCs w:val="26"/>
        </w:rPr>
        <w:t xml:space="preserve"> Amend</w:t>
      </w:r>
      <w:r w:rsidR="00306074">
        <w:rPr>
          <w:szCs w:val="26"/>
        </w:rPr>
        <w:t>.</w:t>
      </w:r>
      <w:r w:rsidR="0094331F" w:rsidRPr="003075FB">
        <w:rPr>
          <w:szCs w:val="26"/>
        </w:rPr>
        <w:t xml:space="preserve"> right to appointed counsel applies to misdemeanor cases resulting in imprisonment], with </w:t>
      </w:r>
      <w:r w:rsidR="0094331F" w:rsidRPr="003075FB">
        <w:rPr>
          <w:i/>
          <w:szCs w:val="26"/>
        </w:rPr>
        <w:t>Mills</w:t>
      </w:r>
      <w:r w:rsidR="00DB4B32" w:rsidRPr="003075FB">
        <w:rPr>
          <w:szCs w:val="26"/>
        </w:rPr>
        <w:t>, at p.</w:t>
      </w:r>
      <w:r w:rsidR="0060242A">
        <w:rPr>
          <w:szCs w:val="26"/>
        </w:rPr>
        <w:t> </w:t>
      </w:r>
      <w:r w:rsidR="0094331F" w:rsidRPr="003075FB">
        <w:rPr>
          <w:szCs w:val="26"/>
        </w:rPr>
        <w:t>301 [Cal</w:t>
      </w:r>
      <w:r w:rsidR="00306074">
        <w:rPr>
          <w:szCs w:val="26"/>
        </w:rPr>
        <w:t>.</w:t>
      </w:r>
      <w:r w:rsidR="0094331F" w:rsidRPr="003075FB">
        <w:rPr>
          <w:szCs w:val="26"/>
        </w:rPr>
        <w:t xml:space="preserve"> Const</w:t>
      </w:r>
      <w:r w:rsidR="00306074">
        <w:rPr>
          <w:szCs w:val="26"/>
        </w:rPr>
        <w:t>.</w:t>
      </w:r>
      <w:r w:rsidR="0094331F" w:rsidRPr="003075FB">
        <w:rPr>
          <w:szCs w:val="26"/>
        </w:rPr>
        <w:t xml:space="preserve"> </w:t>
      </w:r>
      <w:r w:rsidR="00DB4B32" w:rsidRPr="003075FB">
        <w:rPr>
          <w:szCs w:val="26"/>
        </w:rPr>
        <w:t>confers right to counsel in</w:t>
      </w:r>
      <w:r w:rsidR="0094331F" w:rsidRPr="003075FB">
        <w:rPr>
          <w:szCs w:val="26"/>
        </w:rPr>
        <w:t xml:space="preserve"> all misdemeanor cases, without regard to whether imprisonment is imposed].)</w:t>
      </w:r>
      <w:r w:rsidR="007333C5" w:rsidRPr="003075FB">
        <w:rPr>
          <w:szCs w:val="26"/>
        </w:rPr>
        <w:t xml:space="preserve">  To implement th</w:t>
      </w:r>
      <w:r w:rsidR="002B6DA1">
        <w:rPr>
          <w:szCs w:val="26"/>
        </w:rPr>
        <w:t>e</w:t>
      </w:r>
      <w:r w:rsidR="007333C5" w:rsidRPr="003075FB">
        <w:rPr>
          <w:szCs w:val="26"/>
        </w:rPr>
        <w:t xml:space="preserve"> state constitutional guarantee, the Legislature has enacted several statutory provisions governing the appointment of counsel for defendants facing both felony and misdemeanor charges.  (See Pen. Code, §§ 686, 987, subd. (a), 987.2, subd. (</w:t>
      </w:r>
      <w:proofErr w:type="spellStart"/>
      <w:r w:rsidR="007333C5" w:rsidRPr="003075FB">
        <w:rPr>
          <w:szCs w:val="26"/>
        </w:rPr>
        <w:t>i</w:t>
      </w:r>
      <w:proofErr w:type="spellEnd"/>
      <w:r w:rsidR="007333C5" w:rsidRPr="003075FB">
        <w:rPr>
          <w:szCs w:val="26"/>
        </w:rPr>
        <w:t>).)</w:t>
      </w:r>
    </w:p>
    <w:p w14:paraId="432999C4" w14:textId="2BF052F4" w:rsidR="0060242A" w:rsidRDefault="001119BD" w:rsidP="003075FB">
      <w:pPr>
        <w:ind w:firstLine="720"/>
        <w:rPr>
          <w:szCs w:val="26"/>
        </w:rPr>
      </w:pPr>
      <w:r w:rsidRPr="003075FB">
        <w:rPr>
          <w:szCs w:val="26"/>
        </w:rPr>
        <w:t xml:space="preserve">Because </w:t>
      </w:r>
      <w:r w:rsidR="006008E4" w:rsidRPr="003075FB">
        <w:rPr>
          <w:szCs w:val="26"/>
        </w:rPr>
        <w:t>of its importance to full consideration of the issue before us, we directed the parties to submit supplemental briefs regarding the relevance of article I, section</w:t>
      </w:r>
      <w:r w:rsidR="000562F9" w:rsidRPr="003075FB">
        <w:rPr>
          <w:szCs w:val="26"/>
        </w:rPr>
        <w:t xml:space="preserve"> 15</w:t>
      </w:r>
      <w:r w:rsidR="00F91DC3" w:rsidRPr="003075FB">
        <w:rPr>
          <w:szCs w:val="26"/>
        </w:rPr>
        <w:t xml:space="preserve"> of the California Constitution</w:t>
      </w:r>
      <w:r w:rsidR="006008E4" w:rsidRPr="003075FB">
        <w:rPr>
          <w:szCs w:val="26"/>
        </w:rPr>
        <w:t>.</w:t>
      </w:r>
      <w:r w:rsidR="00452C28" w:rsidRPr="003075FB">
        <w:rPr>
          <w:szCs w:val="26"/>
        </w:rPr>
        <w:t xml:space="preserve">  We </w:t>
      </w:r>
      <w:r w:rsidR="0069189E" w:rsidRPr="003075FB">
        <w:rPr>
          <w:szCs w:val="26"/>
        </w:rPr>
        <w:t xml:space="preserve">now </w:t>
      </w:r>
      <w:r w:rsidR="00452C28" w:rsidRPr="003075FB">
        <w:rPr>
          <w:szCs w:val="26"/>
        </w:rPr>
        <w:t xml:space="preserve">conclude that </w:t>
      </w:r>
      <w:r w:rsidR="00DE17B6" w:rsidRPr="003075FB">
        <w:rPr>
          <w:szCs w:val="26"/>
        </w:rPr>
        <w:t>article I, section 15 is disp</w:t>
      </w:r>
      <w:r w:rsidR="0069189E" w:rsidRPr="003075FB">
        <w:rPr>
          <w:szCs w:val="26"/>
        </w:rPr>
        <w:t xml:space="preserve">ositive of the </w:t>
      </w:r>
      <w:r w:rsidR="00961B55" w:rsidRPr="003075FB">
        <w:rPr>
          <w:szCs w:val="26"/>
        </w:rPr>
        <w:t>question presented</w:t>
      </w:r>
      <w:r w:rsidR="00E80B88" w:rsidRPr="003075FB">
        <w:rPr>
          <w:szCs w:val="26"/>
        </w:rPr>
        <w:t xml:space="preserve">.  Our holding makes it unnecessary for us to decide whether the same result would obtain under </w:t>
      </w:r>
      <w:r w:rsidR="00A8362D" w:rsidRPr="003075FB">
        <w:rPr>
          <w:szCs w:val="26"/>
        </w:rPr>
        <w:t xml:space="preserve">the </w:t>
      </w:r>
      <w:r w:rsidR="004523D3" w:rsidRPr="003075FB">
        <w:rPr>
          <w:szCs w:val="26"/>
        </w:rPr>
        <w:t>federal Constitution</w:t>
      </w:r>
      <w:r w:rsidR="00A8362D" w:rsidRPr="003075FB">
        <w:rPr>
          <w:szCs w:val="26"/>
        </w:rPr>
        <w:t>.</w:t>
      </w:r>
    </w:p>
    <w:p w14:paraId="2DFCC607" w14:textId="77777777" w:rsidR="00E73722" w:rsidRPr="003075FB" w:rsidRDefault="00A850CC" w:rsidP="0060242A">
      <w:pPr>
        <w:jc w:val="center"/>
        <w:rPr>
          <w:b/>
          <w:szCs w:val="26"/>
        </w:rPr>
      </w:pPr>
      <w:r w:rsidRPr="003075FB">
        <w:rPr>
          <w:b/>
          <w:szCs w:val="26"/>
        </w:rPr>
        <w:t>III.</w:t>
      </w:r>
    </w:p>
    <w:p w14:paraId="5545D282" w14:textId="720B3942" w:rsidR="007A60B2" w:rsidRPr="003075FB" w:rsidRDefault="000A2AC4" w:rsidP="003075FB">
      <w:pPr>
        <w:ind w:firstLine="720"/>
        <w:rPr>
          <w:szCs w:val="26"/>
        </w:rPr>
      </w:pPr>
      <w:r w:rsidRPr="003075FB">
        <w:rPr>
          <w:szCs w:val="26"/>
        </w:rPr>
        <w:t xml:space="preserve">Under </w:t>
      </w:r>
      <w:r w:rsidR="00B72BCF" w:rsidRPr="003075FB">
        <w:rPr>
          <w:szCs w:val="26"/>
        </w:rPr>
        <w:t>article I, section 15</w:t>
      </w:r>
      <w:r w:rsidR="001F538E" w:rsidRPr="003075FB">
        <w:rPr>
          <w:szCs w:val="26"/>
        </w:rPr>
        <w:t xml:space="preserve"> of the California Constitution</w:t>
      </w:r>
      <w:r w:rsidR="00B72BCF" w:rsidRPr="003075FB">
        <w:rPr>
          <w:szCs w:val="26"/>
        </w:rPr>
        <w:t xml:space="preserve">, </w:t>
      </w:r>
      <w:r w:rsidR="000D5B8F" w:rsidRPr="003075FB">
        <w:rPr>
          <w:szCs w:val="26"/>
        </w:rPr>
        <w:t xml:space="preserve">a defendant’s right to the assistance of counsel is not limited to trial, but instead extends to </w:t>
      </w:r>
      <w:r w:rsidR="003C3045" w:rsidRPr="003075FB">
        <w:rPr>
          <w:szCs w:val="26"/>
        </w:rPr>
        <w:t xml:space="preserve">other, </w:t>
      </w:r>
      <w:r w:rsidR="000D5B8F" w:rsidRPr="003075FB">
        <w:rPr>
          <w:szCs w:val="26"/>
        </w:rPr>
        <w:t>“</w:t>
      </w:r>
      <w:r w:rsidRPr="003075FB">
        <w:rPr>
          <w:szCs w:val="26"/>
        </w:rPr>
        <w:t>critical</w:t>
      </w:r>
      <w:r w:rsidR="003C3045" w:rsidRPr="003075FB">
        <w:rPr>
          <w:szCs w:val="26"/>
        </w:rPr>
        <w:t>”</w:t>
      </w:r>
      <w:r w:rsidRPr="003075FB">
        <w:rPr>
          <w:szCs w:val="26"/>
        </w:rPr>
        <w:t xml:space="preserve"> stages of the criminal </w:t>
      </w:r>
      <w:r w:rsidR="000D5B8F" w:rsidRPr="003075FB">
        <w:rPr>
          <w:szCs w:val="26"/>
        </w:rPr>
        <w:t>process</w:t>
      </w:r>
      <w:r w:rsidRPr="003075FB">
        <w:rPr>
          <w:szCs w:val="26"/>
        </w:rPr>
        <w:t xml:space="preserve">. </w:t>
      </w:r>
      <w:r w:rsidR="00A51349" w:rsidRPr="003075FB">
        <w:rPr>
          <w:szCs w:val="26"/>
        </w:rPr>
        <w:t xml:space="preserve"> </w:t>
      </w:r>
      <w:r w:rsidR="00564F88" w:rsidRPr="003075FB">
        <w:rPr>
          <w:szCs w:val="26"/>
        </w:rPr>
        <w:t>(</w:t>
      </w:r>
      <w:r w:rsidR="00564F88" w:rsidRPr="003075FB">
        <w:rPr>
          <w:i/>
          <w:szCs w:val="26"/>
        </w:rPr>
        <w:t xml:space="preserve">People v. Bryant, Smith and Wheeler </w:t>
      </w:r>
      <w:r w:rsidR="00564F88" w:rsidRPr="003075FB">
        <w:rPr>
          <w:szCs w:val="26"/>
        </w:rPr>
        <w:t>(2014) 60 Cal.4th 335, 465</w:t>
      </w:r>
      <w:r w:rsidR="00A54194" w:rsidRPr="003075FB">
        <w:rPr>
          <w:szCs w:val="26"/>
        </w:rPr>
        <w:t xml:space="preserve"> (</w:t>
      </w:r>
      <w:r w:rsidR="00A54194" w:rsidRPr="003075FB">
        <w:rPr>
          <w:i/>
          <w:szCs w:val="26"/>
        </w:rPr>
        <w:t>Bryant, Smith and Wheeler</w:t>
      </w:r>
      <w:r w:rsidR="00A54194" w:rsidRPr="003075FB">
        <w:rPr>
          <w:szCs w:val="26"/>
        </w:rPr>
        <w:t>)</w:t>
      </w:r>
      <w:r w:rsidR="002645B0" w:rsidRPr="003075FB">
        <w:rPr>
          <w:szCs w:val="26"/>
        </w:rPr>
        <w:t xml:space="preserve">; </w:t>
      </w:r>
      <w:r w:rsidR="002645B0" w:rsidRPr="003075FB">
        <w:rPr>
          <w:i/>
          <w:szCs w:val="26"/>
        </w:rPr>
        <w:t xml:space="preserve">People v. Bustamante </w:t>
      </w:r>
      <w:r w:rsidR="002645B0" w:rsidRPr="003075FB">
        <w:rPr>
          <w:szCs w:val="26"/>
        </w:rPr>
        <w:t>(1981) 30 Cal.3d 88, 97–99 (</w:t>
      </w:r>
      <w:r w:rsidR="002645B0" w:rsidRPr="003075FB">
        <w:rPr>
          <w:i/>
          <w:szCs w:val="26"/>
        </w:rPr>
        <w:t>Bustamante</w:t>
      </w:r>
      <w:r w:rsidR="002645B0" w:rsidRPr="003075FB">
        <w:rPr>
          <w:szCs w:val="26"/>
        </w:rPr>
        <w:t>)</w:t>
      </w:r>
      <w:r w:rsidR="00564F88" w:rsidRPr="003075FB">
        <w:rPr>
          <w:szCs w:val="26"/>
        </w:rPr>
        <w:t>.)</w:t>
      </w:r>
      <w:r w:rsidR="000D5B8F" w:rsidRPr="003075FB">
        <w:rPr>
          <w:szCs w:val="26"/>
        </w:rPr>
        <w:t xml:space="preserve">  </w:t>
      </w:r>
      <w:r w:rsidR="00D87A04" w:rsidRPr="003075FB">
        <w:rPr>
          <w:szCs w:val="26"/>
        </w:rPr>
        <w:t xml:space="preserve">This rule, which was first </w:t>
      </w:r>
      <w:r w:rsidR="00A47182" w:rsidRPr="003075FB">
        <w:rPr>
          <w:szCs w:val="26"/>
        </w:rPr>
        <w:t xml:space="preserve">articulated </w:t>
      </w:r>
      <w:r w:rsidR="00D87A04" w:rsidRPr="003075FB">
        <w:rPr>
          <w:szCs w:val="26"/>
        </w:rPr>
        <w:t xml:space="preserve">in cases </w:t>
      </w:r>
      <w:r w:rsidR="00C61F96" w:rsidRPr="003075FB">
        <w:rPr>
          <w:szCs w:val="26"/>
        </w:rPr>
        <w:t xml:space="preserve">interpreting </w:t>
      </w:r>
      <w:r w:rsidR="00D87A04" w:rsidRPr="003075FB">
        <w:rPr>
          <w:szCs w:val="26"/>
        </w:rPr>
        <w:t xml:space="preserve">the Sixth Amendment, recognizes </w:t>
      </w:r>
      <w:r w:rsidR="00B921C0" w:rsidRPr="003075FB">
        <w:rPr>
          <w:szCs w:val="26"/>
        </w:rPr>
        <w:t>that</w:t>
      </w:r>
      <w:r w:rsidR="003C3A47" w:rsidRPr="003075FB">
        <w:rPr>
          <w:szCs w:val="26"/>
        </w:rPr>
        <w:t xml:space="preserve"> the right to the assistance of counsel is fashioned according to the need for such assistance, and this need may very well be greater during certain pre- and posttrial events than during the trial itself.  (</w:t>
      </w:r>
      <w:proofErr w:type="spellStart"/>
      <w:r w:rsidR="003C3A47" w:rsidRPr="003075FB">
        <w:rPr>
          <w:i/>
          <w:szCs w:val="26"/>
        </w:rPr>
        <w:t>Lafler</w:t>
      </w:r>
      <w:proofErr w:type="spellEnd"/>
      <w:r w:rsidR="003C3A47" w:rsidRPr="003075FB">
        <w:rPr>
          <w:i/>
          <w:szCs w:val="26"/>
        </w:rPr>
        <w:t xml:space="preserve"> v. Cooper </w:t>
      </w:r>
      <w:r w:rsidR="003C3A47" w:rsidRPr="003075FB">
        <w:rPr>
          <w:szCs w:val="26"/>
        </w:rPr>
        <w:t>(2012) 566 U.S. 156, 165</w:t>
      </w:r>
      <w:r w:rsidR="00FC28E1">
        <w:rPr>
          <w:szCs w:val="26"/>
        </w:rPr>
        <w:t xml:space="preserve"> (</w:t>
      </w:r>
      <w:proofErr w:type="spellStart"/>
      <w:r w:rsidR="00FC28E1" w:rsidRPr="00FC28E1">
        <w:rPr>
          <w:i/>
          <w:szCs w:val="26"/>
        </w:rPr>
        <w:t>Lafler</w:t>
      </w:r>
      <w:proofErr w:type="spellEnd"/>
      <w:r w:rsidR="00FC28E1">
        <w:rPr>
          <w:szCs w:val="26"/>
        </w:rPr>
        <w:t>)</w:t>
      </w:r>
      <w:r w:rsidR="003C3A47" w:rsidRPr="003075FB">
        <w:rPr>
          <w:szCs w:val="26"/>
        </w:rPr>
        <w:t xml:space="preserve">; </w:t>
      </w:r>
      <w:r w:rsidR="00A47182" w:rsidRPr="003075FB">
        <w:rPr>
          <w:i/>
          <w:szCs w:val="26"/>
        </w:rPr>
        <w:t xml:space="preserve">United States v. Wade </w:t>
      </w:r>
      <w:r w:rsidR="00A47182" w:rsidRPr="003075FB">
        <w:rPr>
          <w:szCs w:val="26"/>
        </w:rPr>
        <w:t>(1967) 388 U.S. 218, 224 (</w:t>
      </w:r>
      <w:r w:rsidR="00A47182" w:rsidRPr="003075FB">
        <w:rPr>
          <w:i/>
          <w:szCs w:val="26"/>
        </w:rPr>
        <w:t>Wade</w:t>
      </w:r>
      <w:r w:rsidR="00A47182" w:rsidRPr="003075FB">
        <w:rPr>
          <w:szCs w:val="26"/>
        </w:rPr>
        <w:t>).</w:t>
      </w:r>
      <w:r w:rsidR="004E228E" w:rsidRPr="003075FB">
        <w:rPr>
          <w:szCs w:val="26"/>
        </w:rPr>
        <w:t>)</w:t>
      </w:r>
      <w:r w:rsidR="00A51349" w:rsidRPr="003075FB">
        <w:rPr>
          <w:szCs w:val="26"/>
        </w:rPr>
        <w:t xml:space="preserve">  </w:t>
      </w:r>
    </w:p>
    <w:p w14:paraId="72A9A881" w14:textId="6577BC60" w:rsidR="00397C8F" w:rsidRPr="003075FB" w:rsidRDefault="00356701" w:rsidP="003075FB">
      <w:pPr>
        <w:ind w:firstLine="720"/>
      </w:pPr>
      <w:r w:rsidRPr="003075FB">
        <w:rPr>
          <w:szCs w:val="26"/>
        </w:rPr>
        <w:t>For purposes of determining whether the right to counsel extends to a particular proceeding, we have described a critical stage as “</w:t>
      </w:r>
      <w:r w:rsidR="00564F88" w:rsidRPr="003075FB">
        <w:rPr>
          <w:szCs w:val="26"/>
        </w:rPr>
        <w:t xml:space="preserve">one ‘in which the substantial rights of a defendant are at stake’ [citation], and ‘the presence of his counsel is necessary to preserve the defendant’s basic right to a fair trial’ [citation].” </w:t>
      </w:r>
      <w:r w:rsidR="0060242A">
        <w:rPr>
          <w:szCs w:val="26"/>
        </w:rPr>
        <w:t xml:space="preserve"> </w:t>
      </w:r>
      <w:r w:rsidR="00564F88" w:rsidRPr="003075FB">
        <w:rPr>
          <w:szCs w:val="26"/>
        </w:rPr>
        <w:t>(</w:t>
      </w:r>
      <w:r w:rsidR="00A54194" w:rsidRPr="003075FB">
        <w:rPr>
          <w:i/>
          <w:szCs w:val="26"/>
        </w:rPr>
        <w:t>Bryant, Smith and Wheeler</w:t>
      </w:r>
      <w:r w:rsidR="00A54194" w:rsidRPr="003075FB">
        <w:rPr>
          <w:szCs w:val="26"/>
        </w:rPr>
        <w:t>,</w:t>
      </w:r>
      <w:r w:rsidR="00594C2E" w:rsidRPr="003075FB">
        <w:rPr>
          <w:szCs w:val="26"/>
        </w:rPr>
        <w:t xml:space="preserve"> </w:t>
      </w:r>
      <w:r w:rsidR="00594C2E" w:rsidRPr="003075FB">
        <w:rPr>
          <w:i/>
          <w:szCs w:val="26"/>
        </w:rPr>
        <w:t>supra</w:t>
      </w:r>
      <w:r w:rsidR="00594C2E" w:rsidRPr="003075FB">
        <w:rPr>
          <w:szCs w:val="26"/>
        </w:rPr>
        <w:t>, 60 Cal.4th</w:t>
      </w:r>
      <w:r w:rsidR="00A54194" w:rsidRPr="003075FB">
        <w:rPr>
          <w:szCs w:val="26"/>
        </w:rPr>
        <w:t xml:space="preserve"> at p. 465</w:t>
      </w:r>
      <w:r w:rsidR="0060242A">
        <w:rPr>
          <w:szCs w:val="26"/>
        </w:rPr>
        <w:t>.</w:t>
      </w:r>
      <w:r w:rsidR="00A54194" w:rsidRPr="003075FB">
        <w:rPr>
          <w:szCs w:val="26"/>
        </w:rPr>
        <w:t xml:space="preserve">) </w:t>
      </w:r>
      <w:r w:rsidR="008975A6" w:rsidRPr="003075FB">
        <w:rPr>
          <w:szCs w:val="26"/>
        </w:rPr>
        <w:t xml:space="preserve"> </w:t>
      </w:r>
      <w:r w:rsidR="00397C8F" w:rsidRPr="003075FB">
        <w:rPr>
          <w:szCs w:val="26"/>
        </w:rPr>
        <w:t xml:space="preserve">More broadly, </w:t>
      </w:r>
      <w:r w:rsidR="008975A6" w:rsidRPr="003075FB">
        <w:rPr>
          <w:szCs w:val="26"/>
        </w:rPr>
        <w:t xml:space="preserve">critical stages </w:t>
      </w:r>
      <w:r w:rsidR="00026F93" w:rsidRPr="003075FB">
        <w:rPr>
          <w:szCs w:val="26"/>
        </w:rPr>
        <w:t xml:space="preserve">can be understood as </w:t>
      </w:r>
      <w:r w:rsidR="008975A6" w:rsidRPr="003075FB">
        <w:rPr>
          <w:szCs w:val="26"/>
        </w:rPr>
        <w:t xml:space="preserve">those </w:t>
      </w:r>
      <w:r w:rsidR="008975A6" w:rsidRPr="003075FB">
        <w:t>events or proceedings in which the accused is brought in confrontation with the state, where potential substantial prejudice to the accused’s rights inheres in the confrontation, and where counsel’s assistance can help to avoid that prejudice.</w:t>
      </w:r>
      <w:r w:rsidR="00397C8F" w:rsidRPr="003075FB">
        <w:t xml:space="preserve">  (See </w:t>
      </w:r>
      <w:r w:rsidR="00397C8F" w:rsidRPr="003075FB">
        <w:rPr>
          <w:i/>
        </w:rPr>
        <w:t xml:space="preserve">Coleman v. Alabama </w:t>
      </w:r>
      <w:r w:rsidR="00397C8F" w:rsidRPr="003075FB">
        <w:t>(1970) 399 U.S. 1, 7 (</w:t>
      </w:r>
      <w:r w:rsidR="00397C8F" w:rsidRPr="003075FB">
        <w:rPr>
          <w:i/>
        </w:rPr>
        <w:t>Coleman</w:t>
      </w:r>
      <w:r w:rsidR="00397C8F" w:rsidRPr="003075FB">
        <w:t xml:space="preserve">); accord, e.g., </w:t>
      </w:r>
      <w:proofErr w:type="spellStart"/>
      <w:r w:rsidR="00397C8F" w:rsidRPr="003075FB">
        <w:rPr>
          <w:i/>
        </w:rPr>
        <w:t>Rothgery</w:t>
      </w:r>
      <w:proofErr w:type="spellEnd"/>
      <w:r w:rsidR="00397C8F" w:rsidRPr="003075FB">
        <w:rPr>
          <w:i/>
        </w:rPr>
        <w:t xml:space="preserve"> v. Gillespie County </w:t>
      </w:r>
      <w:r w:rsidR="00397C8F" w:rsidRPr="003075FB">
        <w:t>(2008) 554 U.S. 191, 212, fn. 16.)</w:t>
      </w:r>
    </w:p>
    <w:p w14:paraId="71B2508D" w14:textId="6F27FB1E" w:rsidR="00E50887" w:rsidRPr="003075FB" w:rsidRDefault="009524AE" w:rsidP="003075FB">
      <w:pPr>
        <w:ind w:firstLine="720"/>
      </w:pPr>
      <w:r w:rsidRPr="003075FB">
        <w:t xml:space="preserve">Employing </w:t>
      </w:r>
      <w:r w:rsidR="00F7317D" w:rsidRPr="003075FB">
        <w:t xml:space="preserve">this rubric, </w:t>
      </w:r>
      <w:r w:rsidR="00E34804" w:rsidRPr="003075FB">
        <w:t xml:space="preserve">courts have </w:t>
      </w:r>
      <w:r w:rsidR="00AF1C1F" w:rsidRPr="003075FB">
        <w:t>identified the following proceedings</w:t>
      </w:r>
      <w:r w:rsidR="00186A40" w:rsidRPr="003075FB">
        <w:t>, among others,</w:t>
      </w:r>
      <w:r w:rsidR="00AF1C1F" w:rsidRPr="003075FB">
        <w:t xml:space="preserve"> as critical stages</w:t>
      </w:r>
      <w:r w:rsidR="007F62B8" w:rsidRPr="003075FB">
        <w:t xml:space="preserve"> to which the </w:t>
      </w:r>
      <w:r w:rsidR="00530A8C" w:rsidRPr="003075FB">
        <w:t xml:space="preserve">constitutional </w:t>
      </w:r>
      <w:r w:rsidR="007F62B8" w:rsidRPr="003075FB">
        <w:t>right to counsel attaches</w:t>
      </w:r>
      <w:r w:rsidR="00AF1C1F" w:rsidRPr="003075FB">
        <w:t xml:space="preserve">: </w:t>
      </w:r>
      <w:r w:rsidR="00E50887" w:rsidRPr="003075FB">
        <w:t xml:space="preserve"> </w:t>
      </w:r>
      <w:r w:rsidR="00AF1C1F" w:rsidRPr="003075FB">
        <w:t>arraignments (</w:t>
      </w:r>
      <w:r w:rsidR="00AF1C1F" w:rsidRPr="003075FB">
        <w:rPr>
          <w:i/>
        </w:rPr>
        <w:t xml:space="preserve">Hamilton v. Alabama </w:t>
      </w:r>
      <w:r w:rsidR="00AF1C1F" w:rsidRPr="003075FB">
        <w:t>(1961) 368 U.S. 52, 54)</w:t>
      </w:r>
      <w:r w:rsidR="00A10E6C">
        <w:t>;</w:t>
      </w:r>
      <w:r w:rsidR="00AF1C1F" w:rsidRPr="003075FB">
        <w:t xml:space="preserve"> preliminary hearings (</w:t>
      </w:r>
      <w:r w:rsidR="00311872" w:rsidRPr="003075FB">
        <w:rPr>
          <w:i/>
        </w:rPr>
        <w:t>Coleman</w:t>
      </w:r>
      <w:r w:rsidR="00311872" w:rsidRPr="003075FB">
        <w:t xml:space="preserve">, </w:t>
      </w:r>
      <w:r w:rsidR="00311872" w:rsidRPr="003075FB">
        <w:rPr>
          <w:i/>
        </w:rPr>
        <w:t>supra</w:t>
      </w:r>
      <w:r w:rsidR="00311872" w:rsidRPr="003075FB">
        <w:t xml:space="preserve">, </w:t>
      </w:r>
      <w:r w:rsidR="00AF1C1F" w:rsidRPr="003075FB">
        <w:t xml:space="preserve">399 U.S. </w:t>
      </w:r>
      <w:r w:rsidR="00311872" w:rsidRPr="003075FB">
        <w:t>at p.</w:t>
      </w:r>
      <w:r w:rsidR="001208F4" w:rsidRPr="003075FB">
        <w:t> </w:t>
      </w:r>
      <w:r w:rsidR="00AF1C1F" w:rsidRPr="003075FB">
        <w:t>10)</w:t>
      </w:r>
      <w:r w:rsidR="00A10E6C">
        <w:t>;</w:t>
      </w:r>
      <w:r w:rsidR="00AF1C1F" w:rsidRPr="003075FB">
        <w:t xml:space="preserve"> </w:t>
      </w:r>
      <w:proofErr w:type="spellStart"/>
      <w:r w:rsidR="006345F5" w:rsidRPr="003075FB">
        <w:t>postindictment</w:t>
      </w:r>
      <w:proofErr w:type="spellEnd"/>
      <w:r w:rsidR="006345F5" w:rsidRPr="003075FB">
        <w:t xml:space="preserve"> </w:t>
      </w:r>
      <w:r w:rsidR="00AF1C1F" w:rsidRPr="003075FB">
        <w:t>lineups (</w:t>
      </w:r>
      <w:r w:rsidR="00AF1C1F" w:rsidRPr="003075FB">
        <w:rPr>
          <w:i/>
        </w:rPr>
        <w:t>Wade</w:t>
      </w:r>
      <w:r w:rsidR="00AF1C1F" w:rsidRPr="003075FB">
        <w:t xml:space="preserve">, </w:t>
      </w:r>
      <w:r w:rsidR="00AF1C1F" w:rsidRPr="003075FB">
        <w:rPr>
          <w:i/>
        </w:rPr>
        <w:t>supra</w:t>
      </w:r>
      <w:r w:rsidR="00AF1C1F" w:rsidRPr="003075FB">
        <w:t>, 388 U.S. at p.</w:t>
      </w:r>
      <w:r w:rsidR="001208F4" w:rsidRPr="003075FB">
        <w:t> </w:t>
      </w:r>
      <w:r w:rsidR="00AF1C1F" w:rsidRPr="003075FB">
        <w:t>227)</w:t>
      </w:r>
      <w:r w:rsidR="00A10E6C">
        <w:t>;</w:t>
      </w:r>
      <w:r w:rsidR="00AF1C1F" w:rsidRPr="003075FB">
        <w:t xml:space="preserve"> </w:t>
      </w:r>
      <w:proofErr w:type="spellStart"/>
      <w:r w:rsidR="006345F5" w:rsidRPr="003075FB">
        <w:t>postindictment</w:t>
      </w:r>
      <w:proofErr w:type="spellEnd"/>
      <w:r w:rsidR="006345F5" w:rsidRPr="003075FB">
        <w:t xml:space="preserve"> </w:t>
      </w:r>
      <w:r w:rsidR="00AF1C1F" w:rsidRPr="003075FB">
        <w:t>interrogations (</w:t>
      </w:r>
      <w:proofErr w:type="spellStart"/>
      <w:r w:rsidR="00E34475" w:rsidRPr="003075FB">
        <w:rPr>
          <w:i/>
        </w:rPr>
        <w:t>Massiah</w:t>
      </w:r>
      <w:proofErr w:type="spellEnd"/>
      <w:r w:rsidR="00E34475" w:rsidRPr="003075FB">
        <w:rPr>
          <w:i/>
        </w:rPr>
        <w:t xml:space="preserve"> v. United States</w:t>
      </w:r>
      <w:r w:rsidR="00E34475" w:rsidRPr="003075FB">
        <w:t xml:space="preserve"> (1964) 377 U.S. 201, </w:t>
      </w:r>
      <w:r w:rsidR="00844CD9" w:rsidRPr="003075FB">
        <w:t>206</w:t>
      </w:r>
      <w:r w:rsidR="00E34475" w:rsidRPr="003075FB">
        <w:t>)</w:t>
      </w:r>
      <w:r w:rsidR="00A10E6C">
        <w:t>;</w:t>
      </w:r>
      <w:r w:rsidR="00AF1C1F" w:rsidRPr="003075FB">
        <w:t xml:space="preserve"> plea negotiations (</w:t>
      </w:r>
      <w:r w:rsidR="00830733" w:rsidRPr="003075FB">
        <w:rPr>
          <w:i/>
        </w:rPr>
        <w:t xml:space="preserve">Missouri v. </w:t>
      </w:r>
      <w:r w:rsidR="00AF1C1F" w:rsidRPr="003075FB">
        <w:rPr>
          <w:i/>
        </w:rPr>
        <w:t>Frye</w:t>
      </w:r>
      <w:r w:rsidR="00830733" w:rsidRPr="003075FB">
        <w:t xml:space="preserve"> (2012)</w:t>
      </w:r>
      <w:r w:rsidR="008348FD" w:rsidRPr="003075FB">
        <w:t xml:space="preserve"> </w:t>
      </w:r>
      <w:r w:rsidR="00AF1C1F" w:rsidRPr="003075FB">
        <w:t xml:space="preserve">566 U.S. </w:t>
      </w:r>
      <w:r w:rsidR="00830733" w:rsidRPr="003075FB">
        <w:t xml:space="preserve">134, </w:t>
      </w:r>
      <w:r w:rsidR="00AF1C1F" w:rsidRPr="003075FB">
        <w:t>143</w:t>
      </w:r>
      <w:r w:rsidR="00830733" w:rsidRPr="003075FB">
        <w:t xml:space="preserve"> (</w:t>
      </w:r>
      <w:r w:rsidR="00830733" w:rsidRPr="003075FB">
        <w:rPr>
          <w:i/>
        </w:rPr>
        <w:t>Frye</w:t>
      </w:r>
      <w:r w:rsidR="00830733" w:rsidRPr="003075FB">
        <w:t>)</w:t>
      </w:r>
      <w:r w:rsidR="00E872C1">
        <w:t>,</w:t>
      </w:r>
      <w:r w:rsidR="00E34804" w:rsidRPr="003075FB">
        <w:t xml:space="preserve"> </w:t>
      </w:r>
      <w:r w:rsidR="00E34804" w:rsidRPr="003075FB">
        <w:rPr>
          <w:i/>
        </w:rPr>
        <w:t xml:space="preserve">In re </w:t>
      </w:r>
      <w:proofErr w:type="spellStart"/>
      <w:r w:rsidR="00E34804" w:rsidRPr="003075FB">
        <w:rPr>
          <w:i/>
        </w:rPr>
        <w:t>Alvernaz</w:t>
      </w:r>
      <w:proofErr w:type="spellEnd"/>
      <w:r w:rsidR="00E34804" w:rsidRPr="003075FB">
        <w:rPr>
          <w:i/>
        </w:rPr>
        <w:t xml:space="preserve"> </w:t>
      </w:r>
      <w:r w:rsidR="00E34804" w:rsidRPr="003075FB">
        <w:t>(1992) 2 Cal.4th 924, 933–934)</w:t>
      </w:r>
      <w:r w:rsidR="00E872C1">
        <w:t>;</w:t>
      </w:r>
      <w:r w:rsidR="007D10DB" w:rsidRPr="003075FB">
        <w:t xml:space="preserve"> and sentencing (</w:t>
      </w:r>
      <w:proofErr w:type="spellStart"/>
      <w:r w:rsidR="00025B29" w:rsidRPr="003075FB">
        <w:rPr>
          <w:i/>
        </w:rPr>
        <w:t>Lafler</w:t>
      </w:r>
      <w:proofErr w:type="spellEnd"/>
      <w:r w:rsidR="00025B29" w:rsidRPr="003075FB">
        <w:t xml:space="preserve">, </w:t>
      </w:r>
      <w:r w:rsidR="00025B29" w:rsidRPr="003075FB">
        <w:rPr>
          <w:i/>
        </w:rPr>
        <w:t>supra</w:t>
      </w:r>
      <w:r w:rsidR="00025B29" w:rsidRPr="003075FB">
        <w:t>, 566 U.S. at p.</w:t>
      </w:r>
      <w:r w:rsidR="001208F4" w:rsidRPr="003075FB">
        <w:t> </w:t>
      </w:r>
      <w:r w:rsidR="00025B29" w:rsidRPr="003075FB">
        <w:t>165</w:t>
      </w:r>
      <w:r w:rsidR="007D10DB" w:rsidRPr="003075FB">
        <w:t>)</w:t>
      </w:r>
      <w:r w:rsidR="008043CF" w:rsidRPr="003075FB">
        <w:t>.</w:t>
      </w:r>
      <w:r w:rsidR="00E50887" w:rsidRPr="003075FB">
        <w:t xml:space="preserve">  </w:t>
      </w:r>
      <w:r w:rsidR="00E34804" w:rsidRPr="003075FB">
        <w:t xml:space="preserve">Relying solely on the state Constitution, this court has recognized </w:t>
      </w:r>
      <w:r w:rsidR="00830921" w:rsidRPr="003075FB">
        <w:t xml:space="preserve">a </w:t>
      </w:r>
      <w:r w:rsidR="008B5F61" w:rsidRPr="003075FB">
        <w:t>right to counsel in other proceedings as well</w:t>
      </w:r>
      <w:r w:rsidR="00530A8C" w:rsidRPr="003075FB">
        <w:t xml:space="preserve">.  </w:t>
      </w:r>
      <w:r w:rsidR="00012764" w:rsidRPr="003075FB">
        <w:t>(</w:t>
      </w:r>
      <w:r w:rsidR="00530A8C" w:rsidRPr="003075FB">
        <w:t>E</w:t>
      </w:r>
      <w:r w:rsidR="00E50887" w:rsidRPr="003075FB">
        <w:t>.g.,</w:t>
      </w:r>
      <w:r w:rsidR="00E57D6A" w:rsidRPr="003075FB">
        <w:t xml:space="preserve"> </w:t>
      </w:r>
      <w:r w:rsidR="00AF1C1F" w:rsidRPr="003075FB">
        <w:rPr>
          <w:i/>
        </w:rPr>
        <w:t>Bustamante</w:t>
      </w:r>
      <w:r w:rsidR="002645B0" w:rsidRPr="003075FB">
        <w:t xml:space="preserve">, </w:t>
      </w:r>
      <w:r w:rsidR="002645B0" w:rsidRPr="003075FB">
        <w:rPr>
          <w:i/>
        </w:rPr>
        <w:t>supra</w:t>
      </w:r>
      <w:r w:rsidR="002645B0" w:rsidRPr="003075FB">
        <w:t>,</w:t>
      </w:r>
      <w:r w:rsidR="00AF1C1F" w:rsidRPr="003075FB">
        <w:t xml:space="preserve"> 30 Cal.3d </w:t>
      </w:r>
      <w:r w:rsidR="002645B0" w:rsidRPr="003075FB">
        <w:t>at p.</w:t>
      </w:r>
      <w:r w:rsidR="0060242A">
        <w:t> </w:t>
      </w:r>
      <w:r w:rsidR="00BA45A7" w:rsidRPr="003075FB">
        <w:t>102</w:t>
      </w:r>
      <w:r w:rsidR="00AF1C1F" w:rsidRPr="003075FB">
        <w:t xml:space="preserve"> </w:t>
      </w:r>
      <w:r w:rsidR="00E50887" w:rsidRPr="003075FB">
        <w:t>[</w:t>
      </w:r>
      <w:r w:rsidR="00D01560" w:rsidRPr="003075FB">
        <w:t xml:space="preserve">state </w:t>
      </w:r>
      <w:r w:rsidR="008B5F61" w:rsidRPr="003075FB">
        <w:t xml:space="preserve">right to counsel extends to </w:t>
      </w:r>
      <w:r w:rsidR="00E50887" w:rsidRPr="003075FB">
        <w:t xml:space="preserve">preindictment lineups], disagreeing with </w:t>
      </w:r>
      <w:r w:rsidR="00E34475" w:rsidRPr="003075FB">
        <w:rPr>
          <w:i/>
        </w:rPr>
        <w:t xml:space="preserve">Kirby v. Illinois </w:t>
      </w:r>
      <w:r w:rsidR="00E34475" w:rsidRPr="003075FB">
        <w:t>(1972) 406 U.S. 682, 690</w:t>
      </w:r>
      <w:r w:rsidR="008515BE">
        <w:t>.</w:t>
      </w:r>
      <w:r w:rsidR="000D6495" w:rsidRPr="003075FB">
        <w:t>)</w:t>
      </w:r>
      <w:r w:rsidR="00356701" w:rsidRPr="003075FB">
        <w:rPr>
          <w:rStyle w:val="FootnoteReference"/>
        </w:rPr>
        <w:footnoteReference w:id="6"/>
      </w:r>
    </w:p>
    <w:p w14:paraId="60C91C72" w14:textId="2A5183EC" w:rsidR="00D5748D" w:rsidRPr="003075FB" w:rsidRDefault="00E50887" w:rsidP="003075FB">
      <w:pPr>
        <w:ind w:firstLine="720"/>
      </w:pPr>
      <w:r w:rsidRPr="003075FB">
        <w:t xml:space="preserve">Employing the same rubric here, </w:t>
      </w:r>
      <w:r w:rsidR="00012764" w:rsidRPr="003075FB">
        <w:t>we</w:t>
      </w:r>
      <w:r w:rsidR="000D6495" w:rsidRPr="003075FB">
        <w:t xml:space="preserve"> conclude that a pretrial prosecution appeal</w:t>
      </w:r>
      <w:r w:rsidR="009F0BD6" w:rsidRPr="003075FB">
        <w:t xml:space="preserve"> of</w:t>
      </w:r>
      <w:r w:rsidR="000D6495" w:rsidRPr="003075FB">
        <w:t xml:space="preserve"> a suppression order </w:t>
      </w:r>
      <w:r w:rsidR="009524AE" w:rsidRPr="003075FB">
        <w:t xml:space="preserve">also </w:t>
      </w:r>
      <w:r w:rsidR="00EE0F28" w:rsidRPr="003075FB">
        <w:t>qualifies as a critical stage of the prosecution</w:t>
      </w:r>
      <w:r w:rsidR="00486560" w:rsidRPr="003075FB">
        <w:t xml:space="preserve"> </w:t>
      </w:r>
      <w:r w:rsidR="002660FE" w:rsidRPr="003075FB">
        <w:t>at which the defendant has a right to appointed counsel</w:t>
      </w:r>
      <w:r w:rsidR="00DC1562" w:rsidRPr="003075FB">
        <w:t xml:space="preserve"> as a matter of state constitutional law</w:t>
      </w:r>
      <w:r w:rsidR="00D41076" w:rsidRPr="003075FB">
        <w:t xml:space="preserve">.  The suppression of evidence </w:t>
      </w:r>
      <w:r w:rsidR="008D02A4" w:rsidRPr="003075FB">
        <w:t xml:space="preserve">is </w:t>
      </w:r>
      <w:r w:rsidR="005D1A08" w:rsidRPr="003075FB">
        <w:t>generally</w:t>
      </w:r>
      <w:r w:rsidR="008D02A4" w:rsidRPr="003075FB">
        <w:t xml:space="preserve"> a matter of vital importance in the cou</w:t>
      </w:r>
      <w:r w:rsidR="00C37C60" w:rsidRPr="003075FB">
        <w:t xml:space="preserve">rse of a criminal prosecution.  </w:t>
      </w:r>
      <w:r w:rsidR="00D41076" w:rsidRPr="003075FB">
        <w:t xml:space="preserve">As </w:t>
      </w:r>
      <w:r w:rsidR="0040364D" w:rsidRPr="003075FB">
        <w:t>the high court has noted, “</w:t>
      </w:r>
      <w:r w:rsidR="00D41076" w:rsidRPr="003075FB">
        <w:t>suppression hearings often are as</w:t>
      </w:r>
      <w:r w:rsidR="0040364D" w:rsidRPr="003075FB">
        <w:t xml:space="preserve"> important as the trial itself.  [Citations</w:t>
      </w:r>
      <w:r w:rsidR="001208F4" w:rsidRPr="003075FB">
        <w:t>.</w:t>
      </w:r>
      <w:r w:rsidR="0040364D" w:rsidRPr="003075FB">
        <w:t>]  In .</w:t>
      </w:r>
      <w:r w:rsidR="001208F4" w:rsidRPr="003075FB">
        <w:t> </w:t>
      </w:r>
      <w:r w:rsidR="0040364D" w:rsidRPr="003075FB">
        <w:t>.</w:t>
      </w:r>
      <w:r w:rsidR="001208F4" w:rsidRPr="003075FB">
        <w:t> </w:t>
      </w:r>
      <w:r w:rsidR="0040364D" w:rsidRPr="003075FB">
        <w:t xml:space="preserve">. </w:t>
      </w:r>
      <w:r w:rsidR="00D41076" w:rsidRPr="003075FB">
        <w:t xml:space="preserve">many cases, the suppression hearing [is] the </w:t>
      </w:r>
      <w:r w:rsidR="00D41076" w:rsidRPr="003075FB">
        <w:rPr>
          <w:i/>
        </w:rPr>
        <w:t xml:space="preserve">only </w:t>
      </w:r>
      <w:r w:rsidR="00C37C60" w:rsidRPr="003075FB">
        <w:t>trial</w:t>
      </w:r>
      <w:r w:rsidR="00E872C1">
        <w:t xml:space="preserve"> . . . .</w:t>
      </w:r>
      <w:r w:rsidR="00C37C60" w:rsidRPr="003075FB">
        <w:t xml:space="preserve">” </w:t>
      </w:r>
      <w:r w:rsidR="00A20216">
        <w:t xml:space="preserve"> </w:t>
      </w:r>
      <w:r w:rsidR="00D41076" w:rsidRPr="003075FB">
        <w:t>(</w:t>
      </w:r>
      <w:r w:rsidR="0040364D" w:rsidRPr="003075FB">
        <w:rPr>
          <w:i/>
        </w:rPr>
        <w:t>Waller v. Georgia</w:t>
      </w:r>
      <w:r w:rsidR="0040364D" w:rsidRPr="003075FB">
        <w:t xml:space="preserve"> (1984) 467 U.S. 39, 46</w:t>
      </w:r>
      <w:r w:rsidR="00313009" w:rsidRPr="003075FB">
        <w:t>–</w:t>
      </w:r>
      <w:r w:rsidR="0040364D" w:rsidRPr="003075FB">
        <w:t>47</w:t>
      </w:r>
      <w:r w:rsidR="00D41076" w:rsidRPr="003075FB">
        <w:t xml:space="preserve">.)  </w:t>
      </w:r>
      <w:r w:rsidR="001B6298" w:rsidRPr="003075FB">
        <w:t xml:space="preserve">This </w:t>
      </w:r>
      <w:r w:rsidR="00032E08" w:rsidRPr="003075FB">
        <w:t xml:space="preserve">case offers a vivid illustration of the point.  </w:t>
      </w:r>
      <w:r w:rsidR="00326CB3" w:rsidRPr="003075FB">
        <w:t>In the trial court</w:t>
      </w:r>
      <w:r w:rsidR="00056AC0" w:rsidRPr="003075FB">
        <w:t xml:space="preserve">, </w:t>
      </w:r>
      <w:r w:rsidR="00482CBB" w:rsidRPr="003075FB">
        <w:t>Lopez</w:t>
      </w:r>
      <w:r w:rsidR="00056AC0" w:rsidRPr="003075FB">
        <w:t xml:space="preserve">, with her counsel’s help, </w:t>
      </w:r>
      <w:r w:rsidR="00B77B6E" w:rsidRPr="003075FB">
        <w:t xml:space="preserve">secured </w:t>
      </w:r>
      <w:r w:rsidR="007830F0" w:rsidRPr="003075FB">
        <w:t xml:space="preserve">a favorable suppression </w:t>
      </w:r>
      <w:r w:rsidR="00F05E2B" w:rsidRPr="003075FB">
        <w:t>ruling</w:t>
      </w:r>
      <w:r w:rsidR="007830F0" w:rsidRPr="003075FB">
        <w:t xml:space="preserve">; </w:t>
      </w:r>
      <w:r w:rsidR="00F05E2B" w:rsidRPr="003075FB">
        <w:t xml:space="preserve">in the absence of the </w:t>
      </w:r>
      <w:r w:rsidR="007830F0" w:rsidRPr="003075FB">
        <w:t xml:space="preserve">suppressed evidence, the trial court concluded </w:t>
      </w:r>
      <w:r w:rsidR="00E872C1">
        <w:t xml:space="preserve">that </w:t>
      </w:r>
      <w:r w:rsidR="007830F0" w:rsidRPr="003075FB">
        <w:t xml:space="preserve">the </w:t>
      </w:r>
      <w:r w:rsidR="009117F8" w:rsidRPr="003075FB">
        <w:t xml:space="preserve">prosecution could not continue.  </w:t>
      </w:r>
      <w:r w:rsidR="00B407CB" w:rsidRPr="003075FB">
        <w:t>A</w:t>
      </w:r>
      <w:r w:rsidR="00965400" w:rsidRPr="003075FB">
        <w:t xml:space="preserve"> reversal on appeal </w:t>
      </w:r>
      <w:r w:rsidR="00196BDB" w:rsidRPr="003075FB">
        <w:t xml:space="preserve">would both </w:t>
      </w:r>
      <w:r w:rsidR="00965400" w:rsidRPr="003075FB">
        <w:t>revive the prosecution’s case against Lopez</w:t>
      </w:r>
      <w:r w:rsidR="00196BDB" w:rsidRPr="003075FB">
        <w:t xml:space="preserve"> and </w:t>
      </w:r>
      <w:r w:rsidR="001124A2" w:rsidRPr="003075FB">
        <w:t xml:space="preserve">meaningfully </w:t>
      </w:r>
      <w:r w:rsidR="001B39BF" w:rsidRPr="003075FB">
        <w:t xml:space="preserve">increase </w:t>
      </w:r>
      <w:r w:rsidR="003149AD" w:rsidRPr="003075FB">
        <w:t>the chances of conviction.</w:t>
      </w:r>
      <w:r w:rsidR="00326CB3" w:rsidRPr="003075FB">
        <w:t xml:space="preserve">  </w:t>
      </w:r>
      <w:r w:rsidR="0006545D" w:rsidRPr="003075FB">
        <w:t xml:space="preserve">In other cases, </w:t>
      </w:r>
      <w:r w:rsidR="00DB1B09" w:rsidRPr="003075FB">
        <w:t xml:space="preserve">a ruling on </w:t>
      </w:r>
      <w:r w:rsidR="0006545D" w:rsidRPr="003075FB">
        <w:t xml:space="preserve">a suppression order may not be </w:t>
      </w:r>
      <w:r w:rsidR="00DB1B09" w:rsidRPr="003075FB">
        <w:t xml:space="preserve">entirely </w:t>
      </w:r>
      <w:r w:rsidR="0006545D" w:rsidRPr="003075FB">
        <w:t>dispositive</w:t>
      </w:r>
      <w:r w:rsidR="006F2FBE" w:rsidRPr="003075FB">
        <w:t xml:space="preserve"> of the outcome</w:t>
      </w:r>
      <w:r w:rsidR="0006545D" w:rsidRPr="003075FB">
        <w:t>, but may nevertheless have a dramatic impact on the prosecution’s ability to meet</w:t>
      </w:r>
      <w:r w:rsidR="00A05C3F" w:rsidRPr="003075FB">
        <w:t xml:space="preserve"> its burden of proof at trial.  </w:t>
      </w:r>
      <w:r w:rsidR="007830F0" w:rsidRPr="003075FB">
        <w:t xml:space="preserve">Regardless of </w:t>
      </w:r>
      <w:r w:rsidR="0087524E" w:rsidRPr="003075FB">
        <w:t>the scope of the</w:t>
      </w:r>
      <w:r w:rsidR="007830F0" w:rsidRPr="003075FB">
        <w:t xml:space="preserve"> suppression </w:t>
      </w:r>
      <w:r w:rsidR="00CA4728" w:rsidRPr="003075FB">
        <w:t xml:space="preserve">order </w:t>
      </w:r>
      <w:r w:rsidR="0087524E" w:rsidRPr="003075FB">
        <w:t>in any given</w:t>
      </w:r>
      <w:r w:rsidR="00A77280" w:rsidRPr="003075FB">
        <w:t xml:space="preserve"> case, a</w:t>
      </w:r>
      <w:r w:rsidR="00CA4728" w:rsidRPr="003075FB">
        <w:t xml:space="preserve">n appellate proceeding to determine whether the evidence will remain </w:t>
      </w:r>
      <w:r w:rsidR="001E67D7" w:rsidRPr="003075FB">
        <w:t xml:space="preserve">suppressed </w:t>
      </w:r>
      <w:r w:rsidR="00722AED" w:rsidRPr="003075FB">
        <w:t xml:space="preserve">poses a clear and substantial risk of prejudice to </w:t>
      </w:r>
      <w:r w:rsidR="00A419F4">
        <w:t xml:space="preserve">the </w:t>
      </w:r>
      <w:r w:rsidR="00722AED" w:rsidRPr="003075FB">
        <w:t xml:space="preserve">defendant’s position at trial.  </w:t>
      </w:r>
      <w:r w:rsidR="00832803" w:rsidRPr="003075FB">
        <w:t xml:space="preserve">(See </w:t>
      </w:r>
      <w:r w:rsidR="006A4476" w:rsidRPr="003075FB">
        <w:rPr>
          <w:i/>
        </w:rPr>
        <w:t xml:space="preserve">People v. </w:t>
      </w:r>
      <w:proofErr w:type="spellStart"/>
      <w:r w:rsidR="00ED4ECB" w:rsidRPr="003075FB">
        <w:rPr>
          <w:i/>
        </w:rPr>
        <w:t>Shuey</w:t>
      </w:r>
      <w:proofErr w:type="spellEnd"/>
      <w:r w:rsidR="006A4476" w:rsidRPr="003075FB">
        <w:rPr>
          <w:i/>
        </w:rPr>
        <w:t xml:space="preserve"> </w:t>
      </w:r>
      <w:r w:rsidR="006A4476" w:rsidRPr="003075FB">
        <w:t>(19</w:t>
      </w:r>
      <w:r w:rsidR="00ED4ECB" w:rsidRPr="003075FB">
        <w:t>75</w:t>
      </w:r>
      <w:r w:rsidR="006A4476" w:rsidRPr="003075FB">
        <w:t xml:space="preserve">) </w:t>
      </w:r>
      <w:r w:rsidR="00ED4ECB" w:rsidRPr="003075FB">
        <w:t>13 Cal.3d 835, 841</w:t>
      </w:r>
      <w:r w:rsidR="006A4476" w:rsidRPr="003075FB">
        <w:t xml:space="preserve"> </w:t>
      </w:r>
      <w:r w:rsidR="005D25F9" w:rsidRPr="003075FB">
        <w:t>[</w:t>
      </w:r>
      <w:r w:rsidR="006A4476" w:rsidRPr="003075FB">
        <w:t>law</w:t>
      </w:r>
      <w:r w:rsidR="00E872C1">
        <w:t xml:space="preserve"> </w:t>
      </w:r>
      <w:r w:rsidR="006A4476" w:rsidRPr="003075FB">
        <w:t>of</w:t>
      </w:r>
      <w:r w:rsidR="00E872C1">
        <w:t xml:space="preserve"> </w:t>
      </w:r>
      <w:r w:rsidR="006A4476" w:rsidRPr="003075FB">
        <w:t>the</w:t>
      </w:r>
      <w:r w:rsidR="00E872C1">
        <w:t xml:space="preserve"> </w:t>
      </w:r>
      <w:r w:rsidR="006A4476" w:rsidRPr="003075FB">
        <w:t xml:space="preserve">case doctrine binds trial courts to appellate courts’ </w:t>
      </w:r>
      <w:r w:rsidR="00704C62">
        <w:t xml:space="preserve">legal </w:t>
      </w:r>
      <w:r w:rsidR="006A4476" w:rsidRPr="003075FB">
        <w:t>rulings governing suppression motions]</w:t>
      </w:r>
      <w:r w:rsidR="00832803" w:rsidRPr="003075FB">
        <w:t xml:space="preserve">.) </w:t>
      </w:r>
    </w:p>
    <w:p w14:paraId="1E55188F" w14:textId="2C9642C6" w:rsidR="00F616A9" w:rsidRPr="003075FB" w:rsidRDefault="00B81148" w:rsidP="003075FB">
      <w:pPr>
        <w:ind w:firstLine="720"/>
        <w:rPr>
          <w:szCs w:val="26"/>
        </w:rPr>
      </w:pPr>
      <w:r w:rsidRPr="003075FB">
        <w:t xml:space="preserve">The </w:t>
      </w:r>
      <w:r w:rsidR="00723657" w:rsidRPr="003075FB">
        <w:t xml:space="preserve">need for </w:t>
      </w:r>
      <w:r w:rsidRPr="003075FB">
        <w:t xml:space="preserve">counsel </w:t>
      </w:r>
      <w:r w:rsidR="001D0231" w:rsidRPr="003075FB">
        <w:t xml:space="preserve">in responding to such a state-initiated appeal </w:t>
      </w:r>
      <w:r w:rsidRPr="003075FB">
        <w:t>is equally clear</w:t>
      </w:r>
      <w:r w:rsidR="00296491" w:rsidRPr="003075FB">
        <w:t xml:space="preserve"> and equally substantial</w:t>
      </w:r>
      <w:r w:rsidRPr="003075FB">
        <w:t>.</w:t>
      </w:r>
      <w:r w:rsidR="00E130E0" w:rsidRPr="003075FB">
        <w:t xml:space="preserve">  </w:t>
      </w:r>
      <w:r w:rsidR="005E506C" w:rsidRPr="003075FB">
        <w:t xml:space="preserve">On </w:t>
      </w:r>
      <w:r w:rsidR="0056103D" w:rsidRPr="003075FB">
        <w:t xml:space="preserve">appeal, </w:t>
      </w:r>
      <w:r w:rsidR="00AF1C1F" w:rsidRPr="003075FB">
        <w:t>the defendant “</w:t>
      </w:r>
      <w:r w:rsidR="00326F46">
        <w:t> </w:t>
      </w:r>
      <w:r w:rsidR="00696FB7" w:rsidRPr="003075FB">
        <w:t>‘</w:t>
      </w:r>
      <w:r w:rsidR="00AF1C1F" w:rsidRPr="003075FB">
        <w:t>face[s] an adversary proceeding that—like a trial—is governed by intricate rules that to a layperson would be hopelessly forbidding.</w:t>
      </w:r>
      <w:r w:rsidR="00696FB7" w:rsidRPr="003075FB">
        <w:t>’</w:t>
      </w:r>
      <w:r w:rsidR="00326F46">
        <w:t> </w:t>
      </w:r>
      <w:r w:rsidR="00AF1C1F" w:rsidRPr="003075FB">
        <w:t>”</w:t>
      </w:r>
      <w:r w:rsidR="007430FF" w:rsidRPr="003075FB">
        <w:t xml:space="preserve"> </w:t>
      </w:r>
      <w:r w:rsidR="00AF1C1F" w:rsidRPr="003075FB">
        <w:t xml:space="preserve"> (</w:t>
      </w:r>
      <w:r w:rsidR="00696FB7" w:rsidRPr="003075FB">
        <w:rPr>
          <w:i/>
        </w:rPr>
        <w:t>In re Olsen</w:t>
      </w:r>
      <w:r w:rsidR="00696FB7" w:rsidRPr="003075FB">
        <w:t xml:space="preserve"> (1986) 176 Cal.App.3d 386, 390, quoting </w:t>
      </w:r>
      <w:r w:rsidR="00AF1C1F" w:rsidRPr="003075FB">
        <w:rPr>
          <w:i/>
        </w:rPr>
        <w:t xml:space="preserve">Evitts v. Lucey </w:t>
      </w:r>
      <w:r w:rsidR="00AF1C1F" w:rsidRPr="003075FB">
        <w:t xml:space="preserve">(1985) 469 U.S. 387, 396.)  </w:t>
      </w:r>
      <w:r w:rsidR="007F4BB9" w:rsidRPr="003075FB">
        <w:t xml:space="preserve">These rules are </w:t>
      </w:r>
      <w:r w:rsidR="004D2470" w:rsidRPr="003075FB">
        <w:t xml:space="preserve">forbidding for any layperson, but all the more so for criminal defendants who may come to court </w:t>
      </w:r>
      <w:r w:rsidR="00543DD6" w:rsidRPr="003075FB">
        <w:t>with a wide range of educational backgrounds and lingu</w:t>
      </w:r>
      <w:r w:rsidR="004D2470" w:rsidRPr="003075FB">
        <w:t xml:space="preserve">istic and other </w:t>
      </w:r>
      <w:r w:rsidR="005E7ACA" w:rsidRPr="003075FB">
        <w:t>abilities</w:t>
      </w:r>
      <w:r w:rsidR="004D2470" w:rsidRPr="003075FB">
        <w:t xml:space="preserve">.  (See </w:t>
      </w:r>
      <w:r w:rsidR="004D2470" w:rsidRPr="003075FB">
        <w:rPr>
          <w:i/>
        </w:rPr>
        <w:t>Halbert v. Michigan</w:t>
      </w:r>
      <w:r w:rsidR="005E7ACA" w:rsidRPr="003075FB">
        <w:t xml:space="preserve"> (2005) 545 U.S. 605, 621 [“Navigating the appellate process without a lawyer’s assistance is a perilous endeavor for a layperson, and well beyond the competence of individuals .</w:t>
      </w:r>
      <w:r w:rsidR="00326F46">
        <w:t> </w:t>
      </w:r>
      <w:r w:rsidR="005E7ACA" w:rsidRPr="003075FB">
        <w:t>.</w:t>
      </w:r>
      <w:r w:rsidR="00326F46">
        <w:t> </w:t>
      </w:r>
      <w:r w:rsidR="005E7ACA" w:rsidRPr="003075FB">
        <w:t>. who have little education, learning disabilities, and mental impairments.”].)</w:t>
      </w:r>
      <w:r w:rsidR="00302435" w:rsidRPr="003075FB">
        <w:t xml:space="preserve">  </w:t>
      </w:r>
      <w:r w:rsidR="00572050" w:rsidRPr="003075FB">
        <w:t>I</w:t>
      </w:r>
      <w:r w:rsidR="00E441E0" w:rsidRPr="003075FB">
        <w:t>ndeed, i</w:t>
      </w:r>
      <w:r w:rsidR="00572050" w:rsidRPr="003075FB">
        <w:t xml:space="preserve">n part for these </w:t>
      </w:r>
      <w:r w:rsidR="00E441E0" w:rsidRPr="003075FB">
        <w:t xml:space="preserve">very </w:t>
      </w:r>
      <w:r w:rsidR="00572050" w:rsidRPr="003075FB">
        <w:t xml:space="preserve">reasons, the high court has held that a criminal defendant has a Fourteenth Amendment right to appointed counsel in his or her first appeal as of right.  (See </w:t>
      </w:r>
      <w:r w:rsidR="00572050" w:rsidRPr="003075FB">
        <w:rPr>
          <w:i/>
        </w:rPr>
        <w:t>Douglas v. California</w:t>
      </w:r>
      <w:r w:rsidR="00572050" w:rsidRPr="003075FB">
        <w:t xml:space="preserve"> (1963) 372 U.S. 353 (</w:t>
      </w:r>
      <w:r w:rsidR="00572050" w:rsidRPr="003075FB">
        <w:rPr>
          <w:i/>
        </w:rPr>
        <w:t>Douglas</w:t>
      </w:r>
      <w:r w:rsidR="00572050" w:rsidRPr="003075FB">
        <w:t xml:space="preserve">).)  </w:t>
      </w:r>
      <w:r w:rsidR="002473CA" w:rsidRPr="003075FB">
        <w:t xml:space="preserve">For the same reasons, we conclude </w:t>
      </w:r>
      <w:r w:rsidR="00E872C1">
        <w:t xml:space="preserve">that </w:t>
      </w:r>
      <w:r w:rsidR="0090482F" w:rsidRPr="003075FB">
        <w:t xml:space="preserve">a defendant like </w:t>
      </w:r>
      <w:r w:rsidR="002473CA" w:rsidRPr="003075FB">
        <w:t xml:space="preserve">Lopez is entitled to the assistance of counsel in responding to the prosecution’s appeal.  </w:t>
      </w:r>
      <w:r w:rsidR="00E164A1" w:rsidRPr="003075FB">
        <w:t xml:space="preserve">Just as a defendant is unlikely to fare well </w:t>
      </w:r>
      <w:r w:rsidR="00FC5135" w:rsidRPr="003075FB">
        <w:t xml:space="preserve">in </w:t>
      </w:r>
      <w:r w:rsidR="00B256AB" w:rsidRPr="003075FB">
        <w:t xml:space="preserve">filing and </w:t>
      </w:r>
      <w:r w:rsidR="00BA35D2" w:rsidRPr="003075FB">
        <w:t xml:space="preserve">litigating </w:t>
      </w:r>
      <w:r w:rsidR="00FC5135" w:rsidRPr="003075FB">
        <w:t xml:space="preserve">a suppression motion without the help of a trained attorney, a defendant will almost certainly struggle to </w:t>
      </w:r>
      <w:r w:rsidR="00046248" w:rsidRPr="003075FB">
        <w:t xml:space="preserve">defend </w:t>
      </w:r>
      <w:r w:rsidR="00317EAA" w:rsidRPr="003075FB">
        <w:t xml:space="preserve">the trial court’s suppression ruling </w:t>
      </w:r>
      <w:r w:rsidR="00046248" w:rsidRPr="003075FB">
        <w:t xml:space="preserve">on appeal </w:t>
      </w:r>
      <w:r w:rsidR="00FC5135" w:rsidRPr="003075FB">
        <w:t xml:space="preserve">without the assistance </w:t>
      </w:r>
      <w:r w:rsidR="00C625ED" w:rsidRPr="003075FB">
        <w:t xml:space="preserve">of counsel </w:t>
      </w:r>
      <w:r w:rsidR="009D25DF" w:rsidRPr="003075FB">
        <w:t>“</w:t>
      </w:r>
      <w:r w:rsidR="00AF1C1F" w:rsidRPr="003075FB">
        <w:t>skilled in persuading a panel of appellate judges by means of a brief and perhaps oral argument.”</w:t>
      </w:r>
      <w:r w:rsidR="00D82837" w:rsidRPr="003075FB">
        <w:t xml:space="preserve"> </w:t>
      </w:r>
      <w:r w:rsidR="00AF1C1F" w:rsidRPr="003075FB">
        <w:t xml:space="preserve"> (</w:t>
      </w:r>
      <w:r w:rsidR="00C04292" w:rsidRPr="003075FB">
        <w:rPr>
          <w:i/>
        </w:rPr>
        <w:t>U.S. ex rel. Thomas</w:t>
      </w:r>
      <w:r w:rsidR="00C04292" w:rsidRPr="003075FB">
        <w:t xml:space="preserve"> </w:t>
      </w:r>
      <w:r w:rsidR="0007696C" w:rsidRPr="003075FB">
        <w:rPr>
          <w:i/>
        </w:rPr>
        <w:t xml:space="preserve">v. O’Leary </w:t>
      </w:r>
      <w:r w:rsidR="0007696C" w:rsidRPr="003075FB">
        <w:t>(7th Cir. 1988) 856 F.2d 1011, 1014 (</w:t>
      </w:r>
      <w:r w:rsidR="0007696C" w:rsidRPr="003075FB">
        <w:rPr>
          <w:i/>
        </w:rPr>
        <w:t>O’Leary</w:t>
      </w:r>
      <w:r w:rsidR="0007696C" w:rsidRPr="003075FB">
        <w:t>)</w:t>
      </w:r>
      <w:r w:rsidR="00B05808" w:rsidRPr="003075FB">
        <w:t>.)</w:t>
      </w:r>
      <w:r w:rsidR="00372186" w:rsidRPr="003075FB">
        <w:t xml:space="preserve">  </w:t>
      </w:r>
    </w:p>
    <w:p w14:paraId="419BE2F1" w14:textId="77777777" w:rsidR="009370C3" w:rsidRPr="003075FB" w:rsidRDefault="00F87EF0" w:rsidP="003075FB">
      <w:pPr>
        <w:ind w:firstLine="720"/>
      </w:pPr>
      <w:r w:rsidRPr="003075FB">
        <w:rPr>
          <w:szCs w:val="26"/>
        </w:rPr>
        <w:t xml:space="preserve">It is true, as respondent observes, that </w:t>
      </w:r>
      <w:r w:rsidR="00151D44" w:rsidRPr="003075FB">
        <w:rPr>
          <w:szCs w:val="26"/>
        </w:rPr>
        <w:t xml:space="preserve">on appeal </w:t>
      </w:r>
      <w:r w:rsidRPr="003075FB">
        <w:rPr>
          <w:szCs w:val="26"/>
        </w:rPr>
        <w:t xml:space="preserve">Lopez </w:t>
      </w:r>
      <w:r w:rsidR="00AF1C1F" w:rsidRPr="003075FB">
        <w:t>“will reap the benefit of standards of review and other procedural tools that are designed to protect the ruling the trial court has already made.”</w:t>
      </w:r>
      <w:r w:rsidR="00892CC0" w:rsidRPr="003075FB">
        <w:t xml:space="preserve">  </w:t>
      </w:r>
      <w:r w:rsidR="004A61E5" w:rsidRPr="003075FB">
        <w:t>But</w:t>
      </w:r>
      <w:r w:rsidR="002A6DEF" w:rsidRPr="003075FB">
        <w:t xml:space="preserve"> the</w:t>
      </w:r>
      <w:r w:rsidR="001F30B4" w:rsidRPr="003075FB">
        <w:t xml:space="preserve"> </w:t>
      </w:r>
      <w:r w:rsidR="0050532F" w:rsidRPr="003075FB">
        <w:t xml:space="preserve">effect </w:t>
      </w:r>
      <w:r w:rsidR="001F30B4" w:rsidRPr="003075FB">
        <w:t xml:space="preserve">of </w:t>
      </w:r>
      <w:r w:rsidR="00E32039" w:rsidRPr="003075FB">
        <w:t xml:space="preserve">these </w:t>
      </w:r>
      <w:r w:rsidR="005E1824" w:rsidRPr="003075FB">
        <w:t>“</w:t>
      </w:r>
      <w:r w:rsidR="008B1299" w:rsidRPr="003075FB">
        <w:t>procedural tools</w:t>
      </w:r>
      <w:r w:rsidR="005E1824" w:rsidRPr="003075FB">
        <w:t>”</w:t>
      </w:r>
      <w:r w:rsidR="008B1299" w:rsidRPr="003075FB">
        <w:t xml:space="preserve"> </w:t>
      </w:r>
      <w:r w:rsidR="001F30B4" w:rsidRPr="003075FB">
        <w:t>should not</w:t>
      </w:r>
      <w:r w:rsidR="001865F6" w:rsidRPr="003075FB">
        <w:t xml:space="preserve"> be overstated; </w:t>
      </w:r>
      <w:r w:rsidR="00891A48" w:rsidRPr="003075FB">
        <w:t>there are limits to how much an appellate c</w:t>
      </w:r>
      <w:r w:rsidR="005230C9" w:rsidRPr="003075FB">
        <w:t xml:space="preserve">ourt can or </w:t>
      </w:r>
      <w:r w:rsidR="00203509" w:rsidRPr="003075FB">
        <w:t xml:space="preserve">should </w:t>
      </w:r>
      <w:r w:rsidR="005230C9" w:rsidRPr="003075FB">
        <w:t>defer to a trial court’s conclusions</w:t>
      </w:r>
      <w:r w:rsidR="002A0F9D" w:rsidRPr="003075FB">
        <w:t>.</w:t>
      </w:r>
      <w:r w:rsidR="001865F6" w:rsidRPr="003075FB">
        <w:t xml:space="preserve">  (See, e.g., </w:t>
      </w:r>
      <w:r w:rsidR="001865F6" w:rsidRPr="003075FB">
        <w:rPr>
          <w:i/>
        </w:rPr>
        <w:t xml:space="preserve">Kavanaugh v. West Sonoma </w:t>
      </w:r>
      <w:r w:rsidR="00C04292" w:rsidRPr="003075FB">
        <w:rPr>
          <w:i/>
        </w:rPr>
        <w:t xml:space="preserve">County </w:t>
      </w:r>
      <w:r w:rsidR="001865F6" w:rsidRPr="003075FB">
        <w:rPr>
          <w:i/>
        </w:rPr>
        <w:t>Union High Sch</w:t>
      </w:r>
      <w:r w:rsidR="00C04292" w:rsidRPr="003075FB">
        <w:rPr>
          <w:i/>
        </w:rPr>
        <w:t>ool</w:t>
      </w:r>
      <w:r w:rsidR="001865F6" w:rsidRPr="003075FB">
        <w:rPr>
          <w:i/>
        </w:rPr>
        <w:t xml:space="preserve"> Dist.</w:t>
      </w:r>
      <w:r w:rsidR="001865F6" w:rsidRPr="003075FB">
        <w:t xml:space="preserve"> </w:t>
      </w:r>
      <w:r w:rsidR="00B96B39" w:rsidRPr="003075FB">
        <w:t xml:space="preserve">(2003) </w:t>
      </w:r>
      <w:r w:rsidR="001865F6" w:rsidRPr="003075FB">
        <w:t xml:space="preserve">29 Cal.4th </w:t>
      </w:r>
      <w:r w:rsidR="00B96B39" w:rsidRPr="003075FB">
        <w:t xml:space="preserve">911, </w:t>
      </w:r>
      <w:r w:rsidR="001865F6" w:rsidRPr="003075FB">
        <w:t xml:space="preserve">916 [on appeal, a court defers to the trial court’s factual determinations if supported by substantial evidence, but reviews questions of law de novo].)  </w:t>
      </w:r>
      <w:r w:rsidR="00032D42" w:rsidRPr="003075FB">
        <w:t xml:space="preserve">Here, </w:t>
      </w:r>
      <w:r w:rsidR="000217F8" w:rsidRPr="003075FB">
        <w:t xml:space="preserve">for example, </w:t>
      </w:r>
      <w:r w:rsidR="00032D42" w:rsidRPr="003075FB">
        <w:t>w</w:t>
      </w:r>
      <w:r w:rsidR="008679AF" w:rsidRPr="003075FB">
        <w:t>e are concerned with a Fourth Amendment suppression ruling</w:t>
      </w:r>
      <w:r w:rsidR="00EC2174" w:rsidRPr="003075FB">
        <w:t xml:space="preserve"> regarding evidence obtained without a warrant</w:t>
      </w:r>
      <w:r w:rsidR="008679AF" w:rsidRPr="003075FB">
        <w:t xml:space="preserve">; in such cases, an </w:t>
      </w:r>
      <w:r w:rsidR="00CB5EB4" w:rsidRPr="003075FB">
        <w:t xml:space="preserve">appellate court independently applies the law to the trial court’s factual findings, determining de novo whether the findings support the </w:t>
      </w:r>
      <w:r w:rsidR="00EB4AD3" w:rsidRPr="003075FB">
        <w:t xml:space="preserve">trial court’s ruling.  </w:t>
      </w:r>
      <w:r w:rsidR="00E74E56" w:rsidRPr="003075FB">
        <w:t>(</w:t>
      </w:r>
      <w:r w:rsidR="00E425FE" w:rsidRPr="003075FB">
        <w:rPr>
          <w:i/>
        </w:rPr>
        <w:t>People v. Loewen</w:t>
      </w:r>
      <w:r w:rsidR="00ED1C0E" w:rsidRPr="003075FB">
        <w:t xml:space="preserve"> (1983) 35 Cal.3d 117, 123</w:t>
      </w:r>
      <w:r w:rsidR="00A77280" w:rsidRPr="003075FB">
        <w:t>.)</w:t>
      </w:r>
      <w:r w:rsidR="00C22A92" w:rsidRPr="003075FB">
        <w:t xml:space="preserve">  </w:t>
      </w:r>
      <w:r w:rsidR="00DA3E79" w:rsidRPr="003075FB">
        <w:t>T</w:t>
      </w:r>
      <w:r w:rsidR="00D97C2F" w:rsidRPr="003075FB">
        <w:t xml:space="preserve">he effect of standards of review and </w:t>
      </w:r>
      <w:r w:rsidR="007876CE" w:rsidRPr="003075FB">
        <w:t xml:space="preserve">other </w:t>
      </w:r>
      <w:r w:rsidR="00D97C2F" w:rsidRPr="003075FB">
        <w:t xml:space="preserve">procedural tools </w:t>
      </w:r>
      <w:r w:rsidR="003B2FCA" w:rsidRPr="003075FB">
        <w:t>is</w:t>
      </w:r>
      <w:r w:rsidR="00DA3E79" w:rsidRPr="003075FB">
        <w:t xml:space="preserve">, moreover, </w:t>
      </w:r>
      <w:r w:rsidR="00825C6A" w:rsidRPr="003075FB">
        <w:t>often open to reasoned debate</w:t>
      </w:r>
      <w:r w:rsidR="00142850" w:rsidRPr="003075FB">
        <w:t>; in our adversarial system of justice, we o</w:t>
      </w:r>
      <w:r w:rsidR="006C4084" w:rsidRPr="003075FB">
        <w:t xml:space="preserve">rdinarily depend on the </w:t>
      </w:r>
      <w:r w:rsidR="00D74A57" w:rsidRPr="003075FB">
        <w:t xml:space="preserve">litigants </w:t>
      </w:r>
      <w:r w:rsidR="00AB6DAF" w:rsidRPr="003075FB">
        <w:t>to lay out the terms of th</w:t>
      </w:r>
      <w:r w:rsidR="00B96B39" w:rsidRPr="003075FB">
        <w:t>at</w:t>
      </w:r>
      <w:r w:rsidR="00AB6DAF" w:rsidRPr="003075FB">
        <w:t xml:space="preserve"> debate</w:t>
      </w:r>
      <w:r w:rsidR="00391751" w:rsidRPr="003075FB">
        <w:t>.</w:t>
      </w:r>
      <w:r w:rsidR="007A6D90" w:rsidRPr="003075FB">
        <w:t xml:space="preserve"> </w:t>
      </w:r>
      <w:r w:rsidR="004D2C15" w:rsidRPr="003075FB">
        <w:t xml:space="preserve"> </w:t>
      </w:r>
      <w:r w:rsidR="005230C9" w:rsidRPr="003075FB">
        <w:t xml:space="preserve">For an indigent defendant who, like Lopez, has won the underlying </w:t>
      </w:r>
      <w:r w:rsidR="0004723B" w:rsidRPr="003075FB">
        <w:t>ruling with counsel’s assistance, standards of review are not an adequate substitute for continued assistance on appeal.</w:t>
      </w:r>
    </w:p>
    <w:p w14:paraId="145E0BD9" w14:textId="116821F8" w:rsidR="009370C3" w:rsidRPr="003075FB" w:rsidRDefault="009370C3" w:rsidP="003075FB">
      <w:pPr>
        <w:ind w:firstLine="720"/>
        <w:rPr>
          <w:szCs w:val="26"/>
        </w:rPr>
      </w:pPr>
      <w:r w:rsidRPr="003075FB">
        <w:rPr>
          <w:szCs w:val="26"/>
        </w:rPr>
        <w:t xml:space="preserve">Respondent raises two remaining arguments concerning the scope of Lopez’s right to counsel.  Both arguments are predicated on the federal Constitution rather than the California Constitution, which forms the basis of our judgment here.  For the sake of completeness, </w:t>
      </w:r>
      <w:r w:rsidR="007333C5" w:rsidRPr="003075FB">
        <w:rPr>
          <w:szCs w:val="26"/>
        </w:rPr>
        <w:t xml:space="preserve">however, </w:t>
      </w:r>
      <w:r w:rsidRPr="003075FB">
        <w:rPr>
          <w:szCs w:val="26"/>
        </w:rPr>
        <w:t xml:space="preserve">we </w:t>
      </w:r>
      <w:r w:rsidR="00D170E6" w:rsidRPr="003075FB">
        <w:rPr>
          <w:szCs w:val="26"/>
        </w:rPr>
        <w:t>address</w:t>
      </w:r>
      <w:r w:rsidR="00704C62">
        <w:rPr>
          <w:szCs w:val="26"/>
        </w:rPr>
        <w:t>—</w:t>
      </w:r>
      <w:r w:rsidR="00D170E6" w:rsidRPr="003075FB">
        <w:rPr>
          <w:szCs w:val="26"/>
        </w:rPr>
        <w:t>and reject</w:t>
      </w:r>
      <w:r w:rsidR="00704C62">
        <w:rPr>
          <w:szCs w:val="26"/>
        </w:rPr>
        <w:t>—</w:t>
      </w:r>
      <w:r w:rsidRPr="003075FB">
        <w:rPr>
          <w:szCs w:val="26"/>
        </w:rPr>
        <w:t>both arguments</w:t>
      </w:r>
      <w:r w:rsidR="00D170E6" w:rsidRPr="003075FB">
        <w:rPr>
          <w:szCs w:val="26"/>
        </w:rPr>
        <w:t>.</w:t>
      </w:r>
    </w:p>
    <w:p w14:paraId="76F94491" w14:textId="77777777" w:rsidR="00981AAD" w:rsidRPr="003075FB" w:rsidRDefault="00981AAD" w:rsidP="00326F46">
      <w:pPr>
        <w:jc w:val="center"/>
        <w:rPr>
          <w:b/>
          <w:szCs w:val="26"/>
        </w:rPr>
      </w:pPr>
      <w:r w:rsidRPr="003075FB">
        <w:rPr>
          <w:b/>
        </w:rPr>
        <w:t>IV.</w:t>
      </w:r>
    </w:p>
    <w:p w14:paraId="53C86C7B" w14:textId="0B98F085" w:rsidR="002E594D" w:rsidRPr="003075FB" w:rsidRDefault="00981AAD" w:rsidP="003075FB">
      <w:pPr>
        <w:ind w:firstLine="720"/>
        <w:rPr>
          <w:szCs w:val="26"/>
        </w:rPr>
      </w:pPr>
      <w:r w:rsidRPr="003075FB">
        <w:rPr>
          <w:szCs w:val="26"/>
        </w:rPr>
        <w:t xml:space="preserve">First, respondent argues that the </w:t>
      </w:r>
      <w:r w:rsidR="006B13AA" w:rsidRPr="003075FB">
        <w:rPr>
          <w:szCs w:val="26"/>
        </w:rPr>
        <w:t xml:space="preserve">right to </w:t>
      </w:r>
      <w:r w:rsidR="009638BC" w:rsidRPr="003075FB">
        <w:t xml:space="preserve">appointed </w:t>
      </w:r>
      <w:r w:rsidR="00DC3EFD" w:rsidRPr="003075FB">
        <w:t xml:space="preserve">counsel </w:t>
      </w:r>
      <w:r w:rsidR="0042153A" w:rsidRPr="003075FB">
        <w:t>is a trial right</w:t>
      </w:r>
      <w:r w:rsidR="00164D57" w:rsidRPr="003075FB">
        <w:t>, and therefore cannot confer a right to the appointment of counsel on appeal</w:t>
      </w:r>
      <w:r w:rsidR="009553DF" w:rsidRPr="003075FB">
        <w:t xml:space="preserve">.  </w:t>
      </w:r>
      <w:r w:rsidR="00D8646B" w:rsidRPr="003075FB">
        <w:t xml:space="preserve">Respondent relies for this argument on </w:t>
      </w:r>
      <w:r w:rsidR="00AF1C1F" w:rsidRPr="003075FB">
        <w:rPr>
          <w:i/>
        </w:rPr>
        <w:t>Martinez</w:t>
      </w:r>
      <w:r w:rsidR="00C04292" w:rsidRPr="003075FB">
        <w:rPr>
          <w:i/>
        </w:rPr>
        <w:t xml:space="preserve"> v. Court of Appeal of Cal., Fourth Appellate Dist</w:t>
      </w:r>
      <w:r w:rsidR="00C42BE5" w:rsidRPr="003075FB">
        <w:rPr>
          <w:i/>
        </w:rPr>
        <w:t>.</w:t>
      </w:r>
      <w:r w:rsidR="00C04292" w:rsidRPr="003075FB">
        <w:t xml:space="preserve"> (2000) </w:t>
      </w:r>
      <w:r w:rsidR="00AF1C1F" w:rsidRPr="003075FB">
        <w:t>528 U.S. 152</w:t>
      </w:r>
      <w:r w:rsidR="00BE5C4A" w:rsidRPr="003075FB">
        <w:t xml:space="preserve"> (</w:t>
      </w:r>
      <w:r w:rsidR="00BE5C4A" w:rsidRPr="003075FB">
        <w:rPr>
          <w:i/>
        </w:rPr>
        <w:t>Martinez</w:t>
      </w:r>
      <w:r w:rsidR="00BE5C4A" w:rsidRPr="003075FB">
        <w:t>)</w:t>
      </w:r>
      <w:r w:rsidR="00D8646B" w:rsidRPr="003075FB">
        <w:t xml:space="preserve">, in which the </w:t>
      </w:r>
      <w:r w:rsidR="00DD70B5" w:rsidRPr="003075FB">
        <w:t>high court</w:t>
      </w:r>
      <w:r w:rsidR="00AF1C1F" w:rsidRPr="003075FB">
        <w:t xml:space="preserve"> </w:t>
      </w:r>
      <w:r w:rsidR="005D31F3" w:rsidRPr="003075FB">
        <w:t>considered whether the Sixth Amendment</w:t>
      </w:r>
      <w:r w:rsidR="00A7329C" w:rsidRPr="003075FB">
        <w:t xml:space="preserve"> right of self-representation</w:t>
      </w:r>
      <w:r w:rsidR="00A7329C" w:rsidRPr="003075FB">
        <w:rPr>
          <w:rStyle w:val="FootnoteReference"/>
        </w:rPr>
        <w:footnoteReference w:id="7"/>
      </w:r>
      <w:r w:rsidR="005D31F3" w:rsidRPr="003075FB">
        <w:t xml:space="preserve"> </w:t>
      </w:r>
      <w:r w:rsidR="00515945" w:rsidRPr="003075FB">
        <w:t xml:space="preserve">entitles a convicted defendant to reject the help of state-appointed counsel in appealing his conviction.  </w:t>
      </w:r>
      <w:r w:rsidR="00A7329C" w:rsidRPr="003075FB">
        <w:t>The court answered no, reasoning</w:t>
      </w:r>
      <w:r w:rsidR="00C76205" w:rsidRPr="003075FB">
        <w:t xml:space="preserve">:  </w:t>
      </w:r>
      <w:r w:rsidR="00AF1C1F" w:rsidRPr="003075FB">
        <w:rPr>
          <w:szCs w:val="26"/>
        </w:rPr>
        <w:t>“</w:t>
      </w:r>
      <w:r w:rsidR="00C76205" w:rsidRPr="003075FB">
        <w:rPr>
          <w:szCs w:val="26"/>
        </w:rPr>
        <w:t xml:space="preserve">The </w:t>
      </w:r>
      <w:r w:rsidR="00AF1C1F" w:rsidRPr="003075FB">
        <w:rPr>
          <w:szCs w:val="26"/>
        </w:rPr>
        <w:t>Sixth Amendment identifies the basic rights that the accused shall enjoy in ‘all criminal prosecutions.’</w:t>
      </w:r>
      <w:r w:rsidR="00471CBC" w:rsidRPr="003075FB">
        <w:rPr>
          <w:szCs w:val="26"/>
        </w:rPr>
        <w:t xml:space="preserve">  </w:t>
      </w:r>
      <w:r w:rsidR="00AF1C1F" w:rsidRPr="003075FB">
        <w:rPr>
          <w:szCs w:val="26"/>
        </w:rPr>
        <w:t xml:space="preserve">They are presented strictly as rights that are available in preparation for trial and at the trial itself. </w:t>
      </w:r>
      <w:r w:rsidR="00C04292" w:rsidRPr="003075FB">
        <w:rPr>
          <w:szCs w:val="26"/>
        </w:rPr>
        <w:t xml:space="preserve"> </w:t>
      </w:r>
      <w:r w:rsidR="00AF1C1F" w:rsidRPr="003075FB">
        <w:rPr>
          <w:szCs w:val="26"/>
        </w:rPr>
        <w:t>The Sixth Amendment does not include any right to appeal.</w:t>
      </w:r>
      <w:r w:rsidR="00471CBC" w:rsidRPr="003075FB">
        <w:rPr>
          <w:szCs w:val="26"/>
        </w:rPr>
        <w:t xml:space="preserve">  </w:t>
      </w:r>
      <w:r w:rsidR="00AF1C1F" w:rsidRPr="003075FB">
        <w:rPr>
          <w:szCs w:val="26"/>
        </w:rPr>
        <w:t>As we have recognized, ‘</w:t>
      </w:r>
      <w:r w:rsidR="00C04292" w:rsidRPr="003075FB">
        <w:rPr>
          <w:szCs w:val="26"/>
        </w:rPr>
        <w:t>[</w:t>
      </w:r>
      <w:r w:rsidR="00AF1C1F" w:rsidRPr="003075FB">
        <w:rPr>
          <w:szCs w:val="26"/>
        </w:rPr>
        <w:t>t</w:t>
      </w:r>
      <w:r w:rsidR="00C04292" w:rsidRPr="003075FB">
        <w:rPr>
          <w:szCs w:val="26"/>
        </w:rPr>
        <w:t>]</w:t>
      </w:r>
      <w:r w:rsidR="00AF1C1F" w:rsidRPr="003075FB">
        <w:rPr>
          <w:szCs w:val="26"/>
        </w:rPr>
        <w:t>he right of appeal, as we presently know it in criminal cases, is purely a creature of statute.’</w:t>
      </w:r>
      <w:r w:rsidR="00471CBC" w:rsidRPr="003075FB">
        <w:rPr>
          <w:szCs w:val="26"/>
        </w:rPr>
        <w:t xml:space="preserve">  </w:t>
      </w:r>
      <w:r w:rsidR="00C04292" w:rsidRPr="003075FB">
        <w:rPr>
          <w:szCs w:val="26"/>
        </w:rPr>
        <w:t xml:space="preserve">[Citation.]  </w:t>
      </w:r>
      <w:r w:rsidR="00AF1C1F" w:rsidRPr="003075FB">
        <w:rPr>
          <w:szCs w:val="26"/>
        </w:rPr>
        <w:t>It necessarily follows that the Amendment itself does not provide any basis for finding a right to self-representation on appeal.”</w:t>
      </w:r>
      <w:r w:rsidR="003E1999" w:rsidRPr="003075FB">
        <w:rPr>
          <w:szCs w:val="26"/>
        </w:rPr>
        <w:t xml:space="preserve">  </w:t>
      </w:r>
      <w:r w:rsidR="00AF1C1F" w:rsidRPr="003075FB">
        <w:rPr>
          <w:szCs w:val="26"/>
        </w:rPr>
        <w:t>(</w:t>
      </w:r>
      <w:r w:rsidR="00D6172F" w:rsidRPr="003075FB">
        <w:rPr>
          <w:i/>
          <w:szCs w:val="26"/>
        </w:rPr>
        <w:t>Martinez</w:t>
      </w:r>
      <w:r w:rsidR="00D6172F" w:rsidRPr="003075FB">
        <w:rPr>
          <w:szCs w:val="26"/>
        </w:rPr>
        <w:t xml:space="preserve">, </w:t>
      </w:r>
      <w:r w:rsidR="00AF1C1F" w:rsidRPr="003075FB">
        <w:rPr>
          <w:szCs w:val="26"/>
        </w:rPr>
        <w:t>at pp.</w:t>
      </w:r>
      <w:r w:rsidR="001208F4" w:rsidRPr="003075FB">
        <w:rPr>
          <w:szCs w:val="26"/>
        </w:rPr>
        <w:t> </w:t>
      </w:r>
      <w:r w:rsidR="00AF1C1F" w:rsidRPr="003075FB">
        <w:rPr>
          <w:szCs w:val="26"/>
        </w:rPr>
        <w:t>159</w:t>
      </w:r>
      <w:r w:rsidR="00313009" w:rsidRPr="003075FB">
        <w:t>–</w:t>
      </w:r>
      <w:r w:rsidR="00AF1C1F" w:rsidRPr="003075FB">
        <w:rPr>
          <w:szCs w:val="26"/>
        </w:rPr>
        <w:t>160</w:t>
      </w:r>
      <w:r w:rsidR="00804823" w:rsidRPr="003075FB">
        <w:rPr>
          <w:szCs w:val="26"/>
        </w:rPr>
        <w:t>.)</w:t>
      </w:r>
      <w:r w:rsidR="00AE2F0D" w:rsidRPr="003075FB">
        <w:rPr>
          <w:szCs w:val="26"/>
        </w:rPr>
        <w:t xml:space="preserve">  As </w:t>
      </w:r>
      <w:r w:rsidR="00164D57" w:rsidRPr="003075FB">
        <w:rPr>
          <w:szCs w:val="26"/>
        </w:rPr>
        <w:t xml:space="preserve">this court has </w:t>
      </w:r>
      <w:r w:rsidR="00AE2F0D" w:rsidRPr="003075FB">
        <w:rPr>
          <w:szCs w:val="26"/>
        </w:rPr>
        <w:t>since noted, it follows that the Sixth Amendment does not provide any basis for finding a right to the appointment of counsel for purposes of appeal</w:t>
      </w:r>
      <w:r w:rsidR="00164D57" w:rsidRPr="003075FB">
        <w:rPr>
          <w:szCs w:val="26"/>
        </w:rPr>
        <w:t>ing a conviction</w:t>
      </w:r>
      <w:r w:rsidR="00AE2F0D" w:rsidRPr="003075FB">
        <w:rPr>
          <w:szCs w:val="26"/>
        </w:rPr>
        <w:t xml:space="preserve">.  </w:t>
      </w:r>
      <w:r w:rsidR="008A7730" w:rsidRPr="003075FB">
        <w:rPr>
          <w:szCs w:val="26"/>
        </w:rPr>
        <w:t xml:space="preserve">(See </w:t>
      </w:r>
      <w:r w:rsidR="008A7730" w:rsidRPr="003075FB">
        <w:rPr>
          <w:i/>
          <w:szCs w:val="26"/>
        </w:rPr>
        <w:t>In re Barnett</w:t>
      </w:r>
      <w:r w:rsidR="008A7730" w:rsidRPr="003075FB">
        <w:rPr>
          <w:szCs w:val="26"/>
        </w:rPr>
        <w:t xml:space="preserve"> (2003) 31 Cal.4th 466, 472</w:t>
      </w:r>
      <w:r w:rsidR="008A7730" w:rsidRPr="00FC28E1">
        <w:t>–</w:t>
      </w:r>
      <w:r w:rsidR="008A7730" w:rsidRPr="003075FB">
        <w:rPr>
          <w:szCs w:val="26"/>
        </w:rPr>
        <w:t>473</w:t>
      </w:r>
      <w:r w:rsidR="00FC28E1">
        <w:rPr>
          <w:szCs w:val="26"/>
        </w:rPr>
        <w:t xml:space="preserve"> (</w:t>
      </w:r>
      <w:r w:rsidR="00FC28E1" w:rsidRPr="00FC28E1">
        <w:rPr>
          <w:i/>
          <w:szCs w:val="26"/>
        </w:rPr>
        <w:t>Barnett</w:t>
      </w:r>
      <w:r w:rsidR="00FC28E1">
        <w:rPr>
          <w:szCs w:val="26"/>
        </w:rPr>
        <w:t>)</w:t>
      </w:r>
      <w:r w:rsidR="008A7730" w:rsidRPr="003075FB">
        <w:rPr>
          <w:szCs w:val="26"/>
        </w:rPr>
        <w:t xml:space="preserve">, </w:t>
      </w:r>
      <w:r w:rsidR="00F627DA" w:rsidRPr="003075FB">
        <w:rPr>
          <w:szCs w:val="26"/>
        </w:rPr>
        <w:t xml:space="preserve">citing </w:t>
      </w:r>
      <w:r w:rsidR="008A7730" w:rsidRPr="003075FB">
        <w:rPr>
          <w:i/>
          <w:szCs w:val="26"/>
        </w:rPr>
        <w:t>Martinez</w:t>
      </w:r>
      <w:r w:rsidR="008A7730" w:rsidRPr="003075FB">
        <w:rPr>
          <w:szCs w:val="26"/>
        </w:rPr>
        <w:t xml:space="preserve">, </w:t>
      </w:r>
      <w:r w:rsidR="008A7730" w:rsidRPr="003075FB">
        <w:rPr>
          <w:i/>
          <w:szCs w:val="26"/>
        </w:rPr>
        <w:t>supra</w:t>
      </w:r>
      <w:r w:rsidR="008A7730" w:rsidRPr="003075FB">
        <w:rPr>
          <w:szCs w:val="26"/>
        </w:rPr>
        <w:t xml:space="preserve">, </w:t>
      </w:r>
      <w:r w:rsidR="008A7730" w:rsidRPr="003075FB">
        <w:t>528 U.S. 152</w:t>
      </w:r>
      <w:r w:rsidR="00D6447E" w:rsidRPr="003075FB">
        <w:t xml:space="preserve">; </w:t>
      </w:r>
      <w:r w:rsidR="00571463" w:rsidRPr="003075FB">
        <w:t xml:space="preserve">cf. </w:t>
      </w:r>
      <w:r w:rsidR="00FC28E1" w:rsidRPr="00FC28E1">
        <w:rPr>
          <w:i/>
        </w:rPr>
        <w:t>Barnett</w:t>
      </w:r>
      <w:r w:rsidR="00FC28E1">
        <w:t>, at pp. 472</w:t>
      </w:r>
      <w:r w:rsidR="00FC28E1" w:rsidRPr="00FC28E1">
        <w:t>–</w:t>
      </w:r>
      <w:r w:rsidR="00FC28E1">
        <w:t>473</w:t>
      </w:r>
      <w:r w:rsidR="00D6447E" w:rsidRPr="003075FB">
        <w:t xml:space="preserve"> [noting other authorities conferring right to counsel to bring first appeal as of right]</w:t>
      </w:r>
      <w:r w:rsidR="008A7730" w:rsidRPr="003075FB">
        <w:t>.)</w:t>
      </w:r>
      <w:r w:rsidR="00BB572E" w:rsidRPr="003075FB">
        <w:t xml:space="preserve">  Respondent argues the same rule applies here, and de</w:t>
      </w:r>
      <w:r w:rsidR="00E50DED" w:rsidRPr="003075FB">
        <w:t xml:space="preserve">feats any Sixth Amendment claim Lopez might have </w:t>
      </w:r>
      <w:r w:rsidR="00656B8D" w:rsidRPr="003075FB">
        <w:t xml:space="preserve">to the appointment of </w:t>
      </w:r>
      <w:r w:rsidR="00990E2F" w:rsidRPr="003075FB">
        <w:t>appellate counsel</w:t>
      </w:r>
      <w:r w:rsidR="00656B8D" w:rsidRPr="003075FB">
        <w:t>.</w:t>
      </w:r>
    </w:p>
    <w:p w14:paraId="4AF683A0" w14:textId="504F280C" w:rsidR="006A5613" w:rsidRPr="003075FB" w:rsidRDefault="00B42381" w:rsidP="003075FB">
      <w:pPr>
        <w:shd w:val="clear" w:color="auto" w:fill="FFFFFF"/>
        <w:ind w:firstLine="720"/>
        <w:rPr>
          <w:szCs w:val="26"/>
        </w:rPr>
      </w:pPr>
      <w:r w:rsidRPr="003075FB">
        <w:rPr>
          <w:szCs w:val="26"/>
        </w:rPr>
        <w:t xml:space="preserve">Although we have never squarely addressed the </w:t>
      </w:r>
      <w:r w:rsidR="00C11D74" w:rsidRPr="003075FB">
        <w:rPr>
          <w:szCs w:val="26"/>
        </w:rPr>
        <w:t>question</w:t>
      </w:r>
      <w:r w:rsidRPr="003075FB">
        <w:rPr>
          <w:szCs w:val="26"/>
        </w:rPr>
        <w:t xml:space="preserve">, we will </w:t>
      </w:r>
      <w:r w:rsidR="00025C1A" w:rsidRPr="003075FB">
        <w:rPr>
          <w:szCs w:val="26"/>
        </w:rPr>
        <w:t xml:space="preserve">assume </w:t>
      </w:r>
      <w:r w:rsidRPr="003075FB">
        <w:rPr>
          <w:i/>
          <w:szCs w:val="26"/>
        </w:rPr>
        <w:t>Martinez</w:t>
      </w:r>
      <w:r w:rsidR="00942728" w:rsidRPr="003075FB">
        <w:rPr>
          <w:szCs w:val="26"/>
        </w:rPr>
        <w:t xml:space="preserve"> applies equally to the </w:t>
      </w:r>
      <w:r w:rsidR="00115C43" w:rsidRPr="003075FB">
        <w:rPr>
          <w:szCs w:val="26"/>
        </w:rPr>
        <w:t>state constitutional right to counsel under article I, section 15</w:t>
      </w:r>
      <w:r w:rsidR="00FC28E1">
        <w:rPr>
          <w:szCs w:val="26"/>
        </w:rPr>
        <w:t xml:space="preserve"> of the California Constitution</w:t>
      </w:r>
      <w:r w:rsidR="00800ED4" w:rsidRPr="003075FB">
        <w:rPr>
          <w:szCs w:val="26"/>
        </w:rPr>
        <w:t xml:space="preserve">.  </w:t>
      </w:r>
      <w:r w:rsidR="00FB5783" w:rsidRPr="003075FB">
        <w:rPr>
          <w:szCs w:val="26"/>
        </w:rPr>
        <w:t xml:space="preserve">Respondent’s reliance on </w:t>
      </w:r>
      <w:r w:rsidR="00FB5783" w:rsidRPr="003075FB">
        <w:rPr>
          <w:i/>
          <w:szCs w:val="26"/>
        </w:rPr>
        <w:t>Martinez</w:t>
      </w:r>
      <w:r w:rsidR="00FB5783" w:rsidRPr="003075FB">
        <w:rPr>
          <w:szCs w:val="26"/>
        </w:rPr>
        <w:t xml:space="preserve"> is unavailing all the same.</w:t>
      </w:r>
      <w:r w:rsidR="00B64607" w:rsidRPr="003075FB">
        <w:rPr>
          <w:szCs w:val="26"/>
        </w:rPr>
        <w:t xml:space="preserve">  </w:t>
      </w:r>
      <w:r w:rsidR="00314E8C" w:rsidRPr="003075FB">
        <w:rPr>
          <w:szCs w:val="26"/>
        </w:rPr>
        <w:t>T</w:t>
      </w:r>
      <w:r w:rsidR="004814EF" w:rsidRPr="003075FB">
        <w:rPr>
          <w:szCs w:val="26"/>
        </w:rPr>
        <w:t xml:space="preserve">he sort of </w:t>
      </w:r>
      <w:r w:rsidR="00836A8B" w:rsidRPr="003075FB">
        <w:rPr>
          <w:szCs w:val="26"/>
        </w:rPr>
        <w:t xml:space="preserve">appeal </w:t>
      </w:r>
      <w:r w:rsidR="009B521A" w:rsidRPr="003075FB">
        <w:rPr>
          <w:szCs w:val="26"/>
        </w:rPr>
        <w:t>we are concerned with here</w:t>
      </w:r>
      <w:r w:rsidR="00836A8B" w:rsidRPr="003075FB">
        <w:rPr>
          <w:szCs w:val="26"/>
        </w:rPr>
        <w:t xml:space="preserve">—a </w:t>
      </w:r>
      <w:r w:rsidR="00630B7E" w:rsidRPr="003075FB">
        <w:rPr>
          <w:szCs w:val="26"/>
        </w:rPr>
        <w:t xml:space="preserve">pretrial </w:t>
      </w:r>
      <w:r w:rsidR="00836A8B" w:rsidRPr="003075FB">
        <w:rPr>
          <w:szCs w:val="26"/>
        </w:rPr>
        <w:t xml:space="preserve">prosecution appeal </w:t>
      </w:r>
      <w:r w:rsidR="009F0BD6" w:rsidRPr="003075FB">
        <w:rPr>
          <w:szCs w:val="26"/>
        </w:rPr>
        <w:t>of</w:t>
      </w:r>
      <w:r w:rsidR="00836A8B" w:rsidRPr="003075FB">
        <w:rPr>
          <w:szCs w:val="26"/>
        </w:rPr>
        <w:t xml:space="preserve"> a suppression order—</w:t>
      </w:r>
      <w:r w:rsidR="00DE4114" w:rsidRPr="003075FB">
        <w:rPr>
          <w:szCs w:val="26"/>
        </w:rPr>
        <w:t>i</w:t>
      </w:r>
      <w:r w:rsidR="00836A8B" w:rsidRPr="003075FB">
        <w:rPr>
          <w:szCs w:val="26"/>
        </w:rPr>
        <w:t xml:space="preserve">s clearly not the sort of appeal </w:t>
      </w:r>
      <w:r w:rsidR="004814EF" w:rsidRPr="003075FB">
        <w:rPr>
          <w:szCs w:val="26"/>
        </w:rPr>
        <w:t xml:space="preserve">the </w:t>
      </w:r>
      <w:r w:rsidR="004814EF" w:rsidRPr="003075FB">
        <w:rPr>
          <w:i/>
          <w:szCs w:val="26"/>
        </w:rPr>
        <w:t>Martinez</w:t>
      </w:r>
      <w:r w:rsidR="004814EF" w:rsidRPr="003075FB">
        <w:rPr>
          <w:szCs w:val="26"/>
        </w:rPr>
        <w:t xml:space="preserve"> court </w:t>
      </w:r>
      <w:r w:rsidR="00836A8B" w:rsidRPr="003075FB">
        <w:t xml:space="preserve">had in mind.  </w:t>
      </w:r>
      <w:r w:rsidR="008348FD" w:rsidRPr="003075FB">
        <w:rPr>
          <w:i/>
        </w:rPr>
        <w:t xml:space="preserve">Martinez </w:t>
      </w:r>
      <w:r w:rsidR="00836A8B" w:rsidRPr="003075FB">
        <w:t>concern</w:t>
      </w:r>
      <w:r w:rsidR="009B521A" w:rsidRPr="003075FB">
        <w:t xml:space="preserve">ed </w:t>
      </w:r>
      <w:r w:rsidR="009D26BA" w:rsidRPr="003075FB">
        <w:t>a defendant’s postconviction appeal</w:t>
      </w:r>
      <w:r w:rsidR="009B521A" w:rsidRPr="003075FB">
        <w:t xml:space="preserve">:  </w:t>
      </w:r>
      <w:r w:rsidR="00C11D74" w:rsidRPr="003075FB">
        <w:t xml:space="preserve">that is, </w:t>
      </w:r>
      <w:r w:rsidR="009D26BA" w:rsidRPr="003075FB">
        <w:t>an appeal that takes place after the prosecution is complete</w:t>
      </w:r>
      <w:r w:rsidR="00D6172F" w:rsidRPr="003075FB">
        <w:t xml:space="preserve"> and </w:t>
      </w:r>
      <w:r w:rsidR="009B521A" w:rsidRPr="003075FB">
        <w:t>charges against the defendant have</w:t>
      </w:r>
      <w:r w:rsidR="008348FD" w:rsidRPr="003075FB">
        <w:t xml:space="preserve"> been resolved</w:t>
      </w:r>
      <w:r w:rsidR="00D6172F" w:rsidRPr="003075FB">
        <w:t xml:space="preserve">. </w:t>
      </w:r>
      <w:r w:rsidR="00C04292" w:rsidRPr="003075FB">
        <w:t xml:space="preserve"> </w:t>
      </w:r>
      <w:r w:rsidR="00D6172F" w:rsidRPr="003075FB">
        <w:t>In such an appeal,</w:t>
      </w:r>
      <w:r w:rsidR="009B521A" w:rsidRPr="003075FB">
        <w:t xml:space="preserve"> the defendant </w:t>
      </w:r>
      <w:r w:rsidR="006E6355" w:rsidRPr="003075FB">
        <w:t>initiates the appellate proceeding and</w:t>
      </w:r>
      <w:r w:rsidR="00D6172F" w:rsidRPr="003075FB">
        <w:t xml:space="preserve"> </w:t>
      </w:r>
      <w:r w:rsidR="009B521A" w:rsidRPr="003075FB">
        <w:t>“assumes the burden of persuading a reviewing court that the conviction should be reversed.”  (</w:t>
      </w:r>
      <w:r w:rsidR="00CF6C74" w:rsidRPr="003075FB">
        <w:rPr>
          <w:i/>
          <w:szCs w:val="26"/>
        </w:rPr>
        <w:t>Martinez</w:t>
      </w:r>
      <w:r w:rsidR="00CF6C74" w:rsidRPr="003075FB">
        <w:rPr>
          <w:szCs w:val="26"/>
        </w:rPr>
        <w:t xml:space="preserve">, </w:t>
      </w:r>
      <w:r w:rsidR="00FC28E1" w:rsidRPr="00FC28E1">
        <w:rPr>
          <w:i/>
          <w:szCs w:val="26"/>
        </w:rPr>
        <w:t>supra</w:t>
      </w:r>
      <w:r w:rsidR="00FC28E1">
        <w:rPr>
          <w:szCs w:val="26"/>
        </w:rPr>
        <w:t xml:space="preserve">, 528 U.S. </w:t>
      </w:r>
      <w:r w:rsidR="00AF1C1F" w:rsidRPr="003075FB">
        <w:rPr>
          <w:szCs w:val="26"/>
        </w:rPr>
        <w:t>at p.</w:t>
      </w:r>
      <w:r w:rsidR="001208F4" w:rsidRPr="003075FB">
        <w:rPr>
          <w:szCs w:val="26"/>
        </w:rPr>
        <w:t> </w:t>
      </w:r>
      <w:r w:rsidR="00AF1C1F" w:rsidRPr="003075FB">
        <w:rPr>
          <w:szCs w:val="26"/>
        </w:rPr>
        <w:t>154</w:t>
      </w:r>
      <w:r w:rsidR="00CB4196" w:rsidRPr="003075FB">
        <w:rPr>
          <w:szCs w:val="26"/>
        </w:rPr>
        <w:t>.</w:t>
      </w:r>
      <w:r w:rsidR="00720E2E" w:rsidRPr="003075FB">
        <w:rPr>
          <w:szCs w:val="26"/>
        </w:rPr>
        <w:t xml:space="preserve">)  </w:t>
      </w:r>
      <w:r w:rsidR="00010EE0" w:rsidRPr="003075FB">
        <w:rPr>
          <w:szCs w:val="26"/>
        </w:rPr>
        <w:t>The</w:t>
      </w:r>
      <w:r w:rsidR="00630B7E" w:rsidRPr="003075FB">
        <w:rPr>
          <w:szCs w:val="26"/>
        </w:rPr>
        <w:t xml:space="preserve"> </w:t>
      </w:r>
      <w:r w:rsidR="009821F6" w:rsidRPr="003075FB">
        <w:rPr>
          <w:szCs w:val="26"/>
        </w:rPr>
        <w:t xml:space="preserve">pretrial </w:t>
      </w:r>
      <w:r w:rsidR="00630B7E" w:rsidRPr="003075FB">
        <w:rPr>
          <w:szCs w:val="26"/>
        </w:rPr>
        <w:t xml:space="preserve">appeal of a suppression </w:t>
      </w:r>
      <w:r w:rsidR="00990E2F" w:rsidRPr="003075FB">
        <w:rPr>
          <w:szCs w:val="26"/>
        </w:rPr>
        <w:t>order</w:t>
      </w:r>
      <w:r w:rsidR="00630B7E" w:rsidRPr="003075FB">
        <w:rPr>
          <w:szCs w:val="26"/>
        </w:rPr>
        <w:t xml:space="preserve">, by contrast, </w:t>
      </w:r>
      <w:r w:rsidR="008D6C00" w:rsidRPr="003075FB">
        <w:rPr>
          <w:szCs w:val="26"/>
        </w:rPr>
        <w:t xml:space="preserve">occurs before charges are </w:t>
      </w:r>
      <w:r w:rsidR="008072AF" w:rsidRPr="003075FB">
        <w:rPr>
          <w:szCs w:val="26"/>
        </w:rPr>
        <w:t xml:space="preserve">finally </w:t>
      </w:r>
      <w:r w:rsidR="008D6C00" w:rsidRPr="003075FB">
        <w:rPr>
          <w:szCs w:val="26"/>
        </w:rPr>
        <w:t>resolved</w:t>
      </w:r>
      <w:r w:rsidR="00571463" w:rsidRPr="003075FB">
        <w:rPr>
          <w:szCs w:val="26"/>
        </w:rPr>
        <w:t xml:space="preserve"> and while criminal proceedings are still ongoing (or, as in this case, are suspended pending the appellate court’s decision whether the trial court’s ruling will be reversed and the </w:t>
      </w:r>
      <w:r w:rsidR="00187F12" w:rsidRPr="003075FB">
        <w:rPr>
          <w:szCs w:val="26"/>
        </w:rPr>
        <w:t xml:space="preserve">charges against the defendant </w:t>
      </w:r>
      <w:r w:rsidR="00571463" w:rsidRPr="003075FB">
        <w:rPr>
          <w:szCs w:val="26"/>
        </w:rPr>
        <w:t xml:space="preserve">revived).  </w:t>
      </w:r>
      <w:r w:rsidR="005F4B63" w:rsidRPr="003075FB">
        <w:rPr>
          <w:szCs w:val="26"/>
        </w:rPr>
        <w:t xml:space="preserve">The appeal is not, of course, </w:t>
      </w:r>
      <w:r w:rsidR="00CF238A" w:rsidRPr="003075FB">
        <w:rPr>
          <w:szCs w:val="26"/>
        </w:rPr>
        <w:t xml:space="preserve">part of the </w:t>
      </w:r>
      <w:r w:rsidR="00980B2B" w:rsidRPr="003075FB">
        <w:rPr>
          <w:szCs w:val="26"/>
        </w:rPr>
        <w:t xml:space="preserve">criminal </w:t>
      </w:r>
      <w:r w:rsidR="00CF238A" w:rsidRPr="003075FB">
        <w:rPr>
          <w:szCs w:val="26"/>
        </w:rPr>
        <w:t>trial.  But neither are lineups (s</w:t>
      </w:r>
      <w:r w:rsidR="008D6C00" w:rsidRPr="003075FB">
        <w:rPr>
          <w:szCs w:val="26"/>
        </w:rPr>
        <w:t xml:space="preserve">ee </w:t>
      </w:r>
      <w:r w:rsidR="008D6C00" w:rsidRPr="003075FB">
        <w:rPr>
          <w:i/>
          <w:szCs w:val="26"/>
        </w:rPr>
        <w:t>Wade</w:t>
      </w:r>
      <w:r w:rsidR="008D6C00" w:rsidRPr="003075FB">
        <w:rPr>
          <w:szCs w:val="26"/>
        </w:rPr>
        <w:t xml:space="preserve">, </w:t>
      </w:r>
      <w:r w:rsidR="008D6C00" w:rsidRPr="003075FB">
        <w:rPr>
          <w:i/>
          <w:szCs w:val="26"/>
        </w:rPr>
        <w:t>supra</w:t>
      </w:r>
      <w:r w:rsidR="006E6355" w:rsidRPr="003075FB">
        <w:rPr>
          <w:szCs w:val="26"/>
        </w:rPr>
        <w:t>, 388 U.S. at p.</w:t>
      </w:r>
      <w:r w:rsidR="001208F4" w:rsidRPr="003075FB">
        <w:rPr>
          <w:szCs w:val="26"/>
        </w:rPr>
        <w:t> </w:t>
      </w:r>
      <w:r w:rsidR="006E6355" w:rsidRPr="003075FB">
        <w:rPr>
          <w:szCs w:val="26"/>
        </w:rPr>
        <w:t>2</w:t>
      </w:r>
      <w:r w:rsidR="00C04292" w:rsidRPr="003075FB">
        <w:rPr>
          <w:szCs w:val="26"/>
        </w:rPr>
        <w:t>2</w:t>
      </w:r>
      <w:r w:rsidR="006E6355" w:rsidRPr="003075FB">
        <w:rPr>
          <w:szCs w:val="26"/>
        </w:rPr>
        <w:t>7</w:t>
      </w:r>
      <w:r w:rsidR="00392ACC" w:rsidRPr="003075FB">
        <w:rPr>
          <w:szCs w:val="26"/>
        </w:rPr>
        <w:t xml:space="preserve">; </w:t>
      </w:r>
      <w:r w:rsidR="00FB778B" w:rsidRPr="003075FB">
        <w:rPr>
          <w:i/>
          <w:szCs w:val="26"/>
        </w:rPr>
        <w:t>Bustamante</w:t>
      </w:r>
      <w:r w:rsidR="00FB778B" w:rsidRPr="003075FB">
        <w:rPr>
          <w:szCs w:val="26"/>
        </w:rPr>
        <w:t xml:space="preserve">, </w:t>
      </w:r>
      <w:r w:rsidR="00FB778B" w:rsidRPr="003075FB">
        <w:rPr>
          <w:i/>
          <w:szCs w:val="26"/>
        </w:rPr>
        <w:t>supra</w:t>
      </w:r>
      <w:r w:rsidR="00FB778B" w:rsidRPr="003075FB">
        <w:rPr>
          <w:szCs w:val="26"/>
        </w:rPr>
        <w:t>, 30 Cal.3d at p.</w:t>
      </w:r>
      <w:r w:rsidR="00306832">
        <w:rPr>
          <w:szCs w:val="26"/>
        </w:rPr>
        <w:t> </w:t>
      </w:r>
      <w:r w:rsidR="00FB778B" w:rsidRPr="003075FB">
        <w:rPr>
          <w:szCs w:val="26"/>
        </w:rPr>
        <w:t>102</w:t>
      </w:r>
      <w:r w:rsidR="008348FD" w:rsidRPr="003075FB">
        <w:rPr>
          <w:szCs w:val="26"/>
        </w:rPr>
        <w:t>)</w:t>
      </w:r>
      <w:r w:rsidR="00CF238A" w:rsidRPr="003075FB">
        <w:rPr>
          <w:szCs w:val="26"/>
        </w:rPr>
        <w:t xml:space="preserve"> or plea negotiations (see </w:t>
      </w:r>
      <w:r w:rsidR="00CF238A" w:rsidRPr="003075FB">
        <w:rPr>
          <w:i/>
          <w:szCs w:val="26"/>
        </w:rPr>
        <w:t>Frye</w:t>
      </w:r>
      <w:r w:rsidR="00CF238A" w:rsidRPr="003075FB">
        <w:rPr>
          <w:szCs w:val="26"/>
        </w:rPr>
        <w:t xml:space="preserve">, </w:t>
      </w:r>
      <w:r w:rsidR="00CF238A" w:rsidRPr="003075FB">
        <w:rPr>
          <w:i/>
          <w:szCs w:val="26"/>
        </w:rPr>
        <w:t>supra</w:t>
      </w:r>
      <w:r w:rsidR="006E6355" w:rsidRPr="003075FB">
        <w:rPr>
          <w:szCs w:val="26"/>
        </w:rPr>
        <w:t>, 566 U.S. at p.</w:t>
      </w:r>
      <w:r w:rsidR="001208F4" w:rsidRPr="003075FB">
        <w:rPr>
          <w:szCs w:val="26"/>
        </w:rPr>
        <w:t> </w:t>
      </w:r>
      <w:r w:rsidR="006E6355" w:rsidRPr="003075FB">
        <w:rPr>
          <w:szCs w:val="26"/>
        </w:rPr>
        <w:t>143</w:t>
      </w:r>
      <w:r w:rsidR="000D52D7">
        <w:rPr>
          <w:szCs w:val="26"/>
        </w:rPr>
        <w:t>;</w:t>
      </w:r>
      <w:r w:rsidR="00392ACC" w:rsidRPr="003075FB">
        <w:rPr>
          <w:szCs w:val="26"/>
        </w:rPr>
        <w:t xml:space="preserve"> </w:t>
      </w:r>
      <w:r w:rsidR="00FB778B" w:rsidRPr="003075FB">
        <w:rPr>
          <w:i/>
          <w:szCs w:val="26"/>
        </w:rPr>
        <w:t xml:space="preserve">In re </w:t>
      </w:r>
      <w:proofErr w:type="spellStart"/>
      <w:r w:rsidR="00FB778B" w:rsidRPr="003075FB">
        <w:rPr>
          <w:i/>
          <w:szCs w:val="26"/>
        </w:rPr>
        <w:t>Alvernaz</w:t>
      </w:r>
      <w:proofErr w:type="spellEnd"/>
      <w:r w:rsidR="00FB778B" w:rsidRPr="003075FB">
        <w:rPr>
          <w:szCs w:val="26"/>
        </w:rPr>
        <w:t xml:space="preserve">, </w:t>
      </w:r>
      <w:r w:rsidR="00FB778B" w:rsidRPr="003075FB">
        <w:rPr>
          <w:i/>
          <w:szCs w:val="26"/>
        </w:rPr>
        <w:t>supra</w:t>
      </w:r>
      <w:r w:rsidR="00FB778B" w:rsidRPr="003075FB">
        <w:rPr>
          <w:szCs w:val="26"/>
        </w:rPr>
        <w:t>, 2 Cal.4th at p</w:t>
      </w:r>
      <w:r w:rsidR="00216ED7">
        <w:rPr>
          <w:szCs w:val="26"/>
        </w:rPr>
        <w:t>p</w:t>
      </w:r>
      <w:r w:rsidR="00FB778B" w:rsidRPr="003075FB">
        <w:rPr>
          <w:szCs w:val="26"/>
        </w:rPr>
        <w:t>.</w:t>
      </w:r>
      <w:r w:rsidR="00216ED7">
        <w:rPr>
          <w:szCs w:val="26"/>
        </w:rPr>
        <w:t> </w:t>
      </w:r>
      <w:r w:rsidR="00FB778B" w:rsidRPr="003075FB">
        <w:rPr>
          <w:szCs w:val="26"/>
        </w:rPr>
        <w:t>933–934</w:t>
      </w:r>
      <w:r w:rsidR="006A5613" w:rsidRPr="003075FB">
        <w:rPr>
          <w:szCs w:val="26"/>
        </w:rPr>
        <w:t xml:space="preserve">).  The </w:t>
      </w:r>
      <w:r w:rsidR="00D15E36" w:rsidRPr="003075FB">
        <w:rPr>
          <w:szCs w:val="26"/>
        </w:rPr>
        <w:t xml:space="preserve">constitutional </w:t>
      </w:r>
      <w:r w:rsidR="006A5613" w:rsidRPr="003075FB">
        <w:rPr>
          <w:szCs w:val="26"/>
        </w:rPr>
        <w:t>right to counsel nevertheless extends to these confrontations by virtue of their potential to affect the ulti</w:t>
      </w:r>
      <w:r w:rsidR="00146F33" w:rsidRPr="003075FB">
        <w:rPr>
          <w:szCs w:val="26"/>
        </w:rPr>
        <w:t xml:space="preserve">mate resolution of the charges and the need for counsel’s advice in navigating them.  </w:t>
      </w:r>
      <w:r w:rsidR="006A5613" w:rsidRPr="003075FB">
        <w:rPr>
          <w:szCs w:val="26"/>
        </w:rPr>
        <w:t xml:space="preserve">So, too, with </w:t>
      </w:r>
      <w:r w:rsidR="00804878" w:rsidRPr="003075FB">
        <w:rPr>
          <w:szCs w:val="26"/>
        </w:rPr>
        <w:t xml:space="preserve">a </w:t>
      </w:r>
      <w:r w:rsidR="006A5613" w:rsidRPr="003075FB">
        <w:rPr>
          <w:szCs w:val="26"/>
        </w:rPr>
        <w:t xml:space="preserve">pretrial appeal </w:t>
      </w:r>
      <w:r w:rsidR="00804878" w:rsidRPr="003075FB">
        <w:rPr>
          <w:szCs w:val="26"/>
        </w:rPr>
        <w:t>of an order suppressing evidence</w:t>
      </w:r>
      <w:r w:rsidR="006A5613" w:rsidRPr="003075FB">
        <w:rPr>
          <w:szCs w:val="26"/>
        </w:rPr>
        <w:t>.</w:t>
      </w:r>
    </w:p>
    <w:p w14:paraId="6E245BE7" w14:textId="199F3A2A" w:rsidR="005C599A" w:rsidRPr="003075FB" w:rsidRDefault="001E5502" w:rsidP="003075FB">
      <w:pPr>
        <w:shd w:val="clear" w:color="auto" w:fill="FFFFFF"/>
        <w:ind w:firstLine="720"/>
        <w:rPr>
          <w:szCs w:val="26"/>
        </w:rPr>
      </w:pPr>
      <w:r w:rsidRPr="003075FB">
        <w:rPr>
          <w:szCs w:val="26"/>
        </w:rPr>
        <w:t xml:space="preserve">But </w:t>
      </w:r>
      <w:r w:rsidR="00F837D6" w:rsidRPr="003075FB">
        <w:rPr>
          <w:szCs w:val="26"/>
        </w:rPr>
        <w:t xml:space="preserve">even if </w:t>
      </w:r>
      <w:r w:rsidR="005550CA">
        <w:rPr>
          <w:szCs w:val="26"/>
        </w:rPr>
        <w:t xml:space="preserve">we were to accept </w:t>
      </w:r>
      <w:r w:rsidR="00F837D6" w:rsidRPr="003075FB">
        <w:rPr>
          <w:szCs w:val="26"/>
        </w:rPr>
        <w:t>respondent</w:t>
      </w:r>
      <w:r w:rsidR="005550CA">
        <w:rPr>
          <w:szCs w:val="26"/>
        </w:rPr>
        <w:t xml:space="preserve">’s limited view of the counsel clauses of the Sixth Amendment or article I, section 15, it would </w:t>
      </w:r>
      <w:r w:rsidR="00266DD9" w:rsidRPr="003075FB">
        <w:rPr>
          <w:szCs w:val="26"/>
        </w:rPr>
        <w:t xml:space="preserve">go only to show that petitioner has invoked the wrong </w:t>
      </w:r>
      <w:r w:rsidR="005550CA">
        <w:rPr>
          <w:szCs w:val="26"/>
        </w:rPr>
        <w:t>constitutional provision; i</w:t>
      </w:r>
      <w:r w:rsidR="00266DD9" w:rsidRPr="003075FB">
        <w:rPr>
          <w:szCs w:val="26"/>
        </w:rPr>
        <w:t xml:space="preserve">t would do nothing to </w:t>
      </w:r>
      <w:r w:rsidR="00117C87" w:rsidRPr="003075FB">
        <w:rPr>
          <w:szCs w:val="26"/>
        </w:rPr>
        <w:t xml:space="preserve">undermine the substantive conclusion that </w:t>
      </w:r>
      <w:r w:rsidR="005550CA">
        <w:rPr>
          <w:szCs w:val="26"/>
        </w:rPr>
        <w:t xml:space="preserve">the California Constitution entitles </w:t>
      </w:r>
      <w:r w:rsidR="00117C87" w:rsidRPr="003075FB">
        <w:rPr>
          <w:szCs w:val="26"/>
        </w:rPr>
        <w:t xml:space="preserve">Lopez </w:t>
      </w:r>
      <w:r w:rsidR="005550CA">
        <w:rPr>
          <w:szCs w:val="26"/>
        </w:rPr>
        <w:t xml:space="preserve">to the assistance of counsel in </w:t>
      </w:r>
      <w:r w:rsidR="00117C87" w:rsidRPr="003075FB">
        <w:rPr>
          <w:szCs w:val="26"/>
        </w:rPr>
        <w:t>responding to the prosecution’s appeal.</w:t>
      </w:r>
      <w:r w:rsidR="00046ECE" w:rsidRPr="003075FB">
        <w:rPr>
          <w:szCs w:val="26"/>
        </w:rPr>
        <w:t xml:space="preserve">  </w:t>
      </w:r>
      <w:r w:rsidR="00C81CA1" w:rsidRPr="003075FB">
        <w:rPr>
          <w:szCs w:val="26"/>
        </w:rPr>
        <w:t>As already noted,</w:t>
      </w:r>
      <w:r w:rsidR="00A33EE3" w:rsidRPr="003075FB">
        <w:rPr>
          <w:szCs w:val="26"/>
        </w:rPr>
        <w:t xml:space="preserve"> </w:t>
      </w:r>
      <w:r w:rsidR="00573B8C" w:rsidRPr="003075FB">
        <w:rPr>
          <w:szCs w:val="26"/>
        </w:rPr>
        <w:t xml:space="preserve">the high court has also held that </w:t>
      </w:r>
      <w:r w:rsidR="00A33EE3" w:rsidRPr="003075FB">
        <w:rPr>
          <w:szCs w:val="26"/>
        </w:rPr>
        <w:t xml:space="preserve">a criminal defendant has the right to </w:t>
      </w:r>
      <w:r w:rsidR="00064128" w:rsidRPr="003075FB">
        <w:rPr>
          <w:szCs w:val="26"/>
        </w:rPr>
        <w:t xml:space="preserve">counsel’s assistance in bringing his or her first </w:t>
      </w:r>
      <w:r w:rsidR="0097039D" w:rsidRPr="003075FB">
        <w:rPr>
          <w:szCs w:val="26"/>
        </w:rPr>
        <w:t xml:space="preserve">appeal as of right, though that right is secured </w:t>
      </w:r>
      <w:r w:rsidR="007B5F3B" w:rsidRPr="003075FB">
        <w:rPr>
          <w:szCs w:val="26"/>
        </w:rPr>
        <w:t xml:space="preserve">by </w:t>
      </w:r>
      <w:r w:rsidR="00663068" w:rsidRPr="003075FB">
        <w:rPr>
          <w:szCs w:val="26"/>
        </w:rPr>
        <w:t>the due process and equal protection clauses of the Fourteenth Amendment</w:t>
      </w:r>
      <w:r w:rsidR="007B5F3B" w:rsidRPr="003075FB">
        <w:rPr>
          <w:szCs w:val="26"/>
        </w:rPr>
        <w:t xml:space="preserve"> rather than by the Sixth Amendment</w:t>
      </w:r>
      <w:r w:rsidR="00456758" w:rsidRPr="003075FB">
        <w:rPr>
          <w:szCs w:val="26"/>
        </w:rPr>
        <w:t>.</w:t>
      </w:r>
      <w:r w:rsidR="000337E0" w:rsidRPr="003075FB">
        <w:rPr>
          <w:szCs w:val="26"/>
        </w:rPr>
        <w:t xml:space="preserve">  (See </w:t>
      </w:r>
      <w:r w:rsidR="000337E0" w:rsidRPr="003075FB">
        <w:rPr>
          <w:i/>
          <w:szCs w:val="26"/>
        </w:rPr>
        <w:t>Douglas</w:t>
      </w:r>
      <w:r w:rsidR="000337E0" w:rsidRPr="003075FB">
        <w:rPr>
          <w:szCs w:val="26"/>
        </w:rPr>
        <w:t xml:space="preserve">, </w:t>
      </w:r>
      <w:r w:rsidR="009E3E35" w:rsidRPr="003075FB">
        <w:rPr>
          <w:i/>
        </w:rPr>
        <w:t>supra</w:t>
      </w:r>
      <w:r w:rsidR="009E3E35" w:rsidRPr="003075FB">
        <w:t xml:space="preserve">, </w:t>
      </w:r>
      <w:r w:rsidR="00663068" w:rsidRPr="003075FB">
        <w:t>372 U.S. 353</w:t>
      </w:r>
      <w:r w:rsidR="009012C4" w:rsidRPr="003075FB">
        <w:t xml:space="preserve">; </w:t>
      </w:r>
      <w:r w:rsidR="003D7828" w:rsidRPr="003075FB">
        <w:t xml:space="preserve">see also, e.g., </w:t>
      </w:r>
      <w:proofErr w:type="spellStart"/>
      <w:r w:rsidR="003D7828" w:rsidRPr="003075FB">
        <w:rPr>
          <w:i/>
        </w:rPr>
        <w:t>Lafler</w:t>
      </w:r>
      <w:proofErr w:type="spellEnd"/>
      <w:r w:rsidR="003D7828" w:rsidRPr="003075FB">
        <w:t xml:space="preserve">, </w:t>
      </w:r>
      <w:r w:rsidR="003D7828" w:rsidRPr="003075FB">
        <w:rPr>
          <w:i/>
        </w:rPr>
        <w:t>supra</w:t>
      </w:r>
      <w:r w:rsidR="003D7828" w:rsidRPr="003075FB">
        <w:t>, 566 U.S. at p.</w:t>
      </w:r>
      <w:r w:rsidR="001208F4" w:rsidRPr="003075FB">
        <w:t> </w:t>
      </w:r>
      <w:r w:rsidR="003D7828" w:rsidRPr="003075FB">
        <w:t>165 [</w:t>
      </w:r>
      <w:r w:rsidR="00E872C1">
        <w:t>noting</w:t>
      </w:r>
      <w:r w:rsidR="003D7828" w:rsidRPr="003075FB">
        <w:t xml:space="preserve"> rule that “defendants have a right to effective assistance of counsel on appeal, even though that cannot in any way be characterized as part of the trial”</w:t>
      </w:r>
      <w:r w:rsidR="00290390" w:rsidRPr="003075FB">
        <w:t xml:space="preserve">]; </w:t>
      </w:r>
      <w:r w:rsidR="002F32CC" w:rsidRPr="003075FB">
        <w:rPr>
          <w:i/>
          <w:szCs w:val="26"/>
        </w:rPr>
        <w:t>Barnett</w:t>
      </w:r>
      <w:r w:rsidR="00C04292" w:rsidRPr="003075FB">
        <w:rPr>
          <w:szCs w:val="26"/>
        </w:rPr>
        <w:t>,</w:t>
      </w:r>
      <w:r w:rsidR="00C04292" w:rsidRPr="003075FB">
        <w:rPr>
          <w:i/>
          <w:szCs w:val="26"/>
        </w:rPr>
        <w:t xml:space="preserve"> supra</w:t>
      </w:r>
      <w:r w:rsidR="00C04292" w:rsidRPr="003075FB">
        <w:rPr>
          <w:szCs w:val="26"/>
        </w:rPr>
        <w:t>,</w:t>
      </w:r>
      <w:r w:rsidR="002F32CC" w:rsidRPr="003075FB">
        <w:rPr>
          <w:szCs w:val="26"/>
        </w:rPr>
        <w:t xml:space="preserve"> 31 Cal.4th </w:t>
      </w:r>
      <w:r w:rsidR="00C04292" w:rsidRPr="003075FB">
        <w:rPr>
          <w:szCs w:val="26"/>
        </w:rPr>
        <w:t>at pp. </w:t>
      </w:r>
      <w:r w:rsidR="002F32CC" w:rsidRPr="003075FB">
        <w:rPr>
          <w:szCs w:val="26"/>
        </w:rPr>
        <w:t>472</w:t>
      </w:r>
      <w:r w:rsidR="00313009" w:rsidRPr="003075FB">
        <w:t>–</w:t>
      </w:r>
      <w:r w:rsidR="002F32CC" w:rsidRPr="003075FB">
        <w:rPr>
          <w:szCs w:val="26"/>
        </w:rPr>
        <w:t>473 [</w:t>
      </w:r>
      <w:r w:rsidR="00F44FDE" w:rsidRPr="003075FB">
        <w:rPr>
          <w:szCs w:val="26"/>
        </w:rPr>
        <w:t xml:space="preserve">also </w:t>
      </w:r>
      <w:r w:rsidR="002F32CC" w:rsidRPr="003075FB">
        <w:rPr>
          <w:szCs w:val="26"/>
        </w:rPr>
        <w:t>citin</w:t>
      </w:r>
      <w:r w:rsidR="0020395C" w:rsidRPr="003075FB">
        <w:rPr>
          <w:szCs w:val="26"/>
        </w:rPr>
        <w:t xml:space="preserve">g state </w:t>
      </w:r>
      <w:r w:rsidR="006650BB" w:rsidRPr="003075FB">
        <w:rPr>
          <w:szCs w:val="26"/>
        </w:rPr>
        <w:t xml:space="preserve">statutory </w:t>
      </w:r>
      <w:r w:rsidR="0020395C" w:rsidRPr="003075FB">
        <w:rPr>
          <w:szCs w:val="26"/>
        </w:rPr>
        <w:t>authorit</w:t>
      </w:r>
      <w:r w:rsidR="006650BB" w:rsidRPr="003075FB">
        <w:rPr>
          <w:szCs w:val="26"/>
        </w:rPr>
        <w:t>y</w:t>
      </w:r>
      <w:r w:rsidR="0020395C" w:rsidRPr="003075FB">
        <w:rPr>
          <w:szCs w:val="26"/>
        </w:rPr>
        <w:t xml:space="preserve"> </w:t>
      </w:r>
      <w:r w:rsidR="00F44FDE" w:rsidRPr="003075FB">
        <w:rPr>
          <w:szCs w:val="26"/>
        </w:rPr>
        <w:t xml:space="preserve">for </w:t>
      </w:r>
      <w:r w:rsidR="001776D6" w:rsidRPr="003075FB">
        <w:rPr>
          <w:szCs w:val="26"/>
        </w:rPr>
        <w:t xml:space="preserve">the </w:t>
      </w:r>
      <w:r w:rsidR="00F44FDE" w:rsidRPr="003075FB">
        <w:rPr>
          <w:szCs w:val="26"/>
        </w:rPr>
        <w:t>appoint</w:t>
      </w:r>
      <w:r w:rsidR="001776D6" w:rsidRPr="003075FB">
        <w:rPr>
          <w:szCs w:val="26"/>
        </w:rPr>
        <w:t>ment of</w:t>
      </w:r>
      <w:r w:rsidR="00F44FDE" w:rsidRPr="003075FB">
        <w:rPr>
          <w:szCs w:val="26"/>
        </w:rPr>
        <w:t xml:space="preserve"> counsel for</w:t>
      </w:r>
      <w:r w:rsidR="001A14DC" w:rsidRPr="003075FB">
        <w:rPr>
          <w:szCs w:val="26"/>
        </w:rPr>
        <w:t xml:space="preserve"> defendants bringing </w:t>
      </w:r>
      <w:r w:rsidR="00F44FDE" w:rsidRPr="003075FB">
        <w:rPr>
          <w:szCs w:val="26"/>
        </w:rPr>
        <w:t>criminal appeals].</w:t>
      </w:r>
      <w:r w:rsidR="00A50002" w:rsidRPr="003075FB">
        <w:rPr>
          <w:szCs w:val="26"/>
        </w:rPr>
        <w:t xml:space="preserve">)  </w:t>
      </w:r>
      <w:r w:rsidR="00F24E19" w:rsidRPr="003075FB">
        <w:t xml:space="preserve">Appointed counsel, the high court has held, is necessary if the </w:t>
      </w:r>
      <w:r w:rsidR="00353194" w:rsidRPr="003075FB">
        <w:t xml:space="preserve">state-conferred </w:t>
      </w:r>
      <w:r w:rsidR="007D0006" w:rsidRPr="003075FB">
        <w:t xml:space="preserve">right </w:t>
      </w:r>
      <w:r w:rsidR="00F57085" w:rsidRPr="003075FB">
        <w:t>of</w:t>
      </w:r>
      <w:r w:rsidR="007D0006" w:rsidRPr="003075FB">
        <w:t xml:space="preserve"> appeal is to be more than “a meaningless ritual.”  (</w:t>
      </w:r>
      <w:r w:rsidR="007D0006" w:rsidRPr="003075FB">
        <w:rPr>
          <w:i/>
        </w:rPr>
        <w:t>Douglas</w:t>
      </w:r>
      <w:r w:rsidR="007D0006" w:rsidRPr="003075FB">
        <w:t>, at p.</w:t>
      </w:r>
      <w:r w:rsidR="009163C1" w:rsidRPr="003075FB">
        <w:t> </w:t>
      </w:r>
      <w:r w:rsidR="007D0006" w:rsidRPr="003075FB">
        <w:t>358.)</w:t>
      </w:r>
      <w:r w:rsidR="0067774E" w:rsidRPr="003075FB">
        <w:rPr>
          <w:rStyle w:val="FootnoteReference"/>
          <w:szCs w:val="26"/>
        </w:rPr>
        <w:footnoteReference w:id="8"/>
      </w:r>
      <w:r w:rsidR="00F44FDE" w:rsidRPr="003075FB">
        <w:t xml:space="preserve">  </w:t>
      </w:r>
      <w:r w:rsidR="00392ACC" w:rsidRPr="003075FB">
        <w:t xml:space="preserve">Respondent has </w:t>
      </w:r>
      <w:r w:rsidR="00CD03DA" w:rsidRPr="003075FB">
        <w:t>offered no</w:t>
      </w:r>
      <w:r w:rsidR="00392ACC" w:rsidRPr="003075FB">
        <w:t xml:space="preserve"> reason to </w:t>
      </w:r>
      <w:r w:rsidR="00A45C36" w:rsidRPr="003075FB">
        <w:t xml:space="preserve">believe </w:t>
      </w:r>
      <w:r w:rsidR="00392ACC" w:rsidRPr="003075FB">
        <w:t xml:space="preserve">our state Constitution </w:t>
      </w:r>
      <w:r w:rsidR="00A45C36" w:rsidRPr="003075FB">
        <w:t xml:space="preserve">would </w:t>
      </w:r>
      <w:r w:rsidR="00392ACC" w:rsidRPr="003075FB">
        <w:t>afford any less</w:t>
      </w:r>
      <w:r w:rsidR="00A45C36" w:rsidRPr="003075FB">
        <w:t>er</w:t>
      </w:r>
      <w:r w:rsidR="00392ACC" w:rsidRPr="003075FB">
        <w:t xml:space="preserve"> protection</w:t>
      </w:r>
      <w:r w:rsidR="00893BAA" w:rsidRPr="003075FB">
        <w:t xml:space="preserve"> to indigent defendants pursuing </w:t>
      </w:r>
      <w:r w:rsidR="005528B6" w:rsidRPr="003075FB">
        <w:t>such an appeal</w:t>
      </w:r>
      <w:r w:rsidR="00CD03DA" w:rsidRPr="003075FB">
        <w:t>.</w:t>
      </w:r>
      <w:r w:rsidR="00893BAA" w:rsidRPr="003075FB">
        <w:t xml:space="preserve">  </w:t>
      </w:r>
    </w:p>
    <w:p w14:paraId="03E69167" w14:textId="3A2190AC" w:rsidR="00216ED7" w:rsidRDefault="00D2056A" w:rsidP="003075FB">
      <w:pPr>
        <w:shd w:val="clear" w:color="auto" w:fill="FFFFFF"/>
        <w:ind w:firstLine="720"/>
        <w:rPr>
          <w:szCs w:val="26"/>
        </w:rPr>
      </w:pPr>
      <w:r w:rsidRPr="003075FB">
        <w:t>T</w:t>
      </w:r>
      <w:r w:rsidR="002133E0" w:rsidRPr="003075FB">
        <w:t xml:space="preserve">he </w:t>
      </w:r>
      <w:r w:rsidR="00A639AD" w:rsidRPr="003075FB">
        <w:t xml:space="preserve">reasons </w:t>
      </w:r>
      <w:r w:rsidR="002133E0" w:rsidRPr="003075FB">
        <w:t xml:space="preserve">for requiring state-appointed counsel for a first </w:t>
      </w:r>
      <w:r w:rsidR="00772ABA" w:rsidRPr="003075FB">
        <w:t xml:space="preserve">postconviction </w:t>
      </w:r>
      <w:r w:rsidR="00A639AD" w:rsidRPr="003075FB">
        <w:t>appeal as of right apply</w:t>
      </w:r>
      <w:r w:rsidR="001E61FA" w:rsidRPr="003075FB">
        <w:t xml:space="preserve"> with equal</w:t>
      </w:r>
      <w:r w:rsidR="00DD3A78" w:rsidRPr="003075FB">
        <w:t xml:space="preserve"> </w:t>
      </w:r>
      <w:r w:rsidR="001E61FA" w:rsidRPr="003075FB">
        <w:t xml:space="preserve">force in the context of </w:t>
      </w:r>
      <w:r w:rsidR="00DD3A78" w:rsidRPr="003075FB">
        <w:t xml:space="preserve">the prosecution’s pretrial </w:t>
      </w:r>
      <w:r w:rsidR="0043045A" w:rsidRPr="003075FB">
        <w:t>appeal</w:t>
      </w:r>
      <w:r w:rsidR="00BE04BC" w:rsidRPr="003075FB">
        <w:t xml:space="preserve"> </w:t>
      </w:r>
      <w:r w:rsidR="00DD3A78" w:rsidRPr="003075FB">
        <w:t>of the suppression order</w:t>
      </w:r>
      <w:r w:rsidR="006D5D3A" w:rsidRPr="003075FB">
        <w:t xml:space="preserve">.  </w:t>
      </w:r>
      <w:r w:rsidR="0043045A" w:rsidRPr="003075FB">
        <w:t>(</w:t>
      </w:r>
      <w:r w:rsidR="00CA0C7C" w:rsidRPr="003075FB">
        <w:t>Accord,</w:t>
      </w:r>
      <w:r w:rsidR="004D7CD4" w:rsidRPr="003075FB">
        <w:t xml:space="preserve"> </w:t>
      </w:r>
      <w:r w:rsidR="004D7CD4" w:rsidRPr="003075FB">
        <w:rPr>
          <w:i/>
        </w:rPr>
        <w:t>O’Leary</w:t>
      </w:r>
      <w:r w:rsidR="004D7CD4" w:rsidRPr="003075FB">
        <w:t xml:space="preserve">, </w:t>
      </w:r>
      <w:r w:rsidR="004D7CD4" w:rsidRPr="003075FB">
        <w:rPr>
          <w:i/>
        </w:rPr>
        <w:t>supra</w:t>
      </w:r>
      <w:r w:rsidR="00F361C7" w:rsidRPr="003075FB">
        <w:t xml:space="preserve">, 856 F.2d </w:t>
      </w:r>
      <w:r w:rsidR="00C04292" w:rsidRPr="003075FB">
        <w:t>at p. </w:t>
      </w:r>
      <w:r w:rsidR="00F361C7" w:rsidRPr="003075FB">
        <w:t>1015</w:t>
      </w:r>
      <w:r w:rsidR="0015195C" w:rsidRPr="003075FB">
        <w:t xml:space="preserve"> [failing to appoint counsel for a defendant facing a pretrial prosecution appeal “would clash with the Fourteenth Amendment’s Due Process Clause”</w:t>
      </w:r>
      <w:r w:rsidR="009163C1" w:rsidRPr="003075FB">
        <w:t>]</w:t>
      </w:r>
      <w:r w:rsidR="00E368BE" w:rsidRPr="003075FB">
        <w:t>.)</w:t>
      </w:r>
      <w:r w:rsidR="00DD3A78" w:rsidRPr="003075FB">
        <w:t xml:space="preserve">  Indeed, the reasons are arguably stronger</w:t>
      </w:r>
      <w:r w:rsidR="002F2536">
        <w:t xml:space="preserve">. </w:t>
      </w:r>
      <w:r w:rsidR="009049D8">
        <w:t xml:space="preserve"> A def</w:t>
      </w:r>
      <w:r w:rsidR="00C47DA7" w:rsidRPr="003075FB">
        <w:rPr>
          <w:szCs w:val="26"/>
        </w:rPr>
        <w:t xml:space="preserve">endant </w:t>
      </w:r>
      <w:r w:rsidR="002F2536">
        <w:rPr>
          <w:szCs w:val="26"/>
        </w:rPr>
        <w:t>appealing his or her conviction</w:t>
      </w:r>
      <w:r w:rsidR="00C47DA7" w:rsidRPr="003075FB">
        <w:rPr>
          <w:szCs w:val="26"/>
        </w:rPr>
        <w:t xml:space="preserve"> ordinarily needs counsel “not as a shield to protect him against being ‘</w:t>
      </w:r>
      <w:proofErr w:type="spellStart"/>
      <w:r w:rsidR="00C47DA7" w:rsidRPr="003075FB">
        <w:rPr>
          <w:szCs w:val="26"/>
        </w:rPr>
        <w:t>haled</w:t>
      </w:r>
      <w:proofErr w:type="spellEnd"/>
      <w:r w:rsidR="00C47DA7" w:rsidRPr="003075FB">
        <w:rPr>
          <w:szCs w:val="26"/>
        </w:rPr>
        <w:t xml:space="preserve"> into court’ by the State and stripped of his presumption of innocence, but rather as a sword to upset the prior determination of guilt.”  (</w:t>
      </w:r>
      <w:r w:rsidR="00C47DA7" w:rsidRPr="003075FB">
        <w:rPr>
          <w:i/>
          <w:szCs w:val="26"/>
        </w:rPr>
        <w:t xml:space="preserve">Ross v. Moffitt </w:t>
      </w:r>
      <w:r w:rsidR="00C47DA7" w:rsidRPr="003075FB">
        <w:rPr>
          <w:szCs w:val="26"/>
        </w:rPr>
        <w:t>(1974) 417 U.S. 600, 610</w:t>
      </w:r>
      <w:r w:rsidR="00313009" w:rsidRPr="003075FB">
        <w:t>–</w:t>
      </w:r>
      <w:r w:rsidR="00C47DA7" w:rsidRPr="003075FB">
        <w:rPr>
          <w:szCs w:val="26"/>
        </w:rPr>
        <w:t>611</w:t>
      </w:r>
      <w:r w:rsidR="00F44FDE" w:rsidRPr="003075FB">
        <w:rPr>
          <w:szCs w:val="26"/>
        </w:rPr>
        <w:t>.</w:t>
      </w:r>
      <w:r w:rsidR="00C47DA7" w:rsidRPr="003075FB">
        <w:rPr>
          <w:szCs w:val="26"/>
        </w:rPr>
        <w:t>)</w:t>
      </w:r>
      <w:r w:rsidR="0006394E" w:rsidRPr="003075FB">
        <w:rPr>
          <w:szCs w:val="26"/>
        </w:rPr>
        <w:t xml:space="preserve">  </w:t>
      </w:r>
      <w:r w:rsidR="00E34763" w:rsidRPr="003075FB">
        <w:rPr>
          <w:szCs w:val="26"/>
        </w:rPr>
        <w:t>Lopez</w:t>
      </w:r>
      <w:r w:rsidR="005A7054" w:rsidRPr="003075FB">
        <w:rPr>
          <w:szCs w:val="26"/>
        </w:rPr>
        <w:t xml:space="preserve">, </w:t>
      </w:r>
      <w:r w:rsidR="000519CD" w:rsidRPr="003075FB">
        <w:rPr>
          <w:szCs w:val="26"/>
        </w:rPr>
        <w:t>by contrast</w:t>
      </w:r>
      <w:r w:rsidR="005A7054" w:rsidRPr="003075FB">
        <w:rPr>
          <w:szCs w:val="26"/>
        </w:rPr>
        <w:t xml:space="preserve">, seeks counsel as a shield, not a sword.  The prosecution has haled </w:t>
      </w:r>
      <w:r w:rsidR="00E34763" w:rsidRPr="003075FB">
        <w:rPr>
          <w:szCs w:val="26"/>
        </w:rPr>
        <w:t xml:space="preserve">her </w:t>
      </w:r>
      <w:r w:rsidR="005A7054" w:rsidRPr="003075FB">
        <w:rPr>
          <w:szCs w:val="26"/>
        </w:rPr>
        <w:t>into court, not the other way around, and it has done so while the presumption of innocence remains intact.</w:t>
      </w:r>
      <w:r w:rsidR="00712C82" w:rsidRPr="003075FB">
        <w:rPr>
          <w:szCs w:val="26"/>
        </w:rPr>
        <w:t xml:space="preserve">  </w:t>
      </w:r>
      <w:r w:rsidR="00E34763" w:rsidRPr="003075FB">
        <w:rPr>
          <w:szCs w:val="26"/>
        </w:rPr>
        <w:t xml:space="preserve">Lopez </w:t>
      </w:r>
      <w:r w:rsidR="00F44FDE" w:rsidRPr="003075FB">
        <w:rPr>
          <w:szCs w:val="26"/>
        </w:rPr>
        <w:t xml:space="preserve">is entitled to the </w:t>
      </w:r>
      <w:r w:rsidR="008148FA" w:rsidRPr="003075FB">
        <w:rPr>
          <w:szCs w:val="26"/>
        </w:rPr>
        <w:t>assistan</w:t>
      </w:r>
      <w:r w:rsidR="007F0AC3" w:rsidRPr="003075FB">
        <w:rPr>
          <w:szCs w:val="26"/>
        </w:rPr>
        <w:t>ce of counsel to respond.</w:t>
      </w:r>
      <w:r w:rsidR="009516CB" w:rsidRPr="003075FB">
        <w:rPr>
          <w:rStyle w:val="FootnoteReference"/>
          <w:szCs w:val="26"/>
        </w:rPr>
        <w:footnoteReference w:id="9"/>
      </w:r>
    </w:p>
    <w:p w14:paraId="3F64BFDC" w14:textId="77777777" w:rsidR="004844D4" w:rsidRPr="003075FB" w:rsidRDefault="004844D4" w:rsidP="00216ED7">
      <w:pPr>
        <w:shd w:val="clear" w:color="auto" w:fill="FFFFFF"/>
        <w:jc w:val="center"/>
        <w:rPr>
          <w:szCs w:val="26"/>
        </w:rPr>
      </w:pPr>
      <w:r w:rsidRPr="003075FB">
        <w:rPr>
          <w:b/>
          <w:szCs w:val="26"/>
        </w:rPr>
        <w:t>V.</w:t>
      </w:r>
    </w:p>
    <w:p w14:paraId="1721318B" w14:textId="474C3610" w:rsidR="00CB407F" w:rsidRPr="003075FB" w:rsidRDefault="00564577" w:rsidP="003075FB">
      <w:pPr>
        <w:shd w:val="clear" w:color="auto" w:fill="FFFFFF"/>
        <w:ind w:firstLine="720"/>
        <w:rPr>
          <w:szCs w:val="26"/>
        </w:rPr>
      </w:pPr>
      <w:r w:rsidRPr="003075FB">
        <w:rPr>
          <w:szCs w:val="26"/>
        </w:rPr>
        <w:t xml:space="preserve">Respondent’s final constitutional argument </w:t>
      </w:r>
      <w:r w:rsidR="0095150A" w:rsidRPr="003075FB">
        <w:rPr>
          <w:szCs w:val="26"/>
        </w:rPr>
        <w:t xml:space="preserve">relates to </w:t>
      </w:r>
      <w:r w:rsidR="00CB05C0" w:rsidRPr="003075FB">
        <w:rPr>
          <w:szCs w:val="26"/>
        </w:rPr>
        <w:t xml:space="preserve">the nature of the charges Lopez faces.  </w:t>
      </w:r>
      <w:r w:rsidR="007975BB" w:rsidRPr="003075FB">
        <w:rPr>
          <w:szCs w:val="26"/>
        </w:rPr>
        <w:t>W</w:t>
      </w:r>
      <w:r w:rsidR="00C97FD5" w:rsidRPr="003075FB">
        <w:rPr>
          <w:szCs w:val="26"/>
        </w:rPr>
        <w:t xml:space="preserve">hile </w:t>
      </w:r>
      <w:r w:rsidR="00A26301" w:rsidRPr="003075FB">
        <w:rPr>
          <w:szCs w:val="26"/>
        </w:rPr>
        <w:t xml:space="preserve">the United States Supreme Court has </w:t>
      </w:r>
      <w:r w:rsidR="003A62CD" w:rsidRPr="003075FB">
        <w:rPr>
          <w:szCs w:val="26"/>
        </w:rPr>
        <w:t xml:space="preserve">described the Sixth Amendment right to appointed counsel as </w:t>
      </w:r>
      <w:r w:rsidR="004F46F4" w:rsidRPr="003075FB">
        <w:rPr>
          <w:szCs w:val="26"/>
        </w:rPr>
        <w:t xml:space="preserve">generally </w:t>
      </w:r>
      <w:r w:rsidR="0029298B" w:rsidRPr="003075FB">
        <w:rPr>
          <w:szCs w:val="26"/>
        </w:rPr>
        <w:t>applicable in felony cases</w:t>
      </w:r>
      <w:r w:rsidR="00C97FD5" w:rsidRPr="003075FB">
        <w:rPr>
          <w:szCs w:val="26"/>
        </w:rPr>
        <w:t xml:space="preserve"> (see </w:t>
      </w:r>
      <w:r w:rsidR="00C97FD5" w:rsidRPr="003075FB">
        <w:rPr>
          <w:i/>
          <w:szCs w:val="26"/>
        </w:rPr>
        <w:t>Gideon</w:t>
      </w:r>
      <w:r w:rsidR="00C97FD5" w:rsidRPr="003075FB">
        <w:rPr>
          <w:szCs w:val="26"/>
        </w:rPr>
        <w:t xml:space="preserve">, </w:t>
      </w:r>
      <w:r w:rsidR="00C97FD5" w:rsidRPr="003075FB">
        <w:rPr>
          <w:i/>
          <w:szCs w:val="26"/>
        </w:rPr>
        <w:t>supra</w:t>
      </w:r>
      <w:r w:rsidR="00C97FD5" w:rsidRPr="003075FB">
        <w:rPr>
          <w:szCs w:val="26"/>
        </w:rPr>
        <w:t xml:space="preserve">, </w:t>
      </w:r>
      <w:r w:rsidR="00BB4037" w:rsidRPr="003075FB">
        <w:rPr>
          <w:szCs w:val="26"/>
        </w:rPr>
        <w:t>372 U.S. at p.</w:t>
      </w:r>
      <w:r w:rsidR="009163C1" w:rsidRPr="003075FB">
        <w:rPr>
          <w:szCs w:val="26"/>
        </w:rPr>
        <w:t> </w:t>
      </w:r>
      <w:r w:rsidR="00BB4037" w:rsidRPr="003075FB">
        <w:rPr>
          <w:szCs w:val="26"/>
        </w:rPr>
        <w:t xml:space="preserve">339), it has not ruled so categorically in </w:t>
      </w:r>
      <w:r w:rsidR="00F66277" w:rsidRPr="003075FB">
        <w:rPr>
          <w:szCs w:val="26"/>
        </w:rPr>
        <w:t xml:space="preserve">other </w:t>
      </w:r>
      <w:r w:rsidR="00BB4037" w:rsidRPr="003075FB">
        <w:rPr>
          <w:szCs w:val="26"/>
        </w:rPr>
        <w:t xml:space="preserve">cases.  </w:t>
      </w:r>
      <w:r w:rsidR="001C6CD5" w:rsidRPr="003075FB">
        <w:rPr>
          <w:szCs w:val="26"/>
        </w:rPr>
        <w:t xml:space="preserve">In defining the scope of the federal right to counsel </w:t>
      </w:r>
      <w:r w:rsidR="00F66277" w:rsidRPr="003075FB">
        <w:rPr>
          <w:szCs w:val="26"/>
        </w:rPr>
        <w:t>in nonfelony cases</w:t>
      </w:r>
      <w:r w:rsidR="002045EE" w:rsidRPr="003075FB">
        <w:rPr>
          <w:szCs w:val="26"/>
        </w:rPr>
        <w:t xml:space="preserve">, the high court’s </w:t>
      </w:r>
      <w:r w:rsidR="00BA6098" w:rsidRPr="003075FB">
        <w:rPr>
          <w:szCs w:val="26"/>
        </w:rPr>
        <w:t xml:space="preserve">Sixth Amendment jurisprudence draws the line at </w:t>
      </w:r>
      <w:r w:rsidR="002045EE" w:rsidRPr="003075FB">
        <w:rPr>
          <w:szCs w:val="26"/>
        </w:rPr>
        <w:t xml:space="preserve">cases </w:t>
      </w:r>
      <w:r w:rsidR="008F6A9D" w:rsidRPr="003075FB">
        <w:rPr>
          <w:szCs w:val="26"/>
        </w:rPr>
        <w:t>involving</w:t>
      </w:r>
      <w:r w:rsidR="002045EE" w:rsidRPr="003075FB">
        <w:rPr>
          <w:szCs w:val="26"/>
        </w:rPr>
        <w:t xml:space="preserve"> </w:t>
      </w:r>
      <w:r w:rsidR="00BA6098" w:rsidRPr="003075FB">
        <w:rPr>
          <w:szCs w:val="26"/>
        </w:rPr>
        <w:t>“</w:t>
      </w:r>
      <w:r w:rsidR="00E872C1">
        <w:rPr>
          <w:szCs w:val="26"/>
        </w:rPr>
        <w:t> ‘</w:t>
      </w:r>
      <w:r w:rsidR="00BA6098" w:rsidRPr="003075FB">
        <w:rPr>
          <w:szCs w:val="26"/>
        </w:rPr>
        <w:t>actual imprisonment</w:t>
      </w:r>
      <w:r w:rsidR="002045EE" w:rsidRPr="003075FB">
        <w:rPr>
          <w:szCs w:val="26"/>
        </w:rPr>
        <w:t>.</w:t>
      </w:r>
      <w:r w:rsidR="00E872C1">
        <w:rPr>
          <w:szCs w:val="26"/>
        </w:rPr>
        <w:t>’ </w:t>
      </w:r>
      <w:r w:rsidR="00BA6098" w:rsidRPr="003075FB">
        <w:rPr>
          <w:szCs w:val="26"/>
        </w:rPr>
        <w:t>”</w:t>
      </w:r>
      <w:r w:rsidR="002045EE" w:rsidRPr="003075FB">
        <w:rPr>
          <w:szCs w:val="26"/>
        </w:rPr>
        <w:t xml:space="preserve">  </w:t>
      </w:r>
      <w:r w:rsidR="00BA6098" w:rsidRPr="003075FB">
        <w:rPr>
          <w:szCs w:val="26"/>
        </w:rPr>
        <w:t>(</w:t>
      </w:r>
      <w:r w:rsidR="00BA6098" w:rsidRPr="003075FB">
        <w:rPr>
          <w:i/>
          <w:szCs w:val="26"/>
        </w:rPr>
        <w:t>Shelton</w:t>
      </w:r>
      <w:r w:rsidR="00B33F51" w:rsidRPr="00B33F51">
        <w:rPr>
          <w:szCs w:val="26"/>
        </w:rPr>
        <w:t xml:space="preserve">, </w:t>
      </w:r>
      <w:r w:rsidR="00B33F51">
        <w:rPr>
          <w:i/>
          <w:szCs w:val="26"/>
        </w:rPr>
        <w:t>supra</w:t>
      </w:r>
      <w:r w:rsidR="00B33F51" w:rsidRPr="00B33F51">
        <w:rPr>
          <w:szCs w:val="26"/>
        </w:rPr>
        <w:t>,</w:t>
      </w:r>
      <w:r w:rsidR="00BA6098" w:rsidRPr="003075FB">
        <w:rPr>
          <w:szCs w:val="26"/>
        </w:rPr>
        <w:t xml:space="preserve"> 535 U.S. </w:t>
      </w:r>
      <w:r w:rsidR="00B33F51">
        <w:rPr>
          <w:szCs w:val="26"/>
        </w:rPr>
        <w:t>at p. </w:t>
      </w:r>
      <w:r w:rsidR="00BA6098" w:rsidRPr="003075FB">
        <w:rPr>
          <w:szCs w:val="26"/>
        </w:rPr>
        <w:t xml:space="preserve">662; </w:t>
      </w:r>
      <w:r w:rsidR="00BA6098" w:rsidRPr="003075FB">
        <w:rPr>
          <w:i/>
          <w:szCs w:val="26"/>
        </w:rPr>
        <w:t xml:space="preserve">Scott v. Illinois </w:t>
      </w:r>
      <w:r w:rsidR="00BA6098" w:rsidRPr="003075FB">
        <w:rPr>
          <w:szCs w:val="26"/>
        </w:rPr>
        <w:t>(1979) 440 U.S. 367, 373;</w:t>
      </w:r>
      <w:r w:rsidR="00B33F51">
        <w:rPr>
          <w:szCs w:val="26"/>
        </w:rPr>
        <w:t xml:space="preserve"> see</w:t>
      </w:r>
      <w:r w:rsidR="00BA6098" w:rsidRPr="003075FB">
        <w:rPr>
          <w:i/>
          <w:szCs w:val="26"/>
        </w:rPr>
        <w:t xml:space="preserve"> Argersinger v. Hamlin </w:t>
      </w:r>
      <w:r w:rsidR="00BA6098" w:rsidRPr="003075FB">
        <w:rPr>
          <w:szCs w:val="26"/>
        </w:rPr>
        <w:t>(1972) 407 U.S. 25, 33</w:t>
      </w:r>
      <w:r w:rsidR="00A9605E" w:rsidRPr="003075FB">
        <w:rPr>
          <w:szCs w:val="26"/>
        </w:rPr>
        <w:t>.)</w:t>
      </w:r>
      <w:r w:rsidR="005A694D" w:rsidRPr="003075FB">
        <w:rPr>
          <w:szCs w:val="26"/>
        </w:rPr>
        <w:t xml:space="preserve">  </w:t>
      </w:r>
      <w:r w:rsidR="00CB407F" w:rsidRPr="003075FB">
        <w:rPr>
          <w:szCs w:val="26"/>
        </w:rPr>
        <w:t xml:space="preserve">Respondent argues, and the Court of Appeal agreed, that </w:t>
      </w:r>
      <w:r w:rsidR="000311FE" w:rsidRPr="003075FB">
        <w:rPr>
          <w:szCs w:val="26"/>
        </w:rPr>
        <w:t xml:space="preserve">as a misdemeanor defendant, </w:t>
      </w:r>
      <w:r w:rsidR="0035758C" w:rsidRPr="003075FB">
        <w:rPr>
          <w:szCs w:val="26"/>
        </w:rPr>
        <w:t xml:space="preserve">Lopez is not entitled to the assistance of counsel </w:t>
      </w:r>
      <w:r w:rsidR="007D7B3B" w:rsidRPr="003075FB">
        <w:rPr>
          <w:szCs w:val="26"/>
        </w:rPr>
        <w:t xml:space="preserve">for purposes of responding to the prosecution’s pretrial appeal because </w:t>
      </w:r>
      <w:r w:rsidR="00CF26E6" w:rsidRPr="003075FB">
        <w:rPr>
          <w:szCs w:val="26"/>
        </w:rPr>
        <w:t xml:space="preserve">she faces no immediate prospect of </w:t>
      </w:r>
      <w:r w:rsidR="005B5FEB" w:rsidRPr="003075FB">
        <w:rPr>
          <w:szCs w:val="26"/>
        </w:rPr>
        <w:t xml:space="preserve">imprisonment </w:t>
      </w:r>
      <w:r w:rsidR="00B1101A" w:rsidRPr="003075FB">
        <w:rPr>
          <w:szCs w:val="26"/>
        </w:rPr>
        <w:t xml:space="preserve">as a result of </w:t>
      </w:r>
      <w:r w:rsidR="00533FD1" w:rsidRPr="003075FB">
        <w:rPr>
          <w:szCs w:val="26"/>
        </w:rPr>
        <w:t xml:space="preserve">the </w:t>
      </w:r>
      <w:r w:rsidR="00E872C1">
        <w:rPr>
          <w:szCs w:val="26"/>
        </w:rPr>
        <w:t>a</w:t>
      </w:r>
      <w:r w:rsidR="00533FD1" w:rsidRPr="003075FB">
        <w:rPr>
          <w:szCs w:val="26"/>
        </w:rPr>
        <w:t xml:space="preserve">ppellate </w:t>
      </w:r>
      <w:r w:rsidR="00E872C1">
        <w:rPr>
          <w:szCs w:val="26"/>
        </w:rPr>
        <w:t>d</w:t>
      </w:r>
      <w:r w:rsidR="00533FD1" w:rsidRPr="003075FB">
        <w:rPr>
          <w:szCs w:val="26"/>
        </w:rPr>
        <w:t>ivision’</w:t>
      </w:r>
      <w:r w:rsidR="00A47BA4" w:rsidRPr="003075FB">
        <w:rPr>
          <w:szCs w:val="26"/>
        </w:rPr>
        <w:t>s ruling.</w:t>
      </w:r>
      <w:r w:rsidR="002A44B1" w:rsidRPr="003075FB">
        <w:rPr>
          <w:szCs w:val="26"/>
        </w:rPr>
        <w:t xml:space="preserve">  If the prosecution prevails, the </w:t>
      </w:r>
      <w:r w:rsidR="00EE025D" w:rsidRPr="003075FB">
        <w:rPr>
          <w:szCs w:val="26"/>
        </w:rPr>
        <w:t>worst</w:t>
      </w:r>
      <w:r w:rsidR="00A37845">
        <w:rPr>
          <w:szCs w:val="26"/>
        </w:rPr>
        <w:t xml:space="preserve"> </w:t>
      </w:r>
      <w:r w:rsidR="00EE025D" w:rsidRPr="003075FB">
        <w:rPr>
          <w:szCs w:val="26"/>
        </w:rPr>
        <w:t>case scenario f</w:t>
      </w:r>
      <w:r w:rsidR="00966EAB" w:rsidRPr="003075FB">
        <w:rPr>
          <w:szCs w:val="26"/>
        </w:rPr>
        <w:t xml:space="preserve">or Lopez is the case will return to trial court, </w:t>
      </w:r>
      <w:r w:rsidR="00540A99" w:rsidRPr="003075FB">
        <w:rPr>
          <w:szCs w:val="26"/>
        </w:rPr>
        <w:t xml:space="preserve">where </w:t>
      </w:r>
      <w:r w:rsidR="00513603" w:rsidRPr="003075FB">
        <w:rPr>
          <w:szCs w:val="26"/>
        </w:rPr>
        <w:t xml:space="preserve">she will be represented by counsel at the trial </w:t>
      </w:r>
      <w:r w:rsidR="008A6202" w:rsidRPr="003075FB">
        <w:rPr>
          <w:szCs w:val="26"/>
        </w:rPr>
        <w:t xml:space="preserve">and sentencing that determine her fate.  </w:t>
      </w:r>
      <w:r w:rsidR="003A01C4" w:rsidRPr="003075FB">
        <w:rPr>
          <w:szCs w:val="26"/>
        </w:rPr>
        <w:t>(</w:t>
      </w:r>
      <w:r w:rsidR="003A01C4" w:rsidRPr="003075FB">
        <w:rPr>
          <w:i/>
          <w:szCs w:val="26"/>
        </w:rPr>
        <w:t>Morris</w:t>
      </w:r>
      <w:r w:rsidR="003A01C4" w:rsidRPr="003075FB">
        <w:rPr>
          <w:szCs w:val="26"/>
        </w:rPr>
        <w:t xml:space="preserve">, </w:t>
      </w:r>
      <w:r w:rsidR="003A01C4" w:rsidRPr="003075FB">
        <w:rPr>
          <w:i/>
          <w:szCs w:val="26"/>
        </w:rPr>
        <w:t>supra</w:t>
      </w:r>
      <w:r w:rsidR="003A01C4" w:rsidRPr="003075FB">
        <w:rPr>
          <w:szCs w:val="26"/>
        </w:rPr>
        <w:t>, 17 Cal.App.5th at p.</w:t>
      </w:r>
      <w:r w:rsidR="002458E0" w:rsidRPr="003075FB">
        <w:rPr>
          <w:szCs w:val="26"/>
        </w:rPr>
        <w:t> </w:t>
      </w:r>
      <w:r w:rsidR="003A01C4" w:rsidRPr="003075FB">
        <w:rPr>
          <w:szCs w:val="26"/>
        </w:rPr>
        <w:t>647.)</w:t>
      </w:r>
      <w:r w:rsidR="00E348AA" w:rsidRPr="003075FB">
        <w:rPr>
          <w:szCs w:val="26"/>
        </w:rPr>
        <w:t xml:space="preserve">  </w:t>
      </w:r>
    </w:p>
    <w:p w14:paraId="6F765412" w14:textId="0DEB4CA1" w:rsidR="00D8646B" w:rsidRDefault="002A2E4F" w:rsidP="003075FB">
      <w:pPr>
        <w:shd w:val="clear" w:color="auto" w:fill="FFFFFF"/>
        <w:ind w:firstLine="720"/>
        <w:rPr>
          <w:szCs w:val="26"/>
        </w:rPr>
      </w:pPr>
      <w:r w:rsidRPr="003075FB">
        <w:rPr>
          <w:szCs w:val="26"/>
        </w:rPr>
        <w:t xml:space="preserve">Respondent’s </w:t>
      </w:r>
      <w:r w:rsidR="00EB3902" w:rsidRPr="003075FB">
        <w:rPr>
          <w:szCs w:val="26"/>
        </w:rPr>
        <w:t>argument is beside the point here</w:t>
      </w:r>
      <w:r w:rsidR="00A373D5" w:rsidRPr="003075FB">
        <w:rPr>
          <w:szCs w:val="26"/>
        </w:rPr>
        <w:t xml:space="preserve">, for reasons we </w:t>
      </w:r>
      <w:r w:rsidR="0030523C" w:rsidRPr="003075FB">
        <w:rPr>
          <w:szCs w:val="26"/>
        </w:rPr>
        <w:t>noted at the outset of the discussion</w:t>
      </w:r>
      <w:r w:rsidR="001B2813" w:rsidRPr="003075FB">
        <w:rPr>
          <w:szCs w:val="26"/>
        </w:rPr>
        <w:t xml:space="preserve">:  </w:t>
      </w:r>
      <w:r w:rsidR="00435054" w:rsidRPr="003075FB">
        <w:rPr>
          <w:szCs w:val="26"/>
        </w:rPr>
        <w:t>W</w:t>
      </w:r>
      <w:r w:rsidR="00FF625A" w:rsidRPr="003075FB">
        <w:rPr>
          <w:szCs w:val="26"/>
        </w:rPr>
        <w:t xml:space="preserve">hile the high court has </w:t>
      </w:r>
      <w:r w:rsidR="00D3228F" w:rsidRPr="003075FB">
        <w:rPr>
          <w:szCs w:val="26"/>
        </w:rPr>
        <w:t xml:space="preserve">drawn an </w:t>
      </w:r>
      <w:r w:rsidR="001E2A64" w:rsidRPr="003075FB">
        <w:rPr>
          <w:szCs w:val="26"/>
        </w:rPr>
        <w:t xml:space="preserve">“actual imprisonment” line in sketching </w:t>
      </w:r>
      <w:r w:rsidR="00D3228F" w:rsidRPr="003075FB">
        <w:rPr>
          <w:szCs w:val="26"/>
        </w:rPr>
        <w:t>the contours of a misdemeanor defendant’s right to appointed counsel</w:t>
      </w:r>
      <w:r w:rsidR="00BA142B" w:rsidRPr="003075FB">
        <w:rPr>
          <w:szCs w:val="26"/>
        </w:rPr>
        <w:t xml:space="preserve">, California (like </w:t>
      </w:r>
      <w:r w:rsidR="009049D8">
        <w:rPr>
          <w:szCs w:val="26"/>
        </w:rPr>
        <w:t>many</w:t>
      </w:r>
      <w:r w:rsidR="00BA142B" w:rsidRPr="003075FB">
        <w:rPr>
          <w:szCs w:val="26"/>
        </w:rPr>
        <w:t xml:space="preserve"> stat</w:t>
      </w:r>
      <w:r w:rsidR="00C170A0" w:rsidRPr="003075FB">
        <w:rPr>
          <w:szCs w:val="26"/>
        </w:rPr>
        <w:t xml:space="preserve">es) has </w:t>
      </w:r>
      <w:r w:rsidR="0009463F" w:rsidRPr="003075FB">
        <w:rPr>
          <w:szCs w:val="26"/>
        </w:rPr>
        <w:t>not adopted th</w:t>
      </w:r>
      <w:r w:rsidR="009049D8">
        <w:rPr>
          <w:szCs w:val="26"/>
        </w:rPr>
        <w:t xml:space="preserve">e same </w:t>
      </w:r>
      <w:r w:rsidR="0009463F" w:rsidRPr="003075FB">
        <w:rPr>
          <w:szCs w:val="26"/>
        </w:rPr>
        <w:t>approach</w:t>
      </w:r>
      <w:r w:rsidR="00207A0C" w:rsidRPr="003075FB">
        <w:rPr>
          <w:szCs w:val="26"/>
        </w:rPr>
        <w:t>.</w:t>
      </w:r>
      <w:r w:rsidR="00A57759" w:rsidRPr="003075FB">
        <w:rPr>
          <w:szCs w:val="26"/>
        </w:rPr>
        <w:t xml:space="preserve">  (See p</w:t>
      </w:r>
      <w:r w:rsidR="00216ED7">
        <w:rPr>
          <w:szCs w:val="26"/>
        </w:rPr>
        <w:t>. </w:t>
      </w:r>
      <w:r w:rsidR="009F0BD6" w:rsidRPr="003075FB">
        <w:rPr>
          <w:szCs w:val="26"/>
        </w:rPr>
        <w:t>6</w:t>
      </w:r>
      <w:r w:rsidR="00A57759" w:rsidRPr="003075FB">
        <w:rPr>
          <w:szCs w:val="26"/>
        </w:rPr>
        <w:t xml:space="preserve">, </w:t>
      </w:r>
      <w:r w:rsidR="00A57759" w:rsidRPr="003075FB">
        <w:rPr>
          <w:i/>
          <w:szCs w:val="26"/>
        </w:rPr>
        <w:t>ante</w:t>
      </w:r>
      <w:r w:rsidR="00A57759" w:rsidRPr="003075FB">
        <w:rPr>
          <w:szCs w:val="26"/>
        </w:rPr>
        <w:t>.)</w:t>
      </w:r>
      <w:r w:rsidR="007B5DF0" w:rsidRPr="003075FB">
        <w:rPr>
          <w:rStyle w:val="FootnoteReference"/>
          <w:szCs w:val="26"/>
        </w:rPr>
        <w:footnoteReference w:id="10"/>
      </w:r>
      <w:r w:rsidR="00207A0C" w:rsidRPr="003075FB">
        <w:rPr>
          <w:szCs w:val="26"/>
        </w:rPr>
        <w:t xml:space="preserve">  </w:t>
      </w:r>
      <w:r w:rsidR="007472E7" w:rsidRPr="003075FB">
        <w:rPr>
          <w:szCs w:val="26"/>
        </w:rPr>
        <w:t xml:space="preserve">Many </w:t>
      </w:r>
      <w:r w:rsidR="00207A0C" w:rsidRPr="003075FB">
        <w:rPr>
          <w:szCs w:val="26"/>
        </w:rPr>
        <w:t xml:space="preserve">decades ago, this court </w:t>
      </w:r>
      <w:r w:rsidR="00956381" w:rsidRPr="003075FB">
        <w:rPr>
          <w:szCs w:val="26"/>
        </w:rPr>
        <w:t xml:space="preserve">affirmed </w:t>
      </w:r>
      <w:r w:rsidR="00207A0C" w:rsidRPr="003075FB">
        <w:rPr>
          <w:szCs w:val="26"/>
        </w:rPr>
        <w:t xml:space="preserve">that the predecessor to </w:t>
      </w:r>
      <w:r w:rsidR="00762511" w:rsidRPr="003075FB">
        <w:rPr>
          <w:szCs w:val="26"/>
        </w:rPr>
        <w:t>the current version of article I, section 15</w:t>
      </w:r>
      <w:r w:rsidR="00E872C1">
        <w:rPr>
          <w:szCs w:val="26"/>
        </w:rPr>
        <w:t xml:space="preserve"> of the California Constitution</w:t>
      </w:r>
      <w:r w:rsidR="00762511" w:rsidRPr="003075FB">
        <w:rPr>
          <w:szCs w:val="26"/>
        </w:rPr>
        <w:t xml:space="preserve">, confers a right to counsel </w:t>
      </w:r>
      <w:r w:rsidR="00DA7A1A" w:rsidRPr="003075FB">
        <w:rPr>
          <w:szCs w:val="26"/>
        </w:rPr>
        <w:t xml:space="preserve">“in </w:t>
      </w:r>
      <w:r w:rsidR="00DA7A1A" w:rsidRPr="003075FB">
        <w:rPr>
          <w:i/>
          <w:szCs w:val="26"/>
        </w:rPr>
        <w:t xml:space="preserve">all </w:t>
      </w:r>
      <w:r w:rsidR="00DA7A1A" w:rsidRPr="003075FB">
        <w:rPr>
          <w:szCs w:val="26"/>
        </w:rPr>
        <w:t>felony and misdemeanor proceedings whether actual imprisonment is to follow or not.”  (</w:t>
      </w:r>
      <w:r w:rsidR="00DA7A1A" w:rsidRPr="003075FB">
        <w:rPr>
          <w:i/>
          <w:szCs w:val="26"/>
        </w:rPr>
        <w:t>Mills</w:t>
      </w:r>
      <w:r w:rsidR="00B33F51" w:rsidRPr="00B33F51">
        <w:rPr>
          <w:szCs w:val="26"/>
        </w:rPr>
        <w:t>,</w:t>
      </w:r>
      <w:r w:rsidR="00B33F51">
        <w:rPr>
          <w:i/>
          <w:szCs w:val="26"/>
        </w:rPr>
        <w:t xml:space="preserve"> supra</w:t>
      </w:r>
      <w:r w:rsidR="00B33F51" w:rsidRPr="00B33F51">
        <w:rPr>
          <w:szCs w:val="26"/>
        </w:rPr>
        <w:t>,</w:t>
      </w:r>
      <w:r w:rsidR="00B33F51">
        <w:rPr>
          <w:i/>
          <w:szCs w:val="26"/>
        </w:rPr>
        <w:t xml:space="preserve"> </w:t>
      </w:r>
      <w:r w:rsidR="00DA7A1A" w:rsidRPr="003075FB">
        <w:rPr>
          <w:szCs w:val="26"/>
        </w:rPr>
        <w:t xml:space="preserve">10 Cal.3d </w:t>
      </w:r>
      <w:r w:rsidR="00B33F51">
        <w:rPr>
          <w:szCs w:val="26"/>
        </w:rPr>
        <w:t>at p. </w:t>
      </w:r>
      <w:r w:rsidR="00DA7A1A" w:rsidRPr="003075FB">
        <w:rPr>
          <w:szCs w:val="26"/>
        </w:rPr>
        <w:t xml:space="preserve">301; see also </w:t>
      </w:r>
      <w:r w:rsidR="00DA7A1A" w:rsidRPr="003075FB">
        <w:rPr>
          <w:i/>
          <w:szCs w:val="26"/>
        </w:rPr>
        <w:t xml:space="preserve">In re Kathy P. </w:t>
      </w:r>
      <w:r w:rsidR="005A65E4" w:rsidRPr="003075FB">
        <w:rPr>
          <w:szCs w:val="26"/>
        </w:rPr>
        <w:t xml:space="preserve">(1979) 25 Cal.3d 91, 103; </w:t>
      </w:r>
      <w:r w:rsidR="005A65E4" w:rsidRPr="003075FB">
        <w:rPr>
          <w:i/>
          <w:szCs w:val="26"/>
        </w:rPr>
        <w:t xml:space="preserve">Rodriguez v. Municipal Court </w:t>
      </w:r>
      <w:r w:rsidR="005A65E4" w:rsidRPr="003075FB">
        <w:rPr>
          <w:szCs w:val="26"/>
        </w:rPr>
        <w:t>(1972) 25 Cal.App.3d 521, 527 [“It is settled beyond cavil in this state that under the California Constitution (art. I, [formerly] §</w:t>
      </w:r>
      <w:r w:rsidR="00216ED7">
        <w:rPr>
          <w:szCs w:val="26"/>
        </w:rPr>
        <w:t> </w:t>
      </w:r>
      <w:r w:rsidR="005A65E4" w:rsidRPr="003075FB">
        <w:rPr>
          <w:szCs w:val="26"/>
        </w:rPr>
        <w:t>13) an indigent defendant in a criminal prosecution for a misdemeanor, of whatever degree or type, is entitled to representation by counsel.”]</w:t>
      </w:r>
      <w:r w:rsidR="00DA7A1A" w:rsidRPr="003075FB">
        <w:rPr>
          <w:szCs w:val="26"/>
        </w:rPr>
        <w:t>.)</w:t>
      </w:r>
      <w:r w:rsidR="00DD0DF8" w:rsidRPr="003075FB">
        <w:rPr>
          <w:rStyle w:val="FootnoteReference"/>
          <w:szCs w:val="26"/>
        </w:rPr>
        <w:footnoteReference w:id="11"/>
      </w:r>
      <w:r w:rsidR="00016991" w:rsidRPr="003075FB">
        <w:rPr>
          <w:szCs w:val="26"/>
        </w:rPr>
        <w:t xml:space="preserve">  </w:t>
      </w:r>
      <w:r w:rsidR="00B43933" w:rsidRPr="003075FB">
        <w:rPr>
          <w:szCs w:val="26"/>
        </w:rPr>
        <w:t xml:space="preserve">We have put </w:t>
      </w:r>
      <w:r w:rsidR="00D73740" w:rsidRPr="003075FB">
        <w:rPr>
          <w:szCs w:val="26"/>
        </w:rPr>
        <w:t>the point plainly</w:t>
      </w:r>
      <w:r w:rsidR="008B5BA5" w:rsidRPr="003075FB">
        <w:rPr>
          <w:szCs w:val="26"/>
        </w:rPr>
        <w:t xml:space="preserve">:  </w:t>
      </w:r>
      <w:r w:rsidR="00267636" w:rsidRPr="003075FB">
        <w:rPr>
          <w:szCs w:val="26"/>
        </w:rPr>
        <w:t>the “actual imprisonment” standard “</w:t>
      </w:r>
      <w:r w:rsidR="00DA7A1A" w:rsidRPr="003075FB">
        <w:rPr>
          <w:szCs w:val="26"/>
        </w:rPr>
        <w:t>is not the law in California.  In this state, a person charged with a misdemeanor has a right to counsel regardless of whether a jail term actually is, or even could be, imposed.”  (</w:t>
      </w:r>
      <w:r w:rsidR="00DA7A1A" w:rsidRPr="003075FB">
        <w:rPr>
          <w:i/>
          <w:szCs w:val="26"/>
        </w:rPr>
        <w:t xml:space="preserve">Salas v. Cortez </w:t>
      </w:r>
      <w:r w:rsidR="00DA7A1A" w:rsidRPr="003075FB">
        <w:rPr>
          <w:szCs w:val="26"/>
        </w:rPr>
        <w:t xml:space="preserve">(1979) 24 Cal.3d 22, 27, </w:t>
      </w:r>
      <w:r w:rsidR="00216ED7">
        <w:rPr>
          <w:szCs w:val="26"/>
        </w:rPr>
        <w:t>f</w:t>
      </w:r>
      <w:r w:rsidR="00DA7A1A" w:rsidRPr="003075FB">
        <w:rPr>
          <w:szCs w:val="26"/>
        </w:rPr>
        <w:t>n.</w:t>
      </w:r>
      <w:r w:rsidR="00216ED7">
        <w:rPr>
          <w:szCs w:val="26"/>
        </w:rPr>
        <w:t> </w:t>
      </w:r>
      <w:r w:rsidR="00DA7A1A" w:rsidRPr="003075FB">
        <w:rPr>
          <w:szCs w:val="26"/>
        </w:rPr>
        <w:t xml:space="preserve">2.)  </w:t>
      </w:r>
      <w:r w:rsidR="004E071C" w:rsidRPr="003075FB">
        <w:rPr>
          <w:szCs w:val="26"/>
        </w:rPr>
        <w:t xml:space="preserve">Consistent with that understanding, this court </w:t>
      </w:r>
      <w:r w:rsidR="006B2A9B" w:rsidRPr="003075FB">
        <w:rPr>
          <w:szCs w:val="26"/>
        </w:rPr>
        <w:t xml:space="preserve">has </w:t>
      </w:r>
      <w:r w:rsidR="004E071C" w:rsidRPr="003075FB">
        <w:rPr>
          <w:szCs w:val="26"/>
        </w:rPr>
        <w:t xml:space="preserve">read the statutes implementing the constitutional declaration to require </w:t>
      </w:r>
      <w:r w:rsidR="007472E7" w:rsidRPr="003075FB">
        <w:rPr>
          <w:szCs w:val="26"/>
        </w:rPr>
        <w:t xml:space="preserve">that a misdemeanor defendant be </w:t>
      </w:r>
      <w:r w:rsidR="00126273" w:rsidRPr="003075FB">
        <w:rPr>
          <w:szCs w:val="26"/>
        </w:rPr>
        <w:t xml:space="preserve">informed of the </w:t>
      </w:r>
      <w:r w:rsidR="007472E7" w:rsidRPr="003075FB">
        <w:rPr>
          <w:szCs w:val="26"/>
        </w:rPr>
        <w:t xml:space="preserve">right to counsel </w:t>
      </w:r>
      <w:r w:rsidR="005B408E" w:rsidRPr="003075FB">
        <w:rPr>
          <w:szCs w:val="26"/>
        </w:rPr>
        <w:t xml:space="preserve">at </w:t>
      </w:r>
      <w:r w:rsidR="007472E7" w:rsidRPr="003075FB">
        <w:rPr>
          <w:szCs w:val="26"/>
        </w:rPr>
        <w:t xml:space="preserve">arraignment </w:t>
      </w:r>
      <w:r w:rsidR="00126273" w:rsidRPr="003075FB">
        <w:rPr>
          <w:szCs w:val="26"/>
        </w:rPr>
        <w:t xml:space="preserve">and that </w:t>
      </w:r>
      <w:r w:rsidR="002D0536" w:rsidRPr="003075FB">
        <w:rPr>
          <w:szCs w:val="26"/>
        </w:rPr>
        <w:t xml:space="preserve">a lawyer </w:t>
      </w:r>
      <w:r w:rsidR="005B408E" w:rsidRPr="003075FB">
        <w:rPr>
          <w:szCs w:val="26"/>
        </w:rPr>
        <w:t xml:space="preserve">then </w:t>
      </w:r>
      <w:r w:rsidR="00126273" w:rsidRPr="003075FB">
        <w:rPr>
          <w:szCs w:val="26"/>
        </w:rPr>
        <w:t xml:space="preserve">be appointed if the defendant </w:t>
      </w:r>
      <w:r w:rsidR="005E25B3" w:rsidRPr="003075FB">
        <w:rPr>
          <w:szCs w:val="26"/>
        </w:rPr>
        <w:t>desires and is unable to employ counsel</w:t>
      </w:r>
      <w:r w:rsidR="004E071C" w:rsidRPr="003075FB">
        <w:rPr>
          <w:szCs w:val="26"/>
        </w:rPr>
        <w:t xml:space="preserve">, regardless of whether a sentence of imprisonment </w:t>
      </w:r>
      <w:r w:rsidR="00992673" w:rsidRPr="003075FB">
        <w:rPr>
          <w:szCs w:val="26"/>
        </w:rPr>
        <w:t>may</w:t>
      </w:r>
      <w:r w:rsidR="00B83580" w:rsidRPr="003075FB">
        <w:rPr>
          <w:szCs w:val="26"/>
        </w:rPr>
        <w:t xml:space="preserve"> </w:t>
      </w:r>
      <w:r w:rsidR="004E071C" w:rsidRPr="003075FB">
        <w:rPr>
          <w:szCs w:val="26"/>
        </w:rPr>
        <w:t xml:space="preserve">ultimately </w:t>
      </w:r>
      <w:r w:rsidR="00016991" w:rsidRPr="003075FB">
        <w:rPr>
          <w:szCs w:val="26"/>
        </w:rPr>
        <w:t xml:space="preserve">be </w:t>
      </w:r>
      <w:r w:rsidR="004E071C" w:rsidRPr="003075FB">
        <w:rPr>
          <w:szCs w:val="26"/>
        </w:rPr>
        <w:t>imposed</w:t>
      </w:r>
      <w:r w:rsidR="00126273" w:rsidRPr="003075FB">
        <w:rPr>
          <w:szCs w:val="26"/>
        </w:rPr>
        <w:t>.  (</w:t>
      </w:r>
      <w:r w:rsidR="00016991" w:rsidRPr="003075FB">
        <w:rPr>
          <w:i/>
          <w:szCs w:val="26"/>
        </w:rPr>
        <w:t>Johnson</w:t>
      </w:r>
      <w:r w:rsidR="002B2C78" w:rsidRPr="003075FB">
        <w:rPr>
          <w:szCs w:val="26"/>
        </w:rPr>
        <w:t xml:space="preserve">, </w:t>
      </w:r>
      <w:r w:rsidR="002B2C78" w:rsidRPr="003075FB">
        <w:rPr>
          <w:i/>
          <w:szCs w:val="26"/>
        </w:rPr>
        <w:t>supra</w:t>
      </w:r>
      <w:r w:rsidR="002B2C78" w:rsidRPr="003075FB">
        <w:rPr>
          <w:szCs w:val="26"/>
        </w:rPr>
        <w:t xml:space="preserve">, </w:t>
      </w:r>
      <w:r w:rsidR="005A65E4" w:rsidRPr="003075FB">
        <w:rPr>
          <w:szCs w:val="26"/>
        </w:rPr>
        <w:t>62 Cal.2d</w:t>
      </w:r>
      <w:r w:rsidR="002B2C78" w:rsidRPr="003075FB">
        <w:rPr>
          <w:szCs w:val="26"/>
        </w:rPr>
        <w:t xml:space="preserve"> at pp.</w:t>
      </w:r>
      <w:r w:rsidR="00216ED7">
        <w:rPr>
          <w:szCs w:val="26"/>
        </w:rPr>
        <w:t> </w:t>
      </w:r>
      <w:r w:rsidR="00016991" w:rsidRPr="003075FB">
        <w:rPr>
          <w:szCs w:val="26"/>
        </w:rPr>
        <w:t>329</w:t>
      </w:r>
      <w:r w:rsidR="00313009" w:rsidRPr="003075FB">
        <w:t>–</w:t>
      </w:r>
      <w:r w:rsidR="00016991" w:rsidRPr="003075FB">
        <w:rPr>
          <w:szCs w:val="26"/>
        </w:rPr>
        <w:t>330</w:t>
      </w:r>
      <w:r w:rsidR="00126273" w:rsidRPr="003075FB">
        <w:rPr>
          <w:szCs w:val="26"/>
        </w:rPr>
        <w:t>; see Pen. Code, §§</w:t>
      </w:r>
      <w:r w:rsidR="002458E0" w:rsidRPr="003075FB">
        <w:rPr>
          <w:szCs w:val="26"/>
        </w:rPr>
        <w:t> </w:t>
      </w:r>
      <w:r w:rsidR="00126273" w:rsidRPr="003075FB">
        <w:rPr>
          <w:szCs w:val="26"/>
        </w:rPr>
        <w:t>858,</w:t>
      </w:r>
      <w:r w:rsidR="00BE3BBD" w:rsidRPr="003075FB">
        <w:rPr>
          <w:szCs w:val="26"/>
        </w:rPr>
        <w:t xml:space="preserve"> subd. (a)</w:t>
      </w:r>
      <w:r w:rsidR="003C142E" w:rsidRPr="003075FB">
        <w:rPr>
          <w:szCs w:val="26"/>
        </w:rPr>
        <w:t>,</w:t>
      </w:r>
      <w:r w:rsidR="00BE3BBD" w:rsidRPr="003075FB">
        <w:rPr>
          <w:szCs w:val="26"/>
        </w:rPr>
        <w:t xml:space="preserve"> </w:t>
      </w:r>
      <w:r w:rsidR="000372A8" w:rsidRPr="003075FB">
        <w:rPr>
          <w:szCs w:val="26"/>
        </w:rPr>
        <w:t xml:space="preserve">987, subd. (a); see also </w:t>
      </w:r>
      <w:r w:rsidR="007A00D8" w:rsidRPr="003075FB">
        <w:rPr>
          <w:i/>
          <w:szCs w:val="26"/>
        </w:rPr>
        <w:t>Tracy</w:t>
      </w:r>
      <w:r w:rsidR="003C142E" w:rsidRPr="003075FB">
        <w:rPr>
          <w:i/>
          <w:szCs w:val="26"/>
        </w:rPr>
        <w:t xml:space="preserve"> v. Municipal Court </w:t>
      </w:r>
      <w:r w:rsidR="003C142E" w:rsidRPr="003075FB">
        <w:rPr>
          <w:szCs w:val="26"/>
        </w:rPr>
        <w:t xml:space="preserve">(1978) </w:t>
      </w:r>
      <w:r w:rsidR="007A00D8" w:rsidRPr="003075FB">
        <w:rPr>
          <w:szCs w:val="26"/>
        </w:rPr>
        <w:t xml:space="preserve">22 Cal.3d </w:t>
      </w:r>
      <w:r w:rsidR="003C142E" w:rsidRPr="003075FB">
        <w:rPr>
          <w:szCs w:val="26"/>
        </w:rPr>
        <w:t>760,</w:t>
      </w:r>
      <w:r w:rsidR="002458E0" w:rsidRPr="003075FB">
        <w:rPr>
          <w:szCs w:val="26"/>
        </w:rPr>
        <w:t> </w:t>
      </w:r>
      <w:r w:rsidR="007A00D8" w:rsidRPr="003075FB">
        <w:rPr>
          <w:szCs w:val="26"/>
        </w:rPr>
        <w:t>766</w:t>
      </w:r>
      <w:r w:rsidR="000372A8" w:rsidRPr="003075FB">
        <w:rPr>
          <w:szCs w:val="26"/>
        </w:rPr>
        <w:t xml:space="preserve"> [by statute, misdemeanor defendants entitled to counsel even though charged offenses are punishable only by a fine and not imprisonment].)</w:t>
      </w:r>
      <w:r w:rsidR="004005FA" w:rsidRPr="003075FB">
        <w:rPr>
          <w:szCs w:val="26"/>
        </w:rPr>
        <w:t xml:space="preserve">  </w:t>
      </w:r>
      <w:r w:rsidR="00EB4EC0" w:rsidRPr="003075FB">
        <w:rPr>
          <w:szCs w:val="26"/>
        </w:rPr>
        <w:t xml:space="preserve">Respondent offers no reason to </w:t>
      </w:r>
      <w:r w:rsidR="00846177" w:rsidRPr="003075FB">
        <w:rPr>
          <w:szCs w:val="26"/>
        </w:rPr>
        <w:t xml:space="preserve">reconsider </w:t>
      </w:r>
      <w:r w:rsidR="006F754A" w:rsidRPr="003075FB">
        <w:rPr>
          <w:szCs w:val="26"/>
        </w:rPr>
        <w:t xml:space="preserve">our understanding of the reach of the state </w:t>
      </w:r>
      <w:r w:rsidR="002665C4" w:rsidRPr="003075FB">
        <w:rPr>
          <w:szCs w:val="26"/>
        </w:rPr>
        <w:t xml:space="preserve">counsel guarantee </w:t>
      </w:r>
      <w:r w:rsidR="008A0A4A" w:rsidRPr="003075FB">
        <w:rPr>
          <w:szCs w:val="26"/>
        </w:rPr>
        <w:t xml:space="preserve">as </w:t>
      </w:r>
      <w:r w:rsidR="004005FA" w:rsidRPr="003075FB">
        <w:rPr>
          <w:szCs w:val="26"/>
        </w:rPr>
        <w:t>extend</w:t>
      </w:r>
      <w:r w:rsidR="008A0A4A" w:rsidRPr="003075FB">
        <w:rPr>
          <w:szCs w:val="26"/>
        </w:rPr>
        <w:t>ing</w:t>
      </w:r>
      <w:r w:rsidR="004005FA" w:rsidRPr="003075FB">
        <w:rPr>
          <w:szCs w:val="26"/>
        </w:rPr>
        <w:t xml:space="preserve"> to misdemeanor defendants like Lopez.</w:t>
      </w:r>
    </w:p>
    <w:p w14:paraId="3B5AF035" w14:textId="77777777" w:rsidR="00634408" w:rsidRPr="003075FB" w:rsidRDefault="00634408" w:rsidP="003075FB">
      <w:pPr>
        <w:shd w:val="clear" w:color="auto" w:fill="FFFFFF"/>
        <w:ind w:firstLine="720"/>
        <w:rPr>
          <w:szCs w:val="26"/>
        </w:rPr>
      </w:pPr>
    </w:p>
    <w:p w14:paraId="298427AF" w14:textId="41283F29" w:rsidR="002575C3" w:rsidRPr="003075FB" w:rsidRDefault="0030523C" w:rsidP="00216ED7">
      <w:pPr>
        <w:shd w:val="clear" w:color="auto" w:fill="FFFFFF"/>
        <w:jc w:val="center"/>
        <w:rPr>
          <w:b/>
          <w:szCs w:val="26"/>
        </w:rPr>
      </w:pPr>
      <w:r w:rsidRPr="003075FB">
        <w:rPr>
          <w:b/>
          <w:szCs w:val="26"/>
        </w:rPr>
        <w:t>VI</w:t>
      </w:r>
      <w:r w:rsidR="002575C3" w:rsidRPr="003075FB">
        <w:rPr>
          <w:b/>
          <w:szCs w:val="26"/>
        </w:rPr>
        <w:t>.</w:t>
      </w:r>
    </w:p>
    <w:p w14:paraId="105AF90E" w14:textId="16E458F0" w:rsidR="00BF49A5" w:rsidRPr="003075FB" w:rsidRDefault="002575C3" w:rsidP="00216ED7">
      <w:pPr>
        <w:shd w:val="clear" w:color="auto" w:fill="FFFFFF"/>
        <w:rPr>
          <w:szCs w:val="26"/>
        </w:rPr>
      </w:pPr>
      <w:r w:rsidRPr="003075FB">
        <w:rPr>
          <w:szCs w:val="26"/>
        </w:rPr>
        <w:tab/>
      </w:r>
      <w:r w:rsidR="00700AD2" w:rsidRPr="003075FB">
        <w:rPr>
          <w:szCs w:val="26"/>
        </w:rPr>
        <w:t xml:space="preserve">Having </w:t>
      </w:r>
      <w:r w:rsidR="00A43D78" w:rsidRPr="003075FB">
        <w:rPr>
          <w:szCs w:val="26"/>
        </w:rPr>
        <w:t xml:space="preserve">concluded that </w:t>
      </w:r>
      <w:r w:rsidR="00474288" w:rsidRPr="003075FB">
        <w:rPr>
          <w:shd w:val="clear" w:color="auto" w:fill="FFFFFF"/>
        </w:rPr>
        <w:t>Lopez has a right to appointe</w:t>
      </w:r>
      <w:r w:rsidR="001B0BB6" w:rsidRPr="003075FB">
        <w:rPr>
          <w:shd w:val="clear" w:color="auto" w:fill="FFFFFF"/>
        </w:rPr>
        <w:t>d counsel in the present appeal</w:t>
      </w:r>
      <w:r w:rsidR="00700AD2" w:rsidRPr="003075FB">
        <w:rPr>
          <w:shd w:val="clear" w:color="auto" w:fill="FFFFFF"/>
        </w:rPr>
        <w:t xml:space="preserve">, the question remains </w:t>
      </w:r>
      <w:r w:rsidR="00474288" w:rsidRPr="003075FB">
        <w:rPr>
          <w:shd w:val="clear" w:color="auto" w:fill="FFFFFF"/>
        </w:rPr>
        <w:t xml:space="preserve">whether the </w:t>
      </w:r>
      <w:r w:rsidR="00A37845">
        <w:rPr>
          <w:shd w:val="clear" w:color="auto" w:fill="FFFFFF"/>
        </w:rPr>
        <w:t>a</w:t>
      </w:r>
      <w:r w:rsidR="00474288" w:rsidRPr="003075FB">
        <w:rPr>
          <w:shd w:val="clear" w:color="auto" w:fill="FFFFFF"/>
        </w:rPr>
        <w:t xml:space="preserve">ppellate </w:t>
      </w:r>
      <w:r w:rsidR="00A37845">
        <w:rPr>
          <w:shd w:val="clear" w:color="auto" w:fill="FFFFFF"/>
        </w:rPr>
        <w:t>d</w:t>
      </w:r>
      <w:r w:rsidR="00474288" w:rsidRPr="003075FB">
        <w:rPr>
          <w:shd w:val="clear" w:color="auto" w:fill="FFFFFF"/>
        </w:rPr>
        <w:t xml:space="preserve">ivision </w:t>
      </w:r>
      <w:r w:rsidR="006B498E" w:rsidRPr="003075FB">
        <w:rPr>
          <w:shd w:val="clear" w:color="auto" w:fill="FFFFFF"/>
        </w:rPr>
        <w:t xml:space="preserve">must </w:t>
      </w:r>
      <w:r w:rsidR="00474288" w:rsidRPr="003075FB">
        <w:rPr>
          <w:shd w:val="clear" w:color="auto" w:fill="FFFFFF"/>
        </w:rPr>
        <w:t>appoint a</w:t>
      </w:r>
      <w:r w:rsidR="005A65E4" w:rsidRPr="003075FB">
        <w:rPr>
          <w:shd w:val="clear" w:color="auto" w:fill="FFFFFF"/>
        </w:rPr>
        <w:t xml:space="preserve"> </w:t>
      </w:r>
      <w:r w:rsidR="00474288" w:rsidRPr="003075FB">
        <w:rPr>
          <w:shd w:val="clear" w:color="auto" w:fill="FFFFFF"/>
        </w:rPr>
        <w:t>n</w:t>
      </w:r>
      <w:r w:rsidR="005A65E4" w:rsidRPr="003075FB">
        <w:rPr>
          <w:shd w:val="clear" w:color="auto" w:fill="FFFFFF"/>
        </w:rPr>
        <w:t>ew</w:t>
      </w:r>
      <w:r w:rsidR="00474288" w:rsidRPr="003075FB">
        <w:rPr>
          <w:shd w:val="clear" w:color="auto" w:fill="FFFFFF"/>
        </w:rPr>
        <w:t xml:space="preserve"> attorney to represent her</w:t>
      </w:r>
      <w:r w:rsidR="00D91ABD" w:rsidRPr="003075FB">
        <w:rPr>
          <w:shd w:val="clear" w:color="auto" w:fill="FFFFFF"/>
        </w:rPr>
        <w:t xml:space="preserve">, as petitioner had argued below, or whether the </w:t>
      </w:r>
      <w:r w:rsidR="00A37845">
        <w:rPr>
          <w:shd w:val="clear" w:color="auto" w:fill="FFFFFF"/>
        </w:rPr>
        <w:t>p</w:t>
      </w:r>
      <w:r w:rsidR="00D91ABD" w:rsidRPr="003075FB">
        <w:rPr>
          <w:shd w:val="clear" w:color="auto" w:fill="FFFFFF"/>
        </w:rPr>
        <w:t xml:space="preserve">ublic </w:t>
      </w:r>
      <w:r w:rsidR="00A37845">
        <w:rPr>
          <w:shd w:val="clear" w:color="auto" w:fill="FFFFFF"/>
        </w:rPr>
        <w:t>d</w:t>
      </w:r>
      <w:r w:rsidR="00D91ABD" w:rsidRPr="003075FB">
        <w:rPr>
          <w:shd w:val="clear" w:color="auto" w:fill="FFFFFF"/>
        </w:rPr>
        <w:t>efender continue</w:t>
      </w:r>
      <w:r w:rsidR="00565607" w:rsidRPr="003075FB">
        <w:rPr>
          <w:shd w:val="clear" w:color="auto" w:fill="FFFFFF"/>
        </w:rPr>
        <w:t>s</w:t>
      </w:r>
      <w:r w:rsidR="00D91ABD" w:rsidRPr="003075FB">
        <w:rPr>
          <w:shd w:val="clear" w:color="auto" w:fill="FFFFFF"/>
        </w:rPr>
        <w:t xml:space="preserve"> to represent her pursuant to the original appointment.</w:t>
      </w:r>
      <w:r w:rsidR="00474288" w:rsidRPr="003075FB">
        <w:rPr>
          <w:shd w:val="clear" w:color="auto" w:fill="FFFFFF"/>
        </w:rPr>
        <w:t xml:space="preserve">  The Court of Appeal did not resolve this issue because it ruled that Lopez did not have a right to appointed counsel.  </w:t>
      </w:r>
      <w:r w:rsidR="005A65E4" w:rsidRPr="003075FB">
        <w:rPr>
          <w:shd w:val="clear" w:color="auto" w:fill="FFFFFF"/>
        </w:rPr>
        <w:t>We</w:t>
      </w:r>
      <w:r w:rsidR="00474288" w:rsidRPr="003075FB">
        <w:rPr>
          <w:shd w:val="clear" w:color="auto" w:fill="FFFFFF"/>
        </w:rPr>
        <w:t xml:space="preserve"> leave it to the Court of Appeal to resolve this issue in the first instance.</w:t>
      </w:r>
      <w:r w:rsidR="00F167FB" w:rsidRPr="003075FB">
        <w:rPr>
          <w:shd w:val="clear" w:color="auto" w:fill="FFFFFF"/>
        </w:rPr>
        <w:t xml:space="preserve"> </w:t>
      </w:r>
      <w:r w:rsidR="00B33F51">
        <w:rPr>
          <w:shd w:val="clear" w:color="auto" w:fill="FFFFFF"/>
        </w:rPr>
        <w:t xml:space="preserve"> </w:t>
      </w:r>
      <w:r w:rsidR="005A65E4" w:rsidRPr="003075FB">
        <w:rPr>
          <w:szCs w:val="26"/>
        </w:rPr>
        <w:t>We</w:t>
      </w:r>
      <w:r w:rsidR="00BF49A5" w:rsidRPr="003075FB">
        <w:rPr>
          <w:szCs w:val="26"/>
        </w:rPr>
        <w:t xml:space="preserve"> reverse the judgment of the Court of </w:t>
      </w:r>
      <w:bookmarkStart w:id="5" w:name="_GoBack"/>
      <w:bookmarkEnd w:id="5"/>
      <w:r w:rsidR="00BF49A5" w:rsidRPr="003075FB">
        <w:rPr>
          <w:szCs w:val="26"/>
        </w:rPr>
        <w:t>Appea</w:t>
      </w:r>
      <w:r w:rsidR="006E0525" w:rsidRPr="003075FB">
        <w:rPr>
          <w:szCs w:val="26"/>
        </w:rPr>
        <w:t>l</w:t>
      </w:r>
      <w:r w:rsidR="007165F0" w:rsidRPr="003075FB">
        <w:rPr>
          <w:szCs w:val="26"/>
        </w:rPr>
        <w:t xml:space="preserve"> and remand for further proceedings consistent with this opinion</w:t>
      </w:r>
      <w:r w:rsidR="006E0525" w:rsidRPr="003075FB">
        <w:rPr>
          <w:szCs w:val="26"/>
        </w:rPr>
        <w:t>.</w:t>
      </w:r>
      <w:r w:rsidR="00BF49A5" w:rsidRPr="003075FB">
        <w:rPr>
          <w:szCs w:val="26"/>
        </w:rPr>
        <w:t xml:space="preserve"> </w:t>
      </w:r>
    </w:p>
    <w:p w14:paraId="0D115173" w14:textId="77777777" w:rsidR="00BF49A5" w:rsidRPr="003075FB" w:rsidRDefault="00BF49A5" w:rsidP="003075FB">
      <w:pPr>
        <w:ind w:firstLine="720"/>
        <w:rPr>
          <w:szCs w:val="26"/>
        </w:rPr>
      </w:pPr>
    </w:p>
    <w:p w14:paraId="6C6E6791" w14:textId="77777777" w:rsidR="00BF49A5" w:rsidRPr="00306832" w:rsidRDefault="00BF49A5" w:rsidP="003075FB">
      <w:pPr>
        <w:ind w:firstLine="720"/>
        <w:rPr>
          <w:b/>
          <w:szCs w:val="26"/>
        </w:rPr>
      </w:pPr>
      <w:r w:rsidRPr="003075FB">
        <w:rPr>
          <w:szCs w:val="26"/>
        </w:rPr>
        <w:tab/>
      </w:r>
      <w:r w:rsidRPr="003075FB">
        <w:rPr>
          <w:szCs w:val="26"/>
        </w:rPr>
        <w:tab/>
      </w:r>
      <w:r w:rsidRPr="003075FB">
        <w:rPr>
          <w:szCs w:val="26"/>
        </w:rPr>
        <w:tab/>
      </w:r>
      <w:r w:rsidRPr="003075FB">
        <w:rPr>
          <w:szCs w:val="26"/>
        </w:rPr>
        <w:tab/>
      </w:r>
      <w:r w:rsidRPr="003075FB">
        <w:rPr>
          <w:szCs w:val="26"/>
        </w:rPr>
        <w:tab/>
      </w:r>
      <w:r w:rsidRPr="003075FB">
        <w:rPr>
          <w:szCs w:val="26"/>
        </w:rPr>
        <w:tab/>
      </w:r>
      <w:r w:rsidRPr="00306832">
        <w:rPr>
          <w:b/>
          <w:szCs w:val="26"/>
        </w:rPr>
        <w:t>KRUGER, J.</w:t>
      </w:r>
    </w:p>
    <w:p w14:paraId="628807C1" w14:textId="2D5A2A7D" w:rsidR="00BF49A5" w:rsidRDefault="00216ED7" w:rsidP="00216ED7">
      <w:pPr>
        <w:rPr>
          <w:b/>
          <w:szCs w:val="26"/>
        </w:rPr>
      </w:pPr>
      <w:r w:rsidRPr="00216ED7">
        <w:rPr>
          <w:b/>
          <w:szCs w:val="26"/>
        </w:rPr>
        <w:t>We Concur:</w:t>
      </w:r>
    </w:p>
    <w:p w14:paraId="28D67FC9" w14:textId="77777777" w:rsidR="00F52A28" w:rsidRDefault="00F52A28" w:rsidP="00F52A28">
      <w:pPr>
        <w:spacing w:after="0" w:line="240" w:lineRule="auto"/>
        <w:rPr>
          <w:b/>
          <w:szCs w:val="26"/>
        </w:rPr>
      </w:pPr>
      <w:r>
        <w:rPr>
          <w:b/>
          <w:szCs w:val="26"/>
        </w:rPr>
        <w:t>CANTIL-SAKAUYE, C. J.</w:t>
      </w:r>
    </w:p>
    <w:p w14:paraId="47F10AC6" w14:textId="77777777" w:rsidR="00F52A28" w:rsidRDefault="00F52A28" w:rsidP="00F52A28">
      <w:pPr>
        <w:spacing w:after="0" w:line="240" w:lineRule="auto"/>
        <w:rPr>
          <w:b/>
          <w:szCs w:val="26"/>
        </w:rPr>
      </w:pPr>
      <w:r>
        <w:rPr>
          <w:b/>
          <w:szCs w:val="26"/>
        </w:rPr>
        <w:t>CHIN, J.</w:t>
      </w:r>
    </w:p>
    <w:p w14:paraId="05373615" w14:textId="77777777" w:rsidR="00F52A28" w:rsidRDefault="00F52A28" w:rsidP="00F52A28">
      <w:pPr>
        <w:spacing w:after="0" w:line="240" w:lineRule="auto"/>
        <w:rPr>
          <w:b/>
          <w:szCs w:val="26"/>
        </w:rPr>
      </w:pPr>
      <w:r>
        <w:rPr>
          <w:b/>
          <w:szCs w:val="26"/>
        </w:rPr>
        <w:t>CORRIGAN, J.</w:t>
      </w:r>
    </w:p>
    <w:p w14:paraId="3222898A" w14:textId="77777777" w:rsidR="00F52A28" w:rsidRDefault="00F52A28" w:rsidP="00F52A28">
      <w:pPr>
        <w:spacing w:after="0" w:line="240" w:lineRule="auto"/>
        <w:rPr>
          <w:b/>
          <w:szCs w:val="26"/>
        </w:rPr>
      </w:pPr>
      <w:r>
        <w:rPr>
          <w:b/>
          <w:szCs w:val="26"/>
        </w:rPr>
        <w:t>LIU, J.</w:t>
      </w:r>
    </w:p>
    <w:p w14:paraId="720338AA" w14:textId="77777777" w:rsidR="00F52A28" w:rsidRDefault="00F52A28" w:rsidP="00F52A28">
      <w:pPr>
        <w:spacing w:after="0" w:line="240" w:lineRule="auto"/>
        <w:rPr>
          <w:b/>
          <w:szCs w:val="26"/>
        </w:rPr>
      </w:pPr>
      <w:r>
        <w:rPr>
          <w:b/>
          <w:szCs w:val="26"/>
        </w:rPr>
        <w:t>CUÉLLAR, J.</w:t>
      </w:r>
    </w:p>
    <w:p w14:paraId="7CBDFA9D" w14:textId="77777777" w:rsidR="00403EEB" w:rsidRDefault="00F52A28" w:rsidP="00F52A28">
      <w:pPr>
        <w:spacing w:after="0" w:line="240" w:lineRule="auto"/>
        <w:rPr>
          <w:b/>
          <w:szCs w:val="26"/>
        </w:rPr>
        <w:sectPr w:rsidR="00403EEB" w:rsidSect="003075FB">
          <w:footerReference w:type="first" r:id="rId9"/>
          <w:pgSz w:w="12240" w:h="15840"/>
          <w:pgMar w:top="1800" w:right="2160" w:bottom="1440" w:left="2160" w:header="720" w:footer="720" w:gutter="0"/>
          <w:pgNumType w:start="1"/>
          <w:cols w:space="720"/>
          <w:titlePg/>
          <w:docGrid w:linePitch="367"/>
        </w:sectPr>
      </w:pPr>
      <w:r>
        <w:rPr>
          <w:b/>
          <w:szCs w:val="26"/>
        </w:rPr>
        <w:t>GROBAN, J.</w:t>
      </w:r>
    </w:p>
    <w:p w14:paraId="056A6EAE" w14:textId="77777777" w:rsidR="00403EEB" w:rsidRPr="00403EEB" w:rsidRDefault="00403EEB" w:rsidP="00403EEB">
      <w:pPr>
        <w:spacing w:after="0" w:line="240" w:lineRule="auto"/>
        <w:jc w:val="left"/>
        <w:rPr>
          <w:rFonts w:ascii="Times New Roman" w:hAnsi="Times New Roman"/>
          <w:i/>
          <w:sz w:val="20"/>
        </w:rPr>
      </w:pPr>
      <w:r w:rsidRPr="00403EEB">
        <w:rPr>
          <w:rFonts w:ascii="Times New Roman" w:hAnsi="Times New Roman"/>
          <w:i/>
          <w:sz w:val="20"/>
        </w:rPr>
        <w:t>See next page for addresses and telephone numbers for counsel who argued in Supreme Court.</w:t>
      </w:r>
    </w:p>
    <w:p w14:paraId="5F24BB90" w14:textId="77777777" w:rsidR="00403EEB" w:rsidRPr="00403EEB" w:rsidRDefault="00403EEB" w:rsidP="00403EEB">
      <w:pPr>
        <w:spacing w:after="0" w:line="240" w:lineRule="auto"/>
        <w:jc w:val="left"/>
        <w:rPr>
          <w:rFonts w:ascii="Times New Roman" w:hAnsi="Times New Roman"/>
          <w:i/>
          <w:sz w:val="20"/>
        </w:rPr>
      </w:pPr>
    </w:p>
    <w:p w14:paraId="1F3C5F8D" w14:textId="77777777" w:rsidR="00403EEB" w:rsidRPr="00403EEB" w:rsidRDefault="00403EEB" w:rsidP="00403EEB">
      <w:pPr>
        <w:spacing w:after="0" w:line="240" w:lineRule="auto"/>
        <w:jc w:val="left"/>
        <w:rPr>
          <w:rFonts w:ascii="Times New Roman" w:hAnsi="Times New Roman"/>
          <w:bCs/>
          <w:i/>
          <w:sz w:val="20"/>
        </w:rPr>
      </w:pPr>
      <w:r w:rsidRPr="00403EEB">
        <w:rPr>
          <w:rFonts w:ascii="Times New Roman" w:hAnsi="Times New Roman"/>
          <w:b/>
          <w:sz w:val="20"/>
        </w:rPr>
        <w:t>Name of Opinion</w:t>
      </w:r>
      <w:r w:rsidRPr="00403EEB">
        <w:rPr>
          <w:rFonts w:ascii="Times New Roman" w:hAnsi="Times New Roman"/>
          <w:sz w:val="20"/>
        </w:rPr>
        <w:t xml:space="preserve"> Gardner v. Appellate Division of Superior Court</w:t>
      </w:r>
    </w:p>
    <w:p w14:paraId="6A2A6EB3" w14:textId="77777777" w:rsidR="00403EEB" w:rsidRPr="00403EEB" w:rsidRDefault="00403EEB" w:rsidP="00403EEB">
      <w:pPr>
        <w:spacing w:after="0" w:line="240" w:lineRule="auto"/>
        <w:jc w:val="left"/>
        <w:rPr>
          <w:rFonts w:ascii="Times New Roman" w:hAnsi="Times New Roman"/>
          <w:b/>
          <w:sz w:val="20"/>
        </w:rPr>
      </w:pPr>
      <w:r w:rsidRPr="00403EEB">
        <w:rPr>
          <w:rFonts w:ascii="Times New Roman" w:hAnsi="Times New Roman"/>
          <w:b/>
          <w:sz w:val="20"/>
        </w:rPr>
        <w:t>__________________________________________________________________________________</w:t>
      </w:r>
    </w:p>
    <w:p w14:paraId="78E5B7FE" w14:textId="77777777" w:rsidR="00403EEB" w:rsidRPr="00403EEB" w:rsidRDefault="00403EEB" w:rsidP="00403EEB">
      <w:pPr>
        <w:spacing w:after="0" w:line="240" w:lineRule="auto"/>
        <w:jc w:val="left"/>
        <w:rPr>
          <w:rFonts w:ascii="Times New Roman" w:hAnsi="Times New Roman"/>
          <w:b/>
          <w:sz w:val="20"/>
        </w:rPr>
      </w:pPr>
    </w:p>
    <w:p w14:paraId="1FD08BDA" w14:textId="77777777" w:rsidR="00403EEB" w:rsidRPr="00403EEB" w:rsidRDefault="00403EEB" w:rsidP="00403EEB">
      <w:pPr>
        <w:spacing w:after="0" w:line="240" w:lineRule="auto"/>
        <w:jc w:val="left"/>
        <w:rPr>
          <w:rFonts w:ascii="Times New Roman" w:hAnsi="Times New Roman"/>
          <w:bCs/>
          <w:sz w:val="20"/>
        </w:rPr>
      </w:pPr>
      <w:r w:rsidRPr="00403EEB">
        <w:rPr>
          <w:rFonts w:ascii="Times New Roman" w:hAnsi="Times New Roman"/>
          <w:b/>
          <w:sz w:val="20"/>
        </w:rPr>
        <w:t>Unpublished Opinion</w:t>
      </w:r>
    </w:p>
    <w:p w14:paraId="1E91F859" w14:textId="77777777" w:rsidR="00403EEB" w:rsidRPr="00403EEB" w:rsidRDefault="00403EEB" w:rsidP="00403EEB">
      <w:pPr>
        <w:spacing w:after="0" w:line="240" w:lineRule="auto"/>
        <w:jc w:val="left"/>
        <w:rPr>
          <w:rFonts w:ascii="Times New Roman" w:hAnsi="Times New Roman"/>
          <w:sz w:val="20"/>
        </w:rPr>
      </w:pPr>
      <w:r w:rsidRPr="00403EEB">
        <w:rPr>
          <w:rFonts w:ascii="Times New Roman" w:hAnsi="Times New Roman"/>
          <w:b/>
          <w:sz w:val="20"/>
        </w:rPr>
        <w:t>Original Appeal</w:t>
      </w:r>
    </w:p>
    <w:p w14:paraId="60F1331D" w14:textId="77777777" w:rsidR="00403EEB" w:rsidRPr="00403EEB" w:rsidRDefault="00403EEB" w:rsidP="00403EEB">
      <w:pPr>
        <w:spacing w:after="0" w:line="240" w:lineRule="auto"/>
        <w:jc w:val="left"/>
        <w:rPr>
          <w:rFonts w:ascii="Times New Roman" w:hAnsi="Times New Roman"/>
          <w:b/>
          <w:sz w:val="20"/>
        </w:rPr>
      </w:pPr>
      <w:r w:rsidRPr="00403EEB">
        <w:rPr>
          <w:rFonts w:ascii="Times New Roman" w:hAnsi="Times New Roman"/>
          <w:b/>
          <w:sz w:val="20"/>
        </w:rPr>
        <w:t>Original Proceeding</w:t>
      </w:r>
    </w:p>
    <w:p w14:paraId="2042D600" w14:textId="77777777" w:rsidR="00403EEB" w:rsidRPr="00403EEB" w:rsidRDefault="00403EEB" w:rsidP="00403EEB">
      <w:pPr>
        <w:spacing w:after="0" w:line="240" w:lineRule="auto"/>
        <w:jc w:val="left"/>
        <w:rPr>
          <w:rFonts w:ascii="Times New Roman" w:hAnsi="Times New Roman"/>
          <w:sz w:val="20"/>
        </w:rPr>
      </w:pPr>
      <w:r w:rsidRPr="00403EEB">
        <w:rPr>
          <w:rFonts w:ascii="Times New Roman" w:hAnsi="Times New Roman"/>
          <w:b/>
          <w:sz w:val="20"/>
        </w:rPr>
        <w:t>Review Granted</w:t>
      </w:r>
      <w:r w:rsidRPr="00403EEB">
        <w:rPr>
          <w:rFonts w:ascii="Times New Roman" w:hAnsi="Times New Roman"/>
          <w:sz w:val="20"/>
        </w:rPr>
        <w:t xml:space="preserve"> XXX 17 Cal.App.5th 636</w:t>
      </w:r>
    </w:p>
    <w:p w14:paraId="3F187825" w14:textId="77777777" w:rsidR="00403EEB" w:rsidRPr="00403EEB" w:rsidRDefault="00403EEB" w:rsidP="00403EEB">
      <w:pPr>
        <w:spacing w:after="0" w:line="240" w:lineRule="auto"/>
        <w:jc w:val="left"/>
        <w:rPr>
          <w:rFonts w:ascii="Times New Roman" w:hAnsi="Times New Roman"/>
          <w:b/>
          <w:sz w:val="20"/>
        </w:rPr>
      </w:pPr>
      <w:r w:rsidRPr="00403EEB">
        <w:rPr>
          <w:rFonts w:ascii="Times New Roman" w:hAnsi="Times New Roman"/>
          <w:b/>
          <w:sz w:val="20"/>
        </w:rPr>
        <w:t>Rehearing Granted</w:t>
      </w:r>
    </w:p>
    <w:p w14:paraId="28C5FB7C" w14:textId="77777777" w:rsidR="00403EEB" w:rsidRPr="00403EEB" w:rsidRDefault="00403EEB" w:rsidP="00403EEB">
      <w:pPr>
        <w:spacing w:after="0" w:line="240" w:lineRule="auto"/>
        <w:jc w:val="left"/>
        <w:rPr>
          <w:rFonts w:ascii="Times New Roman" w:hAnsi="Times New Roman"/>
          <w:b/>
          <w:sz w:val="20"/>
        </w:rPr>
      </w:pPr>
    </w:p>
    <w:p w14:paraId="4E4D87EE" w14:textId="77777777" w:rsidR="00403EEB" w:rsidRPr="00403EEB" w:rsidRDefault="00403EEB" w:rsidP="00403EEB">
      <w:pPr>
        <w:spacing w:after="0" w:line="240" w:lineRule="auto"/>
        <w:jc w:val="left"/>
        <w:rPr>
          <w:rFonts w:ascii="Times New Roman" w:hAnsi="Times New Roman"/>
          <w:b/>
          <w:sz w:val="20"/>
        </w:rPr>
      </w:pPr>
      <w:r w:rsidRPr="00403EEB">
        <w:rPr>
          <w:rFonts w:ascii="Times New Roman" w:hAnsi="Times New Roman"/>
          <w:b/>
          <w:sz w:val="20"/>
        </w:rPr>
        <w:t>__________________________________________________________________________________</w:t>
      </w:r>
    </w:p>
    <w:p w14:paraId="0F64A508" w14:textId="77777777" w:rsidR="00403EEB" w:rsidRPr="00403EEB" w:rsidRDefault="00403EEB" w:rsidP="00403EEB">
      <w:pPr>
        <w:spacing w:after="0" w:line="240" w:lineRule="auto"/>
        <w:jc w:val="left"/>
        <w:rPr>
          <w:rFonts w:ascii="Times New Roman" w:hAnsi="Times New Roman"/>
          <w:b/>
          <w:sz w:val="20"/>
        </w:rPr>
      </w:pPr>
    </w:p>
    <w:p w14:paraId="231BE924" w14:textId="77777777" w:rsidR="00403EEB" w:rsidRPr="00403EEB" w:rsidRDefault="00403EEB" w:rsidP="00403EEB">
      <w:pPr>
        <w:spacing w:after="0" w:line="240" w:lineRule="auto"/>
        <w:jc w:val="left"/>
        <w:rPr>
          <w:rFonts w:ascii="Times New Roman" w:hAnsi="Times New Roman"/>
          <w:bCs/>
          <w:sz w:val="20"/>
        </w:rPr>
      </w:pPr>
      <w:r w:rsidRPr="00403EEB">
        <w:rPr>
          <w:rFonts w:ascii="Times New Roman" w:hAnsi="Times New Roman"/>
          <w:b/>
          <w:sz w:val="20"/>
        </w:rPr>
        <w:t>Opinion No.</w:t>
      </w:r>
      <w:r w:rsidRPr="00403EEB">
        <w:rPr>
          <w:rFonts w:ascii="Times New Roman" w:hAnsi="Times New Roman"/>
          <w:sz w:val="20"/>
        </w:rPr>
        <w:t xml:space="preserve"> S246214</w:t>
      </w:r>
    </w:p>
    <w:p w14:paraId="00CBDDA1" w14:textId="77777777" w:rsidR="00403EEB" w:rsidRPr="00403EEB" w:rsidRDefault="00403EEB" w:rsidP="00403EEB">
      <w:pPr>
        <w:spacing w:after="0" w:line="240" w:lineRule="auto"/>
        <w:jc w:val="left"/>
        <w:rPr>
          <w:rFonts w:ascii="Times New Roman" w:hAnsi="Times New Roman"/>
          <w:bCs/>
          <w:sz w:val="20"/>
        </w:rPr>
      </w:pPr>
      <w:r w:rsidRPr="00403EEB">
        <w:rPr>
          <w:rFonts w:ascii="Times New Roman" w:hAnsi="Times New Roman"/>
          <w:b/>
          <w:sz w:val="20"/>
        </w:rPr>
        <w:t>Date Filed:</w:t>
      </w:r>
      <w:r w:rsidRPr="00403EEB">
        <w:rPr>
          <w:rFonts w:ascii="Times New Roman" w:hAnsi="Times New Roman"/>
          <w:sz w:val="20"/>
        </w:rPr>
        <w:t xml:space="preserve"> March 28, 2019</w:t>
      </w:r>
    </w:p>
    <w:p w14:paraId="28020AE8" w14:textId="77777777" w:rsidR="00403EEB" w:rsidRPr="00403EEB" w:rsidRDefault="00403EEB" w:rsidP="00403EEB">
      <w:pPr>
        <w:spacing w:after="0" w:line="240" w:lineRule="auto"/>
        <w:jc w:val="left"/>
        <w:rPr>
          <w:rFonts w:ascii="Times New Roman" w:hAnsi="Times New Roman"/>
          <w:b/>
          <w:sz w:val="20"/>
        </w:rPr>
      </w:pPr>
      <w:r w:rsidRPr="00403EEB">
        <w:rPr>
          <w:rFonts w:ascii="Times New Roman" w:hAnsi="Times New Roman"/>
          <w:b/>
          <w:sz w:val="20"/>
        </w:rPr>
        <w:t>__________________________________________________________________________________</w:t>
      </w:r>
    </w:p>
    <w:p w14:paraId="71694091" w14:textId="77777777" w:rsidR="00403EEB" w:rsidRPr="00403EEB" w:rsidRDefault="00403EEB" w:rsidP="00403EEB">
      <w:pPr>
        <w:spacing w:after="0" w:line="240" w:lineRule="auto"/>
        <w:jc w:val="left"/>
        <w:rPr>
          <w:rFonts w:ascii="Times New Roman" w:hAnsi="Times New Roman"/>
          <w:b/>
          <w:sz w:val="20"/>
        </w:rPr>
      </w:pPr>
    </w:p>
    <w:p w14:paraId="6DDF01A8" w14:textId="77777777" w:rsidR="00403EEB" w:rsidRPr="00403EEB" w:rsidRDefault="00403EEB" w:rsidP="00403EEB">
      <w:pPr>
        <w:spacing w:after="0" w:line="240" w:lineRule="auto"/>
        <w:jc w:val="left"/>
        <w:rPr>
          <w:rFonts w:ascii="Times New Roman" w:hAnsi="Times New Roman"/>
          <w:bCs/>
          <w:sz w:val="20"/>
        </w:rPr>
      </w:pPr>
      <w:r w:rsidRPr="00403EEB">
        <w:rPr>
          <w:rFonts w:ascii="Times New Roman" w:hAnsi="Times New Roman"/>
          <w:b/>
          <w:sz w:val="20"/>
        </w:rPr>
        <w:t>Court:</w:t>
      </w:r>
      <w:r w:rsidRPr="00403EEB">
        <w:rPr>
          <w:rFonts w:ascii="Times New Roman" w:hAnsi="Times New Roman"/>
          <w:sz w:val="20"/>
        </w:rPr>
        <w:t xml:space="preserve"> Superior</w:t>
      </w:r>
    </w:p>
    <w:p w14:paraId="1F4F7FBF" w14:textId="77777777" w:rsidR="00403EEB" w:rsidRPr="00403EEB" w:rsidRDefault="00403EEB" w:rsidP="00403EEB">
      <w:pPr>
        <w:spacing w:after="0" w:line="240" w:lineRule="auto"/>
        <w:jc w:val="left"/>
        <w:rPr>
          <w:rFonts w:ascii="Times New Roman" w:hAnsi="Times New Roman"/>
          <w:bCs/>
          <w:sz w:val="20"/>
        </w:rPr>
      </w:pPr>
      <w:r w:rsidRPr="00403EEB">
        <w:rPr>
          <w:rFonts w:ascii="Times New Roman" w:hAnsi="Times New Roman"/>
          <w:b/>
          <w:sz w:val="20"/>
        </w:rPr>
        <w:t>County:</w:t>
      </w:r>
      <w:r w:rsidRPr="00403EEB">
        <w:rPr>
          <w:rFonts w:ascii="Times New Roman" w:hAnsi="Times New Roman"/>
          <w:sz w:val="20"/>
        </w:rPr>
        <w:t xml:space="preserve"> San Bernardino</w:t>
      </w:r>
    </w:p>
    <w:p w14:paraId="47E483A6" w14:textId="77777777" w:rsidR="00403EEB" w:rsidRPr="00403EEB" w:rsidRDefault="00403EEB" w:rsidP="00403EEB">
      <w:pPr>
        <w:spacing w:after="0" w:line="240" w:lineRule="auto"/>
        <w:ind w:left="720" w:hanging="720"/>
        <w:jc w:val="left"/>
        <w:rPr>
          <w:rFonts w:ascii="Times New Roman" w:hAnsi="Times New Roman"/>
          <w:bCs/>
          <w:sz w:val="20"/>
        </w:rPr>
      </w:pPr>
      <w:r w:rsidRPr="00403EEB">
        <w:rPr>
          <w:rFonts w:ascii="Times New Roman" w:hAnsi="Times New Roman"/>
          <w:b/>
          <w:sz w:val="20"/>
        </w:rPr>
        <w:t>Judge:</w:t>
      </w:r>
      <w:r w:rsidRPr="00403EEB">
        <w:rPr>
          <w:rFonts w:ascii="Times New Roman" w:hAnsi="Times New Roman"/>
          <w:sz w:val="20"/>
        </w:rPr>
        <w:t xml:space="preserve"> Michael A. Knish, Annemarie G. Pace and Carlos M. Cabrera</w:t>
      </w:r>
    </w:p>
    <w:p w14:paraId="249B592A" w14:textId="77777777" w:rsidR="00403EEB" w:rsidRPr="00403EEB" w:rsidRDefault="00403EEB" w:rsidP="00403EEB">
      <w:pPr>
        <w:spacing w:after="0" w:line="240" w:lineRule="auto"/>
        <w:jc w:val="left"/>
        <w:rPr>
          <w:rFonts w:ascii="Times New Roman" w:hAnsi="Times New Roman"/>
          <w:b/>
          <w:sz w:val="20"/>
        </w:rPr>
      </w:pPr>
    </w:p>
    <w:p w14:paraId="76B85C46" w14:textId="77777777" w:rsidR="00403EEB" w:rsidRPr="00403EEB" w:rsidRDefault="00403EEB" w:rsidP="00403EEB">
      <w:pPr>
        <w:spacing w:after="0" w:line="240" w:lineRule="auto"/>
        <w:jc w:val="left"/>
        <w:rPr>
          <w:rFonts w:ascii="Times New Roman" w:hAnsi="Times New Roman"/>
          <w:b/>
          <w:sz w:val="20"/>
        </w:rPr>
      </w:pPr>
      <w:r w:rsidRPr="00403EEB">
        <w:rPr>
          <w:rFonts w:ascii="Times New Roman" w:hAnsi="Times New Roman"/>
          <w:b/>
          <w:sz w:val="20"/>
        </w:rPr>
        <w:t>__________________________________________________________________________________</w:t>
      </w:r>
    </w:p>
    <w:p w14:paraId="19B8D63A" w14:textId="77777777" w:rsidR="00403EEB" w:rsidRPr="00403EEB" w:rsidRDefault="00403EEB" w:rsidP="00403EEB">
      <w:pPr>
        <w:spacing w:after="0" w:line="240" w:lineRule="auto"/>
        <w:jc w:val="left"/>
        <w:rPr>
          <w:rFonts w:ascii="Times New Roman" w:hAnsi="Times New Roman"/>
          <w:b/>
          <w:sz w:val="20"/>
        </w:rPr>
      </w:pPr>
    </w:p>
    <w:p w14:paraId="62FF3F04" w14:textId="77777777" w:rsidR="00403EEB" w:rsidRPr="00403EEB" w:rsidRDefault="00403EEB" w:rsidP="00403EEB">
      <w:pPr>
        <w:spacing w:after="0" w:line="240" w:lineRule="auto"/>
        <w:jc w:val="left"/>
        <w:rPr>
          <w:rFonts w:ascii="Times New Roman" w:hAnsi="Times New Roman"/>
          <w:b/>
          <w:sz w:val="20"/>
        </w:rPr>
      </w:pPr>
      <w:r w:rsidRPr="00403EEB">
        <w:rPr>
          <w:rFonts w:ascii="Times New Roman" w:hAnsi="Times New Roman"/>
          <w:b/>
          <w:sz w:val="20"/>
        </w:rPr>
        <w:t>Counsel:</w:t>
      </w:r>
    </w:p>
    <w:p w14:paraId="75217562" w14:textId="77777777" w:rsidR="00403EEB" w:rsidRPr="00403EEB" w:rsidRDefault="00403EEB" w:rsidP="00403EEB">
      <w:pPr>
        <w:spacing w:after="0" w:line="240" w:lineRule="auto"/>
        <w:jc w:val="left"/>
        <w:rPr>
          <w:rFonts w:ascii="Times New Roman" w:hAnsi="Times New Roman"/>
          <w:b/>
          <w:sz w:val="20"/>
        </w:rPr>
      </w:pPr>
    </w:p>
    <w:p w14:paraId="1FA13740" w14:textId="77777777" w:rsidR="00403EEB" w:rsidRPr="00403EEB" w:rsidRDefault="00403EEB" w:rsidP="00403EEB">
      <w:pPr>
        <w:spacing w:after="0" w:line="240" w:lineRule="auto"/>
        <w:jc w:val="left"/>
        <w:rPr>
          <w:rFonts w:ascii="Times New Roman" w:hAnsi="Times New Roman"/>
          <w:sz w:val="20"/>
        </w:rPr>
      </w:pPr>
      <w:r w:rsidRPr="00403EEB">
        <w:rPr>
          <w:rFonts w:ascii="Times New Roman" w:hAnsi="Times New Roman"/>
          <w:sz w:val="20"/>
        </w:rPr>
        <w:t xml:space="preserve">Phyllis K. Morris and Christopher Gardner, Public Defenders, and Stephan J. </w:t>
      </w:r>
      <w:proofErr w:type="spellStart"/>
      <w:r w:rsidRPr="00403EEB">
        <w:rPr>
          <w:rFonts w:ascii="Times New Roman" w:hAnsi="Times New Roman"/>
          <w:sz w:val="20"/>
        </w:rPr>
        <w:t>Willms</w:t>
      </w:r>
      <w:proofErr w:type="spellEnd"/>
      <w:r w:rsidRPr="00403EEB">
        <w:rPr>
          <w:rFonts w:ascii="Times New Roman" w:hAnsi="Times New Roman"/>
          <w:sz w:val="20"/>
        </w:rPr>
        <w:t>, Deputy Public Defender, for Petitioner.</w:t>
      </w:r>
    </w:p>
    <w:p w14:paraId="06D15577" w14:textId="77777777" w:rsidR="00403EEB" w:rsidRPr="00403EEB" w:rsidRDefault="00403EEB" w:rsidP="00403EEB">
      <w:pPr>
        <w:spacing w:after="0" w:line="240" w:lineRule="auto"/>
        <w:jc w:val="left"/>
        <w:rPr>
          <w:rFonts w:ascii="Times New Roman" w:hAnsi="Times New Roman"/>
          <w:sz w:val="20"/>
        </w:rPr>
      </w:pPr>
    </w:p>
    <w:p w14:paraId="27C86716" w14:textId="77777777" w:rsidR="00403EEB" w:rsidRPr="00403EEB" w:rsidRDefault="00403EEB" w:rsidP="00403EEB">
      <w:pPr>
        <w:spacing w:after="0" w:line="240" w:lineRule="auto"/>
        <w:jc w:val="left"/>
        <w:rPr>
          <w:rFonts w:ascii="Times New Roman" w:hAnsi="Times New Roman"/>
          <w:sz w:val="20"/>
        </w:rPr>
      </w:pPr>
      <w:r w:rsidRPr="00403EEB">
        <w:rPr>
          <w:rFonts w:ascii="Times New Roman" w:hAnsi="Times New Roman"/>
          <w:sz w:val="20"/>
        </w:rPr>
        <w:t>Steven Harmon, Public Defender (Riverside) and Laura Arnold, Deputy Public Defender, for Law Offices of the Public Defender County of Riverside and California Public Defenders Association as Amici Curiae on behalf of Petitioner.</w:t>
      </w:r>
    </w:p>
    <w:p w14:paraId="4E277AF4" w14:textId="77777777" w:rsidR="00403EEB" w:rsidRPr="00403EEB" w:rsidRDefault="00403EEB" w:rsidP="00403EEB">
      <w:pPr>
        <w:spacing w:after="0" w:line="240" w:lineRule="auto"/>
        <w:jc w:val="left"/>
        <w:rPr>
          <w:rFonts w:ascii="Times New Roman" w:hAnsi="Times New Roman"/>
          <w:sz w:val="20"/>
        </w:rPr>
      </w:pPr>
    </w:p>
    <w:p w14:paraId="5BA4B2D0" w14:textId="77777777" w:rsidR="00403EEB" w:rsidRPr="00403EEB" w:rsidRDefault="00403EEB" w:rsidP="00403EEB">
      <w:pPr>
        <w:spacing w:after="0" w:line="240" w:lineRule="auto"/>
        <w:jc w:val="left"/>
        <w:rPr>
          <w:rFonts w:ascii="Times New Roman" w:hAnsi="Times New Roman"/>
          <w:sz w:val="20"/>
        </w:rPr>
      </w:pPr>
      <w:r w:rsidRPr="00403EEB">
        <w:rPr>
          <w:rFonts w:ascii="Times New Roman" w:hAnsi="Times New Roman"/>
          <w:sz w:val="20"/>
        </w:rPr>
        <w:t>O’Melveny &amp; Myers, Brett J. Williamson and Ryan W. Rutledge for the Innocence Project, the California Innocence Project, the Project for the Innocent at Loyola Law School, the Northern California Innocence Project, the University of San Francisco Criminal &amp; Juvenile Justice Clinic, the American University Washington College of Law Criminal Justice Clinic, Professor Lara Bazelon and Professor Jenny Roberts as Amici Curiae on behalf of Petitioner.</w:t>
      </w:r>
    </w:p>
    <w:p w14:paraId="586CBD0A" w14:textId="77777777" w:rsidR="00403EEB" w:rsidRPr="00403EEB" w:rsidRDefault="00403EEB" w:rsidP="00403EEB">
      <w:pPr>
        <w:spacing w:after="0" w:line="240" w:lineRule="auto"/>
        <w:jc w:val="left"/>
        <w:rPr>
          <w:rFonts w:ascii="Times New Roman" w:hAnsi="Times New Roman"/>
          <w:sz w:val="20"/>
        </w:rPr>
      </w:pPr>
    </w:p>
    <w:p w14:paraId="5E9CFC8D" w14:textId="77777777" w:rsidR="00403EEB" w:rsidRPr="00403EEB" w:rsidRDefault="00403EEB" w:rsidP="00403EEB">
      <w:pPr>
        <w:spacing w:after="0" w:line="240" w:lineRule="auto"/>
        <w:jc w:val="left"/>
        <w:rPr>
          <w:rFonts w:ascii="Times New Roman" w:hAnsi="Times New Roman"/>
          <w:sz w:val="20"/>
        </w:rPr>
      </w:pPr>
      <w:r w:rsidRPr="00403EEB">
        <w:rPr>
          <w:rFonts w:ascii="Times New Roman" w:hAnsi="Times New Roman"/>
          <w:sz w:val="20"/>
        </w:rPr>
        <w:t>Robert L. Driessen for Respondent.</w:t>
      </w:r>
    </w:p>
    <w:p w14:paraId="479197D8" w14:textId="77777777" w:rsidR="00403EEB" w:rsidRPr="00403EEB" w:rsidRDefault="00403EEB" w:rsidP="00403EEB">
      <w:pPr>
        <w:spacing w:after="0" w:line="240" w:lineRule="auto"/>
        <w:jc w:val="left"/>
        <w:rPr>
          <w:rFonts w:ascii="Times New Roman" w:hAnsi="Times New Roman"/>
          <w:sz w:val="20"/>
        </w:rPr>
      </w:pPr>
    </w:p>
    <w:p w14:paraId="377B2584" w14:textId="77777777" w:rsidR="00403EEB" w:rsidRPr="00403EEB" w:rsidRDefault="00403EEB" w:rsidP="00403EEB">
      <w:pPr>
        <w:spacing w:after="0" w:line="240" w:lineRule="auto"/>
        <w:jc w:val="left"/>
        <w:rPr>
          <w:rFonts w:ascii="Times New Roman" w:hAnsi="Times New Roman"/>
          <w:sz w:val="20"/>
        </w:rPr>
      </w:pPr>
      <w:r w:rsidRPr="00403EEB">
        <w:rPr>
          <w:rFonts w:ascii="Times New Roman" w:hAnsi="Times New Roman"/>
          <w:sz w:val="20"/>
        </w:rPr>
        <w:t>No appearance for Real Party in Interest.</w:t>
      </w:r>
    </w:p>
    <w:p w14:paraId="0A5B0FF3" w14:textId="77777777" w:rsidR="00403EEB" w:rsidRPr="00403EEB" w:rsidRDefault="00403EEB" w:rsidP="00403EEB">
      <w:pPr>
        <w:spacing w:after="0" w:line="240" w:lineRule="auto"/>
        <w:jc w:val="left"/>
        <w:rPr>
          <w:rFonts w:ascii="Times New Roman" w:hAnsi="Times New Roman"/>
          <w:b/>
          <w:sz w:val="20"/>
        </w:rPr>
      </w:pPr>
    </w:p>
    <w:p w14:paraId="627F8C55" w14:textId="77777777" w:rsidR="00403EEB" w:rsidRPr="00403EEB" w:rsidRDefault="00403EEB" w:rsidP="00403EEB">
      <w:pPr>
        <w:spacing w:after="0" w:line="240" w:lineRule="auto"/>
        <w:jc w:val="left"/>
        <w:rPr>
          <w:rFonts w:ascii="Times New Roman" w:hAnsi="Times New Roman"/>
          <w:b/>
          <w:sz w:val="20"/>
        </w:rPr>
      </w:pPr>
    </w:p>
    <w:p w14:paraId="5237756A" w14:textId="77777777" w:rsidR="00403EEB" w:rsidRPr="00403EEB" w:rsidRDefault="00403EEB" w:rsidP="00403EEB">
      <w:pPr>
        <w:spacing w:after="0" w:line="240" w:lineRule="auto"/>
        <w:jc w:val="left"/>
        <w:rPr>
          <w:rFonts w:ascii="Times New Roman" w:hAnsi="Times New Roman"/>
          <w:b/>
          <w:sz w:val="20"/>
        </w:rPr>
      </w:pPr>
    </w:p>
    <w:p w14:paraId="34A049DC" w14:textId="77777777" w:rsidR="00403EEB" w:rsidRPr="00403EEB" w:rsidRDefault="00403EEB" w:rsidP="00403EEB">
      <w:pPr>
        <w:spacing w:after="0" w:line="240" w:lineRule="auto"/>
        <w:jc w:val="left"/>
        <w:rPr>
          <w:rFonts w:ascii="Times New Roman" w:hAnsi="Times New Roman"/>
          <w:b/>
          <w:sz w:val="20"/>
        </w:rPr>
      </w:pPr>
    </w:p>
    <w:p w14:paraId="043E5B69" w14:textId="77777777" w:rsidR="00403EEB" w:rsidRPr="00403EEB" w:rsidRDefault="00403EEB" w:rsidP="00403EEB">
      <w:pPr>
        <w:spacing w:after="0" w:line="240" w:lineRule="auto"/>
        <w:jc w:val="left"/>
        <w:rPr>
          <w:rFonts w:ascii="Times New Roman" w:hAnsi="Times New Roman"/>
          <w:b/>
          <w:sz w:val="20"/>
        </w:rPr>
      </w:pPr>
      <w:r w:rsidRPr="00403EEB">
        <w:rPr>
          <w:rFonts w:ascii="Times New Roman" w:hAnsi="Times New Roman"/>
          <w:b/>
          <w:sz w:val="20"/>
        </w:rPr>
        <w:br w:type="page"/>
      </w:r>
    </w:p>
    <w:p w14:paraId="6745807E" w14:textId="77777777" w:rsidR="00403EEB" w:rsidRPr="00403EEB" w:rsidRDefault="00403EEB" w:rsidP="00403EEB">
      <w:pPr>
        <w:spacing w:after="0" w:line="240" w:lineRule="auto"/>
        <w:jc w:val="left"/>
        <w:rPr>
          <w:rFonts w:ascii="Times New Roman" w:hAnsi="Times New Roman"/>
          <w:b/>
          <w:sz w:val="20"/>
        </w:rPr>
      </w:pPr>
    </w:p>
    <w:p w14:paraId="705F4833" w14:textId="77777777" w:rsidR="00403EEB" w:rsidRPr="00403EEB" w:rsidRDefault="00403EEB" w:rsidP="00403EEB">
      <w:pPr>
        <w:spacing w:after="0" w:line="240" w:lineRule="auto"/>
        <w:jc w:val="left"/>
        <w:rPr>
          <w:rFonts w:ascii="Times New Roman" w:hAnsi="Times New Roman"/>
          <w:b/>
          <w:sz w:val="20"/>
        </w:rPr>
      </w:pPr>
    </w:p>
    <w:p w14:paraId="1261B1FC" w14:textId="77777777" w:rsidR="00403EEB" w:rsidRPr="00403EEB" w:rsidRDefault="00403EEB" w:rsidP="00403EEB">
      <w:pPr>
        <w:spacing w:after="0" w:line="240" w:lineRule="auto"/>
        <w:jc w:val="left"/>
        <w:rPr>
          <w:rFonts w:ascii="Times New Roman" w:hAnsi="Times New Roman"/>
          <w:b/>
          <w:sz w:val="20"/>
        </w:rPr>
      </w:pPr>
    </w:p>
    <w:p w14:paraId="48F5C1ED" w14:textId="77777777" w:rsidR="00403EEB" w:rsidRPr="00403EEB" w:rsidRDefault="00403EEB" w:rsidP="00403EEB">
      <w:pPr>
        <w:spacing w:after="0" w:line="240" w:lineRule="auto"/>
        <w:jc w:val="left"/>
        <w:rPr>
          <w:rFonts w:ascii="Times New Roman" w:hAnsi="Times New Roman"/>
          <w:b/>
          <w:sz w:val="20"/>
        </w:rPr>
      </w:pPr>
      <w:r w:rsidRPr="00403EEB">
        <w:rPr>
          <w:rFonts w:ascii="Times New Roman" w:hAnsi="Times New Roman"/>
          <w:b/>
          <w:sz w:val="20"/>
        </w:rPr>
        <w:t>Counsel who argued in Supreme Court (not intended for publication with opinion):</w:t>
      </w:r>
    </w:p>
    <w:p w14:paraId="171D6F7A" w14:textId="77777777" w:rsidR="00403EEB" w:rsidRPr="00403EEB" w:rsidRDefault="00403EEB" w:rsidP="00403EEB">
      <w:pPr>
        <w:spacing w:after="0" w:line="240" w:lineRule="auto"/>
        <w:jc w:val="left"/>
        <w:rPr>
          <w:rFonts w:ascii="Times New Roman" w:hAnsi="Times New Roman"/>
          <w:b/>
          <w:sz w:val="20"/>
        </w:rPr>
      </w:pPr>
    </w:p>
    <w:p w14:paraId="5F4A4EA5" w14:textId="77777777" w:rsidR="00403EEB" w:rsidRPr="00403EEB" w:rsidRDefault="00403EEB" w:rsidP="00403EEB">
      <w:pPr>
        <w:spacing w:after="0" w:line="240" w:lineRule="auto"/>
        <w:jc w:val="left"/>
        <w:rPr>
          <w:rFonts w:ascii="Times New Roman" w:hAnsi="Times New Roman"/>
          <w:sz w:val="20"/>
        </w:rPr>
      </w:pPr>
      <w:r w:rsidRPr="00403EEB">
        <w:rPr>
          <w:rFonts w:ascii="Times New Roman" w:hAnsi="Times New Roman"/>
          <w:sz w:val="20"/>
        </w:rPr>
        <w:t xml:space="preserve">Stephan J, </w:t>
      </w:r>
      <w:proofErr w:type="spellStart"/>
      <w:r w:rsidRPr="00403EEB">
        <w:rPr>
          <w:rFonts w:ascii="Times New Roman" w:hAnsi="Times New Roman"/>
          <w:sz w:val="20"/>
        </w:rPr>
        <w:t>Willms</w:t>
      </w:r>
      <w:proofErr w:type="spellEnd"/>
    </w:p>
    <w:p w14:paraId="40B7FA0A" w14:textId="77777777" w:rsidR="00403EEB" w:rsidRPr="00403EEB" w:rsidRDefault="00403EEB" w:rsidP="00403EEB">
      <w:pPr>
        <w:spacing w:after="0" w:line="240" w:lineRule="auto"/>
        <w:jc w:val="left"/>
        <w:rPr>
          <w:rFonts w:ascii="Times New Roman" w:hAnsi="Times New Roman"/>
          <w:sz w:val="20"/>
        </w:rPr>
      </w:pPr>
      <w:r w:rsidRPr="00403EEB">
        <w:rPr>
          <w:rFonts w:ascii="Times New Roman" w:hAnsi="Times New Roman"/>
          <w:sz w:val="20"/>
        </w:rPr>
        <w:t>Deputy Public Defender</w:t>
      </w:r>
    </w:p>
    <w:p w14:paraId="6D003343" w14:textId="77777777" w:rsidR="00403EEB" w:rsidRPr="00403EEB" w:rsidRDefault="00403EEB" w:rsidP="00403EEB">
      <w:pPr>
        <w:spacing w:after="0" w:line="240" w:lineRule="auto"/>
        <w:jc w:val="left"/>
        <w:rPr>
          <w:rFonts w:ascii="Times New Roman" w:hAnsi="Times New Roman"/>
          <w:sz w:val="20"/>
        </w:rPr>
      </w:pPr>
      <w:r w:rsidRPr="00403EEB">
        <w:rPr>
          <w:rFonts w:ascii="Times New Roman" w:hAnsi="Times New Roman"/>
          <w:sz w:val="20"/>
        </w:rPr>
        <w:t>8303 Haven Avenue, Third Floor</w:t>
      </w:r>
    </w:p>
    <w:p w14:paraId="3BBB852E" w14:textId="77777777" w:rsidR="00403EEB" w:rsidRPr="00403EEB" w:rsidRDefault="00403EEB" w:rsidP="00403EEB">
      <w:pPr>
        <w:spacing w:after="0" w:line="240" w:lineRule="auto"/>
        <w:jc w:val="left"/>
        <w:rPr>
          <w:rFonts w:ascii="Times New Roman" w:hAnsi="Times New Roman"/>
          <w:sz w:val="20"/>
        </w:rPr>
      </w:pPr>
      <w:r w:rsidRPr="00403EEB">
        <w:rPr>
          <w:rFonts w:ascii="Times New Roman" w:hAnsi="Times New Roman"/>
          <w:sz w:val="20"/>
        </w:rPr>
        <w:t>Rancho Cucamonga, CA  91730</w:t>
      </w:r>
    </w:p>
    <w:p w14:paraId="23F108A9" w14:textId="77777777" w:rsidR="00403EEB" w:rsidRPr="00403EEB" w:rsidRDefault="00403EEB" w:rsidP="00403EEB">
      <w:pPr>
        <w:spacing w:after="0" w:line="240" w:lineRule="auto"/>
        <w:jc w:val="left"/>
        <w:rPr>
          <w:rFonts w:ascii="Times New Roman" w:hAnsi="Times New Roman"/>
          <w:sz w:val="20"/>
        </w:rPr>
      </w:pPr>
      <w:r w:rsidRPr="00403EEB">
        <w:rPr>
          <w:rFonts w:ascii="Times New Roman" w:hAnsi="Times New Roman"/>
          <w:sz w:val="20"/>
        </w:rPr>
        <w:t>(909) 476-2206</w:t>
      </w:r>
    </w:p>
    <w:p w14:paraId="70E5F1CA" w14:textId="77777777" w:rsidR="00403EEB" w:rsidRPr="00403EEB" w:rsidRDefault="00403EEB" w:rsidP="00403EEB">
      <w:pPr>
        <w:spacing w:after="0" w:line="240" w:lineRule="auto"/>
        <w:jc w:val="left"/>
        <w:rPr>
          <w:rFonts w:ascii="Times New Roman" w:hAnsi="Times New Roman"/>
          <w:sz w:val="20"/>
        </w:rPr>
      </w:pPr>
    </w:p>
    <w:p w14:paraId="4079CDA4" w14:textId="77777777" w:rsidR="00403EEB" w:rsidRPr="00403EEB" w:rsidRDefault="00403EEB" w:rsidP="00403EEB">
      <w:pPr>
        <w:spacing w:after="0" w:line="240" w:lineRule="auto"/>
        <w:jc w:val="left"/>
        <w:rPr>
          <w:rFonts w:ascii="Times New Roman" w:hAnsi="Times New Roman"/>
          <w:sz w:val="20"/>
        </w:rPr>
      </w:pPr>
      <w:r w:rsidRPr="00403EEB">
        <w:rPr>
          <w:rFonts w:ascii="Times New Roman" w:hAnsi="Times New Roman"/>
          <w:sz w:val="20"/>
        </w:rPr>
        <w:t>Robert L. Driessen</w:t>
      </w:r>
    </w:p>
    <w:p w14:paraId="1BD2DEC7" w14:textId="77777777" w:rsidR="00403EEB" w:rsidRPr="00403EEB" w:rsidRDefault="00403EEB" w:rsidP="00403EEB">
      <w:pPr>
        <w:spacing w:after="0" w:line="240" w:lineRule="auto"/>
        <w:jc w:val="left"/>
        <w:rPr>
          <w:rFonts w:ascii="Times New Roman" w:hAnsi="Times New Roman"/>
          <w:sz w:val="20"/>
        </w:rPr>
      </w:pPr>
      <w:r w:rsidRPr="00403EEB">
        <w:rPr>
          <w:rFonts w:ascii="Times New Roman" w:hAnsi="Times New Roman"/>
          <w:sz w:val="20"/>
        </w:rPr>
        <w:t>Superior Court of San Bernardino, Appellate Division</w:t>
      </w:r>
    </w:p>
    <w:p w14:paraId="03B935BD" w14:textId="77777777" w:rsidR="00403EEB" w:rsidRPr="00403EEB" w:rsidRDefault="00403EEB" w:rsidP="00403EEB">
      <w:pPr>
        <w:spacing w:after="0" w:line="240" w:lineRule="auto"/>
        <w:jc w:val="left"/>
        <w:rPr>
          <w:rFonts w:ascii="Times New Roman" w:hAnsi="Times New Roman"/>
          <w:sz w:val="20"/>
        </w:rPr>
      </w:pPr>
      <w:r w:rsidRPr="00403EEB">
        <w:rPr>
          <w:rFonts w:ascii="Times New Roman" w:hAnsi="Times New Roman"/>
          <w:sz w:val="20"/>
        </w:rPr>
        <w:t>8303 Haven Avenue</w:t>
      </w:r>
    </w:p>
    <w:p w14:paraId="734F4509" w14:textId="77777777" w:rsidR="00403EEB" w:rsidRPr="00403EEB" w:rsidRDefault="00403EEB" w:rsidP="00403EEB">
      <w:pPr>
        <w:spacing w:after="0" w:line="240" w:lineRule="auto"/>
        <w:jc w:val="left"/>
        <w:rPr>
          <w:rFonts w:ascii="Times New Roman" w:hAnsi="Times New Roman"/>
          <w:sz w:val="20"/>
        </w:rPr>
      </w:pPr>
      <w:r w:rsidRPr="00403EEB">
        <w:rPr>
          <w:rFonts w:ascii="Times New Roman" w:hAnsi="Times New Roman"/>
          <w:sz w:val="20"/>
        </w:rPr>
        <w:t>Rancho Cucamonga, CA  91730</w:t>
      </w:r>
    </w:p>
    <w:p w14:paraId="43185F02" w14:textId="77777777" w:rsidR="00403EEB" w:rsidRPr="00403EEB" w:rsidRDefault="00403EEB" w:rsidP="00403EEB">
      <w:pPr>
        <w:spacing w:after="0" w:line="240" w:lineRule="auto"/>
        <w:jc w:val="left"/>
        <w:rPr>
          <w:rFonts w:ascii="Times New Roman" w:hAnsi="Times New Roman"/>
          <w:sz w:val="20"/>
        </w:rPr>
      </w:pPr>
      <w:r w:rsidRPr="00403EEB">
        <w:rPr>
          <w:rFonts w:ascii="Times New Roman" w:hAnsi="Times New Roman"/>
          <w:sz w:val="20"/>
        </w:rPr>
        <w:t>(909) 708-8869</w:t>
      </w:r>
    </w:p>
    <w:p w14:paraId="1901A991" w14:textId="77777777" w:rsidR="00403EEB" w:rsidRPr="00403EEB" w:rsidRDefault="00403EEB" w:rsidP="00403EEB">
      <w:pPr>
        <w:spacing w:after="0" w:line="240" w:lineRule="auto"/>
        <w:jc w:val="left"/>
        <w:rPr>
          <w:rFonts w:ascii="Times New Roman" w:hAnsi="Times New Roman"/>
          <w:b/>
          <w:sz w:val="20"/>
        </w:rPr>
      </w:pPr>
    </w:p>
    <w:p w14:paraId="00A1C12E" w14:textId="61AE74A6" w:rsidR="00F52A28" w:rsidRPr="00216ED7" w:rsidRDefault="00F52A28" w:rsidP="00F52A28">
      <w:pPr>
        <w:spacing w:after="0" w:line="240" w:lineRule="auto"/>
        <w:rPr>
          <w:b/>
          <w:szCs w:val="26"/>
        </w:rPr>
      </w:pPr>
    </w:p>
    <w:sectPr w:rsidR="00F52A28" w:rsidRPr="00216ED7">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323D8" w14:textId="77777777" w:rsidR="00093475" w:rsidRDefault="00093475">
      <w:r>
        <w:separator/>
      </w:r>
    </w:p>
  </w:endnote>
  <w:endnote w:type="continuationSeparator" w:id="0">
    <w:p w14:paraId="72FAE028" w14:textId="77777777" w:rsidR="00093475" w:rsidRDefault="00093475">
      <w:r>
        <w:continuationSeparator/>
      </w:r>
    </w:p>
  </w:endnote>
  <w:endnote w:type="continuationNotice" w:id="1">
    <w:p w14:paraId="615F4124" w14:textId="77777777" w:rsidR="00093475" w:rsidRDefault="000934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BFDB7" w14:textId="77777777" w:rsidR="00F44FDE" w:rsidRDefault="00F44FDE">
    <w:pPr>
      <w:pStyle w:val="Footer"/>
    </w:pPr>
    <w:r>
      <w:fldChar w:fldCharType="begin"/>
    </w:r>
    <w:r>
      <w:instrText>PAGE</w:instrText>
    </w:r>
    <w:r>
      <w:fldChar w:fldCharType="separate"/>
    </w:r>
    <w:r w:rsidR="00634408">
      <w:rPr>
        <w:noProof/>
      </w:rPr>
      <w:t>18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6701C" w14:textId="77777777" w:rsidR="003075FB" w:rsidRDefault="003075FB">
    <w:pPr>
      <w:pStyle w:val="Footer"/>
    </w:pPr>
    <w: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0D622" w14:textId="77777777" w:rsidR="00703E5B" w:rsidRDefault="0063440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7ACAB" w14:textId="77777777" w:rsidR="00703E5B" w:rsidRDefault="0063440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3EE1A" w14:textId="77777777" w:rsidR="00703E5B" w:rsidRDefault="006344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FE400" w14:textId="77777777" w:rsidR="00093475" w:rsidRDefault="00093475">
      <w:r>
        <w:separator/>
      </w:r>
    </w:p>
  </w:footnote>
  <w:footnote w:type="continuationSeparator" w:id="0">
    <w:p w14:paraId="174D0FF6" w14:textId="54D19956" w:rsidR="00093475" w:rsidRDefault="003075FB">
      <w:pPr>
        <w:rPr>
          <w:sz w:val="22"/>
        </w:rPr>
      </w:pPr>
      <w:r>
        <w:continuationSeparator/>
      </w:r>
    </w:p>
  </w:footnote>
  <w:footnote w:type="continuationNotice" w:id="1">
    <w:p w14:paraId="5CD744CD" w14:textId="07F45F0C" w:rsidR="00093475" w:rsidRDefault="00093475">
      <w:pPr>
        <w:jc w:val="right"/>
        <w:rPr>
          <w:i/>
          <w:sz w:val="20"/>
        </w:rPr>
      </w:pPr>
    </w:p>
  </w:footnote>
  <w:footnote w:id="2">
    <w:p w14:paraId="60B0D1F8" w14:textId="77777777" w:rsidR="00F44FDE" w:rsidRDefault="00F44FDE" w:rsidP="003075FB">
      <w:pPr>
        <w:pStyle w:val="FootnoteText"/>
      </w:pPr>
      <w:r>
        <w:rPr>
          <w:rStyle w:val="FootnoteReference"/>
        </w:rPr>
        <w:footnoteRef/>
      </w:r>
      <w:r>
        <w:t xml:space="preserve"> </w:t>
      </w:r>
      <w:r>
        <w:tab/>
        <w:t>The San Bernardino Public Defender serving at the time, Phyllis K. Morris, has since been succeeded in office by Christopher Gardner, who has been substituted as a party.</w:t>
      </w:r>
    </w:p>
  </w:footnote>
  <w:footnote w:id="3">
    <w:p w14:paraId="7A74005D" w14:textId="3373A72A" w:rsidR="00F44FDE" w:rsidRDefault="00F44FDE" w:rsidP="003075FB">
      <w:pPr>
        <w:pStyle w:val="FootnoteText"/>
      </w:pPr>
      <w:r>
        <w:rPr>
          <w:rStyle w:val="FootnoteReference"/>
        </w:rPr>
        <w:footnoteRef/>
      </w:r>
      <w:r>
        <w:t xml:space="preserve"> </w:t>
      </w:r>
      <w:r>
        <w:tab/>
      </w:r>
      <w:r w:rsidRPr="00C92F9F">
        <w:t>Penal Code section 987</w:t>
      </w:r>
      <w:r>
        <w:t>, subdivision (a),</w:t>
      </w:r>
      <w:r w:rsidRPr="00C92F9F">
        <w:t xml:space="preserve"> </w:t>
      </w:r>
      <w:r>
        <w:t>provides</w:t>
      </w:r>
      <w:r w:rsidRPr="00C92F9F">
        <w:t xml:space="preserve">: </w:t>
      </w:r>
      <w:r>
        <w:t xml:space="preserve"> </w:t>
      </w:r>
      <w:r w:rsidRPr="00C92F9F">
        <w:t>“In a noncapital case, if the defendant appears for arraignment without counsel, he or she shall be informed by the court that it is his or her right to have counsel before being arraigned, and shall be asked if he or she desires the assistance of counsel.  If he or she desires and is unable to employ counsel the court shall assign counsel to defend him or her.”</w:t>
      </w:r>
    </w:p>
    <w:p w14:paraId="4F3EF7DB" w14:textId="77777777" w:rsidR="00F44FDE" w:rsidRDefault="00F44FDE" w:rsidP="003075FB">
      <w:pPr>
        <w:pStyle w:val="FootnoteText"/>
      </w:pPr>
      <w:r>
        <w:tab/>
        <w:t>Penal Code section 987.2, subdivision (i), provides in relevant part:  “Counsel shall be appointed to represent, in a misdemeanor case, a person who desires but is unable to employ counsel, when it appears that the appointment is necessary to provide an adequate and effective defense for the defendant.”</w:t>
      </w:r>
    </w:p>
  </w:footnote>
  <w:footnote w:id="4">
    <w:p w14:paraId="3DB76101" w14:textId="746246BF" w:rsidR="00F44FDE" w:rsidRDefault="00F44FDE" w:rsidP="003075FB">
      <w:pPr>
        <w:pStyle w:val="FootnoteText"/>
      </w:pPr>
      <w:r>
        <w:rPr>
          <w:rStyle w:val="FootnoteReference"/>
        </w:rPr>
        <w:footnoteRef/>
      </w:r>
      <w:r>
        <w:t xml:space="preserve"> </w:t>
      </w:r>
      <w:r>
        <w:tab/>
        <w:t xml:space="preserve">Petitioner relied for this argument on Government Code section 27706, </w:t>
      </w:r>
      <w:r w:rsidR="001F56F2">
        <w:t xml:space="preserve">subdivision (a), </w:t>
      </w:r>
      <w:r>
        <w:t>which provides</w:t>
      </w:r>
      <w:r w:rsidR="00306074">
        <w:t xml:space="preserve"> </w:t>
      </w:r>
      <w:r w:rsidR="00A37845">
        <w:t>i</w:t>
      </w:r>
      <w:r w:rsidR="00306074">
        <w:t>n relevant part</w:t>
      </w:r>
      <w:r>
        <w:t xml:space="preserve">:  “The </w:t>
      </w:r>
      <w:r w:rsidR="00436554">
        <w:t>p</w:t>
      </w:r>
      <w:r>
        <w:t xml:space="preserve">ublic </w:t>
      </w:r>
      <w:r w:rsidR="00436554">
        <w:t>d</w:t>
      </w:r>
      <w:r>
        <w:t>efender .</w:t>
      </w:r>
      <w:r w:rsidR="0060242A">
        <w:t> </w:t>
      </w:r>
      <w:r>
        <w:t>.</w:t>
      </w:r>
      <w:r w:rsidR="0060242A">
        <w:t> </w:t>
      </w:r>
      <w:r>
        <w:t xml:space="preserve">. shall prosecute all appeals to a higher court </w:t>
      </w:r>
      <w:r w:rsidR="00436554">
        <w:t xml:space="preserve">or courts </w:t>
      </w:r>
      <w:r>
        <w:t xml:space="preserve">of any person who has been convicted, where, in the opinion of the public defender, the appeal will or might reasonably be expected to result in the reversal or modification of the judgment of conviction.”  </w:t>
      </w:r>
    </w:p>
  </w:footnote>
  <w:footnote w:id="5">
    <w:p w14:paraId="3F11320A" w14:textId="23938A0D" w:rsidR="00F44FDE" w:rsidRDefault="00F44FDE" w:rsidP="003075FB">
      <w:pPr>
        <w:pStyle w:val="FootnoteText"/>
      </w:pPr>
      <w:r>
        <w:rPr>
          <w:rStyle w:val="FootnoteReference"/>
        </w:rPr>
        <w:footnoteRef/>
      </w:r>
      <w:r>
        <w:t xml:space="preserve"> </w:t>
      </w:r>
      <w:r>
        <w:tab/>
        <w:t xml:space="preserve">To make the request, the </w:t>
      </w:r>
      <w:r w:rsidR="00306074">
        <w:t>p</w:t>
      </w:r>
      <w:r>
        <w:t xml:space="preserve">ublic </w:t>
      </w:r>
      <w:r w:rsidR="00306074">
        <w:t>d</w:t>
      </w:r>
      <w:r>
        <w:t xml:space="preserve">efender adapted a form entitled “Request for </w:t>
      </w:r>
      <w:r w:rsidRPr="00C92F9F">
        <w:t>Court-Appointed Lawyer in Misdemeanor Appeal</w:t>
      </w:r>
      <w:r>
        <w:t>,” which indicated that it was “</w:t>
      </w:r>
      <w:r w:rsidRPr="00C92F9F">
        <w:t xml:space="preserve">only for requesting that the court appoint a lawyer to represent a person </w:t>
      </w:r>
      <w:r w:rsidRPr="00C92F9F">
        <w:rPr>
          <w:i/>
        </w:rPr>
        <w:t>appealing</w:t>
      </w:r>
      <w:r w:rsidRPr="00C92F9F">
        <w:t xml:space="preserve"> in a misdemeanor case.”  (Italics added</w:t>
      </w:r>
      <w:r>
        <w:t>, bold omitted</w:t>
      </w:r>
      <w:r w:rsidRPr="00C92F9F">
        <w:t xml:space="preserve">.)  In the portion of the form calling for “Name of Appellant (the party who is filing this appeal),” the </w:t>
      </w:r>
      <w:r w:rsidR="00306074">
        <w:t>p</w:t>
      </w:r>
      <w:r w:rsidRPr="00C92F9F">
        <w:t xml:space="preserve">ublic </w:t>
      </w:r>
      <w:r w:rsidR="00306074">
        <w:t>d</w:t>
      </w:r>
      <w:r w:rsidRPr="00C92F9F">
        <w:t xml:space="preserve">efender crossed out “Appellant (the party who is filing this appeal)” and typed in “Appellee.”  Where the form called for the name of “Appellant’s lawyer,” the </w:t>
      </w:r>
      <w:r w:rsidR="00306074">
        <w:t>p</w:t>
      </w:r>
      <w:r w:rsidRPr="00C92F9F">
        <w:t xml:space="preserve">ublic </w:t>
      </w:r>
      <w:r w:rsidR="00306074">
        <w:t>d</w:t>
      </w:r>
      <w:r w:rsidRPr="00C92F9F">
        <w:t xml:space="preserve">efender crossed out the word “Appellant’s” and typed in “Appellee’s.”  </w:t>
      </w:r>
    </w:p>
  </w:footnote>
  <w:footnote w:id="6">
    <w:p w14:paraId="11B978D6" w14:textId="1A4FC222" w:rsidR="00F44FDE" w:rsidRDefault="00F44FDE" w:rsidP="003075FB">
      <w:pPr>
        <w:pStyle w:val="FootnoteText"/>
      </w:pPr>
      <w:r>
        <w:rPr>
          <w:rStyle w:val="FootnoteReference"/>
        </w:rPr>
        <w:footnoteRef/>
      </w:r>
      <w:r>
        <w:t xml:space="preserve"> </w:t>
      </w:r>
      <w:r w:rsidR="00AB13BD">
        <w:tab/>
      </w:r>
      <w:r w:rsidR="002B6DA1">
        <w:t>Of course,</w:t>
      </w:r>
      <w:r>
        <w:t xml:space="preserve"> not every stage of the criminal process will qualify as a critical one at which counsel’s assistance is required.  (E.g., </w:t>
      </w:r>
      <w:r>
        <w:rPr>
          <w:i/>
        </w:rPr>
        <w:t xml:space="preserve">People v. Lucas </w:t>
      </w:r>
      <w:r>
        <w:t xml:space="preserve">(2014) </w:t>
      </w:r>
      <w:bookmarkStart w:id="4" w:name="_Hlk536006035"/>
      <w:r>
        <w:t>60 Cal.4th 153</w:t>
      </w:r>
      <w:bookmarkEnd w:id="4"/>
      <w:r>
        <w:t>, 247 [</w:t>
      </w:r>
      <w:r w:rsidR="00FC28E1">
        <w:t xml:space="preserve">the </w:t>
      </w:r>
      <w:r>
        <w:t>defendant had no right under federal or state Constitution to have his counsel present during investigatory forensic testing].)</w:t>
      </w:r>
    </w:p>
  </w:footnote>
  <w:footnote w:id="7">
    <w:p w14:paraId="135D5CFF" w14:textId="77777777" w:rsidR="00F44FDE" w:rsidRDefault="00F44FDE" w:rsidP="003075FB">
      <w:pPr>
        <w:pStyle w:val="FootnoteText"/>
      </w:pPr>
      <w:r>
        <w:rPr>
          <w:rStyle w:val="FootnoteReference"/>
        </w:rPr>
        <w:footnoteRef/>
      </w:r>
      <w:r w:rsidR="00DF4E95">
        <w:tab/>
      </w:r>
      <w:r>
        <w:t xml:space="preserve">See </w:t>
      </w:r>
      <w:r>
        <w:rPr>
          <w:i/>
        </w:rPr>
        <w:t>Faretta v. California</w:t>
      </w:r>
      <w:r>
        <w:t xml:space="preserve"> (1975) 422 U.S. 806.</w:t>
      </w:r>
    </w:p>
  </w:footnote>
  <w:footnote w:id="8">
    <w:p w14:paraId="7FC55F66" w14:textId="3100DC5C" w:rsidR="00F44FDE" w:rsidRDefault="00F44FDE" w:rsidP="003075FB">
      <w:pPr>
        <w:pStyle w:val="FootnoteText"/>
      </w:pPr>
      <w:r>
        <w:rPr>
          <w:rStyle w:val="FootnoteReference"/>
        </w:rPr>
        <w:footnoteRef/>
      </w:r>
      <w:r>
        <w:tab/>
      </w:r>
      <w:r>
        <w:rPr>
          <w:i/>
        </w:rPr>
        <w:t>Martinez</w:t>
      </w:r>
      <w:r>
        <w:t xml:space="preserve">, by way of contrast, rejected the argument that the Fourteenth Amendment confers a right to </w:t>
      </w:r>
      <w:r w:rsidRPr="00542110">
        <w:rPr>
          <w:i/>
        </w:rPr>
        <w:t>dispense</w:t>
      </w:r>
      <w:r>
        <w:t xml:space="preserve"> with</w:t>
      </w:r>
      <w:r>
        <w:rPr>
          <w:i/>
        </w:rPr>
        <w:t xml:space="preserve"> </w:t>
      </w:r>
      <w:r>
        <w:t>the assistance of a state-appointed attorney on appeal, explaining that self-representation is not “a necessary component of a fair appellate proceeding.”  (</w:t>
      </w:r>
      <w:r>
        <w:rPr>
          <w:i/>
        </w:rPr>
        <w:t>Martinez</w:t>
      </w:r>
      <w:r>
        <w:t xml:space="preserve">, </w:t>
      </w:r>
      <w:r>
        <w:rPr>
          <w:i/>
        </w:rPr>
        <w:t>supra</w:t>
      </w:r>
      <w:r>
        <w:t>, 528 U.S. at p.</w:t>
      </w:r>
      <w:r w:rsidR="00216ED7">
        <w:t> </w:t>
      </w:r>
      <w:r>
        <w:t>161.)</w:t>
      </w:r>
      <w:r w:rsidRPr="00317673">
        <w:rPr>
          <w:rFonts w:ascii="Times New Roman Bold" w:hAnsi="Times New Roman Bold"/>
        </w:rPr>
        <w:t xml:space="preserve"> </w:t>
      </w:r>
      <w:r w:rsidRPr="00317673">
        <w:t xml:space="preserve"> </w:t>
      </w:r>
    </w:p>
  </w:footnote>
  <w:footnote w:id="9">
    <w:p w14:paraId="51E9D82B" w14:textId="77777777" w:rsidR="00F44FDE" w:rsidRPr="0010624C" w:rsidRDefault="00F44FDE" w:rsidP="003075FB">
      <w:pPr>
        <w:pStyle w:val="FootnoteText"/>
      </w:pPr>
      <w:r w:rsidRPr="009314F8">
        <w:rPr>
          <w:rStyle w:val="FootnoteReference"/>
        </w:rPr>
        <w:footnoteRef/>
      </w:r>
      <w:r w:rsidRPr="009314F8">
        <w:t xml:space="preserve"> </w:t>
      </w:r>
      <w:r w:rsidRPr="009314F8">
        <w:tab/>
        <w:t>Th</w:t>
      </w:r>
      <w:r>
        <w:t>is</w:t>
      </w:r>
      <w:r w:rsidRPr="009314F8">
        <w:t xml:space="preserve"> case</w:t>
      </w:r>
      <w:r w:rsidR="000B6BA9">
        <w:t xml:space="preserve">, of course, </w:t>
      </w:r>
      <w:r w:rsidRPr="009314F8">
        <w:t xml:space="preserve">concerns the right to appointed counsel for purposes of </w:t>
      </w:r>
      <w:r w:rsidRPr="001A14DC">
        <w:t>responding</w:t>
      </w:r>
      <w:r w:rsidRPr="009314F8">
        <w:t xml:space="preserve"> to a pretrial prosecution appeal of a favorable suppression ruling.  We express no opinion about </w:t>
      </w:r>
      <w:r w:rsidR="002341F1">
        <w:t xml:space="preserve">a defendant’s </w:t>
      </w:r>
      <w:r w:rsidRPr="009314F8">
        <w:t xml:space="preserve">right to appointed counsel for purposes of </w:t>
      </w:r>
      <w:r w:rsidRPr="001A14DC">
        <w:t>bringing</w:t>
      </w:r>
      <w:r w:rsidRPr="009314F8">
        <w:t xml:space="preserve"> a pretrial appeal of a</w:t>
      </w:r>
      <w:r>
        <w:t>n adverse</w:t>
      </w:r>
      <w:r w:rsidRPr="009314F8">
        <w:t xml:space="preserve"> suppression </w:t>
      </w:r>
      <w:r w:rsidR="00AD0721">
        <w:t>ruling</w:t>
      </w:r>
      <w:r w:rsidRPr="009314F8">
        <w:t>.</w:t>
      </w:r>
    </w:p>
  </w:footnote>
  <w:footnote w:id="10">
    <w:p w14:paraId="1316DD3D" w14:textId="77777777" w:rsidR="00F44FDE" w:rsidRDefault="00F44FDE" w:rsidP="003075FB">
      <w:pPr>
        <w:pStyle w:val="FootnoteText"/>
        <w:rPr>
          <w:szCs w:val="26"/>
        </w:rPr>
      </w:pPr>
      <w:r>
        <w:rPr>
          <w:rStyle w:val="FootnoteReference"/>
        </w:rPr>
        <w:footnoteRef/>
      </w:r>
      <w:r>
        <w:t xml:space="preserve"> </w:t>
      </w:r>
      <w:r>
        <w:tab/>
      </w:r>
      <w:r w:rsidR="003F0AFD">
        <w:t xml:space="preserve">As the </w:t>
      </w:r>
      <w:r>
        <w:rPr>
          <w:szCs w:val="26"/>
        </w:rPr>
        <w:t>high court has acknowledged</w:t>
      </w:r>
      <w:r w:rsidR="003F0AFD">
        <w:rPr>
          <w:szCs w:val="26"/>
        </w:rPr>
        <w:t xml:space="preserve">, </w:t>
      </w:r>
      <w:r>
        <w:rPr>
          <w:szCs w:val="26"/>
        </w:rPr>
        <w:t>California ranks among the many states that provide a right to appointed counsel that is more expansive than that afforded by the federal Constitution.  (</w:t>
      </w:r>
      <w:r>
        <w:rPr>
          <w:i/>
          <w:szCs w:val="26"/>
        </w:rPr>
        <w:t>Shelton</w:t>
      </w:r>
      <w:r>
        <w:rPr>
          <w:szCs w:val="26"/>
        </w:rPr>
        <w:t xml:space="preserve">, </w:t>
      </w:r>
      <w:r>
        <w:rPr>
          <w:i/>
          <w:szCs w:val="26"/>
        </w:rPr>
        <w:t>supra</w:t>
      </w:r>
      <w:r>
        <w:rPr>
          <w:szCs w:val="26"/>
        </w:rPr>
        <w:t xml:space="preserve">, 535 U.S. at pp. 668–669 &amp; fn. 8; </w:t>
      </w:r>
      <w:r>
        <w:rPr>
          <w:i/>
          <w:szCs w:val="26"/>
        </w:rPr>
        <w:t xml:space="preserve">Nichols v. United States </w:t>
      </w:r>
      <w:r>
        <w:rPr>
          <w:szCs w:val="26"/>
        </w:rPr>
        <w:t>(1994) 511 U.S. 738, 748, fn. 12.)</w:t>
      </w:r>
    </w:p>
    <w:p w14:paraId="6F322B0C" w14:textId="5E32019F" w:rsidR="00F44FDE" w:rsidRDefault="00F44FDE" w:rsidP="003075FB">
      <w:pPr>
        <w:pStyle w:val="FootnoteText"/>
      </w:pPr>
      <w:r>
        <w:tab/>
      </w:r>
      <w:r w:rsidR="00252E37">
        <w:t>In invoking the “actual imprisonment” standard, r</w:t>
      </w:r>
      <w:r>
        <w:t xml:space="preserve">espondent relies on the Court of Appeal’s decision in </w:t>
      </w:r>
      <w:r>
        <w:rPr>
          <w:i/>
        </w:rPr>
        <w:t xml:space="preserve">People v. Wong </w:t>
      </w:r>
      <w:r>
        <w:t>(1979) 93 Cal.App.3d 151</w:t>
      </w:r>
      <w:r w:rsidR="0031251F">
        <w:t xml:space="preserve">.  </w:t>
      </w:r>
      <w:r w:rsidR="00E22B78">
        <w:t xml:space="preserve">In that case, the defendant sought the assistance of counsel to appeal a misdemeanor traffic conviction that resulted </w:t>
      </w:r>
      <w:r w:rsidR="00EB2A8A">
        <w:t xml:space="preserve">only </w:t>
      </w:r>
      <w:r w:rsidR="00E22B78">
        <w:t xml:space="preserve">in a fine and a penalty </w:t>
      </w:r>
      <w:r w:rsidR="00EB2A8A">
        <w:t xml:space="preserve">totaling </w:t>
      </w:r>
      <w:r w:rsidR="00E22B78">
        <w:t xml:space="preserve">$65.  The court held that neither </w:t>
      </w:r>
      <w:r w:rsidR="00A419F4">
        <w:t xml:space="preserve">the </w:t>
      </w:r>
      <w:r>
        <w:t xml:space="preserve">federal nor the state Constitution conferred a right to appellate counsel </w:t>
      </w:r>
      <w:r w:rsidR="00E22B78">
        <w:t xml:space="preserve">under those circumstances.  </w:t>
      </w:r>
      <w:r w:rsidR="00F71D13">
        <w:t xml:space="preserve">The question </w:t>
      </w:r>
      <w:r w:rsidR="00A124DB">
        <w:t xml:space="preserve">here is meaningfully different; </w:t>
      </w:r>
      <w:r w:rsidR="002C4D7B">
        <w:t xml:space="preserve">we are </w:t>
      </w:r>
      <w:r w:rsidR="00A124DB">
        <w:t xml:space="preserve">not concerned with the scope of a misdemeanor defendant’s right to the assistance of counsel to challenge a conviction </w:t>
      </w:r>
      <w:r w:rsidR="00EB2A8A">
        <w:t xml:space="preserve">resulting only in </w:t>
      </w:r>
      <w:r w:rsidR="000034F3">
        <w:t>a small fine</w:t>
      </w:r>
      <w:r w:rsidR="002C4D7B">
        <w:t xml:space="preserve">, but instead with a defendant’s right to counsel’s help in defending a </w:t>
      </w:r>
      <w:r w:rsidR="004F6031">
        <w:t>favorable suppression ruling against the prosecution’s appellate challenge.</w:t>
      </w:r>
    </w:p>
  </w:footnote>
  <w:footnote w:id="11">
    <w:p w14:paraId="72AA6CE8" w14:textId="0D58CA48" w:rsidR="00F44FDE" w:rsidRPr="00ED7082" w:rsidRDefault="00F44FDE" w:rsidP="003075FB">
      <w:pPr>
        <w:pStyle w:val="FootnoteText"/>
        <w:rPr>
          <w:szCs w:val="26"/>
        </w:rPr>
      </w:pPr>
      <w:r>
        <w:rPr>
          <w:rStyle w:val="FootnoteReference"/>
        </w:rPr>
        <w:footnoteRef/>
      </w:r>
      <w:r>
        <w:t xml:space="preserve"> </w:t>
      </w:r>
      <w:r>
        <w:tab/>
        <w:t xml:space="preserve">The provision at issue in </w:t>
      </w:r>
      <w:r>
        <w:rPr>
          <w:i/>
        </w:rPr>
        <w:t>Mills</w:t>
      </w:r>
      <w:r>
        <w:t xml:space="preserve"> and </w:t>
      </w:r>
      <w:r w:rsidR="00E84EBB">
        <w:rPr>
          <w:i/>
        </w:rPr>
        <w:t>Rodriguez</w:t>
      </w:r>
      <w:r>
        <w:t xml:space="preserve"> was later renumbered and reworded as part of a comprehensive constitutional revision adopted by voters in 1974.  (Prop. 7, Gen. Elec. (Nov. 5, 1974).)  The right </w:t>
      </w:r>
      <w:r>
        <w:rPr>
          <w:szCs w:val="26"/>
        </w:rPr>
        <w:t>to counsel and its companion rights were moved from article 13 to article 15</w:t>
      </w:r>
      <w:r w:rsidR="00E872C1">
        <w:rPr>
          <w:szCs w:val="26"/>
        </w:rPr>
        <w:t xml:space="preserve"> in the state Constitution</w:t>
      </w:r>
      <w:r>
        <w:rPr>
          <w:szCs w:val="26"/>
        </w:rPr>
        <w:t xml:space="preserve">, and they were reworded to apply in “a criminal cause” rather than in “criminal prosecutions, in any court whatever.”  </w:t>
      </w:r>
      <w:r w:rsidR="00E872C1">
        <w:rPr>
          <w:szCs w:val="26"/>
        </w:rPr>
        <w:t xml:space="preserve">(Cal. Const. Revision Com., Proposed Revision (1971) pt. 5, p. 24.)  </w:t>
      </w:r>
      <w:r>
        <w:rPr>
          <w:szCs w:val="26"/>
        </w:rPr>
        <w:t xml:space="preserve">The history is clear, however, that this revision was not intended to diminish the right to counsel.  (See </w:t>
      </w:r>
      <w:r w:rsidR="00E872C1">
        <w:rPr>
          <w:szCs w:val="26"/>
        </w:rPr>
        <w:t>Cal. Const. Revision Com. com. at p. 24 [c</w:t>
      </w:r>
      <w:r>
        <w:rPr>
          <w:szCs w:val="26"/>
        </w:rPr>
        <w:t>ommission recommends retaining the “significant criminal procedure provisions” contained in art</w:t>
      </w:r>
      <w:r w:rsidR="00A37845">
        <w:rPr>
          <w:szCs w:val="26"/>
        </w:rPr>
        <w:t>.</w:t>
      </w:r>
      <w:r>
        <w:rPr>
          <w:szCs w:val="26"/>
        </w:rPr>
        <w:t xml:space="preserve"> 1, former </w:t>
      </w:r>
      <w:r w:rsidR="00A37845">
        <w:rPr>
          <w:szCs w:val="26"/>
        </w:rPr>
        <w:t>§ </w:t>
      </w:r>
      <w:r>
        <w:rPr>
          <w:szCs w:val="26"/>
        </w:rPr>
        <w:t xml:space="preserve">13, adding an express right to confront witnesses, and deleting obsolete provisions].)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AADFF" w14:textId="79867497" w:rsidR="003075FB" w:rsidRDefault="003075FB">
    <w:pPr>
      <w:pStyle w:val="Header"/>
    </w:pPr>
    <w:r>
      <w:t>GARDNER</w:t>
    </w:r>
    <w:r w:rsidR="00D72940">
      <w:t xml:space="preserve"> v. </w:t>
    </w:r>
    <w:r w:rsidR="00657F06">
      <w:t xml:space="preserve">APPELLATE DIVISION OF </w:t>
    </w:r>
    <w:r w:rsidR="00D72940">
      <w:t>SUPERIOR COURT</w:t>
    </w:r>
  </w:p>
  <w:p w14:paraId="32A60F3D" w14:textId="426F7E7D" w:rsidR="003075FB" w:rsidRDefault="003075FB">
    <w:pPr>
      <w:pStyle w:val="Header"/>
    </w:pPr>
    <w:r>
      <w:t xml:space="preserve">Opinion of the Court by </w:t>
    </w:r>
    <w:r w:rsidR="00D72940">
      <w:t>Kruger, J.</w:t>
    </w:r>
  </w:p>
  <w:p w14:paraId="33588786" w14:textId="77777777" w:rsidR="003075FB" w:rsidRDefault="003075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2F158" w14:textId="77777777" w:rsidR="00703E5B" w:rsidRDefault="006344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1D382" w14:textId="77777777" w:rsidR="00703E5B" w:rsidRDefault="006344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BF8A2" w14:textId="77777777" w:rsidR="00703E5B" w:rsidRDefault="006344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activeWritingStyle w:appName="MSWord" w:lang="en-US" w:vendorID="64" w:dllVersion="5" w:nlCheck="1" w:checkStyle="1"/>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E08"/>
    <w:rsid w:val="00000536"/>
    <w:rsid w:val="000020AC"/>
    <w:rsid w:val="00002A62"/>
    <w:rsid w:val="00002CC7"/>
    <w:rsid w:val="000034F3"/>
    <w:rsid w:val="00006F56"/>
    <w:rsid w:val="0000785F"/>
    <w:rsid w:val="000104CA"/>
    <w:rsid w:val="00010922"/>
    <w:rsid w:val="000109DB"/>
    <w:rsid w:val="00010D80"/>
    <w:rsid w:val="00010E2B"/>
    <w:rsid w:val="00010EE0"/>
    <w:rsid w:val="00012764"/>
    <w:rsid w:val="000129E9"/>
    <w:rsid w:val="00014609"/>
    <w:rsid w:val="000150CB"/>
    <w:rsid w:val="00015190"/>
    <w:rsid w:val="000161FD"/>
    <w:rsid w:val="00016991"/>
    <w:rsid w:val="00020336"/>
    <w:rsid w:val="000217F8"/>
    <w:rsid w:val="0002183F"/>
    <w:rsid w:val="00022287"/>
    <w:rsid w:val="00022E2B"/>
    <w:rsid w:val="000231BC"/>
    <w:rsid w:val="00024EC1"/>
    <w:rsid w:val="00025B29"/>
    <w:rsid w:val="00025C1A"/>
    <w:rsid w:val="00025DCE"/>
    <w:rsid w:val="00026A85"/>
    <w:rsid w:val="00026F93"/>
    <w:rsid w:val="00027616"/>
    <w:rsid w:val="000311FE"/>
    <w:rsid w:val="000324BD"/>
    <w:rsid w:val="000329EF"/>
    <w:rsid w:val="00032D42"/>
    <w:rsid w:val="00032DDC"/>
    <w:rsid w:val="00032E08"/>
    <w:rsid w:val="00033222"/>
    <w:rsid w:val="0003338F"/>
    <w:rsid w:val="000333EE"/>
    <w:rsid w:val="0003371A"/>
    <w:rsid w:val="000337E0"/>
    <w:rsid w:val="00034E0C"/>
    <w:rsid w:val="00035B74"/>
    <w:rsid w:val="000372A8"/>
    <w:rsid w:val="000372FF"/>
    <w:rsid w:val="0003798E"/>
    <w:rsid w:val="00040D14"/>
    <w:rsid w:val="00041C34"/>
    <w:rsid w:val="00042746"/>
    <w:rsid w:val="00043596"/>
    <w:rsid w:val="00044608"/>
    <w:rsid w:val="0004484E"/>
    <w:rsid w:val="000449CC"/>
    <w:rsid w:val="000452DE"/>
    <w:rsid w:val="00046161"/>
    <w:rsid w:val="00046248"/>
    <w:rsid w:val="00046ECE"/>
    <w:rsid w:val="0004713E"/>
    <w:rsid w:val="0004723B"/>
    <w:rsid w:val="00047271"/>
    <w:rsid w:val="000519CD"/>
    <w:rsid w:val="0005200A"/>
    <w:rsid w:val="000560D2"/>
    <w:rsid w:val="000562F9"/>
    <w:rsid w:val="00056AC0"/>
    <w:rsid w:val="000579B8"/>
    <w:rsid w:val="000606DE"/>
    <w:rsid w:val="000607C5"/>
    <w:rsid w:val="00060948"/>
    <w:rsid w:val="000619AD"/>
    <w:rsid w:val="0006263D"/>
    <w:rsid w:val="0006394E"/>
    <w:rsid w:val="00064128"/>
    <w:rsid w:val="0006528F"/>
    <w:rsid w:val="0006545D"/>
    <w:rsid w:val="00065930"/>
    <w:rsid w:val="00066F7A"/>
    <w:rsid w:val="00067646"/>
    <w:rsid w:val="0007082D"/>
    <w:rsid w:val="000710FA"/>
    <w:rsid w:val="000718AD"/>
    <w:rsid w:val="000728E3"/>
    <w:rsid w:val="00072CAE"/>
    <w:rsid w:val="0007309A"/>
    <w:rsid w:val="0007312D"/>
    <w:rsid w:val="000731C2"/>
    <w:rsid w:val="00073220"/>
    <w:rsid w:val="000742A6"/>
    <w:rsid w:val="0007696C"/>
    <w:rsid w:val="0007754F"/>
    <w:rsid w:val="00077A04"/>
    <w:rsid w:val="00077B39"/>
    <w:rsid w:val="00077F9D"/>
    <w:rsid w:val="00082C8C"/>
    <w:rsid w:val="00083BC3"/>
    <w:rsid w:val="0008410A"/>
    <w:rsid w:val="000847F6"/>
    <w:rsid w:val="00084AA9"/>
    <w:rsid w:val="0008605E"/>
    <w:rsid w:val="0008715D"/>
    <w:rsid w:val="00087403"/>
    <w:rsid w:val="00087BDF"/>
    <w:rsid w:val="00087FA3"/>
    <w:rsid w:val="0009112C"/>
    <w:rsid w:val="000926E8"/>
    <w:rsid w:val="000933D1"/>
    <w:rsid w:val="00093475"/>
    <w:rsid w:val="000941C6"/>
    <w:rsid w:val="0009463F"/>
    <w:rsid w:val="000952EE"/>
    <w:rsid w:val="00095CE7"/>
    <w:rsid w:val="00097EDA"/>
    <w:rsid w:val="000A1D1A"/>
    <w:rsid w:val="000A2AC4"/>
    <w:rsid w:val="000A589A"/>
    <w:rsid w:val="000A619B"/>
    <w:rsid w:val="000A6308"/>
    <w:rsid w:val="000A655A"/>
    <w:rsid w:val="000A6637"/>
    <w:rsid w:val="000A69CA"/>
    <w:rsid w:val="000A70F0"/>
    <w:rsid w:val="000A7622"/>
    <w:rsid w:val="000B1E86"/>
    <w:rsid w:val="000B27F4"/>
    <w:rsid w:val="000B285A"/>
    <w:rsid w:val="000B2AE6"/>
    <w:rsid w:val="000B3254"/>
    <w:rsid w:val="000B5585"/>
    <w:rsid w:val="000B5B9D"/>
    <w:rsid w:val="000B5F1E"/>
    <w:rsid w:val="000B6BA9"/>
    <w:rsid w:val="000B7CA3"/>
    <w:rsid w:val="000B7CFF"/>
    <w:rsid w:val="000C0BAE"/>
    <w:rsid w:val="000C23BD"/>
    <w:rsid w:val="000C2557"/>
    <w:rsid w:val="000C260E"/>
    <w:rsid w:val="000C2A82"/>
    <w:rsid w:val="000C34F9"/>
    <w:rsid w:val="000C3BAE"/>
    <w:rsid w:val="000C3FD2"/>
    <w:rsid w:val="000C4668"/>
    <w:rsid w:val="000C47C4"/>
    <w:rsid w:val="000C5460"/>
    <w:rsid w:val="000C5CA0"/>
    <w:rsid w:val="000C6407"/>
    <w:rsid w:val="000C661E"/>
    <w:rsid w:val="000C6894"/>
    <w:rsid w:val="000C6FEE"/>
    <w:rsid w:val="000D160A"/>
    <w:rsid w:val="000D3994"/>
    <w:rsid w:val="000D48AD"/>
    <w:rsid w:val="000D512E"/>
    <w:rsid w:val="000D52D7"/>
    <w:rsid w:val="000D5B8F"/>
    <w:rsid w:val="000D6495"/>
    <w:rsid w:val="000E1749"/>
    <w:rsid w:val="000E2E02"/>
    <w:rsid w:val="000E2FF7"/>
    <w:rsid w:val="000E3173"/>
    <w:rsid w:val="000E481E"/>
    <w:rsid w:val="000E5533"/>
    <w:rsid w:val="000E7023"/>
    <w:rsid w:val="000F00DF"/>
    <w:rsid w:val="000F0BD9"/>
    <w:rsid w:val="000F10C9"/>
    <w:rsid w:val="000F23AE"/>
    <w:rsid w:val="000F331F"/>
    <w:rsid w:val="000F36C0"/>
    <w:rsid w:val="000F4F2E"/>
    <w:rsid w:val="000F70E0"/>
    <w:rsid w:val="000F7241"/>
    <w:rsid w:val="00100990"/>
    <w:rsid w:val="00100A48"/>
    <w:rsid w:val="00102190"/>
    <w:rsid w:val="0010396D"/>
    <w:rsid w:val="00103C91"/>
    <w:rsid w:val="00104414"/>
    <w:rsid w:val="00104F69"/>
    <w:rsid w:val="00105AF2"/>
    <w:rsid w:val="0010624C"/>
    <w:rsid w:val="001065C5"/>
    <w:rsid w:val="00110C3A"/>
    <w:rsid w:val="0011185A"/>
    <w:rsid w:val="00111895"/>
    <w:rsid w:val="001119BD"/>
    <w:rsid w:val="001120A0"/>
    <w:rsid w:val="001124A2"/>
    <w:rsid w:val="00112FCC"/>
    <w:rsid w:val="0011314A"/>
    <w:rsid w:val="00113F1A"/>
    <w:rsid w:val="001157C7"/>
    <w:rsid w:val="00115C43"/>
    <w:rsid w:val="00116541"/>
    <w:rsid w:val="00117331"/>
    <w:rsid w:val="00117C87"/>
    <w:rsid w:val="001208F4"/>
    <w:rsid w:val="00120BAD"/>
    <w:rsid w:val="00120CF6"/>
    <w:rsid w:val="00121713"/>
    <w:rsid w:val="0012232B"/>
    <w:rsid w:val="00122C1E"/>
    <w:rsid w:val="00123A0D"/>
    <w:rsid w:val="00124DE3"/>
    <w:rsid w:val="00126022"/>
    <w:rsid w:val="00126273"/>
    <w:rsid w:val="001267BD"/>
    <w:rsid w:val="001273FE"/>
    <w:rsid w:val="00131D90"/>
    <w:rsid w:val="001332D7"/>
    <w:rsid w:val="0013351A"/>
    <w:rsid w:val="001337F3"/>
    <w:rsid w:val="00133D2A"/>
    <w:rsid w:val="001340EE"/>
    <w:rsid w:val="0013660B"/>
    <w:rsid w:val="001367B5"/>
    <w:rsid w:val="00137569"/>
    <w:rsid w:val="001377F4"/>
    <w:rsid w:val="001411A6"/>
    <w:rsid w:val="00142850"/>
    <w:rsid w:val="00142BE3"/>
    <w:rsid w:val="00142C4F"/>
    <w:rsid w:val="00143948"/>
    <w:rsid w:val="00143FF0"/>
    <w:rsid w:val="00144178"/>
    <w:rsid w:val="001444FC"/>
    <w:rsid w:val="001446B0"/>
    <w:rsid w:val="00146F33"/>
    <w:rsid w:val="0015023E"/>
    <w:rsid w:val="001506AD"/>
    <w:rsid w:val="001509AE"/>
    <w:rsid w:val="00150BDE"/>
    <w:rsid w:val="00150CA4"/>
    <w:rsid w:val="0015195C"/>
    <w:rsid w:val="00151D44"/>
    <w:rsid w:val="0015258A"/>
    <w:rsid w:val="001528E9"/>
    <w:rsid w:val="00152B3C"/>
    <w:rsid w:val="00152DDC"/>
    <w:rsid w:val="00154390"/>
    <w:rsid w:val="00154CF3"/>
    <w:rsid w:val="00154DF1"/>
    <w:rsid w:val="00154EBE"/>
    <w:rsid w:val="001552A7"/>
    <w:rsid w:val="0015579F"/>
    <w:rsid w:val="001574F7"/>
    <w:rsid w:val="0015771E"/>
    <w:rsid w:val="00157779"/>
    <w:rsid w:val="00160DAB"/>
    <w:rsid w:val="00162499"/>
    <w:rsid w:val="00162C92"/>
    <w:rsid w:val="00163913"/>
    <w:rsid w:val="00163949"/>
    <w:rsid w:val="00163D6B"/>
    <w:rsid w:val="00164D57"/>
    <w:rsid w:val="0016556E"/>
    <w:rsid w:val="00166254"/>
    <w:rsid w:val="001668BB"/>
    <w:rsid w:val="0016725F"/>
    <w:rsid w:val="00167BEE"/>
    <w:rsid w:val="00167DDF"/>
    <w:rsid w:val="00173CAE"/>
    <w:rsid w:val="00176DE7"/>
    <w:rsid w:val="001776D6"/>
    <w:rsid w:val="001800F4"/>
    <w:rsid w:val="00181D36"/>
    <w:rsid w:val="00182731"/>
    <w:rsid w:val="00183DFB"/>
    <w:rsid w:val="001865F6"/>
    <w:rsid w:val="00186A40"/>
    <w:rsid w:val="00186BB5"/>
    <w:rsid w:val="00186FFD"/>
    <w:rsid w:val="00187F12"/>
    <w:rsid w:val="00190683"/>
    <w:rsid w:val="0019214E"/>
    <w:rsid w:val="00192692"/>
    <w:rsid w:val="00193296"/>
    <w:rsid w:val="001934B4"/>
    <w:rsid w:val="00194C5F"/>
    <w:rsid w:val="00194F92"/>
    <w:rsid w:val="00195D73"/>
    <w:rsid w:val="00195D87"/>
    <w:rsid w:val="00196BDB"/>
    <w:rsid w:val="001A027E"/>
    <w:rsid w:val="001A14DC"/>
    <w:rsid w:val="001A7458"/>
    <w:rsid w:val="001A7673"/>
    <w:rsid w:val="001B0BB6"/>
    <w:rsid w:val="001B1283"/>
    <w:rsid w:val="001B13F2"/>
    <w:rsid w:val="001B221B"/>
    <w:rsid w:val="001B2813"/>
    <w:rsid w:val="001B3331"/>
    <w:rsid w:val="001B36B6"/>
    <w:rsid w:val="001B39BF"/>
    <w:rsid w:val="001B3DE4"/>
    <w:rsid w:val="001B4631"/>
    <w:rsid w:val="001B538F"/>
    <w:rsid w:val="001B5D23"/>
    <w:rsid w:val="001B6298"/>
    <w:rsid w:val="001B65BF"/>
    <w:rsid w:val="001C2847"/>
    <w:rsid w:val="001C2DDA"/>
    <w:rsid w:val="001C41FE"/>
    <w:rsid w:val="001C4940"/>
    <w:rsid w:val="001C6CD5"/>
    <w:rsid w:val="001D0231"/>
    <w:rsid w:val="001D0934"/>
    <w:rsid w:val="001D21CD"/>
    <w:rsid w:val="001D25B2"/>
    <w:rsid w:val="001D36ED"/>
    <w:rsid w:val="001D420F"/>
    <w:rsid w:val="001D426D"/>
    <w:rsid w:val="001D4A73"/>
    <w:rsid w:val="001D57D6"/>
    <w:rsid w:val="001D667B"/>
    <w:rsid w:val="001D6B6C"/>
    <w:rsid w:val="001D7A05"/>
    <w:rsid w:val="001E1E9A"/>
    <w:rsid w:val="001E2144"/>
    <w:rsid w:val="001E2497"/>
    <w:rsid w:val="001E2A64"/>
    <w:rsid w:val="001E2D72"/>
    <w:rsid w:val="001E2F19"/>
    <w:rsid w:val="001E358C"/>
    <w:rsid w:val="001E448B"/>
    <w:rsid w:val="001E4B1F"/>
    <w:rsid w:val="001E5064"/>
    <w:rsid w:val="001E5141"/>
    <w:rsid w:val="001E5502"/>
    <w:rsid w:val="001E5712"/>
    <w:rsid w:val="001E61FA"/>
    <w:rsid w:val="001E63E6"/>
    <w:rsid w:val="001E67D7"/>
    <w:rsid w:val="001F01A9"/>
    <w:rsid w:val="001F2773"/>
    <w:rsid w:val="001F2F76"/>
    <w:rsid w:val="001F30B4"/>
    <w:rsid w:val="001F4ADD"/>
    <w:rsid w:val="001F538E"/>
    <w:rsid w:val="001F5686"/>
    <w:rsid w:val="001F56F2"/>
    <w:rsid w:val="00200B2B"/>
    <w:rsid w:val="002020E0"/>
    <w:rsid w:val="00203509"/>
    <w:rsid w:val="0020395C"/>
    <w:rsid w:val="002045EE"/>
    <w:rsid w:val="002050DC"/>
    <w:rsid w:val="0020518D"/>
    <w:rsid w:val="002052B5"/>
    <w:rsid w:val="0020561D"/>
    <w:rsid w:val="00207807"/>
    <w:rsid w:val="00207970"/>
    <w:rsid w:val="00207A0C"/>
    <w:rsid w:val="00210F0A"/>
    <w:rsid w:val="00211FD1"/>
    <w:rsid w:val="0021299D"/>
    <w:rsid w:val="00212A1A"/>
    <w:rsid w:val="002131DA"/>
    <w:rsid w:val="002133E0"/>
    <w:rsid w:val="0021370C"/>
    <w:rsid w:val="002140EC"/>
    <w:rsid w:val="00214330"/>
    <w:rsid w:val="00215CED"/>
    <w:rsid w:val="0021652B"/>
    <w:rsid w:val="00216ED7"/>
    <w:rsid w:val="00217AEC"/>
    <w:rsid w:val="00221579"/>
    <w:rsid w:val="00222B0C"/>
    <w:rsid w:val="00222B99"/>
    <w:rsid w:val="00222D5D"/>
    <w:rsid w:val="002245CD"/>
    <w:rsid w:val="0022481C"/>
    <w:rsid w:val="0022551E"/>
    <w:rsid w:val="002259DC"/>
    <w:rsid w:val="0022632F"/>
    <w:rsid w:val="002276B5"/>
    <w:rsid w:val="0023166F"/>
    <w:rsid w:val="00232F0E"/>
    <w:rsid w:val="002332F7"/>
    <w:rsid w:val="002341F1"/>
    <w:rsid w:val="00234758"/>
    <w:rsid w:val="002356B4"/>
    <w:rsid w:val="002365B6"/>
    <w:rsid w:val="002365D2"/>
    <w:rsid w:val="00236EEE"/>
    <w:rsid w:val="00237417"/>
    <w:rsid w:val="0024093C"/>
    <w:rsid w:val="002419E3"/>
    <w:rsid w:val="00242495"/>
    <w:rsid w:val="00242F3B"/>
    <w:rsid w:val="00243870"/>
    <w:rsid w:val="002448EE"/>
    <w:rsid w:val="002458E0"/>
    <w:rsid w:val="00246C98"/>
    <w:rsid w:val="002472CA"/>
    <w:rsid w:val="00247312"/>
    <w:rsid w:val="002473CA"/>
    <w:rsid w:val="00250A01"/>
    <w:rsid w:val="00251714"/>
    <w:rsid w:val="00252A77"/>
    <w:rsid w:val="00252A92"/>
    <w:rsid w:val="00252E37"/>
    <w:rsid w:val="00252E8A"/>
    <w:rsid w:val="002537DF"/>
    <w:rsid w:val="00253D9C"/>
    <w:rsid w:val="002542A2"/>
    <w:rsid w:val="00254462"/>
    <w:rsid w:val="0025475E"/>
    <w:rsid w:val="0025486D"/>
    <w:rsid w:val="00255319"/>
    <w:rsid w:val="002575C3"/>
    <w:rsid w:val="002579BA"/>
    <w:rsid w:val="00261558"/>
    <w:rsid w:val="00261E0A"/>
    <w:rsid w:val="00262269"/>
    <w:rsid w:val="00262703"/>
    <w:rsid w:val="00263AD2"/>
    <w:rsid w:val="002645B0"/>
    <w:rsid w:val="002647E2"/>
    <w:rsid w:val="0026512E"/>
    <w:rsid w:val="002658F7"/>
    <w:rsid w:val="002660FE"/>
    <w:rsid w:val="002665C4"/>
    <w:rsid w:val="00266D24"/>
    <w:rsid w:val="00266DD9"/>
    <w:rsid w:val="00267636"/>
    <w:rsid w:val="00267DF4"/>
    <w:rsid w:val="00270AA2"/>
    <w:rsid w:val="00271026"/>
    <w:rsid w:val="00272B65"/>
    <w:rsid w:val="00272E05"/>
    <w:rsid w:val="0027347F"/>
    <w:rsid w:val="00273B4A"/>
    <w:rsid w:val="00274518"/>
    <w:rsid w:val="002754E8"/>
    <w:rsid w:val="002757F2"/>
    <w:rsid w:val="00275FBC"/>
    <w:rsid w:val="00277C68"/>
    <w:rsid w:val="00280606"/>
    <w:rsid w:val="0028068B"/>
    <w:rsid w:val="002831D8"/>
    <w:rsid w:val="0028346D"/>
    <w:rsid w:val="00283F38"/>
    <w:rsid w:val="00284262"/>
    <w:rsid w:val="00284866"/>
    <w:rsid w:val="00285F9E"/>
    <w:rsid w:val="00286A1B"/>
    <w:rsid w:val="00286FBC"/>
    <w:rsid w:val="0028724C"/>
    <w:rsid w:val="00290390"/>
    <w:rsid w:val="00290CB2"/>
    <w:rsid w:val="002913C8"/>
    <w:rsid w:val="002915E3"/>
    <w:rsid w:val="00291BB3"/>
    <w:rsid w:val="0029298B"/>
    <w:rsid w:val="002930CA"/>
    <w:rsid w:val="00294E16"/>
    <w:rsid w:val="00295388"/>
    <w:rsid w:val="00295D88"/>
    <w:rsid w:val="00296491"/>
    <w:rsid w:val="002968D1"/>
    <w:rsid w:val="002A0F9D"/>
    <w:rsid w:val="002A1F4F"/>
    <w:rsid w:val="002A2A0F"/>
    <w:rsid w:val="002A2B3F"/>
    <w:rsid w:val="002A2B43"/>
    <w:rsid w:val="002A2E4F"/>
    <w:rsid w:val="002A2E78"/>
    <w:rsid w:val="002A44B1"/>
    <w:rsid w:val="002A48F2"/>
    <w:rsid w:val="002A5FEE"/>
    <w:rsid w:val="002A6A48"/>
    <w:rsid w:val="002A6DEF"/>
    <w:rsid w:val="002A720E"/>
    <w:rsid w:val="002A7C6E"/>
    <w:rsid w:val="002B0622"/>
    <w:rsid w:val="002B16C1"/>
    <w:rsid w:val="002B1B1C"/>
    <w:rsid w:val="002B2C78"/>
    <w:rsid w:val="002B3628"/>
    <w:rsid w:val="002B446E"/>
    <w:rsid w:val="002B5284"/>
    <w:rsid w:val="002B5914"/>
    <w:rsid w:val="002B6DA1"/>
    <w:rsid w:val="002B764A"/>
    <w:rsid w:val="002B771A"/>
    <w:rsid w:val="002B7E28"/>
    <w:rsid w:val="002B7EE6"/>
    <w:rsid w:val="002C16A5"/>
    <w:rsid w:val="002C26DD"/>
    <w:rsid w:val="002C2F02"/>
    <w:rsid w:val="002C30FC"/>
    <w:rsid w:val="002C32E1"/>
    <w:rsid w:val="002C3ED5"/>
    <w:rsid w:val="002C3F7F"/>
    <w:rsid w:val="002C4A71"/>
    <w:rsid w:val="002C4D7B"/>
    <w:rsid w:val="002C4F53"/>
    <w:rsid w:val="002C5290"/>
    <w:rsid w:val="002C71CA"/>
    <w:rsid w:val="002C7BD2"/>
    <w:rsid w:val="002D0536"/>
    <w:rsid w:val="002D1879"/>
    <w:rsid w:val="002D34CB"/>
    <w:rsid w:val="002D4739"/>
    <w:rsid w:val="002D5FF8"/>
    <w:rsid w:val="002D61AA"/>
    <w:rsid w:val="002D6BC4"/>
    <w:rsid w:val="002D7538"/>
    <w:rsid w:val="002D7D92"/>
    <w:rsid w:val="002E017A"/>
    <w:rsid w:val="002E225A"/>
    <w:rsid w:val="002E594D"/>
    <w:rsid w:val="002E75BC"/>
    <w:rsid w:val="002F0A89"/>
    <w:rsid w:val="002F0D26"/>
    <w:rsid w:val="002F2401"/>
    <w:rsid w:val="002F2404"/>
    <w:rsid w:val="002F2536"/>
    <w:rsid w:val="002F2886"/>
    <w:rsid w:val="002F2CFD"/>
    <w:rsid w:val="002F32CC"/>
    <w:rsid w:val="002F4500"/>
    <w:rsid w:val="002F4D3B"/>
    <w:rsid w:val="002F6691"/>
    <w:rsid w:val="002F7CA8"/>
    <w:rsid w:val="00300D5C"/>
    <w:rsid w:val="00300F78"/>
    <w:rsid w:val="00300FDF"/>
    <w:rsid w:val="0030167B"/>
    <w:rsid w:val="00301FF6"/>
    <w:rsid w:val="00302435"/>
    <w:rsid w:val="003024B5"/>
    <w:rsid w:val="00303486"/>
    <w:rsid w:val="003035B4"/>
    <w:rsid w:val="003037AD"/>
    <w:rsid w:val="003039E0"/>
    <w:rsid w:val="00304B7D"/>
    <w:rsid w:val="0030523C"/>
    <w:rsid w:val="00306074"/>
    <w:rsid w:val="00306832"/>
    <w:rsid w:val="003075FB"/>
    <w:rsid w:val="00307D54"/>
    <w:rsid w:val="00310CB0"/>
    <w:rsid w:val="0031180D"/>
    <w:rsid w:val="00311872"/>
    <w:rsid w:val="0031251F"/>
    <w:rsid w:val="00312DDE"/>
    <w:rsid w:val="00313009"/>
    <w:rsid w:val="0031326D"/>
    <w:rsid w:val="003139B7"/>
    <w:rsid w:val="003149AD"/>
    <w:rsid w:val="00314A9A"/>
    <w:rsid w:val="00314E8C"/>
    <w:rsid w:val="00315014"/>
    <w:rsid w:val="003151B1"/>
    <w:rsid w:val="0031538B"/>
    <w:rsid w:val="00317673"/>
    <w:rsid w:val="00317EAA"/>
    <w:rsid w:val="00320093"/>
    <w:rsid w:val="003201C2"/>
    <w:rsid w:val="00320255"/>
    <w:rsid w:val="00320905"/>
    <w:rsid w:val="00320BCB"/>
    <w:rsid w:val="003211D5"/>
    <w:rsid w:val="003213AC"/>
    <w:rsid w:val="00321577"/>
    <w:rsid w:val="00321BA6"/>
    <w:rsid w:val="00322016"/>
    <w:rsid w:val="0032447B"/>
    <w:rsid w:val="0032458B"/>
    <w:rsid w:val="00324C5D"/>
    <w:rsid w:val="00325193"/>
    <w:rsid w:val="00325720"/>
    <w:rsid w:val="0032676B"/>
    <w:rsid w:val="00326CB3"/>
    <w:rsid w:val="00326F46"/>
    <w:rsid w:val="00326F94"/>
    <w:rsid w:val="00330723"/>
    <w:rsid w:val="00330999"/>
    <w:rsid w:val="00330F82"/>
    <w:rsid w:val="003320D9"/>
    <w:rsid w:val="0033265D"/>
    <w:rsid w:val="00332D76"/>
    <w:rsid w:val="0033336D"/>
    <w:rsid w:val="00334EDE"/>
    <w:rsid w:val="00335407"/>
    <w:rsid w:val="00335EFE"/>
    <w:rsid w:val="003361AA"/>
    <w:rsid w:val="00336CDB"/>
    <w:rsid w:val="003407A7"/>
    <w:rsid w:val="00341148"/>
    <w:rsid w:val="00341EC9"/>
    <w:rsid w:val="0034272F"/>
    <w:rsid w:val="00343382"/>
    <w:rsid w:val="0034486F"/>
    <w:rsid w:val="00345F19"/>
    <w:rsid w:val="003461B7"/>
    <w:rsid w:val="00346789"/>
    <w:rsid w:val="003506E8"/>
    <w:rsid w:val="00351322"/>
    <w:rsid w:val="0035192A"/>
    <w:rsid w:val="003524C6"/>
    <w:rsid w:val="00352D6F"/>
    <w:rsid w:val="00353194"/>
    <w:rsid w:val="00355004"/>
    <w:rsid w:val="00355F8F"/>
    <w:rsid w:val="00356701"/>
    <w:rsid w:val="00356C06"/>
    <w:rsid w:val="0035758C"/>
    <w:rsid w:val="00357D0D"/>
    <w:rsid w:val="003604EE"/>
    <w:rsid w:val="00360DF7"/>
    <w:rsid w:val="00361818"/>
    <w:rsid w:val="00362B5A"/>
    <w:rsid w:val="0036392A"/>
    <w:rsid w:val="00364349"/>
    <w:rsid w:val="00365D80"/>
    <w:rsid w:val="003660C8"/>
    <w:rsid w:val="003664AA"/>
    <w:rsid w:val="00366A33"/>
    <w:rsid w:val="00366F33"/>
    <w:rsid w:val="00367963"/>
    <w:rsid w:val="00370D3C"/>
    <w:rsid w:val="0037194D"/>
    <w:rsid w:val="00371F8D"/>
    <w:rsid w:val="00372186"/>
    <w:rsid w:val="00373422"/>
    <w:rsid w:val="00373DDA"/>
    <w:rsid w:val="00374860"/>
    <w:rsid w:val="00374956"/>
    <w:rsid w:val="0037574C"/>
    <w:rsid w:val="003766B1"/>
    <w:rsid w:val="00380496"/>
    <w:rsid w:val="0038192F"/>
    <w:rsid w:val="00381B7C"/>
    <w:rsid w:val="00382FDC"/>
    <w:rsid w:val="003834B1"/>
    <w:rsid w:val="00383747"/>
    <w:rsid w:val="003846BC"/>
    <w:rsid w:val="003853AD"/>
    <w:rsid w:val="00385BC2"/>
    <w:rsid w:val="00385D75"/>
    <w:rsid w:val="00385FE7"/>
    <w:rsid w:val="00387CED"/>
    <w:rsid w:val="003908B4"/>
    <w:rsid w:val="00391751"/>
    <w:rsid w:val="00391BB4"/>
    <w:rsid w:val="00392ACC"/>
    <w:rsid w:val="0039343F"/>
    <w:rsid w:val="00393877"/>
    <w:rsid w:val="00393C51"/>
    <w:rsid w:val="0039485F"/>
    <w:rsid w:val="00394A3B"/>
    <w:rsid w:val="00395D28"/>
    <w:rsid w:val="0039674E"/>
    <w:rsid w:val="003970C3"/>
    <w:rsid w:val="003976A6"/>
    <w:rsid w:val="00397B40"/>
    <w:rsid w:val="00397C8F"/>
    <w:rsid w:val="00397EF2"/>
    <w:rsid w:val="003A01C4"/>
    <w:rsid w:val="003A223D"/>
    <w:rsid w:val="003A3E9F"/>
    <w:rsid w:val="003A4429"/>
    <w:rsid w:val="003A62CD"/>
    <w:rsid w:val="003A7738"/>
    <w:rsid w:val="003A7775"/>
    <w:rsid w:val="003B0D59"/>
    <w:rsid w:val="003B0EE7"/>
    <w:rsid w:val="003B1CE2"/>
    <w:rsid w:val="003B2FCA"/>
    <w:rsid w:val="003B34BC"/>
    <w:rsid w:val="003B35AC"/>
    <w:rsid w:val="003B408E"/>
    <w:rsid w:val="003B4CF4"/>
    <w:rsid w:val="003B548A"/>
    <w:rsid w:val="003B6D56"/>
    <w:rsid w:val="003B7583"/>
    <w:rsid w:val="003C00A0"/>
    <w:rsid w:val="003C142E"/>
    <w:rsid w:val="003C28A8"/>
    <w:rsid w:val="003C2942"/>
    <w:rsid w:val="003C3045"/>
    <w:rsid w:val="003C3618"/>
    <w:rsid w:val="003C3A47"/>
    <w:rsid w:val="003C46E8"/>
    <w:rsid w:val="003C48F5"/>
    <w:rsid w:val="003C4934"/>
    <w:rsid w:val="003C661F"/>
    <w:rsid w:val="003D09DC"/>
    <w:rsid w:val="003D1E43"/>
    <w:rsid w:val="003D2439"/>
    <w:rsid w:val="003D24A9"/>
    <w:rsid w:val="003D3CE0"/>
    <w:rsid w:val="003D3D57"/>
    <w:rsid w:val="003D5904"/>
    <w:rsid w:val="003D5A92"/>
    <w:rsid w:val="003D742D"/>
    <w:rsid w:val="003D7828"/>
    <w:rsid w:val="003E027F"/>
    <w:rsid w:val="003E0300"/>
    <w:rsid w:val="003E0978"/>
    <w:rsid w:val="003E13FE"/>
    <w:rsid w:val="003E17C5"/>
    <w:rsid w:val="003E1999"/>
    <w:rsid w:val="003E1F5A"/>
    <w:rsid w:val="003E24E1"/>
    <w:rsid w:val="003E3E30"/>
    <w:rsid w:val="003E46D5"/>
    <w:rsid w:val="003E488F"/>
    <w:rsid w:val="003E5456"/>
    <w:rsid w:val="003E5B67"/>
    <w:rsid w:val="003E64F2"/>
    <w:rsid w:val="003E708E"/>
    <w:rsid w:val="003E7DE5"/>
    <w:rsid w:val="003F0183"/>
    <w:rsid w:val="003F0AFD"/>
    <w:rsid w:val="003F1E08"/>
    <w:rsid w:val="003F1E65"/>
    <w:rsid w:val="003F21B7"/>
    <w:rsid w:val="003F247D"/>
    <w:rsid w:val="003F2AFF"/>
    <w:rsid w:val="003F362E"/>
    <w:rsid w:val="003F3DBC"/>
    <w:rsid w:val="003F3E2F"/>
    <w:rsid w:val="003F3FE2"/>
    <w:rsid w:val="003F4178"/>
    <w:rsid w:val="003F4793"/>
    <w:rsid w:val="003F5978"/>
    <w:rsid w:val="003F5A31"/>
    <w:rsid w:val="003F613B"/>
    <w:rsid w:val="003F61F0"/>
    <w:rsid w:val="003F6A0D"/>
    <w:rsid w:val="003F6BF4"/>
    <w:rsid w:val="003F6F18"/>
    <w:rsid w:val="003F70D8"/>
    <w:rsid w:val="003F73CC"/>
    <w:rsid w:val="003F7E83"/>
    <w:rsid w:val="004001A3"/>
    <w:rsid w:val="004005FA"/>
    <w:rsid w:val="004012D4"/>
    <w:rsid w:val="004014D7"/>
    <w:rsid w:val="00402C12"/>
    <w:rsid w:val="00403341"/>
    <w:rsid w:val="0040364D"/>
    <w:rsid w:val="0040384D"/>
    <w:rsid w:val="00403EEB"/>
    <w:rsid w:val="00405233"/>
    <w:rsid w:val="00405A26"/>
    <w:rsid w:val="0040630D"/>
    <w:rsid w:val="004063DC"/>
    <w:rsid w:val="00406751"/>
    <w:rsid w:val="00411D5C"/>
    <w:rsid w:val="00413E21"/>
    <w:rsid w:val="00414488"/>
    <w:rsid w:val="004149AA"/>
    <w:rsid w:val="00415D13"/>
    <w:rsid w:val="00416289"/>
    <w:rsid w:val="00416558"/>
    <w:rsid w:val="00416A37"/>
    <w:rsid w:val="00417412"/>
    <w:rsid w:val="00417BCB"/>
    <w:rsid w:val="00417D4E"/>
    <w:rsid w:val="00421123"/>
    <w:rsid w:val="00421193"/>
    <w:rsid w:val="0042153A"/>
    <w:rsid w:val="00421884"/>
    <w:rsid w:val="00422A20"/>
    <w:rsid w:val="00424197"/>
    <w:rsid w:val="00424E4C"/>
    <w:rsid w:val="00424F87"/>
    <w:rsid w:val="0042673D"/>
    <w:rsid w:val="0043045A"/>
    <w:rsid w:val="0043220C"/>
    <w:rsid w:val="004336FD"/>
    <w:rsid w:val="00433F7D"/>
    <w:rsid w:val="004348F3"/>
    <w:rsid w:val="00435054"/>
    <w:rsid w:val="004358CB"/>
    <w:rsid w:val="00435BE9"/>
    <w:rsid w:val="004363F2"/>
    <w:rsid w:val="00436554"/>
    <w:rsid w:val="00437E38"/>
    <w:rsid w:val="0044005D"/>
    <w:rsid w:val="00440CD7"/>
    <w:rsid w:val="004421B8"/>
    <w:rsid w:val="00442BEB"/>
    <w:rsid w:val="00444197"/>
    <w:rsid w:val="004441FC"/>
    <w:rsid w:val="0044451E"/>
    <w:rsid w:val="00444B3A"/>
    <w:rsid w:val="00445465"/>
    <w:rsid w:val="00445A41"/>
    <w:rsid w:val="00445ED2"/>
    <w:rsid w:val="004471F3"/>
    <w:rsid w:val="00447203"/>
    <w:rsid w:val="00450A82"/>
    <w:rsid w:val="00451D9D"/>
    <w:rsid w:val="004523D3"/>
    <w:rsid w:val="00452C28"/>
    <w:rsid w:val="00453D1F"/>
    <w:rsid w:val="0045510A"/>
    <w:rsid w:val="00456758"/>
    <w:rsid w:val="00456FD1"/>
    <w:rsid w:val="00457AA2"/>
    <w:rsid w:val="00460FE8"/>
    <w:rsid w:val="00461727"/>
    <w:rsid w:val="004624F8"/>
    <w:rsid w:val="00462C69"/>
    <w:rsid w:val="004638E4"/>
    <w:rsid w:val="00464803"/>
    <w:rsid w:val="00464D8F"/>
    <w:rsid w:val="00465725"/>
    <w:rsid w:val="00465883"/>
    <w:rsid w:val="0047181F"/>
    <w:rsid w:val="00471CBC"/>
    <w:rsid w:val="00472844"/>
    <w:rsid w:val="00474288"/>
    <w:rsid w:val="0047479E"/>
    <w:rsid w:val="00474F2C"/>
    <w:rsid w:val="00475207"/>
    <w:rsid w:val="004775C7"/>
    <w:rsid w:val="00477C9C"/>
    <w:rsid w:val="00477E85"/>
    <w:rsid w:val="00477FD7"/>
    <w:rsid w:val="00480742"/>
    <w:rsid w:val="004810D9"/>
    <w:rsid w:val="004812E5"/>
    <w:rsid w:val="004814EF"/>
    <w:rsid w:val="0048214D"/>
    <w:rsid w:val="00482266"/>
    <w:rsid w:val="00482CBB"/>
    <w:rsid w:val="00483BB0"/>
    <w:rsid w:val="00483DDF"/>
    <w:rsid w:val="004844D4"/>
    <w:rsid w:val="00485EDD"/>
    <w:rsid w:val="00486097"/>
    <w:rsid w:val="00486560"/>
    <w:rsid w:val="004868CF"/>
    <w:rsid w:val="004900F8"/>
    <w:rsid w:val="004903FD"/>
    <w:rsid w:val="004909F7"/>
    <w:rsid w:val="00490A2B"/>
    <w:rsid w:val="00491D03"/>
    <w:rsid w:val="00492936"/>
    <w:rsid w:val="004929ED"/>
    <w:rsid w:val="004930EC"/>
    <w:rsid w:val="0049409C"/>
    <w:rsid w:val="004943EC"/>
    <w:rsid w:val="004951B4"/>
    <w:rsid w:val="0049529E"/>
    <w:rsid w:val="004954D3"/>
    <w:rsid w:val="00496A43"/>
    <w:rsid w:val="004972F1"/>
    <w:rsid w:val="00497800"/>
    <w:rsid w:val="004A0CD4"/>
    <w:rsid w:val="004A0F3F"/>
    <w:rsid w:val="004A30E7"/>
    <w:rsid w:val="004A3E2F"/>
    <w:rsid w:val="004A42DD"/>
    <w:rsid w:val="004A4510"/>
    <w:rsid w:val="004A5652"/>
    <w:rsid w:val="004A61E5"/>
    <w:rsid w:val="004A6478"/>
    <w:rsid w:val="004A651A"/>
    <w:rsid w:val="004A7572"/>
    <w:rsid w:val="004A7D38"/>
    <w:rsid w:val="004A7D7A"/>
    <w:rsid w:val="004A7E39"/>
    <w:rsid w:val="004B154B"/>
    <w:rsid w:val="004B21A9"/>
    <w:rsid w:val="004B21C5"/>
    <w:rsid w:val="004B2579"/>
    <w:rsid w:val="004B30FA"/>
    <w:rsid w:val="004B4852"/>
    <w:rsid w:val="004B4E03"/>
    <w:rsid w:val="004B63BB"/>
    <w:rsid w:val="004B6522"/>
    <w:rsid w:val="004B6872"/>
    <w:rsid w:val="004C04F6"/>
    <w:rsid w:val="004C0AA2"/>
    <w:rsid w:val="004C1E47"/>
    <w:rsid w:val="004C2F44"/>
    <w:rsid w:val="004C3175"/>
    <w:rsid w:val="004C31CA"/>
    <w:rsid w:val="004C3981"/>
    <w:rsid w:val="004C4B10"/>
    <w:rsid w:val="004C548D"/>
    <w:rsid w:val="004C59FC"/>
    <w:rsid w:val="004C6BEC"/>
    <w:rsid w:val="004C7346"/>
    <w:rsid w:val="004D0B14"/>
    <w:rsid w:val="004D1696"/>
    <w:rsid w:val="004D2470"/>
    <w:rsid w:val="004D27DA"/>
    <w:rsid w:val="004D2C15"/>
    <w:rsid w:val="004D33F5"/>
    <w:rsid w:val="004D3C32"/>
    <w:rsid w:val="004D54CE"/>
    <w:rsid w:val="004D6335"/>
    <w:rsid w:val="004D6A8D"/>
    <w:rsid w:val="004D73B4"/>
    <w:rsid w:val="004D7CD4"/>
    <w:rsid w:val="004E0043"/>
    <w:rsid w:val="004E071C"/>
    <w:rsid w:val="004E0CDE"/>
    <w:rsid w:val="004E13B2"/>
    <w:rsid w:val="004E14D9"/>
    <w:rsid w:val="004E228E"/>
    <w:rsid w:val="004E2CFF"/>
    <w:rsid w:val="004E383C"/>
    <w:rsid w:val="004E3D8E"/>
    <w:rsid w:val="004E409A"/>
    <w:rsid w:val="004E5D4F"/>
    <w:rsid w:val="004E6263"/>
    <w:rsid w:val="004E62E8"/>
    <w:rsid w:val="004F1165"/>
    <w:rsid w:val="004F14E1"/>
    <w:rsid w:val="004F18B1"/>
    <w:rsid w:val="004F219D"/>
    <w:rsid w:val="004F2448"/>
    <w:rsid w:val="004F30EE"/>
    <w:rsid w:val="004F3C0A"/>
    <w:rsid w:val="004F3DAE"/>
    <w:rsid w:val="004F44B7"/>
    <w:rsid w:val="004F46F4"/>
    <w:rsid w:val="004F492C"/>
    <w:rsid w:val="004F516E"/>
    <w:rsid w:val="004F6031"/>
    <w:rsid w:val="004F6A08"/>
    <w:rsid w:val="004F6B11"/>
    <w:rsid w:val="005000AB"/>
    <w:rsid w:val="005000F5"/>
    <w:rsid w:val="00502E5A"/>
    <w:rsid w:val="005038C4"/>
    <w:rsid w:val="0050445B"/>
    <w:rsid w:val="00504E3E"/>
    <w:rsid w:val="0050532F"/>
    <w:rsid w:val="005055A8"/>
    <w:rsid w:val="005056E0"/>
    <w:rsid w:val="00506412"/>
    <w:rsid w:val="00506F77"/>
    <w:rsid w:val="00507095"/>
    <w:rsid w:val="0051154C"/>
    <w:rsid w:val="00513190"/>
    <w:rsid w:val="00513603"/>
    <w:rsid w:val="005141A8"/>
    <w:rsid w:val="005145DA"/>
    <w:rsid w:val="00515771"/>
    <w:rsid w:val="005157E4"/>
    <w:rsid w:val="00515945"/>
    <w:rsid w:val="00515B19"/>
    <w:rsid w:val="00516CB0"/>
    <w:rsid w:val="00516D89"/>
    <w:rsid w:val="00516E84"/>
    <w:rsid w:val="005200A9"/>
    <w:rsid w:val="00521952"/>
    <w:rsid w:val="00521A25"/>
    <w:rsid w:val="005230C9"/>
    <w:rsid w:val="00523520"/>
    <w:rsid w:val="00523CCB"/>
    <w:rsid w:val="00523FF3"/>
    <w:rsid w:val="005246A0"/>
    <w:rsid w:val="00524717"/>
    <w:rsid w:val="00524E2C"/>
    <w:rsid w:val="00525C1C"/>
    <w:rsid w:val="005261BC"/>
    <w:rsid w:val="00526319"/>
    <w:rsid w:val="005265C8"/>
    <w:rsid w:val="00526E84"/>
    <w:rsid w:val="005272AC"/>
    <w:rsid w:val="00527B02"/>
    <w:rsid w:val="00530A8C"/>
    <w:rsid w:val="00530D4C"/>
    <w:rsid w:val="0053133E"/>
    <w:rsid w:val="00531B9B"/>
    <w:rsid w:val="00531C98"/>
    <w:rsid w:val="005333C2"/>
    <w:rsid w:val="00533FD1"/>
    <w:rsid w:val="0053455F"/>
    <w:rsid w:val="005379E8"/>
    <w:rsid w:val="005401A7"/>
    <w:rsid w:val="00540A99"/>
    <w:rsid w:val="00541A91"/>
    <w:rsid w:val="0054221F"/>
    <w:rsid w:val="005423E7"/>
    <w:rsid w:val="00542E66"/>
    <w:rsid w:val="0054393E"/>
    <w:rsid w:val="00543DD6"/>
    <w:rsid w:val="00544DC5"/>
    <w:rsid w:val="005468BE"/>
    <w:rsid w:val="00547DCD"/>
    <w:rsid w:val="0055074C"/>
    <w:rsid w:val="005510DB"/>
    <w:rsid w:val="005515D7"/>
    <w:rsid w:val="00551C76"/>
    <w:rsid w:val="005528B6"/>
    <w:rsid w:val="00553194"/>
    <w:rsid w:val="0055327C"/>
    <w:rsid w:val="00553873"/>
    <w:rsid w:val="0055425A"/>
    <w:rsid w:val="005550CA"/>
    <w:rsid w:val="005559D2"/>
    <w:rsid w:val="00557E22"/>
    <w:rsid w:val="00560196"/>
    <w:rsid w:val="00560DCC"/>
    <w:rsid w:val="0056103D"/>
    <w:rsid w:val="00561A34"/>
    <w:rsid w:val="0056310E"/>
    <w:rsid w:val="00563146"/>
    <w:rsid w:val="00563DEF"/>
    <w:rsid w:val="0056435A"/>
    <w:rsid w:val="00564577"/>
    <w:rsid w:val="00564B19"/>
    <w:rsid w:val="00564F88"/>
    <w:rsid w:val="00565607"/>
    <w:rsid w:val="005657A3"/>
    <w:rsid w:val="0056629F"/>
    <w:rsid w:val="0056682C"/>
    <w:rsid w:val="0056718D"/>
    <w:rsid w:val="005672CC"/>
    <w:rsid w:val="005709BC"/>
    <w:rsid w:val="00570FE3"/>
    <w:rsid w:val="00571463"/>
    <w:rsid w:val="00572050"/>
    <w:rsid w:val="005724F5"/>
    <w:rsid w:val="00572C71"/>
    <w:rsid w:val="00572F7E"/>
    <w:rsid w:val="00573B8C"/>
    <w:rsid w:val="00573E98"/>
    <w:rsid w:val="005745E1"/>
    <w:rsid w:val="0057480B"/>
    <w:rsid w:val="0057502F"/>
    <w:rsid w:val="0057549A"/>
    <w:rsid w:val="00576538"/>
    <w:rsid w:val="0057687B"/>
    <w:rsid w:val="00576B31"/>
    <w:rsid w:val="0057724A"/>
    <w:rsid w:val="00577971"/>
    <w:rsid w:val="00577C1B"/>
    <w:rsid w:val="005814E4"/>
    <w:rsid w:val="00582EC8"/>
    <w:rsid w:val="0058445E"/>
    <w:rsid w:val="005846E3"/>
    <w:rsid w:val="0058563C"/>
    <w:rsid w:val="00587894"/>
    <w:rsid w:val="005906B4"/>
    <w:rsid w:val="00590AFF"/>
    <w:rsid w:val="00590CCE"/>
    <w:rsid w:val="005926F2"/>
    <w:rsid w:val="00592B60"/>
    <w:rsid w:val="00593298"/>
    <w:rsid w:val="005939BD"/>
    <w:rsid w:val="0059442E"/>
    <w:rsid w:val="00594A9F"/>
    <w:rsid w:val="00594C2E"/>
    <w:rsid w:val="0059519D"/>
    <w:rsid w:val="00595494"/>
    <w:rsid w:val="005955B3"/>
    <w:rsid w:val="00597B1F"/>
    <w:rsid w:val="005A0A5B"/>
    <w:rsid w:val="005A179A"/>
    <w:rsid w:val="005A2B0F"/>
    <w:rsid w:val="005A2F2C"/>
    <w:rsid w:val="005A34E9"/>
    <w:rsid w:val="005A38DE"/>
    <w:rsid w:val="005A3FA4"/>
    <w:rsid w:val="005A453A"/>
    <w:rsid w:val="005A65E4"/>
    <w:rsid w:val="005A694D"/>
    <w:rsid w:val="005A6AFD"/>
    <w:rsid w:val="005A7054"/>
    <w:rsid w:val="005B089B"/>
    <w:rsid w:val="005B1569"/>
    <w:rsid w:val="005B182D"/>
    <w:rsid w:val="005B184D"/>
    <w:rsid w:val="005B1BE8"/>
    <w:rsid w:val="005B3981"/>
    <w:rsid w:val="005B3A6B"/>
    <w:rsid w:val="005B408E"/>
    <w:rsid w:val="005B50CC"/>
    <w:rsid w:val="005B548C"/>
    <w:rsid w:val="005B5FEB"/>
    <w:rsid w:val="005B640E"/>
    <w:rsid w:val="005B74FE"/>
    <w:rsid w:val="005C042A"/>
    <w:rsid w:val="005C15C4"/>
    <w:rsid w:val="005C1B86"/>
    <w:rsid w:val="005C2215"/>
    <w:rsid w:val="005C5019"/>
    <w:rsid w:val="005C599A"/>
    <w:rsid w:val="005C5A65"/>
    <w:rsid w:val="005C5DFE"/>
    <w:rsid w:val="005C5F4B"/>
    <w:rsid w:val="005C6359"/>
    <w:rsid w:val="005C71BE"/>
    <w:rsid w:val="005C7403"/>
    <w:rsid w:val="005D0318"/>
    <w:rsid w:val="005D088B"/>
    <w:rsid w:val="005D0FA7"/>
    <w:rsid w:val="005D18C8"/>
    <w:rsid w:val="005D19A7"/>
    <w:rsid w:val="005D1A08"/>
    <w:rsid w:val="005D1ED6"/>
    <w:rsid w:val="005D25F9"/>
    <w:rsid w:val="005D31E9"/>
    <w:rsid w:val="005D31F3"/>
    <w:rsid w:val="005D3749"/>
    <w:rsid w:val="005D3DE9"/>
    <w:rsid w:val="005D5334"/>
    <w:rsid w:val="005D5693"/>
    <w:rsid w:val="005D6A44"/>
    <w:rsid w:val="005D7185"/>
    <w:rsid w:val="005E02EB"/>
    <w:rsid w:val="005E075F"/>
    <w:rsid w:val="005E1824"/>
    <w:rsid w:val="005E1950"/>
    <w:rsid w:val="005E2520"/>
    <w:rsid w:val="005E25B3"/>
    <w:rsid w:val="005E26BD"/>
    <w:rsid w:val="005E3091"/>
    <w:rsid w:val="005E506C"/>
    <w:rsid w:val="005E5A9E"/>
    <w:rsid w:val="005E60E9"/>
    <w:rsid w:val="005E670E"/>
    <w:rsid w:val="005E6BAA"/>
    <w:rsid w:val="005E6D48"/>
    <w:rsid w:val="005E7ACA"/>
    <w:rsid w:val="005F0601"/>
    <w:rsid w:val="005F18D5"/>
    <w:rsid w:val="005F1C93"/>
    <w:rsid w:val="005F21A6"/>
    <w:rsid w:val="005F2B29"/>
    <w:rsid w:val="005F2ECF"/>
    <w:rsid w:val="005F36E1"/>
    <w:rsid w:val="005F4B63"/>
    <w:rsid w:val="005F51E1"/>
    <w:rsid w:val="005F58AD"/>
    <w:rsid w:val="005F6AB3"/>
    <w:rsid w:val="005F6B8A"/>
    <w:rsid w:val="0060007C"/>
    <w:rsid w:val="006008E4"/>
    <w:rsid w:val="00600E7D"/>
    <w:rsid w:val="00601548"/>
    <w:rsid w:val="0060242A"/>
    <w:rsid w:val="00602EF4"/>
    <w:rsid w:val="00603373"/>
    <w:rsid w:val="00603A85"/>
    <w:rsid w:val="0060443F"/>
    <w:rsid w:val="00604993"/>
    <w:rsid w:val="00604E84"/>
    <w:rsid w:val="006056B9"/>
    <w:rsid w:val="00607F7C"/>
    <w:rsid w:val="006108E2"/>
    <w:rsid w:val="0061173E"/>
    <w:rsid w:val="006120E3"/>
    <w:rsid w:val="006122E0"/>
    <w:rsid w:val="00612BDB"/>
    <w:rsid w:val="006138B7"/>
    <w:rsid w:val="006146B9"/>
    <w:rsid w:val="00615F63"/>
    <w:rsid w:val="0061736A"/>
    <w:rsid w:val="006217A3"/>
    <w:rsid w:val="00622062"/>
    <w:rsid w:val="006221B1"/>
    <w:rsid w:val="00623413"/>
    <w:rsid w:val="0062354A"/>
    <w:rsid w:val="0062514D"/>
    <w:rsid w:val="00626754"/>
    <w:rsid w:val="00626E0B"/>
    <w:rsid w:val="00627370"/>
    <w:rsid w:val="00630113"/>
    <w:rsid w:val="00630B7E"/>
    <w:rsid w:val="00632BA7"/>
    <w:rsid w:val="006330BE"/>
    <w:rsid w:val="00633813"/>
    <w:rsid w:val="00633850"/>
    <w:rsid w:val="00634408"/>
    <w:rsid w:val="006345F5"/>
    <w:rsid w:val="00634AD6"/>
    <w:rsid w:val="00634C1E"/>
    <w:rsid w:val="00634E74"/>
    <w:rsid w:val="00635E31"/>
    <w:rsid w:val="00636524"/>
    <w:rsid w:val="00637DFF"/>
    <w:rsid w:val="0064130D"/>
    <w:rsid w:val="00641EE9"/>
    <w:rsid w:val="006427AE"/>
    <w:rsid w:val="00642C06"/>
    <w:rsid w:val="0064366F"/>
    <w:rsid w:val="00646B8E"/>
    <w:rsid w:val="00647189"/>
    <w:rsid w:val="00650AC1"/>
    <w:rsid w:val="00651D33"/>
    <w:rsid w:val="006520E5"/>
    <w:rsid w:val="00652494"/>
    <w:rsid w:val="00652DDF"/>
    <w:rsid w:val="0065319D"/>
    <w:rsid w:val="00653A9F"/>
    <w:rsid w:val="00653DE8"/>
    <w:rsid w:val="00655319"/>
    <w:rsid w:val="00656B8D"/>
    <w:rsid w:val="00657E52"/>
    <w:rsid w:val="00657F06"/>
    <w:rsid w:val="00660648"/>
    <w:rsid w:val="0066074B"/>
    <w:rsid w:val="00662756"/>
    <w:rsid w:val="00663068"/>
    <w:rsid w:val="00663658"/>
    <w:rsid w:val="0066396D"/>
    <w:rsid w:val="00663BF4"/>
    <w:rsid w:val="006645AE"/>
    <w:rsid w:val="006650BB"/>
    <w:rsid w:val="0066513E"/>
    <w:rsid w:val="006659B9"/>
    <w:rsid w:val="0066763C"/>
    <w:rsid w:val="00667AC3"/>
    <w:rsid w:val="006775BF"/>
    <w:rsid w:val="00677668"/>
    <w:rsid w:val="0067774E"/>
    <w:rsid w:val="0067793B"/>
    <w:rsid w:val="00680393"/>
    <w:rsid w:val="0068248A"/>
    <w:rsid w:val="00682B58"/>
    <w:rsid w:val="00682ED1"/>
    <w:rsid w:val="0068650D"/>
    <w:rsid w:val="00686C6A"/>
    <w:rsid w:val="00687612"/>
    <w:rsid w:val="00687725"/>
    <w:rsid w:val="00687885"/>
    <w:rsid w:val="0069026C"/>
    <w:rsid w:val="00690883"/>
    <w:rsid w:val="00690F7F"/>
    <w:rsid w:val="0069189E"/>
    <w:rsid w:val="00691F90"/>
    <w:rsid w:val="006928F6"/>
    <w:rsid w:val="00692F68"/>
    <w:rsid w:val="00693599"/>
    <w:rsid w:val="00694563"/>
    <w:rsid w:val="00694FC2"/>
    <w:rsid w:val="00695665"/>
    <w:rsid w:val="00696017"/>
    <w:rsid w:val="00696631"/>
    <w:rsid w:val="00696652"/>
    <w:rsid w:val="00696995"/>
    <w:rsid w:val="00696FB7"/>
    <w:rsid w:val="006A00CC"/>
    <w:rsid w:val="006A0352"/>
    <w:rsid w:val="006A042E"/>
    <w:rsid w:val="006A064F"/>
    <w:rsid w:val="006A1301"/>
    <w:rsid w:val="006A3F04"/>
    <w:rsid w:val="006A4476"/>
    <w:rsid w:val="006A4920"/>
    <w:rsid w:val="006A4B3C"/>
    <w:rsid w:val="006A4F6E"/>
    <w:rsid w:val="006A5613"/>
    <w:rsid w:val="006A67B9"/>
    <w:rsid w:val="006A7141"/>
    <w:rsid w:val="006A74DE"/>
    <w:rsid w:val="006B13AA"/>
    <w:rsid w:val="006B230B"/>
    <w:rsid w:val="006B2A9B"/>
    <w:rsid w:val="006B3046"/>
    <w:rsid w:val="006B498E"/>
    <w:rsid w:val="006B610F"/>
    <w:rsid w:val="006B7FDB"/>
    <w:rsid w:val="006C068B"/>
    <w:rsid w:val="006C17D5"/>
    <w:rsid w:val="006C292D"/>
    <w:rsid w:val="006C3BD6"/>
    <w:rsid w:val="006C3F62"/>
    <w:rsid w:val="006C4084"/>
    <w:rsid w:val="006C41C0"/>
    <w:rsid w:val="006C4E91"/>
    <w:rsid w:val="006C5164"/>
    <w:rsid w:val="006C5224"/>
    <w:rsid w:val="006C57A2"/>
    <w:rsid w:val="006C6C47"/>
    <w:rsid w:val="006C7128"/>
    <w:rsid w:val="006C74DC"/>
    <w:rsid w:val="006C7C7C"/>
    <w:rsid w:val="006D18CE"/>
    <w:rsid w:val="006D31C3"/>
    <w:rsid w:val="006D3849"/>
    <w:rsid w:val="006D54DA"/>
    <w:rsid w:val="006D5D3A"/>
    <w:rsid w:val="006D5DCA"/>
    <w:rsid w:val="006D622B"/>
    <w:rsid w:val="006D668A"/>
    <w:rsid w:val="006D768A"/>
    <w:rsid w:val="006D78EF"/>
    <w:rsid w:val="006E0113"/>
    <w:rsid w:val="006E0525"/>
    <w:rsid w:val="006E2166"/>
    <w:rsid w:val="006E27E6"/>
    <w:rsid w:val="006E41D9"/>
    <w:rsid w:val="006E4504"/>
    <w:rsid w:val="006E4F83"/>
    <w:rsid w:val="006E6355"/>
    <w:rsid w:val="006E6BCC"/>
    <w:rsid w:val="006E6FE3"/>
    <w:rsid w:val="006E7827"/>
    <w:rsid w:val="006F07E6"/>
    <w:rsid w:val="006F107C"/>
    <w:rsid w:val="006F1D7C"/>
    <w:rsid w:val="006F2FBE"/>
    <w:rsid w:val="006F4177"/>
    <w:rsid w:val="006F43AD"/>
    <w:rsid w:val="006F4CB5"/>
    <w:rsid w:val="006F5AE0"/>
    <w:rsid w:val="006F5C08"/>
    <w:rsid w:val="006F754A"/>
    <w:rsid w:val="006F77D2"/>
    <w:rsid w:val="006F7AC8"/>
    <w:rsid w:val="00700AD2"/>
    <w:rsid w:val="0070236F"/>
    <w:rsid w:val="0070261C"/>
    <w:rsid w:val="00703168"/>
    <w:rsid w:val="007031DB"/>
    <w:rsid w:val="00703EDA"/>
    <w:rsid w:val="00704C62"/>
    <w:rsid w:val="00706C02"/>
    <w:rsid w:val="00706E55"/>
    <w:rsid w:val="0070776C"/>
    <w:rsid w:val="0070787A"/>
    <w:rsid w:val="00707968"/>
    <w:rsid w:val="00710A21"/>
    <w:rsid w:val="00711057"/>
    <w:rsid w:val="00711388"/>
    <w:rsid w:val="0071220D"/>
    <w:rsid w:val="0071261F"/>
    <w:rsid w:val="00712C82"/>
    <w:rsid w:val="00712F07"/>
    <w:rsid w:val="00713647"/>
    <w:rsid w:val="00713973"/>
    <w:rsid w:val="00714A41"/>
    <w:rsid w:val="00714FD0"/>
    <w:rsid w:val="007150B5"/>
    <w:rsid w:val="00715FEF"/>
    <w:rsid w:val="007165F0"/>
    <w:rsid w:val="00716B37"/>
    <w:rsid w:val="00716C6C"/>
    <w:rsid w:val="0071719D"/>
    <w:rsid w:val="00720B8A"/>
    <w:rsid w:val="00720BEB"/>
    <w:rsid w:val="00720E2E"/>
    <w:rsid w:val="0072197D"/>
    <w:rsid w:val="007223D4"/>
    <w:rsid w:val="00722AED"/>
    <w:rsid w:val="00722F8A"/>
    <w:rsid w:val="007233DD"/>
    <w:rsid w:val="00723657"/>
    <w:rsid w:val="0072388B"/>
    <w:rsid w:val="00723A95"/>
    <w:rsid w:val="0072557B"/>
    <w:rsid w:val="00725AE0"/>
    <w:rsid w:val="007272C1"/>
    <w:rsid w:val="00727E34"/>
    <w:rsid w:val="00730295"/>
    <w:rsid w:val="00730480"/>
    <w:rsid w:val="00730646"/>
    <w:rsid w:val="00730FDD"/>
    <w:rsid w:val="00732255"/>
    <w:rsid w:val="00732D11"/>
    <w:rsid w:val="007333C5"/>
    <w:rsid w:val="00733FFD"/>
    <w:rsid w:val="007343B7"/>
    <w:rsid w:val="00735161"/>
    <w:rsid w:val="0073550E"/>
    <w:rsid w:val="00735E7C"/>
    <w:rsid w:val="00737B40"/>
    <w:rsid w:val="00740253"/>
    <w:rsid w:val="00741901"/>
    <w:rsid w:val="00741967"/>
    <w:rsid w:val="00741C78"/>
    <w:rsid w:val="00741D2A"/>
    <w:rsid w:val="00741F25"/>
    <w:rsid w:val="00741FBF"/>
    <w:rsid w:val="00741FC8"/>
    <w:rsid w:val="0074242A"/>
    <w:rsid w:val="00742630"/>
    <w:rsid w:val="007430FF"/>
    <w:rsid w:val="00744224"/>
    <w:rsid w:val="007448C8"/>
    <w:rsid w:val="007449BF"/>
    <w:rsid w:val="00744A6E"/>
    <w:rsid w:val="00744CCC"/>
    <w:rsid w:val="0074600C"/>
    <w:rsid w:val="007462E2"/>
    <w:rsid w:val="00746A98"/>
    <w:rsid w:val="007472E7"/>
    <w:rsid w:val="00747B86"/>
    <w:rsid w:val="007512E5"/>
    <w:rsid w:val="0075205C"/>
    <w:rsid w:val="007520AD"/>
    <w:rsid w:val="00752D5C"/>
    <w:rsid w:val="0075368A"/>
    <w:rsid w:val="00753D79"/>
    <w:rsid w:val="00754298"/>
    <w:rsid w:val="0075517D"/>
    <w:rsid w:val="00755987"/>
    <w:rsid w:val="00755D00"/>
    <w:rsid w:val="00756149"/>
    <w:rsid w:val="00756C20"/>
    <w:rsid w:val="00757877"/>
    <w:rsid w:val="00760309"/>
    <w:rsid w:val="00760481"/>
    <w:rsid w:val="007605BD"/>
    <w:rsid w:val="00761759"/>
    <w:rsid w:val="007618CE"/>
    <w:rsid w:val="00761A3C"/>
    <w:rsid w:val="00762445"/>
    <w:rsid w:val="00762511"/>
    <w:rsid w:val="00762961"/>
    <w:rsid w:val="00762C7F"/>
    <w:rsid w:val="00763A47"/>
    <w:rsid w:val="007649C1"/>
    <w:rsid w:val="00765359"/>
    <w:rsid w:val="00765469"/>
    <w:rsid w:val="007657BF"/>
    <w:rsid w:val="00766BB1"/>
    <w:rsid w:val="007671C4"/>
    <w:rsid w:val="00767F11"/>
    <w:rsid w:val="00770805"/>
    <w:rsid w:val="007719F3"/>
    <w:rsid w:val="00772076"/>
    <w:rsid w:val="007721D6"/>
    <w:rsid w:val="00772ABA"/>
    <w:rsid w:val="00772D9B"/>
    <w:rsid w:val="007735CA"/>
    <w:rsid w:val="007741CF"/>
    <w:rsid w:val="007746F4"/>
    <w:rsid w:val="00776E6F"/>
    <w:rsid w:val="0077790E"/>
    <w:rsid w:val="00777F5C"/>
    <w:rsid w:val="00780409"/>
    <w:rsid w:val="00781999"/>
    <w:rsid w:val="00782A2D"/>
    <w:rsid w:val="007830F0"/>
    <w:rsid w:val="00783C78"/>
    <w:rsid w:val="00784B0B"/>
    <w:rsid w:val="00785847"/>
    <w:rsid w:val="00785B3F"/>
    <w:rsid w:val="007864EC"/>
    <w:rsid w:val="007876CE"/>
    <w:rsid w:val="007907EF"/>
    <w:rsid w:val="00790F43"/>
    <w:rsid w:val="00791C87"/>
    <w:rsid w:val="00792572"/>
    <w:rsid w:val="00793A81"/>
    <w:rsid w:val="00793E7E"/>
    <w:rsid w:val="007942CD"/>
    <w:rsid w:val="0079472C"/>
    <w:rsid w:val="00794D87"/>
    <w:rsid w:val="007975BB"/>
    <w:rsid w:val="00797700"/>
    <w:rsid w:val="0079783B"/>
    <w:rsid w:val="00797BC8"/>
    <w:rsid w:val="00797E2A"/>
    <w:rsid w:val="007A00D8"/>
    <w:rsid w:val="007A1098"/>
    <w:rsid w:val="007A1390"/>
    <w:rsid w:val="007A2424"/>
    <w:rsid w:val="007A35F7"/>
    <w:rsid w:val="007A3895"/>
    <w:rsid w:val="007A570E"/>
    <w:rsid w:val="007A58D7"/>
    <w:rsid w:val="007A60B2"/>
    <w:rsid w:val="007A6D90"/>
    <w:rsid w:val="007A78E0"/>
    <w:rsid w:val="007A799F"/>
    <w:rsid w:val="007B1181"/>
    <w:rsid w:val="007B1402"/>
    <w:rsid w:val="007B14F8"/>
    <w:rsid w:val="007B1627"/>
    <w:rsid w:val="007B222E"/>
    <w:rsid w:val="007B3222"/>
    <w:rsid w:val="007B3348"/>
    <w:rsid w:val="007B33E5"/>
    <w:rsid w:val="007B522B"/>
    <w:rsid w:val="007B5DF0"/>
    <w:rsid w:val="007B5F3B"/>
    <w:rsid w:val="007B6311"/>
    <w:rsid w:val="007B6741"/>
    <w:rsid w:val="007B681F"/>
    <w:rsid w:val="007C033C"/>
    <w:rsid w:val="007C0C95"/>
    <w:rsid w:val="007C1D54"/>
    <w:rsid w:val="007C4FC4"/>
    <w:rsid w:val="007C5005"/>
    <w:rsid w:val="007C6F7C"/>
    <w:rsid w:val="007C7CF6"/>
    <w:rsid w:val="007C7E29"/>
    <w:rsid w:val="007D0006"/>
    <w:rsid w:val="007D06F1"/>
    <w:rsid w:val="007D0DC8"/>
    <w:rsid w:val="007D1089"/>
    <w:rsid w:val="007D10DB"/>
    <w:rsid w:val="007D2442"/>
    <w:rsid w:val="007D2B8A"/>
    <w:rsid w:val="007D3825"/>
    <w:rsid w:val="007D4299"/>
    <w:rsid w:val="007D4398"/>
    <w:rsid w:val="007D4F47"/>
    <w:rsid w:val="007D5D21"/>
    <w:rsid w:val="007D6262"/>
    <w:rsid w:val="007D7212"/>
    <w:rsid w:val="007D72D8"/>
    <w:rsid w:val="007D7523"/>
    <w:rsid w:val="007D7B3B"/>
    <w:rsid w:val="007E1A58"/>
    <w:rsid w:val="007E1D87"/>
    <w:rsid w:val="007E1EFE"/>
    <w:rsid w:val="007E3538"/>
    <w:rsid w:val="007E3CF4"/>
    <w:rsid w:val="007E3F18"/>
    <w:rsid w:val="007E4403"/>
    <w:rsid w:val="007E44F5"/>
    <w:rsid w:val="007E69D6"/>
    <w:rsid w:val="007F0351"/>
    <w:rsid w:val="007F0AC3"/>
    <w:rsid w:val="007F10C8"/>
    <w:rsid w:val="007F1544"/>
    <w:rsid w:val="007F21F6"/>
    <w:rsid w:val="007F3E62"/>
    <w:rsid w:val="007F3FA8"/>
    <w:rsid w:val="007F45A9"/>
    <w:rsid w:val="007F4BB9"/>
    <w:rsid w:val="007F4BC0"/>
    <w:rsid w:val="007F5C4A"/>
    <w:rsid w:val="007F6241"/>
    <w:rsid w:val="007F62B8"/>
    <w:rsid w:val="007F7143"/>
    <w:rsid w:val="007F7FBD"/>
    <w:rsid w:val="008009DB"/>
    <w:rsid w:val="00800ED4"/>
    <w:rsid w:val="008025DD"/>
    <w:rsid w:val="00802B78"/>
    <w:rsid w:val="00802CFA"/>
    <w:rsid w:val="0080365A"/>
    <w:rsid w:val="008043CF"/>
    <w:rsid w:val="00804677"/>
    <w:rsid w:val="00804823"/>
    <w:rsid w:val="00804878"/>
    <w:rsid w:val="008055E0"/>
    <w:rsid w:val="008057EA"/>
    <w:rsid w:val="00806234"/>
    <w:rsid w:val="008072AF"/>
    <w:rsid w:val="008077BD"/>
    <w:rsid w:val="00807E93"/>
    <w:rsid w:val="0081049D"/>
    <w:rsid w:val="008105C1"/>
    <w:rsid w:val="00810C5E"/>
    <w:rsid w:val="00811411"/>
    <w:rsid w:val="00812639"/>
    <w:rsid w:val="00812BF3"/>
    <w:rsid w:val="0081450A"/>
    <w:rsid w:val="0081475D"/>
    <w:rsid w:val="008148FA"/>
    <w:rsid w:val="00814E4D"/>
    <w:rsid w:val="00814F8A"/>
    <w:rsid w:val="00815CDB"/>
    <w:rsid w:val="00816281"/>
    <w:rsid w:val="00816425"/>
    <w:rsid w:val="00816959"/>
    <w:rsid w:val="00817500"/>
    <w:rsid w:val="00817A65"/>
    <w:rsid w:val="00817EF0"/>
    <w:rsid w:val="00821038"/>
    <w:rsid w:val="008213BF"/>
    <w:rsid w:val="008220CA"/>
    <w:rsid w:val="00822175"/>
    <w:rsid w:val="008231AC"/>
    <w:rsid w:val="00824463"/>
    <w:rsid w:val="00825464"/>
    <w:rsid w:val="00825619"/>
    <w:rsid w:val="00825C6A"/>
    <w:rsid w:val="0082635F"/>
    <w:rsid w:val="00827005"/>
    <w:rsid w:val="008279AC"/>
    <w:rsid w:val="00830733"/>
    <w:rsid w:val="00830921"/>
    <w:rsid w:val="00832803"/>
    <w:rsid w:val="0083311C"/>
    <w:rsid w:val="008348FD"/>
    <w:rsid w:val="00834B58"/>
    <w:rsid w:val="00835274"/>
    <w:rsid w:val="00835D2F"/>
    <w:rsid w:val="00836A8B"/>
    <w:rsid w:val="008372F6"/>
    <w:rsid w:val="00841C48"/>
    <w:rsid w:val="00842BA3"/>
    <w:rsid w:val="00842F76"/>
    <w:rsid w:val="008433CA"/>
    <w:rsid w:val="00844ACA"/>
    <w:rsid w:val="00844CD9"/>
    <w:rsid w:val="008450C0"/>
    <w:rsid w:val="00846177"/>
    <w:rsid w:val="0084670A"/>
    <w:rsid w:val="00846C05"/>
    <w:rsid w:val="008472D0"/>
    <w:rsid w:val="00847995"/>
    <w:rsid w:val="00850CD1"/>
    <w:rsid w:val="0085123A"/>
    <w:rsid w:val="008515BE"/>
    <w:rsid w:val="00851F82"/>
    <w:rsid w:val="0085229F"/>
    <w:rsid w:val="00853B93"/>
    <w:rsid w:val="00853DB1"/>
    <w:rsid w:val="008543E1"/>
    <w:rsid w:val="0085493F"/>
    <w:rsid w:val="00855157"/>
    <w:rsid w:val="008552BA"/>
    <w:rsid w:val="00855AF7"/>
    <w:rsid w:val="008560A4"/>
    <w:rsid w:val="008569F6"/>
    <w:rsid w:val="00856D5F"/>
    <w:rsid w:val="008601F2"/>
    <w:rsid w:val="0086073C"/>
    <w:rsid w:val="008637B8"/>
    <w:rsid w:val="00863D14"/>
    <w:rsid w:val="00866662"/>
    <w:rsid w:val="00866CCA"/>
    <w:rsid w:val="008675CA"/>
    <w:rsid w:val="008676C3"/>
    <w:rsid w:val="008676EB"/>
    <w:rsid w:val="008679AF"/>
    <w:rsid w:val="008707C8"/>
    <w:rsid w:val="00871DB9"/>
    <w:rsid w:val="00872FA1"/>
    <w:rsid w:val="00873785"/>
    <w:rsid w:val="008741F3"/>
    <w:rsid w:val="0087524E"/>
    <w:rsid w:val="008752C8"/>
    <w:rsid w:val="00875C13"/>
    <w:rsid w:val="00876328"/>
    <w:rsid w:val="00876F6A"/>
    <w:rsid w:val="0087719C"/>
    <w:rsid w:val="00880BAB"/>
    <w:rsid w:val="00880D55"/>
    <w:rsid w:val="00880F77"/>
    <w:rsid w:val="0088189D"/>
    <w:rsid w:val="00881D7F"/>
    <w:rsid w:val="008834E4"/>
    <w:rsid w:val="00883C83"/>
    <w:rsid w:val="008842D4"/>
    <w:rsid w:val="00884A19"/>
    <w:rsid w:val="00886591"/>
    <w:rsid w:val="00887ADE"/>
    <w:rsid w:val="00887FEA"/>
    <w:rsid w:val="0089085E"/>
    <w:rsid w:val="00891A48"/>
    <w:rsid w:val="00891D72"/>
    <w:rsid w:val="00891DFF"/>
    <w:rsid w:val="00892CC0"/>
    <w:rsid w:val="00892E87"/>
    <w:rsid w:val="008936CA"/>
    <w:rsid w:val="008936DF"/>
    <w:rsid w:val="00893A96"/>
    <w:rsid w:val="00893BAA"/>
    <w:rsid w:val="008944A8"/>
    <w:rsid w:val="00895864"/>
    <w:rsid w:val="00896892"/>
    <w:rsid w:val="008975A6"/>
    <w:rsid w:val="00897B2E"/>
    <w:rsid w:val="008A03EF"/>
    <w:rsid w:val="008A0A4A"/>
    <w:rsid w:val="008A0D6F"/>
    <w:rsid w:val="008A19D1"/>
    <w:rsid w:val="008A2079"/>
    <w:rsid w:val="008A2D9E"/>
    <w:rsid w:val="008A3DC3"/>
    <w:rsid w:val="008A3E1C"/>
    <w:rsid w:val="008A4003"/>
    <w:rsid w:val="008A4D22"/>
    <w:rsid w:val="008A5889"/>
    <w:rsid w:val="008A59EB"/>
    <w:rsid w:val="008A5B7C"/>
    <w:rsid w:val="008A6202"/>
    <w:rsid w:val="008A7730"/>
    <w:rsid w:val="008B02BD"/>
    <w:rsid w:val="008B086A"/>
    <w:rsid w:val="008B0CDA"/>
    <w:rsid w:val="008B1299"/>
    <w:rsid w:val="008B16F1"/>
    <w:rsid w:val="008B2FE5"/>
    <w:rsid w:val="008B425D"/>
    <w:rsid w:val="008B5BA5"/>
    <w:rsid w:val="008B5D08"/>
    <w:rsid w:val="008B5F61"/>
    <w:rsid w:val="008B7A7E"/>
    <w:rsid w:val="008B7EE2"/>
    <w:rsid w:val="008C00F3"/>
    <w:rsid w:val="008C123A"/>
    <w:rsid w:val="008C1B3D"/>
    <w:rsid w:val="008C1F4C"/>
    <w:rsid w:val="008C21EB"/>
    <w:rsid w:val="008C279E"/>
    <w:rsid w:val="008C3683"/>
    <w:rsid w:val="008C3C62"/>
    <w:rsid w:val="008C4E5C"/>
    <w:rsid w:val="008D01F0"/>
    <w:rsid w:val="008D02A4"/>
    <w:rsid w:val="008D097B"/>
    <w:rsid w:val="008D1074"/>
    <w:rsid w:val="008D31D6"/>
    <w:rsid w:val="008D3421"/>
    <w:rsid w:val="008D3B0C"/>
    <w:rsid w:val="008D3C72"/>
    <w:rsid w:val="008D4275"/>
    <w:rsid w:val="008D49DF"/>
    <w:rsid w:val="008D6434"/>
    <w:rsid w:val="008D6C00"/>
    <w:rsid w:val="008E18E1"/>
    <w:rsid w:val="008E3481"/>
    <w:rsid w:val="008E402D"/>
    <w:rsid w:val="008E502F"/>
    <w:rsid w:val="008E51EE"/>
    <w:rsid w:val="008E68DB"/>
    <w:rsid w:val="008E6994"/>
    <w:rsid w:val="008E6A9D"/>
    <w:rsid w:val="008F0342"/>
    <w:rsid w:val="008F13D7"/>
    <w:rsid w:val="008F1AAA"/>
    <w:rsid w:val="008F2DBE"/>
    <w:rsid w:val="008F33D7"/>
    <w:rsid w:val="008F37B6"/>
    <w:rsid w:val="008F65C9"/>
    <w:rsid w:val="008F6A9D"/>
    <w:rsid w:val="008F6C7D"/>
    <w:rsid w:val="008F794A"/>
    <w:rsid w:val="008F7EC4"/>
    <w:rsid w:val="00900092"/>
    <w:rsid w:val="009008F1"/>
    <w:rsid w:val="00900B2D"/>
    <w:rsid w:val="009012C4"/>
    <w:rsid w:val="009018AE"/>
    <w:rsid w:val="00901B9E"/>
    <w:rsid w:val="009031B2"/>
    <w:rsid w:val="0090398A"/>
    <w:rsid w:val="00903BC2"/>
    <w:rsid w:val="0090482F"/>
    <w:rsid w:val="009049D8"/>
    <w:rsid w:val="00904DF7"/>
    <w:rsid w:val="009051CC"/>
    <w:rsid w:val="00905728"/>
    <w:rsid w:val="00905D07"/>
    <w:rsid w:val="00906002"/>
    <w:rsid w:val="0090641A"/>
    <w:rsid w:val="009067DB"/>
    <w:rsid w:val="00910913"/>
    <w:rsid w:val="00911477"/>
    <w:rsid w:val="00911701"/>
    <w:rsid w:val="009117F8"/>
    <w:rsid w:val="00911BF6"/>
    <w:rsid w:val="00913107"/>
    <w:rsid w:val="00913291"/>
    <w:rsid w:val="009133ED"/>
    <w:rsid w:val="00913CB4"/>
    <w:rsid w:val="00913F9E"/>
    <w:rsid w:val="0091550C"/>
    <w:rsid w:val="00915C2B"/>
    <w:rsid w:val="009163C1"/>
    <w:rsid w:val="009165FE"/>
    <w:rsid w:val="00916B1C"/>
    <w:rsid w:val="00916E7C"/>
    <w:rsid w:val="00917810"/>
    <w:rsid w:val="00917831"/>
    <w:rsid w:val="00917AF9"/>
    <w:rsid w:val="0092033B"/>
    <w:rsid w:val="00921217"/>
    <w:rsid w:val="0092156B"/>
    <w:rsid w:val="00922478"/>
    <w:rsid w:val="00922B9D"/>
    <w:rsid w:val="00925296"/>
    <w:rsid w:val="009263CE"/>
    <w:rsid w:val="00926E04"/>
    <w:rsid w:val="00927A78"/>
    <w:rsid w:val="009314F8"/>
    <w:rsid w:val="00932BEE"/>
    <w:rsid w:val="00933CDC"/>
    <w:rsid w:val="00934B4A"/>
    <w:rsid w:val="00935EA8"/>
    <w:rsid w:val="009363E9"/>
    <w:rsid w:val="009370C3"/>
    <w:rsid w:val="0094073D"/>
    <w:rsid w:val="00941F8F"/>
    <w:rsid w:val="0094207D"/>
    <w:rsid w:val="009420FA"/>
    <w:rsid w:val="0094229A"/>
    <w:rsid w:val="00942728"/>
    <w:rsid w:val="0094331F"/>
    <w:rsid w:val="00944A3C"/>
    <w:rsid w:val="00944B6C"/>
    <w:rsid w:val="00944EB2"/>
    <w:rsid w:val="00945091"/>
    <w:rsid w:val="0094679A"/>
    <w:rsid w:val="00946AB3"/>
    <w:rsid w:val="00946CD7"/>
    <w:rsid w:val="00947DBE"/>
    <w:rsid w:val="00947F94"/>
    <w:rsid w:val="0095150A"/>
    <w:rsid w:val="009516CB"/>
    <w:rsid w:val="009524AE"/>
    <w:rsid w:val="00952E9E"/>
    <w:rsid w:val="009530C3"/>
    <w:rsid w:val="009531FC"/>
    <w:rsid w:val="009535D2"/>
    <w:rsid w:val="009544EF"/>
    <w:rsid w:val="00954B58"/>
    <w:rsid w:val="00954FF6"/>
    <w:rsid w:val="009553DF"/>
    <w:rsid w:val="00955B8A"/>
    <w:rsid w:val="00956381"/>
    <w:rsid w:val="00956A5C"/>
    <w:rsid w:val="00956A6F"/>
    <w:rsid w:val="00956EF6"/>
    <w:rsid w:val="0095710F"/>
    <w:rsid w:val="009600C4"/>
    <w:rsid w:val="009600CF"/>
    <w:rsid w:val="00960F12"/>
    <w:rsid w:val="00961B55"/>
    <w:rsid w:val="00962D1B"/>
    <w:rsid w:val="009638BC"/>
    <w:rsid w:val="00965400"/>
    <w:rsid w:val="009654E6"/>
    <w:rsid w:val="00965B2E"/>
    <w:rsid w:val="009667AA"/>
    <w:rsid w:val="00966DB9"/>
    <w:rsid w:val="00966EAB"/>
    <w:rsid w:val="00966FA5"/>
    <w:rsid w:val="00967A58"/>
    <w:rsid w:val="0097039D"/>
    <w:rsid w:val="009705CC"/>
    <w:rsid w:val="0097081A"/>
    <w:rsid w:val="00971533"/>
    <w:rsid w:val="009718F6"/>
    <w:rsid w:val="009721B3"/>
    <w:rsid w:val="00972B4E"/>
    <w:rsid w:val="009739B3"/>
    <w:rsid w:val="00974196"/>
    <w:rsid w:val="00974BD2"/>
    <w:rsid w:val="00975311"/>
    <w:rsid w:val="00975346"/>
    <w:rsid w:val="00976C4D"/>
    <w:rsid w:val="00977AC8"/>
    <w:rsid w:val="00977D8C"/>
    <w:rsid w:val="00980425"/>
    <w:rsid w:val="00980B2B"/>
    <w:rsid w:val="00981417"/>
    <w:rsid w:val="00981AAD"/>
    <w:rsid w:val="009821F6"/>
    <w:rsid w:val="009822A5"/>
    <w:rsid w:val="00984FEF"/>
    <w:rsid w:val="0098555A"/>
    <w:rsid w:val="009855DE"/>
    <w:rsid w:val="00985AAE"/>
    <w:rsid w:val="00985C50"/>
    <w:rsid w:val="00986219"/>
    <w:rsid w:val="00990E2F"/>
    <w:rsid w:val="00991AA5"/>
    <w:rsid w:val="00991EB2"/>
    <w:rsid w:val="00992673"/>
    <w:rsid w:val="00992F56"/>
    <w:rsid w:val="00993190"/>
    <w:rsid w:val="00994176"/>
    <w:rsid w:val="0099424D"/>
    <w:rsid w:val="0099448C"/>
    <w:rsid w:val="00995B7B"/>
    <w:rsid w:val="00995E7C"/>
    <w:rsid w:val="00997553"/>
    <w:rsid w:val="00997AA5"/>
    <w:rsid w:val="009A059D"/>
    <w:rsid w:val="009A39C6"/>
    <w:rsid w:val="009A5444"/>
    <w:rsid w:val="009A5715"/>
    <w:rsid w:val="009A5ED2"/>
    <w:rsid w:val="009A65DE"/>
    <w:rsid w:val="009A6636"/>
    <w:rsid w:val="009A691B"/>
    <w:rsid w:val="009A7417"/>
    <w:rsid w:val="009B0080"/>
    <w:rsid w:val="009B05F1"/>
    <w:rsid w:val="009B06F9"/>
    <w:rsid w:val="009B0916"/>
    <w:rsid w:val="009B1A1A"/>
    <w:rsid w:val="009B1EF4"/>
    <w:rsid w:val="009B2E8E"/>
    <w:rsid w:val="009B521A"/>
    <w:rsid w:val="009B6067"/>
    <w:rsid w:val="009B6A8B"/>
    <w:rsid w:val="009C0224"/>
    <w:rsid w:val="009C0795"/>
    <w:rsid w:val="009C0EBD"/>
    <w:rsid w:val="009C3347"/>
    <w:rsid w:val="009C469C"/>
    <w:rsid w:val="009C6A63"/>
    <w:rsid w:val="009C6FB5"/>
    <w:rsid w:val="009C7ED5"/>
    <w:rsid w:val="009D06B6"/>
    <w:rsid w:val="009D25DF"/>
    <w:rsid w:val="009D26BA"/>
    <w:rsid w:val="009D3B08"/>
    <w:rsid w:val="009D3ED7"/>
    <w:rsid w:val="009D487B"/>
    <w:rsid w:val="009D649D"/>
    <w:rsid w:val="009D6796"/>
    <w:rsid w:val="009D765E"/>
    <w:rsid w:val="009D78F8"/>
    <w:rsid w:val="009E0534"/>
    <w:rsid w:val="009E0E57"/>
    <w:rsid w:val="009E274C"/>
    <w:rsid w:val="009E2A3B"/>
    <w:rsid w:val="009E3E35"/>
    <w:rsid w:val="009E4165"/>
    <w:rsid w:val="009E48D0"/>
    <w:rsid w:val="009E4B60"/>
    <w:rsid w:val="009E4EFF"/>
    <w:rsid w:val="009E503F"/>
    <w:rsid w:val="009E5844"/>
    <w:rsid w:val="009E6A2C"/>
    <w:rsid w:val="009E7518"/>
    <w:rsid w:val="009E7BB7"/>
    <w:rsid w:val="009F0BD6"/>
    <w:rsid w:val="009F2278"/>
    <w:rsid w:val="009F2FBF"/>
    <w:rsid w:val="009F3D7A"/>
    <w:rsid w:val="009F46CC"/>
    <w:rsid w:val="009F508E"/>
    <w:rsid w:val="009F520A"/>
    <w:rsid w:val="009F5B6B"/>
    <w:rsid w:val="009F5BC2"/>
    <w:rsid w:val="009F638C"/>
    <w:rsid w:val="00A000C2"/>
    <w:rsid w:val="00A004D6"/>
    <w:rsid w:val="00A020FC"/>
    <w:rsid w:val="00A03B75"/>
    <w:rsid w:val="00A05567"/>
    <w:rsid w:val="00A05C3F"/>
    <w:rsid w:val="00A066EC"/>
    <w:rsid w:val="00A06D32"/>
    <w:rsid w:val="00A10DA9"/>
    <w:rsid w:val="00A10E6C"/>
    <w:rsid w:val="00A10F43"/>
    <w:rsid w:val="00A112BF"/>
    <w:rsid w:val="00A116CE"/>
    <w:rsid w:val="00A124DB"/>
    <w:rsid w:val="00A12BA2"/>
    <w:rsid w:val="00A15019"/>
    <w:rsid w:val="00A15B07"/>
    <w:rsid w:val="00A15C54"/>
    <w:rsid w:val="00A16161"/>
    <w:rsid w:val="00A16E80"/>
    <w:rsid w:val="00A20216"/>
    <w:rsid w:val="00A21360"/>
    <w:rsid w:val="00A226FB"/>
    <w:rsid w:val="00A22D63"/>
    <w:rsid w:val="00A23532"/>
    <w:rsid w:val="00A2392B"/>
    <w:rsid w:val="00A26301"/>
    <w:rsid w:val="00A265B2"/>
    <w:rsid w:val="00A27752"/>
    <w:rsid w:val="00A300A1"/>
    <w:rsid w:val="00A32DA3"/>
    <w:rsid w:val="00A32EF9"/>
    <w:rsid w:val="00A32EFF"/>
    <w:rsid w:val="00A33211"/>
    <w:rsid w:val="00A33A99"/>
    <w:rsid w:val="00A33EE3"/>
    <w:rsid w:val="00A360BE"/>
    <w:rsid w:val="00A373D5"/>
    <w:rsid w:val="00A37845"/>
    <w:rsid w:val="00A37A11"/>
    <w:rsid w:val="00A40A32"/>
    <w:rsid w:val="00A419F4"/>
    <w:rsid w:val="00A42059"/>
    <w:rsid w:val="00A437B0"/>
    <w:rsid w:val="00A43D28"/>
    <w:rsid w:val="00A43D78"/>
    <w:rsid w:val="00A44135"/>
    <w:rsid w:val="00A449DD"/>
    <w:rsid w:val="00A459CA"/>
    <w:rsid w:val="00A45C36"/>
    <w:rsid w:val="00A47182"/>
    <w:rsid w:val="00A47741"/>
    <w:rsid w:val="00A47BA4"/>
    <w:rsid w:val="00A50002"/>
    <w:rsid w:val="00A509AB"/>
    <w:rsid w:val="00A51349"/>
    <w:rsid w:val="00A5188C"/>
    <w:rsid w:val="00A51AD0"/>
    <w:rsid w:val="00A51C47"/>
    <w:rsid w:val="00A51EB5"/>
    <w:rsid w:val="00A521E6"/>
    <w:rsid w:val="00A52278"/>
    <w:rsid w:val="00A52F99"/>
    <w:rsid w:val="00A53137"/>
    <w:rsid w:val="00A535FD"/>
    <w:rsid w:val="00A54194"/>
    <w:rsid w:val="00A55A85"/>
    <w:rsid w:val="00A55E6C"/>
    <w:rsid w:val="00A568A0"/>
    <w:rsid w:val="00A57759"/>
    <w:rsid w:val="00A60A63"/>
    <w:rsid w:val="00A610EF"/>
    <w:rsid w:val="00A61D18"/>
    <w:rsid w:val="00A6250E"/>
    <w:rsid w:val="00A639AD"/>
    <w:rsid w:val="00A6416A"/>
    <w:rsid w:val="00A642E4"/>
    <w:rsid w:val="00A64A42"/>
    <w:rsid w:val="00A66782"/>
    <w:rsid w:val="00A66A96"/>
    <w:rsid w:val="00A66FFD"/>
    <w:rsid w:val="00A670C4"/>
    <w:rsid w:val="00A707C6"/>
    <w:rsid w:val="00A71BF4"/>
    <w:rsid w:val="00A72686"/>
    <w:rsid w:val="00A7286A"/>
    <w:rsid w:val="00A7309E"/>
    <w:rsid w:val="00A7329C"/>
    <w:rsid w:val="00A732D3"/>
    <w:rsid w:val="00A73754"/>
    <w:rsid w:val="00A7388D"/>
    <w:rsid w:val="00A749B7"/>
    <w:rsid w:val="00A7569B"/>
    <w:rsid w:val="00A75F14"/>
    <w:rsid w:val="00A77280"/>
    <w:rsid w:val="00A8089E"/>
    <w:rsid w:val="00A809DA"/>
    <w:rsid w:val="00A82A33"/>
    <w:rsid w:val="00A8362D"/>
    <w:rsid w:val="00A84A56"/>
    <w:rsid w:val="00A850CC"/>
    <w:rsid w:val="00A85959"/>
    <w:rsid w:val="00A85DAC"/>
    <w:rsid w:val="00A865DA"/>
    <w:rsid w:val="00A86B99"/>
    <w:rsid w:val="00A86E99"/>
    <w:rsid w:val="00A872E0"/>
    <w:rsid w:val="00A8733B"/>
    <w:rsid w:val="00A90011"/>
    <w:rsid w:val="00A9112E"/>
    <w:rsid w:val="00A912A3"/>
    <w:rsid w:val="00A925D5"/>
    <w:rsid w:val="00A946E4"/>
    <w:rsid w:val="00A9605E"/>
    <w:rsid w:val="00AA0466"/>
    <w:rsid w:val="00AA3A22"/>
    <w:rsid w:val="00AA4CBF"/>
    <w:rsid w:val="00AA5A86"/>
    <w:rsid w:val="00AA6F4A"/>
    <w:rsid w:val="00AB09AD"/>
    <w:rsid w:val="00AB1077"/>
    <w:rsid w:val="00AB13BD"/>
    <w:rsid w:val="00AB1548"/>
    <w:rsid w:val="00AB33BE"/>
    <w:rsid w:val="00AB388C"/>
    <w:rsid w:val="00AB3AE6"/>
    <w:rsid w:val="00AB40E2"/>
    <w:rsid w:val="00AB4224"/>
    <w:rsid w:val="00AB6DA9"/>
    <w:rsid w:val="00AB6DAF"/>
    <w:rsid w:val="00AB7CB6"/>
    <w:rsid w:val="00AB7CFF"/>
    <w:rsid w:val="00AB7F34"/>
    <w:rsid w:val="00AC01B8"/>
    <w:rsid w:val="00AC0581"/>
    <w:rsid w:val="00AC0981"/>
    <w:rsid w:val="00AC15BD"/>
    <w:rsid w:val="00AC17A7"/>
    <w:rsid w:val="00AC1EFE"/>
    <w:rsid w:val="00AC20EF"/>
    <w:rsid w:val="00AC28BA"/>
    <w:rsid w:val="00AC3010"/>
    <w:rsid w:val="00AC3114"/>
    <w:rsid w:val="00AC4011"/>
    <w:rsid w:val="00AC448B"/>
    <w:rsid w:val="00AC6482"/>
    <w:rsid w:val="00AC6AB1"/>
    <w:rsid w:val="00AC6B14"/>
    <w:rsid w:val="00AC6F6C"/>
    <w:rsid w:val="00AD0721"/>
    <w:rsid w:val="00AD2CD5"/>
    <w:rsid w:val="00AD387B"/>
    <w:rsid w:val="00AD4F98"/>
    <w:rsid w:val="00AD67D7"/>
    <w:rsid w:val="00AD68D0"/>
    <w:rsid w:val="00AD69A6"/>
    <w:rsid w:val="00AD6D3B"/>
    <w:rsid w:val="00AE0579"/>
    <w:rsid w:val="00AE0743"/>
    <w:rsid w:val="00AE0E4A"/>
    <w:rsid w:val="00AE1649"/>
    <w:rsid w:val="00AE244A"/>
    <w:rsid w:val="00AE2F0D"/>
    <w:rsid w:val="00AE3420"/>
    <w:rsid w:val="00AE344A"/>
    <w:rsid w:val="00AE49A8"/>
    <w:rsid w:val="00AE4E37"/>
    <w:rsid w:val="00AE5343"/>
    <w:rsid w:val="00AE54A2"/>
    <w:rsid w:val="00AE7CDA"/>
    <w:rsid w:val="00AF0C92"/>
    <w:rsid w:val="00AF1C1F"/>
    <w:rsid w:val="00AF2DA0"/>
    <w:rsid w:val="00AF593C"/>
    <w:rsid w:val="00AF6158"/>
    <w:rsid w:val="00AF6406"/>
    <w:rsid w:val="00AF6E04"/>
    <w:rsid w:val="00AF7131"/>
    <w:rsid w:val="00B01191"/>
    <w:rsid w:val="00B02242"/>
    <w:rsid w:val="00B02E6B"/>
    <w:rsid w:val="00B03BF7"/>
    <w:rsid w:val="00B04B7F"/>
    <w:rsid w:val="00B05808"/>
    <w:rsid w:val="00B05AF7"/>
    <w:rsid w:val="00B07262"/>
    <w:rsid w:val="00B07D19"/>
    <w:rsid w:val="00B1009A"/>
    <w:rsid w:val="00B102B6"/>
    <w:rsid w:val="00B10FB7"/>
    <w:rsid w:val="00B1101A"/>
    <w:rsid w:val="00B13672"/>
    <w:rsid w:val="00B14916"/>
    <w:rsid w:val="00B15796"/>
    <w:rsid w:val="00B15930"/>
    <w:rsid w:val="00B15A35"/>
    <w:rsid w:val="00B15A3B"/>
    <w:rsid w:val="00B15D87"/>
    <w:rsid w:val="00B206F9"/>
    <w:rsid w:val="00B21AB7"/>
    <w:rsid w:val="00B21E53"/>
    <w:rsid w:val="00B2233B"/>
    <w:rsid w:val="00B236B4"/>
    <w:rsid w:val="00B23F71"/>
    <w:rsid w:val="00B250C7"/>
    <w:rsid w:val="00B256AB"/>
    <w:rsid w:val="00B26C4A"/>
    <w:rsid w:val="00B26D1E"/>
    <w:rsid w:val="00B27880"/>
    <w:rsid w:val="00B27A42"/>
    <w:rsid w:val="00B27A49"/>
    <w:rsid w:val="00B27E73"/>
    <w:rsid w:val="00B304D9"/>
    <w:rsid w:val="00B30808"/>
    <w:rsid w:val="00B30DF1"/>
    <w:rsid w:val="00B31676"/>
    <w:rsid w:val="00B33F51"/>
    <w:rsid w:val="00B3452E"/>
    <w:rsid w:val="00B3505D"/>
    <w:rsid w:val="00B35F6F"/>
    <w:rsid w:val="00B37004"/>
    <w:rsid w:val="00B37853"/>
    <w:rsid w:val="00B407CB"/>
    <w:rsid w:val="00B41534"/>
    <w:rsid w:val="00B42381"/>
    <w:rsid w:val="00B42536"/>
    <w:rsid w:val="00B42B9E"/>
    <w:rsid w:val="00B42F61"/>
    <w:rsid w:val="00B435B6"/>
    <w:rsid w:val="00B43933"/>
    <w:rsid w:val="00B44607"/>
    <w:rsid w:val="00B44E54"/>
    <w:rsid w:val="00B46A1E"/>
    <w:rsid w:val="00B471B9"/>
    <w:rsid w:val="00B47307"/>
    <w:rsid w:val="00B47C8D"/>
    <w:rsid w:val="00B50F34"/>
    <w:rsid w:val="00B51548"/>
    <w:rsid w:val="00B52D25"/>
    <w:rsid w:val="00B5376D"/>
    <w:rsid w:val="00B5405A"/>
    <w:rsid w:val="00B54387"/>
    <w:rsid w:val="00B5559B"/>
    <w:rsid w:val="00B55FE7"/>
    <w:rsid w:val="00B57160"/>
    <w:rsid w:val="00B60DEC"/>
    <w:rsid w:val="00B60E55"/>
    <w:rsid w:val="00B64607"/>
    <w:rsid w:val="00B65B74"/>
    <w:rsid w:val="00B65C14"/>
    <w:rsid w:val="00B6770A"/>
    <w:rsid w:val="00B67B0A"/>
    <w:rsid w:val="00B71B76"/>
    <w:rsid w:val="00B72296"/>
    <w:rsid w:val="00B726BC"/>
    <w:rsid w:val="00B72BCF"/>
    <w:rsid w:val="00B73133"/>
    <w:rsid w:val="00B732FD"/>
    <w:rsid w:val="00B73B16"/>
    <w:rsid w:val="00B73C51"/>
    <w:rsid w:val="00B741F1"/>
    <w:rsid w:val="00B74DA6"/>
    <w:rsid w:val="00B7563D"/>
    <w:rsid w:val="00B75E1F"/>
    <w:rsid w:val="00B76AB9"/>
    <w:rsid w:val="00B76DEB"/>
    <w:rsid w:val="00B77B6E"/>
    <w:rsid w:val="00B77CA9"/>
    <w:rsid w:val="00B81148"/>
    <w:rsid w:val="00B82600"/>
    <w:rsid w:val="00B83580"/>
    <w:rsid w:val="00B835D6"/>
    <w:rsid w:val="00B83B3A"/>
    <w:rsid w:val="00B8400E"/>
    <w:rsid w:val="00B84398"/>
    <w:rsid w:val="00B843D1"/>
    <w:rsid w:val="00B8555D"/>
    <w:rsid w:val="00B85934"/>
    <w:rsid w:val="00B85AC8"/>
    <w:rsid w:val="00B878EB"/>
    <w:rsid w:val="00B87CB8"/>
    <w:rsid w:val="00B903F3"/>
    <w:rsid w:val="00B92123"/>
    <w:rsid w:val="00B921C0"/>
    <w:rsid w:val="00B93958"/>
    <w:rsid w:val="00B93FD6"/>
    <w:rsid w:val="00B94A2A"/>
    <w:rsid w:val="00B94E37"/>
    <w:rsid w:val="00B953D8"/>
    <w:rsid w:val="00B95F97"/>
    <w:rsid w:val="00B966F2"/>
    <w:rsid w:val="00B96B39"/>
    <w:rsid w:val="00B97899"/>
    <w:rsid w:val="00BA142B"/>
    <w:rsid w:val="00BA1892"/>
    <w:rsid w:val="00BA221E"/>
    <w:rsid w:val="00BA2E25"/>
    <w:rsid w:val="00BA3591"/>
    <w:rsid w:val="00BA35D2"/>
    <w:rsid w:val="00BA45A7"/>
    <w:rsid w:val="00BA5062"/>
    <w:rsid w:val="00BA59E3"/>
    <w:rsid w:val="00BA6098"/>
    <w:rsid w:val="00BA7784"/>
    <w:rsid w:val="00BA7C05"/>
    <w:rsid w:val="00BB0609"/>
    <w:rsid w:val="00BB187C"/>
    <w:rsid w:val="00BB3629"/>
    <w:rsid w:val="00BB38A8"/>
    <w:rsid w:val="00BB4037"/>
    <w:rsid w:val="00BB4748"/>
    <w:rsid w:val="00BB572E"/>
    <w:rsid w:val="00BB61E8"/>
    <w:rsid w:val="00BC10AA"/>
    <w:rsid w:val="00BC1770"/>
    <w:rsid w:val="00BC2A85"/>
    <w:rsid w:val="00BC3811"/>
    <w:rsid w:val="00BC3D17"/>
    <w:rsid w:val="00BC4409"/>
    <w:rsid w:val="00BC562A"/>
    <w:rsid w:val="00BC651F"/>
    <w:rsid w:val="00BC6BED"/>
    <w:rsid w:val="00BC6D60"/>
    <w:rsid w:val="00BC799F"/>
    <w:rsid w:val="00BD078E"/>
    <w:rsid w:val="00BD1E97"/>
    <w:rsid w:val="00BD252B"/>
    <w:rsid w:val="00BD29C9"/>
    <w:rsid w:val="00BD2A94"/>
    <w:rsid w:val="00BD2C76"/>
    <w:rsid w:val="00BD3DAB"/>
    <w:rsid w:val="00BD42CD"/>
    <w:rsid w:val="00BD4A57"/>
    <w:rsid w:val="00BD6313"/>
    <w:rsid w:val="00BD6509"/>
    <w:rsid w:val="00BD6C56"/>
    <w:rsid w:val="00BD6D2B"/>
    <w:rsid w:val="00BD7CA6"/>
    <w:rsid w:val="00BE04BC"/>
    <w:rsid w:val="00BE0958"/>
    <w:rsid w:val="00BE0F89"/>
    <w:rsid w:val="00BE1857"/>
    <w:rsid w:val="00BE18FA"/>
    <w:rsid w:val="00BE23AC"/>
    <w:rsid w:val="00BE2A15"/>
    <w:rsid w:val="00BE3399"/>
    <w:rsid w:val="00BE3BBD"/>
    <w:rsid w:val="00BE3E46"/>
    <w:rsid w:val="00BE5130"/>
    <w:rsid w:val="00BE5C4A"/>
    <w:rsid w:val="00BE5F83"/>
    <w:rsid w:val="00BE75F7"/>
    <w:rsid w:val="00BE79AC"/>
    <w:rsid w:val="00BF00DB"/>
    <w:rsid w:val="00BF05F3"/>
    <w:rsid w:val="00BF3063"/>
    <w:rsid w:val="00BF362A"/>
    <w:rsid w:val="00BF490C"/>
    <w:rsid w:val="00BF49A5"/>
    <w:rsid w:val="00BF605C"/>
    <w:rsid w:val="00C004C8"/>
    <w:rsid w:val="00C00A44"/>
    <w:rsid w:val="00C01576"/>
    <w:rsid w:val="00C02D34"/>
    <w:rsid w:val="00C04292"/>
    <w:rsid w:val="00C051ED"/>
    <w:rsid w:val="00C0751F"/>
    <w:rsid w:val="00C07B83"/>
    <w:rsid w:val="00C10214"/>
    <w:rsid w:val="00C11D74"/>
    <w:rsid w:val="00C1420B"/>
    <w:rsid w:val="00C168C3"/>
    <w:rsid w:val="00C16E39"/>
    <w:rsid w:val="00C170A0"/>
    <w:rsid w:val="00C172F7"/>
    <w:rsid w:val="00C21BE2"/>
    <w:rsid w:val="00C21E44"/>
    <w:rsid w:val="00C21F8A"/>
    <w:rsid w:val="00C22A92"/>
    <w:rsid w:val="00C22DF1"/>
    <w:rsid w:val="00C2304D"/>
    <w:rsid w:val="00C24044"/>
    <w:rsid w:val="00C249D4"/>
    <w:rsid w:val="00C24AFE"/>
    <w:rsid w:val="00C25DA1"/>
    <w:rsid w:val="00C25F63"/>
    <w:rsid w:val="00C2748A"/>
    <w:rsid w:val="00C27DFA"/>
    <w:rsid w:val="00C301EC"/>
    <w:rsid w:val="00C30BB0"/>
    <w:rsid w:val="00C30EBF"/>
    <w:rsid w:val="00C31599"/>
    <w:rsid w:val="00C32960"/>
    <w:rsid w:val="00C348C3"/>
    <w:rsid w:val="00C356C4"/>
    <w:rsid w:val="00C36C72"/>
    <w:rsid w:val="00C37085"/>
    <w:rsid w:val="00C37C60"/>
    <w:rsid w:val="00C414E8"/>
    <w:rsid w:val="00C41B0B"/>
    <w:rsid w:val="00C4243F"/>
    <w:rsid w:val="00C42483"/>
    <w:rsid w:val="00C42BE5"/>
    <w:rsid w:val="00C442D0"/>
    <w:rsid w:val="00C47DA7"/>
    <w:rsid w:val="00C5058C"/>
    <w:rsid w:val="00C52F76"/>
    <w:rsid w:val="00C53949"/>
    <w:rsid w:val="00C55567"/>
    <w:rsid w:val="00C55F6B"/>
    <w:rsid w:val="00C56255"/>
    <w:rsid w:val="00C5692B"/>
    <w:rsid w:val="00C56B76"/>
    <w:rsid w:val="00C60673"/>
    <w:rsid w:val="00C60E29"/>
    <w:rsid w:val="00C61776"/>
    <w:rsid w:val="00C61C4F"/>
    <w:rsid w:val="00C61F23"/>
    <w:rsid w:val="00C61F96"/>
    <w:rsid w:val="00C625ED"/>
    <w:rsid w:val="00C62856"/>
    <w:rsid w:val="00C634B7"/>
    <w:rsid w:val="00C636E5"/>
    <w:rsid w:val="00C63FFB"/>
    <w:rsid w:val="00C64083"/>
    <w:rsid w:val="00C6462B"/>
    <w:rsid w:val="00C66B66"/>
    <w:rsid w:val="00C675C9"/>
    <w:rsid w:val="00C7000A"/>
    <w:rsid w:val="00C7030B"/>
    <w:rsid w:val="00C719B9"/>
    <w:rsid w:val="00C7227C"/>
    <w:rsid w:val="00C72B22"/>
    <w:rsid w:val="00C7343B"/>
    <w:rsid w:val="00C737A3"/>
    <w:rsid w:val="00C755D3"/>
    <w:rsid w:val="00C76205"/>
    <w:rsid w:val="00C7705E"/>
    <w:rsid w:val="00C803A1"/>
    <w:rsid w:val="00C8050D"/>
    <w:rsid w:val="00C812E2"/>
    <w:rsid w:val="00C81815"/>
    <w:rsid w:val="00C81B24"/>
    <w:rsid w:val="00C81CA1"/>
    <w:rsid w:val="00C8273F"/>
    <w:rsid w:val="00C829B4"/>
    <w:rsid w:val="00C82EC2"/>
    <w:rsid w:val="00C83EA6"/>
    <w:rsid w:val="00C84B1F"/>
    <w:rsid w:val="00C865FD"/>
    <w:rsid w:val="00C87250"/>
    <w:rsid w:val="00C87F89"/>
    <w:rsid w:val="00C92448"/>
    <w:rsid w:val="00C92F9F"/>
    <w:rsid w:val="00C943CF"/>
    <w:rsid w:val="00C946E5"/>
    <w:rsid w:val="00C954CD"/>
    <w:rsid w:val="00C9602C"/>
    <w:rsid w:val="00C96242"/>
    <w:rsid w:val="00C97635"/>
    <w:rsid w:val="00C97D2F"/>
    <w:rsid w:val="00C97FD5"/>
    <w:rsid w:val="00CA0BA6"/>
    <w:rsid w:val="00CA0C7C"/>
    <w:rsid w:val="00CA11B3"/>
    <w:rsid w:val="00CA1810"/>
    <w:rsid w:val="00CA1A23"/>
    <w:rsid w:val="00CA211C"/>
    <w:rsid w:val="00CA31B6"/>
    <w:rsid w:val="00CA3804"/>
    <w:rsid w:val="00CA3983"/>
    <w:rsid w:val="00CA4728"/>
    <w:rsid w:val="00CA5FE1"/>
    <w:rsid w:val="00CA617F"/>
    <w:rsid w:val="00CA645F"/>
    <w:rsid w:val="00CA67B5"/>
    <w:rsid w:val="00CA77F2"/>
    <w:rsid w:val="00CB040A"/>
    <w:rsid w:val="00CB05C0"/>
    <w:rsid w:val="00CB0D0E"/>
    <w:rsid w:val="00CB15A9"/>
    <w:rsid w:val="00CB15F5"/>
    <w:rsid w:val="00CB2992"/>
    <w:rsid w:val="00CB4068"/>
    <w:rsid w:val="00CB407F"/>
    <w:rsid w:val="00CB4196"/>
    <w:rsid w:val="00CB4E43"/>
    <w:rsid w:val="00CB5311"/>
    <w:rsid w:val="00CB5B5D"/>
    <w:rsid w:val="00CB5EB4"/>
    <w:rsid w:val="00CB5F54"/>
    <w:rsid w:val="00CB736E"/>
    <w:rsid w:val="00CB7B05"/>
    <w:rsid w:val="00CC0BF2"/>
    <w:rsid w:val="00CC19BA"/>
    <w:rsid w:val="00CC42DB"/>
    <w:rsid w:val="00CC5194"/>
    <w:rsid w:val="00CC6B5E"/>
    <w:rsid w:val="00CC763D"/>
    <w:rsid w:val="00CC7A05"/>
    <w:rsid w:val="00CD03DA"/>
    <w:rsid w:val="00CD25F7"/>
    <w:rsid w:val="00CD32A2"/>
    <w:rsid w:val="00CD5B29"/>
    <w:rsid w:val="00CD64FB"/>
    <w:rsid w:val="00CD6C6B"/>
    <w:rsid w:val="00CD7147"/>
    <w:rsid w:val="00CD7F0A"/>
    <w:rsid w:val="00CE0502"/>
    <w:rsid w:val="00CE1A00"/>
    <w:rsid w:val="00CE2A0F"/>
    <w:rsid w:val="00CE449F"/>
    <w:rsid w:val="00CE464F"/>
    <w:rsid w:val="00CE496F"/>
    <w:rsid w:val="00CE6122"/>
    <w:rsid w:val="00CE6766"/>
    <w:rsid w:val="00CE6B19"/>
    <w:rsid w:val="00CF02B5"/>
    <w:rsid w:val="00CF0524"/>
    <w:rsid w:val="00CF0639"/>
    <w:rsid w:val="00CF2249"/>
    <w:rsid w:val="00CF238A"/>
    <w:rsid w:val="00CF26E6"/>
    <w:rsid w:val="00CF28F6"/>
    <w:rsid w:val="00CF3D85"/>
    <w:rsid w:val="00CF4819"/>
    <w:rsid w:val="00CF4A88"/>
    <w:rsid w:val="00CF67D3"/>
    <w:rsid w:val="00CF6C74"/>
    <w:rsid w:val="00D00CE8"/>
    <w:rsid w:val="00D01560"/>
    <w:rsid w:val="00D03AE7"/>
    <w:rsid w:val="00D0513A"/>
    <w:rsid w:val="00D06374"/>
    <w:rsid w:val="00D06A36"/>
    <w:rsid w:val="00D07D1F"/>
    <w:rsid w:val="00D11115"/>
    <w:rsid w:val="00D112C0"/>
    <w:rsid w:val="00D11464"/>
    <w:rsid w:val="00D117F4"/>
    <w:rsid w:val="00D11CEF"/>
    <w:rsid w:val="00D12BE5"/>
    <w:rsid w:val="00D138F9"/>
    <w:rsid w:val="00D14174"/>
    <w:rsid w:val="00D15076"/>
    <w:rsid w:val="00D157E7"/>
    <w:rsid w:val="00D1591D"/>
    <w:rsid w:val="00D15A9C"/>
    <w:rsid w:val="00D15E36"/>
    <w:rsid w:val="00D16D15"/>
    <w:rsid w:val="00D170E6"/>
    <w:rsid w:val="00D17C96"/>
    <w:rsid w:val="00D2056A"/>
    <w:rsid w:val="00D2069F"/>
    <w:rsid w:val="00D21DF3"/>
    <w:rsid w:val="00D21E61"/>
    <w:rsid w:val="00D234DF"/>
    <w:rsid w:val="00D2356B"/>
    <w:rsid w:val="00D23E26"/>
    <w:rsid w:val="00D2412F"/>
    <w:rsid w:val="00D24C1E"/>
    <w:rsid w:val="00D24ECC"/>
    <w:rsid w:val="00D25C46"/>
    <w:rsid w:val="00D265C1"/>
    <w:rsid w:val="00D2683A"/>
    <w:rsid w:val="00D26E47"/>
    <w:rsid w:val="00D26E81"/>
    <w:rsid w:val="00D3022C"/>
    <w:rsid w:val="00D31B39"/>
    <w:rsid w:val="00D31C45"/>
    <w:rsid w:val="00D31D94"/>
    <w:rsid w:val="00D3228F"/>
    <w:rsid w:val="00D3442D"/>
    <w:rsid w:val="00D3683C"/>
    <w:rsid w:val="00D373A5"/>
    <w:rsid w:val="00D37AF9"/>
    <w:rsid w:val="00D37BF2"/>
    <w:rsid w:val="00D41076"/>
    <w:rsid w:val="00D41155"/>
    <w:rsid w:val="00D41435"/>
    <w:rsid w:val="00D43275"/>
    <w:rsid w:val="00D4346E"/>
    <w:rsid w:val="00D4361D"/>
    <w:rsid w:val="00D46809"/>
    <w:rsid w:val="00D47FD3"/>
    <w:rsid w:val="00D501D3"/>
    <w:rsid w:val="00D511D6"/>
    <w:rsid w:val="00D51EF3"/>
    <w:rsid w:val="00D51F1C"/>
    <w:rsid w:val="00D52657"/>
    <w:rsid w:val="00D55579"/>
    <w:rsid w:val="00D556F3"/>
    <w:rsid w:val="00D5748D"/>
    <w:rsid w:val="00D574C1"/>
    <w:rsid w:val="00D575DF"/>
    <w:rsid w:val="00D60A07"/>
    <w:rsid w:val="00D60F98"/>
    <w:rsid w:val="00D615DF"/>
    <w:rsid w:val="00D6172F"/>
    <w:rsid w:val="00D625DD"/>
    <w:rsid w:val="00D62FCF"/>
    <w:rsid w:val="00D633D8"/>
    <w:rsid w:val="00D6447E"/>
    <w:rsid w:val="00D64C50"/>
    <w:rsid w:val="00D65B73"/>
    <w:rsid w:val="00D660DC"/>
    <w:rsid w:val="00D66593"/>
    <w:rsid w:val="00D708D5"/>
    <w:rsid w:val="00D71014"/>
    <w:rsid w:val="00D710BA"/>
    <w:rsid w:val="00D72940"/>
    <w:rsid w:val="00D73740"/>
    <w:rsid w:val="00D7414A"/>
    <w:rsid w:val="00D74278"/>
    <w:rsid w:val="00D74A57"/>
    <w:rsid w:val="00D74BAD"/>
    <w:rsid w:val="00D75FD3"/>
    <w:rsid w:val="00D777DB"/>
    <w:rsid w:val="00D77892"/>
    <w:rsid w:val="00D779C0"/>
    <w:rsid w:val="00D8106E"/>
    <w:rsid w:val="00D81542"/>
    <w:rsid w:val="00D81FD2"/>
    <w:rsid w:val="00D826AB"/>
    <w:rsid w:val="00D82837"/>
    <w:rsid w:val="00D833E9"/>
    <w:rsid w:val="00D85663"/>
    <w:rsid w:val="00D85814"/>
    <w:rsid w:val="00D8646B"/>
    <w:rsid w:val="00D86960"/>
    <w:rsid w:val="00D86DB5"/>
    <w:rsid w:val="00D8784D"/>
    <w:rsid w:val="00D87A04"/>
    <w:rsid w:val="00D91ABD"/>
    <w:rsid w:val="00D92610"/>
    <w:rsid w:val="00D93535"/>
    <w:rsid w:val="00D93F13"/>
    <w:rsid w:val="00D94452"/>
    <w:rsid w:val="00D94678"/>
    <w:rsid w:val="00D948F9"/>
    <w:rsid w:val="00D9516F"/>
    <w:rsid w:val="00D95552"/>
    <w:rsid w:val="00D9659C"/>
    <w:rsid w:val="00D968BD"/>
    <w:rsid w:val="00D97C2F"/>
    <w:rsid w:val="00DA0315"/>
    <w:rsid w:val="00DA0BFE"/>
    <w:rsid w:val="00DA19A3"/>
    <w:rsid w:val="00DA1EA0"/>
    <w:rsid w:val="00DA1F35"/>
    <w:rsid w:val="00DA327F"/>
    <w:rsid w:val="00DA3989"/>
    <w:rsid w:val="00DA3A7A"/>
    <w:rsid w:val="00DA3CCD"/>
    <w:rsid w:val="00DA3E79"/>
    <w:rsid w:val="00DA3F5C"/>
    <w:rsid w:val="00DA5577"/>
    <w:rsid w:val="00DA5AAD"/>
    <w:rsid w:val="00DA6558"/>
    <w:rsid w:val="00DA6AD0"/>
    <w:rsid w:val="00DA75DE"/>
    <w:rsid w:val="00DA7A1A"/>
    <w:rsid w:val="00DA7D3F"/>
    <w:rsid w:val="00DB0876"/>
    <w:rsid w:val="00DB0924"/>
    <w:rsid w:val="00DB14C0"/>
    <w:rsid w:val="00DB1B09"/>
    <w:rsid w:val="00DB2581"/>
    <w:rsid w:val="00DB38ED"/>
    <w:rsid w:val="00DB4927"/>
    <w:rsid w:val="00DB4AD9"/>
    <w:rsid w:val="00DB4B32"/>
    <w:rsid w:val="00DB73A8"/>
    <w:rsid w:val="00DC0FE8"/>
    <w:rsid w:val="00DC117E"/>
    <w:rsid w:val="00DC1562"/>
    <w:rsid w:val="00DC3927"/>
    <w:rsid w:val="00DC3BCE"/>
    <w:rsid w:val="00DC3EFD"/>
    <w:rsid w:val="00DC3F05"/>
    <w:rsid w:val="00DC4CFE"/>
    <w:rsid w:val="00DC6163"/>
    <w:rsid w:val="00DC6DD9"/>
    <w:rsid w:val="00DC72AB"/>
    <w:rsid w:val="00DC738B"/>
    <w:rsid w:val="00DD0677"/>
    <w:rsid w:val="00DD0DF8"/>
    <w:rsid w:val="00DD186A"/>
    <w:rsid w:val="00DD1B4C"/>
    <w:rsid w:val="00DD20A9"/>
    <w:rsid w:val="00DD24EC"/>
    <w:rsid w:val="00DD2BA0"/>
    <w:rsid w:val="00DD2CDE"/>
    <w:rsid w:val="00DD2D9E"/>
    <w:rsid w:val="00DD3675"/>
    <w:rsid w:val="00DD3A78"/>
    <w:rsid w:val="00DD44D9"/>
    <w:rsid w:val="00DD50A5"/>
    <w:rsid w:val="00DD50CA"/>
    <w:rsid w:val="00DD61DE"/>
    <w:rsid w:val="00DD70B5"/>
    <w:rsid w:val="00DE1236"/>
    <w:rsid w:val="00DE17B6"/>
    <w:rsid w:val="00DE19B1"/>
    <w:rsid w:val="00DE1EDF"/>
    <w:rsid w:val="00DE2030"/>
    <w:rsid w:val="00DE21CB"/>
    <w:rsid w:val="00DE2777"/>
    <w:rsid w:val="00DE3546"/>
    <w:rsid w:val="00DE4114"/>
    <w:rsid w:val="00DE4EB1"/>
    <w:rsid w:val="00DE4F4B"/>
    <w:rsid w:val="00DE550C"/>
    <w:rsid w:val="00DE586C"/>
    <w:rsid w:val="00DE62A5"/>
    <w:rsid w:val="00DF02F9"/>
    <w:rsid w:val="00DF0C0E"/>
    <w:rsid w:val="00DF1750"/>
    <w:rsid w:val="00DF2FC9"/>
    <w:rsid w:val="00DF33F7"/>
    <w:rsid w:val="00DF4E95"/>
    <w:rsid w:val="00DF4EDA"/>
    <w:rsid w:val="00DF5149"/>
    <w:rsid w:val="00DF769D"/>
    <w:rsid w:val="00DF7D0F"/>
    <w:rsid w:val="00E008A8"/>
    <w:rsid w:val="00E0187F"/>
    <w:rsid w:val="00E01AB1"/>
    <w:rsid w:val="00E027CB"/>
    <w:rsid w:val="00E0355F"/>
    <w:rsid w:val="00E03CEA"/>
    <w:rsid w:val="00E04668"/>
    <w:rsid w:val="00E059AE"/>
    <w:rsid w:val="00E06C52"/>
    <w:rsid w:val="00E0719F"/>
    <w:rsid w:val="00E07211"/>
    <w:rsid w:val="00E108D5"/>
    <w:rsid w:val="00E10A19"/>
    <w:rsid w:val="00E130E0"/>
    <w:rsid w:val="00E14812"/>
    <w:rsid w:val="00E150F1"/>
    <w:rsid w:val="00E1578B"/>
    <w:rsid w:val="00E16340"/>
    <w:rsid w:val="00E164A1"/>
    <w:rsid w:val="00E17503"/>
    <w:rsid w:val="00E17A5E"/>
    <w:rsid w:val="00E17DB4"/>
    <w:rsid w:val="00E218FD"/>
    <w:rsid w:val="00E22B78"/>
    <w:rsid w:val="00E22ECE"/>
    <w:rsid w:val="00E234E3"/>
    <w:rsid w:val="00E23AD5"/>
    <w:rsid w:val="00E246BF"/>
    <w:rsid w:val="00E24DAF"/>
    <w:rsid w:val="00E253B8"/>
    <w:rsid w:val="00E25677"/>
    <w:rsid w:val="00E25980"/>
    <w:rsid w:val="00E26C47"/>
    <w:rsid w:val="00E276D6"/>
    <w:rsid w:val="00E278EE"/>
    <w:rsid w:val="00E302D9"/>
    <w:rsid w:val="00E305AD"/>
    <w:rsid w:val="00E32039"/>
    <w:rsid w:val="00E32652"/>
    <w:rsid w:val="00E32EDD"/>
    <w:rsid w:val="00E34475"/>
    <w:rsid w:val="00E34763"/>
    <w:rsid w:val="00E34804"/>
    <w:rsid w:val="00E348AA"/>
    <w:rsid w:val="00E34D1A"/>
    <w:rsid w:val="00E352E4"/>
    <w:rsid w:val="00E368BE"/>
    <w:rsid w:val="00E36D46"/>
    <w:rsid w:val="00E36F21"/>
    <w:rsid w:val="00E375C4"/>
    <w:rsid w:val="00E37A27"/>
    <w:rsid w:val="00E4051F"/>
    <w:rsid w:val="00E425FE"/>
    <w:rsid w:val="00E42AAD"/>
    <w:rsid w:val="00E42D53"/>
    <w:rsid w:val="00E43777"/>
    <w:rsid w:val="00E4379E"/>
    <w:rsid w:val="00E441E0"/>
    <w:rsid w:val="00E45408"/>
    <w:rsid w:val="00E459D2"/>
    <w:rsid w:val="00E46029"/>
    <w:rsid w:val="00E4710F"/>
    <w:rsid w:val="00E47F6F"/>
    <w:rsid w:val="00E50887"/>
    <w:rsid w:val="00E50D69"/>
    <w:rsid w:val="00E50DED"/>
    <w:rsid w:val="00E50EBF"/>
    <w:rsid w:val="00E52D61"/>
    <w:rsid w:val="00E54A17"/>
    <w:rsid w:val="00E55727"/>
    <w:rsid w:val="00E557FE"/>
    <w:rsid w:val="00E55CA1"/>
    <w:rsid w:val="00E55E3F"/>
    <w:rsid w:val="00E56FE3"/>
    <w:rsid w:val="00E575A9"/>
    <w:rsid w:val="00E577B3"/>
    <w:rsid w:val="00E57D6A"/>
    <w:rsid w:val="00E605D8"/>
    <w:rsid w:val="00E60870"/>
    <w:rsid w:val="00E6166C"/>
    <w:rsid w:val="00E61F07"/>
    <w:rsid w:val="00E63DB2"/>
    <w:rsid w:val="00E6449C"/>
    <w:rsid w:val="00E65A98"/>
    <w:rsid w:val="00E66E16"/>
    <w:rsid w:val="00E67266"/>
    <w:rsid w:val="00E67586"/>
    <w:rsid w:val="00E67BEA"/>
    <w:rsid w:val="00E707BE"/>
    <w:rsid w:val="00E70F23"/>
    <w:rsid w:val="00E7168E"/>
    <w:rsid w:val="00E71704"/>
    <w:rsid w:val="00E72007"/>
    <w:rsid w:val="00E72B2E"/>
    <w:rsid w:val="00E73722"/>
    <w:rsid w:val="00E740EA"/>
    <w:rsid w:val="00E74E56"/>
    <w:rsid w:val="00E755DC"/>
    <w:rsid w:val="00E758B9"/>
    <w:rsid w:val="00E75931"/>
    <w:rsid w:val="00E808D9"/>
    <w:rsid w:val="00E80B88"/>
    <w:rsid w:val="00E81465"/>
    <w:rsid w:val="00E8254F"/>
    <w:rsid w:val="00E82A00"/>
    <w:rsid w:val="00E83904"/>
    <w:rsid w:val="00E83B42"/>
    <w:rsid w:val="00E84024"/>
    <w:rsid w:val="00E8495E"/>
    <w:rsid w:val="00E84B24"/>
    <w:rsid w:val="00E84EBB"/>
    <w:rsid w:val="00E852F7"/>
    <w:rsid w:val="00E8642D"/>
    <w:rsid w:val="00E872C1"/>
    <w:rsid w:val="00E87BD5"/>
    <w:rsid w:val="00E87F00"/>
    <w:rsid w:val="00E90926"/>
    <w:rsid w:val="00E917C8"/>
    <w:rsid w:val="00E92EDB"/>
    <w:rsid w:val="00E93681"/>
    <w:rsid w:val="00E93848"/>
    <w:rsid w:val="00E93DBA"/>
    <w:rsid w:val="00E95318"/>
    <w:rsid w:val="00E9579B"/>
    <w:rsid w:val="00E96195"/>
    <w:rsid w:val="00E96C2D"/>
    <w:rsid w:val="00E97093"/>
    <w:rsid w:val="00EA03A0"/>
    <w:rsid w:val="00EA0604"/>
    <w:rsid w:val="00EA1631"/>
    <w:rsid w:val="00EA4DB7"/>
    <w:rsid w:val="00EA5A7B"/>
    <w:rsid w:val="00EA61D4"/>
    <w:rsid w:val="00EA7BFD"/>
    <w:rsid w:val="00EB0D91"/>
    <w:rsid w:val="00EB1ABE"/>
    <w:rsid w:val="00EB28B3"/>
    <w:rsid w:val="00EB2A8A"/>
    <w:rsid w:val="00EB3332"/>
    <w:rsid w:val="00EB337C"/>
    <w:rsid w:val="00EB3902"/>
    <w:rsid w:val="00EB3D2C"/>
    <w:rsid w:val="00EB422F"/>
    <w:rsid w:val="00EB4333"/>
    <w:rsid w:val="00EB4AD3"/>
    <w:rsid w:val="00EB4EC0"/>
    <w:rsid w:val="00EB5DBC"/>
    <w:rsid w:val="00EB5DEE"/>
    <w:rsid w:val="00EB74BB"/>
    <w:rsid w:val="00EC13F7"/>
    <w:rsid w:val="00EC2174"/>
    <w:rsid w:val="00EC2B4F"/>
    <w:rsid w:val="00EC3284"/>
    <w:rsid w:val="00EC39CC"/>
    <w:rsid w:val="00EC3F83"/>
    <w:rsid w:val="00EC4161"/>
    <w:rsid w:val="00EC4902"/>
    <w:rsid w:val="00EC5309"/>
    <w:rsid w:val="00EC5513"/>
    <w:rsid w:val="00EC5AB5"/>
    <w:rsid w:val="00EC5E38"/>
    <w:rsid w:val="00EC6C3E"/>
    <w:rsid w:val="00EC75B2"/>
    <w:rsid w:val="00EC7880"/>
    <w:rsid w:val="00ED06D6"/>
    <w:rsid w:val="00ED0BBC"/>
    <w:rsid w:val="00ED162A"/>
    <w:rsid w:val="00ED1872"/>
    <w:rsid w:val="00ED1C0E"/>
    <w:rsid w:val="00ED270C"/>
    <w:rsid w:val="00ED37B1"/>
    <w:rsid w:val="00ED3AE2"/>
    <w:rsid w:val="00ED3F90"/>
    <w:rsid w:val="00ED4ECB"/>
    <w:rsid w:val="00ED52B3"/>
    <w:rsid w:val="00ED6575"/>
    <w:rsid w:val="00ED7082"/>
    <w:rsid w:val="00ED72D5"/>
    <w:rsid w:val="00ED7A8E"/>
    <w:rsid w:val="00EE025D"/>
    <w:rsid w:val="00EE0F28"/>
    <w:rsid w:val="00EE1042"/>
    <w:rsid w:val="00EE13D3"/>
    <w:rsid w:val="00EE1730"/>
    <w:rsid w:val="00EE1D2A"/>
    <w:rsid w:val="00EE2069"/>
    <w:rsid w:val="00EE282D"/>
    <w:rsid w:val="00EE31B4"/>
    <w:rsid w:val="00EE3A68"/>
    <w:rsid w:val="00EE3C39"/>
    <w:rsid w:val="00EE412D"/>
    <w:rsid w:val="00EE5168"/>
    <w:rsid w:val="00EE733F"/>
    <w:rsid w:val="00EE7BD2"/>
    <w:rsid w:val="00EF0214"/>
    <w:rsid w:val="00EF03F1"/>
    <w:rsid w:val="00EF338D"/>
    <w:rsid w:val="00EF3754"/>
    <w:rsid w:val="00EF3BD0"/>
    <w:rsid w:val="00EF4453"/>
    <w:rsid w:val="00EF5B26"/>
    <w:rsid w:val="00EF5BB6"/>
    <w:rsid w:val="00EF6065"/>
    <w:rsid w:val="00EF6E1C"/>
    <w:rsid w:val="00F002CB"/>
    <w:rsid w:val="00F01AC0"/>
    <w:rsid w:val="00F02058"/>
    <w:rsid w:val="00F02F92"/>
    <w:rsid w:val="00F03765"/>
    <w:rsid w:val="00F0393C"/>
    <w:rsid w:val="00F03C7D"/>
    <w:rsid w:val="00F05E2B"/>
    <w:rsid w:val="00F102A0"/>
    <w:rsid w:val="00F10814"/>
    <w:rsid w:val="00F10C1F"/>
    <w:rsid w:val="00F116C3"/>
    <w:rsid w:val="00F126CF"/>
    <w:rsid w:val="00F13C0C"/>
    <w:rsid w:val="00F14272"/>
    <w:rsid w:val="00F14EC2"/>
    <w:rsid w:val="00F14F03"/>
    <w:rsid w:val="00F15A79"/>
    <w:rsid w:val="00F167FB"/>
    <w:rsid w:val="00F1687A"/>
    <w:rsid w:val="00F2180E"/>
    <w:rsid w:val="00F220F5"/>
    <w:rsid w:val="00F22B66"/>
    <w:rsid w:val="00F22C66"/>
    <w:rsid w:val="00F23AFF"/>
    <w:rsid w:val="00F23C31"/>
    <w:rsid w:val="00F23CD0"/>
    <w:rsid w:val="00F241DA"/>
    <w:rsid w:val="00F245A8"/>
    <w:rsid w:val="00F24E19"/>
    <w:rsid w:val="00F251AE"/>
    <w:rsid w:val="00F2547C"/>
    <w:rsid w:val="00F2632F"/>
    <w:rsid w:val="00F26CE5"/>
    <w:rsid w:val="00F27388"/>
    <w:rsid w:val="00F27CC3"/>
    <w:rsid w:val="00F302A6"/>
    <w:rsid w:val="00F303D6"/>
    <w:rsid w:val="00F3172B"/>
    <w:rsid w:val="00F31D25"/>
    <w:rsid w:val="00F3305E"/>
    <w:rsid w:val="00F3373E"/>
    <w:rsid w:val="00F34BE3"/>
    <w:rsid w:val="00F34C9B"/>
    <w:rsid w:val="00F34FD6"/>
    <w:rsid w:val="00F361C7"/>
    <w:rsid w:val="00F36C7A"/>
    <w:rsid w:val="00F37D5E"/>
    <w:rsid w:val="00F40DB4"/>
    <w:rsid w:val="00F41CE7"/>
    <w:rsid w:val="00F41F2A"/>
    <w:rsid w:val="00F420E6"/>
    <w:rsid w:val="00F422AB"/>
    <w:rsid w:val="00F42974"/>
    <w:rsid w:val="00F42D9D"/>
    <w:rsid w:val="00F44FDE"/>
    <w:rsid w:val="00F45588"/>
    <w:rsid w:val="00F465FC"/>
    <w:rsid w:val="00F467FD"/>
    <w:rsid w:val="00F46FBB"/>
    <w:rsid w:val="00F4746C"/>
    <w:rsid w:val="00F476EE"/>
    <w:rsid w:val="00F50E66"/>
    <w:rsid w:val="00F512AB"/>
    <w:rsid w:val="00F51520"/>
    <w:rsid w:val="00F52A28"/>
    <w:rsid w:val="00F535E1"/>
    <w:rsid w:val="00F53967"/>
    <w:rsid w:val="00F53B8C"/>
    <w:rsid w:val="00F57085"/>
    <w:rsid w:val="00F60388"/>
    <w:rsid w:val="00F60C53"/>
    <w:rsid w:val="00F60E23"/>
    <w:rsid w:val="00F616A9"/>
    <w:rsid w:val="00F6241C"/>
    <w:rsid w:val="00F625F8"/>
    <w:rsid w:val="00F627DA"/>
    <w:rsid w:val="00F62A94"/>
    <w:rsid w:val="00F65282"/>
    <w:rsid w:val="00F65888"/>
    <w:rsid w:val="00F66277"/>
    <w:rsid w:val="00F719E9"/>
    <w:rsid w:val="00F71D13"/>
    <w:rsid w:val="00F72D10"/>
    <w:rsid w:val="00F7317D"/>
    <w:rsid w:val="00F7338B"/>
    <w:rsid w:val="00F733DE"/>
    <w:rsid w:val="00F73466"/>
    <w:rsid w:val="00F74637"/>
    <w:rsid w:val="00F749D1"/>
    <w:rsid w:val="00F75A2E"/>
    <w:rsid w:val="00F77D5E"/>
    <w:rsid w:val="00F80A67"/>
    <w:rsid w:val="00F837D6"/>
    <w:rsid w:val="00F848C5"/>
    <w:rsid w:val="00F84C6A"/>
    <w:rsid w:val="00F86353"/>
    <w:rsid w:val="00F87EF0"/>
    <w:rsid w:val="00F90E00"/>
    <w:rsid w:val="00F91240"/>
    <w:rsid w:val="00F918B5"/>
    <w:rsid w:val="00F91928"/>
    <w:rsid w:val="00F91DC3"/>
    <w:rsid w:val="00F92C0D"/>
    <w:rsid w:val="00F9439E"/>
    <w:rsid w:val="00F94878"/>
    <w:rsid w:val="00F96057"/>
    <w:rsid w:val="00F965E0"/>
    <w:rsid w:val="00F96B6D"/>
    <w:rsid w:val="00F96D49"/>
    <w:rsid w:val="00FA07DF"/>
    <w:rsid w:val="00FA0918"/>
    <w:rsid w:val="00FA0DE7"/>
    <w:rsid w:val="00FA2BD0"/>
    <w:rsid w:val="00FA3FD0"/>
    <w:rsid w:val="00FA4D62"/>
    <w:rsid w:val="00FA7196"/>
    <w:rsid w:val="00FA7D05"/>
    <w:rsid w:val="00FB0E39"/>
    <w:rsid w:val="00FB1665"/>
    <w:rsid w:val="00FB18AE"/>
    <w:rsid w:val="00FB2005"/>
    <w:rsid w:val="00FB214E"/>
    <w:rsid w:val="00FB2C23"/>
    <w:rsid w:val="00FB3FB0"/>
    <w:rsid w:val="00FB4445"/>
    <w:rsid w:val="00FB44EC"/>
    <w:rsid w:val="00FB4AD8"/>
    <w:rsid w:val="00FB4D94"/>
    <w:rsid w:val="00FB50CC"/>
    <w:rsid w:val="00FB5783"/>
    <w:rsid w:val="00FB62A1"/>
    <w:rsid w:val="00FB7474"/>
    <w:rsid w:val="00FB778B"/>
    <w:rsid w:val="00FB7B62"/>
    <w:rsid w:val="00FC121C"/>
    <w:rsid w:val="00FC183E"/>
    <w:rsid w:val="00FC28E1"/>
    <w:rsid w:val="00FC29F9"/>
    <w:rsid w:val="00FC4E6C"/>
    <w:rsid w:val="00FC5135"/>
    <w:rsid w:val="00FC54DA"/>
    <w:rsid w:val="00FC5779"/>
    <w:rsid w:val="00FC6555"/>
    <w:rsid w:val="00FD0073"/>
    <w:rsid w:val="00FD00C9"/>
    <w:rsid w:val="00FD0AD2"/>
    <w:rsid w:val="00FD0CC7"/>
    <w:rsid w:val="00FD11A1"/>
    <w:rsid w:val="00FD18FB"/>
    <w:rsid w:val="00FD2898"/>
    <w:rsid w:val="00FD2EC7"/>
    <w:rsid w:val="00FD4AF5"/>
    <w:rsid w:val="00FD4B15"/>
    <w:rsid w:val="00FD5201"/>
    <w:rsid w:val="00FD5800"/>
    <w:rsid w:val="00FD5AAF"/>
    <w:rsid w:val="00FD5E22"/>
    <w:rsid w:val="00FD689B"/>
    <w:rsid w:val="00FD742B"/>
    <w:rsid w:val="00FD7C6E"/>
    <w:rsid w:val="00FE06F2"/>
    <w:rsid w:val="00FE15D0"/>
    <w:rsid w:val="00FE5520"/>
    <w:rsid w:val="00FE6D31"/>
    <w:rsid w:val="00FF110F"/>
    <w:rsid w:val="00FF287C"/>
    <w:rsid w:val="00FF625A"/>
    <w:rsid w:val="00FF62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E0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qFormat="1"/>
    <w:lsdException w:name="footer" w:uiPriority="0" w:qFormat="1"/>
    <w:lsdException w:name="caption" w:uiPriority="35" w:qFormat="1"/>
    <w:lsdException w:name="footnote reference" w:uiPriority="0"/>
    <w:lsdException w:name="page number" w:uiPriority="0"/>
    <w:lsdException w:name="toa heading"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5FB"/>
    <w:pPr>
      <w:spacing w:after="100" w:line="400" w:lineRule="exact"/>
      <w:jc w:val="both"/>
    </w:pPr>
    <w:rPr>
      <w:rFonts w:ascii="Century Schoolbook" w:hAnsi="Century Schoolbook"/>
      <w:sz w:val="27"/>
    </w:rPr>
  </w:style>
  <w:style w:type="paragraph" w:styleId="Heading1">
    <w:name w:val="heading 1"/>
    <w:basedOn w:val="Normal"/>
    <w:next w:val="Normal"/>
    <w:qFormat/>
    <w:rsid w:val="003075FB"/>
    <w:pPr>
      <w:keepNext/>
      <w:spacing w:before="140" w:line="240" w:lineRule="atLeast"/>
      <w:jc w:val="center"/>
      <w:outlineLvl w:val="0"/>
    </w:pPr>
    <w:rPr>
      <w:b/>
      <w:smallCaps/>
    </w:rPr>
  </w:style>
  <w:style w:type="paragraph" w:styleId="Heading2">
    <w:name w:val="heading 2"/>
    <w:basedOn w:val="Normal"/>
    <w:next w:val="Normal"/>
    <w:qFormat/>
    <w:rsid w:val="003075FB"/>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3075FB"/>
    <w:pPr>
      <w:keepNext/>
      <w:tabs>
        <w:tab w:val="left" w:pos="1584"/>
      </w:tabs>
      <w:spacing w:before="140" w:line="240" w:lineRule="atLeast"/>
      <w:ind w:left="1584" w:hanging="432"/>
      <w:jc w:val="left"/>
      <w:outlineLvl w:val="2"/>
    </w:pPr>
    <w:rPr>
      <w:i/>
    </w:rPr>
  </w:style>
  <w:style w:type="paragraph" w:styleId="Heading4">
    <w:name w:val="heading 4"/>
    <w:basedOn w:val="Normal"/>
    <w:rsid w:val="003075FB"/>
    <w:pPr>
      <w:keepNext/>
      <w:tabs>
        <w:tab w:val="left" w:pos="2016"/>
      </w:tabs>
      <w:spacing w:before="140" w:line="240" w:lineRule="atLeast"/>
      <w:ind w:left="2016" w:hanging="432"/>
      <w:jc w:val="left"/>
      <w:outlineLvl w:val="3"/>
    </w:pPr>
    <w:rPr>
      <w:i/>
    </w:rPr>
  </w:style>
  <w:style w:type="paragraph" w:styleId="Heading5">
    <w:name w:val="heading 5"/>
    <w:basedOn w:val="Normal"/>
    <w:rsid w:val="003075FB"/>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3075FB"/>
    <w:pPr>
      <w:ind w:left="720"/>
    </w:pPr>
  </w:style>
  <w:style w:type="paragraph" w:styleId="Footer">
    <w:name w:val="footer"/>
    <w:basedOn w:val="Normal"/>
    <w:qFormat/>
    <w:rsid w:val="003075FB"/>
    <w:pPr>
      <w:tabs>
        <w:tab w:val="center" w:pos="3960"/>
        <w:tab w:val="right" w:pos="10080"/>
      </w:tabs>
      <w:spacing w:after="0" w:line="240" w:lineRule="auto"/>
      <w:jc w:val="center"/>
    </w:pPr>
    <w:rPr>
      <w:sz w:val="22"/>
    </w:rPr>
  </w:style>
  <w:style w:type="paragraph" w:styleId="Header">
    <w:name w:val="header"/>
    <w:basedOn w:val="Normal"/>
    <w:qFormat/>
    <w:rsid w:val="003075FB"/>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3075FB"/>
    <w:rPr>
      <w:rFonts w:ascii="Century Schoolbook" w:hAnsi="Century Schoolbook"/>
      <w:b/>
      <w:i w:val="0"/>
      <w:position w:val="4"/>
      <w:sz w:val="27"/>
      <w:vertAlign w:val="superscript"/>
    </w:rPr>
  </w:style>
  <w:style w:type="paragraph" w:styleId="FootnoteText">
    <w:name w:val="footnote text"/>
    <w:basedOn w:val="Normal"/>
    <w:link w:val="FootnoteTextChar"/>
    <w:rsid w:val="003075FB"/>
    <w:pPr>
      <w:spacing w:line="300" w:lineRule="exact"/>
    </w:pPr>
  </w:style>
  <w:style w:type="paragraph" w:customStyle="1" w:styleId="Title1">
    <w:name w:val="Title1"/>
    <w:basedOn w:val="Normal"/>
    <w:rsid w:val="003075FB"/>
    <w:pPr>
      <w:tabs>
        <w:tab w:val="left" w:pos="5760"/>
        <w:tab w:val="left" w:pos="6480"/>
      </w:tabs>
      <w:spacing w:line="240" w:lineRule="atLeast"/>
    </w:pPr>
  </w:style>
  <w:style w:type="paragraph" w:customStyle="1" w:styleId="Recommend">
    <w:name w:val="Recommend"/>
    <w:basedOn w:val="Normal"/>
    <w:rsid w:val="003075FB"/>
  </w:style>
  <w:style w:type="paragraph" w:customStyle="1" w:styleId="Summary">
    <w:name w:val="Summary"/>
    <w:basedOn w:val="Normal"/>
    <w:rsid w:val="003075FB"/>
    <w:pPr>
      <w:ind w:left="2160" w:hanging="2160"/>
    </w:pPr>
  </w:style>
  <w:style w:type="paragraph" w:customStyle="1" w:styleId="Text">
    <w:name w:val="Text"/>
    <w:basedOn w:val="Normal"/>
    <w:rsid w:val="003075FB"/>
    <w:pPr>
      <w:tabs>
        <w:tab w:val="left" w:pos="720"/>
        <w:tab w:val="left" w:pos="1440"/>
        <w:tab w:val="left" w:pos="2160"/>
        <w:tab w:val="center" w:pos="4320"/>
      </w:tabs>
      <w:spacing w:line="480" w:lineRule="atLeast"/>
      <w:ind w:firstLine="540"/>
    </w:pPr>
  </w:style>
  <w:style w:type="paragraph" w:styleId="Date">
    <w:name w:val="Date"/>
    <w:basedOn w:val="Normal"/>
    <w:semiHidden/>
    <w:rsid w:val="003075FB"/>
    <w:pPr>
      <w:jc w:val="right"/>
    </w:pPr>
  </w:style>
  <w:style w:type="character" w:styleId="PageNumber">
    <w:name w:val="page number"/>
    <w:basedOn w:val="DefaultParagraphFont"/>
    <w:semiHidden/>
    <w:rsid w:val="003075FB"/>
  </w:style>
  <w:style w:type="paragraph" w:customStyle="1" w:styleId="subject">
    <w:name w:val="subject"/>
    <w:basedOn w:val="Normal"/>
    <w:rsid w:val="003075FB"/>
    <w:pPr>
      <w:tabs>
        <w:tab w:val="left" w:pos="1008"/>
      </w:tabs>
      <w:ind w:left="990" w:hanging="990"/>
    </w:pPr>
    <w:rPr>
      <w:b/>
    </w:rPr>
  </w:style>
  <w:style w:type="paragraph" w:customStyle="1" w:styleId="Titles">
    <w:name w:val="Titles"/>
    <w:basedOn w:val="Normal"/>
    <w:rsid w:val="003075FB"/>
    <w:pPr>
      <w:tabs>
        <w:tab w:val="left" w:pos="2160"/>
      </w:tabs>
      <w:ind w:left="2160" w:hanging="2160"/>
    </w:pPr>
    <w:rPr>
      <w:b/>
    </w:rPr>
  </w:style>
  <w:style w:type="paragraph" w:styleId="TOAHeading">
    <w:name w:val="toa heading"/>
    <w:basedOn w:val="Normal"/>
    <w:next w:val="Normal"/>
    <w:semiHidden/>
    <w:rsid w:val="003075FB"/>
    <w:pPr>
      <w:spacing w:before="120"/>
    </w:pPr>
    <w:rPr>
      <w:b/>
    </w:rPr>
  </w:style>
  <w:style w:type="paragraph" w:styleId="TOC1">
    <w:name w:val="toc 1"/>
    <w:basedOn w:val="Normal"/>
    <w:next w:val="Normal"/>
    <w:autoRedefine/>
    <w:semiHidden/>
    <w:rsid w:val="003075FB"/>
  </w:style>
  <w:style w:type="paragraph" w:styleId="TOC2">
    <w:name w:val="toc 2"/>
    <w:basedOn w:val="Normal"/>
    <w:next w:val="Normal"/>
    <w:autoRedefine/>
    <w:semiHidden/>
    <w:rsid w:val="003075FB"/>
    <w:pPr>
      <w:ind w:left="259"/>
    </w:pPr>
  </w:style>
  <w:style w:type="paragraph" w:styleId="TOC3">
    <w:name w:val="toc 3"/>
    <w:basedOn w:val="Normal"/>
    <w:next w:val="Normal"/>
    <w:autoRedefine/>
    <w:semiHidden/>
    <w:rsid w:val="003075FB"/>
    <w:pPr>
      <w:ind w:left="520"/>
    </w:pPr>
  </w:style>
  <w:style w:type="paragraph" w:styleId="TOC4">
    <w:name w:val="toc 4"/>
    <w:basedOn w:val="Normal"/>
    <w:next w:val="Normal"/>
    <w:autoRedefine/>
    <w:semiHidden/>
    <w:rsid w:val="003075FB"/>
    <w:pPr>
      <w:ind w:left="780"/>
    </w:pPr>
  </w:style>
  <w:style w:type="paragraph" w:styleId="TOC5">
    <w:name w:val="toc 5"/>
    <w:basedOn w:val="Normal"/>
    <w:next w:val="Normal"/>
    <w:autoRedefine/>
    <w:semiHidden/>
    <w:rsid w:val="003075FB"/>
    <w:pPr>
      <w:ind w:left="1040"/>
    </w:pPr>
  </w:style>
  <w:style w:type="paragraph" w:styleId="TOC6">
    <w:name w:val="toc 6"/>
    <w:basedOn w:val="Normal"/>
    <w:next w:val="Normal"/>
    <w:autoRedefine/>
    <w:semiHidden/>
    <w:rsid w:val="003075FB"/>
    <w:pPr>
      <w:ind w:left="1300"/>
    </w:pPr>
  </w:style>
  <w:style w:type="paragraph" w:styleId="TOC7">
    <w:name w:val="toc 7"/>
    <w:basedOn w:val="Normal"/>
    <w:next w:val="Normal"/>
    <w:autoRedefine/>
    <w:semiHidden/>
    <w:rsid w:val="003075FB"/>
    <w:pPr>
      <w:ind w:left="1560"/>
    </w:pPr>
  </w:style>
  <w:style w:type="paragraph" w:styleId="TOC8">
    <w:name w:val="toc 8"/>
    <w:basedOn w:val="Normal"/>
    <w:next w:val="Normal"/>
    <w:autoRedefine/>
    <w:semiHidden/>
    <w:rsid w:val="003075FB"/>
    <w:pPr>
      <w:ind w:left="1820"/>
    </w:pPr>
  </w:style>
  <w:style w:type="paragraph" w:styleId="TOC9">
    <w:name w:val="toc 9"/>
    <w:basedOn w:val="Normal"/>
    <w:next w:val="Normal"/>
    <w:autoRedefine/>
    <w:semiHidden/>
    <w:rsid w:val="003075FB"/>
    <w:pPr>
      <w:ind w:left="2080"/>
    </w:pPr>
  </w:style>
  <w:style w:type="paragraph" w:customStyle="1" w:styleId="Contents">
    <w:name w:val="Contents"/>
    <w:basedOn w:val="Normal"/>
    <w:rsid w:val="003075FB"/>
    <w:pPr>
      <w:jc w:val="center"/>
    </w:pPr>
    <w:rPr>
      <w:b/>
      <w:spacing w:val="100"/>
    </w:rPr>
  </w:style>
  <w:style w:type="paragraph" w:styleId="ListParagraph">
    <w:name w:val="List Paragraph"/>
    <w:basedOn w:val="Normal"/>
    <w:uiPriority w:val="34"/>
    <w:rsid w:val="004A7E39"/>
    <w:pPr>
      <w:ind w:left="720"/>
      <w:contextualSpacing/>
    </w:pPr>
    <w:rPr>
      <w:rFonts w:asciiTheme="minorHAnsi" w:eastAsiaTheme="minorHAnsi" w:hAnsiTheme="minorHAnsi"/>
      <w:szCs w:val="24"/>
    </w:rPr>
  </w:style>
  <w:style w:type="character" w:customStyle="1" w:styleId="FootnoteTextChar">
    <w:name w:val="Footnote Text Char"/>
    <w:basedOn w:val="DefaultParagraphFont"/>
    <w:link w:val="FootnoteText"/>
    <w:rsid w:val="004A7E39"/>
    <w:rPr>
      <w:rFonts w:ascii="Century Schoolbook" w:hAnsi="Century Schoolbook"/>
      <w:sz w:val="27"/>
    </w:rPr>
  </w:style>
  <w:style w:type="character" w:styleId="CommentReference">
    <w:name w:val="annotation reference"/>
    <w:basedOn w:val="DefaultParagraphFont"/>
    <w:uiPriority w:val="99"/>
    <w:semiHidden/>
    <w:unhideWhenUsed/>
    <w:rsid w:val="004A7E39"/>
    <w:rPr>
      <w:sz w:val="16"/>
      <w:szCs w:val="16"/>
    </w:rPr>
  </w:style>
  <w:style w:type="paragraph" w:styleId="CommentText">
    <w:name w:val="annotation text"/>
    <w:basedOn w:val="Normal"/>
    <w:link w:val="CommentTextChar"/>
    <w:uiPriority w:val="99"/>
    <w:unhideWhenUsed/>
    <w:rsid w:val="004A7E39"/>
    <w:rPr>
      <w:sz w:val="20"/>
    </w:rPr>
  </w:style>
  <w:style w:type="character" w:customStyle="1" w:styleId="CommentTextChar">
    <w:name w:val="Comment Text Char"/>
    <w:basedOn w:val="DefaultParagraphFont"/>
    <w:link w:val="CommentText"/>
    <w:uiPriority w:val="99"/>
    <w:rsid w:val="004A7E39"/>
  </w:style>
  <w:style w:type="paragraph" w:styleId="CommentSubject">
    <w:name w:val="annotation subject"/>
    <w:basedOn w:val="CommentText"/>
    <w:next w:val="CommentText"/>
    <w:link w:val="CommentSubjectChar"/>
    <w:uiPriority w:val="99"/>
    <w:semiHidden/>
    <w:unhideWhenUsed/>
    <w:rsid w:val="004A7E39"/>
    <w:rPr>
      <w:b/>
      <w:bCs/>
    </w:rPr>
  </w:style>
  <w:style w:type="character" w:customStyle="1" w:styleId="CommentSubjectChar">
    <w:name w:val="Comment Subject Char"/>
    <w:basedOn w:val="CommentTextChar"/>
    <w:link w:val="CommentSubject"/>
    <w:uiPriority w:val="99"/>
    <w:semiHidden/>
    <w:rsid w:val="004A7E39"/>
    <w:rPr>
      <w:b/>
      <w:bCs/>
    </w:rPr>
  </w:style>
  <w:style w:type="paragraph" w:styleId="Revision">
    <w:name w:val="Revision"/>
    <w:hidden/>
    <w:uiPriority w:val="99"/>
    <w:semiHidden/>
    <w:rsid w:val="004A7E39"/>
    <w:rPr>
      <w:sz w:val="26"/>
    </w:rPr>
  </w:style>
  <w:style w:type="paragraph" w:styleId="BalloonText">
    <w:name w:val="Balloon Text"/>
    <w:basedOn w:val="Normal"/>
    <w:link w:val="BalloonTextChar"/>
    <w:uiPriority w:val="99"/>
    <w:semiHidden/>
    <w:unhideWhenUsed/>
    <w:rsid w:val="004A7E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E39"/>
    <w:rPr>
      <w:rFonts w:ascii="Segoe UI" w:hAnsi="Segoe UI" w:cs="Segoe UI"/>
      <w:sz w:val="18"/>
      <w:szCs w:val="18"/>
    </w:rPr>
  </w:style>
  <w:style w:type="character" w:customStyle="1" w:styleId="ssit">
    <w:name w:val="ss_it"/>
    <w:basedOn w:val="DefaultParagraphFont"/>
    <w:rsid w:val="003F70D8"/>
  </w:style>
  <w:style w:type="paragraph" w:styleId="NormalWeb">
    <w:name w:val="Normal (Web)"/>
    <w:basedOn w:val="Normal"/>
    <w:uiPriority w:val="99"/>
    <w:semiHidden/>
    <w:unhideWhenUsed/>
    <w:rsid w:val="008F1AAA"/>
    <w:pPr>
      <w:spacing w:before="100" w:beforeAutospacing="1" w:afterAutospacing="1"/>
    </w:pPr>
    <w:rPr>
      <w:sz w:val="24"/>
      <w:szCs w:val="24"/>
    </w:rPr>
  </w:style>
  <w:style w:type="character" w:customStyle="1" w:styleId="ssib">
    <w:name w:val="ss_ib"/>
    <w:basedOn w:val="DefaultParagraphFont"/>
    <w:rsid w:val="008F1AAA"/>
  </w:style>
  <w:style w:type="character" w:styleId="Hyperlink">
    <w:name w:val="Hyperlink"/>
    <w:basedOn w:val="DefaultParagraphFont"/>
    <w:uiPriority w:val="99"/>
    <w:semiHidden/>
    <w:unhideWhenUsed/>
    <w:rsid w:val="008F1AAA"/>
    <w:rPr>
      <w:color w:val="0000FF"/>
      <w:u w:val="single"/>
    </w:rPr>
  </w:style>
  <w:style w:type="character" w:customStyle="1" w:styleId="sssh">
    <w:name w:val="ss_sh"/>
    <w:basedOn w:val="DefaultParagraphFont"/>
    <w:rsid w:val="005D19A7"/>
  </w:style>
  <w:style w:type="character" w:customStyle="1" w:styleId="ssrfcpassagedeactivated">
    <w:name w:val="ss_rfcpassage_deactivated"/>
    <w:basedOn w:val="DefaultParagraphFont"/>
    <w:rsid w:val="003037AD"/>
  </w:style>
  <w:style w:type="character" w:styleId="Emphasis">
    <w:name w:val="Emphasis"/>
    <w:basedOn w:val="DefaultParagraphFont"/>
    <w:uiPriority w:val="20"/>
    <w:qFormat/>
    <w:rsid w:val="00850CD1"/>
    <w:rPr>
      <w:i/>
    </w:rPr>
  </w:style>
  <w:style w:type="character" w:customStyle="1" w:styleId="cohl">
    <w:name w:val="co_hl"/>
    <w:basedOn w:val="DefaultParagraphFont"/>
    <w:rsid w:val="00117331"/>
  </w:style>
  <w:style w:type="paragraph" w:styleId="EndnoteText">
    <w:name w:val="endnote text"/>
    <w:basedOn w:val="Normal"/>
    <w:link w:val="EndnoteTextChar"/>
    <w:uiPriority w:val="99"/>
    <w:semiHidden/>
    <w:unhideWhenUsed/>
    <w:rsid w:val="00DF02F9"/>
    <w:rPr>
      <w:sz w:val="20"/>
    </w:rPr>
  </w:style>
  <w:style w:type="character" w:customStyle="1" w:styleId="EndnoteTextChar">
    <w:name w:val="Endnote Text Char"/>
    <w:basedOn w:val="DefaultParagraphFont"/>
    <w:link w:val="EndnoteText"/>
    <w:uiPriority w:val="99"/>
    <w:semiHidden/>
    <w:rsid w:val="00DF02F9"/>
  </w:style>
  <w:style w:type="character" w:styleId="EndnoteReference">
    <w:name w:val="endnote reference"/>
    <w:basedOn w:val="DefaultParagraphFont"/>
    <w:uiPriority w:val="99"/>
    <w:semiHidden/>
    <w:unhideWhenUsed/>
    <w:rsid w:val="00DF02F9"/>
    <w:rPr>
      <w:vertAlign w:val="superscript"/>
    </w:rPr>
  </w:style>
  <w:style w:type="paragraph" w:customStyle="1" w:styleId="PRComments">
    <w:name w:val="PR Comments"/>
    <w:basedOn w:val="Normal"/>
    <w:rsid w:val="005B184D"/>
    <w:pPr>
      <w:spacing w:line="360" w:lineRule="atLeast"/>
      <w:ind w:right="-360"/>
    </w:pPr>
  </w:style>
  <w:style w:type="paragraph" w:styleId="BodyText">
    <w:name w:val="Body Text"/>
    <w:basedOn w:val="Normal"/>
    <w:link w:val="BodyTextChar"/>
    <w:qFormat/>
    <w:rsid w:val="003075FB"/>
  </w:style>
  <w:style w:type="character" w:customStyle="1" w:styleId="BodyTextChar">
    <w:name w:val="Body Text Char"/>
    <w:basedOn w:val="DefaultParagraphFont"/>
    <w:link w:val="BodyText"/>
    <w:rsid w:val="003075FB"/>
    <w:rPr>
      <w:rFonts w:ascii="Century Schoolbook" w:hAnsi="Century Schoolbook"/>
      <w:sz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qFormat="1"/>
    <w:lsdException w:name="footer" w:uiPriority="0" w:qFormat="1"/>
    <w:lsdException w:name="caption" w:uiPriority="35" w:qFormat="1"/>
    <w:lsdException w:name="footnote reference" w:uiPriority="0"/>
    <w:lsdException w:name="page number" w:uiPriority="0"/>
    <w:lsdException w:name="toa heading"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5FB"/>
    <w:pPr>
      <w:spacing w:after="100" w:line="400" w:lineRule="exact"/>
      <w:jc w:val="both"/>
    </w:pPr>
    <w:rPr>
      <w:rFonts w:ascii="Century Schoolbook" w:hAnsi="Century Schoolbook"/>
      <w:sz w:val="27"/>
    </w:rPr>
  </w:style>
  <w:style w:type="paragraph" w:styleId="Heading1">
    <w:name w:val="heading 1"/>
    <w:basedOn w:val="Normal"/>
    <w:next w:val="Normal"/>
    <w:qFormat/>
    <w:rsid w:val="003075FB"/>
    <w:pPr>
      <w:keepNext/>
      <w:spacing w:before="140" w:line="240" w:lineRule="atLeast"/>
      <w:jc w:val="center"/>
      <w:outlineLvl w:val="0"/>
    </w:pPr>
    <w:rPr>
      <w:b/>
      <w:smallCaps/>
    </w:rPr>
  </w:style>
  <w:style w:type="paragraph" w:styleId="Heading2">
    <w:name w:val="heading 2"/>
    <w:basedOn w:val="Normal"/>
    <w:next w:val="Normal"/>
    <w:qFormat/>
    <w:rsid w:val="003075FB"/>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3075FB"/>
    <w:pPr>
      <w:keepNext/>
      <w:tabs>
        <w:tab w:val="left" w:pos="1584"/>
      </w:tabs>
      <w:spacing w:before="140" w:line="240" w:lineRule="atLeast"/>
      <w:ind w:left="1584" w:hanging="432"/>
      <w:jc w:val="left"/>
      <w:outlineLvl w:val="2"/>
    </w:pPr>
    <w:rPr>
      <w:i/>
    </w:rPr>
  </w:style>
  <w:style w:type="paragraph" w:styleId="Heading4">
    <w:name w:val="heading 4"/>
    <w:basedOn w:val="Normal"/>
    <w:rsid w:val="003075FB"/>
    <w:pPr>
      <w:keepNext/>
      <w:tabs>
        <w:tab w:val="left" w:pos="2016"/>
      </w:tabs>
      <w:spacing w:before="140" w:line="240" w:lineRule="atLeast"/>
      <w:ind w:left="2016" w:hanging="432"/>
      <w:jc w:val="left"/>
      <w:outlineLvl w:val="3"/>
    </w:pPr>
    <w:rPr>
      <w:i/>
    </w:rPr>
  </w:style>
  <w:style w:type="paragraph" w:styleId="Heading5">
    <w:name w:val="heading 5"/>
    <w:basedOn w:val="Normal"/>
    <w:rsid w:val="003075FB"/>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3075FB"/>
    <w:pPr>
      <w:ind w:left="720"/>
    </w:pPr>
  </w:style>
  <w:style w:type="paragraph" w:styleId="Footer">
    <w:name w:val="footer"/>
    <w:basedOn w:val="Normal"/>
    <w:qFormat/>
    <w:rsid w:val="003075FB"/>
    <w:pPr>
      <w:tabs>
        <w:tab w:val="center" w:pos="3960"/>
        <w:tab w:val="right" w:pos="10080"/>
      </w:tabs>
      <w:spacing w:after="0" w:line="240" w:lineRule="auto"/>
      <w:jc w:val="center"/>
    </w:pPr>
    <w:rPr>
      <w:sz w:val="22"/>
    </w:rPr>
  </w:style>
  <w:style w:type="paragraph" w:styleId="Header">
    <w:name w:val="header"/>
    <w:basedOn w:val="Normal"/>
    <w:qFormat/>
    <w:rsid w:val="003075FB"/>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3075FB"/>
    <w:rPr>
      <w:rFonts w:ascii="Century Schoolbook" w:hAnsi="Century Schoolbook"/>
      <w:b/>
      <w:i w:val="0"/>
      <w:position w:val="4"/>
      <w:sz w:val="27"/>
      <w:vertAlign w:val="superscript"/>
    </w:rPr>
  </w:style>
  <w:style w:type="paragraph" w:styleId="FootnoteText">
    <w:name w:val="footnote text"/>
    <w:basedOn w:val="Normal"/>
    <w:link w:val="FootnoteTextChar"/>
    <w:rsid w:val="003075FB"/>
    <w:pPr>
      <w:spacing w:line="300" w:lineRule="exact"/>
    </w:pPr>
  </w:style>
  <w:style w:type="paragraph" w:customStyle="1" w:styleId="Title1">
    <w:name w:val="Title1"/>
    <w:basedOn w:val="Normal"/>
    <w:rsid w:val="003075FB"/>
    <w:pPr>
      <w:tabs>
        <w:tab w:val="left" w:pos="5760"/>
        <w:tab w:val="left" w:pos="6480"/>
      </w:tabs>
      <w:spacing w:line="240" w:lineRule="atLeast"/>
    </w:pPr>
  </w:style>
  <w:style w:type="paragraph" w:customStyle="1" w:styleId="Recommend">
    <w:name w:val="Recommend"/>
    <w:basedOn w:val="Normal"/>
    <w:rsid w:val="003075FB"/>
  </w:style>
  <w:style w:type="paragraph" w:customStyle="1" w:styleId="Summary">
    <w:name w:val="Summary"/>
    <w:basedOn w:val="Normal"/>
    <w:rsid w:val="003075FB"/>
    <w:pPr>
      <w:ind w:left="2160" w:hanging="2160"/>
    </w:pPr>
  </w:style>
  <w:style w:type="paragraph" w:customStyle="1" w:styleId="Text">
    <w:name w:val="Text"/>
    <w:basedOn w:val="Normal"/>
    <w:rsid w:val="003075FB"/>
    <w:pPr>
      <w:tabs>
        <w:tab w:val="left" w:pos="720"/>
        <w:tab w:val="left" w:pos="1440"/>
        <w:tab w:val="left" w:pos="2160"/>
        <w:tab w:val="center" w:pos="4320"/>
      </w:tabs>
      <w:spacing w:line="480" w:lineRule="atLeast"/>
      <w:ind w:firstLine="540"/>
    </w:pPr>
  </w:style>
  <w:style w:type="paragraph" w:styleId="Date">
    <w:name w:val="Date"/>
    <w:basedOn w:val="Normal"/>
    <w:semiHidden/>
    <w:rsid w:val="003075FB"/>
    <w:pPr>
      <w:jc w:val="right"/>
    </w:pPr>
  </w:style>
  <w:style w:type="character" w:styleId="PageNumber">
    <w:name w:val="page number"/>
    <w:basedOn w:val="DefaultParagraphFont"/>
    <w:semiHidden/>
    <w:rsid w:val="003075FB"/>
  </w:style>
  <w:style w:type="paragraph" w:customStyle="1" w:styleId="subject">
    <w:name w:val="subject"/>
    <w:basedOn w:val="Normal"/>
    <w:rsid w:val="003075FB"/>
    <w:pPr>
      <w:tabs>
        <w:tab w:val="left" w:pos="1008"/>
      </w:tabs>
      <w:ind w:left="990" w:hanging="990"/>
    </w:pPr>
    <w:rPr>
      <w:b/>
    </w:rPr>
  </w:style>
  <w:style w:type="paragraph" w:customStyle="1" w:styleId="Titles">
    <w:name w:val="Titles"/>
    <w:basedOn w:val="Normal"/>
    <w:rsid w:val="003075FB"/>
    <w:pPr>
      <w:tabs>
        <w:tab w:val="left" w:pos="2160"/>
      </w:tabs>
      <w:ind w:left="2160" w:hanging="2160"/>
    </w:pPr>
    <w:rPr>
      <w:b/>
    </w:rPr>
  </w:style>
  <w:style w:type="paragraph" w:styleId="TOAHeading">
    <w:name w:val="toa heading"/>
    <w:basedOn w:val="Normal"/>
    <w:next w:val="Normal"/>
    <w:semiHidden/>
    <w:rsid w:val="003075FB"/>
    <w:pPr>
      <w:spacing w:before="120"/>
    </w:pPr>
    <w:rPr>
      <w:b/>
    </w:rPr>
  </w:style>
  <w:style w:type="paragraph" w:styleId="TOC1">
    <w:name w:val="toc 1"/>
    <w:basedOn w:val="Normal"/>
    <w:next w:val="Normal"/>
    <w:autoRedefine/>
    <w:semiHidden/>
    <w:rsid w:val="003075FB"/>
  </w:style>
  <w:style w:type="paragraph" w:styleId="TOC2">
    <w:name w:val="toc 2"/>
    <w:basedOn w:val="Normal"/>
    <w:next w:val="Normal"/>
    <w:autoRedefine/>
    <w:semiHidden/>
    <w:rsid w:val="003075FB"/>
    <w:pPr>
      <w:ind w:left="259"/>
    </w:pPr>
  </w:style>
  <w:style w:type="paragraph" w:styleId="TOC3">
    <w:name w:val="toc 3"/>
    <w:basedOn w:val="Normal"/>
    <w:next w:val="Normal"/>
    <w:autoRedefine/>
    <w:semiHidden/>
    <w:rsid w:val="003075FB"/>
    <w:pPr>
      <w:ind w:left="520"/>
    </w:pPr>
  </w:style>
  <w:style w:type="paragraph" w:styleId="TOC4">
    <w:name w:val="toc 4"/>
    <w:basedOn w:val="Normal"/>
    <w:next w:val="Normal"/>
    <w:autoRedefine/>
    <w:semiHidden/>
    <w:rsid w:val="003075FB"/>
    <w:pPr>
      <w:ind w:left="780"/>
    </w:pPr>
  </w:style>
  <w:style w:type="paragraph" w:styleId="TOC5">
    <w:name w:val="toc 5"/>
    <w:basedOn w:val="Normal"/>
    <w:next w:val="Normal"/>
    <w:autoRedefine/>
    <w:semiHidden/>
    <w:rsid w:val="003075FB"/>
    <w:pPr>
      <w:ind w:left="1040"/>
    </w:pPr>
  </w:style>
  <w:style w:type="paragraph" w:styleId="TOC6">
    <w:name w:val="toc 6"/>
    <w:basedOn w:val="Normal"/>
    <w:next w:val="Normal"/>
    <w:autoRedefine/>
    <w:semiHidden/>
    <w:rsid w:val="003075FB"/>
    <w:pPr>
      <w:ind w:left="1300"/>
    </w:pPr>
  </w:style>
  <w:style w:type="paragraph" w:styleId="TOC7">
    <w:name w:val="toc 7"/>
    <w:basedOn w:val="Normal"/>
    <w:next w:val="Normal"/>
    <w:autoRedefine/>
    <w:semiHidden/>
    <w:rsid w:val="003075FB"/>
    <w:pPr>
      <w:ind w:left="1560"/>
    </w:pPr>
  </w:style>
  <w:style w:type="paragraph" w:styleId="TOC8">
    <w:name w:val="toc 8"/>
    <w:basedOn w:val="Normal"/>
    <w:next w:val="Normal"/>
    <w:autoRedefine/>
    <w:semiHidden/>
    <w:rsid w:val="003075FB"/>
    <w:pPr>
      <w:ind w:left="1820"/>
    </w:pPr>
  </w:style>
  <w:style w:type="paragraph" w:styleId="TOC9">
    <w:name w:val="toc 9"/>
    <w:basedOn w:val="Normal"/>
    <w:next w:val="Normal"/>
    <w:autoRedefine/>
    <w:semiHidden/>
    <w:rsid w:val="003075FB"/>
    <w:pPr>
      <w:ind w:left="2080"/>
    </w:pPr>
  </w:style>
  <w:style w:type="paragraph" w:customStyle="1" w:styleId="Contents">
    <w:name w:val="Contents"/>
    <w:basedOn w:val="Normal"/>
    <w:rsid w:val="003075FB"/>
    <w:pPr>
      <w:jc w:val="center"/>
    </w:pPr>
    <w:rPr>
      <w:b/>
      <w:spacing w:val="100"/>
    </w:rPr>
  </w:style>
  <w:style w:type="paragraph" w:styleId="ListParagraph">
    <w:name w:val="List Paragraph"/>
    <w:basedOn w:val="Normal"/>
    <w:uiPriority w:val="34"/>
    <w:rsid w:val="004A7E39"/>
    <w:pPr>
      <w:ind w:left="720"/>
      <w:contextualSpacing/>
    </w:pPr>
    <w:rPr>
      <w:rFonts w:asciiTheme="minorHAnsi" w:eastAsiaTheme="minorHAnsi" w:hAnsiTheme="minorHAnsi"/>
      <w:szCs w:val="24"/>
    </w:rPr>
  </w:style>
  <w:style w:type="character" w:customStyle="1" w:styleId="FootnoteTextChar">
    <w:name w:val="Footnote Text Char"/>
    <w:basedOn w:val="DefaultParagraphFont"/>
    <w:link w:val="FootnoteText"/>
    <w:rsid w:val="004A7E39"/>
    <w:rPr>
      <w:rFonts w:ascii="Century Schoolbook" w:hAnsi="Century Schoolbook"/>
      <w:sz w:val="27"/>
    </w:rPr>
  </w:style>
  <w:style w:type="character" w:styleId="CommentReference">
    <w:name w:val="annotation reference"/>
    <w:basedOn w:val="DefaultParagraphFont"/>
    <w:uiPriority w:val="99"/>
    <w:semiHidden/>
    <w:unhideWhenUsed/>
    <w:rsid w:val="004A7E39"/>
    <w:rPr>
      <w:sz w:val="16"/>
      <w:szCs w:val="16"/>
    </w:rPr>
  </w:style>
  <w:style w:type="paragraph" w:styleId="CommentText">
    <w:name w:val="annotation text"/>
    <w:basedOn w:val="Normal"/>
    <w:link w:val="CommentTextChar"/>
    <w:uiPriority w:val="99"/>
    <w:unhideWhenUsed/>
    <w:rsid w:val="004A7E39"/>
    <w:rPr>
      <w:sz w:val="20"/>
    </w:rPr>
  </w:style>
  <w:style w:type="character" w:customStyle="1" w:styleId="CommentTextChar">
    <w:name w:val="Comment Text Char"/>
    <w:basedOn w:val="DefaultParagraphFont"/>
    <w:link w:val="CommentText"/>
    <w:uiPriority w:val="99"/>
    <w:rsid w:val="004A7E39"/>
  </w:style>
  <w:style w:type="paragraph" w:styleId="CommentSubject">
    <w:name w:val="annotation subject"/>
    <w:basedOn w:val="CommentText"/>
    <w:next w:val="CommentText"/>
    <w:link w:val="CommentSubjectChar"/>
    <w:uiPriority w:val="99"/>
    <w:semiHidden/>
    <w:unhideWhenUsed/>
    <w:rsid w:val="004A7E39"/>
    <w:rPr>
      <w:b/>
      <w:bCs/>
    </w:rPr>
  </w:style>
  <w:style w:type="character" w:customStyle="1" w:styleId="CommentSubjectChar">
    <w:name w:val="Comment Subject Char"/>
    <w:basedOn w:val="CommentTextChar"/>
    <w:link w:val="CommentSubject"/>
    <w:uiPriority w:val="99"/>
    <w:semiHidden/>
    <w:rsid w:val="004A7E39"/>
    <w:rPr>
      <w:b/>
      <w:bCs/>
    </w:rPr>
  </w:style>
  <w:style w:type="paragraph" w:styleId="Revision">
    <w:name w:val="Revision"/>
    <w:hidden/>
    <w:uiPriority w:val="99"/>
    <w:semiHidden/>
    <w:rsid w:val="004A7E39"/>
    <w:rPr>
      <w:sz w:val="26"/>
    </w:rPr>
  </w:style>
  <w:style w:type="paragraph" w:styleId="BalloonText">
    <w:name w:val="Balloon Text"/>
    <w:basedOn w:val="Normal"/>
    <w:link w:val="BalloonTextChar"/>
    <w:uiPriority w:val="99"/>
    <w:semiHidden/>
    <w:unhideWhenUsed/>
    <w:rsid w:val="004A7E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E39"/>
    <w:rPr>
      <w:rFonts w:ascii="Segoe UI" w:hAnsi="Segoe UI" w:cs="Segoe UI"/>
      <w:sz w:val="18"/>
      <w:szCs w:val="18"/>
    </w:rPr>
  </w:style>
  <w:style w:type="character" w:customStyle="1" w:styleId="ssit">
    <w:name w:val="ss_it"/>
    <w:basedOn w:val="DefaultParagraphFont"/>
    <w:rsid w:val="003F70D8"/>
  </w:style>
  <w:style w:type="paragraph" w:styleId="NormalWeb">
    <w:name w:val="Normal (Web)"/>
    <w:basedOn w:val="Normal"/>
    <w:uiPriority w:val="99"/>
    <w:semiHidden/>
    <w:unhideWhenUsed/>
    <w:rsid w:val="008F1AAA"/>
    <w:pPr>
      <w:spacing w:before="100" w:beforeAutospacing="1" w:afterAutospacing="1"/>
    </w:pPr>
    <w:rPr>
      <w:sz w:val="24"/>
      <w:szCs w:val="24"/>
    </w:rPr>
  </w:style>
  <w:style w:type="character" w:customStyle="1" w:styleId="ssib">
    <w:name w:val="ss_ib"/>
    <w:basedOn w:val="DefaultParagraphFont"/>
    <w:rsid w:val="008F1AAA"/>
  </w:style>
  <w:style w:type="character" w:styleId="Hyperlink">
    <w:name w:val="Hyperlink"/>
    <w:basedOn w:val="DefaultParagraphFont"/>
    <w:uiPriority w:val="99"/>
    <w:semiHidden/>
    <w:unhideWhenUsed/>
    <w:rsid w:val="008F1AAA"/>
    <w:rPr>
      <w:color w:val="0000FF"/>
      <w:u w:val="single"/>
    </w:rPr>
  </w:style>
  <w:style w:type="character" w:customStyle="1" w:styleId="sssh">
    <w:name w:val="ss_sh"/>
    <w:basedOn w:val="DefaultParagraphFont"/>
    <w:rsid w:val="005D19A7"/>
  </w:style>
  <w:style w:type="character" w:customStyle="1" w:styleId="ssrfcpassagedeactivated">
    <w:name w:val="ss_rfcpassage_deactivated"/>
    <w:basedOn w:val="DefaultParagraphFont"/>
    <w:rsid w:val="003037AD"/>
  </w:style>
  <w:style w:type="character" w:styleId="Emphasis">
    <w:name w:val="Emphasis"/>
    <w:basedOn w:val="DefaultParagraphFont"/>
    <w:uiPriority w:val="20"/>
    <w:qFormat/>
    <w:rsid w:val="00850CD1"/>
    <w:rPr>
      <w:i/>
    </w:rPr>
  </w:style>
  <w:style w:type="character" w:customStyle="1" w:styleId="cohl">
    <w:name w:val="co_hl"/>
    <w:basedOn w:val="DefaultParagraphFont"/>
    <w:rsid w:val="00117331"/>
  </w:style>
  <w:style w:type="paragraph" w:styleId="EndnoteText">
    <w:name w:val="endnote text"/>
    <w:basedOn w:val="Normal"/>
    <w:link w:val="EndnoteTextChar"/>
    <w:uiPriority w:val="99"/>
    <w:semiHidden/>
    <w:unhideWhenUsed/>
    <w:rsid w:val="00DF02F9"/>
    <w:rPr>
      <w:sz w:val="20"/>
    </w:rPr>
  </w:style>
  <w:style w:type="character" w:customStyle="1" w:styleId="EndnoteTextChar">
    <w:name w:val="Endnote Text Char"/>
    <w:basedOn w:val="DefaultParagraphFont"/>
    <w:link w:val="EndnoteText"/>
    <w:uiPriority w:val="99"/>
    <w:semiHidden/>
    <w:rsid w:val="00DF02F9"/>
  </w:style>
  <w:style w:type="character" w:styleId="EndnoteReference">
    <w:name w:val="endnote reference"/>
    <w:basedOn w:val="DefaultParagraphFont"/>
    <w:uiPriority w:val="99"/>
    <w:semiHidden/>
    <w:unhideWhenUsed/>
    <w:rsid w:val="00DF02F9"/>
    <w:rPr>
      <w:vertAlign w:val="superscript"/>
    </w:rPr>
  </w:style>
  <w:style w:type="paragraph" w:customStyle="1" w:styleId="PRComments">
    <w:name w:val="PR Comments"/>
    <w:basedOn w:val="Normal"/>
    <w:rsid w:val="005B184D"/>
    <w:pPr>
      <w:spacing w:line="360" w:lineRule="atLeast"/>
      <w:ind w:right="-360"/>
    </w:pPr>
  </w:style>
  <w:style w:type="paragraph" w:styleId="BodyText">
    <w:name w:val="Body Text"/>
    <w:basedOn w:val="Normal"/>
    <w:link w:val="BodyTextChar"/>
    <w:qFormat/>
    <w:rsid w:val="003075FB"/>
  </w:style>
  <w:style w:type="character" w:customStyle="1" w:styleId="BodyTextChar">
    <w:name w:val="Body Text Char"/>
    <w:basedOn w:val="DefaultParagraphFont"/>
    <w:link w:val="BodyText"/>
    <w:rsid w:val="003075FB"/>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7906">
      <w:bodyDiv w:val="1"/>
      <w:marLeft w:val="0"/>
      <w:marRight w:val="0"/>
      <w:marTop w:val="0"/>
      <w:marBottom w:val="0"/>
      <w:divBdr>
        <w:top w:val="none" w:sz="0" w:space="0" w:color="auto"/>
        <w:left w:val="none" w:sz="0" w:space="0" w:color="auto"/>
        <w:bottom w:val="none" w:sz="0" w:space="0" w:color="auto"/>
        <w:right w:val="none" w:sz="0" w:space="0" w:color="auto"/>
      </w:divBdr>
    </w:div>
    <w:div w:id="288586110">
      <w:bodyDiv w:val="1"/>
      <w:marLeft w:val="0"/>
      <w:marRight w:val="0"/>
      <w:marTop w:val="0"/>
      <w:marBottom w:val="0"/>
      <w:divBdr>
        <w:top w:val="none" w:sz="0" w:space="0" w:color="auto"/>
        <w:left w:val="none" w:sz="0" w:space="0" w:color="auto"/>
        <w:bottom w:val="none" w:sz="0" w:space="0" w:color="auto"/>
        <w:right w:val="none" w:sz="0" w:space="0" w:color="auto"/>
      </w:divBdr>
    </w:div>
    <w:div w:id="382024506">
      <w:bodyDiv w:val="1"/>
      <w:marLeft w:val="0"/>
      <w:marRight w:val="0"/>
      <w:marTop w:val="0"/>
      <w:marBottom w:val="0"/>
      <w:divBdr>
        <w:top w:val="none" w:sz="0" w:space="0" w:color="auto"/>
        <w:left w:val="none" w:sz="0" w:space="0" w:color="auto"/>
        <w:bottom w:val="none" w:sz="0" w:space="0" w:color="auto"/>
        <w:right w:val="none" w:sz="0" w:space="0" w:color="auto"/>
      </w:divBdr>
    </w:div>
    <w:div w:id="481851074">
      <w:bodyDiv w:val="1"/>
      <w:marLeft w:val="0"/>
      <w:marRight w:val="0"/>
      <w:marTop w:val="0"/>
      <w:marBottom w:val="0"/>
      <w:divBdr>
        <w:top w:val="none" w:sz="0" w:space="0" w:color="auto"/>
        <w:left w:val="none" w:sz="0" w:space="0" w:color="auto"/>
        <w:bottom w:val="none" w:sz="0" w:space="0" w:color="auto"/>
        <w:right w:val="none" w:sz="0" w:space="0" w:color="auto"/>
      </w:divBdr>
      <w:divsChild>
        <w:div w:id="1774131206">
          <w:marLeft w:val="0"/>
          <w:marRight w:val="0"/>
          <w:marTop w:val="0"/>
          <w:marBottom w:val="0"/>
          <w:divBdr>
            <w:top w:val="none" w:sz="0" w:space="0" w:color="auto"/>
            <w:left w:val="none" w:sz="0" w:space="0" w:color="auto"/>
            <w:bottom w:val="none" w:sz="0" w:space="0" w:color="auto"/>
            <w:right w:val="none" w:sz="0" w:space="0" w:color="auto"/>
          </w:divBdr>
          <w:divsChild>
            <w:div w:id="1863012350">
              <w:marLeft w:val="0"/>
              <w:marRight w:val="0"/>
              <w:marTop w:val="0"/>
              <w:marBottom w:val="0"/>
              <w:divBdr>
                <w:top w:val="none" w:sz="0" w:space="0" w:color="auto"/>
                <w:left w:val="none" w:sz="0" w:space="0" w:color="auto"/>
                <w:bottom w:val="none" w:sz="0" w:space="0" w:color="auto"/>
                <w:right w:val="none" w:sz="0" w:space="0" w:color="auto"/>
              </w:divBdr>
              <w:divsChild>
                <w:div w:id="11939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04741">
      <w:bodyDiv w:val="1"/>
      <w:marLeft w:val="0"/>
      <w:marRight w:val="0"/>
      <w:marTop w:val="0"/>
      <w:marBottom w:val="0"/>
      <w:divBdr>
        <w:top w:val="none" w:sz="0" w:space="0" w:color="auto"/>
        <w:left w:val="none" w:sz="0" w:space="0" w:color="auto"/>
        <w:bottom w:val="none" w:sz="0" w:space="0" w:color="auto"/>
        <w:right w:val="none" w:sz="0" w:space="0" w:color="auto"/>
      </w:divBdr>
    </w:div>
    <w:div w:id="1440106355">
      <w:bodyDiv w:val="1"/>
      <w:marLeft w:val="0"/>
      <w:marRight w:val="0"/>
      <w:marTop w:val="0"/>
      <w:marBottom w:val="0"/>
      <w:divBdr>
        <w:top w:val="none" w:sz="0" w:space="0" w:color="auto"/>
        <w:left w:val="none" w:sz="0" w:space="0" w:color="auto"/>
        <w:bottom w:val="none" w:sz="0" w:space="0" w:color="auto"/>
        <w:right w:val="none" w:sz="0" w:space="0" w:color="auto"/>
      </w:divBdr>
      <w:divsChild>
        <w:div w:id="1988852867">
          <w:marLeft w:val="0"/>
          <w:marRight w:val="0"/>
          <w:marTop w:val="0"/>
          <w:marBottom w:val="0"/>
          <w:divBdr>
            <w:top w:val="none" w:sz="0" w:space="0" w:color="auto"/>
            <w:left w:val="none" w:sz="0" w:space="0" w:color="auto"/>
            <w:bottom w:val="none" w:sz="0" w:space="0" w:color="auto"/>
            <w:right w:val="none" w:sz="0" w:space="0" w:color="auto"/>
          </w:divBdr>
          <w:divsChild>
            <w:div w:id="20263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84555">
      <w:bodyDiv w:val="1"/>
      <w:marLeft w:val="0"/>
      <w:marRight w:val="0"/>
      <w:marTop w:val="0"/>
      <w:marBottom w:val="0"/>
      <w:divBdr>
        <w:top w:val="none" w:sz="0" w:space="0" w:color="auto"/>
        <w:left w:val="none" w:sz="0" w:space="0" w:color="auto"/>
        <w:bottom w:val="none" w:sz="0" w:space="0" w:color="auto"/>
        <w:right w:val="none" w:sz="0" w:space="0" w:color="auto"/>
      </w:divBdr>
      <w:divsChild>
        <w:div w:id="1019501927">
          <w:marLeft w:val="0"/>
          <w:marRight w:val="0"/>
          <w:marTop w:val="0"/>
          <w:marBottom w:val="0"/>
          <w:divBdr>
            <w:top w:val="none" w:sz="0" w:space="0" w:color="auto"/>
            <w:left w:val="none" w:sz="0" w:space="0" w:color="auto"/>
            <w:bottom w:val="none" w:sz="0" w:space="0" w:color="auto"/>
            <w:right w:val="none" w:sz="0" w:space="0" w:color="auto"/>
          </w:divBdr>
          <w:divsChild>
            <w:div w:id="330377817">
              <w:marLeft w:val="0"/>
              <w:marRight w:val="0"/>
              <w:marTop w:val="0"/>
              <w:marBottom w:val="0"/>
              <w:divBdr>
                <w:top w:val="none" w:sz="0" w:space="0" w:color="auto"/>
                <w:left w:val="none" w:sz="0" w:space="0" w:color="auto"/>
                <w:bottom w:val="none" w:sz="0" w:space="0" w:color="auto"/>
                <w:right w:val="none" w:sz="0" w:space="0" w:color="auto"/>
              </w:divBdr>
              <w:divsChild>
                <w:div w:id="1820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11069">
      <w:bodyDiv w:val="1"/>
      <w:marLeft w:val="0"/>
      <w:marRight w:val="0"/>
      <w:marTop w:val="0"/>
      <w:marBottom w:val="0"/>
      <w:divBdr>
        <w:top w:val="none" w:sz="0" w:space="0" w:color="auto"/>
        <w:left w:val="none" w:sz="0" w:space="0" w:color="auto"/>
        <w:bottom w:val="none" w:sz="0" w:space="0" w:color="auto"/>
        <w:right w:val="none" w:sz="0" w:space="0" w:color="auto"/>
      </w:divBdr>
    </w:div>
    <w:div w:id="187480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4210</Words>
  <Characters>23997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2019-03-27T18:35:00Z</cp:lastPrinted>
  <dcterms:created xsi:type="dcterms:W3CDTF">2019-03-27T18:41:00Z</dcterms:created>
  <dcterms:modified xsi:type="dcterms:W3CDTF">2019-03-28T16:53:00Z</dcterms:modified>
</cp:coreProperties>
</file>