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DE4790" w14:textId="77777777" w:rsidR="00E96279" w:rsidRDefault="004177C6" w:rsidP="004177C6">
      <w:pPr>
        <w:tabs>
          <w:tab w:val="left" w:pos="1440"/>
          <w:tab w:val="left" w:pos="4680"/>
          <w:tab w:val="center" w:pos="7200"/>
        </w:tabs>
        <w:spacing w:after="0"/>
        <w:jc w:val="center"/>
        <w:rPr>
          <w:sz w:val="36"/>
        </w:rPr>
      </w:pPr>
      <w:bookmarkStart w:id="0" w:name="MarkDocLoc"/>
      <w:bookmarkEnd w:id="0"/>
      <w:r>
        <w:rPr>
          <w:b/>
          <w:sz w:val="36"/>
        </w:rPr>
        <w:t>IN THE SUPREME COURT OF CALIFORNIA</w:t>
      </w:r>
    </w:p>
    <w:p w14:paraId="036C413F" w14:textId="77777777" w:rsidR="004177C6" w:rsidRDefault="004177C6" w:rsidP="004177C6">
      <w:pPr>
        <w:tabs>
          <w:tab w:val="left" w:pos="1440"/>
          <w:tab w:val="left" w:pos="4680"/>
          <w:tab w:val="center" w:pos="7200"/>
        </w:tabs>
        <w:spacing w:after="0"/>
        <w:jc w:val="center"/>
      </w:pPr>
    </w:p>
    <w:p w14:paraId="6B0FD0F2" w14:textId="77777777" w:rsidR="004177C6" w:rsidRDefault="004177C6" w:rsidP="004177C6">
      <w:pPr>
        <w:tabs>
          <w:tab w:val="left" w:pos="1440"/>
          <w:tab w:val="left" w:pos="4680"/>
          <w:tab w:val="center" w:pos="7200"/>
        </w:tabs>
        <w:spacing w:after="0"/>
        <w:jc w:val="center"/>
      </w:pPr>
      <w:r>
        <w:t>DIANA NIEVES NOEL</w:t>
      </w:r>
      <w:r w:rsidR="00687999">
        <w:t>,</w:t>
      </w:r>
    </w:p>
    <w:p w14:paraId="358E114D" w14:textId="77777777" w:rsidR="004177C6" w:rsidRDefault="004177C6" w:rsidP="004177C6">
      <w:pPr>
        <w:tabs>
          <w:tab w:val="left" w:pos="1440"/>
          <w:tab w:val="left" w:pos="4680"/>
          <w:tab w:val="center" w:pos="7200"/>
        </w:tabs>
        <w:spacing w:after="0"/>
        <w:jc w:val="center"/>
      </w:pPr>
      <w:r>
        <w:t>Plaintiff and Appellant</w:t>
      </w:r>
      <w:r w:rsidR="00687999">
        <w:t>,</w:t>
      </w:r>
    </w:p>
    <w:p w14:paraId="263A9456" w14:textId="77777777" w:rsidR="004177C6" w:rsidRDefault="004177C6" w:rsidP="004177C6">
      <w:pPr>
        <w:tabs>
          <w:tab w:val="left" w:pos="1440"/>
          <w:tab w:val="left" w:pos="4680"/>
          <w:tab w:val="center" w:pos="7200"/>
        </w:tabs>
        <w:spacing w:after="0"/>
        <w:jc w:val="center"/>
      </w:pPr>
      <w:r>
        <w:t>v.</w:t>
      </w:r>
    </w:p>
    <w:p w14:paraId="30596728" w14:textId="77777777" w:rsidR="004177C6" w:rsidRDefault="004177C6" w:rsidP="004177C6">
      <w:pPr>
        <w:tabs>
          <w:tab w:val="left" w:pos="1440"/>
          <w:tab w:val="left" w:pos="4680"/>
          <w:tab w:val="center" w:pos="7200"/>
        </w:tabs>
        <w:spacing w:after="0"/>
        <w:jc w:val="center"/>
      </w:pPr>
      <w:r>
        <w:t>THRIFTY PAYLESS, INC.</w:t>
      </w:r>
      <w:r w:rsidR="00687999">
        <w:t>,</w:t>
      </w:r>
    </w:p>
    <w:p w14:paraId="70D7410B" w14:textId="77777777" w:rsidR="004177C6" w:rsidRDefault="004177C6" w:rsidP="004177C6">
      <w:pPr>
        <w:tabs>
          <w:tab w:val="left" w:pos="1440"/>
          <w:tab w:val="left" w:pos="4680"/>
          <w:tab w:val="center" w:pos="7200"/>
        </w:tabs>
        <w:spacing w:after="0"/>
        <w:jc w:val="center"/>
      </w:pPr>
      <w:r>
        <w:t>Defendant and Respondent.</w:t>
      </w:r>
    </w:p>
    <w:p w14:paraId="0CE74932" w14:textId="77777777" w:rsidR="004177C6" w:rsidRDefault="004177C6" w:rsidP="004177C6">
      <w:pPr>
        <w:tabs>
          <w:tab w:val="left" w:pos="1440"/>
          <w:tab w:val="left" w:pos="4680"/>
          <w:tab w:val="center" w:pos="7200"/>
        </w:tabs>
        <w:spacing w:after="0"/>
        <w:jc w:val="center"/>
      </w:pPr>
    </w:p>
    <w:p w14:paraId="1FEFC2EE" w14:textId="77777777" w:rsidR="004177C6" w:rsidRDefault="004177C6" w:rsidP="004177C6">
      <w:pPr>
        <w:tabs>
          <w:tab w:val="left" w:pos="1440"/>
          <w:tab w:val="left" w:pos="4680"/>
          <w:tab w:val="center" w:pos="7200"/>
        </w:tabs>
        <w:spacing w:after="0"/>
        <w:jc w:val="center"/>
      </w:pPr>
      <w:r>
        <w:t>S246490</w:t>
      </w:r>
    </w:p>
    <w:p w14:paraId="4C15EE0A" w14:textId="77777777" w:rsidR="00734DC6" w:rsidRDefault="00734DC6" w:rsidP="004177C6">
      <w:pPr>
        <w:tabs>
          <w:tab w:val="left" w:pos="1440"/>
          <w:tab w:val="left" w:pos="4680"/>
          <w:tab w:val="center" w:pos="7200"/>
        </w:tabs>
        <w:spacing w:after="0"/>
        <w:jc w:val="center"/>
      </w:pPr>
    </w:p>
    <w:p w14:paraId="0059DDB6" w14:textId="7CF422A1" w:rsidR="00734DC6" w:rsidRDefault="00734DC6" w:rsidP="004177C6">
      <w:pPr>
        <w:tabs>
          <w:tab w:val="left" w:pos="1440"/>
          <w:tab w:val="left" w:pos="4680"/>
          <w:tab w:val="center" w:pos="7200"/>
        </w:tabs>
        <w:spacing w:after="0"/>
        <w:jc w:val="center"/>
      </w:pPr>
      <w:r>
        <w:t xml:space="preserve">First </w:t>
      </w:r>
      <w:r w:rsidR="000E10C5">
        <w:t>Appellate District</w:t>
      </w:r>
      <w:r>
        <w:t>, Division Four</w:t>
      </w:r>
    </w:p>
    <w:p w14:paraId="129B4E0F" w14:textId="77777777" w:rsidR="00734DC6" w:rsidRDefault="00734DC6" w:rsidP="004177C6">
      <w:pPr>
        <w:tabs>
          <w:tab w:val="left" w:pos="1440"/>
          <w:tab w:val="left" w:pos="4680"/>
          <w:tab w:val="center" w:pos="7200"/>
        </w:tabs>
        <w:spacing w:after="0"/>
        <w:jc w:val="center"/>
      </w:pPr>
      <w:r>
        <w:t>A143026</w:t>
      </w:r>
    </w:p>
    <w:p w14:paraId="6B0E5F1A" w14:textId="77777777" w:rsidR="004177C6" w:rsidRDefault="004177C6" w:rsidP="004177C6">
      <w:pPr>
        <w:tabs>
          <w:tab w:val="left" w:pos="1440"/>
          <w:tab w:val="left" w:pos="4680"/>
          <w:tab w:val="center" w:pos="7200"/>
        </w:tabs>
        <w:spacing w:after="0"/>
        <w:jc w:val="center"/>
      </w:pPr>
    </w:p>
    <w:p w14:paraId="216365DC" w14:textId="5811E774" w:rsidR="00734DC6" w:rsidRDefault="004177C6" w:rsidP="00734DC6">
      <w:pPr>
        <w:tabs>
          <w:tab w:val="left" w:pos="1440"/>
          <w:tab w:val="left" w:pos="4680"/>
          <w:tab w:val="center" w:pos="7200"/>
        </w:tabs>
        <w:spacing w:after="0"/>
        <w:jc w:val="center"/>
      </w:pPr>
      <w:r>
        <w:t>Marin County</w:t>
      </w:r>
      <w:r w:rsidR="00734DC6">
        <w:t xml:space="preserve"> </w:t>
      </w:r>
      <w:r>
        <w:t>Super</w:t>
      </w:r>
      <w:r w:rsidR="000E10C5">
        <w:t>ior</w:t>
      </w:r>
      <w:r>
        <w:t xml:space="preserve"> C</w:t>
      </w:r>
      <w:r w:rsidR="000E10C5">
        <w:t>ourt</w:t>
      </w:r>
      <w:r>
        <w:t xml:space="preserve"> </w:t>
      </w:r>
    </w:p>
    <w:p w14:paraId="7D4766E2" w14:textId="0343A75F" w:rsidR="004177C6" w:rsidRDefault="004177C6" w:rsidP="00734DC6">
      <w:pPr>
        <w:tabs>
          <w:tab w:val="left" w:pos="1440"/>
          <w:tab w:val="left" w:pos="4680"/>
          <w:tab w:val="center" w:pos="7200"/>
        </w:tabs>
        <w:spacing w:after="0"/>
        <w:jc w:val="center"/>
      </w:pPr>
      <w:r>
        <w:t>C</w:t>
      </w:r>
      <w:r w:rsidR="00DC11BA">
        <w:t>I</w:t>
      </w:r>
      <w:r>
        <w:t>V1304712</w:t>
      </w:r>
    </w:p>
    <w:p w14:paraId="3742F49F" w14:textId="77777777" w:rsidR="004177C6" w:rsidRDefault="004177C6" w:rsidP="004177C6">
      <w:pPr>
        <w:pBdr>
          <w:bottom w:val="single" w:sz="4" w:space="1" w:color="auto"/>
        </w:pBdr>
        <w:tabs>
          <w:tab w:val="left" w:pos="1440"/>
          <w:tab w:val="left" w:pos="4680"/>
          <w:tab w:val="center" w:pos="7200"/>
        </w:tabs>
        <w:spacing w:after="0"/>
        <w:jc w:val="center"/>
      </w:pPr>
    </w:p>
    <w:p w14:paraId="1EAF4FCE" w14:textId="77777777" w:rsidR="004177C6" w:rsidRDefault="004177C6" w:rsidP="004177C6">
      <w:pPr>
        <w:tabs>
          <w:tab w:val="left" w:pos="1440"/>
          <w:tab w:val="left" w:pos="4680"/>
          <w:tab w:val="center" w:pos="7200"/>
        </w:tabs>
        <w:spacing w:after="0"/>
        <w:jc w:val="center"/>
      </w:pPr>
    </w:p>
    <w:p w14:paraId="469555B9" w14:textId="0720F034" w:rsidR="004177C6" w:rsidRDefault="00880F94" w:rsidP="004177C6">
      <w:pPr>
        <w:tabs>
          <w:tab w:val="left" w:pos="1440"/>
          <w:tab w:val="left" w:pos="4680"/>
          <w:tab w:val="center" w:pos="7200"/>
        </w:tabs>
        <w:spacing w:after="0"/>
        <w:jc w:val="center"/>
      </w:pPr>
      <w:r>
        <w:t>July 29</w:t>
      </w:r>
      <w:r w:rsidR="004177C6">
        <w:t>, 2019</w:t>
      </w:r>
    </w:p>
    <w:p w14:paraId="6A066369" w14:textId="77777777" w:rsidR="004177C6" w:rsidRDefault="004177C6" w:rsidP="004177C6">
      <w:pPr>
        <w:tabs>
          <w:tab w:val="left" w:pos="1440"/>
          <w:tab w:val="left" w:pos="4680"/>
          <w:tab w:val="center" w:pos="7200"/>
        </w:tabs>
        <w:spacing w:after="0"/>
        <w:jc w:val="center"/>
      </w:pPr>
    </w:p>
    <w:p w14:paraId="12209EBF" w14:textId="1E1B7DF0" w:rsidR="004177C6" w:rsidRDefault="004177C6" w:rsidP="004177C6">
      <w:pPr>
        <w:tabs>
          <w:tab w:val="left" w:pos="1440"/>
          <w:tab w:val="left" w:pos="4680"/>
          <w:tab w:val="center" w:pos="7200"/>
        </w:tabs>
        <w:spacing w:after="0"/>
        <w:jc w:val="left"/>
      </w:pPr>
      <w:r>
        <w:t xml:space="preserve">Chief Justice Cantil-Sakauye authored the opinion of the </w:t>
      </w:r>
      <w:r w:rsidR="000E10C5">
        <w:t>C</w:t>
      </w:r>
      <w:r>
        <w:t xml:space="preserve">ourt, in which Justices </w:t>
      </w:r>
      <w:r w:rsidR="00880F94">
        <w:t xml:space="preserve">Chin, Corrigan, Liu, Cuéllar, Kruger, </w:t>
      </w:r>
      <w:r>
        <w:t xml:space="preserve">and </w:t>
      </w:r>
      <w:r w:rsidR="00880F94">
        <w:t>Groban</w:t>
      </w:r>
      <w:r>
        <w:t xml:space="preserve"> concurred.</w:t>
      </w:r>
    </w:p>
    <w:p w14:paraId="4CAD52D2" w14:textId="77777777" w:rsidR="004177C6" w:rsidRPr="004177C6" w:rsidRDefault="004177C6" w:rsidP="004177C6">
      <w:pPr>
        <w:pBdr>
          <w:bottom w:val="single" w:sz="4" w:space="1" w:color="auto"/>
        </w:pBdr>
        <w:tabs>
          <w:tab w:val="left" w:pos="1440"/>
          <w:tab w:val="left" w:pos="4680"/>
          <w:tab w:val="center" w:pos="7200"/>
        </w:tabs>
        <w:spacing w:line="480" w:lineRule="atLeast"/>
        <w:jc w:val="left"/>
      </w:pPr>
      <w:bookmarkStart w:id="1" w:name="Return"/>
      <w:bookmarkEnd w:id="1"/>
    </w:p>
    <w:p w14:paraId="304F1C94" w14:textId="77777777" w:rsidR="004177C6" w:rsidRDefault="004177C6">
      <w:pPr>
        <w:tabs>
          <w:tab w:val="left" w:pos="1440"/>
          <w:tab w:val="left" w:pos="4680"/>
          <w:tab w:val="center" w:pos="7200"/>
        </w:tabs>
        <w:spacing w:line="480" w:lineRule="atLeast"/>
        <w:sectPr w:rsidR="004177C6" w:rsidSect="004177C6">
          <w:headerReference w:type="default" r:id="rId7"/>
          <w:footerReference w:type="default" r:id="rId8"/>
          <w:pgSz w:w="12240" w:h="15840"/>
          <w:pgMar w:top="1800" w:right="2160" w:bottom="1440" w:left="2160" w:header="720" w:footer="720" w:gutter="0"/>
          <w:cols w:space="720"/>
          <w:titlePg/>
          <w:docGrid w:linePitch="367"/>
        </w:sectPr>
      </w:pPr>
    </w:p>
    <w:p w14:paraId="66082EE2" w14:textId="23897CEA" w:rsidR="004177C6" w:rsidRDefault="004177C6" w:rsidP="004177C6">
      <w:pPr>
        <w:tabs>
          <w:tab w:val="left" w:pos="1440"/>
          <w:tab w:val="left" w:pos="4680"/>
          <w:tab w:val="center" w:pos="7200"/>
        </w:tabs>
        <w:jc w:val="center"/>
      </w:pPr>
      <w:r>
        <w:lastRenderedPageBreak/>
        <w:t>NOEL v. THRIFTY PAYLESS, INC.</w:t>
      </w:r>
    </w:p>
    <w:p w14:paraId="62FB7B20" w14:textId="77777777" w:rsidR="004177C6" w:rsidRDefault="004177C6" w:rsidP="004177C6">
      <w:pPr>
        <w:tabs>
          <w:tab w:val="left" w:pos="1440"/>
          <w:tab w:val="left" w:pos="4680"/>
          <w:tab w:val="center" w:pos="7200"/>
        </w:tabs>
        <w:jc w:val="center"/>
      </w:pPr>
      <w:r>
        <w:t>S246490</w:t>
      </w:r>
    </w:p>
    <w:p w14:paraId="64AF7176" w14:textId="77777777" w:rsidR="004177C6" w:rsidRDefault="004177C6" w:rsidP="004177C6">
      <w:pPr>
        <w:tabs>
          <w:tab w:val="left" w:pos="1440"/>
          <w:tab w:val="left" w:pos="4680"/>
          <w:tab w:val="center" w:pos="7200"/>
        </w:tabs>
        <w:jc w:val="center"/>
      </w:pPr>
    </w:p>
    <w:p w14:paraId="39A098DB" w14:textId="77777777" w:rsidR="004177C6" w:rsidRDefault="004177C6" w:rsidP="004177C6">
      <w:pPr>
        <w:tabs>
          <w:tab w:val="left" w:pos="1440"/>
          <w:tab w:val="left" w:pos="4680"/>
          <w:tab w:val="center" w:pos="7200"/>
        </w:tabs>
        <w:jc w:val="center"/>
      </w:pPr>
      <w:r>
        <w:t>Opinion of the Court by Cantil-Sakauye, C. J.</w:t>
      </w:r>
    </w:p>
    <w:p w14:paraId="6114CCFE" w14:textId="77777777" w:rsidR="004177C6" w:rsidRPr="004177C6" w:rsidRDefault="004177C6" w:rsidP="004177C6">
      <w:pPr>
        <w:tabs>
          <w:tab w:val="left" w:pos="1440"/>
          <w:tab w:val="left" w:pos="4680"/>
          <w:tab w:val="center" w:pos="7200"/>
        </w:tabs>
        <w:jc w:val="center"/>
      </w:pPr>
    </w:p>
    <w:p w14:paraId="76091864" w14:textId="54FF58FB" w:rsidR="000B26F9" w:rsidRPr="004177C6" w:rsidRDefault="000B26F9" w:rsidP="004177C6">
      <w:pPr>
        <w:ind w:firstLine="720"/>
      </w:pPr>
      <w:bookmarkStart w:id="2" w:name="mainstory"/>
      <w:bookmarkStart w:id="3" w:name="_Hlk14097380"/>
      <w:bookmarkEnd w:id="2"/>
      <w:r w:rsidRPr="004177C6">
        <w:t xml:space="preserve">This </w:t>
      </w:r>
      <w:r w:rsidR="006F0DD4">
        <w:t xml:space="preserve">case </w:t>
      </w:r>
      <w:r w:rsidRPr="004177C6">
        <w:t xml:space="preserve">is a putative class action brought on behalf of retail purchasers of an inflatable outdoor pool sold in packaging that allegedly misled buyers about the pool’s size.  We must decide whether the trial court </w:t>
      </w:r>
      <w:r w:rsidR="0039092C">
        <w:t>abused its discretion</w:t>
      </w:r>
      <w:r w:rsidR="00945197">
        <w:t xml:space="preserve"> when it </w:t>
      </w:r>
      <w:r w:rsidR="0039092C">
        <w:t>denied</w:t>
      </w:r>
      <w:r w:rsidR="00945197">
        <w:t xml:space="preserve"> </w:t>
      </w:r>
      <w:r w:rsidR="00972245">
        <w:t xml:space="preserve">the representative </w:t>
      </w:r>
      <w:r w:rsidR="00945197">
        <w:t>plaintiff</w:t>
      </w:r>
      <w:r w:rsidR="0039092C">
        <w:t xml:space="preserve">’s motion for class certification on the basis that </w:t>
      </w:r>
      <w:r w:rsidR="001574E1">
        <w:t>he</w:t>
      </w:r>
      <w:r w:rsidR="00945197">
        <w:t xml:space="preserve"> had not </w:t>
      </w:r>
      <w:r w:rsidR="00AB678D">
        <w:t xml:space="preserve">supplied evidence showing </w:t>
      </w:r>
      <w:r w:rsidR="002631D5">
        <w:t>how class members might be individually identified when the time came to do so</w:t>
      </w:r>
      <w:r w:rsidR="006F0DD4">
        <w:t xml:space="preserve">.  The </w:t>
      </w:r>
      <w:r w:rsidRPr="004177C6">
        <w:t xml:space="preserve">Court of Appeal </w:t>
      </w:r>
      <w:r w:rsidR="00A43F8C">
        <w:t>upheld</w:t>
      </w:r>
      <w:r w:rsidR="00AE252D">
        <w:t xml:space="preserve"> this ruling.  It </w:t>
      </w:r>
      <w:r w:rsidR="002631D5">
        <w:t>reasoned that this evidence was necessary to ensure</w:t>
      </w:r>
      <w:r w:rsidR="00D56FE4">
        <w:t xml:space="preserve"> that</w:t>
      </w:r>
      <w:r w:rsidR="002631D5">
        <w:t xml:space="preserve"> proper notice </w:t>
      </w:r>
      <w:r w:rsidR="00D56FE4">
        <w:t xml:space="preserve">would be given </w:t>
      </w:r>
      <w:r w:rsidR="002631D5">
        <w:t xml:space="preserve">to the class, and that without it, the trial court </w:t>
      </w:r>
      <w:r w:rsidR="0025257E">
        <w:t>could appropriately conclude</w:t>
      </w:r>
      <w:r w:rsidR="002631D5">
        <w:t xml:space="preserve"> that plaintiff had not satisfied the ascertainability requirement for class certification</w:t>
      </w:r>
      <w:r w:rsidRPr="004177C6">
        <w:t xml:space="preserve">.  </w:t>
      </w:r>
    </w:p>
    <w:bookmarkEnd w:id="3"/>
    <w:p w14:paraId="55F9B8A7" w14:textId="093D93BD" w:rsidR="00945197" w:rsidRDefault="009A200E" w:rsidP="00945197">
      <w:pPr>
        <w:ind w:firstLine="720"/>
      </w:pPr>
      <w:r w:rsidRPr="004177C6">
        <w:t>We</w:t>
      </w:r>
      <w:r w:rsidR="000B26F9" w:rsidRPr="004177C6">
        <w:t xml:space="preserve"> </w:t>
      </w:r>
      <w:r w:rsidR="00A43F8C">
        <w:t xml:space="preserve">conclude that the trial court </w:t>
      </w:r>
      <w:r w:rsidR="00793DFC">
        <w:t>erred</w:t>
      </w:r>
      <w:r w:rsidR="00A43F8C">
        <w:t xml:space="preserve"> </w:t>
      </w:r>
      <w:r w:rsidR="00CB2A76">
        <w:t>in demanding</w:t>
      </w:r>
      <w:r w:rsidR="00A43F8C">
        <w:t xml:space="preserve"> that plaintiff offer </w:t>
      </w:r>
      <w:r w:rsidR="002D0FF6">
        <w:t xml:space="preserve">such </w:t>
      </w:r>
      <w:r w:rsidR="00A43F8C">
        <w:t>evidence to satisfy the ascertainability requirement</w:t>
      </w:r>
      <w:r w:rsidR="000B26F9" w:rsidRPr="004177C6">
        <w:t xml:space="preserve">.  Plaintiff’s proposed class definition articulates an ascertainable class, in that it defines the class </w:t>
      </w:r>
      <w:r w:rsidR="000C4DC0">
        <w:rPr>
          <w:color w:val="000000" w:themeColor="text1"/>
          <w:szCs w:val="26"/>
        </w:rPr>
        <w:t>“</w:t>
      </w:r>
      <w:r w:rsidR="000C4DC0">
        <w:t>in terms of objective characteristics and common transactional facts” that make “the ultimate identification of class members possible when that identification becomes necessary.”  (</w:t>
      </w:r>
      <w:r w:rsidR="000C4DC0" w:rsidRPr="00FC00A0">
        <w:rPr>
          <w:i/>
        </w:rPr>
        <w:t xml:space="preserve">Hicks </w:t>
      </w:r>
      <w:r w:rsidR="007F3B2D">
        <w:rPr>
          <w:i/>
        </w:rPr>
        <w:t>v.</w:t>
      </w:r>
      <w:r w:rsidR="007F3B2D" w:rsidRPr="00FC00A0">
        <w:rPr>
          <w:i/>
        </w:rPr>
        <w:t xml:space="preserve"> </w:t>
      </w:r>
      <w:r w:rsidR="000C4DC0" w:rsidRPr="00FC00A0">
        <w:rPr>
          <w:i/>
        </w:rPr>
        <w:t xml:space="preserve">Kaufman </w:t>
      </w:r>
      <w:r w:rsidR="00F3201D">
        <w:rPr>
          <w:i/>
        </w:rPr>
        <w:t>&amp;</w:t>
      </w:r>
      <w:r w:rsidR="000C4DC0" w:rsidRPr="00FC00A0">
        <w:rPr>
          <w:i/>
        </w:rPr>
        <w:t xml:space="preserve"> Broad Home Corp.</w:t>
      </w:r>
      <w:r w:rsidR="000C4DC0">
        <w:t xml:space="preserve"> (2001) 89 Cal.App.4</w:t>
      </w:r>
      <w:r w:rsidR="000C4DC0" w:rsidRPr="00FC00A0">
        <w:t>th</w:t>
      </w:r>
      <w:r w:rsidR="000C4DC0">
        <w:t xml:space="preserve"> 908, 91</w:t>
      </w:r>
      <w:r w:rsidR="000A07AD">
        <w:t>5</w:t>
      </w:r>
      <w:r w:rsidR="004C79BD">
        <w:t xml:space="preserve"> (</w:t>
      </w:r>
      <w:r w:rsidR="004C79BD" w:rsidRPr="004C79BD">
        <w:rPr>
          <w:i/>
        </w:rPr>
        <w:t>Hicks</w:t>
      </w:r>
      <w:r w:rsidR="004C79BD">
        <w:t>)</w:t>
      </w:r>
      <w:r w:rsidR="000C4DC0">
        <w:t xml:space="preserve">.) </w:t>
      </w:r>
      <w:r w:rsidR="000B26F9" w:rsidRPr="004177C6">
        <w:t xml:space="preserve"> </w:t>
      </w:r>
      <w:r w:rsidR="000C4DC0">
        <w:t xml:space="preserve">As we will explain, </w:t>
      </w:r>
      <w:bookmarkStart w:id="4" w:name="_Hlk11319291"/>
      <w:r w:rsidR="000C4DC0">
        <w:t>t</w:t>
      </w:r>
      <w:r w:rsidR="00A47CB6" w:rsidRPr="004177C6">
        <w:t>he ascertainability requirement</w:t>
      </w:r>
      <w:r w:rsidR="000C4DC0">
        <w:t xml:space="preserve"> </w:t>
      </w:r>
      <w:r w:rsidR="00D43AAE" w:rsidRPr="004177C6">
        <w:t>d</w:t>
      </w:r>
      <w:r w:rsidR="000C4DC0">
        <w:t>oes</w:t>
      </w:r>
      <w:r w:rsidR="00A47CB6" w:rsidRPr="004177C6">
        <w:t xml:space="preserve"> not </w:t>
      </w:r>
      <w:r w:rsidR="006F0DD4">
        <w:t>incorporate</w:t>
      </w:r>
      <w:r w:rsidR="00D43AAE" w:rsidRPr="004177C6">
        <w:t xml:space="preserve"> </w:t>
      </w:r>
      <w:r w:rsidR="00C7049C">
        <w:t>the</w:t>
      </w:r>
      <w:r w:rsidR="00D43AAE" w:rsidRPr="004177C6">
        <w:t xml:space="preserve"> additional evidentiary burden</w:t>
      </w:r>
      <w:r w:rsidR="00C7049C">
        <w:t xml:space="preserve"> that</w:t>
      </w:r>
      <w:r w:rsidR="00D43AAE" w:rsidRPr="004177C6">
        <w:t xml:space="preserve"> the courts below</w:t>
      </w:r>
      <w:r w:rsidR="000C4DC0">
        <w:t xml:space="preserve"> </w:t>
      </w:r>
      <w:r w:rsidR="00CA0F5C">
        <w:t>would</w:t>
      </w:r>
      <w:r w:rsidR="000C4DC0">
        <w:t xml:space="preserve"> </w:t>
      </w:r>
      <w:r w:rsidR="00945197">
        <w:t xml:space="preserve">have </w:t>
      </w:r>
      <w:r w:rsidR="000C4DC0">
        <w:t>impose</w:t>
      </w:r>
      <w:r w:rsidR="00945197">
        <w:t>d</w:t>
      </w:r>
      <w:bookmarkEnd w:id="4"/>
      <w:r w:rsidR="000B26F9" w:rsidRPr="004177C6">
        <w:t xml:space="preserve">.  </w:t>
      </w:r>
      <w:r w:rsidR="00945197">
        <w:t>W</w:t>
      </w:r>
      <w:r w:rsidR="00945197" w:rsidRPr="004177C6">
        <w:t>e</w:t>
      </w:r>
      <w:r w:rsidR="00945197">
        <w:t xml:space="preserve"> therefore</w:t>
      </w:r>
      <w:r w:rsidR="00945197" w:rsidRPr="004177C6">
        <w:t xml:space="preserve"> reverse the </w:t>
      </w:r>
      <w:r w:rsidR="00945197" w:rsidRPr="004177C6">
        <w:lastRenderedPageBreak/>
        <w:t xml:space="preserve">judgment of the Court of Appeal and remand the matter for further proceedings consistent with our opinion.  </w:t>
      </w:r>
    </w:p>
    <w:p w14:paraId="682DB01D" w14:textId="77777777" w:rsidR="000B26F9" w:rsidRPr="004177C6" w:rsidRDefault="000B26F9" w:rsidP="00945197">
      <w:pPr>
        <w:keepNext/>
        <w:keepLines/>
        <w:jc w:val="center"/>
        <w:rPr>
          <w:b/>
          <w:smallCaps/>
        </w:rPr>
      </w:pPr>
      <w:r w:rsidRPr="004177C6">
        <w:rPr>
          <w:b/>
          <w:smallCaps/>
        </w:rPr>
        <w:t>I.</w:t>
      </w:r>
      <w:r w:rsidR="00CF5A2C" w:rsidRPr="004177C6">
        <w:rPr>
          <w:b/>
          <w:smallCaps/>
        </w:rPr>
        <w:t xml:space="preserve"> </w:t>
      </w:r>
      <w:r w:rsidRPr="004177C6">
        <w:rPr>
          <w:b/>
          <w:smallCaps/>
        </w:rPr>
        <w:t xml:space="preserve"> Background</w:t>
      </w:r>
    </w:p>
    <w:p w14:paraId="3BCA3362" w14:textId="5FF2CA75" w:rsidR="000B26F9" w:rsidRPr="004177C6" w:rsidRDefault="000B26F9" w:rsidP="004177C6">
      <w:pPr>
        <w:ind w:firstLine="720"/>
      </w:pPr>
      <w:r w:rsidRPr="004177C6">
        <w:t>In November 2013, plaintiff James Noel</w:t>
      </w:r>
      <w:r w:rsidR="000E10C5" w:rsidRPr="004177C6">
        <w:rPr>
          <w:rStyle w:val="FootnoteReference"/>
        </w:rPr>
        <w:footnoteReference w:id="2"/>
      </w:r>
      <w:r w:rsidRPr="004177C6">
        <w:t xml:space="preserve"> filed a verified complaint in Marin County Superior Court, alleging claims under the </w:t>
      </w:r>
      <w:r w:rsidR="000E10C5">
        <w:t>u</w:t>
      </w:r>
      <w:r w:rsidRPr="004177C6">
        <w:t xml:space="preserve">nfair </w:t>
      </w:r>
      <w:r w:rsidR="000E10C5">
        <w:t>c</w:t>
      </w:r>
      <w:r w:rsidRPr="004177C6">
        <w:t xml:space="preserve">ompetition </w:t>
      </w:r>
      <w:r w:rsidR="000E10C5">
        <w:t>l</w:t>
      </w:r>
      <w:r w:rsidRPr="004177C6">
        <w:t>aw (Bus. &amp; Prof. Code, § 17200 et seq.)</w:t>
      </w:r>
      <w:r w:rsidR="00BC0C8C" w:rsidRPr="004177C6">
        <w:t xml:space="preserve"> (UCL)</w:t>
      </w:r>
      <w:r w:rsidRPr="004177C6">
        <w:t xml:space="preserve">, the </w:t>
      </w:r>
      <w:r w:rsidR="000E10C5">
        <w:t>f</w:t>
      </w:r>
      <w:r w:rsidRPr="004177C6">
        <w:t xml:space="preserve">alse </w:t>
      </w:r>
      <w:r w:rsidR="000E10C5">
        <w:t>a</w:t>
      </w:r>
      <w:r w:rsidRPr="004177C6">
        <w:t xml:space="preserve">dvertising </w:t>
      </w:r>
      <w:r w:rsidR="000E10C5">
        <w:t>l</w:t>
      </w:r>
      <w:r w:rsidRPr="004177C6">
        <w:t>aw (</w:t>
      </w:r>
      <w:r w:rsidR="000E10C5" w:rsidRPr="004177C6">
        <w:t xml:space="preserve">Bus. &amp; Prof. Code, </w:t>
      </w:r>
      <w:r w:rsidRPr="004177C6">
        <w:t>§ 17500 et</w:t>
      </w:r>
      <w:r w:rsidR="00936CE1" w:rsidRPr="004177C6">
        <w:t> </w:t>
      </w:r>
      <w:r w:rsidRPr="004177C6">
        <w:t>seq.)</w:t>
      </w:r>
      <w:r w:rsidR="00BC0C8C" w:rsidRPr="004177C6">
        <w:t xml:space="preserve"> (FAL)</w:t>
      </w:r>
      <w:r w:rsidRPr="004177C6">
        <w:t>, and the Consumers Legal Remedies Act (Civ. Code, § 1750 et seq.)</w:t>
      </w:r>
      <w:r w:rsidR="00BC0C8C" w:rsidRPr="004177C6">
        <w:t xml:space="preserve"> (CLRA)</w:t>
      </w:r>
      <w:r w:rsidRPr="004177C6">
        <w:t xml:space="preserve">.  </w:t>
      </w:r>
    </w:p>
    <w:p w14:paraId="57221130" w14:textId="2BD318EC" w:rsidR="000B26F9" w:rsidRPr="004177C6" w:rsidRDefault="000B26F9" w:rsidP="004177C6">
      <w:pPr>
        <w:ind w:firstLine="720"/>
      </w:pPr>
      <w:r w:rsidRPr="004177C6">
        <w:t xml:space="preserve">These claims arose out of Noel’s purchase of an inflatable outdoor pool marketed as </w:t>
      </w:r>
      <w:r w:rsidR="007B3655" w:rsidRPr="004177C6">
        <w:t xml:space="preserve">Kids Stuff </w:t>
      </w:r>
      <w:r w:rsidRPr="004177C6">
        <w:t xml:space="preserve">Ready Set Pool </w:t>
      </w:r>
      <w:r w:rsidR="00D953C9" w:rsidRPr="004177C6">
        <w:t xml:space="preserve">8FT X 25IN (hereinafter Ready Set Pool) </w:t>
      </w:r>
      <w:r w:rsidRPr="004177C6">
        <w:t>from a Rite Aid drugstore in San Rafael.</w:t>
      </w:r>
      <w:r w:rsidR="00BE09FC" w:rsidRPr="004177C6">
        <w:rPr>
          <w:rStyle w:val="FootnoteReference"/>
        </w:rPr>
        <w:footnoteReference w:id="3"/>
      </w:r>
      <w:r w:rsidRPr="004177C6">
        <w:t xml:space="preserve">  Noel allege</w:t>
      </w:r>
      <w:r w:rsidR="00F653F8" w:rsidRPr="004177C6">
        <w:t>s</w:t>
      </w:r>
      <w:r w:rsidRPr="004177C6">
        <w:t xml:space="preserve"> that his purchase of the pool was influenced by a photograph that appears on its </w:t>
      </w:r>
      <w:r w:rsidR="005F3A23">
        <w:t>packaging</w:t>
      </w:r>
      <w:r w:rsidRPr="004177C6">
        <w:t xml:space="preserve">.  This photo, </w:t>
      </w:r>
      <w:r w:rsidR="005F3A23">
        <w:t>as it appears within the complaint</w:t>
      </w:r>
      <w:r w:rsidRPr="004177C6">
        <w:t>, indicates that the pool can handily accommodate several adults when inflated and filled</w:t>
      </w:r>
      <w:r w:rsidR="005F3A23">
        <w:t>:</w:t>
      </w:r>
      <w:r w:rsidRPr="004177C6">
        <w:t xml:space="preserve">  </w:t>
      </w:r>
    </w:p>
    <w:p w14:paraId="50FA4F6E" w14:textId="6F5D370A" w:rsidR="000B26F9" w:rsidRPr="004177C6" w:rsidRDefault="00C94247" w:rsidP="004177C6">
      <w:r w:rsidRPr="004177C6">
        <w:rPr>
          <w:noProof/>
        </w:rPr>
        <w:drawing>
          <wp:anchor distT="0" distB="91440" distL="114300" distR="114300" simplePos="0" relativeHeight="251671552" behindDoc="0" locked="0" layoutInCell="1" allowOverlap="1" wp14:anchorId="59701474" wp14:editId="3BCD8FB7">
            <wp:simplePos x="0" y="0"/>
            <wp:positionH relativeFrom="margin">
              <wp:align>center</wp:align>
            </wp:positionH>
            <wp:positionV relativeFrom="margin">
              <wp:posOffset>3401060</wp:posOffset>
            </wp:positionV>
            <wp:extent cx="3941064" cy="2651760"/>
            <wp:effectExtent l="0" t="0" r="2540" b="0"/>
            <wp:wrapTopAndBottom/>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2621"/>
                    <a:stretch/>
                  </pic:blipFill>
                  <pic:spPr bwMode="auto">
                    <a:xfrm>
                      <a:off x="0" y="0"/>
                      <a:ext cx="3941064" cy="2651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67BE" w:rsidRPr="004177C6">
        <w:rPr>
          <w:noProof/>
        </w:rPr>
        <w:drawing>
          <wp:anchor distT="0" distB="91440" distL="114300" distR="114300" simplePos="0" relativeHeight="251664384" behindDoc="0" locked="0" layoutInCell="1" allowOverlap="1" wp14:anchorId="70EAB822" wp14:editId="77A6EA1B">
            <wp:simplePos x="0" y="0"/>
            <wp:positionH relativeFrom="margin">
              <wp:align>center</wp:align>
            </wp:positionH>
            <wp:positionV relativeFrom="page">
              <wp:posOffset>657225</wp:posOffset>
            </wp:positionV>
            <wp:extent cx="3941064" cy="2651760"/>
            <wp:effectExtent l="0" t="0" r="254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41064" cy="2651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26F9" w:rsidRPr="004177C6">
        <w:t xml:space="preserve">Noel </w:t>
      </w:r>
      <w:r w:rsidR="00BE09FC" w:rsidRPr="004177C6">
        <w:t>assert</w:t>
      </w:r>
      <w:r w:rsidR="00F653F8" w:rsidRPr="004177C6">
        <w:t>s</w:t>
      </w:r>
      <w:r w:rsidR="000B26F9" w:rsidRPr="004177C6">
        <w:t xml:space="preserve"> that when he set up the pool, he discovered that it was much smaller than the photograph on the box conveys</w:t>
      </w:r>
      <w:r w:rsidRPr="004177C6">
        <w:t xml:space="preserve">.  </w:t>
      </w:r>
      <w:r w:rsidR="005F3A23">
        <w:t>T</w:t>
      </w:r>
      <w:r w:rsidR="00EC503B">
        <w:t>o</w:t>
      </w:r>
      <w:r w:rsidR="00675130">
        <w:t xml:space="preserve"> demonstrate this</w:t>
      </w:r>
      <w:r w:rsidR="00EC503B">
        <w:t>, t</w:t>
      </w:r>
      <w:r w:rsidR="005F3A23">
        <w:t>he complaint also includes a</w:t>
      </w:r>
      <w:r w:rsidR="00D43AAE" w:rsidRPr="004177C6">
        <w:t>nother photograph</w:t>
      </w:r>
      <w:r w:rsidRPr="004177C6">
        <w:t xml:space="preserve"> of the pool, as inflated and filled</w:t>
      </w:r>
      <w:r w:rsidR="000B26F9" w:rsidRPr="004177C6">
        <w:t xml:space="preserve">:  </w:t>
      </w:r>
    </w:p>
    <w:p w14:paraId="2DC60581" w14:textId="68041AB6" w:rsidR="000B26F9" w:rsidRPr="004177C6" w:rsidRDefault="00446ABF" w:rsidP="004177C6">
      <w:r>
        <w:t>Noel’s</w:t>
      </w:r>
      <w:r w:rsidR="000B26F9" w:rsidRPr="004177C6">
        <w:t xml:space="preserve"> claims under the UCL, </w:t>
      </w:r>
      <w:r w:rsidR="00EC503B">
        <w:t xml:space="preserve">the </w:t>
      </w:r>
      <w:r w:rsidR="000B26F9" w:rsidRPr="004177C6">
        <w:t xml:space="preserve">FAL, and </w:t>
      </w:r>
      <w:r w:rsidR="00EC503B">
        <w:t xml:space="preserve">the </w:t>
      </w:r>
      <w:r w:rsidR="000B26F9" w:rsidRPr="004177C6">
        <w:t xml:space="preserve">CLRA </w:t>
      </w:r>
      <w:r w:rsidR="00734CF0" w:rsidRPr="004177C6">
        <w:t>are premised on</w:t>
      </w:r>
      <w:r w:rsidR="000B26F9" w:rsidRPr="004177C6">
        <w:t xml:space="preserve"> this alleged discrepancy.</w:t>
      </w:r>
      <w:r w:rsidR="000B26F9" w:rsidRPr="004177C6">
        <w:rPr>
          <w:rStyle w:val="FootnoteReference"/>
        </w:rPr>
        <w:footnoteReference w:id="4"/>
      </w:r>
    </w:p>
    <w:p w14:paraId="20CDF7D6" w14:textId="3937CFEC" w:rsidR="000B26F9" w:rsidRPr="004177C6" w:rsidRDefault="000B26F9" w:rsidP="004177C6">
      <w:pPr>
        <w:ind w:firstLine="720"/>
      </w:pPr>
      <w:r w:rsidRPr="004177C6">
        <w:t xml:space="preserve">In May 2014, </w:t>
      </w:r>
      <w:r w:rsidR="00446ABF">
        <w:t>Noel</w:t>
      </w:r>
      <w:r w:rsidRPr="004177C6">
        <w:t xml:space="preserve"> moved to certify a class defined as “</w:t>
      </w:r>
      <w:r w:rsidR="000E10C5">
        <w:t>[a]</w:t>
      </w:r>
      <w:r w:rsidRPr="004177C6">
        <w:t xml:space="preserve">ll persons who purchased the Ready Set Pool at a Rite Aid store located in California within the four years preceding the date of the filing of this action.”  By that time, </w:t>
      </w:r>
      <w:r w:rsidR="00446ABF">
        <w:t>Noel</w:t>
      </w:r>
      <w:r w:rsidRPr="004177C6">
        <w:t xml:space="preserve"> had conducted discovery that yielded the total number of Ready Set Pools that Rite Aid had sold in California during the class period (20,752, with 2,479 of the</w:t>
      </w:r>
      <w:r w:rsidR="000367BE" w:rsidRPr="004177C6">
        <w:t xml:space="preserve"> pools</w:t>
      </w:r>
      <w:r w:rsidRPr="004177C6">
        <w:t xml:space="preserve"> being returned), and the revenue obtained through these sales ($949,279.34).  </w:t>
      </w:r>
      <w:r w:rsidR="00446ABF">
        <w:t>Noel’s</w:t>
      </w:r>
      <w:r w:rsidRPr="004177C6">
        <w:t xml:space="preserve"> discovery did not, however, delve into whether Rite Aid kept records of these transactions, or into the more general subjects of whether</w:t>
      </w:r>
      <w:r w:rsidR="000C4DC0">
        <w:t xml:space="preserve"> and how</w:t>
      </w:r>
      <w:r w:rsidRPr="004177C6">
        <w:t xml:space="preserve"> Rite Aid collected </w:t>
      </w:r>
      <w:r w:rsidR="00306ECE" w:rsidRPr="004177C6">
        <w:t xml:space="preserve">contact </w:t>
      </w:r>
      <w:r w:rsidRPr="004177C6">
        <w:t xml:space="preserve">information </w:t>
      </w:r>
      <w:r w:rsidR="000C4DC0">
        <w:t>from</w:t>
      </w:r>
      <w:r w:rsidRPr="004177C6">
        <w:t xml:space="preserve"> its customers and how it disseminated information to them.</w:t>
      </w:r>
      <w:r w:rsidRPr="004177C6">
        <w:rPr>
          <w:rStyle w:val="FootnoteReference"/>
        </w:rPr>
        <w:footnoteReference w:id="5"/>
      </w:r>
      <w:r w:rsidRPr="004177C6">
        <w:t xml:space="preserve">  </w:t>
      </w:r>
    </w:p>
    <w:p w14:paraId="18A99BA5" w14:textId="2078F87D" w:rsidR="000B26F9" w:rsidRPr="004177C6" w:rsidRDefault="000B26F9" w:rsidP="004177C6">
      <w:pPr>
        <w:ind w:firstLine="720"/>
      </w:pPr>
      <w:r w:rsidRPr="004177C6">
        <w:t xml:space="preserve">In </w:t>
      </w:r>
      <w:r w:rsidR="0039092C">
        <w:t>opposing class certification</w:t>
      </w:r>
      <w:r w:rsidRPr="004177C6">
        <w:t>, Rite Aid argued that Noel had not demonstrated the existence of an ascertainable class — a well-established prerequisite for class certification</w:t>
      </w:r>
      <w:r w:rsidR="00CA0F5C">
        <w:t xml:space="preserve"> </w:t>
      </w:r>
      <w:r w:rsidR="00446ABF">
        <w:t>under section 382 of the Code of Civil Procedure</w:t>
      </w:r>
      <w:r w:rsidRPr="004177C6">
        <w:t xml:space="preserve">.  </w:t>
      </w:r>
      <w:r w:rsidRPr="004177C6">
        <w:rPr>
          <w:color w:val="000000" w:themeColor="text1"/>
        </w:rPr>
        <w:t xml:space="preserve">(See, e.g., </w:t>
      </w:r>
      <w:r w:rsidRPr="004177C6">
        <w:rPr>
          <w:i/>
          <w:color w:val="000000" w:themeColor="text1"/>
        </w:rPr>
        <w:t>Brinker Restaurant Corp. v. Superior Court</w:t>
      </w:r>
      <w:r w:rsidRPr="004177C6">
        <w:rPr>
          <w:color w:val="000000" w:themeColor="text1"/>
        </w:rPr>
        <w:t xml:space="preserve"> (2012) 53 Cal.4th 1004, 1021 (</w:t>
      </w:r>
      <w:r w:rsidRPr="004177C6">
        <w:rPr>
          <w:i/>
          <w:color w:val="000000" w:themeColor="text1"/>
        </w:rPr>
        <w:t>Brinker</w:t>
      </w:r>
      <w:r w:rsidRPr="004177C6">
        <w:rPr>
          <w:color w:val="000000" w:themeColor="text1"/>
        </w:rPr>
        <w:t xml:space="preserve">); </w:t>
      </w:r>
      <w:r w:rsidRPr="004177C6">
        <w:rPr>
          <w:rFonts w:cstheme="minorHAnsi"/>
          <w:i/>
          <w:color w:val="000000" w:themeColor="text1"/>
          <w:szCs w:val="27"/>
        </w:rPr>
        <w:t>In re Tobacco II Cases</w:t>
      </w:r>
      <w:r w:rsidRPr="004177C6">
        <w:rPr>
          <w:rFonts w:cstheme="minorHAnsi"/>
          <w:color w:val="000000" w:themeColor="text1"/>
          <w:szCs w:val="27"/>
        </w:rPr>
        <w:t xml:space="preserve"> (2009) 46 Cal.4th 298, 318 (</w:t>
      </w:r>
      <w:r w:rsidRPr="004177C6">
        <w:rPr>
          <w:rFonts w:cstheme="minorHAnsi"/>
          <w:i/>
          <w:color w:val="000000" w:themeColor="text1"/>
          <w:szCs w:val="27"/>
        </w:rPr>
        <w:t>In re Tobacco II</w:t>
      </w:r>
      <w:r w:rsidRPr="004177C6">
        <w:rPr>
          <w:rFonts w:cstheme="minorHAnsi"/>
          <w:color w:val="000000" w:themeColor="text1"/>
          <w:szCs w:val="27"/>
        </w:rPr>
        <w:t xml:space="preserve">); </w:t>
      </w:r>
      <w:r w:rsidRPr="004177C6">
        <w:rPr>
          <w:rFonts w:cstheme="minorHAnsi"/>
          <w:i/>
          <w:color w:val="000000" w:themeColor="text1"/>
          <w:szCs w:val="27"/>
        </w:rPr>
        <w:t>Sav-On Drug Stores, Inc. v. Superior Court</w:t>
      </w:r>
      <w:r w:rsidRPr="004177C6">
        <w:rPr>
          <w:rFonts w:cstheme="minorHAnsi"/>
          <w:color w:val="000000" w:themeColor="text1"/>
          <w:szCs w:val="27"/>
        </w:rPr>
        <w:t xml:space="preserve"> (2004) 34 Cal.4th 319, 326 (</w:t>
      </w:r>
      <w:r w:rsidRPr="004177C6">
        <w:rPr>
          <w:rFonts w:cstheme="minorHAnsi"/>
          <w:i/>
          <w:color w:val="000000" w:themeColor="text1"/>
          <w:szCs w:val="27"/>
        </w:rPr>
        <w:t>Sav-On</w:t>
      </w:r>
      <w:r w:rsidRPr="004177C6">
        <w:rPr>
          <w:rFonts w:cstheme="minorHAnsi"/>
          <w:color w:val="000000" w:themeColor="text1"/>
          <w:szCs w:val="27"/>
        </w:rPr>
        <w:t xml:space="preserve">); </w:t>
      </w:r>
      <w:r w:rsidRPr="004177C6">
        <w:rPr>
          <w:i/>
          <w:color w:val="000000" w:themeColor="text1"/>
        </w:rPr>
        <w:t>Linder v. Thrifty Oil Co.</w:t>
      </w:r>
      <w:r w:rsidRPr="004177C6">
        <w:rPr>
          <w:color w:val="000000" w:themeColor="text1"/>
        </w:rPr>
        <w:t xml:space="preserve"> (2000) 23 Cal.4th 429, 435 (</w:t>
      </w:r>
      <w:r w:rsidRPr="004177C6">
        <w:rPr>
          <w:i/>
          <w:color w:val="000000" w:themeColor="text1"/>
        </w:rPr>
        <w:t>Linder</w:t>
      </w:r>
      <w:r w:rsidRPr="004177C6">
        <w:rPr>
          <w:color w:val="000000" w:themeColor="text1"/>
        </w:rPr>
        <w:t xml:space="preserve">); </w:t>
      </w:r>
      <w:r w:rsidRPr="004177C6">
        <w:rPr>
          <w:i/>
          <w:color w:val="000000" w:themeColor="text1"/>
        </w:rPr>
        <w:t>Richmond v. Dart Industries, Inc.</w:t>
      </w:r>
      <w:r w:rsidRPr="004177C6">
        <w:rPr>
          <w:color w:val="000000" w:themeColor="text1"/>
        </w:rPr>
        <w:t xml:space="preserve"> (1981) 29 Cal.3d 462, 470 (</w:t>
      </w:r>
      <w:r w:rsidRPr="004177C6">
        <w:rPr>
          <w:i/>
          <w:color w:val="000000" w:themeColor="text1"/>
        </w:rPr>
        <w:t>Richmond</w:t>
      </w:r>
      <w:r w:rsidRPr="004177C6">
        <w:rPr>
          <w:color w:val="000000" w:themeColor="text1"/>
        </w:rPr>
        <w:t xml:space="preserve">); </w:t>
      </w:r>
      <w:r w:rsidRPr="004177C6">
        <w:rPr>
          <w:i/>
          <w:color w:val="000000" w:themeColor="text1"/>
        </w:rPr>
        <w:t>Vasquez v. Superior Court</w:t>
      </w:r>
      <w:r w:rsidRPr="004177C6">
        <w:rPr>
          <w:color w:val="000000" w:themeColor="text1"/>
        </w:rPr>
        <w:t xml:space="preserve"> (1971) 4 Cal.3d 800, 809 (</w:t>
      </w:r>
      <w:r w:rsidRPr="004177C6">
        <w:rPr>
          <w:i/>
          <w:color w:val="000000" w:themeColor="text1"/>
        </w:rPr>
        <w:t>Vasquez</w:t>
      </w:r>
      <w:r w:rsidRPr="004177C6">
        <w:rPr>
          <w:color w:val="000000" w:themeColor="text1"/>
        </w:rPr>
        <w:t xml:space="preserve">); </w:t>
      </w:r>
      <w:r w:rsidRPr="004177C6">
        <w:rPr>
          <w:i/>
          <w:color w:val="000000" w:themeColor="text1"/>
        </w:rPr>
        <w:t>Daar v. Yellow Cab Co.</w:t>
      </w:r>
      <w:r w:rsidRPr="004177C6">
        <w:rPr>
          <w:color w:val="000000" w:themeColor="text1"/>
        </w:rPr>
        <w:t xml:space="preserve"> (1967) 67 Cal.2d 695, 704 (</w:t>
      </w:r>
      <w:r w:rsidRPr="004177C6">
        <w:rPr>
          <w:i/>
          <w:color w:val="000000" w:themeColor="text1"/>
        </w:rPr>
        <w:t>Daar</w:t>
      </w:r>
      <w:r w:rsidRPr="004177C6">
        <w:rPr>
          <w:color w:val="000000" w:themeColor="text1"/>
        </w:rPr>
        <w:t>).)</w:t>
      </w:r>
      <w:r w:rsidRPr="004177C6">
        <w:t xml:space="preserve">  Specifically, Rite Aid asserted that</w:t>
      </w:r>
      <w:r w:rsidR="00EC503B">
        <w:t xml:space="preserve"> to show an ascertainable class, </w:t>
      </w:r>
      <w:r w:rsidRPr="004177C6">
        <w:t xml:space="preserve">Noel bore the burden of introducing evidence </w:t>
      </w:r>
      <w:r w:rsidR="0039092C">
        <w:t xml:space="preserve">in connection with his certification motion </w:t>
      </w:r>
      <w:r w:rsidRPr="004177C6">
        <w:t xml:space="preserve">that would show how members of the putative class could be identified later in the proceeding, so they could be provided with notice of the pending action.  In Rite Aid’s view, Noel’s failure to supply </w:t>
      </w:r>
      <w:r w:rsidR="00EC503B">
        <w:t>such</w:t>
      </w:r>
      <w:r w:rsidRPr="004177C6">
        <w:t xml:space="preserve"> proof doomed his certification effort. </w:t>
      </w:r>
    </w:p>
    <w:p w14:paraId="3DC4C6AF" w14:textId="77777777" w:rsidR="000B26F9" w:rsidRPr="004177C6" w:rsidRDefault="000B26F9" w:rsidP="004177C6">
      <w:pPr>
        <w:ind w:firstLine="720"/>
      </w:pPr>
      <w:r w:rsidRPr="004177C6">
        <w:t xml:space="preserve">Noel </w:t>
      </w:r>
      <w:r w:rsidR="006B5B45">
        <w:t>responded</w:t>
      </w:r>
      <w:r w:rsidRPr="004177C6">
        <w:t xml:space="preserve"> that he had no obligation to offer evidence on this </w:t>
      </w:r>
      <w:r w:rsidR="001F4FF3" w:rsidRPr="004177C6">
        <w:t>issue</w:t>
      </w:r>
      <w:r w:rsidRPr="004177C6">
        <w:t xml:space="preserve"> in order to secure certification of the class</w:t>
      </w:r>
      <w:r w:rsidR="005F3A23">
        <w:t xml:space="preserve"> he proposed</w:t>
      </w:r>
      <w:r w:rsidRPr="004177C6">
        <w:t xml:space="preserve">.  </w:t>
      </w:r>
      <w:r w:rsidR="0027702D" w:rsidRPr="004177C6">
        <w:t xml:space="preserve">His </w:t>
      </w:r>
      <w:r w:rsidR="00F56CBC">
        <w:t>briefing in support of</w:t>
      </w:r>
      <w:r w:rsidRPr="004177C6">
        <w:t xml:space="preserve"> class certification described various ways in which notice of the action </w:t>
      </w:r>
      <w:r w:rsidR="00313A0E" w:rsidRPr="004177C6">
        <w:t xml:space="preserve">might be </w:t>
      </w:r>
      <w:r w:rsidR="00306ECE" w:rsidRPr="004177C6">
        <w:t>distributed</w:t>
      </w:r>
      <w:r w:rsidR="00313A0E" w:rsidRPr="004177C6">
        <w:t xml:space="preserve"> </w:t>
      </w:r>
      <w:r w:rsidRPr="004177C6">
        <w:t xml:space="preserve">to </w:t>
      </w:r>
      <w:r w:rsidR="00313A0E" w:rsidRPr="004177C6">
        <w:t>absent class members</w:t>
      </w:r>
      <w:r w:rsidRPr="004177C6">
        <w:t xml:space="preserve"> when the time came to do so.</w:t>
      </w:r>
      <w:r w:rsidR="0027702D" w:rsidRPr="004177C6">
        <w:rPr>
          <w:rStyle w:val="FootnoteReference"/>
        </w:rPr>
        <w:footnoteReference w:id="6"/>
      </w:r>
      <w:r w:rsidRPr="004177C6">
        <w:t xml:space="preserve">  He explained that “modern day point of sale systems used by major retailers such as Rite Aid can already track purchases by customers who pay by credit card.  Many of those customers likely belong to Rite Aid’s reward savings program, which means Rite Aid has contact information for these individuals.  Thus, Rite Aid should be quite capable of sending individual notices to these purchasers.”  Noel also claimed that Rite Aid “sends weekly e-mails to subscribers alerting them to new sales and deals” and mails out weekly advertisements to California customers, providing two other avenues through which notice could be provided</w:t>
      </w:r>
      <w:r w:rsidR="005F3A23">
        <w:t xml:space="preserve"> to absent class members</w:t>
      </w:r>
      <w:r w:rsidRPr="004177C6">
        <w:t xml:space="preserve">.  </w:t>
      </w:r>
      <w:r w:rsidR="00F56CBC">
        <w:t xml:space="preserve">However, </w:t>
      </w:r>
      <w:r w:rsidRPr="004177C6">
        <w:t>Noel pointed to no evidence in the record (whether in the form of declarations, interrogatory responses or admissions by Rite</w:t>
      </w:r>
      <w:r w:rsidR="00D43AAE" w:rsidRPr="004177C6">
        <w:t xml:space="preserve"> </w:t>
      </w:r>
      <w:r w:rsidRPr="004177C6">
        <w:t xml:space="preserve">Aid, deposition testimony, or information presented via a request for judicial notice) </w:t>
      </w:r>
      <w:r w:rsidR="00F56CBC">
        <w:t xml:space="preserve">that </w:t>
      </w:r>
      <w:r w:rsidRPr="004177C6">
        <w:t>substantiat</w:t>
      </w:r>
      <w:r w:rsidR="00F56CBC">
        <w:t>ed</w:t>
      </w:r>
      <w:r w:rsidRPr="004177C6">
        <w:t xml:space="preserve"> </w:t>
      </w:r>
      <w:r w:rsidR="007F2FBF">
        <w:t>his</w:t>
      </w:r>
      <w:r w:rsidRPr="004177C6">
        <w:t xml:space="preserve"> assertions</w:t>
      </w:r>
      <w:r w:rsidR="0020258E">
        <w:t xml:space="preserve"> regarding how class members could be </w:t>
      </w:r>
      <w:r w:rsidR="00B02C09">
        <w:t>notified</w:t>
      </w:r>
      <w:r w:rsidRPr="004177C6">
        <w:t xml:space="preserve">.  He did not, for example, supply </w:t>
      </w:r>
      <w:r w:rsidR="001F4FF3" w:rsidRPr="004177C6">
        <w:t xml:space="preserve">the trial court with </w:t>
      </w:r>
      <w:r w:rsidR="00FA4282" w:rsidRPr="004177C6">
        <w:t xml:space="preserve">specific </w:t>
      </w:r>
      <w:r w:rsidRPr="004177C6">
        <w:t>proof that</w:t>
      </w:r>
      <w:r w:rsidR="00FA4282" w:rsidRPr="004177C6">
        <w:t>, through a loyalty program,</w:t>
      </w:r>
      <w:r w:rsidRPr="004177C6">
        <w:t xml:space="preserve"> Rite</w:t>
      </w:r>
      <w:r w:rsidR="00BB764F" w:rsidRPr="004177C6">
        <w:t xml:space="preserve"> </w:t>
      </w:r>
      <w:r w:rsidRPr="004177C6">
        <w:t xml:space="preserve">Aid </w:t>
      </w:r>
      <w:r w:rsidR="00FA4282" w:rsidRPr="004177C6">
        <w:t>has access to pertinent customer contact information</w:t>
      </w:r>
      <w:r w:rsidRPr="004177C6">
        <w:t>.</w:t>
      </w:r>
    </w:p>
    <w:p w14:paraId="4106F4D3" w14:textId="77777777" w:rsidR="00526110" w:rsidRDefault="000B26F9" w:rsidP="004177C6">
      <w:pPr>
        <w:ind w:firstLine="720"/>
      </w:pPr>
      <w:r w:rsidRPr="004177C6">
        <w:t xml:space="preserve">The trial court denied the motion for class certification.  </w:t>
      </w:r>
      <w:r w:rsidR="00FD6BC8" w:rsidRPr="004177C6">
        <w:t>The court’s</w:t>
      </w:r>
      <w:r w:rsidR="001F4FF3" w:rsidRPr="004177C6">
        <w:t xml:space="preserve"> order</w:t>
      </w:r>
      <w:r w:rsidRPr="004177C6">
        <w:t xml:space="preserve"> explained that “[w]hile the court might reasonably infer that the class, as defined by [p]laintiff, could be ascertained based on common business practices and record keeping, [p]laintiff has presented no evidence on this subject.  Absent some evidence as to what method or methods will be utilized to identify the class members, what records are available, (either from [d]efendant, the manufacturer, or other entities such as banks or credit institutions), how those records would be obtained, what those records will show, and how burdensome their production would be, the court is without sufficient evidence to determine whether the proposed class is ascertainable.  Accordingly, [the] motion to certify must be denied.”  </w:t>
      </w:r>
    </w:p>
    <w:p w14:paraId="42EB26E8" w14:textId="7A3AFBD6" w:rsidR="000B26F9" w:rsidRPr="004177C6" w:rsidRDefault="000B26F9" w:rsidP="004177C6">
      <w:pPr>
        <w:ind w:firstLine="720"/>
      </w:pPr>
      <w:r w:rsidRPr="004177C6">
        <w:t>The</w:t>
      </w:r>
      <w:r w:rsidR="00C9171E">
        <w:t xml:space="preserve"> trial</w:t>
      </w:r>
      <w:r w:rsidRPr="004177C6">
        <w:t xml:space="preserve"> court also </w:t>
      </w:r>
      <w:r w:rsidR="00675130">
        <w:t>declined</w:t>
      </w:r>
      <w:r w:rsidR="00426183" w:rsidRPr="004177C6">
        <w:t xml:space="preserve"> to certify</w:t>
      </w:r>
      <w:r w:rsidR="001F4FF3" w:rsidRPr="004177C6">
        <w:t xml:space="preserve"> a class </w:t>
      </w:r>
      <w:r w:rsidR="00C9171E">
        <w:t>in connection with</w:t>
      </w:r>
      <w:r w:rsidRPr="004177C6">
        <w:t xml:space="preserve"> Noel’s CLRA claim</w:t>
      </w:r>
      <w:r w:rsidR="00675130">
        <w:t xml:space="preserve"> for a second, separate reason</w:t>
      </w:r>
      <w:r w:rsidRPr="004177C6">
        <w:t xml:space="preserve">.  </w:t>
      </w:r>
      <w:r w:rsidR="00C9171E">
        <w:t>In the court’s view,</w:t>
      </w:r>
      <w:r w:rsidRPr="004177C6">
        <w:t xml:space="preserve"> common issues did not predominate</w:t>
      </w:r>
      <w:r w:rsidR="00931C76" w:rsidRPr="004177C6">
        <w:t xml:space="preserve"> with this claim</w:t>
      </w:r>
      <w:r w:rsidR="00313A0E" w:rsidRPr="004177C6">
        <w:t xml:space="preserve"> because</w:t>
      </w:r>
      <w:r w:rsidR="00931C76" w:rsidRPr="004177C6">
        <w:t xml:space="preserve"> reliance had to be prove</w:t>
      </w:r>
      <w:r w:rsidR="00404FD5" w:rsidRPr="004177C6">
        <w:t>d</w:t>
      </w:r>
      <w:r w:rsidR="00931C76" w:rsidRPr="004177C6">
        <w:t xml:space="preserve"> individually</w:t>
      </w:r>
      <w:r w:rsidR="00C9171E">
        <w:t xml:space="preserve"> as to each </w:t>
      </w:r>
      <w:r w:rsidR="00A35ED1">
        <w:t>class member</w:t>
      </w:r>
      <w:r w:rsidRPr="004177C6">
        <w:t xml:space="preserve">.  </w:t>
      </w:r>
      <w:r w:rsidR="00931C76" w:rsidRPr="004177C6">
        <w:t xml:space="preserve">Finally, the court </w:t>
      </w:r>
      <w:r w:rsidR="00675130">
        <w:t xml:space="preserve">also </w:t>
      </w:r>
      <w:r w:rsidR="00931C76" w:rsidRPr="004177C6">
        <w:t xml:space="preserve">found “that a class action is not superior to numerous individual actions, in light of the above findings.  The class action will be no more efficient than individual actions in light of the individual issues that must be presented on the issue of reliance and damages.”  </w:t>
      </w:r>
      <w:r w:rsidR="006B12F3" w:rsidRPr="004177C6">
        <w:t>The</w:t>
      </w:r>
      <w:r w:rsidR="00D54091" w:rsidRPr="004177C6">
        <w:t xml:space="preserve"> court’s</w:t>
      </w:r>
      <w:r w:rsidR="006B12F3" w:rsidRPr="004177C6">
        <w:t xml:space="preserve"> order was not clear whether this last determination applied only to the CLRA class</w:t>
      </w:r>
      <w:r w:rsidR="00D54091" w:rsidRPr="004177C6">
        <w:t>,</w:t>
      </w:r>
      <w:r w:rsidR="00306ECE" w:rsidRPr="004177C6">
        <w:t xml:space="preserve"> as might be inferred by </w:t>
      </w:r>
      <w:r w:rsidR="00675130">
        <w:t>the</w:t>
      </w:r>
      <w:r w:rsidR="00306ECE" w:rsidRPr="004177C6">
        <w:t xml:space="preserve"> reference to reliance,</w:t>
      </w:r>
      <w:r w:rsidR="00D54091" w:rsidRPr="004177C6">
        <w:t xml:space="preserve"> or to the action as a whole</w:t>
      </w:r>
      <w:r w:rsidR="006B12F3" w:rsidRPr="004177C6">
        <w:t>.</w:t>
      </w:r>
    </w:p>
    <w:p w14:paraId="52406D78" w14:textId="4D133805" w:rsidR="000B26F9" w:rsidRPr="004177C6" w:rsidRDefault="009B7FE7" w:rsidP="004177C6">
      <w:pPr>
        <w:ind w:firstLine="720"/>
      </w:pPr>
      <w:r>
        <w:t xml:space="preserve">After </w:t>
      </w:r>
      <w:r w:rsidR="00446ABF">
        <w:t>Noel</w:t>
      </w:r>
      <w:r w:rsidR="000B26F9" w:rsidRPr="004177C6">
        <w:t xml:space="preserve"> appeal</w:t>
      </w:r>
      <w:r>
        <w:t>ed</w:t>
      </w:r>
      <w:r w:rsidR="000B26F9" w:rsidRPr="004177C6">
        <w:t xml:space="preserve"> (see </w:t>
      </w:r>
      <w:r w:rsidR="000B26F9" w:rsidRPr="004177C6">
        <w:rPr>
          <w:i/>
        </w:rPr>
        <w:t>Linder</w:t>
      </w:r>
      <w:r w:rsidR="000B26F9" w:rsidRPr="004177C6">
        <w:t xml:space="preserve">, </w:t>
      </w:r>
      <w:r w:rsidR="000B26F9" w:rsidRPr="004177C6">
        <w:rPr>
          <w:i/>
        </w:rPr>
        <w:t>supra</w:t>
      </w:r>
      <w:r w:rsidR="000B26F9" w:rsidRPr="004177C6">
        <w:t>, 23 Cal.4th at p.</w:t>
      </w:r>
      <w:r w:rsidR="00DF4A4D">
        <w:t> </w:t>
      </w:r>
      <w:r w:rsidR="000B26F9" w:rsidRPr="004177C6">
        <w:t xml:space="preserve">435 [denial of certification to an entire class is an appealable order]), the Court of Appeal </w:t>
      </w:r>
      <w:r w:rsidR="00C9171E">
        <w:t>found</w:t>
      </w:r>
      <w:r w:rsidR="000B26F9" w:rsidRPr="004177C6">
        <w:t xml:space="preserve"> no abuse of discretion in the denial of class certification.  (</w:t>
      </w:r>
      <w:r w:rsidR="000B26F9" w:rsidRPr="004177C6">
        <w:rPr>
          <w:i/>
        </w:rPr>
        <w:t>Noel v. Thrifty Payless, Inc.</w:t>
      </w:r>
      <w:r w:rsidR="000B26F9" w:rsidRPr="004177C6">
        <w:t xml:space="preserve"> (2017) 17 Cal.App.5th 1315</w:t>
      </w:r>
      <w:r w:rsidR="00E82CCD" w:rsidRPr="004177C6">
        <w:t>, 1321</w:t>
      </w:r>
      <w:r w:rsidR="000B26F9" w:rsidRPr="004177C6">
        <w:t xml:space="preserve"> (</w:t>
      </w:r>
      <w:r w:rsidR="000B26F9" w:rsidRPr="004177C6">
        <w:rPr>
          <w:i/>
        </w:rPr>
        <w:t>Noel</w:t>
      </w:r>
      <w:r w:rsidR="000B26F9" w:rsidRPr="004177C6">
        <w:t xml:space="preserve">).)  </w:t>
      </w:r>
      <w:r w:rsidR="00F56CBC">
        <w:t>Addressing</w:t>
      </w:r>
      <w:r w:rsidR="000B26F9" w:rsidRPr="004177C6">
        <w:t xml:space="preserve"> the superior court’s </w:t>
      </w:r>
      <w:r w:rsidR="00C9171E" w:rsidRPr="004177C6">
        <w:t>determination</w:t>
      </w:r>
      <w:r w:rsidR="00C9171E">
        <w:t xml:space="preserve"> </w:t>
      </w:r>
      <w:r w:rsidR="00F56CBC">
        <w:t xml:space="preserve">that </w:t>
      </w:r>
      <w:r w:rsidR="00446ABF">
        <w:t>Noel</w:t>
      </w:r>
      <w:r w:rsidR="00F56CBC">
        <w:t xml:space="preserve"> had not shown an</w:t>
      </w:r>
      <w:r w:rsidR="00C9171E">
        <w:t xml:space="preserve"> </w:t>
      </w:r>
      <w:r w:rsidR="00C9171E" w:rsidRPr="004177C6">
        <w:t>ascertainab</w:t>
      </w:r>
      <w:r w:rsidR="00F56CBC">
        <w:t>le class</w:t>
      </w:r>
      <w:r w:rsidR="000B26F9" w:rsidRPr="004177C6">
        <w:t xml:space="preserve">, </w:t>
      </w:r>
      <w:r w:rsidR="00D43AAE" w:rsidRPr="004177C6">
        <w:t>the reviewing court</w:t>
      </w:r>
      <w:r w:rsidR="000B26F9" w:rsidRPr="004177C6">
        <w:t xml:space="preserve"> diagnosed “the underlying problem with the class certification motion” as “class counsel’s premature filing of the motion without first conducting sufficient discovery to meet its burden of demonstrating there are means of identifying members of the putative class so that they might be notified of the pendency of the litigation.”  (</w:t>
      </w:r>
      <w:r w:rsidR="000B26F9" w:rsidRPr="004177C6">
        <w:rPr>
          <w:i/>
        </w:rPr>
        <w:t>I</w:t>
      </w:r>
      <w:r w:rsidR="00E82CCD" w:rsidRPr="004177C6">
        <w:rPr>
          <w:i/>
        </w:rPr>
        <w:t>bi</w:t>
      </w:r>
      <w:r w:rsidR="000B26F9" w:rsidRPr="004177C6">
        <w:rPr>
          <w:i/>
        </w:rPr>
        <w:t>d</w:t>
      </w:r>
      <w:r w:rsidR="000B26F9" w:rsidRPr="004177C6">
        <w:t xml:space="preserve">.)  The Court of Appeal emphasized that </w:t>
      </w:r>
      <w:r w:rsidR="006B5B45">
        <w:t>Noel</w:t>
      </w:r>
      <w:r w:rsidR="000B26F9" w:rsidRPr="004177C6">
        <w:t xml:space="preserve"> had “submitted nothing offering a glimmer of insight into who purchased the pools or how one might find that out.  He neither described nor produced Rite Aid’s records</w:t>
      </w:r>
      <w:r w:rsidR="00AB77D0" w:rsidRPr="004177C6">
        <w:t xml:space="preserve"> . . . </w:t>
      </w:r>
      <w:r w:rsidR="000B26F9" w:rsidRPr="004177C6">
        <w:t>nor did he indicate how much</w:t>
      </w:r>
      <w:r w:rsidR="00F3201D">
        <w:t xml:space="preserve"> . . . </w:t>
      </w:r>
      <w:r w:rsidR="000B26F9" w:rsidRPr="004177C6">
        <w:t>information those records might reveal.  Unless Noel could propose some realistic way of associating names and contact information with the 20,000-plus transactions identified by interrogatory response, there remained a serious due process question in certifying a class action.”  (</w:t>
      </w:r>
      <w:r w:rsidR="000B26F9" w:rsidRPr="004177C6">
        <w:rPr>
          <w:i/>
        </w:rPr>
        <w:t>Id</w:t>
      </w:r>
      <w:r w:rsidR="000B26F9" w:rsidRPr="004177C6">
        <w:t xml:space="preserve">., at p. 1328.)  The Court of Appeal continued, “While Noel was not required to actually identify the 20,000-plus individuals who bought pools, his failure to come up with any </w:t>
      </w:r>
      <w:r w:rsidR="000B26F9" w:rsidRPr="004177C6">
        <w:rPr>
          <w:i/>
        </w:rPr>
        <w:t>means</w:t>
      </w:r>
      <w:r w:rsidR="000B26F9" w:rsidRPr="004177C6">
        <w:t xml:space="preserve"> of identifying them was a legitimate basis for denying class certification.”  (</w:t>
      </w:r>
      <w:r w:rsidR="000B26F9" w:rsidRPr="004177C6">
        <w:rPr>
          <w:i/>
        </w:rPr>
        <w:t>Ibid</w:t>
      </w:r>
      <w:r w:rsidR="000B26F9" w:rsidRPr="004177C6">
        <w:t>.)</w:t>
      </w:r>
      <w:r w:rsidR="00784616" w:rsidRPr="004177C6">
        <w:rPr>
          <w:rStyle w:val="FootnoteReference"/>
        </w:rPr>
        <w:footnoteReference w:id="7"/>
      </w:r>
    </w:p>
    <w:p w14:paraId="0CB4709C" w14:textId="7218B63B" w:rsidR="000B26F9" w:rsidRPr="004177C6" w:rsidRDefault="000B26F9" w:rsidP="004177C6">
      <w:pPr>
        <w:ind w:firstLine="720"/>
      </w:pPr>
      <w:r w:rsidRPr="004177C6">
        <w:t xml:space="preserve">The Court of Appeal </w:t>
      </w:r>
      <w:r w:rsidR="00C9171E">
        <w:t>sought to harmonize</w:t>
      </w:r>
      <w:r w:rsidRPr="004177C6">
        <w:t xml:space="preserve"> its </w:t>
      </w:r>
      <w:r w:rsidR="006B12F3" w:rsidRPr="004177C6">
        <w:t>understanding</w:t>
      </w:r>
      <w:r w:rsidRPr="004177C6">
        <w:t xml:space="preserve"> of the ascertainability requirement with the </w:t>
      </w:r>
      <w:r w:rsidR="00C9171E">
        <w:t>views of</w:t>
      </w:r>
      <w:r w:rsidRPr="004177C6">
        <w:t xml:space="preserve"> other courts.  The</w:t>
      </w:r>
      <w:r w:rsidR="00EA4670">
        <w:t xml:space="preserve"> Court of Appeal noted that the</w:t>
      </w:r>
      <w:r w:rsidRPr="004177C6">
        <w:t xml:space="preserve"> court in </w:t>
      </w:r>
      <w:r w:rsidRPr="004177C6">
        <w:rPr>
          <w:i/>
        </w:rPr>
        <w:t>Estrada v. FedEx Ground Package System, Inc.</w:t>
      </w:r>
      <w:r w:rsidRPr="004177C6">
        <w:t xml:space="preserve"> (2007) 154 Cal.App.4th 1 (</w:t>
      </w:r>
      <w:r w:rsidRPr="004177C6">
        <w:rPr>
          <w:i/>
        </w:rPr>
        <w:t>Estrada</w:t>
      </w:r>
      <w:r w:rsidRPr="004177C6">
        <w:t xml:space="preserve">) </w:t>
      </w:r>
      <w:r w:rsidR="00784616">
        <w:t xml:space="preserve">had </w:t>
      </w:r>
      <w:r w:rsidR="009B7FE7">
        <w:t>regarded</w:t>
      </w:r>
      <w:r w:rsidR="006B5B45">
        <w:t xml:space="preserve"> </w:t>
      </w:r>
      <w:r w:rsidR="009B7FE7">
        <w:t xml:space="preserve">a class as </w:t>
      </w:r>
      <w:r w:rsidR="000A07AD">
        <w:t>“ ‘</w:t>
      </w:r>
      <w:r w:rsidRPr="004177C6">
        <w:t>ascertainable if it identifies a group of unnamed plaintiffs by describing a set of common characteristics sufficient to allow a member of that group to identify himself as having a right to recover based on th</w:t>
      </w:r>
      <w:r w:rsidR="00F3201D">
        <w:t>e</w:t>
      </w:r>
      <w:r w:rsidRPr="004177C6">
        <w:t xml:space="preserve"> description.</w:t>
      </w:r>
      <w:r w:rsidR="00EA4670">
        <w:t>’ </w:t>
      </w:r>
      <w:r w:rsidRPr="004177C6">
        <w:t>”  (</w:t>
      </w:r>
      <w:r w:rsidR="00EA4670" w:rsidRPr="00EA4670">
        <w:rPr>
          <w:i/>
        </w:rPr>
        <w:t>Noel</w:t>
      </w:r>
      <w:r w:rsidR="00EA4670">
        <w:t xml:space="preserve">, </w:t>
      </w:r>
      <w:r w:rsidR="00EA4670" w:rsidRPr="00EA4670">
        <w:rPr>
          <w:i/>
        </w:rPr>
        <w:t>supra</w:t>
      </w:r>
      <w:r w:rsidR="00EA4670">
        <w:t>, 17 Cal.App.5</w:t>
      </w:r>
      <w:r w:rsidR="00EA4670" w:rsidRPr="00EA4670">
        <w:t>th</w:t>
      </w:r>
      <w:r w:rsidR="00EA4670">
        <w:t xml:space="preserve"> at p. 1326, quoting </w:t>
      </w:r>
      <w:r w:rsidR="00EA4670" w:rsidRPr="00EA4670">
        <w:rPr>
          <w:i/>
        </w:rPr>
        <w:t>Estrada</w:t>
      </w:r>
      <w:r w:rsidRPr="004177C6">
        <w:t>, at p.</w:t>
      </w:r>
      <w:r w:rsidR="00681C6E" w:rsidRPr="004177C6">
        <w:t> </w:t>
      </w:r>
      <w:r w:rsidRPr="004177C6">
        <w:t>14</w:t>
      </w:r>
      <w:r w:rsidR="000A07AD">
        <w:t>, italics omitted</w:t>
      </w:r>
      <w:r w:rsidR="00EA4670">
        <w:t>.</w:t>
      </w:r>
      <w:r w:rsidRPr="004177C6">
        <w:t xml:space="preserve">)  </w:t>
      </w:r>
      <w:r w:rsidR="00EA4670">
        <w:t xml:space="preserve">The Court of Appeal also </w:t>
      </w:r>
      <w:r w:rsidR="009E42AB">
        <w:t>observed</w:t>
      </w:r>
      <w:r w:rsidR="00EA4670">
        <w:t xml:space="preserve"> that</w:t>
      </w:r>
      <w:r w:rsidRPr="004177C6">
        <w:t xml:space="preserve"> </w:t>
      </w:r>
      <w:r w:rsidRPr="004177C6">
        <w:rPr>
          <w:i/>
        </w:rPr>
        <w:t>Sotelo v. MediaNews Group, Inc.</w:t>
      </w:r>
      <w:r w:rsidRPr="004177C6">
        <w:t xml:space="preserve"> (2012) 207 Cal.App.4th 639 (</w:t>
      </w:r>
      <w:r w:rsidRPr="004177C6">
        <w:rPr>
          <w:i/>
        </w:rPr>
        <w:t>Sotelo</w:t>
      </w:r>
      <w:r w:rsidRPr="004177C6">
        <w:t>)</w:t>
      </w:r>
      <w:r w:rsidR="009E42AB">
        <w:t xml:space="preserve"> </w:t>
      </w:r>
      <w:r w:rsidR="00E247AB">
        <w:t xml:space="preserve">had </w:t>
      </w:r>
      <w:r w:rsidR="00B04B92">
        <w:t>prescribed</w:t>
      </w:r>
      <w:r w:rsidR="009E42AB">
        <w:t xml:space="preserve"> a “more demanding standard”</w:t>
      </w:r>
      <w:r w:rsidR="00E247AB">
        <w:t xml:space="preserve"> for ascertainability </w:t>
      </w:r>
      <w:r w:rsidR="009E42AB">
        <w:t>(</w:t>
      </w:r>
      <w:r w:rsidR="009E42AB" w:rsidRPr="009E42AB">
        <w:rPr>
          <w:i/>
        </w:rPr>
        <w:t>Noel</w:t>
      </w:r>
      <w:r w:rsidR="009E42AB">
        <w:t>, at p. 1327</w:t>
      </w:r>
      <w:r w:rsidR="00E247AB">
        <w:t xml:space="preserve">), having </w:t>
      </w:r>
      <w:r w:rsidRPr="004177C6">
        <w:t>explained, “</w:t>
      </w:r>
      <w:r w:rsidR="000E10C5">
        <w:t> ‘</w:t>
      </w:r>
      <w:r w:rsidRPr="004177C6">
        <w:t xml:space="preserve">The ascertainability requirement is a due process safeguard, ensuring that notice can be provided </w:t>
      </w:r>
      <w:r w:rsidR="000E10C5">
        <w:t>“</w:t>
      </w:r>
      <w:r w:rsidRPr="004177C6">
        <w:t>to putative class members as to whom the judgment in the action will be res judicata.</w:t>
      </w:r>
      <w:r w:rsidR="000E10C5">
        <w:t>”</w:t>
      </w:r>
      <w:r w:rsidRPr="004177C6">
        <w:t xml:space="preserve">  [Citation.]  </w:t>
      </w:r>
      <w:r w:rsidR="000E10C5">
        <w:t>“</w:t>
      </w:r>
      <w:r w:rsidRPr="004177C6">
        <w:t xml:space="preserve">Class members are </w:t>
      </w:r>
      <w:r w:rsidR="000E10C5">
        <w:t>‘</w:t>
      </w:r>
      <w:r w:rsidRPr="004177C6">
        <w:t>ascertainable</w:t>
      </w:r>
      <w:r w:rsidR="000E10C5">
        <w:t>’</w:t>
      </w:r>
      <w:r w:rsidRPr="004177C6">
        <w:t xml:space="preserve"> where they may be readily identified without unreasonable expense or time by reference to official records.  [Citation.]</w:t>
      </w:r>
      <w:r w:rsidR="000E10C5">
        <w:t>”</w:t>
      </w:r>
      <w:r w:rsidRPr="004177C6">
        <w:t xml:space="preserve">  [Citation.]  In determining whether a class is ascertainable, the trial court examines the class definition, the size of the class and the means of identifying class members</w:t>
      </w:r>
      <w:r w:rsidR="00D54091" w:rsidRPr="004177C6">
        <w:t>.</w:t>
      </w:r>
      <w:r w:rsidR="000E10C5">
        <w:t>’ </w:t>
      </w:r>
      <w:r w:rsidRPr="004177C6">
        <w:t>”</w:t>
      </w:r>
      <w:r w:rsidR="00D54091" w:rsidRPr="004177C6">
        <w:t xml:space="preserve"> </w:t>
      </w:r>
      <w:r w:rsidRPr="004177C6">
        <w:t xml:space="preserve"> (</w:t>
      </w:r>
      <w:r w:rsidRPr="004177C6">
        <w:rPr>
          <w:i/>
        </w:rPr>
        <w:t>Noel</w:t>
      </w:r>
      <w:r w:rsidRPr="004177C6">
        <w:t>, at p. 132</w:t>
      </w:r>
      <w:r w:rsidR="009E42AB">
        <w:t>7</w:t>
      </w:r>
      <w:r w:rsidR="000E10C5">
        <w:t xml:space="preserve">, italics omitted, quoting </w:t>
      </w:r>
      <w:r w:rsidR="000E10C5" w:rsidRPr="000E10C5">
        <w:rPr>
          <w:i/>
        </w:rPr>
        <w:t>Sotelo</w:t>
      </w:r>
      <w:r w:rsidR="000E10C5">
        <w:t>, at pp. 647-648</w:t>
      </w:r>
      <w:r w:rsidRPr="004177C6">
        <w:t xml:space="preserve">.)  </w:t>
      </w:r>
      <w:r w:rsidR="009B7FE7">
        <w:t>Addressing these different formulations, t</w:t>
      </w:r>
      <w:r w:rsidRPr="004177C6">
        <w:t>he Court of Appeal in this case</w:t>
      </w:r>
      <w:r w:rsidR="00910DE0">
        <w:t xml:space="preserve"> endorsed the </w:t>
      </w:r>
      <w:r w:rsidR="00910DE0" w:rsidRPr="00910DE0">
        <w:rPr>
          <w:i/>
        </w:rPr>
        <w:t>Sotelo</w:t>
      </w:r>
      <w:r w:rsidR="00910DE0">
        <w:t xml:space="preserve"> approach — describing it as “</w:t>
      </w:r>
      <w:r w:rsidR="00910DE0" w:rsidRPr="00910DE0">
        <w:t>a more pragmatic approach in determining ascertainability, and one which comports with the rationale underlying the ascertainability requirement</w:t>
      </w:r>
      <w:r w:rsidR="00910DE0">
        <w:t>”</w:t>
      </w:r>
      <w:r w:rsidRPr="004177C6">
        <w:t xml:space="preserve"> </w:t>
      </w:r>
      <w:r w:rsidR="000C6A6D">
        <w:t>(</w:t>
      </w:r>
      <w:r w:rsidR="000C6A6D" w:rsidRPr="000C6A6D">
        <w:rPr>
          <w:i/>
        </w:rPr>
        <w:t>Noel</w:t>
      </w:r>
      <w:r w:rsidR="000C6A6D">
        <w:t>, at p. 1327) — but also sought to reconcile these views by characterizing</w:t>
      </w:r>
      <w:r w:rsidRPr="004177C6">
        <w:t xml:space="preserve"> </w:t>
      </w:r>
      <w:r w:rsidR="000A07AD">
        <w:t>“</w:t>
      </w:r>
      <w:r w:rsidRPr="004177C6">
        <w:rPr>
          <w:i/>
        </w:rPr>
        <w:t>Sotelo</w:t>
      </w:r>
      <w:r w:rsidRPr="004177C6">
        <w:t xml:space="preserve">’s three-factor test </w:t>
      </w:r>
      <w:r w:rsidR="000C6A6D">
        <w:t>as</w:t>
      </w:r>
      <w:r w:rsidRPr="004177C6">
        <w:t xml:space="preserve"> a refinement of the ascertainability prong of the </w:t>
      </w:r>
      <w:r w:rsidRPr="004177C6">
        <w:rPr>
          <w:i/>
        </w:rPr>
        <w:t>Estrada</w:t>
      </w:r>
      <w:r w:rsidRPr="004177C6">
        <w:t xml:space="preserve"> test when that prong</w:t>
      </w:r>
      <w:r w:rsidR="000E10C5">
        <w:t xml:space="preserve"> . . . </w:t>
      </w:r>
      <w:r w:rsidRPr="004177C6">
        <w:t>requires a closer look.”  (</w:t>
      </w:r>
      <w:r w:rsidRPr="004177C6">
        <w:rPr>
          <w:i/>
        </w:rPr>
        <w:t>Noel</w:t>
      </w:r>
      <w:r w:rsidRPr="004177C6">
        <w:t>, at p. 1329.)</w:t>
      </w:r>
    </w:p>
    <w:p w14:paraId="0150C640" w14:textId="42948326" w:rsidR="000B26F9" w:rsidRPr="004177C6" w:rsidRDefault="000B26F9" w:rsidP="004177C6">
      <w:pPr>
        <w:ind w:firstLine="720"/>
      </w:pPr>
      <w:r w:rsidRPr="004177C6">
        <w:t xml:space="preserve">Although the appellate court below sought to </w:t>
      </w:r>
      <w:r w:rsidR="00F848D2">
        <w:t>reconcile</w:t>
      </w:r>
      <w:r w:rsidRPr="004177C6">
        <w:t xml:space="preserve"> the views of the Courts of Appeal, it recognized that some tension might exist between its analysis and that in </w:t>
      </w:r>
      <w:r w:rsidRPr="004177C6">
        <w:rPr>
          <w:i/>
        </w:rPr>
        <w:t>Aguirre v. Amscan Holdings</w:t>
      </w:r>
      <w:r w:rsidR="002C04F6">
        <w:rPr>
          <w:i/>
        </w:rPr>
        <w:t>, Inc.</w:t>
      </w:r>
      <w:r w:rsidRPr="004177C6">
        <w:t xml:space="preserve"> (2015) 234 Cal.App.4th 1290 (</w:t>
      </w:r>
      <w:r w:rsidRPr="004177C6">
        <w:rPr>
          <w:i/>
        </w:rPr>
        <w:t>Aguirre</w:t>
      </w:r>
      <w:r w:rsidRPr="004177C6">
        <w:t xml:space="preserve">).  The Court of Appeal in </w:t>
      </w:r>
      <w:r w:rsidRPr="004177C6">
        <w:rPr>
          <w:i/>
        </w:rPr>
        <w:t>Aguirre</w:t>
      </w:r>
      <w:r w:rsidRPr="004177C6">
        <w:t xml:space="preserve"> held that a superior court had erred when it declined to certify a </w:t>
      </w:r>
      <w:r w:rsidR="006B5B45">
        <w:t>putative</w:t>
      </w:r>
      <w:r w:rsidRPr="004177C6">
        <w:t xml:space="preserve"> consumer class on ascertainability grounds.  </w:t>
      </w:r>
      <w:r w:rsidR="00D43AAE" w:rsidRPr="004177C6">
        <w:t>(</w:t>
      </w:r>
      <w:r w:rsidR="00D43AAE" w:rsidRPr="004177C6">
        <w:rPr>
          <w:i/>
        </w:rPr>
        <w:t>Id</w:t>
      </w:r>
      <w:r w:rsidR="00D43AAE" w:rsidRPr="004177C6">
        <w:t xml:space="preserve">., at p. 1299.)  </w:t>
      </w:r>
      <w:r w:rsidRPr="004177C6">
        <w:t xml:space="preserve">The </w:t>
      </w:r>
      <w:r w:rsidRPr="004177C6">
        <w:rPr>
          <w:i/>
        </w:rPr>
        <w:t>Aguirre</w:t>
      </w:r>
      <w:r w:rsidRPr="004177C6">
        <w:t xml:space="preserve"> court explained that a “representative plaintiff need not identify, much less locate, individual class members to establish the existence of an ascertainable class.  [Citations.]  </w:t>
      </w:r>
      <w:r w:rsidRPr="004177C6">
        <w:rPr>
          <w:i/>
        </w:rPr>
        <w:t>Nor must the representative plaintiff establish a means for providing personal notice of the action to individual class members</w:t>
      </w:r>
      <w:r w:rsidRPr="004177C6">
        <w:t>.”  (</w:t>
      </w:r>
      <w:r w:rsidRPr="004177C6">
        <w:rPr>
          <w:i/>
        </w:rPr>
        <w:t>Id</w:t>
      </w:r>
      <w:r w:rsidRPr="004177C6">
        <w:t xml:space="preserve">., at p. 1301, italics added.)  The Court of Appeal </w:t>
      </w:r>
      <w:r w:rsidR="00E71346" w:rsidRPr="004177C6">
        <w:t>in this case</w:t>
      </w:r>
      <w:r w:rsidRPr="004177C6">
        <w:t xml:space="preserve"> sought to </w:t>
      </w:r>
      <w:r w:rsidR="00F56CBC">
        <w:t>bridge the distance</w:t>
      </w:r>
      <w:r w:rsidRPr="004177C6">
        <w:t xml:space="preserve"> between its </w:t>
      </w:r>
      <w:r w:rsidR="00F848D2">
        <w:t>views</w:t>
      </w:r>
      <w:r w:rsidRPr="004177C6">
        <w:t xml:space="preserve"> and </w:t>
      </w:r>
      <w:r w:rsidR="00F848D2">
        <w:t>those expressed</w:t>
      </w:r>
      <w:r w:rsidRPr="004177C6">
        <w:t xml:space="preserve"> </w:t>
      </w:r>
      <w:r w:rsidR="00F848D2">
        <w:t>by</w:t>
      </w:r>
      <w:r w:rsidR="008C20B4" w:rsidRPr="004177C6">
        <w:t xml:space="preserve"> </w:t>
      </w:r>
      <w:r w:rsidRPr="004177C6">
        <w:t xml:space="preserve">the </w:t>
      </w:r>
      <w:r w:rsidRPr="004177C6">
        <w:rPr>
          <w:i/>
        </w:rPr>
        <w:t>Aguirre</w:t>
      </w:r>
      <w:r w:rsidRPr="004177C6">
        <w:t xml:space="preserve"> court by noting that the class in </w:t>
      </w:r>
      <w:r w:rsidRPr="004177C6">
        <w:rPr>
          <w:i/>
        </w:rPr>
        <w:t>Aguirre</w:t>
      </w:r>
      <w:r w:rsidRPr="004177C6">
        <w:t xml:space="preserve"> could have included up to a million members, whereas there were only approximately 20,000 purchasers </w:t>
      </w:r>
      <w:r w:rsidR="006B5B45">
        <w:t xml:space="preserve">of </w:t>
      </w:r>
      <w:r w:rsidR="00DF4A4D">
        <w:t xml:space="preserve">the </w:t>
      </w:r>
      <w:r w:rsidR="006B5B45">
        <w:t>Ready Set Pool</w:t>
      </w:r>
      <w:r w:rsidRPr="004177C6">
        <w:t>.  With the larger class, the Court of Appeal surmised, “perhaps assuming personal notice cannot be given was realistic, but with a class size of 20,000 we are not so quick to make that assumption.”  (</w:t>
      </w:r>
      <w:r w:rsidRPr="004177C6">
        <w:rPr>
          <w:i/>
        </w:rPr>
        <w:t>Noel</w:t>
      </w:r>
      <w:r w:rsidRPr="004177C6">
        <w:t xml:space="preserve">, </w:t>
      </w:r>
      <w:r w:rsidRPr="004177C6">
        <w:rPr>
          <w:i/>
        </w:rPr>
        <w:t>supra</w:t>
      </w:r>
      <w:r w:rsidRPr="004177C6">
        <w:t xml:space="preserve">, 17 Cal.App.5th </w:t>
      </w:r>
      <w:r w:rsidR="00D54091" w:rsidRPr="004177C6">
        <w:t>at p.</w:t>
      </w:r>
      <w:r w:rsidR="00AB77D0" w:rsidRPr="004177C6">
        <w:t> </w:t>
      </w:r>
      <w:r w:rsidRPr="004177C6">
        <w:t xml:space="preserve">1331.)  The Court of Appeal nevertheless conceded that its view of the ascertainability requirement “may be contrary to that of </w:t>
      </w:r>
      <w:r w:rsidRPr="004177C6">
        <w:rPr>
          <w:i/>
        </w:rPr>
        <w:t>Aguirre</w:t>
      </w:r>
      <w:r w:rsidRPr="004177C6">
        <w:t>.”  (</w:t>
      </w:r>
      <w:r w:rsidRPr="004177C6">
        <w:rPr>
          <w:i/>
        </w:rPr>
        <w:t>Id</w:t>
      </w:r>
      <w:r w:rsidRPr="004177C6">
        <w:t>., at p.</w:t>
      </w:r>
      <w:r w:rsidR="00AB77D0" w:rsidRPr="004177C6">
        <w:t> </w:t>
      </w:r>
      <w:r w:rsidRPr="004177C6">
        <w:t>1333.)</w:t>
      </w:r>
    </w:p>
    <w:p w14:paraId="12D233DC" w14:textId="36EBC46D" w:rsidR="000B26F9" w:rsidRPr="004177C6" w:rsidRDefault="000B26F9" w:rsidP="004177C6">
      <w:pPr>
        <w:ind w:firstLine="720"/>
      </w:pPr>
      <w:r w:rsidRPr="004177C6">
        <w:t xml:space="preserve">The Court of Appeal also </w:t>
      </w:r>
      <w:r w:rsidR="00AB77D0" w:rsidRPr="004177C6">
        <w:t>found no abuse of discretion in</w:t>
      </w:r>
      <w:r w:rsidRPr="004177C6">
        <w:t xml:space="preserve"> the superior court’s refusal to certify a CLRA class on the </w:t>
      </w:r>
      <w:r w:rsidR="00856C11">
        <w:t>basis</w:t>
      </w:r>
      <w:r w:rsidRPr="004177C6">
        <w:t xml:space="preserve"> that common issues did not predominate.</w:t>
      </w:r>
      <w:r w:rsidR="0081714F" w:rsidRPr="004177C6">
        <w:t xml:space="preserve">  </w:t>
      </w:r>
      <w:r w:rsidR="00D54091" w:rsidRPr="004177C6">
        <w:t>(</w:t>
      </w:r>
      <w:r w:rsidR="00D54091" w:rsidRPr="004177C6">
        <w:rPr>
          <w:i/>
        </w:rPr>
        <w:t>Noel</w:t>
      </w:r>
      <w:r w:rsidR="00D54091" w:rsidRPr="004177C6">
        <w:t xml:space="preserve">, </w:t>
      </w:r>
      <w:r w:rsidR="00D54091" w:rsidRPr="004177C6">
        <w:rPr>
          <w:i/>
        </w:rPr>
        <w:t>supra</w:t>
      </w:r>
      <w:r w:rsidR="00D54091" w:rsidRPr="004177C6">
        <w:t>, 17 Cal.App.5th at pp.</w:t>
      </w:r>
      <w:r w:rsidR="00936CE1" w:rsidRPr="004177C6">
        <w:t> </w:t>
      </w:r>
      <w:r w:rsidR="00D54091" w:rsidRPr="004177C6">
        <w:t xml:space="preserve">1334-1336.)  </w:t>
      </w:r>
      <w:r w:rsidR="00734CF0" w:rsidRPr="004177C6">
        <w:t xml:space="preserve">This aspect of the trial court’s </w:t>
      </w:r>
      <w:r w:rsidR="00653C4D">
        <w:t>order</w:t>
      </w:r>
      <w:r w:rsidR="00734CF0" w:rsidRPr="004177C6">
        <w:t xml:space="preserve"> is not presently before us</w:t>
      </w:r>
      <w:r w:rsidR="0081714F" w:rsidRPr="004177C6">
        <w:t>.</w:t>
      </w:r>
      <w:r w:rsidRPr="004177C6">
        <w:t xml:space="preserve">  </w:t>
      </w:r>
      <w:r w:rsidR="00AB77D0" w:rsidRPr="004177C6">
        <w:t>Turning to</w:t>
      </w:r>
      <w:r w:rsidR="006B12F3" w:rsidRPr="004177C6">
        <w:t xml:space="preserve"> the lower court’s determination </w:t>
      </w:r>
      <w:r w:rsidR="00484E2E" w:rsidRPr="004177C6">
        <w:t>that a class action was not a superior vehicle for pressing the claims at issue</w:t>
      </w:r>
      <w:r w:rsidR="006B12F3" w:rsidRPr="004177C6">
        <w:t>, the Court of Appeal noted the</w:t>
      </w:r>
      <w:r w:rsidR="00484E2E" w:rsidRPr="004177C6">
        <w:t xml:space="preserve"> ambiguous</w:t>
      </w:r>
      <w:r w:rsidR="006B12F3" w:rsidRPr="004177C6">
        <w:t xml:space="preserve"> scope of this ruling.  (</w:t>
      </w:r>
      <w:r w:rsidR="006B12F3" w:rsidRPr="004177C6">
        <w:rPr>
          <w:i/>
        </w:rPr>
        <w:t>Id</w:t>
      </w:r>
      <w:r w:rsidR="006B12F3" w:rsidRPr="004177C6">
        <w:t xml:space="preserve">., at p. 1336.)  </w:t>
      </w:r>
      <w:r w:rsidR="00484E2E" w:rsidRPr="004177C6">
        <w:t xml:space="preserve">The court also </w:t>
      </w:r>
      <w:r w:rsidR="00E71346" w:rsidRPr="004177C6">
        <w:t>recognized</w:t>
      </w:r>
      <w:r w:rsidR="00484E2E" w:rsidRPr="004177C6">
        <w:t xml:space="preserve"> Court of Appeal</w:t>
      </w:r>
      <w:r w:rsidR="00067C0F" w:rsidRPr="004177C6">
        <w:t xml:space="preserve"> precedent</w:t>
      </w:r>
      <w:r w:rsidR="00484E2E" w:rsidRPr="004177C6">
        <w:t xml:space="preserve"> </w:t>
      </w:r>
      <w:r w:rsidR="00CA0F5C">
        <w:t>holding</w:t>
      </w:r>
      <w:r w:rsidR="00067C0F" w:rsidRPr="004177C6">
        <w:t xml:space="preserve"> </w:t>
      </w:r>
      <w:r w:rsidR="00484E2E" w:rsidRPr="004177C6">
        <w:t xml:space="preserve">that superiority is </w:t>
      </w:r>
      <w:r w:rsidR="00484E2E" w:rsidRPr="00856C11">
        <w:t>not</w:t>
      </w:r>
      <w:r w:rsidR="00484E2E" w:rsidRPr="004177C6">
        <w:t xml:space="preserve"> required for a class action </w:t>
      </w:r>
      <w:r w:rsidR="00856C11">
        <w:t xml:space="preserve">brought </w:t>
      </w:r>
      <w:r w:rsidR="00484E2E" w:rsidRPr="004177C6">
        <w:t xml:space="preserve">under the CLRA. </w:t>
      </w:r>
      <w:r w:rsidR="00067C0F" w:rsidRPr="004177C6">
        <w:t xml:space="preserve"> (</w:t>
      </w:r>
      <w:r w:rsidR="000E10C5">
        <w:rPr>
          <w:i/>
        </w:rPr>
        <w:t>Noel</w:t>
      </w:r>
      <w:r w:rsidR="00067C0F" w:rsidRPr="004177C6">
        <w:t>,</w:t>
      </w:r>
      <w:r w:rsidR="000E10C5">
        <w:t xml:space="preserve"> at p. 1336,</w:t>
      </w:r>
      <w:r w:rsidR="00067C0F" w:rsidRPr="004177C6">
        <w:t xml:space="preserve"> citing </w:t>
      </w:r>
      <w:r w:rsidR="00067C0F" w:rsidRPr="004177C6">
        <w:rPr>
          <w:i/>
        </w:rPr>
        <w:t xml:space="preserve">Thompson v. Automobile Club of Southern California </w:t>
      </w:r>
      <w:r w:rsidR="00067C0F" w:rsidRPr="004177C6">
        <w:t xml:space="preserve">(2013) 217 Cal.App.4th 719, 727-728; see also </w:t>
      </w:r>
      <w:r w:rsidR="00067C0F" w:rsidRPr="004177C6">
        <w:rPr>
          <w:i/>
        </w:rPr>
        <w:t>Hogya v. Superior Court</w:t>
      </w:r>
      <w:r w:rsidR="00067C0F" w:rsidRPr="004177C6">
        <w:t xml:space="preserve"> (1977) 75 Cal.App.3d 122, 132-136.) </w:t>
      </w:r>
      <w:r w:rsidR="00484E2E" w:rsidRPr="004177C6">
        <w:t xml:space="preserve"> </w:t>
      </w:r>
      <w:r w:rsidR="006B12F3" w:rsidRPr="004177C6">
        <w:t xml:space="preserve">Nevertheless, </w:t>
      </w:r>
      <w:r w:rsidR="00EF55FF" w:rsidRPr="004177C6">
        <w:t xml:space="preserve">the court found any error harmless: </w:t>
      </w:r>
      <w:r w:rsidR="006B12F3" w:rsidRPr="004177C6">
        <w:t>“If the court intended to include lack of superiority as a reason for rejecting class certification on the CLRA cause of action, th</w:t>
      </w:r>
      <w:r w:rsidR="007A1AF0">
        <w:t>at</w:t>
      </w:r>
      <w:r w:rsidR="006B12F3" w:rsidRPr="004177C6">
        <w:t xml:space="preserve"> was error, but harmless due to the other valid reasons for denying class certification.  If the court i</w:t>
      </w:r>
      <w:r w:rsidR="00EF55FF" w:rsidRPr="004177C6">
        <w:t>ntended its negative superiority finding to apply only to the FAL and UCL causes of action, then it was supported by the evidence and did not amount to an abuse of discretion.”  (</w:t>
      </w:r>
      <w:r w:rsidR="00E82CCD" w:rsidRPr="004177C6">
        <w:rPr>
          <w:i/>
        </w:rPr>
        <w:t>Noel</w:t>
      </w:r>
      <w:r w:rsidR="00E82CCD" w:rsidRPr="004177C6">
        <w:t>, at p. 1336</w:t>
      </w:r>
      <w:r w:rsidR="00EF55FF" w:rsidRPr="004177C6">
        <w:t xml:space="preserve">.)  </w:t>
      </w:r>
    </w:p>
    <w:p w14:paraId="251C31A7" w14:textId="77777777" w:rsidR="00EF55FF" w:rsidRPr="004177C6" w:rsidRDefault="00EF55FF" w:rsidP="004177C6">
      <w:pPr>
        <w:ind w:firstLine="720"/>
      </w:pPr>
      <w:r w:rsidRPr="004177C6">
        <w:t>We granted review</w:t>
      </w:r>
      <w:r w:rsidR="00734CF0" w:rsidRPr="004177C6">
        <w:t xml:space="preserve"> to</w:t>
      </w:r>
      <w:r w:rsidRPr="004177C6">
        <w:t xml:space="preserve"> clarify what the ascertainability requirement for class certification </w:t>
      </w:r>
      <w:r w:rsidR="00681C6E" w:rsidRPr="004177C6">
        <w:t>involves</w:t>
      </w:r>
      <w:r w:rsidRPr="004177C6">
        <w:t>.</w:t>
      </w:r>
    </w:p>
    <w:p w14:paraId="45A99185" w14:textId="77777777" w:rsidR="000B26F9" w:rsidRPr="004177C6" w:rsidRDefault="000B26F9" w:rsidP="00327856">
      <w:pPr>
        <w:keepNext/>
        <w:keepLines/>
        <w:jc w:val="center"/>
        <w:rPr>
          <w:b/>
        </w:rPr>
      </w:pPr>
      <w:r w:rsidRPr="004177C6">
        <w:rPr>
          <w:b/>
        </w:rPr>
        <w:t>II.</w:t>
      </w:r>
      <w:r w:rsidR="005305EA" w:rsidRPr="004177C6">
        <w:rPr>
          <w:b/>
        </w:rPr>
        <w:t xml:space="preserve"> </w:t>
      </w:r>
      <w:r w:rsidRPr="004177C6">
        <w:rPr>
          <w:b/>
        </w:rPr>
        <w:t xml:space="preserve"> </w:t>
      </w:r>
      <w:r w:rsidRPr="004177C6">
        <w:rPr>
          <w:b/>
          <w:smallCaps/>
        </w:rPr>
        <w:t>Discussion</w:t>
      </w:r>
    </w:p>
    <w:p w14:paraId="15408634" w14:textId="77777777" w:rsidR="00FD0AC1" w:rsidRPr="004177C6" w:rsidRDefault="000B26F9" w:rsidP="004177C6">
      <w:pPr>
        <w:ind w:firstLine="720"/>
      </w:pPr>
      <w:r w:rsidRPr="004177C6">
        <w:t xml:space="preserve">In determining whether the trial court </w:t>
      </w:r>
      <w:r w:rsidR="00910DE0">
        <w:t>abused its discretion</w:t>
      </w:r>
      <w:r w:rsidR="00361738" w:rsidRPr="004177C6">
        <w:t xml:space="preserve">, </w:t>
      </w:r>
      <w:r w:rsidR="004C79BD">
        <w:t>we</w:t>
      </w:r>
      <w:r w:rsidRPr="004177C6">
        <w:t xml:space="preserve"> begin </w:t>
      </w:r>
      <w:r w:rsidR="0052712D">
        <w:t>by surveying</w:t>
      </w:r>
      <w:r w:rsidRPr="004177C6">
        <w:t xml:space="preserve"> </w:t>
      </w:r>
      <w:r w:rsidR="0052712D">
        <w:t>the</w:t>
      </w:r>
      <w:r w:rsidRPr="004177C6">
        <w:t xml:space="preserve"> </w:t>
      </w:r>
      <w:r w:rsidR="004A0CC5">
        <w:t xml:space="preserve">relevant </w:t>
      </w:r>
      <w:r w:rsidRPr="004177C6">
        <w:t xml:space="preserve">general principles </w:t>
      </w:r>
      <w:r w:rsidR="00E568AD" w:rsidRPr="004177C6">
        <w:t>applicable to</w:t>
      </w:r>
      <w:r w:rsidRPr="004177C6">
        <w:t xml:space="preserve"> class certificat</w:t>
      </w:r>
      <w:r w:rsidR="00361738" w:rsidRPr="004177C6">
        <w:t xml:space="preserve">ion.  </w:t>
      </w:r>
      <w:r w:rsidR="004C79BD">
        <w:t>We</w:t>
      </w:r>
      <w:r w:rsidR="00361738" w:rsidRPr="004177C6">
        <w:t xml:space="preserve"> then turn to</w:t>
      </w:r>
      <w:r w:rsidR="00F848D2">
        <w:t xml:space="preserve"> case law</w:t>
      </w:r>
      <w:r w:rsidR="00361738" w:rsidRPr="004177C6">
        <w:t xml:space="preserve"> that ha</w:t>
      </w:r>
      <w:r w:rsidR="00F848D2">
        <w:t>s</w:t>
      </w:r>
      <w:r w:rsidR="00361738" w:rsidRPr="004177C6">
        <w:t xml:space="preserve"> </w:t>
      </w:r>
      <w:r w:rsidR="00F848D2">
        <w:t xml:space="preserve">considered what </w:t>
      </w:r>
      <w:r w:rsidR="000A7D9E">
        <w:t xml:space="preserve">it means </w:t>
      </w:r>
      <w:r w:rsidR="00F848D2">
        <w:t>for a class to be ascertainable</w:t>
      </w:r>
      <w:r w:rsidRPr="004177C6">
        <w:t>.</w:t>
      </w:r>
      <w:r w:rsidR="00361738" w:rsidRPr="004177C6">
        <w:t xml:space="preserve">  </w:t>
      </w:r>
      <w:r w:rsidR="001F4709">
        <w:t xml:space="preserve">Drawing from this </w:t>
      </w:r>
      <w:r w:rsidR="0052712D">
        <w:t>review</w:t>
      </w:r>
      <w:r w:rsidR="001F4709">
        <w:t xml:space="preserve">, we conclude that the functions properly assigned to the ascertainability requirement are best </w:t>
      </w:r>
      <w:r w:rsidR="0052712D">
        <w:t>served</w:t>
      </w:r>
      <w:r w:rsidR="001F4709">
        <w:t xml:space="preserve"> by regarding a </w:t>
      </w:r>
      <w:r w:rsidR="001F4709" w:rsidRPr="004177C6">
        <w:t>class</w:t>
      </w:r>
      <w:r w:rsidR="001F4709">
        <w:t xml:space="preserve"> as ascertainable when it is defined</w:t>
      </w:r>
      <w:r w:rsidR="001F4709" w:rsidRPr="004177C6">
        <w:t xml:space="preserve"> </w:t>
      </w:r>
      <w:r w:rsidR="001F4709">
        <w:rPr>
          <w:color w:val="000000" w:themeColor="text1"/>
          <w:szCs w:val="26"/>
        </w:rPr>
        <w:t>“</w:t>
      </w:r>
      <w:r w:rsidR="001F4709">
        <w:t>in terms of objective characteristics and common transactional facts” that make “the ultimate identification of class members possible when that identification becomes necessary.”  (</w:t>
      </w:r>
      <w:r w:rsidR="001F4709" w:rsidRPr="00FC00A0">
        <w:rPr>
          <w:i/>
        </w:rPr>
        <w:t>Hicks</w:t>
      </w:r>
      <w:r w:rsidR="001F4709">
        <w:t xml:space="preserve">, </w:t>
      </w:r>
      <w:r w:rsidR="001F4709" w:rsidRPr="00B02C09">
        <w:rPr>
          <w:i/>
        </w:rPr>
        <w:t>supra</w:t>
      </w:r>
      <w:r w:rsidR="001F4709">
        <w:t>, 89 Cal.App.4</w:t>
      </w:r>
      <w:r w:rsidR="001F4709" w:rsidRPr="00FC00A0">
        <w:t>th</w:t>
      </w:r>
      <w:r w:rsidR="001F4709">
        <w:t xml:space="preserve"> at p. 91</w:t>
      </w:r>
      <w:r w:rsidR="002C04F6">
        <w:t>5</w:t>
      </w:r>
      <w:r w:rsidR="001F4709">
        <w:t xml:space="preserve">.) </w:t>
      </w:r>
      <w:r w:rsidR="001F4709" w:rsidRPr="004177C6">
        <w:t xml:space="preserve"> </w:t>
      </w:r>
      <w:r w:rsidR="001072C4">
        <w:t xml:space="preserve">This standard was satisfied here because the class definition provided a basis for class members to self-identify.  The courts below erred in </w:t>
      </w:r>
      <w:r w:rsidR="00910DE0">
        <w:t>importing</w:t>
      </w:r>
      <w:r w:rsidR="001072C4">
        <w:t xml:space="preserve"> an additional evidentiary burden into the ascertainability requirement</w:t>
      </w:r>
      <w:r w:rsidR="002E6897">
        <w:t>.</w:t>
      </w:r>
      <w:r w:rsidR="001072C4">
        <w:t xml:space="preserve">  </w:t>
      </w:r>
    </w:p>
    <w:p w14:paraId="676943D1" w14:textId="77777777" w:rsidR="000B26F9" w:rsidRPr="004177C6" w:rsidRDefault="000B26F9" w:rsidP="004177C6">
      <w:pPr>
        <w:pStyle w:val="ListParagraph"/>
        <w:keepNext/>
        <w:keepLines/>
        <w:numPr>
          <w:ilvl w:val="0"/>
          <w:numId w:val="1"/>
        </w:numPr>
        <w:rPr>
          <w:rFonts w:ascii="Century Schoolbook" w:hAnsi="Century Schoolbook"/>
          <w:b/>
        </w:rPr>
      </w:pPr>
      <w:r w:rsidRPr="004177C6">
        <w:rPr>
          <w:rFonts w:ascii="Century Schoolbook" w:hAnsi="Century Schoolbook"/>
          <w:b/>
        </w:rPr>
        <w:t>General Principles</w:t>
      </w:r>
    </w:p>
    <w:p w14:paraId="4C5B9B57" w14:textId="417334A3" w:rsidR="000B26F9" w:rsidRPr="004177C6" w:rsidRDefault="000B26F9" w:rsidP="004177C6">
      <w:pPr>
        <w:ind w:firstLine="720"/>
      </w:pPr>
      <w:r w:rsidRPr="004177C6">
        <w:t>In reviewing a class certification order, our inquiry is “narrowly circumscribed.”  (</w:t>
      </w:r>
      <w:r w:rsidRPr="004177C6">
        <w:rPr>
          <w:i/>
        </w:rPr>
        <w:t>Brinker</w:t>
      </w:r>
      <w:r w:rsidRPr="004177C6">
        <w:t xml:space="preserve">, </w:t>
      </w:r>
      <w:r w:rsidRPr="004177C6">
        <w:rPr>
          <w:i/>
        </w:rPr>
        <w:t>supra</w:t>
      </w:r>
      <w:r w:rsidRPr="004177C6">
        <w:t>, 53 Cal.4th at p.</w:t>
      </w:r>
      <w:r w:rsidR="006B5B45">
        <w:t> </w:t>
      </w:r>
      <w:r w:rsidRPr="004177C6">
        <w:t>1022.)  “</w:t>
      </w:r>
      <w:r w:rsidR="00D54091" w:rsidRPr="004177C6">
        <w:t> </w:t>
      </w:r>
      <w:r w:rsidRPr="004177C6">
        <w:t>‘The decision to certify a class rests squarely within the discretion of the trial court, and we afford that decision great deference on appeal, reversing only for a manifest abuse of discretion:  “Because trial courts are ideally situated to evaluate the efficiencies and practicalities of permitting group action, they are afforded great discretion in granting or denying certification.”  [Citation.]  A certification order generally will not be disturbed unless (1) it is unsupported by substantial evidence, (2) it rests on improper criteria, or (3) it rests on erroneous legal assumptions.</w:t>
      </w:r>
      <w:r w:rsidR="000E10C5">
        <w:t> </w:t>
      </w:r>
      <w:r w:rsidRPr="004177C6">
        <w:t>’</w:t>
      </w:r>
      <w:r w:rsidR="000E10C5">
        <w:t> </w:t>
      </w:r>
      <w:r w:rsidRPr="004177C6">
        <w:t>”  (</w:t>
      </w:r>
      <w:r w:rsidRPr="004177C6">
        <w:rPr>
          <w:i/>
        </w:rPr>
        <w:t>Ibid</w:t>
      </w:r>
      <w:r w:rsidRPr="004177C6">
        <w:t xml:space="preserve">.)  </w:t>
      </w:r>
      <w:r w:rsidR="004724D8">
        <w:t>“</w:t>
      </w:r>
      <w:r w:rsidR="004724D8" w:rsidRPr="004724D8">
        <w:t xml:space="preserve">Under this standard, an order based upon improper criteria or incorrect assumptions calls for reversal </w:t>
      </w:r>
      <w:r w:rsidR="004724D8">
        <w:t>‘ “</w:t>
      </w:r>
      <w:r w:rsidR="004724D8" w:rsidRPr="004724D8">
        <w:t>even though there may be substantial evidence to support the court</w:t>
      </w:r>
      <w:r w:rsidR="004724D8">
        <w:t>’</w:t>
      </w:r>
      <w:r w:rsidR="004724D8" w:rsidRPr="004724D8">
        <w:t>s order.</w:t>
      </w:r>
      <w:r w:rsidR="004724D8">
        <w:t>” ’ ”  (</w:t>
      </w:r>
      <w:r w:rsidR="004724D8" w:rsidRPr="004724D8">
        <w:rPr>
          <w:i/>
          <w:iCs/>
        </w:rPr>
        <w:t>Linder</w:t>
      </w:r>
      <w:r w:rsidR="004724D8">
        <w:t xml:space="preserve">, </w:t>
      </w:r>
      <w:r w:rsidR="004724D8" w:rsidRPr="004724D8">
        <w:rPr>
          <w:i/>
          <w:iCs/>
        </w:rPr>
        <w:t>supra</w:t>
      </w:r>
      <w:r w:rsidR="004724D8">
        <w:t>, 23 Cal.4</w:t>
      </w:r>
      <w:r w:rsidR="004724D8" w:rsidRPr="004724D8">
        <w:t>th</w:t>
      </w:r>
      <w:r w:rsidR="004724D8">
        <w:t xml:space="preserve"> at p. 436; see also </w:t>
      </w:r>
      <w:r w:rsidRPr="004177C6">
        <w:rPr>
          <w:i/>
        </w:rPr>
        <w:t>Ayala v. Antelope Valley Newspapers, Inc.</w:t>
      </w:r>
      <w:r w:rsidRPr="004177C6">
        <w:t xml:space="preserve"> (2014) 59 Cal.4th 522, 537</w:t>
      </w:r>
      <w:r w:rsidR="004724D8">
        <w:t xml:space="preserve"> [</w:t>
      </w:r>
      <w:r w:rsidR="004724D8" w:rsidRPr="004177C6">
        <w:t>“</w:t>
      </w:r>
      <w:r w:rsidR="004724D8">
        <w:t>[a]</w:t>
      </w:r>
      <w:r w:rsidR="004724D8" w:rsidRPr="004177C6">
        <w:t xml:space="preserve"> certification decision is reviewed for abuse of discretion, but when the supporting reasoning reveals the court based its decision on erroneous legal assumptions about the relevant questions, that decision cannot stand</w:t>
      </w:r>
      <w:r w:rsidR="004724D8">
        <w:t>”]</w:t>
      </w:r>
      <w:r w:rsidR="00A43F8C">
        <w:t>.</w:t>
      </w:r>
      <w:r w:rsidRPr="004177C6">
        <w:t>)</w:t>
      </w:r>
    </w:p>
    <w:p w14:paraId="71634074" w14:textId="1F7697E0" w:rsidR="009D3FAE" w:rsidRPr="004177C6" w:rsidRDefault="000B26F9" w:rsidP="004177C6">
      <w:pPr>
        <w:ind w:firstLine="720"/>
      </w:pPr>
      <w:r w:rsidRPr="004177C6">
        <w:t xml:space="preserve">Here, </w:t>
      </w:r>
      <w:r w:rsidR="00B9542B" w:rsidRPr="004177C6">
        <w:t>plaintiff</w:t>
      </w:r>
      <w:r w:rsidRPr="004177C6">
        <w:t xml:space="preserve"> sought certification of a class pursuant to section 382 of the Code of Civil Procedure, which provides a general authorization for class </w:t>
      </w:r>
      <w:r w:rsidR="000E10C5">
        <w:t>actions</w:t>
      </w:r>
      <w:r w:rsidR="002C04F6">
        <w:t>,</w:t>
      </w:r>
      <w:r w:rsidR="00257B01" w:rsidRPr="004177C6">
        <w:t xml:space="preserve"> </w:t>
      </w:r>
      <w:r w:rsidRPr="004177C6">
        <w:t xml:space="preserve">and section 1781 of the Civil Code, </w:t>
      </w:r>
      <w:r w:rsidR="00B9542B" w:rsidRPr="004177C6">
        <w:t>the</w:t>
      </w:r>
      <w:r w:rsidR="00257B01" w:rsidRPr="004177C6">
        <w:t xml:space="preserve"> </w:t>
      </w:r>
      <w:r w:rsidR="00B9542B" w:rsidRPr="004177C6">
        <w:t>provisions of which govern</w:t>
      </w:r>
      <w:r w:rsidRPr="004177C6">
        <w:t xml:space="preserve"> class</w:t>
      </w:r>
      <w:r w:rsidR="00B9542B" w:rsidRPr="004177C6">
        <w:t xml:space="preserve"> suits brought under the CLRA and inform </w:t>
      </w:r>
      <w:r w:rsidR="00257B01" w:rsidRPr="004177C6">
        <w:t>class</w:t>
      </w:r>
      <w:r w:rsidR="000E10C5">
        <w:t xml:space="preserve"> </w:t>
      </w:r>
      <w:r w:rsidR="00257B01" w:rsidRPr="004177C6">
        <w:t>action practice more generally</w:t>
      </w:r>
      <w:r w:rsidR="00B9542B" w:rsidRPr="004177C6">
        <w:t>.</w:t>
      </w:r>
      <w:r w:rsidR="00257B01" w:rsidRPr="004177C6">
        <w:t xml:space="preserve">  (See </w:t>
      </w:r>
      <w:r w:rsidR="00AC3158" w:rsidRPr="004177C6">
        <w:rPr>
          <w:i/>
        </w:rPr>
        <w:t>Linder</w:t>
      </w:r>
      <w:r w:rsidR="00AC3158" w:rsidRPr="004177C6">
        <w:t xml:space="preserve">, </w:t>
      </w:r>
      <w:r w:rsidR="00AC3158" w:rsidRPr="004177C6">
        <w:rPr>
          <w:i/>
        </w:rPr>
        <w:t>supra</w:t>
      </w:r>
      <w:r w:rsidR="00AC3158" w:rsidRPr="004177C6">
        <w:t xml:space="preserve">, 23 Cal.4th at p. </w:t>
      </w:r>
      <w:r w:rsidR="00485EF1" w:rsidRPr="004177C6">
        <w:t xml:space="preserve">437; </w:t>
      </w:r>
      <w:r w:rsidR="00257B01" w:rsidRPr="004177C6">
        <w:rPr>
          <w:i/>
        </w:rPr>
        <w:t>Vasquez</w:t>
      </w:r>
      <w:r w:rsidR="00257B01" w:rsidRPr="004177C6">
        <w:t xml:space="preserve">, </w:t>
      </w:r>
      <w:r w:rsidR="00257B01" w:rsidRPr="004177C6">
        <w:rPr>
          <w:i/>
        </w:rPr>
        <w:t>supra</w:t>
      </w:r>
      <w:r w:rsidR="00257B01" w:rsidRPr="004177C6">
        <w:t>, 4 Cal.3d at p. 820</w:t>
      </w:r>
      <w:r w:rsidR="00D43AAE" w:rsidRPr="004177C6">
        <w:t>.)</w:t>
      </w:r>
    </w:p>
    <w:p w14:paraId="07AC98E8" w14:textId="3FB73CB4" w:rsidR="00067C0F" w:rsidRPr="004177C6" w:rsidRDefault="00D43AAE" w:rsidP="004177C6">
      <w:pPr>
        <w:ind w:firstLine="720"/>
      </w:pPr>
      <w:r w:rsidRPr="004177C6">
        <w:t>S</w:t>
      </w:r>
      <w:r w:rsidR="00F35252" w:rsidRPr="004177C6">
        <w:t xml:space="preserve">ection 382 of the Code of Civil Procedure </w:t>
      </w:r>
      <w:r w:rsidR="000B26F9" w:rsidRPr="004177C6">
        <w:t xml:space="preserve">authorizes a class </w:t>
      </w:r>
      <w:r w:rsidR="000E10C5">
        <w:t>action</w:t>
      </w:r>
      <w:r w:rsidR="000B26F9" w:rsidRPr="004177C6">
        <w:t xml:space="preserve"> when “the question is one of a common or general interest, of many persons, or when the parties are numerous, and it is impracticable to bring them all before the court.”  </w:t>
      </w:r>
      <w:r w:rsidR="00484E2E" w:rsidRPr="004177C6">
        <w:rPr>
          <w:color w:val="000000" w:themeColor="text1"/>
        </w:rPr>
        <w:t>“[W]e have articulated clear requirements for the certification of a class</w:t>
      </w:r>
      <w:r w:rsidR="005957FE" w:rsidRPr="004177C6">
        <w:rPr>
          <w:color w:val="000000" w:themeColor="text1"/>
        </w:rPr>
        <w:t xml:space="preserve">” under this </w:t>
      </w:r>
      <w:r w:rsidR="002C392D">
        <w:rPr>
          <w:color w:val="000000" w:themeColor="text1"/>
        </w:rPr>
        <w:t>statute</w:t>
      </w:r>
      <w:r w:rsidR="005957FE" w:rsidRPr="004177C6">
        <w:rPr>
          <w:color w:val="000000" w:themeColor="text1"/>
        </w:rPr>
        <w:t>.  (</w:t>
      </w:r>
      <w:r w:rsidR="005957FE" w:rsidRPr="004177C6">
        <w:rPr>
          <w:i/>
          <w:color w:val="000000" w:themeColor="text1"/>
        </w:rPr>
        <w:t>Brinker</w:t>
      </w:r>
      <w:r w:rsidR="005957FE" w:rsidRPr="004177C6">
        <w:rPr>
          <w:color w:val="000000" w:themeColor="text1"/>
        </w:rPr>
        <w:t xml:space="preserve">, </w:t>
      </w:r>
      <w:r w:rsidR="005957FE" w:rsidRPr="004177C6">
        <w:rPr>
          <w:i/>
          <w:color w:val="000000" w:themeColor="text1"/>
        </w:rPr>
        <w:t>supra</w:t>
      </w:r>
      <w:r w:rsidR="005957FE" w:rsidRPr="004177C6">
        <w:rPr>
          <w:color w:val="000000" w:themeColor="text1"/>
        </w:rPr>
        <w:t>, 53 Cal.4th at p. 1021.)</w:t>
      </w:r>
      <w:r w:rsidR="005957FE" w:rsidRPr="004177C6">
        <w:t xml:space="preserve">  </w:t>
      </w:r>
      <w:r w:rsidR="005957FE" w:rsidRPr="004177C6">
        <w:rPr>
          <w:color w:val="000000" w:themeColor="text1"/>
        </w:rPr>
        <w:t>“</w:t>
      </w:r>
      <w:r w:rsidR="00484E2E" w:rsidRPr="004177C6">
        <w:rPr>
          <w:color w:val="000000" w:themeColor="text1"/>
        </w:rPr>
        <w:t>The party advocating class treatment must demonstrate the existence of an ascertainable and sufficiently numerous class, a well-defined community of interest, and substantial benefits from certification that render proceeding as a class superior to the alternatives.”  (</w:t>
      </w:r>
      <w:r w:rsidR="00E568AD" w:rsidRPr="004177C6">
        <w:rPr>
          <w:i/>
          <w:color w:val="000000" w:themeColor="text1"/>
        </w:rPr>
        <w:t>Ibid</w:t>
      </w:r>
      <w:r w:rsidR="00484E2E" w:rsidRPr="004177C6">
        <w:rPr>
          <w:color w:val="000000" w:themeColor="text1"/>
        </w:rPr>
        <w:t>.)</w:t>
      </w:r>
      <w:r w:rsidR="00484E2E" w:rsidRPr="004177C6">
        <w:t xml:space="preserve">  “The community of interest requirement involves three factors: ‘(1) predominant common questions of law or fact; (2) class representatives with claims or defenses typical of the class; and (3) class representatives who can adequately represent the class.’ ”  (</w:t>
      </w:r>
      <w:r w:rsidR="00484E2E" w:rsidRPr="004177C6">
        <w:rPr>
          <w:i/>
        </w:rPr>
        <w:t>Linder</w:t>
      </w:r>
      <w:r w:rsidR="00484E2E" w:rsidRPr="004177C6">
        <w:t xml:space="preserve">, </w:t>
      </w:r>
      <w:r w:rsidR="00484E2E" w:rsidRPr="004177C6">
        <w:rPr>
          <w:i/>
        </w:rPr>
        <w:t>supra</w:t>
      </w:r>
      <w:r w:rsidR="00484E2E" w:rsidRPr="004177C6">
        <w:rPr>
          <w:color w:val="000000" w:themeColor="text1"/>
        </w:rPr>
        <w:t xml:space="preserve">, 23 Cal.4th at p. 435.)  </w:t>
      </w:r>
      <w:r w:rsidR="00450F92" w:rsidRPr="004177C6">
        <w:rPr>
          <w:color w:val="000000" w:themeColor="text1"/>
        </w:rPr>
        <w:t>Regarding</w:t>
      </w:r>
      <w:r w:rsidR="00133B26" w:rsidRPr="004177C6">
        <w:rPr>
          <w:color w:val="000000" w:themeColor="text1"/>
        </w:rPr>
        <w:t xml:space="preserve"> the first of these factors, we have </w:t>
      </w:r>
      <w:r w:rsidR="0054783A" w:rsidRPr="004177C6">
        <w:rPr>
          <w:color w:val="000000" w:themeColor="text1"/>
        </w:rPr>
        <w:t xml:space="preserve">recognized </w:t>
      </w:r>
      <w:r w:rsidR="00133B26" w:rsidRPr="004177C6">
        <w:rPr>
          <w:color w:val="000000" w:themeColor="text1"/>
        </w:rPr>
        <w:t>“</w:t>
      </w:r>
      <w:r w:rsidR="000E10C5">
        <w:rPr>
          <w:color w:val="000000" w:themeColor="text1"/>
        </w:rPr>
        <w:t> ‘</w:t>
      </w:r>
      <w:r w:rsidR="0054783A" w:rsidRPr="004177C6">
        <w:rPr>
          <w:color w:val="000000" w:themeColor="text1"/>
        </w:rPr>
        <w:t>[a]</w:t>
      </w:r>
      <w:r w:rsidR="00133B26" w:rsidRPr="004177C6">
        <w:rPr>
          <w:color w:val="000000" w:themeColor="text1"/>
        </w:rPr>
        <w:t>s a general rule</w:t>
      </w:r>
      <w:r w:rsidR="000E10C5">
        <w:rPr>
          <w:color w:val="000000" w:themeColor="text1"/>
        </w:rPr>
        <w:t>’ </w:t>
      </w:r>
      <w:r w:rsidR="0054783A" w:rsidRPr="004177C6">
        <w:rPr>
          <w:color w:val="000000" w:themeColor="text1"/>
        </w:rPr>
        <w:t>” that “ ‘</w:t>
      </w:r>
      <w:r w:rsidR="00133B26" w:rsidRPr="004177C6">
        <w:rPr>
          <w:color w:val="000000" w:themeColor="text1"/>
        </w:rPr>
        <w:t>if the defendant</w:t>
      </w:r>
      <w:r w:rsidR="0054783A" w:rsidRPr="004177C6">
        <w:rPr>
          <w:color w:val="000000" w:themeColor="text1"/>
        </w:rPr>
        <w:t>’</w:t>
      </w:r>
      <w:r w:rsidR="00133B26" w:rsidRPr="004177C6">
        <w:rPr>
          <w:color w:val="000000" w:themeColor="text1"/>
        </w:rPr>
        <w:t>s liability can be determined by facts common to all members of the class, a class will be certified even if the members must individually prove their damages.</w:t>
      </w:r>
      <w:r w:rsidR="0054783A" w:rsidRPr="004177C6">
        <w:rPr>
          <w:color w:val="000000" w:themeColor="text1"/>
        </w:rPr>
        <w:t>’ </w:t>
      </w:r>
      <w:r w:rsidR="00133B26" w:rsidRPr="004177C6">
        <w:rPr>
          <w:color w:val="000000" w:themeColor="text1"/>
        </w:rPr>
        <w:t>”</w:t>
      </w:r>
      <w:r w:rsidR="0054783A" w:rsidRPr="004177C6">
        <w:rPr>
          <w:color w:val="000000" w:themeColor="text1"/>
        </w:rPr>
        <w:t xml:space="preserve">  (</w:t>
      </w:r>
      <w:r w:rsidR="0054783A" w:rsidRPr="004177C6">
        <w:rPr>
          <w:i/>
          <w:color w:val="000000" w:themeColor="text1"/>
        </w:rPr>
        <w:t>Brinker</w:t>
      </w:r>
      <w:r w:rsidR="0054783A" w:rsidRPr="004177C6">
        <w:rPr>
          <w:color w:val="000000" w:themeColor="text1"/>
        </w:rPr>
        <w:t>, at p.</w:t>
      </w:r>
      <w:r w:rsidR="00D87DD7" w:rsidRPr="004177C6">
        <w:rPr>
          <w:color w:val="000000" w:themeColor="text1"/>
        </w:rPr>
        <w:t> </w:t>
      </w:r>
      <w:r w:rsidR="0054783A" w:rsidRPr="004177C6">
        <w:rPr>
          <w:color w:val="000000" w:themeColor="text1"/>
        </w:rPr>
        <w:t>102</w:t>
      </w:r>
      <w:r w:rsidR="00CC7F28" w:rsidRPr="004177C6">
        <w:rPr>
          <w:color w:val="000000" w:themeColor="text1"/>
        </w:rPr>
        <w:t>2</w:t>
      </w:r>
      <w:r w:rsidR="0054783A" w:rsidRPr="004177C6">
        <w:rPr>
          <w:color w:val="000000" w:themeColor="text1"/>
        </w:rPr>
        <w:t xml:space="preserve">; see also </w:t>
      </w:r>
      <w:r w:rsidR="0054783A" w:rsidRPr="004177C6">
        <w:rPr>
          <w:i/>
          <w:color w:val="000000" w:themeColor="text1"/>
        </w:rPr>
        <w:t>Daar</w:t>
      </w:r>
      <w:r w:rsidR="0054783A" w:rsidRPr="004177C6">
        <w:rPr>
          <w:color w:val="000000" w:themeColor="text1"/>
        </w:rPr>
        <w:t xml:space="preserve">, </w:t>
      </w:r>
      <w:r w:rsidR="0054783A" w:rsidRPr="004177C6">
        <w:rPr>
          <w:i/>
          <w:color w:val="000000" w:themeColor="text1"/>
        </w:rPr>
        <w:t>supra</w:t>
      </w:r>
      <w:r w:rsidR="0054783A" w:rsidRPr="004177C6">
        <w:rPr>
          <w:color w:val="000000" w:themeColor="text1"/>
        </w:rPr>
        <w:t>, 67</w:t>
      </w:r>
      <w:r w:rsidR="00327856">
        <w:rPr>
          <w:color w:val="000000" w:themeColor="text1"/>
        </w:rPr>
        <w:t> </w:t>
      </w:r>
      <w:r w:rsidR="0054783A" w:rsidRPr="004177C6">
        <w:rPr>
          <w:color w:val="000000" w:themeColor="text1"/>
        </w:rPr>
        <w:t xml:space="preserve">Cal.2d at p. 706.)  </w:t>
      </w:r>
      <w:r w:rsidR="006516E4" w:rsidRPr="004177C6">
        <w:rPr>
          <w:color w:val="000000" w:themeColor="text1"/>
        </w:rPr>
        <w:t>Relatedly</w:t>
      </w:r>
      <w:r w:rsidR="00484E2E" w:rsidRPr="004177C6">
        <w:rPr>
          <w:color w:val="000000" w:themeColor="text1"/>
        </w:rPr>
        <w:t>, “In certifying a class action, the court must also conclude that litigation of individual issues, including those arising from affirmative defenses, can be managed fairly and efficiently.”  (</w:t>
      </w:r>
      <w:r w:rsidR="00484E2E" w:rsidRPr="004177C6">
        <w:rPr>
          <w:i/>
          <w:color w:val="000000" w:themeColor="text1"/>
        </w:rPr>
        <w:t>Duran v. U.S. Bank National Assn.</w:t>
      </w:r>
      <w:r w:rsidR="00484E2E" w:rsidRPr="004177C6">
        <w:rPr>
          <w:color w:val="000000" w:themeColor="text1"/>
        </w:rPr>
        <w:t xml:space="preserve"> (2014) 59 Cal.4th 1, 28-29.)  Finally, </w:t>
      </w:r>
      <w:r w:rsidR="00484E2E" w:rsidRPr="004177C6">
        <w:t>other considerations relevant to certification “include the probability that each class member will come forward ultimately to prove his or her separate claim to a portion of the total recovery and whether the class approach would actually serve to deter and redress alleged wrongdoing.”  (</w:t>
      </w:r>
      <w:r w:rsidR="00247BDA" w:rsidRPr="004177C6">
        <w:rPr>
          <w:i/>
        </w:rPr>
        <w:t>Linder</w:t>
      </w:r>
      <w:r w:rsidR="00247BDA" w:rsidRPr="004177C6">
        <w:t xml:space="preserve">, </w:t>
      </w:r>
      <w:r w:rsidR="00247BDA" w:rsidRPr="004177C6">
        <w:rPr>
          <w:color w:val="000000" w:themeColor="text1"/>
        </w:rPr>
        <w:t>at p. 435</w:t>
      </w:r>
      <w:r w:rsidR="00484E2E" w:rsidRPr="004177C6">
        <w:t xml:space="preserve">.)  </w:t>
      </w:r>
    </w:p>
    <w:p w14:paraId="0372AC04" w14:textId="0DAAE354" w:rsidR="000B26F9" w:rsidRPr="004177C6" w:rsidRDefault="00F32566" w:rsidP="004177C6">
      <w:pPr>
        <w:ind w:firstLine="720"/>
      </w:pPr>
      <w:r w:rsidRPr="004177C6">
        <w:t>The CLRA</w:t>
      </w:r>
      <w:r w:rsidR="00E67E1F">
        <w:t xml:space="preserve"> </w:t>
      </w:r>
      <w:r w:rsidR="008C20B4" w:rsidRPr="004177C6">
        <w:t>includes</w:t>
      </w:r>
      <w:r w:rsidRPr="004177C6">
        <w:t xml:space="preserve"> its own set of requirements for class certification. </w:t>
      </w:r>
      <w:r w:rsidR="000B26F9" w:rsidRPr="004177C6">
        <w:t xml:space="preserve"> </w:t>
      </w:r>
      <w:r w:rsidR="006516E4" w:rsidRPr="004177C6">
        <w:t xml:space="preserve">Under this statute, </w:t>
      </w:r>
      <w:r w:rsidR="000B26F9" w:rsidRPr="004177C6">
        <w:t>“</w:t>
      </w:r>
      <w:r w:rsidRPr="004177C6">
        <w:t>T</w:t>
      </w:r>
      <w:r w:rsidR="000B26F9" w:rsidRPr="004177C6">
        <w:t xml:space="preserve">he court shall permit [a class] suit to be maintained on behalf of all members of the represented class if all of the following conditions exist: </w:t>
      </w:r>
      <w:r w:rsidR="00327856">
        <w:t xml:space="preserve"> </w:t>
      </w:r>
      <w:r w:rsidR="000B26F9" w:rsidRPr="004177C6">
        <w:t>(1)</w:t>
      </w:r>
      <w:r w:rsidR="00327856">
        <w:t> </w:t>
      </w:r>
      <w:r w:rsidR="000B26F9" w:rsidRPr="004177C6">
        <w:t xml:space="preserve">It is impracticable to bring all members of the class before the court.  </w:t>
      </w:r>
      <w:r w:rsidR="00864401">
        <w:t xml:space="preserve">[¶]  </w:t>
      </w:r>
      <w:r w:rsidR="000B26F9" w:rsidRPr="004177C6">
        <w:t>(2)</w:t>
      </w:r>
      <w:r w:rsidR="00327856">
        <w:t> </w:t>
      </w:r>
      <w:r w:rsidR="000B26F9" w:rsidRPr="004177C6">
        <w:t xml:space="preserve">The questions of law or fact common to the class are substantially similar and predominate over the questions affecting the individual members.  </w:t>
      </w:r>
      <w:r w:rsidR="00864401">
        <w:t xml:space="preserve">[¶]  </w:t>
      </w:r>
      <w:r w:rsidR="000B26F9" w:rsidRPr="004177C6">
        <w:t>(3)</w:t>
      </w:r>
      <w:r w:rsidR="00327856">
        <w:t> </w:t>
      </w:r>
      <w:r w:rsidR="000B26F9" w:rsidRPr="004177C6">
        <w:t xml:space="preserve">The claims or defenses of the representative plaintiffs are typical of the claims or defenses of the class.  </w:t>
      </w:r>
      <w:r w:rsidR="00864401">
        <w:t xml:space="preserve">[¶]  </w:t>
      </w:r>
      <w:r w:rsidR="000B26F9" w:rsidRPr="004177C6">
        <w:t>(4)</w:t>
      </w:r>
      <w:r w:rsidR="00327856">
        <w:t> </w:t>
      </w:r>
      <w:r w:rsidR="000B26F9" w:rsidRPr="004177C6">
        <w:t xml:space="preserve">The representative plaintiffs will fairly and adequately protect the interests of the class.”  (Civ. Code, </w:t>
      </w:r>
      <w:r w:rsidR="000B26F9" w:rsidRPr="004177C6">
        <w:rPr>
          <w:rFonts w:cstheme="minorHAnsi"/>
        </w:rPr>
        <w:t>§</w:t>
      </w:r>
      <w:r w:rsidR="000B26F9" w:rsidRPr="004177C6">
        <w:t xml:space="preserve"> 1781, subd. (b).)  </w:t>
      </w:r>
      <w:r w:rsidRPr="004177C6">
        <w:t>We</w:t>
      </w:r>
      <w:r w:rsidR="00936CE1" w:rsidRPr="004177C6">
        <w:t> </w:t>
      </w:r>
      <w:r w:rsidRPr="004177C6">
        <w:t xml:space="preserve">have not specifically </w:t>
      </w:r>
      <w:r w:rsidR="00C70E18" w:rsidRPr="004177C6">
        <w:t>identified ascertainability as a</w:t>
      </w:r>
      <w:r w:rsidR="006516E4" w:rsidRPr="004177C6">
        <w:t xml:space="preserve">n essential element </w:t>
      </w:r>
      <w:r w:rsidR="00C70E18" w:rsidRPr="004177C6">
        <w:t>for</w:t>
      </w:r>
      <w:r w:rsidRPr="004177C6">
        <w:t xml:space="preserve"> </w:t>
      </w:r>
      <w:r w:rsidR="00C70E18" w:rsidRPr="004177C6">
        <w:t>class certification under the CLRA</w:t>
      </w:r>
      <w:r w:rsidRPr="004177C6">
        <w:t>, as we have</w:t>
      </w:r>
      <w:r w:rsidR="00C70E18" w:rsidRPr="004177C6">
        <w:t xml:space="preserve"> </w:t>
      </w:r>
      <w:r w:rsidR="006516E4" w:rsidRPr="004177C6">
        <w:t>for</w:t>
      </w:r>
      <w:r w:rsidRPr="004177C6">
        <w:t xml:space="preserve"> </w:t>
      </w:r>
      <w:r w:rsidR="00C70E18" w:rsidRPr="004177C6">
        <w:t>class actions</w:t>
      </w:r>
      <w:r w:rsidRPr="004177C6">
        <w:t xml:space="preserve"> </w:t>
      </w:r>
      <w:r w:rsidR="006516E4" w:rsidRPr="004177C6">
        <w:t>authorized</w:t>
      </w:r>
      <w:r w:rsidRPr="004177C6">
        <w:t xml:space="preserve"> by section 382 of the Code of Civil Procedure.  Yet the Courts of Appeal </w:t>
      </w:r>
      <w:r w:rsidR="006516E4" w:rsidRPr="004177C6">
        <w:t xml:space="preserve">have </w:t>
      </w:r>
      <w:r w:rsidRPr="004177C6">
        <w:t xml:space="preserve">routinely </w:t>
      </w:r>
      <w:r w:rsidR="00C70E18" w:rsidRPr="004177C6">
        <w:t>demand</w:t>
      </w:r>
      <w:r w:rsidR="006516E4" w:rsidRPr="004177C6">
        <w:t>ed</w:t>
      </w:r>
      <w:r w:rsidR="00C70E18" w:rsidRPr="004177C6">
        <w:t xml:space="preserve"> that CLRA plaintiffs </w:t>
      </w:r>
      <w:r w:rsidR="00864401">
        <w:t>demonstrate the existence of</w:t>
      </w:r>
      <w:r w:rsidRPr="004177C6">
        <w:t xml:space="preserve"> </w:t>
      </w:r>
      <w:r w:rsidR="00C70E18" w:rsidRPr="004177C6">
        <w:t>an</w:t>
      </w:r>
      <w:r w:rsidRPr="004177C6">
        <w:t xml:space="preserve"> ascertainab</w:t>
      </w:r>
      <w:r w:rsidR="00C70E18" w:rsidRPr="004177C6">
        <w:t xml:space="preserve">le class </w:t>
      </w:r>
      <w:r w:rsidRPr="004177C6">
        <w:t>(</w:t>
      </w:r>
      <w:r w:rsidR="00C70E18" w:rsidRPr="004177C6">
        <w:t>s</w:t>
      </w:r>
      <w:r w:rsidR="00067C0F" w:rsidRPr="004177C6">
        <w:t xml:space="preserve">ee, e.g., </w:t>
      </w:r>
      <w:r w:rsidR="00067C0F" w:rsidRPr="004177C6">
        <w:rPr>
          <w:i/>
        </w:rPr>
        <w:t>Apple Inc. v. Superior Court</w:t>
      </w:r>
      <w:r w:rsidR="00067C0F" w:rsidRPr="004177C6">
        <w:t xml:space="preserve"> (2018) 19 Cal.App.5th 1101, 1116, fn. 2; </w:t>
      </w:r>
      <w:r w:rsidR="00067C0F" w:rsidRPr="004177C6">
        <w:rPr>
          <w:i/>
        </w:rPr>
        <w:t>In re Vioxx Class Cases</w:t>
      </w:r>
      <w:r w:rsidR="00067C0F" w:rsidRPr="004177C6">
        <w:t xml:space="preserve"> (2009) 180 Cal.App.4th 116, 128, fn. 12)</w:t>
      </w:r>
      <w:r w:rsidR="00C70E18" w:rsidRPr="004177C6">
        <w:t xml:space="preserve">, and this requirement is fairly subsumed in the need to </w:t>
      </w:r>
      <w:r w:rsidR="00E71346" w:rsidRPr="004177C6">
        <w:t>have</w:t>
      </w:r>
      <w:r w:rsidR="00C70E18" w:rsidRPr="004177C6">
        <w:t xml:space="preserve"> a coherent “represented class” to pursue a </w:t>
      </w:r>
      <w:r w:rsidR="0037333B" w:rsidRPr="004177C6">
        <w:t>class</w:t>
      </w:r>
      <w:r w:rsidR="00C70E18" w:rsidRPr="004177C6">
        <w:t xml:space="preserve"> action under the statute (Civ. Code, </w:t>
      </w:r>
      <w:r w:rsidR="00C70E18" w:rsidRPr="004177C6">
        <w:rPr>
          <w:rFonts w:cstheme="minorHAnsi"/>
        </w:rPr>
        <w:t>§</w:t>
      </w:r>
      <w:r w:rsidR="00C70E18" w:rsidRPr="004177C6">
        <w:t>1781, subd. (b))</w:t>
      </w:r>
      <w:r w:rsidR="006516E4" w:rsidRPr="004177C6">
        <w:t>.</w:t>
      </w:r>
    </w:p>
    <w:p w14:paraId="613DBD9D" w14:textId="77777777" w:rsidR="000B26F9" w:rsidRPr="004177C6" w:rsidRDefault="00BC0D0A" w:rsidP="004177C6">
      <w:pPr>
        <w:pStyle w:val="ListParagraph"/>
        <w:keepNext/>
        <w:keepLines/>
        <w:numPr>
          <w:ilvl w:val="0"/>
          <w:numId w:val="1"/>
        </w:numPr>
        <w:rPr>
          <w:rFonts w:ascii="Century Schoolbook" w:hAnsi="Century Schoolbook"/>
          <w:b/>
          <w:color w:val="000000" w:themeColor="text1"/>
          <w:szCs w:val="27"/>
        </w:rPr>
      </w:pPr>
      <w:r w:rsidRPr="004177C6">
        <w:rPr>
          <w:rFonts w:ascii="Century Schoolbook" w:hAnsi="Century Schoolbook"/>
          <w:b/>
          <w:color w:val="000000" w:themeColor="text1"/>
          <w:szCs w:val="27"/>
        </w:rPr>
        <w:t xml:space="preserve">Past </w:t>
      </w:r>
      <w:r w:rsidR="00726FFD" w:rsidRPr="004177C6">
        <w:rPr>
          <w:rFonts w:ascii="Century Schoolbook" w:hAnsi="Century Schoolbook"/>
          <w:b/>
          <w:color w:val="000000" w:themeColor="text1"/>
          <w:szCs w:val="27"/>
        </w:rPr>
        <w:t>Discussions</w:t>
      </w:r>
      <w:r w:rsidRPr="004177C6">
        <w:rPr>
          <w:rFonts w:ascii="Century Schoolbook" w:hAnsi="Century Schoolbook"/>
          <w:b/>
          <w:color w:val="000000" w:themeColor="text1"/>
          <w:szCs w:val="27"/>
        </w:rPr>
        <w:t xml:space="preserve"> of</w:t>
      </w:r>
      <w:r w:rsidR="000B26F9" w:rsidRPr="004177C6">
        <w:rPr>
          <w:rFonts w:ascii="Century Schoolbook" w:hAnsi="Century Schoolbook"/>
          <w:b/>
          <w:color w:val="000000" w:themeColor="text1"/>
          <w:szCs w:val="27"/>
        </w:rPr>
        <w:t xml:space="preserve"> Ascertainability </w:t>
      </w:r>
    </w:p>
    <w:p w14:paraId="18A017AA" w14:textId="77777777" w:rsidR="000B26F9" w:rsidRPr="004177C6" w:rsidRDefault="00BC0D0A" w:rsidP="004177C6">
      <w:pPr>
        <w:ind w:firstLine="720"/>
        <w:rPr>
          <w:rFonts w:cstheme="minorHAnsi"/>
          <w:color w:val="000000" w:themeColor="text1"/>
          <w:szCs w:val="27"/>
        </w:rPr>
      </w:pPr>
      <w:r w:rsidRPr="004177C6">
        <w:rPr>
          <w:color w:val="000000" w:themeColor="text1"/>
          <w:szCs w:val="27"/>
        </w:rPr>
        <w:t>Although</w:t>
      </w:r>
      <w:r w:rsidR="000B26F9" w:rsidRPr="004177C6">
        <w:rPr>
          <w:color w:val="000000" w:themeColor="text1"/>
          <w:szCs w:val="26"/>
        </w:rPr>
        <w:t xml:space="preserve"> our case law has been clear that</w:t>
      </w:r>
      <w:r w:rsidR="000B26F9" w:rsidRPr="004177C6">
        <w:rPr>
          <w:rFonts w:cstheme="minorHAnsi"/>
          <w:color w:val="000000" w:themeColor="text1"/>
          <w:szCs w:val="26"/>
        </w:rPr>
        <w:t xml:space="preserve"> a plaintiff must show an ascertainable class as a prerequisite to class certification</w:t>
      </w:r>
      <w:r w:rsidRPr="004177C6">
        <w:rPr>
          <w:rFonts w:cstheme="minorHAnsi"/>
          <w:color w:val="000000" w:themeColor="text1"/>
          <w:szCs w:val="26"/>
        </w:rPr>
        <w:t>, neither o</w:t>
      </w:r>
      <w:r w:rsidR="000B26F9" w:rsidRPr="004177C6">
        <w:rPr>
          <w:rFonts w:cstheme="minorHAnsi"/>
          <w:color w:val="000000" w:themeColor="text1"/>
          <w:szCs w:val="26"/>
        </w:rPr>
        <w:t xml:space="preserve">ur decisions </w:t>
      </w:r>
      <w:r w:rsidRPr="004177C6">
        <w:rPr>
          <w:rFonts w:cstheme="minorHAnsi"/>
          <w:color w:val="000000" w:themeColor="text1"/>
          <w:szCs w:val="26"/>
        </w:rPr>
        <w:t xml:space="preserve">nor those of the Courts of Appeal </w:t>
      </w:r>
      <w:r w:rsidR="000B26F9" w:rsidRPr="004177C6">
        <w:rPr>
          <w:rFonts w:cstheme="minorHAnsi"/>
          <w:color w:val="000000" w:themeColor="text1"/>
          <w:szCs w:val="26"/>
        </w:rPr>
        <w:t xml:space="preserve">have been as </w:t>
      </w:r>
      <w:r w:rsidR="006E6798" w:rsidRPr="004177C6">
        <w:rPr>
          <w:rFonts w:cstheme="minorHAnsi"/>
          <w:color w:val="000000" w:themeColor="text1"/>
          <w:szCs w:val="26"/>
        </w:rPr>
        <w:t>pellucid</w:t>
      </w:r>
      <w:r w:rsidR="000B26F9" w:rsidRPr="004177C6">
        <w:rPr>
          <w:rFonts w:cstheme="minorHAnsi"/>
          <w:color w:val="000000" w:themeColor="text1"/>
          <w:szCs w:val="26"/>
        </w:rPr>
        <w:t xml:space="preserve"> in explaining what this requirement entails.</w:t>
      </w:r>
      <w:r w:rsidR="000B26F9" w:rsidRPr="004177C6">
        <w:rPr>
          <w:rFonts w:cstheme="minorHAnsi"/>
          <w:color w:val="000000" w:themeColor="text1"/>
          <w:szCs w:val="27"/>
        </w:rPr>
        <w:t xml:space="preserve"> </w:t>
      </w:r>
    </w:p>
    <w:p w14:paraId="50B89040" w14:textId="77777777" w:rsidR="000B26F9" w:rsidRPr="004177C6" w:rsidRDefault="000B26F9" w:rsidP="00E67E1F">
      <w:pPr>
        <w:pStyle w:val="ListParagraph"/>
        <w:keepNext/>
        <w:keepLines/>
        <w:numPr>
          <w:ilvl w:val="0"/>
          <w:numId w:val="2"/>
        </w:numPr>
        <w:ind w:left="1080" w:firstLine="0"/>
        <w:rPr>
          <w:rFonts w:ascii="Century Schoolbook" w:hAnsi="Century Schoolbook"/>
          <w:i/>
          <w:color w:val="000000" w:themeColor="text1"/>
          <w:szCs w:val="26"/>
        </w:rPr>
      </w:pPr>
      <w:r w:rsidRPr="004177C6">
        <w:rPr>
          <w:rFonts w:ascii="Century Schoolbook" w:hAnsi="Century Schoolbook"/>
          <w:color w:val="000000" w:themeColor="text1"/>
          <w:szCs w:val="26"/>
        </w:rPr>
        <w:t>Weaver</w:t>
      </w:r>
    </w:p>
    <w:p w14:paraId="5382C9A1" w14:textId="1E4602D0" w:rsidR="000B26F9" w:rsidRPr="004177C6" w:rsidRDefault="000B26F9" w:rsidP="004177C6">
      <w:pPr>
        <w:ind w:firstLine="720"/>
        <w:rPr>
          <w:color w:val="000000" w:themeColor="text1"/>
          <w:szCs w:val="26"/>
        </w:rPr>
      </w:pPr>
      <w:r w:rsidRPr="004177C6">
        <w:rPr>
          <w:color w:val="000000" w:themeColor="text1"/>
          <w:szCs w:val="26"/>
        </w:rPr>
        <w:t xml:space="preserve">Our first discussion of </w:t>
      </w:r>
      <w:r w:rsidR="00225BA3">
        <w:rPr>
          <w:color w:val="000000" w:themeColor="text1"/>
          <w:szCs w:val="26"/>
        </w:rPr>
        <w:t xml:space="preserve">class </w:t>
      </w:r>
      <w:r w:rsidRPr="004177C6">
        <w:rPr>
          <w:color w:val="000000" w:themeColor="text1"/>
          <w:szCs w:val="26"/>
        </w:rPr>
        <w:t>ascertainability appeared more than 70 years ago</w:t>
      </w:r>
      <w:r w:rsidR="00BC0D0A" w:rsidRPr="004177C6">
        <w:rPr>
          <w:color w:val="000000" w:themeColor="text1"/>
          <w:szCs w:val="26"/>
        </w:rPr>
        <w:t xml:space="preserve"> — </w:t>
      </w:r>
      <w:r w:rsidRPr="004177C6">
        <w:rPr>
          <w:color w:val="000000" w:themeColor="text1"/>
          <w:szCs w:val="26"/>
        </w:rPr>
        <w:t xml:space="preserve">a time when class action litigation remained in a formative stage.  (See Miller, </w:t>
      </w:r>
      <w:r w:rsidRPr="004177C6">
        <w:rPr>
          <w:i/>
          <w:color w:val="000000" w:themeColor="text1"/>
          <w:szCs w:val="26"/>
        </w:rPr>
        <w:t xml:space="preserve">The Preservation and Rejuvenation of Aggregate Litigation: A Systemic Imperative </w:t>
      </w:r>
      <w:r w:rsidRPr="004177C6">
        <w:rPr>
          <w:color w:val="000000" w:themeColor="text1"/>
          <w:szCs w:val="26"/>
        </w:rPr>
        <w:t xml:space="preserve">(2014) 64 Emory L.J. 293, 294.)  </w:t>
      </w:r>
      <w:r w:rsidR="006E6798" w:rsidRPr="004177C6">
        <w:rPr>
          <w:color w:val="000000" w:themeColor="text1"/>
          <w:szCs w:val="26"/>
        </w:rPr>
        <w:t>In this milieu, t</w:t>
      </w:r>
      <w:r w:rsidRPr="004177C6">
        <w:rPr>
          <w:color w:val="000000" w:themeColor="text1"/>
          <w:szCs w:val="26"/>
        </w:rPr>
        <w:t>he</w:t>
      </w:r>
      <w:r w:rsidR="00257B01" w:rsidRPr="004177C6">
        <w:rPr>
          <w:color w:val="000000" w:themeColor="text1"/>
          <w:szCs w:val="26"/>
        </w:rPr>
        <w:t xml:space="preserve"> four </w:t>
      </w:r>
      <w:r w:rsidRPr="004177C6">
        <w:rPr>
          <w:color w:val="000000" w:themeColor="text1"/>
          <w:szCs w:val="26"/>
        </w:rPr>
        <w:t xml:space="preserve">plaintiffs in </w:t>
      </w:r>
      <w:r w:rsidRPr="004177C6">
        <w:rPr>
          <w:i/>
          <w:color w:val="000000" w:themeColor="text1"/>
          <w:szCs w:val="26"/>
        </w:rPr>
        <w:t xml:space="preserve">Weaver v. Pasadena Tournament of Roses </w:t>
      </w:r>
      <w:r w:rsidRPr="004177C6">
        <w:rPr>
          <w:color w:val="000000" w:themeColor="text1"/>
          <w:szCs w:val="26"/>
        </w:rPr>
        <w:t>(1948) 32 Cal.2d 833 (</w:t>
      </w:r>
      <w:r w:rsidRPr="004177C6">
        <w:rPr>
          <w:i/>
          <w:color w:val="000000" w:themeColor="text1"/>
          <w:szCs w:val="26"/>
        </w:rPr>
        <w:t>Weaver</w:t>
      </w:r>
      <w:r w:rsidRPr="004177C6">
        <w:rPr>
          <w:color w:val="000000" w:themeColor="text1"/>
          <w:szCs w:val="26"/>
        </w:rPr>
        <w:t xml:space="preserve">) brought a lawsuit to recover statutory penalties for an </w:t>
      </w:r>
      <w:r w:rsidR="005A27FB">
        <w:rPr>
          <w:color w:val="000000" w:themeColor="text1"/>
          <w:szCs w:val="26"/>
        </w:rPr>
        <w:t>allegedly</w:t>
      </w:r>
      <w:r w:rsidRPr="004177C6">
        <w:rPr>
          <w:color w:val="000000" w:themeColor="text1"/>
          <w:szCs w:val="26"/>
        </w:rPr>
        <w:t xml:space="preserve"> wrongful refusal to admit them to the 1947 Rose Bowl football game.  (</w:t>
      </w:r>
      <w:r w:rsidRPr="004177C6">
        <w:rPr>
          <w:i/>
          <w:color w:val="000000" w:themeColor="text1"/>
          <w:szCs w:val="26"/>
        </w:rPr>
        <w:t>Id</w:t>
      </w:r>
      <w:r w:rsidRPr="004177C6">
        <w:rPr>
          <w:color w:val="000000" w:themeColor="text1"/>
          <w:szCs w:val="26"/>
        </w:rPr>
        <w:t>., at p. 835.)  The plaintiffs</w:t>
      </w:r>
      <w:r w:rsidR="0037333B" w:rsidRPr="004177C6">
        <w:rPr>
          <w:color w:val="000000" w:themeColor="text1"/>
          <w:szCs w:val="26"/>
        </w:rPr>
        <w:t xml:space="preserve"> </w:t>
      </w:r>
      <w:r w:rsidRPr="004177C6">
        <w:rPr>
          <w:color w:val="000000" w:themeColor="text1"/>
          <w:szCs w:val="26"/>
        </w:rPr>
        <w:t xml:space="preserve">sought to pursue the matter as a </w:t>
      </w:r>
      <w:r w:rsidR="00225BA3">
        <w:rPr>
          <w:color w:val="000000" w:themeColor="text1"/>
          <w:szCs w:val="26"/>
        </w:rPr>
        <w:t>representative</w:t>
      </w:r>
      <w:r w:rsidRPr="004177C6">
        <w:rPr>
          <w:color w:val="000000" w:themeColor="text1"/>
          <w:szCs w:val="26"/>
        </w:rPr>
        <w:t xml:space="preserve"> suit</w:t>
      </w:r>
      <w:r w:rsidR="00FE5129" w:rsidRPr="004177C6">
        <w:rPr>
          <w:color w:val="000000" w:themeColor="text1"/>
          <w:szCs w:val="26"/>
        </w:rPr>
        <w:t xml:space="preserve"> on behalf of themselves and</w:t>
      </w:r>
      <w:r w:rsidRPr="004177C6">
        <w:rPr>
          <w:color w:val="000000" w:themeColor="text1"/>
          <w:szCs w:val="26"/>
        </w:rPr>
        <w:t xml:space="preserve"> </w:t>
      </w:r>
      <w:r w:rsidR="00F84333">
        <w:rPr>
          <w:color w:val="000000" w:themeColor="text1"/>
          <w:szCs w:val="26"/>
        </w:rPr>
        <w:t>hundreds</w:t>
      </w:r>
      <w:r w:rsidRPr="004177C6">
        <w:rPr>
          <w:color w:val="000000" w:themeColor="text1"/>
          <w:szCs w:val="26"/>
        </w:rPr>
        <w:t xml:space="preserve"> of other would-be patrons who also had waited in line for tickets that </w:t>
      </w:r>
      <w:r w:rsidR="00EC2EDC" w:rsidRPr="004177C6">
        <w:rPr>
          <w:color w:val="000000" w:themeColor="text1"/>
          <w:szCs w:val="26"/>
        </w:rPr>
        <w:t>ended up being</w:t>
      </w:r>
      <w:r w:rsidRPr="004177C6">
        <w:rPr>
          <w:color w:val="000000" w:themeColor="text1"/>
          <w:szCs w:val="26"/>
        </w:rPr>
        <w:t xml:space="preserve"> allocated through </w:t>
      </w:r>
      <w:r w:rsidR="00FE5129" w:rsidRPr="004177C6">
        <w:rPr>
          <w:color w:val="000000" w:themeColor="text1"/>
          <w:szCs w:val="26"/>
        </w:rPr>
        <w:t xml:space="preserve">assertedly improper </w:t>
      </w:r>
      <w:r w:rsidRPr="004177C6">
        <w:rPr>
          <w:color w:val="000000" w:themeColor="text1"/>
          <w:szCs w:val="26"/>
        </w:rPr>
        <w:t>private sales.  (</w:t>
      </w:r>
      <w:r w:rsidRPr="004177C6">
        <w:rPr>
          <w:i/>
          <w:color w:val="000000" w:themeColor="text1"/>
          <w:szCs w:val="26"/>
        </w:rPr>
        <w:t>Id</w:t>
      </w:r>
      <w:r w:rsidRPr="004177C6">
        <w:rPr>
          <w:color w:val="000000" w:themeColor="text1"/>
          <w:szCs w:val="26"/>
        </w:rPr>
        <w:t>.,</w:t>
      </w:r>
      <w:r w:rsidR="00827E0F">
        <w:rPr>
          <w:color w:val="000000" w:themeColor="text1"/>
          <w:szCs w:val="26"/>
        </w:rPr>
        <w:t> </w:t>
      </w:r>
      <w:r w:rsidRPr="004177C6">
        <w:rPr>
          <w:color w:val="000000" w:themeColor="text1"/>
          <w:szCs w:val="26"/>
        </w:rPr>
        <w:t xml:space="preserve">at p. 836.)  </w:t>
      </w:r>
    </w:p>
    <w:p w14:paraId="5B7E1248" w14:textId="0DDB6AC8" w:rsidR="000B26F9" w:rsidRPr="004177C6" w:rsidRDefault="000B26F9" w:rsidP="004177C6">
      <w:pPr>
        <w:ind w:firstLine="720"/>
        <w:rPr>
          <w:color w:val="000000" w:themeColor="text1"/>
          <w:szCs w:val="26"/>
        </w:rPr>
      </w:pPr>
      <w:r w:rsidRPr="004177C6">
        <w:rPr>
          <w:color w:val="000000" w:themeColor="text1"/>
          <w:szCs w:val="26"/>
        </w:rPr>
        <w:t xml:space="preserve">We agreed with the superior court’s determination that the </w:t>
      </w:r>
      <w:r w:rsidR="00ED31B1" w:rsidRPr="004177C6">
        <w:rPr>
          <w:color w:val="000000" w:themeColor="text1"/>
          <w:szCs w:val="26"/>
        </w:rPr>
        <w:t>suit</w:t>
      </w:r>
      <w:r w:rsidRPr="004177C6">
        <w:rPr>
          <w:color w:val="000000" w:themeColor="text1"/>
          <w:szCs w:val="26"/>
        </w:rPr>
        <w:t xml:space="preserve"> was not </w:t>
      </w:r>
      <w:r w:rsidR="00FE5129" w:rsidRPr="004177C6">
        <w:rPr>
          <w:color w:val="000000" w:themeColor="text1"/>
          <w:szCs w:val="26"/>
        </w:rPr>
        <w:t xml:space="preserve">an </w:t>
      </w:r>
      <w:r w:rsidRPr="004177C6">
        <w:rPr>
          <w:color w:val="000000" w:themeColor="text1"/>
          <w:szCs w:val="26"/>
        </w:rPr>
        <w:t>appropriate</w:t>
      </w:r>
      <w:r w:rsidR="00FE5129" w:rsidRPr="004177C6">
        <w:rPr>
          <w:color w:val="000000" w:themeColor="text1"/>
          <w:szCs w:val="26"/>
        </w:rPr>
        <w:t xml:space="preserve"> </w:t>
      </w:r>
      <w:r w:rsidRPr="004177C6">
        <w:rPr>
          <w:color w:val="000000" w:themeColor="text1"/>
          <w:szCs w:val="26"/>
        </w:rPr>
        <w:t>representative action.  (</w:t>
      </w:r>
      <w:r w:rsidRPr="004177C6">
        <w:rPr>
          <w:i/>
          <w:color w:val="000000" w:themeColor="text1"/>
          <w:szCs w:val="26"/>
        </w:rPr>
        <w:t>Weaver</w:t>
      </w:r>
      <w:r w:rsidRPr="004177C6">
        <w:rPr>
          <w:color w:val="000000" w:themeColor="text1"/>
          <w:szCs w:val="26"/>
        </w:rPr>
        <w:t xml:space="preserve">, </w:t>
      </w:r>
      <w:r w:rsidR="0037333B" w:rsidRPr="004177C6">
        <w:rPr>
          <w:i/>
          <w:color w:val="000000" w:themeColor="text1"/>
          <w:szCs w:val="26"/>
        </w:rPr>
        <w:t>supra</w:t>
      </w:r>
      <w:r w:rsidR="0037333B" w:rsidRPr="004177C6">
        <w:rPr>
          <w:color w:val="000000" w:themeColor="text1"/>
          <w:szCs w:val="26"/>
        </w:rPr>
        <w:t xml:space="preserve">, </w:t>
      </w:r>
      <w:r w:rsidRPr="004177C6">
        <w:rPr>
          <w:color w:val="000000" w:themeColor="text1"/>
          <w:szCs w:val="26"/>
        </w:rPr>
        <w:t>32 Cal.2d at p. 835.)  We stressed</w:t>
      </w:r>
      <w:r w:rsidR="00864401">
        <w:rPr>
          <w:color w:val="000000" w:themeColor="text1"/>
          <w:szCs w:val="26"/>
        </w:rPr>
        <w:t xml:space="preserve">, </w:t>
      </w:r>
      <w:r w:rsidRPr="004177C6">
        <w:rPr>
          <w:color w:val="000000" w:themeColor="text1"/>
          <w:szCs w:val="26"/>
        </w:rPr>
        <w:t>“</w:t>
      </w:r>
      <w:r w:rsidR="00864401">
        <w:rPr>
          <w:color w:val="000000" w:themeColor="text1"/>
          <w:szCs w:val="26"/>
        </w:rPr>
        <w:t>I</w:t>
      </w:r>
      <w:r w:rsidRPr="004177C6">
        <w:rPr>
          <w:color w:val="000000" w:themeColor="text1"/>
          <w:szCs w:val="26"/>
        </w:rPr>
        <w:t>n the present case there is no ascertainable class, such as the stockholders, bondholders, or creditors of an organization.  Rather</w:t>
      </w:r>
      <w:r w:rsidR="007A1AF0">
        <w:rPr>
          <w:color w:val="000000" w:themeColor="text1"/>
          <w:szCs w:val="26"/>
        </w:rPr>
        <w:t>,</w:t>
      </w:r>
      <w:r w:rsidRPr="004177C6">
        <w:rPr>
          <w:color w:val="000000" w:themeColor="text1"/>
          <w:szCs w:val="26"/>
        </w:rPr>
        <w:t xml:space="preserve"> there is only a large number of individuals, each of who</w:t>
      </w:r>
      <w:r w:rsidR="00BF18B2" w:rsidRPr="004177C6">
        <w:rPr>
          <w:color w:val="000000" w:themeColor="text1"/>
          <w:szCs w:val="26"/>
        </w:rPr>
        <w:t>m</w:t>
      </w:r>
      <w:r w:rsidRPr="004177C6">
        <w:rPr>
          <w:color w:val="000000" w:themeColor="text1"/>
          <w:szCs w:val="26"/>
        </w:rPr>
        <w:t xml:space="preserve"> may or may not have, or care to assert, a claim against the operators of the 1947 Rose Bowl Game for the alleged wrongful refusal of admission thereto.  Each of such claimants must establish separately that he was refused admission, and that such refusal was wrongful</w:t>
      </w:r>
      <w:r w:rsidR="00FE5129" w:rsidRPr="004177C6">
        <w:rPr>
          <w:color w:val="000000" w:themeColor="text1"/>
          <w:szCs w:val="26"/>
        </w:rPr>
        <w:t> </w:t>
      </w:r>
      <w:r w:rsidRPr="004177C6">
        <w:rPr>
          <w:color w:val="000000" w:themeColor="text1"/>
          <w:szCs w:val="26"/>
        </w:rPr>
        <w:t>.</w:t>
      </w:r>
      <w:r w:rsidR="00FE5129" w:rsidRPr="004177C6">
        <w:rPr>
          <w:color w:val="000000" w:themeColor="text1"/>
          <w:szCs w:val="26"/>
        </w:rPr>
        <w:t> </w:t>
      </w:r>
      <w:r w:rsidRPr="004177C6">
        <w:rPr>
          <w:color w:val="000000" w:themeColor="text1"/>
          <w:szCs w:val="26"/>
        </w:rPr>
        <w:t>.</w:t>
      </w:r>
      <w:r w:rsidR="00FE5129" w:rsidRPr="004177C6">
        <w:rPr>
          <w:color w:val="000000" w:themeColor="text1"/>
          <w:szCs w:val="26"/>
        </w:rPr>
        <w:t> </w:t>
      </w:r>
      <w:r w:rsidRPr="004177C6">
        <w:rPr>
          <w:color w:val="000000" w:themeColor="text1"/>
          <w:szCs w:val="26"/>
        </w:rPr>
        <w:t>.</w:t>
      </w:r>
      <w:r w:rsidR="00FE5129" w:rsidRPr="004177C6">
        <w:rPr>
          <w:color w:val="000000" w:themeColor="text1"/>
          <w:szCs w:val="26"/>
        </w:rPr>
        <w:t> </w:t>
      </w:r>
      <w:r w:rsidRPr="004177C6">
        <w:rPr>
          <w:color w:val="000000" w:themeColor="text1"/>
          <w:szCs w:val="26"/>
        </w:rPr>
        <w:t>.  While each would be ‘similarly situated’ in that his cause of action arises under the same statute, his recovery would rest on a distinct premise correlative with varying proof as to the facts of his particular case.</w:t>
      </w:r>
      <w:r w:rsidR="0034129D" w:rsidRPr="004177C6">
        <w:rPr>
          <w:color w:val="000000" w:themeColor="text1"/>
          <w:szCs w:val="26"/>
        </w:rPr>
        <w:t xml:space="preserve">  In such circumstances there is not the necessary </w:t>
      </w:r>
      <w:r w:rsidR="00715B6F" w:rsidRPr="004177C6">
        <w:rPr>
          <w:color w:val="000000" w:themeColor="text1"/>
          <w:szCs w:val="26"/>
        </w:rPr>
        <w:t>‘</w:t>
      </w:r>
      <w:r w:rsidR="0034129D" w:rsidRPr="004177C6">
        <w:rPr>
          <w:color w:val="000000" w:themeColor="text1"/>
          <w:szCs w:val="26"/>
        </w:rPr>
        <w:t>common or general interest</w:t>
      </w:r>
      <w:r w:rsidR="00715B6F" w:rsidRPr="004177C6">
        <w:rPr>
          <w:color w:val="000000" w:themeColor="text1"/>
          <w:szCs w:val="26"/>
        </w:rPr>
        <w:t>’</w:t>
      </w:r>
      <w:r w:rsidR="0034129D" w:rsidRPr="004177C6">
        <w:rPr>
          <w:color w:val="000000" w:themeColor="text1"/>
          <w:szCs w:val="26"/>
        </w:rPr>
        <w:t xml:space="preserve"> in the subject-matter of the litigation appropriate to the maintenance of a representative action as that type of proceeding has been analyzed in the adjudicated cases.</w:t>
      </w:r>
      <w:r w:rsidRPr="004177C6">
        <w:rPr>
          <w:color w:val="000000" w:themeColor="text1"/>
          <w:szCs w:val="26"/>
        </w:rPr>
        <w:t>”  (</w:t>
      </w:r>
      <w:r w:rsidRPr="004177C6">
        <w:rPr>
          <w:i/>
          <w:color w:val="000000" w:themeColor="text1"/>
          <w:szCs w:val="26"/>
        </w:rPr>
        <w:t>Id</w:t>
      </w:r>
      <w:r w:rsidRPr="004177C6">
        <w:rPr>
          <w:color w:val="000000" w:themeColor="text1"/>
          <w:szCs w:val="26"/>
        </w:rPr>
        <w:t xml:space="preserve">., at pp. 839-840.)  </w:t>
      </w:r>
    </w:p>
    <w:p w14:paraId="0E904A79" w14:textId="2D281091" w:rsidR="000B26F9" w:rsidRPr="004177C6" w:rsidRDefault="00FE5129" w:rsidP="004177C6">
      <w:pPr>
        <w:ind w:firstLine="720"/>
        <w:rPr>
          <w:color w:val="000000" w:themeColor="text1"/>
          <w:szCs w:val="26"/>
        </w:rPr>
      </w:pPr>
      <w:r w:rsidRPr="004177C6">
        <w:rPr>
          <w:color w:val="000000" w:themeColor="text1"/>
          <w:szCs w:val="26"/>
        </w:rPr>
        <w:t>O</w:t>
      </w:r>
      <w:r w:rsidR="000B26F9" w:rsidRPr="004177C6">
        <w:rPr>
          <w:color w:val="000000" w:themeColor="text1"/>
          <w:szCs w:val="26"/>
        </w:rPr>
        <w:t xml:space="preserve">ur opinion in </w:t>
      </w:r>
      <w:r w:rsidR="000B26F9" w:rsidRPr="004177C6">
        <w:rPr>
          <w:i/>
          <w:color w:val="000000" w:themeColor="text1"/>
          <w:szCs w:val="26"/>
        </w:rPr>
        <w:t>Weaver</w:t>
      </w:r>
      <w:r w:rsidR="000B26F9" w:rsidRPr="004177C6">
        <w:rPr>
          <w:color w:val="000000" w:themeColor="text1"/>
          <w:szCs w:val="26"/>
        </w:rPr>
        <w:t xml:space="preserve">, </w:t>
      </w:r>
      <w:r w:rsidR="000B26F9" w:rsidRPr="004177C6">
        <w:rPr>
          <w:i/>
          <w:color w:val="000000" w:themeColor="text1"/>
          <w:szCs w:val="26"/>
        </w:rPr>
        <w:t>supra</w:t>
      </w:r>
      <w:r w:rsidR="000B26F9" w:rsidRPr="004177C6">
        <w:rPr>
          <w:color w:val="000000" w:themeColor="text1"/>
          <w:szCs w:val="26"/>
        </w:rPr>
        <w:t xml:space="preserve">, 32 Cal.2d 833, also </w:t>
      </w:r>
      <w:r w:rsidR="00864401">
        <w:rPr>
          <w:color w:val="000000" w:themeColor="text1"/>
          <w:szCs w:val="26"/>
        </w:rPr>
        <w:t>noted</w:t>
      </w:r>
      <w:r w:rsidR="000B26F9" w:rsidRPr="004177C6">
        <w:rPr>
          <w:color w:val="000000" w:themeColor="text1"/>
          <w:szCs w:val="26"/>
        </w:rPr>
        <w:t xml:space="preserve"> “one further point” that provided additional support for the trial court’s ruling.  (</w:t>
      </w:r>
      <w:r w:rsidR="000B26F9" w:rsidRPr="004177C6">
        <w:rPr>
          <w:i/>
          <w:color w:val="000000" w:themeColor="text1"/>
          <w:szCs w:val="26"/>
        </w:rPr>
        <w:t>Id</w:t>
      </w:r>
      <w:r w:rsidR="000B26F9" w:rsidRPr="004177C6">
        <w:rPr>
          <w:color w:val="000000" w:themeColor="text1"/>
          <w:szCs w:val="26"/>
        </w:rPr>
        <w:t>., at p. 842.)  We observed, “In cases</w:t>
      </w:r>
      <w:r w:rsidR="002C04F6">
        <w:rPr>
          <w:color w:val="000000" w:themeColor="text1"/>
          <w:szCs w:val="26"/>
        </w:rPr>
        <w:t xml:space="preserve"> properly</w:t>
      </w:r>
      <w:r w:rsidR="000B26F9" w:rsidRPr="004177C6">
        <w:rPr>
          <w:color w:val="000000" w:themeColor="text1"/>
          <w:szCs w:val="26"/>
        </w:rPr>
        <w:t xml:space="preserve"> falling within the category of representative litigation, the judgment or decree would be res judicata for or against the class sought to be represented.  [Citation</w:t>
      </w:r>
      <w:r w:rsidR="00864401">
        <w:rPr>
          <w:color w:val="000000" w:themeColor="text1"/>
          <w:szCs w:val="26"/>
        </w:rPr>
        <w:t>s</w:t>
      </w:r>
      <w:r w:rsidR="000B26F9" w:rsidRPr="004177C6">
        <w:rPr>
          <w:color w:val="000000" w:themeColor="text1"/>
          <w:szCs w:val="26"/>
        </w:rPr>
        <w:t>.]  But that result could not be extended to entirely separate causes of action, such as the four plaintiffs have pleaded here, so as to bind ‘several hundred individuals’ who are not named</w:t>
      </w:r>
      <w:r w:rsidR="002C04F6">
        <w:rPr>
          <w:color w:val="000000" w:themeColor="text1"/>
          <w:szCs w:val="26"/>
        </w:rPr>
        <w:t>,</w:t>
      </w:r>
      <w:r w:rsidR="000B26F9" w:rsidRPr="004177C6">
        <w:rPr>
          <w:color w:val="000000" w:themeColor="text1"/>
          <w:szCs w:val="26"/>
        </w:rPr>
        <w:t xml:space="preserve"> and who are, so far as the complaint shows, unknown and unascertainable.  Rather, these unknown parties are ascertainable only insofar as each may come forward and individually present proof of all the facts necessary to authorize a recovery in accordance with the merits of his particular case, and judgment in one would by no means be a judgment in any other.  Plaintiffs here do not claim to represent an association or protective committee nor do they present any reasonable basis for ascertaining the members of the alleged class for whom they seek to act in this litigation.  [Citation.]  In short, plaintiffs’ complaint can be regarded as no more than an invitation to such persons as may be interested to join with them in this action in seeking relief ‘arising out of the same transaction or series of transactions’ [citation], but such situation furnishes no ground for the maintenance of a representative proceeding.</w:t>
      </w:r>
      <w:r w:rsidR="00864401">
        <w:rPr>
          <w:color w:val="000000" w:themeColor="text1"/>
          <w:szCs w:val="26"/>
        </w:rPr>
        <w:t> . . .</w:t>
      </w:r>
      <w:r w:rsidR="000B26F9" w:rsidRPr="004177C6">
        <w:rPr>
          <w:color w:val="000000" w:themeColor="text1"/>
          <w:szCs w:val="26"/>
        </w:rPr>
        <w:t>”  (</w:t>
      </w:r>
      <w:r w:rsidR="000B26F9" w:rsidRPr="004177C6">
        <w:rPr>
          <w:i/>
          <w:color w:val="000000" w:themeColor="text1"/>
          <w:szCs w:val="26"/>
        </w:rPr>
        <w:t>Id</w:t>
      </w:r>
      <w:r w:rsidR="000B26F9" w:rsidRPr="004177C6">
        <w:rPr>
          <w:color w:val="000000" w:themeColor="text1"/>
          <w:szCs w:val="26"/>
        </w:rPr>
        <w:t>., at pp. 842-843.)</w:t>
      </w:r>
    </w:p>
    <w:p w14:paraId="5085B02A" w14:textId="77777777" w:rsidR="000B26F9" w:rsidRPr="004177C6" w:rsidRDefault="000B26F9" w:rsidP="000E10C5">
      <w:pPr>
        <w:pStyle w:val="ListParagraph"/>
        <w:keepNext/>
        <w:keepLines/>
        <w:numPr>
          <w:ilvl w:val="0"/>
          <w:numId w:val="2"/>
        </w:numPr>
        <w:ind w:left="1354" w:hanging="274"/>
        <w:rPr>
          <w:rFonts w:ascii="Century Schoolbook" w:hAnsi="Century Schoolbook"/>
          <w:i/>
          <w:color w:val="000000" w:themeColor="text1"/>
          <w:szCs w:val="26"/>
        </w:rPr>
      </w:pPr>
      <w:r w:rsidRPr="004177C6">
        <w:rPr>
          <w:rFonts w:ascii="Century Schoolbook" w:hAnsi="Century Schoolbook"/>
          <w:color w:val="000000" w:themeColor="text1"/>
          <w:szCs w:val="26"/>
        </w:rPr>
        <w:t>Chance</w:t>
      </w:r>
    </w:p>
    <w:p w14:paraId="33C41B8B" w14:textId="44EF714B" w:rsidR="000B26F9" w:rsidRPr="004177C6" w:rsidRDefault="00864401" w:rsidP="00910DE0">
      <w:pPr>
        <w:ind w:firstLine="720"/>
        <w:rPr>
          <w:color w:val="000000" w:themeColor="text1"/>
          <w:szCs w:val="26"/>
        </w:rPr>
      </w:pPr>
      <w:r>
        <w:rPr>
          <w:color w:val="000000" w:themeColor="text1"/>
          <w:szCs w:val="26"/>
        </w:rPr>
        <w:t>We</w:t>
      </w:r>
      <w:r w:rsidR="000B26F9" w:rsidRPr="004177C6">
        <w:rPr>
          <w:color w:val="000000" w:themeColor="text1"/>
          <w:szCs w:val="26"/>
        </w:rPr>
        <w:t xml:space="preserve"> next discuss</w:t>
      </w:r>
      <w:r>
        <w:rPr>
          <w:color w:val="000000" w:themeColor="text1"/>
          <w:szCs w:val="26"/>
        </w:rPr>
        <w:t>ed</w:t>
      </w:r>
      <w:r w:rsidR="000B26F9" w:rsidRPr="004177C6">
        <w:rPr>
          <w:color w:val="000000" w:themeColor="text1"/>
          <w:szCs w:val="26"/>
        </w:rPr>
        <w:t xml:space="preserve"> ascertainability </w:t>
      </w:r>
      <w:r w:rsidR="00745A38">
        <w:rPr>
          <w:color w:val="000000" w:themeColor="text1"/>
          <w:szCs w:val="26"/>
        </w:rPr>
        <w:t xml:space="preserve">in </w:t>
      </w:r>
      <w:r w:rsidR="00225BA3">
        <w:rPr>
          <w:color w:val="000000" w:themeColor="text1"/>
          <w:szCs w:val="26"/>
        </w:rPr>
        <w:t>the context of a</w:t>
      </w:r>
      <w:r w:rsidR="00745A38">
        <w:rPr>
          <w:color w:val="000000" w:themeColor="text1"/>
          <w:szCs w:val="26"/>
        </w:rPr>
        <w:t xml:space="preserve"> </w:t>
      </w:r>
      <w:r w:rsidR="00225BA3">
        <w:rPr>
          <w:color w:val="000000" w:themeColor="text1"/>
          <w:szCs w:val="26"/>
        </w:rPr>
        <w:t>representative</w:t>
      </w:r>
      <w:r w:rsidR="00745A38">
        <w:rPr>
          <w:color w:val="000000" w:themeColor="text1"/>
          <w:szCs w:val="26"/>
        </w:rPr>
        <w:t xml:space="preserve"> </w:t>
      </w:r>
      <w:r w:rsidR="005A27FB">
        <w:rPr>
          <w:color w:val="000000" w:themeColor="text1"/>
          <w:szCs w:val="26"/>
        </w:rPr>
        <w:t>proceeding</w:t>
      </w:r>
      <w:r w:rsidR="00745A38">
        <w:rPr>
          <w:color w:val="000000" w:themeColor="text1"/>
          <w:szCs w:val="26"/>
        </w:rPr>
        <w:t xml:space="preserve"> </w:t>
      </w:r>
      <w:r w:rsidR="000B26F9" w:rsidRPr="004177C6">
        <w:rPr>
          <w:color w:val="000000" w:themeColor="text1"/>
          <w:szCs w:val="26"/>
        </w:rPr>
        <w:t xml:space="preserve">in </w:t>
      </w:r>
      <w:r w:rsidR="000B26F9" w:rsidRPr="004177C6">
        <w:rPr>
          <w:i/>
          <w:color w:val="000000" w:themeColor="text1"/>
          <w:szCs w:val="26"/>
        </w:rPr>
        <w:t>Chance v. Superior Court</w:t>
      </w:r>
      <w:r w:rsidR="000B26F9" w:rsidRPr="004177C6">
        <w:rPr>
          <w:color w:val="000000" w:themeColor="text1"/>
          <w:szCs w:val="26"/>
        </w:rPr>
        <w:t xml:space="preserve"> (196</w:t>
      </w:r>
      <w:r w:rsidR="00D87DD7" w:rsidRPr="004177C6">
        <w:rPr>
          <w:color w:val="000000" w:themeColor="text1"/>
          <w:szCs w:val="26"/>
        </w:rPr>
        <w:t>2</w:t>
      </w:r>
      <w:r w:rsidR="000B26F9" w:rsidRPr="004177C6">
        <w:rPr>
          <w:color w:val="000000" w:themeColor="text1"/>
          <w:szCs w:val="26"/>
        </w:rPr>
        <w:t>) 58</w:t>
      </w:r>
      <w:r w:rsidR="0062218E">
        <w:rPr>
          <w:color w:val="000000" w:themeColor="text1"/>
          <w:szCs w:val="26"/>
        </w:rPr>
        <w:t> </w:t>
      </w:r>
      <w:r w:rsidR="000B26F9" w:rsidRPr="004177C6">
        <w:rPr>
          <w:color w:val="000000" w:themeColor="text1"/>
          <w:szCs w:val="26"/>
        </w:rPr>
        <w:t>Cal.2d 275</w:t>
      </w:r>
      <w:r w:rsidR="00F51AC6" w:rsidRPr="004177C6">
        <w:rPr>
          <w:color w:val="000000" w:themeColor="text1"/>
          <w:szCs w:val="26"/>
        </w:rPr>
        <w:t xml:space="preserve"> (</w:t>
      </w:r>
      <w:r w:rsidR="00F51AC6" w:rsidRPr="004177C6">
        <w:rPr>
          <w:i/>
          <w:color w:val="000000" w:themeColor="text1"/>
          <w:szCs w:val="26"/>
        </w:rPr>
        <w:t>Chance</w:t>
      </w:r>
      <w:r w:rsidR="00F51AC6" w:rsidRPr="004177C6">
        <w:rPr>
          <w:color w:val="000000" w:themeColor="text1"/>
          <w:szCs w:val="26"/>
        </w:rPr>
        <w:t>)</w:t>
      </w:r>
      <w:r w:rsidR="000B26F9" w:rsidRPr="004177C6">
        <w:rPr>
          <w:color w:val="000000" w:themeColor="text1"/>
          <w:szCs w:val="26"/>
        </w:rPr>
        <w:t xml:space="preserve">.  The plaintiffs in </w:t>
      </w:r>
      <w:r w:rsidR="000B26F9" w:rsidRPr="004177C6">
        <w:rPr>
          <w:i/>
          <w:color w:val="000000" w:themeColor="text1"/>
          <w:szCs w:val="26"/>
        </w:rPr>
        <w:t>Chance</w:t>
      </w:r>
      <w:r w:rsidR="000B26F9" w:rsidRPr="004177C6">
        <w:rPr>
          <w:color w:val="000000" w:themeColor="text1"/>
          <w:szCs w:val="26"/>
        </w:rPr>
        <w:t xml:space="preserve"> sued on behalf of themselves and all other owners of</w:t>
      </w:r>
      <w:r w:rsidR="00257B01" w:rsidRPr="004177C6">
        <w:rPr>
          <w:color w:val="000000" w:themeColor="text1"/>
          <w:szCs w:val="26"/>
        </w:rPr>
        <w:t xml:space="preserve"> </w:t>
      </w:r>
      <w:r>
        <w:rPr>
          <w:color w:val="000000" w:themeColor="text1"/>
          <w:szCs w:val="26"/>
        </w:rPr>
        <w:t xml:space="preserve">promissory </w:t>
      </w:r>
      <w:r w:rsidR="00257B01" w:rsidRPr="004177C6">
        <w:rPr>
          <w:color w:val="000000" w:themeColor="text1"/>
          <w:szCs w:val="26"/>
        </w:rPr>
        <w:t>notes secured by</w:t>
      </w:r>
      <w:r w:rsidR="000B26F9" w:rsidRPr="004177C6">
        <w:rPr>
          <w:color w:val="000000" w:themeColor="text1"/>
          <w:szCs w:val="26"/>
        </w:rPr>
        <w:t xml:space="preserve"> 2,139</w:t>
      </w:r>
      <w:r w:rsidR="00DC0F38" w:rsidRPr="004177C6">
        <w:rPr>
          <w:color w:val="000000" w:themeColor="text1"/>
          <w:szCs w:val="26"/>
        </w:rPr>
        <w:t xml:space="preserve"> trust</w:t>
      </w:r>
      <w:r w:rsidR="000B26F9" w:rsidRPr="004177C6">
        <w:rPr>
          <w:color w:val="000000" w:themeColor="text1"/>
          <w:szCs w:val="26"/>
        </w:rPr>
        <w:t xml:space="preserve"> deeds </w:t>
      </w:r>
      <w:r w:rsidR="00DC0F38" w:rsidRPr="004177C6">
        <w:rPr>
          <w:color w:val="000000" w:themeColor="text1"/>
          <w:szCs w:val="26"/>
        </w:rPr>
        <w:t>on</w:t>
      </w:r>
      <w:r w:rsidR="000B26F9" w:rsidRPr="004177C6">
        <w:rPr>
          <w:color w:val="000000" w:themeColor="text1"/>
          <w:szCs w:val="26"/>
        </w:rPr>
        <w:t xml:space="preserve"> </w:t>
      </w:r>
      <w:r>
        <w:rPr>
          <w:color w:val="000000" w:themeColor="text1"/>
          <w:szCs w:val="26"/>
        </w:rPr>
        <w:t>specific parcels</w:t>
      </w:r>
      <w:r w:rsidR="000B26F9" w:rsidRPr="004177C6">
        <w:rPr>
          <w:color w:val="000000" w:themeColor="text1"/>
          <w:szCs w:val="26"/>
        </w:rPr>
        <w:t xml:space="preserve"> within </w:t>
      </w:r>
      <w:r w:rsidR="00DC0F38" w:rsidRPr="004177C6">
        <w:rPr>
          <w:color w:val="000000" w:themeColor="text1"/>
          <w:szCs w:val="26"/>
        </w:rPr>
        <w:t xml:space="preserve">a </w:t>
      </w:r>
      <w:r w:rsidR="005957FE" w:rsidRPr="004177C6">
        <w:rPr>
          <w:color w:val="000000" w:themeColor="text1"/>
          <w:szCs w:val="26"/>
        </w:rPr>
        <w:t>tract</w:t>
      </w:r>
      <w:r w:rsidR="00DC0F38" w:rsidRPr="004177C6">
        <w:rPr>
          <w:color w:val="000000" w:themeColor="text1"/>
          <w:szCs w:val="26"/>
        </w:rPr>
        <w:t xml:space="preserve"> of land</w:t>
      </w:r>
      <w:r w:rsidR="000B26F9" w:rsidRPr="004177C6">
        <w:rPr>
          <w:color w:val="000000" w:themeColor="text1"/>
          <w:szCs w:val="26"/>
        </w:rPr>
        <w:t>.  (</w:t>
      </w:r>
      <w:r w:rsidR="000B26F9" w:rsidRPr="004177C6">
        <w:rPr>
          <w:i/>
          <w:color w:val="000000" w:themeColor="text1"/>
          <w:szCs w:val="26"/>
        </w:rPr>
        <w:t>Id</w:t>
      </w:r>
      <w:r w:rsidR="000B26F9" w:rsidRPr="004177C6">
        <w:rPr>
          <w:color w:val="000000" w:themeColor="text1"/>
          <w:szCs w:val="26"/>
        </w:rPr>
        <w:t xml:space="preserve">., at </w:t>
      </w:r>
      <w:r w:rsidR="00D87DD7" w:rsidRPr="004177C6">
        <w:rPr>
          <w:color w:val="000000" w:themeColor="text1"/>
          <w:szCs w:val="26"/>
        </w:rPr>
        <w:t>p</w:t>
      </w:r>
      <w:r w:rsidR="000B26F9" w:rsidRPr="004177C6">
        <w:rPr>
          <w:color w:val="000000" w:themeColor="text1"/>
          <w:szCs w:val="26"/>
        </w:rPr>
        <w:t>p. 278</w:t>
      </w:r>
      <w:r w:rsidR="00D87DD7" w:rsidRPr="004177C6">
        <w:rPr>
          <w:color w:val="000000" w:themeColor="text1"/>
          <w:szCs w:val="26"/>
        </w:rPr>
        <w:t>-279</w:t>
      </w:r>
      <w:r w:rsidR="000B26F9" w:rsidRPr="004177C6">
        <w:rPr>
          <w:color w:val="000000" w:themeColor="text1"/>
          <w:szCs w:val="26"/>
        </w:rPr>
        <w:t>.)  The plaintiffs alleged that they and other members of the putative class had been ensnared in a scheme in which each deed</w:t>
      </w:r>
      <w:r>
        <w:rPr>
          <w:color w:val="000000" w:themeColor="text1"/>
          <w:szCs w:val="26"/>
        </w:rPr>
        <w:t xml:space="preserve"> of trust</w:t>
      </w:r>
      <w:r w:rsidR="000B26F9" w:rsidRPr="004177C6">
        <w:rPr>
          <w:color w:val="000000" w:themeColor="text1"/>
          <w:szCs w:val="26"/>
        </w:rPr>
        <w:t xml:space="preserve"> was </w:t>
      </w:r>
      <w:r w:rsidR="00D87DD7" w:rsidRPr="004177C6">
        <w:rPr>
          <w:color w:val="000000" w:themeColor="text1"/>
          <w:szCs w:val="26"/>
        </w:rPr>
        <w:t>associated with</w:t>
      </w:r>
      <w:r w:rsidR="000B26F9" w:rsidRPr="004177C6">
        <w:rPr>
          <w:color w:val="000000" w:themeColor="text1"/>
          <w:szCs w:val="26"/>
        </w:rPr>
        <w:t xml:space="preserve"> only a miniscule parcel.  (</w:t>
      </w:r>
      <w:r w:rsidR="000B26F9" w:rsidRPr="004177C6">
        <w:rPr>
          <w:i/>
          <w:color w:val="000000" w:themeColor="text1"/>
          <w:szCs w:val="26"/>
        </w:rPr>
        <w:t>Id</w:t>
      </w:r>
      <w:r w:rsidR="000B26F9" w:rsidRPr="004177C6">
        <w:rPr>
          <w:color w:val="000000" w:themeColor="text1"/>
          <w:szCs w:val="26"/>
        </w:rPr>
        <w:t>., at p. 280.)  The plaintiffs sought a collective foreclosure, the proceeds of which would help mitigate their investment losses.  (</w:t>
      </w:r>
      <w:r w:rsidR="000B26F9" w:rsidRPr="004177C6">
        <w:rPr>
          <w:i/>
          <w:color w:val="000000" w:themeColor="text1"/>
          <w:szCs w:val="26"/>
        </w:rPr>
        <w:t>Id</w:t>
      </w:r>
      <w:r w:rsidR="000B26F9" w:rsidRPr="004177C6">
        <w:rPr>
          <w:color w:val="000000" w:themeColor="text1"/>
          <w:szCs w:val="26"/>
        </w:rPr>
        <w:t>.</w:t>
      </w:r>
      <w:r w:rsidR="007A1AF0">
        <w:rPr>
          <w:color w:val="000000" w:themeColor="text1"/>
          <w:szCs w:val="26"/>
        </w:rPr>
        <w:t>, at p. 283.</w:t>
      </w:r>
      <w:r w:rsidR="000B26F9" w:rsidRPr="004177C6">
        <w:rPr>
          <w:color w:val="000000" w:themeColor="text1"/>
          <w:szCs w:val="26"/>
        </w:rPr>
        <w:t>)</w:t>
      </w:r>
    </w:p>
    <w:p w14:paraId="056166A3" w14:textId="428EA168" w:rsidR="00F51AC6" w:rsidRPr="004177C6" w:rsidRDefault="000B26F9" w:rsidP="004177C6">
      <w:pPr>
        <w:ind w:firstLine="720"/>
        <w:rPr>
          <w:color w:val="000000" w:themeColor="text1"/>
          <w:szCs w:val="26"/>
        </w:rPr>
      </w:pPr>
      <w:r w:rsidRPr="004177C6">
        <w:rPr>
          <w:color w:val="000000" w:themeColor="text1"/>
          <w:szCs w:val="26"/>
        </w:rPr>
        <w:t>In concluding that this suit could be brought as a representative action, we first addressed whether the requisite community of interest</w:t>
      </w:r>
      <w:r w:rsidR="005A27FB">
        <w:rPr>
          <w:color w:val="000000" w:themeColor="text1"/>
          <w:szCs w:val="26"/>
        </w:rPr>
        <w:t xml:space="preserve"> existed</w:t>
      </w:r>
      <w:r w:rsidRPr="004177C6">
        <w:rPr>
          <w:color w:val="000000" w:themeColor="text1"/>
          <w:szCs w:val="26"/>
        </w:rPr>
        <w:t xml:space="preserve"> among class members.  We concluded that </w:t>
      </w:r>
      <w:r w:rsidR="005A27FB">
        <w:rPr>
          <w:color w:val="000000" w:themeColor="text1"/>
          <w:szCs w:val="26"/>
        </w:rPr>
        <w:t>it did</w:t>
      </w:r>
      <w:r w:rsidRPr="004177C6">
        <w:rPr>
          <w:color w:val="000000" w:themeColor="text1"/>
          <w:szCs w:val="26"/>
        </w:rPr>
        <w:t>.  (</w:t>
      </w:r>
      <w:r w:rsidRPr="004177C6">
        <w:rPr>
          <w:i/>
          <w:color w:val="000000" w:themeColor="text1"/>
          <w:szCs w:val="26"/>
        </w:rPr>
        <w:t>Chance</w:t>
      </w:r>
      <w:r w:rsidRPr="004177C6">
        <w:rPr>
          <w:color w:val="000000" w:themeColor="text1"/>
          <w:szCs w:val="26"/>
        </w:rPr>
        <w:t xml:space="preserve">, </w:t>
      </w:r>
      <w:r w:rsidRPr="004177C6">
        <w:rPr>
          <w:i/>
          <w:color w:val="000000" w:themeColor="text1"/>
          <w:szCs w:val="26"/>
        </w:rPr>
        <w:t>supra</w:t>
      </w:r>
      <w:r w:rsidRPr="004177C6">
        <w:rPr>
          <w:color w:val="000000" w:themeColor="text1"/>
          <w:szCs w:val="26"/>
        </w:rPr>
        <w:t>, 58 Cal.2d at pp.</w:t>
      </w:r>
      <w:r w:rsidR="00327856">
        <w:rPr>
          <w:color w:val="000000" w:themeColor="text1"/>
          <w:szCs w:val="26"/>
        </w:rPr>
        <w:t> </w:t>
      </w:r>
      <w:r w:rsidRPr="004177C6">
        <w:rPr>
          <w:color w:val="000000" w:themeColor="text1"/>
          <w:szCs w:val="26"/>
        </w:rPr>
        <w:t xml:space="preserve">284-286.)  Only </w:t>
      </w:r>
      <w:r w:rsidR="00D87DD7" w:rsidRPr="004177C6">
        <w:rPr>
          <w:color w:val="000000" w:themeColor="text1"/>
          <w:szCs w:val="26"/>
        </w:rPr>
        <w:t>later</w:t>
      </w:r>
      <w:r w:rsidRPr="004177C6">
        <w:rPr>
          <w:color w:val="000000" w:themeColor="text1"/>
          <w:szCs w:val="26"/>
        </w:rPr>
        <w:t xml:space="preserve"> did we discuss ascertainability.  Our analysis provided, “</w:t>
      </w:r>
      <w:r w:rsidR="00864401">
        <w:rPr>
          <w:color w:val="000000" w:themeColor="text1"/>
          <w:szCs w:val="26"/>
        </w:rPr>
        <w:t>[A]</w:t>
      </w:r>
      <w:r w:rsidRPr="004177C6">
        <w:rPr>
          <w:color w:val="000000" w:themeColor="text1"/>
          <w:szCs w:val="26"/>
        </w:rPr>
        <w:t xml:space="preserve">ll of the members of the instant class are ascertainable (compare with </w:t>
      </w:r>
      <w:r w:rsidRPr="004177C6">
        <w:rPr>
          <w:i/>
          <w:color w:val="000000" w:themeColor="text1"/>
          <w:szCs w:val="26"/>
        </w:rPr>
        <w:t>Weaver v. Pasadena Tournament of Roses Assn</w:t>
      </w:r>
      <w:r w:rsidRPr="004177C6">
        <w:rPr>
          <w:color w:val="000000" w:themeColor="text1"/>
          <w:szCs w:val="26"/>
        </w:rPr>
        <w:t xml:space="preserve">, </w:t>
      </w:r>
      <w:r w:rsidRPr="004177C6">
        <w:rPr>
          <w:i/>
          <w:color w:val="000000" w:themeColor="text1"/>
          <w:szCs w:val="26"/>
        </w:rPr>
        <w:t>supra</w:t>
      </w:r>
      <w:r w:rsidRPr="004177C6">
        <w:rPr>
          <w:color w:val="000000" w:themeColor="text1"/>
          <w:szCs w:val="26"/>
        </w:rPr>
        <w:t>, 32 Cal.2d 833, 839-840, 843), and it is assumed that they will be given notice of the pending class foreclosure action by registered mail or other like reliable method [citation], thereby being afforded an opportunity to decide whether to appear and argue for any and all appropriate or available forms of redress desirable from their individual points of view, against the named defendants.”  (</w:t>
      </w:r>
      <w:r w:rsidRPr="004177C6">
        <w:rPr>
          <w:i/>
          <w:color w:val="000000" w:themeColor="text1"/>
          <w:szCs w:val="26"/>
        </w:rPr>
        <w:t>Id</w:t>
      </w:r>
      <w:r w:rsidRPr="004177C6">
        <w:rPr>
          <w:color w:val="000000" w:themeColor="text1"/>
          <w:szCs w:val="26"/>
        </w:rPr>
        <w:t>., at p.</w:t>
      </w:r>
      <w:r w:rsidR="00327856">
        <w:rPr>
          <w:color w:val="000000" w:themeColor="text1"/>
          <w:szCs w:val="26"/>
        </w:rPr>
        <w:t> </w:t>
      </w:r>
      <w:r w:rsidRPr="004177C6">
        <w:rPr>
          <w:color w:val="000000" w:themeColor="text1"/>
          <w:szCs w:val="26"/>
        </w:rPr>
        <w:t xml:space="preserve">290.) </w:t>
      </w:r>
    </w:p>
    <w:p w14:paraId="04AB251B" w14:textId="77777777" w:rsidR="000B26F9" w:rsidRPr="004177C6" w:rsidRDefault="00AB77D0" w:rsidP="004177C6">
      <w:pPr>
        <w:pStyle w:val="ListParagraph"/>
        <w:keepNext/>
        <w:keepLines/>
        <w:ind w:left="1080"/>
        <w:rPr>
          <w:rFonts w:ascii="Century Schoolbook" w:hAnsi="Century Schoolbook"/>
          <w:i/>
          <w:color w:val="000000" w:themeColor="text1"/>
          <w:szCs w:val="26"/>
        </w:rPr>
      </w:pPr>
      <w:r w:rsidRPr="004177C6">
        <w:rPr>
          <w:rFonts w:ascii="Century Schoolbook" w:hAnsi="Century Schoolbook"/>
          <w:i/>
          <w:color w:val="000000" w:themeColor="text1"/>
          <w:szCs w:val="26"/>
        </w:rPr>
        <w:t>3.</w:t>
      </w:r>
      <w:r w:rsidRPr="004177C6">
        <w:rPr>
          <w:rFonts w:ascii="Century Schoolbook" w:hAnsi="Century Schoolbook"/>
          <w:color w:val="000000" w:themeColor="text1"/>
          <w:szCs w:val="26"/>
        </w:rPr>
        <w:t xml:space="preserve">  </w:t>
      </w:r>
      <w:r w:rsidR="000B26F9" w:rsidRPr="004177C6">
        <w:rPr>
          <w:rFonts w:ascii="Century Schoolbook" w:hAnsi="Century Schoolbook"/>
          <w:color w:val="000000" w:themeColor="text1"/>
          <w:szCs w:val="26"/>
        </w:rPr>
        <w:t>Daar</w:t>
      </w:r>
    </w:p>
    <w:p w14:paraId="34BB1E87" w14:textId="04130FF3" w:rsidR="000B26F9" w:rsidRPr="004177C6" w:rsidRDefault="007B496C" w:rsidP="004177C6">
      <w:pPr>
        <w:ind w:firstLine="720"/>
        <w:rPr>
          <w:color w:val="000000" w:themeColor="text1"/>
          <w:szCs w:val="26"/>
        </w:rPr>
      </w:pPr>
      <w:r w:rsidRPr="004177C6">
        <w:rPr>
          <w:color w:val="000000" w:themeColor="text1"/>
          <w:szCs w:val="26"/>
        </w:rPr>
        <w:t xml:space="preserve">Our </w:t>
      </w:r>
      <w:r w:rsidR="00DC0F38" w:rsidRPr="004177C6">
        <w:rPr>
          <w:color w:val="000000" w:themeColor="text1"/>
          <w:szCs w:val="26"/>
        </w:rPr>
        <w:t>most extensive</w:t>
      </w:r>
      <w:r w:rsidRPr="004177C6">
        <w:rPr>
          <w:color w:val="000000" w:themeColor="text1"/>
          <w:szCs w:val="26"/>
        </w:rPr>
        <w:t xml:space="preserve"> discussion of</w:t>
      </w:r>
      <w:r w:rsidR="00DC0F38" w:rsidRPr="004177C6">
        <w:rPr>
          <w:color w:val="000000" w:themeColor="text1"/>
          <w:szCs w:val="26"/>
        </w:rPr>
        <w:t xml:space="preserve"> class</w:t>
      </w:r>
      <w:r w:rsidRPr="004177C6">
        <w:rPr>
          <w:color w:val="000000" w:themeColor="text1"/>
          <w:szCs w:val="26"/>
        </w:rPr>
        <w:t xml:space="preserve"> ascertainability appeared</w:t>
      </w:r>
      <w:r w:rsidR="00864401">
        <w:rPr>
          <w:color w:val="000000" w:themeColor="text1"/>
          <w:szCs w:val="26"/>
        </w:rPr>
        <w:t xml:space="preserve"> five years after </w:t>
      </w:r>
      <w:r w:rsidR="00864401" w:rsidRPr="00864401">
        <w:rPr>
          <w:i/>
          <w:color w:val="000000" w:themeColor="text1"/>
          <w:szCs w:val="26"/>
        </w:rPr>
        <w:t>Chance</w:t>
      </w:r>
      <w:r w:rsidR="00864401">
        <w:rPr>
          <w:color w:val="000000" w:themeColor="text1"/>
          <w:szCs w:val="26"/>
        </w:rPr>
        <w:t>,</w:t>
      </w:r>
      <w:r w:rsidRPr="004177C6">
        <w:rPr>
          <w:color w:val="000000" w:themeColor="text1"/>
          <w:szCs w:val="26"/>
        </w:rPr>
        <w:t xml:space="preserve"> </w:t>
      </w:r>
      <w:r w:rsidR="000B26F9" w:rsidRPr="004177C6">
        <w:rPr>
          <w:color w:val="000000" w:themeColor="text1"/>
          <w:szCs w:val="26"/>
        </w:rPr>
        <w:t xml:space="preserve">in </w:t>
      </w:r>
      <w:r w:rsidR="000B26F9" w:rsidRPr="004177C6">
        <w:rPr>
          <w:i/>
          <w:color w:val="000000" w:themeColor="text1"/>
          <w:szCs w:val="26"/>
        </w:rPr>
        <w:t>Daar</w:t>
      </w:r>
      <w:r w:rsidR="000B26F9" w:rsidRPr="004177C6">
        <w:rPr>
          <w:color w:val="000000" w:themeColor="text1"/>
          <w:szCs w:val="26"/>
        </w:rPr>
        <w:t xml:space="preserve">, </w:t>
      </w:r>
      <w:r w:rsidR="000B26F9" w:rsidRPr="004177C6">
        <w:rPr>
          <w:i/>
          <w:color w:val="000000" w:themeColor="text1"/>
          <w:szCs w:val="26"/>
        </w:rPr>
        <w:t>supra</w:t>
      </w:r>
      <w:r w:rsidR="000B26F9" w:rsidRPr="004177C6">
        <w:rPr>
          <w:color w:val="000000" w:themeColor="text1"/>
          <w:szCs w:val="26"/>
        </w:rPr>
        <w:t>, 67 Cal.2d 695</w:t>
      </w:r>
      <w:r w:rsidRPr="004177C6">
        <w:rPr>
          <w:color w:val="000000" w:themeColor="text1"/>
          <w:szCs w:val="26"/>
        </w:rPr>
        <w:t xml:space="preserve">.  The plaintiff in </w:t>
      </w:r>
      <w:r w:rsidRPr="004177C6">
        <w:rPr>
          <w:i/>
          <w:color w:val="000000" w:themeColor="text1"/>
          <w:szCs w:val="26"/>
        </w:rPr>
        <w:t>Daar</w:t>
      </w:r>
      <w:r w:rsidR="000B26F9" w:rsidRPr="004177C6">
        <w:rPr>
          <w:color w:val="000000" w:themeColor="text1"/>
          <w:szCs w:val="26"/>
        </w:rPr>
        <w:t xml:space="preserve"> sued the Yellow Cab Company for allege</w:t>
      </w:r>
      <w:r w:rsidRPr="004177C6">
        <w:rPr>
          <w:color w:val="000000" w:themeColor="text1"/>
          <w:szCs w:val="26"/>
        </w:rPr>
        <w:t xml:space="preserve">dly overcharging him and other </w:t>
      </w:r>
      <w:r w:rsidR="00745A38">
        <w:rPr>
          <w:color w:val="000000" w:themeColor="text1"/>
          <w:szCs w:val="26"/>
        </w:rPr>
        <w:t>taxi customers</w:t>
      </w:r>
      <w:r w:rsidR="000B26F9" w:rsidRPr="004177C6">
        <w:rPr>
          <w:color w:val="000000" w:themeColor="text1"/>
          <w:szCs w:val="26"/>
        </w:rPr>
        <w:t xml:space="preserve">. </w:t>
      </w:r>
      <w:r w:rsidR="005957FE" w:rsidRPr="004177C6">
        <w:rPr>
          <w:color w:val="000000" w:themeColor="text1"/>
          <w:szCs w:val="26"/>
        </w:rPr>
        <w:t xml:space="preserve"> (</w:t>
      </w:r>
      <w:r w:rsidR="005957FE" w:rsidRPr="004177C6">
        <w:rPr>
          <w:i/>
          <w:color w:val="000000" w:themeColor="text1"/>
          <w:szCs w:val="26"/>
        </w:rPr>
        <w:t>Id</w:t>
      </w:r>
      <w:r w:rsidR="005957FE" w:rsidRPr="004177C6">
        <w:rPr>
          <w:color w:val="000000" w:themeColor="text1"/>
          <w:szCs w:val="26"/>
        </w:rPr>
        <w:t xml:space="preserve">., at pp. 699-700.) </w:t>
      </w:r>
      <w:r w:rsidR="000B26F9" w:rsidRPr="004177C6">
        <w:rPr>
          <w:color w:val="000000" w:themeColor="text1"/>
          <w:szCs w:val="26"/>
        </w:rPr>
        <w:t xml:space="preserve"> He sought certification of both a subclass of customers who </w:t>
      </w:r>
      <w:r w:rsidR="00745A38">
        <w:rPr>
          <w:color w:val="000000" w:themeColor="text1"/>
          <w:szCs w:val="26"/>
        </w:rPr>
        <w:t xml:space="preserve">had </w:t>
      </w:r>
      <w:r w:rsidR="000B26F9" w:rsidRPr="004177C6">
        <w:rPr>
          <w:color w:val="000000" w:themeColor="text1"/>
          <w:szCs w:val="26"/>
        </w:rPr>
        <w:t>paid for taxi services with script book coupons, and a</w:t>
      </w:r>
      <w:r w:rsidR="00681C6E" w:rsidRPr="004177C6">
        <w:rPr>
          <w:color w:val="000000" w:themeColor="text1"/>
          <w:szCs w:val="26"/>
        </w:rPr>
        <w:t>nother</w:t>
      </w:r>
      <w:r w:rsidR="000B26F9" w:rsidRPr="004177C6">
        <w:rPr>
          <w:color w:val="000000" w:themeColor="text1"/>
          <w:szCs w:val="26"/>
        </w:rPr>
        <w:t xml:space="preserve"> subclass of customers who </w:t>
      </w:r>
      <w:r w:rsidR="00745A38">
        <w:rPr>
          <w:color w:val="000000" w:themeColor="text1"/>
          <w:szCs w:val="26"/>
        </w:rPr>
        <w:t xml:space="preserve">had </w:t>
      </w:r>
      <w:r w:rsidR="000B26F9" w:rsidRPr="004177C6">
        <w:rPr>
          <w:color w:val="000000" w:themeColor="text1"/>
          <w:szCs w:val="26"/>
        </w:rPr>
        <w:t xml:space="preserve">paid with cash.  </w:t>
      </w:r>
      <w:r w:rsidR="001C1EB0">
        <w:rPr>
          <w:color w:val="000000" w:themeColor="text1"/>
          <w:szCs w:val="26"/>
        </w:rPr>
        <w:t>Regarding</w:t>
      </w:r>
      <w:r w:rsidR="000B26F9" w:rsidRPr="004177C6">
        <w:rPr>
          <w:color w:val="000000" w:themeColor="text1"/>
          <w:szCs w:val="26"/>
        </w:rPr>
        <w:t xml:space="preserve"> the first of these </w:t>
      </w:r>
      <w:r w:rsidR="00681C6E" w:rsidRPr="004177C6">
        <w:rPr>
          <w:color w:val="000000" w:themeColor="text1"/>
          <w:szCs w:val="26"/>
        </w:rPr>
        <w:t>sub</w:t>
      </w:r>
      <w:r w:rsidR="000B26F9" w:rsidRPr="004177C6">
        <w:rPr>
          <w:color w:val="000000" w:themeColor="text1"/>
          <w:szCs w:val="26"/>
        </w:rPr>
        <w:t>classes, plaintiff alleged “that the names and addresses of all purchasers and users of script books can be definitely ascertained from defendant’s books and records.”  (</w:t>
      </w:r>
      <w:r w:rsidR="000B26F9" w:rsidRPr="004177C6">
        <w:rPr>
          <w:i/>
          <w:color w:val="000000" w:themeColor="text1"/>
          <w:szCs w:val="26"/>
        </w:rPr>
        <w:t>Id</w:t>
      </w:r>
      <w:r w:rsidR="000B26F9" w:rsidRPr="004177C6">
        <w:rPr>
          <w:color w:val="000000" w:themeColor="text1"/>
          <w:szCs w:val="26"/>
        </w:rPr>
        <w:t>., at p</w:t>
      </w:r>
      <w:r w:rsidR="00327856">
        <w:rPr>
          <w:color w:val="000000" w:themeColor="text1"/>
          <w:szCs w:val="26"/>
        </w:rPr>
        <w:t>. 7</w:t>
      </w:r>
      <w:r w:rsidR="000B26F9" w:rsidRPr="004177C6">
        <w:rPr>
          <w:color w:val="000000" w:themeColor="text1"/>
          <w:szCs w:val="26"/>
        </w:rPr>
        <w:t xml:space="preserve">00.)  No similar </w:t>
      </w:r>
      <w:r w:rsidR="00745A38">
        <w:rPr>
          <w:color w:val="000000" w:themeColor="text1"/>
          <w:szCs w:val="26"/>
        </w:rPr>
        <w:t>assertions</w:t>
      </w:r>
      <w:r w:rsidR="00AB77D0" w:rsidRPr="004177C6">
        <w:rPr>
          <w:color w:val="000000" w:themeColor="text1"/>
          <w:szCs w:val="26"/>
        </w:rPr>
        <w:t xml:space="preserve"> relevant to identification</w:t>
      </w:r>
      <w:r w:rsidR="000B26F9" w:rsidRPr="004177C6">
        <w:rPr>
          <w:color w:val="000000" w:themeColor="text1"/>
          <w:szCs w:val="26"/>
        </w:rPr>
        <w:t xml:space="preserve"> appeared in the class allegations </w:t>
      </w:r>
      <w:r w:rsidR="00745A38">
        <w:rPr>
          <w:color w:val="000000" w:themeColor="text1"/>
          <w:szCs w:val="26"/>
        </w:rPr>
        <w:t>pertaining to</w:t>
      </w:r>
      <w:r w:rsidR="000B26F9" w:rsidRPr="004177C6">
        <w:rPr>
          <w:color w:val="000000" w:themeColor="text1"/>
          <w:szCs w:val="26"/>
        </w:rPr>
        <w:t xml:space="preserve"> cash customers, as related in a separate count.  (</w:t>
      </w:r>
      <w:r w:rsidR="000B26F9" w:rsidRPr="004177C6">
        <w:rPr>
          <w:i/>
          <w:color w:val="000000" w:themeColor="text1"/>
          <w:szCs w:val="26"/>
        </w:rPr>
        <w:t>Id</w:t>
      </w:r>
      <w:r w:rsidR="000B26F9" w:rsidRPr="004177C6">
        <w:rPr>
          <w:color w:val="000000" w:themeColor="text1"/>
          <w:szCs w:val="26"/>
        </w:rPr>
        <w:t xml:space="preserve">., at p. 702.)  </w:t>
      </w:r>
    </w:p>
    <w:p w14:paraId="098EF0D8" w14:textId="77E9A53E" w:rsidR="00F33816" w:rsidRPr="004177C6" w:rsidRDefault="00257B01" w:rsidP="004177C6">
      <w:pPr>
        <w:ind w:firstLine="720"/>
        <w:rPr>
          <w:color w:val="000000" w:themeColor="text1"/>
          <w:szCs w:val="26"/>
        </w:rPr>
      </w:pPr>
      <w:r w:rsidRPr="004177C6">
        <w:rPr>
          <w:color w:val="000000" w:themeColor="text1"/>
          <w:szCs w:val="26"/>
        </w:rPr>
        <w:t xml:space="preserve">The defendant </w:t>
      </w:r>
      <w:r w:rsidR="00BF18B2" w:rsidRPr="004177C6">
        <w:rPr>
          <w:color w:val="000000" w:themeColor="text1"/>
          <w:szCs w:val="26"/>
        </w:rPr>
        <w:t xml:space="preserve">in </w:t>
      </w:r>
      <w:r w:rsidR="00BF18B2" w:rsidRPr="004177C6">
        <w:rPr>
          <w:i/>
          <w:color w:val="000000" w:themeColor="text1"/>
          <w:szCs w:val="26"/>
        </w:rPr>
        <w:t>Daar</w:t>
      </w:r>
      <w:r w:rsidR="00BF18B2" w:rsidRPr="004177C6">
        <w:rPr>
          <w:color w:val="000000" w:themeColor="text1"/>
          <w:szCs w:val="26"/>
        </w:rPr>
        <w:t xml:space="preserve"> </w:t>
      </w:r>
      <w:r w:rsidR="007A1AF0">
        <w:rPr>
          <w:color w:val="000000" w:themeColor="text1"/>
          <w:szCs w:val="26"/>
        </w:rPr>
        <w:t xml:space="preserve">had successfully </w:t>
      </w:r>
      <w:r w:rsidRPr="004177C6">
        <w:rPr>
          <w:color w:val="000000" w:themeColor="text1"/>
          <w:szCs w:val="26"/>
        </w:rPr>
        <w:t xml:space="preserve">demurred to the complaint.  </w:t>
      </w:r>
      <w:r w:rsidR="00C978FF" w:rsidRPr="004177C6">
        <w:rPr>
          <w:color w:val="000000" w:themeColor="text1"/>
          <w:szCs w:val="26"/>
        </w:rPr>
        <w:t>(</w:t>
      </w:r>
      <w:r w:rsidR="00C978FF" w:rsidRPr="004177C6">
        <w:rPr>
          <w:i/>
          <w:color w:val="000000" w:themeColor="text1"/>
          <w:szCs w:val="26"/>
        </w:rPr>
        <w:t>Daar</w:t>
      </w:r>
      <w:r w:rsidR="00C978FF" w:rsidRPr="004177C6">
        <w:rPr>
          <w:color w:val="000000" w:themeColor="text1"/>
          <w:szCs w:val="26"/>
        </w:rPr>
        <w:t xml:space="preserve">, </w:t>
      </w:r>
      <w:r w:rsidR="00C978FF" w:rsidRPr="004177C6">
        <w:rPr>
          <w:i/>
          <w:color w:val="000000" w:themeColor="text1"/>
          <w:szCs w:val="26"/>
        </w:rPr>
        <w:t>supra</w:t>
      </w:r>
      <w:r w:rsidR="00C978FF" w:rsidRPr="004177C6">
        <w:rPr>
          <w:color w:val="000000" w:themeColor="text1"/>
          <w:szCs w:val="26"/>
        </w:rPr>
        <w:t xml:space="preserve">, 67 Cal.2d at p. 698.)  </w:t>
      </w:r>
      <w:r w:rsidR="000B26F9" w:rsidRPr="004177C6">
        <w:rPr>
          <w:color w:val="000000" w:themeColor="text1"/>
          <w:szCs w:val="26"/>
        </w:rPr>
        <w:t xml:space="preserve">We </w:t>
      </w:r>
      <w:r w:rsidR="007A1AF0">
        <w:rPr>
          <w:color w:val="000000" w:themeColor="text1"/>
          <w:szCs w:val="26"/>
        </w:rPr>
        <w:t>reversed, holding</w:t>
      </w:r>
      <w:r w:rsidR="000B26F9" w:rsidRPr="004177C6">
        <w:rPr>
          <w:color w:val="000000" w:themeColor="text1"/>
          <w:szCs w:val="26"/>
        </w:rPr>
        <w:t xml:space="preserve"> that the allegations in </w:t>
      </w:r>
      <w:r w:rsidR="000B26F9" w:rsidRPr="004177C6">
        <w:rPr>
          <w:i/>
          <w:color w:val="000000" w:themeColor="text1"/>
          <w:szCs w:val="26"/>
        </w:rPr>
        <w:t>each</w:t>
      </w:r>
      <w:r w:rsidR="000B26F9" w:rsidRPr="004177C6">
        <w:rPr>
          <w:color w:val="000000" w:themeColor="text1"/>
          <w:szCs w:val="26"/>
        </w:rPr>
        <w:t xml:space="preserve"> count stated facts sufficient </w:t>
      </w:r>
      <w:r w:rsidR="00FF7319">
        <w:rPr>
          <w:color w:val="000000" w:themeColor="text1"/>
          <w:szCs w:val="26"/>
        </w:rPr>
        <w:t xml:space="preserve">for class treatment </w:t>
      </w:r>
      <w:r w:rsidR="000B26F9" w:rsidRPr="004177C6">
        <w:rPr>
          <w:color w:val="000000" w:themeColor="text1"/>
          <w:szCs w:val="26"/>
        </w:rPr>
        <w:t>under section 382 of the Code of Civil Procedure.  (</w:t>
      </w:r>
      <w:r w:rsidR="00E76776">
        <w:rPr>
          <w:i/>
          <w:color w:val="000000" w:themeColor="text1"/>
          <w:szCs w:val="26"/>
        </w:rPr>
        <w:t>Daar</w:t>
      </w:r>
      <w:r w:rsidR="00C978FF" w:rsidRPr="004177C6">
        <w:rPr>
          <w:color w:val="000000" w:themeColor="text1"/>
          <w:szCs w:val="26"/>
        </w:rPr>
        <w:t>,</w:t>
      </w:r>
      <w:r w:rsidR="000B26F9" w:rsidRPr="004177C6">
        <w:rPr>
          <w:color w:val="000000" w:themeColor="text1"/>
          <w:szCs w:val="26"/>
        </w:rPr>
        <w:t xml:space="preserve"> at </w:t>
      </w:r>
      <w:r w:rsidR="007A1AF0">
        <w:rPr>
          <w:color w:val="000000" w:themeColor="text1"/>
          <w:szCs w:val="26"/>
        </w:rPr>
        <w:t>p</w:t>
      </w:r>
      <w:r w:rsidR="000B26F9" w:rsidRPr="004177C6">
        <w:rPr>
          <w:color w:val="000000" w:themeColor="text1"/>
          <w:szCs w:val="26"/>
        </w:rPr>
        <w:t>p.</w:t>
      </w:r>
      <w:r w:rsidR="00327856">
        <w:rPr>
          <w:color w:val="000000" w:themeColor="text1"/>
          <w:szCs w:val="26"/>
        </w:rPr>
        <w:t> </w:t>
      </w:r>
      <w:r w:rsidR="00C02B72">
        <w:rPr>
          <w:color w:val="000000" w:themeColor="text1"/>
          <w:szCs w:val="26"/>
        </w:rPr>
        <w:t>7</w:t>
      </w:r>
      <w:r w:rsidR="000B26F9" w:rsidRPr="004177C6">
        <w:rPr>
          <w:color w:val="000000" w:themeColor="text1"/>
          <w:szCs w:val="26"/>
        </w:rPr>
        <w:t>14</w:t>
      </w:r>
      <w:r w:rsidR="007A1AF0">
        <w:rPr>
          <w:color w:val="000000" w:themeColor="text1"/>
          <w:szCs w:val="26"/>
        </w:rPr>
        <w:t>, 717</w:t>
      </w:r>
      <w:r w:rsidR="000B26F9" w:rsidRPr="004177C6">
        <w:rPr>
          <w:color w:val="000000" w:themeColor="text1"/>
          <w:szCs w:val="26"/>
        </w:rPr>
        <w:t>.)  In relating the background legal principles that guide</w:t>
      </w:r>
      <w:r w:rsidR="007B496C" w:rsidRPr="004177C6">
        <w:rPr>
          <w:color w:val="000000" w:themeColor="text1"/>
          <w:szCs w:val="26"/>
        </w:rPr>
        <w:t>d</w:t>
      </w:r>
      <w:r w:rsidR="000B26F9" w:rsidRPr="004177C6">
        <w:rPr>
          <w:color w:val="000000" w:themeColor="text1"/>
          <w:szCs w:val="26"/>
        </w:rPr>
        <w:t xml:space="preserve"> our analysis, we explained that “it uniformly has been held that two requirements must be met in order to sustain any class action: (1) there must be an ascertainable class [citations]; and (2) there must be a well defined community of interest in the questions of law and fact involved affecting the parties to be represented.”  (</w:t>
      </w:r>
      <w:r w:rsidR="000B26F9" w:rsidRPr="004177C6">
        <w:rPr>
          <w:i/>
          <w:color w:val="000000" w:themeColor="text1"/>
          <w:szCs w:val="26"/>
        </w:rPr>
        <w:t>Id</w:t>
      </w:r>
      <w:r w:rsidR="000B26F9" w:rsidRPr="004177C6">
        <w:rPr>
          <w:color w:val="000000" w:themeColor="text1"/>
          <w:szCs w:val="26"/>
        </w:rPr>
        <w:t xml:space="preserve">., at p. 704.)  </w:t>
      </w:r>
      <w:r w:rsidR="00FF7319">
        <w:rPr>
          <w:color w:val="000000" w:themeColor="text1"/>
          <w:szCs w:val="26"/>
        </w:rPr>
        <w:t xml:space="preserve">In </w:t>
      </w:r>
      <w:r w:rsidR="004A0CC5">
        <w:rPr>
          <w:color w:val="000000" w:themeColor="text1"/>
          <w:szCs w:val="26"/>
        </w:rPr>
        <w:t>describing</w:t>
      </w:r>
      <w:r w:rsidR="000B26F9" w:rsidRPr="004177C6">
        <w:rPr>
          <w:color w:val="000000" w:themeColor="text1"/>
          <w:szCs w:val="26"/>
        </w:rPr>
        <w:t xml:space="preserve"> the first of these requirements, we cited</w:t>
      </w:r>
      <w:r w:rsidR="00FF7319">
        <w:rPr>
          <w:color w:val="000000" w:themeColor="text1"/>
          <w:szCs w:val="26"/>
        </w:rPr>
        <w:t xml:space="preserve"> to</w:t>
      </w:r>
      <w:r w:rsidR="000B26F9" w:rsidRPr="004177C6">
        <w:rPr>
          <w:color w:val="000000" w:themeColor="text1"/>
          <w:szCs w:val="26"/>
        </w:rPr>
        <w:t xml:space="preserve"> our decisions in </w:t>
      </w:r>
      <w:r w:rsidR="000B26F9" w:rsidRPr="004177C6">
        <w:rPr>
          <w:i/>
          <w:color w:val="000000" w:themeColor="text1"/>
          <w:szCs w:val="26"/>
        </w:rPr>
        <w:t>Weaver</w:t>
      </w:r>
      <w:r w:rsidR="005A27FB" w:rsidRPr="005A27FB">
        <w:rPr>
          <w:color w:val="000000" w:themeColor="text1"/>
          <w:szCs w:val="26"/>
        </w:rPr>
        <w:t xml:space="preserve">, </w:t>
      </w:r>
      <w:r w:rsidR="005A27FB" w:rsidRPr="005A27FB">
        <w:rPr>
          <w:i/>
          <w:color w:val="000000" w:themeColor="text1"/>
          <w:szCs w:val="26"/>
        </w:rPr>
        <w:t>supra</w:t>
      </w:r>
      <w:r w:rsidR="005A27FB" w:rsidRPr="005A27FB">
        <w:rPr>
          <w:color w:val="000000" w:themeColor="text1"/>
          <w:szCs w:val="26"/>
        </w:rPr>
        <w:t>, 32 Cal.2d 833,</w:t>
      </w:r>
      <w:r w:rsidR="000B26F9" w:rsidRPr="004177C6">
        <w:rPr>
          <w:color w:val="000000" w:themeColor="text1"/>
          <w:szCs w:val="26"/>
        </w:rPr>
        <w:t xml:space="preserve"> and </w:t>
      </w:r>
      <w:r w:rsidR="000B26F9" w:rsidRPr="004177C6">
        <w:rPr>
          <w:i/>
          <w:color w:val="000000" w:themeColor="text1"/>
          <w:szCs w:val="26"/>
        </w:rPr>
        <w:t>Chance</w:t>
      </w:r>
      <w:r w:rsidR="005A27FB" w:rsidRPr="005A27FB">
        <w:rPr>
          <w:color w:val="000000" w:themeColor="text1"/>
          <w:szCs w:val="26"/>
        </w:rPr>
        <w:t xml:space="preserve">, </w:t>
      </w:r>
      <w:r w:rsidR="005A27FB" w:rsidRPr="005A27FB">
        <w:rPr>
          <w:i/>
          <w:color w:val="000000" w:themeColor="text1"/>
          <w:szCs w:val="26"/>
        </w:rPr>
        <w:t>supra</w:t>
      </w:r>
      <w:r w:rsidR="005A27FB" w:rsidRPr="005A27FB">
        <w:rPr>
          <w:color w:val="000000" w:themeColor="text1"/>
          <w:szCs w:val="26"/>
        </w:rPr>
        <w:t>, 58 Cal.2d 275,</w:t>
      </w:r>
      <w:r w:rsidR="000B26F9" w:rsidRPr="005A27FB">
        <w:rPr>
          <w:color w:val="000000" w:themeColor="text1"/>
          <w:szCs w:val="26"/>
        </w:rPr>
        <w:t xml:space="preserve"> </w:t>
      </w:r>
      <w:r w:rsidR="000B26F9" w:rsidRPr="004177C6">
        <w:rPr>
          <w:color w:val="000000" w:themeColor="text1"/>
          <w:szCs w:val="26"/>
        </w:rPr>
        <w:t>and further explained that “[a]pplicable precedents indicate that in observing the ascertainable class requirement they are at the same time giving recognition to the principle that a group of individuals’ right</w:t>
      </w:r>
      <w:r w:rsidR="002C04F6">
        <w:rPr>
          <w:color w:val="000000" w:themeColor="text1"/>
          <w:szCs w:val="26"/>
        </w:rPr>
        <w:t>s</w:t>
      </w:r>
      <w:r w:rsidR="000B26F9" w:rsidRPr="004177C6">
        <w:rPr>
          <w:color w:val="000000" w:themeColor="text1"/>
          <w:szCs w:val="26"/>
        </w:rPr>
        <w:t xml:space="preserve"> to recover, each of which is based on a separate set of facts</w:t>
      </w:r>
      <w:r w:rsidR="00A315F0">
        <w:rPr>
          <w:color w:val="000000" w:themeColor="text1"/>
          <w:szCs w:val="26"/>
        </w:rPr>
        <w:t>,</w:t>
      </w:r>
      <w:r w:rsidR="000B26F9" w:rsidRPr="004177C6">
        <w:rPr>
          <w:color w:val="000000" w:themeColor="text1"/>
          <w:szCs w:val="26"/>
        </w:rPr>
        <w:t xml:space="preserve"> cannot be determined by a judgment in a class action.  To put it in another way, although a judgment in a class action is res judicata as to claims of members of the class represented therein [citation</w:t>
      </w:r>
      <w:r w:rsidR="00D87DD7" w:rsidRPr="004177C6">
        <w:rPr>
          <w:color w:val="000000" w:themeColor="text1"/>
          <w:szCs w:val="26"/>
        </w:rPr>
        <w:t>s</w:t>
      </w:r>
      <w:r w:rsidR="000B26F9" w:rsidRPr="004177C6">
        <w:rPr>
          <w:color w:val="000000" w:themeColor="text1"/>
          <w:szCs w:val="26"/>
        </w:rPr>
        <w:t xml:space="preserve">], res judicata will not preclude subsequent actions by those whose rights to recover are based </w:t>
      </w:r>
      <w:r w:rsidR="002C04F6">
        <w:rPr>
          <w:color w:val="000000" w:themeColor="text1"/>
          <w:szCs w:val="26"/>
        </w:rPr>
        <w:t>up</w:t>
      </w:r>
      <w:r w:rsidR="000B26F9" w:rsidRPr="004177C6">
        <w:rPr>
          <w:color w:val="000000" w:themeColor="text1"/>
          <w:szCs w:val="26"/>
        </w:rPr>
        <w:t>on different facts.  Therefore, such individuals cannot properly be brought under the umbrella of a class action.”  (</w:t>
      </w:r>
      <w:r w:rsidR="00A315F0">
        <w:rPr>
          <w:i/>
          <w:color w:val="000000" w:themeColor="text1"/>
          <w:szCs w:val="26"/>
        </w:rPr>
        <w:t>Daar</w:t>
      </w:r>
      <w:r w:rsidR="000B26F9" w:rsidRPr="004177C6">
        <w:rPr>
          <w:color w:val="000000" w:themeColor="text1"/>
          <w:szCs w:val="26"/>
        </w:rPr>
        <w:t>, at pp. 704-705.)</w:t>
      </w:r>
      <w:r w:rsidR="00FD6ECD" w:rsidRPr="004177C6">
        <w:rPr>
          <w:color w:val="000000" w:themeColor="text1"/>
          <w:szCs w:val="26"/>
        </w:rPr>
        <w:t xml:space="preserve"> </w:t>
      </w:r>
    </w:p>
    <w:p w14:paraId="4BBA531A" w14:textId="2B951400" w:rsidR="00F33816" w:rsidRPr="004177C6" w:rsidRDefault="00FD6ECD" w:rsidP="004177C6">
      <w:pPr>
        <w:ind w:firstLine="720"/>
        <w:rPr>
          <w:i/>
          <w:color w:val="000000" w:themeColor="text1"/>
          <w:szCs w:val="26"/>
        </w:rPr>
      </w:pPr>
      <w:r w:rsidRPr="004177C6">
        <w:rPr>
          <w:color w:val="000000" w:themeColor="text1"/>
          <w:szCs w:val="26"/>
        </w:rPr>
        <w:t xml:space="preserve">As in </w:t>
      </w:r>
      <w:r w:rsidRPr="004177C6">
        <w:rPr>
          <w:i/>
          <w:color w:val="000000" w:themeColor="text1"/>
          <w:szCs w:val="26"/>
        </w:rPr>
        <w:t>Weaver</w:t>
      </w:r>
      <w:r w:rsidRPr="004177C6">
        <w:rPr>
          <w:color w:val="000000" w:themeColor="text1"/>
          <w:szCs w:val="26"/>
        </w:rPr>
        <w:t>, th</w:t>
      </w:r>
      <w:r w:rsidR="006516E4" w:rsidRPr="004177C6">
        <w:rPr>
          <w:color w:val="000000" w:themeColor="text1"/>
          <w:szCs w:val="26"/>
        </w:rPr>
        <w:t>e</w:t>
      </w:r>
      <w:r w:rsidRPr="004177C6">
        <w:rPr>
          <w:color w:val="000000" w:themeColor="text1"/>
          <w:szCs w:val="26"/>
        </w:rPr>
        <w:t xml:space="preserve"> description of ascertainability </w:t>
      </w:r>
      <w:r w:rsidR="006516E4" w:rsidRPr="004177C6">
        <w:rPr>
          <w:color w:val="000000" w:themeColor="text1"/>
          <w:szCs w:val="26"/>
        </w:rPr>
        <w:t xml:space="preserve">in </w:t>
      </w:r>
      <w:r w:rsidR="00D87DD7" w:rsidRPr="004177C6">
        <w:rPr>
          <w:i/>
          <w:color w:val="000000" w:themeColor="text1"/>
          <w:szCs w:val="26"/>
        </w:rPr>
        <w:t>Daar</w:t>
      </w:r>
      <w:r w:rsidR="00D87DD7" w:rsidRPr="004177C6">
        <w:rPr>
          <w:color w:val="000000" w:themeColor="text1"/>
          <w:szCs w:val="26"/>
        </w:rPr>
        <w:t>,</w:t>
      </w:r>
      <w:r w:rsidR="00D87DD7" w:rsidRPr="004177C6">
        <w:rPr>
          <w:i/>
          <w:color w:val="000000" w:themeColor="text1"/>
          <w:szCs w:val="26"/>
        </w:rPr>
        <w:t xml:space="preserve"> supra</w:t>
      </w:r>
      <w:r w:rsidR="00D87DD7" w:rsidRPr="004177C6">
        <w:rPr>
          <w:color w:val="000000" w:themeColor="text1"/>
          <w:szCs w:val="26"/>
        </w:rPr>
        <w:t xml:space="preserve">, 67 Cal.2d 695 </w:t>
      </w:r>
      <w:r w:rsidR="00F33816" w:rsidRPr="004177C6">
        <w:rPr>
          <w:color w:val="000000" w:themeColor="text1"/>
          <w:szCs w:val="26"/>
        </w:rPr>
        <w:t>did</w:t>
      </w:r>
      <w:r w:rsidRPr="004177C6">
        <w:rPr>
          <w:color w:val="000000" w:themeColor="text1"/>
          <w:szCs w:val="26"/>
        </w:rPr>
        <w:t xml:space="preserve"> not </w:t>
      </w:r>
      <w:r w:rsidR="005A27FB">
        <w:rPr>
          <w:color w:val="000000" w:themeColor="text1"/>
          <w:szCs w:val="26"/>
        </w:rPr>
        <w:t>consistently</w:t>
      </w:r>
      <w:r w:rsidRPr="004177C6">
        <w:rPr>
          <w:color w:val="000000" w:themeColor="text1"/>
          <w:szCs w:val="26"/>
        </w:rPr>
        <w:t xml:space="preserve"> distinguish this </w:t>
      </w:r>
      <w:r w:rsidR="000A5915" w:rsidRPr="004177C6">
        <w:rPr>
          <w:color w:val="000000" w:themeColor="text1"/>
          <w:szCs w:val="26"/>
        </w:rPr>
        <w:t>prerequisite</w:t>
      </w:r>
      <w:r w:rsidRPr="004177C6">
        <w:rPr>
          <w:color w:val="000000" w:themeColor="text1"/>
          <w:szCs w:val="26"/>
        </w:rPr>
        <w:t xml:space="preserve"> </w:t>
      </w:r>
      <w:r w:rsidR="00D87DD7" w:rsidRPr="004177C6">
        <w:rPr>
          <w:color w:val="000000" w:themeColor="text1"/>
          <w:szCs w:val="26"/>
        </w:rPr>
        <w:t xml:space="preserve">for class certification </w:t>
      </w:r>
      <w:r w:rsidRPr="004177C6">
        <w:rPr>
          <w:color w:val="000000" w:themeColor="text1"/>
          <w:szCs w:val="26"/>
        </w:rPr>
        <w:t xml:space="preserve">from the need to establish a community of interest among the class.  </w:t>
      </w:r>
      <w:r w:rsidR="005A27FB">
        <w:rPr>
          <w:color w:val="000000" w:themeColor="text1"/>
          <w:szCs w:val="26"/>
        </w:rPr>
        <w:t xml:space="preserve">Portions of our opinion in </w:t>
      </w:r>
      <w:r w:rsidR="005A27FB" w:rsidRPr="005A27FB">
        <w:rPr>
          <w:i/>
          <w:color w:val="000000" w:themeColor="text1"/>
          <w:szCs w:val="26"/>
        </w:rPr>
        <w:t>Daar</w:t>
      </w:r>
      <w:r w:rsidR="005A27FB">
        <w:rPr>
          <w:color w:val="000000" w:themeColor="text1"/>
          <w:szCs w:val="26"/>
        </w:rPr>
        <w:t xml:space="preserve"> instead</w:t>
      </w:r>
      <w:r w:rsidRPr="004177C6">
        <w:rPr>
          <w:color w:val="000000" w:themeColor="text1"/>
          <w:szCs w:val="26"/>
        </w:rPr>
        <w:t xml:space="preserve"> </w:t>
      </w:r>
      <w:r w:rsidR="005A27FB">
        <w:rPr>
          <w:color w:val="000000" w:themeColor="text1"/>
          <w:szCs w:val="26"/>
        </w:rPr>
        <w:t>cast</w:t>
      </w:r>
      <w:r w:rsidR="003160CA">
        <w:rPr>
          <w:color w:val="000000" w:themeColor="text1"/>
          <w:szCs w:val="26"/>
        </w:rPr>
        <w:t xml:space="preserve"> these elements </w:t>
      </w:r>
      <w:r w:rsidR="005A27FB">
        <w:rPr>
          <w:color w:val="000000" w:themeColor="text1"/>
          <w:szCs w:val="26"/>
        </w:rPr>
        <w:t>as</w:t>
      </w:r>
      <w:r w:rsidR="003160CA">
        <w:rPr>
          <w:color w:val="000000" w:themeColor="text1"/>
          <w:szCs w:val="26"/>
        </w:rPr>
        <w:t xml:space="preserve"> intertwined, </w:t>
      </w:r>
      <w:r w:rsidR="005A27FB">
        <w:rPr>
          <w:color w:val="000000" w:themeColor="text1"/>
          <w:szCs w:val="26"/>
        </w:rPr>
        <w:t>such as our explanation</w:t>
      </w:r>
      <w:r w:rsidR="003160CA">
        <w:rPr>
          <w:color w:val="000000" w:themeColor="text1"/>
          <w:szCs w:val="26"/>
        </w:rPr>
        <w:t xml:space="preserve"> </w:t>
      </w:r>
      <w:r w:rsidR="00910DE0">
        <w:rPr>
          <w:color w:val="000000" w:themeColor="text1"/>
          <w:szCs w:val="26"/>
        </w:rPr>
        <w:t xml:space="preserve">at one juncture </w:t>
      </w:r>
      <w:r w:rsidR="003160CA">
        <w:rPr>
          <w:color w:val="000000" w:themeColor="text1"/>
          <w:szCs w:val="26"/>
        </w:rPr>
        <w:t>that</w:t>
      </w:r>
      <w:r w:rsidRPr="004177C6">
        <w:rPr>
          <w:color w:val="000000" w:themeColor="text1"/>
          <w:szCs w:val="26"/>
        </w:rPr>
        <w:t xml:space="preserve"> “whether there is an ascertainable class depends in turn upon the community of interest among the class members in the questions of law and fact involved.”  (</w:t>
      </w:r>
      <w:r w:rsidRPr="004177C6">
        <w:rPr>
          <w:i/>
          <w:color w:val="000000" w:themeColor="text1"/>
          <w:szCs w:val="26"/>
        </w:rPr>
        <w:t>Id</w:t>
      </w:r>
      <w:r w:rsidRPr="004177C6">
        <w:rPr>
          <w:color w:val="000000" w:themeColor="text1"/>
          <w:szCs w:val="26"/>
        </w:rPr>
        <w:t>., at p. 706.)</w:t>
      </w:r>
      <w:r w:rsidR="00F33816" w:rsidRPr="004177C6">
        <w:rPr>
          <w:i/>
          <w:color w:val="000000" w:themeColor="text1"/>
          <w:szCs w:val="26"/>
        </w:rPr>
        <w:t xml:space="preserve"> </w:t>
      </w:r>
    </w:p>
    <w:p w14:paraId="4612F4F8" w14:textId="77777777" w:rsidR="002B56CB" w:rsidRPr="004177C6" w:rsidRDefault="00F33816" w:rsidP="004177C6">
      <w:pPr>
        <w:ind w:firstLine="720"/>
        <w:rPr>
          <w:color w:val="000000" w:themeColor="text1"/>
          <w:szCs w:val="26"/>
        </w:rPr>
      </w:pPr>
      <w:r w:rsidRPr="004177C6">
        <w:rPr>
          <w:i/>
          <w:color w:val="000000" w:themeColor="text1"/>
          <w:szCs w:val="26"/>
        </w:rPr>
        <w:t>Daar</w:t>
      </w:r>
      <w:r w:rsidRPr="004177C6">
        <w:rPr>
          <w:color w:val="000000" w:themeColor="text1"/>
          <w:szCs w:val="26"/>
        </w:rPr>
        <w:t xml:space="preserve">, </w:t>
      </w:r>
      <w:r w:rsidRPr="004177C6">
        <w:rPr>
          <w:i/>
          <w:color w:val="000000" w:themeColor="text1"/>
          <w:szCs w:val="26"/>
        </w:rPr>
        <w:t>supra</w:t>
      </w:r>
      <w:r w:rsidRPr="004177C6">
        <w:rPr>
          <w:color w:val="000000" w:themeColor="text1"/>
          <w:szCs w:val="26"/>
        </w:rPr>
        <w:t>, 67 Cal.2d 695 did clarify certain aspects of the ascertainability inquiry</w:t>
      </w:r>
      <w:r w:rsidR="00910DE0">
        <w:rPr>
          <w:color w:val="000000" w:themeColor="text1"/>
          <w:szCs w:val="26"/>
        </w:rPr>
        <w:t>, however</w:t>
      </w:r>
      <w:r w:rsidRPr="004177C6">
        <w:rPr>
          <w:color w:val="000000" w:themeColor="text1"/>
          <w:szCs w:val="26"/>
        </w:rPr>
        <w:t xml:space="preserve">.  We explained </w:t>
      </w:r>
      <w:r w:rsidR="00162080">
        <w:rPr>
          <w:color w:val="000000" w:themeColor="text1"/>
          <w:szCs w:val="26"/>
        </w:rPr>
        <w:t xml:space="preserve">in </w:t>
      </w:r>
      <w:r w:rsidR="00162080" w:rsidRPr="00162080">
        <w:rPr>
          <w:i/>
          <w:color w:val="000000" w:themeColor="text1"/>
          <w:szCs w:val="26"/>
        </w:rPr>
        <w:t>Daar</w:t>
      </w:r>
      <w:r w:rsidR="00162080">
        <w:rPr>
          <w:color w:val="000000" w:themeColor="text1"/>
          <w:szCs w:val="26"/>
        </w:rPr>
        <w:t xml:space="preserve"> </w:t>
      </w:r>
      <w:r w:rsidRPr="004177C6">
        <w:rPr>
          <w:color w:val="000000" w:themeColor="text1"/>
          <w:szCs w:val="26"/>
        </w:rPr>
        <w:t>that the requirement that a plaintiff show an ascertainable class does not subsume a “necessity of identifying the individual members of such class as a prerequisite to a class suit.  If the existence of an ascertainable class has been shown, there is no need to identify its individual members in order to bind all members by the judgment.  The fact that the class members are unidentifiable at this point will not preclude a complete determination of the issues affecting the class.</w:t>
      </w:r>
      <w:r w:rsidR="00AB77D0" w:rsidRPr="004177C6">
        <w:rPr>
          <w:color w:val="000000" w:themeColor="text1"/>
          <w:szCs w:val="26"/>
        </w:rPr>
        <w:t>”  (</w:t>
      </w:r>
      <w:r w:rsidR="00AB77D0" w:rsidRPr="004177C6">
        <w:rPr>
          <w:i/>
          <w:color w:val="000000" w:themeColor="text1"/>
          <w:szCs w:val="26"/>
        </w:rPr>
        <w:t>Id</w:t>
      </w:r>
      <w:r w:rsidR="00AB77D0" w:rsidRPr="004177C6">
        <w:rPr>
          <w:color w:val="000000" w:themeColor="text1"/>
          <w:szCs w:val="26"/>
        </w:rPr>
        <w:t>., at p. 706.)</w:t>
      </w:r>
      <w:r w:rsidRPr="004177C6">
        <w:rPr>
          <w:color w:val="000000" w:themeColor="text1"/>
          <w:szCs w:val="26"/>
        </w:rPr>
        <w:t xml:space="preserve">  </w:t>
      </w:r>
      <w:r w:rsidR="00AB77D0" w:rsidRPr="004177C6">
        <w:rPr>
          <w:color w:val="000000" w:themeColor="text1"/>
          <w:szCs w:val="26"/>
        </w:rPr>
        <w:t xml:space="preserve">In the </w:t>
      </w:r>
      <w:r w:rsidR="00AB77D0" w:rsidRPr="004177C6">
        <w:rPr>
          <w:i/>
          <w:color w:val="000000" w:themeColor="text1"/>
          <w:szCs w:val="26"/>
        </w:rPr>
        <w:t>Daar</w:t>
      </w:r>
      <w:r w:rsidR="00AB77D0" w:rsidRPr="004177C6">
        <w:rPr>
          <w:color w:val="000000" w:themeColor="text1"/>
          <w:szCs w:val="26"/>
        </w:rPr>
        <w:t xml:space="preserve"> matter</w:t>
      </w:r>
      <w:r w:rsidR="003160CA">
        <w:rPr>
          <w:color w:val="000000" w:themeColor="text1"/>
          <w:szCs w:val="26"/>
        </w:rPr>
        <w:t xml:space="preserve"> itself</w:t>
      </w:r>
      <w:r w:rsidR="00AB77D0" w:rsidRPr="004177C6">
        <w:rPr>
          <w:color w:val="000000" w:themeColor="text1"/>
          <w:szCs w:val="26"/>
        </w:rPr>
        <w:t>, “</w:t>
      </w:r>
      <w:r w:rsidRPr="004177C6">
        <w:rPr>
          <w:color w:val="000000" w:themeColor="text1"/>
          <w:szCs w:val="26"/>
        </w:rPr>
        <w:t>Presumably an accounting in the suit at bench will determine the total amount of the alleged overcharges; any judgment will be binding on all the users of taxicabs within the prior four years.  However, no one may recover his separate damages until he comes forward, identifies himself and proves the amount thereof.”  (</w:t>
      </w:r>
      <w:r w:rsidRPr="004177C6">
        <w:rPr>
          <w:i/>
          <w:color w:val="000000" w:themeColor="text1"/>
          <w:szCs w:val="26"/>
        </w:rPr>
        <w:t>I</w:t>
      </w:r>
      <w:r w:rsidR="00AB77D0" w:rsidRPr="004177C6">
        <w:rPr>
          <w:i/>
          <w:color w:val="000000" w:themeColor="text1"/>
          <w:szCs w:val="26"/>
        </w:rPr>
        <w:t>bi</w:t>
      </w:r>
      <w:r w:rsidRPr="004177C6">
        <w:rPr>
          <w:i/>
          <w:color w:val="000000" w:themeColor="text1"/>
          <w:szCs w:val="26"/>
        </w:rPr>
        <w:t>d</w:t>
      </w:r>
      <w:r w:rsidRPr="004177C6">
        <w:rPr>
          <w:color w:val="000000" w:themeColor="text1"/>
          <w:szCs w:val="26"/>
        </w:rPr>
        <w:t>.)</w:t>
      </w:r>
      <w:r w:rsidRPr="004177C6">
        <w:rPr>
          <w:rStyle w:val="FootnoteReference"/>
          <w:color w:val="000000" w:themeColor="text1"/>
          <w:szCs w:val="26"/>
        </w:rPr>
        <w:footnoteReference w:id="8"/>
      </w:r>
      <w:r w:rsidRPr="004177C6">
        <w:rPr>
          <w:color w:val="000000" w:themeColor="text1"/>
          <w:szCs w:val="26"/>
        </w:rPr>
        <w:t xml:space="preserve">  </w:t>
      </w:r>
    </w:p>
    <w:p w14:paraId="604CB6D8" w14:textId="77777777" w:rsidR="002B56CB" w:rsidRPr="004177C6" w:rsidRDefault="002B56CB" w:rsidP="004177C6">
      <w:pPr>
        <w:keepNext/>
        <w:keepLines/>
        <w:ind w:firstLine="1080"/>
        <w:rPr>
          <w:i/>
          <w:color w:val="000000" w:themeColor="text1"/>
          <w:szCs w:val="26"/>
        </w:rPr>
      </w:pPr>
      <w:r w:rsidRPr="004177C6">
        <w:rPr>
          <w:i/>
          <w:color w:val="000000" w:themeColor="text1"/>
          <w:szCs w:val="26"/>
        </w:rPr>
        <w:t xml:space="preserve">4. </w:t>
      </w:r>
      <w:r w:rsidR="00AB77D0" w:rsidRPr="004177C6">
        <w:rPr>
          <w:i/>
          <w:color w:val="000000" w:themeColor="text1"/>
          <w:szCs w:val="26"/>
        </w:rPr>
        <w:t xml:space="preserve"> </w:t>
      </w:r>
      <w:r w:rsidRPr="004177C6">
        <w:rPr>
          <w:i/>
          <w:color w:val="000000" w:themeColor="text1"/>
          <w:szCs w:val="26"/>
        </w:rPr>
        <w:t xml:space="preserve">Subsequent </w:t>
      </w:r>
      <w:r w:rsidR="000D68BF">
        <w:rPr>
          <w:i/>
          <w:color w:val="000000" w:themeColor="text1"/>
          <w:szCs w:val="26"/>
        </w:rPr>
        <w:t>d</w:t>
      </w:r>
      <w:r w:rsidRPr="004177C6">
        <w:rPr>
          <w:i/>
          <w:color w:val="000000" w:themeColor="text1"/>
          <w:szCs w:val="26"/>
        </w:rPr>
        <w:t xml:space="preserve">ecisions of this </w:t>
      </w:r>
      <w:r w:rsidR="000D68BF">
        <w:rPr>
          <w:i/>
          <w:color w:val="000000" w:themeColor="text1"/>
          <w:szCs w:val="26"/>
        </w:rPr>
        <w:t>c</w:t>
      </w:r>
      <w:r w:rsidRPr="004177C6">
        <w:rPr>
          <w:i/>
          <w:color w:val="000000" w:themeColor="text1"/>
          <w:szCs w:val="26"/>
        </w:rPr>
        <w:t>ourt</w:t>
      </w:r>
    </w:p>
    <w:p w14:paraId="7A0F53C2" w14:textId="303BD6DF" w:rsidR="005F0829" w:rsidRPr="004177C6" w:rsidRDefault="002B56CB" w:rsidP="004177C6">
      <w:pPr>
        <w:ind w:firstLine="720"/>
        <w:rPr>
          <w:color w:val="000000" w:themeColor="text1"/>
          <w:szCs w:val="26"/>
        </w:rPr>
      </w:pPr>
      <w:r w:rsidRPr="004177C6">
        <w:rPr>
          <w:i/>
          <w:color w:val="000000" w:themeColor="text1"/>
          <w:szCs w:val="26"/>
        </w:rPr>
        <w:t>Daar</w:t>
      </w:r>
      <w:r w:rsidRPr="004177C6">
        <w:rPr>
          <w:color w:val="000000" w:themeColor="text1"/>
          <w:szCs w:val="26"/>
        </w:rPr>
        <w:t xml:space="preserve">, </w:t>
      </w:r>
      <w:r w:rsidRPr="004177C6">
        <w:rPr>
          <w:i/>
        </w:rPr>
        <w:t>supra</w:t>
      </w:r>
      <w:r w:rsidRPr="004177C6">
        <w:t xml:space="preserve">, 67 Cal.2d 695 </w:t>
      </w:r>
      <w:r w:rsidRPr="004177C6">
        <w:rPr>
          <w:color w:val="000000" w:themeColor="text1"/>
          <w:szCs w:val="26"/>
        </w:rPr>
        <w:t xml:space="preserve">remains our most detailed explication of the ascertainability requirement.  In the half-century since </w:t>
      </w:r>
      <w:r w:rsidRPr="004177C6">
        <w:rPr>
          <w:i/>
          <w:color w:val="000000" w:themeColor="text1"/>
          <w:szCs w:val="26"/>
        </w:rPr>
        <w:t>Daar</w:t>
      </w:r>
      <w:r w:rsidRPr="004177C6">
        <w:rPr>
          <w:color w:val="000000" w:themeColor="text1"/>
          <w:szCs w:val="26"/>
        </w:rPr>
        <w:t xml:space="preserve">, we have frequently </w:t>
      </w:r>
      <w:r w:rsidR="00A315F0">
        <w:rPr>
          <w:color w:val="000000" w:themeColor="text1"/>
          <w:szCs w:val="26"/>
        </w:rPr>
        <w:t>mentioned</w:t>
      </w:r>
      <w:r w:rsidRPr="004177C6">
        <w:rPr>
          <w:color w:val="000000" w:themeColor="text1"/>
          <w:szCs w:val="26"/>
        </w:rPr>
        <w:t xml:space="preserve"> </w:t>
      </w:r>
      <w:r w:rsidR="001636DD" w:rsidRPr="004177C6">
        <w:rPr>
          <w:color w:val="000000" w:themeColor="text1"/>
          <w:szCs w:val="26"/>
        </w:rPr>
        <w:t>the</w:t>
      </w:r>
      <w:r w:rsidRPr="004177C6">
        <w:rPr>
          <w:color w:val="000000" w:themeColor="text1"/>
          <w:szCs w:val="26"/>
        </w:rPr>
        <w:t xml:space="preserve"> need to show an ascertainable class</w:t>
      </w:r>
      <w:r w:rsidR="001636DD" w:rsidRPr="004177C6">
        <w:rPr>
          <w:color w:val="000000" w:themeColor="text1"/>
          <w:szCs w:val="26"/>
        </w:rPr>
        <w:t xml:space="preserve"> as a prerequisite to certification</w:t>
      </w:r>
      <w:r w:rsidR="00226C0C" w:rsidRPr="004177C6">
        <w:rPr>
          <w:color w:val="000000" w:themeColor="text1"/>
          <w:szCs w:val="26"/>
        </w:rPr>
        <w:t xml:space="preserve">. </w:t>
      </w:r>
      <w:r w:rsidRPr="004177C6">
        <w:rPr>
          <w:color w:val="000000" w:themeColor="text1"/>
          <w:szCs w:val="26"/>
        </w:rPr>
        <w:t xml:space="preserve"> (</w:t>
      </w:r>
      <w:r w:rsidR="009F3181">
        <w:rPr>
          <w:color w:val="000000" w:themeColor="text1"/>
          <w:szCs w:val="26"/>
        </w:rPr>
        <w:t>E</w:t>
      </w:r>
      <w:r w:rsidRPr="004177C6">
        <w:rPr>
          <w:color w:val="000000" w:themeColor="text1"/>
          <w:szCs w:val="26"/>
        </w:rPr>
        <w:t xml:space="preserve">.g., </w:t>
      </w:r>
      <w:r w:rsidRPr="004177C6">
        <w:rPr>
          <w:i/>
          <w:color w:val="000000" w:themeColor="text1"/>
          <w:szCs w:val="26"/>
        </w:rPr>
        <w:t>Brinker</w:t>
      </w:r>
      <w:r w:rsidRPr="004177C6">
        <w:rPr>
          <w:color w:val="000000" w:themeColor="text1"/>
          <w:szCs w:val="26"/>
        </w:rPr>
        <w:t xml:space="preserve">, </w:t>
      </w:r>
      <w:r w:rsidRPr="004177C6">
        <w:rPr>
          <w:i/>
          <w:color w:val="000000" w:themeColor="text1"/>
          <w:szCs w:val="26"/>
        </w:rPr>
        <w:t>supra</w:t>
      </w:r>
      <w:r w:rsidRPr="004177C6">
        <w:rPr>
          <w:color w:val="000000" w:themeColor="text1"/>
          <w:szCs w:val="26"/>
        </w:rPr>
        <w:t xml:space="preserve">, 53 Cal.4th </w:t>
      </w:r>
      <w:r w:rsidR="00681C6E" w:rsidRPr="004177C6">
        <w:rPr>
          <w:color w:val="000000" w:themeColor="text1"/>
          <w:szCs w:val="26"/>
        </w:rPr>
        <w:t>at p.</w:t>
      </w:r>
      <w:r w:rsidRPr="004177C6">
        <w:rPr>
          <w:color w:val="000000" w:themeColor="text1"/>
          <w:szCs w:val="26"/>
        </w:rPr>
        <w:t xml:space="preserve"> 1021; </w:t>
      </w:r>
      <w:r w:rsidRPr="004177C6">
        <w:rPr>
          <w:i/>
          <w:color w:val="000000" w:themeColor="text1"/>
          <w:szCs w:val="26"/>
        </w:rPr>
        <w:t>In re Tobacco II</w:t>
      </w:r>
      <w:r w:rsidRPr="004177C6">
        <w:rPr>
          <w:color w:val="000000" w:themeColor="text1"/>
          <w:szCs w:val="26"/>
        </w:rPr>
        <w:t xml:space="preserve">, </w:t>
      </w:r>
      <w:r w:rsidRPr="004177C6">
        <w:rPr>
          <w:i/>
          <w:color w:val="000000" w:themeColor="text1"/>
          <w:szCs w:val="26"/>
        </w:rPr>
        <w:t>supra</w:t>
      </w:r>
      <w:r w:rsidRPr="004177C6">
        <w:rPr>
          <w:color w:val="000000" w:themeColor="text1"/>
          <w:szCs w:val="26"/>
        </w:rPr>
        <w:t xml:space="preserve">, 46 Cal.4th </w:t>
      </w:r>
      <w:r w:rsidR="00681C6E" w:rsidRPr="004177C6">
        <w:rPr>
          <w:color w:val="000000" w:themeColor="text1"/>
          <w:szCs w:val="26"/>
        </w:rPr>
        <w:t xml:space="preserve">at p. </w:t>
      </w:r>
      <w:r w:rsidRPr="004177C6">
        <w:rPr>
          <w:color w:val="000000" w:themeColor="text1"/>
          <w:szCs w:val="26"/>
        </w:rPr>
        <w:t xml:space="preserve">318; </w:t>
      </w:r>
      <w:r w:rsidRPr="004177C6">
        <w:rPr>
          <w:i/>
          <w:color w:val="000000" w:themeColor="text1"/>
          <w:szCs w:val="26"/>
        </w:rPr>
        <w:t>Sav-On</w:t>
      </w:r>
      <w:r w:rsidRPr="004177C6">
        <w:rPr>
          <w:color w:val="000000" w:themeColor="text1"/>
          <w:szCs w:val="26"/>
        </w:rPr>
        <w:t xml:space="preserve">, </w:t>
      </w:r>
      <w:r w:rsidRPr="004177C6">
        <w:rPr>
          <w:i/>
          <w:color w:val="000000" w:themeColor="text1"/>
          <w:szCs w:val="26"/>
        </w:rPr>
        <w:t>supra</w:t>
      </w:r>
      <w:r w:rsidRPr="004177C6">
        <w:rPr>
          <w:color w:val="000000" w:themeColor="text1"/>
          <w:szCs w:val="26"/>
        </w:rPr>
        <w:t xml:space="preserve">, 34 Cal.4th </w:t>
      </w:r>
      <w:r w:rsidR="00681C6E" w:rsidRPr="004177C6">
        <w:rPr>
          <w:color w:val="000000" w:themeColor="text1"/>
          <w:szCs w:val="26"/>
        </w:rPr>
        <w:t xml:space="preserve">at p. </w:t>
      </w:r>
      <w:r w:rsidRPr="004177C6">
        <w:rPr>
          <w:color w:val="000000" w:themeColor="text1"/>
          <w:szCs w:val="26"/>
        </w:rPr>
        <w:t xml:space="preserve">326; </w:t>
      </w:r>
      <w:r w:rsidRPr="004177C6">
        <w:rPr>
          <w:i/>
          <w:color w:val="000000" w:themeColor="text1"/>
          <w:szCs w:val="26"/>
        </w:rPr>
        <w:t>Linder</w:t>
      </w:r>
      <w:r w:rsidRPr="004177C6">
        <w:rPr>
          <w:color w:val="000000" w:themeColor="text1"/>
          <w:szCs w:val="26"/>
        </w:rPr>
        <w:t xml:space="preserve">, </w:t>
      </w:r>
      <w:r w:rsidRPr="004177C6">
        <w:rPr>
          <w:i/>
          <w:color w:val="000000" w:themeColor="text1"/>
          <w:szCs w:val="26"/>
        </w:rPr>
        <w:t>supra</w:t>
      </w:r>
      <w:r w:rsidRPr="004177C6">
        <w:rPr>
          <w:color w:val="000000" w:themeColor="text1"/>
          <w:szCs w:val="26"/>
        </w:rPr>
        <w:t xml:space="preserve">, 23 Cal.4th </w:t>
      </w:r>
      <w:r w:rsidR="00681C6E" w:rsidRPr="004177C6">
        <w:rPr>
          <w:color w:val="000000" w:themeColor="text1"/>
          <w:szCs w:val="26"/>
        </w:rPr>
        <w:t xml:space="preserve">at p. </w:t>
      </w:r>
      <w:r w:rsidRPr="004177C6">
        <w:rPr>
          <w:color w:val="000000" w:themeColor="text1"/>
          <w:szCs w:val="26"/>
        </w:rPr>
        <w:t xml:space="preserve">435; </w:t>
      </w:r>
      <w:r w:rsidRPr="004177C6">
        <w:rPr>
          <w:i/>
          <w:color w:val="000000" w:themeColor="text1"/>
          <w:szCs w:val="26"/>
        </w:rPr>
        <w:t>Richmond</w:t>
      </w:r>
      <w:r w:rsidRPr="004177C6">
        <w:rPr>
          <w:color w:val="000000" w:themeColor="text1"/>
          <w:szCs w:val="26"/>
        </w:rPr>
        <w:t xml:space="preserve">, </w:t>
      </w:r>
      <w:r w:rsidRPr="004177C6">
        <w:rPr>
          <w:i/>
          <w:color w:val="000000" w:themeColor="text1"/>
          <w:szCs w:val="26"/>
        </w:rPr>
        <w:t>supra</w:t>
      </w:r>
      <w:r w:rsidRPr="004177C6">
        <w:rPr>
          <w:color w:val="000000" w:themeColor="text1"/>
          <w:szCs w:val="26"/>
        </w:rPr>
        <w:t xml:space="preserve">, 29 Cal.3d </w:t>
      </w:r>
      <w:r w:rsidR="00681C6E" w:rsidRPr="004177C6">
        <w:rPr>
          <w:color w:val="000000" w:themeColor="text1"/>
          <w:szCs w:val="26"/>
        </w:rPr>
        <w:t xml:space="preserve">at p. </w:t>
      </w:r>
      <w:r w:rsidRPr="004177C6">
        <w:rPr>
          <w:color w:val="000000" w:themeColor="text1"/>
          <w:szCs w:val="26"/>
        </w:rPr>
        <w:t xml:space="preserve">470; </w:t>
      </w:r>
      <w:r w:rsidRPr="004177C6">
        <w:rPr>
          <w:i/>
          <w:color w:val="000000" w:themeColor="text1"/>
          <w:szCs w:val="26"/>
        </w:rPr>
        <w:t>Vasquez</w:t>
      </w:r>
      <w:r w:rsidRPr="004177C6">
        <w:rPr>
          <w:color w:val="000000" w:themeColor="text1"/>
          <w:szCs w:val="26"/>
        </w:rPr>
        <w:t>,</w:t>
      </w:r>
      <w:r w:rsidRPr="004177C6">
        <w:rPr>
          <w:i/>
          <w:color w:val="000000" w:themeColor="text1"/>
          <w:szCs w:val="26"/>
        </w:rPr>
        <w:t xml:space="preserve"> supra</w:t>
      </w:r>
      <w:r w:rsidRPr="004177C6">
        <w:rPr>
          <w:color w:val="000000" w:themeColor="text1"/>
          <w:szCs w:val="26"/>
        </w:rPr>
        <w:t>,</w:t>
      </w:r>
      <w:r w:rsidRPr="004177C6">
        <w:rPr>
          <w:i/>
          <w:color w:val="000000" w:themeColor="text1"/>
          <w:szCs w:val="26"/>
        </w:rPr>
        <w:t xml:space="preserve"> </w:t>
      </w:r>
      <w:r w:rsidRPr="004177C6">
        <w:rPr>
          <w:color w:val="000000" w:themeColor="text1"/>
          <w:szCs w:val="26"/>
        </w:rPr>
        <w:t xml:space="preserve">4 Cal.3d </w:t>
      </w:r>
      <w:r w:rsidR="00681C6E" w:rsidRPr="004177C6">
        <w:rPr>
          <w:color w:val="000000" w:themeColor="text1"/>
          <w:szCs w:val="26"/>
        </w:rPr>
        <w:t xml:space="preserve">at p. </w:t>
      </w:r>
      <w:r w:rsidRPr="004177C6">
        <w:rPr>
          <w:color w:val="000000" w:themeColor="text1"/>
          <w:szCs w:val="26"/>
        </w:rPr>
        <w:t>809</w:t>
      </w:r>
      <w:r w:rsidR="00226C0C" w:rsidRPr="004177C6">
        <w:rPr>
          <w:color w:val="000000" w:themeColor="text1"/>
          <w:szCs w:val="26"/>
        </w:rPr>
        <w:t>.</w:t>
      </w:r>
      <w:r w:rsidRPr="004177C6">
        <w:rPr>
          <w:color w:val="000000" w:themeColor="text1"/>
          <w:szCs w:val="26"/>
        </w:rPr>
        <w:t>)</w:t>
      </w:r>
      <w:r w:rsidR="00226C0C" w:rsidRPr="004177C6">
        <w:rPr>
          <w:color w:val="000000" w:themeColor="text1"/>
          <w:szCs w:val="26"/>
        </w:rPr>
        <w:t xml:space="preserve">  I</w:t>
      </w:r>
      <w:r w:rsidRPr="004177C6">
        <w:rPr>
          <w:color w:val="000000" w:themeColor="text1"/>
          <w:szCs w:val="26"/>
        </w:rPr>
        <w:t>n some instances</w:t>
      </w:r>
      <w:r w:rsidR="00226C0C" w:rsidRPr="004177C6">
        <w:rPr>
          <w:color w:val="000000" w:themeColor="text1"/>
          <w:szCs w:val="26"/>
        </w:rPr>
        <w:t>, we have</w:t>
      </w:r>
      <w:r w:rsidRPr="004177C6">
        <w:rPr>
          <w:color w:val="000000" w:themeColor="text1"/>
          <w:szCs w:val="26"/>
        </w:rPr>
        <w:t xml:space="preserve"> explained how the class</w:t>
      </w:r>
      <w:r w:rsidR="00162080">
        <w:rPr>
          <w:color w:val="000000" w:themeColor="text1"/>
          <w:szCs w:val="26"/>
        </w:rPr>
        <w:t xml:space="preserve"> before us</w:t>
      </w:r>
      <w:r w:rsidRPr="004177C6">
        <w:rPr>
          <w:color w:val="000000" w:themeColor="text1"/>
          <w:szCs w:val="26"/>
        </w:rPr>
        <w:t xml:space="preserve"> satisfied </w:t>
      </w:r>
      <w:r w:rsidR="00162080">
        <w:rPr>
          <w:color w:val="000000" w:themeColor="text1"/>
          <w:szCs w:val="26"/>
        </w:rPr>
        <w:t>t</w:t>
      </w:r>
      <w:r w:rsidRPr="004177C6">
        <w:rPr>
          <w:color w:val="000000" w:themeColor="text1"/>
          <w:szCs w:val="26"/>
        </w:rPr>
        <w:t>his requirement</w:t>
      </w:r>
      <w:r w:rsidR="00226C0C" w:rsidRPr="004177C6">
        <w:rPr>
          <w:color w:val="000000" w:themeColor="text1"/>
          <w:szCs w:val="26"/>
        </w:rPr>
        <w:t xml:space="preserve">. </w:t>
      </w:r>
      <w:r w:rsidRPr="004177C6">
        <w:rPr>
          <w:color w:val="000000" w:themeColor="text1"/>
          <w:szCs w:val="26"/>
        </w:rPr>
        <w:t xml:space="preserve"> (</w:t>
      </w:r>
      <w:r w:rsidR="00226C0C" w:rsidRPr="004177C6">
        <w:rPr>
          <w:color w:val="000000" w:themeColor="text1"/>
          <w:szCs w:val="26"/>
        </w:rPr>
        <w:t>E</w:t>
      </w:r>
      <w:r w:rsidRPr="004177C6">
        <w:rPr>
          <w:color w:val="000000" w:themeColor="text1"/>
          <w:szCs w:val="26"/>
        </w:rPr>
        <w:t xml:space="preserve">.g., </w:t>
      </w:r>
      <w:r w:rsidRPr="004177C6">
        <w:rPr>
          <w:i/>
          <w:color w:val="000000" w:themeColor="text1"/>
          <w:szCs w:val="26"/>
        </w:rPr>
        <w:t>Richmond</w:t>
      </w:r>
      <w:r w:rsidRPr="004177C6">
        <w:rPr>
          <w:color w:val="000000" w:themeColor="text1"/>
          <w:szCs w:val="26"/>
        </w:rPr>
        <w:t xml:space="preserve">, </w:t>
      </w:r>
      <w:r w:rsidR="00C978FF" w:rsidRPr="004177C6">
        <w:rPr>
          <w:color w:val="000000" w:themeColor="text1"/>
          <w:szCs w:val="26"/>
        </w:rPr>
        <w:t>at p.</w:t>
      </w:r>
      <w:r w:rsidRPr="004177C6">
        <w:rPr>
          <w:color w:val="000000" w:themeColor="text1"/>
          <w:szCs w:val="26"/>
        </w:rPr>
        <w:t xml:space="preserve"> 478 [observing that the members of the class “are easily identified and located”]; </w:t>
      </w:r>
      <w:r w:rsidRPr="004177C6">
        <w:rPr>
          <w:i/>
          <w:color w:val="000000" w:themeColor="text1"/>
          <w:szCs w:val="26"/>
        </w:rPr>
        <w:t>Vasquez</w:t>
      </w:r>
      <w:r w:rsidRPr="004177C6">
        <w:rPr>
          <w:color w:val="000000" w:themeColor="text1"/>
          <w:szCs w:val="26"/>
        </w:rPr>
        <w:t xml:space="preserve">, </w:t>
      </w:r>
      <w:r w:rsidR="00C978FF" w:rsidRPr="004177C6">
        <w:rPr>
          <w:color w:val="000000" w:themeColor="text1"/>
          <w:szCs w:val="26"/>
        </w:rPr>
        <w:t>at p.</w:t>
      </w:r>
      <w:r w:rsidRPr="004177C6">
        <w:rPr>
          <w:color w:val="000000" w:themeColor="text1"/>
          <w:szCs w:val="26"/>
        </w:rPr>
        <w:t xml:space="preserve"> 811 [noting that the names and addresses of the approximately 200 persons in the proposed class “may be ascertained from defendants’ books”]</w:t>
      </w:r>
      <w:r w:rsidR="00226C0C" w:rsidRPr="004177C6">
        <w:rPr>
          <w:color w:val="000000" w:themeColor="text1"/>
          <w:szCs w:val="26"/>
        </w:rPr>
        <w:t xml:space="preserve">; </w:t>
      </w:r>
      <w:r w:rsidR="00226C0C" w:rsidRPr="004177C6">
        <w:rPr>
          <w:i/>
          <w:color w:val="000000" w:themeColor="text1"/>
          <w:szCs w:val="26"/>
        </w:rPr>
        <w:t>Occidental Land, Inc. v. Superior Court</w:t>
      </w:r>
      <w:r w:rsidR="00226C0C" w:rsidRPr="004177C6">
        <w:rPr>
          <w:color w:val="000000" w:themeColor="text1"/>
          <w:szCs w:val="26"/>
        </w:rPr>
        <w:t xml:space="preserve"> (1976) 18 Cal.3d 355, 360 [“class members can be readily identified by a search of public records”].</w:t>
      </w:r>
      <w:r w:rsidRPr="004177C6">
        <w:rPr>
          <w:color w:val="000000" w:themeColor="text1"/>
          <w:szCs w:val="26"/>
        </w:rPr>
        <w:t xml:space="preserve">)  </w:t>
      </w:r>
      <w:r w:rsidR="005A1CD9">
        <w:rPr>
          <w:color w:val="000000" w:themeColor="text1"/>
          <w:szCs w:val="26"/>
        </w:rPr>
        <w:t xml:space="preserve">On two other occasions, </w:t>
      </w:r>
      <w:r w:rsidR="00226C0C" w:rsidRPr="004177C6">
        <w:rPr>
          <w:color w:val="000000" w:themeColor="text1"/>
          <w:szCs w:val="26"/>
        </w:rPr>
        <w:t xml:space="preserve">we </w:t>
      </w:r>
      <w:r w:rsidR="00313EEB" w:rsidRPr="004177C6">
        <w:rPr>
          <w:color w:val="000000" w:themeColor="text1"/>
          <w:szCs w:val="26"/>
        </w:rPr>
        <w:t>have</w:t>
      </w:r>
      <w:r w:rsidR="005F0829" w:rsidRPr="004177C6">
        <w:rPr>
          <w:color w:val="000000" w:themeColor="text1"/>
          <w:szCs w:val="26"/>
        </w:rPr>
        <w:t xml:space="preserve"> referenced ascertainability in</w:t>
      </w:r>
      <w:r w:rsidR="00313EEB" w:rsidRPr="004177C6">
        <w:rPr>
          <w:color w:val="000000" w:themeColor="text1"/>
          <w:szCs w:val="26"/>
        </w:rPr>
        <w:t xml:space="preserve"> </w:t>
      </w:r>
      <w:r w:rsidR="00226C0C" w:rsidRPr="004177C6">
        <w:rPr>
          <w:color w:val="000000" w:themeColor="text1"/>
          <w:szCs w:val="26"/>
        </w:rPr>
        <w:t>f</w:t>
      </w:r>
      <w:r w:rsidR="005F0829" w:rsidRPr="004177C6">
        <w:rPr>
          <w:color w:val="000000" w:themeColor="text1"/>
          <w:szCs w:val="26"/>
        </w:rPr>
        <w:t>i</w:t>
      </w:r>
      <w:r w:rsidR="00226C0C" w:rsidRPr="004177C6">
        <w:rPr>
          <w:color w:val="000000" w:themeColor="text1"/>
          <w:szCs w:val="26"/>
        </w:rPr>
        <w:t>nd</w:t>
      </w:r>
      <w:r w:rsidR="005F0829" w:rsidRPr="004177C6">
        <w:rPr>
          <w:color w:val="000000" w:themeColor="text1"/>
          <w:szCs w:val="26"/>
        </w:rPr>
        <w:t>ing</w:t>
      </w:r>
      <w:r w:rsidR="00226C0C" w:rsidRPr="004177C6">
        <w:rPr>
          <w:color w:val="000000" w:themeColor="text1"/>
          <w:szCs w:val="26"/>
        </w:rPr>
        <w:t xml:space="preserve"> no abuse of discretion </w:t>
      </w:r>
      <w:r w:rsidR="005F0829" w:rsidRPr="004177C6">
        <w:rPr>
          <w:color w:val="000000" w:themeColor="text1"/>
          <w:szCs w:val="26"/>
        </w:rPr>
        <w:t>in</w:t>
      </w:r>
      <w:r w:rsidR="0037333B" w:rsidRPr="004177C6">
        <w:rPr>
          <w:color w:val="000000" w:themeColor="text1"/>
          <w:szCs w:val="26"/>
        </w:rPr>
        <w:t xml:space="preserve"> </w:t>
      </w:r>
      <w:r w:rsidR="005A1CD9">
        <w:rPr>
          <w:color w:val="000000" w:themeColor="text1"/>
          <w:szCs w:val="26"/>
        </w:rPr>
        <w:t xml:space="preserve">trial courts’ </w:t>
      </w:r>
      <w:r w:rsidR="0037333B" w:rsidRPr="004177C6">
        <w:rPr>
          <w:i/>
          <w:color w:val="000000" w:themeColor="text1"/>
          <w:szCs w:val="26"/>
        </w:rPr>
        <w:t>refus</w:t>
      </w:r>
      <w:r w:rsidR="005A1CD9">
        <w:rPr>
          <w:i/>
          <w:color w:val="000000" w:themeColor="text1"/>
          <w:szCs w:val="26"/>
        </w:rPr>
        <w:t>als</w:t>
      </w:r>
      <w:r w:rsidR="00313EEB" w:rsidRPr="004177C6">
        <w:rPr>
          <w:color w:val="000000" w:themeColor="text1"/>
          <w:szCs w:val="26"/>
        </w:rPr>
        <w:t xml:space="preserve"> to certify proposed class</w:t>
      </w:r>
      <w:r w:rsidR="005A1CD9">
        <w:rPr>
          <w:color w:val="000000" w:themeColor="text1"/>
          <w:szCs w:val="26"/>
        </w:rPr>
        <w:t>es</w:t>
      </w:r>
      <w:r w:rsidR="0039092C">
        <w:rPr>
          <w:color w:val="000000" w:themeColor="text1"/>
          <w:szCs w:val="26"/>
        </w:rPr>
        <w:t>.  In both of these cases, however, there were</w:t>
      </w:r>
      <w:r w:rsidR="005F0829" w:rsidRPr="004177C6">
        <w:rPr>
          <w:color w:val="000000" w:themeColor="text1"/>
          <w:szCs w:val="26"/>
        </w:rPr>
        <w:t xml:space="preserve"> multiple grounds </w:t>
      </w:r>
      <w:r w:rsidR="005A1CD9">
        <w:rPr>
          <w:color w:val="000000" w:themeColor="text1"/>
          <w:szCs w:val="26"/>
        </w:rPr>
        <w:t xml:space="preserve">for </w:t>
      </w:r>
      <w:r w:rsidR="0039092C">
        <w:rPr>
          <w:color w:val="000000" w:themeColor="text1"/>
          <w:szCs w:val="26"/>
        </w:rPr>
        <w:t>denying</w:t>
      </w:r>
      <w:r w:rsidR="005A1CD9">
        <w:rPr>
          <w:color w:val="000000" w:themeColor="text1"/>
          <w:szCs w:val="26"/>
        </w:rPr>
        <w:t xml:space="preserve"> class </w:t>
      </w:r>
      <w:r w:rsidR="005F0829" w:rsidRPr="004177C6">
        <w:rPr>
          <w:color w:val="000000" w:themeColor="text1"/>
          <w:szCs w:val="26"/>
        </w:rPr>
        <w:t>certification</w:t>
      </w:r>
      <w:r w:rsidR="0039092C">
        <w:rPr>
          <w:color w:val="000000" w:themeColor="text1"/>
          <w:szCs w:val="26"/>
        </w:rPr>
        <w:t xml:space="preserve">, which </w:t>
      </w:r>
      <w:r w:rsidR="005F0829" w:rsidRPr="004177C6">
        <w:rPr>
          <w:color w:val="000000" w:themeColor="text1"/>
          <w:szCs w:val="26"/>
        </w:rPr>
        <w:t>meant</w:t>
      </w:r>
      <w:r w:rsidR="003943BD">
        <w:rPr>
          <w:color w:val="000000" w:themeColor="text1"/>
          <w:szCs w:val="26"/>
        </w:rPr>
        <w:t xml:space="preserve"> that</w:t>
      </w:r>
      <w:r w:rsidR="005F0829" w:rsidRPr="004177C6">
        <w:rPr>
          <w:color w:val="000000" w:themeColor="text1"/>
          <w:szCs w:val="26"/>
        </w:rPr>
        <w:t xml:space="preserve"> </w:t>
      </w:r>
      <w:r w:rsidR="005A1CD9">
        <w:rPr>
          <w:color w:val="000000" w:themeColor="text1"/>
          <w:szCs w:val="26"/>
        </w:rPr>
        <w:t>our analysis did not</w:t>
      </w:r>
      <w:r w:rsidR="0037333B" w:rsidRPr="004177C6">
        <w:rPr>
          <w:color w:val="000000" w:themeColor="text1"/>
          <w:szCs w:val="26"/>
        </w:rPr>
        <w:t xml:space="preserve"> </w:t>
      </w:r>
      <w:r w:rsidR="0039092C">
        <w:rPr>
          <w:color w:val="000000" w:themeColor="text1"/>
          <w:szCs w:val="26"/>
        </w:rPr>
        <w:t xml:space="preserve">squarely </w:t>
      </w:r>
      <w:r w:rsidR="005A1CD9">
        <w:rPr>
          <w:color w:val="000000" w:themeColor="text1"/>
          <w:szCs w:val="26"/>
        </w:rPr>
        <w:t>address</w:t>
      </w:r>
      <w:r w:rsidR="005F0829" w:rsidRPr="004177C6">
        <w:rPr>
          <w:color w:val="000000" w:themeColor="text1"/>
          <w:szCs w:val="26"/>
        </w:rPr>
        <w:t xml:space="preserve"> whether the </w:t>
      </w:r>
      <w:r w:rsidR="009F3181">
        <w:rPr>
          <w:color w:val="000000" w:themeColor="text1"/>
          <w:szCs w:val="26"/>
        </w:rPr>
        <w:t>failed</w:t>
      </w:r>
      <w:r w:rsidR="005F0829" w:rsidRPr="004177C6">
        <w:rPr>
          <w:color w:val="000000" w:themeColor="text1"/>
          <w:szCs w:val="26"/>
        </w:rPr>
        <w:t xml:space="preserve"> class was or was not ascertainable</w:t>
      </w:r>
      <w:r w:rsidR="00226C0C" w:rsidRPr="004177C6">
        <w:rPr>
          <w:color w:val="000000" w:themeColor="text1"/>
          <w:szCs w:val="26"/>
        </w:rPr>
        <w:t>.  (</w:t>
      </w:r>
      <w:r w:rsidR="00226C0C" w:rsidRPr="004177C6">
        <w:rPr>
          <w:i/>
          <w:color w:val="000000" w:themeColor="text1"/>
          <w:szCs w:val="26"/>
        </w:rPr>
        <w:t xml:space="preserve">Fletcher v. Security Pacific National Bank </w:t>
      </w:r>
      <w:r w:rsidR="00226C0C" w:rsidRPr="004177C6">
        <w:rPr>
          <w:color w:val="000000" w:themeColor="text1"/>
          <w:szCs w:val="26"/>
        </w:rPr>
        <w:t>(1979) 23 Cal.3d 442, 448</w:t>
      </w:r>
      <w:r w:rsidR="00C270EC">
        <w:rPr>
          <w:color w:val="000000" w:themeColor="text1"/>
          <w:szCs w:val="26"/>
        </w:rPr>
        <w:t>-449</w:t>
      </w:r>
      <w:r w:rsidR="00313EEB" w:rsidRPr="004177C6">
        <w:rPr>
          <w:color w:val="000000" w:themeColor="text1"/>
          <w:szCs w:val="26"/>
        </w:rPr>
        <w:t xml:space="preserve">; </w:t>
      </w:r>
      <w:r w:rsidR="00313EEB" w:rsidRPr="004177C6">
        <w:rPr>
          <w:i/>
          <w:color w:val="000000" w:themeColor="text1"/>
          <w:szCs w:val="26"/>
        </w:rPr>
        <w:t>Gerhard v. Stephens</w:t>
      </w:r>
      <w:r w:rsidR="00313EEB" w:rsidRPr="004177C6">
        <w:rPr>
          <w:color w:val="000000" w:themeColor="text1"/>
          <w:szCs w:val="26"/>
        </w:rPr>
        <w:t xml:space="preserve"> (1968) 68</w:t>
      </w:r>
      <w:r w:rsidR="00327856">
        <w:rPr>
          <w:color w:val="000000" w:themeColor="text1"/>
          <w:szCs w:val="26"/>
        </w:rPr>
        <w:t> </w:t>
      </w:r>
      <w:r w:rsidR="00313EEB" w:rsidRPr="004177C6">
        <w:rPr>
          <w:color w:val="000000" w:themeColor="text1"/>
          <w:szCs w:val="26"/>
        </w:rPr>
        <w:t>Cal.2d 864, 912-913.</w:t>
      </w:r>
      <w:r w:rsidR="00226C0C" w:rsidRPr="004177C6">
        <w:rPr>
          <w:color w:val="000000" w:themeColor="text1"/>
          <w:szCs w:val="26"/>
        </w:rPr>
        <w:t xml:space="preserve">)  </w:t>
      </w:r>
    </w:p>
    <w:p w14:paraId="390D2AC5" w14:textId="7F5E0B8C" w:rsidR="002B56CB" w:rsidRPr="004177C6" w:rsidRDefault="0037333B" w:rsidP="004177C6">
      <w:pPr>
        <w:ind w:firstLine="720"/>
        <w:rPr>
          <w:color w:val="000000" w:themeColor="text1"/>
          <w:szCs w:val="26"/>
        </w:rPr>
      </w:pPr>
      <w:r w:rsidRPr="004177C6">
        <w:rPr>
          <w:color w:val="000000" w:themeColor="text1"/>
          <w:szCs w:val="26"/>
        </w:rPr>
        <w:t>W</w:t>
      </w:r>
      <w:r w:rsidR="002B56CB" w:rsidRPr="004177C6">
        <w:rPr>
          <w:color w:val="000000" w:themeColor="text1"/>
          <w:szCs w:val="26"/>
        </w:rPr>
        <w:t xml:space="preserve">e have only </w:t>
      </w:r>
      <w:r w:rsidR="00226C0C" w:rsidRPr="004177C6">
        <w:rPr>
          <w:color w:val="000000" w:themeColor="text1"/>
          <w:szCs w:val="26"/>
        </w:rPr>
        <w:t>twice</w:t>
      </w:r>
      <w:r w:rsidR="002B56CB" w:rsidRPr="004177C6">
        <w:rPr>
          <w:color w:val="000000" w:themeColor="text1"/>
          <w:szCs w:val="26"/>
        </w:rPr>
        <w:t xml:space="preserve"> offered </w:t>
      </w:r>
      <w:r w:rsidR="00612678">
        <w:rPr>
          <w:color w:val="000000" w:themeColor="text1"/>
          <w:szCs w:val="26"/>
        </w:rPr>
        <w:t>additional</w:t>
      </w:r>
      <w:r w:rsidR="002B56CB" w:rsidRPr="004177C6">
        <w:rPr>
          <w:color w:val="000000" w:themeColor="text1"/>
          <w:szCs w:val="26"/>
        </w:rPr>
        <w:t xml:space="preserve"> explanation</w:t>
      </w:r>
      <w:r w:rsidR="00612678">
        <w:rPr>
          <w:color w:val="000000" w:themeColor="text1"/>
          <w:szCs w:val="26"/>
        </w:rPr>
        <w:t>s</w:t>
      </w:r>
      <w:r w:rsidR="002B56CB" w:rsidRPr="004177C6">
        <w:rPr>
          <w:color w:val="000000" w:themeColor="text1"/>
          <w:szCs w:val="26"/>
        </w:rPr>
        <w:t xml:space="preserve"> </w:t>
      </w:r>
      <w:r w:rsidR="00681C6E" w:rsidRPr="004177C6">
        <w:rPr>
          <w:color w:val="000000" w:themeColor="text1"/>
          <w:szCs w:val="26"/>
        </w:rPr>
        <w:t>of</w:t>
      </w:r>
      <w:r w:rsidR="006516E4" w:rsidRPr="004177C6">
        <w:rPr>
          <w:color w:val="000000" w:themeColor="text1"/>
          <w:szCs w:val="26"/>
        </w:rPr>
        <w:t xml:space="preserve"> what it means for a class to be</w:t>
      </w:r>
      <w:r w:rsidR="002B56CB" w:rsidRPr="004177C6">
        <w:rPr>
          <w:color w:val="000000" w:themeColor="text1"/>
          <w:szCs w:val="26"/>
        </w:rPr>
        <w:t xml:space="preserve"> ascertainab</w:t>
      </w:r>
      <w:r w:rsidR="006516E4" w:rsidRPr="004177C6">
        <w:rPr>
          <w:color w:val="000000" w:themeColor="text1"/>
          <w:szCs w:val="26"/>
        </w:rPr>
        <w:t>le</w:t>
      </w:r>
      <w:r w:rsidR="002B56CB" w:rsidRPr="004177C6">
        <w:rPr>
          <w:color w:val="000000" w:themeColor="text1"/>
          <w:szCs w:val="26"/>
        </w:rPr>
        <w:t xml:space="preserve">. </w:t>
      </w:r>
      <w:r w:rsidR="00D867C0">
        <w:rPr>
          <w:color w:val="000000" w:themeColor="text1"/>
          <w:szCs w:val="26"/>
        </w:rPr>
        <w:t xml:space="preserve"> Both of these descriptions were of a summary nature. </w:t>
      </w:r>
      <w:r w:rsidR="002B56CB" w:rsidRPr="004177C6">
        <w:rPr>
          <w:color w:val="000000" w:themeColor="text1"/>
          <w:szCs w:val="26"/>
        </w:rPr>
        <w:t xml:space="preserve"> </w:t>
      </w:r>
      <w:r w:rsidR="00A315F0">
        <w:rPr>
          <w:color w:val="000000" w:themeColor="text1"/>
          <w:szCs w:val="26"/>
        </w:rPr>
        <w:t>I</w:t>
      </w:r>
      <w:r w:rsidR="002B56CB" w:rsidRPr="004177C6">
        <w:rPr>
          <w:color w:val="000000" w:themeColor="text1"/>
          <w:szCs w:val="26"/>
        </w:rPr>
        <w:t>n</w:t>
      </w:r>
      <w:r w:rsidR="00226C0C" w:rsidRPr="004177C6">
        <w:rPr>
          <w:color w:val="000000" w:themeColor="text1"/>
          <w:szCs w:val="26"/>
        </w:rPr>
        <w:t xml:space="preserve"> </w:t>
      </w:r>
      <w:r w:rsidR="00226C0C" w:rsidRPr="004177C6">
        <w:rPr>
          <w:i/>
          <w:color w:val="000000" w:themeColor="text1"/>
          <w:szCs w:val="26"/>
        </w:rPr>
        <w:t>Vasquez</w:t>
      </w:r>
      <w:r w:rsidR="00226C0C" w:rsidRPr="004177C6">
        <w:rPr>
          <w:color w:val="000000" w:themeColor="text1"/>
          <w:szCs w:val="26"/>
        </w:rPr>
        <w:t xml:space="preserve">, </w:t>
      </w:r>
      <w:r w:rsidR="00226C0C" w:rsidRPr="004177C6">
        <w:rPr>
          <w:i/>
          <w:color w:val="000000" w:themeColor="text1"/>
          <w:szCs w:val="26"/>
        </w:rPr>
        <w:t>supra</w:t>
      </w:r>
      <w:r w:rsidR="00226C0C" w:rsidRPr="004177C6">
        <w:rPr>
          <w:color w:val="000000" w:themeColor="text1"/>
          <w:szCs w:val="26"/>
        </w:rPr>
        <w:t>, 4</w:t>
      </w:r>
      <w:r w:rsidR="0062218E">
        <w:rPr>
          <w:color w:val="000000" w:themeColor="text1"/>
          <w:szCs w:val="26"/>
        </w:rPr>
        <w:t> </w:t>
      </w:r>
      <w:r w:rsidR="00226C0C" w:rsidRPr="004177C6">
        <w:rPr>
          <w:color w:val="000000" w:themeColor="text1"/>
          <w:szCs w:val="26"/>
        </w:rPr>
        <w:t xml:space="preserve">Cal.3d 800, we </w:t>
      </w:r>
      <w:r w:rsidR="00DB2A20" w:rsidRPr="004177C6">
        <w:rPr>
          <w:color w:val="000000" w:themeColor="text1"/>
          <w:szCs w:val="26"/>
        </w:rPr>
        <w:t>stated that “[a]s to the necessity for an ascertainable class, the right of each individual to recover may not be based on a separate set of facts applicable only to him</w:t>
      </w:r>
      <w:r w:rsidRPr="004177C6">
        <w:rPr>
          <w:color w:val="000000" w:themeColor="text1"/>
          <w:szCs w:val="26"/>
        </w:rPr>
        <w:t>.</w:t>
      </w:r>
      <w:r w:rsidR="00DB2A20" w:rsidRPr="004177C6">
        <w:rPr>
          <w:color w:val="000000" w:themeColor="text1"/>
          <w:szCs w:val="26"/>
        </w:rPr>
        <w:t>”</w:t>
      </w:r>
      <w:r w:rsidRPr="004177C6">
        <w:rPr>
          <w:color w:val="000000" w:themeColor="text1"/>
          <w:szCs w:val="26"/>
        </w:rPr>
        <w:t xml:space="preserve"> </w:t>
      </w:r>
      <w:r w:rsidR="00DB2A20" w:rsidRPr="004177C6">
        <w:rPr>
          <w:color w:val="000000" w:themeColor="text1"/>
          <w:szCs w:val="26"/>
        </w:rPr>
        <w:t xml:space="preserve"> (</w:t>
      </w:r>
      <w:r w:rsidRPr="004177C6">
        <w:rPr>
          <w:i/>
          <w:color w:val="000000" w:themeColor="text1"/>
          <w:szCs w:val="26"/>
        </w:rPr>
        <w:t>I</w:t>
      </w:r>
      <w:r w:rsidR="00DB2A20" w:rsidRPr="004177C6">
        <w:rPr>
          <w:i/>
          <w:color w:val="000000" w:themeColor="text1"/>
          <w:szCs w:val="26"/>
        </w:rPr>
        <w:t>d</w:t>
      </w:r>
      <w:r w:rsidR="00DB2A20" w:rsidRPr="004177C6">
        <w:rPr>
          <w:color w:val="000000" w:themeColor="text1"/>
          <w:szCs w:val="26"/>
        </w:rPr>
        <w:t>., at p.</w:t>
      </w:r>
      <w:r w:rsidR="00E71346" w:rsidRPr="004177C6">
        <w:rPr>
          <w:color w:val="000000" w:themeColor="text1"/>
          <w:szCs w:val="26"/>
        </w:rPr>
        <w:t> </w:t>
      </w:r>
      <w:r w:rsidR="00DB2A20" w:rsidRPr="004177C6">
        <w:rPr>
          <w:color w:val="000000" w:themeColor="text1"/>
          <w:szCs w:val="26"/>
        </w:rPr>
        <w:t>809</w:t>
      </w:r>
      <w:r w:rsidRPr="004177C6">
        <w:rPr>
          <w:color w:val="000000" w:themeColor="text1"/>
          <w:szCs w:val="26"/>
        </w:rPr>
        <w:t>.</w:t>
      </w:r>
      <w:r w:rsidR="00DB2A20" w:rsidRPr="004177C6">
        <w:rPr>
          <w:color w:val="000000" w:themeColor="text1"/>
          <w:szCs w:val="26"/>
        </w:rPr>
        <w:t>)  More recently, the majority opinion in</w:t>
      </w:r>
      <w:r w:rsidR="002B56CB" w:rsidRPr="004177C6">
        <w:rPr>
          <w:color w:val="000000" w:themeColor="text1"/>
          <w:szCs w:val="26"/>
        </w:rPr>
        <w:t xml:space="preserve"> </w:t>
      </w:r>
      <w:r w:rsidR="002B56CB" w:rsidRPr="004177C6">
        <w:rPr>
          <w:i/>
          <w:color w:val="000000" w:themeColor="text1"/>
          <w:szCs w:val="26"/>
        </w:rPr>
        <w:t>In re Tobacco II</w:t>
      </w:r>
      <w:r w:rsidR="002B56CB" w:rsidRPr="004177C6">
        <w:rPr>
          <w:color w:val="000000" w:themeColor="text1"/>
          <w:szCs w:val="26"/>
        </w:rPr>
        <w:t xml:space="preserve">, </w:t>
      </w:r>
      <w:r w:rsidR="002B56CB" w:rsidRPr="004177C6">
        <w:rPr>
          <w:i/>
          <w:color w:val="000000" w:themeColor="text1"/>
          <w:szCs w:val="26"/>
        </w:rPr>
        <w:t>supra</w:t>
      </w:r>
      <w:r w:rsidR="002B56CB" w:rsidRPr="004177C6">
        <w:rPr>
          <w:color w:val="000000" w:themeColor="text1"/>
          <w:szCs w:val="26"/>
        </w:rPr>
        <w:t>, 46 Cal.4th 298</w:t>
      </w:r>
      <w:r w:rsidR="00DB2A20" w:rsidRPr="004177C6">
        <w:rPr>
          <w:color w:val="000000" w:themeColor="text1"/>
          <w:szCs w:val="26"/>
        </w:rPr>
        <w:t xml:space="preserve"> </w:t>
      </w:r>
      <w:r w:rsidR="00355B73">
        <w:rPr>
          <w:color w:val="000000" w:themeColor="text1"/>
          <w:szCs w:val="26"/>
        </w:rPr>
        <w:t>characteriz</w:t>
      </w:r>
      <w:r w:rsidR="00D867C0">
        <w:rPr>
          <w:color w:val="000000" w:themeColor="text1"/>
          <w:szCs w:val="26"/>
        </w:rPr>
        <w:t>ed</w:t>
      </w:r>
      <w:r w:rsidR="00355B73">
        <w:rPr>
          <w:color w:val="000000" w:themeColor="text1"/>
          <w:szCs w:val="26"/>
        </w:rPr>
        <w:t xml:space="preserve"> </w:t>
      </w:r>
      <w:r w:rsidR="00D867C0">
        <w:rPr>
          <w:color w:val="000000" w:themeColor="text1"/>
          <w:szCs w:val="26"/>
        </w:rPr>
        <w:t>ascertainability as a</w:t>
      </w:r>
      <w:r w:rsidR="00BE3E79" w:rsidRPr="004177C6">
        <w:rPr>
          <w:color w:val="000000" w:themeColor="text1"/>
          <w:szCs w:val="26"/>
        </w:rPr>
        <w:t xml:space="preserve"> “preliminary step” </w:t>
      </w:r>
      <w:r w:rsidR="00681C6E" w:rsidRPr="004177C6">
        <w:rPr>
          <w:color w:val="000000" w:themeColor="text1"/>
          <w:szCs w:val="26"/>
        </w:rPr>
        <w:t>to class certification</w:t>
      </w:r>
      <w:r w:rsidR="00D867C0">
        <w:rPr>
          <w:color w:val="000000" w:themeColor="text1"/>
          <w:szCs w:val="26"/>
        </w:rPr>
        <w:t xml:space="preserve">, which </w:t>
      </w:r>
      <w:r w:rsidR="001578BD">
        <w:rPr>
          <w:color w:val="000000" w:themeColor="text1"/>
          <w:szCs w:val="26"/>
        </w:rPr>
        <w:t>requir</w:t>
      </w:r>
      <w:r w:rsidR="00D867C0">
        <w:rPr>
          <w:color w:val="000000" w:themeColor="text1"/>
          <w:szCs w:val="26"/>
        </w:rPr>
        <w:t>es</w:t>
      </w:r>
      <w:r w:rsidR="002B56CB" w:rsidRPr="004177C6">
        <w:rPr>
          <w:color w:val="000000" w:themeColor="text1"/>
          <w:szCs w:val="26"/>
        </w:rPr>
        <w:t xml:space="preserve"> that a class </w:t>
      </w:r>
      <w:r w:rsidR="00162080">
        <w:rPr>
          <w:color w:val="000000" w:themeColor="text1"/>
          <w:szCs w:val="26"/>
        </w:rPr>
        <w:t>“ </w:t>
      </w:r>
      <w:r w:rsidR="002B56CB" w:rsidRPr="004177C6">
        <w:rPr>
          <w:color w:val="000000" w:themeColor="text1"/>
          <w:szCs w:val="26"/>
        </w:rPr>
        <w:t>‘</w:t>
      </w:r>
      <w:r w:rsidR="006D6CF5" w:rsidRPr="004177C6">
        <w:rPr>
          <w:color w:val="000000" w:themeColor="text1"/>
          <w:szCs w:val="26"/>
        </w:rPr>
        <w:t> </w:t>
      </w:r>
      <w:r w:rsidR="002B56CB" w:rsidRPr="004177C6">
        <w:rPr>
          <w:color w:val="000000" w:themeColor="text1"/>
          <w:szCs w:val="26"/>
        </w:rPr>
        <w:t>“be sufficiently definite</w:t>
      </w:r>
      <w:r w:rsidR="002C04F6">
        <w:rPr>
          <w:color w:val="000000" w:themeColor="text1"/>
          <w:szCs w:val="26"/>
        </w:rPr>
        <w:t xml:space="preserve"> so</w:t>
      </w:r>
      <w:r w:rsidR="002B56CB" w:rsidRPr="004177C6">
        <w:rPr>
          <w:color w:val="000000" w:themeColor="text1"/>
          <w:szCs w:val="26"/>
        </w:rPr>
        <w:t xml:space="preserve"> that it is administratively feasible for the Court to determine whether a particular individual is a member of the proposed class.</w:t>
      </w:r>
      <w:r w:rsidR="001636DD" w:rsidRPr="004177C6">
        <w:rPr>
          <w:color w:val="000000" w:themeColor="text1"/>
          <w:szCs w:val="26"/>
        </w:rPr>
        <w:t>” </w:t>
      </w:r>
      <w:r w:rsidR="002B56CB" w:rsidRPr="004177C6">
        <w:rPr>
          <w:color w:val="000000" w:themeColor="text1"/>
          <w:szCs w:val="26"/>
        </w:rPr>
        <w:t>’</w:t>
      </w:r>
      <w:r w:rsidR="001636DD" w:rsidRPr="004177C6">
        <w:rPr>
          <w:color w:val="000000" w:themeColor="text1"/>
          <w:szCs w:val="26"/>
        </w:rPr>
        <w:t> </w:t>
      </w:r>
      <w:r w:rsidR="002B56CB" w:rsidRPr="004177C6">
        <w:rPr>
          <w:color w:val="000000" w:themeColor="text1"/>
          <w:szCs w:val="26"/>
        </w:rPr>
        <w:t>”  (</w:t>
      </w:r>
      <w:r w:rsidR="002B56CB" w:rsidRPr="004177C6">
        <w:rPr>
          <w:i/>
          <w:color w:val="000000" w:themeColor="text1"/>
          <w:szCs w:val="26"/>
        </w:rPr>
        <w:t>Id</w:t>
      </w:r>
      <w:r w:rsidR="002B56CB" w:rsidRPr="004177C6">
        <w:rPr>
          <w:color w:val="000000" w:themeColor="text1"/>
          <w:szCs w:val="26"/>
        </w:rPr>
        <w:t xml:space="preserve">., at p. 323, quoting </w:t>
      </w:r>
      <w:r w:rsidR="002B56CB" w:rsidRPr="004177C6">
        <w:rPr>
          <w:i/>
          <w:color w:val="000000" w:themeColor="text1"/>
          <w:szCs w:val="26"/>
        </w:rPr>
        <w:t>Miller v. Janssen Pharmaceutica Products, L.P</w:t>
      </w:r>
      <w:r w:rsidR="002B56CB" w:rsidRPr="002C04F6">
        <w:rPr>
          <w:i/>
          <w:iCs/>
          <w:color w:val="000000" w:themeColor="text1"/>
          <w:szCs w:val="26"/>
        </w:rPr>
        <w:t>.</w:t>
      </w:r>
      <w:r w:rsidR="002B56CB" w:rsidRPr="004177C6">
        <w:rPr>
          <w:color w:val="000000" w:themeColor="text1"/>
          <w:szCs w:val="26"/>
        </w:rPr>
        <w:t xml:space="preserve"> (S.D.Ill. 2007) 2007 WL 1295824, p. *5.)</w:t>
      </w:r>
      <w:r w:rsidR="009B62DE" w:rsidRPr="004177C6">
        <w:rPr>
          <w:color w:val="000000" w:themeColor="text1"/>
          <w:szCs w:val="26"/>
        </w:rPr>
        <w:t xml:space="preserve"> </w:t>
      </w:r>
      <w:r w:rsidR="00C978FF" w:rsidRPr="004177C6">
        <w:rPr>
          <w:color w:val="000000" w:themeColor="text1"/>
          <w:szCs w:val="26"/>
        </w:rPr>
        <w:t xml:space="preserve"> </w:t>
      </w:r>
      <w:r w:rsidR="00DB2A20" w:rsidRPr="004177C6">
        <w:rPr>
          <w:color w:val="000000" w:themeColor="text1"/>
          <w:szCs w:val="26"/>
        </w:rPr>
        <w:t xml:space="preserve">Class ascertainability was not an issue before us in </w:t>
      </w:r>
      <w:r w:rsidR="00DB2A20" w:rsidRPr="004177C6">
        <w:rPr>
          <w:i/>
          <w:color w:val="000000" w:themeColor="text1"/>
          <w:szCs w:val="26"/>
        </w:rPr>
        <w:t>In re Tobacco II</w:t>
      </w:r>
      <w:r w:rsidR="00DB2A20" w:rsidRPr="004177C6">
        <w:rPr>
          <w:color w:val="000000" w:themeColor="text1"/>
          <w:szCs w:val="26"/>
        </w:rPr>
        <w:t>, however, and we had</w:t>
      </w:r>
      <w:r w:rsidR="00C978FF" w:rsidRPr="004177C6">
        <w:rPr>
          <w:color w:val="000000" w:themeColor="text1"/>
          <w:szCs w:val="26"/>
        </w:rPr>
        <w:t xml:space="preserve"> no occasion </w:t>
      </w:r>
      <w:r w:rsidR="00DB2A20" w:rsidRPr="004177C6">
        <w:rPr>
          <w:color w:val="000000" w:themeColor="text1"/>
          <w:szCs w:val="26"/>
        </w:rPr>
        <w:t xml:space="preserve">in that case </w:t>
      </w:r>
      <w:r w:rsidR="00C978FF" w:rsidRPr="004177C6">
        <w:rPr>
          <w:color w:val="000000" w:themeColor="text1"/>
          <w:szCs w:val="26"/>
        </w:rPr>
        <w:t xml:space="preserve">to </w:t>
      </w:r>
      <w:r w:rsidR="006D6CF5" w:rsidRPr="004177C6">
        <w:rPr>
          <w:color w:val="000000" w:themeColor="text1"/>
          <w:szCs w:val="26"/>
        </w:rPr>
        <w:t>exhaustively consider</w:t>
      </w:r>
      <w:r w:rsidR="00C978FF" w:rsidRPr="004177C6">
        <w:rPr>
          <w:color w:val="000000" w:themeColor="text1"/>
          <w:szCs w:val="26"/>
        </w:rPr>
        <w:t xml:space="preserve"> </w:t>
      </w:r>
      <w:r w:rsidR="006D6CF5" w:rsidRPr="004177C6">
        <w:rPr>
          <w:color w:val="000000" w:themeColor="text1"/>
          <w:szCs w:val="26"/>
        </w:rPr>
        <w:t>how</w:t>
      </w:r>
      <w:r w:rsidR="00C978FF" w:rsidRPr="004177C6">
        <w:rPr>
          <w:color w:val="000000" w:themeColor="text1"/>
          <w:szCs w:val="26"/>
        </w:rPr>
        <w:t xml:space="preserve"> the concept</w:t>
      </w:r>
      <w:r w:rsidR="006D6CF5" w:rsidRPr="004177C6">
        <w:rPr>
          <w:color w:val="000000" w:themeColor="text1"/>
          <w:szCs w:val="26"/>
        </w:rPr>
        <w:t xml:space="preserve"> should be understood.</w:t>
      </w:r>
    </w:p>
    <w:p w14:paraId="492E939E" w14:textId="36DDCF93" w:rsidR="00F805E6" w:rsidRPr="004177C6" w:rsidRDefault="009B62DE" w:rsidP="004177C6">
      <w:pPr>
        <w:ind w:firstLine="720"/>
        <w:rPr>
          <w:i/>
          <w:color w:val="000000" w:themeColor="text1"/>
          <w:szCs w:val="26"/>
        </w:rPr>
      </w:pPr>
      <w:r w:rsidRPr="004177C6">
        <w:rPr>
          <w:color w:val="000000" w:themeColor="text1"/>
          <w:szCs w:val="26"/>
        </w:rPr>
        <w:t xml:space="preserve">To summarize, our </w:t>
      </w:r>
      <w:r w:rsidR="00896043" w:rsidRPr="004177C6">
        <w:rPr>
          <w:color w:val="000000" w:themeColor="text1"/>
          <w:szCs w:val="26"/>
        </w:rPr>
        <w:t>case law has</w:t>
      </w:r>
      <w:r w:rsidR="001578BD">
        <w:rPr>
          <w:color w:val="000000" w:themeColor="text1"/>
          <w:szCs w:val="26"/>
        </w:rPr>
        <w:t xml:space="preserve"> recognized an ascertainability requirement for class actions, but we have not</w:t>
      </w:r>
      <w:r w:rsidR="00896043" w:rsidRPr="004177C6">
        <w:rPr>
          <w:color w:val="000000" w:themeColor="text1"/>
          <w:szCs w:val="26"/>
        </w:rPr>
        <w:t xml:space="preserve"> clearly articulated </w:t>
      </w:r>
      <w:r w:rsidR="001578BD">
        <w:rPr>
          <w:color w:val="000000" w:themeColor="text1"/>
          <w:szCs w:val="26"/>
        </w:rPr>
        <w:t xml:space="preserve">what this </w:t>
      </w:r>
      <w:r w:rsidR="0039092C">
        <w:rPr>
          <w:color w:val="000000" w:themeColor="text1"/>
          <w:szCs w:val="26"/>
        </w:rPr>
        <w:t>requirement</w:t>
      </w:r>
      <w:r w:rsidR="00896043" w:rsidRPr="004177C6">
        <w:rPr>
          <w:color w:val="000000" w:themeColor="text1"/>
          <w:szCs w:val="26"/>
        </w:rPr>
        <w:t xml:space="preserve"> </w:t>
      </w:r>
      <w:r w:rsidR="001578BD">
        <w:rPr>
          <w:color w:val="000000" w:themeColor="text1"/>
          <w:szCs w:val="26"/>
        </w:rPr>
        <w:t xml:space="preserve">entails or how it </w:t>
      </w:r>
      <w:r w:rsidR="00896043" w:rsidRPr="004177C6">
        <w:rPr>
          <w:color w:val="000000" w:themeColor="text1"/>
          <w:szCs w:val="26"/>
        </w:rPr>
        <w:t>is distinct</w:t>
      </w:r>
      <w:r w:rsidRPr="004177C6">
        <w:rPr>
          <w:color w:val="000000" w:themeColor="text1"/>
          <w:szCs w:val="26"/>
        </w:rPr>
        <w:t xml:space="preserve"> </w:t>
      </w:r>
      <w:r w:rsidR="00896043" w:rsidRPr="004177C6">
        <w:rPr>
          <w:color w:val="000000" w:themeColor="text1"/>
          <w:szCs w:val="26"/>
        </w:rPr>
        <w:t xml:space="preserve">from </w:t>
      </w:r>
      <w:r w:rsidR="005957FE" w:rsidRPr="004177C6">
        <w:rPr>
          <w:color w:val="000000" w:themeColor="text1"/>
          <w:szCs w:val="26"/>
        </w:rPr>
        <w:t>other</w:t>
      </w:r>
      <w:r w:rsidR="00896043" w:rsidRPr="004177C6">
        <w:rPr>
          <w:color w:val="000000" w:themeColor="text1"/>
          <w:szCs w:val="26"/>
        </w:rPr>
        <w:t xml:space="preserve"> </w:t>
      </w:r>
      <w:r w:rsidR="005957FE" w:rsidRPr="004177C6">
        <w:rPr>
          <w:color w:val="000000" w:themeColor="text1"/>
          <w:szCs w:val="26"/>
        </w:rPr>
        <w:t>prerequisites</w:t>
      </w:r>
      <w:r w:rsidR="00D867C0">
        <w:rPr>
          <w:color w:val="000000" w:themeColor="text1"/>
          <w:szCs w:val="26"/>
        </w:rPr>
        <w:t xml:space="preserve"> for certification —</w:t>
      </w:r>
      <w:r w:rsidR="00BF18B2" w:rsidRPr="004177C6">
        <w:rPr>
          <w:color w:val="000000" w:themeColor="text1"/>
          <w:szCs w:val="26"/>
        </w:rPr>
        <w:t xml:space="preserve"> especially the need to show a community of interest among class members</w:t>
      </w:r>
      <w:r w:rsidR="00896043" w:rsidRPr="004177C6">
        <w:rPr>
          <w:color w:val="000000" w:themeColor="text1"/>
          <w:szCs w:val="26"/>
        </w:rPr>
        <w:t xml:space="preserve">. </w:t>
      </w:r>
      <w:r w:rsidRPr="004177C6">
        <w:rPr>
          <w:color w:val="000000" w:themeColor="text1"/>
          <w:szCs w:val="26"/>
        </w:rPr>
        <w:t xml:space="preserve"> </w:t>
      </w:r>
      <w:r w:rsidR="00D867C0">
        <w:rPr>
          <w:color w:val="000000" w:themeColor="text1"/>
          <w:szCs w:val="26"/>
        </w:rPr>
        <w:t>Our</w:t>
      </w:r>
      <w:r w:rsidR="00896043" w:rsidRPr="004177C6">
        <w:rPr>
          <w:color w:val="000000" w:themeColor="text1"/>
          <w:szCs w:val="26"/>
        </w:rPr>
        <w:t xml:space="preserve"> decisions have</w:t>
      </w:r>
      <w:r w:rsidR="0039092C">
        <w:rPr>
          <w:color w:val="000000" w:themeColor="text1"/>
          <w:szCs w:val="26"/>
        </w:rPr>
        <w:t xml:space="preserve"> also</w:t>
      </w:r>
      <w:r w:rsidR="001578BD">
        <w:rPr>
          <w:color w:val="000000" w:themeColor="text1"/>
          <w:szCs w:val="26"/>
        </w:rPr>
        <w:t xml:space="preserve"> abstractly</w:t>
      </w:r>
      <w:r w:rsidR="00746F92" w:rsidRPr="004177C6">
        <w:rPr>
          <w:color w:val="000000" w:themeColor="text1"/>
          <w:szCs w:val="26"/>
        </w:rPr>
        <w:t xml:space="preserve"> </w:t>
      </w:r>
      <w:r w:rsidR="001578BD">
        <w:rPr>
          <w:color w:val="000000" w:themeColor="text1"/>
          <w:szCs w:val="26"/>
        </w:rPr>
        <w:t>tethered</w:t>
      </w:r>
      <w:r w:rsidR="00896043" w:rsidRPr="004177C6">
        <w:rPr>
          <w:color w:val="000000" w:themeColor="text1"/>
          <w:szCs w:val="26"/>
        </w:rPr>
        <w:t xml:space="preserve"> </w:t>
      </w:r>
      <w:r w:rsidR="001D4508" w:rsidRPr="004177C6">
        <w:rPr>
          <w:color w:val="000000" w:themeColor="text1"/>
          <w:szCs w:val="26"/>
        </w:rPr>
        <w:t xml:space="preserve">class </w:t>
      </w:r>
      <w:r w:rsidR="00896043" w:rsidRPr="004177C6">
        <w:rPr>
          <w:color w:val="000000" w:themeColor="text1"/>
          <w:szCs w:val="26"/>
        </w:rPr>
        <w:t xml:space="preserve">ascertainability </w:t>
      </w:r>
      <w:r w:rsidR="001578BD">
        <w:rPr>
          <w:color w:val="000000" w:themeColor="text1"/>
          <w:szCs w:val="26"/>
        </w:rPr>
        <w:t>to due process considerations</w:t>
      </w:r>
      <w:r w:rsidR="00B0707B">
        <w:rPr>
          <w:color w:val="000000" w:themeColor="text1"/>
          <w:szCs w:val="26"/>
        </w:rPr>
        <w:t xml:space="preserve"> that </w:t>
      </w:r>
      <w:r w:rsidR="00D867C0">
        <w:rPr>
          <w:color w:val="000000" w:themeColor="text1"/>
          <w:szCs w:val="26"/>
        </w:rPr>
        <w:t>include</w:t>
      </w:r>
      <w:r w:rsidR="004B0D85">
        <w:rPr>
          <w:color w:val="000000" w:themeColor="text1"/>
          <w:szCs w:val="26"/>
        </w:rPr>
        <w:t>, but are not necessarily limited to,</w:t>
      </w:r>
      <w:r w:rsidR="00D867C0">
        <w:rPr>
          <w:color w:val="000000" w:themeColor="text1"/>
          <w:szCs w:val="26"/>
        </w:rPr>
        <w:t xml:space="preserve"> </w:t>
      </w:r>
      <w:r w:rsidRPr="004177C6">
        <w:rPr>
          <w:color w:val="000000" w:themeColor="text1"/>
          <w:szCs w:val="26"/>
        </w:rPr>
        <w:t>the need to provide absent class members with</w:t>
      </w:r>
      <w:r w:rsidR="00746F92" w:rsidRPr="004177C6">
        <w:rPr>
          <w:color w:val="000000" w:themeColor="text1"/>
          <w:szCs w:val="26"/>
        </w:rPr>
        <w:t xml:space="preserve"> adequate</w:t>
      </w:r>
      <w:r w:rsidRPr="004177C6">
        <w:rPr>
          <w:color w:val="000000" w:themeColor="text1"/>
          <w:szCs w:val="26"/>
        </w:rPr>
        <w:t xml:space="preserve"> notice.</w:t>
      </w:r>
      <w:r w:rsidR="00621FCF" w:rsidRPr="004177C6">
        <w:rPr>
          <w:color w:val="000000" w:themeColor="text1"/>
          <w:szCs w:val="26"/>
        </w:rPr>
        <w:t xml:space="preserve">  </w:t>
      </w:r>
      <w:r w:rsidR="001D4508" w:rsidRPr="004177C6">
        <w:t xml:space="preserve">But </w:t>
      </w:r>
      <w:r w:rsidR="001578BD">
        <w:t xml:space="preserve">this connection has not </w:t>
      </w:r>
      <w:r w:rsidR="009F3181">
        <w:t>led to</w:t>
      </w:r>
      <w:r w:rsidR="005D6AC2">
        <w:t xml:space="preserve"> a consensus among the Courts of Appeal regarding</w:t>
      </w:r>
      <w:r w:rsidR="001D4508" w:rsidRPr="004177C6">
        <w:t xml:space="preserve"> </w:t>
      </w:r>
      <w:r w:rsidR="005D6AC2">
        <w:rPr>
          <w:color w:val="000000" w:themeColor="text1"/>
          <w:szCs w:val="26"/>
        </w:rPr>
        <w:t>what</w:t>
      </w:r>
      <w:r w:rsidR="004B0D85">
        <w:rPr>
          <w:color w:val="000000" w:themeColor="text1"/>
          <w:szCs w:val="26"/>
        </w:rPr>
        <w:t xml:space="preserve"> </w:t>
      </w:r>
      <w:r w:rsidR="005D6AC2">
        <w:rPr>
          <w:color w:val="000000" w:themeColor="text1"/>
          <w:szCs w:val="26"/>
        </w:rPr>
        <w:t>the</w:t>
      </w:r>
      <w:r w:rsidR="00746F92" w:rsidRPr="004177C6">
        <w:rPr>
          <w:color w:val="000000" w:themeColor="text1"/>
          <w:szCs w:val="26"/>
        </w:rPr>
        <w:t xml:space="preserve"> ascertainab</w:t>
      </w:r>
      <w:r w:rsidR="005D6AC2">
        <w:rPr>
          <w:color w:val="000000" w:themeColor="text1"/>
          <w:szCs w:val="26"/>
        </w:rPr>
        <w:t>ility</w:t>
      </w:r>
      <w:r w:rsidR="00746F92" w:rsidRPr="004177C6">
        <w:rPr>
          <w:color w:val="000000" w:themeColor="text1"/>
          <w:szCs w:val="26"/>
        </w:rPr>
        <w:t xml:space="preserve"> </w:t>
      </w:r>
      <w:r w:rsidR="005D6AC2">
        <w:rPr>
          <w:color w:val="000000" w:themeColor="text1"/>
          <w:szCs w:val="26"/>
        </w:rPr>
        <w:t>requirement entails</w:t>
      </w:r>
      <w:r w:rsidR="00746F92" w:rsidRPr="004177C6">
        <w:rPr>
          <w:color w:val="000000" w:themeColor="text1"/>
          <w:szCs w:val="26"/>
        </w:rPr>
        <w:t>.</w:t>
      </w:r>
    </w:p>
    <w:p w14:paraId="1AE1FC40" w14:textId="77777777" w:rsidR="000B26F9" w:rsidRPr="004177C6" w:rsidRDefault="00450F92" w:rsidP="00E67E1F">
      <w:pPr>
        <w:keepNext/>
        <w:keepLines/>
        <w:spacing w:line="240" w:lineRule="auto"/>
        <w:ind w:left="1440" w:hanging="360"/>
        <w:contextualSpacing/>
        <w:rPr>
          <w:i/>
          <w:color w:val="000000" w:themeColor="text1"/>
          <w:szCs w:val="26"/>
        </w:rPr>
      </w:pPr>
      <w:r w:rsidRPr="004177C6">
        <w:rPr>
          <w:i/>
          <w:color w:val="000000" w:themeColor="text1"/>
          <w:szCs w:val="26"/>
        </w:rPr>
        <w:t>5.</w:t>
      </w:r>
      <w:r w:rsidRPr="004177C6">
        <w:rPr>
          <w:i/>
          <w:color w:val="000000" w:themeColor="text1"/>
          <w:szCs w:val="26"/>
        </w:rPr>
        <w:tab/>
      </w:r>
      <w:r w:rsidR="00CE7F8B" w:rsidRPr="004177C6">
        <w:rPr>
          <w:i/>
          <w:color w:val="000000" w:themeColor="text1"/>
          <w:szCs w:val="26"/>
        </w:rPr>
        <w:t>The</w:t>
      </w:r>
      <w:r w:rsidR="00621FCF" w:rsidRPr="004177C6">
        <w:rPr>
          <w:i/>
          <w:color w:val="000000" w:themeColor="text1"/>
          <w:szCs w:val="26"/>
        </w:rPr>
        <w:t xml:space="preserve"> </w:t>
      </w:r>
      <w:r w:rsidR="000D68BF">
        <w:rPr>
          <w:i/>
          <w:color w:val="000000" w:themeColor="text1"/>
          <w:szCs w:val="26"/>
        </w:rPr>
        <w:t>v</w:t>
      </w:r>
      <w:r w:rsidR="00CE7F8B" w:rsidRPr="004177C6">
        <w:rPr>
          <w:i/>
          <w:color w:val="000000" w:themeColor="text1"/>
          <w:szCs w:val="26"/>
        </w:rPr>
        <w:t xml:space="preserve">iews of the </w:t>
      </w:r>
      <w:r w:rsidR="000D68BF">
        <w:rPr>
          <w:i/>
          <w:color w:val="000000" w:themeColor="text1"/>
          <w:szCs w:val="26"/>
        </w:rPr>
        <w:t>C</w:t>
      </w:r>
      <w:r w:rsidR="00CE7F8B" w:rsidRPr="004177C6">
        <w:rPr>
          <w:i/>
          <w:color w:val="000000" w:themeColor="text1"/>
          <w:szCs w:val="26"/>
        </w:rPr>
        <w:t xml:space="preserve">ourts of </w:t>
      </w:r>
      <w:r w:rsidR="000D68BF">
        <w:rPr>
          <w:i/>
          <w:color w:val="000000" w:themeColor="text1"/>
          <w:szCs w:val="26"/>
        </w:rPr>
        <w:t>A</w:t>
      </w:r>
      <w:r w:rsidR="00CE7F8B" w:rsidRPr="004177C6">
        <w:rPr>
          <w:i/>
          <w:color w:val="000000" w:themeColor="text1"/>
          <w:szCs w:val="26"/>
        </w:rPr>
        <w:t>ppeal</w:t>
      </w:r>
      <w:r w:rsidR="00621FCF" w:rsidRPr="004177C6">
        <w:rPr>
          <w:i/>
          <w:color w:val="000000" w:themeColor="text1"/>
          <w:szCs w:val="26"/>
        </w:rPr>
        <w:t xml:space="preserve"> </w:t>
      </w:r>
      <w:r w:rsidR="000D68BF">
        <w:rPr>
          <w:i/>
          <w:color w:val="000000" w:themeColor="text1"/>
          <w:szCs w:val="26"/>
        </w:rPr>
        <w:t>r</w:t>
      </w:r>
      <w:r w:rsidR="00CE7F8B" w:rsidRPr="004177C6">
        <w:rPr>
          <w:i/>
          <w:color w:val="000000" w:themeColor="text1"/>
          <w:szCs w:val="26"/>
        </w:rPr>
        <w:t>egarding</w:t>
      </w:r>
      <w:r w:rsidR="00621FCF" w:rsidRPr="004177C6">
        <w:rPr>
          <w:i/>
          <w:color w:val="000000" w:themeColor="text1"/>
          <w:szCs w:val="26"/>
        </w:rPr>
        <w:t xml:space="preserve"> </w:t>
      </w:r>
      <w:r w:rsidR="000D68BF">
        <w:rPr>
          <w:i/>
          <w:color w:val="000000" w:themeColor="text1"/>
          <w:szCs w:val="26"/>
        </w:rPr>
        <w:t>a</w:t>
      </w:r>
      <w:r w:rsidR="00621FCF" w:rsidRPr="004177C6">
        <w:rPr>
          <w:i/>
          <w:color w:val="000000" w:themeColor="text1"/>
          <w:szCs w:val="26"/>
        </w:rPr>
        <w:t>scertainability</w:t>
      </w:r>
    </w:p>
    <w:p w14:paraId="6A96F3A5" w14:textId="7DF8851A" w:rsidR="007A5534" w:rsidRPr="004177C6" w:rsidRDefault="00027835" w:rsidP="004177C6">
      <w:pPr>
        <w:ind w:firstLine="720"/>
        <w:rPr>
          <w:color w:val="000000" w:themeColor="text1"/>
          <w:szCs w:val="26"/>
        </w:rPr>
      </w:pPr>
      <w:r>
        <w:rPr>
          <w:color w:val="000000" w:themeColor="text1"/>
          <w:szCs w:val="26"/>
        </w:rPr>
        <w:t>Following</w:t>
      </w:r>
      <w:r w:rsidR="00C978FF" w:rsidRPr="004177C6">
        <w:rPr>
          <w:color w:val="000000" w:themeColor="text1"/>
          <w:szCs w:val="26"/>
        </w:rPr>
        <w:t xml:space="preserve"> our decision in </w:t>
      </w:r>
      <w:r w:rsidR="00C978FF" w:rsidRPr="004177C6">
        <w:rPr>
          <w:i/>
          <w:color w:val="000000" w:themeColor="text1"/>
          <w:szCs w:val="26"/>
        </w:rPr>
        <w:t>Daar</w:t>
      </w:r>
      <w:r w:rsidR="00C978FF" w:rsidRPr="004177C6">
        <w:rPr>
          <w:color w:val="000000" w:themeColor="text1"/>
          <w:szCs w:val="26"/>
        </w:rPr>
        <w:t xml:space="preserve">, </w:t>
      </w:r>
      <w:r w:rsidR="00C978FF" w:rsidRPr="004177C6">
        <w:rPr>
          <w:i/>
          <w:color w:val="000000" w:themeColor="text1"/>
          <w:szCs w:val="26"/>
        </w:rPr>
        <w:t>supra</w:t>
      </w:r>
      <w:r w:rsidR="00C978FF" w:rsidRPr="004177C6">
        <w:rPr>
          <w:color w:val="000000" w:themeColor="text1"/>
          <w:szCs w:val="26"/>
        </w:rPr>
        <w:t xml:space="preserve">, 67 Cal.2d 695, the Courts of Appeal have </w:t>
      </w:r>
      <w:r>
        <w:rPr>
          <w:color w:val="000000" w:themeColor="text1"/>
          <w:szCs w:val="26"/>
        </w:rPr>
        <w:t>developed</w:t>
      </w:r>
      <w:r w:rsidR="00C978FF" w:rsidRPr="004177C6">
        <w:rPr>
          <w:color w:val="000000" w:themeColor="text1"/>
          <w:szCs w:val="26"/>
        </w:rPr>
        <w:t xml:space="preserve"> </w:t>
      </w:r>
      <w:r w:rsidR="007A5534" w:rsidRPr="004177C6">
        <w:rPr>
          <w:color w:val="000000" w:themeColor="text1"/>
          <w:szCs w:val="26"/>
        </w:rPr>
        <w:t xml:space="preserve">two basic </w:t>
      </w:r>
      <w:r w:rsidR="002809B9">
        <w:rPr>
          <w:color w:val="000000" w:themeColor="text1"/>
          <w:szCs w:val="26"/>
        </w:rPr>
        <w:t>views of</w:t>
      </w:r>
      <w:r w:rsidR="007A5534" w:rsidRPr="004177C6">
        <w:rPr>
          <w:color w:val="000000" w:themeColor="text1"/>
          <w:szCs w:val="26"/>
        </w:rPr>
        <w:t xml:space="preserve"> the ascertain</w:t>
      </w:r>
      <w:r w:rsidR="00C978FF" w:rsidRPr="004177C6">
        <w:rPr>
          <w:color w:val="000000" w:themeColor="text1"/>
          <w:szCs w:val="26"/>
        </w:rPr>
        <w:t>ability requirement.</w:t>
      </w:r>
      <w:r w:rsidR="001B50C1" w:rsidRPr="004177C6">
        <w:rPr>
          <w:color w:val="000000" w:themeColor="text1"/>
          <w:szCs w:val="26"/>
        </w:rPr>
        <w:t xml:space="preserve">  </w:t>
      </w:r>
    </w:p>
    <w:p w14:paraId="3C0DFD53" w14:textId="2C5D9929" w:rsidR="00621FCF" w:rsidRPr="004177C6" w:rsidRDefault="0039092C" w:rsidP="004177C6">
      <w:pPr>
        <w:ind w:firstLine="720"/>
        <w:rPr>
          <w:color w:val="000000" w:themeColor="text1"/>
          <w:szCs w:val="26"/>
        </w:rPr>
      </w:pPr>
      <w:r>
        <w:rPr>
          <w:color w:val="000000" w:themeColor="text1"/>
          <w:szCs w:val="26"/>
        </w:rPr>
        <w:t>One view</w:t>
      </w:r>
      <w:r w:rsidR="004B0D85">
        <w:rPr>
          <w:color w:val="000000" w:themeColor="text1"/>
          <w:szCs w:val="26"/>
        </w:rPr>
        <w:t xml:space="preserve"> of ascertainability </w:t>
      </w:r>
      <w:r w:rsidR="00285890">
        <w:rPr>
          <w:color w:val="000000" w:themeColor="text1"/>
          <w:szCs w:val="26"/>
        </w:rPr>
        <w:t>concentrates</w:t>
      </w:r>
      <w:r w:rsidR="007A5534" w:rsidRPr="004177C6">
        <w:rPr>
          <w:color w:val="000000" w:themeColor="text1"/>
          <w:szCs w:val="26"/>
        </w:rPr>
        <w:t xml:space="preserve"> on </w:t>
      </w:r>
      <w:r w:rsidR="00285890">
        <w:rPr>
          <w:color w:val="000000" w:themeColor="text1"/>
          <w:szCs w:val="26"/>
        </w:rPr>
        <w:t xml:space="preserve">the </w:t>
      </w:r>
      <w:r w:rsidR="00E909B2">
        <w:rPr>
          <w:color w:val="000000" w:themeColor="text1"/>
          <w:szCs w:val="26"/>
        </w:rPr>
        <w:t xml:space="preserve">proposed class </w:t>
      </w:r>
      <w:r w:rsidR="00285890">
        <w:rPr>
          <w:color w:val="000000" w:themeColor="text1"/>
          <w:szCs w:val="26"/>
        </w:rPr>
        <w:t>definition itself</w:t>
      </w:r>
      <w:r w:rsidR="004A34B0" w:rsidRPr="004177C6">
        <w:rPr>
          <w:color w:val="000000" w:themeColor="text1"/>
          <w:szCs w:val="26"/>
        </w:rPr>
        <w:t xml:space="preserve">.  </w:t>
      </w:r>
      <w:r w:rsidR="007A5534" w:rsidRPr="004177C6">
        <w:rPr>
          <w:color w:val="000000" w:themeColor="text1"/>
          <w:szCs w:val="26"/>
        </w:rPr>
        <w:t xml:space="preserve">This </w:t>
      </w:r>
      <w:r>
        <w:rPr>
          <w:color w:val="000000" w:themeColor="text1"/>
          <w:szCs w:val="26"/>
        </w:rPr>
        <w:t>view</w:t>
      </w:r>
      <w:r w:rsidR="007A5534" w:rsidRPr="004177C6">
        <w:rPr>
          <w:color w:val="000000" w:themeColor="text1"/>
          <w:szCs w:val="26"/>
        </w:rPr>
        <w:t xml:space="preserve"> </w:t>
      </w:r>
      <w:r w:rsidR="00CD3BA2" w:rsidRPr="004177C6">
        <w:rPr>
          <w:color w:val="000000" w:themeColor="text1"/>
          <w:szCs w:val="26"/>
        </w:rPr>
        <w:t xml:space="preserve">was </w:t>
      </w:r>
      <w:r w:rsidR="00E909B2">
        <w:rPr>
          <w:color w:val="000000" w:themeColor="text1"/>
          <w:szCs w:val="26"/>
        </w:rPr>
        <w:t>applied</w:t>
      </w:r>
      <w:r w:rsidR="007A5534" w:rsidRPr="004177C6">
        <w:rPr>
          <w:color w:val="000000" w:themeColor="text1"/>
          <w:szCs w:val="26"/>
        </w:rPr>
        <w:t xml:space="preserve"> in </w:t>
      </w:r>
      <w:r w:rsidR="007A5534" w:rsidRPr="004177C6">
        <w:rPr>
          <w:i/>
          <w:color w:val="000000" w:themeColor="text1"/>
          <w:szCs w:val="26"/>
        </w:rPr>
        <w:t>Bartold v. Glendale Federal Bank</w:t>
      </w:r>
      <w:r w:rsidR="007A5534" w:rsidRPr="004177C6">
        <w:rPr>
          <w:color w:val="000000" w:themeColor="text1"/>
          <w:szCs w:val="26"/>
        </w:rPr>
        <w:t xml:space="preserve"> (2000) 81</w:t>
      </w:r>
      <w:r w:rsidR="00327856">
        <w:rPr>
          <w:color w:val="000000" w:themeColor="text1"/>
          <w:szCs w:val="26"/>
        </w:rPr>
        <w:t> </w:t>
      </w:r>
      <w:r w:rsidR="007A5534" w:rsidRPr="004177C6">
        <w:rPr>
          <w:color w:val="000000" w:themeColor="text1"/>
          <w:szCs w:val="26"/>
        </w:rPr>
        <w:t>Cal.App.4th 816</w:t>
      </w:r>
      <w:r w:rsidR="00A76959">
        <w:rPr>
          <w:color w:val="000000" w:themeColor="text1"/>
          <w:szCs w:val="26"/>
        </w:rPr>
        <w:t xml:space="preserve"> (</w:t>
      </w:r>
      <w:r w:rsidR="00A76959" w:rsidRPr="00A76959">
        <w:rPr>
          <w:i/>
          <w:color w:val="000000" w:themeColor="text1"/>
          <w:szCs w:val="26"/>
        </w:rPr>
        <w:t>Bartold</w:t>
      </w:r>
      <w:r w:rsidR="00A76959">
        <w:rPr>
          <w:color w:val="000000" w:themeColor="text1"/>
          <w:szCs w:val="26"/>
        </w:rPr>
        <w:t>)</w:t>
      </w:r>
      <w:r w:rsidR="007A5534" w:rsidRPr="004177C6">
        <w:rPr>
          <w:color w:val="000000" w:themeColor="text1"/>
          <w:szCs w:val="26"/>
        </w:rPr>
        <w:t xml:space="preserve">, </w:t>
      </w:r>
      <w:r w:rsidR="002F4D3D" w:rsidRPr="004177C6">
        <w:rPr>
          <w:color w:val="000000" w:themeColor="text1"/>
          <w:szCs w:val="26"/>
        </w:rPr>
        <w:t xml:space="preserve">superseded by statute on another point as stated in </w:t>
      </w:r>
      <w:r w:rsidR="002F4D3D" w:rsidRPr="004177C6">
        <w:rPr>
          <w:i/>
          <w:color w:val="000000" w:themeColor="text1"/>
          <w:szCs w:val="26"/>
        </w:rPr>
        <w:t>Markowitz v. Fidelity Nat. Title Co.</w:t>
      </w:r>
      <w:r w:rsidR="002F4D3D" w:rsidRPr="004177C6">
        <w:rPr>
          <w:color w:val="000000" w:themeColor="text1"/>
          <w:szCs w:val="26"/>
        </w:rPr>
        <w:t xml:space="preserve"> (2006) 142</w:t>
      </w:r>
      <w:r w:rsidR="00327856">
        <w:rPr>
          <w:color w:val="000000" w:themeColor="text1"/>
          <w:szCs w:val="26"/>
        </w:rPr>
        <w:t> </w:t>
      </w:r>
      <w:r w:rsidR="002F4D3D" w:rsidRPr="004177C6">
        <w:rPr>
          <w:color w:val="000000" w:themeColor="text1"/>
          <w:szCs w:val="26"/>
        </w:rPr>
        <w:t>Cal.App.4th 508, 524</w:t>
      </w:r>
      <w:r w:rsidR="00E909B2">
        <w:rPr>
          <w:color w:val="000000" w:themeColor="text1"/>
          <w:szCs w:val="26"/>
        </w:rPr>
        <w:t xml:space="preserve">.  The </w:t>
      </w:r>
      <w:r w:rsidR="00E909B2" w:rsidRPr="00E909B2">
        <w:rPr>
          <w:i/>
          <w:color w:val="000000" w:themeColor="text1"/>
          <w:szCs w:val="26"/>
        </w:rPr>
        <w:t>Bartold</w:t>
      </w:r>
      <w:r w:rsidR="00E909B2">
        <w:rPr>
          <w:color w:val="000000" w:themeColor="text1"/>
          <w:szCs w:val="26"/>
        </w:rPr>
        <w:t xml:space="preserve"> court </w:t>
      </w:r>
      <w:r w:rsidR="007A5534" w:rsidRPr="004177C6">
        <w:rPr>
          <w:color w:val="000000" w:themeColor="text1"/>
          <w:szCs w:val="26"/>
        </w:rPr>
        <w:t>explained that “[a] class is ascertainable if it identifies a group of unnamed plaintiffs by describing a set of common characteristics sufficient to allow a member of that group to identify himself or herself as having a right to recover based on the description.”  (</w:t>
      </w:r>
      <w:r w:rsidR="00E909B2" w:rsidRPr="00E909B2">
        <w:rPr>
          <w:color w:val="000000" w:themeColor="text1"/>
          <w:szCs w:val="26"/>
        </w:rPr>
        <w:t>81 Cal.App.4th</w:t>
      </w:r>
      <w:r w:rsidR="007A5534" w:rsidRPr="00E909B2">
        <w:rPr>
          <w:color w:val="000000" w:themeColor="text1"/>
          <w:szCs w:val="26"/>
        </w:rPr>
        <w:t xml:space="preserve"> </w:t>
      </w:r>
      <w:r w:rsidR="007A5534" w:rsidRPr="004177C6">
        <w:rPr>
          <w:color w:val="000000" w:themeColor="text1"/>
          <w:szCs w:val="26"/>
        </w:rPr>
        <w:t>at p.</w:t>
      </w:r>
      <w:r w:rsidR="00327856">
        <w:rPr>
          <w:color w:val="000000" w:themeColor="text1"/>
          <w:szCs w:val="26"/>
        </w:rPr>
        <w:t> </w:t>
      </w:r>
      <w:r w:rsidR="007A5534" w:rsidRPr="004177C6">
        <w:rPr>
          <w:color w:val="000000" w:themeColor="text1"/>
          <w:szCs w:val="26"/>
        </w:rPr>
        <w:t xml:space="preserve">828.)  </w:t>
      </w:r>
      <w:r w:rsidR="004A34B0" w:rsidRPr="004177C6">
        <w:rPr>
          <w:color w:val="000000" w:themeColor="text1"/>
          <w:szCs w:val="26"/>
        </w:rPr>
        <w:t>This</w:t>
      </w:r>
      <w:r w:rsidR="00EA5D23" w:rsidRPr="004177C6">
        <w:rPr>
          <w:color w:val="000000" w:themeColor="text1"/>
          <w:szCs w:val="26"/>
        </w:rPr>
        <w:t xml:space="preserve"> basic</w:t>
      </w:r>
      <w:r w:rsidR="004A34B0" w:rsidRPr="004177C6">
        <w:rPr>
          <w:color w:val="000000" w:themeColor="text1"/>
          <w:szCs w:val="26"/>
        </w:rPr>
        <w:t xml:space="preserve"> </w:t>
      </w:r>
      <w:r w:rsidR="004A2302" w:rsidRPr="004177C6">
        <w:rPr>
          <w:color w:val="000000" w:themeColor="text1"/>
          <w:szCs w:val="26"/>
        </w:rPr>
        <w:t>view of ascertainability</w:t>
      </w:r>
      <w:r w:rsidR="007A5534" w:rsidRPr="004177C6">
        <w:rPr>
          <w:color w:val="000000" w:themeColor="text1"/>
          <w:szCs w:val="26"/>
        </w:rPr>
        <w:t xml:space="preserve"> has been </w:t>
      </w:r>
      <w:r w:rsidR="00390808">
        <w:rPr>
          <w:color w:val="000000" w:themeColor="text1"/>
          <w:szCs w:val="26"/>
        </w:rPr>
        <w:t>reiterated</w:t>
      </w:r>
      <w:r w:rsidR="007A5534" w:rsidRPr="004177C6">
        <w:rPr>
          <w:color w:val="000000" w:themeColor="text1"/>
          <w:szCs w:val="26"/>
        </w:rPr>
        <w:t xml:space="preserve"> by numerous other Courts of Appeal, including the courts in </w:t>
      </w:r>
      <w:r w:rsidR="007A5534" w:rsidRPr="004177C6">
        <w:rPr>
          <w:i/>
        </w:rPr>
        <w:t>Estrada</w:t>
      </w:r>
      <w:r w:rsidR="007A5534" w:rsidRPr="004177C6">
        <w:t xml:space="preserve">, </w:t>
      </w:r>
      <w:r w:rsidR="007A5534" w:rsidRPr="004177C6">
        <w:rPr>
          <w:i/>
        </w:rPr>
        <w:t>supra</w:t>
      </w:r>
      <w:r w:rsidR="007A5534" w:rsidRPr="004177C6">
        <w:t>, 154 Cal.App.4th at page 14</w:t>
      </w:r>
      <w:r w:rsidR="00146AA3" w:rsidRPr="004177C6">
        <w:t xml:space="preserve"> and </w:t>
      </w:r>
      <w:r w:rsidR="00146AA3" w:rsidRPr="004177C6">
        <w:rPr>
          <w:i/>
        </w:rPr>
        <w:t>Aguirre</w:t>
      </w:r>
      <w:r w:rsidR="00146AA3" w:rsidRPr="004177C6">
        <w:t xml:space="preserve">, </w:t>
      </w:r>
      <w:r w:rsidR="00146AA3" w:rsidRPr="004177C6">
        <w:rPr>
          <w:i/>
        </w:rPr>
        <w:t>supra</w:t>
      </w:r>
      <w:r w:rsidR="00146AA3" w:rsidRPr="004177C6">
        <w:t>, 234 Cal.App.4th at pages 1299</w:t>
      </w:r>
      <w:r w:rsidR="00A315F0">
        <w:t xml:space="preserve"> to </w:t>
      </w:r>
      <w:r w:rsidR="00146AA3" w:rsidRPr="004177C6">
        <w:t xml:space="preserve">1300.  (See also </w:t>
      </w:r>
      <w:r w:rsidR="00146AA3" w:rsidRPr="004177C6">
        <w:rPr>
          <w:i/>
        </w:rPr>
        <w:t>Aguirre</w:t>
      </w:r>
      <w:r w:rsidR="00146AA3" w:rsidRPr="004177C6">
        <w:t xml:space="preserve">, at p. 1300 [listing cases].)  </w:t>
      </w:r>
      <w:r w:rsidR="00BF4748">
        <w:t xml:space="preserve">A </w:t>
      </w:r>
      <w:r w:rsidR="00AC77DA">
        <w:t xml:space="preserve">similar </w:t>
      </w:r>
      <w:r w:rsidR="00BF4748">
        <w:t xml:space="preserve">formulation </w:t>
      </w:r>
      <w:r w:rsidR="00BF4748" w:rsidRPr="004177C6">
        <w:rPr>
          <w:color w:val="000000" w:themeColor="text1"/>
          <w:szCs w:val="26"/>
        </w:rPr>
        <w:t>regard</w:t>
      </w:r>
      <w:r w:rsidR="00BF4748">
        <w:rPr>
          <w:color w:val="000000" w:themeColor="text1"/>
          <w:szCs w:val="26"/>
        </w:rPr>
        <w:t>s</w:t>
      </w:r>
      <w:r w:rsidR="00BF4748" w:rsidRPr="004177C6">
        <w:rPr>
          <w:color w:val="000000" w:themeColor="text1"/>
          <w:szCs w:val="26"/>
        </w:rPr>
        <w:t xml:space="preserve"> a class as ascertainable when it is </w:t>
      </w:r>
      <w:r w:rsidR="00BF4748">
        <w:rPr>
          <w:color w:val="000000" w:themeColor="text1"/>
          <w:szCs w:val="26"/>
        </w:rPr>
        <w:t>defined “</w:t>
      </w:r>
      <w:r w:rsidR="00BF4748">
        <w:t>in terms of objective characteristics and common transactional facts” that make “the ultimate identification of class members possible when that identification becomes necessary.”  (</w:t>
      </w:r>
      <w:r w:rsidR="00BF4748" w:rsidRPr="00B109E3">
        <w:rPr>
          <w:i/>
        </w:rPr>
        <w:t>Hicks</w:t>
      </w:r>
      <w:r w:rsidR="00B109E3">
        <w:t xml:space="preserve">, </w:t>
      </w:r>
      <w:r w:rsidR="00B109E3" w:rsidRPr="00B109E3">
        <w:rPr>
          <w:i/>
        </w:rPr>
        <w:t>supra</w:t>
      </w:r>
      <w:r w:rsidR="00B109E3">
        <w:t xml:space="preserve">, </w:t>
      </w:r>
      <w:r w:rsidR="00BF4748" w:rsidRPr="00B109E3">
        <w:t>89</w:t>
      </w:r>
      <w:r w:rsidR="00BF4748">
        <w:t xml:space="preserve"> Cal.App.4</w:t>
      </w:r>
      <w:r w:rsidR="00BF4748" w:rsidRPr="00FC00A0">
        <w:t>th</w:t>
      </w:r>
      <w:r w:rsidR="00BF4748">
        <w:t xml:space="preserve"> </w:t>
      </w:r>
      <w:r w:rsidR="00B109E3">
        <w:t>at p.</w:t>
      </w:r>
      <w:r w:rsidR="00BF4748">
        <w:t xml:space="preserve"> 91</w:t>
      </w:r>
      <w:r w:rsidR="002C04F6">
        <w:t>5</w:t>
      </w:r>
      <w:r w:rsidR="00BF4748">
        <w:t xml:space="preserve">.) </w:t>
      </w:r>
      <w:r w:rsidR="00BF4748">
        <w:rPr>
          <w:color w:val="000000" w:themeColor="text1"/>
          <w:szCs w:val="26"/>
        </w:rPr>
        <w:t xml:space="preserve"> </w:t>
      </w:r>
    </w:p>
    <w:p w14:paraId="7FBC20B5" w14:textId="0BD1E049" w:rsidR="000B26F9" w:rsidRPr="004177C6" w:rsidRDefault="007A5534" w:rsidP="004177C6">
      <w:pPr>
        <w:ind w:firstLine="720"/>
        <w:rPr>
          <w:color w:val="000000" w:themeColor="text1"/>
          <w:szCs w:val="26"/>
        </w:rPr>
      </w:pPr>
      <w:r w:rsidRPr="004177C6">
        <w:rPr>
          <w:color w:val="000000" w:themeColor="text1"/>
          <w:szCs w:val="26"/>
        </w:rPr>
        <w:t>The second</w:t>
      </w:r>
      <w:r w:rsidR="004A34B0" w:rsidRPr="004177C6">
        <w:rPr>
          <w:color w:val="000000" w:themeColor="text1"/>
          <w:szCs w:val="26"/>
        </w:rPr>
        <w:t xml:space="preserve"> </w:t>
      </w:r>
      <w:r w:rsidR="004A0CC5">
        <w:rPr>
          <w:color w:val="000000" w:themeColor="text1"/>
          <w:szCs w:val="26"/>
        </w:rPr>
        <w:t xml:space="preserve">basic </w:t>
      </w:r>
      <w:r w:rsidR="0039092C">
        <w:rPr>
          <w:color w:val="000000" w:themeColor="text1"/>
          <w:szCs w:val="26"/>
        </w:rPr>
        <w:t>view</w:t>
      </w:r>
      <w:r w:rsidR="004A0CC5">
        <w:rPr>
          <w:color w:val="000000" w:themeColor="text1"/>
          <w:szCs w:val="26"/>
        </w:rPr>
        <w:t xml:space="preserve"> of ascertainability entails</w:t>
      </w:r>
      <w:r w:rsidR="008F4CA4">
        <w:rPr>
          <w:color w:val="000000" w:themeColor="text1"/>
          <w:szCs w:val="26"/>
        </w:rPr>
        <w:t xml:space="preserve"> a more exacting inquiry.</w:t>
      </w:r>
      <w:r w:rsidR="0073442A" w:rsidRPr="004177C6">
        <w:rPr>
          <w:color w:val="000000" w:themeColor="text1"/>
          <w:szCs w:val="26"/>
        </w:rPr>
        <w:t xml:space="preserve"> </w:t>
      </w:r>
      <w:r w:rsidR="008F4CA4">
        <w:rPr>
          <w:color w:val="000000" w:themeColor="text1"/>
          <w:szCs w:val="26"/>
        </w:rPr>
        <w:t xml:space="preserve"> </w:t>
      </w:r>
      <w:r w:rsidR="004A0CC5">
        <w:rPr>
          <w:color w:val="000000" w:themeColor="text1"/>
          <w:szCs w:val="26"/>
        </w:rPr>
        <w:t>One such articulation</w:t>
      </w:r>
      <w:r w:rsidR="008F4CA4">
        <w:rPr>
          <w:color w:val="000000" w:themeColor="text1"/>
          <w:szCs w:val="26"/>
        </w:rPr>
        <w:t xml:space="preserve"> </w:t>
      </w:r>
      <w:r w:rsidR="004A0CC5">
        <w:rPr>
          <w:color w:val="000000" w:themeColor="text1"/>
          <w:szCs w:val="26"/>
        </w:rPr>
        <w:t xml:space="preserve">regards the </w:t>
      </w:r>
      <w:r w:rsidR="008F4CA4">
        <w:rPr>
          <w:color w:val="000000" w:themeColor="text1"/>
          <w:szCs w:val="26"/>
        </w:rPr>
        <w:t>ascertainability</w:t>
      </w:r>
      <w:r w:rsidR="004A0CC5">
        <w:rPr>
          <w:color w:val="000000" w:themeColor="text1"/>
          <w:szCs w:val="26"/>
        </w:rPr>
        <w:t xml:space="preserve"> requirement</w:t>
      </w:r>
      <w:r w:rsidR="008F4CA4">
        <w:rPr>
          <w:color w:val="000000" w:themeColor="text1"/>
          <w:szCs w:val="26"/>
        </w:rPr>
        <w:t xml:space="preserve"> as calling for an examination into</w:t>
      </w:r>
      <w:r w:rsidR="00146AA3" w:rsidRPr="004177C6">
        <w:rPr>
          <w:color w:val="000000" w:themeColor="text1"/>
          <w:szCs w:val="26"/>
        </w:rPr>
        <w:t xml:space="preserve"> “</w:t>
      </w:r>
      <w:r w:rsidR="00376487">
        <w:rPr>
          <w:color w:val="000000" w:themeColor="text1"/>
          <w:szCs w:val="26"/>
        </w:rPr>
        <w:t>(1) the class definition, (2) the size of the class and (3) the</w:t>
      </w:r>
      <w:r w:rsidR="00146AA3" w:rsidRPr="004177C6">
        <w:rPr>
          <w:color w:val="000000" w:themeColor="text1"/>
          <w:szCs w:val="26"/>
        </w:rPr>
        <w:t xml:space="preserve"> means of identifying class members</w:t>
      </w:r>
      <w:r w:rsidR="00C21DFF">
        <w:rPr>
          <w:color w:val="000000" w:themeColor="text1"/>
          <w:szCs w:val="26"/>
        </w:rPr>
        <w:t>.</w:t>
      </w:r>
      <w:r w:rsidR="00146AA3" w:rsidRPr="004177C6">
        <w:rPr>
          <w:color w:val="000000" w:themeColor="text1"/>
          <w:szCs w:val="26"/>
        </w:rPr>
        <w:t>”</w:t>
      </w:r>
      <w:r w:rsidR="00C21DFF">
        <w:rPr>
          <w:color w:val="000000" w:themeColor="text1"/>
          <w:szCs w:val="26"/>
        </w:rPr>
        <w:t xml:space="preserve"> </w:t>
      </w:r>
      <w:r w:rsidR="00146AA3" w:rsidRPr="004177C6">
        <w:rPr>
          <w:color w:val="000000" w:themeColor="text1"/>
          <w:szCs w:val="26"/>
        </w:rPr>
        <w:t xml:space="preserve"> (</w:t>
      </w:r>
      <w:r w:rsidR="000B26F9" w:rsidRPr="004177C6">
        <w:rPr>
          <w:i/>
          <w:color w:val="000000" w:themeColor="text1"/>
          <w:szCs w:val="26"/>
        </w:rPr>
        <w:t>Miller v. Woods</w:t>
      </w:r>
      <w:r w:rsidR="000B26F9" w:rsidRPr="004177C6">
        <w:rPr>
          <w:color w:val="000000" w:themeColor="text1"/>
          <w:szCs w:val="26"/>
        </w:rPr>
        <w:t xml:space="preserve"> (1983) 148 Cal.App.3d 862</w:t>
      </w:r>
      <w:r w:rsidR="00146AA3" w:rsidRPr="004177C6">
        <w:rPr>
          <w:color w:val="000000" w:themeColor="text1"/>
          <w:szCs w:val="26"/>
        </w:rPr>
        <w:t>, 873</w:t>
      </w:r>
      <w:r w:rsidR="003C1CF8">
        <w:rPr>
          <w:color w:val="000000" w:themeColor="text1"/>
          <w:szCs w:val="26"/>
        </w:rPr>
        <w:t xml:space="preserve"> (</w:t>
      </w:r>
      <w:r w:rsidR="003C1CF8" w:rsidRPr="003C1CF8">
        <w:rPr>
          <w:i/>
          <w:color w:val="000000" w:themeColor="text1"/>
          <w:szCs w:val="26"/>
        </w:rPr>
        <w:t>Miller</w:t>
      </w:r>
      <w:r w:rsidR="003C1CF8">
        <w:rPr>
          <w:color w:val="000000" w:themeColor="text1"/>
          <w:szCs w:val="26"/>
        </w:rPr>
        <w:t>)</w:t>
      </w:r>
      <w:r w:rsidR="004A0CC5">
        <w:rPr>
          <w:color w:val="000000" w:themeColor="text1"/>
          <w:szCs w:val="26"/>
        </w:rPr>
        <w:t xml:space="preserve">; see also </w:t>
      </w:r>
      <w:r w:rsidR="004A0CC5" w:rsidRPr="004A0CC5">
        <w:rPr>
          <w:i/>
          <w:iCs/>
          <w:color w:val="000000" w:themeColor="text1"/>
          <w:szCs w:val="26"/>
        </w:rPr>
        <w:t>Noel</w:t>
      </w:r>
      <w:r w:rsidR="004A0CC5">
        <w:rPr>
          <w:color w:val="000000" w:themeColor="text1"/>
          <w:szCs w:val="26"/>
        </w:rPr>
        <w:t xml:space="preserve">, </w:t>
      </w:r>
      <w:r w:rsidR="004A0CC5" w:rsidRPr="004A0CC5">
        <w:rPr>
          <w:i/>
          <w:iCs/>
          <w:color w:val="000000" w:themeColor="text1"/>
          <w:szCs w:val="26"/>
        </w:rPr>
        <w:t>supra</w:t>
      </w:r>
      <w:r w:rsidR="004A0CC5">
        <w:rPr>
          <w:color w:val="000000" w:themeColor="text1"/>
          <w:szCs w:val="26"/>
        </w:rPr>
        <w:t>, 17 Cal.App.5</w:t>
      </w:r>
      <w:r w:rsidR="004A0CC5" w:rsidRPr="004A0CC5">
        <w:rPr>
          <w:color w:val="000000" w:themeColor="text1"/>
          <w:szCs w:val="26"/>
        </w:rPr>
        <w:t>th</w:t>
      </w:r>
      <w:r w:rsidR="004A0CC5">
        <w:rPr>
          <w:color w:val="000000" w:themeColor="text1"/>
          <w:szCs w:val="26"/>
        </w:rPr>
        <w:t xml:space="preserve"> at p. 1324, </w:t>
      </w:r>
      <w:r w:rsidR="004A0CC5" w:rsidRPr="004A0CC5">
        <w:rPr>
          <w:i/>
          <w:iCs/>
          <w:color w:val="000000" w:themeColor="text1"/>
          <w:szCs w:val="26"/>
        </w:rPr>
        <w:t>Sotelo</w:t>
      </w:r>
      <w:r w:rsidR="004A0CC5">
        <w:rPr>
          <w:color w:val="000000" w:themeColor="text1"/>
          <w:szCs w:val="26"/>
        </w:rPr>
        <w:t xml:space="preserve">, </w:t>
      </w:r>
      <w:r w:rsidR="004A0CC5" w:rsidRPr="004A0CC5">
        <w:rPr>
          <w:i/>
          <w:iCs/>
          <w:color w:val="000000" w:themeColor="text1"/>
          <w:szCs w:val="26"/>
        </w:rPr>
        <w:t>supra</w:t>
      </w:r>
      <w:r w:rsidR="004A0CC5">
        <w:rPr>
          <w:color w:val="000000" w:themeColor="text1"/>
          <w:szCs w:val="26"/>
        </w:rPr>
        <w:t>, 207 Cal.App.4</w:t>
      </w:r>
      <w:r w:rsidR="004A0CC5" w:rsidRPr="004A0CC5">
        <w:rPr>
          <w:color w:val="000000" w:themeColor="text1"/>
          <w:szCs w:val="26"/>
        </w:rPr>
        <w:t>th</w:t>
      </w:r>
      <w:r w:rsidR="004A0CC5">
        <w:rPr>
          <w:color w:val="000000" w:themeColor="text1"/>
          <w:szCs w:val="26"/>
        </w:rPr>
        <w:t xml:space="preserve"> at p. 648; </w:t>
      </w:r>
      <w:r w:rsidR="004A0CC5" w:rsidRPr="004A0CC5">
        <w:rPr>
          <w:i/>
          <w:iCs/>
          <w:color w:val="000000" w:themeColor="text1"/>
          <w:szCs w:val="26"/>
        </w:rPr>
        <w:t>Reyes v. Board of Supervisors</w:t>
      </w:r>
      <w:r w:rsidR="004A0CC5">
        <w:rPr>
          <w:color w:val="000000" w:themeColor="text1"/>
          <w:szCs w:val="26"/>
        </w:rPr>
        <w:t xml:space="preserve"> (1987) 196 Cal.App.3d 1263, 1274</w:t>
      </w:r>
      <w:r w:rsidR="00BD48A2">
        <w:rPr>
          <w:color w:val="000000" w:themeColor="text1"/>
          <w:szCs w:val="26"/>
        </w:rPr>
        <w:t>.</w:t>
      </w:r>
      <w:r w:rsidR="00146AA3" w:rsidRPr="004177C6">
        <w:rPr>
          <w:color w:val="000000" w:themeColor="text1"/>
          <w:szCs w:val="26"/>
        </w:rPr>
        <w:t>)</w:t>
      </w:r>
      <w:r w:rsidR="00C21DFF">
        <w:rPr>
          <w:color w:val="000000" w:themeColor="text1"/>
          <w:szCs w:val="26"/>
        </w:rPr>
        <w:t xml:space="preserve">  </w:t>
      </w:r>
      <w:r w:rsidR="004A0CC5">
        <w:rPr>
          <w:color w:val="000000" w:themeColor="text1"/>
          <w:szCs w:val="26"/>
        </w:rPr>
        <w:t>Consistent with</w:t>
      </w:r>
      <w:r w:rsidR="008F4CA4">
        <w:rPr>
          <w:color w:val="000000" w:themeColor="text1"/>
          <w:szCs w:val="26"/>
        </w:rPr>
        <w:t xml:space="preserve"> this view, </w:t>
      </w:r>
      <w:r w:rsidR="004A0CC5">
        <w:rPr>
          <w:color w:val="000000" w:themeColor="text1"/>
          <w:szCs w:val="26"/>
        </w:rPr>
        <w:t xml:space="preserve">it has been said that </w:t>
      </w:r>
      <w:r w:rsidR="00C21DFF" w:rsidRPr="004177C6">
        <w:t>“[c]lass members are ‘ascertainable’ where they may be readily identified without unreasonable expense or time by reference to official records</w:t>
      </w:r>
      <w:r w:rsidR="00C21DFF">
        <w:t>.</w:t>
      </w:r>
      <w:r w:rsidR="00C21DFF" w:rsidRPr="004177C6">
        <w:t>”</w:t>
      </w:r>
      <w:r w:rsidR="00C21DFF">
        <w:t xml:space="preserve"> </w:t>
      </w:r>
      <w:r w:rsidR="00C21DFF" w:rsidRPr="004177C6">
        <w:t xml:space="preserve"> (</w:t>
      </w:r>
      <w:r w:rsidR="00C21DFF" w:rsidRPr="004177C6">
        <w:rPr>
          <w:i/>
        </w:rPr>
        <w:t>Rose v. City of Hayward</w:t>
      </w:r>
      <w:r w:rsidR="00C21DFF" w:rsidRPr="004177C6">
        <w:t xml:space="preserve"> (1981) 126 Cal.App.3d 926, 932</w:t>
      </w:r>
      <w:r w:rsidR="00C21DFF">
        <w:t xml:space="preserve"> (</w:t>
      </w:r>
      <w:r w:rsidR="00C21DFF" w:rsidRPr="00A76959">
        <w:rPr>
          <w:i/>
        </w:rPr>
        <w:t>Rose</w:t>
      </w:r>
      <w:r w:rsidR="00C21DFF">
        <w:t xml:space="preserve">).) </w:t>
      </w:r>
      <w:r w:rsidR="00146AA3" w:rsidRPr="004177C6">
        <w:rPr>
          <w:color w:val="000000" w:themeColor="text1"/>
          <w:szCs w:val="26"/>
        </w:rPr>
        <w:t xml:space="preserve"> </w:t>
      </w:r>
      <w:r w:rsidR="004A0CC5">
        <w:rPr>
          <w:color w:val="000000" w:themeColor="text1"/>
          <w:szCs w:val="26"/>
        </w:rPr>
        <w:t>On</w:t>
      </w:r>
      <w:r w:rsidR="008F4CA4">
        <w:rPr>
          <w:color w:val="000000" w:themeColor="text1"/>
          <w:szCs w:val="26"/>
        </w:rPr>
        <w:t xml:space="preserve"> its face</w:t>
      </w:r>
      <w:r w:rsidR="004A0CC5">
        <w:rPr>
          <w:color w:val="000000" w:themeColor="text1"/>
          <w:szCs w:val="26"/>
        </w:rPr>
        <w:t>,</w:t>
      </w:r>
      <w:r w:rsidR="008F4CA4">
        <w:rPr>
          <w:color w:val="000000" w:themeColor="text1"/>
          <w:szCs w:val="26"/>
        </w:rPr>
        <w:t xml:space="preserve"> the quoted language from </w:t>
      </w:r>
      <w:r w:rsidR="003C1CF8" w:rsidRPr="003C1CF8">
        <w:rPr>
          <w:i/>
          <w:color w:val="000000" w:themeColor="text1"/>
          <w:szCs w:val="26"/>
        </w:rPr>
        <w:t>Rose</w:t>
      </w:r>
      <w:r w:rsidR="003C1CF8">
        <w:rPr>
          <w:color w:val="000000" w:themeColor="text1"/>
          <w:szCs w:val="26"/>
        </w:rPr>
        <w:t xml:space="preserve"> could be understood as </w:t>
      </w:r>
      <w:r w:rsidR="00D069B3">
        <w:rPr>
          <w:color w:val="000000" w:themeColor="text1"/>
          <w:szCs w:val="26"/>
        </w:rPr>
        <w:t>specifying</w:t>
      </w:r>
      <w:r w:rsidR="003C1CF8">
        <w:rPr>
          <w:color w:val="000000" w:themeColor="text1"/>
          <w:szCs w:val="26"/>
        </w:rPr>
        <w:t xml:space="preserve"> a </w:t>
      </w:r>
      <w:r w:rsidR="003C1CF8" w:rsidRPr="003C1CF8">
        <w:rPr>
          <w:i/>
          <w:color w:val="000000" w:themeColor="text1"/>
          <w:szCs w:val="26"/>
        </w:rPr>
        <w:t>sufficient</w:t>
      </w:r>
      <w:r w:rsidR="003C1CF8">
        <w:rPr>
          <w:color w:val="000000" w:themeColor="text1"/>
          <w:szCs w:val="26"/>
        </w:rPr>
        <w:t xml:space="preserve">, as opposed to a </w:t>
      </w:r>
      <w:r w:rsidR="003C1CF8" w:rsidRPr="003C1CF8">
        <w:rPr>
          <w:i/>
          <w:color w:val="000000" w:themeColor="text1"/>
          <w:szCs w:val="26"/>
        </w:rPr>
        <w:t>necessary</w:t>
      </w:r>
      <w:r w:rsidR="003C1CF8">
        <w:rPr>
          <w:color w:val="000000" w:themeColor="text1"/>
          <w:szCs w:val="26"/>
        </w:rPr>
        <w:t xml:space="preserve">, </w:t>
      </w:r>
      <w:r w:rsidR="00027835">
        <w:rPr>
          <w:color w:val="000000" w:themeColor="text1"/>
          <w:szCs w:val="26"/>
        </w:rPr>
        <w:t>basis</w:t>
      </w:r>
      <w:r w:rsidR="003C1CF8">
        <w:rPr>
          <w:color w:val="000000" w:themeColor="text1"/>
          <w:szCs w:val="26"/>
        </w:rPr>
        <w:t xml:space="preserve"> </w:t>
      </w:r>
      <w:r w:rsidR="00EC7920">
        <w:rPr>
          <w:color w:val="000000" w:themeColor="text1"/>
          <w:szCs w:val="26"/>
        </w:rPr>
        <w:t>for</w:t>
      </w:r>
      <w:r w:rsidR="003C1CF8">
        <w:rPr>
          <w:color w:val="000000" w:themeColor="text1"/>
          <w:szCs w:val="26"/>
        </w:rPr>
        <w:t xml:space="preserve"> finding an ascertainable class within the </w:t>
      </w:r>
      <w:r w:rsidR="003C1CF8" w:rsidRPr="003C1CF8">
        <w:rPr>
          <w:i/>
          <w:color w:val="000000" w:themeColor="text1"/>
          <w:szCs w:val="26"/>
        </w:rPr>
        <w:t>Miller</w:t>
      </w:r>
      <w:r w:rsidR="003C1CF8">
        <w:rPr>
          <w:color w:val="000000" w:themeColor="text1"/>
          <w:szCs w:val="26"/>
        </w:rPr>
        <w:t xml:space="preserve"> framework.</w:t>
      </w:r>
      <w:r w:rsidR="003C1CF8">
        <w:rPr>
          <w:rStyle w:val="FootnoteReference"/>
          <w:color w:val="000000" w:themeColor="text1"/>
          <w:szCs w:val="26"/>
        </w:rPr>
        <w:footnoteReference w:id="9"/>
      </w:r>
      <w:r w:rsidR="003C1CF8">
        <w:rPr>
          <w:color w:val="000000" w:themeColor="text1"/>
          <w:szCs w:val="26"/>
        </w:rPr>
        <w:t xml:space="preserve">  But</w:t>
      </w:r>
      <w:r w:rsidR="001300F5">
        <w:rPr>
          <w:color w:val="000000" w:themeColor="text1"/>
          <w:szCs w:val="26"/>
        </w:rPr>
        <w:t xml:space="preserve"> </w:t>
      </w:r>
      <w:r w:rsidR="003C1CF8">
        <w:rPr>
          <w:color w:val="000000" w:themeColor="text1"/>
          <w:szCs w:val="26"/>
        </w:rPr>
        <w:t>some courts</w:t>
      </w:r>
      <w:r w:rsidR="003B60C6">
        <w:rPr>
          <w:color w:val="000000" w:themeColor="text1"/>
          <w:szCs w:val="26"/>
        </w:rPr>
        <w:t xml:space="preserve">, drawing from </w:t>
      </w:r>
      <w:r w:rsidR="003B60C6" w:rsidRPr="003B60C6">
        <w:rPr>
          <w:i/>
          <w:iCs/>
          <w:color w:val="000000" w:themeColor="text1"/>
          <w:szCs w:val="26"/>
        </w:rPr>
        <w:t>Rose</w:t>
      </w:r>
      <w:r w:rsidR="003B60C6">
        <w:rPr>
          <w:color w:val="000000" w:themeColor="text1"/>
          <w:szCs w:val="26"/>
        </w:rPr>
        <w:t xml:space="preserve">’s focus on the mechanics of identifying class members, </w:t>
      </w:r>
      <w:r w:rsidR="003C1CF8">
        <w:rPr>
          <w:color w:val="000000" w:themeColor="text1"/>
          <w:szCs w:val="26"/>
        </w:rPr>
        <w:t xml:space="preserve">have gone further and </w:t>
      </w:r>
      <w:r w:rsidR="003B60C6">
        <w:rPr>
          <w:color w:val="000000" w:themeColor="text1"/>
          <w:szCs w:val="26"/>
        </w:rPr>
        <w:t>required a</w:t>
      </w:r>
      <w:r w:rsidR="00E77912">
        <w:rPr>
          <w:color w:val="000000" w:themeColor="text1"/>
          <w:szCs w:val="26"/>
        </w:rPr>
        <w:t xml:space="preserve"> class plaintiff to make a </w:t>
      </w:r>
      <w:r w:rsidR="003C1CF8">
        <w:rPr>
          <w:color w:val="000000" w:themeColor="text1"/>
          <w:szCs w:val="26"/>
        </w:rPr>
        <w:t xml:space="preserve">specific </w:t>
      </w:r>
      <w:r w:rsidR="00E77912">
        <w:rPr>
          <w:color w:val="000000" w:themeColor="text1"/>
          <w:szCs w:val="26"/>
        </w:rPr>
        <w:t xml:space="preserve">factual or evidentiary </w:t>
      </w:r>
      <w:r w:rsidR="003C1CF8">
        <w:rPr>
          <w:color w:val="000000" w:themeColor="text1"/>
          <w:szCs w:val="26"/>
        </w:rPr>
        <w:t xml:space="preserve">showing </w:t>
      </w:r>
      <w:r w:rsidR="00E77912">
        <w:rPr>
          <w:color w:val="000000" w:themeColor="text1"/>
          <w:szCs w:val="26"/>
        </w:rPr>
        <w:t xml:space="preserve">in order to </w:t>
      </w:r>
      <w:r w:rsidR="003B60C6">
        <w:rPr>
          <w:color w:val="000000" w:themeColor="text1"/>
          <w:szCs w:val="26"/>
        </w:rPr>
        <w:t>show</w:t>
      </w:r>
      <w:r w:rsidR="00E77912">
        <w:rPr>
          <w:color w:val="000000" w:themeColor="text1"/>
          <w:szCs w:val="26"/>
        </w:rPr>
        <w:t xml:space="preserve"> </w:t>
      </w:r>
      <w:r w:rsidR="003B60C6">
        <w:rPr>
          <w:color w:val="000000" w:themeColor="text1"/>
          <w:szCs w:val="26"/>
        </w:rPr>
        <w:t>an</w:t>
      </w:r>
      <w:r w:rsidR="00E77912">
        <w:rPr>
          <w:color w:val="000000" w:themeColor="text1"/>
          <w:szCs w:val="26"/>
        </w:rPr>
        <w:t xml:space="preserve"> ascertainab</w:t>
      </w:r>
      <w:r w:rsidR="003B60C6">
        <w:rPr>
          <w:color w:val="000000" w:themeColor="text1"/>
          <w:szCs w:val="26"/>
        </w:rPr>
        <w:t>le</w:t>
      </w:r>
      <w:r w:rsidR="00E77912">
        <w:rPr>
          <w:color w:val="000000" w:themeColor="text1"/>
          <w:szCs w:val="26"/>
        </w:rPr>
        <w:t xml:space="preserve"> </w:t>
      </w:r>
      <w:r w:rsidR="003B60C6">
        <w:rPr>
          <w:color w:val="000000" w:themeColor="text1"/>
          <w:szCs w:val="26"/>
        </w:rPr>
        <w:t>class</w:t>
      </w:r>
      <w:r w:rsidR="003C1CF8">
        <w:rPr>
          <w:color w:val="000000" w:themeColor="text1"/>
          <w:szCs w:val="26"/>
        </w:rPr>
        <w:t xml:space="preserve">.  </w:t>
      </w:r>
      <w:r w:rsidR="00467A00" w:rsidRPr="004177C6">
        <w:rPr>
          <w:color w:val="000000" w:themeColor="text1"/>
          <w:szCs w:val="26"/>
        </w:rPr>
        <w:t>The Court of Appeal below, for example,</w:t>
      </w:r>
      <w:r w:rsidR="00746F92" w:rsidRPr="004177C6">
        <w:rPr>
          <w:color w:val="000000" w:themeColor="text1"/>
          <w:szCs w:val="26"/>
        </w:rPr>
        <w:t xml:space="preserve"> </w:t>
      </w:r>
      <w:r w:rsidR="0037333B" w:rsidRPr="004177C6">
        <w:rPr>
          <w:color w:val="000000" w:themeColor="text1"/>
          <w:szCs w:val="26"/>
        </w:rPr>
        <w:t>regarded</w:t>
      </w:r>
      <w:r w:rsidR="00746F92" w:rsidRPr="004177C6">
        <w:rPr>
          <w:color w:val="000000" w:themeColor="text1"/>
          <w:szCs w:val="26"/>
        </w:rPr>
        <w:t xml:space="preserve"> plaintiff </w:t>
      </w:r>
      <w:r w:rsidR="0037333B" w:rsidRPr="004177C6">
        <w:rPr>
          <w:color w:val="000000" w:themeColor="text1"/>
          <w:szCs w:val="26"/>
        </w:rPr>
        <w:t>as obligated to provide</w:t>
      </w:r>
      <w:r w:rsidR="00746F92" w:rsidRPr="004177C6">
        <w:rPr>
          <w:color w:val="000000" w:themeColor="text1"/>
          <w:szCs w:val="26"/>
        </w:rPr>
        <w:t xml:space="preserve"> proof</w:t>
      </w:r>
      <w:r w:rsidR="000A5915" w:rsidRPr="004177C6">
        <w:rPr>
          <w:color w:val="000000" w:themeColor="text1"/>
          <w:szCs w:val="26"/>
        </w:rPr>
        <w:t xml:space="preserve"> </w:t>
      </w:r>
      <w:r w:rsidR="00746F92" w:rsidRPr="004177C6">
        <w:rPr>
          <w:color w:val="000000" w:themeColor="text1"/>
          <w:szCs w:val="26"/>
        </w:rPr>
        <w:t>substantiat</w:t>
      </w:r>
      <w:r w:rsidR="00910DE0">
        <w:rPr>
          <w:color w:val="000000" w:themeColor="text1"/>
          <w:szCs w:val="26"/>
        </w:rPr>
        <w:t>ing</w:t>
      </w:r>
      <w:r w:rsidR="00746F92" w:rsidRPr="004177C6">
        <w:rPr>
          <w:color w:val="000000" w:themeColor="text1"/>
          <w:szCs w:val="26"/>
        </w:rPr>
        <w:t xml:space="preserve"> </w:t>
      </w:r>
      <w:r w:rsidR="004724D8">
        <w:rPr>
          <w:color w:val="000000" w:themeColor="text1"/>
          <w:szCs w:val="26"/>
        </w:rPr>
        <w:t xml:space="preserve">a </w:t>
      </w:r>
      <w:r w:rsidR="00746F92" w:rsidRPr="004177C6">
        <w:rPr>
          <w:color w:val="000000" w:themeColor="text1"/>
          <w:szCs w:val="26"/>
        </w:rPr>
        <w:t xml:space="preserve">specific </w:t>
      </w:r>
      <w:r w:rsidR="000C6A6D">
        <w:rPr>
          <w:color w:val="000000" w:themeColor="text1"/>
          <w:szCs w:val="26"/>
        </w:rPr>
        <w:t>mechanism</w:t>
      </w:r>
      <w:r w:rsidR="004724D8">
        <w:rPr>
          <w:color w:val="000000" w:themeColor="text1"/>
          <w:szCs w:val="26"/>
        </w:rPr>
        <w:t xml:space="preserve"> or mechanism</w:t>
      </w:r>
      <w:r w:rsidR="000C6A6D">
        <w:rPr>
          <w:color w:val="000000" w:themeColor="text1"/>
          <w:szCs w:val="26"/>
        </w:rPr>
        <w:t>s</w:t>
      </w:r>
      <w:r w:rsidR="00746F92" w:rsidRPr="004177C6">
        <w:rPr>
          <w:color w:val="000000" w:themeColor="text1"/>
          <w:szCs w:val="26"/>
        </w:rPr>
        <w:t xml:space="preserve"> through which class members </w:t>
      </w:r>
      <w:r w:rsidR="0037333B" w:rsidRPr="004177C6">
        <w:rPr>
          <w:color w:val="000000" w:themeColor="text1"/>
          <w:szCs w:val="26"/>
        </w:rPr>
        <w:t>could</w:t>
      </w:r>
      <w:r w:rsidR="00746F92" w:rsidRPr="004177C6">
        <w:rPr>
          <w:color w:val="000000" w:themeColor="text1"/>
          <w:szCs w:val="26"/>
        </w:rPr>
        <w:t xml:space="preserve"> be</w:t>
      </w:r>
      <w:r w:rsidR="005431F1">
        <w:rPr>
          <w:color w:val="000000" w:themeColor="text1"/>
          <w:szCs w:val="26"/>
        </w:rPr>
        <w:t xml:space="preserve"> identified so as to be</w:t>
      </w:r>
      <w:r w:rsidR="00746F92" w:rsidRPr="004177C6">
        <w:rPr>
          <w:color w:val="000000" w:themeColor="text1"/>
          <w:szCs w:val="26"/>
        </w:rPr>
        <w:t xml:space="preserve"> </w:t>
      </w:r>
      <w:r w:rsidR="00910DE0">
        <w:rPr>
          <w:color w:val="000000" w:themeColor="text1"/>
          <w:szCs w:val="26"/>
        </w:rPr>
        <w:t xml:space="preserve">personally </w:t>
      </w:r>
      <w:r w:rsidR="00746F92" w:rsidRPr="004177C6">
        <w:rPr>
          <w:color w:val="000000" w:themeColor="text1"/>
          <w:szCs w:val="26"/>
        </w:rPr>
        <w:t xml:space="preserve">notified of </w:t>
      </w:r>
      <w:r w:rsidR="00910DE0">
        <w:rPr>
          <w:color w:val="000000" w:themeColor="text1"/>
          <w:szCs w:val="26"/>
        </w:rPr>
        <w:t>the</w:t>
      </w:r>
      <w:r w:rsidR="0037333B" w:rsidRPr="004177C6">
        <w:rPr>
          <w:color w:val="000000" w:themeColor="text1"/>
          <w:szCs w:val="26"/>
        </w:rPr>
        <w:t xml:space="preserve"> class</w:t>
      </w:r>
      <w:r w:rsidR="00746F92" w:rsidRPr="004177C6">
        <w:rPr>
          <w:color w:val="000000" w:themeColor="text1"/>
          <w:szCs w:val="26"/>
        </w:rPr>
        <w:t xml:space="preserve"> </w:t>
      </w:r>
      <w:r w:rsidR="0037333B" w:rsidRPr="004177C6">
        <w:rPr>
          <w:color w:val="000000" w:themeColor="text1"/>
          <w:szCs w:val="26"/>
        </w:rPr>
        <w:t>proceeding</w:t>
      </w:r>
      <w:r w:rsidR="00746F92" w:rsidRPr="004177C6">
        <w:rPr>
          <w:color w:val="000000" w:themeColor="text1"/>
          <w:szCs w:val="26"/>
        </w:rPr>
        <w:t>.  (</w:t>
      </w:r>
      <w:r w:rsidR="00746F92" w:rsidRPr="004177C6">
        <w:rPr>
          <w:i/>
        </w:rPr>
        <w:t>Noel</w:t>
      </w:r>
      <w:r w:rsidR="00746F92" w:rsidRPr="004177C6">
        <w:t xml:space="preserve">, </w:t>
      </w:r>
      <w:r w:rsidR="00746F92" w:rsidRPr="004177C6">
        <w:rPr>
          <w:i/>
        </w:rPr>
        <w:t>supra</w:t>
      </w:r>
      <w:r w:rsidR="00746F92" w:rsidRPr="004177C6">
        <w:t xml:space="preserve">, 17 Cal.App.5th at </w:t>
      </w:r>
      <w:r w:rsidR="009D7DA8" w:rsidRPr="004177C6">
        <w:t>p</w:t>
      </w:r>
      <w:r w:rsidR="00746F92" w:rsidRPr="004177C6">
        <w:t>p. 1329</w:t>
      </w:r>
      <w:r w:rsidR="009D7DA8" w:rsidRPr="004177C6">
        <w:t>, 1333</w:t>
      </w:r>
      <w:r w:rsidR="00746F92" w:rsidRPr="004177C6">
        <w:t xml:space="preserve">.)  </w:t>
      </w:r>
      <w:r w:rsidR="00D069B3">
        <w:t xml:space="preserve">The absence of </w:t>
      </w:r>
      <w:r w:rsidR="00D23A61">
        <w:t>“</w:t>
      </w:r>
      <w:r w:rsidR="00D069B3">
        <w:t>official</w:t>
      </w:r>
      <w:r w:rsidR="00D23A61">
        <w:t>”</w:t>
      </w:r>
      <w:r w:rsidR="00D069B3">
        <w:t xml:space="preserve"> records identifying class members </w:t>
      </w:r>
      <w:r w:rsidR="00D23A61">
        <w:t>was central to the analysis</w:t>
      </w:r>
      <w:r w:rsidR="00D069B3">
        <w:t xml:space="preserve"> in </w:t>
      </w:r>
      <w:r w:rsidR="00D069B3" w:rsidRPr="00D069B3">
        <w:rPr>
          <w:i/>
        </w:rPr>
        <w:t>Sotelo</w:t>
      </w:r>
      <w:r w:rsidR="00D069B3">
        <w:t xml:space="preserve">, </w:t>
      </w:r>
      <w:r w:rsidR="00D069B3" w:rsidRPr="00D069B3">
        <w:rPr>
          <w:i/>
        </w:rPr>
        <w:t>supra</w:t>
      </w:r>
      <w:r w:rsidR="00D069B3">
        <w:t>, 207 Cal.App.4</w:t>
      </w:r>
      <w:r w:rsidR="00D069B3" w:rsidRPr="00D069B3">
        <w:t>th</w:t>
      </w:r>
      <w:r w:rsidR="00D069B3">
        <w:t xml:space="preserve"> 639, in which the Court of Appeal affirmed a denial of class certification </w:t>
      </w:r>
      <w:r w:rsidR="008A28BA">
        <w:t xml:space="preserve">due to the </w:t>
      </w:r>
      <w:r w:rsidR="002C392D">
        <w:t xml:space="preserve">representative </w:t>
      </w:r>
      <w:r w:rsidR="008A28BA">
        <w:t>plaintiffs</w:t>
      </w:r>
      <w:r w:rsidR="002C392D">
        <w:t>’</w:t>
      </w:r>
      <w:r w:rsidR="008A28BA">
        <w:t xml:space="preserve"> perceived failure to show an ascertainable class</w:t>
      </w:r>
      <w:r w:rsidR="00D069B3">
        <w:t xml:space="preserve">.  </w:t>
      </w:r>
      <w:r w:rsidR="00D069B3" w:rsidRPr="000E10C5">
        <w:t>(</w:t>
      </w:r>
      <w:r w:rsidR="00D069B3" w:rsidRPr="000E10C5">
        <w:rPr>
          <w:i/>
        </w:rPr>
        <w:t>Id</w:t>
      </w:r>
      <w:r w:rsidR="00D069B3" w:rsidRPr="000E10C5">
        <w:t xml:space="preserve">., at p. </w:t>
      </w:r>
      <w:r w:rsidR="00D069B3">
        <w:t>650.)</w:t>
      </w:r>
      <w:r w:rsidR="008A28BA">
        <w:t xml:space="preserve">  Other </w:t>
      </w:r>
      <w:r w:rsidR="001F0F71">
        <w:t>Courts</w:t>
      </w:r>
      <w:r w:rsidR="001F0F71" w:rsidRPr="000E10C5">
        <w:t xml:space="preserve"> of Appeal</w:t>
      </w:r>
      <w:r w:rsidR="008A28BA">
        <w:t>, in affirming denial</w:t>
      </w:r>
      <w:r w:rsidR="001060E9">
        <w:t>s</w:t>
      </w:r>
      <w:r w:rsidR="008A28BA" w:rsidRPr="000E10C5">
        <w:t xml:space="preserve"> of </w:t>
      </w:r>
      <w:r w:rsidR="008A28BA">
        <w:t>class certification on ascertainability grounds, have emphasized</w:t>
      </w:r>
      <w:r w:rsidR="008A28BA" w:rsidRPr="000E10C5">
        <w:t xml:space="preserve"> that </w:t>
      </w:r>
      <w:r w:rsidR="008A28BA">
        <w:t xml:space="preserve">the </w:t>
      </w:r>
      <w:r w:rsidR="004C378E">
        <w:t xml:space="preserve">representative </w:t>
      </w:r>
      <w:r w:rsidR="00EC7920">
        <w:t xml:space="preserve">plaintiff or </w:t>
      </w:r>
      <w:r w:rsidR="008A28BA">
        <w:t>plaintiffs had not shown that individual class members could be readily identified without unreasonable expense or time.  (</w:t>
      </w:r>
      <w:r w:rsidR="003B60C6">
        <w:t xml:space="preserve">E.g., </w:t>
      </w:r>
      <w:r w:rsidR="008A28BA" w:rsidRPr="008A28BA">
        <w:rPr>
          <w:i/>
        </w:rPr>
        <w:t>Cruz v. Sun Wor</w:t>
      </w:r>
      <w:r w:rsidR="007F3B2D">
        <w:rPr>
          <w:i/>
        </w:rPr>
        <w:t>l</w:t>
      </w:r>
      <w:r w:rsidR="008A28BA" w:rsidRPr="008A28BA">
        <w:rPr>
          <w:i/>
        </w:rPr>
        <w:t>d Internat., LLC</w:t>
      </w:r>
      <w:r w:rsidR="008A28BA">
        <w:t xml:space="preserve"> (2015) 243 Cal.App.4</w:t>
      </w:r>
      <w:r w:rsidR="008A28BA" w:rsidRPr="008A28BA">
        <w:t>th</w:t>
      </w:r>
      <w:r w:rsidR="008A28BA">
        <w:t xml:space="preserve"> 367, 382</w:t>
      </w:r>
      <w:r w:rsidR="00EC7920">
        <w:t xml:space="preserve">; </w:t>
      </w:r>
      <w:r w:rsidR="00EC7920" w:rsidRPr="00EC7920">
        <w:rPr>
          <w:i/>
        </w:rPr>
        <w:t>Hale v. Sharp Healthcare</w:t>
      </w:r>
      <w:r w:rsidR="00EC7920">
        <w:t xml:space="preserve"> (2014) 232 Cal.App.4</w:t>
      </w:r>
      <w:r w:rsidR="00EC7920" w:rsidRPr="00EC7920">
        <w:t xml:space="preserve">th </w:t>
      </w:r>
      <w:r w:rsidR="00EC7920">
        <w:t>50, 59-61.</w:t>
      </w:r>
      <w:r w:rsidR="008A28BA">
        <w:t>)</w:t>
      </w:r>
    </w:p>
    <w:p w14:paraId="6F3FAB80" w14:textId="705F82BF" w:rsidR="00EC7920" w:rsidRDefault="00A93C54" w:rsidP="00EC7920">
      <w:pPr>
        <w:ind w:firstLine="720"/>
        <w:rPr>
          <w:color w:val="000000" w:themeColor="text1"/>
          <w:szCs w:val="26"/>
        </w:rPr>
      </w:pPr>
      <w:r>
        <w:rPr>
          <w:color w:val="000000" w:themeColor="text1"/>
          <w:szCs w:val="26"/>
        </w:rPr>
        <w:t>The</w:t>
      </w:r>
      <w:r w:rsidR="00A76959">
        <w:rPr>
          <w:color w:val="000000" w:themeColor="text1"/>
          <w:szCs w:val="26"/>
        </w:rPr>
        <w:t xml:space="preserve"> </w:t>
      </w:r>
      <w:r w:rsidR="00CC084E">
        <w:rPr>
          <w:color w:val="000000" w:themeColor="text1"/>
          <w:szCs w:val="26"/>
        </w:rPr>
        <w:t>difference</w:t>
      </w:r>
      <w:r>
        <w:rPr>
          <w:color w:val="000000" w:themeColor="text1"/>
          <w:szCs w:val="26"/>
        </w:rPr>
        <w:t>s</w:t>
      </w:r>
      <w:r w:rsidR="00A76959">
        <w:rPr>
          <w:color w:val="000000" w:themeColor="text1"/>
          <w:szCs w:val="26"/>
        </w:rPr>
        <w:t xml:space="preserve"> between these two </w:t>
      </w:r>
      <w:r w:rsidR="000C6A6D">
        <w:rPr>
          <w:color w:val="000000" w:themeColor="text1"/>
          <w:szCs w:val="26"/>
        </w:rPr>
        <w:t xml:space="preserve">basic </w:t>
      </w:r>
      <w:r w:rsidR="00A76959">
        <w:rPr>
          <w:color w:val="000000" w:themeColor="text1"/>
          <w:szCs w:val="26"/>
        </w:rPr>
        <w:t>approaches</w:t>
      </w:r>
      <w:r w:rsidR="00CC084E">
        <w:rPr>
          <w:color w:val="000000" w:themeColor="text1"/>
          <w:szCs w:val="26"/>
        </w:rPr>
        <w:t xml:space="preserve"> </w:t>
      </w:r>
      <w:r w:rsidR="00A315F0">
        <w:rPr>
          <w:color w:val="000000" w:themeColor="text1"/>
          <w:szCs w:val="26"/>
        </w:rPr>
        <w:t>to</w:t>
      </w:r>
      <w:r w:rsidR="00CC084E">
        <w:rPr>
          <w:color w:val="000000" w:themeColor="text1"/>
          <w:szCs w:val="26"/>
        </w:rPr>
        <w:t xml:space="preserve"> </w:t>
      </w:r>
      <w:r w:rsidR="00E86FE6">
        <w:rPr>
          <w:color w:val="000000" w:themeColor="text1"/>
          <w:szCs w:val="26"/>
        </w:rPr>
        <w:t>ascertainability</w:t>
      </w:r>
      <w:r w:rsidR="00A76959">
        <w:rPr>
          <w:color w:val="000000" w:themeColor="text1"/>
          <w:szCs w:val="26"/>
        </w:rPr>
        <w:t xml:space="preserve"> can be somewhat blurr</w:t>
      </w:r>
      <w:r>
        <w:rPr>
          <w:color w:val="000000" w:themeColor="text1"/>
          <w:szCs w:val="26"/>
        </w:rPr>
        <w:t>ed in practice</w:t>
      </w:r>
      <w:r w:rsidR="00A76959">
        <w:rPr>
          <w:color w:val="000000" w:themeColor="text1"/>
          <w:szCs w:val="26"/>
        </w:rPr>
        <w:t xml:space="preserve">.  </w:t>
      </w:r>
      <w:r w:rsidR="00390808">
        <w:rPr>
          <w:color w:val="000000" w:themeColor="text1"/>
          <w:szCs w:val="26"/>
        </w:rPr>
        <w:t>A</w:t>
      </w:r>
      <w:r w:rsidR="004C378E">
        <w:rPr>
          <w:color w:val="000000" w:themeColor="text1"/>
          <w:szCs w:val="26"/>
        </w:rPr>
        <w:t>nd a</w:t>
      </w:r>
      <w:r w:rsidR="00390808">
        <w:rPr>
          <w:color w:val="000000" w:themeColor="text1"/>
          <w:szCs w:val="26"/>
        </w:rPr>
        <w:t>s previously noted, t</w:t>
      </w:r>
      <w:r w:rsidR="00390808" w:rsidRPr="004177C6">
        <w:rPr>
          <w:color w:val="000000" w:themeColor="text1"/>
          <w:szCs w:val="26"/>
        </w:rPr>
        <w:t>he Court of Appeal below</w:t>
      </w:r>
      <w:r w:rsidR="00390808">
        <w:rPr>
          <w:color w:val="000000" w:themeColor="text1"/>
          <w:szCs w:val="26"/>
        </w:rPr>
        <w:t xml:space="preserve"> attempted to synthesize these views.</w:t>
      </w:r>
      <w:r w:rsidR="00390808" w:rsidRPr="004177C6">
        <w:rPr>
          <w:color w:val="000000" w:themeColor="text1"/>
          <w:szCs w:val="26"/>
        </w:rPr>
        <w:t xml:space="preserve"> </w:t>
      </w:r>
      <w:r w:rsidR="00390808">
        <w:rPr>
          <w:color w:val="000000" w:themeColor="text1"/>
          <w:szCs w:val="26"/>
        </w:rPr>
        <w:t xml:space="preserve"> </w:t>
      </w:r>
      <w:r w:rsidR="00390808" w:rsidRPr="004177C6">
        <w:rPr>
          <w:color w:val="000000" w:themeColor="text1"/>
          <w:szCs w:val="26"/>
        </w:rPr>
        <w:t>(</w:t>
      </w:r>
      <w:r w:rsidR="00390808" w:rsidRPr="004177C6">
        <w:rPr>
          <w:i/>
          <w:color w:val="000000" w:themeColor="text1"/>
          <w:szCs w:val="26"/>
        </w:rPr>
        <w:t>Noel</w:t>
      </w:r>
      <w:r w:rsidR="00390808" w:rsidRPr="004177C6">
        <w:rPr>
          <w:color w:val="000000" w:themeColor="text1"/>
          <w:szCs w:val="26"/>
        </w:rPr>
        <w:t xml:space="preserve">, </w:t>
      </w:r>
      <w:r w:rsidR="00390808" w:rsidRPr="004177C6">
        <w:rPr>
          <w:i/>
          <w:color w:val="000000" w:themeColor="text1"/>
          <w:szCs w:val="26"/>
        </w:rPr>
        <w:t>supra</w:t>
      </w:r>
      <w:r w:rsidR="00390808" w:rsidRPr="004177C6">
        <w:rPr>
          <w:color w:val="000000" w:themeColor="text1"/>
          <w:szCs w:val="26"/>
        </w:rPr>
        <w:t>, 17</w:t>
      </w:r>
      <w:r w:rsidR="00390808">
        <w:rPr>
          <w:color w:val="000000" w:themeColor="text1"/>
          <w:szCs w:val="26"/>
        </w:rPr>
        <w:t> </w:t>
      </w:r>
      <w:r w:rsidR="00390808" w:rsidRPr="004177C6">
        <w:rPr>
          <w:color w:val="000000" w:themeColor="text1"/>
          <w:szCs w:val="26"/>
        </w:rPr>
        <w:t>Cal.App.5th at p. 1329</w:t>
      </w:r>
      <w:r w:rsidR="00390808">
        <w:rPr>
          <w:color w:val="000000" w:themeColor="text1"/>
          <w:szCs w:val="26"/>
        </w:rPr>
        <w:t>.</w:t>
      </w:r>
      <w:r w:rsidR="00390808" w:rsidRPr="004177C6">
        <w:rPr>
          <w:color w:val="000000" w:themeColor="text1"/>
          <w:szCs w:val="26"/>
        </w:rPr>
        <w:t xml:space="preserve">) </w:t>
      </w:r>
      <w:r w:rsidR="00390808">
        <w:rPr>
          <w:color w:val="000000" w:themeColor="text1"/>
          <w:szCs w:val="26"/>
        </w:rPr>
        <w:t xml:space="preserve"> </w:t>
      </w:r>
      <w:r w:rsidR="00B673FF" w:rsidRPr="004177C6">
        <w:rPr>
          <w:color w:val="000000" w:themeColor="text1"/>
          <w:szCs w:val="26"/>
        </w:rPr>
        <w:t>But as this case</w:t>
      </w:r>
      <w:r w:rsidR="00514810">
        <w:rPr>
          <w:color w:val="000000" w:themeColor="text1"/>
          <w:szCs w:val="26"/>
        </w:rPr>
        <w:t xml:space="preserve"> </w:t>
      </w:r>
      <w:r w:rsidR="00412C2D">
        <w:rPr>
          <w:color w:val="000000" w:themeColor="text1"/>
          <w:szCs w:val="26"/>
        </w:rPr>
        <w:t>illustrates</w:t>
      </w:r>
      <w:r w:rsidR="00B673FF" w:rsidRPr="004177C6">
        <w:rPr>
          <w:color w:val="000000" w:themeColor="text1"/>
          <w:szCs w:val="26"/>
        </w:rPr>
        <w:t xml:space="preserve">, </w:t>
      </w:r>
      <w:r w:rsidR="006A3D63">
        <w:rPr>
          <w:color w:val="000000" w:themeColor="text1"/>
          <w:szCs w:val="26"/>
        </w:rPr>
        <w:t>a court’s</w:t>
      </w:r>
      <w:r w:rsidR="00B673FF" w:rsidRPr="004177C6">
        <w:rPr>
          <w:color w:val="000000" w:themeColor="text1"/>
          <w:szCs w:val="26"/>
        </w:rPr>
        <w:t xml:space="preserve"> </w:t>
      </w:r>
      <w:r w:rsidR="006A3D63">
        <w:rPr>
          <w:color w:val="000000" w:themeColor="text1"/>
          <w:szCs w:val="26"/>
        </w:rPr>
        <w:t>choice</w:t>
      </w:r>
      <w:r w:rsidR="00B673FF" w:rsidRPr="004177C6">
        <w:rPr>
          <w:color w:val="000000" w:themeColor="text1"/>
          <w:szCs w:val="26"/>
        </w:rPr>
        <w:t xml:space="preserve"> between the two </w:t>
      </w:r>
      <w:r w:rsidR="005431F1">
        <w:rPr>
          <w:color w:val="000000" w:themeColor="text1"/>
          <w:szCs w:val="26"/>
        </w:rPr>
        <w:t>views</w:t>
      </w:r>
      <w:r w:rsidR="00412C2D">
        <w:rPr>
          <w:color w:val="000000" w:themeColor="text1"/>
          <w:szCs w:val="26"/>
        </w:rPr>
        <w:t xml:space="preserve"> </w:t>
      </w:r>
      <w:r w:rsidR="00B673FF" w:rsidRPr="004177C6">
        <w:rPr>
          <w:color w:val="000000" w:themeColor="text1"/>
          <w:szCs w:val="26"/>
        </w:rPr>
        <w:t xml:space="preserve">can be </w:t>
      </w:r>
      <w:r w:rsidR="00EC7920">
        <w:rPr>
          <w:color w:val="000000" w:themeColor="text1"/>
          <w:szCs w:val="26"/>
        </w:rPr>
        <w:t>critical</w:t>
      </w:r>
      <w:r w:rsidR="00F33953" w:rsidRPr="004177C6">
        <w:rPr>
          <w:color w:val="000000" w:themeColor="text1"/>
          <w:szCs w:val="26"/>
        </w:rPr>
        <w:t xml:space="preserve">.  </w:t>
      </w:r>
      <w:r w:rsidR="00376487">
        <w:rPr>
          <w:color w:val="000000" w:themeColor="text1"/>
          <w:szCs w:val="26"/>
        </w:rPr>
        <w:t>A construction of</w:t>
      </w:r>
      <w:r w:rsidR="0073442A" w:rsidRPr="004177C6">
        <w:rPr>
          <w:color w:val="000000" w:themeColor="text1"/>
          <w:szCs w:val="26"/>
        </w:rPr>
        <w:t xml:space="preserve"> </w:t>
      </w:r>
      <w:r w:rsidR="00CC084E">
        <w:rPr>
          <w:color w:val="000000" w:themeColor="text1"/>
          <w:szCs w:val="26"/>
        </w:rPr>
        <w:t xml:space="preserve">ascertainability </w:t>
      </w:r>
      <w:r w:rsidR="00376487">
        <w:rPr>
          <w:color w:val="000000" w:themeColor="text1"/>
          <w:szCs w:val="26"/>
        </w:rPr>
        <w:t xml:space="preserve">that </w:t>
      </w:r>
      <w:r w:rsidR="00EC7920">
        <w:rPr>
          <w:color w:val="000000" w:themeColor="text1"/>
          <w:szCs w:val="26"/>
        </w:rPr>
        <w:t>assigns</w:t>
      </w:r>
      <w:r w:rsidR="00CC084E">
        <w:rPr>
          <w:color w:val="000000" w:themeColor="text1"/>
          <w:szCs w:val="26"/>
        </w:rPr>
        <w:t xml:space="preserve"> the </w:t>
      </w:r>
      <w:r w:rsidR="0073442A" w:rsidRPr="004177C6">
        <w:rPr>
          <w:color w:val="000000" w:themeColor="text1"/>
          <w:szCs w:val="26"/>
        </w:rPr>
        <w:t>plaintiff</w:t>
      </w:r>
      <w:r w:rsidR="00A72A02" w:rsidRPr="004177C6">
        <w:rPr>
          <w:color w:val="000000" w:themeColor="text1"/>
          <w:szCs w:val="26"/>
        </w:rPr>
        <w:t xml:space="preserve"> in a putative class action</w:t>
      </w:r>
      <w:r w:rsidR="0073442A" w:rsidRPr="004177C6">
        <w:rPr>
          <w:color w:val="000000" w:themeColor="text1"/>
          <w:szCs w:val="26"/>
        </w:rPr>
        <w:t xml:space="preserve"> </w:t>
      </w:r>
      <w:r w:rsidR="00376487">
        <w:rPr>
          <w:color w:val="000000" w:themeColor="text1"/>
          <w:szCs w:val="26"/>
        </w:rPr>
        <w:t>an</w:t>
      </w:r>
      <w:r w:rsidR="00883992">
        <w:rPr>
          <w:color w:val="000000" w:themeColor="text1"/>
          <w:szCs w:val="26"/>
        </w:rPr>
        <w:t xml:space="preserve"> </w:t>
      </w:r>
      <w:r w:rsidR="001C76CF">
        <w:rPr>
          <w:color w:val="000000" w:themeColor="text1"/>
          <w:szCs w:val="26"/>
        </w:rPr>
        <w:t xml:space="preserve">affirmative </w:t>
      </w:r>
      <w:r w:rsidR="00883992">
        <w:rPr>
          <w:color w:val="000000" w:themeColor="text1"/>
          <w:szCs w:val="26"/>
        </w:rPr>
        <w:t>responsibility</w:t>
      </w:r>
      <w:r w:rsidR="0073442A" w:rsidRPr="004177C6">
        <w:rPr>
          <w:color w:val="000000" w:themeColor="text1"/>
          <w:szCs w:val="26"/>
        </w:rPr>
        <w:t xml:space="preserve"> </w:t>
      </w:r>
      <w:r w:rsidR="00376487">
        <w:rPr>
          <w:color w:val="000000" w:themeColor="text1"/>
          <w:szCs w:val="26"/>
        </w:rPr>
        <w:t xml:space="preserve">to show </w:t>
      </w:r>
      <w:r w:rsidR="0073442A" w:rsidRPr="004177C6">
        <w:rPr>
          <w:color w:val="000000" w:themeColor="text1"/>
          <w:szCs w:val="26"/>
        </w:rPr>
        <w:t xml:space="preserve">the existence of </w:t>
      </w:r>
      <w:r w:rsidR="001B08BD" w:rsidRPr="004177C6">
        <w:rPr>
          <w:color w:val="000000" w:themeColor="text1"/>
          <w:szCs w:val="26"/>
        </w:rPr>
        <w:t xml:space="preserve">records </w:t>
      </w:r>
      <w:r w:rsidR="00376487">
        <w:rPr>
          <w:color w:val="000000" w:themeColor="text1"/>
          <w:szCs w:val="26"/>
        </w:rPr>
        <w:t xml:space="preserve">(or some other </w:t>
      </w:r>
      <w:r w:rsidR="00395F57">
        <w:rPr>
          <w:color w:val="000000" w:themeColor="text1"/>
          <w:szCs w:val="26"/>
        </w:rPr>
        <w:t>mechanism</w:t>
      </w:r>
      <w:r w:rsidR="00376487">
        <w:rPr>
          <w:color w:val="000000" w:themeColor="text1"/>
          <w:szCs w:val="26"/>
        </w:rPr>
        <w:t xml:space="preserve"> or channel) </w:t>
      </w:r>
      <w:r w:rsidR="00A72A02" w:rsidRPr="004177C6">
        <w:rPr>
          <w:color w:val="000000" w:themeColor="text1"/>
          <w:szCs w:val="26"/>
        </w:rPr>
        <w:t xml:space="preserve">through which </w:t>
      </w:r>
      <w:r w:rsidR="000C6A6D">
        <w:rPr>
          <w:color w:val="000000" w:themeColor="text1"/>
          <w:szCs w:val="26"/>
        </w:rPr>
        <w:t xml:space="preserve">individual </w:t>
      </w:r>
      <w:r w:rsidR="00A72A02" w:rsidRPr="004177C6">
        <w:rPr>
          <w:color w:val="000000" w:themeColor="text1"/>
          <w:szCs w:val="26"/>
        </w:rPr>
        <w:t>class members can be identified</w:t>
      </w:r>
      <w:r w:rsidR="00376487">
        <w:rPr>
          <w:color w:val="000000" w:themeColor="text1"/>
          <w:szCs w:val="26"/>
        </w:rPr>
        <w:t xml:space="preserve"> </w:t>
      </w:r>
      <w:r w:rsidR="000C6A6D">
        <w:rPr>
          <w:color w:val="000000" w:themeColor="text1"/>
          <w:szCs w:val="26"/>
        </w:rPr>
        <w:t xml:space="preserve">for the purpose of providing them with </w:t>
      </w:r>
      <w:r w:rsidR="00376487">
        <w:rPr>
          <w:color w:val="000000" w:themeColor="text1"/>
          <w:szCs w:val="26"/>
        </w:rPr>
        <w:t xml:space="preserve">personal </w:t>
      </w:r>
      <w:r w:rsidR="000C6A6D">
        <w:rPr>
          <w:color w:val="000000" w:themeColor="text1"/>
          <w:szCs w:val="26"/>
        </w:rPr>
        <w:t>notice</w:t>
      </w:r>
      <w:r w:rsidR="00376487">
        <w:rPr>
          <w:color w:val="000000" w:themeColor="text1"/>
          <w:szCs w:val="26"/>
        </w:rPr>
        <w:t xml:space="preserve"> of the proceeding</w:t>
      </w:r>
      <w:r w:rsidR="00CC084E">
        <w:rPr>
          <w:color w:val="000000" w:themeColor="text1"/>
          <w:szCs w:val="26"/>
        </w:rPr>
        <w:t xml:space="preserve"> </w:t>
      </w:r>
      <w:r w:rsidR="0073442A" w:rsidRPr="004177C6">
        <w:rPr>
          <w:color w:val="000000" w:themeColor="text1"/>
          <w:szCs w:val="26"/>
        </w:rPr>
        <w:t>may function to defeat class certification</w:t>
      </w:r>
      <w:r w:rsidR="00376487">
        <w:rPr>
          <w:color w:val="000000" w:themeColor="text1"/>
          <w:szCs w:val="26"/>
        </w:rPr>
        <w:t xml:space="preserve"> in a variety of situations</w:t>
      </w:r>
      <w:r w:rsidR="004A34B0" w:rsidRPr="004177C6">
        <w:rPr>
          <w:color w:val="000000" w:themeColor="text1"/>
          <w:szCs w:val="26"/>
        </w:rPr>
        <w:t xml:space="preserve">.  </w:t>
      </w:r>
      <w:r w:rsidR="001C76CF">
        <w:rPr>
          <w:color w:val="000000" w:themeColor="text1"/>
          <w:szCs w:val="26"/>
        </w:rPr>
        <w:t xml:space="preserve">A </w:t>
      </w:r>
      <w:r w:rsidR="00D44017" w:rsidRPr="004177C6">
        <w:rPr>
          <w:color w:val="000000" w:themeColor="text1"/>
          <w:szCs w:val="26"/>
        </w:rPr>
        <w:t>pla</w:t>
      </w:r>
      <w:r w:rsidR="00EA5D23" w:rsidRPr="004177C6">
        <w:rPr>
          <w:color w:val="000000" w:themeColor="text1"/>
          <w:szCs w:val="26"/>
        </w:rPr>
        <w:t>i</w:t>
      </w:r>
      <w:r w:rsidR="00D44017" w:rsidRPr="004177C6">
        <w:rPr>
          <w:color w:val="000000" w:themeColor="text1"/>
          <w:szCs w:val="26"/>
        </w:rPr>
        <w:t>ntiff</w:t>
      </w:r>
      <w:r w:rsidR="001C76CF">
        <w:rPr>
          <w:color w:val="000000" w:themeColor="text1"/>
          <w:szCs w:val="26"/>
        </w:rPr>
        <w:t xml:space="preserve"> may not </w:t>
      </w:r>
      <w:r w:rsidR="004A34B0" w:rsidRPr="004177C6">
        <w:rPr>
          <w:color w:val="000000" w:themeColor="text1"/>
          <w:szCs w:val="26"/>
        </w:rPr>
        <w:t xml:space="preserve">anticipate </w:t>
      </w:r>
      <w:r w:rsidR="001C76CF">
        <w:rPr>
          <w:color w:val="000000" w:themeColor="text1"/>
          <w:szCs w:val="26"/>
        </w:rPr>
        <w:t>the</w:t>
      </w:r>
      <w:r w:rsidR="00BF18B2" w:rsidRPr="004177C6">
        <w:rPr>
          <w:color w:val="000000" w:themeColor="text1"/>
          <w:szCs w:val="26"/>
        </w:rPr>
        <w:t xml:space="preserve"> need </w:t>
      </w:r>
      <w:r w:rsidR="001C76CF">
        <w:rPr>
          <w:color w:val="000000" w:themeColor="text1"/>
          <w:szCs w:val="26"/>
        </w:rPr>
        <w:t>to adduce</w:t>
      </w:r>
      <w:r w:rsidR="004A34B0" w:rsidRPr="004177C6">
        <w:rPr>
          <w:color w:val="000000" w:themeColor="text1"/>
          <w:szCs w:val="26"/>
        </w:rPr>
        <w:t xml:space="preserve"> such </w:t>
      </w:r>
      <w:r w:rsidR="001B08BD" w:rsidRPr="004177C6">
        <w:rPr>
          <w:color w:val="000000" w:themeColor="text1"/>
          <w:szCs w:val="26"/>
        </w:rPr>
        <w:t>proof</w:t>
      </w:r>
      <w:r w:rsidR="00D44017" w:rsidRPr="004177C6">
        <w:rPr>
          <w:color w:val="000000" w:themeColor="text1"/>
          <w:szCs w:val="26"/>
        </w:rPr>
        <w:t xml:space="preserve"> at the time class certification</w:t>
      </w:r>
      <w:r w:rsidR="00734CF0" w:rsidRPr="004177C6">
        <w:rPr>
          <w:color w:val="000000" w:themeColor="text1"/>
          <w:szCs w:val="26"/>
        </w:rPr>
        <w:t xml:space="preserve"> is sought</w:t>
      </w:r>
      <w:r w:rsidR="00D44017" w:rsidRPr="004177C6">
        <w:rPr>
          <w:color w:val="000000" w:themeColor="text1"/>
          <w:szCs w:val="26"/>
        </w:rPr>
        <w:t xml:space="preserve">, </w:t>
      </w:r>
      <w:r w:rsidR="006516E4" w:rsidRPr="004177C6">
        <w:rPr>
          <w:color w:val="000000" w:themeColor="text1"/>
          <w:szCs w:val="26"/>
        </w:rPr>
        <w:t>meaning that</w:t>
      </w:r>
      <w:r w:rsidR="00D44017" w:rsidRPr="004177C6">
        <w:rPr>
          <w:color w:val="000000" w:themeColor="text1"/>
          <w:szCs w:val="26"/>
        </w:rPr>
        <w:t xml:space="preserve"> no precertification discovery </w:t>
      </w:r>
      <w:r w:rsidR="001C76CF">
        <w:rPr>
          <w:color w:val="000000" w:themeColor="text1"/>
          <w:szCs w:val="26"/>
        </w:rPr>
        <w:t>will have</w:t>
      </w:r>
      <w:r w:rsidR="00734CF0" w:rsidRPr="004177C6">
        <w:rPr>
          <w:color w:val="000000" w:themeColor="text1"/>
          <w:szCs w:val="26"/>
        </w:rPr>
        <w:t xml:space="preserve"> </w:t>
      </w:r>
      <w:r w:rsidR="00D44017" w:rsidRPr="004177C6">
        <w:rPr>
          <w:color w:val="000000" w:themeColor="text1"/>
          <w:szCs w:val="26"/>
        </w:rPr>
        <w:t>occur</w:t>
      </w:r>
      <w:r w:rsidR="00734CF0" w:rsidRPr="004177C6">
        <w:rPr>
          <w:color w:val="000000" w:themeColor="text1"/>
          <w:szCs w:val="26"/>
        </w:rPr>
        <w:t>red</w:t>
      </w:r>
      <w:r w:rsidR="00D44017" w:rsidRPr="004177C6">
        <w:rPr>
          <w:color w:val="000000" w:themeColor="text1"/>
          <w:szCs w:val="26"/>
        </w:rPr>
        <w:t xml:space="preserve"> on this point.  </w:t>
      </w:r>
      <w:r w:rsidR="00376487">
        <w:rPr>
          <w:color w:val="000000" w:themeColor="text1"/>
          <w:szCs w:val="26"/>
        </w:rPr>
        <w:t>This kind of evidentiary</w:t>
      </w:r>
      <w:r w:rsidR="004A34B0" w:rsidRPr="004177C6">
        <w:rPr>
          <w:color w:val="000000" w:themeColor="text1"/>
          <w:szCs w:val="26"/>
        </w:rPr>
        <w:t xml:space="preserve"> requirement also </w:t>
      </w:r>
      <w:r w:rsidR="00EC7920">
        <w:rPr>
          <w:color w:val="000000" w:themeColor="text1"/>
          <w:szCs w:val="26"/>
        </w:rPr>
        <w:t>can</w:t>
      </w:r>
      <w:r w:rsidR="004A34B0" w:rsidRPr="004177C6">
        <w:rPr>
          <w:color w:val="000000" w:themeColor="text1"/>
          <w:szCs w:val="26"/>
        </w:rPr>
        <w:t xml:space="preserve"> </w:t>
      </w:r>
      <w:r w:rsidR="00EC7920">
        <w:rPr>
          <w:color w:val="000000" w:themeColor="text1"/>
          <w:szCs w:val="26"/>
        </w:rPr>
        <w:t>prevent</w:t>
      </w:r>
      <w:r w:rsidR="004A34B0" w:rsidRPr="004177C6">
        <w:rPr>
          <w:color w:val="000000" w:themeColor="text1"/>
          <w:szCs w:val="26"/>
        </w:rPr>
        <w:t xml:space="preserve"> certification when </w:t>
      </w:r>
      <w:r w:rsidR="00BF18B2" w:rsidRPr="004177C6">
        <w:rPr>
          <w:color w:val="000000" w:themeColor="text1"/>
          <w:szCs w:val="26"/>
        </w:rPr>
        <w:t xml:space="preserve">a plaintiff’s </w:t>
      </w:r>
      <w:r w:rsidR="00734CF0" w:rsidRPr="004177C6">
        <w:rPr>
          <w:color w:val="000000" w:themeColor="text1"/>
          <w:szCs w:val="26"/>
        </w:rPr>
        <w:t>discovery</w:t>
      </w:r>
      <w:r w:rsidR="00BF18B2" w:rsidRPr="004177C6">
        <w:rPr>
          <w:color w:val="000000" w:themeColor="text1"/>
          <w:szCs w:val="26"/>
        </w:rPr>
        <w:t xml:space="preserve"> ef</w:t>
      </w:r>
      <w:r w:rsidR="00734CF0" w:rsidRPr="004177C6">
        <w:rPr>
          <w:color w:val="000000" w:themeColor="text1"/>
          <w:szCs w:val="26"/>
        </w:rPr>
        <w:t>forts, albeit substantial,</w:t>
      </w:r>
      <w:r w:rsidR="004A34B0" w:rsidRPr="004177C6">
        <w:rPr>
          <w:color w:val="000000" w:themeColor="text1"/>
          <w:szCs w:val="26"/>
        </w:rPr>
        <w:t xml:space="preserve"> </w:t>
      </w:r>
      <w:r w:rsidR="00AB77D0" w:rsidRPr="004177C6">
        <w:rPr>
          <w:color w:val="000000" w:themeColor="text1"/>
          <w:szCs w:val="26"/>
        </w:rPr>
        <w:t xml:space="preserve">produce </w:t>
      </w:r>
      <w:r w:rsidR="004A34B0" w:rsidRPr="004177C6">
        <w:rPr>
          <w:color w:val="000000" w:themeColor="text1"/>
          <w:szCs w:val="26"/>
        </w:rPr>
        <w:t xml:space="preserve">inadequate </w:t>
      </w:r>
      <w:r w:rsidR="001B08BD" w:rsidRPr="004177C6">
        <w:rPr>
          <w:color w:val="000000" w:themeColor="text1"/>
          <w:szCs w:val="26"/>
        </w:rPr>
        <w:t>evidence</w:t>
      </w:r>
      <w:r w:rsidR="004D4E2E" w:rsidRPr="004177C6">
        <w:rPr>
          <w:color w:val="000000" w:themeColor="text1"/>
          <w:szCs w:val="26"/>
        </w:rPr>
        <w:t xml:space="preserve"> from the perspective of the court</w:t>
      </w:r>
      <w:r w:rsidR="004A34B0" w:rsidRPr="004177C6">
        <w:rPr>
          <w:color w:val="000000" w:themeColor="text1"/>
          <w:szCs w:val="26"/>
        </w:rPr>
        <w:t>.</w:t>
      </w:r>
      <w:r w:rsidR="00C148E7" w:rsidRPr="004177C6">
        <w:rPr>
          <w:color w:val="000000" w:themeColor="text1"/>
          <w:szCs w:val="26"/>
        </w:rPr>
        <w:t xml:space="preserve">  </w:t>
      </w:r>
    </w:p>
    <w:p w14:paraId="78A32F21" w14:textId="1B27C3DD" w:rsidR="00327856" w:rsidRPr="00CC084E" w:rsidRDefault="00CC084E" w:rsidP="00EC7920">
      <w:pPr>
        <w:ind w:firstLine="720"/>
        <w:rPr>
          <w:color w:val="000000" w:themeColor="text1"/>
          <w:szCs w:val="26"/>
        </w:rPr>
      </w:pPr>
      <w:r>
        <w:rPr>
          <w:color w:val="000000" w:themeColor="text1"/>
          <w:szCs w:val="26"/>
        </w:rPr>
        <w:t>An additional</w:t>
      </w:r>
      <w:r w:rsidR="00B248D4" w:rsidRPr="004177C6">
        <w:rPr>
          <w:color w:val="000000" w:themeColor="text1"/>
          <w:szCs w:val="26"/>
        </w:rPr>
        <w:t xml:space="preserve"> burden </w:t>
      </w:r>
      <w:r w:rsidR="001B08BD" w:rsidRPr="004177C6">
        <w:rPr>
          <w:color w:val="000000" w:themeColor="text1"/>
          <w:szCs w:val="26"/>
        </w:rPr>
        <w:t>emerges</w:t>
      </w:r>
      <w:r w:rsidR="00B248D4" w:rsidRPr="004177C6">
        <w:rPr>
          <w:color w:val="000000" w:themeColor="text1"/>
          <w:szCs w:val="26"/>
        </w:rPr>
        <w:t xml:space="preserve"> when the plaintiff must demonstrate that individual members of the </w:t>
      </w:r>
      <w:r w:rsidR="001B08BD" w:rsidRPr="004177C6">
        <w:rPr>
          <w:color w:val="000000" w:themeColor="text1"/>
          <w:szCs w:val="26"/>
        </w:rPr>
        <w:t>proposed</w:t>
      </w:r>
      <w:r w:rsidR="00B248D4" w:rsidRPr="004177C6">
        <w:rPr>
          <w:color w:val="000000" w:themeColor="text1"/>
          <w:szCs w:val="26"/>
        </w:rPr>
        <w:t xml:space="preserve"> class </w:t>
      </w:r>
      <w:r w:rsidR="001B08BD" w:rsidRPr="004177C6">
        <w:rPr>
          <w:color w:val="000000" w:themeColor="text1"/>
          <w:szCs w:val="26"/>
        </w:rPr>
        <w:t xml:space="preserve">can </w:t>
      </w:r>
      <w:r w:rsidR="00395F57">
        <w:rPr>
          <w:color w:val="000000" w:themeColor="text1"/>
          <w:szCs w:val="26"/>
        </w:rPr>
        <w:t>“</w:t>
      </w:r>
      <w:r w:rsidR="001B08BD" w:rsidRPr="004177C6">
        <w:rPr>
          <w:color w:val="000000" w:themeColor="text1"/>
          <w:szCs w:val="26"/>
        </w:rPr>
        <w:t>be</w:t>
      </w:r>
      <w:r w:rsidR="00B248D4" w:rsidRPr="004177C6">
        <w:rPr>
          <w:color w:val="000000" w:themeColor="text1"/>
          <w:szCs w:val="26"/>
        </w:rPr>
        <w:t xml:space="preserve"> </w:t>
      </w:r>
      <w:r w:rsidRPr="00BB773C">
        <w:t>readily</w:t>
      </w:r>
      <w:r w:rsidRPr="004177C6">
        <w:t xml:space="preserve"> identified without unreasonable expense or time</w:t>
      </w:r>
      <w:r w:rsidR="00E77912">
        <w:t xml:space="preserve">.” </w:t>
      </w:r>
      <w:r w:rsidRPr="004177C6">
        <w:t xml:space="preserve"> (</w:t>
      </w:r>
      <w:r w:rsidRPr="00CC084E">
        <w:rPr>
          <w:i/>
        </w:rPr>
        <w:t>Rose</w:t>
      </w:r>
      <w:r>
        <w:t xml:space="preserve">, </w:t>
      </w:r>
      <w:r w:rsidRPr="00CC084E">
        <w:rPr>
          <w:i/>
        </w:rPr>
        <w:t>supra</w:t>
      </w:r>
      <w:r>
        <w:t xml:space="preserve">, </w:t>
      </w:r>
      <w:r w:rsidRPr="00CC084E">
        <w:t>126</w:t>
      </w:r>
      <w:r w:rsidRPr="004177C6">
        <w:t xml:space="preserve"> Cal.App.3d </w:t>
      </w:r>
      <w:r>
        <w:t>at p</w:t>
      </w:r>
      <w:r w:rsidR="00000E79">
        <w:t>.</w:t>
      </w:r>
      <w:r>
        <w:t> </w:t>
      </w:r>
      <w:r w:rsidRPr="004177C6">
        <w:t>932</w:t>
      </w:r>
      <w:r w:rsidRPr="004177C6">
        <w:rPr>
          <w:color w:val="000000" w:themeColor="text1"/>
          <w:szCs w:val="26"/>
        </w:rPr>
        <w:t>.)</w:t>
      </w:r>
      <w:r w:rsidR="00B248D4" w:rsidRPr="004177C6">
        <w:rPr>
          <w:color w:val="000000" w:themeColor="text1"/>
          <w:szCs w:val="26"/>
        </w:rPr>
        <w:t xml:space="preserve">  </w:t>
      </w:r>
      <w:r w:rsidR="00C0242E">
        <w:rPr>
          <w:color w:val="000000" w:themeColor="text1"/>
          <w:szCs w:val="26"/>
        </w:rPr>
        <w:t>With such a requirement</w:t>
      </w:r>
      <w:r w:rsidR="0075372E" w:rsidRPr="004177C6">
        <w:rPr>
          <w:color w:val="000000" w:themeColor="text1"/>
          <w:szCs w:val="26"/>
        </w:rPr>
        <w:t>, class</w:t>
      </w:r>
      <w:r w:rsidR="00C0242E">
        <w:rPr>
          <w:color w:val="000000" w:themeColor="text1"/>
          <w:szCs w:val="26"/>
        </w:rPr>
        <w:t xml:space="preserve"> certification</w:t>
      </w:r>
      <w:r w:rsidR="0075372E" w:rsidRPr="004177C6">
        <w:rPr>
          <w:color w:val="000000" w:themeColor="text1"/>
          <w:szCs w:val="26"/>
        </w:rPr>
        <w:t xml:space="preserve"> may be denied on ascertainability grounds due to </w:t>
      </w:r>
      <w:r w:rsidR="00883992">
        <w:rPr>
          <w:color w:val="000000" w:themeColor="text1"/>
          <w:szCs w:val="26"/>
        </w:rPr>
        <w:t>expected</w:t>
      </w:r>
      <w:r w:rsidR="0075372E" w:rsidRPr="004177C6">
        <w:rPr>
          <w:color w:val="000000" w:themeColor="text1"/>
          <w:szCs w:val="26"/>
        </w:rPr>
        <w:t xml:space="preserve"> </w:t>
      </w:r>
      <w:r w:rsidR="00E12AF3">
        <w:rPr>
          <w:color w:val="000000" w:themeColor="text1"/>
          <w:szCs w:val="26"/>
        </w:rPr>
        <w:t>complexities</w:t>
      </w:r>
      <w:r w:rsidR="0075372E" w:rsidRPr="004177C6">
        <w:rPr>
          <w:color w:val="000000" w:themeColor="text1"/>
          <w:szCs w:val="26"/>
        </w:rPr>
        <w:t xml:space="preserve"> </w:t>
      </w:r>
      <w:r w:rsidR="00BB773C">
        <w:rPr>
          <w:color w:val="000000" w:themeColor="text1"/>
          <w:szCs w:val="26"/>
        </w:rPr>
        <w:t>in</w:t>
      </w:r>
      <w:r w:rsidR="0075372E" w:rsidRPr="004177C6">
        <w:rPr>
          <w:color w:val="000000" w:themeColor="text1"/>
          <w:szCs w:val="26"/>
        </w:rPr>
        <w:t xml:space="preserve"> </w:t>
      </w:r>
      <w:r w:rsidR="00C0242E">
        <w:rPr>
          <w:color w:val="000000" w:themeColor="text1"/>
          <w:szCs w:val="26"/>
        </w:rPr>
        <w:t xml:space="preserve">the </w:t>
      </w:r>
      <w:r w:rsidR="0075372E" w:rsidRPr="004177C6">
        <w:rPr>
          <w:color w:val="000000" w:themeColor="text1"/>
          <w:szCs w:val="26"/>
        </w:rPr>
        <w:t>provi</w:t>
      </w:r>
      <w:r w:rsidR="00C0242E">
        <w:rPr>
          <w:color w:val="000000" w:themeColor="text1"/>
          <w:szCs w:val="26"/>
        </w:rPr>
        <w:t>sion of</w:t>
      </w:r>
      <w:r w:rsidR="0075372E" w:rsidRPr="004177C6">
        <w:rPr>
          <w:color w:val="000000" w:themeColor="text1"/>
          <w:szCs w:val="26"/>
        </w:rPr>
        <w:t xml:space="preserve"> notice</w:t>
      </w:r>
      <w:r w:rsidR="00883992">
        <w:rPr>
          <w:color w:val="000000" w:themeColor="text1"/>
          <w:szCs w:val="26"/>
        </w:rPr>
        <w:t>,</w:t>
      </w:r>
      <w:r w:rsidR="0075372E" w:rsidRPr="004177C6">
        <w:rPr>
          <w:color w:val="000000" w:themeColor="text1"/>
          <w:szCs w:val="26"/>
        </w:rPr>
        <w:t xml:space="preserve"> or </w:t>
      </w:r>
      <w:r w:rsidR="00883992">
        <w:rPr>
          <w:color w:val="000000" w:themeColor="text1"/>
          <w:szCs w:val="26"/>
        </w:rPr>
        <w:t xml:space="preserve">in </w:t>
      </w:r>
      <w:r w:rsidR="004D7836" w:rsidRPr="004177C6">
        <w:rPr>
          <w:color w:val="000000" w:themeColor="text1"/>
          <w:szCs w:val="26"/>
        </w:rPr>
        <w:t xml:space="preserve">distinguishing class members </w:t>
      </w:r>
      <w:r w:rsidR="000A5915" w:rsidRPr="004177C6">
        <w:rPr>
          <w:color w:val="000000" w:themeColor="text1"/>
          <w:szCs w:val="26"/>
        </w:rPr>
        <w:t>from</w:t>
      </w:r>
      <w:r w:rsidR="004D7836" w:rsidRPr="004177C6">
        <w:rPr>
          <w:color w:val="000000" w:themeColor="text1"/>
          <w:szCs w:val="26"/>
        </w:rPr>
        <w:t xml:space="preserve"> nonmembers</w:t>
      </w:r>
      <w:r w:rsidR="00C0242E">
        <w:rPr>
          <w:color w:val="000000" w:themeColor="text1"/>
          <w:szCs w:val="26"/>
        </w:rPr>
        <w:t xml:space="preserve"> —</w:t>
      </w:r>
      <w:r w:rsidR="004D7836" w:rsidRPr="004177C6">
        <w:rPr>
          <w:color w:val="000000" w:themeColor="text1"/>
          <w:szCs w:val="26"/>
        </w:rPr>
        <w:t xml:space="preserve"> without </w:t>
      </w:r>
      <w:r w:rsidR="00C0242E">
        <w:rPr>
          <w:color w:val="000000" w:themeColor="text1"/>
          <w:szCs w:val="26"/>
        </w:rPr>
        <w:t>close</w:t>
      </w:r>
      <w:r w:rsidR="004D7836" w:rsidRPr="004177C6">
        <w:rPr>
          <w:color w:val="000000" w:themeColor="text1"/>
          <w:szCs w:val="26"/>
        </w:rPr>
        <w:t xml:space="preserve"> consideration necessarily being given to whether these difficulties are</w:t>
      </w:r>
      <w:r w:rsidR="006516E4" w:rsidRPr="004177C6">
        <w:rPr>
          <w:color w:val="000000" w:themeColor="text1"/>
          <w:szCs w:val="26"/>
        </w:rPr>
        <w:t xml:space="preserve"> actual, as opposed to merely hypothetical, </w:t>
      </w:r>
      <w:r w:rsidR="001636DD" w:rsidRPr="004177C6">
        <w:rPr>
          <w:color w:val="000000" w:themeColor="text1"/>
          <w:szCs w:val="26"/>
        </w:rPr>
        <w:t>or</w:t>
      </w:r>
      <w:r w:rsidR="006516E4" w:rsidRPr="004177C6">
        <w:rPr>
          <w:color w:val="000000" w:themeColor="text1"/>
          <w:szCs w:val="26"/>
        </w:rPr>
        <w:t xml:space="preserve"> whether they are</w:t>
      </w:r>
      <w:r w:rsidR="004D7836" w:rsidRPr="004177C6">
        <w:rPr>
          <w:color w:val="000000" w:themeColor="text1"/>
          <w:szCs w:val="26"/>
        </w:rPr>
        <w:t xml:space="preserve"> so intransigent </w:t>
      </w:r>
      <w:r w:rsidR="006516E4" w:rsidRPr="004177C6">
        <w:rPr>
          <w:color w:val="000000" w:themeColor="text1"/>
          <w:szCs w:val="26"/>
        </w:rPr>
        <w:t xml:space="preserve">and pervasive </w:t>
      </w:r>
      <w:r w:rsidR="004D7836" w:rsidRPr="004177C6">
        <w:rPr>
          <w:color w:val="000000" w:themeColor="text1"/>
          <w:szCs w:val="26"/>
        </w:rPr>
        <w:t xml:space="preserve">that they </w:t>
      </w:r>
      <w:r w:rsidR="00883992">
        <w:rPr>
          <w:color w:val="000000" w:themeColor="text1"/>
          <w:szCs w:val="26"/>
        </w:rPr>
        <w:t xml:space="preserve">would </w:t>
      </w:r>
      <w:r w:rsidR="004D7836" w:rsidRPr="004177C6">
        <w:rPr>
          <w:color w:val="000000" w:themeColor="text1"/>
          <w:szCs w:val="26"/>
        </w:rPr>
        <w:t xml:space="preserve">make </w:t>
      </w:r>
      <w:r w:rsidR="006516E4" w:rsidRPr="004177C6">
        <w:rPr>
          <w:color w:val="000000" w:themeColor="text1"/>
          <w:szCs w:val="26"/>
        </w:rPr>
        <w:t>a</w:t>
      </w:r>
      <w:r w:rsidR="004D7836" w:rsidRPr="004177C6">
        <w:rPr>
          <w:color w:val="000000" w:themeColor="text1"/>
          <w:szCs w:val="26"/>
        </w:rPr>
        <w:t xml:space="preserve"> class </w:t>
      </w:r>
      <w:r w:rsidR="00883992">
        <w:rPr>
          <w:color w:val="000000" w:themeColor="text1"/>
          <w:szCs w:val="26"/>
        </w:rPr>
        <w:t>proceeding</w:t>
      </w:r>
      <w:r w:rsidR="004D7836" w:rsidRPr="004177C6">
        <w:rPr>
          <w:color w:val="000000" w:themeColor="text1"/>
          <w:szCs w:val="26"/>
        </w:rPr>
        <w:t xml:space="preserve"> </w:t>
      </w:r>
      <w:r w:rsidR="00883992">
        <w:rPr>
          <w:color w:val="000000" w:themeColor="text1"/>
          <w:szCs w:val="26"/>
        </w:rPr>
        <w:t>unmanageable</w:t>
      </w:r>
      <w:r w:rsidR="004C378E">
        <w:rPr>
          <w:color w:val="000000" w:themeColor="text1"/>
          <w:szCs w:val="26"/>
        </w:rPr>
        <w:t>,</w:t>
      </w:r>
      <w:r w:rsidR="00883992">
        <w:rPr>
          <w:color w:val="000000" w:themeColor="text1"/>
          <w:szCs w:val="26"/>
        </w:rPr>
        <w:t xml:space="preserve"> or </w:t>
      </w:r>
      <w:r w:rsidR="006516E4" w:rsidRPr="004177C6">
        <w:rPr>
          <w:color w:val="000000" w:themeColor="text1"/>
          <w:szCs w:val="26"/>
        </w:rPr>
        <w:t>undesirable in light of the plausible alternatives.</w:t>
      </w:r>
      <w:r w:rsidR="004D7836" w:rsidRPr="004177C6">
        <w:rPr>
          <w:color w:val="000000" w:themeColor="text1"/>
        </w:rPr>
        <w:t xml:space="preserve">  </w:t>
      </w:r>
    </w:p>
    <w:p w14:paraId="2753F8E7" w14:textId="77777777" w:rsidR="00D44017" w:rsidRPr="004177C6" w:rsidRDefault="00450F92" w:rsidP="00E67E1F">
      <w:pPr>
        <w:spacing w:line="240" w:lineRule="auto"/>
        <w:ind w:left="1440" w:hanging="360"/>
        <w:contextualSpacing/>
        <w:rPr>
          <w:color w:val="000000" w:themeColor="text1"/>
          <w:szCs w:val="26"/>
        </w:rPr>
      </w:pPr>
      <w:r w:rsidRPr="004177C6">
        <w:rPr>
          <w:i/>
          <w:color w:val="000000" w:themeColor="text1"/>
          <w:szCs w:val="26"/>
        </w:rPr>
        <w:t xml:space="preserve">6. </w:t>
      </w:r>
      <w:r w:rsidRPr="004177C6">
        <w:rPr>
          <w:i/>
          <w:color w:val="000000" w:themeColor="text1"/>
          <w:szCs w:val="26"/>
        </w:rPr>
        <w:tab/>
      </w:r>
      <w:r w:rsidR="00D44017" w:rsidRPr="004177C6">
        <w:rPr>
          <w:i/>
          <w:color w:val="000000" w:themeColor="text1"/>
          <w:szCs w:val="26"/>
        </w:rPr>
        <w:t xml:space="preserve">The </w:t>
      </w:r>
      <w:r w:rsidR="000D68BF">
        <w:rPr>
          <w:i/>
          <w:color w:val="000000" w:themeColor="text1"/>
          <w:szCs w:val="26"/>
        </w:rPr>
        <w:t>v</w:t>
      </w:r>
      <w:r w:rsidR="00D44017" w:rsidRPr="004177C6">
        <w:rPr>
          <w:i/>
          <w:color w:val="000000" w:themeColor="text1"/>
          <w:szCs w:val="26"/>
        </w:rPr>
        <w:t xml:space="preserve">iews of </w:t>
      </w:r>
      <w:r w:rsidR="000D68BF">
        <w:rPr>
          <w:i/>
          <w:color w:val="000000" w:themeColor="text1"/>
          <w:szCs w:val="26"/>
        </w:rPr>
        <w:t>the f</w:t>
      </w:r>
      <w:r w:rsidR="00421121" w:rsidRPr="004177C6">
        <w:rPr>
          <w:i/>
          <w:color w:val="000000" w:themeColor="text1"/>
          <w:szCs w:val="26"/>
        </w:rPr>
        <w:t>ederal</w:t>
      </w:r>
      <w:r w:rsidR="00D44017" w:rsidRPr="004177C6">
        <w:rPr>
          <w:i/>
          <w:color w:val="000000" w:themeColor="text1"/>
          <w:szCs w:val="26"/>
        </w:rPr>
        <w:t xml:space="preserve"> </w:t>
      </w:r>
      <w:r w:rsidR="000D68BF">
        <w:rPr>
          <w:i/>
          <w:color w:val="000000" w:themeColor="text1"/>
          <w:szCs w:val="26"/>
        </w:rPr>
        <w:t>c</w:t>
      </w:r>
      <w:r w:rsidR="00D44017" w:rsidRPr="004177C6">
        <w:rPr>
          <w:i/>
          <w:color w:val="000000" w:themeColor="text1"/>
          <w:szCs w:val="26"/>
        </w:rPr>
        <w:t xml:space="preserve">ourts </w:t>
      </w:r>
      <w:r w:rsidR="000D68BF">
        <w:rPr>
          <w:i/>
          <w:color w:val="000000" w:themeColor="text1"/>
          <w:szCs w:val="26"/>
        </w:rPr>
        <w:t>r</w:t>
      </w:r>
      <w:r w:rsidR="00D44017" w:rsidRPr="004177C6">
        <w:rPr>
          <w:i/>
          <w:color w:val="000000" w:themeColor="text1"/>
          <w:szCs w:val="26"/>
        </w:rPr>
        <w:t xml:space="preserve">egarding </w:t>
      </w:r>
      <w:r w:rsidR="000D68BF">
        <w:rPr>
          <w:i/>
          <w:color w:val="000000" w:themeColor="text1"/>
          <w:szCs w:val="26"/>
        </w:rPr>
        <w:t>a</w:t>
      </w:r>
      <w:r w:rsidR="00D44017" w:rsidRPr="004177C6">
        <w:rPr>
          <w:i/>
          <w:color w:val="000000" w:themeColor="text1"/>
          <w:szCs w:val="26"/>
        </w:rPr>
        <w:t>scertainability</w:t>
      </w:r>
    </w:p>
    <w:p w14:paraId="5B808FC1" w14:textId="140AD89E" w:rsidR="00D44017" w:rsidRPr="004177C6" w:rsidRDefault="007D19BA" w:rsidP="00E67E1F">
      <w:pPr>
        <w:tabs>
          <w:tab w:val="left" w:pos="1440"/>
        </w:tabs>
        <w:ind w:firstLine="720"/>
        <w:rPr>
          <w:color w:val="000000" w:themeColor="text1"/>
          <w:szCs w:val="26"/>
        </w:rPr>
      </w:pPr>
      <w:r w:rsidRPr="00D04D71">
        <w:rPr>
          <w:color w:val="000000" w:themeColor="text1"/>
          <w:spacing w:val="-2"/>
          <w:szCs w:val="26"/>
        </w:rPr>
        <w:t>F</w:t>
      </w:r>
      <w:r w:rsidR="00D44017" w:rsidRPr="00D04D71">
        <w:rPr>
          <w:color w:val="000000" w:themeColor="text1"/>
          <w:spacing w:val="-2"/>
          <w:szCs w:val="26"/>
        </w:rPr>
        <w:t xml:space="preserve">ederal courts </w:t>
      </w:r>
      <w:r w:rsidR="00BF18B2" w:rsidRPr="00D04D71">
        <w:rPr>
          <w:color w:val="000000" w:themeColor="text1"/>
          <w:spacing w:val="-2"/>
          <w:szCs w:val="26"/>
        </w:rPr>
        <w:t xml:space="preserve">have </w:t>
      </w:r>
      <w:r w:rsidR="00D44017" w:rsidRPr="00D04D71">
        <w:rPr>
          <w:color w:val="000000" w:themeColor="text1"/>
          <w:spacing w:val="-2"/>
          <w:szCs w:val="26"/>
        </w:rPr>
        <w:t>wrestle</w:t>
      </w:r>
      <w:r w:rsidR="00BF18B2" w:rsidRPr="00D04D71">
        <w:rPr>
          <w:color w:val="000000" w:themeColor="text1"/>
          <w:spacing w:val="-2"/>
          <w:szCs w:val="26"/>
        </w:rPr>
        <w:t>d</w:t>
      </w:r>
      <w:r w:rsidR="00D44017" w:rsidRPr="00D04D71">
        <w:rPr>
          <w:color w:val="000000" w:themeColor="text1"/>
          <w:spacing w:val="-2"/>
          <w:szCs w:val="26"/>
        </w:rPr>
        <w:t xml:space="preserve"> with ascertainability issues in cases where plaintiffs </w:t>
      </w:r>
      <w:r w:rsidR="004D4E2E" w:rsidRPr="00D04D71">
        <w:rPr>
          <w:color w:val="000000" w:themeColor="text1"/>
          <w:spacing w:val="-2"/>
          <w:szCs w:val="26"/>
        </w:rPr>
        <w:t>have sought</w:t>
      </w:r>
      <w:r w:rsidR="00D44017" w:rsidRPr="00D04D71">
        <w:rPr>
          <w:color w:val="000000" w:themeColor="text1"/>
          <w:spacing w:val="-2"/>
          <w:szCs w:val="26"/>
        </w:rPr>
        <w:t xml:space="preserve"> certification of a class under</w:t>
      </w:r>
      <w:r w:rsidR="002C04F6" w:rsidRPr="00D04D71">
        <w:rPr>
          <w:color w:val="000000" w:themeColor="text1"/>
          <w:spacing w:val="-2"/>
          <w:szCs w:val="26"/>
        </w:rPr>
        <w:t xml:space="preserve"> rule 23 of the</w:t>
      </w:r>
      <w:r w:rsidR="00D44017" w:rsidRPr="00D04D71">
        <w:rPr>
          <w:color w:val="000000" w:themeColor="text1"/>
          <w:spacing w:val="-2"/>
          <w:szCs w:val="26"/>
        </w:rPr>
        <w:t xml:space="preserve"> Federal Rule</w:t>
      </w:r>
      <w:r w:rsidR="002C04F6" w:rsidRPr="00D04D71">
        <w:rPr>
          <w:color w:val="000000" w:themeColor="text1"/>
          <w:spacing w:val="-2"/>
          <w:szCs w:val="26"/>
        </w:rPr>
        <w:t>s</w:t>
      </w:r>
      <w:r w:rsidR="00D44017" w:rsidRPr="00D04D71">
        <w:rPr>
          <w:color w:val="000000" w:themeColor="text1"/>
          <w:spacing w:val="-2"/>
          <w:szCs w:val="26"/>
        </w:rPr>
        <w:t xml:space="preserve"> of Civil Procedure</w:t>
      </w:r>
      <w:r w:rsidR="00AB77D0" w:rsidRPr="00D04D71">
        <w:rPr>
          <w:color w:val="000000" w:themeColor="text1"/>
          <w:spacing w:val="-2"/>
          <w:szCs w:val="26"/>
        </w:rPr>
        <w:t xml:space="preserve"> (28</w:t>
      </w:r>
      <w:r w:rsidR="0062218E" w:rsidRPr="00D04D71">
        <w:rPr>
          <w:color w:val="000000" w:themeColor="text1"/>
          <w:spacing w:val="-2"/>
          <w:szCs w:val="26"/>
        </w:rPr>
        <w:t> </w:t>
      </w:r>
      <w:r w:rsidR="00AB77D0" w:rsidRPr="00D04D71">
        <w:rPr>
          <w:color w:val="000000" w:themeColor="text1"/>
          <w:spacing w:val="-2"/>
          <w:szCs w:val="26"/>
        </w:rPr>
        <w:t>U.S.C.)</w:t>
      </w:r>
      <w:r w:rsidR="00D44017" w:rsidRPr="00D04D71">
        <w:rPr>
          <w:color w:val="000000" w:themeColor="text1"/>
          <w:spacing w:val="-2"/>
          <w:szCs w:val="26"/>
        </w:rPr>
        <w:t>.</w:t>
      </w:r>
      <w:r w:rsidR="00A315F0" w:rsidRPr="00D04D71">
        <w:rPr>
          <w:rStyle w:val="FootnoteReference"/>
          <w:color w:val="000000" w:themeColor="text1"/>
          <w:spacing w:val="-2"/>
          <w:szCs w:val="26"/>
        </w:rPr>
        <w:footnoteReference w:id="10"/>
      </w:r>
      <w:r w:rsidR="006B59FF" w:rsidRPr="00D04D71">
        <w:rPr>
          <w:color w:val="000000" w:themeColor="text1"/>
          <w:spacing w:val="-2"/>
          <w:szCs w:val="26"/>
        </w:rPr>
        <w:t xml:space="preserve">  </w:t>
      </w:r>
      <w:r w:rsidR="006D609C" w:rsidRPr="00D04D71">
        <w:rPr>
          <w:color w:val="000000" w:themeColor="text1"/>
          <w:spacing w:val="-2"/>
          <w:szCs w:val="26"/>
        </w:rPr>
        <w:t xml:space="preserve">Although this rule does not expressly demand an ascertainable class, </w:t>
      </w:r>
      <w:r w:rsidR="00C14324" w:rsidRPr="00D04D71">
        <w:rPr>
          <w:color w:val="000000" w:themeColor="text1"/>
          <w:spacing w:val="-2"/>
          <w:szCs w:val="26"/>
        </w:rPr>
        <w:t xml:space="preserve">most </w:t>
      </w:r>
      <w:r w:rsidR="006D609C" w:rsidRPr="00D04D71">
        <w:rPr>
          <w:color w:val="000000" w:themeColor="text1"/>
          <w:spacing w:val="-2"/>
          <w:szCs w:val="26"/>
        </w:rPr>
        <w:t>courts tasked with applying it have regarded ascertainability as an implicit “ ‘threshold’</w:t>
      </w:r>
      <w:r w:rsidR="001636DD" w:rsidRPr="00D04D71">
        <w:rPr>
          <w:color w:val="000000" w:themeColor="text1"/>
          <w:spacing w:val="-2"/>
          <w:szCs w:val="26"/>
        </w:rPr>
        <w:t> </w:t>
      </w:r>
      <w:r w:rsidR="006D609C" w:rsidRPr="00D04D71">
        <w:rPr>
          <w:color w:val="000000" w:themeColor="text1"/>
          <w:spacing w:val="-2"/>
          <w:szCs w:val="26"/>
        </w:rPr>
        <w:t xml:space="preserve">” requirement for </w:t>
      </w:r>
      <w:r w:rsidR="006B59FF" w:rsidRPr="00D04D71">
        <w:rPr>
          <w:color w:val="000000" w:themeColor="text1"/>
          <w:spacing w:val="-2"/>
          <w:szCs w:val="26"/>
        </w:rPr>
        <w:t>certification of a class</w:t>
      </w:r>
      <w:r w:rsidR="00D04D71" w:rsidRPr="00D04D71">
        <w:rPr>
          <w:color w:val="000000" w:themeColor="text1"/>
          <w:spacing w:val="-2"/>
          <w:szCs w:val="26"/>
        </w:rPr>
        <w:t xml:space="preserve"> under </w:t>
      </w:r>
      <w:r w:rsidR="00D04D71">
        <w:rPr>
          <w:color w:val="000000" w:themeColor="text1"/>
          <w:spacing w:val="-2"/>
          <w:szCs w:val="26"/>
        </w:rPr>
        <w:t>R</w:t>
      </w:r>
      <w:r w:rsidR="00D04D71" w:rsidRPr="00D04D71">
        <w:rPr>
          <w:color w:val="000000" w:themeColor="text1"/>
          <w:spacing w:val="-2"/>
          <w:szCs w:val="26"/>
        </w:rPr>
        <w:t>ule 23(b)(3)</w:t>
      </w:r>
      <w:r w:rsidR="006D609C" w:rsidRPr="00D04D71">
        <w:rPr>
          <w:color w:val="000000" w:themeColor="text1"/>
          <w:spacing w:val="-2"/>
          <w:szCs w:val="26"/>
        </w:rPr>
        <w:t>.  (</w:t>
      </w:r>
      <w:r w:rsidR="006D609C" w:rsidRPr="00D04D71">
        <w:rPr>
          <w:i/>
          <w:color w:val="000000" w:themeColor="text1"/>
          <w:spacing w:val="-2"/>
          <w:szCs w:val="26"/>
        </w:rPr>
        <w:t>Sandusky Wellness Center v. Med</w:t>
      </w:r>
      <w:r w:rsidR="002C04F6" w:rsidRPr="00D04D71">
        <w:rPr>
          <w:i/>
          <w:color w:val="000000" w:themeColor="text1"/>
          <w:spacing w:val="-2"/>
          <w:szCs w:val="26"/>
        </w:rPr>
        <w:t>T</w:t>
      </w:r>
      <w:r w:rsidR="006D609C" w:rsidRPr="00D04D71">
        <w:rPr>
          <w:i/>
          <w:color w:val="000000" w:themeColor="text1"/>
          <w:spacing w:val="-2"/>
          <w:szCs w:val="26"/>
        </w:rPr>
        <w:t>ox Scientific</w:t>
      </w:r>
      <w:r w:rsidR="002C04F6" w:rsidRPr="00D04D71">
        <w:rPr>
          <w:i/>
          <w:color w:val="000000" w:themeColor="text1"/>
          <w:spacing w:val="-2"/>
          <w:szCs w:val="26"/>
        </w:rPr>
        <w:t xml:space="preserve"> </w:t>
      </w:r>
      <w:r w:rsidR="006D609C" w:rsidRPr="00D04D71">
        <w:rPr>
          <w:color w:val="000000" w:themeColor="text1"/>
          <w:spacing w:val="-2"/>
          <w:szCs w:val="26"/>
        </w:rPr>
        <w:t>(8th Cir. 2016) 821 F.3d 992, 995</w:t>
      </w:r>
      <w:r w:rsidR="000762B6" w:rsidRPr="00D04D71">
        <w:rPr>
          <w:color w:val="000000" w:themeColor="text1"/>
          <w:spacing w:val="-2"/>
          <w:szCs w:val="26"/>
        </w:rPr>
        <w:t xml:space="preserve">; but </w:t>
      </w:r>
      <w:r w:rsidR="00D830C2" w:rsidRPr="00D04D71">
        <w:rPr>
          <w:color w:val="000000" w:themeColor="text1"/>
          <w:spacing w:val="-2"/>
          <w:szCs w:val="26"/>
        </w:rPr>
        <w:t xml:space="preserve">see </w:t>
      </w:r>
      <w:r w:rsidR="000762B6" w:rsidRPr="00D04D71">
        <w:rPr>
          <w:i/>
          <w:color w:val="000000" w:themeColor="text1"/>
          <w:spacing w:val="-2"/>
          <w:szCs w:val="26"/>
        </w:rPr>
        <w:t>Briseno v. ConAgra Foods, Inc.</w:t>
      </w:r>
      <w:r w:rsidR="000762B6" w:rsidRPr="00D04D71">
        <w:rPr>
          <w:color w:val="000000" w:themeColor="text1"/>
          <w:spacing w:val="-2"/>
          <w:szCs w:val="26"/>
        </w:rPr>
        <w:t xml:space="preserve"> (9th Cir. 2017) 844 F.3d 1121, 112</w:t>
      </w:r>
      <w:r w:rsidR="00D830C2" w:rsidRPr="00D04D71">
        <w:rPr>
          <w:color w:val="000000" w:themeColor="text1"/>
          <w:spacing w:val="-2"/>
          <w:szCs w:val="26"/>
        </w:rPr>
        <w:t>4</w:t>
      </w:r>
      <w:r w:rsidR="002C04F6" w:rsidRPr="00D04D71">
        <w:rPr>
          <w:color w:val="000000" w:themeColor="text1"/>
          <w:spacing w:val="-2"/>
          <w:szCs w:val="26"/>
        </w:rPr>
        <w:t>-1125</w:t>
      </w:r>
      <w:r w:rsidR="00D830C2" w:rsidRPr="00D04D71">
        <w:rPr>
          <w:color w:val="000000" w:themeColor="text1"/>
          <w:spacing w:val="-2"/>
          <w:szCs w:val="26"/>
        </w:rPr>
        <w:t>, fn. 4</w:t>
      </w:r>
      <w:r w:rsidR="000762B6" w:rsidRPr="00D04D71">
        <w:rPr>
          <w:color w:val="000000" w:themeColor="text1"/>
          <w:spacing w:val="-2"/>
          <w:szCs w:val="26"/>
        </w:rPr>
        <w:t xml:space="preserve"> </w:t>
      </w:r>
      <w:r w:rsidR="00D830C2" w:rsidRPr="00D04D71">
        <w:rPr>
          <w:color w:val="000000" w:themeColor="text1"/>
          <w:spacing w:val="-2"/>
          <w:szCs w:val="26"/>
        </w:rPr>
        <w:t>[“we have addressed the types of alleged definitional deficiencies other courts have</w:t>
      </w:r>
      <w:r w:rsidR="00D830C2" w:rsidRPr="00D830C2">
        <w:rPr>
          <w:color w:val="000000" w:themeColor="text1"/>
          <w:szCs w:val="26"/>
        </w:rPr>
        <w:t xml:space="preserve"> referred to as </w:t>
      </w:r>
      <w:r w:rsidR="00D830C2">
        <w:rPr>
          <w:color w:val="000000" w:themeColor="text1"/>
          <w:szCs w:val="26"/>
        </w:rPr>
        <w:t>‘</w:t>
      </w:r>
      <w:r w:rsidR="00D830C2" w:rsidRPr="00D830C2">
        <w:rPr>
          <w:color w:val="000000" w:themeColor="text1"/>
          <w:szCs w:val="26"/>
        </w:rPr>
        <w:t>ascertainability</w:t>
      </w:r>
      <w:r w:rsidR="00D830C2">
        <w:rPr>
          <w:color w:val="000000" w:themeColor="text1"/>
          <w:szCs w:val="26"/>
        </w:rPr>
        <w:t>’</w:t>
      </w:r>
      <w:r w:rsidR="00D830C2" w:rsidRPr="00D830C2">
        <w:rPr>
          <w:color w:val="000000" w:themeColor="text1"/>
          <w:szCs w:val="26"/>
        </w:rPr>
        <w:t xml:space="preserve"> issue</w:t>
      </w:r>
      <w:r w:rsidR="00D830C2">
        <w:rPr>
          <w:color w:val="000000" w:themeColor="text1"/>
          <w:szCs w:val="26"/>
        </w:rPr>
        <w:t xml:space="preserve">s . . . </w:t>
      </w:r>
      <w:r w:rsidR="00D830C2" w:rsidRPr="00D830C2">
        <w:rPr>
          <w:color w:val="000000" w:themeColor="text1"/>
          <w:szCs w:val="26"/>
        </w:rPr>
        <w:t>through analysis of Rule 23’s enumerated requirements</w:t>
      </w:r>
      <w:r w:rsidR="00D830C2">
        <w:rPr>
          <w:color w:val="000000" w:themeColor="text1"/>
          <w:szCs w:val="26"/>
        </w:rPr>
        <w:t>”].</w:t>
      </w:r>
      <w:r w:rsidR="006B59FF" w:rsidRPr="004177C6">
        <w:rPr>
          <w:color w:val="000000" w:themeColor="text1"/>
          <w:szCs w:val="26"/>
        </w:rPr>
        <w:t>)</w:t>
      </w:r>
      <w:r w:rsidR="006D609C" w:rsidRPr="004177C6">
        <w:rPr>
          <w:color w:val="000000" w:themeColor="text1"/>
          <w:szCs w:val="26"/>
        </w:rPr>
        <w:t xml:space="preserve"> </w:t>
      </w:r>
      <w:r w:rsidR="00D44017" w:rsidRPr="004177C6">
        <w:rPr>
          <w:color w:val="000000" w:themeColor="text1"/>
          <w:szCs w:val="26"/>
        </w:rPr>
        <w:t xml:space="preserve"> </w:t>
      </w:r>
      <w:r w:rsidR="00A72A02" w:rsidRPr="004177C6">
        <w:rPr>
          <w:color w:val="000000" w:themeColor="text1"/>
          <w:szCs w:val="26"/>
        </w:rPr>
        <w:t>In this context, c</w:t>
      </w:r>
      <w:r w:rsidR="000A47CD" w:rsidRPr="004177C6">
        <w:rPr>
          <w:color w:val="000000" w:themeColor="text1"/>
          <w:szCs w:val="26"/>
        </w:rPr>
        <w:t xml:space="preserve">ompeting views regarding ascertainability have emerged within the federal system, </w:t>
      </w:r>
      <w:r w:rsidR="00EA5D23" w:rsidRPr="004177C6">
        <w:rPr>
          <w:color w:val="000000" w:themeColor="text1"/>
          <w:szCs w:val="26"/>
        </w:rPr>
        <w:t xml:space="preserve">just </w:t>
      </w:r>
      <w:r w:rsidR="000A47CD" w:rsidRPr="004177C6">
        <w:rPr>
          <w:color w:val="000000" w:themeColor="text1"/>
          <w:szCs w:val="26"/>
        </w:rPr>
        <w:t xml:space="preserve">as they have </w:t>
      </w:r>
      <w:r w:rsidR="00A72A02" w:rsidRPr="004177C6">
        <w:rPr>
          <w:color w:val="000000" w:themeColor="text1"/>
          <w:szCs w:val="26"/>
        </w:rPr>
        <w:t>with</w:t>
      </w:r>
      <w:r w:rsidR="000A47CD" w:rsidRPr="004177C6">
        <w:rPr>
          <w:color w:val="000000" w:themeColor="text1"/>
          <w:szCs w:val="26"/>
        </w:rPr>
        <w:t>in the courts of this state.</w:t>
      </w:r>
      <w:r w:rsidR="006D609C" w:rsidRPr="004177C6">
        <w:rPr>
          <w:color w:val="000000" w:themeColor="text1"/>
          <w:szCs w:val="26"/>
        </w:rPr>
        <w:t xml:space="preserve">  </w:t>
      </w:r>
    </w:p>
    <w:p w14:paraId="6E17D725" w14:textId="49302415" w:rsidR="00D44017" w:rsidRPr="004177C6" w:rsidRDefault="00D44017" w:rsidP="004177C6">
      <w:pPr>
        <w:tabs>
          <w:tab w:val="left" w:pos="1440"/>
        </w:tabs>
        <w:ind w:firstLine="720"/>
        <w:rPr>
          <w:color w:val="000000" w:themeColor="text1"/>
          <w:szCs w:val="26"/>
        </w:rPr>
      </w:pPr>
      <w:r w:rsidRPr="004177C6">
        <w:rPr>
          <w:color w:val="000000" w:themeColor="text1"/>
          <w:szCs w:val="26"/>
        </w:rPr>
        <w:t>A stringent view of ascertainability is most closely associated with</w:t>
      </w:r>
      <w:r w:rsidR="000A47CD" w:rsidRPr="004177C6">
        <w:rPr>
          <w:color w:val="000000" w:themeColor="text1"/>
          <w:szCs w:val="26"/>
        </w:rPr>
        <w:t xml:space="preserve"> decisions produced by</w:t>
      </w:r>
      <w:r w:rsidRPr="004177C6">
        <w:rPr>
          <w:color w:val="000000" w:themeColor="text1"/>
          <w:szCs w:val="26"/>
        </w:rPr>
        <w:t xml:space="preserve"> the United States Court of Appeals for the Third Circuit.  (See </w:t>
      </w:r>
      <w:r w:rsidRPr="004177C6">
        <w:rPr>
          <w:i/>
          <w:color w:val="000000" w:themeColor="text1"/>
          <w:szCs w:val="26"/>
        </w:rPr>
        <w:t>Marcus v. BMW of North America</w:t>
      </w:r>
      <w:r w:rsidR="00E31D81" w:rsidRPr="004177C6">
        <w:rPr>
          <w:i/>
          <w:color w:val="000000" w:themeColor="text1"/>
          <w:szCs w:val="26"/>
        </w:rPr>
        <w:t>, LLC</w:t>
      </w:r>
      <w:r w:rsidRPr="004177C6">
        <w:rPr>
          <w:color w:val="000000" w:themeColor="text1"/>
          <w:szCs w:val="26"/>
        </w:rPr>
        <w:t xml:space="preserve"> (3d Cir. 2012) 687 F.3d 583, </w:t>
      </w:r>
      <w:r w:rsidR="00E31D81" w:rsidRPr="004177C6">
        <w:rPr>
          <w:color w:val="000000" w:themeColor="text1"/>
          <w:szCs w:val="26"/>
        </w:rPr>
        <w:t>592-</w:t>
      </w:r>
      <w:r w:rsidRPr="004177C6">
        <w:rPr>
          <w:color w:val="000000" w:themeColor="text1"/>
          <w:szCs w:val="26"/>
        </w:rPr>
        <w:t>594 (</w:t>
      </w:r>
      <w:r w:rsidRPr="004177C6">
        <w:rPr>
          <w:i/>
          <w:color w:val="000000" w:themeColor="text1"/>
          <w:szCs w:val="26"/>
        </w:rPr>
        <w:t>Marcus</w:t>
      </w:r>
      <w:r w:rsidRPr="004177C6">
        <w:rPr>
          <w:color w:val="000000" w:themeColor="text1"/>
          <w:szCs w:val="26"/>
        </w:rPr>
        <w:t xml:space="preserve">); </w:t>
      </w:r>
      <w:r w:rsidRPr="004177C6">
        <w:rPr>
          <w:i/>
          <w:color w:val="000000" w:themeColor="text1"/>
          <w:szCs w:val="26"/>
        </w:rPr>
        <w:t>Hayes v. Wal-Mart Stores, Inc.</w:t>
      </w:r>
      <w:r w:rsidRPr="004177C6">
        <w:rPr>
          <w:color w:val="000000" w:themeColor="text1"/>
          <w:szCs w:val="26"/>
        </w:rPr>
        <w:t xml:space="preserve"> (3d Cir. 2013) 725 F.3d 349, 354-356; </w:t>
      </w:r>
      <w:r w:rsidRPr="004177C6">
        <w:rPr>
          <w:i/>
          <w:color w:val="000000" w:themeColor="text1"/>
          <w:szCs w:val="26"/>
        </w:rPr>
        <w:t>Carrera v. Bayer Corp.</w:t>
      </w:r>
      <w:r w:rsidRPr="004177C6">
        <w:rPr>
          <w:color w:val="000000" w:themeColor="text1"/>
          <w:szCs w:val="26"/>
        </w:rPr>
        <w:t xml:space="preserve"> (3d Cir. 2013) 727 F.3d 300, 305-312.)  Under this approach, a plaintiff seeking class certification under </w:t>
      </w:r>
      <w:r w:rsidR="00A315F0">
        <w:rPr>
          <w:color w:val="000000" w:themeColor="text1"/>
          <w:szCs w:val="26"/>
        </w:rPr>
        <w:t>R</w:t>
      </w:r>
      <w:r w:rsidR="002C04F6">
        <w:rPr>
          <w:color w:val="000000" w:themeColor="text1"/>
          <w:szCs w:val="26"/>
        </w:rPr>
        <w:t xml:space="preserve">ule 23(b)(3) </w:t>
      </w:r>
      <w:r w:rsidRPr="004177C6">
        <w:rPr>
          <w:color w:val="000000" w:themeColor="text1"/>
          <w:szCs w:val="26"/>
        </w:rPr>
        <w:t>must show not only that the class has been “defined with reference to objective criteria,” but also that there is “a reliable and administratively feasible mechanism for determining whether putative class members fall within the class definition.”  (</w:t>
      </w:r>
      <w:r w:rsidRPr="004177C6">
        <w:rPr>
          <w:i/>
          <w:color w:val="000000" w:themeColor="text1"/>
          <w:szCs w:val="26"/>
        </w:rPr>
        <w:t>Hayes</w:t>
      </w:r>
      <w:r w:rsidRPr="004177C6">
        <w:rPr>
          <w:color w:val="000000" w:themeColor="text1"/>
          <w:szCs w:val="26"/>
        </w:rPr>
        <w:t xml:space="preserve">, at p. 355.) </w:t>
      </w:r>
      <w:r w:rsidR="00C23B45" w:rsidRPr="004177C6">
        <w:rPr>
          <w:color w:val="000000" w:themeColor="text1"/>
          <w:szCs w:val="26"/>
        </w:rPr>
        <w:t xml:space="preserve"> Courts adopting this </w:t>
      </w:r>
      <w:r w:rsidR="00A82D42">
        <w:rPr>
          <w:color w:val="000000" w:themeColor="text1"/>
          <w:szCs w:val="26"/>
        </w:rPr>
        <w:t>conception</w:t>
      </w:r>
      <w:r w:rsidR="00C23B45" w:rsidRPr="004177C6">
        <w:rPr>
          <w:color w:val="000000" w:themeColor="text1"/>
          <w:szCs w:val="26"/>
        </w:rPr>
        <w:t xml:space="preserve"> of ascertainability have </w:t>
      </w:r>
      <w:r w:rsidR="00E31D81" w:rsidRPr="004177C6">
        <w:rPr>
          <w:color w:val="000000" w:themeColor="text1"/>
          <w:szCs w:val="26"/>
        </w:rPr>
        <w:t xml:space="preserve">refused to certify (or </w:t>
      </w:r>
      <w:r w:rsidR="00C23B45" w:rsidRPr="004177C6">
        <w:rPr>
          <w:color w:val="000000" w:themeColor="text1"/>
          <w:szCs w:val="26"/>
        </w:rPr>
        <w:t>upheld refusals to certify</w:t>
      </w:r>
      <w:r w:rsidR="00E31D81" w:rsidRPr="004177C6">
        <w:rPr>
          <w:color w:val="000000" w:themeColor="text1"/>
          <w:szCs w:val="26"/>
        </w:rPr>
        <w:t>)</w:t>
      </w:r>
      <w:r w:rsidR="00C23B45" w:rsidRPr="004177C6">
        <w:rPr>
          <w:color w:val="000000" w:themeColor="text1"/>
          <w:szCs w:val="26"/>
        </w:rPr>
        <w:t xml:space="preserve"> consumer classes </w:t>
      </w:r>
      <w:r w:rsidR="004A5625" w:rsidRPr="004177C6">
        <w:rPr>
          <w:color w:val="000000" w:themeColor="text1"/>
          <w:szCs w:val="26"/>
        </w:rPr>
        <w:t xml:space="preserve">in situations such as </w:t>
      </w:r>
      <w:r w:rsidR="006D6CF5" w:rsidRPr="004177C6">
        <w:rPr>
          <w:color w:val="000000" w:themeColor="text1"/>
          <w:szCs w:val="26"/>
        </w:rPr>
        <w:t xml:space="preserve">the one presently before </w:t>
      </w:r>
      <w:r w:rsidR="00734CF0" w:rsidRPr="004177C6">
        <w:rPr>
          <w:color w:val="000000" w:themeColor="text1"/>
          <w:szCs w:val="26"/>
        </w:rPr>
        <w:t>this</w:t>
      </w:r>
      <w:r w:rsidR="006D6CF5" w:rsidRPr="004177C6">
        <w:rPr>
          <w:color w:val="000000" w:themeColor="text1"/>
          <w:szCs w:val="26"/>
        </w:rPr>
        <w:t xml:space="preserve"> court</w:t>
      </w:r>
      <w:r w:rsidR="004A5625" w:rsidRPr="004177C6">
        <w:rPr>
          <w:color w:val="000000" w:themeColor="text1"/>
          <w:szCs w:val="26"/>
        </w:rPr>
        <w:t xml:space="preserve"> —</w:t>
      </w:r>
      <w:r w:rsidR="00C23B45" w:rsidRPr="004177C6">
        <w:rPr>
          <w:color w:val="000000" w:themeColor="text1"/>
          <w:szCs w:val="26"/>
        </w:rPr>
        <w:t xml:space="preserve"> </w:t>
      </w:r>
      <w:r w:rsidR="00450F92" w:rsidRPr="004177C6">
        <w:rPr>
          <w:color w:val="000000" w:themeColor="text1"/>
          <w:szCs w:val="26"/>
        </w:rPr>
        <w:t>in which</w:t>
      </w:r>
      <w:r w:rsidR="004A5625" w:rsidRPr="004177C6">
        <w:rPr>
          <w:color w:val="000000" w:themeColor="text1"/>
          <w:szCs w:val="26"/>
        </w:rPr>
        <w:t xml:space="preserve"> it</w:t>
      </w:r>
      <w:r w:rsidR="00C23B45" w:rsidRPr="004177C6">
        <w:rPr>
          <w:color w:val="000000" w:themeColor="text1"/>
          <w:szCs w:val="26"/>
        </w:rPr>
        <w:t xml:space="preserve"> </w:t>
      </w:r>
      <w:r w:rsidR="002C04F6">
        <w:rPr>
          <w:color w:val="000000" w:themeColor="text1"/>
          <w:szCs w:val="26"/>
        </w:rPr>
        <w:t xml:space="preserve">is </w:t>
      </w:r>
      <w:r w:rsidR="00C23B45" w:rsidRPr="004177C6">
        <w:rPr>
          <w:color w:val="000000" w:themeColor="text1"/>
          <w:szCs w:val="26"/>
        </w:rPr>
        <w:t>unlikely</w:t>
      </w:r>
      <w:r w:rsidR="004A5625" w:rsidRPr="004177C6">
        <w:rPr>
          <w:color w:val="000000" w:themeColor="text1"/>
          <w:szCs w:val="26"/>
        </w:rPr>
        <w:t>, or at least unproven,</w:t>
      </w:r>
      <w:r w:rsidR="00C23B45" w:rsidRPr="004177C6">
        <w:rPr>
          <w:color w:val="000000" w:themeColor="text1"/>
          <w:szCs w:val="26"/>
        </w:rPr>
        <w:t xml:space="preserve"> that individual purchasers of the </w:t>
      </w:r>
      <w:r w:rsidR="000C6A6D">
        <w:rPr>
          <w:color w:val="000000" w:themeColor="text1"/>
          <w:szCs w:val="26"/>
        </w:rPr>
        <w:t>commodity</w:t>
      </w:r>
      <w:r w:rsidR="00C23B45" w:rsidRPr="004177C6">
        <w:rPr>
          <w:color w:val="000000" w:themeColor="text1"/>
          <w:szCs w:val="26"/>
        </w:rPr>
        <w:t xml:space="preserve"> at the heart of the dispute would have retained their receipts or other proof of purchase, </w:t>
      </w:r>
      <w:r w:rsidR="004A5625" w:rsidRPr="004177C6">
        <w:rPr>
          <w:color w:val="000000" w:themeColor="text1"/>
          <w:szCs w:val="26"/>
        </w:rPr>
        <w:t xml:space="preserve">the defendant did not maintain a </w:t>
      </w:r>
      <w:r w:rsidR="00734CF0" w:rsidRPr="004177C6">
        <w:rPr>
          <w:color w:val="000000" w:themeColor="text1"/>
          <w:szCs w:val="26"/>
        </w:rPr>
        <w:t xml:space="preserve">specific </w:t>
      </w:r>
      <w:r w:rsidR="004A5625" w:rsidRPr="004177C6">
        <w:rPr>
          <w:color w:val="000000" w:themeColor="text1"/>
          <w:szCs w:val="26"/>
        </w:rPr>
        <w:t xml:space="preserve">list of purchasers, and the </w:t>
      </w:r>
      <w:r w:rsidR="00AB77D0" w:rsidRPr="004177C6">
        <w:rPr>
          <w:color w:val="000000" w:themeColor="text1"/>
          <w:szCs w:val="26"/>
        </w:rPr>
        <w:t>putative class representative</w:t>
      </w:r>
      <w:r w:rsidR="004A5625" w:rsidRPr="004177C6">
        <w:rPr>
          <w:color w:val="000000" w:themeColor="text1"/>
          <w:szCs w:val="26"/>
        </w:rPr>
        <w:t xml:space="preserve"> </w:t>
      </w:r>
      <w:r w:rsidR="00E71346" w:rsidRPr="004177C6">
        <w:rPr>
          <w:color w:val="000000" w:themeColor="text1"/>
          <w:szCs w:val="26"/>
        </w:rPr>
        <w:t>offered</w:t>
      </w:r>
      <w:r w:rsidR="004A5625" w:rsidRPr="004177C6">
        <w:rPr>
          <w:color w:val="000000" w:themeColor="text1"/>
          <w:szCs w:val="26"/>
        </w:rPr>
        <w:t xml:space="preserve"> no proof when seeking certification “that a single purchaser of [the product] could be identified using records of customer membership cards or records of online sales.”  (</w:t>
      </w:r>
      <w:r w:rsidR="004A5625" w:rsidRPr="004177C6">
        <w:rPr>
          <w:i/>
          <w:color w:val="000000" w:themeColor="text1"/>
          <w:szCs w:val="26"/>
        </w:rPr>
        <w:t>Carrera</w:t>
      </w:r>
      <w:r w:rsidR="004A5625" w:rsidRPr="004177C6">
        <w:rPr>
          <w:color w:val="000000" w:themeColor="text1"/>
          <w:szCs w:val="26"/>
        </w:rPr>
        <w:t>, at p. 30</w:t>
      </w:r>
      <w:r w:rsidR="00A315F0">
        <w:rPr>
          <w:color w:val="000000" w:themeColor="text1"/>
          <w:szCs w:val="26"/>
        </w:rPr>
        <w:t xml:space="preserve">9; see </w:t>
      </w:r>
      <w:r w:rsidR="00A315F0" w:rsidRPr="00A315F0">
        <w:rPr>
          <w:i/>
          <w:color w:val="000000" w:themeColor="text1"/>
          <w:szCs w:val="26"/>
        </w:rPr>
        <w:t>id</w:t>
      </w:r>
      <w:r w:rsidR="00A315F0">
        <w:rPr>
          <w:color w:val="000000" w:themeColor="text1"/>
          <w:szCs w:val="26"/>
        </w:rPr>
        <w:t>., at pp.</w:t>
      </w:r>
      <w:r w:rsidR="004A5625" w:rsidRPr="004177C6">
        <w:rPr>
          <w:color w:val="000000" w:themeColor="text1"/>
          <w:szCs w:val="26"/>
        </w:rPr>
        <w:t xml:space="preserve"> 30</w:t>
      </w:r>
      <w:r w:rsidR="00A315F0">
        <w:rPr>
          <w:color w:val="000000" w:themeColor="text1"/>
          <w:szCs w:val="26"/>
        </w:rPr>
        <w:t>4</w:t>
      </w:r>
      <w:r w:rsidR="004A5625" w:rsidRPr="004177C6">
        <w:rPr>
          <w:color w:val="000000" w:themeColor="text1"/>
          <w:szCs w:val="26"/>
        </w:rPr>
        <w:t>, 312.)</w:t>
      </w:r>
      <w:r w:rsidR="003C037E" w:rsidRPr="004177C6">
        <w:rPr>
          <w:color w:val="000000" w:themeColor="text1"/>
          <w:szCs w:val="26"/>
        </w:rPr>
        <w:t xml:space="preserve">  </w:t>
      </w:r>
    </w:p>
    <w:p w14:paraId="23A5A632" w14:textId="5A9A2303" w:rsidR="00D44017" w:rsidRPr="004177C6" w:rsidRDefault="00D44017" w:rsidP="004177C6">
      <w:pPr>
        <w:tabs>
          <w:tab w:val="left" w:pos="1440"/>
        </w:tabs>
        <w:ind w:firstLine="720"/>
        <w:rPr>
          <w:color w:val="000000" w:themeColor="text1"/>
          <w:szCs w:val="26"/>
        </w:rPr>
      </w:pPr>
      <w:r w:rsidRPr="004177C6">
        <w:rPr>
          <w:color w:val="000000" w:themeColor="text1"/>
          <w:szCs w:val="26"/>
        </w:rPr>
        <w:t>Other courts have pushed back on this</w:t>
      </w:r>
      <w:r w:rsidR="00C23B45" w:rsidRPr="004177C6">
        <w:rPr>
          <w:color w:val="000000" w:themeColor="text1"/>
          <w:szCs w:val="26"/>
        </w:rPr>
        <w:t xml:space="preserve"> stringent</w:t>
      </w:r>
      <w:r w:rsidRPr="004177C6">
        <w:rPr>
          <w:color w:val="000000" w:themeColor="text1"/>
          <w:szCs w:val="26"/>
        </w:rPr>
        <w:t xml:space="preserve"> </w:t>
      </w:r>
      <w:r w:rsidR="000C6A6D">
        <w:rPr>
          <w:color w:val="000000" w:themeColor="text1"/>
          <w:szCs w:val="26"/>
        </w:rPr>
        <w:t>approach to</w:t>
      </w:r>
      <w:r w:rsidR="00A72A02" w:rsidRPr="004177C6">
        <w:rPr>
          <w:color w:val="000000" w:themeColor="text1"/>
          <w:szCs w:val="26"/>
        </w:rPr>
        <w:t xml:space="preserve"> ascertainability</w:t>
      </w:r>
      <w:r w:rsidRPr="004177C6">
        <w:rPr>
          <w:color w:val="000000" w:themeColor="text1"/>
          <w:szCs w:val="26"/>
        </w:rPr>
        <w:t xml:space="preserve">.  The United States Court of Appeals for the Seventh Circuit is among the federal </w:t>
      </w:r>
      <w:r w:rsidR="006A611C" w:rsidRPr="004177C6">
        <w:rPr>
          <w:color w:val="000000" w:themeColor="text1"/>
          <w:szCs w:val="26"/>
        </w:rPr>
        <w:t>courts</w:t>
      </w:r>
      <w:r w:rsidRPr="004177C6">
        <w:rPr>
          <w:color w:val="000000" w:themeColor="text1"/>
          <w:szCs w:val="26"/>
        </w:rPr>
        <w:t xml:space="preserve"> that assign a narrower function to the ascertainability requirement.  Its decision in </w:t>
      </w:r>
      <w:r w:rsidRPr="004177C6">
        <w:rPr>
          <w:i/>
          <w:color w:val="000000" w:themeColor="text1"/>
          <w:szCs w:val="26"/>
        </w:rPr>
        <w:t>Mullins v. Direct Digital, LLC</w:t>
      </w:r>
      <w:r w:rsidRPr="004177C6">
        <w:rPr>
          <w:color w:val="000000" w:themeColor="text1"/>
          <w:szCs w:val="26"/>
        </w:rPr>
        <w:t xml:space="preserve"> (7th Cir. 2015) 795 F.3d 654 (</w:t>
      </w:r>
      <w:r w:rsidRPr="004177C6">
        <w:rPr>
          <w:i/>
          <w:color w:val="000000" w:themeColor="text1"/>
          <w:szCs w:val="26"/>
        </w:rPr>
        <w:t>Mullins</w:t>
      </w:r>
      <w:r w:rsidRPr="004177C6">
        <w:rPr>
          <w:color w:val="000000" w:themeColor="text1"/>
          <w:szCs w:val="26"/>
        </w:rPr>
        <w:t xml:space="preserve">) </w:t>
      </w:r>
      <w:r w:rsidR="000C6A6D">
        <w:rPr>
          <w:color w:val="000000" w:themeColor="text1"/>
          <w:szCs w:val="26"/>
        </w:rPr>
        <w:t>offers</w:t>
      </w:r>
      <w:r w:rsidRPr="004177C6">
        <w:rPr>
          <w:color w:val="000000" w:themeColor="text1"/>
          <w:szCs w:val="26"/>
        </w:rPr>
        <w:t xml:space="preserve"> a thorough, and</w:t>
      </w:r>
      <w:r w:rsidR="007D19BA" w:rsidRPr="004177C6">
        <w:rPr>
          <w:color w:val="000000" w:themeColor="text1"/>
          <w:szCs w:val="26"/>
        </w:rPr>
        <w:t xml:space="preserve"> in our view</w:t>
      </w:r>
      <w:r w:rsidRPr="004177C6">
        <w:rPr>
          <w:color w:val="000000" w:themeColor="text1"/>
          <w:szCs w:val="26"/>
        </w:rPr>
        <w:t xml:space="preserve"> illuminating, assessment of how ascertainability should </w:t>
      </w:r>
      <w:r w:rsidR="006A611C" w:rsidRPr="004177C6">
        <w:rPr>
          <w:color w:val="000000" w:themeColor="text1"/>
          <w:szCs w:val="26"/>
        </w:rPr>
        <w:t>be understood in</w:t>
      </w:r>
      <w:r w:rsidRPr="004177C6">
        <w:rPr>
          <w:color w:val="000000" w:themeColor="text1"/>
          <w:szCs w:val="26"/>
        </w:rPr>
        <w:t xml:space="preserve"> </w:t>
      </w:r>
      <w:r w:rsidR="00EA5D23" w:rsidRPr="004177C6">
        <w:rPr>
          <w:color w:val="000000" w:themeColor="text1"/>
          <w:szCs w:val="26"/>
        </w:rPr>
        <w:t>connection with class certification</w:t>
      </w:r>
      <w:r w:rsidRPr="004177C6">
        <w:rPr>
          <w:color w:val="000000" w:themeColor="text1"/>
          <w:szCs w:val="26"/>
        </w:rPr>
        <w:t xml:space="preserve">.  Because </w:t>
      </w:r>
      <w:r w:rsidR="006A611C" w:rsidRPr="004177C6">
        <w:rPr>
          <w:color w:val="000000" w:themeColor="text1"/>
          <w:szCs w:val="26"/>
        </w:rPr>
        <w:t>the analysis in</w:t>
      </w:r>
      <w:r w:rsidRPr="004177C6">
        <w:rPr>
          <w:color w:val="000000" w:themeColor="text1"/>
          <w:szCs w:val="26"/>
        </w:rPr>
        <w:t xml:space="preserve"> </w:t>
      </w:r>
      <w:r w:rsidRPr="004177C6">
        <w:rPr>
          <w:i/>
          <w:color w:val="000000" w:themeColor="text1"/>
          <w:szCs w:val="26"/>
        </w:rPr>
        <w:t>Mullins</w:t>
      </w:r>
      <w:r w:rsidRPr="004177C6">
        <w:rPr>
          <w:color w:val="000000" w:themeColor="text1"/>
          <w:szCs w:val="26"/>
        </w:rPr>
        <w:t xml:space="preserve"> </w:t>
      </w:r>
      <w:r w:rsidR="000C6A6D">
        <w:rPr>
          <w:color w:val="000000" w:themeColor="text1"/>
          <w:szCs w:val="26"/>
        </w:rPr>
        <w:t>i</w:t>
      </w:r>
      <w:r w:rsidRPr="004177C6">
        <w:rPr>
          <w:color w:val="000000" w:themeColor="text1"/>
          <w:szCs w:val="26"/>
        </w:rPr>
        <w:t xml:space="preserve">s particularly helpful in resolving the issue before us, </w:t>
      </w:r>
      <w:r w:rsidR="009A200E" w:rsidRPr="004177C6">
        <w:rPr>
          <w:color w:val="000000" w:themeColor="text1"/>
          <w:szCs w:val="26"/>
        </w:rPr>
        <w:t>we</w:t>
      </w:r>
      <w:r w:rsidRPr="004177C6">
        <w:rPr>
          <w:color w:val="000000" w:themeColor="text1"/>
          <w:szCs w:val="26"/>
        </w:rPr>
        <w:t xml:space="preserve"> discuss its facts and reasoning at</w:t>
      </w:r>
      <w:r w:rsidR="006A611C" w:rsidRPr="004177C6">
        <w:rPr>
          <w:color w:val="000000" w:themeColor="text1"/>
          <w:szCs w:val="26"/>
        </w:rPr>
        <w:t xml:space="preserve"> some</w:t>
      </w:r>
      <w:r w:rsidRPr="004177C6">
        <w:rPr>
          <w:color w:val="000000" w:themeColor="text1"/>
          <w:szCs w:val="26"/>
        </w:rPr>
        <w:t xml:space="preserve"> length below.</w:t>
      </w:r>
      <w:r w:rsidR="006A611C" w:rsidRPr="004177C6">
        <w:rPr>
          <w:color w:val="000000" w:themeColor="text1"/>
          <w:szCs w:val="26"/>
        </w:rPr>
        <w:t xml:space="preserve">  (See </w:t>
      </w:r>
      <w:r w:rsidR="006A611C" w:rsidRPr="004177C6">
        <w:rPr>
          <w:i/>
          <w:color w:val="000000" w:themeColor="text1"/>
          <w:szCs w:val="26"/>
        </w:rPr>
        <w:t>Linder</w:t>
      </w:r>
      <w:r w:rsidR="006A611C" w:rsidRPr="004177C6">
        <w:rPr>
          <w:color w:val="000000" w:themeColor="text1"/>
          <w:szCs w:val="26"/>
        </w:rPr>
        <w:t xml:space="preserve">, </w:t>
      </w:r>
      <w:r w:rsidR="006A611C" w:rsidRPr="004177C6">
        <w:rPr>
          <w:i/>
          <w:color w:val="000000" w:themeColor="text1"/>
          <w:szCs w:val="26"/>
        </w:rPr>
        <w:t>supra</w:t>
      </w:r>
      <w:r w:rsidR="006A611C" w:rsidRPr="004177C6">
        <w:rPr>
          <w:color w:val="000000" w:themeColor="text1"/>
          <w:szCs w:val="26"/>
        </w:rPr>
        <w:t>, 23 Cal.4th at pp. 43</w:t>
      </w:r>
      <w:r w:rsidR="00AC3158" w:rsidRPr="004177C6">
        <w:rPr>
          <w:color w:val="000000" w:themeColor="text1"/>
          <w:szCs w:val="26"/>
        </w:rPr>
        <w:t>7</w:t>
      </w:r>
      <w:r w:rsidR="006A611C" w:rsidRPr="004177C6">
        <w:rPr>
          <w:color w:val="000000" w:themeColor="text1"/>
          <w:szCs w:val="26"/>
        </w:rPr>
        <w:t xml:space="preserve">-439 [consulting federal court decisions construing </w:t>
      </w:r>
      <w:r w:rsidR="00A315F0">
        <w:rPr>
          <w:color w:val="000000" w:themeColor="text1"/>
          <w:szCs w:val="26"/>
        </w:rPr>
        <w:t>R</w:t>
      </w:r>
      <w:r w:rsidR="002C04F6">
        <w:rPr>
          <w:color w:val="000000" w:themeColor="text1"/>
          <w:szCs w:val="26"/>
        </w:rPr>
        <w:t xml:space="preserve">ule 23 </w:t>
      </w:r>
      <w:r w:rsidR="006A611C" w:rsidRPr="004177C6">
        <w:rPr>
          <w:color w:val="000000" w:themeColor="text1"/>
          <w:szCs w:val="26"/>
        </w:rPr>
        <w:t xml:space="preserve">for guidance in dealing </w:t>
      </w:r>
      <w:r w:rsidR="00450F92" w:rsidRPr="004177C6">
        <w:rPr>
          <w:color w:val="000000" w:themeColor="text1"/>
          <w:szCs w:val="26"/>
        </w:rPr>
        <w:t>with</w:t>
      </w:r>
      <w:r w:rsidR="006A611C" w:rsidRPr="004177C6">
        <w:rPr>
          <w:color w:val="000000" w:themeColor="text1"/>
          <w:szCs w:val="26"/>
        </w:rPr>
        <w:t xml:space="preserve"> similar </w:t>
      </w:r>
      <w:r w:rsidR="004C378E" w:rsidRPr="004177C6">
        <w:rPr>
          <w:color w:val="000000" w:themeColor="text1"/>
          <w:szCs w:val="26"/>
        </w:rPr>
        <w:t xml:space="preserve">class certification </w:t>
      </w:r>
      <w:r w:rsidR="006A611C" w:rsidRPr="004177C6">
        <w:rPr>
          <w:color w:val="000000" w:themeColor="text1"/>
          <w:szCs w:val="26"/>
        </w:rPr>
        <w:t xml:space="preserve">issues </w:t>
      </w:r>
      <w:r w:rsidR="004C378E">
        <w:rPr>
          <w:color w:val="000000" w:themeColor="text1"/>
          <w:szCs w:val="26"/>
        </w:rPr>
        <w:t>arising</w:t>
      </w:r>
      <w:r w:rsidR="006A611C" w:rsidRPr="004177C6">
        <w:rPr>
          <w:color w:val="000000" w:themeColor="text1"/>
          <w:szCs w:val="26"/>
        </w:rPr>
        <w:t xml:space="preserve"> under state law].)</w:t>
      </w:r>
    </w:p>
    <w:p w14:paraId="24E59A77" w14:textId="1D29D4A6" w:rsidR="00D44017" w:rsidRPr="004177C6" w:rsidRDefault="00D44017" w:rsidP="004177C6">
      <w:pPr>
        <w:tabs>
          <w:tab w:val="left" w:pos="1440"/>
        </w:tabs>
        <w:ind w:firstLine="720"/>
        <w:rPr>
          <w:color w:val="000000" w:themeColor="text1"/>
          <w:szCs w:val="26"/>
        </w:rPr>
      </w:pPr>
      <w:r w:rsidRPr="004177C6">
        <w:rPr>
          <w:color w:val="000000" w:themeColor="text1"/>
          <w:szCs w:val="26"/>
        </w:rPr>
        <w:t xml:space="preserve">The plaintiff in </w:t>
      </w:r>
      <w:r w:rsidRPr="004177C6">
        <w:rPr>
          <w:i/>
          <w:color w:val="000000" w:themeColor="text1"/>
          <w:szCs w:val="26"/>
        </w:rPr>
        <w:t>Mullins</w:t>
      </w:r>
      <w:r w:rsidRPr="004177C6">
        <w:rPr>
          <w:color w:val="000000" w:themeColor="text1"/>
          <w:szCs w:val="26"/>
        </w:rPr>
        <w:t xml:space="preserve">, </w:t>
      </w:r>
      <w:r w:rsidRPr="004177C6">
        <w:rPr>
          <w:i/>
          <w:color w:val="000000" w:themeColor="text1"/>
          <w:szCs w:val="26"/>
        </w:rPr>
        <w:t>supra</w:t>
      </w:r>
      <w:r w:rsidRPr="004177C6">
        <w:rPr>
          <w:color w:val="000000" w:themeColor="text1"/>
          <w:szCs w:val="26"/>
        </w:rPr>
        <w:t xml:space="preserve">, 795 F.3d 654, </w:t>
      </w:r>
      <w:r w:rsidR="001F0F71">
        <w:rPr>
          <w:color w:val="000000" w:themeColor="text1"/>
          <w:szCs w:val="26"/>
        </w:rPr>
        <w:t>secured</w:t>
      </w:r>
      <w:r w:rsidRPr="004177C6">
        <w:rPr>
          <w:color w:val="000000" w:themeColor="text1"/>
          <w:szCs w:val="26"/>
        </w:rPr>
        <w:t xml:space="preserve"> </w:t>
      </w:r>
      <w:r w:rsidR="001F0F71">
        <w:rPr>
          <w:color w:val="000000" w:themeColor="text1"/>
          <w:szCs w:val="26"/>
        </w:rPr>
        <w:t xml:space="preserve">the </w:t>
      </w:r>
      <w:r w:rsidRPr="004177C6">
        <w:rPr>
          <w:color w:val="000000" w:themeColor="text1"/>
          <w:szCs w:val="26"/>
        </w:rPr>
        <w:t>certification</w:t>
      </w:r>
      <w:r w:rsidR="006A611C" w:rsidRPr="004177C6">
        <w:rPr>
          <w:color w:val="000000" w:themeColor="text1"/>
          <w:szCs w:val="26"/>
        </w:rPr>
        <w:t xml:space="preserve"> of a consumer class</w:t>
      </w:r>
      <w:r w:rsidRPr="004177C6">
        <w:rPr>
          <w:color w:val="000000" w:themeColor="text1"/>
          <w:szCs w:val="26"/>
        </w:rPr>
        <w:t xml:space="preserve"> under </w:t>
      </w:r>
      <w:r w:rsidR="00A315F0">
        <w:rPr>
          <w:color w:val="000000" w:themeColor="text1"/>
          <w:szCs w:val="26"/>
        </w:rPr>
        <w:t>R</w:t>
      </w:r>
      <w:r w:rsidRPr="004177C6">
        <w:rPr>
          <w:color w:val="000000" w:themeColor="text1"/>
          <w:szCs w:val="26"/>
        </w:rPr>
        <w:t xml:space="preserve">ule 23(b)(3) </w:t>
      </w:r>
      <w:r w:rsidR="001F0F71">
        <w:rPr>
          <w:color w:val="000000" w:themeColor="text1"/>
          <w:szCs w:val="26"/>
        </w:rPr>
        <w:t xml:space="preserve">in a matter alleging </w:t>
      </w:r>
      <w:r w:rsidR="00734CF0" w:rsidRPr="004177C6">
        <w:rPr>
          <w:color w:val="000000" w:themeColor="text1"/>
          <w:szCs w:val="26"/>
        </w:rPr>
        <w:t>that the defendant made fraudulent representations in marketing a dietary joint supplement</w:t>
      </w:r>
      <w:r w:rsidRPr="004177C6">
        <w:rPr>
          <w:color w:val="000000" w:themeColor="text1"/>
          <w:szCs w:val="26"/>
        </w:rPr>
        <w:t>.</w:t>
      </w:r>
      <w:r w:rsidR="00734CF0" w:rsidRPr="004177C6">
        <w:rPr>
          <w:color w:val="000000" w:themeColor="text1"/>
          <w:szCs w:val="26"/>
        </w:rPr>
        <w:t xml:space="preserve"> </w:t>
      </w:r>
      <w:r w:rsidRPr="004177C6">
        <w:rPr>
          <w:color w:val="000000" w:themeColor="text1"/>
          <w:szCs w:val="26"/>
        </w:rPr>
        <w:t xml:space="preserve"> </w:t>
      </w:r>
      <w:r w:rsidR="00734CF0" w:rsidRPr="004177C6">
        <w:rPr>
          <w:color w:val="000000" w:themeColor="text1"/>
          <w:szCs w:val="26"/>
        </w:rPr>
        <w:t>(</w:t>
      </w:r>
      <w:r w:rsidR="0007416B" w:rsidRPr="004177C6">
        <w:rPr>
          <w:i/>
          <w:color w:val="000000" w:themeColor="text1"/>
          <w:szCs w:val="26"/>
        </w:rPr>
        <w:t>Mullins</w:t>
      </w:r>
      <w:r w:rsidR="00734CF0" w:rsidRPr="004177C6">
        <w:rPr>
          <w:color w:val="000000" w:themeColor="text1"/>
          <w:szCs w:val="26"/>
        </w:rPr>
        <w:t>, at p. 658.)</w:t>
      </w:r>
      <w:r w:rsidRPr="004177C6">
        <w:rPr>
          <w:color w:val="000000" w:themeColor="text1"/>
          <w:szCs w:val="26"/>
        </w:rPr>
        <w:t xml:space="preserve"> </w:t>
      </w:r>
      <w:r w:rsidR="00734CF0" w:rsidRPr="004177C6">
        <w:rPr>
          <w:color w:val="000000" w:themeColor="text1"/>
          <w:szCs w:val="26"/>
        </w:rPr>
        <w:t xml:space="preserve"> </w:t>
      </w:r>
      <w:r w:rsidRPr="004177C6">
        <w:rPr>
          <w:color w:val="000000" w:themeColor="text1"/>
          <w:szCs w:val="26"/>
        </w:rPr>
        <w:t xml:space="preserve">Drawing from the Third Circuit’s jurisprudence, the defendant </w:t>
      </w:r>
      <w:r w:rsidR="00EA5D23" w:rsidRPr="004177C6">
        <w:rPr>
          <w:color w:val="000000" w:themeColor="text1"/>
          <w:szCs w:val="26"/>
        </w:rPr>
        <w:t xml:space="preserve">in </w:t>
      </w:r>
      <w:r w:rsidR="00EA5D23" w:rsidRPr="004177C6">
        <w:rPr>
          <w:i/>
          <w:color w:val="000000" w:themeColor="text1"/>
          <w:szCs w:val="26"/>
        </w:rPr>
        <w:t>Mullins</w:t>
      </w:r>
      <w:r w:rsidR="00EA5D23" w:rsidRPr="004177C6">
        <w:rPr>
          <w:color w:val="000000" w:themeColor="text1"/>
          <w:szCs w:val="26"/>
        </w:rPr>
        <w:t xml:space="preserve"> </w:t>
      </w:r>
      <w:r w:rsidRPr="004177C6">
        <w:rPr>
          <w:color w:val="000000" w:themeColor="text1"/>
          <w:szCs w:val="26"/>
        </w:rPr>
        <w:t xml:space="preserve">argued </w:t>
      </w:r>
      <w:r w:rsidR="001F0F71">
        <w:rPr>
          <w:color w:val="000000" w:themeColor="text1"/>
          <w:szCs w:val="26"/>
        </w:rPr>
        <w:t xml:space="preserve">on appeal of the certification order </w:t>
      </w:r>
      <w:r w:rsidRPr="004177C6">
        <w:rPr>
          <w:color w:val="000000" w:themeColor="text1"/>
          <w:szCs w:val="26"/>
        </w:rPr>
        <w:t>that the class was not ascertainable because the plaintiff had “fail[ed] to show a reliable and administratively feasible way to determine whether a particular person is a member of the class.”  (</w:t>
      </w:r>
      <w:r w:rsidRPr="004177C6">
        <w:rPr>
          <w:i/>
          <w:color w:val="000000" w:themeColor="text1"/>
          <w:szCs w:val="26"/>
        </w:rPr>
        <w:t>Id</w:t>
      </w:r>
      <w:r w:rsidRPr="004177C6">
        <w:rPr>
          <w:color w:val="000000" w:themeColor="text1"/>
          <w:szCs w:val="26"/>
        </w:rPr>
        <w:t>., at p.</w:t>
      </w:r>
      <w:r w:rsidR="00E71346" w:rsidRPr="004177C6">
        <w:rPr>
          <w:color w:val="000000" w:themeColor="text1"/>
          <w:szCs w:val="26"/>
        </w:rPr>
        <w:t> </w:t>
      </w:r>
      <w:r w:rsidRPr="004177C6">
        <w:rPr>
          <w:color w:val="000000" w:themeColor="text1"/>
          <w:szCs w:val="26"/>
        </w:rPr>
        <w:t xml:space="preserve">661.)  </w:t>
      </w:r>
    </w:p>
    <w:p w14:paraId="176399F4" w14:textId="2616B755" w:rsidR="00D44017" w:rsidRPr="004177C6" w:rsidRDefault="00D44017" w:rsidP="004177C6">
      <w:pPr>
        <w:tabs>
          <w:tab w:val="left" w:pos="1440"/>
        </w:tabs>
        <w:ind w:firstLine="720"/>
        <w:rPr>
          <w:color w:val="000000" w:themeColor="text1"/>
          <w:szCs w:val="26"/>
        </w:rPr>
      </w:pPr>
      <w:r w:rsidRPr="004177C6">
        <w:rPr>
          <w:color w:val="000000" w:themeColor="text1"/>
          <w:szCs w:val="26"/>
        </w:rPr>
        <w:t xml:space="preserve">The appellate court in </w:t>
      </w:r>
      <w:r w:rsidRPr="004177C6">
        <w:rPr>
          <w:i/>
          <w:color w:val="000000" w:themeColor="text1"/>
          <w:szCs w:val="26"/>
        </w:rPr>
        <w:t>Mullins</w:t>
      </w:r>
      <w:r w:rsidRPr="004177C6">
        <w:rPr>
          <w:color w:val="000000" w:themeColor="text1"/>
          <w:szCs w:val="26"/>
        </w:rPr>
        <w:t>,</w:t>
      </w:r>
      <w:r w:rsidRPr="004177C6">
        <w:rPr>
          <w:i/>
          <w:color w:val="000000" w:themeColor="text1"/>
          <w:szCs w:val="26"/>
        </w:rPr>
        <w:t xml:space="preserve"> supra</w:t>
      </w:r>
      <w:r w:rsidRPr="004177C6">
        <w:rPr>
          <w:color w:val="000000" w:themeColor="text1"/>
          <w:szCs w:val="26"/>
        </w:rPr>
        <w:t xml:space="preserve">, 795 F.3d 654, rejected this </w:t>
      </w:r>
      <w:r w:rsidR="007A1AF0">
        <w:rPr>
          <w:color w:val="000000" w:themeColor="text1"/>
          <w:szCs w:val="26"/>
        </w:rPr>
        <w:t>view of ascertainability</w:t>
      </w:r>
      <w:r w:rsidRPr="004177C6">
        <w:rPr>
          <w:color w:val="000000" w:themeColor="text1"/>
          <w:szCs w:val="26"/>
        </w:rPr>
        <w:t xml:space="preserve"> and affirmed the</w:t>
      </w:r>
      <w:r w:rsidR="001F0F71">
        <w:rPr>
          <w:color w:val="000000" w:themeColor="text1"/>
          <w:szCs w:val="26"/>
        </w:rPr>
        <w:t xml:space="preserve"> class certification</w:t>
      </w:r>
      <w:r w:rsidRPr="004177C6">
        <w:rPr>
          <w:color w:val="000000" w:themeColor="text1"/>
          <w:szCs w:val="26"/>
        </w:rPr>
        <w:t xml:space="preserve"> order entered by the district court.  </w:t>
      </w:r>
      <w:r w:rsidR="00E31D81" w:rsidRPr="004177C6">
        <w:rPr>
          <w:color w:val="000000" w:themeColor="text1"/>
          <w:szCs w:val="26"/>
        </w:rPr>
        <w:t>(</w:t>
      </w:r>
      <w:r w:rsidR="00E31D81" w:rsidRPr="004177C6">
        <w:rPr>
          <w:i/>
          <w:color w:val="000000" w:themeColor="text1"/>
          <w:szCs w:val="26"/>
        </w:rPr>
        <w:t>Id</w:t>
      </w:r>
      <w:r w:rsidR="00E31D81" w:rsidRPr="004177C6">
        <w:rPr>
          <w:color w:val="000000" w:themeColor="text1"/>
          <w:szCs w:val="26"/>
        </w:rPr>
        <w:t xml:space="preserve">., at p. 658.)  </w:t>
      </w:r>
      <w:r w:rsidRPr="004177C6">
        <w:rPr>
          <w:color w:val="000000" w:themeColor="text1"/>
          <w:szCs w:val="26"/>
        </w:rPr>
        <w:t>In doing so, the federal court of appeals distinguished between a relatively uncontroversial “</w:t>
      </w:r>
      <w:r w:rsidR="003D6A8A">
        <w:rPr>
          <w:color w:val="000000" w:themeColor="text1"/>
          <w:szCs w:val="26"/>
        </w:rPr>
        <w:t> ‘</w:t>
      </w:r>
      <w:r w:rsidRPr="004177C6">
        <w:rPr>
          <w:color w:val="000000" w:themeColor="text1"/>
          <w:szCs w:val="26"/>
        </w:rPr>
        <w:t>weak</w:t>
      </w:r>
      <w:r w:rsidR="003D6A8A">
        <w:rPr>
          <w:color w:val="000000" w:themeColor="text1"/>
          <w:szCs w:val="26"/>
        </w:rPr>
        <w:t>’ </w:t>
      </w:r>
      <w:r w:rsidRPr="004177C6">
        <w:rPr>
          <w:color w:val="000000" w:themeColor="text1"/>
          <w:szCs w:val="26"/>
        </w:rPr>
        <w:t xml:space="preserve"> version of ascertainability,</w:t>
      </w:r>
      <w:r w:rsidR="00A315F0" w:rsidRPr="004177C6">
        <w:rPr>
          <w:color w:val="000000" w:themeColor="text1"/>
          <w:szCs w:val="26"/>
        </w:rPr>
        <w:t>”</w:t>
      </w:r>
      <w:r w:rsidRPr="004177C6">
        <w:rPr>
          <w:color w:val="000000" w:themeColor="text1"/>
          <w:szCs w:val="26"/>
        </w:rPr>
        <w:t xml:space="preserve"> and the more </w:t>
      </w:r>
      <w:r w:rsidR="006A611C" w:rsidRPr="004177C6">
        <w:rPr>
          <w:color w:val="000000" w:themeColor="text1"/>
          <w:szCs w:val="26"/>
        </w:rPr>
        <w:t>demanding</w:t>
      </w:r>
      <w:r w:rsidRPr="004177C6">
        <w:rPr>
          <w:color w:val="000000" w:themeColor="text1"/>
          <w:szCs w:val="26"/>
        </w:rPr>
        <w:t xml:space="preserve"> ascertainability </w:t>
      </w:r>
      <w:r w:rsidR="006A611C" w:rsidRPr="004177C6">
        <w:rPr>
          <w:color w:val="000000" w:themeColor="text1"/>
          <w:szCs w:val="26"/>
        </w:rPr>
        <w:t>standard</w:t>
      </w:r>
      <w:r w:rsidRPr="004177C6">
        <w:rPr>
          <w:color w:val="000000" w:themeColor="text1"/>
          <w:szCs w:val="26"/>
        </w:rPr>
        <w:t xml:space="preserve"> adopted by the Third Circuit.  </w:t>
      </w:r>
      <w:r w:rsidR="00883992" w:rsidRPr="004177C6">
        <w:rPr>
          <w:color w:val="000000" w:themeColor="text1"/>
          <w:szCs w:val="26"/>
        </w:rPr>
        <w:t>(</w:t>
      </w:r>
      <w:r w:rsidR="00883992" w:rsidRPr="004177C6">
        <w:rPr>
          <w:i/>
          <w:color w:val="000000" w:themeColor="text1"/>
          <w:szCs w:val="26"/>
        </w:rPr>
        <w:t>Id</w:t>
      </w:r>
      <w:r w:rsidR="00883992" w:rsidRPr="004177C6">
        <w:rPr>
          <w:color w:val="000000" w:themeColor="text1"/>
          <w:szCs w:val="26"/>
        </w:rPr>
        <w:t xml:space="preserve">., at p. 659.)  </w:t>
      </w:r>
      <w:r w:rsidRPr="004177C6">
        <w:rPr>
          <w:color w:val="000000" w:themeColor="text1"/>
          <w:szCs w:val="26"/>
        </w:rPr>
        <w:t>The “</w:t>
      </w:r>
      <w:r w:rsidR="00A315F0">
        <w:rPr>
          <w:color w:val="000000" w:themeColor="text1"/>
          <w:szCs w:val="26"/>
        </w:rPr>
        <w:t> ‘</w:t>
      </w:r>
      <w:r w:rsidRPr="004177C6">
        <w:rPr>
          <w:color w:val="000000" w:themeColor="text1"/>
          <w:szCs w:val="26"/>
        </w:rPr>
        <w:t>weak</w:t>
      </w:r>
      <w:r w:rsidR="00A315F0">
        <w:rPr>
          <w:color w:val="000000" w:themeColor="text1"/>
          <w:szCs w:val="26"/>
        </w:rPr>
        <w:t>’ </w:t>
      </w:r>
      <w:r w:rsidRPr="004177C6">
        <w:rPr>
          <w:color w:val="000000" w:themeColor="text1"/>
          <w:szCs w:val="26"/>
        </w:rPr>
        <w:t xml:space="preserve">” construction of ascertainability, the court explained, derives from “experience [that] has led courts to require that classes be defined clearly and based on objective criteria.”  </w:t>
      </w:r>
      <w:r w:rsidR="00E31D81" w:rsidRPr="004177C6">
        <w:rPr>
          <w:color w:val="000000" w:themeColor="text1"/>
          <w:szCs w:val="26"/>
        </w:rPr>
        <w:t>(</w:t>
      </w:r>
      <w:r w:rsidR="00E31D81" w:rsidRPr="004177C6">
        <w:rPr>
          <w:i/>
          <w:color w:val="000000" w:themeColor="text1"/>
          <w:szCs w:val="26"/>
        </w:rPr>
        <w:t>I</w:t>
      </w:r>
      <w:r w:rsidR="00883992">
        <w:rPr>
          <w:i/>
          <w:color w:val="000000" w:themeColor="text1"/>
          <w:szCs w:val="26"/>
        </w:rPr>
        <w:t>bi</w:t>
      </w:r>
      <w:r w:rsidR="00E31D81" w:rsidRPr="004177C6">
        <w:rPr>
          <w:i/>
          <w:color w:val="000000" w:themeColor="text1"/>
          <w:szCs w:val="26"/>
        </w:rPr>
        <w:t>d</w:t>
      </w:r>
      <w:r w:rsidR="00E31D81" w:rsidRPr="004177C6">
        <w:rPr>
          <w:color w:val="000000" w:themeColor="text1"/>
          <w:szCs w:val="26"/>
        </w:rPr>
        <w:t xml:space="preserve">.)  </w:t>
      </w:r>
      <w:r w:rsidRPr="004177C6">
        <w:rPr>
          <w:color w:val="000000" w:themeColor="text1"/>
          <w:szCs w:val="26"/>
        </w:rPr>
        <w:t xml:space="preserve">Even in this weak form, </w:t>
      </w:r>
      <w:r w:rsidRPr="004177C6">
        <w:rPr>
          <w:i/>
          <w:color w:val="000000" w:themeColor="text1"/>
          <w:szCs w:val="26"/>
        </w:rPr>
        <w:t>Mullins</w:t>
      </w:r>
      <w:r w:rsidRPr="004177C6">
        <w:rPr>
          <w:color w:val="000000" w:themeColor="text1"/>
          <w:szCs w:val="26"/>
        </w:rPr>
        <w:t xml:space="preserve"> elaborated, the requirement of a clearly defined class based on objective criteria </w:t>
      </w:r>
      <w:r w:rsidR="003B60C6">
        <w:rPr>
          <w:color w:val="000000" w:themeColor="text1"/>
          <w:szCs w:val="26"/>
        </w:rPr>
        <w:t xml:space="preserve">is far from toothless, for it </w:t>
      </w:r>
      <w:r w:rsidRPr="004177C6">
        <w:rPr>
          <w:color w:val="000000" w:themeColor="text1"/>
          <w:szCs w:val="26"/>
        </w:rPr>
        <w:t>serves to weed out “classes that are defined too vaguely”</w:t>
      </w:r>
      <w:r w:rsidR="00A315F0">
        <w:rPr>
          <w:color w:val="000000" w:themeColor="text1"/>
          <w:szCs w:val="26"/>
        </w:rPr>
        <w:t xml:space="preserve"> (</w:t>
      </w:r>
      <w:r w:rsidR="00A315F0" w:rsidRPr="00A315F0">
        <w:rPr>
          <w:i/>
          <w:color w:val="000000" w:themeColor="text1"/>
          <w:szCs w:val="26"/>
        </w:rPr>
        <w:t>ibid</w:t>
      </w:r>
      <w:r w:rsidR="00A315F0">
        <w:rPr>
          <w:color w:val="000000" w:themeColor="text1"/>
          <w:szCs w:val="26"/>
        </w:rPr>
        <w:t>.),</w:t>
      </w:r>
      <w:r w:rsidRPr="004177C6">
        <w:rPr>
          <w:color w:val="000000" w:themeColor="text1"/>
          <w:szCs w:val="26"/>
        </w:rPr>
        <w:t xml:space="preserve"> “classes that are defined by subjective criteria, such as by a person’s state of mind”</w:t>
      </w:r>
      <w:r w:rsidR="00A315F0">
        <w:rPr>
          <w:color w:val="000000" w:themeColor="text1"/>
          <w:szCs w:val="26"/>
        </w:rPr>
        <w:t xml:space="preserve"> (</w:t>
      </w:r>
      <w:r w:rsidR="00A315F0" w:rsidRPr="00A315F0">
        <w:rPr>
          <w:i/>
          <w:color w:val="000000" w:themeColor="text1"/>
          <w:szCs w:val="26"/>
        </w:rPr>
        <w:t>id</w:t>
      </w:r>
      <w:r w:rsidR="00A315F0">
        <w:rPr>
          <w:color w:val="000000" w:themeColor="text1"/>
          <w:szCs w:val="26"/>
        </w:rPr>
        <w:t>., at p. 660),</w:t>
      </w:r>
      <w:r w:rsidRPr="004177C6">
        <w:rPr>
          <w:color w:val="000000" w:themeColor="text1"/>
          <w:szCs w:val="26"/>
        </w:rPr>
        <w:t xml:space="preserve"> and “classes that are defined in terms of success on the merits — so-called ‘fail-safe classes’</w:t>
      </w:r>
      <w:r w:rsidR="00EA5D23" w:rsidRPr="004177C6">
        <w:rPr>
          <w:color w:val="000000" w:themeColor="text1"/>
          <w:szCs w:val="26"/>
        </w:rPr>
        <w:t> </w:t>
      </w:r>
      <w:r w:rsidRPr="004177C6">
        <w:rPr>
          <w:color w:val="000000" w:themeColor="text1"/>
          <w:szCs w:val="26"/>
        </w:rPr>
        <w:t>”</w:t>
      </w:r>
      <w:r w:rsidR="00A315F0">
        <w:rPr>
          <w:color w:val="000000" w:themeColor="text1"/>
          <w:szCs w:val="26"/>
        </w:rPr>
        <w:t xml:space="preserve"> (</w:t>
      </w:r>
      <w:r w:rsidR="00A315F0" w:rsidRPr="00A315F0">
        <w:rPr>
          <w:i/>
          <w:color w:val="000000" w:themeColor="text1"/>
          <w:szCs w:val="26"/>
        </w:rPr>
        <w:t>ibid</w:t>
      </w:r>
      <w:r w:rsidR="00A315F0">
        <w:rPr>
          <w:color w:val="000000" w:themeColor="text1"/>
          <w:szCs w:val="26"/>
        </w:rPr>
        <w:t>.),</w:t>
      </w:r>
      <w:r w:rsidRPr="004177C6">
        <w:rPr>
          <w:color w:val="000000" w:themeColor="text1"/>
          <w:szCs w:val="26"/>
        </w:rPr>
        <w:t xml:space="preserve"> all of which raise due process or other fairness concerns.  </w:t>
      </w:r>
      <w:r w:rsidR="003B60C6">
        <w:rPr>
          <w:color w:val="000000" w:themeColor="text1"/>
          <w:szCs w:val="26"/>
        </w:rPr>
        <w:t xml:space="preserve">The </w:t>
      </w:r>
      <w:r w:rsidR="003B60C6" w:rsidRPr="003B60C6">
        <w:rPr>
          <w:i/>
          <w:iCs/>
          <w:color w:val="000000" w:themeColor="text1"/>
          <w:szCs w:val="26"/>
        </w:rPr>
        <w:t>Mullins</w:t>
      </w:r>
      <w:r w:rsidR="003B60C6">
        <w:rPr>
          <w:color w:val="000000" w:themeColor="text1"/>
          <w:szCs w:val="26"/>
        </w:rPr>
        <w:t xml:space="preserve"> court regarded this approach to ascertainability as striking an appropriate balance, whereas </w:t>
      </w:r>
      <w:r w:rsidRPr="004177C6">
        <w:rPr>
          <w:color w:val="000000" w:themeColor="text1"/>
          <w:szCs w:val="26"/>
        </w:rPr>
        <w:t xml:space="preserve">the </w:t>
      </w:r>
      <w:r w:rsidR="006A611C" w:rsidRPr="004177C6">
        <w:rPr>
          <w:color w:val="000000" w:themeColor="text1"/>
          <w:szCs w:val="26"/>
        </w:rPr>
        <w:t xml:space="preserve">Third Circuit’s </w:t>
      </w:r>
      <w:r w:rsidR="00EA5D23" w:rsidRPr="004177C6">
        <w:rPr>
          <w:color w:val="000000" w:themeColor="text1"/>
          <w:szCs w:val="26"/>
        </w:rPr>
        <w:t xml:space="preserve">more exacting </w:t>
      </w:r>
      <w:r w:rsidR="003B60C6">
        <w:rPr>
          <w:color w:val="000000" w:themeColor="text1"/>
          <w:szCs w:val="26"/>
        </w:rPr>
        <w:t>conception of this requirement</w:t>
      </w:r>
      <w:r w:rsidRPr="004177C6">
        <w:rPr>
          <w:color w:val="000000" w:themeColor="text1"/>
          <w:szCs w:val="26"/>
        </w:rPr>
        <w:t xml:space="preserve"> </w:t>
      </w:r>
      <w:r w:rsidR="003B60C6">
        <w:rPr>
          <w:color w:val="000000" w:themeColor="text1"/>
          <w:szCs w:val="26"/>
        </w:rPr>
        <w:t>did not</w:t>
      </w:r>
      <w:r w:rsidR="001F0F71">
        <w:rPr>
          <w:color w:val="000000" w:themeColor="text1"/>
          <w:szCs w:val="26"/>
        </w:rPr>
        <w:t>.</w:t>
      </w:r>
      <w:r w:rsidRPr="004177C6">
        <w:rPr>
          <w:color w:val="000000" w:themeColor="text1"/>
          <w:szCs w:val="26"/>
        </w:rPr>
        <w:t xml:space="preserve"> </w:t>
      </w:r>
      <w:r w:rsidR="001F0F71">
        <w:rPr>
          <w:color w:val="000000" w:themeColor="text1"/>
          <w:szCs w:val="26"/>
        </w:rPr>
        <w:t xml:space="preserve"> </w:t>
      </w:r>
      <w:r w:rsidR="003B60C6">
        <w:rPr>
          <w:color w:val="000000" w:themeColor="text1"/>
          <w:szCs w:val="26"/>
        </w:rPr>
        <w:t xml:space="preserve">In the view of the </w:t>
      </w:r>
      <w:r w:rsidR="003B60C6" w:rsidRPr="003B60C6">
        <w:rPr>
          <w:i/>
          <w:iCs/>
          <w:color w:val="000000" w:themeColor="text1"/>
          <w:szCs w:val="26"/>
        </w:rPr>
        <w:t>Mullins</w:t>
      </w:r>
      <w:r w:rsidR="003B60C6">
        <w:rPr>
          <w:color w:val="000000" w:themeColor="text1"/>
          <w:szCs w:val="26"/>
        </w:rPr>
        <w:t xml:space="preserve"> court,</w:t>
      </w:r>
      <w:r w:rsidR="001F0F71">
        <w:rPr>
          <w:color w:val="000000" w:themeColor="text1"/>
          <w:szCs w:val="26"/>
        </w:rPr>
        <w:t xml:space="preserve"> th</w:t>
      </w:r>
      <w:r w:rsidR="003B60C6">
        <w:rPr>
          <w:color w:val="000000" w:themeColor="text1"/>
          <w:szCs w:val="26"/>
        </w:rPr>
        <w:t>e</w:t>
      </w:r>
      <w:r w:rsidR="001F0F71">
        <w:rPr>
          <w:color w:val="000000" w:themeColor="text1"/>
          <w:szCs w:val="26"/>
        </w:rPr>
        <w:t xml:space="preserve"> more</w:t>
      </w:r>
      <w:r w:rsidRPr="004177C6">
        <w:rPr>
          <w:color w:val="000000" w:themeColor="text1"/>
          <w:szCs w:val="26"/>
        </w:rPr>
        <w:t xml:space="preserve"> demanding specification “does not further any interest of Rule 23 that is not already adequately protected by the </w:t>
      </w:r>
      <w:r w:rsidR="003D6A8A">
        <w:rPr>
          <w:color w:val="000000" w:themeColor="text1"/>
          <w:szCs w:val="26"/>
        </w:rPr>
        <w:t>R</w:t>
      </w:r>
      <w:r w:rsidRPr="004177C6">
        <w:rPr>
          <w:color w:val="000000" w:themeColor="text1"/>
          <w:szCs w:val="26"/>
        </w:rPr>
        <w:t>ule’s explicit requirements.  On the other side of the balance, the costs of imposing the requirement are substantial.  The stringent version of ascertainability effectively bars low-value consumer class actions, at least where plaintiffs do not have documentary proof of purchases, and sometimes even when they do.”  (</w:t>
      </w:r>
      <w:r w:rsidRPr="004177C6">
        <w:rPr>
          <w:i/>
          <w:color w:val="000000" w:themeColor="text1"/>
          <w:szCs w:val="26"/>
        </w:rPr>
        <w:t>Id</w:t>
      </w:r>
      <w:r w:rsidRPr="004177C6">
        <w:rPr>
          <w:color w:val="000000" w:themeColor="text1"/>
          <w:szCs w:val="26"/>
        </w:rPr>
        <w:t>., at p.</w:t>
      </w:r>
      <w:r w:rsidR="00827E0F">
        <w:rPr>
          <w:color w:val="000000" w:themeColor="text1"/>
          <w:szCs w:val="26"/>
        </w:rPr>
        <w:t> </w:t>
      </w:r>
      <w:r w:rsidRPr="004177C6">
        <w:rPr>
          <w:color w:val="000000" w:themeColor="text1"/>
          <w:szCs w:val="26"/>
        </w:rPr>
        <w:t xml:space="preserve">662.)  </w:t>
      </w:r>
    </w:p>
    <w:p w14:paraId="6315ED7F" w14:textId="796F487C" w:rsidR="00C14324" w:rsidRDefault="00D44017" w:rsidP="004177C6">
      <w:pPr>
        <w:tabs>
          <w:tab w:val="left" w:pos="1440"/>
        </w:tabs>
        <w:ind w:firstLine="720"/>
        <w:rPr>
          <w:color w:val="000000" w:themeColor="text1"/>
          <w:szCs w:val="26"/>
        </w:rPr>
      </w:pPr>
      <w:r w:rsidRPr="004177C6">
        <w:rPr>
          <w:i/>
          <w:color w:val="000000" w:themeColor="text1"/>
          <w:szCs w:val="26"/>
        </w:rPr>
        <w:t>Mullins</w:t>
      </w:r>
      <w:r w:rsidRPr="004177C6">
        <w:rPr>
          <w:color w:val="000000" w:themeColor="text1"/>
          <w:szCs w:val="26"/>
        </w:rPr>
        <w:t xml:space="preserve">, </w:t>
      </w:r>
      <w:r w:rsidRPr="004177C6">
        <w:rPr>
          <w:i/>
          <w:color w:val="000000" w:themeColor="text1"/>
          <w:szCs w:val="26"/>
        </w:rPr>
        <w:t>supra</w:t>
      </w:r>
      <w:r w:rsidRPr="004177C6">
        <w:rPr>
          <w:color w:val="000000" w:themeColor="text1"/>
          <w:szCs w:val="26"/>
        </w:rPr>
        <w:t xml:space="preserve">, 795 F.3d 654 </w:t>
      </w:r>
      <w:r w:rsidR="001F0F71">
        <w:rPr>
          <w:color w:val="000000" w:themeColor="text1"/>
          <w:szCs w:val="26"/>
        </w:rPr>
        <w:t xml:space="preserve">then proceeded to </w:t>
      </w:r>
      <w:r w:rsidR="006A611C" w:rsidRPr="004177C6">
        <w:rPr>
          <w:color w:val="000000" w:themeColor="text1"/>
          <w:szCs w:val="26"/>
        </w:rPr>
        <w:t>dissect</w:t>
      </w:r>
      <w:r w:rsidRPr="004177C6">
        <w:rPr>
          <w:color w:val="000000" w:themeColor="text1"/>
          <w:szCs w:val="26"/>
        </w:rPr>
        <w:t xml:space="preserve"> the </w:t>
      </w:r>
      <w:r w:rsidR="003B60C6">
        <w:rPr>
          <w:color w:val="000000" w:themeColor="text1"/>
          <w:szCs w:val="26"/>
        </w:rPr>
        <w:t xml:space="preserve">specific </w:t>
      </w:r>
      <w:r w:rsidR="007A1AF0">
        <w:rPr>
          <w:color w:val="000000" w:themeColor="text1"/>
          <w:szCs w:val="26"/>
        </w:rPr>
        <w:t xml:space="preserve">policy </w:t>
      </w:r>
      <w:r w:rsidRPr="004177C6">
        <w:rPr>
          <w:color w:val="000000" w:themeColor="text1"/>
          <w:szCs w:val="26"/>
        </w:rPr>
        <w:t xml:space="preserve">arguments advanced for </w:t>
      </w:r>
      <w:r w:rsidR="009E3C1E" w:rsidRPr="004177C6">
        <w:rPr>
          <w:color w:val="000000" w:themeColor="text1"/>
          <w:szCs w:val="26"/>
        </w:rPr>
        <w:t>the Third Circuit’s</w:t>
      </w:r>
      <w:r w:rsidRPr="004177C6">
        <w:rPr>
          <w:color w:val="000000" w:themeColor="text1"/>
          <w:szCs w:val="26"/>
        </w:rPr>
        <w:t xml:space="preserve"> construction of the ascertainability requirement.  (</w:t>
      </w:r>
      <w:r w:rsidRPr="004177C6">
        <w:rPr>
          <w:i/>
          <w:color w:val="000000" w:themeColor="text1"/>
          <w:szCs w:val="26"/>
        </w:rPr>
        <w:t>Id</w:t>
      </w:r>
      <w:r w:rsidRPr="004177C6">
        <w:rPr>
          <w:color w:val="000000" w:themeColor="text1"/>
          <w:szCs w:val="26"/>
        </w:rPr>
        <w:t xml:space="preserve">., at pp. 663-672.)  One such contention </w:t>
      </w:r>
      <w:r w:rsidR="009620E2" w:rsidRPr="004177C6">
        <w:rPr>
          <w:color w:val="000000" w:themeColor="text1"/>
          <w:szCs w:val="26"/>
        </w:rPr>
        <w:t>wa</w:t>
      </w:r>
      <w:r w:rsidRPr="004177C6">
        <w:rPr>
          <w:color w:val="000000" w:themeColor="text1"/>
          <w:szCs w:val="26"/>
        </w:rPr>
        <w:t xml:space="preserve">s that the “stringent version of ascertainability ‘eliminates serious </w:t>
      </w:r>
      <w:r w:rsidR="003D6A8A">
        <w:rPr>
          <w:color w:val="000000" w:themeColor="text1"/>
          <w:szCs w:val="26"/>
        </w:rPr>
        <w:t xml:space="preserve">administrative </w:t>
      </w:r>
      <w:r w:rsidRPr="004177C6">
        <w:rPr>
          <w:color w:val="000000" w:themeColor="text1"/>
          <w:szCs w:val="26"/>
        </w:rPr>
        <w:t>burdens that are incongruous with the efficiencies expected in a class action by insisting on the easy identification of class members.’ ”  (</w:t>
      </w:r>
      <w:r w:rsidRPr="004177C6">
        <w:rPr>
          <w:i/>
          <w:color w:val="000000" w:themeColor="text1"/>
          <w:szCs w:val="26"/>
        </w:rPr>
        <w:t>Id</w:t>
      </w:r>
      <w:r w:rsidRPr="004177C6">
        <w:rPr>
          <w:color w:val="000000" w:themeColor="text1"/>
          <w:szCs w:val="26"/>
        </w:rPr>
        <w:t>.,</w:t>
      </w:r>
      <w:r w:rsidR="00E31D81" w:rsidRPr="004177C6">
        <w:rPr>
          <w:color w:val="000000" w:themeColor="text1"/>
          <w:szCs w:val="26"/>
        </w:rPr>
        <w:t xml:space="preserve"> at p.</w:t>
      </w:r>
      <w:r w:rsidR="0007416B" w:rsidRPr="004177C6">
        <w:rPr>
          <w:color w:val="000000" w:themeColor="text1"/>
          <w:szCs w:val="26"/>
        </w:rPr>
        <w:t> </w:t>
      </w:r>
      <w:r w:rsidR="00E31D81" w:rsidRPr="004177C6">
        <w:rPr>
          <w:color w:val="000000" w:themeColor="text1"/>
          <w:szCs w:val="26"/>
        </w:rPr>
        <w:t>663,</w:t>
      </w:r>
      <w:r w:rsidRPr="004177C6">
        <w:rPr>
          <w:color w:val="000000" w:themeColor="text1"/>
          <w:szCs w:val="26"/>
        </w:rPr>
        <w:t xml:space="preserve"> quoting </w:t>
      </w:r>
      <w:r w:rsidRPr="004177C6">
        <w:rPr>
          <w:i/>
          <w:color w:val="000000" w:themeColor="text1"/>
          <w:szCs w:val="26"/>
        </w:rPr>
        <w:t>Marcus</w:t>
      </w:r>
      <w:r w:rsidRPr="004177C6">
        <w:rPr>
          <w:color w:val="000000" w:themeColor="text1"/>
          <w:szCs w:val="26"/>
        </w:rPr>
        <w:t xml:space="preserve">, </w:t>
      </w:r>
      <w:r w:rsidRPr="004177C6">
        <w:rPr>
          <w:i/>
          <w:color w:val="000000" w:themeColor="text1"/>
          <w:szCs w:val="26"/>
        </w:rPr>
        <w:t>supra</w:t>
      </w:r>
      <w:r w:rsidRPr="004177C6">
        <w:rPr>
          <w:color w:val="000000" w:themeColor="text1"/>
          <w:szCs w:val="26"/>
        </w:rPr>
        <w:t xml:space="preserve">, 687 F.3d at p. 593.)  The </w:t>
      </w:r>
      <w:r w:rsidRPr="004177C6">
        <w:rPr>
          <w:i/>
          <w:color w:val="000000" w:themeColor="text1"/>
          <w:szCs w:val="26"/>
        </w:rPr>
        <w:t>Mullins</w:t>
      </w:r>
      <w:r w:rsidRPr="004177C6">
        <w:rPr>
          <w:color w:val="000000" w:themeColor="text1"/>
          <w:szCs w:val="26"/>
        </w:rPr>
        <w:t xml:space="preserve"> court saw this concern as “better addressed by the explicit requirements of Rule 23(b)(3), which requires that the class device be ‘superior to other available methods for fairly and efficiently adjudicating the controversy,’ ” with one </w:t>
      </w:r>
      <w:r w:rsidR="00A70982">
        <w:rPr>
          <w:color w:val="000000" w:themeColor="text1"/>
          <w:szCs w:val="26"/>
        </w:rPr>
        <w:t>consideration</w:t>
      </w:r>
      <w:r w:rsidRPr="004177C6">
        <w:rPr>
          <w:color w:val="000000" w:themeColor="text1"/>
          <w:szCs w:val="26"/>
        </w:rPr>
        <w:t xml:space="preserve"> </w:t>
      </w:r>
      <w:r w:rsidR="00E31D81" w:rsidRPr="004177C6">
        <w:rPr>
          <w:color w:val="000000" w:themeColor="text1"/>
          <w:szCs w:val="26"/>
        </w:rPr>
        <w:t xml:space="preserve">relevant to the superiority inquiry </w:t>
      </w:r>
      <w:r w:rsidRPr="004177C6">
        <w:rPr>
          <w:color w:val="000000" w:themeColor="text1"/>
          <w:szCs w:val="26"/>
        </w:rPr>
        <w:t>being</w:t>
      </w:r>
      <w:r w:rsidR="00E31D81" w:rsidRPr="004177C6">
        <w:rPr>
          <w:color w:val="000000" w:themeColor="text1"/>
          <w:szCs w:val="26"/>
        </w:rPr>
        <w:t xml:space="preserve"> </w:t>
      </w:r>
      <w:r w:rsidRPr="004177C6">
        <w:rPr>
          <w:color w:val="000000" w:themeColor="text1"/>
          <w:szCs w:val="26"/>
        </w:rPr>
        <w:t>“ ‘the likely difficulties in managing a class action.’ ”  (</w:t>
      </w:r>
      <w:r w:rsidR="00A315F0">
        <w:rPr>
          <w:i/>
          <w:color w:val="000000" w:themeColor="text1"/>
          <w:szCs w:val="26"/>
        </w:rPr>
        <w:t>Mullins</w:t>
      </w:r>
      <w:r w:rsidRPr="004177C6">
        <w:rPr>
          <w:color w:val="000000" w:themeColor="text1"/>
          <w:szCs w:val="26"/>
        </w:rPr>
        <w:t xml:space="preserve">, </w:t>
      </w:r>
      <w:r w:rsidR="009E3C1E" w:rsidRPr="004177C6">
        <w:rPr>
          <w:color w:val="000000" w:themeColor="text1"/>
          <w:szCs w:val="26"/>
        </w:rPr>
        <w:t xml:space="preserve">quoting </w:t>
      </w:r>
      <w:r w:rsidR="00A315F0">
        <w:rPr>
          <w:color w:val="000000" w:themeColor="text1"/>
          <w:szCs w:val="26"/>
        </w:rPr>
        <w:t>R</w:t>
      </w:r>
      <w:r w:rsidR="009E3C1E" w:rsidRPr="004177C6">
        <w:rPr>
          <w:color w:val="000000" w:themeColor="text1"/>
          <w:szCs w:val="26"/>
        </w:rPr>
        <w:t>ule 23(b)(3)</w:t>
      </w:r>
      <w:r w:rsidR="0007416B" w:rsidRPr="004177C6">
        <w:rPr>
          <w:color w:val="000000" w:themeColor="text1"/>
          <w:szCs w:val="26"/>
        </w:rPr>
        <w:t>, (b)(3)</w:t>
      </w:r>
      <w:r w:rsidR="009E3C1E" w:rsidRPr="004177C6">
        <w:rPr>
          <w:color w:val="000000" w:themeColor="text1"/>
          <w:szCs w:val="26"/>
        </w:rPr>
        <w:t>(D).</w:t>
      </w:r>
      <w:r w:rsidRPr="004177C6">
        <w:rPr>
          <w:color w:val="000000" w:themeColor="text1"/>
          <w:szCs w:val="26"/>
        </w:rPr>
        <w:t xml:space="preserve">)  </w:t>
      </w:r>
    </w:p>
    <w:p w14:paraId="5B450264" w14:textId="6F374595" w:rsidR="00D44017" w:rsidRPr="004177C6" w:rsidRDefault="00D44017" w:rsidP="004177C6">
      <w:pPr>
        <w:tabs>
          <w:tab w:val="left" w:pos="1440"/>
        </w:tabs>
        <w:ind w:firstLine="720"/>
        <w:rPr>
          <w:color w:val="000000" w:themeColor="text1"/>
          <w:szCs w:val="26"/>
        </w:rPr>
      </w:pPr>
      <w:r w:rsidRPr="004177C6">
        <w:rPr>
          <w:i/>
          <w:color w:val="000000" w:themeColor="text1"/>
          <w:szCs w:val="26"/>
        </w:rPr>
        <w:t>Mullins</w:t>
      </w:r>
      <w:r w:rsidR="00C14324">
        <w:rPr>
          <w:color w:val="000000" w:themeColor="text1"/>
          <w:szCs w:val="26"/>
        </w:rPr>
        <w:t xml:space="preserve">, </w:t>
      </w:r>
      <w:r w:rsidR="00C14324" w:rsidRPr="00C14324">
        <w:rPr>
          <w:i/>
          <w:color w:val="000000" w:themeColor="text1"/>
          <w:szCs w:val="26"/>
        </w:rPr>
        <w:t>supra</w:t>
      </w:r>
      <w:r w:rsidR="00C14324">
        <w:rPr>
          <w:color w:val="000000" w:themeColor="text1"/>
          <w:szCs w:val="26"/>
        </w:rPr>
        <w:t>, 795 F.3d 654</w:t>
      </w:r>
      <w:r w:rsidRPr="004177C6">
        <w:rPr>
          <w:color w:val="000000" w:themeColor="text1"/>
          <w:szCs w:val="26"/>
        </w:rPr>
        <w:t xml:space="preserve"> explained why it </w:t>
      </w:r>
      <w:r w:rsidR="001F0F71">
        <w:rPr>
          <w:color w:val="000000" w:themeColor="text1"/>
          <w:szCs w:val="26"/>
        </w:rPr>
        <w:t>made</w:t>
      </w:r>
      <w:r w:rsidRPr="004177C6">
        <w:rPr>
          <w:color w:val="000000" w:themeColor="text1"/>
          <w:szCs w:val="26"/>
        </w:rPr>
        <w:t xml:space="preserve"> more sense to address </w:t>
      </w:r>
      <w:r w:rsidR="003B60C6" w:rsidRPr="004177C6">
        <w:rPr>
          <w:color w:val="000000" w:themeColor="text1"/>
          <w:szCs w:val="26"/>
        </w:rPr>
        <w:t xml:space="preserve">within the context of manageability </w:t>
      </w:r>
      <w:r w:rsidR="002C392D">
        <w:rPr>
          <w:color w:val="000000" w:themeColor="text1"/>
          <w:szCs w:val="26"/>
        </w:rPr>
        <w:t xml:space="preserve">any </w:t>
      </w:r>
      <w:r w:rsidRPr="004177C6">
        <w:rPr>
          <w:color w:val="000000" w:themeColor="text1"/>
          <w:szCs w:val="26"/>
        </w:rPr>
        <w:t>concern</w:t>
      </w:r>
      <w:r w:rsidR="003B60C6">
        <w:rPr>
          <w:color w:val="000000" w:themeColor="text1"/>
          <w:szCs w:val="26"/>
        </w:rPr>
        <w:t>s</w:t>
      </w:r>
      <w:r w:rsidR="009620E2" w:rsidRPr="004177C6">
        <w:rPr>
          <w:color w:val="000000" w:themeColor="text1"/>
          <w:szCs w:val="26"/>
        </w:rPr>
        <w:t xml:space="preserve"> about</w:t>
      </w:r>
      <w:r w:rsidR="003B60C6">
        <w:rPr>
          <w:color w:val="000000" w:themeColor="text1"/>
          <w:szCs w:val="26"/>
        </w:rPr>
        <w:t xml:space="preserve"> the</w:t>
      </w:r>
      <w:r w:rsidR="009620E2" w:rsidRPr="004177C6">
        <w:rPr>
          <w:color w:val="000000" w:themeColor="text1"/>
          <w:szCs w:val="26"/>
        </w:rPr>
        <w:t xml:space="preserve"> burdens</w:t>
      </w:r>
      <w:r w:rsidR="003B60C6">
        <w:rPr>
          <w:color w:val="000000" w:themeColor="text1"/>
          <w:szCs w:val="26"/>
        </w:rPr>
        <w:t xml:space="preserve"> that </w:t>
      </w:r>
      <w:r w:rsidR="002C392D">
        <w:rPr>
          <w:color w:val="000000" w:themeColor="text1"/>
          <w:szCs w:val="26"/>
        </w:rPr>
        <w:t>could</w:t>
      </w:r>
      <w:r w:rsidR="003B60C6">
        <w:rPr>
          <w:color w:val="000000" w:themeColor="text1"/>
          <w:szCs w:val="26"/>
        </w:rPr>
        <w:t xml:space="preserve"> be associated with the identification of class members</w:t>
      </w:r>
      <w:r w:rsidRPr="004177C6">
        <w:rPr>
          <w:color w:val="000000" w:themeColor="text1"/>
          <w:szCs w:val="26"/>
        </w:rPr>
        <w:t xml:space="preserve">: “When administrative </w:t>
      </w:r>
      <w:r w:rsidR="003D6A8A">
        <w:rPr>
          <w:color w:val="000000" w:themeColor="text1"/>
          <w:szCs w:val="26"/>
        </w:rPr>
        <w:t>in</w:t>
      </w:r>
      <w:r w:rsidRPr="004177C6">
        <w:rPr>
          <w:color w:val="000000" w:themeColor="text1"/>
          <w:szCs w:val="26"/>
        </w:rPr>
        <w:t xml:space="preserve">convenience is addressed as a matter of ascertainability, courts tend to look at the problem in a vacuum, considering only the administrative costs and headaches of proceeding as a class action.  [Citation.]  But when courts approach the issue as part of a careful application of Rule 23(b)(3)’s superiority standard, they must recognize both the costs </w:t>
      </w:r>
      <w:r w:rsidRPr="004177C6">
        <w:rPr>
          <w:i/>
          <w:color w:val="000000" w:themeColor="text1"/>
          <w:szCs w:val="26"/>
        </w:rPr>
        <w:t>and benefits</w:t>
      </w:r>
      <w:r w:rsidRPr="004177C6">
        <w:rPr>
          <w:color w:val="000000" w:themeColor="text1"/>
          <w:szCs w:val="26"/>
        </w:rPr>
        <w:t xml:space="preserve"> of the class device.</w:t>
      </w:r>
      <w:r w:rsidR="006A611C" w:rsidRPr="004177C6">
        <w:rPr>
          <w:color w:val="000000" w:themeColor="text1"/>
          <w:szCs w:val="26"/>
        </w:rPr>
        <w:t xml:space="preserve"> </w:t>
      </w:r>
      <w:r w:rsidRPr="004177C6">
        <w:rPr>
          <w:color w:val="000000" w:themeColor="text1"/>
          <w:szCs w:val="26"/>
        </w:rPr>
        <w:t xml:space="preserve"> [Citation.]</w:t>
      </w:r>
      <w:r w:rsidR="006A611C" w:rsidRPr="004177C6">
        <w:rPr>
          <w:color w:val="000000" w:themeColor="text1"/>
          <w:szCs w:val="26"/>
        </w:rPr>
        <w:t xml:space="preserve"> </w:t>
      </w:r>
      <w:r w:rsidRPr="004177C6">
        <w:rPr>
          <w:color w:val="000000" w:themeColor="text1"/>
          <w:szCs w:val="26"/>
        </w:rPr>
        <w:t xml:space="preserve"> [¶]</w:t>
      </w:r>
      <w:r w:rsidR="00EA2E5B" w:rsidRPr="004177C6">
        <w:rPr>
          <w:color w:val="000000" w:themeColor="text1"/>
          <w:szCs w:val="26"/>
        </w:rPr>
        <w:t> </w:t>
      </w:r>
      <w:r w:rsidR="00450F92" w:rsidRPr="004177C6">
        <w:rPr>
          <w:color w:val="000000" w:themeColor="text1"/>
          <w:szCs w:val="26"/>
        </w:rPr>
        <w:t>.</w:t>
      </w:r>
      <w:r w:rsidR="00EA2E5B" w:rsidRPr="004177C6">
        <w:rPr>
          <w:color w:val="000000" w:themeColor="text1"/>
          <w:szCs w:val="26"/>
        </w:rPr>
        <w:t> </w:t>
      </w:r>
      <w:r w:rsidRPr="004177C6">
        <w:rPr>
          <w:color w:val="000000" w:themeColor="text1"/>
          <w:szCs w:val="26"/>
        </w:rPr>
        <w:t>.</w:t>
      </w:r>
      <w:r w:rsidR="00EA2E5B" w:rsidRPr="004177C6">
        <w:rPr>
          <w:color w:val="000000" w:themeColor="text1"/>
          <w:szCs w:val="26"/>
        </w:rPr>
        <w:t> </w:t>
      </w:r>
      <w:r w:rsidRPr="004177C6">
        <w:rPr>
          <w:color w:val="000000" w:themeColor="text1"/>
          <w:szCs w:val="26"/>
        </w:rPr>
        <w:t>. In many cases where the heightened ascertainability requirement will be hardest to satisfy, there realistically is no other alternative to class treatment.”  (</w:t>
      </w:r>
      <w:r w:rsidRPr="004177C6">
        <w:rPr>
          <w:i/>
          <w:color w:val="000000" w:themeColor="text1"/>
          <w:szCs w:val="26"/>
        </w:rPr>
        <w:t>Id</w:t>
      </w:r>
      <w:r w:rsidRPr="004177C6">
        <w:rPr>
          <w:color w:val="000000" w:themeColor="text1"/>
          <w:szCs w:val="26"/>
        </w:rPr>
        <w:t xml:space="preserve">., at pp. 663-664.)  The court </w:t>
      </w:r>
      <w:r w:rsidR="006A611C" w:rsidRPr="004177C6">
        <w:rPr>
          <w:color w:val="000000" w:themeColor="text1"/>
          <w:szCs w:val="26"/>
        </w:rPr>
        <w:t xml:space="preserve">in </w:t>
      </w:r>
      <w:r w:rsidR="006A611C" w:rsidRPr="004177C6">
        <w:rPr>
          <w:i/>
          <w:color w:val="000000" w:themeColor="text1"/>
          <w:szCs w:val="26"/>
        </w:rPr>
        <w:t>Mullins</w:t>
      </w:r>
      <w:r w:rsidR="006A611C" w:rsidRPr="004177C6">
        <w:rPr>
          <w:color w:val="000000" w:themeColor="text1"/>
          <w:szCs w:val="26"/>
        </w:rPr>
        <w:t xml:space="preserve"> </w:t>
      </w:r>
      <w:r w:rsidRPr="004177C6">
        <w:rPr>
          <w:color w:val="000000" w:themeColor="text1"/>
          <w:szCs w:val="26"/>
        </w:rPr>
        <w:t>cautioned that “[t]his does not mean</w:t>
      </w:r>
      <w:r w:rsidR="00EA2E5B" w:rsidRPr="004177C6">
        <w:rPr>
          <w:color w:val="000000" w:themeColor="text1"/>
          <w:szCs w:val="26"/>
        </w:rPr>
        <w:t> </w:t>
      </w:r>
      <w:r w:rsidRPr="004177C6">
        <w:rPr>
          <w:color w:val="000000" w:themeColor="text1"/>
          <w:szCs w:val="26"/>
        </w:rPr>
        <w:t>.</w:t>
      </w:r>
      <w:r w:rsidR="00EA2E5B" w:rsidRPr="004177C6">
        <w:rPr>
          <w:color w:val="000000" w:themeColor="text1"/>
          <w:szCs w:val="26"/>
        </w:rPr>
        <w:t> </w:t>
      </w:r>
      <w:r w:rsidRPr="004177C6">
        <w:rPr>
          <w:color w:val="000000" w:themeColor="text1"/>
          <w:szCs w:val="26"/>
        </w:rPr>
        <w:t>.</w:t>
      </w:r>
      <w:r w:rsidR="00EA2E5B" w:rsidRPr="004177C6">
        <w:rPr>
          <w:color w:val="000000" w:themeColor="text1"/>
          <w:szCs w:val="26"/>
        </w:rPr>
        <w:t> </w:t>
      </w:r>
      <w:r w:rsidRPr="004177C6">
        <w:rPr>
          <w:color w:val="000000" w:themeColor="text1"/>
          <w:szCs w:val="26"/>
        </w:rPr>
        <w:t xml:space="preserve">. that district courts should automatically certify classes in these difficult cases,” and </w:t>
      </w:r>
      <w:r w:rsidR="00883992">
        <w:rPr>
          <w:color w:val="000000" w:themeColor="text1"/>
          <w:szCs w:val="26"/>
        </w:rPr>
        <w:t>granted</w:t>
      </w:r>
      <w:r w:rsidRPr="004177C6">
        <w:rPr>
          <w:color w:val="000000" w:themeColor="text1"/>
          <w:szCs w:val="26"/>
        </w:rPr>
        <w:t xml:space="preserve"> that “[i]f faced with what appear to be unusually difficult manageability problems at the certification stage, district courts have discretion to insist on details of the pla</w:t>
      </w:r>
      <w:r w:rsidR="009620E2" w:rsidRPr="004177C6">
        <w:rPr>
          <w:color w:val="000000" w:themeColor="text1"/>
          <w:szCs w:val="26"/>
        </w:rPr>
        <w:t>i</w:t>
      </w:r>
      <w:r w:rsidRPr="004177C6">
        <w:rPr>
          <w:color w:val="000000" w:themeColor="text1"/>
          <w:szCs w:val="26"/>
        </w:rPr>
        <w:t>ntiff’s plan for notifying the class and managing the action.”  (</w:t>
      </w:r>
      <w:r w:rsidRPr="004177C6">
        <w:rPr>
          <w:i/>
          <w:color w:val="000000" w:themeColor="text1"/>
          <w:szCs w:val="26"/>
        </w:rPr>
        <w:t>Id</w:t>
      </w:r>
      <w:r w:rsidRPr="004177C6">
        <w:rPr>
          <w:color w:val="000000" w:themeColor="text1"/>
          <w:szCs w:val="26"/>
        </w:rPr>
        <w:t>., at p. 664.)</w:t>
      </w:r>
      <w:r w:rsidR="009620E2" w:rsidRPr="004177C6">
        <w:rPr>
          <w:color w:val="000000" w:themeColor="text1"/>
          <w:szCs w:val="26"/>
        </w:rPr>
        <w:t xml:space="preserve"> </w:t>
      </w:r>
      <w:r w:rsidRPr="004177C6">
        <w:rPr>
          <w:color w:val="000000" w:themeColor="text1"/>
          <w:szCs w:val="26"/>
        </w:rPr>
        <w:t xml:space="preserve"> Yet</w:t>
      </w:r>
      <w:r w:rsidR="006A611C" w:rsidRPr="004177C6">
        <w:rPr>
          <w:color w:val="000000" w:themeColor="text1"/>
          <w:szCs w:val="26"/>
        </w:rPr>
        <w:t>, the court continued,</w:t>
      </w:r>
      <w:r w:rsidRPr="004177C6">
        <w:rPr>
          <w:color w:val="000000" w:themeColor="text1"/>
          <w:szCs w:val="26"/>
        </w:rPr>
        <w:t xml:space="preserve"> </w:t>
      </w:r>
      <w:r w:rsidR="006A611C" w:rsidRPr="004177C6">
        <w:rPr>
          <w:color w:val="000000" w:themeColor="text1"/>
          <w:szCs w:val="26"/>
        </w:rPr>
        <w:t>judges who encounter such challenges</w:t>
      </w:r>
      <w:r w:rsidRPr="004177C6">
        <w:rPr>
          <w:color w:val="000000" w:themeColor="text1"/>
          <w:szCs w:val="26"/>
        </w:rPr>
        <w:t xml:space="preserve"> should attempt to leverage</w:t>
      </w:r>
      <w:r w:rsidR="006A611C" w:rsidRPr="004177C6">
        <w:rPr>
          <w:color w:val="000000" w:themeColor="text1"/>
          <w:szCs w:val="26"/>
        </w:rPr>
        <w:t xml:space="preserve"> </w:t>
      </w:r>
      <w:r w:rsidR="00E31D81" w:rsidRPr="004177C6">
        <w:rPr>
          <w:color w:val="000000" w:themeColor="text1"/>
          <w:szCs w:val="26"/>
        </w:rPr>
        <w:t>their</w:t>
      </w:r>
      <w:r w:rsidRPr="004177C6">
        <w:rPr>
          <w:color w:val="000000" w:themeColor="text1"/>
          <w:szCs w:val="26"/>
        </w:rPr>
        <w:t xml:space="preserve"> “experience with and flexibility in engineering solutions to difficult problems of case management</w:t>
      </w:r>
      <w:r w:rsidR="009620E2" w:rsidRPr="004177C6">
        <w:rPr>
          <w:color w:val="000000" w:themeColor="text1"/>
          <w:szCs w:val="26"/>
        </w:rPr>
        <w:t>,</w:t>
      </w:r>
      <w:r w:rsidRPr="004177C6">
        <w:rPr>
          <w:color w:val="000000" w:themeColor="text1"/>
          <w:szCs w:val="26"/>
        </w:rPr>
        <w:t>” and “refusing to certify on manageability grounds alone should be the last resort.”  (</w:t>
      </w:r>
      <w:r w:rsidRPr="004177C6">
        <w:rPr>
          <w:i/>
          <w:color w:val="000000" w:themeColor="text1"/>
          <w:szCs w:val="26"/>
        </w:rPr>
        <w:t>Ibid</w:t>
      </w:r>
      <w:r w:rsidRPr="004177C6">
        <w:rPr>
          <w:color w:val="000000" w:themeColor="text1"/>
          <w:szCs w:val="26"/>
        </w:rPr>
        <w:t xml:space="preserve">.)  </w:t>
      </w:r>
    </w:p>
    <w:p w14:paraId="0179ADB1" w14:textId="275D0638" w:rsidR="001F0F71" w:rsidRDefault="00D44017" w:rsidP="004177C6">
      <w:pPr>
        <w:tabs>
          <w:tab w:val="left" w:pos="1440"/>
        </w:tabs>
        <w:ind w:firstLine="720"/>
        <w:rPr>
          <w:color w:val="000000" w:themeColor="text1"/>
          <w:szCs w:val="26"/>
        </w:rPr>
      </w:pPr>
      <w:r w:rsidRPr="004177C6">
        <w:rPr>
          <w:color w:val="000000" w:themeColor="text1"/>
          <w:szCs w:val="26"/>
        </w:rPr>
        <w:t xml:space="preserve">The court in </w:t>
      </w:r>
      <w:r w:rsidRPr="004177C6">
        <w:rPr>
          <w:i/>
          <w:color w:val="000000" w:themeColor="text1"/>
          <w:szCs w:val="26"/>
        </w:rPr>
        <w:t>Mullins</w:t>
      </w:r>
      <w:r w:rsidRPr="004177C6">
        <w:rPr>
          <w:color w:val="000000" w:themeColor="text1"/>
          <w:szCs w:val="26"/>
        </w:rPr>
        <w:t xml:space="preserve">, </w:t>
      </w:r>
      <w:r w:rsidRPr="004177C6">
        <w:rPr>
          <w:i/>
          <w:color w:val="000000" w:themeColor="text1"/>
          <w:szCs w:val="26"/>
        </w:rPr>
        <w:t>supra</w:t>
      </w:r>
      <w:r w:rsidRPr="004177C6">
        <w:rPr>
          <w:color w:val="000000" w:themeColor="text1"/>
          <w:szCs w:val="26"/>
        </w:rPr>
        <w:t xml:space="preserve">, 795 F.3d 654 also </w:t>
      </w:r>
      <w:r w:rsidR="006A611C" w:rsidRPr="004177C6">
        <w:rPr>
          <w:color w:val="000000" w:themeColor="text1"/>
          <w:szCs w:val="26"/>
        </w:rPr>
        <w:t>addressed</w:t>
      </w:r>
      <w:r w:rsidRPr="004177C6">
        <w:rPr>
          <w:color w:val="000000" w:themeColor="text1"/>
          <w:szCs w:val="26"/>
        </w:rPr>
        <w:t xml:space="preserve"> </w:t>
      </w:r>
      <w:r w:rsidR="000C6A6D">
        <w:rPr>
          <w:color w:val="000000" w:themeColor="text1"/>
          <w:szCs w:val="26"/>
        </w:rPr>
        <w:t>an</w:t>
      </w:r>
      <w:r w:rsidRPr="004177C6">
        <w:rPr>
          <w:color w:val="000000" w:themeColor="text1"/>
          <w:szCs w:val="26"/>
        </w:rPr>
        <w:t xml:space="preserve"> argument</w:t>
      </w:r>
      <w:r w:rsidR="000C6A6D">
        <w:rPr>
          <w:color w:val="000000" w:themeColor="text1"/>
          <w:szCs w:val="26"/>
        </w:rPr>
        <w:t xml:space="preserve"> that resonated with the </w:t>
      </w:r>
      <w:r w:rsidR="001F0F71">
        <w:rPr>
          <w:color w:val="000000" w:themeColor="text1"/>
          <w:szCs w:val="26"/>
        </w:rPr>
        <w:t>Court of Appeal in this case</w:t>
      </w:r>
      <w:r w:rsidR="000C6A6D">
        <w:rPr>
          <w:color w:val="000000" w:themeColor="text1"/>
          <w:szCs w:val="26"/>
        </w:rPr>
        <w:t xml:space="preserve"> —</w:t>
      </w:r>
      <w:r w:rsidRPr="004177C6">
        <w:rPr>
          <w:color w:val="000000" w:themeColor="text1"/>
          <w:szCs w:val="26"/>
        </w:rPr>
        <w:t xml:space="preserve"> “that the heightened ascertainability requirement is needed to protect absent class members.  If the identities of absent class members cannot be ascertained, the argument goes, it is unfair to bind them by </w:t>
      </w:r>
      <w:r w:rsidR="00E31D81" w:rsidRPr="004177C6">
        <w:rPr>
          <w:color w:val="000000" w:themeColor="text1"/>
          <w:szCs w:val="26"/>
        </w:rPr>
        <w:t>the</w:t>
      </w:r>
      <w:r w:rsidRPr="004177C6">
        <w:rPr>
          <w:color w:val="000000" w:themeColor="text1"/>
          <w:szCs w:val="26"/>
        </w:rPr>
        <w:t xml:space="preserve"> judicial proceeding.”  (</w:t>
      </w:r>
      <w:r w:rsidRPr="004177C6">
        <w:rPr>
          <w:i/>
          <w:color w:val="000000" w:themeColor="text1"/>
          <w:szCs w:val="26"/>
        </w:rPr>
        <w:t>Id</w:t>
      </w:r>
      <w:r w:rsidRPr="004177C6">
        <w:rPr>
          <w:color w:val="000000" w:themeColor="text1"/>
          <w:szCs w:val="26"/>
        </w:rPr>
        <w:t>.,</w:t>
      </w:r>
      <w:r w:rsidR="0062218E">
        <w:rPr>
          <w:color w:val="000000" w:themeColor="text1"/>
          <w:szCs w:val="26"/>
        </w:rPr>
        <w:t> </w:t>
      </w:r>
      <w:r w:rsidRPr="004177C6">
        <w:rPr>
          <w:color w:val="000000" w:themeColor="text1"/>
          <w:szCs w:val="26"/>
        </w:rPr>
        <w:t xml:space="preserve">at p. 665.)  It perceived that “[a] central premise of this argument is that class members must receive actual notice of the class action so that they do not lose their opt-out rights.”  </w:t>
      </w:r>
      <w:r w:rsidR="00E31D81" w:rsidRPr="004177C6">
        <w:rPr>
          <w:color w:val="000000" w:themeColor="text1"/>
          <w:szCs w:val="26"/>
        </w:rPr>
        <w:t>(</w:t>
      </w:r>
      <w:r w:rsidR="00E31D81" w:rsidRPr="004177C6">
        <w:rPr>
          <w:i/>
          <w:color w:val="000000" w:themeColor="text1"/>
          <w:szCs w:val="26"/>
        </w:rPr>
        <w:t>Ibid</w:t>
      </w:r>
      <w:r w:rsidR="00E31D81" w:rsidRPr="004177C6">
        <w:rPr>
          <w:color w:val="000000" w:themeColor="text1"/>
          <w:szCs w:val="26"/>
        </w:rPr>
        <w:t xml:space="preserve">.)  </w:t>
      </w:r>
    </w:p>
    <w:p w14:paraId="34092057" w14:textId="1702E29C" w:rsidR="00D44017" w:rsidRPr="004177C6" w:rsidRDefault="00D44017" w:rsidP="004177C6">
      <w:pPr>
        <w:tabs>
          <w:tab w:val="left" w:pos="1440"/>
        </w:tabs>
        <w:ind w:firstLine="720"/>
        <w:rPr>
          <w:color w:val="000000" w:themeColor="text1"/>
          <w:szCs w:val="26"/>
        </w:rPr>
      </w:pPr>
      <w:r w:rsidRPr="004177C6">
        <w:rPr>
          <w:color w:val="000000" w:themeColor="text1"/>
          <w:szCs w:val="26"/>
        </w:rPr>
        <w:t xml:space="preserve">The court </w:t>
      </w:r>
      <w:r w:rsidR="001F0F71" w:rsidRPr="004177C6">
        <w:rPr>
          <w:color w:val="000000" w:themeColor="text1"/>
          <w:szCs w:val="26"/>
        </w:rPr>
        <w:t xml:space="preserve">in </w:t>
      </w:r>
      <w:r w:rsidR="001F0F71" w:rsidRPr="004177C6">
        <w:rPr>
          <w:i/>
          <w:color w:val="000000" w:themeColor="text1"/>
          <w:szCs w:val="26"/>
        </w:rPr>
        <w:t>Mullins</w:t>
      </w:r>
      <w:r w:rsidR="001F0F71" w:rsidRPr="004177C6">
        <w:rPr>
          <w:color w:val="000000" w:themeColor="text1"/>
          <w:szCs w:val="26"/>
        </w:rPr>
        <w:t xml:space="preserve">, </w:t>
      </w:r>
      <w:r w:rsidR="001F0F71" w:rsidRPr="004177C6">
        <w:rPr>
          <w:i/>
          <w:color w:val="000000" w:themeColor="text1"/>
          <w:szCs w:val="26"/>
        </w:rPr>
        <w:t>supra</w:t>
      </w:r>
      <w:r w:rsidR="001F0F71" w:rsidRPr="004177C6">
        <w:rPr>
          <w:color w:val="000000" w:themeColor="text1"/>
          <w:szCs w:val="26"/>
        </w:rPr>
        <w:t xml:space="preserve">, 795 F.3d 654 </w:t>
      </w:r>
      <w:r w:rsidRPr="004177C6">
        <w:rPr>
          <w:color w:val="000000" w:themeColor="text1"/>
          <w:szCs w:val="26"/>
        </w:rPr>
        <w:t>regarded this premise as mistaken</w:t>
      </w:r>
      <w:r w:rsidR="004A5625" w:rsidRPr="004177C6">
        <w:rPr>
          <w:color w:val="000000" w:themeColor="text1"/>
          <w:szCs w:val="26"/>
        </w:rPr>
        <w:t>.</w:t>
      </w:r>
      <w:r w:rsidRPr="004177C6">
        <w:rPr>
          <w:color w:val="000000" w:themeColor="text1"/>
          <w:szCs w:val="26"/>
        </w:rPr>
        <w:t xml:space="preserve"> </w:t>
      </w:r>
      <w:r w:rsidR="004A5625" w:rsidRPr="004177C6">
        <w:rPr>
          <w:color w:val="000000" w:themeColor="text1"/>
          <w:szCs w:val="26"/>
        </w:rPr>
        <w:t xml:space="preserve"> </w:t>
      </w:r>
      <w:r w:rsidR="006D6CF5" w:rsidRPr="004177C6">
        <w:rPr>
          <w:color w:val="000000" w:themeColor="text1"/>
          <w:szCs w:val="26"/>
        </w:rPr>
        <w:t>It</w:t>
      </w:r>
      <w:r w:rsidR="004A5625" w:rsidRPr="004177C6">
        <w:rPr>
          <w:color w:val="000000" w:themeColor="text1"/>
          <w:szCs w:val="26"/>
        </w:rPr>
        <w:t xml:space="preserve"> emphasized that</w:t>
      </w:r>
      <w:r w:rsidR="000B7FDB">
        <w:rPr>
          <w:color w:val="000000" w:themeColor="text1"/>
          <w:szCs w:val="26"/>
        </w:rPr>
        <w:t xml:space="preserve">, when a class has been certified under </w:t>
      </w:r>
      <w:r w:rsidR="00A315F0">
        <w:rPr>
          <w:color w:val="000000" w:themeColor="text1"/>
          <w:szCs w:val="26"/>
        </w:rPr>
        <w:t>R</w:t>
      </w:r>
      <w:r w:rsidR="000B7FDB">
        <w:rPr>
          <w:color w:val="000000" w:themeColor="text1"/>
          <w:szCs w:val="26"/>
        </w:rPr>
        <w:t xml:space="preserve">ule 23(b)(3), </w:t>
      </w:r>
      <w:r w:rsidR="00A315F0">
        <w:rPr>
          <w:color w:val="000000" w:themeColor="text1"/>
          <w:szCs w:val="26"/>
        </w:rPr>
        <w:t>R</w:t>
      </w:r>
      <w:r w:rsidR="000B7FDB" w:rsidRPr="004177C6">
        <w:rPr>
          <w:color w:val="000000" w:themeColor="text1"/>
          <w:szCs w:val="26"/>
        </w:rPr>
        <w:t xml:space="preserve">ule 23(c)(2)(B) </w:t>
      </w:r>
      <w:r w:rsidRPr="004177C6">
        <w:rPr>
          <w:color w:val="000000" w:themeColor="text1"/>
          <w:szCs w:val="26"/>
        </w:rPr>
        <w:t>requir</w:t>
      </w:r>
      <w:r w:rsidR="004A5625" w:rsidRPr="004177C6">
        <w:rPr>
          <w:color w:val="000000" w:themeColor="text1"/>
          <w:szCs w:val="26"/>
        </w:rPr>
        <w:t>es</w:t>
      </w:r>
      <w:r w:rsidRPr="004177C6">
        <w:rPr>
          <w:color w:val="000000" w:themeColor="text1"/>
          <w:szCs w:val="26"/>
        </w:rPr>
        <w:t xml:space="preserve"> the</w:t>
      </w:r>
      <w:r w:rsidR="00EC750A">
        <w:rPr>
          <w:color w:val="000000" w:themeColor="text1"/>
          <w:szCs w:val="26"/>
        </w:rPr>
        <w:t xml:space="preserve"> provision of the</w:t>
      </w:r>
      <w:r w:rsidRPr="004177C6">
        <w:rPr>
          <w:color w:val="000000" w:themeColor="text1"/>
          <w:szCs w:val="26"/>
        </w:rPr>
        <w:t xml:space="preserve"> “ ‘best notice that is practicable under the circumstances, including individual notice to all members </w:t>
      </w:r>
      <w:r w:rsidRPr="009F49A4">
        <w:rPr>
          <w:color w:val="000000" w:themeColor="text1"/>
          <w:szCs w:val="26"/>
        </w:rPr>
        <w:t>who can be identified through reasonable effort’</w:t>
      </w:r>
      <w:r w:rsidRPr="004177C6">
        <w:rPr>
          <w:color w:val="000000" w:themeColor="text1"/>
          <w:szCs w:val="26"/>
        </w:rPr>
        <w:t xml:space="preserve"> ” </w:t>
      </w:r>
      <w:r w:rsidR="00E31D81" w:rsidRPr="004177C6">
        <w:rPr>
          <w:color w:val="000000" w:themeColor="text1"/>
          <w:szCs w:val="26"/>
        </w:rPr>
        <w:t>— language connot</w:t>
      </w:r>
      <w:r w:rsidR="00A70982">
        <w:rPr>
          <w:color w:val="000000" w:themeColor="text1"/>
          <w:szCs w:val="26"/>
        </w:rPr>
        <w:t>ing that</w:t>
      </w:r>
      <w:r w:rsidR="00E31D81" w:rsidRPr="004177C6">
        <w:rPr>
          <w:color w:val="000000" w:themeColor="text1"/>
          <w:szCs w:val="26"/>
        </w:rPr>
        <w:t xml:space="preserve"> individual notice need </w:t>
      </w:r>
      <w:r w:rsidR="00E31D81" w:rsidRPr="00A70982">
        <w:rPr>
          <w:i/>
          <w:color w:val="000000" w:themeColor="text1"/>
          <w:szCs w:val="26"/>
        </w:rPr>
        <w:t>not</w:t>
      </w:r>
      <w:r w:rsidR="00E31D81" w:rsidRPr="004177C6">
        <w:rPr>
          <w:color w:val="000000" w:themeColor="text1"/>
          <w:szCs w:val="26"/>
        </w:rPr>
        <w:t xml:space="preserve"> be given to members who cannot be so identified. </w:t>
      </w:r>
      <w:r w:rsidRPr="004177C6">
        <w:rPr>
          <w:color w:val="000000" w:themeColor="text1"/>
          <w:szCs w:val="26"/>
        </w:rPr>
        <w:t xml:space="preserve"> (</w:t>
      </w:r>
      <w:r w:rsidRPr="004177C6">
        <w:rPr>
          <w:i/>
          <w:color w:val="000000" w:themeColor="text1"/>
          <w:szCs w:val="26"/>
        </w:rPr>
        <w:t>Mullins</w:t>
      </w:r>
      <w:r w:rsidRPr="004177C6">
        <w:rPr>
          <w:color w:val="000000" w:themeColor="text1"/>
          <w:szCs w:val="26"/>
        </w:rPr>
        <w:t>, at p. 665.)</w:t>
      </w:r>
      <w:r w:rsidR="000B7FDB">
        <w:rPr>
          <w:rStyle w:val="FootnoteReference"/>
          <w:color w:val="000000" w:themeColor="text1"/>
          <w:szCs w:val="26"/>
        </w:rPr>
        <w:footnoteReference w:id="11"/>
      </w:r>
      <w:r w:rsidRPr="004177C6">
        <w:rPr>
          <w:color w:val="000000" w:themeColor="text1"/>
          <w:szCs w:val="26"/>
        </w:rPr>
        <w:t xml:space="preserve">  Nor</w:t>
      </w:r>
      <w:r w:rsidR="006A611C" w:rsidRPr="004177C6">
        <w:rPr>
          <w:color w:val="000000" w:themeColor="text1"/>
          <w:szCs w:val="26"/>
        </w:rPr>
        <w:t>, in the court’s view,</w:t>
      </w:r>
      <w:r w:rsidRPr="004177C6">
        <w:rPr>
          <w:color w:val="000000" w:themeColor="text1"/>
          <w:szCs w:val="26"/>
        </w:rPr>
        <w:t xml:space="preserve"> did </w:t>
      </w:r>
      <w:r w:rsidR="009620E2" w:rsidRPr="004177C6">
        <w:rPr>
          <w:color w:val="000000" w:themeColor="text1"/>
          <w:szCs w:val="26"/>
        </w:rPr>
        <w:t xml:space="preserve">principles of </w:t>
      </w:r>
      <w:r w:rsidRPr="004177C6">
        <w:rPr>
          <w:color w:val="000000" w:themeColor="text1"/>
          <w:szCs w:val="26"/>
        </w:rPr>
        <w:t>due process invariably require individual notice</w:t>
      </w:r>
      <w:r w:rsidR="004A5625" w:rsidRPr="004177C6">
        <w:rPr>
          <w:color w:val="000000" w:themeColor="text1"/>
          <w:szCs w:val="26"/>
        </w:rPr>
        <w:t xml:space="preserve"> to absent class members</w:t>
      </w:r>
      <w:r w:rsidRPr="004177C6">
        <w:rPr>
          <w:color w:val="000000" w:themeColor="text1"/>
          <w:szCs w:val="26"/>
        </w:rPr>
        <w:t xml:space="preserve">.  Instead, </w:t>
      </w:r>
      <w:r w:rsidR="0099336B">
        <w:rPr>
          <w:color w:val="000000" w:themeColor="text1"/>
          <w:szCs w:val="26"/>
        </w:rPr>
        <w:t>in cases such as the one before it,</w:t>
      </w:r>
      <w:r w:rsidR="001F0F71">
        <w:rPr>
          <w:color w:val="000000" w:themeColor="text1"/>
          <w:szCs w:val="26"/>
        </w:rPr>
        <w:t xml:space="preserve"> </w:t>
      </w:r>
      <w:r w:rsidRPr="004177C6">
        <w:rPr>
          <w:color w:val="000000" w:themeColor="text1"/>
          <w:szCs w:val="26"/>
        </w:rPr>
        <w:t>“</w:t>
      </w:r>
      <w:r w:rsidR="003D6A8A">
        <w:rPr>
          <w:color w:val="000000" w:themeColor="text1"/>
          <w:szCs w:val="26"/>
        </w:rPr>
        <w:t>W</w:t>
      </w:r>
      <w:r w:rsidRPr="004177C6">
        <w:rPr>
          <w:color w:val="000000" w:themeColor="text1"/>
          <w:szCs w:val="26"/>
        </w:rPr>
        <w:t>hen class members’ names and addresses are known or knowable with reasonable effort, notice can be accomplished by first-class mail.  [Citation.]  When that is not possible, courts may use alternative means such as notice through third parties, paid advertising, and/or posting in places frequented by class members, all without offending due process.”  (</w:t>
      </w:r>
      <w:r w:rsidRPr="004177C6">
        <w:rPr>
          <w:i/>
          <w:color w:val="000000" w:themeColor="text1"/>
          <w:szCs w:val="26"/>
        </w:rPr>
        <w:t>Ibid</w:t>
      </w:r>
      <w:r w:rsidRPr="004177C6">
        <w:rPr>
          <w:color w:val="000000" w:themeColor="text1"/>
          <w:szCs w:val="26"/>
        </w:rPr>
        <w:t>.)</w:t>
      </w:r>
      <w:r w:rsidR="001A3842" w:rsidRPr="004177C6">
        <w:rPr>
          <w:rStyle w:val="FootnoteReference"/>
          <w:color w:val="000000" w:themeColor="text1"/>
          <w:szCs w:val="26"/>
        </w:rPr>
        <w:footnoteReference w:id="12"/>
      </w:r>
    </w:p>
    <w:p w14:paraId="5D2A768E" w14:textId="59F29968" w:rsidR="00CB3883" w:rsidRPr="004177C6" w:rsidRDefault="00D44017" w:rsidP="004177C6">
      <w:pPr>
        <w:tabs>
          <w:tab w:val="left" w:pos="1440"/>
        </w:tabs>
        <w:ind w:firstLine="720"/>
        <w:rPr>
          <w:color w:val="000000" w:themeColor="text1"/>
          <w:szCs w:val="26"/>
        </w:rPr>
      </w:pPr>
      <w:r w:rsidRPr="004177C6">
        <w:rPr>
          <w:i/>
          <w:color w:val="000000" w:themeColor="text1"/>
          <w:szCs w:val="26"/>
        </w:rPr>
        <w:t>Mullins</w:t>
      </w:r>
      <w:r w:rsidRPr="004177C6">
        <w:rPr>
          <w:color w:val="000000" w:themeColor="text1"/>
          <w:szCs w:val="26"/>
        </w:rPr>
        <w:t xml:space="preserve">, </w:t>
      </w:r>
      <w:r w:rsidRPr="004177C6">
        <w:rPr>
          <w:i/>
          <w:color w:val="000000" w:themeColor="text1"/>
          <w:szCs w:val="26"/>
        </w:rPr>
        <w:t>supra</w:t>
      </w:r>
      <w:r w:rsidRPr="004177C6">
        <w:rPr>
          <w:color w:val="000000" w:themeColor="text1"/>
          <w:szCs w:val="26"/>
        </w:rPr>
        <w:t>, 795 F.3d 654</w:t>
      </w:r>
      <w:r w:rsidR="00C14324">
        <w:rPr>
          <w:color w:val="000000" w:themeColor="text1"/>
          <w:szCs w:val="26"/>
        </w:rPr>
        <w:t xml:space="preserve"> also explained why </w:t>
      </w:r>
      <w:r w:rsidR="00331E94">
        <w:rPr>
          <w:color w:val="000000" w:themeColor="text1"/>
          <w:szCs w:val="26"/>
        </w:rPr>
        <w:t xml:space="preserve">construing the ascertainability requirement as </w:t>
      </w:r>
      <w:r w:rsidR="000C6A6D">
        <w:rPr>
          <w:color w:val="000000" w:themeColor="text1"/>
          <w:szCs w:val="26"/>
        </w:rPr>
        <w:t>anticipating</w:t>
      </w:r>
      <w:r w:rsidR="00331E94">
        <w:rPr>
          <w:color w:val="000000" w:themeColor="text1"/>
          <w:szCs w:val="26"/>
        </w:rPr>
        <w:t xml:space="preserve"> </w:t>
      </w:r>
      <w:r w:rsidR="000C6A6D">
        <w:rPr>
          <w:color w:val="000000" w:themeColor="text1"/>
          <w:szCs w:val="26"/>
        </w:rPr>
        <w:t>personal</w:t>
      </w:r>
      <w:r w:rsidR="00331E94">
        <w:rPr>
          <w:color w:val="000000" w:themeColor="text1"/>
          <w:szCs w:val="26"/>
        </w:rPr>
        <w:t xml:space="preserve"> notice</w:t>
      </w:r>
      <w:r w:rsidR="000C6A6D">
        <w:rPr>
          <w:color w:val="000000" w:themeColor="text1"/>
          <w:szCs w:val="26"/>
        </w:rPr>
        <w:t xml:space="preserve"> in all cases</w:t>
      </w:r>
      <w:r w:rsidR="00331E94">
        <w:rPr>
          <w:color w:val="000000" w:themeColor="text1"/>
          <w:szCs w:val="26"/>
        </w:rPr>
        <w:t xml:space="preserve"> </w:t>
      </w:r>
      <w:r w:rsidR="0099336B">
        <w:rPr>
          <w:color w:val="000000" w:themeColor="text1"/>
          <w:szCs w:val="26"/>
        </w:rPr>
        <w:t>c</w:t>
      </w:r>
      <w:r w:rsidR="00331E94">
        <w:rPr>
          <w:color w:val="000000" w:themeColor="text1"/>
          <w:szCs w:val="26"/>
        </w:rPr>
        <w:t xml:space="preserve">ould </w:t>
      </w:r>
      <w:r w:rsidR="006F1E8C">
        <w:rPr>
          <w:color w:val="000000" w:themeColor="text1"/>
          <w:szCs w:val="26"/>
        </w:rPr>
        <w:t>provide absent class members with</w:t>
      </w:r>
      <w:r w:rsidR="00331E94">
        <w:rPr>
          <w:color w:val="000000" w:themeColor="text1"/>
          <w:szCs w:val="26"/>
        </w:rPr>
        <w:t xml:space="preserve"> a pyrrhic victory</w:t>
      </w:r>
      <w:r w:rsidRPr="004177C6">
        <w:rPr>
          <w:color w:val="000000" w:themeColor="text1"/>
          <w:szCs w:val="26"/>
        </w:rPr>
        <w:t>.  “More broadly,” the court wrote, “the stringent version of ascertainability loses sight of a critical feature of class actions for low-value claims like this one.  In these cases, ‘only a lunatic or a fanatic’ would litigate the claim individually, [citation], so opt-out rights are not likely to be exercised by anyone planning a separate individual lawsuit.  When this is true, it is particularly important that the types of notice that courts require correspond to the value of the absent class members’ interests.  [Citation.]</w:t>
      </w:r>
      <w:r w:rsidR="00EA2E5B" w:rsidRPr="004177C6">
        <w:rPr>
          <w:color w:val="000000" w:themeColor="text1"/>
          <w:szCs w:val="26"/>
        </w:rPr>
        <w:t> </w:t>
      </w:r>
      <w:r w:rsidRPr="004177C6">
        <w:rPr>
          <w:color w:val="000000" w:themeColor="text1"/>
          <w:szCs w:val="26"/>
        </w:rPr>
        <w:t>.</w:t>
      </w:r>
      <w:r w:rsidR="00EA2E5B" w:rsidRPr="004177C6">
        <w:rPr>
          <w:color w:val="000000" w:themeColor="text1"/>
          <w:szCs w:val="26"/>
        </w:rPr>
        <w:t> </w:t>
      </w:r>
      <w:r w:rsidRPr="004177C6">
        <w:rPr>
          <w:color w:val="000000" w:themeColor="text1"/>
          <w:szCs w:val="26"/>
        </w:rPr>
        <w:t>.</w:t>
      </w:r>
      <w:r w:rsidR="00EA2E5B" w:rsidRPr="004177C6">
        <w:rPr>
          <w:color w:val="000000" w:themeColor="text1"/>
          <w:szCs w:val="26"/>
        </w:rPr>
        <w:t> </w:t>
      </w:r>
      <w:r w:rsidRPr="004177C6">
        <w:rPr>
          <w:color w:val="000000" w:themeColor="text1"/>
          <w:szCs w:val="26"/>
        </w:rPr>
        <w:t>.</w:t>
      </w:r>
      <w:r w:rsidR="00450F92" w:rsidRPr="004177C6">
        <w:rPr>
          <w:color w:val="000000" w:themeColor="text1"/>
          <w:szCs w:val="26"/>
        </w:rPr>
        <w:t> .</w:t>
      </w:r>
      <w:r w:rsidRPr="004177C6">
        <w:rPr>
          <w:color w:val="000000" w:themeColor="text1"/>
          <w:szCs w:val="26"/>
        </w:rPr>
        <w:t xml:space="preserve"> </w:t>
      </w:r>
      <w:r w:rsidR="009E3C1E" w:rsidRPr="004177C6">
        <w:rPr>
          <w:color w:val="000000" w:themeColor="text1"/>
          <w:szCs w:val="26"/>
        </w:rPr>
        <w:t xml:space="preserve"> </w:t>
      </w:r>
      <w:r w:rsidRPr="004177C6">
        <w:rPr>
          <w:color w:val="000000" w:themeColor="text1"/>
          <w:szCs w:val="26"/>
        </w:rPr>
        <w:t>[¶]  The heightened ascertainability approach upsets this balance.  It comes close to insisting on actual notice to protect the interests of absent class members, yet overlooks the reality that without certification, putative class members with valid claims would not recover anything at all.”  (</w:t>
      </w:r>
      <w:r w:rsidRPr="004177C6">
        <w:rPr>
          <w:i/>
          <w:color w:val="000000" w:themeColor="text1"/>
          <w:szCs w:val="26"/>
        </w:rPr>
        <w:t>Id</w:t>
      </w:r>
      <w:r w:rsidRPr="004177C6">
        <w:rPr>
          <w:color w:val="000000" w:themeColor="text1"/>
          <w:szCs w:val="26"/>
        </w:rPr>
        <w:t xml:space="preserve">., at pp. 665-666.) </w:t>
      </w:r>
    </w:p>
    <w:p w14:paraId="41131FD5" w14:textId="77777777" w:rsidR="0073442A" w:rsidRPr="004177C6" w:rsidRDefault="00CE7F8B" w:rsidP="004177C6">
      <w:pPr>
        <w:keepNext/>
        <w:keepLines/>
        <w:ind w:firstLine="720"/>
        <w:rPr>
          <w:b/>
          <w:color w:val="000000" w:themeColor="text1"/>
          <w:szCs w:val="26"/>
        </w:rPr>
      </w:pPr>
      <w:r w:rsidRPr="004177C6">
        <w:rPr>
          <w:b/>
          <w:color w:val="000000" w:themeColor="text1"/>
          <w:szCs w:val="26"/>
        </w:rPr>
        <w:t>C.</w:t>
      </w:r>
      <w:r w:rsidRPr="004177C6">
        <w:rPr>
          <w:b/>
          <w:color w:val="000000" w:themeColor="text1"/>
          <w:szCs w:val="26"/>
        </w:rPr>
        <w:tab/>
      </w:r>
      <w:r w:rsidR="006A0D0D" w:rsidRPr="004177C6">
        <w:rPr>
          <w:b/>
          <w:color w:val="000000" w:themeColor="text1"/>
          <w:szCs w:val="26"/>
        </w:rPr>
        <w:t>Analysis</w:t>
      </w:r>
    </w:p>
    <w:p w14:paraId="15B9024D" w14:textId="77777777" w:rsidR="0022619F" w:rsidRPr="004177C6" w:rsidRDefault="0022619F" w:rsidP="00E67E1F">
      <w:pPr>
        <w:keepNext/>
        <w:tabs>
          <w:tab w:val="left" w:pos="1440"/>
        </w:tabs>
        <w:spacing w:before="240" w:line="240" w:lineRule="auto"/>
        <w:ind w:left="1440" w:hanging="360"/>
        <w:contextualSpacing/>
        <w:rPr>
          <w:i/>
          <w:color w:val="000000" w:themeColor="text1"/>
          <w:szCs w:val="26"/>
        </w:rPr>
      </w:pPr>
      <w:r w:rsidRPr="004177C6">
        <w:rPr>
          <w:i/>
          <w:color w:val="000000" w:themeColor="text1"/>
          <w:szCs w:val="26"/>
        </w:rPr>
        <w:t>1.</w:t>
      </w:r>
      <w:r w:rsidR="00E67E1F">
        <w:rPr>
          <w:i/>
          <w:color w:val="000000" w:themeColor="text1"/>
          <w:szCs w:val="26"/>
        </w:rPr>
        <w:tab/>
      </w:r>
      <w:r w:rsidRPr="004177C6">
        <w:rPr>
          <w:i/>
          <w:color w:val="000000" w:themeColor="text1"/>
          <w:szCs w:val="26"/>
        </w:rPr>
        <w:t>A</w:t>
      </w:r>
      <w:r w:rsidR="008510F9">
        <w:rPr>
          <w:i/>
          <w:color w:val="000000" w:themeColor="text1"/>
          <w:szCs w:val="26"/>
        </w:rPr>
        <w:t xml:space="preserve">n </w:t>
      </w:r>
      <w:r w:rsidR="000D68BF">
        <w:rPr>
          <w:i/>
          <w:color w:val="000000" w:themeColor="text1"/>
          <w:szCs w:val="26"/>
        </w:rPr>
        <w:t>a</w:t>
      </w:r>
      <w:r w:rsidRPr="004177C6">
        <w:rPr>
          <w:i/>
          <w:color w:val="000000" w:themeColor="text1"/>
          <w:szCs w:val="26"/>
        </w:rPr>
        <w:t>scertainab</w:t>
      </w:r>
      <w:r w:rsidR="008510F9">
        <w:rPr>
          <w:i/>
          <w:color w:val="000000" w:themeColor="text1"/>
          <w:szCs w:val="26"/>
        </w:rPr>
        <w:t>le</w:t>
      </w:r>
      <w:r w:rsidRPr="004177C6">
        <w:rPr>
          <w:i/>
          <w:color w:val="000000" w:themeColor="text1"/>
          <w:szCs w:val="26"/>
        </w:rPr>
        <w:t xml:space="preserve"> </w:t>
      </w:r>
      <w:r w:rsidR="000D68BF">
        <w:rPr>
          <w:i/>
          <w:color w:val="000000" w:themeColor="text1"/>
          <w:szCs w:val="26"/>
        </w:rPr>
        <w:t>c</w:t>
      </w:r>
      <w:r w:rsidR="008510F9">
        <w:rPr>
          <w:i/>
          <w:color w:val="000000" w:themeColor="text1"/>
          <w:szCs w:val="26"/>
        </w:rPr>
        <w:t xml:space="preserve">lass </w:t>
      </w:r>
      <w:r w:rsidR="000D68BF">
        <w:rPr>
          <w:i/>
          <w:color w:val="000000" w:themeColor="text1"/>
          <w:szCs w:val="26"/>
        </w:rPr>
        <w:t>i</w:t>
      </w:r>
      <w:r w:rsidR="008510F9">
        <w:rPr>
          <w:i/>
          <w:color w:val="000000" w:themeColor="text1"/>
          <w:szCs w:val="26"/>
        </w:rPr>
        <w:t xml:space="preserve">s </w:t>
      </w:r>
      <w:r w:rsidR="000D68BF">
        <w:rPr>
          <w:i/>
          <w:color w:val="000000" w:themeColor="text1"/>
          <w:szCs w:val="26"/>
        </w:rPr>
        <w:t>o</w:t>
      </w:r>
      <w:r w:rsidR="008510F9">
        <w:rPr>
          <w:i/>
          <w:color w:val="000000" w:themeColor="text1"/>
          <w:szCs w:val="26"/>
        </w:rPr>
        <w:t xml:space="preserve">ne </w:t>
      </w:r>
      <w:r w:rsidR="000D68BF">
        <w:rPr>
          <w:i/>
          <w:color w:val="000000" w:themeColor="text1"/>
          <w:szCs w:val="26"/>
        </w:rPr>
        <w:t>d</w:t>
      </w:r>
      <w:r w:rsidR="008510F9">
        <w:rPr>
          <w:i/>
          <w:color w:val="000000" w:themeColor="text1"/>
          <w:szCs w:val="26"/>
        </w:rPr>
        <w:t xml:space="preserve">efined in </w:t>
      </w:r>
      <w:r w:rsidR="000D68BF">
        <w:rPr>
          <w:i/>
          <w:color w:val="000000" w:themeColor="text1"/>
          <w:szCs w:val="26"/>
        </w:rPr>
        <w:t>o</w:t>
      </w:r>
      <w:r w:rsidR="008510F9">
        <w:rPr>
          <w:i/>
          <w:color w:val="000000" w:themeColor="text1"/>
          <w:szCs w:val="26"/>
        </w:rPr>
        <w:t xml:space="preserve">bjective </w:t>
      </w:r>
      <w:r w:rsidR="000D68BF">
        <w:rPr>
          <w:i/>
          <w:color w:val="000000" w:themeColor="text1"/>
          <w:szCs w:val="26"/>
        </w:rPr>
        <w:t>t</w:t>
      </w:r>
      <w:r w:rsidR="008510F9">
        <w:rPr>
          <w:i/>
          <w:color w:val="000000" w:themeColor="text1"/>
          <w:szCs w:val="26"/>
        </w:rPr>
        <w:t xml:space="preserve">erms </w:t>
      </w:r>
      <w:r w:rsidR="000D68BF">
        <w:rPr>
          <w:i/>
          <w:color w:val="000000" w:themeColor="text1"/>
          <w:szCs w:val="26"/>
        </w:rPr>
        <w:t>t</w:t>
      </w:r>
      <w:r w:rsidR="008510F9">
        <w:rPr>
          <w:i/>
          <w:color w:val="000000" w:themeColor="text1"/>
          <w:szCs w:val="26"/>
        </w:rPr>
        <w:t xml:space="preserve">hat </w:t>
      </w:r>
      <w:r w:rsidR="000D68BF">
        <w:rPr>
          <w:i/>
          <w:color w:val="000000" w:themeColor="text1"/>
          <w:szCs w:val="26"/>
        </w:rPr>
        <w:t>m</w:t>
      </w:r>
      <w:r w:rsidR="008510F9">
        <w:rPr>
          <w:i/>
          <w:color w:val="000000" w:themeColor="text1"/>
          <w:szCs w:val="26"/>
        </w:rPr>
        <w:t xml:space="preserve">ake the </w:t>
      </w:r>
      <w:r w:rsidR="000D68BF">
        <w:rPr>
          <w:i/>
          <w:color w:val="000000" w:themeColor="text1"/>
          <w:szCs w:val="26"/>
        </w:rPr>
        <w:t>e</w:t>
      </w:r>
      <w:r w:rsidR="008510F9">
        <w:rPr>
          <w:i/>
          <w:color w:val="000000" w:themeColor="text1"/>
          <w:szCs w:val="26"/>
        </w:rPr>
        <w:t xml:space="preserve">ventual </w:t>
      </w:r>
      <w:r w:rsidR="000D68BF">
        <w:rPr>
          <w:i/>
          <w:color w:val="000000" w:themeColor="text1"/>
          <w:szCs w:val="26"/>
        </w:rPr>
        <w:t>i</w:t>
      </w:r>
      <w:r w:rsidR="008510F9">
        <w:rPr>
          <w:i/>
          <w:color w:val="000000" w:themeColor="text1"/>
          <w:szCs w:val="26"/>
        </w:rPr>
        <w:t xml:space="preserve">dentification of </w:t>
      </w:r>
      <w:r w:rsidR="000D68BF">
        <w:rPr>
          <w:i/>
          <w:color w:val="000000" w:themeColor="text1"/>
          <w:szCs w:val="26"/>
        </w:rPr>
        <w:t>c</w:t>
      </w:r>
      <w:r w:rsidR="008510F9">
        <w:rPr>
          <w:i/>
          <w:color w:val="000000" w:themeColor="text1"/>
          <w:szCs w:val="26"/>
        </w:rPr>
        <w:t xml:space="preserve">lass </w:t>
      </w:r>
      <w:r w:rsidR="000D68BF">
        <w:rPr>
          <w:i/>
          <w:color w:val="000000" w:themeColor="text1"/>
          <w:szCs w:val="26"/>
        </w:rPr>
        <w:t>m</w:t>
      </w:r>
      <w:r w:rsidR="008510F9">
        <w:rPr>
          <w:i/>
          <w:color w:val="000000" w:themeColor="text1"/>
          <w:szCs w:val="26"/>
        </w:rPr>
        <w:t xml:space="preserve">embers </w:t>
      </w:r>
      <w:r w:rsidR="000D68BF">
        <w:rPr>
          <w:i/>
          <w:color w:val="000000" w:themeColor="text1"/>
          <w:szCs w:val="26"/>
        </w:rPr>
        <w:t>p</w:t>
      </w:r>
      <w:r w:rsidR="008510F9">
        <w:rPr>
          <w:i/>
          <w:color w:val="000000" w:themeColor="text1"/>
          <w:szCs w:val="26"/>
        </w:rPr>
        <w:t>ossible</w:t>
      </w:r>
    </w:p>
    <w:p w14:paraId="759A083B" w14:textId="76F8D08E" w:rsidR="00BE3E79" w:rsidRDefault="00A70982" w:rsidP="004177C6">
      <w:pPr>
        <w:ind w:firstLine="720"/>
        <w:rPr>
          <w:color w:val="000000" w:themeColor="text1"/>
          <w:szCs w:val="26"/>
        </w:rPr>
      </w:pPr>
      <w:r>
        <w:rPr>
          <w:color w:val="000000" w:themeColor="text1"/>
          <w:szCs w:val="26"/>
        </w:rPr>
        <w:t xml:space="preserve">Although </w:t>
      </w:r>
      <w:r w:rsidR="006A611C" w:rsidRPr="004177C6">
        <w:rPr>
          <w:i/>
          <w:color w:val="000000" w:themeColor="text1"/>
          <w:szCs w:val="26"/>
        </w:rPr>
        <w:t>Mullins</w:t>
      </w:r>
      <w:r w:rsidR="006A611C" w:rsidRPr="004177C6">
        <w:rPr>
          <w:color w:val="000000" w:themeColor="text1"/>
          <w:szCs w:val="26"/>
        </w:rPr>
        <w:t xml:space="preserve">, </w:t>
      </w:r>
      <w:r w:rsidR="006A611C" w:rsidRPr="004177C6">
        <w:rPr>
          <w:i/>
          <w:color w:val="000000" w:themeColor="text1"/>
          <w:szCs w:val="26"/>
        </w:rPr>
        <w:t>supra</w:t>
      </w:r>
      <w:r w:rsidR="006A611C" w:rsidRPr="004177C6">
        <w:rPr>
          <w:color w:val="000000" w:themeColor="text1"/>
          <w:szCs w:val="26"/>
        </w:rPr>
        <w:t>, 795 F.3d 654</w:t>
      </w:r>
      <w:r>
        <w:rPr>
          <w:color w:val="000000" w:themeColor="text1"/>
          <w:szCs w:val="26"/>
        </w:rPr>
        <w:t xml:space="preserve"> </w:t>
      </w:r>
      <w:r w:rsidR="005731DD">
        <w:rPr>
          <w:color w:val="000000" w:themeColor="text1"/>
          <w:szCs w:val="26"/>
        </w:rPr>
        <w:t>applied</w:t>
      </w:r>
      <w:r>
        <w:rPr>
          <w:color w:val="000000" w:themeColor="text1"/>
          <w:szCs w:val="26"/>
        </w:rPr>
        <w:t xml:space="preserve"> </w:t>
      </w:r>
      <w:r w:rsidR="0079047E">
        <w:rPr>
          <w:color w:val="000000" w:themeColor="text1"/>
          <w:szCs w:val="26"/>
        </w:rPr>
        <w:t xml:space="preserve">only </w:t>
      </w:r>
      <w:r>
        <w:rPr>
          <w:color w:val="000000" w:themeColor="text1"/>
          <w:szCs w:val="26"/>
        </w:rPr>
        <w:t>federal law, much of its analysis</w:t>
      </w:r>
      <w:r w:rsidR="006A611C" w:rsidRPr="004177C6">
        <w:rPr>
          <w:color w:val="000000" w:themeColor="text1"/>
          <w:szCs w:val="26"/>
        </w:rPr>
        <w:t xml:space="preserve"> rings true here</w:t>
      </w:r>
      <w:r w:rsidR="006E3DD8">
        <w:rPr>
          <w:color w:val="000000" w:themeColor="text1"/>
          <w:szCs w:val="26"/>
        </w:rPr>
        <w:t xml:space="preserve"> as well</w:t>
      </w:r>
      <w:r w:rsidR="006A611C" w:rsidRPr="004177C6">
        <w:rPr>
          <w:color w:val="000000" w:themeColor="text1"/>
          <w:szCs w:val="26"/>
        </w:rPr>
        <w:t xml:space="preserve">.  </w:t>
      </w:r>
      <w:r w:rsidR="00655329">
        <w:rPr>
          <w:color w:val="000000" w:themeColor="text1"/>
          <w:szCs w:val="26"/>
        </w:rPr>
        <w:t>W</w:t>
      </w:r>
      <w:r w:rsidR="009A200E" w:rsidRPr="004177C6">
        <w:rPr>
          <w:color w:val="000000" w:themeColor="text1"/>
          <w:szCs w:val="26"/>
        </w:rPr>
        <w:t>e</w:t>
      </w:r>
      <w:r w:rsidR="00BE3E79" w:rsidRPr="004177C6">
        <w:rPr>
          <w:color w:val="000000" w:themeColor="text1"/>
          <w:szCs w:val="26"/>
        </w:rPr>
        <w:t xml:space="preserve"> </w:t>
      </w:r>
      <w:r>
        <w:rPr>
          <w:color w:val="000000" w:themeColor="text1"/>
          <w:szCs w:val="26"/>
        </w:rPr>
        <w:t xml:space="preserve">agree with </w:t>
      </w:r>
      <w:r w:rsidRPr="00A70982">
        <w:rPr>
          <w:i/>
          <w:color w:val="000000" w:themeColor="text1"/>
          <w:szCs w:val="26"/>
        </w:rPr>
        <w:t>Mullins</w:t>
      </w:r>
      <w:r w:rsidRPr="00B84B38">
        <w:rPr>
          <w:color w:val="000000" w:themeColor="text1"/>
          <w:szCs w:val="26"/>
        </w:rPr>
        <w:t>’</w:t>
      </w:r>
      <w:r>
        <w:rPr>
          <w:color w:val="000000" w:themeColor="text1"/>
          <w:szCs w:val="26"/>
        </w:rPr>
        <w:t xml:space="preserve"> </w:t>
      </w:r>
      <w:r w:rsidR="00FC6188">
        <w:rPr>
          <w:color w:val="000000" w:themeColor="text1"/>
          <w:szCs w:val="26"/>
        </w:rPr>
        <w:t xml:space="preserve">assignment of a limited but important </w:t>
      </w:r>
      <w:r w:rsidR="008C6D87">
        <w:rPr>
          <w:color w:val="000000" w:themeColor="text1"/>
          <w:szCs w:val="26"/>
        </w:rPr>
        <w:t xml:space="preserve">function </w:t>
      </w:r>
      <w:r w:rsidR="00734CF0" w:rsidRPr="004177C6">
        <w:rPr>
          <w:color w:val="000000" w:themeColor="text1"/>
          <w:szCs w:val="26"/>
        </w:rPr>
        <w:t>to</w:t>
      </w:r>
      <w:r w:rsidR="004B3127" w:rsidRPr="004177C6">
        <w:rPr>
          <w:color w:val="000000" w:themeColor="text1"/>
          <w:szCs w:val="26"/>
        </w:rPr>
        <w:t xml:space="preserve"> the ascertainability requirement</w:t>
      </w:r>
      <w:r w:rsidR="005731DD">
        <w:rPr>
          <w:color w:val="000000" w:themeColor="text1"/>
          <w:szCs w:val="26"/>
        </w:rPr>
        <w:t xml:space="preserve">. </w:t>
      </w:r>
      <w:r>
        <w:rPr>
          <w:color w:val="000000" w:themeColor="text1"/>
          <w:szCs w:val="26"/>
        </w:rPr>
        <w:t xml:space="preserve"> </w:t>
      </w:r>
      <w:r w:rsidR="005731DD">
        <w:rPr>
          <w:color w:val="000000" w:themeColor="text1"/>
          <w:szCs w:val="26"/>
        </w:rPr>
        <w:t xml:space="preserve">We </w:t>
      </w:r>
      <w:r w:rsidR="00D50848">
        <w:rPr>
          <w:color w:val="000000" w:themeColor="text1"/>
          <w:szCs w:val="26"/>
        </w:rPr>
        <w:t>conclude</w:t>
      </w:r>
      <w:r w:rsidR="005731DD">
        <w:rPr>
          <w:color w:val="000000" w:themeColor="text1"/>
          <w:szCs w:val="26"/>
        </w:rPr>
        <w:t xml:space="preserve"> that the </w:t>
      </w:r>
      <w:r w:rsidR="005431F1">
        <w:rPr>
          <w:color w:val="000000" w:themeColor="text1"/>
          <w:szCs w:val="26"/>
        </w:rPr>
        <w:t>objectives of</w:t>
      </w:r>
      <w:r w:rsidR="005731DD">
        <w:rPr>
          <w:color w:val="000000" w:themeColor="text1"/>
          <w:szCs w:val="26"/>
        </w:rPr>
        <w:t xml:space="preserve"> </w:t>
      </w:r>
      <w:r w:rsidR="0099336B">
        <w:rPr>
          <w:color w:val="000000" w:themeColor="text1"/>
          <w:szCs w:val="26"/>
        </w:rPr>
        <w:t>this</w:t>
      </w:r>
      <w:r w:rsidR="005731DD">
        <w:rPr>
          <w:color w:val="000000" w:themeColor="text1"/>
          <w:szCs w:val="26"/>
        </w:rPr>
        <w:t xml:space="preserve"> requirement are best </w:t>
      </w:r>
      <w:r w:rsidR="005431F1">
        <w:rPr>
          <w:color w:val="000000" w:themeColor="text1"/>
          <w:szCs w:val="26"/>
        </w:rPr>
        <w:t>achieved</w:t>
      </w:r>
      <w:r w:rsidR="005731DD">
        <w:rPr>
          <w:color w:val="000000" w:themeColor="text1"/>
          <w:szCs w:val="26"/>
        </w:rPr>
        <w:t xml:space="preserve"> by regarding</w:t>
      </w:r>
      <w:r w:rsidR="004B3127" w:rsidRPr="004177C6">
        <w:rPr>
          <w:color w:val="000000" w:themeColor="text1"/>
          <w:szCs w:val="26"/>
        </w:rPr>
        <w:t xml:space="preserve"> a class as ascertainable when it is</w:t>
      </w:r>
      <w:r w:rsidR="00590118" w:rsidRPr="004177C6">
        <w:rPr>
          <w:color w:val="000000" w:themeColor="text1"/>
          <w:szCs w:val="26"/>
        </w:rPr>
        <w:t xml:space="preserve"> </w:t>
      </w:r>
      <w:r w:rsidR="000D5EFE">
        <w:rPr>
          <w:color w:val="000000" w:themeColor="text1"/>
          <w:szCs w:val="26"/>
        </w:rPr>
        <w:t>defined</w:t>
      </w:r>
      <w:r w:rsidR="00B533A6">
        <w:rPr>
          <w:color w:val="000000" w:themeColor="text1"/>
          <w:szCs w:val="26"/>
        </w:rPr>
        <w:t xml:space="preserve"> </w:t>
      </w:r>
      <w:r w:rsidR="000D5EFE">
        <w:rPr>
          <w:color w:val="000000" w:themeColor="text1"/>
          <w:szCs w:val="26"/>
        </w:rPr>
        <w:t>“</w:t>
      </w:r>
      <w:r w:rsidR="000D5EFE">
        <w:t>in terms of objective characteristics and common transactional facts” that make “the ultimate identification of class members possible when that identification becomes necessary.”  (</w:t>
      </w:r>
      <w:r w:rsidR="000D5EFE" w:rsidRPr="005731DD">
        <w:rPr>
          <w:i/>
        </w:rPr>
        <w:t>Hicks</w:t>
      </w:r>
      <w:r w:rsidR="00655329">
        <w:t xml:space="preserve">, </w:t>
      </w:r>
      <w:r w:rsidR="00655329" w:rsidRPr="005731DD">
        <w:rPr>
          <w:i/>
        </w:rPr>
        <w:t>supra</w:t>
      </w:r>
      <w:r w:rsidR="00655329">
        <w:t xml:space="preserve">, </w:t>
      </w:r>
      <w:r w:rsidR="000D5EFE" w:rsidRPr="00655329">
        <w:t>89</w:t>
      </w:r>
      <w:r w:rsidR="000D5EFE">
        <w:t xml:space="preserve"> Cal.App.4</w:t>
      </w:r>
      <w:r w:rsidR="000D5EFE" w:rsidRPr="00FC00A0">
        <w:t>th</w:t>
      </w:r>
      <w:r w:rsidR="000D5EFE">
        <w:t xml:space="preserve"> </w:t>
      </w:r>
      <w:r w:rsidR="00655329">
        <w:t>at p.</w:t>
      </w:r>
      <w:r w:rsidR="000D5EFE">
        <w:t xml:space="preserve"> 91</w:t>
      </w:r>
      <w:r w:rsidR="003D6A8A">
        <w:t>5</w:t>
      </w:r>
      <w:r w:rsidR="000D5EFE">
        <w:t xml:space="preserve">.) </w:t>
      </w:r>
      <w:r w:rsidR="00B533A6">
        <w:rPr>
          <w:color w:val="000000" w:themeColor="text1"/>
          <w:szCs w:val="26"/>
        </w:rPr>
        <w:t xml:space="preserve"> We regard this standard as </w:t>
      </w:r>
      <w:r w:rsidR="005431F1">
        <w:rPr>
          <w:color w:val="000000" w:themeColor="text1"/>
          <w:szCs w:val="26"/>
        </w:rPr>
        <w:t>including</w:t>
      </w:r>
      <w:r w:rsidR="00B533A6">
        <w:rPr>
          <w:color w:val="000000" w:themeColor="text1"/>
          <w:szCs w:val="26"/>
        </w:rPr>
        <w:t xml:space="preserve"> class definitions that are </w:t>
      </w:r>
      <w:r w:rsidR="004B3127" w:rsidRPr="004177C6">
        <w:rPr>
          <w:color w:val="000000" w:themeColor="text1"/>
          <w:szCs w:val="26"/>
        </w:rPr>
        <w:t xml:space="preserve">“sufficient to allow a member of </w:t>
      </w:r>
      <w:r w:rsidR="00475E18" w:rsidRPr="004177C6">
        <w:rPr>
          <w:color w:val="000000" w:themeColor="text1"/>
          <w:szCs w:val="26"/>
        </w:rPr>
        <w:t>[the class]</w:t>
      </w:r>
      <w:r w:rsidR="004B3127" w:rsidRPr="004177C6">
        <w:rPr>
          <w:color w:val="000000" w:themeColor="text1"/>
          <w:szCs w:val="26"/>
        </w:rPr>
        <w:t xml:space="preserve"> to identify himself or herself as having a right to recover based on the </w:t>
      </w:r>
      <w:r w:rsidR="00475E18" w:rsidRPr="004177C6">
        <w:rPr>
          <w:color w:val="000000" w:themeColor="text1"/>
          <w:szCs w:val="26"/>
        </w:rPr>
        <w:t xml:space="preserve">[class] </w:t>
      </w:r>
      <w:r w:rsidR="004B3127" w:rsidRPr="004177C6">
        <w:rPr>
          <w:color w:val="000000" w:themeColor="text1"/>
          <w:szCs w:val="26"/>
        </w:rPr>
        <w:t>description</w:t>
      </w:r>
      <w:r w:rsidR="006F1E8C">
        <w:rPr>
          <w:color w:val="000000" w:themeColor="text1"/>
          <w:szCs w:val="26"/>
        </w:rPr>
        <w:t>.</w:t>
      </w:r>
      <w:r w:rsidR="004B3127" w:rsidRPr="004177C6">
        <w:rPr>
          <w:color w:val="000000" w:themeColor="text1"/>
          <w:szCs w:val="26"/>
        </w:rPr>
        <w:t>”</w:t>
      </w:r>
      <w:r w:rsidR="006F1E8C">
        <w:rPr>
          <w:color w:val="000000" w:themeColor="text1"/>
          <w:szCs w:val="26"/>
        </w:rPr>
        <w:t xml:space="preserve"> </w:t>
      </w:r>
      <w:r w:rsidR="001C4169">
        <w:rPr>
          <w:color w:val="000000" w:themeColor="text1"/>
          <w:szCs w:val="26"/>
        </w:rPr>
        <w:t xml:space="preserve"> </w:t>
      </w:r>
      <w:r w:rsidR="004B3127" w:rsidRPr="004177C6">
        <w:rPr>
          <w:color w:val="000000" w:themeColor="text1"/>
          <w:szCs w:val="26"/>
        </w:rPr>
        <w:t>(</w:t>
      </w:r>
      <w:r w:rsidR="004B3127" w:rsidRPr="004177C6">
        <w:rPr>
          <w:i/>
          <w:color w:val="000000" w:themeColor="text1"/>
          <w:szCs w:val="26"/>
        </w:rPr>
        <w:t>Bartold</w:t>
      </w:r>
      <w:r w:rsidR="004B3127" w:rsidRPr="004177C6">
        <w:rPr>
          <w:color w:val="000000" w:themeColor="text1"/>
          <w:szCs w:val="26"/>
        </w:rPr>
        <w:t xml:space="preserve">, </w:t>
      </w:r>
      <w:r w:rsidR="004B3127" w:rsidRPr="004177C6">
        <w:rPr>
          <w:i/>
          <w:color w:val="000000" w:themeColor="text1"/>
          <w:szCs w:val="26"/>
        </w:rPr>
        <w:t>supra</w:t>
      </w:r>
      <w:r w:rsidR="004B3127" w:rsidRPr="004177C6">
        <w:rPr>
          <w:color w:val="000000" w:themeColor="text1"/>
          <w:szCs w:val="26"/>
        </w:rPr>
        <w:t>, 81 Cal.App.4th at p.</w:t>
      </w:r>
      <w:r w:rsidR="003B226C">
        <w:rPr>
          <w:color w:val="000000" w:themeColor="text1"/>
          <w:szCs w:val="26"/>
        </w:rPr>
        <w:t> </w:t>
      </w:r>
      <w:r w:rsidR="004B3127" w:rsidRPr="004177C6">
        <w:rPr>
          <w:color w:val="000000" w:themeColor="text1"/>
          <w:szCs w:val="26"/>
        </w:rPr>
        <w:t>828</w:t>
      </w:r>
      <w:r w:rsidR="00B406B4">
        <w:rPr>
          <w:color w:val="000000" w:themeColor="text1"/>
          <w:szCs w:val="26"/>
        </w:rPr>
        <w:t>.</w:t>
      </w:r>
      <w:r w:rsidR="004B3127" w:rsidRPr="004177C6">
        <w:rPr>
          <w:color w:val="000000" w:themeColor="text1"/>
          <w:szCs w:val="26"/>
        </w:rPr>
        <w:t>)</w:t>
      </w:r>
      <w:r w:rsidR="001C4169">
        <w:rPr>
          <w:color w:val="000000" w:themeColor="text1"/>
          <w:szCs w:val="26"/>
        </w:rPr>
        <w:t xml:space="preserve">  </w:t>
      </w:r>
    </w:p>
    <w:p w14:paraId="33973B61" w14:textId="77777777" w:rsidR="007329FB" w:rsidRDefault="008B04C2" w:rsidP="007329FB">
      <w:pPr>
        <w:ind w:firstLine="720"/>
      </w:pPr>
      <w:r>
        <w:rPr>
          <w:color w:val="000000" w:themeColor="text1"/>
          <w:szCs w:val="26"/>
        </w:rPr>
        <w:t xml:space="preserve">This </w:t>
      </w:r>
      <w:r w:rsidR="00FC4483">
        <w:rPr>
          <w:color w:val="000000" w:themeColor="text1"/>
          <w:szCs w:val="26"/>
        </w:rPr>
        <w:t xml:space="preserve">understanding of </w:t>
      </w:r>
      <w:r w:rsidR="005431F1">
        <w:rPr>
          <w:color w:val="000000" w:themeColor="text1"/>
          <w:szCs w:val="26"/>
        </w:rPr>
        <w:t xml:space="preserve">the threshold requirement of </w:t>
      </w:r>
      <w:r w:rsidR="00FC4483">
        <w:rPr>
          <w:color w:val="000000" w:themeColor="text1"/>
          <w:szCs w:val="26"/>
        </w:rPr>
        <w:t>ascertainability</w:t>
      </w:r>
      <w:r w:rsidR="003943BD">
        <w:rPr>
          <w:color w:val="000000" w:themeColor="text1"/>
          <w:szCs w:val="26"/>
        </w:rPr>
        <w:t xml:space="preserve"> for class certification</w:t>
      </w:r>
      <w:r w:rsidR="00FC4483">
        <w:rPr>
          <w:color w:val="000000" w:themeColor="text1"/>
          <w:szCs w:val="26"/>
        </w:rPr>
        <w:t xml:space="preserve"> </w:t>
      </w:r>
      <w:r w:rsidR="003B226C">
        <w:rPr>
          <w:color w:val="000000" w:themeColor="text1"/>
          <w:szCs w:val="26"/>
        </w:rPr>
        <w:t xml:space="preserve">protects the due process interests of </w:t>
      </w:r>
      <w:r w:rsidR="005431F1">
        <w:rPr>
          <w:color w:val="000000" w:themeColor="text1"/>
          <w:szCs w:val="26"/>
        </w:rPr>
        <w:t>all</w:t>
      </w:r>
      <w:r w:rsidR="003B226C">
        <w:rPr>
          <w:color w:val="000000" w:themeColor="text1"/>
          <w:szCs w:val="26"/>
        </w:rPr>
        <w:t xml:space="preserve"> </w:t>
      </w:r>
      <w:r w:rsidR="000205CD">
        <w:rPr>
          <w:color w:val="000000" w:themeColor="text1"/>
          <w:szCs w:val="26"/>
        </w:rPr>
        <w:t>parties</w:t>
      </w:r>
      <w:r w:rsidR="003B226C">
        <w:rPr>
          <w:color w:val="000000" w:themeColor="text1"/>
          <w:szCs w:val="26"/>
        </w:rPr>
        <w:t xml:space="preserve"> and absent class members without</w:t>
      </w:r>
      <w:r w:rsidR="00E076FA">
        <w:rPr>
          <w:color w:val="000000" w:themeColor="text1"/>
          <w:szCs w:val="26"/>
        </w:rPr>
        <w:t xml:space="preserve"> unduly</w:t>
      </w:r>
      <w:r w:rsidR="003B226C">
        <w:rPr>
          <w:color w:val="000000" w:themeColor="text1"/>
          <w:szCs w:val="26"/>
        </w:rPr>
        <w:t xml:space="preserve"> impairing </w:t>
      </w:r>
      <w:r w:rsidR="00B83BE9">
        <w:rPr>
          <w:color w:val="000000" w:themeColor="text1"/>
          <w:szCs w:val="26"/>
        </w:rPr>
        <w:t xml:space="preserve">the efficacy of </w:t>
      </w:r>
      <w:r w:rsidR="00820F88">
        <w:rPr>
          <w:color w:val="000000" w:themeColor="text1"/>
          <w:szCs w:val="26"/>
        </w:rPr>
        <w:t xml:space="preserve">the </w:t>
      </w:r>
      <w:r w:rsidR="003B226C">
        <w:rPr>
          <w:color w:val="000000" w:themeColor="text1"/>
          <w:szCs w:val="26"/>
        </w:rPr>
        <w:t xml:space="preserve">class action </w:t>
      </w:r>
      <w:r w:rsidR="00820F88">
        <w:rPr>
          <w:color w:val="000000" w:themeColor="text1"/>
          <w:szCs w:val="26"/>
        </w:rPr>
        <w:t>mechanism</w:t>
      </w:r>
      <w:r w:rsidR="003B226C">
        <w:rPr>
          <w:color w:val="000000" w:themeColor="text1"/>
          <w:szCs w:val="26"/>
        </w:rPr>
        <w:t xml:space="preserve">. </w:t>
      </w:r>
      <w:r w:rsidR="00EB3BBF">
        <w:rPr>
          <w:color w:val="000000" w:themeColor="text1"/>
          <w:szCs w:val="26"/>
        </w:rPr>
        <w:t xml:space="preserve"> </w:t>
      </w:r>
      <w:r w:rsidR="00E076FA">
        <w:t>We have explained</w:t>
      </w:r>
      <w:r w:rsidR="000205CD">
        <w:t xml:space="preserve"> some of</w:t>
      </w:r>
      <w:r w:rsidR="00E076FA">
        <w:t xml:space="preserve"> the benefits that class proceedings</w:t>
      </w:r>
      <w:r w:rsidR="000205CD">
        <w:t xml:space="preserve"> such as the one at bar</w:t>
      </w:r>
      <w:r w:rsidR="00E076FA">
        <w:t xml:space="preserve"> can yield</w:t>
      </w:r>
      <w:r w:rsidR="004935BE">
        <w:t>:</w:t>
      </w:r>
      <w:r w:rsidR="00E076FA">
        <w:t xml:space="preserve">  “</w:t>
      </w:r>
      <w:r w:rsidR="00E076FA" w:rsidRPr="004177C6">
        <w:t>Not only do class actions offer consumers a means of recovery for modest individual damages, but such actions often produce ‘several salutary by-products, including a therapeutic effect upon those sellers who indulge in fraudulent practices, aid to legitimate business enterprises by curtailing illegitimate competition, and avoidance to the judicial process of the burden of multiple litigation involving identical claims.’ ”  (</w:t>
      </w:r>
      <w:r w:rsidR="00E076FA" w:rsidRPr="004177C6">
        <w:rPr>
          <w:i/>
        </w:rPr>
        <w:t>Linder</w:t>
      </w:r>
      <w:r w:rsidR="00E076FA" w:rsidRPr="004177C6">
        <w:t xml:space="preserve">, </w:t>
      </w:r>
      <w:r w:rsidR="00E076FA" w:rsidRPr="004177C6">
        <w:rPr>
          <w:i/>
        </w:rPr>
        <w:t>supra</w:t>
      </w:r>
      <w:r w:rsidR="00E076FA" w:rsidRPr="004177C6">
        <w:t xml:space="preserve">, 23 Cal.4th at p. 445, quoting </w:t>
      </w:r>
      <w:r w:rsidR="00E076FA" w:rsidRPr="004177C6">
        <w:rPr>
          <w:i/>
        </w:rPr>
        <w:t>Vasquez</w:t>
      </w:r>
      <w:r w:rsidR="00E076FA" w:rsidRPr="004177C6">
        <w:t xml:space="preserve">, </w:t>
      </w:r>
      <w:r w:rsidR="00E076FA" w:rsidRPr="004177C6">
        <w:rPr>
          <w:i/>
        </w:rPr>
        <w:t>supra</w:t>
      </w:r>
      <w:r w:rsidR="00E076FA" w:rsidRPr="004177C6">
        <w:t>, 4 Cal.3d at p. 808</w:t>
      </w:r>
      <w:r w:rsidR="000205CD">
        <w:t xml:space="preserve">; see also </w:t>
      </w:r>
      <w:r w:rsidR="000205CD" w:rsidRPr="000205CD">
        <w:rPr>
          <w:i/>
        </w:rPr>
        <w:t>Vasquez</w:t>
      </w:r>
      <w:r w:rsidR="000205CD">
        <w:t>, at p. 807</w:t>
      </w:r>
      <w:r w:rsidR="00E076FA" w:rsidRPr="004177C6">
        <w:t xml:space="preserve">.)  </w:t>
      </w:r>
    </w:p>
    <w:p w14:paraId="32D164D4" w14:textId="28BE610C" w:rsidR="00B83BE9" w:rsidRPr="008510F9" w:rsidRDefault="00E076FA" w:rsidP="007329FB">
      <w:pPr>
        <w:ind w:firstLine="720"/>
        <w:rPr>
          <w:color w:val="000000" w:themeColor="text1"/>
          <w:szCs w:val="26"/>
        </w:rPr>
      </w:pPr>
      <w:r>
        <w:t xml:space="preserve">But a class proceeding must be maintained in a manner consistent with due process. </w:t>
      </w:r>
      <w:r>
        <w:rPr>
          <w:color w:val="000000" w:themeColor="text1"/>
          <w:szCs w:val="26"/>
        </w:rPr>
        <w:t xml:space="preserve"> </w:t>
      </w:r>
      <w:r w:rsidR="004935BE">
        <w:rPr>
          <w:color w:val="000000" w:themeColor="text1"/>
          <w:szCs w:val="26"/>
        </w:rPr>
        <w:t>A class definition framed</w:t>
      </w:r>
      <w:r w:rsidR="00B83BE9">
        <w:rPr>
          <w:color w:val="000000" w:themeColor="text1"/>
          <w:szCs w:val="26"/>
        </w:rPr>
        <w:t xml:space="preserve"> in </w:t>
      </w:r>
      <w:r w:rsidR="008510F9">
        <w:rPr>
          <w:color w:val="000000" w:themeColor="text1"/>
          <w:szCs w:val="26"/>
        </w:rPr>
        <w:t>objective terms</w:t>
      </w:r>
      <w:r w:rsidR="0035085C">
        <w:rPr>
          <w:color w:val="000000" w:themeColor="text1"/>
          <w:szCs w:val="26"/>
        </w:rPr>
        <w:t xml:space="preserve"> that </w:t>
      </w:r>
      <w:r w:rsidR="009B3853">
        <w:rPr>
          <w:color w:val="000000" w:themeColor="text1"/>
          <w:szCs w:val="26"/>
        </w:rPr>
        <w:t>make the</w:t>
      </w:r>
      <w:r w:rsidR="0035085C">
        <w:rPr>
          <w:color w:val="000000" w:themeColor="text1"/>
          <w:szCs w:val="26"/>
        </w:rPr>
        <w:t xml:space="preserve"> identification of class members</w:t>
      </w:r>
      <w:r w:rsidR="004935BE">
        <w:rPr>
          <w:color w:val="000000" w:themeColor="text1"/>
          <w:szCs w:val="26"/>
        </w:rPr>
        <w:t xml:space="preserve"> </w:t>
      </w:r>
      <w:r w:rsidR="009B3853">
        <w:rPr>
          <w:color w:val="000000" w:themeColor="text1"/>
          <w:szCs w:val="26"/>
        </w:rPr>
        <w:t xml:space="preserve">possible </w:t>
      </w:r>
      <w:r w:rsidR="004935BE">
        <w:rPr>
          <w:color w:val="000000" w:themeColor="text1"/>
          <w:szCs w:val="26"/>
        </w:rPr>
        <w:t>promotes due process</w:t>
      </w:r>
      <w:r w:rsidR="009B3853">
        <w:rPr>
          <w:color w:val="000000" w:themeColor="text1"/>
          <w:szCs w:val="26"/>
        </w:rPr>
        <w:t xml:space="preserve"> in </w:t>
      </w:r>
      <w:r w:rsidR="008F5838">
        <w:rPr>
          <w:color w:val="000000" w:themeColor="text1"/>
          <w:szCs w:val="26"/>
        </w:rPr>
        <w:t xml:space="preserve">at least </w:t>
      </w:r>
      <w:r w:rsidR="009B3853">
        <w:rPr>
          <w:color w:val="000000" w:themeColor="text1"/>
          <w:szCs w:val="26"/>
        </w:rPr>
        <w:t xml:space="preserve">two ways.  </w:t>
      </w:r>
      <w:r w:rsidR="00A203E8">
        <w:rPr>
          <w:color w:val="000000" w:themeColor="text1"/>
          <w:szCs w:val="26"/>
        </w:rPr>
        <w:t>Such phrasing</w:t>
      </w:r>
      <w:r w:rsidR="004935BE">
        <w:rPr>
          <w:color w:val="000000" w:themeColor="text1"/>
          <w:szCs w:val="26"/>
        </w:rPr>
        <w:t xml:space="preserve"> </w:t>
      </w:r>
      <w:r w:rsidR="009B3853">
        <w:rPr>
          <w:color w:val="000000" w:themeColor="text1"/>
          <w:szCs w:val="26"/>
        </w:rPr>
        <w:t xml:space="preserve">puts </w:t>
      </w:r>
      <w:r w:rsidR="00A203E8">
        <w:rPr>
          <w:color w:val="000000" w:themeColor="text1"/>
          <w:szCs w:val="26"/>
        </w:rPr>
        <w:t>members of the class</w:t>
      </w:r>
      <w:r w:rsidR="009B3853">
        <w:rPr>
          <w:color w:val="000000" w:themeColor="text1"/>
          <w:szCs w:val="26"/>
        </w:rPr>
        <w:t xml:space="preserve"> on notice</w:t>
      </w:r>
      <w:r w:rsidR="004935BE">
        <w:rPr>
          <w:color w:val="000000" w:themeColor="text1"/>
          <w:szCs w:val="26"/>
        </w:rPr>
        <w:t xml:space="preserve"> that their</w:t>
      </w:r>
      <w:r w:rsidR="00B83BE9">
        <w:rPr>
          <w:color w:val="000000" w:themeColor="text1"/>
          <w:szCs w:val="26"/>
        </w:rPr>
        <w:t xml:space="preserve"> rights </w:t>
      </w:r>
      <w:r w:rsidR="0035085C">
        <w:rPr>
          <w:color w:val="000000" w:themeColor="text1"/>
          <w:szCs w:val="26"/>
        </w:rPr>
        <w:t>may be</w:t>
      </w:r>
      <w:r w:rsidR="00B83BE9">
        <w:rPr>
          <w:color w:val="000000" w:themeColor="text1"/>
          <w:szCs w:val="26"/>
        </w:rPr>
        <w:t xml:space="preserve"> adjudicated in the proceeding</w:t>
      </w:r>
      <w:r w:rsidR="009B3853">
        <w:rPr>
          <w:color w:val="000000" w:themeColor="text1"/>
          <w:szCs w:val="26"/>
        </w:rPr>
        <w:t xml:space="preserve">, </w:t>
      </w:r>
      <w:r w:rsidR="004724D8">
        <w:rPr>
          <w:color w:val="000000" w:themeColor="text1"/>
          <w:szCs w:val="26"/>
        </w:rPr>
        <w:t>so</w:t>
      </w:r>
      <w:r w:rsidR="004935BE">
        <w:rPr>
          <w:color w:val="000000" w:themeColor="text1"/>
          <w:szCs w:val="26"/>
        </w:rPr>
        <w:t xml:space="preserve"> </w:t>
      </w:r>
      <w:r w:rsidR="0035085C">
        <w:rPr>
          <w:color w:val="000000" w:themeColor="text1"/>
          <w:szCs w:val="26"/>
        </w:rPr>
        <w:t>they must decide whether to intervene, opt out, or do nothing and live with the consequences</w:t>
      </w:r>
      <w:r w:rsidR="00A203E8">
        <w:rPr>
          <w:color w:val="000000" w:themeColor="text1"/>
          <w:szCs w:val="26"/>
        </w:rPr>
        <w:t xml:space="preserve">.  (See </w:t>
      </w:r>
      <w:r w:rsidR="00A203E8" w:rsidRPr="00A203E8">
        <w:rPr>
          <w:i/>
          <w:color w:val="000000" w:themeColor="text1"/>
          <w:szCs w:val="26"/>
        </w:rPr>
        <w:t>Hicks</w:t>
      </w:r>
      <w:r w:rsidR="00A203E8">
        <w:rPr>
          <w:color w:val="000000" w:themeColor="text1"/>
          <w:szCs w:val="26"/>
        </w:rPr>
        <w:t xml:space="preserve">, </w:t>
      </w:r>
      <w:r w:rsidR="00A203E8" w:rsidRPr="00A203E8">
        <w:rPr>
          <w:i/>
          <w:color w:val="000000" w:themeColor="text1"/>
          <w:szCs w:val="26"/>
        </w:rPr>
        <w:t>supra</w:t>
      </w:r>
      <w:r w:rsidR="00A203E8">
        <w:rPr>
          <w:color w:val="000000" w:themeColor="text1"/>
          <w:szCs w:val="26"/>
        </w:rPr>
        <w:t>, 89 Cal.App.4</w:t>
      </w:r>
      <w:r w:rsidR="00A203E8" w:rsidRPr="00A203E8">
        <w:rPr>
          <w:color w:val="000000" w:themeColor="text1"/>
          <w:szCs w:val="26"/>
        </w:rPr>
        <w:t>th</w:t>
      </w:r>
      <w:r w:rsidR="00A203E8">
        <w:rPr>
          <w:color w:val="000000" w:themeColor="text1"/>
          <w:szCs w:val="26"/>
        </w:rPr>
        <w:t xml:space="preserve"> at p. 914 [“[a]scertainability is required in order to give notice to putative class members as to whom the judgment in the action will be res judicata”].) </w:t>
      </w:r>
      <w:r w:rsidR="007329FB">
        <w:rPr>
          <w:color w:val="000000" w:themeColor="text1"/>
          <w:szCs w:val="26"/>
        </w:rPr>
        <w:t xml:space="preserve"> This kind of </w:t>
      </w:r>
      <w:r w:rsidR="00A203E8">
        <w:rPr>
          <w:color w:val="000000" w:themeColor="text1"/>
          <w:szCs w:val="26"/>
        </w:rPr>
        <w:t>class definition also</w:t>
      </w:r>
      <w:r w:rsidR="009B3853">
        <w:rPr>
          <w:color w:val="000000" w:themeColor="text1"/>
          <w:szCs w:val="26"/>
        </w:rPr>
        <w:t xml:space="preserve"> </w:t>
      </w:r>
      <w:r w:rsidR="00B57FE6">
        <w:rPr>
          <w:color w:val="000000" w:themeColor="text1"/>
          <w:szCs w:val="26"/>
        </w:rPr>
        <w:t>advances</w:t>
      </w:r>
      <w:r w:rsidR="00537545">
        <w:rPr>
          <w:color w:val="000000" w:themeColor="text1"/>
          <w:szCs w:val="26"/>
        </w:rPr>
        <w:t xml:space="preserve"> due process by </w:t>
      </w:r>
      <w:r w:rsidR="00D56F97">
        <w:rPr>
          <w:color w:val="000000" w:themeColor="text1"/>
          <w:szCs w:val="26"/>
        </w:rPr>
        <w:t>suppl</w:t>
      </w:r>
      <w:r w:rsidR="00537545">
        <w:rPr>
          <w:color w:val="000000" w:themeColor="text1"/>
          <w:szCs w:val="26"/>
        </w:rPr>
        <w:t>ying</w:t>
      </w:r>
      <w:r w:rsidR="00BF222F">
        <w:rPr>
          <w:color w:val="000000" w:themeColor="text1"/>
          <w:szCs w:val="26"/>
        </w:rPr>
        <w:t xml:space="preserve"> a </w:t>
      </w:r>
      <w:r w:rsidR="00537545">
        <w:rPr>
          <w:color w:val="000000" w:themeColor="text1"/>
          <w:szCs w:val="26"/>
        </w:rPr>
        <w:t>concrete</w:t>
      </w:r>
      <w:r w:rsidR="00BF222F">
        <w:rPr>
          <w:color w:val="000000" w:themeColor="text1"/>
          <w:szCs w:val="26"/>
        </w:rPr>
        <w:t xml:space="preserve"> basis for determining who will and will not be bound by</w:t>
      </w:r>
      <w:r w:rsidR="008F5838">
        <w:rPr>
          <w:color w:val="000000" w:themeColor="text1"/>
          <w:szCs w:val="26"/>
        </w:rPr>
        <w:t xml:space="preserve"> (or benefit from)</w:t>
      </w:r>
      <w:r w:rsidR="00BF222F">
        <w:rPr>
          <w:color w:val="000000" w:themeColor="text1"/>
          <w:szCs w:val="26"/>
        </w:rPr>
        <w:t xml:space="preserve"> any judgment</w:t>
      </w:r>
      <w:r w:rsidR="00537545">
        <w:rPr>
          <w:color w:val="000000" w:themeColor="text1"/>
          <w:szCs w:val="26"/>
        </w:rPr>
        <w:t xml:space="preserve">.  Allowing a class to be defined in vague terms, by contrast, could </w:t>
      </w:r>
      <w:r w:rsidR="00920FDE">
        <w:rPr>
          <w:color w:val="000000" w:themeColor="text1"/>
          <w:szCs w:val="26"/>
        </w:rPr>
        <w:t>blunt any</w:t>
      </w:r>
      <w:r w:rsidR="009935BD">
        <w:rPr>
          <w:color w:val="000000" w:themeColor="text1"/>
          <w:szCs w:val="26"/>
        </w:rPr>
        <w:t xml:space="preserve"> invocation of res judicata</w:t>
      </w:r>
      <w:r w:rsidR="00920FDE">
        <w:rPr>
          <w:color w:val="000000" w:themeColor="text1"/>
          <w:szCs w:val="26"/>
        </w:rPr>
        <w:t xml:space="preserve"> </w:t>
      </w:r>
      <w:r w:rsidR="00B57FE6">
        <w:rPr>
          <w:color w:val="000000" w:themeColor="text1"/>
          <w:szCs w:val="26"/>
        </w:rPr>
        <w:t>by the</w:t>
      </w:r>
      <w:r w:rsidR="00A12B84">
        <w:rPr>
          <w:color w:val="000000" w:themeColor="text1"/>
          <w:szCs w:val="26"/>
        </w:rPr>
        <w:t xml:space="preserve"> defendant</w:t>
      </w:r>
      <w:r w:rsidR="00920FDE">
        <w:rPr>
          <w:color w:val="000000" w:themeColor="text1"/>
          <w:szCs w:val="26"/>
        </w:rPr>
        <w:t xml:space="preserve"> </w:t>
      </w:r>
      <w:r w:rsidR="009935BD">
        <w:rPr>
          <w:color w:val="000000" w:themeColor="text1"/>
          <w:szCs w:val="26"/>
        </w:rPr>
        <w:t xml:space="preserve">in subsequent lawsuits </w:t>
      </w:r>
      <w:r w:rsidR="00721107">
        <w:rPr>
          <w:color w:val="000000" w:themeColor="text1"/>
          <w:szCs w:val="26"/>
        </w:rPr>
        <w:t xml:space="preserve">brought by persons </w:t>
      </w:r>
      <w:r w:rsidR="0035085C">
        <w:rPr>
          <w:color w:val="000000" w:themeColor="text1"/>
          <w:szCs w:val="26"/>
        </w:rPr>
        <w:t xml:space="preserve">attempting to relitigate issues </w:t>
      </w:r>
      <w:r w:rsidR="00B57FE6">
        <w:rPr>
          <w:color w:val="000000" w:themeColor="text1"/>
          <w:szCs w:val="26"/>
        </w:rPr>
        <w:t>decided</w:t>
      </w:r>
      <w:r w:rsidR="0035085C">
        <w:rPr>
          <w:color w:val="000000" w:themeColor="text1"/>
          <w:szCs w:val="26"/>
        </w:rPr>
        <w:t xml:space="preserve"> in </w:t>
      </w:r>
      <w:r w:rsidR="00537545">
        <w:rPr>
          <w:color w:val="000000" w:themeColor="text1"/>
          <w:szCs w:val="26"/>
        </w:rPr>
        <w:t>the</w:t>
      </w:r>
      <w:r w:rsidR="0035085C">
        <w:rPr>
          <w:color w:val="000000" w:themeColor="text1"/>
          <w:szCs w:val="26"/>
        </w:rPr>
        <w:t xml:space="preserve"> </w:t>
      </w:r>
      <w:r w:rsidR="00A12B84">
        <w:rPr>
          <w:color w:val="000000" w:themeColor="text1"/>
          <w:szCs w:val="26"/>
        </w:rPr>
        <w:t>earlier class proceeding</w:t>
      </w:r>
      <w:r w:rsidR="009935BD">
        <w:rPr>
          <w:color w:val="000000" w:themeColor="text1"/>
          <w:szCs w:val="26"/>
        </w:rPr>
        <w:t xml:space="preserve">.  </w:t>
      </w:r>
      <w:r w:rsidR="000C1EEB">
        <w:rPr>
          <w:color w:val="000000" w:themeColor="text1"/>
          <w:szCs w:val="26"/>
        </w:rPr>
        <w:t xml:space="preserve">The outcome </w:t>
      </w:r>
      <w:r w:rsidR="00537545">
        <w:rPr>
          <w:color w:val="000000" w:themeColor="text1"/>
          <w:szCs w:val="26"/>
        </w:rPr>
        <w:t>might</w:t>
      </w:r>
      <w:r w:rsidR="000C1EEB">
        <w:rPr>
          <w:color w:val="000000" w:themeColor="text1"/>
          <w:szCs w:val="26"/>
        </w:rPr>
        <w:t xml:space="preserve"> </w:t>
      </w:r>
      <w:r w:rsidR="00F745CE">
        <w:rPr>
          <w:color w:val="000000" w:themeColor="text1"/>
          <w:szCs w:val="26"/>
        </w:rPr>
        <w:t>resemble that</w:t>
      </w:r>
      <w:r w:rsidR="0049042F">
        <w:rPr>
          <w:color w:val="000000" w:themeColor="text1"/>
          <w:szCs w:val="26"/>
        </w:rPr>
        <w:t xml:space="preserve"> which obtains when the</w:t>
      </w:r>
      <w:r w:rsidR="000C1EEB">
        <w:rPr>
          <w:color w:val="000000" w:themeColor="text1"/>
          <w:szCs w:val="26"/>
        </w:rPr>
        <w:t xml:space="preserve"> “one-way intervention” condemned by our decision in </w:t>
      </w:r>
      <w:r w:rsidR="000C1EEB" w:rsidRPr="004177C6">
        <w:rPr>
          <w:i/>
        </w:rPr>
        <w:t>Fireside Bank v. Superior Court</w:t>
      </w:r>
      <w:r w:rsidR="000C1EEB" w:rsidRPr="004177C6">
        <w:t xml:space="preserve"> (2007) 40 Cal.4th 1069, </w:t>
      </w:r>
      <w:r w:rsidR="000C1EEB">
        <w:t>107</w:t>
      </w:r>
      <w:r w:rsidR="006E3DD8">
        <w:t>8</w:t>
      </w:r>
      <w:r w:rsidR="000C1EEB">
        <w:t xml:space="preserve"> </w:t>
      </w:r>
      <w:r w:rsidR="007B713D">
        <w:t>(</w:t>
      </w:r>
      <w:r w:rsidR="007B713D" w:rsidRPr="007B713D">
        <w:rPr>
          <w:i/>
        </w:rPr>
        <w:t>Fireside Bank</w:t>
      </w:r>
      <w:r w:rsidR="007B713D">
        <w:t xml:space="preserve">) </w:t>
      </w:r>
      <w:r w:rsidR="0049042F">
        <w:t xml:space="preserve">occurs </w:t>
      </w:r>
      <w:r w:rsidR="000C1EEB">
        <w:t xml:space="preserve">— </w:t>
      </w:r>
      <w:r w:rsidR="0049042F">
        <w:t>the</w:t>
      </w:r>
      <w:r w:rsidR="000C1EEB">
        <w:t xml:space="preserve"> defendant</w:t>
      </w:r>
      <w:r w:rsidR="0049042F">
        <w:t xml:space="preserve"> could be</w:t>
      </w:r>
      <w:r w:rsidR="000C1EEB">
        <w:t xml:space="preserve"> </w:t>
      </w:r>
      <w:r w:rsidR="006E3DD8">
        <w:t xml:space="preserve">unfairly </w:t>
      </w:r>
      <w:r w:rsidR="000C1EEB">
        <w:t xml:space="preserve">exposed to a succession of essentially duplicative class </w:t>
      </w:r>
      <w:r w:rsidR="0035085C">
        <w:t>law</w:t>
      </w:r>
      <w:r w:rsidR="000C1EEB">
        <w:t>suits</w:t>
      </w:r>
      <w:r w:rsidR="00721107">
        <w:t xml:space="preserve"> (see </w:t>
      </w:r>
      <w:r w:rsidR="00721107" w:rsidRPr="00721107">
        <w:rPr>
          <w:i/>
        </w:rPr>
        <w:t>id</w:t>
      </w:r>
      <w:r w:rsidR="00721107">
        <w:t>., at pp. 1078-1083).</w:t>
      </w:r>
      <w:r w:rsidR="005F39AA">
        <w:rPr>
          <w:rStyle w:val="FootnoteReference"/>
        </w:rPr>
        <w:footnoteReference w:id="13"/>
      </w:r>
    </w:p>
    <w:p w14:paraId="2615D602" w14:textId="2FE186FB" w:rsidR="00F56C6E" w:rsidRDefault="00721107" w:rsidP="005A351F">
      <w:pPr>
        <w:ind w:firstLine="720"/>
        <w:rPr>
          <w:color w:val="000000" w:themeColor="text1"/>
          <w:szCs w:val="26"/>
        </w:rPr>
      </w:pPr>
      <w:r>
        <w:rPr>
          <w:color w:val="000000" w:themeColor="text1"/>
          <w:szCs w:val="26"/>
        </w:rPr>
        <w:t>T</w:t>
      </w:r>
      <w:r w:rsidR="005030FA">
        <w:rPr>
          <w:color w:val="000000" w:themeColor="text1"/>
          <w:szCs w:val="26"/>
        </w:rPr>
        <w:t xml:space="preserve">he Court of Appeal </w:t>
      </w:r>
      <w:r w:rsidR="005A351F">
        <w:rPr>
          <w:color w:val="000000" w:themeColor="text1"/>
          <w:szCs w:val="26"/>
        </w:rPr>
        <w:t>saw</w:t>
      </w:r>
      <w:r w:rsidR="005030FA">
        <w:rPr>
          <w:color w:val="000000" w:themeColor="text1"/>
          <w:szCs w:val="26"/>
        </w:rPr>
        <w:t xml:space="preserve"> a slightly different set of due process considerations as favoring a more stringent approach to </w:t>
      </w:r>
      <w:r w:rsidR="005030FA" w:rsidRPr="000E10C5">
        <w:rPr>
          <w:color w:val="000000" w:themeColor="text1"/>
        </w:rPr>
        <w:t>ascertainability</w:t>
      </w:r>
      <w:r w:rsidR="005030FA">
        <w:rPr>
          <w:color w:val="000000" w:themeColor="text1"/>
          <w:szCs w:val="26"/>
        </w:rPr>
        <w:t>.  It expressed concern that</w:t>
      </w:r>
      <w:r w:rsidR="005A351F">
        <w:rPr>
          <w:color w:val="000000" w:themeColor="text1"/>
          <w:szCs w:val="26"/>
        </w:rPr>
        <w:t xml:space="preserve">, </w:t>
      </w:r>
      <w:r w:rsidR="00395F57">
        <w:rPr>
          <w:color w:val="000000" w:themeColor="text1"/>
          <w:szCs w:val="26"/>
        </w:rPr>
        <w:t>without</w:t>
      </w:r>
      <w:r w:rsidR="005A351F">
        <w:rPr>
          <w:color w:val="000000" w:themeColor="text1"/>
          <w:szCs w:val="26"/>
        </w:rPr>
        <w:t xml:space="preserve"> an evidentiary showing by plaintiff,</w:t>
      </w:r>
      <w:r w:rsidR="005030FA">
        <w:rPr>
          <w:color w:val="000000" w:themeColor="text1"/>
          <w:szCs w:val="26"/>
        </w:rPr>
        <w:t xml:space="preserve"> absent class members would never receive notice of the action and </w:t>
      </w:r>
      <w:r w:rsidR="007F3B2D">
        <w:rPr>
          <w:color w:val="000000" w:themeColor="text1"/>
          <w:szCs w:val="26"/>
        </w:rPr>
        <w:t xml:space="preserve">would </w:t>
      </w:r>
      <w:r w:rsidR="005030FA">
        <w:rPr>
          <w:color w:val="000000" w:themeColor="text1"/>
          <w:szCs w:val="26"/>
        </w:rPr>
        <w:t xml:space="preserve">therefore lack the opportunity to opt out.  To this effect, the Court of Appeal quoted </w:t>
      </w:r>
      <w:r w:rsidR="005030FA" w:rsidRPr="005030FA">
        <w:rPr>
          <w:i/>
          <w:iCs/>
          <w:color w:val="000000" w:themeColor="text1"/>
          <w:szCs w:val="26"/>
        </w:rPr>
        <w:t>Sotelo</w:t>
      </w:r>
      <w:r w:rsidR="005030FA">
        <w:rPr>
          <w:color w:val="000000" w:themeColor="text1"/>
          <w:szCs w:val="26"/>
        </w:rPr>
        <w:t xml:space="preserve">, </w:t>
      </w:r>
      <w:r w:rsidR="005030FA" w:rsidRPr="005030FA">
        <w:rPr>
          <w:i/>
          <w:iCs/>
          <w:color w:val="000000" w:themeColor="text1"/>
          <w:szCs w:val="26"/>
        </w:rPr>
        <w:t>supra</w:t>
      </w:r>
      <w:r w:rsidR="005030FA">
        <w:rPr>
          <w:color w:val="000000" w:themeColor="text1"/>
          <w:szCs w:val="26"/>
        </w:rPr>
        <w:t>, 207 Cal.App.4th</w:t>
      </w:r>
      <w:r w:rsidR="005030FA" w:rsidRPr="005030FA">
        <w:rPr>
          <w:color w:val="000000" w:themeColor="text1"/>
          <w:szCs w:val="26"/>
        </w:rPr>
        <w:t xml:space="preserve"> </w:t>
      </w:r>
      <w:r w:rsidR="005030FA">
        <w:rPr>
          <w:color w:val="000000" w:themeColor="text1"/>
          <w:szCs w:val="26"/>
        </w:rPr>
        <w:t xml:space="preserve">at page 649: </w:t>
      </w:r>
      <w:r w:rsidR="005030FA" w:rsidRPr="005030FA">
        <w:rPr>
          <w:color w:val="000000" w:themeColor="text1"/>
          <w:szCs w:val="26"/>
        </w:rPr>
        <w:t>“</w:t>
      </w:r>
      <w:r w:rsidR="005A351F">
        <w:rPr>
          <w:color w:val="000000" w:themeColor="text1"/>
          <w:szCs w:val="26"/>
        </w:rPr>
        <w:t> ‘</w:t>
      </w:r>
      <w:r w:rsidR="005030FA" w:rsidRPr="005030FA">
        <w:rPr>
          <w:color w:val="000000" w:themeColor="text1"/>
          <w:szCs w:val="26"/>
        </w:rPr>
        <w:t>The theoretical ability to self-identify as a member of the class is useless if one never receives notice of the action.</w:t>
      </w:r>
      <w:r w:rsidR="005A351F">
        <w:rPr>
          <w:color w:val="000000" w:themeColor="text1"/>
          <w:szCs w:val="26"/>
        </w:rPr>
        <w:t>’ </w:t>
      </w:r>
      <w:r w:rsidR="005030FA" w:rsidRPr="005030FA">
        <w:rPr>
          <w:color w:val="000000" w:themeColor="text1"/>
          <w:szCs w:val="26"/>
        </w:rPr>
        <w:t>”</w:t>
      </w:r>
      <w:r w:rsidR="005030FA">
        <w:rPr>
          <w:color w:val="000000" w:themeColor="text1"/>
          <w:szCs w:val="26"/>
        </w:rPr>
        <w:t xml:space="preserve">  (</w:t>
      </w:r>
      <w:r w:rsidR="005030FA" w:rsidRPr="005A351F">
        <w:rPr>
          <w:i/>
          <w:iCs/>
          <w:color w:val="000000" w:themeColor="text1"/>
          <w:szCs w:val="26"/>
        </w:rPr>
        <w:t>Noel</w:t>
      </w:r>
      <w:r w:rsidR="005030FA">
        <w:rPr>
          <w:color w:val="000000" w:themeColor="text1"/>
          <w:szCs w:val="26"/>
        </w:rPr>
        <w:t xml:space="preserve">, </w:t>
      </w:r>
      <w:r w:rsidR="005030FA" w:rsidRPr="005A351F">
        <w:rPr>
          <w:i/>
          <w:iCs/>
          <w:color w:val="000000" w:themeColor="text1"/>
          <w:szCs w:val="26"/>
        </w:rPr>
        <w:t>supra</w:t>
      </w:r>
      <w:r w:rsidR="005030FA">
        <w:rPr>
          <w:color w:val="000000" w:themeColor="text1"/>
          <w:szCs w:val="26"/>
        </w:rPr>
        <w:t>, 17 Cal.App.5</w:t>
      </w:r>
      <w:r w:rsidR="005030FA" w:rsidRPr="005030FA">
        <w:rPr>
          <w:color w:val="000000" w:themeColor="text1"/>
          <w:szCs w:val="26"/>
        </w:rPr>
        <w:t>th</w:t>
      </w:r>
      <w:r w:rsidR="005030FA">
        <w:rPr>
          <w:color w:val="000000" w:themeColor="text1"/>
          <w:szCs w:val="26"/>
        </w:rPr>
        <w:t xml:space="preserve"> at p. 1327.)  </w:t>
      </w:r>
      <w:r w:rsidR="005A351F">
        <w:rPr>
          <w:color w:val="000000" w:themeColor="text1"/>
          <w:szCs w:val="26"/>
        </w:rPr>
        <w:t xml:space="preserve">We appreciate </w:t>
      </w:r>
      <w:r w:rsidR="00C27634">
        <w:rPr>
          <w:color w:val="000000" w:themeColor="text1"/>
          <w:szCs w:val="26"/>
        </w:rPr>
        <w:t xml:space="preserve">the court’s interest in </w:t>
      </w:r>
      <w:r w:rsidR="00C27634" w:rsidRPr="000E10C5">
        <w:rPr>
          <w:color w:val="000000" w:themeColor="text1"/>
        </w:rPr>
        <w:t xml:space="preserve">protecting the due process </w:t>
      </w:r>
      <w:r w:rsidR="00C27634">
        <w:rPr>
          <w:color w:val="000000" w:themeColor="text1"/>
          <w:szCs w:val="26"/>
        </w:rPr>
        <w:t>rights</w:t>
      </w:r>
      <w:r w:rsidR="00C27634" w:rsidRPr="000E10C5">
        <w:rPr>
          <w:color w:val="000000" w:themeColor="text1"/>
        </w:rPr>
        <w:t xml:space="preserve"> of </w:t>
      </w:r>
      <w:r w:rsidR="00C27634">
        <w:rPr>
          <w:color w:val="000000" w:themeColor="text1"/>
          <w:szCs w:val="26"/>
        </w:rPr>
        <w:t>absent</w:t>
      </w:r>
      <w:r w:rsidR="00C27634" w:rsidRPr="000E10C5">
        <w:rPr>
          <w:color w:val="000000" w:themeColor="text1"/>
        </w:rPr>
        <w:t xml:space="preserve"> class members</w:t>
      </w:r>
      <w:r w:rsidR="005A351F" w:rsidRPr="000E10C5">
        <w:rPr>
          <w:color w:val="000000" w:themeColor="text1"/>
        </w:rPr>
        <w:t xml:space="preserve">.  </w:t>
      </w:r>
      <w:r w:rsidR="005A351F">
        <w:rPr>
          <w:color w:val="000000" w:themeColor="text1"/>
          <w:szCs w:val="26"/>
        </w:rPr>
        <w:t>Yet</w:t>
      </w:r>
      <w:r w:rsidR="005A351F" w:rsidRPr="000E10C5">
        <w:rPr>
          <w:color w:val="000000" w:themeColor="text1"/>
        </w:rPr>
        <w:t xml:space="preserve">, as we </w:t>
      </w:r>
      <w:r w:rsidR="005A351F">
        <w:rPr>
          <w:color w:val="000000" w:themeColor="text1"/>
          <w:szCs w:val="26"/>
        </w:rPr>
        <w:t xml:space="preserve">explain below, </w:t>
      </w:r>
      <w:r w:rsidR="00C27634">
        <w:rPr>
          <w:color w:val="000000" w:themeColor="text1"/>
          <w:szCs w:val="26"/>
        </w:rPr>
        <w:t>this concern</w:t>
      </w:r>
      <w:r w:rsidR="005A351F">
        <w:rPr>
          <w:color w:val="000000" w:themeColor="text1"/>
          <w:szCs w:val="26"/>
        </w:rPr>
        <w:t xml:space="preserve"> does not justify </w:t>
      </w:r>
      <w:r w:rsidR="00C27634">
        <w:rPr>
          <w:color w:val="000000" w:themeColor="text1"/>
          <w:szCs w:val="26"/>
        </w:rPr>
        <w:t>the evidentiary burden that the Court of Appeal attached to the ascertainability requirement</w:t>
      </w:r>
      <w:r w:rsidR="00DF7998">
        <w:rPr>
          <w:color w:val="000000" w:themeColor="text1"/>
          <w:szCs w:val="26"/>
        </w:rPr>
        <w:t xml:space="preserve"> — or</w:t>
      </w:r>
      <w:r w:rsidR="007F3B2D">
        <w:rPr>
          <w:color w:val="000000" w:themeColor="text1"/>
          <w:szCs w:val="26"/>
        </w:rPr>
        <w:t>,</w:t>
      </w:r>
      <w:r w:rsidR="00DF7998">
        <w:rPr>
          <w:color w:val="000000" w:themeColor="text1"/>
          <w:szCs w:val="26"/>
        </w:rPr>
        <w:t xml:space="preserve"> for that matter, a</w:t>
      </w:r>
      <w:r w:rsidR="00C27634">
        <w:rPr>
          <w:color w:val="000000" w:themeColor="text1"/>
          <w:szCs w:val="26"/>
        </w:rPr>
        <w:t>ny</w:t>
      </w:r>
      <w:r w:rsidR="00DF7998">
        <w:rPr>
          <w:color w:val="000000" w:themeColor="text1"/>
          <w:szCs w:val="26"/>
        </w:rPr>
        <w:t xml:space="preserve"> </w:t>
      </w:r>
      <w:r w:rsidR="00395F57">
        <w:rPr>
          <w:color w:val="000000" w:themeColor="text1"/>
          <w:szCs w:val="26"/>
        </w:rPr>
        <w:t xml:space="preserve">blanket </w:t>
      </w:r>
      <w:r w:rsidR="00DF7998">
        <w:rPr>
          <w:color w:val="000000" w:themeColor="text1"/>
          <w:szCs w:val="26"/>
        </w:rPr>
        <w:t xml:space="preserve">requirement that class members </w:t>
      </w:r>
      <w:r w:rsidR="00C27634">
        <w:rPr>
          <w:color w:val="000000" w:themeColor="text1"/>
          <w:szCs w:val="26"/>
        </w:rPr>
        <w:t xml:space="preserve">must </w:t>
      </w:r>
      <w:r w:rsidR="00DF7998">
        <w:rPr>
          <w:color w:val="000000" w:themeColor="text1"/>
          <w:szCs w:val="26"/>
        </w:rPr>
        <w:t>be identifi</w:t>
      </w:r>
      <w:r w:rsidR="00395F57">
        <w:rPr>
          <w:color w:val="000000" w:themeColor="text1"/>
          <w:szCs w:val="26"/>
        </w:rPr>
        <w:t>able</w:t>
      </w:r>
      <w:r w:rsidR="00DF7998">
        <w:rPr>
          <w:color w:val="000000" w:themeColor="text1"/>
          <w:szCs w:val="26"/>
        </w:rPr>
        <w:t xml:space="preserve"> </w:t>
      </w:r>
      <w:r w:rsidR="00C27634">
        <w:rPr>
          <w:color w:val="000000" w:themeColor="text1"/>
          <w:szCs w:val="26"/>
        </w:rPr>
        <w:t>“</w:t>
      </w:r>
      <w:r w:rsidR="00DF7998">
        <w:rPr>
          <w:color w:val="000000" w:themeColor="text1"/>
          <w:szCs w:val="26"/>
        </w:rPr>
        <w:t>by reference to official records” (</w:t>
      </w:r>
      <w:r w:rsidR="00DF7998" w:rsidRPr="00DF7998">
        <w:rPr>
          <w:i/>
          <w:iCs/>
          <w:color w:val="000000" w:themeColor="text1"/>
          <w:szCs w:val="26"/>
        </w:rPr>
        <w:t>Rose</w:t>
      </w:r>
      <w:r w:rsidR="00DF7998">
        <w:rPr>
          <w:color w:val="000000" w:themeColor="text1"/>
          <w:szCs w:val="26"/>
        </w:rPr>
        <w:t xml:space="preserve">, </w:t>
      </w:r>
      <w:r w:rsidR="00DF7998" w:rsidRPr="00DF7998">
        <w:rPr>
          <w:i/>
          <w:iCs/>
          <w:color w:val="000000" w:themeColor="text1"/>
          <w:szCs w:val="26"/>
        </w:rPr>
        <w:t>supra</w:t>
      </w:r>
      <w:r w:rsidR="00DF7998">
        <w:rPr>
          <w:color w:val="000000" w:themeColor="text1"/>
          <w:szCs w:val="26"/>
        </w:rPr>
        <w:t>, 126 Cal.App.3d at p. 932)</w:t>
      </w:r>
      <w:r w:rsidR="00395F57">
        <w:rPr>
          <w:color w:val="000000" w:themeColor="text1"/>
          <w:szCs w:val="26"/>
        </w:rPr>
        <w:t xml:space="preserve"> to form an ascertainable class.</w:t>
      </w:r>
    </w:p>
    <w:p w14:paraId="2EBFDF06" w14:textId="075BEDCF" w:rsidR="00F21112" w:rsidRPr="000934D5" w:rsidRDefault="00863CD2" w:rsidP="000934D5">
      <w:pPr>
        <w:ind w:firstLine="720"/>
        <w:rPr>
          <w:color w:val="000000" w:themeColor="text1"/>
          <w:szCs w:val="26"/>
        </w:rPr>
      </w:pPr>
      <w:r>
        <w:rPr>
          <w:color w:val="000000" w:themeColor="text1"/>
          <w:szCs w:val="26"/>
        </w:rPr>
        <w:t>W</w:t>
      </w:r>
      <w:r w:rsidR="007B713D">
        <w:rPr>
          <w:color w:val="000000" w:themeColor="text1"/>
          <w:szCs w:val="26"/>
        </w:rPr>
        <w:t>e agree</w:t>
      </w:r>
      <w:r w:rsidR="000205CD">
        <w:rPr>
          <w:color w:val="000000" w:themeColor="text1"/>
          <w:szCs w:val="26"/>
        </w:rPr>
        <w:t>, of course,</w:t>
      </w:r>
      <w:r w:rsidR="007B713D">
        <w:rPr>
          <w:color w:val="000000" w:themeColor="text1"/>
          <w:szCs w:val="26"/>
        </w:rPr>
        <w:t xml:space="preserve"> that the provision of notice to absent </w:t>
      </w:r>
      <w:r>
        <w:rPr>
          <w:color w:val="000000" w:themeColor="text1"/>
          <w:szCs w:val="26"/>
        </w:rPr>
        <w:t xml:space="preserve">class </w:t>
      </w:r>
      <w:r w:rsidR="007B713D">
        <w:rPr>
          <w:color w:val="000000" w:themeColor="text1"/>
          <w:szCs w:val="26"/>
        </w:rPr>
        <w:t xml:space="preserve">members carries due process connotations.  (See </w:t>
      </w:r>
      <w:r w:rsidR="007B713D" w:rsidRPr="004177C6">
        <w:rPr>
          <w:i/>
        </w:rPr>
        <w:t>Phillips Petroleum Co. v. Shutts</w:t>
      </w:r>
      <w:r w:rsidR="007B713D" w:rsidRPr="004177C6">
        <w:t xml:space="preserve"> (1985) 472 U.S 797, 81</w:t>
      </w:r>
      <w:r w:rsidR="007B713D">
        <w:t>1 (</w:t>
      </w:r>
      <w:r w:rsidR="007B713D" w:rsidRPr="00F21112">
        <w:rPr>
          <w:i/>
        </w:rPr>
        <w:t>Shutts</w:t>
      </w:r>
      <w:r w:rsidR="007B713D">
        <w:t xml:space="preserve">); </w:t>
      </w:r>
      <w:r w:rsidR="007B713D" w:rsidRPr="004177C6">
        <w:rPr>
          <w:i/>
        </w:rPr>
        <w:t xml:space="preserve">Fireside </w:t>
      </w:r>
      <w:r w:rsidR="007B713D" w:rsidRPr="000205CD">
        <w:rPr>
          <w:i/>
        </w:rPr>
        <w:t>Bank</w:t>
      </w:r>
      <w:r w:rsidR="007B713D">
        <w:t xml:space="preserve">, </w:t>
      </w:r>
      <w:r w:rsidR="007B713D" w:rsidRPr="007B713D">
        <w:rPr>
          <w:i/>
        </w:rPr>
        <w:t>supra</w:t>
      </w:r>
      <w:r w:rsidR="007B713D">
        <w:t xml:space="preserve">, </w:t>
      </w:r>
      <w:r w:rsidR="007B713D" w:rsidRPr="007B713D">
        <w:t>40</w:t>
      </w:r>
      <w:r w:rsidR="007B713D" w:rsidRPr="004177C6">
        <w:t xml:space="preserve"> Cal.4th </w:t>
      </w:r>
      <w:r w:rsidR="007B713D">
        <w:t>at p. 1083.)</w:t>
      </w:r>
      <w:r w:rsidR="007B713D">
        <w:rPr>
          <w:color w:val="000000" w:themeColor="text1"/>
          <w:szCs w:val="26"/>
        </w:rPr>
        <w:t xml:space="preserve">  </w:t>
      </w:r>
      <w:r w:rsidR="006A6CEB">
        <w:rPr>
          <w:color w:val="000000" w:themeColor="text1"/>
          <w:szCs w:val="26"/>
        </w:rPr>
        <w:t xml:space="preserve">But </w:t>
      </w:r>
      <w:r w:rsidR="000934D5">
        <w:rPr>
          <w:color w:val="000000" w:themeColor="text1"/>
          <w:szCs w:val="26"/>
        </w:rPr>
        <w:t>due</w:t>
      </w:r>
      <w:r w:rsidR="00F21112" w:rsidRPr="004177C6">
        <w:t xml:space="preserve"> process does not </w:t>
      </w:r>
      <w:r w:rsidR="000D0602">
        <w:t>dictate</w:t>
      </w:r>
      <w:r w:rsidR="00F21112" w:rsidRPr="004177C6">
        <w:t xml:space="preserve"> that certification of a putative </w:t>
      </w:r>
      <w:r w:rsidR="007B713D">
        <w:t xml:space="preserve">plaintiff </w:t>
      </w:r>
      <w:r w:rsidR="00F21112" w:rsidRPr="004177C6">
        <w:t xml:space="preserve">class invariably </w:t>
      </w:r>
      <w:r w:rsidR="000D0602">
        <w:t xml:space="preserve">must </w:t>
      </w:r>
      <w:r w:rsidR="000934D5">
        <w:t>depend</w:t>
      </w:r>
      <w:r w:rsidR="00F21112" w:rsidRPr="004177C6">
        <w:t xml:space="preserve"> on all absent class members </w:t>
      </w:r>
      <w:r w:rsidR="000934D5">
        <w:t>being sent</w:t>
      </w:r>
      <w:r w:rsidR="000D0602">
        <w:t xml:space="preserve"> (</w:t>
      </w:r>
      <w:r w:rsidR="00F21112" w:rsidRPr="004177C6">
        <w:t>much less receiv</w:t>
      </w:r>
      <w:r w:rsidR="000934D5">
        <w:t>ing</w:t>
      </w:r>
      <w:r w:rsidR="000D0602">
        <w:t>)</w:t>
      </w:r>
      <w:r w:rsidR="00F21112" w:rsidRPr="004177C6">
        <w:t xml:space="preserve"> individual notice of the action.  Instead, the law adopts a more </w:t>
      </w:r>
      <w:r w:rsidR="00C27634">
        <w:t xml:space="preserve">nuanced and </w:t>
      </w:r>
      <w:r w:rsidR="00F21112" w:rsidRPr="004177C6">
        <w:t>pragmatic approach, consistent with the general principle that when an important judicial mechanism for advancing the social good is involved, “</w:t>
      </w:r>
      <w:r w:rsidR="003D6A8A">
        <w:t>A</w:t>
      </w:r>
      <w:r w:rsidR="00F21112" w:rsidRPr="004177C6">
        <w:t xml:space="preserve"> construction of the Due Process Clause which would place impossible or impractical obstacles in the way could not be justified.”  (</w:t>
      </w:r>
      <w:r w:rsidR="00F21112" w:rsidRPr="004177C6">
        <w:rPr>
          <w:i/>
        </w:rPr>
        <w:t>Mullane v. Central Hanover Tr</w:t>
      </w:r>
      <w:r w:rsidR="003D6A8A">
        <w:rPr>
          <w:i/>
        </w:rPr>
        <w:t>.</w:t>
      </w:r>
      <w:r w:rsidR="00F21112" w:rsidRPr="004177C6">
        <w:rPr>
          <w:i/>
        </w:rPr>
        <w:t xml:space="preserve"> Co.</w:t>
      </w:r>
      <w:r w:rsidR="00F21112" w:rsidRPr="004177C6">
        <w:t xml:space="preserve"> (1950) 339 U.S. 306, 313-314 (</w:t>
      </w:r>
      <w:r w:rsidR="00F21112" w:rsidRPr="004177C6">
        <w:rPr>
          <w:i/>
        </w:rPr>
        <w:t>Mullane</w:t>
      </w:r>
      <w:r w:rsidR="00F21112" w:rsidRPr="004177C6">
        <w:t xml:space="preserve">).)  </w:t>
      </w:r>
    </w:p>
    <w:p w14:paraId="11DBA9EC" w14:textId="7DA29F95" w:rsidR="00F21112" w:rsidRPr="004177C6" w:rsidRDefault="00F21112" w:rsidP="00F21112">
      <w:pPr>
        <w:ind w:firstLine="720"/>
      </w:pPr>
      <w:r w:rsidRPr="004177C6">
        <w:rPr>
          <w:i/>
        </w:rPr>
        <w:t>Mullane</w:t>
      </w:r>
      <w:r w:rsidRPr="004177C6">
        <w:t xml:space="preserve">, </w:t>
      </w:r>
      <w:r w:rsidRPr="004177C6">
        <w:rPr>
          <w:i/>
        </w:rPr>
        <w:t>supra</w:t>
      </w:r>
      <w:r w:rsidRPr="004177C6">
        <w:t xml:space="preserve">, 339 U.S. 306 </w:t>
      </w:r>
      <w:r w:rsidR="00A609C1">
        <w:t>provides</w:t>
      </w:r>
      <w:r w:rsidRPr="004177C6">
        <w:t xml:space="preserve"> the touchstone for </w:t>
      </w:r>
      <w:r w:rsidR="00C27634">
        <w:t>assessing</w:t>
      </w:r>
      <w:r w:rsidRPr="004177C6">
        <w:t xml:space="preserve"> how due process informs the provision of notice in the context of a class action.  The court in </w:t>
      </w:r>
      <w:r w:rsidRPr="004177C6">
        <w:rPr>
          <w:i/>
        </w:rPr>
        <w:t>Mullane</w:t>
      </w:r>
      <w:r w:rsidRPr="004177C6">
        <w:t xml:space="preserve"> recognized that “[a]n elementary and fundamental requirement of due process in any proceeding which is to be accorded finality is notice reasonably calculated, under all the circumstances, to apprise interested parties of the pendency of the action and afford them an opportunity to present their objections.  [Citations.]  The notice must be of such nature as reasonably to convey the required information, [citation], and it must afford a reasonable time for those interested to make their appearance [citations].”  (</w:t>
      </w:r>
      <w:r w:rsidRPr="004177C6">
        <w:rPr>
          <w:i/>
        </w:rPr>
        <w:t>Id</w:t>
      </w:r>
      <w:r w:rsidRPr="004177C6">
        <w:t xml:space="preserve">., at p. 314.)  Significantly, the court </w:t>
      </w:r>
      <w:r w:rsidR="00C27634">
        <w:t>drew</w:t>
      </w:r>
      <w:r w:rsidRPr="004177C6">
        <w:t xml:space="preserve"> the following </w:t>
      </w:r>
      <w:r w:rsidR="00C27634">
        <w:t>line</w:t>
      </w:r>
      <w:r w:rsidRPr="004177C6">
        <w:t>: “But if with due regard for the practicalities and peculiarities of the case these conditions are reasonably met</w:t>
      </w:r>
      <w:r w:rsidR="003D6A8A">
        <w:t>,</w:t>
      </w:r>
      <w:r w:rsidRPr="004177C6">
        <w:t xml:space="preserve"> the constitutional requirements are satisfied.  ‘The criterion is not the possibility of conceivable injury but the just and reasonable character of the requirements, having reference to the subject with which the statute deals.’ ”  (</w:t>
      </w:r>
      <w:r w:rsidRPr="004177C6">
        <w:rPr>
          <w:i/>
        </w:rPr>
        <w:t>Id</w:t>
      </w:r>
      <w:r w:rsidRPr="004177C6">
        <w:t>., at pp.</w:t>
      </w:r>
      <w:r>
        <w:t> </w:t>
      </w:r>
      <w:r w:rsidRPr="004177C6">
        <w:t xml:space="preserve">314-315.)  </w:t>
      </w:r>
    </w:p>
    <w:p w14:paraId="331273D0" w14:textId="38E6128A" w:rsidR="00F21112" w:rsidRPr="004177C6" w:rsidRDefault="00F21112" w:rsidP="00F21112">
      <w:pPr>
        <w:ind w:firstLine="720"/>
      </w:pPr>
      <w:r w:rsidRPr="004177C6">
        <w:t xml:space="preserve">Applying these principles, the court in </w:t>
      </w:r>
      <w:r w:rsidRPr="004177C6">
        <w:rPr>
          <w:i/>
        </w:rPr>
        <w:t>Mullane</w:t>
      </w:r>
      <w:r w:rsidRPr="004177C6">
        <w:t xml:space="preserve">, </w:t>
      </w:r>
      <w:r w:rsidRPr="004177C6">
        <w:rPr>
          <w:i/>
        </w:rPr>
        <w:t>supra</w:t>
      </w:r>
      <w:r w:rsidRPr="004177C6">
        <w:t>, 339 U.S. 306 reasoned that in connection with a</w:t>
      </w:r>
      <w:r w:rsidR="00C27634">
        <w:t xml:space="preserve"> particular</w:t>
      </w:r>
      <w:r w:rsidRPr="004177C6">
        <w:t xml:space="preserve"> judicial settlement of accounts, notice</w:t>
      </w:r>
      <w:r w:rsidR="00525C18">
        <w:t xml:space="preserve"> by personal mail</w:t>
      </w:r>
      <w:r w:rsidRPr="004177C6">
        <w:t xml:space="preserve"> </w:t>
      </w:r>
      <w:r w:rsidRPr="00525C18">
        <w:t>was</w:t>
      </w:r>
      <w:r w:rsidRPr="004177C6">
        <w:t xml:space="preserve"> required for beneficiaries whose identities and mailing addresses were actually known.  (</w:t>
      </w:r>
      <w:r w:rsidRPr="004177C6">
        <w:rPr>
          <w:i/>
        </w:rPr>
        <w:t>Id</w:t>
      </w:r>
      <w:r w:rsidRPr="004177C6">
        <w:t>., at p. 318.)  Yet</w:t>
      </w:r>
      <w:r w:rsidR="006E3DD8">
        <w:t>,</w:t>
      </w:r>
      <w:r w:rsidRPr="004177C6">
        <w:t xml:space="preserve"> “in view of the character of the proceedings and the nature of the interests” involved, notice </w:t>
      </w:r>
      <w:r w:rsidR="007A1AF0">
        <w:t>by publication would suffice for</w:t>
      </w:r>
      <w:r w:rsidRPr="004177C6">
        <w:t xml:space="preserve"> those beneficiaries “whose interests or whereabouts could not with due diligence be ascertained</w:t>
      </w:r>
      <w:r w:rsidR="007A1AF0">
        <w:t>.</w:t>
      </w:r>
      <w:r w:rsidRPr="004177C6">
        <w:t>”</w:t>
      </w:r>
      <w:r w:rsidR="007A1AF0">
        <w:t xml:space="preserve">  </w:t>
      </w:r>
      <w:r w:rsidR="007A1AF0" w:rsidRPr="004177C6">
        <w:t>(</w:t>
      </w:r>
      <w:r w:rsidR="007A1AF0" w:rsidRPr="004177C6">
        <w:rPr>
          <w:i/>
        </w:rPr>
        <w:t>Id</w:t>
      </w:r>
      <w:r w:rsidR="007A1AF0" w:rsidRPr="004177C6">
        <w:t xml:space="preserve">., at p. 317.)  </w:t>
      </w:r>
      <w:r w:rsidR="00525C18">
        <w:t>Likewise, “more certain notice” could be dispensed with for</w:t>
      </w:r>
      <w:r w:rsidRPr="004177C6">
        <w:t xml:space="preserve"> </w:t>
      </w:r>
      <w:r w:rsidR="00525C18">
        <w:t>those</w:t>
      </w:r>
      <w:r w:rsidR="00C349AD">
        <w:t xml:space="preserve"> beneficiaries</w:t>
      </w:r>
      <w:r w:rsidRPr="004177C6">
        <w:t xml:space="preserve"> “whose interests are either conjectural or future or</w:t>
      </w:r>
      <w:r w:rsidR="003D6A8A">
        <w:t>,</w:t>
      </w:r>
      <w:r w:rsidRPr="004177C6">
        <w:t xml:space="preserve"> although they could be discovered upon investigation, do not in due course of business come to knowledge of the common trustee.”  (</w:t>
      </w:r>
      <w:r w:rsidR="00525C18">
        <w:rPr>
          <w:i/>
        </w:rPr>
        <w:t>Ibid</w:t>
      </w:r>
      <w:r w:rsidRPr="004177C6">
        <w:t xml:space="preserve">.)  </w:t>
      </w:r>
      <w:r w:rsidR="00525C18">
        <w:t>This notice scheme was</w:t>
      </w:r>
      <w:r w:rsidRPr="004177C6">
        <w:t xml:space="preserve"> “</w:t>
      </w:r>
      <w:r w:rsidRPr="004177C6">
        <w:rPr>
          <w:i/>
        </w:rPr>
        <w:t xml:space="preserve">the </w:t>
      </w:r>
      <w:bookmarkStart w:id="5" w:name="_Hlk11934010"/>
      <w:r w:rsidRPr="004177C6">
        <w:rPr>
          <w:i/>
        </w:rPr>
        <w:t>best practicable</w:t>
      </w:r>
      <w:bookmarkEnd w:id="5"/>
      <w:r w:rsidRPr="004177C6">
        <w:t>, ‘reasonably calculated, under all the circumstances, to apprise interested parties of the pendency of the action and afford them an opportunity to present their objections.’ ”  (</w:t>
      </w:r>
      <w:r w:rsidRPr="004177C6">
        <w:rPr>
          <w:i/>
        </w:rPr>
        <w:t>Shutts</w:t>
      </w:r>
      <w:r w:rsidR="00BB4370">
        <w:t xml:space="preserve">, </w:t>
      </w:r>
      <w:r w:rsidR="00BB4370" w:rsidRPr="00BB4370">
        <w:rPr>
          <w:i/>
        </w:rPr>
        <w:t>supra</w:t>
      </w:r>
      <w:r w:rsidR="00BB4370">
        <w:t xml:space="preserve">, </w:t>
      </w:r>
      <w:r w:rsidRPr="004177C6">
        <w:t>472 U.S</w:t>
      </w:r>
      <w:r w:rsidR="00C27634">
        <w:t>.</w:t>
      </w:r>
      <w:r w:rsidRPr="004177C6">
        <w:t xml:space="preserve"> </w:t>
      </w:r>
      <w:r w:rsidR="00BB4370">
        <w:t>at p.</w:t>
      </w:r>
      <w:r w:rsidRPr="004177C6">
        <w:t xml:space="preserve"> 812, quoting </w:t>
      </w:r>
      <w:r w:rsidRPr="004177C6">
        <w:rPr>
          <w:i/>
        </w:rPr>
        <w:t>Mullane</w:t>
      </w:r>
      <w:r w:rsidRPr="004177C6">
        <w:t>, at pp.</w:t>
      </w:r>
      <w:r>
        <w:t> </w:t>
      </w:r>
      <w:r w:rsidRPr="004177C6">
        <w:t>314-315, italics added.)</w:t>
      </w:r>
    </w:p>
    <w:p w14:paraId="65F1CB6D" w14:textId="2AFDA9DA" w:rsidR="000D0602" w:rsidRDefault="00F21112" w:rsidP="00F21112">
      <w:pPr>
        <w:ind w:firstLine="720"/>
      </w:pPr>
      <w:r w:rsidRPr="004177C6">
        <w:t xml:space="preserve">Our </w:t>
      </w:r>
      <w:r w:rsidR="007B713D">
        <w:t xml:space="preserve">case </w:t>
      </w:r>
      <w:r w:rsidRPr="004177C6">
        <w:t xml:space="preserve">law has adopted a similarly practical approach, in which the circumstances of each case determine what forms of notice will adequately </w:t>
      </w:r>
      <w:r w:rsidR="000D0602">
        <w:t>address</w:t>
      </w:r>
      <w:r w:rsidRPr="004177C6">
        <w:t xml:space="preserve"> due process concerns.  </w:t>
      </w:r>
      <w:r w:rsidR="00C54038">
        <w:t>(</w:t>
      </w:r>
      <w:r w:rsidR="00C54038">
        <w:rPr>
          <w:color w:val="000000" w:themeColor="text1"/>
          <w:szCs w:val="26"/>
        </w:rPr>
        <w:t xml:space="preserve">See </w:t>
      </w:r>
      <w:r w:rsidR="00C54038" w:rsidRPr="00C54038">
        <w:rPr>
          <w:i/>
          <w:color w:val="000000" w:themeColor="text1"/>
          <w:szCs w:val="26"/>
        </w:rPr>
        <w:t>Linder</w:t>
      </w:r>
      <w:r w:rsidR="00C54038">
        <w:rPr>
          <w:color w:val="000000" w:themeColor="text1"/>
          <w:szCs w:val="26"/>
        </w:rPr>
        <w:t xml:space="preserve">, </w:t>
      </w:r>
      <w:r w:rsidR="00C54038" w:rsidRPr="00C54038">
        <w:rPr>
          <w:i/>
          <w:color w:val="000000" w:themeColor="text1"/>
          <w:szCs w:val="26"/>
        </w:rPr>
        <w:t>supra</w:t>
      </w:r>
      <w:r w:rsidR="00C54038">
        <w:rPr>
          <w:color w:val="000000" w:themeColor="text1"/>
          <w:szCs w:val="26"/>
        </w:rPr>
        <w:t xml:space="preserve">, 23 Cal.4th at </w:t>
      </w:r>
      <w:r w:rsidR="0062218E">
        <w:rPr>
          <w:color w:val="000000" w:themeColor="text1"/>
          <w:szCs w:val="26"/>
        </w:rPr>
        <w:t>p</w:t>
      </w:r>
      <w:r w:rsidR="00C54038">
        <w:rPr>
          <w:color w:val="000000" w:themeColor="text1"/>
          <w:szCs w:val="26"/>
        </w:rPr>
        <w:t xml:space="preserve">. 444 [describing the notice inquiry as entailing due consideration of </w:t>
      </w:r>
      <w:r w:rsidR="003D6A8A">
        <w:rPr>
          <w:color w:val="000000" w:themeColor="text1"/>
          <w:szCs w:val="26"/>
        </w:rPr>
        <w:t>“</w:t>
      </w:r>
      <w:r w:rsidR="00C54038">
        <w:rPr>
          <w:color w:val="000000" w:themeColor="text1"/>
          <w:szCs w:val="26"/>
        </w:rPr>
        <w:t>the necessity, feasibility and costs of any particular form of notice”</w:t>
      </w:r>
      <w:r w:rsidR="00784349">
        <w:rPr>
          <w:color w:val="000000" w:themeColor="text1"/>
          <w:szCs w:val="26"/>
        </w:rPr>
        <w:t>].</w:t>
      </w:r>
      <w:r w:rsidR="00C54038">
        <w:rPr>
          <w:color w:val="000000" w:themeColor="text1"/>
          <w:szCs w:val="26"/>
        </w:rPr>
        <w:t xml:space="preserve">)  </w:t>
      </w:r>
      <w:r w:rsidRPr="004177C6">
        <w:t xml:space="preserve">Recall that in </w:t>
      </w:r>
      <w:r w:rsidRPr="004177C6">
        <w:rPr>
          <w:i/>
        </w:rPr>
        <w:t>Daar</w:t>
      </w:r>
      <w:r w:rsidRPr="004177C6">
        <w:t xml:space="preserve">, </w:t>
      </w:r>
      <w:r w:rsidRPr="004177C6">
        <w:rPr>
          <w:i/>
        </w:rPr>
        <w:t>supra</w:t>
      </w:r>
      <w:r w:rsidRPr="004177C6">
        <w:t xml:space="preserve">, 67 Cal.2d 695, </w:t>
      </w:r>
      <w:r w:rsidR="000205CD">
        <w:t xml:space="preserve">examined </w:t>
      </w:r>
      <w:r w:rsidR="000205CD" w:rsidRPr="000205CD">
        <w:rPr>
          <w:i/>
        </w:rPr>
        <w:t>ante</w:t>
      </w:r>
      <w:r w:rsidR="000205CD">
        <w:t xml:space="preserve">, </w:t>
      </w:r>
      <w:r w:rsidRPr="004177C6">
        <w:t>we found the allegations in the complaint sufficient to state a viable class even as to taxicab customers who paid in cash</w:t>
      </w:r>
      <w:r w:rsidR="00F379C9">
        <w:t>,</w:t>
      </w:r>
      <w:r w:rsidRPr="004177C6">
        <w:t xml:space="preserve"> </w:t>
      </w:r>
      <w:r w:rsidR="00F379C9">
        <w:t>for</w:t>
      </w:r>
      <w:r w:rsidRPr="004177C6">
        <w:t xml:space="preserve"> whom the prospect of </w:t>
      </w:r>
      <w:r w:rsidR="00A609C1">
        <w:t>individualized</w:t>
      </w:r>
      <w:r w:rsidRPr="004177C6">
        <w:t xml:space="preserve"> notice was far-fetched at best</w:t>
      </w:r>
      <w:r w:rsidR="00F379C9">
        <w:t>.  (</w:t>
      </w:r>
      <w:r w:rsidR="00F379C9" w:rsidRPr="00F379C9">
        <w:rPr>
          <w:i/>
        </w:rPr>
        <w:t>Id</w:t>
      </w:r>
      <w:r w:rsidR="00F379C9">
        <w:t xml:space="preserve">., at p. 714.) </w:t>
      </w:r>
      <w:r w:rsidR="000D0602">
        <w:t xml:space="preserve"> </w:t>
      </w:r>
      <w:r w:rsidR="00F379C9">
        <w:t>I</w:t>
      </w:r>
      <w:r w:rsidR="000D0602">
        <w:t>n doing so,</w:t>
      </w:r>
      <w:r w:rsidR="00F379C9">
        <w:t xml:space="preserve"> we</w:t>
      </w:r>
      <w:r w:rsidR="000D0602">
        <w:t xml:space="preserve"> disavowed any </w:t>
      </w:r>
      <w:r w:rsidR="000D0602" w:rsidRPr="004177C6">
        <w:rPr>
          <w:color w:val="000000" w:themeColor="text1"/>
          <w:szCs w:val="26"/>
        </w:rPr>
        <w:t>“necessity of identifying the individual members of such class as a prerequisite to a class suit.  If the existence of an ascertainable class has been shown, there is no need to identify its individual members in order to bind all members by the judgment.</w:t>
      </w:r>
      <w:r w:rsidR="000D0602">
        <w:rPr>
          <w:color w:val="000000" w:themeColor="text1"/>
          <w:szCs w:val="26"/>
        </w:rPr>
        <w:t>”  (</w:t>
      </w:r>
      <w:r w:rsidR="000D0602" w:rsidRPr="000D0602">
        <w:rPr>
          <w:i/>
          <w:color w:val="000000" w:themeColor="text1"/>
          <w:szCs w:val="26"/>
        </w:rPr>
        <w:t>Id</w:t>
      </w:r>
      <w:r w:rsidR="000D0602">
        <w:rPr>
          <w:color w:val="000000" w:themeColor="text1"/>
          <w:szCs w:val="26"/>
        </w:rPr>
        <w:t xml:space="preserve">., at p. 706.)  </w:t>
      </w:r>
      <w:r w:rsidR="006F1E8C">
        <w:rPr>
          <w:color w:val="000000" w:themeColor="text1"/>
          <w:szCs w:val="26"/>
        </w:rPr>
        <w:t>W</w:t>
      </w:r>
      <w:r w:rsidR="000D0602">
        <w:rPr>
          <w:color w:val="000000" w:themeColor="text1"/>
          <w:szCs w:val="26"/>
        </w:rPr>
        <w:t xml:space="preserve">e </w:t>
      </w:r>
      <w:r w:rsidR="006F1E8C">
        <w:rPr>
          <w:color w:val="000000" w:themeColor="text1"/>
          <w:szCs w:val="26"/>
        </w:rPr>
        <w:t>then added</w:t>
      </w:r>
      <w:r w:rsidR="000D0602">
        <w:rPr>
          <w:color w:val="000000" w:themeColor="text1"/>
          <w:szCs w:val="26"/>
        </w:rPr>
        <w:t>,</w:t>
      </w:r>
      <w:r w:rsidR="000D0602" w:rsidRPr="004177C6">
        <w:rPr>
          <w:color w:val="000000" w:themeColor="text1"/>
          <w:szCs w:val="26"/>
        </w:rPr>
        <w:t xml:space="preserve"> </w:t>
      </w:r>
      <w:r w:rsidR="000D0602">
        <w:rPr>
          <w:color w:val="000000" w:themeColor="text1"/>
          <w:szCs w:val="26"/>
        </w:rPr>
        <w:t>“</w:t>
      </w:r>
      <w:r w:rsidR="000D0602" w:rsidRPr="004177C6">
        <w:rPr>
          <w:color w:val="000000" w:themeColor="text1"/>
          <w:szCs w:val="26"/>
        </w:rPr>
        <w:t xml:space="preserve">The fact that the class members are </w:t>
      </w:r>
      <w:r w:rsidR="000D0602" w:rsidRPr="000D0602">
        <w:rPr>
          <w:i/>
          <w:color w:val="000000" w:themeColor="text1"/>
          <w:szCs w:val="26"/>
        </w:rPr>
        <w:t>unidentifiable</w:t>
      </w:r>
      <w:r w:rsidR="000D0602" w:rsidRPr="004177C6">
        <w:rPr>
          <w:color w:val="000000" w:themeColor="text1"/>
          <w:szCs w:val="26"/>
        </w:rPr>
        <w:t xml:space="preserve"> at this point will not preclude a complete determination of the issues affecting the class.”  (</w:t>
      </w:r>
      <w:r w:rsidR="000D0602">
        <w:rPr>
          <w:i/>
          <w:color w:val="000000" w:themeColor="text1"/>
          <w:szCs w:val="26"/>
        </w:rPr>
        <w:t>Ibid</w:t>
      </w:r>
      <w:r w:rsidR="000D0602" w:rsidRPr="004177C6">
        <w:rPr>
          <w:color w:val="000000" w:themeColor="text1"/>
          <w:szCs w:val="26"/>
        </w:rPr>
        <w:t>.</w:t>
      </w:r>
      <w:r w:rsidR="000205CD">
        <w:rPr>
          <w:color w:val="000000" w:themeColor="text1"/>
          <w:szCs w:val="26"/>
        </w:rPr>
        <w:t>, italics added.</w:t>
      </w:r>
      <w:r w:rsidR="000D0602" w:rsidRPr="004177C6">
        <w:rPr>
          <w:color w:val="000000" w:themeColor="text1"/>
          <w:szCs w:val="26"/>
        </w:rPr>
        <w:t>)</w:t>
      </w:r>
      <w:r w:rsidR="000D0602">
        <w:rPr>
          <w:color w:val="000000" w:themeColor="text1"/>
          <w:szCs w:val="26"/>
        </w:rPr>
        <w:t xml:space="preserve">  “Unidentifiable” means more than just unidentified.  Our use of the former term conveyed</w:t>
      </w:r>
      <w:r w:rsidR="00292B04">
        <w:rPr>
          <w:color w:val="000000" w:themeColor="text1"/>
          <w:szCs w:val="26"/>
        </w:rPr>
        <w:t xml:space="preserve"> that in a case such as </w:t>
      </w:r>
      <w:r w:rsidR="00292B04" w:rsidRPr="00292B04">
        <w:rPr>
          <w:i/>
          <w:iCs/>
          <w:color w:val="000000" w:themeColor="text1"/>
          <w:szCs w:val="26"/>
        </w:rPr>
        <w:t>Daar</w:t>
      </w:r>
      <w:r w:rsidR="0085308B">
        <w:rPr>
          <w:iCs/>
          <w:color w:val="000000" w:themeColor="text1"/>
          <w:szCs w:val="26"/>
        </w:rPr>
        <w:t>,</w:t>
      </w:r>
      <w:r w:rsidR="00292B04">
        <w:rPr>
          <w:color w:val="000000" w:themeColor="text1"/>
          <w:szCs w:val="26"/>
        </w:rPr>
        <w:t xml:space="preserve"> due process does not demand that the proponent of class treatment </w:t>
      </w:r>
      <w:r w:rsidR="00721107">
        <w:rPr>
          <w:color w:val="000000" w:themeColor="text1"/>
          <w:szCs w:val="26"/>
        </w:rPr>
        <w:t>demonstrate,</w:t>
      </w:r>
      <w:r w:rsidR="00292B04">
        <w:rPr>
          <w:color w:val="000000" w:themeColor="text1"/>
          <w:szCs w:val="26"/>
        </w:rPr>
        <w:t xml:space="preserve"> </w:t>
      </w:r>
      <w:r w:rsidR="00721107">
        <w:rPr>
          <w:color w:val="000000" w:themeColor="text1"/>
          <w:szCs w:val="26"/>
        </w:rPr>
        <w:t xml:space="preserve">as a prerequisite for certification, </w:t>
      </w:r>
      <w:r w:rsidR="00292B04">
        <w:rPr>
          <w:color w:val="000000" w:themeColor="text1"/>
          <w:szCs w:val="26"/>
        </w:rPr>
        <w:t>that (</w:t>
      </w:r>
      <w:r w:rsidR="00553A0A">
        <w:rPr>
          <w:color w:val="000000" w:themeColor="text1"/>
          <w:szCs w:val="26"/>
        </w:rPr>
        <w:t>much less</w:t>
      </w:r>
      <w:r w:rsidR="00292B04">
        <w:rPr>
          <w:color w:val="000000" w:themeColor="text1"/>
          <w:szCs w:val="26"/>
        </w:rPr>
        <w:t xml:space="preserve"> </w:t>
      </w:r>
      <w:r w:rsidR="00292B04" w:rsidRPr="00553A0A">
        <w:rPr>
          <w:i/>
          <w:color w:val="000000" w:themeColor="text1"/>
          <w:szCs w:val="26"/>
        </w:rPr>
        <w:t>how</w:t>
      </w:r>
      <w:r w:rsidR="00292B04">
        <w:rPr>
          <w:color w:val="000000" w:themeColor="text1"/>
          <w:szCs w:val="26"/>
        </w:rPr>
        <w:t>) class members eventually will receive individual notice of the action.</w:t>
      </w:r>
    </w:p>
    <w:p w14:paraId="0815FEC6" w14:textId="617D0F2B" w:rsidR="00F21112" w:rsidRPr="004177C6" w:rsidRDefault="00F21112" w:rsidP="00F21112">
      <w:pPr>
        <w:ind w:firstLine="720"/>
      </w:pPr>
      <w:r w:rsidRPr="004177C6">
        <w:t>Since then, we have</w:t>
      </w:r>
      <w:r w:rsidRPr="004177C6">
        <w:rPr>
          <w:color w:val="000000" w:themeColor="text1"/>
          <w:szCs w:val="26"/>
        </w:rPr>
        <w:t xml:space="preserve"> observed that </w:t>
      </w:r>
      <w:r w:rsidR="00721107">
        <w:rPr>
          <w:color w:val="000000" w:themeColor="text1"/>
          <w:szCs w:val="26"/>
        </w:rPr>
        <w:t>individual</w:t>
      </w:r>
      <w:r w:rsidRPr="004177C6">
        <w:rPr>
          <w:color w:val="000000" w:themeColor="text1"/>
          <w:szCs w:val="26"/>
        </w:rPr>
        <w:t xml:space="preserve"> notice may not always be required even for absent class members whose whereabouts are </w:t>
      </w:r>
      <w:r w:rsidRPr="004177C6">
        <w:rPr>
          <w:i/>
          <w:color w:val="000000" w:themeColor="text1"/>
          <w:szCs w:val="26"/>
        </w:rPr>
        <w:t>known</w:t>
      </w:r>
      <w:r w:rsidRPr="004177C6">
        <w:rPr>
          <w:color w:val="000000" w:themeColor="text1"/>
          <w:szCs w:val="26"/>
        </w:rPr>
        <w:t xml:space="preserve">, explaining </w:t>
      </w:r>
      <w:r w:rsidRPr="004177C6">
        <w:t>“the representative plaintiff in a California class action is not required to notify individually every readily ascertainable member of his class without regard to the feasibility of such notice; he need only provide meaningful notice in a form that ‘should have a reasonable chance of reaching a substantial percentage of the class members.’ ”  (</w:t>
      </w:r>
      <w:r w:rsidRPr="004177C6">
        <w:rPr>
          <w:i/>
        </w:rPr>
        <w:t>Archibald v. Cinerama Hotels</w:t>
      </w:r>
      <w:r w:rsidRPr="004177C6">
        <w:t xml:space="preserve"> (1976) 15 Cal.3d 853, 861, quoting </w:t>
      </w:r>
      <w:r w:rsidRPr="004177C6">
        <w:rPr>
          <w:i/>
        </w:rPr>
        <w:t>Cartt v. Superior Court</w:t>
      </w:r>
      <w:r w:rsidRPr="004177C6">
        <w:t xml:space="preserve"> (1975) 50 Cal.App.3d 960, 974; </w:t>
      </w:r>
      <w:r w:rsidRPr="006E3DD8">
        <w:t>compare</w:t>
      </w:r>
      <w:r w:rsidRPr="004177C6">
        <w:rPr>
          <w:i/>
        </w:rPr>
        <w:t xml:space="preserve"> </w:t>
      </w:r>
      <w:r w:rsidR="006E3DD8">
        <w:t>Rule</w:t>
      </w:r>
      <w:r w:rsidRPr="004177C6">
        <w:t xml:space="preserve"> </w:t>
      </w:r>
      <w:r w:rsidR="003620C5">
        <w:t>23(c)(2)(B)</w:t>
      </w:r>
      <w:r w:rsidR="00820E22">
        <w:t xml:space="preserve"> </w:t>
      </w:r>
      <w:r w:rsidR="003620C5">
        <w:t>[upo</w:t>
      </w:r>
      <w:r w:rsidR="00820E22">
        <w:t xml:space="preserve">n certifying a class under </w:t>
      </w:r>
      <w:r w:rsidR="006E3DD8">
        <w:t>R</w:t>
      </w:r>
      <w:r w:rsidR="00820E22">
        <w:t>ule 23(b)(3)</w:t>
      </w:r>
      <w:r w:rsidR="003620C5">
        <w:t>,</w:t>
      </w:r>
      <w:r w:rsidRPr="004177C6">
        <w:t xml:space="preserve"> “</w:t>
      </w:r>
      <w:r w:rsidR="003D6A8A">
        <w:t xml:space="preserve">the court </w:t>
      </w:r>
      <w:r w:rsidR="006E3DD8">
        <w:t>must</w:t>
      </w:r>
      <w:r w:rsidR="003D6A8A">
        <w:t xml:space="preserve"> direct to class members the best notice practicable under the circumstances including individual notice</w:t>
      </w:r>
      <w:r w:rsidRPr="004177C6">
        <w:t xml:space="preserve"> to all members who can be identified </w:t>
      </w:r>
      <w:r w:rsidR="003D6A8A">
        <w:t>through</w:t>
      </w:r>
      <w:r w:rsidRPr="004177C6">
        <w:t xml:space="preserve"> reasonable effort”].)  One Court of Appeal has elaborated that “when the membership of the class is huge, the damages are minimal, and res judicata and . . . other problems . . . are insignificant, notice by publication is adequate.”  (</w:t>
      </w:r>
      <w:r w:rsidRPr="004177C6">
        <w:rPr>
          <w:i/>
        </w:rPr>
        <w:t>Cooper v. American Sav. &amp; Loan Assn.</w:t>
      </w:r>
      <w:r w:rsidRPr="004177C6">
        <w:t xml:space="preserve"> (1976) 55</w:t>
      </w:r>
      <w:r>
        <w:t> </w:t>
      </w:r>
      <w:r w:rsidRPr="004177C6">
        <w:t xml:space="preserve">Cal.App.3d 274, 285.)  </w:t>
      </w:r>
    </w:p>
    <w:p w14:paraId="4EDBB42A" w14:textId="20625CB3" w:rsidR="00763E7F" w:rsidRDefault="00F21112" w:rsidP="007B713D">
      <w:pPr>
        <w:ind w:firstLine="720"/>
      </w:pPr>
      <w:r w:rsidRPr="004177C6">
        <w:t xml:space="preserve">The pertinent statutes and </w:t>
      </w:r>
      <w:r w:rsidR="006E3DD8">
        <w:t>California R</w:t>
      </w:r>
      <w:r w:rsidRPr="004177C6">
        <w:t xml:space="preserve">ules of </w:t>
      </w:r>
      <w:r w:rsidR="006E3DD8">
        <w:t>C</w:t>
      </w:r>
      <w:r w:rsidRPr="004177C6">
        <w:t xml:space="preserve">ourt are in accord.  With claims brought as putative class actions under the CLRA, “If the action is permitted as a class action, the court may direct either party to notify each member of the class of the action.  The party required to serve notice may, with the consent of the court, if personal notification is unreasonably expensive or it appears that all members of the class cannot be notified personally, give notice as prescribed herein by publication in accordance with Section 6064 of the Government Code in a newspaper of general circulation in the county in which the transaction occurred.”  (Civ. Code, § 1781, subd. (d).)  In the same spirit, the </w:t>
      </w:r>
      <w:r w:rsidR="006E3DD8">
        <w:t>R</w:t>
      </w:r>
      <w:r w:rsidRPr="004177C6">
        <w:t xml:space="preserve">ules of </w:t>
      </w:r>
      <w:r w:rsidR="006E3DD8">
        <w:t>C</w:t>
      </w:r>
      <w:r w:rsidRPr="004177C6">
        <w:t xml:space="preserve">ourt prescribe an array of considerations for determining the form or forms of notice that should be provided to a certified class.  Pursuant to rule 3.766(e) of the California Rules of Court, “In determining the manner of the notice [to class members], the court must consider: </w:t>
      </w:r>
      <w:r w:rsidR="006E3DD8">
        <w:t xml:space="preserve">[¶] </w:t>
      </w:r>
      <w:r w:rsidRPr="004177C6">
        <w:t>(1)</w:t>
      </w:r>
      <w:r w:rsidR="0062218E">
        <w:t> </w:t>
      </w:r>
      <w:r w:rsidRPr="004177C6">
        <w:t xml:space="preserve">The interests of the class; </w:t>
      </w:r>
      <w:r w:rsidR="006E3DD8">
        <w:t xml:space="preserve">[¶] </w:t>
      </w:r>
      <w:r w:rsidRPr="004177C6">
        <w:t xml:space="preserve">(2) The type of relief requested; </w:t>
      </w:r>
      <w:r w:rsidR="006E3DD8">
        <w:t xml:space="preserve">[¶] </w:t>
      </w:r>
      <w:r w:rsidRPr="004177C6">
        <w:t xml:space="preserve">(3) The stake of the individual class members; </w:t>
      </w:r>
      <w:r w:rsidR="006E3DD8">
        <w:t xml:space="preserve">[¶] </w:t>
      </w:r>
      <w:r w:rsidRPr="004177C6">
        <w:t xml:space="preserve">(4) The cost of notifying class members; </w:t>
      </w:r>
      <w:r w:rsidR="006E3DD8">
        <w:t xml:space="preserve">[¶] </w:t>
      </w:r>
      <w:r w:rsidRPr="004177C6">
        <w:t xml:space="preserve">(5) The resources of the parties; </w:t>
      </w:r>
      <w:r w:rsidR="006E3DD8">
        <w:t xml:space="preserve">[¶] </w:t>
      </w:r>
      <w:r w:rsidRPr="004177C6">
        <w:t xml:space="preserve">(6) The possible prejudice to class members who do not receive notice; and </w:t>
      </w:r>
      <w:r w:rsidR="006E3DD8">
        <w:t xml:space="preserve">[¶] </w:t>
      </w:r>
      <w:r w:rsidRPr="004177C6">
        <w:t>(7)</w:t>
      </w:r>
      <w:r>
        <w:t> </w:t>
      </w:r>
      <w:r w:rsidRPr="004177C6">
        <w:t xml:space="preserve">The res judicata effect on class members.”  The rules of court also provide that “[i]f personal notification is unreasonably expensive or the stake of individual class members is insubstantial, </w:t>
      </w:r>
      <w:r w:rsidRPr="00292B04">
        <w:rPr>
          <w:i/>
          <w:iCs/>
        </w:rPr>
        <w:t>or</w:t>
      </w:r>
      <w:r w:rsidRPr="004177C6">
        <w:t xml:space="preserve"> if it appears that all members of the class cannot be notified personally, the court may order a means of notice reasonably calculated to apprise the class members of the pendency of the action — for example, publication in a newspaper or magazine; broadcasting on television, radio, or the Internet; or posting or distribution through a trade or professional association, union, or public interest group.”  (</w:t>
      </w:r>
      <w:r w:rsidR="006E3DD8" w:rsidRPr="006E3DD8">
        <w:rPr>
          <w:i/>
        </w:rPr>
        <w:t>Id</w:t>
      </w:r>
      <w:r w:rsidR="006E3DD8">
        <w:t>.</w:t>
      </w:r>
      <w:r w:rsidRPr="004177C6">
        <w:t>, rule 3.766(f)</w:t>
      </w:r>
      <w:r w:rsidR="00292B04">
        <w:t>, italics added</w:t>
      </w:r>
      <w:r w:rsidRPr="004177C6">
        <w:t>.)</w:t>
      </w:r>
    </w:p>
    <w:p w14:paraId="5D9B9EF9" w14:textId="4E7AEBAC" w:rsidR="007B713D" w:rsidRPr="00DF7998" w:rsidRDefault="00F21112" w:rsidP="00DB2220">
      <w:pPr>
        <w:ind w:firstLine="720"/>
        <w:rPr>
          <w:iCs/>
          <w:color w:val="000000" w:themeColor="text1"/>
          <w:szCs w:val="26"/>
        </w:rPr>
      </w:pPr>
      <w:r>
        <w:rPr>
          <w:color w:val="000000" w:themeColor="text1"/>
          <w:szCs w:val="26"/>
        </w:rPr>
        <w:t xml:space="preserve">To summarize, </w:t>
      </w:r>
      <w:r w:rsidR="001F0AE5">
        <w:rPr>
          <w:color w:val="000000" w:themeColor="text1"/>
          <w:szCs w:val="26"/>
        </w:rPr>
        <w:t xml:space="preserve">due process does not invariably require </w:t>
      </w:r>
      <w:r w:rsidR="00392CCC">
        <w:rPr>
          <w:color w:val="000000" w:themeColor="text1"/>
          <w:szCs w:val="26"/>
        </w:rPr>
        <w:t xml:space="preserve">that </w:t>
      </w:r>
      <w:r w:rsidR="0085308B">
        <w:rPr>
          <w:color w:val="000000" w:themeColor="text1"/>
          <w:szCs w:val="26"/>
        </w:rPr>
        <w:t>personal</w:t>
      </w:r>
      <w:r w:rsidR="001F0AE5">
        <w:rPr>
          <w:color w:val="000000" w:themeColor="text1"/>
          <w:szCs w:val="26"/>
        </w:rPr>
        <w:t xml:space="preserve"> notice </w:t>
      </w:r>
      <w:r w:rsidR="00392CCC">
        <w:rPr>
          <w:color w:val="000000" w:themeColor="text1"/>
          <w:szCs w:val="26"/>
        </w:rPr>
        <w:t xml:space="preserve">be directed </w:t>
      </w:r>
      <w:r w:rsidR="001F0AE5">
        <w:rPr>
          <w:color w:val="000000" w:themeColor="text1"/>
          <w:szCs w:val="26"/>
        </w:rPr>
        <w:t>to all members of a class</w:t>
      </w:r>
      <w:r w:rsidR="003A3D10">
        <w:rPr>
          <w:color w:val="000000" w:themeColor="text1"/>
          <w:szCs w:val="26"/>
        </w:rPr>
        <w:t xml:space="preserve"> in order for a class action to proceed</w:t>
      </w:r>
      <w:r w:rsidR="00366AB3">
        <w:rPr>
          <w:color w:val="000000" w:themeColor="text1"/>
          <w:szCs w:val="26"/>
        </w:rPr>
        <w:t>, or for that matter that an individual member</w:t>
      </w:r>
      <w:r w:rsidR="00FB03D9">
        <w:rPr>
          <w:color w:val="000000" w:themeColor="text1"/>
          <w:szCs w:val="26"/>
        </w:rPr>
        <w:t xml:space="preserve"> of a certified class</w:t>
      </w:r>
      <w:r w:rsidR="00366AB3">
        <w:rPr>
          <w:color w:val="000000" w:themeColor="text1"/>
          <w:szCs w:val="26"/>
        </w:rPr>
        <w:t xml:space="preserve"> must receive notice to be bound by a judgment.</w:t>
      </w:r>
      <w:r w:rsidR="001F0AE5">
        <w:rPr>
          <w:color w:val="000000" w:themeColor="text1"/>
          <w:szCs w:val="26"/>
        </w:rPr>
        <w:t xml:space="preserve">  </w:t>
      </w:r>
      <w:r w:rsidR="00366AB3">
        <w:rPr>
          <w:color w:val="000000" w:themeColor="text1"/>
          <w:szCs w:val="26"/>
        </w:rPr>
        <w:t xml:space="preserve">(See </w:t>
      </w:r>
      <w:r w:rsidR="00366AB3" w:rsidRPr="00366AB3">
        <w:rPr>
          <w:i/>
          <w:color w:val="000000" w:themeColor="text1"/>
          <w:szCs w:val="26"/>
        </w:rPr>
        <w:t>Juris v. Inamed Corp.</w:t>
      </w:r>
      <w:r w:rsidR="00366AB3">
        <w:rPr>
          <w:color w:val="000000" w:themeColor="text1"/>
          <w:szCs w:val="26"/>
        </w:rPr>
        <w:t xml:space="preserve"> (11</w:t>
      </w:r>
      <w:r w:rsidR="00366AB3" w:rsidRPr="00366AB3">
        <w:rPr>
          <w:color w:val="000000" w:themeColor="text1"/>
          <w:szCs w:val="26"/>
        </w:rPr>
        <w:t>th</w:t>
      </w:r>
      <w:r w:rsidR="00366AB3">
        <w:rPr>
          <w:color w:val="000000" w:themeColor="text1"/>
          <w:szCs w:val="26"/>
        </w:rPr>
        <w:t xml:space="preserve"> Cir. 2012) 685 F.3d 1294, 1321 [citing cases]; </w:t>
      </w:r>
      <w:r w:rsidR="00366AB3" w:rsidRPr="00366AB3">
        <w:rPr>
          <w:color w:val="000000" w:themeColor="text1"/>
          <w:szCs w:val="26"/>
        </w:rPr>
        <w:t>7AA Wright et al., Federal Practice &amp; Procedure (3d ed. 2005) § 1789.1</w:t>
      </w:r>
      <w:r w:rsidR="00FB03D9">
        <w:rPr>
          <w:color w:val="000000" w:themeColor="text1"/>
          <w:szCs w:val="26"/>
        </w:rPr>
        <w:t>, p. 571</w:t>
      </w:r>
      <w:r w:rsidR="00366AB3">
        <w:rPr>
          <w:color w:val="000000" w:themeColor="text1"/>
          <w:szCs w:val="26"/>
        </w:rPr>
        <w:t xml:space="preserve">.)  </w:t>
      </w:r>
      <w:r w:rsidR="00DB2220">
        <w:rPr>
          <w:color w:val="000000" w:themeColor="text1"/>
          <w:szCs w:val="26"/>
        </w:rPr>
        <w:t>It follows that a</w:t>
      </w:r>
      <w:r w:rsidR="001F0AE5">
        <w:rPr>
          <w:color w:val="000000" w:themeColor="text1"/>
          <w:szCs w:val="26"/>
        </w:rPr>
        <w:t xml:space="preserve"> construction of the ascertainability requirement that presumes such notice </w:t>
      </w:r>
      <w:r w:rsidR="001F0AE5" w:rsidRPr="007B713D">
        <w:rPr>
          <w:i/>
          <w:color w:val="000000" w:themeColor="text1"/>
          <w:szCs w:val="26"/>
        </w:rPr>
        <w:t>is</w:t>
      </w:r>
      <w:r w:rsidR="001F0AE5">
        <w:rPr>
          <w:color w:val="000000" w:themeColor="text1"/>
          <w:szCs w:val="26"/>
        </w:rPr>
        <w:t xml:space="preserve"> necessary</w:t>
      </w:r>
      <w:r w:rsidR="00366AB3">
        <w:rPr>
          <w:color w:val="000000" w:themeColor="text1"/>
          <w:szCs w:val="26"/>
        </w:rPr>
        <w:t xml:space="preserve"> to satisfy due process</w:t>
      </w:r>
      <w:r w:rsidR="007B713D">
        <w:rPr>
          <w:color w:val="000000" w:themeColor="text1"/>
          <w:szCs w:val="26"/>
        </w:rPr>
        <w:t>,</w:t>
      </w:r>
      <w:r w:rsidR="001F0AE5">
        <w:rPr>
          <w:color w:val="000000" w:themeColor="text1"/>
          <w:szCs w:val="26"/>
        </w:rPr>
        <w:t xml:space="preserve"> and demands that the plaintiff show how it can be accomplished</w:t>
      </w:r>
      <w:r w:rsidR="007B713D">
        <w:rPr>
          <w:color w:val="000000" w:themeColor="text1"/>
          <w:szCs w:val="26"/>
        </w:rPr>
        <w:t>,</w:t>
      </w:r>
      <w:r w:rsidR="001F0AE5">
        <w:rPr>
          <w:color w:val="000000" w:themeColor="text1"/>
          <w:szCs w:val="26"/>
        </w:rPr>
        <w:t xml:space="preserve"> </w:t>
      </w:r>
      <w:r w:rsidR="00154005">
        <w:rPr>
          <w:color w:val="000000" w:themeColor="text1"/>
          <w:szCs w:val="26"/>
        </w:rPr>
        <w:t>threatens to demand</w:t>
      </w:r>
      <w:r w:rsidR="001F0AE5">
        <w:rPr>
          <w:color w:val="000000" w:themeColor="text1"/>
          <w:szCs w:val="26"/>
        </w:rPr>
        <w:t xml:space="preserve"> too much</w:t>
      </w:r>
      <w:r w:rsidR="00053D64">
        <w:rPr>
          <w:color w:val="000000" w:themeColor="text1"/>
          <w:szCs w:val="26"/>
        </w:rPr>
        <w:t>, too soon</w:t>
      </w:r>
      <w:r w:rsidR="001F0AE5">
        <w:rPr>
          <w:color w:val="000000" w:themeColor="text1"/>
          <w:szCs w:val="26"/>
        </w:rPr>
        <w:t xml:space="preserve">.  </w:t>
      </w:r>
      <w:r w:rsidR="00DF7998">
        <w:rPr>
          <w:color w:val="000000" w:themeColor="text1"/>
          <w:szCs w:val="26"/>
        </w:rPr>
        <w:t xml:space="preserve">It is </w:t>
      </w:r>
      <w:r w:rsidR="003D1050">
        <w:rPr>
          <w:color w:val="000000" w:themeColor="text1"/>
          <w:szCs w:val="26"/>
        </w:rPr>
        <w:t>likewise</w:t>
      </w:r>
      <w:r w:rsidR="00DF7998">
        <w:rPr>
          <w:color w:val="000000" w:themeColor="text1"/>
          <w:szCs w:val="26"/>
        </w:rPr>
        <w:t xml:space="preserve"> mistaken to </w:t>
      </w:r>
      <w:r w:rsidR="00AB2345">
        <w:rPr>
          <w:color w:val="000000" w:themeColor="text1"/>
          <w:szCs w:val="26"/>
        </w:rPr>
        <w:t>take a categorical view that</w:t>
      </w:r>
      <w:r w:rsidR="00DF7998">
        <w:rPr>
          <w:color w:val="000000" w:themeColor="text1"/>
          <w:szCs w:val="26"/>
        </w:rPr>
        <w:t xml:space="preserve"> </w:t>
      </w:r>
      <w:r w:rsidR="009417C0">
        <w:rPr>
          <w:color w:val="000000" w:themeColor="text1"/>
          <w:szCs w:val="26"/>
        </w:rPr>
        <w:t xml:space="preserve">the </w:t>
      </w:r>
      <w:r w:rsidR="0085308B">
        <w:rPr>
          <w:color w:val="000000" w:themeColor="text1"/>
          <w:szCs w:val="26"/>
        </w:rPr>
        <w:t xml:space="preserve">relevant </w:t>
      </w:r>
      <w:r w:rsidR="00DF7998">
        <w:rPr>
          <w:color w:val="000000" w:themeColor="text1"/>
          <w:szCs w:val="26"/>
        </w:rPr>
        <w:t>due process</w:t>
      </w:r>
      <w:r w:rsidR="009417C0">
        <w:rPr>
          <w:color w:val="000000" w:themeColor="text1"/>
          <w:szCs w:val="26"/>
        </w:rPr>
        <w:t xml:space="preserve"> interests </w:t>
      </w:r>
      <w:r w:rsidR="00AB2345">
        <w:rPr>
          <w:color w:val="000000" w:themeColor="text1"/>
          <w:szCs w:val="26"/>
        </w:rPr>
        <w:t>can be</w:t>
      </w:r>
      <w:r w:rsidR="00DF7998">
        <w:rPr>
          <w:color w:val="000000" w:themeColor="text1"/>
          <w:szCs w:val="26"/>
        </w:rPr>
        <w:t xml:space="preserve"> satisfied only when “official records” </w:t>
      </w:r>
      <w:r w:rsidR="00AC2B80">
        <w:rPr>
          <w:color w:val="000000" w:themeColor="text1"/>
          <w:szCs w:val="26"/>
        </w:rPr>
        <w:t>(</w:t>
      </w:r>
      <w:r w:rsidR="00AC2B80" w:rsidRPr="00AC2B80">
        <w:rPr>
          <w:i/>
          <w:iCs/>
          <w:color w:val="000000" w:themeColor="text1"/>
          <w:szCs w:val="26"/>
        </w:rPr>
        <w:t>Rose</w:t>
      </w:r>
      <w:r w:rsidR="00AC2B80">
        <w:rPr>
          <w:color w:val="000000" w:themeColor="text1"/>
          <w:szCs w:val="26"/>
        </w:rPr>
        <w:t xml:space="preserve">, </w:t>
      </w:r>
      <w:r w:rsidR="00AC2B80" w:rsidRPr="00AC2B80">
        <w:rPr>
          <w:i/>
          <w:iCs/>
          <w:color w:val="000000" w:themeColor="text1"/>
          <w:szCs w:val="26"/>
        </w:rPr>
        <w:t>supra</w:t>
      </w:r>
      <w:r w:rsidR="00AC2B80">
        <w:rPr>
          <w:color w:val="000000" w:themeColor="text1"/>
          <w:szCs w:val="26"/>
        </w:rPr>
        <w:t xml:space="preserve">, 126 Cal.App.3d at p. 932) </w:t>
      </w:r>
      <w:r w:rsidR="009417C0">
        <w:rPr>
          <w:color w:val="000000" w:themeColor="text1"/>
          <w:szCs w:val="26"/>
        </w:rPr>
        <w:t xml:space="preserve">supply the means of </w:t>
      </w:r>
      <w:r w:rsidR="0085308B">
        <w:rPr>
          <w:color w:val="000000" w:themeColor="text1"/>
          <w:szCs w:val="26"/>
        </w:rPr>
        <w:t>identifying class members</w:t>
      </w:r>
      <w:r w:rsidR="00DF7998">
        <w:rPr>
          <w:color w:val="000000" w:themeColor="text1"/>
          <w:szCs w:val="26"/>
        </w:rPr>
        <w:t>, and for a similar reason: due process is not that inflexible.</w:t>
      </w:r>
      <w:r w:rsidR="005C46B5">
        <w:rPr>
          <w:rStyle w:val="FootnoteReference"/>
          <w:color w:val="000000" w:themeColor="text1"/>
          <w:szCs w:val="26"/>
        </w:rPr>
        <w:footnoteReference w:id="14"/>
      </w:r>
      <w:r w:rsidR="00DF7998">
        <w:rPr>
          <w:iCs/>
        </w:rPr>
        <w:t xml:space="preserve"> </w:t>
      </w:r>
    </w:p>
    <w:p w14:paraId="362EAFFE" w14:textId="5CAFF38F" w:rsidR="004E1DC9" w:rsidRDefault="005A168D" w:rsidP="00DB2220">
      <w:pPr>
        <w:ind w:firstLine="720"/>
      </w:pPr>
      <w:r>
        <w:rPr>
          <w:color w:val="000000" w:themeColor="text1"/>
          <w:szCs w:val="26"/>
        </w:rPr>
        <w:t>T</w:t>
      </w:r>
      <w:r w:rsidR="00392CCC">
        <w:rPr>
          <w:color w:val="000000" w:themeColor="text1"/>
          <w:szCs w:val="26"/>
        </w:rPr>
        <w:t xml:space="preserve">he Court of Appeal </w:t>
      </w:r>
      <w:r w:rsidR="00AC2B80">
        <w:rPr>
          <w:color w:val="000000" w:themeColor="text1"/>
          <w:szCs w:val="26"/>
        </w:rPr>
        <w:t>below</w:t>
      </w:r>
      <w:r w:rsidR="00392CCC">
        <w:rPr>
          <w:color w:val="000000" w:themeColor="text1"/>
          <w:szCs w:val="26"/>
        </w:rPr>
        <w:t xml:space="preserve"> recognized </w:t>
      </w:r>
      <w:r w:rsidR="00AC2B80">
        <w:rPr>
          <w:color w:val="000000" w:themeColor="text1"/>
          <w:szCs w:val="26"/>
        </w:rPr>
        <w:t xml:space="preserve">the possibility that due process might not require </w:t>
      </w:r>
      <w:r w:rsidR="003D1050">
        <w:rPr>
          <w:color w:val="000000" w:themeColor="text1"/>
          <w:szCs w:val="26"/>
        </w:rPr>
        <w:t>individual</w:t>
      </w:r>
      <w:r w:rsidR="00AC2B80">
        <w:rPr>
          <w:color w:val="000000" w:themeColor="text1"/>
          <w:szCs w:val="26"/>
        </w:rPr>
        <w:t xml:space="preserve"> notice </w:t>
      </w:r>
      <w:r w:rsidR="003D1050">
        <w:rPr>
          <w:color w:val="000000" w:themeColor="text1"/>
          <w:szCs w:val="26"/>
        </w:rPr>
        <w:t xml:space="preserve">to absent class members </w:t>
      </w:r>
      <w:r w:rsidR="00AC2B80">
        <w:rPr>
          <w:color w:val="000000" w:themeColor="text1"/>
          <w:szCs w:val="26"/>
        </w:rPr>
        <w:t xml:space="preserve">in all </w:t>
      </w:r>
      <w:r w:rsidR="00AB2345">
        <w:rPr>
          <w:color w:val="000000" w:themeColor="text1"/>
          <w:szCs w:val="26"/>
        </w:rPr>
        <w:t>circumstances</w:t>
      </w:r>
      <w:r w:rsidR="00864B9A">
        <w:rPr>
          <w:color w:val="000000" w:themeColor="text1"/>
          <w:szCs w:val="26"/>
        </w:rPr>
        <w:t xml:space="preserve">. </w:t>
      </w:r>
      <w:r w:rsidR="00392CCC">
        <w:rPr>
          <w:color w:val="000000" w:themeColor="text1"/>
          <w:szCs w:val="26"/>
        </w:rPr>
        <w:t xml:space="preserve"> </w:t>
      </w:r>
      <w:r w:rsidR="00864B9A">
        <w:rPr>
          <w:color w:val="000000" w:themeColor="text1"/>
          <w:szCs w:val="26"/>
        </w:rPr>
        <w:t>As recounted</w:t>
      </w:r>
      <w:r w:rsidR="00C25E28">
        <w:rPr>
          <w:color w:val="000000" w:themeColor="text1"/>
          <w:szCs w:val="26"/>
        </w:rPr>
        <w:t xml:space="preserve"> </w:t>
      </w:r>
      <w:r w:rsidR="00C25E28" w:rsidRPr="00C25E28">
        <w:rPr>
          <w:i/>
          <w:color w:val="000000" w:themeColor="text1"/>
          <w:szCs w:val="26"/>
        </w:rPr>
        <w:t>ante</w:t>
      </w:r>
      <w:r w:rsidR="00864B9A">
        <w:rPr>
          <w:color w:val="000000" w:themeColor="text1"/>
          <w:szCs w:val="26"/>
        </w:rPr>
        <w:t xml:space="preserve">, the Court of Appeal </w:t>
      </w:r>
      <w:r w:rsidR="00BB4370">
        <w:rPr>
          <w:color w:val="000000" w:themeColor="text1"/>
          <w:szCs w:val="26"/>
        </w:rPr>
        <w:t xml:space="preserve">noted that </w:t>
      </w:r>
      <w:r w:rsidR="001157FE">
        <w:rPr>
          <w:color w:val="000000" w:themeColor="text1"/>
          <w:szCs w:val="26"/>
        </w:rPr>
        <w:t>the court</w:t>
      </w:r>
      <w:r w:rsidR="00392CCC">
        <w:rPr>
          <w:color w:val="000000" w:themeColor="text1"/>
          <w:szCs w:val="26"/>
        </w:rPr>
        <w:t xml:space="preserve"> in </w:t>
      </w:r>
      <w:r w:rsidR="00392CCC" w:rsidRPr="00392CCC">
        <w:rPr>
          <w:i/>
          <w:color w:val="000000" w:themeColor="text1"/>
          <w:szCs w:val="26"/>
        </w:rPr>
        <w:t>Aguirre</w:t>
      </w:r>
      <w:r w:rsidR="00392CCC">
        <w:rPr>
          <w:color w:val="000000" w:themeColor="text1"/>
          <w:szCs w:val="26"/>
        </w:rPr>
        <w:t xml:space="preserve">, </w:t>
      </w:r>
      <w:r w:rsidR="00392CCC" w:rsidRPr="00392CCC">
        <w:rPr>
          <w:i/>
          <w:color w:val="000000" w:themeColor="text1"/>
          <w:szCs w:val="26"/>
        </w:rPr>
        <w:t>supra</w:t>
      </w:r>
      <w:r w:rsidR="00392CCC">
        <w:rPr>
          <w:color w:val="000000" w:themeColor="text1"/>
          <w:szCs w:val="26"/>
        </w:rPr>
        <w:t xml:space="preserve">, </w:t>
      </w:r>
      <w:r w:rsidR="00392CCC" w:rsidRPr="004177C6">
        <w:t>234 Cal.App.4th 1290</w:t>
      </w:r>
      <w:r w:rsidR="00392CCC">
        <w:t xml:space="preserve"> </w:t>
      </w:r>
      <w:r w:rsidR="00BB4370">
        <w:t xml:space="preserve">had declined to require </w:t>
      </w:r>
      <w:r w:rsidR="003D1050">
        <w:t>such</w:t>
      </w:r>
      <w:r w:rsidR="00BB4370">
        <w:t xml:space="preserve"> notice to consumers within the plaintiff class.  </w:t>
      </w:r>
      <w:r w:rsidR="004E1DC9" w:rsidRPr="004177C6">
        <w:t>(</w:t>
      </w:r>
      <w:r w:rsidR="004E1DC9" w:rsidRPr="004177C6">
        <w:rPr>
          <w:i/>
        </w:rPr>
        <w:t>Noel</w:t>
      </w:r>
      <w:r w:rsidR="004E1DC9" w:rsidRPr="004177C6">
        <w:t xml:space="preserve">, </w:t>
      </w:r>
      <w:r w:rsidR="004E1DC9" w:rsidRPr="004177C6">
        <w:rPr>
          <w:i/>
        </w:rPr>
        <w:t>supra</w:t>
      </w:r>
      <w:r w:rsidR="004E1DC9" w:rsidRPr="004177C6">
        <w:t xml:space="preserve">, 17 Cal.App.5th at p. 1331.) </w:t>
      </w:r>
      <w:r w:rsidR="004E1DC9">
        <w:t xml:space="preserve"> </w:t>
      </w:r>
      <w:r w:rsidR="00E142E4">
        <w:t>It</w:t>
      </w:r>
      <w:r w:rsidR="00BB4370">
        <w:t xml:space="preserve"> </w:t>
      </w:r>
      <w:r w:rsidR="004E1DC9">
        <w:t xml:space="preserve">distinguished </w:t>
      </w:r>
      <w:r w:rsidR="004E1DC9" w:rsidRPr="004E1DC9">
        <w:rPr>
          <w:i/>
        </w:rPr>
        <w:t>Aguirre</w:t>
      </w:r>
      <w:r w:rsidR="00F379C9">
        <w:t xml:space="preserve"> </w:t>
      </w:r>
      <w:r w:rsidR="00864B9A">
        <w:t>on the ground that the class</w:t>
      </w:r>
      <w:r w:rsidR="003E6A89">
        <w:t xml:space="preserve"> </w:t>
      </w:r>
      <w:r w:rsidR="00F379C9">
        <w:t>in that case</w:t>
      </w:r>
      <w:r w:rsidR="00864B9A">
        <w:t xml:space="preserve"> was much larger than the proposed class is</w:t>
      </w:r>
      <w:r w:rsidR="007F3B2D">
        <w:t xml:space="preserve"> here</w:t>
      </w:r>
      <w:r w:rsidR="00392CCC" w:rsidRPr="004177C6">
        <w:t>.  (</w:t>
      </w:r>
      <w:r w:rsidR="00E142E4">
        <w:rPr>
          <w:i/>
        </w:rPr>
        <w:t>Noel</w:t>
      </w:r>
      <w:r w:rsidR="00E142E4">
        <w:t>, at p.</w:t>
      </w:r>
      <w:r w:rsidR="0062218E">
        <w:t> </w:t>
      </w:r>
      <w:r w:rsidR="00E142E4">
        <w:t>1331</w:t>
      </w:r>
      <w:r w:rsidR="00392CCC" w:rsidRPr="004177C6">
        <w:t xml:space="preserve">.) </w:t>
      </w:r>
      <w:r w:rsidR="00DB2220">
        <w:t xml:space="preserve"> </w:t>
      </w:r>
      <w:r w:rsidR="004E1DC9">
        <w:t>We believe the point is more fundamental</w:t>
      </w:r>
      <w:r w:rsidR="00491514">
        <w:t>:</w:t>
      </w:r>
      <w:r w:rsidR="004E1DC9">
        <w:t xml:space="preserve"> </w:t>
      </w:r>
      <w:r w:rsidR="00E142E4">
        <w:t>A</w:t>
      </w:r>
      <w:r w:rsidR="001D1473">
        <w:t xml:space="preserve">s a rule, </w:t>
      </w:r>
      <w:r w:rsidR="00491514">
        <w:t xml:space="preserve">a </w:t>
      </w:r>
      <w:r w:rsidR="001D1473">
        <w:t xml:space="preserve">representative </w:t>
      </w:r>
      <w:r w:rsidR="00A675F3">
        <w:t>plaintiff in a class action need not</w:t>
      </w:r>
      <w:r w:rsidR="00491514">
        <w:t xml:space="preserve"> </w:t>
      </w:r>
      <w:r w:rsidR="001D1473">
        <w:t>introduce</w:t>
      </w:r>
      <w:r w:rsidR="003B407A">
        <w:t xml:space="preserve"> evidence establishing how</w:t>
      </w:r>
      <w:r w:rsidR="00491514">
        <w:t xml:space="preserve"> notice of the action</w:t>
      </w:r>
      <w:r w:rsidR="0044497F">
        <w:t xml:space="preserve"> will be </w:t>
      </w:r>
      <w:r w:rsidR="00C25E28">
        <w:t>communicated</w:t>
      </w:r>
      <w:r w:rsidR="0044497F">
        <w:t xml:space="preserve"> to individual class members</w:t>
      </w:r>
      <w:r w:rsidR="00A675F3">
        <w:t xml:space="preserve"> in order to show an ascertainable class</w:t>
      </w:r>
      <w:r w:rsidR="004E1DC9">
        <w:t xml:space="preserve">.  </w:t>
      </w:r>
    </w:p>
    <w:p w14:paraId="38226E94" w14:textId="2B61368A" w:rsidR="00DB2220" w:rsidRDefault="004E1DC9" w:rsidP="00DB2220">
      <w:pPr>
        <w:ind w:firstLine="720"/>
      </w:pPr>
      <w:r>
        <w:t>This</w:t>
      </w:r>
      <w:r w:rsidR="009774BD">
        <w:t xml:space="preserve"> bright-line</w:t>
      </w:r>
      <w:r>
        <w:t xml:space="preserve"> rule </w:t>
      </w:r>
      <w:r w:rsidR="00787965">
        <w:t>maintain</w:t>
      </w:r>
      <w:r w:rsidR="00491514">
        <w:t>s</w:t>
      </w:r>
      <w:r w:rsidR="00787965">
        <w:t xml:space="preserve"> the straightforward nature of what is properly understood as</w:t>
      </w:r>
      <w:r>
        <w:t xml:space="preserve"> a threshold requirement </w:t>
      </w:r>
      <w:r w:rsidR="00784349">
        <w:t>for class certification</w:t>
      </w:r>
      <w:r w:rsidR="001D1473">
        <w:t xml:space="preserve">, and allows for the relevant due process </w:t>
      </w:r>
      <w:r w:rsidR="00A675F3">
        <w:t>interests</w:t>
      </w:r>
      <w:r w:rsidR="007470DE">
        <w:t xml:space="preserve"> </w:t>
      </w:r>
      <w:r w:rsidR="001D1473">
        <w:t xml:space="preserve">to be more sensitively </w:t>
      </w:r>
      <w:r w:rsidR="00D035A9">
        <w:t xml:space="preserve">calibrated and </w:t>
      </w:r>
      <w:r w:rsidR="001D1473">
        <w:t xml:space="preserve">addressed through other </w:t>
      </w:r>
      <w:r w:rsidR="009774BD">
        <w:t>mechanisms</w:t>
      </w:r>
      <w:r>
        <w:t xml:space="preserve">.  </w:t>
      </w:r>
      <w:r w:rsidR="003E6A89">
        <w:t>A</w:t>
      </w:r>
      <w:r w:rsidR="005A168D">
        <w:t xml:space="preserve">s </w:t>
      </w:r>
      <w:r w:rsidR="003E6A89">
        <w:t>shown</w:t>
      </w:r>
      <w:r>
        <w:t xml:space="preserve">, </w:t>
      </w:r>
      <w:r w:rsidR="002E187D">
        <w:t>the development of a notice plan that comports</w:t>
      </w:r>
      <w:r w:rsidR="005A168D">
        <w:t xml:space="preserve"> with due process</w:t>
      </w:r>
      <w:r>
        <w:t xml:space="preserve"> implicates a</w:t>
      </w:r>
      <w:r w:rsidR="001D1473">
        <w:t xml:space="preserve"> diverse</w:t>
      </w:r>
      <w:r>
        <w:t xml:space="preserve"> array of considerations</w:t>
      </w:r>
      <w:r w:rsidR="000205CD">
        <w:t>.</w:t>
      </w:r>
      <w:r w:rsidR="005A168D">
        <w:t xml:space="preserve"> </w:t>
      </w:r>
      <w:r w:rsidR="000205CD">
        <w:t xml:space="preserve"> </w:t>
      </w:r>
      <w:r w:rsidR="005A168D" w:rsidRPr="004177C6">
        <w:t>(</w:t>
      </w:r>
      <w:r w:rsidR="000205CD">
        <w:t>S</w:t>
      </w:r>
      <w:r w:rsidR="005A168D">
        <w:t xml:space="preserve">ee </w:t>
      </w:r>
      <w:r w:rsidR="005A168D" w:rsidRPr="004177C6">
        <w:t>Cal. Rules of Court, rule 3.766(f)</w:t>
      </w:r>
      <w:r w:rsidR="00784349">
        <w:t xml:space="preserve">; </w:t>
      </w:r>
      <w:r w:rsidR="00784349" w:rsidRPr="00C54038">
        <w:rPr>
          <w:i/>
          <w:color w:val="000000" w:themeColor="text1"/>
          <w:szCs w:val="26"/>
        </w:rPr>
        <w:t>Linder</w:t>
      </w:r>
      <w:r w:rsidR="00784349">
        <w:rPr>
          <w:color w:val="000000" w:themeColor="text1"/>
          <w:szCs w:val="26"/>
        </w:rPr>
        <w:t xml:space="preserve">, </w:t>
      </w:r>
      <w:r w:rsidR="00784349" w:rsidRPr="00C54038">
        <w:rPr>
          <w:i/>
          <w:color w:val="000000" w:themeColor="text1"/>
          <w:szCs w:val="26"/>
        </w:rPr>
        <w:t>supra</w:t>
      </w:r>
      <w:r w:rsidR="00784349">
        <w:rPr>
          <w:color w:val="000000" w:themeColor="text1"/>
          <w:szCs w:val="26"/>
        </w:rPr>
        <w:t>, 23 Cal.4th at pp. 444, 446</w:t>
      </w:r>
      <w:r w:rsidR="000205CD">
        <w:rPr>
          <w:color w:val="000000" w:themeColor="text1"/>
          <w:szCs w:val="26"/>
        </w:rPr>
        <w:t>.</w:t>
      </w:r>
      <w:r w:rsidR="005A168D" w:rsidRPr="004177C6">
        <w:t>)</w:t>
      </w:r>
      <w:r w:rsidR="000205CD">
        <w:t xml:space="preserve">  Some</w:t>
      </w:r>
      <w:r>
        <w:t xml:space="preserve"> of </w:t>
      </w:r>
      <w:r w:rsidR="000205CD">
        <w:t>the facts relevant to the development of a constitutionally adequate</w:t>
      </w:r>
      <w:r>
        <w:t xml:space="preserve"> </w:t>
      </w:r>
      <w:r w:rsidR="000205CD">
        <w:t xml:space="preserve">notice plan </w:t>
      </w:r>
      <w:r w:rsidR="001D1473">
        <w:t>normally</w:t>
      </w:r>
      <w:r w:rsidR="00A205D6">
        <w:t xml:space="preserve"> will</w:t>
      </w:r>
      <w:r>
        <w:t xml:space="preserve"> not</w:t>
      </w:r>
      <w:r w:rsidR="00491514">
        <w:t xml:space="preserve"> be</w:t>
      </w:r>
      <w:r>
        <w:t xml:space="preserve"> immediately </w:t>
      </w:r>
      <w:r w:rsidR="00A205D6">
        <w:t>obvious from</w:t>
      </w:r>
      <w:r>
        <w:t xml:space="preserve"> the class definition itself.  </w:t>
      </w:r>
      <w:r w:rsidR="00562A88">
        <w:t>Regardless of the size of the class</w:t>
      </w:r>
      <w:r w:rsidR="00A205D6">
        <w:t xml:space="preserve"> or other relevant circumstances</w:t>
      </w:r>
      <w:r w:rsidR="00562A88">
        <w:t xml:space="preserve">, </w:t>
      </w:r>
      <w:r w:rsidR="000C5CCF">
        <w:t xml:space="preserve">a </w:t>
      </w:r>
      <w:r w:rsidR="00A205D6">
        <w:t>demand</w:t>
      </w:r>
      <w:r w:rsidR="000C5CCF">
        <w:t xml:space="preserve"> </w:t>
      </w:r>
      <w:r w:rsidR="00DD24F7">
        <w:t xml:space="preserve">that the </w:t>
      </w:r>
      <w:r w:rsidR="00A205D6">
        <w:t xml:space="preserve">representative </w:t>
      </w:r>
      <w:r w:rsidR="00A675F3">
        <w:t>plaintiff</w:t>
      </w:r>
      <w:r w:rsidR="00DD24F7">
        <w:t xml:space="preserve"> show how individualized notice could be provided to class members in order to establish an ascertainable class </w:t>
      </w:r>
      <w:r w:rsidR="000C5CCF">
        <w:t xml:space="preserve">could </w:t>
      </w:r>
      <w:r w:rsidR="00DD24F7">
        <w:t>preempt</w:t>
      </w:r>
      <w:r w:rsidR="000C5CCF">
        <w:t xml:space="preserve"> a more careful</w:t>
      </w:r>
      <w:r w:rsidR="00A205D6">
        <w:t xml:space="preserve">, </w:t>
      </w:r>
      <w:r w:rsidR="000C5CCF">
        <w:t>nuanced</w:t>
      </w:r>
      <w:r w:rsidR="00A205D6">
        <w:t>, and potentially collaborative</w:t>
      </w:r>
      <w:r w:rsidR="000C5CCF">
        <w:t xml:space="preserve"> </w:t>
      </w:r>
      <w:r w:rsidR="00A205D6">
        <w:t>assessment</w:t>
      </w:r>
      <w:r w:rsidR="00A675F3">
        <w:t>, and in doing so</w:t>
      </w:r>
      <w:r w:rsidR="000C5CCF">
        <w:t xml:space="preserve"> </w:t>
      </w:r>
      <w:r w:rsidR="00A675F3">
        <w:t>impose</w:t>
      </w:r>
      <w:r w:rsidR="00A205D6">
        <w:t xml:space="preserve"> upon </w:t>
      </w:r>
      <w:r w:rsidR="00A675F3">
        <w:t>the plaintiff</w:t>
      </w:r>
      <w:r w:rsidR="00A205D6">
        <w:t xml:space="preserve"> </w:t>
      </w:r>
      <w:r w:rsidR="00EB2C67">
        <w:t>an</w:t>
      </w:r>
      <w:r w:rsidR="000C5CCF">
        <w:t xml:space="preserve"> absolute requirement that closer review </w:t>
      </w:r>
      <w:r w:rsidR="0044497F">
        <w:t xml:space="preserve">of all of the relevant facts </w:t>
      </w:r>
      <w:r w:rsidR="00EB2C67">
        <w:t>could</w:t>
      </w:r>
      <w:r w:rsidR="000C5CCF">
        <w:t xml:space="preserve"> </w:t>
      </w:r>
      <w:r w:rsidR="0044497F">
        <w:t>demonstrate to be excessive</w:t>
      </w:r>
      <w:r w:rsidR="001D1473">
        <w:t xml:space="preserve"> in light of the interests involved</w:t>
      </w:r>
      <w:r w:rsidR="000C5CCF">
        <w:t xml:space="preserve">. </w:t>
      </w:r>
    </w:p>
    <w:p w14:paraId="1BF8EC4C" w14:textId="50087BB7" w:rsidR="000C5CCF" w:rsidRDefault="000C5CCF" w:rsidP="00D035A9">
      <w:pPr>
        <w:ind w:firstLine="720"/>
      </w:pPr>
      <w:r>
        <w:t xml:space="preserve">This case illustrates the problem.  </w:t>
      </w:r>
      <w:r w:rsidR="00DD24F7">
        <w:t xml:space="preserve">The record before us does not establish all of the facts and circumstances relevant to a determination regarding the appropriate </w:t>
      </w:r>
      <w:r w:rsidR="00FB39FE">
        <w:t>form or forms</w:t>
      </w:r>
      <w:r w:rsidR="00DD24F7">
        <w:t xml:space="preserve"> of notice</w:t>
      </w:r>
      <w:r w:rsidR="00522D18">
        <w:t xml:space="preserve"> to the class</w:t>
      </w:r>
      <w:r w:rsidR="00DD24F7">
        <w:t xml:space="preserve">.  Yet the </w:t>
      </w:r>
      <w:r w:rsidR="00FB39FE">
        <w:t>record</w:t>
      </w:r>
      <w:r w:rsidR="00DD24F7">
        <w:t xml:space="preserve"> </w:t>
      </w:r>
      <w:r w:rsidR="00787965">
        <w:t>cast</w:t>
      </w:r>
      <w:r w:rsidR="00FB39FE">
        <w:t>s</w:t>
      </w:r>
      <w:r w:rsidR="00787965">
        <w:t xml:space="preserve"> </w:t>
      </w:r>
      <w:r w:rsidR="00FB39FE">
        <w:t xml:space="preserve">substantial </w:t>
      </w:r>
      <w:r w:rsidR="00787965">
        <w:t xml:space="preserve">doubt on the </w:t>
      </w:r>
      <w:r w:rsidR="00A205D6">
        <w:t>proposition</w:t>
      </w:r>
      <w:r w:rsidR="00EB2C67">
        <w:t xml:space="preserve"> </w:t>
      </w:r>
      <w:r w:rsidR="00DD24F7">
        <w:t xml:space="preserve">that due process </w:t>
      </w:r>
      <w:r w:rsidR="00522D18">
        <w:t>can</w:t>
      </w:r>
      <w:r w:rsidR="00DD24F7">
        <w:t xml:space="preserve"> be satisfied only through the provision of </w:t>
      </w:r>
      <w:r w:rsidR="003D1050">
        <w:t>individual</w:t>
      </w:r>
      <w:r w:rsidR="00DD24F7">
        <w:t xml:space="preserve"> notice to the approximately 20,000 members of the putative class.  </w:t>
      </w:r>
      <w:r w:rsidR="009774BD">
        <w:t>For one thing, these purchasers may not be reasonably identifiable</w:t>
      </w:r>
      <w:r w:rsidR="00A824D4">
        <w:t xml:space="preserve">. </w:t>
      </w:r>
      <w:r w:rsidR="009774BD">
        <w:t xml:space="preserve"> </w:t>
      </w:r>
      <w:r w:rsidR="00A824D4">
        <w:t>M</w:t>
      </w:r>
      <w:r w:rsidR="009774BD">
        <w:t>eanwhile,</w:t>
      </w:r>
      <w:r w:rsidR="001D1473">
        <w:t xml:space="preserve"> given the</w:t>
      </w:r>
      <w:r w:rsidR="009774BD">
        <w:t xml:space="preserve"> modest</w:t>
      </w:r>
      <w:r w:rsidR="001D1473">
        <w:t xml:space="preserve"> amount at stake (the pool having retailed for $59.99),</w:t>
      </w:r>
      <w:r w:rsidR="00DD24F7">
        <w:t xml:space="preserve"> the odds that any class member will bring a</w:t>
      </w:r>
      <w:r w:rsidR="00EB2C67">
        <w:t xml:space="preserve"> duplicative</w:t>
      </w:r>
      <w:r w:rsidR="00DD24F7">
        <w:t xml:space="preserve"> individual action in the future are effectively zero.  Th</w:t>
      </w:r>
      <w:r w:rsidR="007470DE">
        <w:t>us th</w:t>
      </w:r>
      <w:r w:rsidR="00DD24F7">
        <w:t xml:space="preserve">e true choice in this case is not between a single class action challenging the packaging of </w:t>
      </w:r>
      <w:r w:rsidR="00DF4A4D">
        <w:t xml:space="preserve">the </w:t>
      </w:r>
      <w:r w:rsidR="00DD24F7">
        <w:t xml:space="preserve">Ready Set Pool and multiple </w:t>
      </w:r>
      <w:r w:rsidR="001D1473">
        <w:t xml:space="preserve">individual </w:t>
      </w:r>
      <w:r w:rsidR="00DD24F7">
        <w:t xml:space="preserve">actions pressing similar claims; it is between a class action and no lawsuits being brought at all.  </w:t>
      </w:r>
      <w:r w:rsidR="001D1473">
        <w:t>Under the circumstances</w:t>
      </w:r>
      <w:r w:rsidR="000D68BF">
        <w:t xml:space="preserve">, </w:t>
      </w:r>
      <w:r w:rsidR="00D035A9">
        <w:t xml:space="preserve">due process may not demand </w:t>
      </w:r>
      <w:r w:rsidR="00A675F3">
        <w:t>personal</w:t>
      </w:r>
      <w:r w:rsidR="00D035A9">
        <w:t xml:space="preserve"> notice to </w:t>
      </w:r>
      <w:r w:rsidR="00A675F3">
        <w:t xml:space="preserve">individual </w:t>
      </w:r>
      <w:r w:rsidR="00D035A9">
        <w:t>class members, and to build a contrary assumption into the ascertainability requirement would be a mistake.</w:t>
      </w:r>
      <w:r w:rsidR="00784616">
        <w:rPr>
          <w:rStyle w:val="FootnoteReference"/>
        </w:rPr>
        <w:footnoteReference w:id="15"/>
      </w:r>
      <w:r w:rsidR="00DD24F7">
        <w:t xml:space="preserve"> </w:t>
      </w:r>
    </w:p>
    <w:p w14:paraId="378DF2DB" w14:textId="2EE4EEAF" w:rsidR="00CC4732" w:rsidRDefault="007E0ED4" w:rsidP="007E0ED4">
      <w:pPr>
        <w:ind w:firstLine="720"/>
      </w:pPr>
      <w:r>
        <w:t>R</w:t>
      </w:r>
      <w:r w:rsidR="007F5118">
        <w:t>eading into the ascertainability element a</w:t>
      </w:r>
      <w:r w:rsidR="00A675F3">
        <w:t>n additional</w:t>
      </w:r>
      <w:r w:rsidR="007F5118">
        <w:t xml:space="preserve"> requirement that</w:t>
      </w:r>
      <w:r w:rsidR="00CC4732">
        <w:t xml:space="preserve"> the identification of class members </w:t>
      </w:r>
      <w:r>
        <w:t xml:space="preserve">must </w:t>
      </w:r>
      <w:r w:rsidR="00CC4732">
        <w:t>occur</w:t>
      </w:r>
      <w:r w:rsidR="00CC4732">
        <w:rPr>
          <w:color w:val="000000" w:themeColor="text1"/>
          <w:szCs w:val="26"/>
        </w:rPr>
        <w:t xml:space="preserve"> “ ‘without unreasonable expense or time’ ” (</w:t>
      </w:r>
      <w:r w:rsidR="00CC4732">
        <w:rPr>
          <w:i/>
          <w:color w:val="000000" w:themeColor="text1"/>
          <w:szCs w:val="26"/>
        </w:rPr>
        <w:t>Sotelo</w:t>
      </w:r>
      <w:r w:rsidR="00CC4732">
        <w:rPr>
          <w:color w:val="000000" w:themeColor="text1"/>
          <w:szCs w:val="26"/>
        </w:rPr>
        <w:t xml:space="preserve">, </w:t>
      </w:r>
      <w:r w:rsidR="00CC4732" w:rsidRPr="00C2146C">
        <w:rPr>
          <w:i/>
          <w:color w:val="000000" w:themeColor="text1"/>
          <w:szCs w:val="26"/>
        </w:rPr>
        <w:t>supra</w:t>
      </w:r>
      <w:r w:rsidR="00CC4732">
        <w:rPr>
          <w:color w:val="000000" w:themeColor="text1"/>
          <w:szCs w:val="26"/>
        </w:rPr>
        <w:t>, 207 Cal.App.4</w:t>
      </w:r>
      <w:r w:rsidR="00CC4732" w:rsidRPr="00C2146C">
        <w:rPr>
          <w:color w:val="000000" w:themeColor="text1"/>
          <w:szCs w:val="26"/>
        </w:rPr>
        <w:t>th</w:t>
      </w:r>
      <w:r w:rsidR="00CC4732">
        <w:rPr>
          <w:color w:val="000000" w:themeColor="text1"/>
          <w:szCs w:val="26"/>
        </w:rPr>
        <w:t xml:space="preserve"> at p. 648</w:t>
      </w:r>
      <w:r w:rsidR="007F5118">
        <w:rPr>
          <w:color w:val="000000" w:themeColor="text1"/>
          <w:szCs w:val="26"/>
        </w:rPr>
        <w:t xml:space="preserve">) runs </w:t>
      </w:r>
      <w:r>
        <w:rPr>
          <w:color w:val="000000" w:themeColor="text1"/>
          <w:szCs w:val="26"/>
        </w:rPr>
        <w:t>a similar</w:t>
      </w:r>
      <w:r w:rsidR="007F5118">
        <w:rPr>
          <w:color w:val="000000" w:themeColor="text1"/>
          <w:szCs w:val="26"/>
        </w:rPr>
        <w:t xml:space="preserve"> risk of </w:t>
      </w:r>
      <w:r w:rsidR="00C27634">
        <w:rPr>
          <w:color w:val="000000" w:themeColor="text1"/>
          <w:szCs w:val="26"/>
        </w:rPr>
        <w:t>preempting</w:t>
      </w:r>
      <w:r>
        <w:rPr>
          <w:color w:val="000000" w:themeColor="text1"/>
          <w:szCs w:val="26"/>
        </w:rPr>
        <w:t xml:space="preserve"> a more careful analysis</w:t>
      </w:r>
      <w:r w:rsidR="00C27634">
        <w:rPr>
          <w:color w:val="000000" w:themeColor="text1"/>
          <w:szCs w:val="26"/>
        </w:rPr>
        <w:t xml:space="preserve"> later</w:t>
      </w:r>
      <w:r>
        <w:rPr>
          <w:color w:val="000000" w:themeColor="text1"/>
          <w:szCs w:val="26"/>
        </w:rPr>
        <w:t>.</w:t>
      </w:r>
      <w:r w:rsidR="00CC4732">
        <w:rPr>
          <w:color w:val="000000" w:themeColor="text1"/>
          <w:szCs w:val="26"/>
        </w:rPr>
        <w:t xml:space="preserve"> </w:t>
      </w:r>
      <w:r>
        <w:rPr>
          <w:color w:val="000000" w:themeColor="text1"/>
          <w:szCs w:val="26"/>
        </w:rPr>
        <w:t xml:space="preserve"> </w:t>
      </w:r>
      <w:r w:rsidR="00CC4732">
        <w:rPr>
          <w:color w:val="000000" w:themeColor="text1"/>
          <w:szCs w:val="26"/>
        </w:rPr>
        <w:t>O</w:t>
      </w:r>
      <w:r w:rsidR="00CC4732" w:rsidRPr="004177C6">
        <w:rPr>
          <w:color w:val="000000" w:themeColor="text1"/>
          <w:szCs w:val="26"/>
        </w:rPr>
        <w:t xml:space="preserve">ur jurisprudence </w:t>
      </w:r>
      <w:r w:rsidR="00CC4732">
        <w:rPr>
          <w:color w:val="000000" w:themeColor="text1"/>
          <w:szCs w:val="26"/>
        </w:rPr>
        <w:t xml:space="preserve">addressing class certification </w:t>
      </w:r>
      <w:r w:rsidR="00CC4732" w:rsidRPr="004177C6">
        <w:rPr>
          <w:color w:val="000000" w:themeColor="text1"/>
          <w:szCs w:val="26"/>
        </w:rPr>
        <w:t>has stressed the importance of a careful weighing of both the benefits and the burdens</w:t>
      </w:r>
      <w:r w:rsidR="00CC4732">
        <w:rPr>
          <w:color w:val="000000" w:themeColor="text1"/>
          <w:szCs w:val="26"/>
        </w:rPr>
        <w:t xml:space="preserve"> that may be</w:t>
      </w:r>
      <w:r w:rsidR="00CC4732" w:rsidRPr="004177C6">
        <w:rPr>
          <w:color w:val="000000" w:themeColor="text1"/>
          <w:szCs w:val="26"/>
        </w:rPr>
        <w:t xml:space="preserve"> associated with a proposed class action.  (See, e.g., </w:t>
      </w:r>
      <w:r w:rsidR="00CC4732" w:rsidRPr="004177C6">
        <w:rPr>
          <w:i/>
          <w:color w:val="000000" w:themeColor="text1"/>
          <w:szCs w:val="26"/>
        </w:rPr>
        <w:t>Linder</w:t>
      </w:r>
      <w:r w:rsidR="00CC4732" w:rsidRPr="004177C6">
        <w:rPr>
          <w:color w:val="000000" w:themeColor="text1"/>
          <w:szCs w:val="26"/>
        </w:rPr>
        <w:t xml:space="preserve">, </w:t>
      </w:r>
      <w:r w:rsidR="00CC4732" w:rsidRPr="004177C6">
        <w:rPr>
          <w:i/>
          <w:color w:val="000000" w:themeColor="text1"/>
          <w:szCs w:val="26"/>
        </w:rPr>
        <w:t>supra</w:t>
      </w:r>
      <w:r w:rsidR="00CC4732" w:rsidRPr="004177C6">
        <w:rPr>
          <w:color w:val="000000" w:themeColor="text1"/>
          <w:szCs w:val="26"/>
        </w:rPr>
        <w:t xml:space="preserve">, 23 Cal.4th at pp. 445-446.)  </w:t>
      </w:r>
      <w:r w:rsidR="00CC4732">
        <w:rPr>
          <w:color w:val="000000" w:themeColor="text1"/>
          <w:szCs w:val="26"/>
        </w:rPr>
        <w:t xml:space="preserve">A conception of ascertainability as concerned with whether class members can be identified without an unreasonable commitment of expense or time is at cross purposes with this direction.  </w:t>
      </w:r>
      <w:r>
        <w:rPr>
          <w:color w:val="000000" w:themeColor="text1"/>
          <w:szCs w:val="26"/>
        </w:rPr>
        <w:t xml:space="preserve">As the court in </w:t>
      </w:r>
      <w:r w:rsidRPr="007E0ED4">
        <w:rPr>
          <w:i/>
          <w:iCs/>
          <w:color w:val="000000" w:themeColor="text1"/>
          <w:szCs w:val="26"/>
        </w:rPr>
        <w:t>Mullins</w:t>
      </w:r>
      <w:r w:rsidRPr="007E0ED4">
        <w:rPr>
          <w:i/>
          <w:color w:val="000000" w:themeColor="text1"/>
          <w:szCs w:val="26"/>
        </w:rPr>
        <w:t xml:space="preserve"> </w:t>
      </w:r>
      <w:r w:rsidRPr="00863CD2">
        <w:rPr>
          <w:i/>
          <w:color w:val="000000" w:themeColor="text1"/>
          <w:szCs w:val="26"/>
        </w:rPr>
        <w:t>supra</w:t>
      </w:r>
      <w:r>
        <w:rPr>
          <w:color w:val="000000" w:themeColor="text1"/>
          <w:szCs w:val="26"/>
        </w:rPr>
        <w:t>, 795</w:t>
      </w:r>
      <w:r w:rsidR="0062218E">
        <w:rPr>
          <w:color w:val="000000" w:themeColor="text1"/>
          <w:szCs w:val="26"/>
        </w:rPr>
        <w:t> </w:t>
      </w:r>
      <w:r>
        <w:rPr>
          <w:color w:val="000000" w:themeColor="text1"/>
          <w:szCs w:val="26"/>
        </w:rPr>
        <w:t>F.3d at pages 663</w:t>
      </w:r>
      <w:r w:rsidR="00E142E4">
        <w:rPr>
          <w:color w:val="000000" w:themeColor="text1"/>
          <w:szCs w:val="26"/>
        </w:rPr>
        <w:t xml:space="preserve"> to </w:t>
      </w:r>
      <w:r>
        <w:rPr>
          <w:color w:val="000000" w:themeColor="text1"/>
          <w:szCs w:val="26"/>
        </w:rPr>
        <w:t>664 explained in rejecting a similar expansion of the ascertainability requirement, s</w:t>
      </w:r>
      <w:r w:rsidR="00CC4732">
        <w:rPr>
          <w:color w:val="000000" w:themeColor="text1"/>
          <w:szCs w:val="26"/>
        </w:rPr>
        <w:t>uch an approach trains</w:t>
      </w:r>
      <w:r w:rsidR="00CC4732" w:rsidRPr="004177C6">
        <w:rPr>
          <w:color w:val="000000" w:themeColor="text1"/>
          <w:szCs w:val="26"/>
        </w:rPr>
        <w:t xml:space="preserve"> the court’s attention</w:t>
      </w:r>
      <w:r w:rsidR="00CC4732">
        <w:rPr>
          <w:color w:val="000000" w:themeColor="text1"/>
          <w:szCs w:val="26"/>
        </w:rPr>
        <w:t xml:space="preserve">, at a threshold juncture, exclusively </w:t>
      </w:r>
      <w:r w:rsidR="00CC4732" w:rsidRPr="004177C6">
        <w:rPr>
          <w:color w:val="000000" w:themeColor="text1"/>
          <w:szCs w:val="26"/>
        </w:rPr>
        <w:t>toward the side of the ledger where costs and challenges are compiled</w:t>
      </w:r>
      <w:r w:rsidR="00CC4732">
        <w:rPr>
          <w:color w:val="000000" w:themeColor="text1"/>
          <w:szCs w:val="26"/>
        </w:rPr>
        <w:t>.  This focus means that</w:t>
      </w:r>
      <w:r w:rsidR="00CC4732" w:rsidRPr="004177C6">
        <w:rPr>
          <w:color w:val="000000" w:themeColor="text1"/>
          <w:szCs w:val="26"/>
        </w:rPr>
        <w:t xml:space="preserve"> </w:t>
      </w:r>
      <w:r w:rsidR="00B406B4">
        <w:rPr>
          <w:color w:val="000000" w:themeColor="text1"/>
          <w:szCs w:val="26"/>
        </w:rPr>
        <w:t>full</w:t>
      </w:r>
      <w:r w:rsidR="00CC4732" w:rsidRPr="004177C6">
        <w:rPr>
          <w:color w:val="000000" w:themeColor="text1"/>
          <w:szCs w:val="26"/>
        </w:rPr>
        <w:t xml:space="preserve"> </w:t>
      </w:r>
      <w:r w:rsidR="00CC4732">
        <w:rPr>
          <w:color w:val="000000" w:themeColor="text1"/>
          <w:szCs w:val="26"/>
        </w:rPr>
        <w:t>attention</w:t>
      </w:r>
      <w:r w:rsidR="00CC4732" w:rsidRPr="004177C6">
        <w:rPr>
          <w:color w:val="000000" w:themeColor="text1"/>
          <w:szCs w:val="26"/>
        </w:rPr>
        <w:t xml:space="preserve"> </w:t>
      </w:r>
      <w:r w:rsidR="00CC4732">
        <w:rPr>
          <w:color w:val="000000" w:themeColor="text1"/>
          <w:szCs w:val="26"/>
        </w:rPr>
        <w:t xml:space="preserve">will not </w:t>
      </w:r>
      <w:r w:rsidR="00CC4732" w:rsidRPr="004177C6">
        <w:rPr>
          <w:color w:val="000000" w:themeColor="text1"/>
          <w:szCs w:val="26"/>
        </w:rPr>
        <w:t xml:space="preserve">necessarily </w:t>
      </w:r>
      <w:r w:rsidR="00CC4732">
        <w:rPr>
          <w:color w:val="000000" w:themeColor="text1"/>
          <w:szCs w:val="26"/>
        </w:rPr>
        <w:t>be</w:t>
      </w:r>
      <w:r w:rsidR="00CC4732" w:rsidRPr="004177C6">
        <w:rPr>
          <w:color w:val="000000" w:themeColor="text1"/>
          <w:szCs w:val="26"/>
        </w:rPr>
        <w:t xml:space="preserve"> given to </w:t>
      </w:r>
      <w:r w:rsidR="00CC4732">
        <w:rPr>
          <w:color w:val="000000" w:themeColor="text1"/>
          <w:szCs w:val="26"/>
        </w:rPr>
        <w:t>countervailing considerations — such</w:t>
      </w:r>
      <w:r w:rsidR="00CC4732" w:rsidRPr="004177C6">
        <w:rPr>
          <w:color w:val="000000" w:themeColor="text1"/>
          <w:szCs w:val="26"/>
        </w:rPr>
        <w:t xml:space="preserve"> as whether these difficulties, although present, might nevertheless be effectively managed</w:t>
      </w:r>
      <w:r w:rsidR="00CC4732">
        <w:rPr>
          <w:color w:val="000000" w:themeColor="text1"/>
          <w:szCs w:val="26"/>
        </w:rPr>
        <w:t xml:space="preserve"> </w:t>
      </w:r>
      <w:bookmarkStart w:id="6" w:name="_Hlk11320803"/>
      <w:r w:rsidR="00CC4732">
        <w:rPr>
          <w:color w:val="000000" w:themeColor="text1"/>
          <w:szCs w:val="26"/>
        </w:rPr>
        <w:t>through application of the various tools and resources courts have at their disposal for effective supervision of a class proceeding</w:t>
      </w:r>
      <w:bookmarkEnd w:id="6"/>
      <w:r w:rsidR="00B406B4">
        <w:rPr>
          <w:color w:val="000000" w:themeColor="text1"/>
          <w:szCs w:val="26"/>
        </w:rPr>
        <w:t xml:space="preserve">, </w:t>
      </w:r>
      <w:r w:rsidR="00CC4732" w:rsidRPr="004177C6">
        <w:rPr>
          <w:color w:val="000000" w:themeColor="text1"/>
          <w:szCs w:val="26"/>
        </w:rPr>
        <w:t>and whether</w:t>
      </w:r>
      <w:r w:rsidR="00B406B4">
        <w:rPr>
          <w:color w:val="000000" w:themeColor="text1"/>
          <w:szCs w:val="26"/>
        </w:rPr>
        <w:t>, notwithstanding possible notice issues,</w:t>
      </w:r>
      <w:r w:rsidR="00CC4732" w:rsidRPr="004177C6">
        <w:rPr>
          <w:color w:val="000000" w:themeColor="text1"/>
          <w:szCs w:val="26"/>
        </w:rPr>
        <w:t xml:space="preserve"> an appropriately supervised class action </w:t>
      </w:r>
      <w:r w:rsidR="00B406B4">
        <w:rPr>
          <w:color w:val="000000" w:themeColor="text1"/>
          <w:szCs w:val="26"/>
        </w:rPr>
        <w:t xml:space="preserve">nevertheless </w:t>
      </w:r>
      <w:r w:rsidR="00CC4732" w:rsidRPr="004177C6">
        <w:rPr>
          <w:color w:val="000000" w:themeColor="text1"/>
          <w:szCs w:val="26"/>
        </w:rPr>
        <w:t>ca</w:t>
      </w:r>
      <w:r w:rsidR="00B406B4">
        <w:rPr>
          <w:color w:val="000000" w:themeColor="text1"/>
          <w:szCs w:val="26"/>
        </w:rPr>
        <w:t>n be expected to</w:t>
      </w:r>
      <w:r w:rsidR="00CC4732" w:rsidRPr="004177C6">
        <w:rPr>
          <w:color w:val="000000" w:themeColor="text1"/>
          <w:szCs w:val="26"/>
        </w:rPr>
        <w:t xml:space="preserve"> deliver benefits</w:t>
      </w:r>
      <w:r w:rsidR="00CC4732">
        <w:rPr>
          <w:color w:val="000000" w:themeColor="text1"/>
          <w:szCs w:val="26"/>
        </w:rPr>
        <w:t xml:space="preserve"> that, from a comparative perspective, </w:t>
      </w:r>
      <w:r w:rsidR="00B406B4">
        <w:rPr>
          <w:color w:val="000000" w:themeColor="text1"/>
          <w:szCs w:val="26"/>
        </w:rPr>
        <w:t xml:space="preserve">would </w:t>
      </w:r>
      <w:r w:rsidR="00CC4732">
        <w:rPr>
          <w:color w:val="000000" w:themeColor="text1"/>
          <w:szCs w:val="26"/>
        </w:rPr>
        <w:t>make it preferable to alternative courses of action</w:t>
      </w:r>
      <w:r w:rsidR="00CC4732" w:rsidRPr="004177C6">
        <w:rPr>
          <w:color w:val="000000" w:themeColor="text1"/>
          <w:szCs w:val="26"/>
        </w:rPr>
        <w:t>.</w:t>
      </w:r>
      <w:r w:rsidR="00CC4732" w:rsidRPr="004177C6">
        <w:rPr>
          <w:rStyle w:val="FootnoteReference"/>
          <w:color w:val="000000" w:themeColor="text1"/>
          <w:szCs w:val="26"/>
        </w:rPr>
        <w:footnoteReference w:id="16"/>
      </w:r>
      <w:r w:rsidR="00CC4732">
        <w:rPr>
          <w:color w:val="000000" w:themeColor="text1"/>
          <w:szCs w:val="26"/>
        </w:rPr>
        <w:t xml:space="preserve">  </w:t>
      </w:r>
    </w:p>
    <w:p w14:paraId="5BAA8DD4" w14:textId="66FA1186" w:rsidR="00641B0E" w:rsidRPr="000E10C5" w:rsidRDefault="00B406B4" w:rsidP="00641B0E">
      <w:pPr>
        <w:ind w:firstLine="720"/>
        <w:rPr>
          <w:color w:val="000000" w:themeColor="text1"/>
        </w:rPr>
      </w:pPr>
      <w:r>
        <w:rPr>
          <w:color w:val="000000" w:themeColor="text1"/>
          <w:szCs w:val="26"/>
        </w:rPr>
        <w:t>Our view of the ascertainability requirement</w:t>
      </w:r>
      <w:r w:rsidR="00097A1A" w:rsidRPr="004177C6">
        <w:rPr>
          <w:color w:val="000000" w:themeColor="text1"/>
          <w:szCs w:val="26"/>
        </w:rPr>
        <w:t xml:space="preserve"> </w:t>
      </w:r>
      <w:r>
        <w:rPr>
          <w:color w:val="000000" w:themeColor="text1"/>
          <w:szCs w:val="26"/>
        </w:rPr>
        <w:t xml:space="preserve">does not </w:t>
      </w:r>
      <w:r w:rsidR="002631D5">
        <w:rPr>
          <w:color w:val="000000" w:themeColor="text1"/>
          <w:szCs w:val="26"/>
        </w:rPr>
        <w:t>prohibit</w:t>
      </w:r>
      <w:r w:rsidR="00097A1A" w:rsidRPr="004177C6">
        <w:rPr>
          <w:color w:val="000000" w:themeColor="text1"/>
          <w:szCs w:val="26"/>
        </w:rPr>
        <w:t xml:space="preserve"> a court asked to certify a class</w:t>
      </w:r>
      <w:r w:rsidR="00EC3226">
        <w:rPr>
          <w:color w:val="000000" w:themeColor="text1"/>
          <w:szCs w:val="26"/>
        </w:rPr>
        <w:t xml:space="preserve"> </w:t>
      </w:r>
      <w:r w:rsidR="0022544C">
        <w:rPr>
          <w:color w:val="000000" w:themeColor="text1"/>
          <w:szCs w:val="26"/>
        </w:rPr>
        <w:t>from consider</w:t>
      </w:r>
      <w:r w:rsidR="003943BD">
        <w:rPr>
          <w:color w:val="000000" w:themeColor="text1"/>
          <w:szCs w:val="26"/>
        </w:rPr>
        <w:t>ing</w:t>
      </w:r>
      <w:r w:rsidR="0022544C">
        <w:rPr>
          <w:color w:val="000000" w:themeColor="text1"/>
          <w:szCs w:val="26"/>
        </w:rPr>
        <w:t xml:space="preserve"> the separate question of notice to absent class members</w:t>
      </w:r>
      <w:r w:rsidR="00097A1A" w:rsidRPr="004177C6">
        <w:rPr>
          <w:color w:val="000000" w:themeColor="text1"/>
          <w:szCs w:val="26"/>
        </w:rPr>
        <w:t xml:space="preserve">.  </w:t>
      </w:r>
      <w:r w:rsidR="00097A1A">
        <w:rPr>
          <w:color w:val="000000" w:themeColor="text1"/>
          <w:szCs w:val="26"/>
        </w:rPr>
        <w:t>A</w:t>
      </w:r>
      <w:r w:rsidR="00097A1A" w:rsidRPr="004177C6">
        <w:rPr>
          <w:color w:val="000000" w:themeColor="text1"/>
          <w:szCs w:val="26"/>
        </w:rPr>
        <w:t>rguments and evidence</w:t>
      </w:r>
      <w:r w:rsidR="001D1473">
        <w:rPr>
          <w:color w:val="000000" w:themeColor="text1"/>
          <w:szCs w:val="26"/>
        </w:rPr>
        <w:t xml:space="preserve"> </w:t>
      </w:r>
      <w:r w:rsidR="00F27ABE">
        <w:rPr>
          <w:color w:val="000000" w:themeColor="text1"/>
          <w:szCs w:val="26"/>
        </w:rPr>
        <w:t>relating to</w:t>
      </w:r>
      <w:r w:rsidR="001D1473">
        <w:rPr>
          <w:color w:val="000000" w:themeColor="text1"/>
          <w:szCs w:val="26"/>
        </w:rPr>
        <w:t xml:space="preserve"> the provision of notice to the class</w:t>
      </w:r>
      <w:r w:rsidR="00AB2345">
        <w:rPr>
          <w:color w:val="000000" w:themeColor="text1"/>
          <w:szCs w:val="26"/>
        </w:rPr>
        <w:t xml:space="preserve"> </w:t>
      </w:r>
      <w:r w:rsidR="00553A0A">
        <w:rPr>
          <w:color w:val="000000" w:themeColor="text1"/>
          <w:szCs w:val="26"/>
        </w:rPr>
        <w:t xml:space="preserve">conceivably could </w:t>
      </w:r>
      <w:r w:rsidR="00FE3B65">
        <w:rPr>
          <w:color w:val="000000" w:themeColor="text1"/>
          <w:szCs w:val="26"/>
        </w:rPr>
        <w:t>counsel against</w:t>
      </w:r>
      <w:r w:rsidR="00097A1A" w:rsidRPr="004177C6">
        <w:rPr>
          <w:color w:val="000000" w:themeColor="text1"/>
          <w:szCs w:val="26"/>
        </w:rPr>
        <w:t xml:space="preserve"> class certification insofar as they may </w:t>
      </w:r>
      <w:r w:rsidR="007470DE">
        <w:rPr>
          <w:color w:val="000000" w:themeColor="text1"/>
          <w:szCs w:val="26"/>
        </w:rPr>
        <w:t>show</w:t>
      </w:r>
      <w:r w:rsidR="00097A1A" w:rsidRPr="004177C6">
        <w:rPr>
          <w:color w:val="000000" w:themeColor="text1"/>
          <w:szCs w:val="26"/>
        </w:rPr>
        <w:t xml:space="preserve"> that </w:t>
      </w:r>
      <w:r w:rsidR="00097A1A" w:rsidRPr="004177C6">
        <w:rPr>
          <w:i/>
          <w:color w:val="000000" w:themeColor="text1"/>
          <w:szCs w:val="26"/>
        </w:rPr>
        <w:t>another</w:t>
      </w:r>
      <w:r w:rsidR="00097A1A" w:rsidRPr="004177C6">
        <w:rPr>
          <w:color w:val="000000" w:themeColor="text1"/>
          <w:szCs w:val="26"/>
        </w:rPr>
        <w:t xml:space="preserve"> requirement for a proper class proceeding</w:t>
      </w:r>
      <w:r w:rsidR="009252AA">
        <w:rPr>
          <w:color w:val="000000" w:themeColor="text1"/>
          <w:szCs w:val="26"/>
        </w:rPr>
        <w:t>, aside from ascertainability,</w:t>
      </w:r>
      <w:r w:rsidR="00097A1A" w:rsidRPr="004177C6">
        <w:rPr>
          <w:color w:val="000000" w:themeColor="text1"/>
          <w:szCs w:val="26"/>
        </w:rPr>
        <w:t xml:space="preserve"> has not been met — e.g., that a class action would be unmanageable, </w:t>
      </w:r>
      <w:r w:rsidR="007470DE">
        <w:rPr>
          <w:color w:val="000000" w:themeColor="text1"/>
          <w:szCs w:val="26"/>
        </w:rPr>
        <w:t>even after due consideration is given to how manageability concerns could be resolved</w:t>
      </w:r>
      <w:r>
        <w:rPr>
          <w:color w:val="000000" w:themeColor="text1"/>
          <w:szCs w:val="26"/>
        </w:rPr>
        <w:t xml:space="preserve">; or </w:t>
      </w:r>
      <w:r w:rsidR="00097A1A" w:rsidRPr="004177C6">
        <w:rPr>
          <w:color w:val="000000" w:themeColor="text1"/>
          <w:szCs w:val="26"/>
        </w:rPr>
        <w:t xml:space="preserve">that </w:t>
      </w:r>
      <w:r>
        <w:rPr>
          <w:color w:val="000000" w:themeColor="text1"/>
          <w:szCs w:val="26"/>
        </w:rPr>
        <w:t>a class proceeding</w:t>
      </w:r>
      <w:r w:rsidR="00097A1A" w:rsidRPr="004177C6">
        <w:rPr>
          <w:color w:val="000000" w:themeColor="text1"/>
          <w:szCs w:val="26"/>
        </w:rPr>
        <w:t xml:space="preserve"> would not be superior to the alternatives.  </w:t>
      </w:r>
      <w:r w:rsidR="00097A1A">
        <w:rPr>
          <w:color w:val="000000" w:themeColor="text1"/>
          <w:szCs w:val="26"/>
        </w:rPr>
        <w:t xml:space="preserve">(Accord, </w:t>
      </w:r>
      <w:r w:rsidR="00097A1A" w:rsidRPr="005C57D3">
        <w:rPr>
          <w:i/>
          <w:color w:val="000000" w:themeColor="text1"/>
          <w:szCs w:val="26"/>
        </w:rPr>
        <w:t>Mullins</w:t>
      </w:r>
      <w:r w:rsidR="00097A1A">
        <w:rPr>
          <w:color w:val="000000" w:themeColor="text1"/>
          <w:szCs w:val="26"/>
        </w:rPr>
        <w:t>, 795 F.3d at p.</w:t>
      </w:r>
      <w:r w:rsidR="00827E0F">
        <w:rPr>
          <w:color w:val="000000" w:themeColor="text1"/>
          <w:szCs w:val="26"/>
        </w:rPr>
        <w:t> </w:t>
      </w:r>
      <w:r w:rsidR="00097A1A">
        <w:t>664</w:t>
      </w:r>
      <w:r w:rsidR="00097A1A">
        <w:rPr>
          <w:i/>
        </w:rPr>
        <w:t xml:space="preserve"> </w:t>
      </w:r>
      <w:r w:rsidR="00097A1A">
        <w:t>[</w:t>
      </w:r>
      <w:r w:rsidR="00097A1A" w:rsidRPr="0078598E">
        <w:t>“If faced with what appear to be unusually difficult manageability problems at the certification stage, district courts have discretion to insist on details of the plaintiff</w:t>
      </w:r>
      <w:r w:rsidR="00097A1A">
        <w:t>’</w:t>
      </w:r>
      <w:r w:rsidR="00097A1A" w:rsidRPr="0078598E">
        <w:t>s plan for notifying the class and managing the action.</w:t>
      </w:r>
      <w:r w:rsidR="00097A1A">
        <w:t>”].)</w:t>
      </w:r>
      <w:r w:rsidR="00AB2345">
        <w:rPr>
          <w:rStyle w:val="FootnoteReference"/>
        </w:rPr>
        <w:footnoteReference w:id="17"/>
      </w:r>
      <w:r w:rsidR="00097A1A">
        <w:t xml:space="preserve"> </w:t>
      </w:r>
      <w:r w:rsidR="00F56C6E">
        <w:t xml:space="preserve"> </w:t>
      </w:r>
      <w:r w:rsidR="00EB2C67">
        <w:t>But, at the risk of repetition, we conclude that these issues</w:t>
      </w:r>
      <w:r w:rsidR="00105755">
        <w:t>, where they exist,</w:t>
      </w:r>
      <w:r w:rsidR="00EB2C67">
        <w:t xml:space="preserve"> </w:t>
      </w:r>
      <w:r w:rsidR="002E187D">
        <w:t xml:space="preserve">are appropriately addressed </w:t>
      </w:r>
      <w:r w:rsidR="002E187D" w:rsidRPr="003943BD">
        <w:t>outside</w:t>
      </w:r>
      <w:r w:rsidR="002E187D">
        <w:t xml:space="preserve"> of</w:t>
      </w:r>
      <w:r w:rsidR="0022544C">
        <w:t xml:space="preserve"> and separately from</w:t>
      </w:r>
      <w:r w:rsidR="002E187D">
        <w:t xml:space="preserve"> the ascertainability </w:t>
      </w:r>
      <w:r w:rsidR="001D1473">
        <w:t>requirement</w:t>
      </w:r>
      <w:r w:rsidR="00EB2C67">
        <w:t>.</w:t>
      </w:r>
      <w:r w:rsidR="00787965" w:rsidRPr="004177C6">
        <w:rPr>
          <w:color w:val="000000" w:themeColor="text1"/>
          <w:szCs w:val="26"/>
        </w:rPr>
        <w:t xml:space="preserve"> </w:t>
      </w:r>
      <w:r w:rsidR="00787965" w:rsidRPr="000E10C5">
        <w:rPr>
          <w:color w:val="000000" w:themeColor="text1"/>
        </w:rPr>
        <w:t xml:space="preserve"> </w:t>
      </w:r>
    </w:p>
    <w:p w14:paraId="390FE8CA" w14:textId="77777777" w:rsidR="0022619F" w:rsidRPr="004177C6" w:rsidRDefault="0022619F" w:rsidP="00E67E1F">
      <w:pPr>
        <w:keepNext/>
        <w:spacing w:before="120" w:line="240" w:lineRule="auto"/>
        <w:ind w:left="1440" w:hanging="360"/>
        <w:rPr>
          <w:i/>
          <w:color w:val="000000" w:themeColor="text1"/>
          <w:szCs w:val="26"/>
        </w:rPr>
      </w:pPr>
      <w:r w:rsidRPr="004177C6">
        <w:rPr>
          <w:i/>
          <w:color w:val="000000" w:themeColor="text1"/>
          <w:szCs w:val="26"/>
        </w:rPr>
        <w:t xml:space="preserve">2.  The </w:t>
      </w:r>
      <w:r w:rsidR="00B32E1B">
        <w:rPr>
          <w:i/>
          <w:color w:val="000000" w:themeColor="text1"/>
          <w:szCs w:val="26"/>
        </w:rPr>
        <w:t>t</w:t>
      </w:r>
      <w:r w:rsidRPr="004177C6">
        <w:rPr>
          <w:i/>
          <w:color w:val="000000" w:themeColor="text1"/>
          <w:szCs w:val="26"/>
        </w:rPr>
        <w:t xml:space="preserve">rial </w:t>
      </w:r>
      <w:r w:rsidR="00B32E1B">
        <w:rPr>
          <w:i/>
          <w:color w:val="000000" w:themeColor="text1"/>
          <w:szCs w:val="26"/>
        </w:rPr>
        <w:t>c</w:t>
      </w:r>
      <w:r w:rsidRPr="004177C6">
        <w:rPr>
          <w:i/>
          <w:color w:val="000000" w:themeColor="text1"/>
          <w:szCs w:val="26"/>
        </w:rPr>
        <w:t xml:space="preserve">ourt </w:t>
      </w:r>
      <w:r w:rsidR="00B32E1B">
        <w:rPr>
          <w:i/>
          <w:color w:val="000000" w:themeColor="text1"/>
          <w:szCs w:val="26"/>
        </w:rPr>
        <w:t>abused its discretion when</w:t>
      </w:r>
      <w:r w:rsidRPr="004177C6">
        <w:rPr>
          <w:i/>
          <w:color w:val="000000" w:themeColor="text1"/>
          <w:szCs w:val="26"/>
        </w:rPr>
        <w:t xml:space="preserve"> </w:t>
      </w:r>
      <w:r w:rsidR="00B32E1B">
        <w:rPr>
          <w:i/>
          <w:color w:val="000000" w:themeColor="text1"/>
          <w:szCs w:val="26"/>
        </w:rPr>
        <w:t>i</w:t>
      </w:r>
      <w:r w:rsidRPr="004177C6">
        <w:rPr>
          <w:i/>
          <w:color w:val="000000" w:themeColor="text1"/>
          <w:szCs w:val="26"/>
        </w:rPr>
        <w:t xml:space="preserve">t </w:t>
      </w:r>
      <w:r w:rsidR="00B32E1B">
        <w:rPr>
          <w:i/>
          <w:color w:val="000000" w:themeColor="text1"/>
          <w:szCs w:val="26"/>
        </w:rPr>
        <w:t>found no ascertainable class existed</w:t>
      </w:r>
    </w:p>
    <w:p w14:paraId="32626101" w14:textId="04659FAE" w:rsidR="00481216" w:rsidRDefault="00070CAB" w:rsidP="00F56C6E">
      <w:r w:rsidRPr="004177C6">
        <w:rPr>
          <w:color w:val="000000" w:themeColor="text1"/>
          <w:szCs w:val="26"/>
        </w:rPr>
        <w:tab/>
      </w:r>
      <w:r w:rsidR="002E187D">
        <w:rPr>
          <w:color w:val="000000" w:themeColor="text1"/>
          <w:szCs w:val="26"/>
        </w:rPr>
        <w:t>It follows from the analysis above</w:t>
      </w:r>
      <w:r w:rsidR="00734CF0" w:rsidRPr="004177C6">
        <w:rPr>
          <w:color w:val="000000" w:themeColor="text1"/>
          <w:szCs w:val="26"/>
        </w:rPr>
        <w:t xml:space="preserve"> t</w:t>
      </w:r>
      <w:r w:rsidR="0022619F" w:rsidRPr="004177C6">
        <w:rPr>
          <w:color w:val="000000" w:themeColor="text1"/>
          <w:szCs w:val="26"/>
        </w:rPr>
        <w:t>hat</w:t>
      </w:r>
      <w:r w:rsidR="00473177" w:rsidRPr="004177C6">
        <w:rPr>
          <w:color w:val="000000" w:themeColor="text1"/>
          <w:szCs w:val="26"/>
        </w:rPr>
        <w:t xml:space="preserve"> </w:t>
      </w:r>
      <w:r w:rsidR="0022619F" w:rsidRPr="004177C6">
        <w:rPr>
          <w:color w:val="000000" w:themeColor="text1"/>
          <w:szCs w:val="26"/>
        </w:rPr>
        <w:t xml:space="preserve">the trial court erred </w:t>
      </w:r>
      <w:r w:rsidR="00734CF0" w:rsidRPr="004177C6">
        <w:rPr>
          <w:color w:val="000000" w:themeColor="text1"/>
          <w:szCs w:val="26"/>
        </w:rPr>
        <w:t>when it</w:t>
      </w:r>
      <w:r w:rsidR="0022619F" w:rsidRPr="004177C6">
        <w:rPr>
          <w:color w:val="000000" w:themeColor="text1"/>
          <w:szCs w:val="26"/>
        </w:rPr>
        <w:t xml:space="preserve"> </w:t>
      </w:r>
      <w:r w:rsidR="00212885" w:rsidRPr="004177C6">
        <w:rPr>
          <w:color w:val="000000" w:themeColor="text1"/>
          <w:szCs w:val="26"/>
        </w:rPr>
        <w:t>determined</w:t>
      </w:r>
      <w:r w:rsidR="0022619F" w:rsidRPr="004177C6">
        <w:rPr>
          <w:color w:val="000000" w:themeColor="text1"/>
          <w:szCs w:val="26"/>
        </w:rPr>
        <w:t xml:space="preserve"> that the class proposed by plaintiff is not ascertainable</w:t>
      </w:r>
      <w:r w:rsidR="00473177" w:rsidRPr="004177C6">
        <w:rPr>
          <w:color w:val="000000" w:themeColor="text1"/>
          <w:szCs w:val="26"/>
        </w:rPr>
        <w:t xml:space="preserve">. </w:t>
      </w:r>
      <w:r w:rsidRPr="004177C6">
        <w:rPr>
          <w:color w:val="000000" w:themeColor="text1"/>
          <w:szCs w:val="26"/>
        </w:rPr>
        <w:t xml:space="preserve"> </w:t>
      </w:r>
      <w:r w:rsidR="0022619F" w:rsidRPr="004177C6">
        <w:rPr>
          <w:color w:val="000000" w:themeColor="text1"/>
          <w:szCs w:val="26"/>
        </w:rPr>
        <w:t>It is.</w:t>
      </w:r>
      <w:r w:rsidR="00886B72" w:rsidRPr="004177C6">
        <w:rPr>
          <w:color w:val="000000" w:themeColor="text1"/>
          <w:szCs w:val="26"/>
        </w:rPr>
        <w:t xml:space="preserve">  </w:t>
      </w:r>
      <w:r w:rsidR="006C1E47" w:rsidRPr="004177C6">
        <w:rPr>
          <w:color w:val="000000" w:themeColor="text1"/>
          <w:szCs w:val="26"/>
        </w:rPr>
        <w:t>The phrasing</w:t>
      </w:r>
      <w:r w:rsidR="00E142E4">
        <w:rPr>
          <w:color w:val="000000" w:themeColor="text1"/>
          <w:szCs w:val="26"/>
        </w:rPr>
        <w:t>,</w:t>
      </w:r>
      <w:r w:rsidR="006C1E47" w:rsidRPr="004177C6">
        <w:rPr>
          <w:color w:val="000000" w:themeColor="text1"/>
          <w:szCs w:val="26"/>
        </w:rPr>
        <w:t xml:space="preserve"> </w:t>
      </w:r>
      <w:r w:rsidR="00886B72" w:rsidRPr="004177C6">
        <w:t>“All persons who purchased the Ready Set Pool at a Rite Aid store located in California within the four years preceding the date of the filing of this action” is n</w:t>
      </w:r>
      <w:r w:rsidR="002E187D">
        <w:t>either vague nor subjective</w:t>
      </w:r>
      <w:r w:rsidR="00784616">
        <w:t xml:space="preserve">.  A </w:t>
      </w:r>
      <w:r w:rsidR="00886B72" w:rsidRPr="004177C6">
        <w:t xml:space="preserve">member of the class could appreciate from this definition whether he or she </w:t>
      </w:r>
      <w:r w:rsidR="00450F92" w:rsidRPr="004177C6">
        <w:t>i</w:t>
      </w:r>
      <w:r w:rsidR="00886B72" w:rsidRPr="004177C6">
        <w:t xml:space="preserve">s included within it, and thus be in a position to take </w:t>
      </w:r>
      <w:r w:rsidR="008907C2" w:rsidRPr="004177C6">
        <w:t>appropriate</w:t>
      </w:r>
      <w:r w:rsidR="00886B72" w:rsidRPr="004177C6">
        <w:t xml:space="preserve"> ste</w:t>
      </w:r>
      <w:r w:rsidR="008907C2" w:rsidRPr="004177C6">
        <w:t>ps</w:t>
      </w:r>
      <w:r w:rsidR="00886B72" w:rsidRPr="004177C6">
        <w:t xml:space="preserve"> to protect his or her interests.  And</w:t>
      </w:r>
      <w:r w:rsidR="00784616">
        <w:t xml:space="preserve"> </w:t>
      </w:r>
      <w:r w:rsidR="00886B72" w:rsidRPr="004177C6">
        <w:t>the</w:t>
      </w:r>
      <w:r w:rsidR="00784616">
        <w:t xml:space="preserve"> definition makes the</w:t>
      </w:r>
      <w:r w:rsidR="00886B72" w:rsidRPr="004177C6">
        <w:t xml:space="preserve"> </w:t>
      </w:r>
      <w:r w:rsidR="00886B72" w:rsidRPr="00784616">
        <w:t>res judicata</w:t>
      </w:r>
      <w:r w:rsidR="00886B72" w:rsidRPr="004177C6">
        <w:t xml:space="preserve"> consequences of a judgment clear</w:t>
      </w:r>
      <w:r w:rsidR="00784616">
        <w:t xml:space="preserve">, creating </w:t>
      </w:r>
      <w:r w:rsidR="00886B72" w:rsidRPr="004177C6">
        <w:t xml:space="preserve">no </w:t>
      </w:r>
      <w:r w:rsidR="00784616">
        <w:t>ambiguity</w:t>
      </w:r>
      <w:r w:rsidR="00886B72" w:rsidRPr="004177C6">
        <w:t xml:space="preserve"> </w:t>
      </w:r>
      <w:r w:rsidR="00784616">
        <w:t>as to</w:t>
      </w:r>
      <w:r w:rsidR="00212885" w:rsidRPr="004177C6">
        <w:t xml:space="preserve"> </w:t>
      </w:r>
      <w:r w:rsidR="00886B72" w:rsidRPr="004177C6">
        <w:t xml:space="preserve">who </w:t>
      </w:r>
      <w:r w:rsidR="00784616">
        <w:t>will</w:t>
      </w:r>
      <w:r w:rsidR="00886B72" w:rsidRPr="004177C6">
        <w:t xml:space="preserve"> and </w:t>
      </w:r>
      <w:r w:rsidR="00784616">
        <w:t>will</w:t>
      </w:r>
      <w:r w:rsidR="00886B72" w:rsidRPr="004177C6">
        <w:t xml:space="preserve"> not be bound by the outcome.</w:t>
      </w:r>
      <w:r w:rsidR="00525DBA" w:rsidRPr="004177C6">
        <w:t xml:space="preserve"> </w:t>
      </w:r>
      <w:r w:rsidR="00070AF7" w:rsidRPr="004177C6">
        <w:t xml:space="preserve"> (See </w:t>
      </w:r>
      <w:r w:rsidR="00070AF7" w:rsidRPr="004177C6">
        <w:rPr>
          <w:i/>
        </w:rPr>
        <w:t>Daar</w:t>
      </w:r>
      <w:r w:rsidR="00070AF7" w:rsidRPr="004177C6">
        <w:t xml:space="preserve">, </w:t>
      </w:r>
      <w:r w:rsidR="00070AF7" w:rsidRPr="004177C6">
        <w:rPr>
          <w:i/>
        </w:rPr>
        <w:t>supra</w:t>
      </w:r>
      <w:r w:rsidR="00070AF7" w:rsidRPr="004177C6">
        <w:t>, 67 Cal.2d at p. 706.)</w:t>
      </w:r>
      <w:r w:rsidR="00A87CD5" w:rsidRPr="004177C6">
        <w:rPr>
          <w:rStyle w:val="FootnoteReference"/>
        </w:rPr>
        <w:footnoteReference w:id="18"/>
      </w:r>
      <w:r w:rsidR="00D953C9" w:rsidRPr="004177C6">
        <w:t xml:space="preserve"> </w:t>
      </w:r>
      <w:r w:rsidR="00FE2A4C">
        <w:t xml:space="preserve"> </w:t>
      </w:r>
    </w:p>
    <w:p w14:paraId="0330321E" w14:textId="302E2E3A" w:rsidR="00AE252D" w:rsidRDefault="00FE2A4C" w:rsidP="00481216">
      <w:pPr>
        <w:ind w:firstLine="720"/>
      </w:pPr>
      <w:r>
        <w:t xml:space="preserve">To the extent that the trial court had concerns regarding the state of the record as it pertained to matters such as the provision of notice to class members, or how burdensome </w:t>
      </w:r>
      <w:r w:rsidR="009252AA">
        <w:t>it would be to identify class members</w:t>
      </w:r>
      <w:r>
        <w:t xml:space="preserve">, those issues should </w:t>
      </w:r>
      <w:r w:rsidR="00E20FEF">
        <w:t>not have been resolved</w:t>
      </w:r>
      <w:r>
        <w:t xml:space="preserve"> </w:t>
      </w:r>
      <w:r w:rsidR="00E20FEF">
        <w:t xml:space="preserve">in </w:t>
      </w:r>
      <w:r>
        <w:t xml:space="preserve">the </w:t>
      </w:r>
      <w:r w:rsidR="005843BA">
        <w:t xml:space="preserve">context of </w:t>
      </w:r>
      <w:r>
        <w:t xml:space="preserve">ascertainability. </w:t>
      </w:r>
      <w:r w:rsidR="00E20FEF">
        <w:t xml:space="preserve"> </w:t>
      </w:r>
      <w:r w:rsidR="005843BA">
        <w:t>And r</w:t>
      </w:r>
      <w:r w:rsidR="00E20FEF">
        <w:t xml:space="preserve">egardless of whether plaintiff’s failure to supply evidence </w:t>
      </w:r>
      <w:r w:rsidR="00894001">
        <w:t>associated with the identification of class members</w:t>
      </w:r>
      <w:r w:rsidR="00481216">
        <w:t xml:space="preserve"> might have supported a refusal to certify</w:t>
      </w:r>
      <w:r w:rsidR="00E20FEF">
        <w:t xml:space="preserve"> a class on some other ground</w:t>
      </w:r>
      <w:r w:rsidR="00481216">
        <w:t xml:space="preserve"> (but </w:t>
      </w:r>
      <w:r w:rsidR="007F74D1">
        <w:t>cf.</w:t>
      </w:r>
      <w:r w:rsidR="00481216">
        <w:t xml:space="preserve"> </w:t>
      </w:r>
      <w:r w:rsidR="00481216" w:rsidRPr="00481216">
        <w:rPr>
          <w:i/>
        </w:rPr>
        <w:t>Daar</w:t>
      </w:r>
      <w:r w:rsidR="00481216">
        <w:t xml:space="preserve">, </w:t>
      </w:r>
      <w:r w:rsidR="00481216" w:rsidRPr="00481216">
        <w:rPr>
          <w:i/>
        </w:rPr>
        <w:t>supra</w:t>
      </w:r>
      <w:r w:rsidR="00481216">
        <w:t>, 67 Cal.2d at p. 706)</w:t>
      </w:r>
      <w:r w:rsidR="00E20FEF">
        <w:t xml:space="preserve">, it manifestly did not justify a failure to find an ascertainable class.  </w:t>
      </w:r>
      <w:r w:rsidR="00481216">
        <w:t xml:space="preserve">Our review ends there.  (See </w:t>
      </w:r>
      <w:r w:rsidR="00481216" w:rsidRPr="00481216">
        <w:rPr>
          <w:i/>
        </w:rPr>
        <w:t>Linder</w:t>
      </w:r>
      <w:r w:rsidR="00481216">
        <w:t xml:space="preserve">, </w:t>
      </w:r>
      <w:r w:rsidR="00481216" w:rsidRPr="00481216">
        <w:rPr>
          <w:i/>
        </w:rPr>
        <w:t>supra</w:t>
      </w:r>
      <w:r w:rsidR="00481216">
        <w:t>, 23 Cal.4</w:t>
      </w:r>
      <w:r w:rsidR="00481216" w:rsidRPr="00481216">
        <w:t>th</w:t>
      </w:r>
      <w:r w:rsidR="00481216">
        <w:t xml:space="preserve"> at p. 436.)</w:t>
      </w:r>
      <w:r w:rsidR="00E20FEF">
        <w:t xml:space="preserve"> </w:t>
      </w:r>
    </w:p>
    <w:p w14:paraId="6AFF58B3" w14:textId="77777777" w:rsidR="006D719B" w:rsidRPr="004177C6" w:rsidRDefault="006D719B" w:rsidP="001D1473">
      <w:pPr>
        <w:keepNext/>
        <w:tabs>
          <w:tab w:val="left" w:pos="1440"/>
        </w:tabs>
        <w:jc w:val="center"/>
        <w:rPr>
          <w:b/>
          <w:smallCaps/>
        </w:rPr>
      </w:pPr>
      <w:r w:rsidRPr="004177C6">
        <w:rPr>
          <w:b/>
          <w:smallCaps/>
        </w:rPr>
        <w:t xml:space="preserve">III. </w:t>
      </w:r>
      <w:r w:rsidR="00136F53" w:rsidRPr="004177C6">
        <w:rPr>
          <w:b/>
          <w:smallCaps/>
        </w:rPr>
        <w:t xml:space="preserve"> </w:t>
      </w:r>
      <w:r w:rsidRPr="004177C6">
        <w:rPr>
          <w:b/>
          <w:smallCaps/>
        </w:rPr>
        <w:t>Disposition</w:t>
      </w:r>
    </w:p>
    <w:p w14:paraId="0FACC69D" w14:textId="4BBB46F2" w:rsidR="005E10F5" w:rsidRPr="00693427" w:rsidRDefault="006D719B" w:rsidP="00693427">
      <w:pPr>
        <w:tabs>
          <w:tab w:val="left" w:pos="1440"/>
        </w:tabs>
        <w:ind w:firstLine="720"/>
      </w:pPr>
      <w:r w:rsidRPr="004177C6">
        <w:t xml:space="preserve">As noted </w:t>
      </w:r>
      <w:r w:rsidRPr="004177C6">
        <w:rPr>
          <w:i/>
        </w:rPr>
        <w:t>ante</w:t>
      </w:r>
      <w:r w:rsidRPr="004177C6">
        <w:t>, the trial court denied the motion for class certification in its entirety on ascertainability grounds.  That court also den</w:t>
      </w:r>
      <w:r w:rsidR="008C20B4" w:rsidRPr="004177C6">
        <w:t>ied</w:t>
      </w:r>
      <w:r w:rsidRPr="004177C6">
        <w:t xml:space="preserve"> certification of the </w:t>
      </w:r>
      <w:r w:rsidR="002821E8" w:rsidRPr="004177C6">
        <w:t xml:space="preserve">proposed </w:t>
      </w:r>
      <w:r w:rsidRPr="004177C6">
        <w:t>CLRA class</w:t>
      </w:r>
      <w:r w:rsidR="008C20B4" w:rsidRPr="004177C6">
        <w:t xml:space="preserve"> on the </w:t>
      </w:r>
      <w:r w:rsidR="00784616">
        <w:t>basis</w:t>
      </w:r>
      <w:r w:rsidR="008C20B4" w:rsidRPr="004177C6">
        <w:t xml:space="preserve"> that common issues did not predominate</w:t>
      </w:r>
      <w:r w:rsidRPr="004177C6">
        <w:t xml:space="preserve">.  Because we do not address </w:t>
      </w:r>
      <w:r w:rsidR="00212885" w:rsidRPr="004177C6">
        <w:t>the latter</w:t>
      </w:r>
      <w:r w:rsidRPr="004177C6">
        <w:t xml:space="preserve"> </w:t>
      </w:r>
      <w:r w:rsidR="00685807" w:rsidRPr="004177C6">
        <w:t xml:space="preserve">aspect of the trial court’s </w:t>
      </w:r>
      <w:r w:rsidRPr="004177C6">
        <w:t xml:space="preserve">ruling here, </w:t>
      </w:r>
      <w:r w:rsidR="00105EA6" w:rsidRPr="004177C6">
        <w:t xml:space="preserve">overturning </w:t>
      </w:r>
      <w:r w:rsidR="00685807" w:rsidRPr="004177C6">
        <w:t>its</w:t>
      </w:r>
      <w:r w:rsidR="00105EA6" w:rsidRPr="004177C6">
        <w:t xml:space="preserve"> ascertainability determination would not, by itself, </w:t>
      </w:r>
      <w:r w:rsidR="00685807" w:rsidRPr="004177C6">
        <w:t>make</w:t>
      </w:r>
      <w:r w:rsidR="00105EA6" w:rsidRPr="004177C6">
        <w:t xml:space="preserve"> </w:t>
      </w:r>
      <w:r w:rsidR="00685807" w:rsidRPr="004177C6">
        <w:t>a</w:t>
      </w:r>
      <w:r w:rsidR="00105EA6" w:rsidRPr="004177C6">
        <w:t xml:space="preserve"> CLRA class</w:t>
      </w:r>
      <w:r w:rsidR="00685807" w:rsidRPr="004177C6">
        <w:t xml:space="preserve"> viable</w:t>
      </w:r>
      <w:r w:rsidRPr="004177C6">
        <w:t xml:space="preserve">.  </w:t>
      </w:r>
      <w:r w:rsidR="00105EA6" w:rsidRPr="004177C6">
        <w:t>The trial court</w:t>
      </w:r>
      <w:r w:rsidRPr="004177C6">
        <w:t xml:space="preserve"> also offered a third justification for denying </w:t>
      </w:r>
      <w:r w:rsidR="00105EA6" w:rsidRPr="004177C6">
        <w:t>class certification</w:t>
      </w:r>
      <w:r w:rsidRPr="004177C6">
        <w:t xml:space="preserve"> that was ambiguous in its scope</w:t>
      </w:r>
      <w:r w:rsidR="00C235F8" w:rsidRPr="004177C6">
        <w:t>.</w:t>
      </w:r>
      <w:r w:rsidRPr="004177C6">
        <w:t xml:space="preserve">  It is unclear whether the trial court</w:t>
      </w:r>
      <w:r w:rsidR="00685807" w:rsidRPr="004177C6">
        <w:t xml:space="preserve"> had only </w:t>
      </w:r>
      <w:r w:rsidR="00105EA6" w:rsidRPr="004177C6">
        <w:t xml:space="preserve">the </w:t>
      </w:r>
      <w:r w:rsidR="002821E8" w:rsidRPr="004177C6">
        <w:t xml:space="preserve">proposed </w:t>
      </w:r>
      <w:r w:rsidR="00105EA6" w:rsidRPr="004177C6">
        <w:t>CLRA class</w:t>
      </w:r>
      <w:r w:rsidR="00685807" w:rsidRPr="004177C6">
        <w:t xml:space="preserve"> in mind when it determined that a class action would not be superior to the alternatives, or whether this conclusion applied to the entirety of the action</w:t>
      </w:r>
      <w:r w:rsidR="00C235F8" w:rsidRPr="004177C6">
        <w:t xml:space="preserve">.  It also </w:t>
      </w:r>
      <w:r w:rsidR="00B575DC" w:rsidRPr="004177C6">
        <w:t>cannot be discerned</w:t>
      </w:r>
      <w:r w:rsidR="00C235F8" w:rsidRPr="004177C6">
        <w:t xml:space="preserve"> </w:t>
      </w:r>
      <w:r w:rsidR="00A03E0D" w:rsidRPr="004177C6">
        <w:t xml:space="preserve">from this vantage point </w:t>
      </w:r>
      <w:r w:rsidR="00105EA6" w:rsidRPr="004177C6">
        <w:t>whether</w:t>
      </w:r>
      <w:r w:rsidR="00685807" w:rsidRPr="004177C6">
        <w:t xml:space="preserve"> </w:t>
      </w:r>
      <w:r w:rsidR="00105EA6" w:rsidRPr="004177C6">
        <w:t>the court’s erroneous view of ascertainability informed its analysis</w:t>
      </w:r>
      <w:r w:rsidR="00685807" w:rsidRPr="004177C6">
        <w:t xml:space="preserve"> on this </w:t>
      </w:r>
      <w:r w:rsidR="00A03E0D" w:rsidRPr="004177C6">
        <w:t>issue</w:t>
      </w:r>
      <w:r w:rsidR="00105EA6" w:rsidRPr="004177C6">
        <w:t>.  Because of these uncertainties</w:t>
      </w:r>
      <w:r w:rsidRPr="004177C6">
        <w:t xml:space="preserve">, we reverse the judgment below </w:t>
      </w:r>
      <w:r w:rsidR="009252AA">
        <w:t xml:space="preserve">and remand the case </w:t>
      </w:r>
      <w:r w:rsidRPr="004177C6">
        <w:t xml:space="preserve">to the Court of Appeal </w:t>
      </w:r>
      <w:r w:rsidR="009252AA" w:rsidRPr="004177C6">
        <w:t xml:space="preserve">with directions </w:t>
      </w:r>
      <w:r w:rsidRPr="004177C6">
        <w:t xml:space="preserve">to remand the matter to the superior court for further proceedings consistent with our decision. </w:t>
      </w:r>
    </w:p>
    <w:p w14:paraId="724C27D5" w14:textId="77777777" w:rsidR="00D47F2D" w:rsidRDefault="00453BF6" w:rsidP="0052648A">
      <w:pPr>
        <w:tabs>
          <w:tab w:val="right" w:pos="7830"/>
        </w:tabs>
        <w:rPr>
          <w:b/>
        </w:rPr>
      </w:pPr>
      <w:r>
        <w:rPr>
          <w:b/>
        </w:rPr>
        <w:tab/>
      </w:r>
      <w:r w:rsidR="00105EA6" w:rsidRPr="004177C6">
        <w:rPr>
          <w:b/>
        </w:rPr>
        <w:t>CANTIL-SAKAUYE, C. J.</w:t>
      </w:r>
    </w:p>
    <w:p w14:paraId="6EA11C6C" w14:textId="77777777" w:rsidR="00453BF6" w:rsidRDefault="00453BF6" w:rsidP="00D40C5E">
      <w:pPr>
        <w:tabs>
          <w:tab w:val="right" w:pos="7740"/>
        </w:tabs>
        <w:spacing w:line="240" w:lineRule="auto"/>
        <w:rPr>
          <w:b/>
        </w:rPr>
      </w:pPr>
    </w:p>
    <w:p w14:paraId="3E7DAD93" w14:textId="3927E533" w:rsidR="00936CE1" w:rsidRDefault="00453BF6" w:rsidP="005E10F5">
      <w:pPr>
        <w:tabs>
          <w:tab w:val="right" w:pos="7740"/>
        </w:tabs>
        <w:rPr>
          <w:b/>
        </w:rPr>
      </w:pPr>
      <w:r>
        <w:rPr>
          <w:b/>
        </w:rPr>
        <w:t>We Concur:</w:t>
      </w:r>
    </w:p>
    <w:p w14:paraId="4A90966A" w14:textId="5C62B5F8" w:rsidR="0052648A" w:rsidRDefault="0052648A" w:rsidP="0052648A">
      <w:pPr>
        <w:tabs>
          <w:tab w:val="right" w:pos="7740"/>
        </w:tabs>
        <w:spacing w:after="0"/>
        <w:rPr>
          <w:b/>
        </w:rPr>
      </w:pPr>
      <w:r>
        <w:rPr>
          <w:b/>
        </w:rPr>
        <w:t>CHIN, J.</w:t>
      </w:r>
    </w:p>
    <w:p w14:paraId="51EBC934" w14:textId="30993358" w:rsidR="0052648A" w:rsidRDefault="0052648A" w:rsidP="0052648A">
      <w:pPr>
        <w:tabs>
          <w:tab w:val="right" w:pos="7740"/>
        </w:tabs>
        <w:spacing w:after="0"/>
        <w:rPr>
          <w:b/>
        </w:rPr>
      </w:pPr>
      <w:r>
        <w:rPr>
          <w:b/>
        </w:rPr>
        <w:t>CORRIGAN, J.</w:t>
      </w:r>
    </w:p>
    <w:p w14:paraId="00539169" w14:textId="26AB29F1" w:rsidR="0052648A" w:rsidRDefault="0052648A" w:rsidP="0052648A">
      <w:pPr>
        <w:tabs>
          <w:tab w:val="right" w:pos="7740"/>
        </w:tabs>
        <w:spacing w:after="0"/>
        <w:rPr>
          <w:b/>
        </w:rPr>
      </w:pPr>
      <w:r>
        <w:rPr>
          <w:b/>
        </w:rPr>
        <w:t>LIU, J.</w:t>
      </w:r>
    </w:p>
    <w:p w14:paraId="0F74C9F6" w14:textId="2F0F5A02" w:rsidR="0052648A" w:rsidRDefault="0052648A" w:rsidP="0052648A">
      <w:pPr>
        <w:tabs>
          <w:tab w:val="right" w:pos="7740"/>
        </w:tabs>
        <w:spacing w:after="0"/>
        <w:rPr>
          <w:b/>
        </w:rPr>
      </w:pPr>
      <w:r>
        <w:rPr>
          <w:b/>
        </w:rPr>
        <w:t>CUÉLLAR, J.</w:t>
      </w:r>
    </w:p>
    <w:p w14:paraId="204BB093" w14:textId="10EB4326" w:rsidR="0052648A" w:rsidRDefault="0052648A" w:rsidP="0052648A">
      <w:pPr>
        <w:tabs>
          <w:tab w:val="right" w:pos="7740"/>
        </w:tabs>
        <w:spacing w:after="0"/>
        <w:rPr>
          <w:b/>
        </w:rPr>
      </w:pPr>
      <w:r>
        <w:rPr>
          <w:b/>
        </w:rPr>
        <w:t>KRUGER, J.</w:t>
      </w:r>
    </w:p>
    <w:p w14:paraId="2C7BB3D1" w14:textId="4415C6D5" w:rsidR="0052648A" w:rsidRDefault="0052648A" w:rsidP="0052648A">
      <w:pPr>
        <w:tabs>
          <w:tab w:val="right" w:pos="7740"/>
        </w:tabs>
        <w:spacing w:after="0"/>
        <w:rPr>
          <w:b/>
        </w:rPr>
      </w:pPr>
      <w:r>
        <w:rPr>
          <w:b/>
        </w:rPr>
        <w:t>GROBAN, J.</w:t>
      </w:r>
    </w:p>
    <w:p w14:paraId="0D3BEAAF" w14:textId="77777777" w:rsidR="00786869" w:rsidRDefault="00786869" w:rsidP="0052648A">
      <w:pPr>
        <w:tabs>
          <w:tab w:val="right" w:pos="7740"/>
        </w:tabs>
        <w:spacing w:after="0"/>
        <w:rPr>
          <w:b/>
        </w:rPr>
        <w:sectPr w:rsidR="00786869" w:rsidSect="005E10F5">
          <w:footerReference w:type="default" r:id="rId11"/>
          <w:footerReference w:type="first" r:id="rId12"/>
          <w:pgSz w:w="12240" w:h="15840"/>
          <w:pgMar w:top="1800" w:right="2160" w:bottom="1440" w:left="2160" w:header="720" w:footer="720" w:gutter="0"/>
          <w:pgNumType w:start="1"/>
          <w:cols w:space="720"/>
          <w:titlePg/>
          <w:docGrid w:linePitch="367"/>
        </w:sectPr>
      </w:pPr>
    </w:p>
    <w:p w14:paraId="0CAB2003" w14:textId="77777777" w:rsidR="00786869" w:rsidRPr="00786869" w:rsidRDefault="00786869" w:rsidP="00786869">
      <w:pPr>
        <w:spacing w:after="0" w:line="240" w:lineRule="auto"/>
        <w:jc w:val="left"/>
        <w:rPr>
          <w:rFonts w:ascii="Times New Roman" w:hAnsi="Times New Roman"/>
          <w:i/>
          <w:sz w:val="20"/>
        </w:rPr>
      </w:pPr>
      <w:r w:rsidRPr="00786869">
        <w:rPr>
          <w:rFonts w:ascii="Times New Roman" w:hAnsi="Times New Roman"/>
          <w:i/>
          <w:sz w:val="20"/>
        </w:rPr>
        <w:t>See next page for addresses and telephone numbers for counsel who argued in Supreme Court.</w:t>
      </w:r>
    </w:p>
    <w:p w14:paraId="1BF7C19F" w14:textId="77777777" w:rsidR="00786869" w:rsidRPr="00786869" w:rsidRDefault="00786869" w:rsidP="00786869">
      <w:pPr>
        <w:spacing w:after="0" w:line="240" w:lineRule="auto"/>
        <w:jc w:val="left"/>
        <w:rPr>
          <w:rFonts w:ascii="Times New Roman" w:hAnsi="Times New Roman"/>
          <w:i/>
          <w:sz w:val="20"/>
        </w:rPr>
      </w:pPr>
    </w:p>
    <w:p w14:paraId="0ACBC2E3" w14:textId="77777777" w:rsidR="00786869" w:rsidRPr="00786869" w:rsidRDefault="00786869" w:rsidP="00786869">
      <w:pPr>
        <w:spacing w:after="0" w:line="240" w:lineRule="auto"/>
        <w:jc w:val="left"/>
        <w:rPr>
          <w:rFonts w:ascii="Times New Roman" w:hAnsi="Times New Roman"/>
          <w:bCs/>
          <w:i/>
          <w:sz w:val="20"/>
        </w:rPr>
      </w:pPr>
      <w:r w:rsidRPr="00786869">
        <w:rPr>
          <w:rFonts w:ascii="Times New Roman" w:hAnsi="Times New Roman"/>
          <w:b/>
          <w:sz w:val="20"/>
        </w:rPr>
        <w:t>Name of Opinion</w:t>
      </w:r>
      <w:r w:rsidRPr="00786869">
        <w:rPr>
          <w:rFonts w:ascii="Times New Roman" w:hAnsi="Times New Roman"/>
          <w:sz w:val="20"/>
        </w:rPr>
        <w:t xml:space="preserve"> Noel v. Thrifty Payless, Inc.</w:t>
      </w:r>
    </w:p>
    <w:p w14:paraId="460034F0" w14:textId="77777777" w:rsidR="00786869" w:rsidRPr="00786869" w:rsidRDefault="00786869" w:rsidP="00786869">
      <w:pPr>
        <w:spacing w:after="0" w:line="240" w:lineRule="auto"/>
        <w:jc w:val="left"/>
        <w:rPr>
          <w:rFonts w:ascii="Times New Roman" w:hAnsi="Times New Roman"/>
          <w:b/>
          <w:sz w:val="20"/>
        </w:rPr>
      </w:pPr>
      <w:r w:rsidRPr="00786869">
        <w:rPr>
          <w:rFonts w:ascii="Times New Roman" w:hAnsi="Times New Roman"/>
          <w:b/>
          <w:sz w:val="20"/>
        </w:rPr>
        <w:t>__________________________________________________________________________________</w:t>
      </w:r>
    </w:p>
    <w:p w14:paraId="10FBB70E" w14:textId="77777777" w:rsidR="00786869" w:rsidRPr="00786869" w:rsidRDefault="00786869" w:rsidP="00786869">
      <w:pPr>
        <w:spacing w:after="0" w:line="240" w:lineRule="auto"/>
        <w:jc w:val="left"/>
        <w:rPr>
          <w:rFonts w:ascii="Times New Roman" w:hAnsi="Times New Roman"/>
          <w:b/>
          <w:sz w:val="20"/>
        </w:rPr>
      </w:pPr>
    </w:p>
    <w:p w14:paraId="23AA3BBA" w14:textId="77777777" w:rsidR="00786869" w:rsidRPr="00786869" w:rsidRDefault="00786869" w:rsidP="00786869">
      <w:pPr>
        <w:spacing w:after="0" w:line="240" w:lineRule="auto"/>
        <w:jc w:val="left"/>
        <w:rPr>
          <w:rFonts w:ascii="Times New Roman" w:hAnsi="Times New Roman"/>
          <w:bCs/>
          <w:sz w:val="20"/>
        </w:rPr>
      </w:pPr>
      <w:r w:rsidRPr="00786869">
        <w:rPr>
          <w:rFonts w:ascii="Times New Roman" w:hAnsi="Times New Roman"/>
          <w:b/>
          <w:sz w:val="20"/>
        </w:rPr>
        <w:t>Unpublished Opinion</w:t>
      </w:r>
    </w:p>
    <w:p w14:paraId="54C2056B" w14:textId="77777777" w:rsidR="00786869" w:rsidRPr="00786869" w:rsidRDefault="00786869" w:rsidP="00786869">
      <w:pPr>
        <w:spacing w:after="0" w:line="240" w:lineRule="auto"/>
        <w:jc w:val="left"/>
        <w:rPr>
          <w:rFonts w:ascii="Times New Roman" w:hAnsi="Times New Roman"/>
          <w:sz w:val="20"/>
        </w:rPr>
      </w:pPr>
      <w:r w:rsidRPr="00786869">
        <w:rPr>
          <w:rFonts w:ascii="Times New Roman" w:hAnsi="Times New Roman"/>
          <w:b/>
          <w:sz w:val="20"/>
        </w:rPr>
        <w:t>Original Appeal</w:t>
      </w:r>
    </w:p>
    <w:p w14:paraId="3256B236" w14:textId="77777777" w:rsidR="00786869" w:rsidRPr="00786869" w:rsidRDefault="00786869" w:rsidP="00786869">
      <w:pPr>
        <w:spacing w:after="0" w:line="240" w:lineRule="auto"/>
        <w:jc w:val="left"/>
        <w:rPr>
          <w:rFonts w:ascii="Times New Roman" w:hAnsi="Times New Roman"/>
          <w:b/>
          <w:sz w:val="20"/>
        </w:rPr>
      </w:pPr>
      <w:r w:rsidRPr="00786869">
        <w:rPr>
          <w:rFonts w:ascii="Times New Roman" w:hAnsi="Times New Roman"/>
          <w:b/>
          <w:sz w:val="20"/>
        </w:rPr>
        <w:t>Original Proceeding</w:t>
      </w:r>
    </w:p>
    <w:p w14:paraId="42FFA160" w14:textId="77777777" w:rsidR="00786869" w:rsidRPr="00786869" w:rsidRDefault="00786869" w:rsidP="00786869">
      <w:pPr>
        <w:spacing w:after="0" w:line="240" w:lineRule="auto"/>
        <w:jc w:val="left"/>
        <w:rPr>
          <w:rFonts w:ascii="Times New Roman" w:hAnsi="Times New Roman"/>
          <w:sz w:val="20"/>
        </w:rPr>
      </w:pPr>
      <w:r w:rsidRPr="00786869">
        <w:rPr>
          <w:rFonts w:ascii="Times New Roman" w:hAnsi="Times New Roman"/>
          <w:b/>
          <w:sz w:val="20"/>
        </w:rPr>
        <w:t>Review Granted</w:t>
      </w:r>
      <w:r w:rsidRPr="00786869">
        <w:rPr>
          <w:rFonts w:ascii="Times New Roman" w:hAnsi="Times New Roman"/>
          <w:sz w:val="20"/>
        </w:rPr>
        <w:t xml:space="preserve"> XXX 17 Cal.App.5th 1315</w:t>
      </w:r>
    </w:p>
    <w:p w14:paraId="63DEBEF5" w14:textId="77777777" w:rsidR="00786869" w:rsidRPr="00786869" w:rsidRDefault="00786869" w:rsidP="00786869">
      <w:pPr>
        <w:spacing w:after="0" w:line="240" w:lineRule="auto"/>
        <w:jc w:val="left"/>
        <w:rPr>
          <w:rFonts w:ascii="Times New Roman" w:hAnsi="Times New Roman"/>
          <w:b/>
          <w:sz w:val="20"/>
        </w:rPr>
      </w:pPr>
      <w:r w:rsidRPr="00786869">
        <w:rPr>
          <w:rFonts w:ascii="Times New Roman" w:hAnsi="Times New Roman"/>
          <w:b/>
          <w:sz w:val="20"/>
        </w:rPr>
        <w:t>Rehearing Granted</w:t>
      </w:r>
    </w:p>
    <w:p w14:paraId="7350AA19" w14:textId="77777777" w:rsidR="00786869" w:rsidRPr="00786869" w:rsidRDefault="00786869" w:rsidP="00786869">
      <w:pPr>
        <w:spacing w:after="0" w:line="240" w:lineRule="auto"/>
        <w:jc w:val="left"/>
        <w:rPr>
          <w:rFonts w:ascii="Times New Roman" w:hAnsi="Times New Roman"/>
          <w:b/>
          <w:sz w:val="20"/>
        </w:rPr>
      </w:pPr>
    </w:p>
    <w:p w14:paraId="789A6CE7" w14:textId="77777777" w:rsidR="00786869" w:rsidRPr="00786869" w:rsidRDefault="00786869" w:rsidP="00786869">
      <w:pPr>
        <w:spacing w:after="0" w:line="240" w:lineRule="auto"/>
        <w:jc w:val="left"/>
        <w:rPr>
          <w:rFonts w:ascii="Times New Roman" w:hAnsi="Times New Roman"/>
          <w:b/>
          <w:sz w:val="20"/>
        </w:rPr>
      </w:pPr>
      <w:r w:rsidRPr="00786869">
        <w:rPr>
          <w:rFonts w:ascii="Times New Roman" w:hAnsi="Times New Roman"/>
          <w:b/>
          <w:sz w:val="20"/>
        </w:rPr>
        <w:t>__________________________________________________________________________________</w:t>
      </w:r>
    </w:p>
    <w:p w14:paraId="5750C271" w14:textId="77777777" w:rsidR="00786869" w:rsidRPr="00786869" w:rsidRDefault="00786869" w:rsidP="00786869">
      <w:pPr>
        <w:spacing w:after="0" w:line="240" w:lineRule="auto"/>
        <w:jc w:val="left"/>
        <w:rPr>
          <w:rFonts w:ascii="Times New Roman" w:hAnsi="Times New Roman"/>
          <w:b/>
          <w:sz w:val="20"/>
        </w:rPr>
      </w:pPr>
    </w:p>
    <w:p w14:paraId="504051E0" w14:textId="77777777" w:rsidR="00786869" w:rsidRPr="00786869" w:rsidRDefault="00786869" w:rsidP="00786869">
      <w:pPr>
        <w:spacing w:after="0" w:line="240" w:lineRule="auto"/>
        <w:jc w:val="left"/>
        <w:rPr>
          <w:rFonts w:ascii="Times New Roman" w:hAnsi="Times New Roman"/>
          <w:bCs/>
          <w:sz w:val="20"/>
        </w:rPr>
      </w:pPr>
      <w:r w:rsidRPr="00786869">
        <w:rPr>
          <w:rFonts w:ascii="Times New Roman" w:hAnsi="Times New Roman"/>
          <w:b/>
          <w:sz w:val="20"/>
        </w:rPr>
        <w:t>Opinion No.</w:t>
      </w:r>
      <w:r w:rsidRPr="00786869">
        <w:rPr>
          <w:rFonts w:ascii="Times New Roman" w:hAnsi="Times New Roman"/>
          <w:sz w:val="20"/>
        </w:rPr>
        <w:t xml:space="preserve"> S246490</w:t>
      </w:r>
    </w:p>
    <w:p w14:paraId="4E91DCA2" w14:textId="77777777" w:rsidR="00786869" w:rsidRPr="00786869" w:rsidRDefault="00786869" w:rsidP="00786869">
      <w:pPr>
        <w:spacing w:after="0" w:line="240" w:lineRule="auto"/>
        <w:jc w:val="left"/>
        <w:rPr>
          <w:rFonts w:ascii="Times New Roman" w:hAnsi="Times New Roman"/>
          <w:bCs/>
          <w:sz w:val="20"/>
        </w:rPr>
      </w:pPr>
      <w:r w:rsidRPr="00786869">
        <w:rPr>
          <w:rFonts w:ascii="Times New Roman" w:hAnsi="Times New Roman"/>
          <w:b/>
          <w:sz w:val="20"/>
        </w:rPr>
        <w:t>Date Filed:</w:t>
      </w:r>
      <w:r w:rsidRPr="00786869">
        <w:rPr>
          <w:rFonts w:ascii="Times New Roman" w:hAnsi="Times New Roman"/>
          <w:sz w:val="20"/>
        </w:rPr>
        <w:t xml:space="preserve"> July 29, 2019</w:t>
      </w:r>
    </w:p>
    <w:p w14:paraId="4CCA2006" w14:textId="77777777" w:rsidR="00786869" w:rsidRPr="00786869" w:rsidRDefault="00786869" w:rsidP="00786869">
      <w:pPr>
        <w:spacing w:after="0" w:line="240" w:lineRule="auto"/>
        <w:jc w:val="left"/>
        <w:rPr>
          <w:rFonts w:ascii="Times New Roman" w:hAnsi="Times New Roman"/>
          <w:b/>
          <w:sz w:val="20"/>
        </w:rPr>
      </w:pPr>
      <w:r w:rsidRPr="00786869">
        <w:rPr>
          <w:rFonts w:ascii="Times New Roman" w:hAnsi="Times New Roman"/>
          <w:b/>
          <w:sz w:val="20"/>
        </w:rPr>
        <w:t>__________________________________________________________________________________</w:t>
      </w:r>
    </w:p>
    <w:p w14:paraId="013B529C" w14:textId="77777777" w:rsidR="00786869" w:rsidRPr="00786869" w:rsidRDefault="00786869" w:rsidP="00786869">
      <w:pPr>
        <w:spacing w:after="0" w:line="240" w:lineRule="auto"/>
        <w:jc w:val="left"/>
        <w:rPr>
          <w:rFonts w:ascii="Times New Roman" w:hAnsi="Times New Roman"/>
          <w:b/>
          <w:sz w:val="20"/>
        </w:rPr>
      </w:pPr>
    </w:p>
    <w:p w14:paraId="5BDCE8A3" w14:textId="77777777" w:rsidR="00786869" w:rsidRPr="00786869" w:rsidRDefault="00786869" w:rsidP="00786869">
      <w:pPr>
        <w:spacing w:after="0" w:line="240" w:lineRule="auto"/>
        <w:jc w:val="left"/>
        <w:rPr>
          <w:rFonts w:ascii="Times New Roman" w:hAnsi="Times New Roman"/>
          <w:bCs/>
          <w:sz w:val="20"/>
        </w:rPr>
      </w:pPr>
      <w:r w:rsidRPr="00786869">
        <w:rPr>
          <w:rFonts w:ascii="Times New Roman" w:hAnsi="Times New Roman"/>
          <w:b/>
          <w:sz w:val="20"/>
        </w:rPr>
        <w:t>Court:</w:t>
      </w:r>
      <w:r w:rsidRPr="00786869">
        <w:rPr>
          <w:rFonts w:ascii="Times New Roman" w:hAnsi="Times New Roman"/>
          <w:sz w:val="20"/>
        </w:rPr>
        <w:t xml:space="preserve"> Superior</w:t>
      </w:r>
    </w:p>
    <w:p w14:paraId="44D5975F" w14:textId="77777777" w:rsidR="00786869" w:rsidRPr="00786869" w:rsidRDefault="00786869" w:rsidP="00786869">
      <w:pPr>
        <w:spacing w:after="0" w:line="240" w:lineRule="auto"/>
        <w:jc w:val="left"/>
        <w:rPr>
          <w:rFonts w:ascii="Times New Roman" w:hAnsi="Times New Roman"/>
          <w:bCs/>
          <w:sz w:val="20"/>
        </w:rPr>
      </w:pPr>
      <w:r w:rsidRPr="00786869">
        <w:rPr>
          <w:rFonts w:ascii="Times New Roman" w:hAnsi="Times New Roman"/>
          <w:b/>
          <w:sz w:val="20"/>
        </w:rPr>
        <w:t>County:</w:t>
      </w:r>
      <w:r w:rsidRPr="00786869">
        <w:rPr>
          <w:rFonts w:ascii="Times New Roman" w:hAnsi="Times New Roman"/>
          <w:sz w:val="20"/>
        </w:rPr>
        <w:t xml:space="preserve"> Marin</w:t>
      </w:r>
    </w:p>
    <w:p w14:paraId="511CFADE" w14:textId="77777777" w:rsidR="00786869" w:rsidRPr="00786869" w:rsidRDefault="00786869" w:rsidP="00786869">
      <w:pPr>
        <w:spacing w:after="0" w:line="240" w:lineRule="auto"/>
        <w:ind w:left="720" w:hanging="720"/>
        <w:jc w:val="left"/>
        <w:rPr>
          <w:rFonts w:ascii="Times New Roman" w:hAnsi="Times New Roman"/>
          <w:bCs/>
          <w:sz w:val="20"/>
        </w:rPr>
      </w:pPr>
      <w:r w:rsidRPr="00786869">
        <w:rPr>
          <w:rFonts w:ascii="Times New Roman" w:hAnsi="Times New Roman"/>
          <w:b/>
          <w:sz w:val="20"/>
        </w:rPr>
        <w:t>Judge:</w:t>
      </w:r>
      <w:r w:rsidRPr="00786869">
        <w:rPr>
          <w:rFonts w:ascii="Times New Roman" w:hAnsi="Times New Roman"/>
          <w:sz w:val="20"/>
        </w:rPr>
        <w:t xml:space="preserve"> Paul M. Haakenson</w:t>
      </w:r>
    </w:p>
    <w:p w14:paraId="5FD0EAF1" w14:textId="77777777" w:rsidR="00786869" w:rsidRPr="00786869" w:rsidRDefault="00786869" w:rsidP="00786869">
      <w:pPr>
        <w:spacing w:after="0" w:line="240" w:lineRule="auto"/>
        <w:jc w:val="left"/>
        <w:rPr>
          <w:rFonts w:ascii="Times New Roman" w:hAnsi="Times New Roman"/>
          <w:b/>
          <w:sz w:val="20"/>
        </w:rPr>
      </w:pPr>
    </w:p>
    <w:p w14:paraId="6CD206A6" w14:textId="77777777" w:rsidR="00786869" w:rsidRPr="00786869" w:rsidRDefault="00786869" w:rsidP="00786869">
      <w:pPr>
        <w:spacing w:after="0" w:line="240" w:lineRule="auto"/>
        <w:jc w:val="left"/>
        <w:rPr>
          <w:rFonts w:ascii="Times New Roman" w:hAnsi="Times New Roman"/>
          <w:b/>
          <w:sz w:val="20"/>
        </w:rPr>
      </w:pPr>
      <w:r w:rsidRPr="00786869">
        <w:rPr>
          <w:rFonts w:ascii="Times New Roman" w:hAnsi="Times New Roman"/>
          <w:b/>
          <w:sz w:val="20"/>
        </w:rPr>
        <w:t>__________________________________________________________________________________</w:t>
      </w:r>
    </w:p>
    <w:p w14:paraId="50560C1C" w14:textId="77777777" w:rsidR="00786869" w:rsidRPr="00786869" w:rsidRDefault="00786869" w:rsidP="00786869">
      <w:pPr>
        <w:spacing w:after="0" w:line="240" w:lineRule="auto"/>
        <w:jc w:val="left"/>
        <w:rPr>
          <w:rFonts w:ascii="Times New Roman" w:hAnsi="Times New Roman"/>
          <w:b/>
          <w:sz w:val="20"/>
        </w:rPr>
      </w:pPr>
    </w:p>
    <w:p w14:paraId="101B671D" w14:textId="77777777" w:rsidR="00786869" w:rsidRPr="00786869" w:rsidRDefault="00786869" w:rsidP="00786869">
      <w:pPr>
        <w:spacing w:after="0" w:line="240" w:lineRule="auto"/>
        <w:jc w:val="left"/>
        <w:rPr>
          <w:rFonts w:ascii="Times New Roman" w:hAnsi="Times New Roman"/>
          <w:b/>
          <w:sz w:val="20"/>
        </w:rPr>
      </w:pPr>
      <w:r w:rsidRPr="00786869">
        <w:rPr>
          <w:rFonts w:ascii="Times New Roman" w:hAnsi="Times New Roman"/>
          <w:b/>
          <w:sz w:val="20"/>
        </w:rPr>
        <w:t>Counsel:</w:t>
      </w:r>
    </w:p>
    <w:p w14:paraId="064F8E51" w14:textId="77777777" w:rsidR="00786869" w:rsidRPr="00786869" w:rsidRDefault="00786869" w:rsidP="00786869">
      <w:pPr>
        <w:spacing w:after="0" w:line="240" w:lineRule="auto"/>
        <w:jc w:val="left"/>
        <w:rPr>
          <w:rFonts w:ascii="Times New Roman" w:hAnsi="Times New Roman"/>
          <w:b/>
          <w:sz w:val="20"/>
        </w:rPr>
      </w:pPr>
    </w:p>
    <w:p w14:paraId="3513778B" w14:textId="77777777" w:rsidR="00786869" w:rsidRPr="00786869" w:rsidRDefault="00786869" w:rsidP="00786869">
      <w:pPr>
        <w:spacing w:after="0" w:line="240" w:lineRule="auto"/>
        <w:jc w:val="left"/>
        <w:rPr>
          <w:rFonts w:ascii="Times New Roman" w:hAnsi="Times New Roman"/>
          <w:sz w:val="20"/>
        </w:rPr>
      </w:pPr>
      <w:r w:rsidRPr="00786869">
        <w:rPr>
          <w:rFonts w:ascii="Times New Roman" w:hAnsi="Times New Roman"/>
          <w:sz w:val="20"/>
        </w:rPr>
        <w:t>Emergent Legal, Emergent, Christopher Wimmer, Peter Roldan; Public Justice, Leslie Brueckner and Karla Gilbride for Plaintiff and Appellant.</w:t>
      </w:r>
    </w:p>
    <w:p w14:paraId="46DDD93A" w14:textId="77777777" w:rsidR="00786869" w:rsidRPr="00786869" w:rsidRDefault="00786869" w:rsidP="00786869">
      <w:pPr>
        <w:spacing w:after="0" w:line="240" w:lineRule="auto"/>
        <w:jc w:val="left"/>
        <w:rPr>
          <w:rFonts w:ascii="Times New Roman" w:hAnsi="Times New Roman"/>
          <w:sz w:val="20"/>
        </w:rPr>
      </w:pPr>
    </w:p>
    <w:p w14:paraId="47E355B8" w14:textId="77777777" w:rsidR="00786869" w:rsidRPr="00786869" w:rsidRDefault="00786869" w:rsidP="00786869">
      <w:pPr>
        <w:spacing w:after="0" w:line="240" w:lineRule="auto"/>
        <w:jc w:val="left"/>
        <w:rPr>
          <w:rFonts w:ascii="Times New Roman" w:hAnsi="Times New Roman"/>
          <w:sz w:val="20"/>
        </w:rPr>
      </w:pPr>
      <w:r w:rsidRPr="00786869">
        <w:rPr>
          <w:rFonts w:ascii="Times New Roman" w:hAnsi="Times New Roman"/>
          <w:sz w:val="20"/>
        </w:rPr>
        <w:t>Chavez &amp; Gertler, Mark A. Chavez; Public Citizen Ligation Group and Allison M. Zieve for Public Citizen as Amicus Curiae on behalf of Plaintiff and Appellant.</w:t>
      </w:r>
    </w:p>
    <w:p w14:paraId="775C50E7" w14:textId="77777777" w:rsidR="00786869" w:rsidRPr="00786869" w:rsidRDefault="00786869" w:rsidP="00786869">
      <w:pPr>
        <w:spacing w:after="0" w:line="240" w:lineRule="auto"/>
        <w:jc w:val="left"/>
        <w:rPr>
          <w:rFonts w:ascii="Times New Roman" w:hAnsi="Times New Roman"/>
          <w:sz w:val="20"/>
        </w:rPr>
      </w:pPr>
    </w:p>
    <w:p w14:paraId="2B989EB0" w14:textId="77777777" w:rsidR="00786869" w:rsidRPr="00786869" w:rsidRDefault="00786869" w:rsidP="00786869">
      <w:pPr>
        <w:spacing w:after="0" w:line="240" w:lineRule="auto"/>
        <w:jc w:val="left"/>
        <w:rPr>
          <w:rFonts w:ascii="Times New Roman" w:hAnsi="Times New Roman"/>
          <w:sz w:val="20"/>
        </w:rPr>
      </w:pPr>
      <w:r w:rsidRPr="00786869">
        <w:rPr>
          <w:rFonts w:ascii="Times New Roman" w:hAnsi="Times New Roman"/>
          <w:sz w:val="20"/>
        </w:rPr>
        <w:t>Rock Law, Matt J. Malone; Nelson &amp; Fraenkel, Gretchen M. Nelson; Arbogast Law and David M. Arbogast for Consumer Attorneys of California as Amicus Curiae on behalf of Plaintiff and Appellant.</w:t>
      </w:r>
    </w:p>
    <w:p w14:paraId="190C87A7" w14:textId="77777777" w:rsidR="00786869" w:rsidRPr="00786869" w:rsidRDefault="00786869" w:rsidP="00786869">
      <w:pPr>
        <w:spacing w:after="0" w:line="240" w:lineRule="auto"/>
        <w:jc w:val="left"/>
        <w:rPr>
          <w:rFonts w:ascii="Times New Roman" w:hAnsi="Times New Roman"/>
          <w:sz w:val="20"/>
        </w:rPr>
      </w:pPr>
    </w:p>
    <w:p w14:paraId="10BCD09C" w14:textId="77777777" w:rsidR="00786869" w:rsidRPr="00786869" w:rsidRDefault="00786869" w:rsidP="00786869">
      <w:pPr>
        <w:spacing w:after="0" w:line="240" w:lineRule="auto"/>
        <w:jc w:val="left"/>
        <w:rPr>
          <w:rFonts w:ascii="Times New Roman" w:hAnsi="Times New Roman"/>
          <w:sz w:val="20"/>
        </w:rPr>
      </w:pPr>
      <w:r w:rsidRPr="00786869">
        <w:rPr>
          <w:rFonts w:ascii="Times New Roman" w:hAnsi="Times New Roman"/>
          <w:sz w:val="20"/>
        </w:rPr>
        <w:t>Lieff Cabraser Heimann &amp; Bernstein, Robert J. Nelson, Roger N. Heller and Melisa Gardner for National Consumer Law Center and National Association of Consumer Advocates as Amici Curiae on behalf of Plaintiff and Appellant.</w:t>
      </w:r>
    </w:p>
    <w:p w14:paraId="369BBA54" w14:textId="77777777" w:rsidR="00786869" w:rsidRPr="00786869" w:rsidRDefault="00786869" w:rsidP="00786869">
      <w:pPr>
        <w:spacing w:after="0" w:line="240" w:lineRule="auto"/>
        <w:jc w:val="left"/>
        <w:rPr>
          <w:rFonts w:ascii="Times New Roman" w:hAnsi="Times New Roman"/>
          <w:sz w:val="20"/>
        </w:rPr>
      </w:pPr>
    </w:p>
    <w:p w14:paraId="0F47F133" w14:textId="77777777" w:rsidR="00786869" w:rsidRPr="00786869" w:rsidRDefault="00786869" w:rsidP="00786869">
      <w:pPr>
        <w:spacing w:after="0" w:line="240" w:lineRule="auto"/>
        <w:jc w:val="left"/>
        <w:rPr>
          <w:rFonts w:ascii="Times New Roman" w:hAnsi="Times New Roman"/>
          <w:sz w:val="20"/>
        </w:rPr>
      </w:pPr>
      <w:r w:rsidRPr="00786869">
        <w:rPr>
          <w:rFonts w:ascii="Times New Roman" w:hAnsi="Times New Roman"/>
          <w:sz w:val="20"/>
        </w:rPr>
        <w:t>Jocelyn D. Larkin and Daniel Nesbit for Impact Fund, California Employment Lawyers Association, Centro Legal de la Raza, Legal Aid at Work and Worksafe as Amici Curiae on behalf of Plaintiff and Appellant.</w:t>
      </w:r>
    </w:p>
    <w:p w14:paraId="55FCEC58" w14:textId="77777777" w:rsidR="00786869" w:rsidRPr="00786869" w:rsidRDefault="00786869" w:rsidP="00786869">
      <w:pPr>
        <w:spacing w:after="0" w:line="240" w:lineRule="auto"/>
        <w:jc w:val="left"/>
        <w:rPr>
          <w:rFonts w:ascii="Times New Roman" w:hAnsi="Times New Roman"/>
          <w:sz w:val="20"/>
        </w:rPr>
      </w:pPr>
    </w:p>
    <w:p w14:paraId="6303DC5C" w14:textId="77777777" w:rsidR="00786869" w:rsidRPr="00786869" w:rsidRDefault="00786869" w:rsidP="00786869">
      <w:pPr>
        <w:spacing w:after="0" w:line="240" w:lineRule="auto"/>
        <w:jc w:val="left"/>
        <w:rPr>
          <w:rFonts w:ascii="Times New Roman" w:hAnsi="Times New Roman"/>
          <w:sz w:val="20"/>
        </w:rPr>
      </w:pPr>
      <w:r w:rsidRPr="00786869">
        <w:rPr>
          <w:rFonts w:ascii="Times New Roman" w:hAnsi="Times New Roman"/>
          <w:sz w:val="20"/>
        </w:rPr>
        <w:t>Kelly, Hockel &amp; Klein, Klein, Hockel, Iezza &amp; Patel, Michael D. Early and Mark P. Iezza for Defendant and Respondent.</w:t>
      </w:r>
    </w:p>
    <w:p w14:paraId="2629A0F2" w14:textId="77777777" w:rsidR="00786869" w:rsidRPr="00786869" w:rsidRDefault="00786869" w:rsidP="00786869">
      <w:pPr>
        <w:spacing w:after="0" w:line="240" w:lineRule="auto"/>
        <w:jc w:val="left"/>
        <w:rPr>
          <w:rFonts w:ascii="Times New Roman" w:hAnsi="Times New Roman"/>
          <w:b/>
          <w:sz w:val="20"/>
        </w:rPr>
      </w:pPr>
    </w:p>
    <w:p w14:paraId="2610307E" w14:textId="77777777" w:rsidR="00786869" w:rsidRPr="00786869" w:rsidRDefault="00786869" w:rsidP="00786869">
      <w:pPr>
        <w:spacing w:after="0" w:line="240" w:lineRule="auto"/>
        <w:jc w:val="left"/>
        <w:rPr>
          <w:rFonts w:ascii="Times New Roman" w:hAnsi="Times New Roman"/>
          <w:sz w:val="20"/>
        </w:rPr>
      </w:pPr>
      <w:r w:rsidRPr="00786869">
        <w:rPr>
          <w:rFonts w:ascii="Times New Roman" w:hAnsi="Times New Roman"/>
          <w:sz w:val="20"/>
        </w:rPr>
        <w:t>Utrecht &amp; Lenvin and Paul F. Utrecht for Washington Legal Foundation and California Retailers Association as Amici Curiae on behalf of Defendant and Respondent.</w:t>
      </w:r>
    </w:p>
    <w:p w14:paraId="56211DAD" w14:textId="77777777" w:rsidR="00786869" w:rsidRPr="00786869" w:rsidRDefault="00786869" w:rsidP="00786869">
      <w:pPr>
        <w:spacing w:after="0" w:line="240" w:lineRule="auto"/>
        <w:jc w:val="left"/>
        <w:rPr>
          <w:rFonts w:ascii="Times New Roman" w:hAnsi="Times New Roman"/>
          <w:b/>
          <w:sz w:val="20"/>
        </w:rPr>
      </w:pPr>
    </w:p>
    <w:p w14:paraId="4F7C4FC3" w14:textId="77777777" w:rsidR="00786869" w:rsidRPr="00786869" w:rsidRDefault="00786869" w:rsidP="00786869">
      <w:pPr>
        <w:spacing w:after="0" w:line="240" w:lineRule="auto"/>
        <w:jc w:val="left"/>
        <w:rPr>
          <w:rFonts w:ascii="Times New Roman" w:hAnsi="Times New Roman"/>
          <w:b/>
          <w:sz w:val="20"/>
        </w:rPr>
      </w:pPr>
    </w:p>
    <w:p w14:paraId="6F0CC47A" w14:textId="77777777" w:rsidR="00786869" w:rsidRPr="00786869" w:rsidRDefault="00786869" w:rsidP="00786869">
      <w:pPr>
        <w:spacing w:after="0" w:line="240" w:lineRule="auto"/>
        <w:jc w:val="left"/>
        <w:rPr>
          <w:rFonts w:ascii="Times New Roman" w:hAnsi="Times New Roman"/>
          <w:b/>
          <w:sz w:val="20"/>
        </w:rPr>
      </w:pPr>
      <w:r w:rsidRPr="00786869">
        <w:rPr>
          <w:rFonts w:ascii="Times New Roman" w:hAnsi="Times New Roman"/>
          <w:b/>
          <w:sz w:val="20"/>
        </w:rPr>
        <w:br w:type="page"/>
      </w:r>
    </w:p>
    <w:p w14:paraId="57DA77F3" w14:textId="77777777" w:rsidR="00786869" w:rsidRPr="00786869" w:rsidRDefault="00786869" w:rsidP="00786869">
      <w:pPr>
        <w:spacing w:after="0" w:line="240" w:lineRule="auto"/>
        <w:jc w:val="left"/>
        <w:rPr>
          <w:rFonts w:ascii="Times New Roman" w:hAnsi="Times New Roman"/>
          <w:b/>
          <w:sz w:val="20"/>
        </w:rPr>
      </w:pPr>
    </w:p>
    <w:p w14:paraId="73389A63" w14:textId="77777777" w:rsidR="00786869" w:rsidRPr="00786869" w:rsidRDefault="00786869" w:rsidP="00786869">
      <w:pPr>
        <w:spacing w:after="0" w:line="240" w:lineRule="auto"/>
        <w:jc w:val="left"/>
        <w:rPr>
          <w:rFonts w:ascii="Times New Roman" w:hAnsi="Times New Roman"/>
          <w:b/>
          <w:sz w:val="20"/>
        </w:rPr>
      </w:pPr>
    </w:p>
    <w:p w14:paraId="5D87C47F" w14:textId="77777777" w:rsidR="00786869" w:rsidRPr="00786869" w:rsidRDefault="00786869" w:rsidP="00786869">
      <w:pPr>
        <w:spacing w:after="0" w:line="240" w:lineRule="auto"/>
        <w:jc w:val="left"/>
        <w:rPr>
          <w:rFonts w:ascii="Times New Roman" w:hAnsi="Times New Roman"/>
          <w:b/>
          <w:sz w:val="20"/>
        </w:rPr>
      </w:pPr>
    </w:p>
    <w:p w14:paraId="3C8A11C8" w14:textId="77777777" w:rsidR="00786869" w:rsidRPr="00786869" w:rsidRDefault="00786869" w:rsidP="00786869">
      <w:pPr>
        <w:spacing w:after="0" w:line="240" w:lineRule="auto"/>
        <w:jc w:val="left"/>
        <w:rPr>
          <w:rFonts w:ascii="Times New Roman" w:hAnsi="Times New Roman"/>
          <w:b/>
          <w:sz w:val="20"/>
        </w:rPr>
      </w:pPr>
      <w:r w:rsidRPr="00786869">
        <w:rPr>
          <w:rFonts w:ascii="Times New Roman" w:hAnsi="Times New Roman"/>
          <w:b/>
          <w:sz w:val="20"/>
        </w:rPr>
        <w:t>Counsel who argued in Supreme Court (not intended for publication with opinion):</w:t>
      </w:r>
    </w:p>
    <w:p w14:paraId="17D8F0BD" w14:textId="77777777" w:rsidR="00786869" w:rsidRPr="00786869" w:rsidRDefault="00786869" w:rsidP="00786869">
      <w:pPr>
        <w:spacing w:after="0" w:line="240" w:lineRule="auto"/>
        <w:jc w:val="left"/>
        <w:rPr>
          <w:rFonts w:ascii="Times New Roman" w:hAnsi="Times New Roman"/>
          <w:b/>
          <w:sz w:val="20"/>
        </w:rPr>
      </w:pPr>
    </w:p>
    <w:p w14:paraId="78983648" w14:textId="77777777" w:rsidR="00786869" w:rsidRPr="00786869" w:rsidRDefault="00786869" w:rsidP="00786869">
      <w:pPr>
        <w:spacing w:after="0" w:line="240" w:lineRule="auto"/>
        <w:jc w:val="left"/>
        <w:rPr>
          <w:rFonts w:ascii="Times New Roman" w:hAnsi="Times New Roman"/>
          <w:sz w:val="20"/>
        </w:rPr>
      </w:pPr>
      <w:r w:rsidRPr="00786869">
        <w:rPr>
          <w:rFonts w:ascii="Times New Roman" w:hAnsi="Times New Roman"/>
          <w:sz w:val="20"/>
        </w:rPr>
        <w:t>Leslie Brueckner</w:t>
      </w:r>
    </w:p>
    <w:p w14:paraId="02676E22" w14:textId="77777777" w:rsidR="00786869" w:rsidRPr="00786869" w:rsidRDefault="00786869" w:rsidP="00786869">
      <w:pPr>
        <w:spacing w:after="0" w:line="240" w:lineRule="auto"/>
        <w:jc w:val="left"/>
        <w:rPr>
          <w:rFonts w:ascii="Times New Roman" w:hAnsi="Times New Roman"/>
          <w:sz w:val="20"/>
        </w:rPr>
      </w:pPr>
      <w:r w:rsidRPr="00786869">
        <w:rPr>
          <w:rFonts w:ascii="Times New Roman" w:hAnsi="Times New Roman"/>
          <w:sz w:val="20"/>
        </w:rPr>
        <w:t>Public Justice</w:t>
      </w:r>
    </w:p>
    <w:p w14:paraId="54F8B922" w14:textId="77777777" w:rsidR="00786869" w:rsidRPr="00786869" w:rsidRDefault="00786869" w:rsidP="00786869">
      <w:pPr>
        <w:spacing w:after="0" w:line="240" w:lineRule="auto"/>
        <w:jc w:val="left"/>
        <w:rPr>
          <w:rFonts w:ascii="Times New Roman" w:hAnsi="Times New Roman"/>
          <w:sz w:val="20"/>
        </w:rPr>
      </w:pPr>
      <w:r w:rsidRPr="00786869">
        <w:rPr>
          <w:rFonts w:ascii="Times New Roman" w:hAnsi="Times New Roman"/>
          <w:sz w:val="20"/>
        </w:rPr>
        <w:t>475 14th Street, Suite 610</w:t>
      </w:r>
    </w:p>
    <w:p w14:paraId="64E342B1" w14:textId="77777777" w:rsidR="00786869" w:rsidRPr="00786869" w:rsidRDefault="00786869" w:rsidP="00786869">
      <w:pPr>
        <w:spacing w:after="0" w:line="240" w:lineRule="auto"/>
        <w:jc w:val="left"/>
        <w:rPr>
          <w:rFonts w:ascii="Times New Roman" w:hAnsi="Times New Roman"/>
          <w:sz w:val="20"/>
        </w:rPr>
      </w:pPr>
      <w:r w:rsidRPr="00786869">
        <w:rPr>
          <w:rFonts w:ascii="Times New Roman" w:hAnsi="Times New Roman"/>
          <w:sz w:val="20"/>
        </w:rPr>
        <w:t>Oakland, CA  94612</w:t>
      </w:r>
    </w:p>
    <w:p w14:paraId="7D825C02" w14:textId="77777777" w:rsidR="00786869" w:rsidRPr="00786869" w:rsidRDefault="00786869" w:rsidP="00786869">
      <w:pPr>
        <w:spacing w:after="0" w:line="240" w:lineRule="auto"/>
        <w:jc w:val="left"/>
        <w:rPr>
          <w:rFonts w:ascii="Times New Roman" w:hAnsi="Times New Roman"/>
          <w:sz w:val="20"/>
        </w:rPr>
      </w:pPr>
      <w:r w:rsidRPr="00786869">
        <w:rPr>
          <w:rFonts w:ascii="Times New Roman" w:hAnsi="Times New Roman"/>
          <w:sz w:val="20"/>
        </w:rPr>
        <w:t>(510) 622-8205</w:t>
      </w:r>
    </w:p>
    <w:p w14:paraId="0D10C585" w14:textId="77777777" w:rsidR="00786869" w:rsidRPr="00786869" w:rsidRDefault="00786869" w:rsidP="00786869">
      <w:pPr>
        <w:spacing w:after="0" w:line="240" w:lineRule="auto"/>
        <w:jc w:val="left"/>
        <w:rPr>
          <w:rFonts w:ascii="Times New Roman" w:hAnsi="Times New Roman"/>
          <w:sz w:val="20"/>
        </w:rPr>
      </w:pPr>
    </w:p>
    <w:p w14:paraId="57763E7B" w14:textId="77777777" w:rsidR="00786869" w:rsidRPr="00786869" w:rsidRDefault="00786869" w:rsidP="00786869">
      <w:pPr>
        <w:spacing w:after="0" w:line="240" w:lineRule="auto"/>
        <w:jc w:val="left"/>
        <w:rPr>
          <w:rFonts w:ascii="Times New Roman" w:hAnsi="Times New Roman"/>
          <w:sz w:val="20"/>
        </w:rPr>
      </w:pPr>
      <w:r w:rsidRPr="00786869">
        <w:rPr>
          <w:rFonts w:ascii="Times New Roman" w:hAnsi="Times New Roman"/>
          <w:sz w:val="20"/>
        </w:rPr>
        <w:t>Michael D. Early</w:t>
      </w:r>
    </w:p>
    <w:p w14:paraId="6E47D33E" w14:textId="77777777" w:rsidR="00786869" w:rsidRPr="00786869" w:rsidRDefault="00786869" w:rsidP="00786869">
      <w:pPr>
        <w:spacing w:after="0" w:line="240" w:lineRule="auto"/>
        <w:jc w:val="left"/>
        <w:rPr>
          <w:rFonts w:ascii="Times New Roman" w:hAnsi="Times New Roman"/>
          <w:sz w:val="20"/>
        </w:rPr>
      </w:pPr>
      <w:r w:rsidRPr="00786869">
        <w:rPr>
          <w:rFonts w:ascii="Times New Roman" w:hAnsi="Times New Roman"/>
          <w:sz w:val="20"/>
        </w:rPr>
        <w:t>Klein, Hockel, Iezza &amp; Patel</w:t>
      </w:r>
    </w:p>
    <w:p w14:paraId="547FD434" w14:textId="77777777" w:rsidR="00786869" w:rsidRPr="00786869" w:rsidRDefault="00786869" w:rsidP="00786869">
      <w:pPr>
        <w:spacing w:after="0" w:line="240" w:lineRule="auto"/>
        <w:jc w:val="left"/>
        <w:rPr>
          <w:rFonts w:ascii="Times New Roman" w:hAnsi="Times New Roman"/>
          <w:sz w:val="20"/>
        </w:rPr>
      </w:pPr>
      <w:r w:rsidRPr="00786869">
        <w:rPr>
          <w:rFonts w:ascii="Times New Roman" w:hAnsi="Times New Roman"/>
          <w:sz w:val="20"/>
        </w:rPr>
        <w:t>455 Market Street, Suite 1480</w:t>
      </w:r>
    </w:p>
    <w:p w14:paraId="46FCB145" w14:textId="77777777" w:rsidR="00786869" w:rsidRPr="00786869" w:rsidRDefault="00786869" w:rsidP="00786869">
      <w:pPr>
        <w:spacing w:after="0" w:line="240" w:lineRule="auto"/>
        <w:jc w:val="left"/>
        <w:rPr>
          <w:rFonts w:ascii="Times New Roman" w:hAnsi="Times New Roman"/>
          <w:sz w:val="20"/>
        </w:rPr>
      </w:pPr>
      <w:r w:rsidRPr="00786869">
        <w:rPr>
          <w:rFonts w:ascii="Times New Roman" w:hAnsi="Times New Roman"/>
          <w:sz w:val="20"/>
        </w:rPr>
        <w:t>San Francisco, CA  94105</w:t>
      </w:r>
    </w:p>
    <w:p w14:paraId="672990DC" w14:textId="77777777" w:rsidR="00786869" w:rsidRPr="00786869" w:rsidRDefault="00786869" w:rsidP="00786869">
      <w:pPr>
        <w:spacing w:after="0" w:line="240" w:lineRule="auto"/>
        <w:jc w:val="left"/>
        <w:rPr>
          <w:rFonts w:ascii="Times New Roman" w:hAnsi="Times New Roman"/>
          <w:b/>
          <w:sz w:val="20"/>
        </w:rPr>
      </w:pPr>
      <w:r w:rsidRPr="00786869">
        <w:rPr>
          <w:rFonts w:ascii="Times New Roman" w:hAnsi="Times New Roman"/>
          <w:sz w:val="20"/>
        </w:rPr>
        <w:t>(415) 951-0535</w:t>
      </w:r>
    </w:p>
    <w:p w14:paraId="1279B2D9" w14:textId="581A8A63" w:rsidR="00786869" w:rsidRPr="004177C6" w:rsidRDefault="00786869" w:rsidP="0052648A">
      <w:pPr>
        <w:tabs>
          <w:tab w:val="right" w:pos="7740"/>
        </w:tabs>
        <w:spacing w:after="0"/>
        <w:rPr>
          <w:b/>
        </w:rPr>
      </w:pPr>
      <w:bookmarkStart w:id="8" w:name="_GoBack"/>
      <w:bookmarkEnd w:id="8"/>
    </w:p>
    <w:sectPr w:rsidR="00786869" w:rsidRPr="004177C6">
      <w:headerReference w:type="even" r:id="rId13"/>
      <w:headerReference w:type="default" r:id="rId14"/>
      <w:footerReference w:type="even" r:id="rId15"/>
      <w:footerReference w:type="default" r:id="rId16"/>
      <w:headerReference w:type="first" r:id="rId17"/>
      <w:footerReference w:type="first" r:id="rId18"/>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6FD202" w14:textId="77777777" w:rsidR="008E0900" w:rsidRDefault="008E0900">
      <w:r>
        <w:separator/>
      </w:r>
    </w:p>
  </w:endnote>
  <w:endnote w:type="continuationSeparator" w:id="0">
    <w:p w14:paraId="35C63C6A" w14:textId="77777777" w:rsidR="008E0900" w:rsidRDefault="008E0900">
      <w:r>
        <w:continuationSeparator/>
      </w:r>
    </w:p>
  </w:endnote>
  <w:endnote w:type="continuationNotice" w:id="1">
    <w:p w14:paraId="0E4F9C6C" w14:textId="77777777" w:rsidR="008E0900" w:rsidRDefault="008E090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Schoolbook">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A6EE27" w14:textId="77777777" w:rsidR="006136B2" w:rsidRDefault="006136B2">
    <w:pPr>
      <w:pStyle w:val="Footer"/>
    </w:pPr>
    <w:r>
      <w:rPr>
        <w:noProof/>
      </w:rPr>
      <w:fldChar w:fldCharType="begin"/>
    </w:r>
    <w:r>
      <w:rPr>
        <w:noProof/>
      </w:rPr>
      <w:instrText>PAGE</w:instrText>
    </w:r>
    <w:r>
      <w:rPr>
        <w:noProof/>
      </w:rPr>
      <w:fldChar w:fldCharType="separate"/>
    </w:r>
    <w:r>
      <w:rPr>
        <w:noProof/>
      </w:rPr>
      <w:t>33</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D98431" w14:textId="77777777" w:rsidR="006136B2" w:rsidRDefault="006136B2">
    <w:pPr>
      <w:pStyle w:val="Footer"/>
    </w:pPr>
    <w:r>
      <w:rPr>
        <w:noProof/>
      </w:rPr>
      <w:fldChar w:fldCharType="begin"/>
    </w:r>
    <w:r>
      <w:rPr>
        <w:noProof/>
      </w:rPr>
      <w:instrText>PAGE</w:instrText>
    </w:r>
    <w:r>
      <w:rPr>
        <w:noProof/>
      </w:rPr>
      <w:fldChar w:fldCharType="separate"/>
    </w:r>
    <w:r>
      <w:rPr>
        <w:noProof/>
      </w:rPr>
      <w:t>33</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8D8DD1" w14:textId="77777777" w:rsidR="006136B2" w:rsidRDefault="006136B2">
    <w:pPr>
      <w:pStyle w:val="Footer"/>
    </w:pPr>
    <w:r>
      <w:t>1</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FEE3FC" w14:textId="77777777" w:rsidR="0091607A" w:rsidRDefault="0078686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FC4F2F" w14:textId="77777777" w:rsidR="0091607A" w:rsidRDefault="00786869">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9271F7" w14:textId="77777777" w:rsidR="0091607A" w:rsidRDefault="007868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81FFCB" w14:textId="77777777" w:rsidR="008E0900" w:rsidRDefault="008E0900">
      <w:r>
        <w:separator/>
      </w:r>
    </w:p>
  </w:footnote>
  <w:footnote w:type="continuationSeparator" w:id="0">
    <w:p w14:paraId="7A2814BC" w14:textId="77777777" w:rsidR="008E0900" w:rsidRDefault="008E0900">
      <w:pPr>
        <w:rPr>
          <w:sz w:val="22"/>
        </w:rPr>
      </w:pPr>
      <w:r>
        <w:continuationSeparator/>
      </w:r>
    </w:p>
  </w:footnote>
  <w:footnote w:type="continuationNotice" w:id="1">
    <w:p w14:paraId="012F17CE" w14:textId="77777777" w:rsidR="008E0900" w:rsidRDefault="008E0900" w:rsidP="00734CF0">
      <w:pPr>
        <w:rPr>
          <w:i/>
          <w:sz w:val="20"/>
        </w:rPr>
      </w:pPr>
    </w:p>
  </w:footnote>
  <w:footnote w:id="2">
    <w:p w14:paraId="6C36E3AD" w14:textId="6DAC8506" w:rsidR="006136B2" w:rsidRPr="00FF7C0C" w:rsidRDefault="006136B2" w:rsidP="000E10C5">
      <w:pPr>
        <w:spacing w:line="300" w:lineRule="exact"/>
        <w:rPr>
          <w:szCs w:val="26"/>
        </w:rPr>
      </w:pPr>
      <w:r w:rsidRPr="00BE09FC">
        <w:rPr>
          <w:rStyle w:val="FootnoteReference"/>
          <w:szCs w:val="26"/>
        </w:rPr>
        <w:footnoteRef/>
      </w:r>
      <w:r w:rsidRPr="00A13BE0">
        <w:rPr>
          <w:b/>
          <w:szCs w:val="26"/>
        </w:rPr>
        <w:t xml:space="preserve"> </w:t>
      </w:r>
      <w:r w:rsidRPr="00A13BE0">
        <w:rPr>
          <w:szCs w:val="26"/>
        </w:rPr>
        <w:tab/>
      </w:r>
      <w:r>
        <w:rPr>
          <w:szCs w:val="26"/>
        </w:rPr>
        <w:t>James Noel died while this action was pending before the Court of Appeal and has been replaced as plaintiff by his widow, Diana Nieves Noel.</w:t>
      </w:r>
      <w:r w:rsidRPr="00A13BE0">
        <w:rPr>
          <w:szCs w:val="26"/>
        </w:rPr>
        <w:t xml:space="preserve">  </w:t>
      </w:r>
      <w:r>
        <w:rPr>
          <w:szCs w:val="26"/>
        </w:rPr>
        <w:t>To avoid confusion, our opinion refers to b</w:t>
      </w:r>
      <w:r w:rsidRPr="00A13BE0">
        <w:rPr>
          <w:szCs w:val="26"/>
        </w:rPr>
        <w:t>oth as “Noel</w:t>
      </w:r>
      <w:r>
        <w:rPr>
          <w:szCs w:val="26"/>
        </w:rPr>
        <w:t>,</w:t>
      </w:r>
      <w:r w:rsidRPr="00A13BE0">
        <w:rPr>
          <w:szCs w:val="26"/>
        </w:rPr>
        <w:t>”</w:t>
      </w:r>
      <w:r>
        <w:rPr>
          <w:szCs w:val="26"/>
        </w:rPr>
        <w:t xml:space="preserve"> and uses the masculine pronoun whenever referring to plaintiff.</w:t>
      </w:r>
    </w:p>
  </w:footnote>
  <w:footnote w:id="3">
    <w:p w14:paraId="0E6B86C5" w14:textId="2700998D" w:rsidR="006136B2" w:rsidRDefault="006136B2" w:rsidP="004177C6">
      <w:pPr>
        <w:pStyle w:val="FootnoteText"/>
      </w:pPr>
      <w:r>
        <w:rPr>
          <w:rStyle w:val="FootnoteReference"/>
        </w:rPr>
        <w:footnoteRef/>
      </w:r>
      <w:r>
        <w:t xml:space="preserve"> </w:t>
      </w:r>
      <w:r>
        <w:tab/>
        <w:t>Defendant Thrifty Payless, Inc., operates the Rite Aid drugstore chain.  Our opinion refers to defendant as “Rite Aid.”</w:t>
      </w:r>
    </w:p>
  </w:footnote>
  <w:footnote w:id="4">
    <w:p w14:paraId="4E1DF654" w14:textId="06E14ED9" w:rsidR="006136B2" w:rsidRPr="00BE4871" w:rsidRDefault="006136B2" w:rsidP="000B26F9">
      <w:pPr>
        <w:pStyle w:val="FootnoteText"/>
        <w:rPr>
          <w:szCs w:val="26"/>
        </w:rPr>
      </w:pPr>
      <w:r w:rsidRPr="00CF5A2C">
        <w:rPr>
          <w:rStyle w:val="FootnoteReference"/>
          <w:szCs w:val="26"/>
        </w:rPr>
        <w:footnoteRef/>
      </w:r>
      <w:r w:rsidRPr="00CF5A2C">
        <w:rPr>
          <w:szCs w:val="26"/>
        </w:rPr>
        <w:t xml:space="preserve"> </w:t>
      </w:r>
      <w:r w:rsidRPr="00BE4871">
        <w:rPr>
          <w:szCs w:val="26"/>
        </w:rPr>
        <w:tab/>
        <w:t>Rite</w:t>
      </w:r>
      <w:r>
        <w:rPr>
          <w:szCs w:val="26"/>
        </w:rPr>
        <w:t xml:space="preserve"> </w:t>
      </w:r>
      <w:r w:rsidRPr="00BE4871">
        <w:rPr>
          <w:szCs w:val="26"/>
        </w:rPr>
        <w:t xml:space="preserve">Aid </w:t>
      </w:r>
      <w:r>
        <w:rPr>
          <w:szCs w:val="26"/>
        </w:rPr>
        <w:t>responds</w:t>
      </w:r>
      <w:r w:rsidRPr="00BE4871">
        <w:rPr>
          <w:szCs w:val="26"/>
        </w:rPr>
        <w:t xml:space="preserve"> that </w:t>
      </w:r>
      <w:r>
        <w:rPr>
          <w:szCs w:val="26"/>
        </w:rPr>
        <w:t>Noel did not set up the pool correctly</w:t>
      </w:r>
      <w:r w:rsidRPr="00BE4871">
        <w:rPr>
          <w:szCs w:val="26"/>
        </w:rPr>
        <w:t xml:space="preserve">. </w:t>
      </w:r>
    </w:p>
  </w:footnote>
  <w:footnote w:id="5">
    <w:p w14:paraId="6E7FC848" w14:textId="77777777" w:rsidR="006136B2" w:rsidRPr="00623B2D" w:rsidRDefault="006136B2" w:rsidP="004177C6">
      <w:pPr>
        <w:pStyle w:val="FootnoteText"/>
        <w:rPr>
          <w:szCs w:val="26"/>
        </w:rPr>
      </w:pPr>
      <w:r w:rsidRPr="0035085C">
        <w:rPr>
          <w:rStyle w:val="FootnoteReference"/>
          <w:szCs w:val="26"/>
        </w:rPr>
        <w:footnoteRef/>
      </w:r>
      <w:r w:rsidRPr="0035085C">
        <w:rPr>
          <w:szCs w:val="26"/>
        </w:rPr>
        <w:t xml:space="preserve"> </w:t>
      </w:r>
      <w:r w:rsidRPr="00623B2D">
        <w:rPr>
          <w:szCs w:val="26"/>
        </w:rPr>
        <w:tab/>
        <w:t xml:space="preserve">In his deposition, Noel testified that he </w:t>
      </w:r>
      <w:r>
        <w:rPr>
          <w:szCs w:val="26"/>
        </w:rPr>
        <w:t>had not retained</w:t>
      </w:r>
      <w:r w:rsidRPr="00623B2D">
        <w:rPr>
          <w:szCs w:val="26"/>
        </w:rPr>
        <w:t xml:space="preserve"> the store receipt associated with his purchase of </w:t>
      </w:r>
      <w:r>
        <w:rPr>
          <w:szCs w:val="26"/>
        </w:rPr>
        <w:t>a</w:t>
      </w:r>
      <w:r w:rsidRPr="00623B2D">
        <w:rPr>
          <w:szCs w:val="26"/>
        </w:rPr>
        <w:t xml:space="preserve"> Ready Set </w:t>
      </w:r>
      <w:proofErr w:type="gramStart"/>
      <w:r w:rsidRPr="00623B2D">
        <w:rPr>
          <w:szCs w:val="26"/>
        </w:rPr>
        <w:t>Pool, but</w:t>
      </w:r>
      <w:proofErr w:type="gramEnd"/>
      <w:r w:rsidRPr="00623B2D">
        <w:rPr>
          <w:szCs w:val="26"/>
        </w:rPr>
        <w:t xml:space="preserve"> </w:t>
      </w:r>
      <w:r>
        <w:rPr>
          <w:szCs w:val="26"/>
        </w:rPr>
        <w:t xml:space="preserve">had </w:t>
      </w:r>
      <w:r w:rsidRPr="00623B2D">
        <w:rPr>
          <w:szCs w:val="26"/>
        </w:rPr>
        <w:t xml:space="preserve">bought the pool using a debit card and </w:t>
      </w:r>
      <w:r>
        <w:rPr>
          <w:szCs w:val="26"/>
        </w:rPr>
        <w:t>possessed</w:t>
      </w:r>
      <w:r w:rsidRPr="00623B2D">
        <w:rPr>
          <w:szCs w:val="26"/>
        </w:rPr>
        <w:t xml:space="preserve"> bank records </w:t>
      </w:r>
      <w:r>
        <w:rPr>
          <w:szCs w:val="26"/>
        </w:rPr>
        <w:t>containing an entry consistent with such a transaction</w:t>
      </w:r>
      <w:r w:rsidRPr="00623B2D">
        <w:rPr>
          <w:szCs w:val="26"/>
        </w:rPr>
        <w:t xml:space="preserve">.  </w:t>
      </w:r>
    </w:p>
  </w:footnote>
  <w:footnote w:id="6">
    <w:p w14:paraId="37337535" w14:textId="5D0F0813" w:rsidR="006136B2" w:rsidRDefault="006136B2" w:rsidP="00327856">
      <w:pPr>
        <w:pStyle w:val="FootnoteText"/>
      </w:pPr>
      <w:r>
        <w:rPr>
          <w:rStyle w:val="FootnoteReference"/>
        </w:rPr>
        <w:footnoteRef/>
      </w:r>
      <w:r>
        <w:t xml:space="preserve"> </w:t>
      </w:r>
      <w:r>
        <w:tab/>
        <w:t xml:space="preserve">Noel advanced </w:t>
      </w:r>
      <w:r w:rsidR="007A7114">
        <w:t>certain</w:t>
      </w:r>
      <w:r>
        <w:t xml:space="preserve"> methods of identifying class members to explain why, in his view, published notice (although possible) might be unnecessary. </w:t>
      </w:r>
      <w:r w:rsidR="00A17E87">
        <w:t xml:space="preserve"> (See Civ. Code, § 1781, subd. (c)(2).)  </w:t>
      </w:r>
    </w:p>
  </w:footnote>
  <w:footnote w:id="7">
    <w:p w14:paraId="4C244041" w14:textId="02B16852" w:rsidR="006136B2" w:rsidRPr="00BE4871" w:rsidRDefault="006136B2" w:rsidP="00784616">
      <w:pPr>
        <w:pStyle w:val="FootnoteText"/>
        <w:rPr>
          <w:szCs w:val="26"/>
        </w:rPr>
      </w:pPr>
      <w:r w:rsidRPr="00BE4871">
        <w:rPr>
          <w:rStyle w:val="FootnoteReference"/>
          <w:szCs w:val="26"/>
        </w:rPr>
        <w:footnoteRef/>
      </w:r>
      <w:r w:rsidRPr="00BE4871">
        <w:rPr>
          <w:szCs w:val="26"/>
        </w:rPr>
        <w:t xml:space="preserve"> </w:t>
      </w:r>
      <w:r w:rsidRPr="00BE4871">
        <w:rPr>
          <w:szCs w:val="26"/>
        </w:rPr>
        <w:tab/>
        <w:t xml:space="preserve">The Court of Appeal stressed </w:t>
      </w:r>
      <w:r>
        <w:rPr>
          <w:szCs w:val="26"/>
        </w:rPr>
        <w:t xml:space="preserve">that </w:t>
      </w:r>
      <w:r w:rsidRPr="00BE4871">
        <w:rPr>
          <w:szCs w:val="26"/>
        </w:rPr>
        <w:t>“the modest evidentiary burden” (</w:t>
      </w:r>
      <w:r w:rsidRPr="007F2A86">
        <w:rPr>
          <w:i/>
        </w:rPr>
        <w:t>Noel</w:t>
      </w:r>
      <w:r>
        <w:t xml:space="preserve">, </w:t>
      </w:r>
      <w:r w:rsidRPr="007F2A86">
        <w:rPr>
          <w:i/>
        </w:rPr>
        <w:t>supra</w:t>
      </w:r>
      <w:r>
        <w:t>, 17 Cal.App.5</w:t>
      </w:r>
      <w:r w:rsidRPr="007F2A86">
        <w:t>th</w:t>
      </w:r>
      <w:r w:rsidRPr="00BE4871">
        <w:rPr>
          <w:szCs w:val="26"/>
        </w:rPr>
        <w:t xml:space="preserve"> at p.</w:t>
      </w:r>
      <w:r>
        <w:rPr>
          <w:szCs w:val="26"/>
        </w:rPr>
        <w:t> </w:t>
      </w:r>
      <w:r w:rsidRPr="00BE4871">
        <w:rPr>
          <w:szCs w:val="26"/>
        </w:rPr>
        <w:t>1333)</w:t>
      </w:r>
      <w:r>
        <w:rPr>
          <w:szCs w:val="26"/>
        </w:rPr>
        <w:t xml:space="preserve"> </w:t>
      </w:r>
      <w:r w:rsidRPr="00BE4871">
        <w:rPr>
          <w:szCs w:val="26"/>
        </w:rPr>
        <w:t xml:space="preserve">it would impose </w:t>
      </w:r>
      <w:r>
        <w:rPr>
          <w:szCs w:val="26"/>
        </w:rPr>
        <w:t xml:space="preserve">upon plaintiffs seeking class certification </w:t>
      </w:r>
      <w:r w:rsidRPr="00BE4871">
        <w:rPr>
          <w:szCs w:val="26"/>
        </w:rPr>
        <w:t>was “something that, with proper foresight in the early stages of a class proceeding, can be addressed quite easily, especially if it is given the same level of care and attention as, for example, drafting a precise description of the class” (</w:t>
      </w:r>
      <w:r>
        <w:rPr>
          <w:i/>
        </w:rPr>
        <w:t>id.,</w:t>
      </w:r>
      <w:r w:rsidRPr="00BE4871">
        <w:rPr>
          <w:szCs w:val="26"/>
        </w:rPr>
        <w:t xml:space="preserve"> at pp.</w:t>
      </w:r>
      <w:r>
        <w:rPr>
          <w:szCs w:val="26"/>
        </w:rPr>
        <w:t> </w:t>
      </w:r>
      <w:r w:rsidRPr="00BE4871">
        <w:rPr>
          <w:szCs w:val="26"/>
        </w:rPr>
        <w:t>1333-1334)</w:t>
      </w:r>
      <w:r>
        <w:rPr>
          <w:szCs w:val="26"/>
        </w:rPr>
        <w:t>.</w:t>
      </w:r>
      <w:r w:rsidRPr="00BE4871">
        <w:rPr>
          <w:szCs w:val="26"/>
        </w:rPr>
        <w:t xml:space="preserve">  </w:t>
      </w:r>
    </w:p>
  </w:footnote>
  <w:footnote w:id="8">
    <w:p w14:paraId="25C1DAD3" w14:textId="77777777" w:rsidR="006136B2" w:rsidRDefault="006136B2" w:rsidP="004177C6">
      <w:pPr>
        <w:pStyle w:val="FootnoteText"/>
        <w:keepNext/>
        <w:keepLines/>
      </w:pPr>
      <w:r>
        <w:rPr>
          <w:rStyle w:val="FootnoteReference"/>
        </w:rPr>
        <w:footnoteRef/>
      </w:r>
      <w:r>
        <w:t xml:space="preserve"> </w:t>
      </w:r>
      <w:r>
        <w:tab/>
        <w:t xml:space="preserve">Our opinion in </w:t>
      </w:r>
      <w:r w:rsidRPr="00B2649A">
        <w:rPr>
          <w:i/>
        </w:rPr>
        <w:t>Daar</w:t>
      </w:r>
      <w:r>
        <w:t xml:space="preserve">, </w:t>
      </w:r>
      <w:r w:rsidRPr="00B2649A">
        <w:rPr>
          <w:i/>
        </w:rPr>
        <w:t>supra</w:t>
      </w:r>
      <w:r>
        <w:t xml:space="preserve">, 67 Cal.2d 695 also quoted a leading treatise’s observation that “ ‘[a] distinction is sometimes drawn between the maintenance of the suit and its binding effect on the absent parties.  </w:t>
      </w:r>
      <w:proofErr w:type="gramStart"/>
      <w:r>
        <w:t>A sufficient</w:t>
      </w:r>
      <w:proofErr w:type="gramEnd"/>
      <w:r>
        <w:t xml:space="preserve"> pleading of the conditions may withstand a demurrer and satisfy the court that the action should proceed.  But if the judgment is thereafter collaterally attacked by an absent party, a more </w:t>
      </w:r>
      <w:proofErr w:type="gramStart"/>
      <w:r>
        <w:t>careful scrutiny</w:t>
      </w:r>
      <w:proofErr w:type="gramEnd"/>
      <w:r>
        <w:t xml:space="preserve"> of its representative character may be made in determining whether it is res judicata.’ ”  (</w:t>
      </w:r>
      <w:r w:rsidRPr="00B2649A">
        <w:rPr>
          <w:i/>
        </w:rPr>
        <w:t>Id</w:t>
      </w:r>
      <w:r>
        <w:t xml:space="preserve">., at p. 706, quoting 2 Witkin, Cal. Procedure (1954) Representative or Class Suits, § 99, p. 1080.) </w:t>
      </w:r>
    </w:p>
  </w:footnote>
  <w:footnote w:id="9">
    <w:p w14:paraId="18F4A8FF" w14:textId="40C3E024" w:rsidR="006136B2" w:rsidRDefault="006136B2">
      <w:pPr>
        <w:pStyle w:val="FootnoteText"/>
      </w:pPr>
      <w:r>
        <w:rPr>
          <w:rStyle w:val="FootnoteReference"/>
        </w:rPr>
        <w:footnoteRef/>
      </w:r>
      <w:r>
        <w:t xml:space="preserve"> </w:t>
      </w:r>
      <w:r>
        <w:tab/>
      </w:r>
      <w:r>
        <w:rPr>
          <w:color w:val="000000" w:themeColor="text1"/>
          <w:szCs w:val="26"/>
        </w:rPr>
        <w:t xml:space="preserve">The court in </w:t>
      </w:r>
      <w:r w:rsidRPr="003C1CF8">
        <w:rPr>
          <w:i/>
          <w:color w:val="000000" w:themeColor="text1"/>
          <w:szCs w:val="26"/>
        </w:rPr>
        <w:t>Rose</w:t>
      </w:r>
      <w:r>
        <w:rPr>
          <w:color w:val="000000" w:themeColor="text1"/>
          <w:szCs w:val="26"/>
        </w:rPr>
        <w:t xml:space="preserve">, </w:t>
      </w:r>
      <w:r w:rsidRPr="003C1CF8">
        <w:rPr>
          <w:i/>
          <w:color w:val="000000" w:themeColor="text1"/>
          <w:szCs w:val="26"/>
        </w:rPr>
        <w:t>supra</w:t>
      </w:r>
      <w:r>
        <w:rPr>
          <w:color w:val="000000" w:themeColor="text1"/>
          <w:szCs w:val="26"/>
        </w:rPr>
        <w:t xml:space="preserve">, </w:t>
      </w:r>
      <w:r w:rsidRPr="003C1CF8">
        <w:t>126</w:t>
      </w:r>
      <w:r w:rsidRPr="004177C6">
        <w:t xml:space="preserve"> Cal.App.3d 926</w:t>
      </w:r>
      <w:r>
        <w:rPr>
          <w:color w:val="000000" w:themeColor="text1"/>
          <w:szCs w:val="26"/>
        </w:rPr>
        <w:t>, ultimately determined that “[t]he identity of the class . . . is readily ascertainable from . . . departmental records” — a conclusion that did not necessarily rule out other avenues for showing an ascertainable class.  (</w:t>
      </w:r>
      <w:r w:rsidRPr="008B5FB7">
        <w:rPr>
          <w:i/>
          <w:color w:val="000000" w:themeColor="text1"/>
          <w:szCs w:val="26"/>
        </w:rPr>
        <w:t>Id</w:t>
      </w:r>
      <w:r>
        <w:rPr>
          <w:color w:val="000000" w:themeColor="text1"/>
          <w:szCs w:val="26"/>
        </w:rPr>
        <w:t xml:space="preserve">., at p. 932; see also </w:t>
      </w:r>
      <w:r w:rsidRPr="00D35C49">
        <w:rPr>
          <w:i/>
        </w:rPr>
        <w:t>Faulkinbury v. Boyd &amp; Associates, Inc.</w:t>
      </w:r>
      <w:r w:rsidRPr="00D35C49">
        <w:t xml:space="preserve"> (2013) 216 Cal.App.4th 220, 240</w:t>
      </w:r>
      <w:r>
        <w:t xml:space="preserve"> [applying the </w:t>
      </w:r>
      <w:r w:rsidRPr="001C76CF">
        <w:rPr>
          <w:i/>
        </w:rPr>
        <w:t>Rose</w:t>
      </w:r>
      <w:r>
        <w:t xml:space="preserve"> standard and finding an ascertainable class]</w:t>
      </w:r>
      <w:r w:rsidRPr="00D35C49">
        <w:t xml:space="preserve">; </w:t>
      </w:r>
      <w:r w:rsidRPr="00D35C49">
        <w:rPr>
          <w:i/>
        </w:rPr>
        <w:t>Mora v. Big Lots Stores, Inc.</w:t>
      </w:r>
      <w:r w:rsidRPr="00D35C49">
        <w:t xml:space="preserve"> (2011) 194 Cal.App.4th 496, 504</w:t>
      </w:r>
      <w:r>
        <w:t xml:space="preserve"> [same]</w:t>
      </w:r>
      <w:r w:rsidRPr="00D35C49">
        <w:t xml:space="preserve">; </w:t>
      </w:r>
      <w:r w:rsidRPr="00D35C49">
        <w:rPr>
          <w:i/>
        </w:rPr>
        <w:t xml:space="preserve">Bomersheim v. Los Angeles Gay &amp; Lesbian Center </w:t>
      </w:r>
      <w:r w:rsidRPr="00D35C49">
        <w:t>(2010) 184 Cal.App.4th 1471, 1481</w:t>
      </w:r>
      <w:r>
        <w:t xml:space="preserve"> [same]</w:t>
      </w:r>
      <w:r w:rsidRPr="00D35C49">
        <w:t xml:space="preserve">; </w:t>
      </w:r>
      <w:r w:rsidRPr="00D35C49">
        <w:rPr>
          <w:i/>
        </w:rPr>
        <w:t>Ghazaryan v. Diva Limousine, Ltd.</w:t>
      </w:r>
      <w:r w:rsidRPr="00D35C49">
        <w:t xml:space="preserve"> (2008) 169 Cal.App.4th 1524, 1532-1533</w:t>
      </w:r>
      <w:r>
        <w:t xml:space="preserve"> [same]</w:t>
      </w:r>
      <w:r w:rsidRPr="00D35C49">
        <w:t xml:space="preserve">; </w:t>
      </w:r>
      <w:r w:rsidRPr="00D35C49">
        <w:rPr>
          <w:i/>
        </w:rPr>
        <w:t xml:space="preserve">Lee v. Dynamex, Inc. </w:t>
      </w:r>
      <w:r w:rsidRPr="00D35C49">
        <w:t>(2008) 166 Cal.App.4th 1325, 1334</w:t>
      </w:r>
      <w:r>
        <w:t xml:space="preserve"> [same]</w:t>
      </w:r>
      <w:r w:rsidRPr="00D35C49">
        <w:t xml:space="preserve">; </w:t>
      </w:r>
      <w:r w:rsidRPr="00D35C49">
        <w:rPr>
          <w:i/>
        </w:rPr>
        <w:t>Bufil v. Dollar Financial Group, Inc.</w:t>
      </w:r>
      <w:r w:rsidRPr="00D35C49">
        <w:t xml:space="preserve"> (2008) 162 Cal.App.4th 1193, 1206-1208</w:t>
      </w:r>
      <w:r>
        <w:t xml:space="preserve"> [same]</w:t>
      </w:r>
      <w:r w:rsidRPr="00D35C49">
        <w:t xml:space="preserve">; </w:t>
      </w:r>
      <w:r w:rsidRPr="00D35C49">
        <w:rPr>
          <w:i/>
        </w:rPr>
        <w:t>Aguiar v. Cintas Corp. No. 2</w:t>
      </w:r>
      <w:r w:rsidRPr="00D35C49">
        <w:t xml:space="preserve"> (2006) 144 Cal.App.4th 121, 135</w:t>
      </w:r>
      <w:r>
        <w:t>-136 [same].)</w:t>
      </w:r>
    </w:p>
  </w:footnote>
  <w:footnote w:id="10">
    <w:p w14:paraId="0948EF34" w14:textId="254FB192" w:rsidR="006136B2" w:rsidRDefault="006136B2">
      <w:pPr>
        <w:pStyle w:val="FootnoteText"/>
      </w:pPr>
      <w:r>
        <w:rPr>
          <w:rStyle w:val="FootnoteReference"/>
        </w:rPr>
        <w:footnoteRef/>
      </w:r>
      <w:r>
        <w:t xml:space="preserve"> </w:t>
      </w:r>
      <w:r>
        <w:tab/>
        <w:t xml:space="preserve">All further references to “Rule 23” and its subparts are to the Federal Rules of Civil Procedure (28 U.S.C.). </w:t>
      </w:r>
    </w:p>
  </w:footnote>
  <w:footnote w:id="11">
    <w:p w14:paraId="486CC253" w14:textId="76381275" w:rsidR="006136B2" w:rsidRDefault="006136B2">
      <w:pPr>
        <w:pStyle w:val="FootnoteText"/>
      </w:pPr>
      <w:r>
        <w:rPr>
          <w:rStyle w:val="FootnoteReference"/>
        </w:rPr>
        <w:footnoteRef/>
      </w:r>
      <w:r>
        <w:t xml:space="preserve"> </w:t>
      </w:r>
      <w:r>
        <w:tab/>
        <w:t>With classes certified under Rule 23(b)(1) or (2), meanwhile, the federal rules provide more generally that “the court may direct appropriate notice to the class.”  (</w:t>
      </w:r>
      <w:r w:rsidRPr="00EC750A">
        <w:rPr>
          <w:i/>
          <w:iCs/>
        </w:rPr>
        <w:t>Id</w:t>
      </w:r>
      <w:r>
        <w:t xml:space="preserve">., Rule 23(c)(2)(A).)  </w:t>
      </w:r>
    </w:p>
  </w:footnote>
  <w:footnote w:id="12">
    <w:p w14:paraId="0F67CAD0" w14:textId="7E7DC3B0" w:rsidR="006136B2" w:rsidRDefault="006136B2" w:rsidP="00507502">
      <w:pPr>
        <w:pStyle w:val="FootnoteText"/>
        <w:keepNext/>
        <w:keepLines/>
      </w:pPr>
      <w:r>
        <w:rPr>
          <w:rStyle w:val="FootnoteReference"/>
        </w:rPr>
        <w:footnoteRef/>
      </w:r>
      <w:r>
        <w:t xml:space="preserve"> </w:t>
      </w:r>
      <w:r>
        <w:tab/>
      </w:r>
      <w:r w:rsidRPr="00590118">
        <w:rPr>
          <w:i/>
        </w:rPr>
        <w:t>Mullins</w:t>
      </w:r>
      <w:r>
        <w:t xml:space="preserve">, </w:t>
      </w:r>
      <w:r w:rsidRPr="00590118">
        <w:rPr>
          <w:i/>
        </w:rPr>
        <w:t>supra</w:t>
      </w:r>
      <w:r>
        <w:t xml:space="preserve">, 795 F.3d 654 also rejected the argument that a heightened ascertainability requirement was necessary to protect the due process interests of class action </w:t>
      </w:r>
      <w:r w:rsidRPr="00A70982">
        <w:rPr>
          <w:i/>
        </w:rPr>
        <w:t>defendants</w:t>
      </w:r>
      <w:r>
        <w:t xml:space="preserve"> by protecting them from bogus claims and disproportionate liability.  (</w:t>
      </w:r>
      <w:r w:rsidRPr="00590118">
        <w:rPr>
          <w:i/>
        </w:rPr>
        <w:t>Id</w:t>
      </w:r>
      <w:r>
        <w:t xml:space="preserve">., at pp. 669-672.)  These concerns do not resonate here, in any event.  There is no suggestion that, if the plaintiff class ultimately prevails, Rite Aid will face any onslaught of spurious claims, much less a bevy that could not be weeded out through a competent </w:t>
      </w:r>
      <w:proofErr w:type="gramStart"/>
      <w:r>
        <w:t>claims</w:t>
      </w:r>
      <w:proofErr w:type="gramEnd"/>
      <w:r>
        <w:t xml:space="preserve"> administration process.  Also, because it is known how </w:t>
      </w:r>
      <w:proofErr w:type="gramStart"/>
      <w:r>
        <w:t>many</w:t>
      </w:r>
      <w:proofErr w:type="gramEnd"/>
      <w:r>
        <w:t xml:space="preserve"> pools were sold and not returned, and how much in revenue Rite Aid earned from these sales, the overall body of claims has a functional ceiling that further marginalizes any prospect of exaggerated liability.   </w:t>
      </w:r>
    </w:p>
  </w:footnote>
  <w:footnote w:id="13">
    <w:p w14:paraId="1BDC4D2E" w14:textId="55D05AE4" w:rsidR="006136B2" w:rsidRDefault="006136B2" w:rsidP="00491514">
      <w:pPr>
        <w:spacing w:line="240" w:lineRule="auto"/>
        <w:rPr>
          <w:color w:val="000000" w:themeColor="text1"/>
          <w:szCs w:val="26"/>
        </w:rPr>
      </w:pPr>
      <w:r>
        <w:rPr>
          <w:rStyle w:val="FootnoteReference"/>
        </w:rPr>
        <w:footnoteRef/>
      </w:r>
      <w:r>
        <w:t xml:space="preserve"> </w:t>
      </w:r>
      <w:r>
        <w:tab/>
      </w:r>
      <w:r w:rsidRPr="004177C6">
        <w:rPr>
          <w:color w:val="000000" w:themeColor="text1"/>
          <w:szCs w:val="26"/>
        </w:rPr>
        <w:t>The ascertainability standard we endorse</w:t>
      </w:r>
      <w:r>
        <w:rPr>
          <w:color w:val="000000" w:themeColor="text1"/>
          <w:szCs w:val="26"/>
        </w:rPr>
        <w:t xml:space="preserve"> also</w:t>
      </w:r>
      <w:r w:rsidRPr="004177C6">
        <w:rPr>
          <w:color w:val="000000" w:themeColor="text1"/>
          <w:szCs w:val="26"/>
        </w:rPr>
        <w:t xml:space="preserve"> addresses similar </w:t>
      </w:r>
      <w:r>
        <w:rPr>
          <w:color w:val="000000" w:themeColor="text1"/>
          <w:szCs w:val="26"/>
        </w:rPr>
        <w:t xml:space="preserve">fairness </w:t>
      </w:r>
      <w:r w:rsidRPr="004177C6">
        <w:rPr>
          <w:color w:val="000000" w:themeColor="text1"/>
          <w:szCs w:val="26"/>
        </w:rPr>
        <w:t xml:space="preserve">concerns that may </w:t>
      </w:r>
      <w:r>
        <w:rPr>
          <w:color w:val="000000" w:themeColor="text1"/>
          <w:szCs w:val="26"/>
        </w:rPr>
        <w:t>be associated</w:t>
      </w:r>
      <w:r w:rsidRPr="004177C6">
        <w:rPr>
          <w:color w:val="000000" w:themeColor="text1"/>
          <w:szCs w:val="26"/>
        </w:rPr>
        <w:t xml:space="preserve"> </w:t>
      </w:r>
      <w:r>
        <w:rPr>
          <w:color w:val="000000" w:themeColor="text1"/>
          <w:szCs w:val="26"/>
        </w:rPr>
        <w:t xml:space="preserve">with other problematic class definitions, such as </w:t>
      </w:r>
      <w:r w:rsidRPr="004177C6">
        <w:rPr>
          <w:color w:val="000000" w:themeColor="text1"/>
          <w:szCs w:val="26"/>
        </w:rPr>
        <w:t>a</w:t>
      </w:r>
      <w:r>
        <w:rPr>
          <w:color w:val="000000" w:themeColor="text1"/>
          <w:szCs w:val="26"/>
        </w:rPr>
        <w:t xml:space="preserve"> </w:t>
      </w:r>
      <w:r w:rsidRPr="004177C6">
        <w:rPr>
          <w:color w:val="000000" w:themeColor="text1"/>
          <w:szCs w:val="26"/>
        </w:rPr>
        <w:t xml:space="preserve">class defined by its putative members’ </w:t>
      </w:r>
      <w:r>
        <w:rPr>
          <w:color w:val="000000" w:themeColor="text1"/>
          <w:szCs w:val="26"/>
        </w:rPr>
        <w:t xml:space="preserve">subjective </w:t>
      </w:r>
      <w:r w:rsidRPr="004177C6">
        <w:rPr>
          <w:color w:val="000000" w:themeColor="text1"/>
          <w:szCs w:val="26"/>
        </w:rPr>
        <w:t xml:space="preserve">states of mind, as opposed to objective facts.  (See 1 </w:t>
      </w:r>
      <w:r w:rsidRPr="004177C6">
        <w:t>Newberg on Class Actions (5th ed. 2011) § 3:5, p. 168 [“[c]ourts generally deny certification when the putative class is defined by class members’ state of mind”]</w:t>
      </w:r>
      <w:r w:rsidRPr="004177C6">
        <w:rPr>
          <w:color w:val="000000" w:themeColor="text1"/>
          <w:szCs w:val="26"/>
        </w:rPr>
        <w:t xml:space="preserve">; see also </w:t>
      </w:r>
      <w:r w:rsidRPr="004177C6">
        <w:rPr>
          <w:i/>
          <w:color w:val="000000" w:themeColor="text1"/>
          <w:szCs w:val="26"/>
        </w:rPr>
        <w:t>Mullins</w:t>
      </w:r>
      <w:r w:rsidRPr="004177C6">
        <w:rPr>
          <w:color w:val="000000" w:themeColor="text1"/>
          <w:szCs w:val="26"/>
        </w:rPr>
        <w:t xml:space="preserve">, </w:t>
      </w:r>
      <w:r w:rsidRPr="00C64AEF">
        <w:rPr>
          <w:i/>
          <w:color w:val="000000" w:themeColor="text1"/>
          <w:szCs w:val="26"/>
        </w:rPr>
        <w:t>supra</w:t>
      </w:r>
      <w:r>
        <w:rPr>
          <w:color w:val="000000" w:themeColor="text1"/>
          <w:szCs w:val="26"/>
        </w:rPr>
        <w:t xml:space="preserve">, 795 F.3d </w:t>
      </w:r>
      <w:r w:rsidRPr="004177C6">
        <w:rPr>
          <w:color w:val="000000" w:themeColor="text1"/>
          <w:szCs w:val="26"/>
        </w:rPr>
        <w:t>at p. 660</w:t>
      </w:r>
      <w:r>
        <w:rPr>
          <w:color w:val="000000" w:themeColor="text1"/>
          <w:szCs w:val="26"/>
        </w:rPr>
        <w:t xml:space="preserve">; </w:t>
      </w:r>
      <w:r w:rsidRPr="00EF21A9">
        <w:rPr>
          <w:i/>
        </w:rPr>
        <w:t>Simer v. Rios</w:t>
      </w:r>
      <w:r>
        <w:t xml:space="preserve"> </w:t>
      </w:r>
      <w:r w:rsidRPr="0018070C">
        <w:t>(7th Cir.1981) 661 F.2d 655, 669</w:t>
      </w:r>
      <w:r>
        <w:t>-6</w:t>
      </w:r>
      <w:r w:rsidRPr="0018070C">
        <w:t>70</w:t>
      </w:r>
      <w:r>
        <w:t>.</w:t>
      </w:r>
      <w:r w:rsidRPr="004177C6">
        <w:rPr>
          <w:color w:val="000000" w:themeColor="text1"/>
          <w:szCs w:val="26"/>
        </w:rPr>
        <w:t xml:space="preserve">) </w:t>
      </w:r>
    </w:p>
    <w:p w14:paraId="6D89995A" w14:textId="77777777" w:rsidR="006136B2" w:rsidRPr="00491514" w:rsidRDefault="006136B2" w:rsidP="00491514">
      <w:pPr>
        <w:spacing w:line="240" w:lineRule="auto"/>
        <w:rPr>
          <w:color w:val="000000" w:themeColor="text1"/>
          <w:szCs w:val="26"/>
        </w:rPr>
      </w:pPr>
    </w:p>
  </w:footnote>
  <w:footnote w:id="14">
    <w:p w14:paraId="52CD0203" w14:textId="77777777" w:rsidR="006136B2" w:rsidRDefault="006136B2" w:rsidP="005C46B5">
      <w:pPr>
        <w:pStyle w:val="FootnoteText"/>
      </w:pPr>
      <w:r>
        <w:rPr>
          <w:rStyle w:val="FootnoteReference"/>
        </w:rPr>
        <w:footnoteRef/>
      </w:r>
      <w:r>
        <w:t xml:space="preserve"> </w:t>
      </w:r>
      <w:r>
        <w:tab/>
      </w:r>
      <w:r>
        <w:rPr>
          <w:color w:val="000000" w:themeColor="text1"/>
          <w:szCs w:val="26"/>
        </w:rPr>
        <w:t xml:space="preserve">As a somewhat distinct point, we also observe that premising ascertainability on the existence of official records capable of being used to identify class members might, in some situations, incentivize potential class action defendants to destroy or refuse to maintain useful records that could provide a basis for class treatment.  </w:t>
      </w:r>
    </w:p>
  </w:footnote>
  <w:footnote w:id="15">
    <w:p w14:paraId="1DD311B9" w14:textId="7C90A4AF" w:rsidR="006136B2" w:rsidRDefault="006136B2">
      <w:pPr>
        <w:pStyle w:val="FootnoteText"/>
      </w:pPr>
      <w:r>
        <w:rPr>
          <w:rStyle w:val="FootnoteReference"/>
        </w:rPr>
        <w:footnoteRef/>
      </w:r>
      <w:r>
        <w:t xml:space="preserve"> </w:t>
      </w:r>
      <w:r>
        <w:tab/>
        <w:t>To be clear, w</w:t>
      </w:r>
      <w:r w:rsidRPr="004177C6">
        <w:t xml:space="preserve">e have no occasion at this time to decide precisely what </w:t>
      </w:r>
      <w:r w:rsidRPr="00F27ABE">
        <w:t>would</w:t>
      </w:r>
      <w:r w:rsidRPr="004177C6">
        <w:t xml:space="preserve"> constitute adequate notice to absent members of the proposed class in this case.  Presumably</w:t>
      </w:r>
      <w:r>
        <w:t xml:space="preserve">, after remand any and all </w:t>
      </w:r>
      <w:r w:rsidRPr="004177C6">
        <w:t xml:space="preserve">appropriate inquiries will be made into </w:t>
      </w:r>
      <w:r>
        <w:t>matters relevant to</w:t>
      </w:r>
      <w:r w:rsidRPr="004177C6">
        <w:t xml:space="preserve"> </w:t>
      </w:r>
      <w:r>
        <w:t xml:space="preserve">the provision of adequate </w:t>
      </w:r>
      <w:r w:rsidRPr="004177C6">
        <w:t xml:space="preserve">notice.  </w:t>
      </w:r>
    </w:p>
  </w:footnote>
  <w:footnote w:id="16">
    <w:p w14:paraId="3326B645" w14:textId="4B3065E7" w:rsidR="006136B2" w:rsidRPr="00D55C10" w:rsidRDefault="006136B2" w:rsidP="00D55C10">
      <w:pPr>
        <w:pStyle w:val="FootnoteText"/>
        <w:spacing w:after="120"/>
        <w:rPr>
          <w:color w:val="000000" w:themeColor="text1"/>
          <w:szCs w:val="26"/>
        </w:rPr>
      </w:pPr>
      <w:r>
        <w:rPr>
          <w:rStyle w:val="FootnoteReference"/>
        </w:rPr>
        <w:footnoteRef/>
      </w:r>
      <w:r>
        <w:t xml:space="preserve">  </w:t>
      </w:r>
      <w:r>
        <w:tab/>
        <w:t xml:space="preserve">Numerous decisions by the Courts of Appeal, in addition to the opinion below, have invoked and applied the standard for ascertainability originally set forth in </w:t>
      </w:r>
      <w:r w:rsidRPr="008200B0">
        <w:rPr>
          <w:i/>
        </w:rPr>
        <w:t>Rose</w:t>
      </w:r>
      <w:r>
        <w:rPr>
          <w:i/>
        </w:rPr>
        <w:t xml:space="preserve"> v. City of Hayward</w:t>
      </w:r>
      <w:r>
        <w:t xml:space="preserve">, </w:t>
      </w:r>
      <w:r w:rsidRPr="008200B0">
        <w:rPr>
          <w:i/>
        </w:rPr>
        <w:t>supra</w:t>
      </w:r>
      <w:r>
        <w:t xml:space="preserve">, 126 Cal.App.3d at page 932, providing that </w:t>
      </w:r>
      <w:r w:rsidRPr="004177C6">
        <w:t>“[c]lass members are ‘ascertainable’ where they may be readily identified without unreasonable expense or time by reference to official records.”</w:t>
      </w:r>
      <w:r>
        <w:t xml:space="preserve">  (See </w:t>
      </w:r>
      <w:r w:rsidRPr="00D35C49">
        <w:rPr>
          <w:i/>
        </w:rPr>
        <w:t>Hefczyc v. Rady Children’s Hospital-San Diego</w:t>
      </w:r>
      <w:r w:rsidRPr="00D35C49">
        <w:t xml:space="preserve"> (2017) 17 Cal.App.5th 518, 536-5</w:t>
      </w:r>
      <w:r>
        <w:t>40</w:t>
      </w:r>
      <w:r w:rsidRPr="00D35C49">
        <w:t xml:space="preserve">; </w:t>
      </w:r>
      <w:r w:rsidRPr="00D35C49">
        <w:rPr>
          <w:i/>
        </w:rPr>
        <w:t>Kendall v. Scripps Health</w:t>
      </w:r>
      <w:r w:rsidRPr="00D35C49">
        <w:t xml:space="preserve"> (2017) 16 Cal.App.5th 553, 574-575; </w:t>
      </w:r>
      <w:r w:rsidRPr="00D35C49">
        <w:rPr>
          <w:i/>
        </w:rPr>
        <w:t>Cruz v. Sun World Internat., LLC</w:t>
      </w:r>
      <w:r>
        <w:t xml:space="preserve">, </w:t>
      </w:r>
      <w:r w:rsidRPr="008A28BA">
        <w:rPr>
          <w:i/>
        </w:rPr>
        <w:t>supra</w:t>
      </w:r>
      <w:r>
        <w:t xml:space="preserve">, </w:t>
      </w:r>
      <w:r w:rsidRPr="00D35C49">
        <w:t xml:space="preserve">243 Cal.App.4th </w:t>
      </w:r>
      <w:r>
        <w:t>at pp.</w:t>
      </w:r>
      <w:r w:rsidRPr="00D35C49">
        <w:t xml:space="preserve"> 375-382; </w:t>
      </w:r>
      <w:r w:rsidRPr="00D35C49">
        <w:rPr>
          <w:i/>
        </w:rPr>
        <w:t>Hale v. Sharp Healthcare</w:t>
      </w:r>
      <w:r>
        <w:t xml:space="preserve">, </w:t>
      </w:r>
      <w:r w:rsidRPr="00C27634">
        <w:rPr>
          <w:i/>
          <w:iCs/>
        </w:rPr>
        <w:t>supra</w:t>
      </w:r>
      <w:r>
        <w:t xml:space="preserve">, </w:t>
      </w:r>
      <w:r w:rsidRPr="00D35C49">
        <w:t xml:space="preserve">232 Cal.App.4th </w:t>
      </w:r>
      <w:r>
        <w:t>at pp.</w:t>
      </w:r>
      <w:r w:rsidRPr="00D35C49">
        <w:t xml:space="preserve"> 58-6</w:t>
      </w:r>
      <w:r>
        <w:t>1</w:t>
      </w:r>
      <w:r w:rsidRPr="00D35C49">
        <w:t xml:space="preserve">; </w:t>
      </w:r>
      <w:r w:rsidRPr="00D35C49">
        <w:rPr>
          <w:i/>
        </w:rPr>
        <w:t>Thompson v. Automobile Club of Southern California</w:t>
      </w:r>
      <w:r>
        <w:t xml:space="preserve">, </w:t>
      </w:r>
      <w:r w:rsidRPr="00C53811">
        <w:rPr>
          <w:i/>
        </w:rPr>
        <w:t>supra</w:t>
      </w:r>
      <w:r>
        <w:t xml:space="preserve">, </w:t>
      </w:r>
      <w:r w:rsidRPr="00D35C49">
        <w:t xml:space="preserve">217 Cal.App.4th </w:t>
      </w:r>
      <w:r>
        <w:t>at pp.</w:t>
      </w:r>
      <w:r w:rsidRPr="00D35C49">
        <w:t xml:space="preserve"> 72</w:t>
      </w:r>
      <w:r>
        <w:t>8</w:t>
      </w:r>
      <w:r w:rsidRPr="00D35C49">
        <w:t>-73</w:t>
      </w:r>
      <w:r>
        <w:t>1</w:t>
      </w:r>
      <w:r w:rsidRPr="00D35C49">
        <w:t xml:space="preserve">; </w:t>
      </w:r>
      <w:r w:rsidRPr="00D35C49">
        <w:rPr>
          <w:i/>
        </w:rPr>
        <w:t>Faulkinbury v. Boyd &amp; Associates, Inc.</w:t>
      </w:r>
      <w:r>
        <w:t xml:space="preserve">, </w:t>
      </w:r>
      <w:r w:rsidRPr="00C53811">
        <w:rPr>
          <w:i/>
        </w:rPr>
        <w:t>supra</w:t>
      </w:r>
      <w:r>
        <w:t xml:space="preserve">, </w:t>
      </w:r>
      <w:r w:rsidRPr="00D35C49">
        <w:t xml:space="preserve">216 Cal.App.4th </w:t>
      </w:r>
      <w:r>
        <w:t>at p.</w:t>
      </w:r>
      <w:r w:rsidRPr="00D35C49">
        <w:t xml:space="preserve"> 240; </w:t>
      </w:r>
      <w:r w:rsidRPr="00D35C49">
        <w:rPr>
          <w:i/>
        </w:rPr>
        <w:t>Sotelo</w:t>
      </w:r>
      <w:r>
        <w:rPr>
          <w:i/>
        </w:rPr>
        <w:t xml:space="preserve"> v. MediaNews Group, Inc.</w:t>
      </w:r>
      <w:r>
        <w:t>,</w:t>
      </w:r>
      <w:r>
        <w:rPr>
          <w:i/>
        </w:rPr>
        <w:t xml:space="preserve"> </w:t>
      </w:r>
      <w:r w:rsidRPr="00D35C49">
        <w:rPr>
          <w:i/>
        </w:rPr>
        <w:t>supra</w:t>
      </w:r>
      <w:r>
        <w:t xml:space="preserve">, </w:t>
      </w:r>
      <w:r w:rsidRPr="00D35C49">
        <w:t xml:space="preserve">207 Cal.App.4th </w:t>
      </w:r>
      <w:r>
        <w:t>at pp. 648-650</w:t>
      </w:r>
      <w:r w:rsidRPr="00D35C49">
        <w:t xml:space="preserve">; </w:t>
      </w:r>
      <w:r w:rsidRPr="00D35C49">
        <w:rPr>
          <w:i/>
        </w:rPr>
        <w:t>Mora v. Big Lots Stores, Inc.</w:t>
      </w:r>
      <w:r>
        <w:t xml:space="preserve">, </w:t>
      </w:r>
      <w:r w:rsidRPr="00F96B48">
        <w:rPr>
          <w:i/>
        </w:rPr>
        <w:t>supra</w:t>
      </w:r>
      <w:r>
        <w:t>,</w:t>
      </w:r>
      <w:r w:rsidRPr="00D35C49">
        <w:t xml:space="preserve"> 194 Cal.App.4th </w:t>
      </w:r>
      <w:r>
        <w:t>at p.</w:t>
      </w:r>
      <w:r w:rsidRPr="00D35C49">
        <w:t xml:space="preserve"> 504; </w:t>
      </w:r>
      <w:r w:rsidRPr="00D35C49">
        <w:rPr>
          <w:i/>
        </w:rPr>
        <w:t xml:space="preserve">Bomersheim v. Los Angeles Gay &amp; Lesbian </w:t>
      </w:r>
      <w:r w:rsidRPr="00E142E4">
        <w:rPr>
          <w:i/>
        </w:rPr>
        <w:t>Center</w:t>
      </w:r>
      <w:r>
        <w:t xml:space="preserve">, </w:t>
      </w:r>
      <w:r w:rsidRPr="00F96B48">
        <w:rPr>
          <w:i/>
        </w:rPr>
        <w:t>supra</w:t>
      </w:r>
      <w:r>
        <w:t xml:space="preserve">, </w:t>
      </w:r>
      <w:r w:rsidRPr="00F96B48">
        <w:t>184</w:t>
      </w:r>
      <w:r w:rsidRPr="00D35C49">
        <w:t xml:space="preserve"> Cal.App.4th </w:t>
      </w:r>
      <w:r>
        <w:t>at p. </w:t>
      </w:r>
      <w:r w:rsidRPr="00D35C49">
        <w:t xml:space="preserve">1481; </w:t>
      </w:r>
      <w:r w:rsidRPr="00D35C49">
        <w:rPr>
          <w:i/>
        </w:rPr>
        <w:t>Ghazaryan v. Diva Limousine, Ltd.</w:t>
      </w:r>
      <w:r>
        <w:t xml:space="preserve">, </w:t>
      </w:r>
      <w:r w:rsidRPr="00F96B48">
        <w:rPr>
          <w:i/>
        </w:rPr>
        <w:t>supra</w:t>
      </w:r>
      <w:r>
        <w:t xml:space="preserve">, </w:t>
      </w:r>
      <w:r w:rsidRPr="00D35C49">
        <w:t xml:space="preserve">169 Cal.App.4th </w:t>
      </w:r>
      <w:r>
        <w:t>at pp.</w:t>
      </w:r>
      <w:r w:rsidRPr="00D35C49">
        <w:t xml:space="preserve"> 1532-1533; </w:t>
      </w:r>
      <w:r w:rsidRPr="00D35C49">
        <w:rPr>
          <w:i/>
        </w:rPr>
        <w:t>Lee v. Dynamex, Inc.</w:t>
      </w:r>
      <w:r>
        <w:t xml:space="preserve">, </w:t>
      </w:r>
      <w:r w:rsidRPr="00F96B48">
        <w:rPr>
          <w:i/>
        </w:rPr>
        <w:t>supra</w:t>
      </w:r>
      <w:r>
        <w:t xml:space="preserve">, </w:t>
      </w:r>
      <w:r w:rsidRPr="00D35C49">
        <w:t xml:space="preserve">166 Cal.App.4th </w:t>
      </w:r>
      <w:r>
        <w:t>at p.</w:t>
      </w:r>
      <w:r w:rsidRPr="00D35C49">
        <w:t xml:space="preserve"> 1334; </w:t>
      </w:r>
      <w:r w:rsidRPr="00D35C49">
        <w:rPr>
          <w:i/>
        </w:rPr>
        <w:t>Bufil v. Dollar Financial Group, Inc.</w:t>
      </w:r>
      <w:r>
        <w:t xml:space="preserve">, </w:t>
      </w:r>
      <w:r w:rsidRPr="00F96B48">
        <w:rPr>
          <w:i/>
        </w:rPr>
        <w:t>supra</w:t>
      </w:r>
      <w:r>
        <w:t xml:space="preserve">, </w:t>
      </w:r>
      <w:r w:rsidRPr="00D35C49">
        <w:t xml:space="preserve">162 Cal.App.4th </w:t>
      </w:r>
      <w:r>
        <w:t>at pp.</w:t>
      </w:r>
      <w:r w:rsidRPr="00D35C49">
        <w:t xml:space="preserve"> 1206-1208; </w:t>
      </w:r>
      <w:r w:rsidRPr="00D35C49">
        <w:rPr>
          <w:i/>
        </w:rPr>
        <w:t>Aguiar v. Cintas Corp. No. 2</w:t>
      </w:r>
      <w:r>
        <w:t xml:space="preserve">, </w:t>
      </w:r>
      <w:r w:rsidRPr="00F96B48">
        <w:rPr>
          <w:i/>
        </w:rPr>
        <w:t>supra</w:t>
      </w:r>
      <w:r>
        <w:t xml:space="preserve">, </w:t>
      </w:r>
      <w:r w:rsidRPr="00D35C49">
        <w:t xml:space="preserve">144 Cal.App.4th </w:t>
      </w:r>
      <w:r>
        <w:t>at pp.</w:t>
      </w:r>
      <w:r w:rsidRPr="00D35C49">
        <w:t xml:space="preserve"> 135</w:t>
      </w:r>
      <w:r>
        <w:t xml:space="preserve">-136.)  As our analysis should make clear, this is one way but not the only way to show an ascertainable class.  We therefore disapprove of this standard </w:t>
      </w:r>
      <w:proofErr w:type="gramStart"/>
      <w:r>
        <w:t>insofar as</w:t>
      </w:r>
      <w:proofErr w:type="gramEnd"/>
      <w:r>
        <w:t xml:space="preserve"> it could be perceived as exclusive.  Likewise, insofar as the three-factor approach to ascertainability set forth in </w:t>
      </w:r>
      <w:r w:rsidRPr="001F0F71">
        <w:rPr>
          <w:i/>
          <w:iCs/>
        </w:rPr>
        <w:t>Miller</w:t>
      </w:r>
      <w:r>
        <w:t xml:space="preserve">, </w:t>
      </w:r>
      <w:r w:rsidRPr="001F0F71">
        <w:rPr>
          <w:i/>
          <w:iCs/>
        </w:rPr>
        <w:t>supra</w:t>
      </w:r>
      <w:r>
        <w:t xml:space="preserve">, </w:t>
      </w:r>
      <w:r w:rsidRPr="004177C6">
        <w:rPr>
          <w:color w:val="000000" w:themeColor="text1"/>
          <w:szCs w:val="26"/>
        </w:rPr>
        <w:t xml:space="preserve">148 Cal.App.3d </w:t>
      </w:r>
      <w:r>
        <w:rPr>
          <w:color w:val="000000" w:themeColor="text1"/>
          <w:szCs w:val="26"/>
        </w:rPr>
        <w:t>at page 873 could be read to demand a more exacting inquiry than the approach we endorse today, we disapprove of it, as well.</w:t>
      </w:r>
    </w:p>
  </w:footnote>
  <w:footnote w:id="17">
    <w:p w14:paraId="13FCD2ED" w14:textId="492C6809" w:rsidR="006136B2" w:rsidRDefault="006136B2">
      <w:pPr>
        <w:pStyle w:val="FootnoteText"/>
      </w:pPr>
      <w:r>
        <w:rPr>
          <w:rStyle w:val="FootnoteReference"/>
        </w:rPr>
        <w:footnoteRef/>
      </w:r>
      <w:r>
        <w:t xml:space="preserve"> </w:t>
      </w:r>
      <w:r>
        <w:tab/>
      </w:r>
      <w:r>
        <w:rPr>
          <w:color w:val="000000" w:themeColor="text1"/>
          <w:szCs w:val="26"/>
        </w:rPr>
        <w:t>E</w:t>
      </w:r>
      <w:r w:rsidRPr="004177C6">
        <w:rPr>
          <w:color w:val="000000" w:themeColor="text1"/>
          <w:szCs w:val="26"/>
        </w:rPr>
        <w:t xml:space="preserve">ven though class definition is logically antecedent to the question of how notice is to be provided to the class </w:t>
      </w:r>
      <w:r w:rsidRPr="004177C6">
        <w:t xml:space="preserve">(see </w:t>
      </w:r>
      <w:bookmarkStart w:id="7" w:name="_Hlk2153659"/>
      <w:r w:rsidRPr="004177C6">
        <w:rPr>
          <w:i/>
        </w:rPr>
        <w:t>Fireside Bank</w:t>
      </w:r>
      <w:r w:rsidRPr="004177C6">
        <w:t xml:space="preserve">, </w:t>
      </w:r>
      <w:r w:rsidRPr="004177C6">
        <w:rPr>
          <w:i/>
        </w:rPr>
        <w:t>supra</w:t>
      </w:r>
      <w:r w:rsidRPr="004177C6">
        <w:t xml:space="preserve">, 40 Cal.4th at p. </w:t>
      </w:r>
      <w:bookmarkEnd w:id="7"/>
      <w:r w:rsidRPr="004177C6">
        <w:t xml:space="preserve">1074; </w:t>
      </w:r>
      <w:r w:rsidRPr="004177C6">
        <w:rPr>
          <w:i/>
        </w:rPr>
        <w:t>Home Savings &amp; Loan Assn. v. Superior Court</w:t>
      </w:r>
      <w:r w:rsidRPr="004177C6">
        <w:t xml:space="preserve"> (1974) 42 Cal.App.3d 100</w:t>
      </w:r>
      <w:r>
        <w:t>6</w:t>
      </w:r>
      <w:r w:rsidRPr="004177C6">
        <w:t xml:space="preserve">, 1010) and </w:t>
      </w:r>
      <w:r>
        <w:t>notice is commonly addressed after class certification</w:t>
      </w:r>
      <w:r w:rsidRPr="004177C6">
        <w:t xml:space="preserve"> (see</w:t>
      </w:r>
      <w:r>
        <w:t>, e.g.,</w:t>
      </w:r>
      <w:r w:rsidRPr="004177C6">
        <w:t xml:space="preserve"> </w:t>
      </w:r>
      <w:r w:rsidRPr="004177C6">
        <w:rPr>
          <w:i/>
        </w:rPr>
        <w:t>Linder</w:t>
      </w:r>
      <w:r w:rsidRPr="004177C6">
        <w:t xml:space="preserve">, </w:t>
      </w:r>
      <w:r w:rsidRPr="004177C6">
        <w:rPr>
          <w:i/>
        </w:rPr>
        <w:t>supra</w:t>
      </w:r>
      <w:r w:rsidRPr="004177C6">
        <w:t>, 23 Cal.4th at p. 444),</w:t>
      </w:r>
      <w:r w:rsidRPr="004177C6">
        <w:rPr>
          <w:color w:val="000000" w:themeColor="text1"/>
          <w:szCs w:val="26"/>
        </w:rPr>
        <w:t xml:space="preserve"> contemporaneous inquir</w:t>
      </w:r>
      <w:r>
        <w:rPr>
          <w:color w:val="000000" w:themeColor="text1"/>
          <w:szCs w:val="26"/>
        </w:rPr>
        <w:t>ies</w:t>
      </w:r>
      <w:r w:rsidRPr="004177C6">
        <w:rPr>
          <w:color w:val="000000" w:themeColor="text1"/>
          <w:szCs w:val="26"/>
        </w:rPr>
        <w:t xml:space="preserve"> into both class definition and notice </w:t>
      </w:r>
      <w:r>
        <w:rPr>
          <w:color w:val="000000" w:themeColor="text1"/>
          <w:szCs w:val="26"/>
        </w:rPr>
        <w:t>are</w:t>
      </w:r>
      <w:r w:rsidRPr="004177C6">
        <w:rPr>
          <w:color w:val="000000" w:themeColor="text1"/>
          <w:szCs w:val="26"/>
        </w:rPr>
        <w:t xml:space="preserve"> </w:t>
      </w:r>
      <w:r w:rsidR="00D04D71">
        <w:rPr>
          <w:color w:val="000000" w:themeColor="text1"/>
          <w:szCs w:val="26"/>
        </w:rPr>
        <w:t>permissible under</w:t>
      </w:r>
      <w:r w:rsidRPr="004177C6">
        <w:rPr>
          <w:color w:val="000000" w:themeColor="text1"/>
          <w:szCs w:val="26"/>
        </w:rPr>
        <w:t xml:space="preserve"> the CLRA </w:t>
      </w:r>
      <w:r w:rsidRPr="004177C6">
        <w:t>(</w:t>
      </w:r>
      <w:r w:rsidR="00D04D71">
        <w:t xml:space="preserve">see </w:t>
      </w:r>
      <w:r w:rsidRPr="004177C6">
        <w:t>Civ. Code, § 1781, subd. (c)</w:t>
      </w:r>
      <w:r>
        <w:t xml:space="preserve">(1), </w:t>
      </w:r>
      <w:r w:rsidRPr="004177C6">
        <w:t>(2)) and</w:t>
      </w:r>
      <w:r>
        <w:t xml:space="preserve"> </w:t>
      </w:r>
      <w:r w:rsidRPr="004177C6">
        <w:t xml:space="preserve">the rules of court (Cal. Rules of Court, rule 3.766(c)).  </w:t>
      </w:r>
    </w:p>
  </w:footnote>
  <w:footnote w:id="18">
    <w:p w14:paraId="65D043FF" w14:textId="2FE7C4DC" w:rsidR="006136B2" w:rsidRDefault="006136B2" w:rsidP="004177C6">
      <w:pPr>
        <w:pStyle w:val="FootnoteText"/>
        <w:keepNext/>
        <w:keepLines/>
      </w:pPr>
      <w:r>
        <w:rPr>
          <w:rStyle w:val="FootnoteReference"/>
        </w:rPr>
        <w:footnoteRef/>
      </w:r>
      <w:r>
        <w:t xml:space="preserve"> </w:t>
      </w:r>
      <w:r>
        <w:tab/>
      </w:r>
      <w:r w:rsidRPr="00020E82">
        <w:t>The record developed below does not establish whether Rite Aid sold Ready Set Pools in other sizes during the class period.  If so, the class definition’s reference to purchasers of “</w:t>
      </w:r>
      <w:r w:rsidRPr="00020E82">
        <w:rPr>
          <w:i/>
        </w:rPr>
        <w:t>the</w:t>
      </w:r>
      <w:r w:rsidRPr="00020E82">
        <w:t xml:space="preserve"> Ready Set Pool” (italics added) may require clarification, to </w:t>
      </w:r>
      <w:r>
        <w:t>establish</w:t>
      </w:r>
      <w:r w:rsidRPr="00020E82">
        <w:t xml:space="preserve"> that only purchasers of the model measuring </w:t>
      </w:r>
      <w:r>
        <w:t>eight</w:t>
      </w:r>
      <w:r w:rsidRPr="00020E82">
        <w:t xml:space="preserve"> feet by 25 inches are included within the class.  This </w:t>
      </w:r>
      <w:r>
        <w:t>flaw</w:t>
      </w:r>
      <w:r w:rsidRPr="00020E82">
        <w:t xml:space="preserve"> within the definition would not, however, mean that the class is not </w:t>
      </w:r>
      <w:r w:rsidRPr="00020E82">
        <w:rPr>
          <w:i/>
        </w:rPr>
        <w:t>ascertainable</w:t>
      </w:r>
      <w:r w:rsidRPr="00020E82">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CD6B73" w14:textId="77777777" w:rsidR="006136B2" w:rsidRDefault="006136B2">
    <w:pPr>
      <w:pStyle w:val="Header"/>
    </w:pPr>
    <w:r>
      <w:t>NOEL v. THRIFTY PAYLESS, INC.</w:t>
    </w:r>
  </w:p>
  <w:p w14:paraId="409FDE23" w14:textId="77777777" w:rsidR="006136B2" w:rsidRDefault="006136B2">
    <w:pPr>
      <w:pStyle w:val="Header"/>
    </w:pPr>
    <w:r>
      <w:t>Opinion of the Court by Cantil-Sakauye, C. J.</w:t>
    </w:r>
  </w:p>
  <w:p w14:paraId="5019C9DF" w14:textId="77777777" w:rsidR="006136B2" w:rsidRDefault="006136B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A73E3C" w14:textId="77777777" w:rsidR="0091607A" w:rsidRDefault="0078686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FD346F" w14:textId="77777777" w:rsidR="0091607A" w:rsidRDefault="0078686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B9E637" w14:textId="77777777" w:rsidR="0091607A" w:rsidRDefault="0078686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E75AA2"/>
    <w:multiLevelType w:val="hybridMultilevel"/>
    <w:tmpl w:val="C5247A8C"/>
    <w:lvl w:ilvl="0" w:tplc="C57CAEFE">
      <w:start w:val="1"/>
      <w:numFmt w:val="decimal"/>
      <w:lvlText w:val="%1."/>
      <w:lvlJc w:val="left"/>
      <w:pPr>
        <w:ind w:left="135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4A4D2FF2"/>
    <w:multiLevelType w:val="hybridMultilevel"/>
    <w:tmpl w:val="DAB86502"/>
    <w:lvl w:ilvl="0" w:tplc="BF2CA782">
      <w:start w:val="3"/>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7EE50DB"/>
    <w:multiLevelType w:val="hybridMultilevel"/>
    <w:tmpl w:val="FF18094E"/>
    <w:lvl w:ilvl="0" w:tplc="E1FE797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printFractionalCharacterWidth/>
  <w:activeWritingStyle w:appName="MSWord" w:lang="en-US" w:vendorID="64" w:dllVersion="5" w:nlCheck="1" w:checkStyle="1"/>
  <w:activeWritingStyle w:appName="MSWord" w:lang="en-US" w:vendorID="64" w:dllVersion="0" w:nlCheck="1" w:checkStyle="0"/>
  <w:activeWritingStyle w:appName="MSWord" w:lang="en-US" w:vendorID="64" w:dllVersion="6" w:nlCheck="1" w:checkStyle="1"/>
  <w:activeWritingStyle w:appName="MSWord" w:lang="en-US" w:vendorID="64" w:dllVersion="4096" w:nlCheck="1" w:checkStyle="0"/>
  <w:proofState w:grammar="clean"/>
  <w:defaultTabStop w:val="720"/>
  <w:doNotHyphenateCaps/>
  <w:displayHorizontalDrawingGridEvery w:val="0"/>
  <w:displayVerticalDrawingGridEvery w:val="0"/>
  <w:doNotUseMarginsForDrawingGridOrigin/>
  <w:noPunctuationKerning/>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26F9"/>
    <w:rsid w:val="00000E79"/>
    <w:rsid w:val="00002A77"/>
    <w:rsid w:val="000205CD"/>
    <w:rsid w:val="00020E82"/>
    <w:rsid w:val="00027835"/>
    <w:rsid w:val="00033D5E"/>
    <w:rsid w:val="000367BE"/>
    <w:rsid w:val="00044508"/>
    <w:rsid w:val="000505D9"/>
    <w:rsid w:val="00053720"/>
    <w:rsid w:val="00053D64"/>
    <w:rsid w:val="00055117"/>
    <w:rsid w:val="0005512F"/>
    <w:rsid w:val="00057DB5"/>
    <w:rsid w:val="00065311"/>
    <w:rsid w:val="00067C0F"/>
    <w:rsid w:val="00070AF7"/>
    <w:rsid w:val="00070CAB"/>
    <w:rsid w:val="0007416B"/>
    <w:rsid w:val="000762B6"/>
    <w:rsid w:val="00092C2F"/>
    <w:rsid w:val="000934D5"/>
    <w:rsid w:val="00095D92"/>
    <w:rsid w:val="00097A1A"/>
    <w:rsid w:val="000A07AD"/>
    <w:rsid w:val="000A2474"/>
    <w:rsid w:val="000A47CD"/>
    <w:rsid w:val="000A5481"/>
    <w:rsid w:val="000A5915"/>
    <w:rsid w:val="000A7D9E"/>
    <w:rsid w:val="000B0D8C"/>
    <w:rsid w:val="000B26F9"/>
    <w:rsid w:val="000B4BFC"/>
    <w:rsid w:val="000B7FDB"/>
    <w:rsid w:val="000C1EEB"/>
    <w:rsid w:val="000C4DC0"/>
    <w:rsid w:val="000C5CCF"/>
    <w:rsid w:val="000C6A6D"/>
    <w:rsid w:val="000D0602"/>
    <w:rsid w:val="000D5745"/>
    <w:rsid w:val="000D5EFE"/>
    <w:rsid w:val="000D68BF"/>
    <w:rsid w:val="000D7A39"/>
    <w:rsid w:val="000E07BC"/>
    <w:rsid w:val="000E10C5"/>
    <w:rsid w:val="000E40FD"/>
    <w:rsid w:val="000F2E55"/>
    <w:rsid w:val="001046CA"/>
    <w:rsid w:val="00105755"/>
    <w:rsid w:val="00105EA6"/>
    <w:rsid w:val="001060E9"/>
    <w:rsid w:val="001072C4"/>
    <w:rsid w:val="00111E4E"/>
    <w:rsid w:val="00112A0E"/>
    <w:rsid w:val="00112A5B"/>
    <w:rsid w:val="00113D4A"/>
    <w:rsid w:val="001157FE"/>
    <w:rsid w:val="00115CA3"/>
    <w:rsid w:val="001217AF"/>
    <w:rsid w:val="00125981"/>
    <w:rsid w:val="001300F5"/>
    <w:rsid w:val="00130676"/>
    <w:rsid w:val="00130B14"/>
    <w:rsid w:val="00133B26"/>
    <w:rsid w:val="00136CE6"/>
    <w:rsid w:val="00136F53"/>
    <w:rsid w:val="00137A90"/>
    <w:rsid w:val="00140A6F"/>
    <w:rsid w:val="00143D28"/>
    <w:rsid w:val="00146AA3"/>
    <w:rsid w:val="00146B18"/>
    <w:rsid w:val="0015265F"/>
    <w:rsid w:val="00153EA8"/>
    <w:rsid w:val="00154005"/>
    <w:rsid w:val="0015466F"/>
    <w:rsid w:val="001574E1"/>
    <w:rsid w:val="001578BD"/>
    <w:rsid w:val="00162080"/>
    <w:rsid w:val="001636DD"/>
    <w:rsid w:val="001638B0"/>
    <w:rsid w:val="00166872"/>
    <w:rsid w:val="00167E88"/>
    <w:rsid w:val="0018055E"/>
    <w:rsid w:val="0018461B"/>
    <w:rsid w:val="001869EE"/>
    <w:rsid w:val="00195EDC"/>
    <w:rsid w:val="001A3842"/>
    <w:rsid w:val="001A516B"/>
    <w:rsid w:val="001A7F5C"/>
    <w:rsid w:val="001B08BD"/>
    <w:rsid w:val="001B50C1"/>
    <w:rsid w:val="001C1EB0"/>
    <w:rsid w:val="001C4169"/>
    <w:rsid w:val="001C638A"/>
    <w:rsid w:val="001C76CF"/>
    <w:rsid w:val="001D1473"/>
    <w:rsid w:val="001D4508"/>
    <w:rsid w:val="001F0AE5"/>
    <w:rsid w:val="001F0F71"/>
    <w:rsid w:val="001F4709"/>
    <w:rsid w:val="001F4FF3"/>
    <w:rsid w:val="001F5446"/>
    <w:rsid w:val="0020258E"/>
    <w:rsid w:val="00202F27"/>
    <w:rsid w:val="002045D7"/>
    <w:rsid w:val="00207BE4"/>
    <w:rsid w:val="00212885"/>
    <w:rsid w:val="002163F3"/>
    <w:rsid w:val="00222E91"/>
    <w:rsid w:val="0022544C"/>
    <w:rsid w:val="0022545C"/>
    <w:rsid w:val="00225BA3"/>
    <w:rsid w:val="0022619F"/>
    <w:rsid w:val="00226C0C"/>
    <w:rsid w:val="00226E68"/>
    <w:rsid w:val="002307AA"/>
    <w:rsid w:val="002466C8"/>
    <w:rsid w:val="00247BDA"/>
    <w:rsid w:val="0025257E"/>
    <w:rsid w:val="00252988"/>
    <w:rsid w:val="0025369C"/>
    <w:rsid w:val="00255D8A"/>
    <w:rsid w:val="00257B01"/>
    <w:rsid w:val="00261FB9"/>
    <w:rsid w:val="002631D5"/>
    <w:rsid w:val="00271E83"/>
    <w:rsid w:val="00275669"/>
    <w:rsid w:val="0027702D"/>
    <w:rsid w:val="002809B9"/>
    <w:rsid w:val="002821E8"/>
    <w:rsid w:val="00285890"/>
    <w:rsid w:val="00292321"/>
    <w:rsid w:val="00292B04"/>
    <w:rsid w:val="00294286"/>
    <w:rsid w:val="002A5AC3"/>
    <w:rsid w:val="002A5C4D"/>
    <w:rsid w:val="002B56CB"/>
    <w:rsid w:val="002C04F6"/>
    <w:rsid w:val="002C392D"/>
    <w:rsid w:val="002D0D46"/>
    <w:rsid w:val="002D0FF6"/>
    <w:rsid w:val="002D34C9"/>
    <w:rsid w:val="002E12BF"/>
    <w:rsid w:val="002E187D"/>
    <w:rsid w:val="002E6897"/>
    <w:rsid w:val="002E7ADF"/>
    <w:rsid w:val="002F4D3D"/>
    <w:rsid w:val="003025B1"/>
    <w:rsid w:val="00306557"/>
    <w:rsid w:val="00306ECE"/>
    <w:rsid w:val="00313A0E"/>
    <w:rsid w:val="00313EEB"/>
    <w:rsid w:val="003150E8"/>
    <w:rsid w:val="003160CA"/>
    <w:rsid w:val="003211EB"/>
    <w:rsid w:val="00327856"/>
    <w:rsid w:val="00330508"/>
    <w:rsid w:val="00330B94"/>
    <w:rsid w:val="00331E94"/>
    <w:rsid w:val="003407CC"/>
    <w:rsid w:val="0034129D"/>
    <w:rsid w:val="00343533"/>
    <w:rsid w:val="00343A19"/>
    <w:rsid w:val="00345550"/>
    <w:rsid w:val="0035085C"/>
    <w:rsid w:val="00355B73"/>
    <w:rsid w:val="00360BBF"/>
    <w:rsid w:val="00361738"/>
    <w:rsid w:val="003620C5"/>
    <w:rsid w:val="00366AB3"/>
    <w:rsid w:val="0037333B"/>
    <w:rsid w:val="00376487"/>
    <w:rsid w:val="003809A2"/>
    <w:rsid w:val="00385264"/>
    <w:rsid w:val="00390808"/>
    <w:rsid w:val="0039092C"/>
    <w:rsid w:val="0039295B"/>
    <w:rsid w:val="00392CCC"/>
    <w:rsid w:val="003943BD"/>
    <w:rsid w:val="00395F57"/>
    <w:rsid w:val="003A02AF"/>
    <w:rsid w:val="003A1A47"/>
    <w:rsid w:val="003A3D10"/>
    <w:rsid w:val="003A4855"/>
    <w:rsid w:val="003B10D5"/>
    <w:rsid w:val="003B226C"/>
    <w:rsid w:val="003B2470"/>
    <w:rsid w:val="003B3C12"/>
    <w:rsid w:val="003B407A"/>
    <w:rsid w:val="003B60C6"/>
    <w:rsid w:val="003B7EC0"/>
    <w:rsid w:val="003C037E"/>
    <w:rsid w:val="003C1CF8"/>
    <w:rsid w:val="003C6799"/>
    <w:rsid w:val="003D1050"/>
    <w:rsid w:val="003D1737"/>
    <w:rsid w:val="003D6A8A"/>
    <w:rsid w:val="003D7569"/>
    <w:rsid w:val="003D7622"/>
    <w:rsid w:val="003E6A89"/>
    <w:rsid w:val="003F3929"/>
    <w:rsid w:val="003F5D19"/>
    <w:rsid w:val="004017EC"/>
    <w:rsid w:val="00402580"/>
    <w:rsid w:val="00404FD5"/>
    <w:rsid w:val="00412C2D"/>
    <w:rsid w:val="004177C6"/>
    <w:rsid w:val="00421121"/>
    <w:rsid w:val="00421180"/>
    <w:rsid w:val="00426183"/>
    <w:rsid w:val="0043040E"/>
    <w:rsid w:val="0044497F"/>
    <w:rsid w:val="00446ABF"/>
    <w:rsid w:val="00447CCA"/>
    <w:rsid w:val="00450F92"/>
    <w:rsid w:val="00451540"/>
    <w:rsid w:val="00453BF6"/>
    <w:rsid w:val="00454EE1"/>
    <w:rsid w:val="004651C8"/>
    <w:rsid w:val="00467A00"/>
    <w:rsid w:val="004724D8"/>
    <w:rsid w:val="00473177"/>
    <w:rsid w:val="0047411F"/>
    <w:rsid w:val="00475E18"/>
    <w:rsid w:val="0047604D"/>
    <w:rsid w:val="00476DB7"/>
    <w:rsid w:val="00481216"/>
    <w:rsid w:val="00484E2E"/>
    <w:rsid w:val="00485361"/>
    <w:rsid w:val="0048599A"/>
    <w:rsid w:val="00485EF1"/>
    <w:rsid w:val="00486F40"/>
    <w:rsid w:val="0049042F"/>
    <w:rsid w:val="00491514"/>
    <w:rsid w:val="004935BE"/>
    <w:rsid w:val="004A0CC5"/>
    <w:rsid w:val="004A2302"/>
    <w:rsid w:val="004A31A0"/>
    <w:rsid w:val="004A34B0"/>
    <w:rsid w:val="004A37D6"/>
    <w:rsid w:val="004A5625"/>
    <w:rsid w:val="004A5FAC"/>
    <w:rsid w:val="004A7458"/>
    <w:rsid w:val="004B0D85"/>
    <w:rsid w:val="004B3127"/>
    <w:rsid w:val="004B59B5"/>
    <w:rsid w:val="004B6F3E"/>
    <w:rsid w:val="004C115A"/>
    <w:rsid w:val="004C22C0"/>
    <w:rsid w:val="004C378E"/>
    <w:rsid w:val="004C79BD"/>
    <w:rsid w:val="004D17CD"/>
    <w:rsid w:val="004D2689"/>
    <w:rsid w:val="004D4E2E"/>
    <w:rsid w:val="004D7763"/>
    <w:rsid w:val="004D7836"/>
    <w:rsid w:val="004E1DC9"/>
    <w:rsid w:val="004E31A2"/>
    <w:rsid w:val="004E38FB"/>
    <w:rsid w:val="005030FA"/>
    <w:rsid w:val="00503FC0"/>
    <w:rsid w:val="00507502"/>
    <w:rsid w:val="0051145D"/>
    <w:rsid w:val="00514810"/>
    <w:rsid w:val="005164EA"/>
    <w:rsid w:val="00522D18"/>
    <w:rsid w:val="00525A0B"/>
    <w:rsid w:val="00525C18"/>
    <w:rsid w:val="00525DBA"/>
    <w:rsid w:val="00526110"/>
    <w:rsid w:val="0052648A"/>
    <w:rsid w:val="0052712D"/>
    <w:rsid w:val="005305EA"/>
    <w:rsid w:val="0053096D"/>
    <w:rsid w:val="005357B9"/>
    <w:rsid w:val="00537545"/>
    <w:rsid w:val="005431F1"/>
    <w:rsid w:val="00544156"/>
    <w:rsid w:val="00545F16"/>
    <w:rsid w:val="0054783A"/>
    <w:rsid w:val="00553A0A"/>
    <w:rsid w:val="00553A3C"/>
    <w:rsid w:val="00562A88"/>
    <w:rsid w:val="005731DD"/>
    <w:rsid w:val="005733B7"/>
    <w:rsid w:val="005760CC"/>
    <w:rsid w:val="005843BA"/>
    <w:rsid w:val="005843FE"/>
    <w:rsid w:val="00590118"/>
    <w:rsid w:val="00590923"/>
    <w:rsid w:val="00590AEF"/>
    <w:rsid w:val="005957FE"/>
    <w:rsid w:val="005A168D"/>
    <w:rsid w:val="005A1CD9"/>
    <w:rsid w:val="005A27FB"/>
    <w:rsid w:val="005A351F"/>
    <w:rsid w:val="005A6A86"/>
    <w:rsid w:val="005A75F7"/>
    <w:rsid w:val="005B2E54"/>
    <w:rsid w:val="005B5522"/>
    <w:rsid w:val="005C2477"/>
    <w:rsid w:val="005C46B5"/>
    <w:rsid w:val="005C51A8"/>
    <w:rsid w:val="005C57D3"/>
    <w:rsid w:val="005D0CD5"/>
    <w:rsid w:val="005D6AC2"/>
    <w:rsid w:val="005E10F5"/>
    <w:rsid w:val="005F0829"/>
    <w:rsid w:val="005F39AA"/>
    <w:rsid w:val="005F3A23"/>
    <w:rsid w:val="005F4CFF"/>
    <w:rsid w:val="00612678"/>
    <w:rsid w:val="006136B2"/>
    <w:rsid w:val="00617C9A"/>
    <w:rsid w:val="006209B8"/>
    <w:rsid w:val="00620F9D"/>
    <w:rsid w:val="00621FCF"/>
    <w:rsid w:val="0062218E"/>
    <w:rsid w:val="006223DF"/>
    <w:rsid w:val="006274D5"/>
    <w:rsid w:val="0063283A"/>
    <w:rsid w:val="00632F3E"/>
    <w:rsid w:val="00633ADC"/>
    <w:rsid w:val="00633B97"/>
    <w:rsid w:val="00641B0E"/>
    <w:rsid w:val="006516E4"/>
    <w:rsid w:val="00653C4D"/>
    <w:rsid w:val="0065473C"/>
    <w:rsid w:val="00655329"/>
    <w:rsid w:val="006573A9"/>
    <w:rsid w:val="0066316D"/>
    <w:rsid w:val="00671088"/>
    <w:rsid w:val="0067116E"/>
    <w:rsid w:val="00675130"/>
    <w:rsid w:val="00675677"/>
    <w:rsid w:val="00681C6E"/>
    <w:rsid w:val="00682FA9"/>
    <w:rsid w:val="0068557B"/>
    <w:rsid w:val="00685807"/>
    <w:rsid w:val="006874C6"/>
    <w:rsid w:val="00687999"/>
    <w:rsid w:val="00687D5C"/>
    <w:rsid w:val="006924BD"/>
    <w:rsid w:val="00693427"/>
    <w:rsid w:val="006935F6"/>
    <w:rsid w:val="006A0D0D"/>
    <w:rsid w:val="006A3D63"/>
    <w:rsid w:val="006A611C"/>
    <w:rsid w:val="006A6CEB"/>
    <w:rsid w:val="006B0E26"/>
    <w:rsid w:val="006B12F3"/>
    <w:rsid w:val="006B4C13"/>
    <w:rsid w:val="006B59FF"/>
    <w:rsid w:val="006B5B45"/>
    <w:rsid w:val="006B5EA1"/>
    <w:rsid w:val="006B6463"/>
    <w:rsid w:val="006C1E47"/>
    <w:rsid w:val="006D609C"/>
    <w:rsid w:val="006D6CF5"/>
    <w:rsid w:val="006D719B"/>
    <w:rsid w:val="006E3DD8"/>
    <w:rsid w:val="006E6798"/>
    <w:rsid w:val="006F0DD4"/>
    <w:rsid w:val="006F1E8C"/>
    <w:rsid w:val="006F2A98"/>
    <w:rsid w:val="006F4D2F"/>
    <w:rsid w:val="007001F9"/>
    <w:rsid w:val="00713A1F"/>
    <w:rsid w:val="00715B6F"/>
    <w:rsid w:val="007161B2"/>
    <w:rsid w:val="00721107"/>
    <w:rsid w:val="00724885"/>
    <w:rsid w:val="00726334"/>
    <w:rsid w:val="00726FFD"/>
    <w:rsid w:val="007329FB"/>
    <w:rsid w:val="0073442A"/>
    <w:rsid w:val="00734CF0"/>
    <w:rsid w:val="00734DC6"/>
    <w:rsid w:val="00742376"/>
    <w:rsid w:val="00745A38"/>
    <w:rsid w:val="00746F92"/>
    <w:rsid w:val="007470DE"/>
    <w:rsid w:val="007474C9"/>
    <w:rsid w:val="0075372E"/>
    <w:rsid w:val="00753865"/>
    <w:rsid w:val="00753C28"/>
    <w:rsid w:val="00763E7F"/>
    <w:rsid w:val="00765B65"/>
    <w:rsid w:val="007705C8"/>
    <w:rsid w:val="00777396"/>
    <w:rsid w:val="00784349"/>
    <w:rsid w:val="00784616"/>
    <w:rsid w:val="00786869"/>
    <w:rsid w:val="00787965"/>
    <w:rsid w:val="0079047E"/>
    <w:rsid w:val="00790E9A"/>
    <w:rsid w:val="00793DFC"/>
    <w:rsid w:val="007A1AF0"/>
    <w:rsid w:val="007A1CCE"/>
    <w:rsid w:val="007A22F4"/>
    <w:rsid w:val="007A5534"/>
    <w:rsid w:val="007A6A62"/>
    <w:rsid w:val="007A7114"/>
    <w:rsid w:val="007B340F"/>
    <w:rsid w:val="007B3655"/>
    <w:rsid w:val="007B496C"/>
    <w:rsid w:val="007B713D"/>
    <w:rsid w:val="007B76D7"/>
    <w:rsid w:val="007C60F2"/>
    <w:rsid w:val="007D19BA"/>
    <w:rsid w:val="007E0053"/>
    <w:rsid w:val="007E0ED4"/>
    <w:rsid w:val="007E165A"/>
    <w:rsid w:val="007E7809"/>
    <w:rsid w:val="007E7CCA"/>
    <w:rsid w:val="007F2FBF"/>
    <w:rsid w:val="007F3B2D"/>
    <w:rsid w:val="007F4E3A"/>
    <w:rsid w:val="007F5118"/>
    <w:rsid w:val="007F7005"/>
    <w:rsid w:val="007F74D1"/>
    <w:rsid w:val="0080338C"/>
    <w:rsid w:val="00805B3E"/>
    <w:rsid w:val="00810668"/>
    <w:rsid w:val="008133D0"/>
    <w:rsid w:val="0081714F"/>
    <w:rsid w:val="0082067C"/>
    <w:rsid w:val="00820E22"/>
    <w:rsid w:val="00820F88"/>
    <w:rsid w:val="008221A9"/>
    <w:rsid w:val="0082512F"/>
    <w:rsid w:val="00827E0F"/>
    <w:rsid w:val="00832868"/>
    <w:rsid w:val="00834928"/>
    <w:rsid w:val="008376B4"/>
    <w:rsid w:val="00844E16"/>
    <w:rsid w:val="008500FA"/>
    <w:rsid w:val="008510F9"/>
    <w:rsid w:val="0085308B"/>
    <w:rsid w:val="00854F57"/>
    <w:rsid w:val="00856C11"/>
    <w:rsid w:val="00863CD2"/>
    <w:rsid w:val="00864401"/>
    <w:rsid w:val="00864B9A"/>
    <w:rsid w:val="0087253D"/>
    <w:rsid w:val="00875050"/>
    <w:rsid w:val="00880F94"/>
    <w:rsid w:val="00883992"/>
    <w:rsid w:val="00883C10"/>
    <w:rsid w:val="00886B72"/>
    <w:rsid w:val="008907C2"/>
    <w:rsid w:val="008936E0"/>
    <w:rsid w:val="00894001"/>
    <w:rsid w:val="00896043"/>
    <w:rsid w:val="008A28BA"/>
    <w:rsid w:val="008A3915"/>
    <w:rsid w:val="008A4C2E"/>
    <w:rsid w:val="008B04C2"/>
    <w:rsid w:val="008B4ACA"/>
    <w:rsid w:val="008B5FB7"/>
    <w:rsid w:val="008B7BD4"/>
    <w:rsid w:val="008C20B4"/>
    <w:rsid w:val="008C6D87"/>
    <w:rsid w:val="008E0900"/>
    <w:rsid w:val="008E7A62"/>
    <w:rsid w:val="008F224B"/>
    <w:rsid w:val="008F4CA4"/>
    <w:rsid w:val="008F5838"/>
    <w:rsid w:val="00910351"/>
    <w:rsid w:val="00910DE0"/>
    <w:rsid w:val="00910EE4"/>
    <w:rsid w:val="00911D73"/>
    <w:rsid w:val="00920FDE"/>
    <w:rsid w:val="0092360E"/>
    <w:rsid w:val="009252AA"/>
    <w:rsid w:val="0093175F"/>
    <w:rsid w:val="00931C76"/>
    <w:rsid w:val="00936CE1"/>
    <w:rsid w:val="009417C0"/>
    <w:rsid w:val="00945197"/>
    <w:rsid w:val="00950156"/>
    <w:rsid w:val="009561B4"/>
    <w:rsid w:val="009620E2"/>
    <w:rsid w:val="0096694C"/>
    <w:rsid w:val="009713FF"/>
    <w:rsid w:val="00972245"/>
    <w:rsid w:val="00975606"/>
    <w:rsid w:val="0097740D"/>
    <w:rsid w:val="009774BD"/>
    <w:rsid w:val="00987837"/>
    <w:rsid w:val="0099336B"/>
    <w:rsid w:val="009935BD"/>
    <w:rsid w:val="00994E64"/>
    <w:rsid w:val="00996673"/>
    <w:rsid w:val="009A200E"/>
    <w:rsid w:val="009A77C7"/>
    <w:rsid w:val="009B2109"/>
    <w:rsid w:val="009B3853"/>
    <w:rsid w:val="009B62DE"/>
    <w:rsid w:val="009B7FE7"/>
    <w:rsid w:val="009C06BC"/>
    <w:rsid w:val="009C5658"/>
    <w:rsid w:val="009C57EA"/>
    <w:rsid w:val="009D3B01"/>
    <w:rsid w:val="009D3FAE"/>
    <w:rsid w:val="009D4776"/>
    <w:rsid w:val="009D7DA8"/>
    <w:rsid w:val="009E3C1E"/>
    <w:rsid w:val="009E42AB"/>
    <w:rsid w:val="009E4F82"/>
    <w:rsid w:val="009E7237"/>
    <w:rsid w:val="009F27B3"/>
    <w:rsid w:val="009F3181"/>
    <w:rsid w:val="009F49A4"/>
    <w:rsid w:val="009F5F07"/>
    <w:rsid w:val="009F6C1F"/>
    <w:rsid w:val="00A03E0D"/>
    <w:rsid w:val="00A12B11"/>
    <w:rsid w:val="00A12B84"/>
    <w:rsid w:val="00A17E87"/>
    <w:rsid w:val="00A203E8"/>
    <w:rsid w:val="00A205D6"/>
    <w:rsid w:val="00A23F23"/>
    <w:rsid w:val="00A315F0"/>
    <w:rsid w:val="00A35E3D"/>
    <w:rsid w:val="00A35ED1"/>
    <w:rsid w:val="00A373A4"/>
    <w:rsid w:val="00A43F8C"/>
    <w:rsid w:val="00A47CB6"/>
    <w:rsid w:val="00A609C1"/>
    <w:rsid w:val="00A675F3"/>
    <w:rsid w:val="00A70982"/>
    <w:rsid w:val="00A71391"/>
    <w:rsid w:val="00A72A02"/>
    <w:rsid w:val="00A76959"/>
    <w:rsid w:val="00A824D4"/>
    <w:rsid w:val="00A82972"/>
    <w:rsid w:val="00A82D42"/>
    <w:rsid w:val="00A848FF"/>
    <w:rsid w:val="00A86F5C"/>
    <w:rsid w:val="00A87CD5"/>
    <w:rsid w:val="00A920E9"/>
    <w:rsid w:val="00A93C54"/>
    <w:rsid w:val="00A93F27"/>
    <w:rsid w:val="00A965D1"/>
    <w:rsid w:val="00AA1680"/>
    <w:rsid w:val="00AA5E3E"/>
    <w:rsid w:val="00AB0201"/>
    <w:rsid w:val="00AB2345"/>
    <w:rsid w:val="00AB678D"/>
    <w:rsid w:val="00AB77D0"/>
    <w:rsid w:val="00AC11D9"/>
    <w:rsid w:val="00AC2B80"/>
    <w:rsid w:val="00AC3158"/>
    <w:rsid w:val="00AC5B93"/>
    <w:rsid w:val="00AC77DA"/>
    <w:rsid w:val="00AD1AFD"/>
    <w:rsid w:val="00AD4BDA"/>
    <w:rsid w:val="00AE252D"/>
    <w:rsid w:val="00AE356C"/>
    <w:rsid w:val="00B02C09"/>
    <w:rsid w:val="00B04B92"/>
    <w:rsid w:val="00B0560F"/>
    <w:rsid w:val="00B0707B"/>
    <w:rsid w:val="00B109E3"/>
    <w:rsid w:val="00B169B9"/>
    <w:rsid w:val="00B1740E"/>
    <w:rsid w:val="00B2402E"/>
    <w:rsid w:val="00B24434"/>
    <w:rsid w:val="00B248D4"/>
    <w:rsid w:val="00B25C1C"/>
    <w:rsid w:val="00B2649A"/>
    <w:rsid w:val="00B32E1B"/>
    <w:rsid w:val="00B406B4"/>
    <w:rsid w:val="00B51E6A"/>
    <w:rsid w:val="00B533A6"/>
    <w:rsid w:val="00B53BCE"/>
    <w:rsid w:val="00B548C2"/>
    <w:rsid w:val="00B575DC"/>
    <w:rsid w:val="00B57FE6"/>
    <w:rsid w:val="00B60645"/>
    <w:rsid w:val="00B636E4"/>
    <w:rsid w:val="00B673FF"/>
    <w:rsid w:val="00B77362"/>
    <w:rsid w:val="00B82034"/>
    <w:rsid w:val="00B83808"/>
    <w:rsid w:val="00B83BE9"/>
    <w:rsid w:val="00B84B38"/>
    <w:rsid w:val="00B877B7"/>
    <w:rsid w:val="00B9542B"/>
    <w:rsid w:val="00BA12AF"/>
    <w:rsid w:val="00BB4370"/>
    <w:rsid w:val="00BB764F"/>
    <w:rsid w:val="00BB773C"/>
    <w:rsid w:val="00BC0C8C"/>
    <w:rsid w:val="00BC0D0A"/>
    <w:rsid w:val="00BC2915"/>
    <w:rsid w:val="00BD48A2"/>
    <w:rsid w:val="00BE09FC"/>
    <w:rsid w:val="00BE3E79"/>
    <w:rsid w:val="00BF18B2"/>
    <w:rsid w:val="00BF1FED"/>
    <w:rsid w:val="00BF222F"/>
    <w:rsid w:val="00BF3A4C"/>
    <w:rsid w:val="00BF4748"/>
    <w:rsid w:val="00BF4DCE"/>
    <w:rsid w:val="00C0242E"/>
    <w:rsid w:val="00C02442"/>
    <w:rsid w:val="00C02B72"/>
    <w:rsid w:val="00C04136"/>
    <w:rsid w:val="00C12734"/>
    <w:rsid w:val="00C14324"/>
    <w:rsid w:val="00C148E7"/>
    <w:rsid w:val="00C156B4"/>
    <w:rsid w:val="00C15CF5"/>
    <w:rsid w:val="00C20D02"/>
    <w:rsid w:val="00C2146C"/>
    <w:rsid w:val="00C21DFF"/>
    <w:rsid w:val="00C235F8"/>
    <w:rsid w:val="00C23B45"/>
    <w:rsid w:val="00C2480D"/>
    <w:rsid w:val="00C25E28"/>
    <w:rsid w:val="00C270EC"/>
    <w:rsid w:val="00C27634"/>
    <w:rsid w:val="00C278E6"/>
    <w:rsid w:val="00C31156"/>
    <w:rsid w:val="00C342D3"/>
    <w:rsid w:val="00C349AD"/>
    <w:rsid w:val="00C43942"/>
    <w:rsid w:val="00C53811"/>
    <w:rsid w:val="00C54038"/>
    <w:rsid w:val="00C622CB"/>
    <w:rsid w:val="00C62821"/>
    <w:rsid w:val="00C632A5"/>
    <w:rsid w:val="00C64AEF"/>
    <w:rsid w:val="00C67493"/>
    <w:rsid w:val="00C7049C"/>
    <w:rsid w:val="00C70E18"/>
    <w:rsid w:val="00C72000"/>
    <w:rsid w:val="00C72B9F"/>
    <w:rsid w:val="00C7785E"/>
    <w:rsid w:val="00C81F83"/>
    <w:rsid w:val="00C86630"/>
    <w:rsid w:val="00C90A3E"/>
    <w:rsid w:val="00C9134B"/>
    <w:rsid w:val="00C9171E"/>
    <w:rsid w:val="00C91DD5"/>
    <w:rsid w:val="00C94247"/>
    <w:rsid w:val="00C95F13"/>
    <w:rsid w:val="00C978FF"/>
    <w:rsid w:val="00CA0F5C"/>
    <w:rsid w:val="00CB0BBE"/>
    <w:rsid w:val="00CB2A76"/>
    <w:rsid w:val="00CB36B6"/>
    <w:rsid w:val="00CB3883"/>
    <w:rsid w:val="00CB6C59"/>
    <w:rsid w:val="00CC084E"/>
    <w:rsid w:val="00CC4732"/>
    <w:rsid w:val="00CC514F"/>
    <w:rsid w:val="00CC7F28"/>
    <w:rsid w:val="00CD1B19"/>
    <w:rsid w:val="00CD3BA2"/>
    <w:rsid w:val="00CE1BEE"/>
    <w:rsid w:val="00CE2DD3"/>
    <w:rsid w:val="00CE4046"/>
    <w:rsid w:val="00CE79C0"/>
    <w:rsid w:val="00CE7F8B"/>
    <w:rsid w:val="00CF02E5"/>
    <w:rsid w:val="00CF44C6"/>
    <w:rsid w:val="00CF50B9"/>
    <w:rsid w:val="00CF5A2C"/>
    <w:rsid w:val="00CF6D6F"/>
    <w:rsid w:val="00D00E57"/>
    <w:rsid w:val="00D035A9"/>
    <w:rsid w:val="00D04D71"/>
    <w:rsid w:val="00D069B3"/>
    <w:rsid w:val="00D13449"/>
    <w:rsid w:val="00D15409"/>
    <w:rsid w:val="00D16363"/>
    <w:rsid w:val="00D16537"/>
    <w:rsid w:val="00D211DD"/>
    <w:rsid w:val="00D23A61"/>
    <w:rsid w:val="00D24AB1"/>
    <w:rsid w:val="00D26928"/>
    <w:rsid w:val="00D40C5E"/>
    <w:rsid w:val="00D4245B"/>
    <w:rsid w:val="00D43AAE"/>
    <w:rsid w:val="00D44017"/>
    <w:rsid w:val="00D46E4A"/>
    <w:rsid w:val="00D47F2D"/>
    <w:rsid w:val="00D50848"/>
    <w:rsid w:val="00D54091"/>
    <w:rsid w:val="00D55C10"/>
    <w:rsid w:val="00D56F97"/>
    <w:rsid w:val="00D56FE4"/>
    <w:rsid w:val="00D642DB"/>
    <w:rsid w:val="00D727E9"/>
    <w:rsid w:val="00D72CA8"/>
    <w:rsid w:val="00D73532"/>
    <w:rsid w:val="00D830C2"/>
    <w:rsid w:val="00D867C0"/>
    <w:rsid w:val="00D87DD7"/>
    <w:rsid w:val="00D9482A"/>
    <w:rsid w:val="00D953C9"/>
    <w:rsid w:val="00DA4DCF"/>
    <w:rsid w:val="00DA4DD8"/>
    <w:rsid w:val="00DB2220"/>
    <w:rsid w:val="00DB2A20"/>
    <w:rsid w:val="00DC0F38"/>
    <w:rsid w:val="00DC11BA"/>
    <w:rsid w:val="00DD00A6"/>
    <w:rsid w:val="00DD24F7"/>
    <w:rsid w:val="00DE3C28"/>
    <w:rsid w:val="00DE7CA8"/>
    <w:rsid w:val="00DF0FD6"/>
    <w:rsid w:val="00DF4A4D"/>
    <w:rsid w:val="00DF5D6E"/>
    <w:rsid w:val="00DF7998"/>
    <w:rsid w:val="00E076FA"/>
    <w:rsid w:val="00E12AF3"/>
    <w:rsid w:val="00E142E4"/>
    <w:rsid w:val="00E20FEF"/>
    <w:rsid w:val="00E247AB"/>
    <w:rsid w:val="00E26132"/>
    <w:rsid w:val="00E31D81"/>
    <w:rsid w:val="00E45491"/>
    <w:rsid w:val="00E509BF"/>
    <w:rsid w:val="00E5165B"/>
    <w:rsid w:val="00E568AD"/>
    <w:rsid w:val="00E62B85"/>
    <w:rsid w:val="00E63FCD"/>
    <w:rsid w:val="00E67E1F"/>
    <w:rsid w:val="00E71346"/>
    <w:rsid w:val="00E76776"/>
    <w:rsid w:val="00E77912"/>
    <w:rsid w:val="00E82A4F"/>
    <w:rsid w:val="00E82CCD"/>
    <w:rsid w:val="00E86FE6"/>
    <w:rsid w:val="00E909B2"/>
    <w:rsid w:val="00E96279"/>
    <w:rsid w:val="00E97AA9"/>
    <w:rsid w:val="00EA149F"/>
    <w:rsid w:val="00EA2E5B"/>
    <w:rsid w:val="00EA308C"/>
    <w:rsid w:val="00EA4670"/>
    <w:rsid w:val="00EA5D23"/>
    <w:rsid w:val="00EB2C67"/>
    <w:rsid w:val="00EB3BBF"/>
    <w:rsid w:val="00EB4D00"/>
    <w:rsid w:val="00EC2D87"/>
    <w:rsid w:val="00EC2EDC"/>
    <w:rsid w:val="00EC3226"/>
    <w:rsid w:val="00EC503B"/>
    <w:rsid w:val="00EC5FDE"/>
    <w:rsid w:val="00EC750A"/>
    <w:rsid w:val="00EC7920"/>
    <w:rsid w:val="00ED31B1"/>
    <w:rsid w:val="00EE351A"/>
    <w:rsid w:val="00EE7DB2"/>
    <w:rsid w:val="00EF13BF"/>
    <w:rsid w:val="00EF55FF"/>
    <w:rsid w:val="00F025BA"/>
    <w:rsid w:val="00F13C4B"/>
    <w:rsid w:val="00F17BD4"/>
    <w:rsid w:val="00F21112"/>
    <w:rsid w:val="00F24AD2"/>
    <w:rsid w:val="00F27ABE"/>
    <w:rsid w:val="00F3201D"/>
    <w:rsid w:val="00F32566"/>
    <w:rsid w:val="00F33816"/>
    <w:rsid w:val="00F33953"/>
    <w:rsid w:val="00F35252"/>
    <w:rsid w:val="00F379C9"/>
    <w:rsid w:val="00F415AE"/>
    <w:rsid w:val="00F51AC6"/>
    <w:rsid w:val="00F54E73"/>
    <w:rsid w:val="00F56C6E"/>
    <w:rsid w:val="00F56CBC"/>
    <w:rsid w:val="00F653F8"/>
    <w:rsid w:val="00F745CE"/>
    <w:rsid w:val="00F805E6"/>
    <w:rsid w:val="00F84333"/>
    <w:rsid w:val="00F848D2"/>
    <w:rsid w:val="00F872BE"/>
    <w:rsid w:val="00F93559"/>
    <w:rsid w:val="00F96B48"/>
    <w:rsid w:val="00FA0AA7"/>
    <w:rsid w:val="00FA0DFA"/>
    <w:rsid w:val="00FA4282"/>
    <w:rsid w:val="00FB03D9"/>
    <w:rsid w:val="00FB39FE"/>
    <w:rsid w:val="00FB780B"/>
    <w:rsid w:val="00FC00A0"/>
    <w:rsid w:val="00FC4483"/>
    <w:rsid w:val="00FC4BE3"/>
    <w:rsid w:val="00FC6188"/>
    <w:rsid w:val="00FC7E6E"/>
    <w:rsid w:val="00FD0AC1"/>
    <w:rsid w:val="00FD259C"/>
    <w:rsid w:val="00FD6BC8"/>
    <w:rsid w:val="00FD6ECD"/>
    <w:rsid w:val="00FE2A4C"/>
    <w:rsid w:val="00FE3219"/>
    <w:rsid w:val="00FE3B65"/>
    <w:rsid w:val="00FE5129"/>
    <w:rsid w:val="00FF1A02"/>
    <w:rsid w:val="00FF349D"/>
    <w:rsid w:val="00FF7319"/>
    <w:rsid w:val="00FF7C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7AF5D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77C6"/>
    <w:pPr>
      <w:spacing w:after="100" w:line="400" w:lineRule="exact"/>
      <w:jc w:val="both"/>
    </w:pPr>
    <w:rPr>
      <w:rFonts w:ascii="Century Schoolbook" w:hAnsi="Century Schoolbook"/>
      <w:sz w:val="27"/>
    </w:rPr>
  </w:style>
  <w:style w:type="paragraph" w:styleId="Heading1">
    <w:name w:val="heading 1"/>
    <w:basedOn w:val="Normal"/>
    <w:next w:val="Normal"/>
    <w:qFormat/>
    <w:rsid w:val="004177C6"/>
    <w:pPr>
      <w:keepNext/>
      <w:spacing w:before="140" w:line="240" w:lineRule="atLeast"/>
      <w:jc w:val="center"/>
      <w:outlineLvl w:val="0"/>
    </w:pPr>
    <w:rPr>
      <w:b/>
      <w:smallCaps/>
    </w:rPr>
  </w:style>
  <w:style w:type="paragraph" w:styleId="Heading2">
    <w:name w:val="heading 2"/>
    <w:basedOn w:val="Normal"/>
    <w:next w:val="Normal"/>
    <w:qFormat/>
    <w:rsid w:val="004177C6"/>
    <w:pPr>
      <w:keepNext/>
      <w:tabs>
        <w:tab w:val="left" w:pos="1152"/>
      </w:tabs>
      <w:spacing w:before="140" w:line="240" w:lineRule="atLeast"/>
      <w:ind w:left="1152" w:hanging="432"/>
      <w:jc w:val="left"/>
      <w:outlineLvl w:val="1"/>
    </w:pPr>
    <w:rPr>
      <w:b/>
    </w:rPr>
  </w:style>
  <w:style w:type="paragraph" w:styleId="Heading3">
    <w:name w:val="heading 3"/>
    <w:basedOn w:val="Normal"/>
    <w:next w:val="NormalIndent"/>
    <w:qFormat/>
    <w:rsid w:val="004177C6"/>
    <w:pPr>
      <w:keepNext/>
      <w:tabs>
        <w:tab w:val="left" w:pos="1584"/>
      </w:tabs>
      <w:spacing w:before="140" w:line="240" w:lineRule="atLeast"/>
      <w:ind w:left="1584" w:hanging="432"/>
      <w:jc w:val="left"/>
      <w:outlineLvl w:val="2"/>
    </w:pPr>
    <w:rPr>
      <w:i/>
    </w:rPr>
  </w:style>
  <w:style w:type="paragraph" w:styleId="Heading4">
    <w:name w:val="heading 4"/>
    <w:basedOn w:val="Normal"/>
    <w:rsid w:val="004177C6"/>
    <w:pPr>
      <w:keepNext/>
      <w:tabs>
        <w:tab w:val="left" w:pos="2016"/>
      </w:tabs>
      <w:spacing w:before="140" w:line="240" w:lineRule="atLeast"/>
      <w:ind w:left="2016" w:hanging="432"/>
      <w:jc w:val="left"/>
      <w:outlineLvl w:val="3"/>
    </w:pPr>
    <w:rPr>
      <w:i/>
    </w:rPr>
  </w:style>
  <w:style w:type="paragraph" w:styleId="Heading5">
    <w:name w:val="heading 5"/>
    <w:basedOn w:val="Normal"/>
    <w:rsid w:val="004177C6"/>
    <w:pPr>
      <w:keepNext/>
      <w:tabs>
        <w:tab w:val="left" w:pos="2448"/>
      </w:tabs>
      <w:spacing w:before="140" w:line="240" w:lineRule="atLeast"/>
      <w:ind w:left="2448" w:hanging="432"/>
      <w:jc w:val="left"/>
      <w:outlineLvl w:val="4"/>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semiHidden/>
    <w:rsid w:val="004177C6"/>
    <w:pPr>
      <w:ind w:left="720"/>
    </w:pPr>
  </w:style>
  <w:style w:type="paragraph" w:styleId="Footer">
    <w:name w:val="footer"/>
    <w:basedOn w:val="Normal"/>
    <w:qFormat/>
    <w:rsid w:val="004177C6"/>
    <w:pPr>
      <w:tabs>
        <w:tab w:val="center" w:pos="3960"/>
        <w:tab w:val="right" w:pos="10080"/>
      </w:tabs>
      <w:spacing w:after="0" w:line="240" w:lineRule="auto"/>
      <w:jc w:val="center"/>
    </w:pPr>
    <w:rPr>
      <w:sz w:val="22"/>
    </w:rPr>
  </w:style>
  <w:style w:type="paragraph" w:styleId="Header">
    <w:name w:val="header"/>
    <w:basedOn w:val="Normal"/>
    <w:qFormat/>
    <w:rsid w:val="004177C6"/>
    <w:pPr>
      <w:tabs>
        <w:tab w:val="center" w:pos="3960"/>
        <w:tab w:val="right" w:pos="10080"/>
      </w:tabs>
      <w:spacing w:after="80" w:line="240" w:lineRule="auto"/>
      <w:jc w:val="center"/>
    </w:pPr>
    <w:rPr>
      <w:sz w:val="22"/>
    </w:rPr>
  </w:style>
  <w:style w:type="character" w:styleId="FootnoteReference">
    <w:name w:val="footnote reference"/>
    <w:basedOn w:val="DefaultParagraphFont"/>
    <w:rsid w:val="004177C6"/>
    <w:rPr>
      <w:rFonts w:ascii="Century Schoolbook" w:hAnsi="Century Schoolbook"/>
      <w:b/>
      <w:i w:val="0"/>
      <w:position w:val="4"/>
      <w:sz w:val="27"/>
      <w:vertAlign w:val="superscript"/>
    </w:rPr>
  </w:style>
  <w:style w:type="paragraph" w:styleId="FootnoteText">
    <w:name w:val="footnote text"/>
    <w:basedOn w:val="Normal"/>
    <w:link w:val="FootnoteTextChar"/>
    <w:rsid w:val="004177C6"/>
    <w:pPr>
      <w:spacing w:line="300" w:lineRule="exact"/>
    </w:pPr>
  </w:style>
  <w:style w:type="paragraph" w:customStyle="1" w:styleId="Title1">
    <w:name w:val="Title1"/>
    <w:basedOn w:val="Normal"/>
    <w:rsid w:val="004177C6"/>
    <w:pPr>
      <w:tabs>
        <w:tab w:val="left" w:pos="5760"/>
        <w:tab w:val="left" w:pos="6480"/>
      </w:tabs>
      <w:spacing w:line="240" w:lineRule="atLeast"/>
    </w:pPr>
  </w:style>
  <w:style w:type="paragraph" w:customStyle="1" w:styleId="Recommend">
    <w:name w:val="Recommend"/>
    <w:basedOn w:val="Normal"/>
    <w:rsid w:val="004177C6"/>
  </w:style>
  <w:style w:type="paragraph" w:customStyle="1" w:styleId="Summary">
    <w:name w:val="Summary"/>
    <w:basedOn w:val="Normal"/>
    <w:rsid w:val="004177C6"/>
    <w:pPr>
      <w:ind w:left="2160" w:hanging="2160"/>
    </w:pPr>
  </w:style>
  <w:style w:type="paragraph" w:customStyle="1" w:styleId="Text">
    <w:name w:val="Text"/>
    <w:basedOn w:val="Normal"/>
    <w:rsid w:val="004177C6"/>
    <w:pPr>
      <w:tabs>
        <w:tab w:val="left" w:pos="720"/>
        <w:tab w:val="left" w:pos="1440"/>
        <w:tab w:val="left" w:pos="2160"/>
        <w:tab w:val="center" w:pos="4320"/>
      </w:tabs>
      <w:spacing w:line="480" w:lineRule="atLeast"/>
      <w:ind w:firstLine="540"/>
    </w:pPr>
  </w:style>
  <w:style w:type="paragraph" w:styleId="Date">
    <w:name w:val="Date"/>
    <w:basedOn w:val="Normal"/>
    <w:semiHidden/>
    <w:rsid w:val="004177C6"/>
    <w:pPr>
      <w:jc w:val="right"/>
    </w:pPr>
  </w:style>
  <w:style w:type="character" w:styleId="PageNumber">
    <w:name w:val="page number"/>
    <w:basedOn w:val="DefaultParagraphFont"/>
    <w:semiHidden/>
    <w:rsid w:val="004177C6"/>
  </w:style>
  <w:style w:type="paragraph" w:customStyle="1" w:styleId="subject">
    <w:name w:val="subject"/>
    <w:basedOn w:val="Normal"/>
    <w:rsid w:val="004177C6"/>
    <w:pPr>
      <w:tabs>
        <w:tab w:val="left" w:pos="1008"/>
      </w:tabs>
      <w:ind w:left="990" w:hanging="990"/>
    </w:pPr>
    <w:rPr>
      <w:b/>
    </w:rPr>
  </w:style>
  <w:style w:type="paragraph" w:customStyle="1" w:styleId="Titles">
    <w:name w:val="Titles"/>
    <w:basedOn w:val="Normal"/>
    <w:rsid w:val="004177C6"/>
    <w:pPr>
      <w:tabs>
        <w:tab w:val="left" w:pos="2160"/>
      </w:tabs>
      <w:ind w:left="2160" w:hanging="2160"/>
    </w:pPr>
    <w:rPr>
      <w:b/>
    </w:rPr>
  </w:style>
  <w:style w:type="paragraph" w:styleId="TOAHeading">
    <w:name w:val="toa heading"/>
    <w:basedOn w:val="Normal"/>
    <w:next w:val="Normal"/>
    <w:semiHidden/>
    <w:rsid w:val="004177C6"/>
    <w:pPr>
      <w:spacing w:before="120"/>
    </w:pPr>
    <w:rPr>
      <w:b/>
    </w:rPr>
  </w:style>
  <w:style w:type="paragraph" w:styleId="TOC1">
    <w:name w:val="toc 1"/>
    <w:basedOn w:val="Normal"/>
    <w:next w:val="Normal"/>
    <w:autoRedefine/>
    <w:semiHidden/>
    <w:rsid w:val="004177C6"/>
  </w:style>
  <w:style w:type="paragraph" w:styleId="TOC2">
    <w:name w:val="toc 2"/>
    <w:basedOn w:val="Normal"/>
    <w:next w:val="Normal"/>
    <w:autoRedefine/>
    <w:semiHidden/>
    <w:rsid w:val="004177C6"/>
    <w:pPr>
      <w:ind w:left="259"/>
    </w:pPr>
  </w:style>
  <w:style w:type="paragraph" w:styleId="TOC3">
    <w:name w:val="toc 3"/>
    <w:basedOn w:val="Normal"/>
    <w:next w:val="Normal"/>
    <w:autoRedefine/>
    <w:semiHidden/>
    <w:rsid w:val="004177C6"/>
    <w:pPr>
      <w:ind w:left="520"/>
    </w:pPr>
  </w:style>
  <w:style w:type="paragraph" w:styleId="TOC4">
    <w:name w:val="toc 4"/>
    <w:basedOn w:val="Normal"/>
    <w:next w:val="Normal"/>
    <w:autoRedefine/>
    <w:semiHidden/>
    <w:rsid w:val="004177C6"/>
    <w:pPr>
      <w:ind w:left="780"/>
    </w:pPr>
  </w:style>
  <w:style w:type="paragraph" w:styleId="TOC5">
    <w:name w:val="toc 5"/>
    <w:basedOn w:val="Normal"/>
    <w:next w:val="Normal"/>
    <w:autoRedefine/>
    <w:semiHidden/>
    <w:rsid w:val="004177C6"/>
    <w:pPr>
      <w:ind w:left="1040"/>
    </w:pPr>
  </w:style>
  <w:style w:type="paragraph" w:styleId="TOC6">
    <w:name w:val="toc 6"/>
    <w:basedOn w:val="Normal"/>
    <w:next w:val="Normal"/>
    <w:autoRedefine/>
    <w:semiHidden/>
    <w:rsid w:val="004177C6"/>
    <w:pPr>
      <w:ind w:left="1300"/>
    </w:pPr>
  </w:style>
  <w:style w:type="paragraph" w:styleId="TOC7">
    <w:name w:val="toc 7"/>
    <w:basedOn w:val="Normal"/>
    <w:next w:val="Normal"/>
    <w:autoRedefine/>
    <w:semiHidden/>
    <w:rsid w:val="004177C6"/>
    <w:pPr>
      <w:ind w:left="1560"/>
    </w:pPr>
  </w:style>
  <w:style w:type="paragraph" w:styleId="TOC8">
    <w:name w:val="toc 8"/>
    <w:basedOn w:val="Normal"/>
    <w:next w:val="Normal"/>
    <w:autoRedefine/>
    <w:semiHidden/>
    <w:rsid w:val="004177C6"/>
    <w:pPr>
      <w:ind w:left="1820"/>
    </w:pPr>
  </w:style>
  <w:style w:type="paragraph" w:styleId="TOC9">
    <w:name w:val="toc 9"/>
    <w:basedOn w:val="Normal"/>
    <w:next w:val="Normal"/>
    <w:autoRedefine/>
    <w:semiHidden/>
    <w:rsid w:val="004177C6"/>
    <w:pPr>
      <w:ind w:left="2080"/>
    </w:pPr>
  </w:style>
  <w:style w:type="paragraph" w:customStyle="1" w:styleId="Contents">
    <w:name w:val="Contents"/>
    <w:basedOn w:val="Normal"/>
    <w:rsid w:val="004177C6"/>
    <w:pPr>
      <w:jc w:val="center"/>
    </w:pPr>
    <w:rPr>
      <w:b/>
      <w:spacing w:val="100"/>
    </w:rPr>
  </w:style>
  <w:style w:type="character" w:customStyle="1" w:styleId="FootnoteTextChar">
    <w:name w:val="Footnote Text Char"/>
    <w:basedOn w:val="DefaultParagraphFont"/>
    <w:link w:val="FootnoteText"/>
    <w:rsid w:val="000B26F9"/>
    <w:rPr>
      <w:rFonts w:ascii="Century Schoolbook" w:hAnsi="Century Schoolbook"/>
      <w:sz w:val="27"/>
    </w:rPr>
  </w:style>
  <w:style w:type="paragraph" w:styleId="ListParagraph">
    <w:name w:val="List Paragraph"/>
    <w:basedOn w:val="Normal"/>
    <w:uiPriority w:val="34"/>
    <w:rsid w:val="000B26F9"/>
    <w:pPr>
      <w:ind w:left="720"/>
      <w:contextualSpacing/>
    </w:pPr>
    <w:rPr>
      <w:rFonts w:asciiTheme="minorHAnsi" w:eastAsiaTheme="minorHAnsi" w:hAnsiTheme="minorHAnsi"/>
      <w:szCs w:val="24"/>
    </w:rPr>
  </w:style>
  <w:style w:type="paragraph" w:styleId="BalloonText">
    <w:name w:val="Balloon Text"/>
    <w:basedOn w:val="Normal"/>
    <w:link w:val="BalloonTextChar"/>
    <w:uiPriority w:val="99"/>
    <w:semiHidden/>
    <w:unhideWhenUsed/>
    <w:rsid w:val="006D719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D719B"/>
    <w:rPr>
      <w:rFonts w:ascii="Segoe UI" w:hAnsi="Segoe UI" w:cs="Segoe UI"/>
      <w:sz w:val="18"/>
      <w:szCs w:val="18"/>
    </w:rPr>
  </w:style>
  <w:style w:type="paragraph" w:styleId="BodyText">
    <w:name w:val="Body Text"/>
    <w:basedOn w:val="Normal"/>
    <w:link w:val="BodyTextChar"/>
    <w:qFormat/>
    <w:rsid w:val="004177C6"/>
  </w:style>
  <w:style w:type="character" w:customStyle="1" w:styleId="BodyTextChar">
    <w:name w:val="Body Text Char"/>
    <w:basedOn w:val="DefaultParagraphFont"/>
    <w:link w:val="BodyText"/>
    <w:rsid w:val="004177C6"/>
    <w:rPr>
      <w:rFonts w:ascii="Century Schoolbook" w:hAnsi="Century Schoolbook"/>
      <w:sz w:val="27"/>
    </w:rPr>
  </w:style>
  <w:style w:type="character" w:styleId="CommentReference">
    <w:name w:val="annotation reference"/>
    <w:basedOn w:val="DefaultParagraphFont"/>
    <w:uiPriority w:val="99"/>
    <w:semiHidden/>
    <w:unhideWhenUsed/>
    <w:rsid w:val="005C46B5"/>
    <w:rPr>
      <w:sz w:val="16"/>
      <w:szCs w:val="16"/>
    </w:rPr>
  </w:style>
  <w:style w:type="paragraph" w:styleId="CommentText">
    <w:name w:val="annotation text"/>
    <w:basedOn w:val="Normal"/>
    <w:link w:val="CommentTextChar"/>
    <w:uiPriority w:val="99"/>
    <w:semiHidden/>
    <w:unhideWhenUsed/>
    <w:rsid w:val="005C46B5"/>
    <w:pPr>
      <w:spacing w:line="240" w:lineRule="auto"/>
    </w:pPr>
    <w:rPr>
      <w:sz w:val="20"/>
    </w:rPr>
  </w:style>
  <w:style w:type="character" w:customStyle="1" w:styleId="CommentTextChar">
    <w:name w:val="Comment Text Char"/>
    <w:basedOn w:val="DefaultParagraphFont"/>
    <w:link w:val="CommentText"/>
    <w:uiPriority w:val="99"/>
    <w:semiHidden/>
    <w:rsid w:val="005C46B5"/>
    <w:rPr>
      <w:rFonts w:ascii="Century Schoolbook" w:hAnsi="Century Schoolbook"/>
    </w:rPr>
  </w:style>
  <w:style w:type="paragraph" w:styleId="CommentSubject">
    <w:name w:val="annotation subject"/>
    <w:basedOn w:val="CommentText"/>
    <w:next w:val="CommentText"/>
    <w:link w:val="CommentSubjectChar"/>
    <w:uiPriority w:val="99"/>
    <w:semiHidden/>
    <w:unhideWhenUsed/>
    <w:rsid w:val="005C46B5"/>
    <w:rPr>
      <w:b/>
      <w:bCs/>
    </w:rPr>
  </w:style>
  <w:style w:type="character" w:customStyle="1" w:styleId="CommentSubjectChar">
    <w:name w:val="Comment Subject Char"/>
    <w:basedOn w:val="CommentTextChar"/>
    <w:link w:val="CommentSubject"/>
    <w:uiPriority w:val="99"/>
    <w:semiHidden/>
    <w:rsid w:val="005C46B5"/>
    <w:rPr>
      <w:rFonts w:ascii="Century Schoolbook" w:hAnsi="Century Schoolbook"/>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1878653">
      <w:bodyDiv w:val="1"/>
      <w:marLeft w:val="0"/>
      <w:marRight w:val="0"/>
      <w:marTop w:val="0"/>
      <w:marBottom w:val="0"/>
      <w:divBdr>
        <w:top w:val="single" w:sz="12" w:space="0" w:color="767575"/>
        <w:left w:val="none" w:sz="0" w:space="0" w:color="auto"/>
        <w:bottom w:val="none" w:sz="0" w:space="0" w:color="auto"/>
        <w:right w:val="none" w:sz="0" w:space="0" w:color="auto"/>
      </w:divBdr>
      <w:divsChild>
        <w:div w:id="1799958518">
          <w:marLeft w:val="0"/>
          <w:marRight w:val="0"/>
          <w:marTop w:val="0"/>
          <w:marBottom w:val="0"/>
          <w:divBdr>
            <w:top w:val="none" w:sz="0" w:space="0" w:color="auto"/>
            <w:left w:val="none" w:sz="0" w:space="0" w:color="auto"/>
            <w:bottom w:val="none" w:sz="0" w:space="0" w:color="auto"/>
            <w:right w:val="none" w:sz="0" w:space="0" w:color="auto"/>
          </w:divBdr>
          <w:divsChild>
            <w:div w:id="1614482963">
              <w:marLeft w:val="0"/>
              <w:marRight w:val="0"/>
              <w:marTop w:val="0"/>
              <w:marBottom w:val="0"/>
              <w:divBdr>
                <w:top w:val="none" w:sz="0" w:space="0" w:color="auto"/>
                <w:left w:val="none" w:sz="0" w:space="0" w:color="auto"/>
                <w:bottom w:val="none" w:sz="0" w:space="0" w:color="auto"/>
                <w:right w:val="none" w:sz="0" w:space="0" w:color="auto"/>
              </w:divBdr>
              <w:divsChild>
                <w:div w:id="1125974892">
                  <w:marLeft w:val="300"/>
                  <w:marRight w:val="300"/>
                  <w:marTop w:val="75"/>
                  <w:marBottom w:val="0"/>
                  <w:divBdr>
                    <w:top w:val="single" w:sz="6" w:space="0" w:color="888888"/>
                    <w:left w:val="single" w:sz="6" w:space="26" w:color="888888"/>
                    <w:bottom w:val="single" w:sz="6" w:space="0" w:color="888888"/>
                    <w:right w:val="single" w:sz="6" w:space="26" w:color="888888"/>
                  </w:divBdr>
                  <w:divsChild>
                    <w:div w:id="1898977704">
                      <w:marLeft w:val="300"/>
                      <w:marRight w:val="0"/>
                      <w:marTop w:val="0"/>
                      <w:marBottom w:val="0"/>
                      <w:divBdr>
                        <w:top w:val="none" w:sz="0" w:space="0" w:color="auto"/>
                        <w:left w:val="none" w:sz="0" w:space="0" w:color="auto"/>
                        <w:bottom w:val="none" w:sz="0" w:space="0" w:color="auto"/>
                        <w:right w:val="none" w:sz="0" w:space="0" w:color="auto"/>
                      </w:divBdr>
                      <w:divsChild>
                        <w:div w:id="2122458384">
                          <w:marLeft w:val="0"/>
                          <w:marRight w:val="0"/>
                          <w:marTop w:val="0"/>
                          <w:marBottom w:val="0"/>
                          <w:divBdr>
                            <w:top w:val="none" w:sz="0" w:space="0" w:color="auto"/>
                            <w:left w:val="none" w:sz="0" w:space="0" w:color="auto"/>
                            <w:bottom w:val="none" w:sz="0" w:space="0" w:color="auto"/>
                            <w:right w:val="none" w:sz="0" w:space="0" w:color="auto"/>
                          </w:divBdr>
                          <w:divsChild>
                            <w:div w:id="1769346116">
                              <w:marLeft w:val="0"/>
                              <w:marRight w:val="0"/>
                              <w:marTop w:val="0"/>
                              <w:marBottom w:val="0"/>
                              <w:divBdr>
                                <w:top w:val="none" w:sz="0" w:space="0" w:color="auto"/>
                                <w:left w:val="none" w:sz="0" w:space="0" w:color="auto"/>
                                <w:bottom w:val="none" w:sz="0" w:space="0" w:color="auto"/>
                                <w:right w:val="none" w:sz="0" w:space="0" w:color="auto"/>
                              </w:divBdr>
                              <w:divsChild>
                                <w:div w:id="445127478">
                                  <w:marLeft w:val="0"/>
                                  <w:marRight w:val="0"/>
                                  <w:marTop w:val="0"/>
                                  <w:marBottom w:val="0"/>
                                  <w:divBdr>
                                    <w:top w:val="none" w:sz="0" w:space="0" w:color="auto"/>
                                    <w:left w:val="none" w:sz="0" w:space="0" w:color="auto"/>
                                    <w:bottom w:val="none" w:sz="0" w:space="0" w:color="auto"/>
                                    <w:right w:val="none" w:sz="0" w:space="0" w:color="auto"/>
                                  </w:divBdr>
                                  <w:divsChild>
                                    <w:div w:id="1023438546">
                                      <w:marLeft w:val="0"/>
                                      <w:marRight w:val="0"/>
                                      <w:marTop w:val="0"/>
                                      <w:marBottom w:val="0"/>
                                      <w:divBdr>
                                        <w:top w:val="none" w:sz="0" w:space="0" w:color="auto"/>
                                        <w:left w:val="none" w:sz="0" w:space="0" w:color="auto"/>
                                        <w:bottom w:val="none" w:sz="0" w:space="0" w:color="auto"/>
                                        <w:right w:val="none" w:sz="0" w:space="0" w:color="auto"/>
                                      </w:divBdr>
                                      <w:divsChild>
                                        <w:div w:id="887061831">
                                          <w:marLeft w:val="0"/>
                                          <w:marRight w:val="0"/>
                                          <w:marTop w:val="0"/>
                                          <w:marBottom w:val="0"/>
                                          <w:divBdr>
                                            <w:top w:val="none" w:sz="0" w:space="0" w:color="auto"/>
                                            <w:left w:val="none" w:sz="0" w:space="0" w:color="auto"/>
                                            <w:bottom w:val="none" w:sz="0" w:space="0" w:color="auto"/>
                                            <w:right w:val="none" w:sz="0" w:space="0" w:color="auto"/>
                                          </w:divBdr>
                                          <w:divsChild>
                                            <w:div w:id="213104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32205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eader" Target="header2.xml"/><Relationship Id="rId18" Type="http://schemas.openxmlformats.org/officeDocument/2006/relationships/footer" Target="footer6.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header" Target="header4.xml"/><Relationship Id="rId2" Type="http://schemas.openxmlformats.org/officeDocument/2006/relationships/styles" Target="styles.xml"/><Relationship Id="rId16" Type="http://schemas.openxmlformats.org/officeDocument/2006/relationships/footer" Target="footer5.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footer" Target="footer4.xml"/><Relationship Id="rId10" Type="http://schemas.openxmlformats.org/officeDocument/2006/relationships/image" Target="media/image2.em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47</Pages>
  <Words>10719</Words>
  <Characters>61103</Characters>
  <Application>Microsoft Office Word</Application>
  <DocSecurity>0</DocSecurity>
  <Lines>509</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subject>
  </dc:subject>
  <dc:creator/>
  <cp:keywords>
  </cp:keywords>
  <dc:description>
  </dc:description>
  <cp:lastModifiedBy/>
  <cp:revision>1</cp:revision>
  <cp:lastPrinted>2019-07-26T17:33:00Z</cp:lastPrinted>
  <dcterms:created xsi:type="dcterms:W3CDTF">2019-07-26T17:33:00Z</dcterms:created>
  <dcterms:modified xsi:type="dcterms:W3CDTF">2019-07-26T17:35:00Z</dcterms:modified>
</cp:coreProperties>
</file>