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D60A7" w:rsidRPr="00EA0A3E" w:rsidP="00EA0A3E">
      <w:pPr>
        <w:tabs>
          <w:tab w:val="left" w:leader="underscore" w:pos="4680"/>
        </w:tabs>
        <w:spacing w:after="0"/>
        <w:jc w:val="center"/>
        <w:rPr>
          <w:b/>
          <w:sz w:val="36"/>
          <w:szCs w:val="26"/>
        </w:rPr>
      </w:pPr>
      <w:bookmarkStart w:id="0" w:name="_GoBack"/>
      <w:bookmarkEnd w:id="0"/>
      <w:r w:rsidRPr="00EA0A3E">
        <w:rPr>
          <w:b/>
          <w:sz w:val="36"/>
          <w:szCs w:val="26"/>
        </w:rPr>
        <w:t>IN THE SUPREME COURT OF CALIFORNIA</w:t>
      </w:r>
    </w:p>
    <w:p w:rsidR="00B33767" w:rsidP="007D60A7">
      <w:pPr>
        <w:tabs>
          <w:tab w:val="left" w:pos="1440"/>
          <w:tab w:val="left" w:pos="4680"/>
          <w:tab w:val="center" w:pos="7200"/>
        </w:tabs>
        <w:spacing w:after="0"/>
        <w:jc w:val="center"/>
      </w:pPr>
    </w:p>
    <w:p w:rsidR="007D60A7" w:rsidP="007D60A7">
      <w:pPr>
        <w:tabs>
          <w:tab w:val="left" w:pos="1440"/>
          <w:tab w:val="left" w:pos="4680"/>
          <w:tab w:val="center" w:pos="7200"/>
        </w:tabs>
        <w:spacing w:after="0"/>
        <w:jc w:val="center"/>
      </w:pPr>
      <w:r>
        <w:t>SANFORD J. WISHNEV,</w:t>
      </w:r>
    </w:p>
    <w:p w:rsidR="007D60A7" w:rsidP="007D60A7">
      <w:pPr>
        <w:tabs>
          <w:tab w:val="left" w:pos="1440"/>
          <w:tab w:val="left" w:pos="4680"/>
          <w:tab w:val="center" w:pos="7200"/>
        </w:tabs>
        <w:spacing w:after="0"/>
        <w:jc w:val="center"/>
      </w:pPr>
      <w:r>
        <w:t>Plaintiff and Respondent,</w:t>
      </w:r>
    </w:p>
    <w:p w:rsidR="007D60A7" w:rsidP="007D60A7">
      <w:pPr>
        <w:tabs>
          <w:tab w:val="left" w:pos="1440"/>
          <w:tab w:val="left" w:pos="4680"/>
          <w:tab w:val="center" w:pos="7200"/>
        </w:tabs>
        <w:spacing w:after="0"/>
        <w:jc w:val="center"/>
      </w:pPr>
      <w:r>
        <w:t>v.</w:t>
      </w:r>
    </w:p>
    <w:p w:rsidR="007D60A7" w:rsidP="007D60A7">
      <w:pPr>
        <w:tabs>
          <w:tab w:val="left" w:pos="1440"/>
          <w:tab w:val="left" w:pos="4680"/>
          <w:tab w:val="center" w:pos="7200"/>
        </w:tabs>
        <w:spacing w:after="0"/>
        <w:jc w:val="center"/>
      </w:pPr>
      <w:r>
        <w:t>THE NORTHWESTERN MUTUAL LIFE INSURANCE COMPANY,</w:t>
      </w:r>
    </w:p>
    <w:p w:rsidR="007D60A7" w:rsidP="007D60A7">
      <w:pPr>
        <w:tabs>
          <w:tab w:val="left" w:pos="1440"/>
          <w:tab w:val="left" w:pos="4680"/>
          <w:tab w:val="center" w:pos="7200"/>
        </w:tabs>
        <w:spacing w:after="0"/>
        <w:jc w:val="center"/>
      </w:pPr>
      <w:r>
        <w:t>Defendant and Appellant.</w:t>
      </w:r>
    </w:p>
    <w:p w:rsidR="007D60A7" w:rsidP="007D60A7">
      <w:pPr>
        <w:tabs>
          <w:tab w:val="left" w:pos="1440"/>
          <w:tab w:val="left" w:pos="4680"/>
          <w:tab w:val="center" w:pos="7200"/>
        </w:tabs>
        <w:spacing w:after="0"/>
        <w:jc w:val="center"/>
      </w:pPr>
    </w:p>
    <w:p w:rsidR="007D60A7" w:rsidP="007D60A7">
      <w:pPr>
        <w:tabs>
          <w:tab w:val="left" w:pos="1440"/>
          <w:tab w:val="left" w:pos="4680"/>
          <w:tab w:val="center" w:pos="7200"/>
        </w:tabs>
        <w:spacing w:after="0"/>
        <w:jc w:val="center"/>
      </w:pPr>
      <w:r>
        <w:t>S246541</w:t>
      </w:r>
    </w:p>
    <w:p w:rsidR="007D60A7" w:rsidP="007D60A7">
      <w:pPr>
        <w:tabs>
          <w:tab w:val="left" w:pos="1440"/>
          <w:tab w:val="left" w:pos="4680"/>
          <w:tab w:val="center" w:pos="7200"/>
        </w:tabs>
        <w:spacing w:after="0"/>
        <w:jc w:val="center"/>
      </w:pPr>
    </w:p>
    <w:p w:rsidR="00EA0A3E" w:rsidP="00EA0A3E">
      <w:pPr>
        <w:tabs>
          <w:tab w:val="left" w:pos="1440"/>
          <w:tab w:val="left" w:pos="4680"/>
          <w:tab w:val="center" w:pos="7200"/>
        </w:tabs>
        <w:spacing w:after="0"/>
        <w:jc w:val="center"/>
      </w:pPr>
      <w:r>
        <w:t>Ninth Circuit</w:t>
      </w:r>
    </w:p>
    <w:p w:rsidR="00EA0A3E" w:rsidP="00EA0A3E">
      <w:pPr>
        <w:tabs>
          <w:tab w:val="left" w:pos="1440"/>
          <w:tab w:val="left" w:pos="4680"/>
          <w:tab w:val="center" w:pos="7200"/>
        </w:tabs>
        <w:spacing w:after="0"/>
        <w:jc w:val="center"/>
      </w:pPr>
      <w:r>
        <w:t>16-16037</w:t>
      </w:r>
    </w:p>
    <w:p w:rsidR="00EA0A3E" w:rsidP="00EA0A3E">
      <w:pPr>
        <w:tabs>
          <w:tab w:val="left" w:pos="1440"/>
          <w:tab w:val="left" w:pos="4680"/>
          <w:tab w:val="center" w:pos="7200"/>
        </w:tabs>
        <w:spacing w:after="0"/>
        <w:jc w:val="center"/>
      </w:pPr>
    </w:p>
    <w:p w:rsidR="00EA0A3E" w:rsidP="00EA0A3E">
      <w:pPr>
        <w:tabs>
          <w:tab w:val="left" w:pos="1440"/>
          <w:tab w:val="left" w:pos="4680"/>
          <w:tab w:val="center" w:pos="7200"/>
        </w:tabs>
        <w:spacing w:after="0"/>
        <w:jc w:val="center"/>
      </w:pPr>
      <w:r>
        <w:t>Northern District of California</w:t>
      </w:r>
    </w:p>
    <w:p w:rsidR="00EA0A3E" w:rsidP="00EA0A3E">
      <w:pPr>
        <w:tabs>
          <w:tab w:val="left" w:pos="1440"/>
          <w:tab w:val="left" w:pos="4680"/>
          <w:tab w:val="center" w:pos="7200"/>
        </w:tabs>
        <w:spacing w:after="0"/>
        <w:jc w:val="center"/>
      </w:pPr>
      <w:r>
        <w:t>3:15-cv-3797-EMC</w:t>
      </w:r>
    </w:p>
    <w:p w:rsidR="00813896" w:rsidP="00813896">
      <w:pPr>
        <w:pBdr>
          <w:bottom w:val="single" w:sz="4" w:space="1" w:color="auto"/>
        </w:pBdr>
        <w:tabs>
          <w:tab w:val="left" w:pos="1440"/>
          <w:tab w:val="left" w:pos="4680"/>
          <w:tab w:val="center" w:pos="7200"/>
        </w:tabs>
        <w:spacing w:after="0"/>
        <w:jc w:val="center"/>
      </w:pPr>
    </w:p>
    <w:p w:rsidR="00813896" w:rsidP="00813896">
      <w:pPr>
        <w:tabs>
          <w:tab w:val="left" w:pos="1440"/>
          <w:tab w:val="left" w:pos="4680"/>
          <w:tab w:val="center" w:pos="7200"/>
        </w:tabs>
        <w:spacing w:after="0"/>
        <w:jc w:val="center"/>
      </w:pPr>
    </w:p>
    <w:p w:rsidR="00813896" w:rsidP="00813896">
      <w:pPr>
        <w:tabs>
          <w:tab w:val="left" w:pos="1440"/>
          <w:tab w:val="left" w:pos="4680"/>
          <w:tab w:val="center" w:pos="7200"/>
        </w:tabs>
        <w:spacing w:after="0"/>
        <w:jc w:val="center"/>
      </w:pPr>
      <w:r>
        <w:t>November 14</w:t>
      </w:r>
      <w:r>
        <w:t>, 2019</w:t>
      </w:r>
    </w:p>
    <w:p w:rsidR="00813896" w:rsidP="00813896">
      <w:pPr>
        <w:tabs>
          <w:tab w:val="left" w:pos="1440"/>
          <w:tab w:val="left" w:pos="4680"/>
          <w:tab w:val="center" w:pos="7200"/>
        </w:tabs>
        <w:spacing w:after="0"/>
        <w:jc w:val="center"/>
      </w:pPr>
    </w:p>
    <w:p w:rsidR="00813896" w:rsidP="00813896">
      <w:pPr>
        <w:tabs>
          <w:tab w:val="left" w:pos="1440"/>
          <w:tab w:val="left" w:pos="4680"/>
          <w:tab w:val="center" w:pos="7200"/>
        </w:tabs>
        <w:spacing w:after="0"/>
        <w:jc w:val="left"/>
      </w:pPr>
      <w:r>
        <w:t xml:space="preserve">Justice Corrigan authored the opinion of the </w:t>
      </w:r>
      <w:r w:rsidR="00BB2491">
        <w:t>C</w:t>
      </w:r>
      <w:r>
        <w:t xml:space="preserve">ourt, in which </w:t>
      </w:r>
      <w:r w:rsidR="008C5317">
        <w:t>Chief Justice Cantil-Sakauye and Justices Chin, Liu, Cuéllar, Kruger, and Groban</w:t>
      </w:r>
      <w:r>
        <w:t xml:space="preserve"> concurred.</w:t>
      </w:r>
    </w:p>
    <w:p w:rsidR="00813896" w:rsidRPr="009917E6" w:rsidP="00813896">
      <w:pPr>
        <w:pBdr>
          <w:bottom w:val="single" w:sz="4" w:space="1" w:color="auto"/>
        </w:pBdr>
        <w:tabs>
          <w:tab w:val="left" w:pos="1440"/>
          <w:tab w:val="left" w:pos="4680"/>
          <w:tab w:val="center" w:pos="7200"/>
        </w:tabs>
        <w:spacing w:line="480" w:lineRule="atLeast"/>
        <w:jc w:val="left"/>
      </w:pPr>
      <w:bookmarkStart w:id="1" w:name="Return"/>
      <w:bookmarkEnd w:id="1"/>
    </w:p>
    <w:p w:rsidR="00813896" w:rsidP="0004545B">
      <w:pPr>
        <w:jc w:val="center"/>
        <w:rPr>
          <w:spacing w:val="100"/>
        </w:rPr>
      </w:pPr>
    </w:p>
    <w:p w:rsidR="00E940D9" w:rsidP="0004545B">
      <w:pPr>
        <w:jc w:val="center"/>
        <w:rPr>
          <w:spacing w:val="100"/>
        </w:rPr>
      </w:pPr>
    </w:p>
    <w:p w:rsidR="00E940D9" w:rsidRPr="0004545B" w:rsidP="0004545B">
      <w:pPr>
        <w:jc w:val="center"/>
        <w:rPr>
          <w:spacing w:val="100"/>
        </w:rPr>
        <w:sectPr w:rsidSect="0004545B">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EA0A3E" w:rsidRPr="00490164" w:rsidP="00EA0A3E">
      <w:pPr>
        <w:tabs>
          <w:tab w:val="left" w:leader="underscore" w:pos="4680"/>
        </w:tabs>
        <w:jc w:val="center"/>
        <w:rPr>
          <w:szCs w:val="26"/>
        </w:rPr>
      </w:pPr>
      <w:r>
        <w:rPr>
          <w:szCs w:val="26"/>
        </w:rPr>
        <w:t xml:space="preserve">WISHNEV v. </w:t>
      </w:r>
      <w:r w:rsidR="005F4C53">
        <w:rPr>
          <w:szCs w:val="26"/>
        </w:rPr>
        <w:t>THE NORTHWESTERN MUTUAL LIFE INSURANCE COMPANY</w:t>
      </w:r>
    </w:p>
    <w:p w:rsidR="00EA0A3E" w:rsidRPr="00490164" w:rsidP="00EA0A3E">
      <w:pPr>
        <w:tabs>
          <w:tab w:val="left" w:leader="underscore" w:pos="4680"/>
        </w:tabs>
        <w:jc w:val="center"/>
        <w:rPr>
          <w:szCs w:val="26"/>
        </w:rPr>
      </w:pPr>
      <w:r w:rsidRPr="00490164">
        <w:rPr>
          <w:szCs w:val="26"/>
        </w:rPr>
        <w:t>S24</w:t>
      </w:r>
      <w:r>
        <w:rPr>
          <w:szCs w:val="26"/>
        </w:rPr>
        <w:t>6541</w:t>
      </w:r>
    </w:p>
    <w:p w:rsidR="00EA0A3E" w:rsidRPr="00490164" w:rsidP="00EA0A3E">
      <w:pPr>
        <w:tabs>
          <w:tab w:val="left" w:leader="underscore" w:pos="4680"/>
        </w:tabs>
        <w:jc w:val="center"/>
        <w:rPr>
          <w:szCs w:val="26"/>
        </w:rPr>
      </w:pPr>
    </w:p>
    <w:p w:rsidR="00EA0A3E" w:rsidRPr="00490164" w:rsidP="00EA0A3E">
      <w:pPr>
        <w:tabs>
          <w:tab w:val="left" w:leader="underscore" w:pos="4680"/>
        </w:tabs>
        <w:jc w:val="center"/>
        <w:rPr>
          <w:szCs w:val="26"/>
        </w:rPr>
      </w:pPr>
      <w:r w:rsidRPr="00490164">
        <w:rPr>
          <w:szCs w:val="26"/>
        </w:rPr>
        <w:t xml:space="preserve">Opinion of the Court by </w:t>
      </w:r>
      <w:r>
        <w:rPr>
          <w:szCs w:val="26"/>
        </w:rPr>
        <w:t>Corrigan, </w:t>
      </w:r>
      <w:r w:rsidRPr="00490164">
        <w:rPr>
          <w:szCs w:val="26"/>
        </w:rPr>
        <w:t>J.</w:t>
      </w:r>
    </w:p>
    <w:p w:rsidR="0057695D" w:rsidP="00470F06">
      <w:pPr>
        <w:tabs>
          <w:tab w:val="left" w:pos="1440"/>
        </w:tabs>
      </w:pPr>
    </w:p>
    <w:p w:rsidR="00330E3E" w:rsidP="00A72684">
      <w:pPr>
        <w:tabs>
          <w:tab w:val="left" w:pos="1440"/>
        </w:tabs>
        <w:ind w:firstLine="720"/>
      </w:pPr>
      <w:r>
        <w:t xml:space="preserve">The body of </w:t>
      </w:r>
      <w:r w:rsidR="00F825BB">
        <w:t xml:space="preserve">California </w:t>
      </w:r>
      <w:r>
        <w:t xml:space="preserve">law </w:t>
      </w:r>
      <w:r w:rsidR="00442B7C">
        <w:t xml:space="preserve">prohibiting </w:t>
      </w:r>
      <w:r>
        <w:t>usury derives from a</w:t>
      </w:r>
      <w:r w:rsidR="00E9237F">
        <w:t xml:space="preserve"> variety</w:t>
      </w:r>
      <w:r>
        <w:t xml:space="preserve"> of sources, including a constitutional amendmen</w:t>
      </w:r>
      <w:r w:rsidR="00CB20C1">
        <w:t>t</w:t>
      </w:r>
      <w:r>
        <w:t xml:space="preserve">.  </w:t>
      </w:r>
      <w:r w:rsidR="00E9237F">
        <w:t>(Cal Const.,</w:t>
      </w:r>
      <w:r>
        <w:rPr>
          <w:rStyle w:val="FootnoteReference"/>
        </w:rPr>
        <w:footnoteReference w:id="3"/>
      </w:r>
      <w:r w:rsidR="00530273">
        <w:t xml:space="preserve"> </w:t>
      </w:r>
      <w:r w:rsidR="00E9237F">
        <w:t xml:space="preserve">art. XV, § 1.)  </w:t>
      </w:r>
      <w:r>
        <w:t>Th</w:t>
      </w:r>
      <w:r w:rsidR="00E9237F">
        <w:t>e</w:t>
      </w:r>
      <w:r>
        <w:t xml:space="preserve"> amendment </w:t>
      </w:r>
      <w:r w:rsidR="00E9237F">
        <w:t>sets</w:t>
      </w:r>
      <w:r>
        <w:t xml:space="preserve"> </w:t>
      </w:r>
      <w:r w:rsidR="00A72684">
        <w:t xml:space="preserve">the </w:t>
      </w:r>
      <w:r>
        <w:t>maximum interest rates</w:t>
      </w:r>
      <w:r w:rsidR="00E9237F">
        <w:t xml:space="preserve"> lenders may charge</w:t>
      </w:r>
      <w:r>
        <w:t xml:space="preserve"> but exempts </w:t>
      </w:r>
      <w:r w:rsidR="00E9237F">
        <w:t>specified classes of lenders</w:t>
      </w:r>
      <w:r w:rsidR="005B3165">
        <w:t xml:space="preserve"> from those rate restrictions</w:t>
      </w:r>
      <w:r w:rsidR="00A72684">
        <w:t xml:space="preserve">.  The amendment </w:t>
      </w:r>
      <w:r w:rsidRPr="005B3165" w:rsidR="006E1B7B">
        <w:t>also</w:t>
      </w:r>
      <w:r w:rsidR="006E1B7B">
        <w:rPr>
          <w:b/>
        </w:rPr>
        <w:t xml:space="preserve"> </w:t>
      </w:r>
      <w:r w:rsidR="00A72684">
        <w:t xml:space="preserve">authorizes the Legislature to regulate “in any manner” the compensation these exempt lenders may receive.  </w:t>
      </w:r>
      <w:r w:rsidR="00982FF3">
        <w:t>(</w:t>
      </w:r>
      <w:r w:rsidR="00982FF3">
        <w:rPr>
          <w:i/>
        </w:rPr>
        <w:t>Ibid.</w:t>
      </w:r>
      <w:r w:rsidR="00982FF3">
        <w:t>)</w:t>
      </w:r>
      <w:r>
        <w:t xml:space="preserve"> </w:t>
      </w:r>
    </w:p>
    <w:p w:rsidR="00754DC2" w:rsidRPr="0004545B" w:rsidP="00A706B0">
      <w:pPr>
        <w:tabs>
          <w:tab w:val="left" w:pos="1440"/>
        </w:tabs>
        <w:ind w:firstLine="720"/>
      </w:pPr>
      <w:r>
        <w:t xml:space="preserve">We accepted a request </w:t>
      </w:r>
      <w:r w:rsidR="001C5E27">
        <w:t>from</w:t>
      </w:r>
      <w:r>
        <w:t xml:space="preserve"> the </w:t>
      </w:r>
      <w:r w:rsidRPr="0004545B" w:rsidR="00071354">
        <w:t>United States Court of Appeals for the Ninth Circuit</w:t>
      </w:r>
      <w:r>
        <w:t xml:space="preserve"> to </w:t>
      </w:r>
      <w:r w:rsidR="009F6E52">
        <w:t xml:space="preserve">determine whether exempt lenders must comply </w:t>
      </w:r>
      <w:r w:rsidR="0043527D">
        <w:t xml:space="preserve">with a </w:t>
      </w:r>
      <w:r w:rsidR="00530273">
        <w:t>voter-approved</w:t>
      </w:r>
      <w:r w:rsidR="0043527D">
        <w:t xml:space="preserve"> limitation that</w:t>
      </w:r>
      <w:r w:rsidR="009F6E52">
        <w:t xml:space="preserve"> was in place before the amendment was enacted in 1934.</w:t>
      </w:r>
      <w:r>
        <w:rPr>
          <w:rStyle w:val="FootnoteReference"/>
        </w:rPr>
        <w:footnoteReference w:id="4"/>
      </w:r>
      <w:r w:rsidRPr="0004545B" w:rsidR="00071354">
        <w:t xml:space="preserve">  </w:t>
      </w:r>
      <w:r w:rsidR="007A03E0">
        <w:t xml:space="preserve">The precise question we agreed to </w:t>
      </w:r>
      <w:r w:rsidR="00D4434C">
        <w:t>consider</w:t>
      </w:r>
      <w:r w:rsidR="007A03E0">
        <w:t xml:space="preserve"> is set forth in the footnote </w:t>
      </w:r>
      <w:r w:rsidR="007A03E0">
        <w:t>below.</w:t>
      </w:r>
      <w:r>
        <w:rPr>
          <w:rStyle w:val="FootnoteReference"/>
        </w:rPr>
        <w:footnoteReference w:id="5"/>
      </w:r>
      <w:r w:rsidR="007A03E0">
        <w:t xml:space="preserve">  Simply stated, the quest</w:t>
      </w:r>
      <w:r w:rsidRPr="0004545B" w:rsidR="00071354">
        <w:t xml:space="preserve">ion is:  </w:t>
      </w:r>
      <w:r w:rsidR="00F96D62">
        <w:t xml:space="preserve">Are exempt lenders </w:t>
      </w:r>
      <w:r w:rsidRPr="0004545B" w:rsidR="00071354">
        <w:t xml:space="preserve">like </w:t>
      </w:r>
      <w:r w:rsidR="00026D43">
        <w:t>The</w:t>
      </w:r>
      <w:r w:rsidR="007A03E0">
        <w:t xml:space="preserve"> </w:t>
      </w:r>
      <w:r w:rsidRPr="0004545B" w:rsidR="00071354">
        <w:t xml:space="preserve">Northwestern Mutual Life Insurance Company (Northwestern Mutual) required to </w:t>
      </w:r>
      <w:r w:rsidR="00F77EFB">
        <w:t>obtain</w:t>
      </w:r>
      <w:r w:rsidRPr="0004545B" w:rsidR="00071354">
        <w:t xml:space="preserve"> a borrower’s </w:t>
      </w:r>
      <w:r w:rsidRPr="0004545B" w:rsidR="00C47D06">
        <w:t xml:space="preserve">signed </w:t>
      </w:r>
      <w:r w:rsidRPr="0004545B" w:rsidR="00071354">
        <w:t>agreement in order to charge compound interest on a loa</w:t>
      </w:r>
      <w:r w:rsidR="00C17493">
        <w:t>n</w:t>
      </w:r>
      <w:r w:rsidR="009F6E52">
        <w:t>?</w:t>
      </w:r>
      <w:r w:rsidR="00676FBF">
        <w:t xml:space="preserve">  </w:t>
      </w:r>
      <w:r w:rsidR="008B1CB6">
        <w:t xml:space="preserve">We conclude the lenders are not so </w:t>
      </w:r>
      <w:r w:rsidR="006E1B7B">
        <w:t>obligated</w:t>
      </w:r>
      <w:r w:rsidR="008B1CB6">
        <w:t>.</w:t>
      </w:r>
    </w:p>
    <w:p w:rsidR="00B96D1D" w:rsidRPr="0004545B" w:rsidP="00844581">
      <w:pPr>
        <w:keepNext/>
        <w:tabs>
          <w:tab w:val="left" w:pos="1440"/>
        </w:tabs>
        <w:jc w:val="center"/>
      </w:pPr>
      <w:r w:rsidRPr="0004545B">
        <w:t>I.  BACKGROUND</w:t>
      </w:r>
    </w:p>
    <w:p w:rsidR="001C20E5" w:rsidRPr="0004545B" w:rsidP="0004545B">
      <w:pPr>
        <w:tabs>
          <w:tab w:val="left" w:pos="1440"/>
        </w:tabs>
        <w:ind w:firstLine="720"/>
      </w:pPr>
      <w:r w:rsidRPr="0004545B">
        <w:t>Northwestern Mutual</w:t>
      </w:r>
      <w:r w:rsidRPr="0004545B" w:rsidR="00EB0B94">
        <w:t xml:space="preserve"> </w:t>
      </w:r>
      <w:r w:rsidRPr="0004545B" w:rsidR="00D77A4C">
        <w:t xml:space="preserve">offers a life insurance product </w:t>
      </w:r>
      <w:r w:rsidRPr="0004545B" w:rsidR="00E41760">
        <w:t>referred to</w:t>
      </w:r>
      <w:r w:rsidRPr="0004545B" w:rsidR="00D77A4C">
        <w:t xml:space="preserve"> as </w:t>
      </w:r>
      <w:r w:rsidRPr="0004545B" w:rsidR="006471C6">
        <w:t>“permanent” life insurance</w:t>
      </w:r>
      <w:r w:rsidRPr="0004545B" w:rsidR="00E27913">
        <w:t>.</w:t>
      </w:r>
      <w:r>
        <w:rPr>
          <w:rStyle w:val="FootnoteReference"/>
        </w:rPr>
        <w:footnoteReference w:id="6"/>
      </w:r>
      <w:r w:rsidRPr="0004545B" w:rsidR="00E27913">
        <w:t xml:space="preserve">  It pays</w:t>
      </w:r>
      <w:r w:rsidRPr="0004545B" w:rsidR="006471C6">
        <w:t xml:space="preserve"> a benefit upon death and </w:t>
      </w:r>
      <w:r w:rsidRPr="0004545B" w:rsidR="002D53BC">
        <w:t>accumulate</w:t>
      </w:r>
      <w:r w:rsidRPr="0004545B" w:rsidR="003416DB">
        <w:t>s</w:t>
      </w:r>
      <w:r w:rsidRPr="0004545B" w:rsidR="002D53BC">
        <w:t xml:space="preserve"> a cash value during the insured’s lifetime</w:t>
      </w:r>
      <w:r w:rsidRPr="0004545B" w:rsidR="006471C6">
        <w:t>.</w:t>
      </w:r>
      <w:r w:rsidR="004E11E2">
        <w:t xml:space="preserve">  </w:t>
      </w:r>
      <w:r w:rsidR="006E1B7B">
        <w:t xml:space="preserve">The </w:t>
      </w:r>
      <w:r w:rsidRPr="0004545B" w:rsidR="00E27913">
        <w:t xml:space="preserve">policy </w:t>
      </w:r>
      <w:r w:rsidR="006E1B7B">
        <w:t xml:space="preserve">also </w:t>
      </w:r>
      <w:r w:rsidRPr="0004545B" w:rsidR="00E27913">
        <w:t>pa</w:t>
      </w:r>
      <w:r w:rsidRPr="0004545B" w:rsidR="0048406C">
        <w:t>ys an annual dividend to the policyholder, who may take out loans secured by the cash value of the policy</w:t>
      </w:r>
      <w:r w:rsidRPr="0004545B" w:rsidR="00691C18">
        <w:t>.</w:t>
      </w:r>
      <w:r>
        <w:rPr>
          <w:rStyle w:val="FootnoteReference"/>
        </w:rPr>
        <w:footnoteReference w:id="7"/>
      </w:r>
    </w:p>
    <w:p w:rsidR="00D93A68" w:rsidRPr="0004545B" w:rsidP="0004545B">
      <w:pPr>
        <w:tabs>
          <w:tab w:val="left" w:pos="1440"/>
        </w:tabs>
        <w:ind w:firstLine="720"/>
      </w:pPr>
      <w:r w:rsidRPr="0004545B">
        <w:t xml:space="preserve">Between 1967 and 1976, Northwestern Mutual issued four </w:t>
      </w:r>
      <w:r w:rsidRPr="0004545B" w:rsidR="008E2DE1">
        <w:t xml:space="preserve">permanent </w:t>
      </w:r>
      <w:r w:rsidRPr="0004545B">
        <w:t>life poli</w:t>
      </w:r>
      <w:r w:rsidRPr="0004545B" w:rsidR="00373A28">
        <w:t>cies to Sanford J. Wishne</w:t>
      </w:r>
      <w:r w:rsidR="00E54896">
        <w:t xml:space="preserve">v, who </w:t>
      </w:r>
      <w:r w:rsidRPr="0004545B" w:rsidR="00287766">
        <w:t xml:space="preserve">completed and </w:t>
      </w:r>
      <w:r w:rsidRPr="0004545B">
        <w:t xml:space="preserve">signed </w:t>
      </w:r>
      <w:r w:rsidRPr="0004545B" w:rsidR="008E2DE1">
        <w:t>an application for each.</w:t>
      </w:r>
      <w:r w:rsidR="00E54896">
        <w:t xml:space="preserve">  </w:t>
      </w:r>
      <w:r w:rsidRPr="0004545B" w:rsidR="00287766">
        <w:t>None of the applications disclosed that Northwestern Mutual would charge compound interes</w:t>
      </w:r>
      <w:r w:rsidR="006E1B7B">
        <w:t>t</w:t>
      </w:r>
      <w:r w:rsidRPr="0004545B" w:rsidR="00FB702E">
        <w:t>.</w:t>
      </w:r>
      <w:r w:rsidR="00E54896">
        <w:t xml:space="preserve">  </w:t>
      </w:r>
      <w:r w:rsidRPr="0004545B" w:rsidR="00554EAF">
        <w:t xml:space="preserve">After Wishnev submitted each signed application, Northwestern Mutual sent him the </w:t>
      </w:r>
      <w:r w:rsidR="00E54038">
        <w:t>requested</w:t>
      </w:r>
      <w:r w:rsidRPr="0004545B" w:rsidR="00554EAF">
        <w:t xml:space="preserve"> policy.</w:t>
      </w:r>
      <w:r w:rsidR="00E54896">
        <w:t xml:space="preserve">  </w:t>
      </w:r>
      <w:r w:rsidRPr="0004545B" w:rsidR="00F82424">
        <w:t xml:space="preserve">Each states that “[t]his policy and the application, a copy of which is </w:t>
      </w:r>
      <w:r w:rsidRPr="0004545B" w:rsidR="00F82424">
        <w:t xml:space="preserve">attached when issued, constitute the entire contract.” </w:t>
      </w:r>
      <w:r w:rsidRPr="0004545B" w:rsidR="001975DE">
        <w:t xml:space="preserve"> </w:t>
      </w:r>
      <w:r w:rsidR="00026D43">
        <w:t>The</w:t>
      </w:r>
      <w:r w:rsidRPr="0004545B" w:rsidR="0083394F">
        <w:t xml:space="preserve"> </w:t>
      </w:r>
      <w:r w:rsidRPr="0004545B" w:rsidR="00627CBC">
        <w:t>polic</w:t>
      </w:r>
      <w:r w:rsidR="00026D43">
        <w:t>ies</w:t>
      </w:r>
      <w:r w:rsidRPr="0004545B" w:rsidR="00627CBC">
        <w:t xml:space="preserve"> </w:t>
      </w:r>
      <w:r w:rsidRPr="0004545B">
        <w:t xml:space="preserve">do </w:t>
      </w:r>
      <w:r w:rsidRPr="0004545B" w:rsidR="003642B1">
        <w:t xml:space="preserve">explain </w:t>
      </w:r>
      <w:r w:rsidRPr="0004545B" w:rsidR="0083394F">
        <w:t>that loan interest is compounded annually</w:t>
      </w:r>
      <w:r w:rsidRPr="0004545B" w:rsidR="00A8046B">
        <w:t>,</w:t>
      </w:r>
      <w:r w:rsidRPr="0004545B">
        <w:t xml:space="preserve"> </w:t>
      </w:r>
      <w:r w:rsidR="00E54038">
        <w:t xml:space="preserve">but </w:t>
      </w:r>
      <w:r w:rsidRPr="0004545B">
        <w:t>Wishnev was not required to sign and return a</w:t>
      </w:r>
      <w:r w:rsidR="00E54038">
        <w:t>ny</w:t>
      </w:r>
      <w:r w:rsidR="005B3165">
        <w:t xml:space="preserve"> copy</w:t>
      </w:r>
      <w:r w:rsidRPr="0004545B">
        <w:t>.</w:t>
      </w:r>
    </w:p>
    <w:p w:rsidR="00C334A4" w:rsidRPr="0004545B" w:rsidP="0004545B">
      <w:pPr>
        <w:tabs>
          <w:tab w:val="left" w:pos="1440"/>
        </w:tabs>
        <w:ind w:firstLine="720"/>
      </w:pPr>
      <w:r w:rsidRPr="0004545B">
        <w:t>At some point a</w:t>
      </w:r>
      <w:r w:rsidRPr="0004545B" w:rsidR="008D53AD">
        <w:t xml:space="preserve">fter 1980, </w:t>
      </w:r>
      <w:r w:rsidRPr="0004545B">
        <w:t xml:space="preserve">Wishnev took out four loans secured </w:t>
      </w:r>
      <w:r w:rsidRPr="0004545B" w:rsidR="00A8046B">
        <w:t xml:space="preserve">by </w:t>
      </w:r>
      <w:r w:rsidRPr="0004545B" w:rsidR="006E18B3">
        <w:t>his four</w:t>
      </w:r>
      <w:r w:rsidRPr="0004545B" w:rsidR="00D93A68">
        <w:t xml:space="preserve"> </w:t>
      </w:r>
      <w:r w:rsidRPr="0004545B">
        <w:t>policies.</w:t>
      </w:r>
      <w:r w:rsidRPr="0004545B" w:rsidR="00F202AE">
        <w:t xml:space="preserve"> </w:t>
      </w:r>
      <w:r w:rsidRPr="0004545B" w:rsidR="00E27913">
        <w:t xml:space="preserve"> </w:t>
      </w:r>
      <w:r w:rsidRPr="0004545B">
        <w:t xml:space="preserve">Northwestern Mutual assessed compound </w:t>
      </w:r>
      <w:r w:rsidRPr="0004545B" w:rsidR="00F202AE">
        <w:t>interest on the loan balances.</w:t>
      </w:r>
    </w:p>
    <w:p w:rsidR="006D4C92" w:rsidRPr="0004545B" w:rsidP="0004545B">
      <w:pPr>
        <w:tabs>
          <w:tab w:val="left" w:pos="1440"/>
        </w:tabs>
        <w:ind w:firstLine="720"/>
      </w:pPr>
      <w:r w:rsidRPr="0004545B">
        <w:t xml:space="preserve">Wishnev </w:t>
      </w:r>
      <w:r w:rsidRPr="0004545B" w:rsidR="008D0600">
        <w:t xml:space="preserve">filed a putative class action </w:t>
      </w:r>
      <w:r w:rsidRPr="0004545B" w:rsidR="001246C0">
        <w:t xml:space="preserve">suit </w:t>
      </w:r>
      <w:r w:rsidRPr="0004545B" w:rsidR="005350CB">
        <w:t>in state court alleging Northwestern Mutual</w:t>
      </w:r>
      <w:r w:rsidRPr="0004545B" w:rsidR="00596EBA">
        <w:t>’s assessment of compound interest was barred because he never signed an agreement to that effect.</w:t>
      </w:r>
      <w:r w:rsidR="001957E4">
        <w:t xml:space="preserve">  H</w:t>
      </w:r>
      <w:r w:rsidRPr="0004545B" w:rsidR="00443F02">
        <w:t xml:space="preserve">e </w:t>
      </w:r>
      <w:r w:rsidRPr="0004545B" w:rsidR="00296FFC">
        <w:t xml:space="preserve">claims damages because the loan balances, increased by compound interest, reduced the amount he received in annual dividends.  </w:t>
      </w:r>
      <w:r w:rsidR="001957E4">
        <w:t>W</w:t>
      </w:r>
      <w:r w:rsidRPr="0004545B" w:rsidR="00611601">
        <w:t xml:space="preserve">ishnev </w:t>
      </w:r>
      <w:r w:rsidRPr="0004545B" w:rsidR="0093761E">
        <w:t xml:space="preserve">seeks to certify a class of all persons </w:t>
      </w:r>
      <w:r w:rsidRPr="0004545B" w:rsidR="00321508">
        <w:t xml:space="preserve">who were </w:t>
      </w:r>
      <w:r w:rsidRPr="0004545B" w:rsidR="0093761E">
        <w:t xml:space="preserve">charged </w:t>
      </w:r>
      <w:r w:rsidRPr="0004545B" w:rsidR="00312428">
        <w:t xml:space="preserve">similar </w:t>
      </w:r>
      <w:r w:rsidRPr="0004545B" w:rsidR="0093761E">
        <w:t>compound interest</w:t>
      </w:r>
      <w:r w:rsidRPr="0004545B" w:rsidR="00DE20FB">
        <w:t xml:space="preserve"> in the </w:t>
      </w:r>
      <w:r w:rsidRPr="0004545B" w:rsidR="00312428">
        <w:t>previous</w:t>
      </w:r>
      <w:r w:rsidRPr="0004545B" w:rsidR="00DE20FB">
        <w:t xml:space="preserve"> four years</w:t>
      </w:r>
      <w:r w:rsidRPr="0004545B" w:rsidR="0093761E">
        <w:t xml:space="preserve">. </w:t>
      </w:r>
      <w:r w:rsidRPr="0004545B" w:rsidR="00312428">
        <w:t xml:space="preserve"> </w:t>
      </w:r>
      <w:r w:rsidRPr="0004545B" w:rsidR="00611601">
        <w:t xml:space="preserve">On behalf of the class, he requests actual damages </w:t>
      </w:r>
      <w:r w:rsidR="00E54038">
        <w:t xml:space="preserve">along with </w:t>
      </w:r>
      <w:r w:rsidRPr="0004545B" w:rsidR="00611601">
        <w:t xml:space="preserve">treble the amount of </w:t>
      </w:r>
      <w:r w:rsidRPr="0004545B" w:rsidR="00611601">
        <w:rPr>
          <w:i/>
        </w:rPr>
        <w:t>all</w:t>
      </w:r>
      <w:r w:rsidRPr="0004545B" w:rsidR="00611601">
        <w:t xml:space="preserve"> interest paid within one year of the filing of the complaint.</w:t>
      </w:r>
    </w:p>
    <w:p w:rsidR="00AA1124" w:rsidRPr="0004545B" w:rsidP="0004545B">
      <w:pPr>
        <w:tabs>
          <w:tab w:val="left" w:pos="1440"/>
        </w:tabs>
        <w:ind w:firstLine="720"/>
      </w:pPr>
      <w:r w:rsidRPr="0004545B">
        <w:t>Northwestern Mutual removed the action to federal district</w:t>
      </w:r>
      <w:r w:rsidRPr="0004545B" w:rsidR="00DE7BC1">
        <w:t xml:space="preserve"> </w:t>
      </w:r>
      <w:r w:rsidRPr="0004545B">
        <w:t>court and moved to dismiss</w:t>
      </w:r>
      <w:r w:rsidRPr="0004545B" w:rsidR="00CF21C5">
        <w:t>.  It argued that, as an exempt lender,</w:t>
      </w:r>
      <w:r w:rsidRPr="0004545B" w:rsidR="001979B5">
        <w:t xml:space="preserve"> it was not required to </w:t>
      </w:r>
      <w:r w:rsidR="00116B1F">
        <w:t>obtain</w:t>
      </w:r>
      <w:r w:rsidRPr="0004545B" w:rsidR="005D2E0A">
        <w:t xml:space="preserve"> a borrower’s signed consent to charge compound interest.</w:t>
      </w:r>
      <w:r>
        <w:rPr>
          <w:rStyle w:val="FootnoteReference"/>
        </w:rPr>
        <w:footnoteReference w:id="8"/>
      </w:r>
      <w:r w:rsidRPr="0004545B" w:rsidR="005D2E0A">
        <w:t xml:space="preserve"> </w:t>
      </w:r>
      <w:r w:rsidRPr="0004545B" w:rsidR="00A87CBF">
        <w:t xml:space="preserve"> </w:t>
      </w:r>
      <w:r w:rsidRPr="0004545B" w:rsidR="00337F5B">
        <w:t xml:space="preserve">The court denied </w:t>
      </w:r>
      <w:r w:rsidRPr="0004545B" w:rsidR="00CF21C5">
        <w:t xml:space="preserve">the dismissal </w:t>
      </w:r>
      <w:r w:rsidRPr="0004545B" w:rsidR="00DD4F16">
        <w:t>motion</w:t>
      </w:r>
      <w:r w:rsidR="006F54E9">
        <w:t xml:space="preserve">, holding that Northwestern Mutual was </w:t>
      </w:r>
      <w:r w:rsidR="006F54E9">
        <w:t>required to get signed consent and failed to do so.</w:t>
      </w:r>
      <w:r w:rsidRPr="0004545B" w:rsidR="00DD4F16">
        <w:t xml:space="preserve">  (</w:t>
      </w:r>
      <w:r w:rsidRPr="0004545B" w:rsidR="00DD4F16">
        <w:rPr>
          <w:i/>
        </w:rPr>
        <w:t xml:space="preserve">Wishnev v. Northwestern Mut. Life Ins. Co. </w:t>
      </w:r>
      <w:r w:rsidRPr="0004545B" w:rsidR="00DD4F16">
        <w:t xml:space="preserve">(N.D.Cal. 2016) </w:t>
      </w:r>
      <w:r w:rsidRPr="0004545B" w:rsidR="000C4582">
        <w:t xml:space="preserve">162 F.Supp.3d </w:t>
      </w:r>
      <w:r w:rsidRPr="0004545B" w:rsidR="00A911A8">
        <w:t xml:space="preserve">930, </w:t>
      </w:r>
      <w:r w:rsidR="006F54E9">
        <w:t xml:space="preserve">947, 949, </w:t>
      </w:r>
      <w:r w:rsidRPr="0004545B" w:rsidR="00A911A8">
        <w:t>953</w:t>
      </w:r>
      <w:r w:rsidRPr="0004545B" w:rsidR="00A410E6">
        <w:t xml:space="preserve"> (</w:t>
      </w:r>
      <w:r w:rsidRPr="0004545B" w:rsidR="00A410E6">
        <w:rPr>
          <w:i/>
        </w:rPr>
        <w:t>Wishnev I</w:t>
      </w:r>
      <w:r w:rsidRPr="0004545B" w:rsidR="00A410E6">
        <w:t>).</w:t>
      </w:r>
      <w:r w:rsidRPr="0004545B" w:rsidR="00A911A8">
        <w:t>)</w:t>
      </w:r>
    </w:p>
    <w:p w:rsidR="00262B8C" w:rsidP="00262B8C">
      <w:pPr>
        <w:tabs>
          <w:tab w:val="left" w:pos="1440"/>
        </w:tabs>
        <w:ind w:firstLine="720"/>
      </w:pPr>
      <w:r w:rsidRPr="0004545B">
        <w:t xml:space="preserve">The district court in </w:t>
      </w:r>
      <w:r w:rsidRPr="0004545B">
        <w:rPr>
          <w:i/>
        </w:rPr>
        <w:t xml:space="preserve">Wishnev I </w:t>
      </w:r>
      <w:r w:rsidRPr="0004545B">
        <w:t xml:space="preserve">stands alone in its determination that exempt lenders must </w:t>
      </w:r>
      <w:r w:rsidRPr="0004545B" w:rsidR="00B506C7">
        <w:t>obtain a borrower’s</w:t>
      </w:r>
      <w:r w:rsidRPr="0004545B" w:rsidR="008B1EC8">
        <w:rPr>
          <w:color w:val="FF0000"/>
        </w:rPr>
        <w:t xml:space="preserve"> </w:t>
      </w:r>
      <w:r w:rsidRPr="0004545B" w:rsidR="00940D8E">
        <w:t xml:space="preserve">signed </w:t>
      </w:r>
      <w:r w:rsidRPr="0004545B" w:rsidR="008B1EC8">
        <w:t>consent to impose compound interest</w:t>
      </w:r>
      <w:r w:rsidRPr="0004545B">
        <w:t>.  (</w:t>
      </w:r>
      <w:r w:rsidRPr="0004545B" w:rsidR="00CF21C5">
        <w:rPr>
          <w:i/>
        </w:rPr>
        <w:t xml:space="preserve">Wishnev v. Northwestern Mut. Life Ins. Co. </w:t>
      </w:r>
      <w:r w:rsidRPr="0004545B" w:rsidR="00CF21C5">
        <w:t>(9th Cir. 2018) 880 F.3d 493, 501–502 (</w:t>
      </w:r>
      <w:r w:rsidRPr="0004545B" w:rsidR="00CF21C5">
        <w:rPr>
          <w:i/>
        </w:rPr>
        <w:t>Wishnev II</w:t>
      </w:r>
      <w:r w:rsidRPr="0004545B" w:rsidR="00CF21C5">
        <w:t>)</w:t>
      </w:r>
      <w:r w:rsidRPr="0004545B">
        <w:t xml:space="preserve">.)  </w:t>
      </w:r>
      <w:r w:rsidRPr="0004545B" w:rsidR="008B1EC8">
        <w:t>T</w:t>
      </w:r>
      <w:r w:rsidRPr="0004545B">
        <w:t xml:space="preserve">hree other district courts in the Ninth Circuit have concluded </w:t>
      </w:r>
      <w:r w:rsidRPr="0004545B" w:rsidR="00DB00D4">
        <w:t xml:space="preserve">to the contrary.  </w:t>
      </w:r>
      <w:r w:rsidRPr="0004545B">
        <w:t>(</w:t>
      </w:r>
      <w:r w:rsidRPr="0004545B">
        <w:rPr>
          <w:i/>
        </w:rPr>
        <w:t>Ibid.</w:t>
      </w:r>
      <w:r w:rsidRPr="0004545B">
        <w:t xml:space="preserve">; see </w:t>
      </w:r>
      <w:r w:rsidRPr="0004545B">
        <w:rPr>
          <w:i/>
        </w:rPr>
        <w:t xml:space="preserve">Martin v. Metro. Life Ins. Co. </w:t>
      </w:r>
      <w:r w:rsidRPr="0004545B">
        <w:t>(N.D.Cal. 2016) 179 F.Supp.3d 948, 954–</w:t>
      </w:r>
      <w:r w:rsidRPr="0004545B" w:rsidR="006D5741">
        <w:t>9</w:t>
      </w:r>
      <w:r w:rsidRPr="0004545B">
        <w:t xml:space="preserve">55; </w:t>
      </w:r>
      <w:r w:rsidRPr="0004545B">
        <w:rPr>
          <w:i/>
        </w:rPr>
        <w:t xml:space="preserve">Washburn v. Prudential Ins. Co. of Am. </w:t>
      </w:r>
      <w:r w:rsidRPr="0004545B">
        <w:t xml:space="preserve">(N.D.Cal. 2015) 158 F.Supp.3d 888, 896; </w:t>
      </w:r>
      <w:r w:rsidRPr="0004545B">
        <w:rPr>
          <w:i/>
        </w:rPr>
        <w:t xml:space="preserve">Lujan v. New York Life Ins. Co. </w:t>
      </w:r>
      <w:r w:rsidRPr="0004545B">
        <w:t>(N.D.Cal.</w:t>
      </w:r>
      <w:r w:rsidR="007A03E0">
        <w:t>,</w:t>
      </w:r>
      <w:r w:rsidRPr="0004545B">
        <w:t xml:space="preserve"> </w:t>
      </w:r>
      <w:r w:rsidRPr="0004545B" w:rsidR="00F57CA5">
        <w:t>Aug. 9, 2016, No. 16-CV-00913-JSW) 2016 WL 4483</w:t>
      </w:r>
      <w:r w:rsidRPr="0004545B" w:rsidR="006D5741">
        <w:t>8</w:t>
      </w:r>
      <w:r w:rsidRPr="0004545B" w:rsidR="00F57CA5">
        <w:t xml:space="preserve">70, </w:t>
      </w:r>
      <w:r w:rsidR="007A03E0">
        <w:t>p.</w:t>
      </w:r>
      <w:r w:rsidRPr="0004545B" w:rsidR="00F57CA5">
        <w:t xml:space="preserve"> *5.)</w:t>
      </w:r>
    </w:p>
    <w:p w:rsidR="00273796" w:rsidRPr="0004545B" w:rsidP="00FA46B3">
      <w:pPr>
        <w:tabs>
          <w:tab w:val="left" w:pos="1440"/>
        </w:tabs>
        <w:jc w:val="center"/>
      </w:pPr>
      <w:r w:rsidRPr="0004545B">
        <w:t>II.  DISCUSSION</w:t>
      </w:r>
    </w:p>
    <w:p w:rsidR="005D5B7D" w:rsidRPr="0004545B" w:rsidP="0004545B">
      <w:pPr>
        <w:tabs>
          <w:tab w:val="left" w:pos="1440"/>
        </w:tabs>
        <w:ind w:firstLine="720"/>
      </w:pPr>
      <w:r w:rsidRPr="0004545B">
        <w:t>California’s usury law</w:t>
      </w:r>
      <w:r w:rsidRPr="0004545B" w:rsidR="00563B4B">
        <w:t xml:space="preserve">s, which regulate the charging of interest, are </w:t>
      </w:r>
      <w:r w:rsidRPr="0004545B" w:rsidR="00C3356E">
        <w:t xml:space="preserve">far </w:t>
      </w:r>
      <w:r w:rsidRPr="0004545B" w:rsidR="00563B4B">
        <w:t>from</w:t>
      </w:r>
      <w:r w:rsidRPr="0004545B">
        <w:t xml:space="preserve"> a model of clarity.</w:t>
      </w:r>
      <w:r w:rsidRPr="0004545B" w:rsidR="00FD7C16">
        <w:t xml:space="preserve"> </w:t>
      </w:r>
      <w:r w:rsidRPr="0004545B" w:rsidR="00FD7C16">
        <w:rPr>
          <w:color w:val="00B0F0"/>
        </w:rPr>
        <w:t xml:space="preserve"> </w:t>
      </w:r>
      <w:r w:rsidRPr="0004545B" w:rsidR="001577F8">
        <w:t>Their</w:t>
      </w:r>
      <w:r w:rsidRPr="0004545B" w:rsidR="00916976">
        <w:t xml:space="preserve"> s</w:t>
      </w:r>
      <w:r w:rsidRPr="0004545B" w:rsidR="008A334E">
        <w:t>ources include</w:t>
      </w:r>
      <w:r w:rsidRPr="0004545B" w:rsidR="007A1ACE">
        <w:t xml:space="preserve"> </w:t>
      </w:r>
      <w:r w:rsidRPr="0004545B">
        <w:t>(1)</w:t>
      </w:r>
      <w:r w:rsidRPr="0004545B" w:rsidR="00FD7C16">
        <w:t> </w:t>
      </w:r>
      <w:r w:rsidRPr="0004545B" w:rsidR="008A334E">
        <w:t xml:space="preserve">an </w:t>
      </w:r>
      <w:r w:rsidRPr="0004545B">
        <w:t>uncodified, voter-approved initiative (</w:t>
      </w:r>
      <w:r w:rsidR="007A03E0">
        <w:t>9C West’s Ann. Civ. Code (2010 ed.) foll. §</w:t>
      </w:r>
      <w:r w:rsidR="00D4434C">
        <w:t> </w:t>
      </w:r>
      <w:r w:rsidR="007A03E0">
        <w:t>1916.12, pp. 187</w:t>
      </w:r>
      <w:r w:rsidRPr="0004545B" w:rsidR="00D4434C">
        <w:t>–</w:t>
      </w:r>
      <w:r w:rsidR="007A03E0">
        <w:t>238</w:t>
      </w:r>
      <w:r w:rsidRPr="0004545B">
        <w:t>), (2</w:t>
      </w:r>
      <w:r w:rsidRPr="0004545B" w:rsidR="007A1ACE">
        <w:t>) </w:t>
      </w:r>
      <w:r w:rsidRPr="0004545B">
        <w:t>voter-approved constitutional provisions currently found in article XV</w:t>
      </w:r>
      <w:r w:rsidRPr="0004545B" w:rsidR="001577F8">
        <w:t>,</w:t>
      </w:r>
      <w:r w:rsidRPr="0004545B">
        <w:t xml:space="preserve"> and (3)</w:t>
      </w:r>
      <w:r w:rsidRPr="0004545B" w:rsidR="007A1ACE">
        <w:t> </w:t>
      </w:r>
      <w:r w:rsidRPr="0004545B" w:rsidR="00FD7C16">
        <w:t>s</w:t>
      </w:r>
      <w:r w:rsidRPr="0004545B">
        <w:t xml:space="preserve">tatutes scattered throughout various codes regulating lenders considered exempt under article XV.  (See Rabin &amp; Brownlie, </w:t>
      </w:r>
      <w:r w:rsidRPr="0004545B">
        <w:rPr>
          <w:i/>
        </w:rPr>
        <w:t xml:space="preserve">Usury Law in California:  A Guide Through the Maze </w:t>
      </w:r>
      <w:r w:rsidRPr="0004545B">
        <w:t xml:space="preserve">(1987) 20 U.C. Davis L.Rev. 397, 398.)  Administrative provisions, federal law, and state </w:t>
      </w:r>
      <w:r w:rsidR="00564A5F">
        <w:t xml:space="preserve">common </w:t>
      </w:r>
      <w:r w:rsidRPr="0004545B">
        <w:t>law also play a role.  (</w:t>
      </w:r>
      <w:r w:rsidRPr="0004545B">
        <w:rPr>
          <w:i/>
        </w:rPr>
        <w:t>Id.</w:t>
      </w:r>
      <w:r w:rsidRPr="0004545B">
        <w:t xml:space="preserve"> at p. 397.)  The interplay among these sources continues to generate confusion</w:t>
      </w:r>
      <w:r w:rsidRPr="0004545B" w:rsidR="00563B3E">
        <w:t>.</w:t>
      </w:r>
      <w:r w:rsidRPr="0004545B" w:rsidR="00916976">
        <w:t xml:space="preserve">  </w:t>
      </w:r>
      <w:r w:rsidRPr="0004545B" w:rsidR="00563B3E">
        <w:t>We begin with a brief history of California’s usury law</w:t>
      </w:r>
      <w:r w:rsidRPr="0004545B" w:rsidR="00A87CBF">
        <w:t>s</w:t>
      </w:r>
      <w:r w:rsidRPr="0004545B" w:rsidR="00563B3E">
        <w:t xml:space="preserve"> to put the relevant authorities into perspective.</w:t>
      </w:r>
    </w:p>
    <w:p w:rsidR="005D5B7D" w:rsidRPr="0004545B" w:rsidP="0004545B">
      <w:pPr>
        <w:keepNext/>
        <w:tabs>
          <w:tab w:val="left" w:pos="1440"/>
        </w:tabs>
        <w:ind w:firstLine="720"/>
      </w:pPr>
      <w:r w:rsidRPr="0004545B">
        <w:t>A.</w:t>
      </w:r>
      <w:r w:rsidRPr="0004545B">
        <w:tab/>
      </w:r>
      <w:r w:rsidRPr="0004545B">
        <w:rPr>
          <w:i/>
        </w:rPr>
        <w:t>California’s Usury Law</w:t>
      </w:r>
      <w:r w:rsidRPr="0004545B" w:rsidR="00742C72">
        <w:rPr>
          <w:i/>
        </w:rPr>
        <w:t>s</w:t>
      </w:r>
    </w:p>
    <w:p w:rsidR="005D5B7D" w:rsidRPr="0004545B" w:rsidP="0004545B">
      <w:pPr>
        <w:tabs>
          <w:tab w:val="left" w:pos="1440"/>
        </w:tabs>
        <w:ind w:firstLine="720"/>
      </w:pPr>
      <w:r w:rsidRPr="0004545B">
        <w:t>In the early years of California’s statehood, the Legislature</w:t>
      </w:r>
      <w:r w:rsidRPr="0004545B" w:rsidR="008728FA">
        <w:t xml:space="preserve"> declined </w:t>
      </w:r>
      <w:r w:rsidRPr="0004545B">
        <w:t xml:space="preserve">to set maximum interest rates </w:t>
      </w:r>
      <w:r w:rsidRPr="0004545B" w:rsidR="008728FA">
        <w:t>for loans</w:t>
      </w:r>
      <w:r w:rsidRPr="0004545B">
        <w:t xml:space="preserve"> and instead enacted a law generally allowing parties to agree in writing for “ ‘any rate of interest whatever on money due . . . .’ ”  (</w:t>
      </w:r>
      <w:r w:rsidRPr="0004545B">
        <w:rPr>
          <w:i/>
        </w:rPr>
        <w:t xml:space="preserve">Carter v. Seaboard Finance Co. </w:t>
      </w:r>
      <w:r w:rsidRPr="0004545B">
        <w:t>(1949) 33 Cal.2d 564, 575 (</w:t>
      </w:r>
      <w:r w:rsidRPr="0004545B">
        <w:rPr>
          <w:i/>
        </w:rPr>
        <w:t>Carter</w:t>
      </w:r>
      <w:r w:rsidRPr="0004545B">
        <w:t xml:space="preserve">).)  Over time, the Legislature enacted usury statutes governing maximum interest </w:t>
      </w:r>
      <w:r w:rsidRPr="0004545B" w:rsidR="008728FA">
        <w:t xml:space="preserve">chargeable by lenders </w:t>
      </w:r>
      <w:r w:rsidRPr="0004545B">
        <w:t>that typically ma</w:t>
      </w:r>
      <w:r w:rsidRPr="0004545B" w:rsidR="00844B3B">
        <w:t>k</w:t>
      </w:r>
      <w:r w:rsidRPr="0004545B">
        <w:t>e small loans, such as pawnbrokers and personal property brokers.  (</w:t>
      </w:r>
      <w:r w:rsidRPr="0004545B">
        <w:rPr>
          <w:i/>
        </w:rPr>
        <w:t>Id.</w:t>
      </w:r>
      <w:r w:rsidRPr="0004545B">
        <w:t xml:space="preserve"> at pp. 575–576.)  </w:t>
      </w:r>
    </w:p>
    <w:p w:rsidR="00AA7A2C" w:rsidRPr="0004545B" w:rsidP="0004545B">
      <w:pPr>
        <w:tabs>
          <w:tab w:val="left" w:pos="1440"/>
        </w:tabs>
        <w:ind w:firstLine="720"/>
      </w:pPr>
      <w:r w:rsidRPr="0004545B">
        <w:t xml:space="preserve">In 1918, California voters approved an initiative measure </w:t>
      </w:r>
      <w:r w:rsidRPr="0004545B" w:rsidR="00DD7677">
        <w:t xml:space="preserve">that </w:t>
      </w:r>
      <w:r w:rsidR="00564A5F">
        <w:t>took</w:t>
      </w:r>
      <w:r w:rsidRPr="0004545B" w:rsidR="00DD7677">
        <w:t xml:space="preserve"> a uniform approach to usury (hereafter</w:t>
      </w:r>
      <w:r w:rsidRPr="0004545B" w:rsidR="00A87CBF">
        <w:t xml:space="preserve"> </w:t>
      </w:r>
      <w:r w:rsidRPr="0004545B" w:rsidR="00DD7677">
        <w:t xml:space="preserve">the </w:t>
      </w:r>
      <w:r w:rsidRPr="0004545B" w:rsidR="0083764C">
        <w:t xml:space="preserve">“initiative” or </w:t>
      </w:r>
      <w:r w:rsidRPr="0004545B" w:rsidR="00DD7677">
        <w:t>“1918 initiative”)</w:t>
      </w:r>
      <w:r w:rsidRPr="0004545B">
        <w:t>.</w:t>
      </w:r>
      <w:r>
        <w:rPr>
          <w:rStyle w:val="FootnoteReference"/>
        </w:rPr>
        <w:footnoteReference w:id="9"/>
      </w:r>
      <w:r w:rsidRPr="0004545B">
        <w:t xml:space="preserve">  </w:t>
      </w:r>
      <w:r w:rsidRPr="0004545B" w:rsidR="005D5B7D">
        <w:t>(§§ 1916–1</w:t>
      </w:r>
      <w:r w:rsidRPr="0004545B" w:rsidR="00DA5084">
        <w:t>-</w:t>
      </w:r>
      <w:r w:rsidRPr="0004545B" w:rsidR="005D5B7D">
        <w:t xml:space="preserve">1916–5; </w:t>
      </w:r>
      <w:r w:rsidRPr="0004545B" w:rsidR="005D5B7D">
        <w:rPr>
          <w:i/>
        </w:rPr>
        <w:t>Carter</w:t>
      </w:r>
      <w:r w:rsidRPr="007A03E0" w:rsidR="005D5B7D">
        <w:t>,</w:t>
      </w:r>
      <w:r w:rsidRPr="0004545B" w:rsidR="005D5B7D">
        <w:rPr>
          <w:i/>
        </w:rPr>
        <w:t xml:space="preserve"> supra</w:t>
      </w:r>
      <w:r w:rsidRPr="007A03E0" w:rsidR="005D5B7D">
        <w:t>,</w:t>
      </w:r>
      <w:r w:rsidRPr="0004545B" w:rsidR="005D5B7D">
        <w:rPr>
          <w:i/>
        </w:rPr>
        <w:t xml:space="preserve"> </w:t>
      </w:r>
      <w:r w:rsidRPr="0004545B" w:rsidR="005D5B7D">
        <w:t>33 Cal.2d at p. 576.)  Th</w:t>
      </w:r>
      <w:r w:rsidRPr="0004545B" w:rsidR="00DD7677">
        <w:t xml:space="preserve">e </w:t>
      </w:r>
      <w:r w:rsidRPr="0004545B" w:rsidR="005D5B7D">
        <w:t xml:space="preserve">initiative repealed statutory schemes </w:t>
      </w:r>
      <w:r w:rsidR="00564A5F">
        <w:t>covering various</w:t>
      </w:r>
      <w:r w:rsidRPr="0004545B" w:rsidR="005D5B7D">
        <w:t xml:space="preserve"> classes of lenders and replaced them with a maximum allowable interest rate </w:t>
      </w:r>
      <w:r w:rsidRPr="0004545B">
        <w:t>applicable to</w:t>
      </w:r>
      <w:r w:rsidRPr="0004545B" w:rsidR="005D5B7D">
        <w:t xml:space="preserve"> </w:t>
      </w:r>
      <w:r w:rsidRPr="0004545B" w:rsidR="005D5B7D">
        <w:rPr>
          <w:i/>
        </w:rPr>
        <w:t>all</w:t>
      </w:r>
      <w:r w:rsidRPr="0004545B" w:rsidR="005D5B7D">
        <w:t xml:space="preserve"> loans and lenders.  (§ 1916–4; </w:t>
      </w:r>
      <w:r w:rsidRPr="0004545B" w:rsidR="005D5B7D">
        <w:rPr>
          <w:i/>
        </w:rPr>
        <w:t xml:space="preserve">Carter, </w:t>
      </w:r>
      <w:r w:rsidRPr="0004545B" w:rsidR="005D5B7D">
        <w:t>at p. 576.)</w:t>
      </w:r>
      <w:r w:rsidRPr="0004545B">
        <w:t xml:space="preserve">  </w:t>
      </w:r>
      <w:r w:rsidR="00AD00F9">
        <w:t xml:space="preserve">No loans or lenders were exempted from the sweep of the 1918 initiative.  </w:t>
      </w:r>
      <w:r w:rsidRPr="0004545B">
        <w:t>Because th</w:t>
      </w:r>
      <w:r w:rsidR="00AD00F9">
        <w:t xml:space="preserve">e  </w:t>
      </w:r>
      <w:r w:rsidRPr="0004545B">
        <w:t>initiative does not authorize legislative amendment, voters alone have the power to amend or repeal it.</w:t>
      </w:r>
      <w:r>
        <w:rPr>
          <w:rStyle w:val="FootnoteReference"/>
        </w:rPr>
        <w:footnoteReference w:id="10"/>
      </w:r>
      <w:r w:rsidRPr="0004545B">
        <w:t xml:space="preserve">  (</w:t>
      </w:r>
      <w:r w:rsidRPr="0004545B" w:rsidR="002F6927">
        <w:t>Art. II, § 10</w:t>
      </w:r>
      <w:r w:rsidRPr="0004545B" w:rsidR="00D329B8">
        <w:t>, subd.</w:t>
      </w:r>
      <w:r w:rsidR="00AC36D6">
        <w:t> </w:t>
      </w:r>
      <w:r w:rsidRPr="0004545B" w:rsidR="00D329B8">
        <w:t>(c)</w:t>
      </w:r>
      <w:r w:rsidRPr="0004545B" w:rsidR="002F6927">
        <w:t xml:space="preserve">; </w:t>
      </w:r>
      <w:r w:rsidRPr="0004545B" w:rsidR="002F6927">
        <w:rPr>
          <w:i/>
        </w:rPr>
        <w:t xml:space="preserve">Penziner v. West American Finance Co. </w:t>
      </w:r>
      <w:r w:rsidRPr="0004545B" w:rsidR="002F6927">
        <w:t>(1937) 10 Cal.2d 160, 171</w:t>
      </w:r>
      <w:r w:rsidRPr="0004545B" w:rsidR="00485338">
        <w:t xml:space="preserve"> (</w:t>
      </w:r>
      <w:r w:rsidRPr="0004545B" w:rsidR="00485338">
        <w:rPr>
          <w:i/>
        </w:rPr>
        <w:t>Penziner</w:t>
      </w:r>
      <w:r w:rsidRPr="0004545B" w:rsidR="00485338">
        <w:t>).</w:t>
      </w:r>
      <w:r w:rsidRPr="0004545B" w:rsidR="002F6927">
        <w:t>)</w:t>
      </w:r>
    </w:p>
    <w:p w:rsidR="0083764C" w:rsidRPr="0004545B" w:rsidP="0004545B">
      <w:pPr>
        <w:tabs>
          <w:tab w:val="left" w:pos="1440"/>
        </w:tabs>
        <w:ind w:firstLine="720"/>
      </w:pPr>
      <w:r w:rsidRPr="0004545B">
        <w:t xml:space="preserve">In addition to setting the </w:t>
      </w:r>
      <w:r w:rsidR="00D3325C">
        <w:t>allowable interest rate,</w:t>
      </w:r>
      <w:r w:rsidRPr="0004545B">
        <w:t xml:space="preserve"> the 1918 initiative provide</w:t>
      </w:r>
      <w:r w:rsidRPr="0004545B" w:rsidR="0015704F">
        <w:t>s</w:t>
      </w:r>
      <w:r w:rsidRPr="0004545B">
        <w:t xml:space="preserve"> that interest </w:t>
      </w:r>
      <w:r w:rsidRPr="0004545B" w:rsidR="0015704F">
        <w:t xml:space="preserve">may </w:t>
      </w:r>
      <w:r w:rsidRPr="0004545B">
        <w:t>not be compounded “unless an agreement to that effect is clearly expressed in writing and signed by the party to be charged therewith.”  (§ 1916–2.)  We refer to this requirement as the compound interest limitation.</w:t>
      </w:r>
      <w:r w:rsidRPr="0004545B" w:rsidR="00F94628">
        <w:t xml:space="preserve">  Ultimately, </w:t>
      </w:r>
      <w:r w:rsidR="005962A4">
        <w:t xml:space="preserve">the question here </w:t>
      </w:r>
      <w:r w:rsidR="00D24E00">
        <w:t>turns on whether subsequent changes impliedly repealed the compound interest limitation as to exempt lenders.</w:t>
      </w:r>
    </w:p>
    <w:p w:rsidR="00D34E53" w:rsidRPr="0004545B" w:rsidP="0004545B">
      <w:pPr>
        <w:tabs>
          <w:tab w:val="left" w:pos="1440"/>
        </w:tabs>
        <w:ind w:firstLine="720"/>
      </w:pPr>
      <w:r w:rsidRPr="0004545B">
        <w:t xml:space="preserve">Under the 1918 initiative, </w:t>
      </w:r>
      <w:r w:rsidRPr="0004545B" w:rsidR="00620BDA">
        <w:t xml:space="preserve">a </w:t>
      </w:r>
      <w:r w:rsidRPr="0004545B" w:rsidR="00D01E96">
        <w:t>lender t</w:t>
      </w:r>
      <w:r w:rsidRPr="0004545B" w:rsidR="00620BDA">
        <w:t xml:space="preserve">hat </w:t>
      </w:r>
      <w:r w:rsidRPr="0004545B" w:rsidR="00D01E96">
        <w:t xml:space="preserve">charges interest </w:t>
      </w:r>
      <w:r w:rsidRPr="0004545B" w:rsidR="001C66AF">
        <w:t>above</w:t>
      </w:r>
      <w:r w:rsidRPr="0004545B" w:rsidR="00D01E96">
        <w:t xml:space="preserve"> the rate cap or violates the </w:t>
      </w:r>
      <w:r w:rsidRPr="0004545B">
        <w:t xml:space="preserve">compound interest limitation </w:t>
      </w:r>
      <w:r w:rsidRPr="0004545B" w:rsidR="00D01E96">
        <w:t xml:space="preserve">is </w:t>
      </w:r>
      <w:r w:rsidRPr="0004545B">
        <w:t>subject to stringent statutory penalties.</w:t>
      </w:r>
      <w:r w:rsidRPr="0004545B" w:rsidR="00D01E96">
        <w:t xml:space="preserve">  </w:t>
      </w:r>
      <w:r w:rsidRPr="0004545B" w:rsidR="00B874F5">
        <w:t xml:space="preserve">Such a lender forfeits the right to collect </w:t>
      </w:r>
      <w:r w:rsidRPr="0004545B" w:rsidR="00B874F5">
        <w:rPr>
          <w:i/>
        </w:rPr>
        <w:t xml:space="preserve">any </w:t>
      </w:r>
      <w:r w:rsidRPr="0004545B" w:rsidR="00B874F5">
        <w:t>interes</w:t>
      </w:r>
      <w:r w:rsidRPr="0004545B" w:rsidR="005E4A79">
        <w:t>t</w:t>
      </w:r>
      <w:r w:rsidRPr="0004545B" w:rsidR="00B874F5">
        <w:t xml:space="preserve">.  </w:t>
      </w:r>
      <w:r w:rsidRPr="0004545B" w:rsidR="00D01E96">
        <w:t>(§ 1916–2.)</w:t>
      </w:r>
      <w:r w:rsidRPr="0004545B" w:rsidR="00B874F5">
        <w:t xml:space="preserve">  </w:t>
      </w:r>
      <w:r w:rsidRPr="0004545B" w:rsidR="00155463">
        <w:t>Further, t</w:t>
      </w:r>
      <w:r w:rsidRPr="0004545B" w:rsidR="00B874F5">
        <w:t xml:space="preserve">he </w:t>
      </w:r>
      <w:r w:rsidRPr="0004545B" w:rsidR="001C66AF">
        <w:t xml:space="preserve">principal </w:t>
      </w:r>
      <w:r w:rsidRPr="0004545B" w:rsidR="00B874F5">
        <w:t xml:space="preserve">debt is not due </w:t>
      </w:r>
      <w:r w:rsidRPr="0004545B" w:rsidR="001C66AF">
        <w:t>until the full term of the loan has expired.</w:t>
      </w:r>
      <w:r w:rsidRPr="0004545B" w:rsidR="00AA7A2C">
        <w:t xml:space="preserve">  (</w:t>
      </w:r>
      <w:r w:rsidRPr="0004545B" w:rsidR="00AA7A2C">
        <w:rPr>
          <w:i/>
        </w:rPr>
        <w:t>Ibid.</w:t>
      </w:r>
      <w:r w:rsidRPr="0004545B" w:rsidR="00AA7A2C">
        <w:t xml:space="preserve">)  The effect of these provisions is to confer upon the borrower the free use of the lender’s money for the duration of the loan period.  </w:t>
      </w:r>
      <w:r w:rsidRPr="0004545B" w:rsidR="00155463">
        <w:t>In addition</w:t>
      </w:r>
      <w:r w:rsidRPr="0004545B" w:rsidR="00AA7A2C">
        <w:t xml:space="preserve">, if a borrower pays a lender more than is authorized by the 1918 initiative, the borrower is entitled to recover treble the amount paid </w:t>
      </w:r>
      <w:r w:rsidRPr="0004545B" w:rsidR="00EE6548">
        <w:t xml:space="preserve">if the action </w:t>
      </w:r>
      <w:r w:rsidR="00DA1490">
        <w:t>is</w:t>
      </w:r>
      <w:r w:rsidRPr="0004545B" w:rsidR="00EE6548">
        <w:t xml:space="preserve"> brought within one year of payment.  (§ 1916–3</w:t>
      </w:r>
      <w:r w:rsidRPr="0004545B" w:rsidR="00DA5084">
        <w:t>, subd. (a)</w:t>
      </w:r>
      <w:r w:rsidRPr="0004545B" w:rsidR="00EE6548">
        <w:t>.)</w:t>
      </w:r>
    </w:p>
    <w:p w:rsidR="005D5B7D" w:rsidRPr="0004545B" w:rsidP="0004545B">
      <w:pPr>
        <w:tabs>
          <w:tab w:val="left" w:pos="1440"/>
        </w:tabs>
        <w:ind w:firstLine="720"/>
      </w:pPr>
      <w:r w:rsidRPr="0004545B">
        <w:t xml:space="preserve">The </w:t>
      </w:r>
      <w:r w:rsidRPr="0004545B" w:rsidR="00EE6548">
        <w:t>1918</w:t>
      </w:r>
      <w:r w:rsidRPr="0004545B">
        <w:t xml:space="preserve"> initiative contains five sections, </w:t>
      </w:r>
      <w:r w:rsidRPr="0004545B" w:rsidR="00C4547B">
        <w:t xml:space="preserve">the first </w:t>
      </w:r>
      <w:r w:rsidRPr="0004545B">
        <w:t>three of which limit interest</w:t>
      </w:r>
      <w:r w:rsidRPr="0004545B" w:rsidR="002340A8">
        <w:t xml:space="preserve"> rates and </w:t>
      </w:r>
      <w:r w:rsidRPr="0004545B" w:rsidR="00A65DA0">
        <w:t>set penalties for violating its restrictions.</w:t>
      </w:r>
      <w:r>
        <w:rPr>
          <w:rStyle w:val="FootnoteReference"/>
        </w:rPr>
        <w:footnoteReference w:id="11"/>
      </w:r>
      <w:r w:rsidRPr="0004545B" w:rsidR="005E4A79">
        <w:t xml:space="preserve">  </w:t>
      </w:r>
      <w:r w:rsidR="00DA1490">
        <w:t>The first section</w:t>
      </w:r>
      <w:r w:rsidRPr="0004545B">
        <w:t xml:space="preserve"> sets a presumptive </w:t>
      </w:r>
      <w:r w:rsidRPr="0004545B" w:rsidR="002340A8">
        <w:t xml:space="preserve">annual </w:t>
      </w:r>
      <w:r w:rsidRPr="0004545B">
        <w:t xml:space="preserve">interest rate of 7 percent but allows parties to contract in writing for </w:t>
      </w:r>
      <w:r w:rsidRPr="0004545B" w:rsidR="002340A8">
        <w:t xml:space="preserve">an annual </w:t>
      </w:r>
      <w:r w:rsidRPr="0004545B">
        <w:t xml:space="preserve">rate </w:t>
      </w:r>
      <w:r w:rsidRPr="0004545B" w:rsidR="002340A8">
        <w:t xml:space="preserve">of </w:t>
      </w:r>
      <w:r w:rsidRPr="0004545B">
        <w:t xml:space="preserve">up to 12 percent.  (§ 1916–1.)  This rate-setting provision </w:t>
      </w:r>
      <w:r w:rsidRPr="0004545B" w:rsidR="00E926BB">
        <w:t xml:space="preserve">establishes </w:t>
      </w:r>
      <w:r w:rsidRPr="0004545B">
        <w:t xml:space="preserve">what contracting parties are legally authorized to do in setting interest rates. </w:t>
      </w:r>
    </w:p>
    <w:p w:rsidR="005D5B7D" w:rsidRPr="0004545B" w:rsidP="0004545B">
      <w:pPr>
        <w:tabs>
          <w:tab w:val="left" w:pos="1440"/>
        </w:tabs>
        <w:ind w:firstLine="720"/>
      </w:pPr>
      <w:r>
        <w:t xml:space="preserve">The second section </w:t>
      </w:r>
      <w:r w:rsidRPr="0004545B" w:rsidR="002340A8">
        <w:t xml:space="preserve">sets out what parties cannot do.  It prohibits any person or entity </w:t>
      </w:r>
      <w:r w:rsidRPr="0004545B">
        <w:t xml:space="preserve">from receiving, “directly or indirectly,” </w:t>
      </w:r>
      <w:r w:rsidRPr="0004545B" w:rsidR="002340A8">
        <w:t>more than 12 percent annual interest on any</w:t>
      </w:r>
      <w:r w:rsidRPr="0004545B">
        <w:t xml:space="preserve"> “loan or forbearance of money, goods or things in action . . . .”  (§ 1916–2.)  </w:t>
      </w:r>
      <w:r w:rsidRPr="0004545B" w:rsidR="00E926BB">
        <w:t>The sentence containing that prohibition concludes with the compound interest limitation:  “</w:t>
      </w:r>
      <w:r w:rsidRPr="0004545B" w:rsidR="00972C0B">
        <w:t>and . . . interest shall not be compounded, nor shall the interest thereon be construed to bear interest unless an agreement to that effect is clearly expressed in writing and signed by the party to be charged therewith.”  (</w:t>
      </w:r>
      <w:r w:rsidRPr="0004545B" w:rsidR="00972C0B">
        <w:rPr>
          <w:i/>
        </w:rPr>
        <w:t>Ibid.</w:t>
      </w:r>
      <w:r w:rsidRPr="0004545B" w:rsidR="00972C0B">
        <w:t xml:space="preserve">)  Any contract that violates </w:t>
      </w:r>
      <w:r>
        <w:t>the second section</w:t>
      </w:r>
      <w:r w:rsidRPr="0004545B" w:rsidR="00972C0B">
        <w:t xml:space="preserve"> is “null and void” as to any agreement to pay interest, and no legal action may be maintained to recover interest “in any sum” under the contract.</w:t>
      </w:r>
      <w:r>
        <w:rPr>
          <w:rStyle w:val="FootnoteReference"/>
        </w:rPr>
        <w:footnoteReference w:id="12"/>
      </w:r>
      <w:r w:rsidRPr="0004545B">
        <w:t xml:space="preserve">  (</w:t>
      </w:r>
      <w:r w:rsidRPr="0004545B" w:rsidR="00DA5084">
        <w:t>§ 1916–2</w:t>
      </w:r>
      <w:r w:rsidRPr="0004545B">
        <w:rPr>
          <w:i/>
        </w:rPr>
        <w:t>.</w:t>
      </w:r>
      <w:r w:rsidRPr="0004545B">
        <w:t>)</w:t>
      </w:r>
    </w:p>
    <w:p w:rsidR="005D5B7D" w:rsidRPr="00D24E00" w:rsidP="0004545B">
      <w:pPr>
        <w:tabs>
          <w:tab w:val="left" w:pos="1440"/>
        </w:tabs>
        <w:ind w:firstLine="720"/>
      </w:pPr>
      <w:r w:rsidRPr="0004545B">
        <w:t xml:space="preserve"> </w:t>
      </w:r>
      <w:r w:rsidR="00DA1490">
        <w:t>The third section</w:t>
      </w:r>
      <w:r w:rsidRPr="0004545B">
        <w:t xml:space="preserve"> establishes </w:t>
      </w:r>
      <w:r w:rsidRPr="0004545B" w:rsidR="00772A18">
        <w:t>civil and criminal penalties</w:t>
      </w:r>
      <w:r w:rsidRPr="0004545B">
        <w:t xml:space="preserve">.    </w:t>
      </w:r>
      <w:r w:rsidR="00D24E00">
        <w:t>I</w:t>
      </w:r>
      <w:r w:rsidRPr="0004545B" w:rsidR="006D462C">
        <w:t>t allows</w:t>
      </w:r>
      <w:r w:rsidR="00D24E00">
        <w:t xml:space="preserve"> recovery of treble damages and provides, under specified circumstances, that a person who receives interest beyond that legally authorized is guilty of  felony loan-sharking.  </w:t>
      </w:r>
      <w:r w:rsidRPr="0004545B" w:rsidR="00D24E00">
        <w:t>(§ 1916–3.)</w:t>
      </w:r>
    </w:p>
    <w:p w:rsidR="005D5B7D" w:rsidRPr="0004545B" w:rsidP="0004545B">
      <w:pPr>
        <w:tabs>
          <w:tab w:val="left" w:pos="1440"/>
        </w:tabs>
        <w:ind w:firstLine="720"/>
      </w:pPr>
      <w:r w:rsidRPr="0004545B">
        <w:t xml:space="preserve">The </w:t>
      </w:r>
      <w:r w:rsidRPr="0004545B" w:rsidR="00772A18">
        <w:t>1918</w:t>
      </w:r>
      <w:r w:rsidRPr="0004545B">
        <w:t xml:space="preserve"> initiative’s “one-size-fits-all” approach proved to be unworkabl</w:t>
      </w:r>
      <w:r w:rsidRPr="0004545B" w:rsidR="006D462C">
        <w:t xml:space="preserve">e </w:t>
      </w:r>
      <w:r w:rsidR="004B7659">
        <w:t>in the marketplace.  It</w:t>
      </w:r>
      <w:r w:rsidRPr="0004545B" w:rsidR="006D462C">
        <w:t xml:space="preserve"> lacked the flexibility needed to tailor regulations for particular types of loans and lenders.  (See </w:t>
      </w:r>
      <w:r w:rsidRPr="0004545B" w:rsidR="006D462C">
        <w:rPr>
          <w:i/>
        </w:rPr>
        <w:t>Carter</w:t>
      </w:r>
      <w:r w:rsidRPr="00DA1490" w:rsidR="006D462C">
        <w:t>,</w:t>
      </w:r>
      <w:r w:rsidRPr="0004545B" w:rsidR="006D462C">
        <w:rPr>
          <w:i/>
        </w:rPr>
        <w:t xml:space="preserve"> supra</w:t>
      </w:r>
      <w:r w:rsidRPr="00DA1490" w:rsidR="006D462C">
        <w:t xml:space="preserve">, </w:t>
      </w:r>
      <w:r w:rsidRPr="0004545B" w:rsidR="006D462C">
        <w:t>33 Cal.2d at p. 577.)</w:t>
      </w:r>
      <w:r w:rsidRPr="0004545B" w:rsidR="007B14F7">
        <w:t xml:space="preserve"> </w:t>
      </w:r>
      <w:r w:rsidRPr="0004545B" w:rsidR="005520EF">
        <w:t xml:space="preserve"> </w:t>
      </w:r>
      <w:r w:rsidRPr="0004545B">
        <w:t>“Numerous attempts were made to change the rates of interest and to prescribe rates and regulations different from or inconsistent with the provisions of the [</w:t>
      </w:r>
      <w:r w:rsidRPr="0004545B" w:rsidR="00EB57FD">
        <w:t>1918</w:t>
      </w:r>
      <w:r w:rsidRPr="0004545B">
        <w:t xml:space="preserve"> initiative].”  (</w:t>
      </w:r>
      <w:r w:rsidRPr="0004545B">
        <w:rPr>
          <w:i/>
        </w:rPr>
        <w:t>Ibid.</w:t>
      </w:r>
      <w:r w:rsidRPr="0004545B">
        <w:t xml:space="preserve">)  These </w:t>
      </w:r>
      <w:r w:rsidRPr="0004545B" w:rsidR="005B7035">
        <w:t xml:space="preserve">attempted modifications were ruled improper </w:t>
      </w:r>
      <w:r w:rsidRPr="0004545B">
        <w:t xml:space="preserve">to the extent they constituted revisions of the initiative without a vote of the electorate.  In addition, </w:t>
      </w:r>
      <w:r w:rsidRPr="0004545B" w:rsidR="00D0314A">
        <w:t xml:space="preserve">the initiative’s interest rate cap could be easily </w:t>
      </w:r>
      <w:r w:rsidRPr="0004545B" w:rsidR="002E1194">
        <w:t xml:space="preserve">avoided.  </w:t>
      </w:r>
      <w:r w:rsidRPr="0004545B" w:rsidR="00856DF6">
        <w:t>L</w:t>
      </w:r>
      <w:r w:rsidRPr="0004545B">
        <w:t xml:space="preserve">enders were able to circumvent interest rate limits by extracting various </w:t>
      </w:r>
      <w:r w:rsidRPr="0004545B" w:rsidR="002E1194">
        <w:t>“</w:t>
      </w:r>
      <w:r w:rsidRPr="0004545B">
        <w:t>charges</w:t>
      </w:r>
      <w:r w:rsidRPr="0004545B" w:rsidR="002E1194">
        <w:t>”</w:t>
      </w:r>
      <w:r w:rsidRPr="0004545B">
        <w:t xml:space="preserve"> from borrowers.  </w:t>
      </w:r>
      <w:r w:rsidRPr="0004545B" w:rsidR="00856DF6">
        <w:t>(</w:t>
      </w:r>
      <w:r w:rsidRPr="0004545B" w:rsidR="00856DF6">
        <w:rPr>
          <w:i/>
        </w:rPr>
        <w:t>Ibid.</w:t>
      </w:r>
      <w:r w:rsidRPr="0004545B" w:rsidR="00856DF6">
        <w:t xml:space="preserve">)  </w:t>
      </w:r>
      <w:r w:rsidRPr="0004545B">
        <w:t xml:space="preserve">Ultimately, the Legislature </w:t>
      </w:r>
      <w:r w:rsidRPr="0004545B" w:rsidR="00A87CBF">
        <w:t xml:space="preserve">placed </w:t>
      </w:r>
      <w:r w:rsidRPr="0004545B">
        <w:t>a proposed constitutional amendment</w:t>
      </w:r>
      <w:r w:rsidRPr="0004545B" w:rsidR="00A87CBF">
        <w:t xml:space="preserve"> on the statewide ballot</w:t>
      </w:r>
      <w:r w:rsidRPr="0004545B">
        <w:t xml:space="preserve"> to address the infirmities of the </w:t>
      </w:r>
      <w:r w:rsidRPr="0004545B" w:rsidR="00C43290">
        <w:t>1918</w:t>
      </w:r>
      <w:r w:rsidRPr="0004545B">
        <w:t xml:space="preserve"> initiative.  (</w:t>
      </w:r>
      <w:r w:rsidRPr="0004545B" w:rsidR="00DA5084">
        <w:rPr>
          <w:i/>
        </w:rPr>
        <w:t>Carter</w:t>
      </w:r>
      <w:r w:rsidRPr="0004545B" w:rsidR="00DA5084">
        <w:t>, at p. 577</w:t>
      </w:r>
      <w:r w:rsidRPr="00DB363F">
        <w:t>;</w:t>
      </w:r>
      <w:r w:rsidRPr="0004545B">
        <w:rPr>
          <w:i/>
        </w:rPr>
        <w:t xml:space="preserve"> </w:t>
      </w:r>
      <w:r w:rsidRPr="0004545B">
        <w:t xml:space="preserve">see </w:t>
      </w:r>
      <w:r w:rsidR="00DA1490">
        <w:t>Ballot Pamp.</w:t>
      </w:r>
      <w:r w:rsidRPr="0004545B" w:rsidR="00DA5084">
        <w:t xml:space="preserve">, Gen. Elec. (Nov. 6, 1934), </w:t>
      </w:r>
      <w:r w:rsidRPr="0004545B">
        <w:t>argument in favor of Assem</w:t>
      </w:r>
      <w:r w:rsidRPr="0004545B" w:rsidR="00DA5084">
        <w:t>.</w:t>
      </w:r>
      <w:r w:rsidRPr="0004545B">
        <w:t xml:space="preserve"> Const</w:t>
      </w:r>
      <w:r w:rsidRPr="0004545B" w:rsidR="00DA5084">
        <w:t>.</w:t>
      </w:r>
      <w:r w:rsidRPr="0004545B">
        <w:t xml:space="preserve"> Amen</w:t>
      </w:r>
      <w:r w:rsidRPr="0004545B" w:rsidR="00DA5084">
        <w:t>d.</w:t>
      </w:r>
      <w:r w:rsidRPr="0004545B">
        <w:t xml:space="preserve"> No. 79</w:t>
      </w:r>
      <w:r w:rsidRPr="0004545B" w:rsidR="00DA5084">
        <w:t>, p. 18 (</w:t>
      </w:r>
      <w:r w:rsidR="00DA1490">
        <w:t>Ballot Pamp</w:t>
      </w:r>
      <w:r w:rsidR="00BA2CF0">
        <w:t>.</w:t>
      </w:r>
      <w:r w:rsidRPr="0004545B" w:rsidR="00DA5084">
        <w:t>)</w:t>
      </w:r>
      <w:r w:rsidRPr="0004545B">
        <w:t xml:space="preserve">.)  </w:t>
      </w:r>
    </w:p>
    <w:p w:rsidR="005D5B7D" w:rsidRPr="0004545B" w:rsidP="0004545B">
      <w:pPr>
        <w:tabs>
          <w:tab w:val="left" w:pos="1440"/>
        </w:tabs>
        <w:ind w:firstLine="720"/>
      </w:pPr>
      <w:r w:rsidRPr="0004545B">
        <w:t xml:space="preserve">In November 1934, voters approved the proposed amendment, which was added to the </w:t>
      </w:r>
      <w:r w:rsidRPr="0004545B" w:rsidR="00DA1490">
        <w:t>C</w:t>
      </w:r>
      <w:r w:rsidRPr="0004545B">
        <w:t xml:space="preserve">onstitution as </w:t>
      </w:r>
      <w:r w:rsidRPr="0004545B" w:rsidR="00DF6533">
        <w:t xml:space="preserve">former </w:t>
      </w:r>
      <w:r w:rsidRPr="0004545B">
        <w:t xml:space="preserve">article XX, section 22 (hereafter </w:t>
      </w:r>
      <w:r w:rsidRPr="0004545B" w:rsidR="00FF06B8">
        <w:t>“amendment</w:t>
      </w:r>
      <w:r w:rsidRPr="0004545B" w:rsidR="00DF6533">
        <w:t xml:space="preserve">” or </w:t>
      </w:r>
      <w:r w:rsidRPr="0004545B">
        <w:t>“</w:t>
      </w:r>
      <w:r w:rsidRPr="0004545B" w:rsidR="007A43BA">
        <w:t>1934</w:t>
      </w:r>
      <w:r w:rsidRPr="0004545B">
        <w:t xml:space="preserve"> amendment”).  (</w:t>
      </w:r>
      <w:r w:rsidRPr="0004545B">
        <w:rPr>
          <w:i/>
        </w:rPr>
        <w:t>Carter</w:t>
      </w:r>
      <w:r w:rsidRPr="00DA1490">
        <w:t>,</w:t>
      </w:r>
      <w:r w:rsidRPr="0004545B">
        <w:rPr>
          <w:i/>
        </w:rPr>
        <w:t xml:space="preserve"> supra</w:t>
      </w:r>
      <w:r w:rsidRPr="00DA1490">
        <w:t>,</w:t>
      </w:r>
      <w:r w:rsidRPr="0004545B">
        <w:rPr>
          <w:i/>
        </w:rPr>
        <w:t xml:space="preserve"> </w:t>
      </w:r>
      <w:r w:rsidRPr="0004545B">
        <w:t xml:space="preserve">33 Cal.2d at p. 577.)  The first paragraph contains a rate-setting provision substantially similar </w:t>
      </w:r>
      <w:r w:rsidRPr="0004545B" w:rsidR="00A31CB6">
        <w:t xml:space="preserve">to </w:t>
      </w:r>
      <w:r w:rsidRPr="0004545B">
        <w:t xml:space="preserve">the </w:t>
      </w:r>
      <w:r w:rsidRPr="0004545B" w:rsidR="00D95F6F">
        <w:t>1918 initiative,</w:t>
      </w:r>
      <w:r w:rsidRPr="0004545B">
        <w:t xml:space="preserve"> except that the</w:t>
      </w:r>
      <w:r w:rsidRPr="0004545B" w:rsidR="00D95F6F">
        <w:t xml:space="preserve"> annual</w:t>
      </w:r>
      <w:r w:rsidRPr="0004545B">
        <w:t xml:space="preserve"> interest rate</w:t>
      </w:r>
      <w:r w:rsidR="001A21B2">
        <w:t xml:space="preserve"> permitted</w:t>
      </w:r>
      <w:r w:rsidRPr="0004545B">
        <w:t xml:space="preserve"> is reduced </w:t>
      </w:r>
      <w:r w:rsidR="001A21B2">
        <w:t>t</w:t>
      </w:r>
      <w:r w:rsidRPr="0004545B">
        <w:t xml:space="preserve">o 10 percent.  (Compare former art. XX, § 22, </w:t>
      </w:r>
      <w:r w:rsidR="00DA1490">
        <w:t xml:space="preserve">1st </w:t>
      </w:r>
      <w:r w:rsidRPr="0004545B">
        <w:t>par</w:t>
      </w:r>
      <w:r w:rsidR="00DA1490">
        <w:t>.</w:t>
      </w:r>
      <w:r w:rsidRPr="0004545B">
        <w:t xml:space="preserve"> with § 1916–1.)  </w:t>
      </w:r>
    </w:p>
    <w:p w:rsidR="00E473A7" w:rsidRPr="0004545B" w:rsidP="0004545B">
      <w:pPr>
        <w:tabs>
          <w:tab w:val="left" w:pos="1440"/>
        </w:tabs>
        <w:ind w:firstLine="720"/>
      </w:pPr>
      <w:r w:rsidRPr="0004545B">
        <w:t xml:space="preserve">The second paragraph of the </w:t>
      </w:r>
      <w:r w:rsidRPr="0004545B" w:rsidR="00D95F6F">
        <w:t xml:space="preserve">1934 </w:t>
      </w:r>
      <w:r w:rsidRPr="0004545B">
        <w:t xml:space="preserve">amendment prohibits charging </w:t>
      </w:r>
      <w:r w:rsidRPr="0004545B" w:rsidR="00D95F6F">
        <w:t xml:space="preserve">annual </w:t>
      </w:r>
      <w:r w:rsidRPr="0004545B">
        <w:t>interest</w:t>
      </w:r>
      <w:r w:rsidRPr="0004545B" w:rsidR="00D95F6F">
        <w:t xml:space="preserve"> greater than 10 percent</w:t>
      </w:r>
      <w:r w:rsidRPr="0004545B">
        <w:t xml:space="preserve">.  (Former art. XX, § 22, </w:t>
      </w:r>
      <w:r w:rsidR="00DA1490">
        <w:t xml:space="preserve">2d </w:t>
      </w:r>
      <w:r w:rsidRPr="0004545B">
        <w:t xml:space="preserve">par.)  </w:t>
      </w:r>
      <w:r w:rsidR="001A21B2">
        <w:t>The second paragraph expands</w:t>
      </w:r>
      <w:r w:rsidRPr="0004545B">
        <w:t xml:space="preserve"> upon the </w:t>
      </w:r>
      <w:r w:rsidRPr="0004545B" w:rsidR="00D95F6F">
        <w:t>1918</w:t>
      </w:r>
      <w:r w:rsidRPr="0004545B">
        <w:t xml:space="preserve"> initiative’s attempt to prohibit lenders from “directly or indirectly” exceeding the maximum rate</w:t>
      </w:r>
      <w:r w:rsidR="001A21B2">
        <w:t xml:space="preserve">.  It clarifies that </w:t>
      </w:r>
      <w:r w:rsidRPr="0004545B">
        <w:t xml:space="preserve">no lender may “by charging any fee, bonus, commission, discount </w:t>
      </w:r>
      <w:r w:rsidRPr="0004545B">
        <w:rPr>
          <w:i/>
        </w:rPr>
        <w:t>or other compensation</w:t>
      </w:r>
      <w:r w:rsidRPr="0004545B">
        <w:t xml:space="preserve"> receive from a borrower more than </w:t>
      </w:r>
      <w:r w:rsidRPr="0004545B" w:rsidR="00DA5084">
        <w:t>ten per cent per annum</w:t>
      </w:r>
      <w:r w:rsidR="00872ED3">
        <w:t xml:space="preserve"> . . . .</w:t>
      </w:r>
      <w:r w:rsidRPr="0004545B">
        <w:t>”</w:t>
      </w:r>
      <w:r w:rsidR="00872ED3">
        <w:t xml:space="preserve">  </w:t>
      </w:r>
      <w:r w:rsidR="001A21B2">
        <w:t>(</w:t>
      </w:r>
      <w:r w:rsidRPr="0004545B">
        <w:t xml:space="preserve">Former art. XX, § 22, </w:t>
      </w:r>
      <w:r w:rsidR="00DA1490">
        <w:t xml:space="preserve">2d </w:t>
      </w:r>
      <w:r w:rsidRPr="0004545B">
        <w:t>par.</w:t>
      </w:r>
      <w:r w:rsidRPr="0004545B" w:rsidR="00A31CB6">
        <w:t>, italics added.</w:t>
      </w:r>
      <w:r w:rsidRPr="0004545B">
        <w:t xml:space="preserve">)  Aside from </w:t>
      </w:r>
      <w:r w:rsidR="003F0F4C">
        <w:t xml:space="preserve">reducing the maximum allowable interest from </w:t>
      </w:r>
      <w:r w:rsidRPr="0004545B">
        <w:t xml:space="preserve">12 to 10 percent, this provision is substantially similar to the first part of </w:t>
      </w:r>
      <w:r w:rsidR="00D4434C">
        <w:t>section 1916</w:t>
      </w:r>
      <w:r w:rsidRPr="0004545B" w:rsidR="00D4434C">
        <w:t>–</w:t>
      </w:r>
      <w:r w:rsidR="00D4434C">
        <w:t>2</w:t>
      </w:r>
      <w:r w:rsidRPr="0004545B">
        <w:t>.  (</w:t>
      </w:r>
      <w:r w:rsidRPr="0004545B">
        <w:rPr>
          <w:i/>
        </w:rPr>
        <w:t>Penziner</w:t>
      </w:r>
      <w:r w:rsidRPr="00DA1490">
        <w:t xml:space="preserve">, </w:t>
      </w:r>
      <w:r w:rsidRPr="0004545B">
        <w:rPr>
          <w:i/>
        </w:rPr>
        <w:t>supra</w:t>
      </w:r>
      <w:r w:rsidRPr="00DA1490">
        <w:t xml:space="preserve">, </w:t>
      </w:r>
      <w:r w:rsidRPr="0004545B">
        <w:t xml:space="preserve">10 Cal.2d at p. 172.)  </w:t>
      </w:r>
      <w:r w:rsidRPr="0004545B" w:rsidR="00D95F6F">
        <w:t xml:space="preserve">However, </w:t>
      </w:r>
      <w:r w:rsidRPr="0004545B" w:rsidR="00F5261C">
        <w:t xml:space="preserve">the 1934 amendment makes no mention of the compound interest limitation.  </w:t>
      </w:r>
      <w:r w:rsidRPr="0004545B">
        <w:t>(</w:t>
      </w:r>
      <w:r w:rsidRPr="0004545B" w:rsidR="00DA5084">
        <w:t>See </w:t>
      </w:r>
      <w:r w:rsidRPr="0004545B">
        <w:rPr>
          <w:i/>
        </w:rPr>
        <w:t>Penziner</w:t>
      </w:r>
      <w:r w:rsidRPr="00DA1490">
        <w:t>,</w:t>
      </w:r>
      <w:r w:rsidRPr="0004545B">
        <w:rPr>
          <w:i/>
        </w:rPr>
        <w:t xml:space="preserve"> </w:t>
      </w:r>
      <w:r w:rsidRPr="0004545B">
        <w:t>at p. 172.)</w:t>
      </w:r>
      <w:r w:rsidRPr="0004545B" w:rsidR="00DF6533">
        <w:t xml:space="preserve">  Indeed, </w:t>
      </w:r>
      <w:r w:rsidR="003F0F4C">
        <w:t>it</w:t>
      </w:r>
      <w:r w:rsidRPr="0004545B" w:rsidR="00DF6533">
        <w:t xml:space="preserve"> </w:t>
      </w:r>
      <w:r w:rsidRPr="0004545B" w:rsidR="00F5261C">
        <w:t xml:space="preserve">says nothing about </w:t>
      </w:r>
      <w:r w:rsidRPr="0004545B" w:rsidR="00021C54">
        <w:t xml:space="preserve"> the </w:t>
      </w:r>
      <w:r w:rsidRPr="0004545B" w:rsidR="0062330D">
        <w:t>compounding of interest.</w:t>
      </w:r>
      <w:r w:rsidRPr="0004545B" w:rsidR="00DF6533">
        <w:t xml:space="preserve">  (Former art. XX, § 22.)  </w:t>
      </w:r>
      <w:r w:rsidR="003F0F4C">
        <w:t xml:space="preserve">This </w:t>
      </w:r>
      <w:r w:rsidRPr="0004545B" w:rsidR="009545C9">
        <w:t>omission</w:t>
      </w:r>
      <w:r w:rsidRPr="0004545B" w:rsidR="00A11F57">
        <w:t xml:space="preserve"> gives rise to the controversy here.</w:t>
      </w:r>
      <w:r>
        <w:rPr>
          <w:rStyle w:val="FootnoteReference"/>
        </w:rPr>
        <w:footnoteReference w:id="13"/>
      </w:r>
      <w:r w:rsidRPr="0004545B">
        <w:t xml:space="preserve"> </w:t>
      </w:r>
    </w:p>
    <w:p w:rsidR="000560D3" w:rsidP="0004545B">
      <w:pPr>
        <w:tabs>
          <w:tab w:val="left" w:pos="1440"/>
        </w:tabs>
        <w:ind w:firstLine="720"/>
      </w:pPr>
      <w:r w:rsidRPr="0004545B">
        <w:t>Importantly, t</w:t>
      </w:r>
      <w:r w:rsidRPr="0004545B" w:rsidR="005D5B7D">
        <w:t xml:space="preserve">he third paragraph of the </w:t>
      </w:r>
      <w:r w:rsidRPr="0004545B" w:rsidR="00BA555C">
        <w:t>1934</w:t>
      </w:r>
      <w:r w:rsidRPr="0004545B" w:rsidR="005D5B7D">
        <w:t xml:space="preserve"> amendment </w:t>
      </w:r>
      <w:r w:rsidRPr="0004545B">
        <w:t xml:space="preserve">for the first time </w:t>
      </w:r>
      <w:r w:rsidRPr="0004545B" w:rsidR="00BA555C">
        <w:t>exempts certain lenders from its restrictions</w:t>
      </w:r>
      <w:r w:rsidRPr="0004545B" w:rsidR="005D5B7D">
        <w:t xml:space="preserve">.  </w:t>
      </w:r>
      <w:r w:rsidRPr="0004545B" w:rsidR="00E854BC">
        <w:t xml:space="preserve"> (Former art. XX, § 22, </w:t>
      </w:r>
      <w:r w:rsidR="00DA1490">
        <w:t xml:space="preserve">3d </w:t>
      </w:r>
      <w:r w:rsidRPr="0004545B" w:rsidR="00E854BC">
        <w:t xml:space="preserve">par.) </w:t>
      </w:r>
      <w:r w:rsidRPr="0004545B" w:rsidR="005B7035">
        <w:t xml:space="preserve"> These exempt lenders</w:t>
      </w:r>
      <w:r w:rsidRPr="0004545B">
        <w:t xml:space="preserve"> in</w:t>
      </w:r>
      <w:r w:rsidRPr="0004545B" w:rsidR="005D5B7D">
        <w:t xml:space="preserve">clude credit unions, licensed pawnbrokers, and certain banks, among others.  Insurance companies </w:t>
      </w:r>
      <w:r w:rsidRPr="0004545B" w:rsidR="00F344D4">
        <w:t>were</w:t>
      </w:r>
      <w:r w:rsidRPr="0004545B" w:rsidR="005D5B7D">
        <w:t xml:space="preserve"> </w:t>
      </w:r>
      <w:r w:rsidR="00730084">
        <w:t xml:space="preserve">not exempted when </w:t>
      </w:r>
      <w:r w:rsidRPr="0004545B" w:rsidR="0062330D">
        <w:t xml:space="preserve">the amendment </w:t>
      </w:r>
      <w:r w:rsidR="00A00020">
        <w:t>w</w:t>
      </w:r>
      <w:r w:rsidRPr="0004545B" w:rsidR="0062330D">
        <w:t xml:space="preserve">as originally enacted.  (See </w:t>
      </w:r>
      <w:r w:rsidRPr="0004545B" w:rsidR="0062330D">
        <w:rPr>
          <w:i/>
        </w:rPr>
        <w:t>ibid.</w:t>
      </w:r>
      <w:r w:rsidRPr="0004545B" w:rsidR="0062330D">
        <w:t>)</w:t>
      </w:r>
      <w:r w:rsidRPr="0004545B" w:rsidR="005D5B7D">
        <w:t xml:space="preserve"> </w:t>
      </w:r>
    </w:p>
    <w:p w:rsidR="000560D3" w:rsidP="000560D3">
      <w:pPr>
        <w:tabs>
          <w:tab w:val="left" w:pos="1440"/>
        </w:tabs>
        <w:ind w:firstLine="720"/>
        <w:rPr>
          <w:color w:val="00B0F0"/>
        </w:rPr>
      </w:pPr>
      <w:r w:rsidRPr="0004545B">
        <w:t xml:space="preserve">There are two distinct components to the </w:t>
      </w:r>
      <w:r w:rsidRPr="0004545B" w:rsidR="001B2E04">
        <w:t>1934</w:t>
      </w:r>
      <w:r w:rsidRPr="0004545B">
        <w:t xml:space="preserve"> amendment governing exempt lenders.  First, </w:t>
      </w:r>
      <w:r w:rsidRPr="0004545B" w:rsidR="0062330D">
        <w:t>it</w:t>
      </w:r>
      <w:r w:rsidRPr="0004545B">
        <w:t xml:space="preserve"> declares that “none of the above restrictions” shall apply to exempt lenders.  (Former art. XX, § 22,</w:t>
      </w:r>
      <w:r w:rsidR="00DA1490">
        <w:t xml:space="preserve"> 3d</w:t>
      </w:r>
      <w:r w:rsidRPr="0004545B">
        <w:t xml:space="preserve"> par.)  Thus, exempt lenders are not bound by </w:t>
      </w:r>
      <w:r w:rsidRPr="0004545B" w:rsidR="001B2E04">
        <w:t>interest</w:t>
      </w:r>
      <w:r w:rsidRPr="0004545B">
        <w:t xml:space="preserve"> </w:t>
      </w:r>
      <w:r w:rsidRPr="0004545B">
        <w:rPr>
          <w:i/>
        </w:rPr>
        <w:t>rate</w:t>
      </w:r>
      <w:r w:rsidRPr="0004545B">
        <w:t xml:space="preserve"> provisions contained in the </w:t>
      </w:r>
      <w:r w:rsidRPr="0004545B" w:rsidR="0062330D">
        <w:t>first</w:t>
      </w:r>
      <w:r w:rsidRPr="0004545B">
        <w:t xml:space="preserve"> two paragraphs.  (</w:t>
      </w:r>
      <w:r w:rsidRPr="0004545B">
        <w:rPr>
          <w:i/>
        </w:rPr>
        <w:t>Carter</w:t>
      </w:r>
      <w:r w:rsidRPr="00DA1490">
        <w:t>,</w:t>
      </w:r>
      <w:r w:rsidRPr="0004545B">
        <w:rPr>
          <w:i/>
        </w:rPr>
        <w:t xml:space="preserve"> supra</w:t>
      </w:r>
      <w:r w:rsidRPr="00DA1490">
        <w:t xml:space="preserve">, </w:t>
      </w:r>
      <w:r w:rsidRPr="0004545B">
        <w:t xml:space="preserve">33 Cal.2d at pp. 579–580.)  Second, </w:t>
      </w:r>
      <w:r w:rsidRPr="0004545B" w:rsidR="0062330D">
        <w:t xml:space="preserve">the amendment </w:t>
      </w:r>
      <w:r w:rsidRPr="0004545B" w:rsidR="0095525A">
        <w:t xml:space="preserve">explicitly </w:t>
      </w:r>
      <w:r w:rsidR="00A00020">
        <w:t>authorizes the</w:t>
      </w:r>
      <w:r w:rsidRPr="0004545B">
        <w:t xml:space="preserve"> Legislature</w:t>
      </w:r>
      <w:r w:rsidR="00624148">
        <w:t xml:space="preserve"> </w:t>
      </w:r>
      <w:r w:rsidRPr="0004545B">
        <w:t>to prescribe maximum interest rates applicable to exempt lenders and to “</w:t>
      </w:r>
      <w:r w:rsidRPr="00A00020">
        <w:rPr>
          <w:i/>
        </w:rPr>
        <w:t xml:space="preserve">in any manner fix, regulate or limit, the fees, bonus, commissions, discounts or other compensation which all or any of the said exempted classes of persons may charge </w:t>
      </w:r>
      <w:r w:rsidRPr="00A00020" w:rsidR="001B2E04">
        <w:rPr>
          <w:i/>
        </w:rPr>
        <w:t>. . . .</w:t>
      </w:r>
      <w:r w:rsidRPr="0004545B" w:rsidR="001B2E04">
        <w:t xml:space="preserve">”  </w:t>
      </w:r>
      <w:r w:rsidRPr="0004545B">
        <w:t>(Former art. XX, § 22</w:t>
      </w:r>
      <w:r w:rsidRPr="0004545B" w:rsidR="0062330D">
        <w:t xml:space="preserve">, </w:t>
      </w:r>
      <w:r w:rsidR="00DA1490">
        <w:t xml:space="preserve">3d </w:t>
      </w:r>
      <w:r w:rsidRPr="0004545B" w:rsidR="0062330D">
        <w:t>par.</w:t>
      </w:r>
      <w:r w:rsidR="00A00020">
        <w:t>, italics added.</w:t>
      </w:r>
      <w:r w:rsidRPr="0004545B">
        <w:t xml:space="preserve">)   </w:t>
      </w:r>
      <w:r w:rsidRPr="0004545B" w:rsidR="0095525A">
        <w:t xml:space="preserve">This delegation of legislative authority confers flexibility the 1918 initiative did not.  </w:t>
      </w:r>
      <w:r w:rsidRPr="0004545B" w:rsidR="002341D3">
        <w:t>While the 1918 initiative could only be modified by voters, the 1934 amendment specific</w:t>
      </w:r>
      <w:r w:rsidRPr="0004545B" w:rsidR="009A77F0">
        <w:t xml:space="preserve">ally empowered the Legislature to </w:t>
      </w:r>
      <w:r w:rsidRPr="0004545B" w:rsidR="002341D3">
        <w:t>enact and modify laws regulating exempt lenders.</w:t>
      </w:r>
      <w:r w:rsidRPr="0004545B" w:rsidR="002341D3">
        <w:rPr>
          <w:color w:val="00B0F0"/>
        </w:rPr>
        <w:t xml:space="preserve"> </w:t>
      </w:r>
    </w:p>
    <w:p w:rsidR="005D5B7D" w:rsidRPr="000560D3" w:rsidP="000560D3">
      <w:pPr>
        <w:tabs>
          <w:tab w:val="left" w:pos="1440"/>
        </w:tabs>
        <w:ind w:firstLine="720"/>
        <w:rPr>
          <w:color w:val="00B0F0"/>
        </w:rPr>
      </w:pPr>
      <w:r w:rsidRPr="0004545B">
        <w:t xml:space="preserve">The final paragraph of the </w:t>
      </w:r>
      <w:r w:rsidRPr="0004545B" w:rsidR="001B2E04">
        <w:t>1934</w:t>
      </w:r>
      <w:r w:rsidRPr="0004545B">
        <w:t xml:space="preserve"> amendment contains what this court has described as a “limited repealing clause” (</w:t>
      </w:r>
      <w:r w:rsidRPr="0004545B">
        <w:rPr>
          <w:i/>
        </w:rPr>
        <w:t>Penziner</w:t>
      </w:r>
      <w:r w:rsidRPr="00DA1490">
        <w:t xml:space="preserve">, </w:t>
      </w:r>
      <w:r w:rsidRPr="0004545B">
        <w:rPr>
          <w:i/>
        </w:rPr>
        <w:t>supra</w:t>
      </w:r>
      <w:r w:rsidRPr="00DA1490">
        <w:t xml:space="preserve">, </w:t>
      </w:r>
      <w:r w:rsidRPr="0004545B">
        <w:t>10 Cal.2d at p. 174):  “The provisions of this section shall supersede all provisions of this Constitution and law</w:t>
      </w:r>
      <w:r w:rsidRPr="0004545B" w:rsidR="00F344D4">
        <w:t>s</w:t>
      </w:r>
      <w:r w:rsidRPr="0004545B">
        <w:t xml:space="preserve"> enacted thereunder in conflict therewith.”  (Former art. XX, § 22.)</w:t>
      </w:r>
      <w:r w:rsidR="00A804DC">
        <w:t xml:space="preserve">  We consider the significance of this language below.</w:t>
      </w:r>
    </w:p>
    <w:p w:rsidR="00B13E40" w:rsidRPr="0004545B" w:rsidP="0004545B">
      <w:pPr>
        <w:tabs>
          <w:tab w:val="left" w:pos="1440"/>
        </w:tabs>
        <w:ind w:firstLine="720"/>
      </w:pPr>
      <w:r w:rsidRPr="0004545B">
        <w:t>The 1934 amendment o</w:t>
      </w:r>
      <w:r w:rsidRPr="0004545B" w:rsidR="00FF06B8">
        <w:t>riginally enacted as form</w:t>
      </w:r>
      <w:r w:rsidRPr="0004545B" w:rsidR="005D5B7D">
        <w:t xml:space="preserve">er article XX, section 22 </w:t>
      </w:r>
      <w:r w:rsidRPr="0004545B">
        <w:t>subsequently was a</w:t>
      </w:r>
      <w:r w:rsidRPr="0004545B" w:rsidR="005D5B7D">
        <w:t>mended and reenacted in its current form as section 1 of article XV.</w:t>
      </w:r>
      <w:r>
        <w:rPr>
          <w:rStyle w:val="FootnoteReference"/>
        </w:rPr>
        <w:footnoteReference w:id="14"/>
      </w:r>
      <w:r w:rsidRPr="0004545B" w:rsidR="005D5B7D">
        <w:t xml:space="preserve">  (</w:t>
      </w:r>
      <w:r w:rsidRPr="0004545B" w:rsidR="005D5B7D">
        <w:rPr>
          <w:i/>
        </w:rPr>
        <w:t>Bisno v. Kahn</w:t>
      </w:r>
      <w:r w:rsidRPr="0004545B" w:rsidR="00CF0570">
        <w:rPr>
          <w:i/>
        </w:rPr>
        <w:t xml:space="preserve"> </w:t>
      </w:r>
      <w:r w:rsidRPr="0004545B" w:rsidR="00CF0570">
        <w:t>(2014) 225 Cal.App.4th 1087,</w:t>
      </w:r>
      <w:r w:rsidRPr="0004545B" w:rsidR="00FC18CB">
        <w:t> 1100</w:t>
      </w:r>
      <w:r w:rsidRPr="0004545B" w:rsidR="005D5B7D">
        <w:t xml:space="preserve">.)  Article XV was </w:t>
      </w:r>
      <w:r w:rsidRPr="0004545B">
        <w:t xml:space="preserve">again </w:t>
      </w:r>
      <w:r w:rsidRPr="0004545B" w:rsidR="005D5B7D">
        <w:t>amended in 1979 to allow the Legislature to designate additional classes of exempt lenders.</w:t>
      </w:r>
      <w:r>
        <w:rPr>
          <w:rStyle w:val="FootnoteReference"/>
        </w:rPr>
        <w:footnoteReference w:id="15"/>
      </w:r>
      <w:r w:rsidRPr="0004545B" w:rsidR="005D5B7D">
        <w:t xml:space="preserve">  </w:t>
      </w:r>
      <w:r w:rsidRPr="0004545B" w:rsidR="003D5F56">
        <w:t>In 1981, the Legislature amended the Insurance Code</w:t>
      </w:r>
      <w:r w:rsidRPr="0004545B" w:rsidR="00BA1DDE">
        <w:t xml:space="preserve"> </w:t>
      </w:r>
      <w:r w:rsidR="00E2768D">
        <w:t xml:space="preserve">to designate </w:t>
      </w:r>
      <w:r w:rsidRPr="0004545B" w:rsidR="005D5B7D">
        <w:t>“incorporated admitted insurers”</w:t>
      </w:r>
      <w:r w:rsidR="00E2768D">
        <w:t xml:space="preserve"> as exempt </w:t>
      </w:r>
      <w:r w:rsidRPr="0004545B" w:rsidR="007E13E5">
        <w:t>under article</w:t>
      </w:r>
      <w:r w:rsidRPr="0004545B" w:rsidR="007E390A">
        <w:t> </w:t>
      </w:r>
      <w:r w:rsidRPr="0004545B" w:rsidR="007E13E5">
        <w:t xml:space="preserve">XV.  </w:t>
      </w:r>
      <w:r w:rsidRPr="0004545B" w:rsidR="005D5B7D">
        <w:t>(</w:t>
      </w:r>
      <w:r w:rsidRPr="0004545B" w:rsidR="00BA1DDE">
        <w:t xml:space="preserve">Ins. Code, § 1100.1; </w:t>
      </w:r>
      <w:r w:rsidRPr="0004545B" w:rsidR="005D5B7D">
        <w:t>Stats. 1981, ch. 979, § 1, p. 3806.)</w:t>
      </w:r>
      <w:r w:rsidRPr="0004545B" w:rsidR="007E13E5">
        <w:t xml:space="preserve">  </w:t>
      </w:r>
      <w:r w:rsidRPr="0004545B" w:rsidR="005D5B7D">
        <w:t>It is undisputed that Northwestern Mutual is an exempt lender</w:t>
      </w:r>
      <w:r w:rsidRPr="0004545B" w:rsidR="00EA4E2A">
        <w:t>.</w:t>
      </w:r>
    </w:p>
    <w:p w:rsidR="00B25D87" w:rsidRPr="0004545B" w:rsidP="009448B5">
      <w:pPr>
        <w:keepNext/>
        <w:tabs>
          <w:tab w:val="left" w:pos="1440"/>
        </w:tabs>
        <w:ind w:left="1440" w:hanging="720"/>
        <w:rPr>
          <w:i/>
        </w:rPr>
      </w:pPr>
      <w:r w:rsidRPr="0004545B">
        <w:t>B</w:t>
      </w:r>
      <w:r w:rsidRPr="0004545B" w:rsidR="006134B5">
        <w:t>.</w:t>
      </w:r>
      <w:r w:rsidRPr="0004545B" w:rsidR="006134B5">
        <w:tab/>
      </w:r>
      <w:r w:rsidRPr="0004545B">
        <w:rPr>
          <w:i/>
        </w:rPr>
        <w:t xml:space="preserve">Applicability of </w:t>
      </w:r>
      <w:r w:rsidRPr="0004545B" w:rsidR="00F3082D">
        <w:rPr>
          <w:i/>
        </w:rPr>
        <w:t xml:space="preserve">Compound Interest Limitation to </w:t>
      </w:r>
      <w:r w:rsidRPr="0004545B">
        <w:rPr>
          <w:i/>
        </w:rPr>
        <w:t>Exe</w:t>
      </w:r>
      <w:r w:rsidRPr="0004545B" w:rsidR="00D848E4">
        <w:rPr>
          <w:i/>
        </w:rPr>
        <w:t>m</w:t>
      </w:r>
      <w:r w:rsidRPr="0004545B">
        <w:rPr>
          <w:i/>
        </w:rPr>
        <w:t xml:space="preserve">pt Lenders </w:t>
      </w:r>
    </w:p>
    <w:p w:rsidR="00F54EF3" w:rsidRPr="0004545B" w:rsidP="0004545B">
      <w:pPr>
        <w:keepNext/>
        <w:tabs>
          <w:tab w:val="left" w:pos="1440"/>
        </w:tabs>
        <w:ind w:firstLine="720"/>
      </w:pPr>
      <w:r w:rsidRPr="0004545B">
        <w:t xml:space="preserve">Whether exempt lenders are subject to the compound interest limitation is a question of statutory construction:  </w:t>
      </w:r>
      <w:r w:rsidRPr="0004545B" w:rsidR="008E1472">
        <w:t>D</w:t>
      </w:r>
      <w:r w:rsidRPr="0004545B" w:rsidR="000604EA">
        <w:t>id</w:t>
      </w:r>
      <w:r w:rsidRPr="0004545B" w:rsidR="00F01556">
        <w:t xml:space="preserve"> the 1934 amendment</w:t>
      </w:r>
      <w:r w:rsidRPr="0004545B" w:rsidR="000604EA">
        <w:t>, the substance of which now appears in article XV, repeal</w:t>
      </w:r>
      <w:r w:rsidRPr="0004545B" w:rsidR="008E1472">
        <w:t xml:space="preserve"> the compound interest limitation as to exempt lenders?</w:t>
      </w:r>
    </w:p>
    <w:p w:rsidR="00E818C4" w:rsidRPr="0004545B" w:rsidP="0004545B">
      <w:pPr>
        <w:keepNext/>
        <w:tabs>
          <w:tab w:val="left" w:pos="1440"/>
        </w:tabs>
        <w:ind w:firstLine="720"/>
      </w:pPr>
      <w:r>
        <w:t>S</w:t>
      </w:r>
      <w:r w:rsidRPr="0004545B" w:rsidR="008E5E3F">
        <w:t xml:space="preserve">tandard rules of statutory </w:t>
      </w:r>
      <w:r w:rsidRPr="0004545B" w:rsidR="008E1472">
        <w:t>interpretation</w:t>
      </w:r>
      <w:r w:rsidRPr="0004545B" w:rsidR="008E5E3F">
        <w:t xml:space="preserve"> guide the analysis.  (</w:t>
      </w:r>
      <w:r w:rsidRPr="0004545B" w:rsidR="008E5E3F">
        <w:rPr>
          <w:i/>
        </w:rPr>
        <w:t xml:space="preserve">People v. Superior Court </w:t>
      </w:r>
      <w:r w:rsidRPr="0004545B" w:rsidR="008E5E3F">
        <w:t>(</w:t>
      </w:r>
      <w:r w:rsidRPr="0004545B" w:rsidR="008E5E3F">
        <w:rPr>
          <w:i/>
        </w:rPr>
        <w:t>Pearson</w:t>
      </w:r>
      <w:r w:rsidRPr="0004545B" w:rsidR="008E5E3F">
        <w:t xml:space="preserve">) (2010) 48 Cal.4th 564, 571.)  “We first consider the initiative’s language, giving the words their ordinary meaning and construing </w:t>
      </w:r>
      <w:r w:rsidRPr="0004545B" w:rsidR="00DA5084">
        <w:t>this</w:t>
      </w:r>
      <w:r w:rsidRPr="0004545B" w:rsidR="008E5E3F">
        <w:t xml:space="preserve"> language in the context of the statute and initiative as a whole.  If the language is not ambiguous, we presume the voters intended the meaning apparent from that language, and we may</w:t>
      </w:r>
      <w:r w:rsidRPr="0004545B" w:rsidR="00D848E4">
        <w:t xml:space="preserve"> </w:t>
      </w:r>
      <w:r w:rsidRPr="0004545B" w:rsidR="008E5E3F">
        <w:t>not add to the statute or rewrite it to conform to some assumed intent not apparent from that language.  If the language is ambiguous, courts may consider ballot summaries and arguments in determining the voters’ intent and understanding of a ballot measure.”  (</w:t>
      </w:r>
      <w:r w:rsidRPr="0004545B" w:rsidR="008E5E3F">
        <w:rPr>
          <w:i/>
        </w:rPr>
        <w:t>Ibid.</w:t>
      </w:r>
      <w:r w:rsidRPr="0004545B" w:rsidR="008E5E3F">
        <w:t>)</w:t>
      </w:r>
    </w:p>
    <w:p w:rsidR="000D7AF1" w:rsidP="0004545B">
      <w:pPr>
        <w:keepNext/>
        <w:tabs>
          <w:tab w:val="left" w:pos="1440"/>
        </w:tabs>
        <w:ind w:firstLine="720"/>
      </w:pPr>
      <w:r>
        <w:t xml:space="preserve">Northwestern Mutual argues that the 1934 amendment expressly repealed the compound interest limitation.  The language of the amendment does not support </w:t>
      </w:r>
      <w:r w:rsidR="00CD3D1D">
        <w:t>express repeal.</w:t>
      </w:r>
      <w:r>
        <w:t xml:space="preserve">  </w:t>
      </w:r>
      <w:r w:rsidRPr="0004545B" w:rsidR="004E72AD">
        <w:t>A</w:t>
      </w:r>
      <w:r w:rsidRPr="0004545B" w:rsidR="00DE34DE">
        <w:t>rticle XV</w:t>
      </w:r>
      <w:r w:rsidRPr="0004545B" w:rsidR="00E818C4">
        <w:t xml:space="preserve"> </w:t>
      </w:r>
      <w:r w:rsidRPr="0004545B" w:rsidR="00A92E58">
        <w:t>declar</w:t>
      </w:r>
      <w:r w:rsidRPr="0004545B" w:rsidR="004E72AD">
        <w:t>es</w:t>
      </w:r>
      <w:r w:rsidRPr="0004545B" w:rsidR="00A92E58">
        <w:t xml:space="preserve"> that</w:t>
      </w:r>
      <w:r w:rsidRPr="0004545B" w:rsidR="009E4BDE">
        <w:t xml:space="preserve"> “none of the above restrictions” apply to exempt lenders</w:t>
      </w:r>
      <w:r w:rsidRPr="0004545B" w:rsidR="008C2409">
        <w:t xml:space="preserve">.  </w:t>
      </w:r>
      <w:r w:rsidRPr="0004545B" w:rsidR="00A92E58">
        <w:t>T</w:t>
      </w:r>
      <w:r w:rsidRPr="0004545B" w:rsidR="00F20CCD">
        <w:t>he “</w:t>
      </w:r>
      <w:r w:rsidRPr="0004545B" w:rsidR="00A85A31">
        <w:t xml:space="preserve">above </w:t>
      </w:r>
      <w:r w:rsidRPr="0004545B" w:rsidR="00F20CCD">
        <w:t xml:space="preserve">restrictions” </w:t>
      </w:r>
      <w:r w:rsidRPr="0004545B" w:rsidR="008B0207">
        <w:t xml:space="preserve">are those in </w:t>
      </w:r>
      <w:r w:rsidRPr="0004545B" w:rsidR="00F20CCD">
        <w:t xml:space="preserve">the immediately preceding two paragraphs </w:t>
      </w:r>
      <w:r w:rsidRPr="0004545B" w:rsidR="00A92E58">
        <w:t xml:space="preserve">establishing </w:t>
      </w:r>
      <w:r w:rsidR="007B7087">
        <w:t>permitted</w:t>
      </w:r>
      <w:r w:rsidRPr="0004545B" w:rsidR="00F20CCD">
        <w:t xml:space="preserve"> interest rate</w:t>
      </w:r>
      <w:r w:rsidRPr="0004545B" w:rsidR="00A92E58">
        <w:t>s</w:t>
      </w:r>
      <w:r w:rsidRPr="0004545B" w:rsidR="00F20CCD">
        <w:t>.</w:t>
      </w:r>
      <w:r w:rsidRPr="0004545B" w:rsidR="00854886">
        <w:t xml:space="preserve"> </w:t>
      </w:r>
      <w:r w:rsidRPr="0004545B" w:rsidR="00F20CCD">
        <w:t xml:space="preserve"> (See </w:t>
      </w:r>
      <w:r w:rsidRPr="0004545B" w:rsidR="00F20CCD">
        <w:rPr>
          <w:i/>
        </w:rPr>
        <w:t>Carter</w:t>
      </w:r>
      <w:r w:rsidRPr="00BA2CF0" w:rsidR="00F20CCD">
        <w:t xml:space="preserve">, </w:t>
      </w:r>
      <w:r w:rsidRPr="0004545B" w:rsidR="00F20CCD">
        <w:rPr>
          <w:i/>
        </w:rPr>
        <w:t>supra</w:t>
      </w:r>
      <w:r w:rsidRPr="00BA2CF0" w:rsidR="00F20CCD">
        <w:t>,</w:t>
      </w:r>
      <w:r w:rsidRPr="0004545B" w:rsidR="00F20CCD">
        <w:rPr>
          <w:i/>
        </w:rPr>
        <w:t xml:space="preserve"> </w:t>
      </w:r>
      <w:r w:rsidRPr="0004545B" w:rsidR="00F20CCD">
        <w:t xml:space="preserve">33 Cal.2d at pp. 579–580.)  </w:t>
      </w:r>
      <w:r w:rsidRPr="0004545B" w:rsidR="00A92E58">
        <w:t xml:space="preserve">Those restrictions </w:t>
      </w:r>
      <w:r w:rsidRPr="0004545B" w:rsidR="008B0207">
        <w:t xml:space="preserve">say nothing about </w:t>
      </w:r>
      <w:r w:rsidRPr="0004545B" w:rsidR="00A92E58">
        <w:t xml:space="preserve">compound interest.  </w:t>
      </w:r>
      <w:r w:rsidRPr="0004545B" w:rsidR="0024283B">
        <w:t>The other component of article XV</w:t>
      </w:r>
      <w:r w:rsidRPr="0004545B" w:rsidR="00D90E92">
        <w:t xml:space="preserve"> relating to exempt lenders is the grant of legislative authority to set the maximum annual interest rate and to “fix, regulate or limit, the fees, bonuses, commissions, discounts or other compensation”</w:t>
      </w:r>
      <w:r w:rsidRPr="0004545B" w:rsidR="00FC2B5D">
        <w:t xml:space="preserve"> charged by </w:t>
      </w:r>
      <w:r w:rsidRPr="0004545B" w:rsidR="00D90E92">
        <w:t xml:space="preserve">exempt lenders.  </w:t>
      </w:r>
      <w:r w:rsidRPr="0004545B" w:rsidR="00566188">
        <w:t>Again, the constitutional language does not mention compound interes</w:t>
      </w:r>
      <w:r w:rsidRPr="0004545B" w:rsidR="00DE34DE">
        <w:t>t</w:t>
      </w:r>
      <w:r w:rsidRPr="0004545B" w:rsidR="002F1DF2">
        <w:t>.</w:t>
      </w:r>
      <w:r w:rsidR="007B7087">
        <w:t xml:space="preserve">  Accordingly, there is no express repeal.</w:t>
      </w:r>
    </w:p>
    <w:p w:rsidR="00CD3D1D" w:rsidP="00660802">
      <w:pPr>
        <w:keepNext/>
        <w:tabs>
          <w:tab w:val="left" w:pos="1440"/>
        </w:tabs>
        <w:ind w:firstLine="720"/>
      </w:pPr>
      <w:r>
        <w:t xml:space="preserve">The question of implied repeal remains.  </w:t>
      </w:r>
      <w:r w:rsidR="00722FAE">
        <w:t>“Notwithstanding the ‘presumption against repeals by implication,’ repeal may be found where (1) ‘the two acts are so inconsistent that there is no possibility of concurrent operation,’ or (2) ‘the later provision gives undebatable evidence of an intent to supersede the earlier’ provision.”  (</w:t>
      </w:r>
      <w:r w:rsidR="00722FAE">
        <w:rPr>
          <w:i/>
        </w:rPr>
        <w:t xml:space="preserve">Professional Engineers in California Government v. Kempton </w:t>
      </w:r>
      <w:r w:rsidR="00722FAE">
        <w:t>(2007) 40 Cal.4th 1016, 1038.)</w:t>
      </w:r>
      <w:r w:rsidR="00F63ECD">
        <w:t xml:space="preserve">  </w:t>
      </w:r>
      <w:r w:rsidR="00AC317C">
        <w:t>“Because ‘</w:t>
      </w:r>
      <w:r w:rsidR="00DB363F">
        <w:t xml:space="preserve">the </w:t>
      </w:r>
      <w:r w:rsidR="00AC317C">
        <w:t xml:space="preserve">doctrine of implied repeal provides that the most recently enacted statute expresses the will of the Legislature’ [citation], application of the doctrine is appropriate in those limited situations where it is necessary to effectuate the intent of drafters of the newly enacted statute.  </w:t>
      </w:r>
      <w:r>
        <w:t>‘ “In order for the second law to repeal or supersede the first, the former must constitute a revision of the entire subject, so that the court may say that it was intended to be a substitute for the first.” ’ </w:t>
      </w:r>
      <w:r w:rsidR="00785F81">
        <w:t>”</w:t>
      </w:r>
      <w:r>
        <w:t xml:space="preserve">  (</w:t>
      </w:r>
      <w:r w:rsidR="00DB363F">
        <w:rPr>
          <w:i/>
        </w:rPr>
        <w:t>Ibid</w:t>
      </w:r>
      <w:r w:rsidRPr="00BA2CF0" w:rsidR="00AC317C">
        <w:rPr>
          <w:i/>
        </w:rPr>
        <w:t>.</w:t>
      </w:r>
      <w:r>
        <w:t>)</w:t>
      </w:r>
    </w:p>
    <w:p w:rsidR="00660802" w:rsidRPr="00CD3D1D" w:rsidP="00660802">
      <w:pPr>
        <w:keepNext/>
        <w:tabs>
          <w:tab w:val="left" w:pos="1440"/>
        </w:tabs>
        <w:ind w:firstLine="720"/>
      </w:pPr>
      <w:r>
        <w:t>The question of whether the 1934 amendment repealed the provisions of the 1918 initiative in whole or in part was first addressed</w:t>
      </w:r>
      <w:r>
        <w:t xml:space="preserve"> in </w:t>
      </w:r>
      <w:r w:rsidRPr="0004545B">
        <w:rPr>
          <w:i/>
        </w:rPr>
        <w:t>Penziner</w:t>
      </w:r>
      <w:r>
        <w:rPr>
          <w:i/>
        </w:rPr>
        <w:t xml:space="preserve">, </w:t>
      </w:r>
      <w:r>
        <w:t>which held that the amendment did not completely repeal the initiative</w:t>
      </w:r>
      <w:r w:rsidRPr="0004545B">
        <w:t>.  (</w:t>
      </w:r>
      <w:r w:rsidRPr="0004545B">
        <w:rPr>
          <w:i/>
        </w:rPr>
        <w:t>Penzine</w:t>
      </w:r>
      <w:r>
        <w:rPr>
          <w:i/>
        </w:rPr>
        <w:t>r</w:t>
      </w:r>
      <w:r w:rsidRPr="00BA2CF0">
        <w:t xml:space="preserve">, </w:t>
      </w:r>
      <w:r>
        <w:rPr>
          <w:i/>
        </w:rPr>
        <w:t>supra</w:t>
      </w:r>
      <w:r w:rsidRPr="00BA2CF0">
        <w:t xml:space="preserve">, </w:t>
      </w:r>
      <w:r>
        <w:t xml:space="preserve">10 Cal.2d </w:t>
      </w:r>
      <w:r>
        <w:t xml:space="preserve">at </w:t>
      </w:r>
      <w:r w:rsidRPr="0004545B">
        <w:t xml:space="preserve">pp. 176–177.)  Instead, </w:t>
      </w:r>
      <w:r>
        <w:t>the amendment repealed by implication only those provisions of the 1918 initiative that were so irreconcilable with the amendment that the two could not have concurrent operation.  (</w:t>
      </w:r>
      <w:r>
        <w:rPr>
          <w:i/>
        </w:rPr>
        <w:t>Penziner</w:t>
      </w:r>
      <w:r w:rsidRPr="00BA2CF0">
        <w:t xml:space="preserve">, </w:t>
      </w:r>
      <w:r>
        <w:t xml:space="preserve">at pp. 176–177; accord, </w:t>
      </w:r>
      <w:r>
        <w:rPr>
          <w:i/>
        </w:rPr>
        <w:t xml:space="preserve">Nuckolls v. Bank of California </w:t>
      </w:r>
      <w:r>
        <w:t xml:space="preserve">(1937) 10 Cal.2d 266, 276–277.)  </w:t>
      </w:r>
      <w:r>
        <w:t>The court reasoned that t</w:t>
      </w:r>
      <w:r>
        <w:t>he language of the amendment’s final paragraph reflected an “intent that non-conflicting prior statutes shall remain in force.”  (</w:t>
      </w:r>
      <w:r>
        <w:rPr>
          <w:i/>
        </w:rPr>
        <w:t>Penziner</w:t>
      </w:r>
      <w:r w:rsidRPr="00BA2CF0">
        <w:t xml:space="preserve">, </w:t>
      </w:r>
      <w:r>
        <w:t>at p. 174.)</w:t>
      </w:r>
      <w:r>
        <w:t xml:space="preserve">  Because </w:t>
      </w:r>
      <w:r>
        <w:rPr>
          <w:i/>
        </w:rPr>
        <w:t xml:space="preserve">Penziner </w:t>
      </w:r>
      <w:r>
        <w:t xml:space="preserve">involved a </w:t>
      </w:r>
      <w:r w:rsidR="00516653">
        <w:t>lender that was not exempted by the 1934 amendment, the court had no occasion to consider whether or to what extent the amendment impliedly repealed the 1918 initiative as to exempt lenders.</w:t>
      </w:r>
    </w:p>
    <w:p w:rsidR="004B624B" w:rsidRPr="0004545B" w:rsidP="0004545B">
      <w:pPr>
        <w:tabs>
          <w:tab w:val="left" w:pos="1440"/>
        </w:tabs>
        <w:ind w:firstLine="720"/>
      </w:pPr>
      <w:r>
        <w:t xml:space="preserve">In assessing whether the compound interest limitation was impliedly repealed for exempt lenders, we </w:t>
      </w:r>
      <w:r w:rsidR="00ED2FF1">
        <w:t>consider</w:t>
      </w:r>
      <w:r>
        <w:t xml:space="preserve"> whether t</w:t>
      </w:r>
      <w:r w:rsidRPr="0004545B" w:rsidR="00FB2EEC">
        <w:t>he limitation is</w:t>
      </w:r>
      <w:r w:rsidRPr="0004545B" w:rsidR="00FF76F5">
        <w:t xml:space="preserve"> irreconcilable with </w:t>
      </w:r>
      <w:r w:rsidR="00F63ECD">
        <w:t>the conferred</w:t>
      </w:r>
      <w:r w:rsidR="00C9298B">
        <w:t xml:space="preserve"> authority </w:t>
      </w:r>
      <w:r w:rsidRPr="0004545B" w:rsidR="00ED3C0A">
        <w:t>under</w:t>
      </w:r>
      <w:r w:rsidRPr="0004545B" w:rsidR="00FF76F5">
        <w:t xml:space="preserve"> article XV to</w:t>
      </w:r>
      <w:r w:rsidRPr="0004545B" w:rsidR="00F01556">
        <w:t xml:space="preserve"> “fix, regulate or limit” an exempt lender’s fees or “other compensation</w:t>
      </w:r>
      <w:r w:rsidRPr="0004545B" w:rsidR="00ED3C0A">
        <w:t>.</w:t>
      </w:r>
      <w:r w:rsidRPr="0004545B" w:rsidR="00F01556">
        <w:t>”</w:t>
      </w:r>
    </w:p>
    <w:p w:rsidR="00161FD7" w:rsidRPr="00872928" w:rsidP="00D6027D">
      <w:pPr>
        <w:tabs>
          <w:tab w:val="left" w:pos="1440"/>
        </w:tabs>
        <w:ind w:firstLine="720"/>
      </w:pPr>
      <w:r w:rsidRPr="0004545B">
        <w:t xml:space="preserve">The </w:t>
      </w:r>
      <w:r w:rsidRPr="0004545B" w:rsidR="0061149E">
        <w:t xml:space="preserve">terms </w:t>
      </w:r>
      <w:r w:rsidRPr="0004545B">
        <w:t xml:space="preserve">“fees, bonuses, commissions, [and] discounts” in article XV do not appear to embrace the assessment of compound interest.  But the </w:t>
      </w:r>
      <w:r w:rsidRPr="0004545B" w:rsidR="0061149E">
        <w:t xml:space="preserve">catchall </w:t>
      </w:r>
      <w:r w:rsidRPr="0004545B">
        <w:t>term “other compensation” does.</w:t>
      </w:r>
      <w:r w:rsidRPr="0004545B" w:rsidR="00522532">
        <w:t xml:space="preserve">  Civil Code</w:t>
      </w:r>
      <w:r w:rsidR="005633CD">
        <w:t xml:space="preserve"> section 1915</w:t>
      </w:r>
      <w:r w:rsidRPr="0004545B" w:rsidR="006032B0">
        <w:t xml:space="preserve"> defines interest as “</w:t>
      </w:r>
      <w:r w:rsidRPr="0004545B" w:rsidR="00522532">
        <w:t xml:space="preserve">the </w:t>
      </w:r>
      <w:r w:rsidRPr="0004545B" w:rsidR="00522532">
        <w:rPr>
          <w:i/>
        </w:rPr>
        <w:t>compensation</w:t>
      </w:r>
      <w:r w:rsidRPr="0004545B" w:rsidR="00522532">
        <w:t xml:space="preserve"> allowed by law or fixed by the parties for the use, or forbearance, or detention of money.”  (</w:t>
      </w:r>
      <w:r w:rsidR="005633CD">
        <w:t>I</w:t>
      </w:r>
      <w:r w:rsidRPr="0004545B" w:rsidR="0025005E">
        <w:t>talics added.</w:t>
      </w:r>
      <w:r w:rsidRPr="0004545B" w:rsidR="00522532">
        <w:t xml:space="preserve">)  </w:t>
      </w:r>
      <w:r w:rsidR="00E11DC3">
        <w:t xml:space="preserve">That section of the Civil Code </w:t>
      </w:r>
      <w:r w:rsidR="005633CD">
        <w:t xml:space="preserve">existed long before the enactment of the 1934 amendment.  Because voters are presumed to be aware of </w:t>
      </w:r>
      <w:r w:rsidR="000F5EE0">
        <w:t xml:space="preserve">existing laws </w:t>
      </w:r>
      <w:r w:rsidR="00BC6A19">
        <w:t xml:space="preserve">at the time a constitutional amendment is enacted </w:t>
      </w:r>
      <w:r w:rsidR="00872928">
        <w:t>(</w:t>
      </w:r>
      <w:r w:rsidR="00BC6A19">
        <w:rPr>
          <w:i/>
        </w:rPr>
        <w:t xml:space="preserve">In re Lance W. </w:t>
      </w:r>
      <w:r w:rsidR="00BC6A19">
        <w:t>(1985) 37 Cal.3d 873, 890, fn. 11),</w:t>
      </w:r>
      <w:r w:rsidR="00635ACF">
        <w:t xml:space="preserve"> </w:t>
      </w:r>
      <w:r w:rsidR="00550306">
        <w:t>t</w:t>
      </w:r>
      <w:r w:rsidR="00F26FCA">
        <w:t xml:space="preserve">he voters </w:t>
      </w:r>
      <w:r w:rsidR="00550306">
        <w:t xml:space="preserve">who enacted the 1934 amendment presumably </w:t>
      </w:r>
      <w:r w:rsidR="00F26FCA">
        <w:t xml:space="preserve">intended </w:t>
      </w:r>
      <w:r w:rsidR="003F466C">
        <w:t xml:space="preserve">the term “compensation” </w:t>
      </w:r>
      <w:r w:rsidR="00F26FCA">
        <w:t>to include interest as defined in the Civil Code.</w:t>
      </w:r>
    </w:p>
    <w:p w:rsidR="00346768" w:rsidRPr="0004545B" w:rsidP="0095640B">
      <w:pPr>
        <w:tabs>
          <w:tab w:val="left" w:pos="1440"/>
        </w:tabs>
        <w:ind w:firstLine="720"/>
      </w:pPr>
      <w:r w:rsidRPr="0004545B">
        <w:t xml:space="preserve">Obviously, the more frequently interest is compounded, the greater a lender’s compensation will be for the use of its money.  This is so because a borrower is obligated to pay interest on both the principal amount borrowed and on any interest compounded and added to the principal.  </w:t>
      </w:r>
      <w:r w:rsidRPr="0004545B">
        <w:rPr>
          <w:i/>
        </w:rPr>
        <w:t>Lewis v. Pac</w:t>
      </w:r>
      <w:r w:rsidRPr="0004545B" w:rsidR="007B5186">
        <w:rPr>
          <w:i/>
        </w:rPr>
        <w:t>ific</w:t>
      </w:r>
      <w:r w:rsidRPr="0004545B">
        <w:rPr>
          <w:i/>
        </w:rPr>
        <w:t xml:space="preserve"> States Sav. &amp; Loan Co. </w:t>
      </w:r>
      <w:r w:rsidRPr="0004545B">
        <w:t>(1934) 1 Cal.2d 691, 695, explained that compounded interest is taken into account when determining whether a transaction violates the maximum a</w:t>
      </w:r>
      <w:r w:rsidR="00ED2FF1">
        <w:t>nnual</w:t>
      </w:r>
      <w:r w:rsidRPr="0004545B">
        <w:t xml:space="preserve"> interest</w:t>
      </w:r>
      <w:r w:rsidR="00ED2FF1">
        <w:t xml:space="preserve"> allowed</w:t>
      </w:r>
      <w:r w:rsidRPr="0004545B">
        <w:t xml:space="preserve">.  </w:t>
      </w:r>
      <w:r w:rsidR="00C85A3F">
        <w:rPr>
          <w:i/>
        </w:rPr>
        <w:t xml:space="preserve">Heald v. Friis-Hansen </w:t>
      </w:r>
      <w:r w:rsidR="00C85A3F">
        <w:t>(1959) 52 Cal.2d 834</w:t>
      </w:r>
      <w:r w:rsidR="004E66B2">
        <w:t xml:space="preserve">, 840, </w:t>
      </w:r>
      <w:r w:rsidR="0057611C">
        <w:t>confirmed</w:t>
      </w:r>
      <w:r w:rsidR="004E66B2">
        <w:t xml:space="preserve"> that compounding </w:t>
      </w:r>
      <w:r w:rsidR="0057611C">
        <w:t xml:space="preserve">the </w:t>
      </w:r>
      <w:r w:rsidRPr="0095640B" w:rsidR="0057611C">
        <w:t>maximum</w:t>
      </w:r>
      <w:r w:rsidR="0057611C">
        <w:t xml:space="preserve"> allowable </w:t>
      </w:r>
      <w:r w:rsidR="004E66B2">
        <w:t>interest</w:t>
      </w:r>
      <w:r w:rsidR="0057611C">
        <w:t xml:space="preserve"> rate</w:t>
      </w:r>
      <w:r w:rsidR="004E66B2">
        <w:t xml:space="preserve"> at intervals shorter than one year </w:t>
      </w:r>
      <w:r w:rsidR="0057611C">
        <w:t>results in a</w:t>
      </w:r>
      <w:r w:rsidR="0095640B">
        <w:t xml:space="preserve">n effective annual rate that is </w:t>
      </w:r>
      <w:r w:rsidR="0057611C">
        <w:t>usurious</w:t>
      </w:r>
      <w:r w:rsidR="00A22D32">
        <w:t>.  These cases rest on the premise that c</w:t>
      </w:r>
      <w:r w:rsidR="003E4CEC">
        <w:t xml:space="preserve">ompounded interest is part of the </w:t>
      </w:r>
      <w:r w:rsidR="00A22D32">
        <w:t xml:space="preserve">lender’s </w:t>
      </w:r>
      <w:r w:rsidR="003E4CEC">
        <w:t>compensation</w:t>
      </w:r>
      <w:r w:rsidR="0029485B">
        <w:t xml:space="preserve"> for the use of its money</w:t>
      </w:r>
      <w:r w:rsidR="003E4CEC">
        <w:t>.</w:t>
      </w:r>
      <w:r w:rsidR="00A22D32">
        <w:t xml:space="preserve">  </w:t>
      </w:r>
      <w:r w:rsidRPr="0004545B" w:rsidR="0095729E">
        <w:t>Thus, t</w:t>
      </w:r>
      <w:r w:rsidRPr="0004545B">
        <w:t>he term “compensation” encompasses compound interest that effectively increase</w:t>
      </w:r>
      <w:r w:rsidRPr="0004545B" w:rsidR="00C74671">
        <w:t>s</w:t>
      </w:r>
      <w:r w:rsidRPr="0004545B">
        <w:t xml:space="preserve"> the lender’s return.</w:t>
      </w:r>
    </w:p>
    <w:p w:rsidR="005304F6" w:rsidRPr="0004545B" w:rsidP="0004545B">
      <w:pPr>
        <w:tabs>
          <w:tab w:val="left" w:pos="1440"/>
        </w:tabs>
        <w:ind w:firstLine="720"/>
      </w:pPr>
      <w:r w:rsidRPr="0004545B">
        <w:t xml:space="preserve">Wishnev </w:t>
      </w:r>
      <w:r w:rsidRPr="0004545B" w:rsidR="00684F1F">
        <w:t>d</w:t>
      </w:r>
      <w:r w:rsidRPr="0004545B" w:rsidR="007C5DC9">
        <w:t>isputes this conclusion</w:t>
      </w:r>
      <w:r w:rsidRPr="0004545B" w:rsidR="00684F1F">
        <w:t xml:space="preserve">, arguing that </w:t>
      </w:r>
      <w:r w:rsidRPr="0004545B" w:rsidR="00E71B46">
        <w:t xml:space="preserve">the </w:t>
      </w:r>
      <w:r w:rsidRPr="0004545B" w:rsidR="00684F1F">
        <w:t xml:space="preserve">compounding of interest is a “method </w:t>
      </w:r>
      <w:r w:rsidRPr="0004545B" w:rsidR="007C5DC9">
        <w:t xml:space="preserve">of </w:t>
      </w:r>
      <w:r w:rsidRPr="0004545B" w:rsidR="00684F1F">
        <w:t xml:space="preserve">calculating interest” and not </w:t>
      </w:r>
      <w:r w:rsidRPr="0004545B" w:rsidR="00E71B46">
        <w:t>a “charge”</w:t>
      </w:r>
      <w:r w:rsidRPr="0004545B" w:rsidR="00E96D87">
        <w:t xml:space="preserve"> similar to the types of compensation listed in article XV</w:t>
      </w:r>
      <w:r w:rsidRPr="0004545B" w:rsidR="0074298A">
        <w:t>.</w:t>
      </w:r>
      <w:r w:rsidRPr="0004545B" w:rsidR="00E96D87">
        <w:t xml:space="preserve"> </w:t>
      </w:r>
      <w:r w:rsidRPr="0004545B" w:rsidR="0095729E">
        <w:t xml:space="preserve"> </w:t>
      </w:r>
      <w:r w:rsidRPr="0004545B" w:rsidR="00E96D87">
        <w:t xml:space="preserve">The federal district court in </w:t>
      </w:r>
      <w:r w:rsidRPr="0004545B" w:rsidR="00E96D87">
        <w:rPr>
          <w:i/>
        </w:rPr>
        <w:t xml:space="preserve">Wishnev I </w:t>
      </w:r>
      <w:r w:rsidRPr="0004545B" w:rsidR="007C5DC9">
        <w:t>agreed, concluding that</w:t>
      </w:r>
      <w:r w:rsidRPr="0004545B" w:rsidR="0074298A">
        <w:t xml:space="preserve"> the terms “fees, bonuses, commission</w:t>
      </w:r>
      <w:r w:rsidRPr="0004545B">
        <w:t>s</w:t>
      </w:r>
      <w:r w:rsidRPr="0004545B" w:rsidR="0074298A">
        <w:t>, discounts or other compensation” in article XV “can reasonably be construed as reac</w:t>
      </w:r>
      <w:r w:rsidRPr="0004545B" w:rsidR="00EB349E">
        <w:t>hing</w:t>
      </w:r>
      <w:r w:rsidRPr="0004545B" w:rsidR="0074298A">
        <w:t xml:space="preserve"> such things as loan fees and points, not compound interest.”  (</w:t>
      </w:r>
      <w:r w:rsidRPr="0004545B" w:rsidR="0074298A">
        <w:rPr>
          <w:i/>
        </w:rPr>
        <w:t>Wishnev I</w:t>
      </w:r>
      <w:r w:rsidRPr="00BA2CF0" w:rsidR="0074298A">
        <w:t xml:space="preserve">, </w:t>
      </w:r>
      <w:r w:rsidRPr="0004545B" w:rsidR="0074298A">
        <w:rPr>
          <w:i/>
        </w:rPr>
        <w:t>supra</w:t>
      </w:r>
      <w:r w:rsidRPr="00BA2CF0" w:rsidR="0074298A">
        <w:t xml:space="preserve">, </w:t>
      </w:r>
      <w:r w:rsidRPr="0004545B" w:rsidR="0074298A">
        <w:t xml:space="preserve">162 F.Supp.3d at p. 945.) </w:t>
      </w:r>
      <w:r w:rsidRPr="0004545B">
        <w:t xml:space="preserve"> </w:t>
      </w:r>
      <w:r w:rsidR="00ED2FF1">
        <w:t>T</w:t>
      </w:r>
      <w:r w:rsidRPr="0004545B">
        <w:t>he court</w:t>
      </w:r>
      <w:r w:rsidRPr="0004545B" w:rsidR="00F56782">
        <w:t xml:space="preserve"> pointed out that the second paragraph of article XV prohibits a lender from receiving “more than the interest authorized by this section” as a </w:t>
      </w:r>
      <w:r w:rsidRPr="0004545B" w:rsidR="00EB349E">
        <w:t>result</w:t>
      </w:r>
      <w:r w:rsidRPr="0004545B" w:rsidR="00F56782">
        <w:t xml:space="preserve"> of “charging any fee, bonus, commission, discount or other compensation . . . .”  </w:t>
      </w:r>
      <w:r w:rsidRPr="0004545B">
        <w:t xml:space="preserve"> </w:t>
      </w:r>
      <w:r w:rsidRPr="0004545B" w:rsidR="00CE5B5E">
        <w:t>Because article XV distinguishes interest from the enumerated types of compensation, the court reasoned, those types of compensation must be distinct from interest, compound or otherwise.  (</w:t>
      </w:r>
      <w:r w:rsidRPr="0004545B" w:rsidR="00CE5B5E">
        <w:rPr>
          <w:i/>
        </w:rPr>
        <w:t>Wishnev I</w:t>
      </w:r>
      <w:r w:rsidRPr="00BA2CF0" w:rsidR="00CE5B5E">
        <w:t xml:space="preserve">, </w:t>
      </w:r>
      <w:r w:rsidRPr="0004545B" w:rsidR="00CE5B5E">
        <w:t>at p. 945.</w:t>
      </w:r>
      <w:r w:rsidRPr="0004545B" w:rsidR="00F56782">
        <w:t>)</w:t>
      </w:r>
    </w:p>
    <w:p w:rsidR="00507517" w:rsidRPr="0004545B" w:rsidP="0004545B">
      <w:pPr>
        <w:tabs>
          <w:tab w:val="left" w:pos="1440"/>
        </w:tabs>
        <w:ind w:firstLine="720"/>
      </w:pPr>
      <w:r w:rsidRPr="0004545B">
        <w:t xml:space="preserve">The </w:t>
      </w:r>
      <w:r w:rsidRPr="0004545B" w:rsidR="0050725B">
        <w:t xml:space="preserve">district court’s </w:t>
      </w:r>
      <w:r w:rsidRPr="0004545B" w:rsidR="00851DB0">
        <w:t xml:space="preserve">attempted distinction </w:t>
      </w:r>
      <w:r w:rsidRPr="0004545B" w:rsidR="0050725B">
        <w:t>misses the mark</w:t>
      </w:r>
      <w:r w:rsidRPr="0004545B" w:rsidR="00851DB0">
        <w:t>.  T</w:t>
      </w:r>
      <w:r w:rsidRPr="0004545B" w:rsidR="00F94CBE">
        <w:t>he</w:t>
      </w:r>
      <w:r w:rsidRPr="0004545B" w:rsidR="00851DB0">
        <w:t xml:space="preserve"> use of the term</w:t>
      </w:r>
      <w:r w:rsidRPr="0004545B" w:rsidR="00F94CBE">
        <w:t xml:space="preserve"> </w:t>
      </w:r>
      <w:r w:rsidRPr="0004545B" w:rsidR="00861DAC">
        <w:t>“</w:t>
      </w:r>
      <w:r w:rsidRPr="0004545B" w:rsidR="00F94CBE">
        <w:t>interest</w:t>
      </w:r>
      <w:r w:rsidRPr="0004545B" w:rsidR="00861DAC">
        <w:t>”</w:t>
      </w:r>
      <w:r w:rsidRPr="0004545B" w:rsidR="00F94CBE">
        <w:t xml:space="preserve"> in </w:t>
      </w:r>
      <w:r w:rsidRPr="0004545B" w:rsidR="00861DAC">
        <w:t xml:space="preserve">the second paragraph of </w:t>
      </w:r>
      <w:r w:rsidR="008E1C6C">
        <w:t xml:space="preserve">article XV </w:t>
      </w:r>
      <w:r w:rsidRPr="0004545B" w:rsidR="00275ED1">
        <w:t xml:space="preserve">simply </w:t>
      </w:r>
      <w:r w:rsidRPr="0004545B" w:rsidR="00851DB0">
        <w:t>refers to</w:t>
      </w:r>
      <w:r w:rsidRPr="0004545B" w:rsidR="00851DB0">
        <w:rPr>
          <w:color w:val="00B0F0"/>
        </w:rPr>
        <w:t xml:space="preserve"> </w:t>
      </w:r>
      <w:r w:rsidRPr="0004545B" w:rsidR="00275ED1">
        <w:t xml:space="preserve">the maximum interest </w:t>
      </w:r>
      <w:r w:rsidRPr="0004545B" w:rsidR="00275ED1">
        <w:rPr>
          <w:i/>
        </w:rPr>
        <w:t>rate</w:t>
      </w:r>
      <w:r w:rsidRPr="0004545B" w:rsidR="00275ED1">
        <w:t xml:space="preserve"> allowed </w:t>
      </w:r>
      <w:r w:rsidRPr="0004545B" w:rsidR="008763F4">
        <w:t>by</w:t>
      </w:r>
      <w:r w:rsidRPr="0004545B" w:rsidR="00275ED1">
        <w:t xml:space="preserve"> law.  </w:t>
      </w:r>
      <w:r w:rsidRPr="0004545B" w:rsidR="00637CB4">
        <w:t xml:space="preserve">The </w:t>
      </w:r>
      <w:r w:rsidRPr="0004545B" w:rsidR="00851DB0">
        <w:t xml:space="preserve">1934 </w:t>
      </w:r>
      <w:r w:rsidRPr="0004545B" w:rsidR="00637CB4">
        <w:t xml:space="preserve">amendment sought to prevent lenders from </w:t>
      </w:r>
      <w:r w:rsidR="00ED2FF1">
        <w:t xml:space="preserve">exceeding the rate cap </w:t>
      </w:r>
      <w:r w:rsidRPr="0004545B" w:rsidR="00CF7218">
        <w:t>by</w:t>
      </w:r>
      <w:r w:rsidR="00ED2FF1">
        <w:t xml:space="preserve"> disguising interest as</w:t>
      </w:r>
      <w:r w:rsidRPr="0004545B" w:rsidR="00CF7218">
        <w:t xml:space="preserve"> fees or other types of charges</w:t>
      </w:r>
      <w:r w:rsidRPr="0004545B" w:rsidR="00637CB4">
        <w:t xml:space="preserve">.  </w:t>
      </w:r>
      <w:r w:rsidRPr="0004545B" w:rsidR="00C2538D">
        <w:t xml:space="preserve">As explained in the argument in favor of the amendment:  “[The] inadequacy [of the 1918 initiative] is blatantly apparent.  Its purpose has not been fulfilled.  The loan shark still prospers and collects interests grossly in excess of the specified legal rate.  Interest disguised as ‘charges’ is currently exacted at rates that range as high as </w:t>
      </w:r>
      <w:r w:rsidRPr="00BA2CF0" w:rsidR="00C2538D">
        <w:rPr>
          <w:i/>
        </w:rPr>
        <w:t xml:space="preserve">eighteen hundred per cent </w:t>
      </w:r>
      <w:r w:rsidRPr="0004545B" w:rsidR="00C2538D">
        <w:t xml:space="preserve">per annum.”  </w:t>
      </w:r>
      <w:r w:rsidRPr="0004545B" w:rsidR="00637CB4">
        <w:t>(</w:t>
      </w:r>
      <w:r w:rsidR="00BA2CF0">
        <w:t>Ballot Pamp.</w:t>
      </w:r>
      <w:r w:rsidRPr="0004545B" w:rsidR="007B5186">
        <w:t xml:space="preserve">, </w:t>
      </w:r>
      <w:r w:rsidRPr="0004545B" w:rsidR="007B5186">
        <w:rPr>
          <w:i/>
        </w:rPr>
        <w:t>supra</w:t>
      </w:r>
      <w:r w:rsidRPr="0004545B" w:rsidR="007B5186">
        <w:t xml:space="preserve">, </w:t>
      </w:r>
      <w:r w:rsidRPr="0004545B" w:rsidR="00637CB4">
        <w:t>argument in favor of Assem</w:t>
      </w:r>
      <w:r w:rsidRPr="0004545B" w:rsidR="007B5186">
        <w:t>.</w:t>
      </w:r>
      <w:r w:rsidRPr="0004545B" w:rsidR="00637CB4">
        <w:t xml:space="preserve"> Const</w:t>
      </w:r>
      <w:r w:rsidRPr="0004545B" w:rsidR="007B5186">
        <w:t>.</w:t>
      </w:r>
      <w:r w:rsidRPr="0004545B" w:rsidR="00637CB4">
        <w:t xml:space="preserve"> Amen</w:t>
      </w:r>
      <w:r w:rsidRPr="0004545B" w:rsidR="007B5186">
        <w:t>d.</w:t>
      </w:r>
      <w:r w:rsidRPr="0004545B" w:rsidR="00637CB4">
        <w:t xml:space="preserve"> No. 79</w:t>
      </w:r>
      <w:r w:rsidRPr="0004545B" w:rsidR="007B5186">
        <w:t>, p.</w:t>
      </w:r>
      <w:r w:rsidR="00BA45CA">
        <w:t> </w:t>
      </w:r>
      <w:r w:rsidRPr="0004545B" w:rsidR="007B5186">
        <w:t>18</w:t>
      </w:r>
      <w:r w:rsidRPr="0004545B" w:rsidR="00637CB4">
        <w:t xml:space="preserve">.)  </w:t>
      </w:r>
      <w:r w:rsidRPr="0004545B" w:rsidR="00DE7463">
        <w:t xml:space="preserve">Properly construed, article XV treats “any fee, bonus, commission, discount or other compensation” as </w:t>
      </w:r>
      <w:r w:rsidRPr="0004545B" w:rsidR="00DE7463">
        <w:rPr>
          <w:i/>
        </w:rPr>
        <w:t>part</w:t>
      </w:r>
      <w:r w:rsidRPr="0004545B" w:rsidR="00DE7463">
        <w:t xml:space="preserve"> of the interest received by a lender, not exclusive from it</w:t>
      </w:r>
      <w:r w:rsidRPr="0004545B" w:rsidR="00525AA4">
        <w:t xml:space="preserve">. </w:t>
      </w:r>
      <w:r w:rsidRPr="0004545B" w:rsidR="000E0159">
        <w:t xml:space="preserve"> Indeed, the long-standing general rule</w:t>
      </w:r>
      <w:r w:rsidRPr="0004545B" w:rsidR="00F94CBE">
        <w:t xml:space="preserve"> is “that the word ‘interest’ </w:t>
      </w:r>
      <w:r w:rsidRPr="0004545B" w:rsidR="007B5186">
        <w:t>[</w:t>
      </w:r>
      <w:r w:rsidRPr="0004545B" w:rsidR="00F94CBE">
        <w:t>is</w:t>
      </w:r>
      <w:r w:rsidRPr="0004545B" w:rsidR="007B5186">
        <w:t>]</w:t>
      </w:r>
      <w:r w:rsidRPr="0004545B" w:rsidR="00F94CBE">
        <w:t xml:space="preserve"> broad enough to cover ‘bonus’, ‘commission’, or any other form of ‘compensation’ paid to the lender for the use of the money . . . .”  (</w:t>
      </w:r>
      <w:r w:rsidRPr="0004545B" w:rsidR="00F94CBE">
        <w:rPr>
          <w:i/>
        </w:rPr>
        <w:t>In</w:t>
      </w:r>
      <w:r w:rsidRPr="0004545B" w:rsidR="00BE54C0">
        <w:rPr>
          <w:i/>
        </w:rPr>
        <w:t xml:space="preserve"> re </w:t>
      </w:r>
      <w:r w:rsidRPr="0004545B" w:rsidR="00F94CBE">
        <w:rPr>
          <w:i/>
        </w:rPr>
        <w:t xml:space="preserve">Fuller </w:t>
      </w:r>
      <w:r w:rsidRPr="0004545B" w:rsidR="00F94CBE">
        <w:t>(1940) 15 Cal.2d 425, 434</w:t>
      </w:r>
      <w:r w:rsidRPr="0004545B" w:rsidR="00BE54C0">
        <w:t>.</w:t>
      </w:r>
      <w:r w:rsidRPr="0004545B" w:rsidR="00F94CBE">
        <w:t>)</w:t>
      </w:r>
      <w:r w:rsidRPr="0004545B" w:rsidR="00637CB4">
        <w:t xml:space="preserve"> </w:t>
      </w:r>
      <w:r w:rsidRPr="0004545B">
        <w:t xml:space="preserve"> </w:t>
      </w:r>
    </w:p>
    <w:p w:rsidR="004E4BE0" w:rsidRPr="0004545B" w:rsidP="0004545B">
      <w:pPr>
        <w:tabs>
          <w:tab w:val="left" w:pos="1440"/>
        </w:tabs>
        <w:ind w:firstLine="720"/>
      </w:pPr>
      <w:r w:rsidRPr="0004545B">
        <w:t>T</w:t>
      </w:r>
      <w:r w:rsidRPr="0004545B" w:rsidR="006E6E04">
        <w:t xml:space="preserve">he district court’s attempt to characterize </w:t>
      </w:r>
      <w:r w:rsidRPr="0004545B" w:rsidR="00A31548">
        <w:t>loan fees and points</w:t>
      </w:r>
      <w:r w:rsidRPr="0004545B" w:rsidR="006E6E04">
        <w:t xml:space="preserve"> as “other compensation”</w:t>
      </w:r>
      <w:r w:rsidRPr="0004545B">
        <w:t xml:space="preserve"> while excluding compound interest</w:t>
      </w:r>
      <w:r w:rsidRPr="0004545B" w:rsidR="006E6E04">
        <w:t xml:space="preserve"> is unpersuasive.  (See </w:t>
      </w:r>
      <w:r w:rsidRPr="0004545B" w:rsidR="006E6E04">
        <w:rPr>
          <w:i/>
        </w:rPr>
        <w:t>Wishnev I</w:t>
      </w:r>
      <w:r w:rsidRPr="00BA2CF0" w:rsidR="006E6E04">
        <w:t xml:space="preserve">, </w:t>
      </w:r>
      <w:r w:rsidRPr="0004545B" w:rsidR="006E6E04">
        <w:rPr>
          <w:i/>
        </w:rPr>
        <w:t>supra</w:t>
      </w:r>
      <w:r w:rsidRPr="00BA2CF0" w:rsidR="006E6E04">
        <w:t xml:space="preserve">, </w:t>
      </w:r>
      <w:r w:rsidRPr="0004545B" w:rsidR="006E6E04">
        <w:t>162 F.Supp.3d at p. 945.)  L</w:t>
      </w:r>
      <w:r w:rsidRPr="0004545B" w:rsidR="0074298A">
        <w:t xml:space="preserve">oan points </w:t>
      </w:r>
      <w:r w:rsidRPr="0004545B" w:rsidR="00CA4D2B">
        <w:t xml:space="preserve">are simply </w:t>
      </w:r>
      <w:r w:rsidRPr="0004545B" w:rsidR="00AE17E6">
        <w:t>“</w:t>
      </w:r>
      <w:r w:rsidRPr="0004545B" w:rsidR="00CA4D2B">
        <w:t>additional interest</w:t>
      </w:r>
      <w:r w:rsidRPr="0004545B" w:rsidR="00AE17E6">
        <w:t>”</w:t>
      </w:r>
      <w:r w:rsidRPr="0004545B" w:rsidR="00CA4D2B">
        <w:t xml:space="preserve"> paid to the lender at the outset </w:t>
      </w:r>
      <w:r w:rsidRPr="0004545B" w:rsidR="00AE17E6">
        <w:t xml:space="preserve">that </w:t>
      </w:r>
      <w:r w:rsidRPr="0004545B">
        <w:t>is “</w:t>
      </w:r>
      <w:r w:rsidRPr="0004545B" w:rsidR="00CA4D2B">
        <w:t>added to the interest charged by the terms of the loan and amortized over the term of the loan to determine whether the total interest charged to the borrower exceeds the statutory maximum limits.”  (</w:t>
      </w:r>
      <w:r w:rsidRPr="0004545B" w:rsidR="00D754D7">
        <w:t>11 </w:t>
      </w:r>
      <w:r w:rsidRPr="0004545B" w:rsidR="00CA4D2B">
        <w:t>Miller &amp; Starr,</w:t>
      </w:r>
      <w:r w:rsidRPr="0004545B" w:rsidR="00D754D7">
        <w:t xml:space="preserve"> Cal. Real Estate (4th ed. 2018)</w:t>
      </w:r>
      <w:r w:rsidRPr="0004545B" w:rsidR="00CA4D2B">
        <w:t xml:space="preserve"> § 37:27, p. </w:t>
      </w:r>
      <w:r w:rsidRPr="0004545B" w:rsidR="00D754D7">
        <w:t>37-110</w:t>
      </w:r>
      <w:r w:rsidRPr="0004545B" w:rsidR="00065956">
        <w:t>, fn. omitted.</w:t>
      </w:r>
      <w:r w:rsidRPr="0004545B" w:rsidR="00CA4D2B">
        <w:t>)</w:t>
      </w:r>
      <w:r w:rsidRPr="0004545B" w:rsidR="00AE17E6">
        <w:t xml:space="preserve">  </w:t>
      </w:r>
      <w:r w:rsidRPr="0004545B">
        <w:t xml:space="preserve">Just </w:t>
      </w:r>
      <w:r w:rsidRPr="0004545B">
        <w:t xml:space="preserve">as with loan points, compound interest must be taken into </w:t>
      </w:r>
      <w:r w:rsidRPr="0004545B">
        <w:t xml:space="preserve">account to assess whether a transaction is usurious.  </w:t>
      </w:r>
      <w:r w:rsidRPr="0004545B">
        <w:t>(See</w:t>
      </w:r>
      <w:r w:rsidRPr="0004545B">
        <w:rPr>
          <w:i/>
        </w:rPr>
        <w:t xml:space="preserve"> Lewis v. Pac</w:t>
      </w:r>
      <w:r w:rsidRPr="0004545B" w:rsidR="007B5186">
        <w:rPr>
          <w:i/>
        </w:rPr>
        <w:t>ific</w:t>
      </w:r>
      <w:r w:rsidRPr="0004545B">
        <w:rPr>
          <w:i/>
        </w:rPr>
        <w:t xml:space="preserve"> States Sav. &amp; Loan Co.</w:t>
      </w:r>
      <w:r w:rsidRPr="00BA2CF0">
        <w:t xml:space="preserve">, </w:t>
      </w:r>
      <w:r w:rsidRPr="0004545B">
        <w:rPr>
          <w:i/>
        </w:rPr>
        <w:t>supra</w:t>
      </w:r>
      <w:r w:rsidRPr="00BA2CF0">
        <w:t>,</w:t>
      </w:r>
      <w:r w:rsidRPr="0004545B">
        <w:rPr>
          <w:i/>
        </w:rPr>
        <w:t xml:space="preserve"> </w:t>
      </w:r>
      <w:r w:rsidRPr="0004545B">
        <w:t xml:space="preserve">1 Cal.2d at p. 695.)  </w:t>
      </w:r>
      <w:r w:rsidRPr="0004545B">
        <w:t xml:space="preserve">Both </w:t>
      </w:r>
      <w:r w:rsidRPr="0004545B">
        <w:t xml:space="preserve">kinds of charges </w:t>
      </w:r>
      <w:r w:rsidRPr="0004545B">
        <w:t xml:space="preserve">increase the lender’s </w:t>
      </w:r>
      <w:r w:rsidRPr="0004545B" w:rsidR="006E6E04">
        <w:t>c</w:t>
      </w:r>
      <w:r w:rsidRPr="0004545B">
        <w:t xml:space="preserve">ompensation.  </w:t>
      </w:r>
      <w:r w:rsidRPr="0004545B" w:rsidR="006E6E04">
        <w:t xml:space="preserve">There is no reason to </w:t>
      </w:r>
      <w:r w:rsidRPr="0004545B" w:rsidR="001A2A8E">
        <w:t xml:space="preserve">treat </w:t>
      </w:r>
      <w:r w:rsidRPr="0004545B">
        <w:t xml:space="preserve">the two differently under article </w:t>
      </w:r>
      <w:r w:rsidRPr="0004545B">
        <w:t>XV.</w:t>
      </w:r>
    </w:p>
    <w:p w:rsidR="00B57E8A" w:rsidRPr="0004545B" w:rsidP="0004545B">
      <w:pPr>
        <w:tabs>
          <w:tab w:val="left" w:pos="1440"/>
        </w:tabs>
        <w:ind w:firstLine="720"/>
      </w:pPr>
      <w:r>
        <w:t xml:space="preserve">Urging compound interest is excluded </w:t>
      </w:r>
      <w:r w:rsidRPr="0004545B" w:rsidR="00525AA4">
        <w:t xml:space="preserve">from </w:t>
      </w:r>
      <w:r w:rsidRPr="0004545B" w:rsidR="00165221">
        <w:t>“other compensation</w:t>
      </w:r>
      <w:r w:rsidRPr="0004545B" w:rsidR="00525AA4">
        <w:t>,</w:t>
      </w:r>
      <w:r w:rsidRPr="0004545B" w:rsidR="00165221">
        <w:t>”</w:t>
      </w:r>
      <w:r w:rsidRPr="0004545B" w:rsidR="00276A98">
        <w:t xml:space="preserve"> </w:t>
      </w:r>
      <w:r w:rsidRPr="0004545B" w:rsidR="00165221">
        <w:t xml:space="preserve">Wishnev </w:t>
      </w:r>
      <w:r w:rsidRPr="0004545B" w:rsidR="00E87A03">
        <w:t xml:space="preserve">invokes </w:t>
      </w:r>
      <w:r w:rsidRPr="0004545B" w:rsidR="00165221">
        <w:t xml:space="preserve">a rule of statutory construction known as </w:t>
      </w:r>
      <w:r w:rsidRPr="0004545B" w:rsidR="00165221">
        <w:rPr>
          <w:i/>
        </w:rPr>
        <w:t>ejusdem generis</w:t>
      </w:r>
      <w:r w:rsidRPr="0004545B" w:rsidR="004A038F">
        <w:rPr>
          <w:i/>
        </w:rPr>
        <w:t>.</w:t>
      </w:r>
      <w:r w:rsidRPr="0004545B" w:rsidR="00165221">
        <w:t xml:space="preserve"> </w:t>
      </w:r>
      <w:r w:rsidRPr="0004545B" w:rsidR="00344F2B">
        <w:t xml:space="preserve"> </w:t>
      </w:r>
      <w:r w:rsidRPr="0004545B" w:rsidR="00EA651E">
        <w:t>This</w:t>
      </w:r>
      <w:r w:rsidRPr="0004545B" w:rsidR="00E30EED">
        <w:t xml:space="preserve"> doctrine</w:t>
      </w:r>
      <w:r w:rsidRPr="0004545B" w:rsidR="00EA651E">
        <w:t xml:space="preserve"> provides that</w:t>
      </w:r>
      <w:r w:rsidRPr="0004545B" w:rsidR="003C3AB0">
        <w:t xml:space="preserve"> “when a general word or phrase follows a list of specifics, the general word or phrase will be interpreted to include only items of the same class as those listed.”</w:t>
      </w:r>
      <w:r>
        <w:rPr>
          <w:rStyle w:val="FootnoteReference"/>
        </w:rPr>
        <w:footnoteReference w:id="16"/>
      </w:r>
      <w:r w:rsidRPr="0004545B" w:rsidR="003C3AB0">
        <w:t xml:space="preserve">  (Black</w:t>
      </w:r>
      <w:r w:rsidRPr="0004545B" w:rsidR="001D771E">
        <w:t>’</w:t>
      </w:r>
      <w:r w:rsidRPr="0004545B" w:rsidR="003C3AB0">
        <w:t xml:space="preserve">s Law Dict. (10th ed. 2014) p. 631, col. 1.)  </w:t>
      </w:r>
      <w:r w:rsidRPr="0004545B" w:rsidR="00C529F7">
        <w:t xml:space="preserve">Wishnev </w:t>
      </w:r>
      <w:r w:rsidRPr="0004545B" w:rsidR="00DC5255">
        <w:t>argues</w:t>
      </w:r>
      <w:r w:rsidRPr="0004545B" w:rsidR="00B041E1">
        <w:t xml:space="preserve"> that “other compensation” </w:t>
      </w:r>
      <w:r w:rsidRPr="0004545B" w:rsidR="00276A98">
        <w:t>must be interpreted narrowly to mean only items similar to the specific terms that precede the general term.</w:t>
      </w:r>
    </w:p>
    <w:p w:rsidR="0074298A" w:rsidRPr="0004545B" w:rsidP="0004545B">
      <w:pPr>
        <w:tabs>
          <w:tab w:val="left" w:pos="1440"/>
        </w:tabs>
        <w:ind w:firstLine="720"/>
      </w:pPr>
      <w:r w:rsidRPr="0004545B">
        <w:t xml:space="preserve">Maxims of statutory construction, including the </w:t>
      </w:r>
      <w:r w:rsidRPr="0004545B" w:rsidR="00E30EED">
        <w:t>doctrine</w:t>
      </w:r>
      <w:r w:rsidRPr="0004545B">
        <w:t xml:space="preserve"> of </w:t>
      </w:r>
      <w:r w:rsidRPr="0004545B">
        <w:rPr>
          <w:i/>
        </w:rPr>
        <w:t>ejusdem generis,</w:t>
      </w:r>
      <w:r w:rsidRPr="0004545B">
        <w:t xml:space="preserve"> are not immutable</w:t>
      </w:r>
      <w:r w:rsidRPr="0004545B" w:rsidR="00C801E6">
        <w:t xml:space="preserve"> </w:t>
      </w:r>
      <w:r w:rsidRPr="0004545B" w:rsidR="00141D1F">
        <w:t>rules</w:t>
      </w:r>
      <w:r w:rsidRPr="0004545B">
        <w:t xml:space="preserve"> </w:t>
      </w:r>
      <w:r w:rsidRPr="0004545B" w:rsidR="00141D1F">
        <w:t>but instead are guidelines subject to exceptions</w:t>
      </w:r>
      <w:r w:rsidRPr="0004545B">
        <w:t>.  (</w:t>
      </w:r>
      <w:r w:rsidRPr="0004545B" w:rsidR="00364C3F">
        <w:t xml:space="preserve">Cf. </w:t>
      </w:r>
      <w:r w:rsidRPr="0004545B">
        <w:rPr>
          <w:i/>
        </w:rPr>
        <w:t>In re Joseph B.</w:t>
      </w:r>
      <w:r w:rsidRPr="0004545B">
        <w:t xml:space="preserve"> (1983) 34 Cal.3d 952, 957.)  </w:t>
      </w:r>
      <w:r w:rsidRPr="0004545B" w:rsidR="009D114A">
        <w:t>“</w:t>
      </w:r>
      <w:r w:rsidRPr="0004545B" w:rsidR="00276A98">
        <w:t>In construing a statute a court</w:t>
      </w:r>
      <w:r w:rsidRPr="0004545B" w:rsidR="009D114A">
        <w:t>’</w:t>
      </w:r>
      <w:r w:rsidRPr="0004545B" w:rsidR="00276A98">
        <w:t>s objective is to ascertain and effectuate the underlying legislative intent.</w:t>
      </w:r>
      <w:r w:rsidRPr="0004545B" w:rsidR="009D114A">
        <w:t xml:space="preserve">  </w:t>
      </w:r>
      <w:r w:rsidRPr="0004545B" w:rsidR="00276A98">
        <w:t>[Citati</w:t>
      </w:r>
      <w:r w:rsidRPr="0004545B" w:rsidR="009D114A">
        <w:t>o</w:t>
      </w:r>
      <w:r w:rsidRPr="0004545B" w:rsidR="00276A98">
        <w:t>n.]</w:t>
      </w:r>
      <w:r w:rsidR="00752273">
        <w:t xml:space="preserve"> </w:t>
      </w:r>
      <w:r w:rsidRPr="0004545B" w:rsidR="00276A98">
        <w:t>This fundamental rule overrides the</w:t>
      </w:r>
      <w:r w:rsidR="00E9296F">
        <w:t xml:space="preserve"> </w:t>
      </w:r>
      <w:r w:rsidRPr="0004545B" w:rsidR="00276A98">
        <w:rPr>
          <w:i/>
        </w:rPr>
        <w:t>ejusdem</w:t>
      </w:r>
      <w:r w:rsidR="00E9296F">
        <w:rPr>
          <w:i/>
          <w:iCs/>
        </w:rPr>
        <w:t xml:space="preserve"> </w:t>
      </w:r>
      <w:r w:rsidRPr="0004545B" w:rsidR="00276A98">
        <w:rPr>
          <w:i/>
        </w:rPr>
        <w:t>generis</w:t>
      </w:r>
      <w:r w:rsidR="00E9296F">
        <w:t xml:space="preserve"> </w:t>
      </w:r>
      <w:r w:rsidRPr="0004545B" w:rsidR="00276A98">
        <w:t>doctrine, just as it would any maxim of jurisprudence, if application of the doctrine or maxim would frustrate the intent underlying the statute.”</w:t>
      </w:r>
      <w:r w:rsidRPr="0004545B" w:rsidR="009D114A">
        <w:t xml:space="preserve">  </w:t>
      </w:r>
      <w:r w:rsidRPr="0004545B" w:rsidR="00276A98">
        <w:t>(</w:t>
      </w:r>
      <w:r w:rsidRPr="0004545B" w:rsidR="00276A98">
        <w:rPr>
          <w:i/>
        </w:rPr>
        <w:t xml:space="preserve">Moore v. California State Bd. of Accountancy </w:t>
      </w:r>
      <w:r w:rsidRPr="0004545B" w:rsidR="00276A98">
        <w:t>(1992) 2 Cal.4th 999, 1012.)</w:t>
      </w:r>
      <w:r w:rsidRPr="0004545B" w:rsidR="00202E3B">
        <w:t xml:space="preserve">  “[</w:t>
      </w:r>
      <w:r w:rsidRPr="0004545B" w:rsidR="00202E3B">
        <w:rPr>
          <w:i/>
        </w:rPr>
        <w:t>E</w:t>
      </w:r>
      <w:r w:rsidRPr="0004545B" w:rsidR="00202E3B">
        <w:t>]</w:t>
      </w:r>
      <w:r w:rsidRPr="0004545B" w:rsidR="00202E3B">
        <w:rPr>
          <w:i/>
        </w:rPr>
        <w:t xml:space="preserve">jusdem generis </w:t>
      </w:r>
      <w:r w:rsidRPr="0004545B" w:rsidR="00202E3B">
        <w:t xml:space="preserve">is only an aid in getting the meaning and does not warrant confining the operations of a statute within narrower limits than were intended.”  (Llewellyn, </w:t>
      </w:r>
      <w:r w:rsidRPr="0004545B" w:rsidR="00202E3B">
        <w:rPr>
          <w:i/>
        </w:rPr>
        <w:t xml:space="preserve">Remarks on the Theory of Appellate Decision and the Rules or Canons </w:t>
      </w:r>
      <w:r w:rsidRPr="0004545B" w:rsidR="00FC4620">
        <w:rPr>
          <w:i/>
        </w:rPr>
        <w:t>A</w:t>
      </w:r>
      <w:r w:rsidRPr="0004545B" w:rsidR="00202E3B">
        <w:rPr>
          <w:i/>
        </w:rPr>
        <w:t xml:space="preserve">bout How Statutes </w:t>
      </w:r>
      <w:r w:rsidRPr="0004545B" w:rsidR="007B5186">
        <w:rPr>
          <w:i/>
        </w:rPr>
        <w:t>A</w:t>
      </w:r>
      <w:r w:rsidRPr="0004545B" w:rsidR="00202E3B">
        <w:rPr>
          <w:i/>
        </w:rPr>
        <w:t xml:space="preserve">re </w:t>
      </w:r>
      <w:r w:rsidRPr="0004545B" w:rsidR="007B5186">
        <w:rPr>
          <w:i/>
        </w:rPr>
        <w:t>T</w:t>
      </w:r>
      <w:r w:rsidRPr="0004545B" w:rsidR="00202E3B">
        <w:rPr>
          <w:i/>
        </w:rPr>
        <w:t xml:space="preserve">o </w:t>
      </w:r>
      <w:r w:rsidRPr="0004545B" w:rsidR="007B5186">
        <w:rPr>
          <w:i/>
        </w:rPr>
        <w:t>B</w:t>
      </w:r>
      <w:r w:rsidRPr="0004545B" w:rsidR="00202E3B">
        <w:rPr>
          <w:i/>
        </w:rPr>
        <w:t xml:space="preserve">e Construed </w:t>
      </w:r>
      <w:r w:rsidRPr="0004545B" w:rsidR="00202E3B">
        <w:t>(1950) 3 Vand. L.Rev. 395, 405.)</w:t>
      </w:r>
    </w:p>
    <w:p w:rsidR="00F96F1C" w:rsidRPr="0004545B" w:rsidP="0004545B">
      <w:pPr>
        <w:tabs>
          <w:tab w:val="left" w:pos="1440"/>
        </w:tabs>
        <w:ind w:firstLine="720"/>
      </w:pPr>
      <w:r w:rsidRPr="0004545B">
        <w:t>Wishnev</w:t>
      </w:r>
      <w:r w:rsidRPr="0004545B" w:rsidR="00FA74E0">
        <w:t xml:space="preserve"> claims the express terms that precede the general term “other compensation” are types of loan charges and discounts.  He characterizes compound interest as merely a method of calculating interest and not a charge or discount like those enumerated in article XV.  The claimed distinction fails.  On a more general level of abstraction, compound interest is indistinguishable from loan charges.  Both </w:t>
      </w:r>
      <w:r w:rsidRPr="0004545B" w:rsidR="00C27A55">
        <w:t>give the lender greater compensation for the use of its money.</w:t>
      </w:r>
      <w:r w:rsidRPr="0004545B" w:rsidR="00414C29">
        <w:t xml:space="preserve">  </w:t>
      </w:r>
      <w:r w:rsidRPr="0004545B" w:rsidR="00FA74E0">
        <w:t xml:space="preserve">Ultimately, the application of </w:t>
      </w:r>
      <w:r w:rsidRPr="0004545B" w:rsidR="00FA74E0">
        <w:rPr>
          <w:i/>
        </w:rPr>
        <w:t xml:space="preserve">ejusdem generis </w:t>
      </w:r>
      <w:r w:rsidRPr="0004545B" w:rsidR="00FA74E0">
        <w:t>here depends upon how broadly or narrowly one defines the similarities among the enumerated items.  But any such effort must honor the ultimate goal of effectuating voter inte</w:t>
      </w:r>
      <w:r w:rsidRPr="0004545B" w:rsidR="009D1262">
        <w:t>nt.</w:t>
      </w:r>
    </w:p>
    <w:p w:rsidR="00B57E8A" w:rsidRPr="0004545B" w:rsidP="0004545B">
      <w:pPr>
        <w:tabs>
          <w:tab w:val="left" w:pos="1440"/>
        </w:tabs>
        <w:ind w:firstLine="720"/>
      </w:pPr>
      <w:r w:rsidRPr="0004545B">
        <w:t xml:space="preserve">Wishnev’s narrow reading fails to honor the </w:t>
      </w:r>
      <w:r w:rsidR="00ED2FF1">
        <w:t>enact</w:t>
      </w:r>
      <w:r w:rsidR="00BA2CF0">
        <w:t>o</w:t>
      </w:r>
      <w:r w:rsidR="00ED2FF1">
        <w:t>rs’</w:t>
      </w:r>
      <w:r w:rsidRPr="0004545B">
        <w:t xml:space="preserve"> intent in</w:t>
      </w:r>
      <w:r w:rsidR="00ED2FF1">
        <w:t xml:space="preserve"> 1934</w:t>
      </w:r>
      <w:r w:rsidRPr="0004545B">
        <w:t>.</w:t>
      </w:r>
      <w:r w:rsidRPr="0004545B" w:rsidR="00204880">
        <w:t xml:space="preserve">  One stated purpose was to </w:t>
      </w:r>
      <w:r w:rsidRPr="0004545B" w:rsidR="00DE2FFF">
        <w:t xml:space="preserve">protect borrowers against “the oppressive burden of legally assessed charges” that </w:t>
      </w:r>
      <w:r w:rsidRPr="0004545B" w:rsidR="00355EAD">
        <w:t>increase</w:t>
      </w:r>
      <w:r w:rsidRPr="0004545B" w:rsidR="00DE2FFF">
        <w:t xml:space="preserve"> the lender’s compensation</w:t>
      </w:r>
      <w:r w:rsidRPr="0004545B" w:rsidR="00DA2C0D">
        <w:t xml:space="preserve"> beyond the maximum allowable interest rate</w:t>
      </w:r>
      <w:r w:rsidRPr="0004545B" w:rsidR="00DE2FFF">
        <w:t>.</w:t>
      </w:r>
      <w:r w:rsidRPr="0004545B" w:rsidR="00D90259">
        <w:t xml:space="preserve">  (</w:t>
      </w:r>
      <w:r w:rsidR="00BA2CF0">
        <w:t>Ballot Pamp.</w:t>
      </w:r>
      <w:r w:rsidRPr="0004545B" w:rsidR="007B5186">
        <w:t xml:space="preserve">, </w:t>
      </w:r>
      <w:r w:rsidRPr="0004545B" w:rsidR="007B5186">
        <w:rPr>
          <w:i/>
        </w:rPr>
        <w:t>supra</w:t>
      </w:r>
      <w:r w:rsidRPr="0004545B" w:rsidR="007B5186">
        <w:t>,</w:t>
      </w:r>
      <w:r w:rsidRPr="0004545B" w:rsidR="00D90259">
        <w:t xml:space="preserve"> argument in favor of Assem</w:t>
      </w:r>
      <w:r w:rsidRPr="0004545B" w:rsidR="007B5186">
        <w:t>.</w:t>
      </w:r>
      <w:r w:rsidRPr="0004545B" w:rsidR="00D90259">
        <w:t xml:space="preserve"> Const</w:t>
      </w:r>
      <w:r w:rsidRPr="0004545B" w:rsidR="007B5186">
        <w:t>.</w:t>
      </w:r>
      <w:r w:rsidRPr="0004545B" w:rsidR="00D90259">
        <w:t xml:space="preserve"> Amend</w:t>
      </w:r>
      <w:r w:rsidRPr="0004545B" w:rsidR="007B5186">
        <w:t xml:space="preserve">. </w:t>
      </w:r>
      <w:r w:rsidRPr="0004545B" w:rsidR="00D90259">
        <w:t>No. 79</w:t>
      </w:r>
      <w:r w:rsidRPr="0004545B" w:rsidR="007B5186">
        <w:t>, p.</w:t>
      </w:r>
      <w:r w:rsidR="008B75B5">
        <w:t> </w:t>
      </w:r>
      <w:r w:rsidRPr="0004545B" w:rsidR="007B5186">
        <w:t>1</w:t>
      </w:r>
      <w:r w:rsidR="00BA2CF0">
        <w:t>9</w:t>
      </w:r>
      <w:r w:rsidRPr="0004545B" w:rsidR="00D90259">
        <w:t xml:space="preserve">.)  </w:t>
      </w:r>
      <w:r w:rsidRPr="0004545B" w:rsidR="00EB420A">
        <w:t xml:space="preserve">Interpreting “other compensation” narrowly </w:t>
      </w:r>
      <w:r w:rsidRPr="0004545B" w:rsidR="00651E58">
        <w:t>does not serve that purpose.</w:t>
      </w:r>
      <w:r w:rsidRPr="0004545B" w:rsidR="00E73CEE">
        <w:t xml:space="preserve">  </w:t>
      </w:r>
      <w:r w:rsidRPr="0004545B" w:rsidR="00027D6D">
        <w:t>Wishnev</w:t>
      </w:r>
      <w:r w:rsidRPr="0004545B" w:rsidR="00DE2FFF">
        <w:t xml:space="preserve"> points to no ballot materials or other indicators</w:t>
      </w:r>
      <w:r w:rsidRPr="0004545B" w:rsidR="00F044C4">
        <w:t xml:space="preserve"> o</w:t>
      </w:r>
      <w:r w:rsidRPr="0004545B" w:rsidR="00355EAD">
        <w:t>f voter in</w:t>
      </w:r>
      <w:r w:rsidRPr="0004545B" w:rsidR="00F044C4">
        <w:t xml:space="preserve">tent </w:t>
      </w:r>
      <w:r w:rsidRPr="0004545B" w:rsidR="00DE2FFF">
        <w:t xml:space="preserve">suggesting </w:t>
      </w:r>
      <w:r w:rsidRPr="0004545B" w:rsidR="00F044C4">
        <w:t xml:space="preserve">they sought to </w:t>
      </w:r>
      <w:r w:rsidRPr="0004545B" w:rsidR="00027D6D">
        <w:t xml:space="preserve">give the Legislature the power to regulate </w:t>
      </w:r>
      <w:r w:rsidRPr="0004545B">
        <w:t xml:space="preserve">only </w:t>
      </w:r>
      <w:r w:rsidRPr="0004545B" w:rsidR="006413C3">
        <w:t xml:space="preserve">certain types </w:t>
      </w:r>
      <w:r w:rsidRPr="0004545B">
        <w:t>of</w:t>
      </w:r>
      <w:r w:rsidRPr="0004545B" w:rsidR="00027D6D">
        <w:t xml:space="preserve"> compensation exempt lenders might </w:t>
      </w:r>
      <w:r w:rsidRPr="0004545B" w:rsidR="00DE2FFF">
        <w:t>extract</w:t>
      </w:r>
      <w:r w:rsidRPr="0004545B" w:rsidR="00027D6D">
        <w:t xml:space="preserve"> from borrowers.</w:t>
      </w:r>
      <w:r w:rsidRPr="0004545B" w:rsidR="0041196E">
        <w:t xml:space="preserve">  </w:t>
      </w:r>
      <w:r w:rsidR="00541C6A">
        <w:t>His</w:t>
      </w:r>
      <w:r w:rsidR="00156460">
        <w:t xml:space="preserve"> </w:t>
      </w:r>
      <w:r w:rsidR="00353CAB">
        <w:t>proposed application o</w:t>
      </w:r>
      <w:r w:rsidRPr="0004545B" w:rsidR="006069F0">
        <w:t xml:space="preserve">f the </w:t>
      </w:r>
      <w:r w:rsidRPr="0004545B">
        <w:rPr>
          <w:i/>
        </w:rPr>
        <w:t>ejusdem generis</w:t>
      </w:r>
      <w:r w:rsidRPr="0004545B" w:rsidR="006069F0">
        <w:t xml:space="preserve"> </w:t>
      </w:r>
      <w:r w:rsidRPr="0004545B" w:rsidR="006A6B1A">
        <w:t xml:space="preserve">doctrine </w:t>
      </w:r>
      <w:r w:rsidRPr="0004545B" w:rsidR="006069F0">
        <w:t xml:space="preserve">would unduly confine the Legislature’s authority to regulate </w:t>
      </w:r>
      <w:r w:rsidRPr="0004545B" w:rsidR="00DE2FFF">
        <w:t>lender compensation, a power the amendment was intended to confer.</w:t>
      </w:r>
    </w:p>
    <w:p w:rsidR="007D550B" w:rsidRPr="0004545B" w:rsidP="0004545B">
      <w:pPr>
        <w:tabs>
          <w:tab w:val="left" w:pos="1440"/>
        </w:tabs>
        <w:ind w:firstLine="720"/>
      </w:pPr>
      <w:r w:rsidRPr="0004545B">
        <w:t>Determining that article XV conf</w:t>
      </w:r>
      <w:r w:rsidRPr="0004545B" w:rsidR="00C321C4">
        <w:t>ers legislative authority to regulate compound interest</w:t>
      </w:r>
      <w:r w:rsidR="00ED2FF1">
        <w:t xml:space="preserve"> </w:t>
      </w:r>
      <w:r w:rsidRPr="0095640B" w:rsidR="00ED2FF1">
        <w:rPr>
          <w:i/>
        </w:rPr>
        <w:t>in some way</w:t>
      </w:r>
      <w:r w:rsidRPr="0004545B" w:rsidR="00C321C4">
        <w:t xml:space="preserve"> does not fully answer the question</w:t>
      </w:r>
      <w:r w:rsidRPr="0004545B" w:rsidR="00763F89">
        <w:t xml:space="preserve"> of whether the</w:t>
      </w:r>
      <w:r w:rsidR="00ED2FF1">
        <w:t xml:space="preserve"> particular</w:t>
      </w:r>
      <w:r w:rsidRPr="0004545B" w:rsidR="00763F89">
        <w:t xml:space="preserve"> compound interest limitation was impliedly repealed as to exempt lenders.  </w:t>
      </w:r>
      <w:r w:rsidR="00ED2FF1">
        <w:t>We conclude that it was.</w:t>
      </w:r>
    </w:p>
    <w:p w:rsidR="007D550B" w:rsidRPr="0004545B" w:rsidP="0004545B">
      <w:pPr>
        <w:tabs>
          <w:tab w:val="left" w:pos="1440"/>
        </w:tabs>
        <w:ind w:firstLine="720"/>
      </w:pPr>
      <w:r>
        <w:t>As explained, t</w:t>
      </w:r>
      <w:r w:rsidRPr="0004545B" w:rsidR="00B44CA3">
        <w:t>he ability to</w:t>
      </w:r>
      <w:r w:rsidRPr="0004545B" w:rsidR="00C96CFA">
        <w:t xml:space="preserve"> charge</w:t>
      </w:r>
      <w:r w:rsidRPr="0004545B" w:rsidR="00B44CA3">
        <w:t xml:space="preserve"> compound interest increases the amount of compensation a lender receives.  The compound interest limitation regulates this extra compensation </w:t>
      </w:r>
      <w:r>
        <w:t xml:space="preserve">in a precisely defined way </w:t>
      </w:r>
      <w:r w:rsidRPr="0004545B" w:rsidR="00B44CA3">
        <w:t xml:space="preserve">by limiting the circumstances under which a lender can compel its payment. </w:t>
      </w:r>
      <w:r w:rsidRPr="0004545B" w:rsidR="00C96CFA">
        <w:t xml:space="preserve"> </w:t>
      </w:r>
      <w:r w:rsidRPr="0004545B" w:rsidR="00245CCA">
        <w:t>However, t</w:t>
      </w:r>
      <w:r w:rsidRPr="0004545B" w:rsidR="002253A1">
        <w:t>he 1934 amendment confers upon the Legislature the</w:t>
      </w:r>
      <w:r w:rsidRPr="0004545B" w:rsidR="00BD0EC3">
        <w:t xml:space="preserve"> </w:t>
      </w:r>
      <w:r w:rsidRPr="0004545B" w:rsidR="002253A1">
        <w:t>power to regulate an exempt lender’s compensation “in any manner</w:t>
      </w:r>
      <w:r w:rsidRPr="0004545B" w:rsidR="00C96CFA">
        <w:t>.</w:t>
      </w:r>
      <w:r w:rsidRPr="0004545B" w:rsidR="002253A1">
        <w:t xml:space="preserve">” </w:t>
      </w:r>
      <w:r w:rsidRPr="0004545B" w:rsidR="00C96CFA">
        <w:t xml:space="preserve">  T</w:t>
      </w:r>
      <w:r w:rsidRPr="0004545B" w:rsidR="002253A1">
        <w:t xml:space="preserve">his </w:t>
      </w:r>
      <w:r>
        <w:t xml:space="preserve">broad </w:t>
      </w:r>
      <w:r w:rsidRPr="0004545B" w:rsidR="002253A1">
        <w:t>legislative authority necessarily conflicts with</w:t>
      </w:r>
      <w:r w:rsidRPr="0004545B" w:rsidR="00BD0EC3">
        <w:t xml:space="preserve"> the more narrow </w:t>
      </w:r>
      <w:r w:rsidRPr="0004545B" w:rsidR="002253A1">
        <w:t>compound interest limitatio</w:t>
      </w:r>
      <w:r w:rsidRPr="0004545B" w:rsidR="00BD0EC3">
        <w:t>n</w:t>
      </w:r>
      <w:r w:rsidRPr="0004545B" w:rsidR="002253A1">
        <w:t>.</w:t>
      </w:r>
      <w:r>
        <w:t xml:space="preserve">  For example, </w:t>
      </w:r>
      <w:r w:rsidRPr="0004545B">
        <w:t xml:space="preserve">the Legislature could expressly allow an exempt lender to charge compound interest if that term is disclosed in an unsigned writing, rather than requiring signed consent to that particular term.  But that </w:t>
      </w:r>
      <w:r w:rsidRPr="0004545B" w:rsidR="00BD0EC3">
        <w:t>approach to regulating lender compensation would be inconsistent with a rigid and continued</w:t>
      </w:r>
      <w:r w:rsidRPr="0004545B">
        <w:t xml:space="preserve"> application of the compound interest limitation.</w:t>
      </w:r>
    </w:p>
    <w:p w:rsidR="001C313B" w:rsidP="0004545B">
      <w:pPr>
        <w:tabs>
          <w:tab w:val="left" w:pos="1440"/>
        </w:tabs>
        <w:ind w:firstLine="720"/>
      </w:pPr>
      <w:r w:rsidRPr="0004545B">
        <w:t xml:space="preserve">Wishnev argues that the compound interest limitation can be harmonized with the legislative authority granted under article XV.  He describes the compound interest limitation as simply imposing a “procedural threshold of disclosure and consent before a particular loan agreement will be deemed to allow compounding of interest . . . .”  </w:t>
      </w:r>
      <w:r w:rsidR="00572BDF">
        <w:t xml:space="preserve">In effect, </w:t>
      </w:r>
      <w:r w:rsidR="0018508A">
        <w:t xml:space="preserve">he </w:t>
      </w:r>
      <w:r w:rsidR="004D58AB">
        <w:t>portrays</w:t>
      </w:r>
      <w:r w:rsidR="0018508A">
        <w:t xml:space="preserve"> the compound interest limitation as a regulation of the </w:t>
      </w:r>
      <w:r w:rsidRPr="0033118E" w:rsidR="0018508A">
        <w:rPr>
          <w:i/>
        </w:rPr>
        <w:t>agreement</w:t>
      </w:r>
      <w:r w:rsidR="0018508A">
        <w:t xml:space="preserve"> in which certain loan charges may be imposed instead of a regulation of the </w:t>
      </w:r>
      <w:r w:rsidRPr="0033118E" w:rsidR="0018508A">
        <w:rPr>
          <w:i/>
        </w:rPr>
        <w:t>charges</w:t>
      </w:r>
      <w:r w:rsidR="0018508A">
        <w:t xml:space="preserve"> themselves.</w:t>
      </w:r>
    </w:p>
    <w:p w:rsidR="000B0D80" w:rsidP="0004545B">
      <w:pPr>
        <w:tabs>
          <w:tab w:val="left" w:pos="1440"/>
        </w:tabs>
        <w:ind w:firstLine="720"/>
      </w:pPr>
      <w:r w:rsidRPr="0004545B">
        <w:t>Wishnev</w:t>
      </w:r>
      <w:r w:rsidR="00D5351C">
        <w:t xml:space="preserve"> </w:t>
      </w:r>
      <w:r w:rsidR="00FC685C">
        <w:t>mischaracterizes the limitation.</w:t>
      </w:r>
      <w:r w:rsidRPr="0004545B">
        <w:t xml:space="preserve"> </w:t>
      </w:r>
      <w:r w:rsidR="00FC685C">
        <w:t xml:space="preserve"> </w:t>
      </w:r>
      <w:r w:rsidR="00ED2FF1">
        <w:t>Whether considered</w:t>
      </w:r>
      <w:r w:rsidR="004D58AB">
        <w:t xml:space="preserve"> procedural or substantive, </w:t>
      </w:r>
      <w:r w:rsidR="00C9082C">
        <w:t>the limitation</w:t>
      </w:r>
      <w:r w:rsidRPr="0004545B" w:rsidR="002C3D79">
        <w:t xml:space="preserve"> </w:t>
      </w:r>
      <w:r w:rsidR="00ED2FF1">
        <w:t>bans</w:t>
      </w:r>
      <w:r w:rsidRPr="0004545B" w:rsidR="002C3D79">
        <w:t xml:space="preserve"> compounding of interest in the absence of written </w:t>
      </w:r>
      <w:r w:rsidRPr="0004545B" w:rsidR="001A5702">
        <w:t xml:space="preserve">notice </w:t>
      </w:r>
      <w:r w:rsidRPr="0004545B" w:rsidR="002C3D79">
        <w:t xml:space="preserve">and signed agreement.  In other words, the 1918 initiative </w:t>
      </w:r>
      <w:r w:rsidRPr="0004545B">
        <w:t xml:space="preserve">prohibits </w:t>
      </w:r>
      <w:r w:rsidRPr="0004545B" w:rsidR="002C3D79">
        <w:t>charging</w:t>
      </w:r>
      <w:r w:rsidRPr="0004545B">
        <w:t xml:space="preserve"> compound interest unless the </w:t>
      </w:r>
      <w:r w:rsidRPr="0004545B" w:rsidR="002C3D79">
        <w:t>limitation is satisfied</w:t>
      </w:r>
      <w:r w:rsidRPr="0004545B">
        <w:t xml:space="preserve">.  </w:t>
      </w:r>
      <w:r w:rsidR="00ED2FF1">
        <w:t>A lender that fails to comply with the limitation is not authorized to impose the compounding of inte</w:t>
      </w:r>
      <w:r w:rsidR="005E1620">
        <w:t>rest at all and faces significant penalties if it does so.  T</w:t>
      </w:r>
      <w:r w:rsidRPr="0004545B">
        <w:t xml:space="preserve">he compound interest limitation necessarily restricts legislative authority to specify when compounding is permitted.  </w:t>
      </w:r>
    </w:p>
    <w:p w:rsidR="00314497" w:rsidP="0004545B">
      <w:pPr>
        <w:tabs>
          <w:tab w:val="left" w:pos="1440"/>
        </w:tabs>
        <w:ind w:firstLine="720"/>
      </w:pPr>
      <w:r w:rsidRPr="0004545B">
        <w:t>Because of th</w:t>
      </w:r>
      <w:r w:rsidR="00342365">
        <w:t>e</w:t>
      </w:r>
      <w:r w:rsidRPr="0004545B">
        <w:t xml:space="preserve"> irreconcilable conflic</w:t>
      </w:r>
      <w:r w:rsidR="00CF4291">
        <w:t>t</w:t>
      </w:r>
      <w:r w:rsidR="00CC291B">
        <w:t xml:space="preserve"> between the </w:t>
      </w:r>
      <w:r w:rsidR="005E1620">
        <w:t xml:space="preserve">focused </w:t>
      </w:r>
      <w:r w:rsidR="00CC291B">
        <w:t xml:space="preserve">compound interest limitation and the </w:t>
      </w:r>
      <w:r w:rsidR="005E1620">
        <w:t xml:space="preserve">broad </w:t>
      </w:r>
      <w:r w:rsidR="00CC291B">
        <w:t xml:space="preserve">authority granted to the Legislature under the 1934 amendment, one </w:t>
      </w:r>
      <w:r w:rsidR="00EB1CFC">
        <w:t>might</w:t>
      </w:r>
      <w:r w:rsidR="00CC291B">
        <w:t xml:space="preserve"> conclude that t</w:t>
      </w:r>
      <w:r w:rsidRPr="0004545B">
        <w:t>he amendment now found in article XV impliedly repealed the limitation as to exempt lenders.</w:t>
      </w:r>
      <w:r w:rsidR="008616D5">
        <w:t xml:space="preserve">  </w:t>
      </w:r>
      <w:r w:rsidR="005E1620">
        <w:t xml:space="preserve">Alternatively, </w:t>
      </w:r>
      <w:r w:rsidR="008616D5">
        <w:t>it could be argued that</w:t>
      </w:r>
      <w:r w:rsidR="005E1620">
        <w:t xml:space="preserve"> no actual </w:t>
      </w:r>
      <w:r w:rsidR="00233465">
        <w:t xml:space="preserve">irreconcilable conflict </w:t>
      </w:r>
      <w:r w:rsidR="005E1620">
        <w:t xml:space="preserve">arises </w:t>
      </w:r>
      <w:r w:rsidR="00CC291B">
        <w:t>until the Legislature exercises its authority</w:t>
      </w:r>
      <w:r w:rsidR="00DE7968">
        <w:t xml:space="preserve"> in a manner that creates a conflict.</w:t>
      </w:r>
      <w:r w:rsidR="002E1921">
        <w:t xml:space="preserve">  A corollary of this a</w:t>
      </w:r>
      <w:r w:rsidR="00342365">
        <w:t>rgument</w:t>
      </w:r>
      <w:r w:rsidR="002E1921">
        <w:t xml:space="preserve"> is that </w:t>
      </w:r>
      <w:r w:rsidR="009719CA">
        <w:t>the compound interest limitation remain</w:t>
      </w:r>
      <w:r w:rsidR="00CF7ED0">
        <w:t>s</w:t>
      </w:r>
      <w:r w:rsidR="009719CA">
        <w:t xml:space="preserve"> the default rule</w:t>
      </w:r>
      <w:r w:rsidR="00CF7ED0">
        <w:t xml:space="preserve"> for exempt lenders</w:t>
      </w:r>
      <w:r w:rsidR="009719CA">
        <w:t xml:space="preserve"> until</w:t>
      </w:r>
      <w:r w:rsidR="005D56DB">
        <w:t xml:space="preserve"> </w:t>
      </w:r>
      <w:r w:rsidR="00342365">
        <w:t xml:space="preserve">irreconcilable </w:t>
      </w:r>
      <w:r w:rsidR="005D56DB">
        <w:t>legislation is enacted</w:t>
      </w:r>
      <w:r w:rsidR="00D01B8B">
        <w:t>.</w:t>
      </w:r>
      <w:r w:rsidR="007B40AD">
        <w:t xml:space="preserve">  </w:t>
      </w:r>
      <w:r w:rsidR="00342365">
        <w:t xml:space="preserve">This </w:t>
      </w:r>
      <w:r w:rsidR="00491533">
        <w:t>argument</w:t>
      </w:r>
      <w:r w:rsidR="00342365">
        <w:t xml:space="preserve"> </w:t>
      </w:r>
      <w:r w:rsidR="005E1620">
        <w:t>fails.</w:t>
      </w:r>
    </w:p>
    <w:p w:rsidR="00597D56" w:rsidP="0058004F">
      <w:pPr>
        <w:tabs>
          <w:tab w:val="left" w:pos="1440"/>
        </w:tabs>
        <w:ind w:firstLine="720"/>
      </w:pPr>
      <w:r>
        <w:t>Shortly after the 1934 amendment was enacted, the</w:t>
      </w:r>
      <w:r w:rsidR="00F413DE">
        <w:t xml:space="preserve"> court </w:t>
      </w:r>
      <w:r w:rsidR="00621E14">
        <w:t xml:space="preserve">considered </w:t>
      </w:r>
      <w:r w:rsidR="005E1620">
        <w:t>a similar contention in construing other applications of the amendment unrelated to the compound interest limitation</w:t>
      </w:r>
      <w:r w:rsidR="00F413DE">
        <w:t xml:space="preserve">. </w:t>
      </w:r>
      <w:r w:rsidR="004446ED">
        <w:t xml:space="preserve"> </w:t>
      </w:r>
      <w:r w:rsidR="005E1620">
        <w:t xml:space="preserve">In </w:t>
      </w:r>
      <w:r w:rsidR="00E00713">
        <w:rPr>
          <w:i/>
        </w:rPr>
        <w:t>Matulich v. Marlo Inv</w:t>
      </w:r>
      <w:r w:rsidR="00BF6B5D">
        <w:rPr>
          <w:i/>
        </w:rPr>
        <w:t xml:space="preserve">estment Co. </w:t>
      </w:r>
      <w:r w:rsidR="00BF6B5D">
        <w:t>(1936) 7 Cal.2d 374,</w:t>
      </w:r>
      <w:r w:rsidR="00841DDF">
        <w:t xml:space="preserve"> 376 (</w:t>
      </w:r>
      <w:r w:rsidR="00841DDF">
        <w:rPr>
          <w:i/>
        </w:rPr>
        <w:t>Matulich</w:t>
      </w:r>
      <w:r w:rsidR="00841DDF">
        <w:t>)</w:t>
      </w:r>
      <w:r w:rsidR="005E1620">
        <w:t>, t</w:t>
      </w:r>
      <w:r w:rsidR="00841DDF">
        <w:t>he</w:t>
      </w:r>
      <w:r w:rsidR="005E1620">
        <w:t xml:space="preserve"> borrower</w:t>
      </w:r>
      <w:r w:rsidR="0095640B">
        <w:t xml:space="preserve"> </w:t>
      </w:r>
      <w:r w:rsidR="00841DDF">
        <w:t xml:space="preserve">argued that “until the legislature has acted under the authority given by [the 1934 amendment], no conflict exists between the [1918 initiative] and the Constitution, and therefore the [1918 initiative] is still applicable.” </w:t>
      </w:r>
      <w:r w:rsidR="00A65F8A">
        <w:t xml:space="preserve"> </w:t>
      </w:r>
      <w:r w:rsidR="005E1620">
        <w:t>The argument was rejected:</w:t>
      </w:r>
      <w:r w:rsidR="00AF0D04">
        <w:t xml:space="preserve"> </w:t>
      </w:r>
      <w:r w:rsidR="005E1620">
        <w:t xml:space="preserve"> </w:t>
      </w:r>
      <w:r w:rsidR="00AF0D04">
        <w:t xml:space="preserve">“We are not able to see the force of this contention.  There is nothing in this section of the Constitution which would intimate that the general restrictions placed upon all lenders of money by the provisions of the [1918 initiative] were to remain in force until the legislature had acted under the power given in said section.  </w:t>
      </w:r>
      <w:r>
        <w:t xml:space="preserve">. . .  In order to accept appellant’s construction of said section of the Constitution, it would be necessary for the court to read into the section a provision not to be found therein, and which </w:t>
      </w:r>
      <w:r w:rsidR="00DB363F">
        <w:t xml:space="preserve">it </w:t>
      </w:r>
      <w:r>
        <w:t>is quite eviden</w:t>
      </w:r>
      <w:r w:rsidR="000B4D32">
        <w:t>t</w:t>
      </w:r>
      <w:r>
        <w:t xml:space="preserve"> the framers thereof never intended to include therein.  The court has no such authority.”  (</w:t>
      </w:r>
      <w:r w:rsidR="00DB363F">
        <w:rPr>
          <w:i/>
        </w:rPr>
        <w:t>Ibid</w:t>
      </w:r>
      <w:r w:rsidRPr="00BA2CF0">
        <w:rPr>
          <w:i/>
        </w:rPr>
        <w:t>.</w:t>
      </w:r>
      <w:r>
        <w:t>)</w:t>
      </w:r>
    </w:p>
    <w:p w:rsidR="00803A42" w:rsidP="00B00A50">
      <w:pPr>
        <w:tabs>
          <w:tab w:val="left" w:pos="1440"/>
        </w:tabs>
        <w:ind w:firstLine="720"/>
      </w:pPr>
      <w:r>
        <w:t xml:space="preserve"> </w:t>
      </w:r>
      <w:r w:rsidR="007A561B">
        <w:rPr>
          <w:i/>
        </w:rPr>
        <w:t xml:space="preserve">Matulich’s </w:t>
      </w:r>
      <w:r w:rsidR="007A561B">
        <w:t>holding has been consistently applied.</w:t>
      </w:r>
      <w:r w:rsidR="006D77D7">
        <w:t xml:space="preserve"> </w:t>
      </w:r>
      <w:r w:rsidR="007A561B">
        <w:t xml:space="preserve"> </w:t>
      </w:r>
      <w:r w:rsidR="00592ED3">
        <w:rPr>
          <w:i/>
        </w:rPr>
        <w:t xml:space="preserve">Wolf v. Pacific Southwest </w:t>
      </w:r>
      <w:r w:rsidR="00DB363F">
        <w:rPr>
          <w:i/>
        </w:rPr>
        <w:t>Etc.</w:t>
      </w:r>
      <w:r w:rsidR="00592ED3">
        <w:rPr>
          <w:i/>
        </w:rPr>
        <w:t xml:space="preserve"> Corp. </w:t>
      </w:r>
      <w:r w:rsidR="00592ED3">
        <w:t>(1937) 10 Cal.2d 183</w:t>
      </w:r>
      <w:r w:rsidR="00BF74A1">
        <w:t xml:space="preserve"> </w:t>
      </w:r>
      <w:r w:rsidR="00BE3EDC">
        <w:t>addressed whether a</w:t>
      </w:r>
      <w:r w:rsidR="00B00A50">
        <w:t xml:space="preserve">n </w:t>
      </w:r>
      <w:r w:rsidR="00BE3EDC">
        <w:t xml:space="preserve">exempt lender remained bound </w:t>
      </w:r>
      <w:r w:rsidR="00B00A50">
        <w:t xml:space="preserve">to comply with </w:t>
      </w:r>
      <w:r w:rsidR="00BE3EDC">
        <w:t xml:space="preserve">the 1918 initiative’s interest rate cap until the Legislature exercised its authority over that </w:t>
      </w:r>
      <w:r w:rsidR="00B00A50">
        <w:t>class of</w:t>
      </w:r>
      <w:r w:rsidR="00BE3EDC">
        <w:t xml:space="preserve"> lender</w:t>
      </w:r>
      <w:r w:rsidR="00B00A50">
        <w:t xml:space="preserve"> under the 1934 amendment</w:t>
      </w:r>
      <w:r w:rsidR="00BE3EDC">
        <w:t xml:space="preserve">.  The court </w:t>
      </w:r>
      <w:r w:rsidR="00B00A50">
        <w:t xml:space="preserve">concluded that, </w:t>
      </w:r>
      <w:r w:rsidR="00E22270">
        <w:t xml:space="preserve">if the Legislature </w:t>
      </w:r>
      <w:r w:rsidR="00BF74A1">
        <w:t>had</w:t>
      </w:r>
      <w:r w:rsidR="00E22270">
        <w:t xml:space="preserve"> not exercise</w:t>
      </w:r>
      <w:r w:rsidR="00BF74A1">
        <w:t>d</w:t>
      </w:r>
      <w:r w:rsidR="00E22270">
        <w:t xml:space="preserve"> its authority over a particular exempt lender, </w:t>
      </w:r>
      <w:r w:rsidR="00BF74A1">
        <w:t>t</w:t>
      </w:r>
      <w:r w:rsidR="006920F7">
        <w:t>here was no</w:t>
      </w:r>
      <w:r w:rsidR="009D1402">
        <w:t xml:space="preserve"> statutory or constitutional </w:t>
      </w:r>
      <w:r w:rsidR="006920F7">
        <w:t>law limiting the amount of interest th</w:t>
      </w:r>
      <w:r w:rsidR="00391D4E">
        <w:t>e</w:t>
      </w:r>
      <w:r w:rsidR="006920F7">
        <w:t xml:space="preserve">  lender might receive.  </w:t>
      </w:r>
      <w:r w:rsidR="00B00A50">
        <w:t>(</w:t>
      </w:r>
      <w:r w:rsidR="00B00A50">
        <w:rPr>
          <w:i/>
        </w:rPr>
        <w:t xml:space="preserve">Wolf v. Pacific Southwest </w:t>
      </w:r>
      <w:r w:rsidR="00DB363F">
        <w:rPr>
          <w:i/>
        </w:rPr>
        <w:t>Etc.</w:t>
      </w:r>
      <w:r w:rsidR="00B00A50">
        <w:rPr>
          <w:i/>
        </w:rPr>
        <w:t xml:space="preserve"> Corp.</w:t>
      </w:r>
      <w:r w:rsidRPr="00BA2CF0" w:rsidR="00B00A50">
        <w:t xml:space="preserve">, </w:t>
      </w:r>
      <w:r w:rsidR="00B00A50">
        <w:t xml:space="preserve">at p. 184.)  </w:t>
      </w:r>
      <w:r w:rsidR="006920F7">
        <w:t xml:space="preserve">Likewise, </w:t>
      </w:r>
      <w:r w:rsidR="00391D4E">
        <w:t xml:space="preserve">in </w:t>
      </w:r>
      <w:r w:rsidR="00933ED4">
        <w:rPr>
          <w:i/>
        </w:rPr>
        <w:t>Carter</w:t>
      </w:r>
      <w:r w:rsidRPr="00BA2CF0" w:rsidR="00933ED4">
        <w:t>,</w:t>
      </w:r>
      <w:r w:rsidR="00933ED4">
        <w:rPr>
          <w:i/>
        </w:rPr>
        <w:t xml:space="preserve"> supra</w:t>
      </w:r>
      <w:r w:rsidRPr="00BA2CF0" w:rsidR="00933ED4">
        <w:t>,</w:t>
      </w:r>
      <w:r w:rsidR="00933ED4">
        <w:rPr>
          <w:i/>
        </w:rPr>
        <w:t xml:space="preserve"> </w:t>
      </w:r>
      <w:r w:rsidR="00933ED4">
        <w:t xml:space="preserve">33 Cal.2d at page 582, the court </w:t>
      </w:r>
      <w:r w:rsidR="0046726F">
        <w:t xml:space="preserve">declared that “until the Legislature exercises the power granted to it by the amendment to regulate the business of lenders in a manner appropriate to each exempted class, the class not so governed by legislation is subject to </w:t>
      </w:r>
      <w:r w:rsidRPr="0046726F" w:rsidR="0046726F">
        <w:t>no restriction</w:t>
      </w:r>
      <w:r w:rsidR="0046726F">
        <w:rPr>
          <w:i/>
        </w:rPr>
        <w:t xml:space="preserve"> </w:t>
      </w:r>
      <w:r w:rsidR="0046726F">
        <w:t>on interest rates or charges.</w:t>
      </w:r>
      <w:r w:rsidR="00F413DE">
        <w:t>”</w:t>
      </w:r>
      <w:r w:rsidR="0046726F">
        <w:t xml:space="preserve">  (Accord, </w:t>
      </w:r>
      <w:r w:rsidR="00391D4E">
        <w:rPr>
          <w:i/>
        </w:rPr>
        <w:t xml:space="preserve">West Pico Furniture Co. v. Pacific Finance Loans </w:t>
      </w:r>
      <w:r w:rsidR="00391D4E">
        <w:t>(1970) 2 Cal.3d 594, 614</w:t>
      </w:r>
      <w:r w:rsidR="0046726F">
        <w:t>.)</w:t>
      </w:r>
      <w:r w:rsidR="00EB1CFC">
        <w:t xml:space="preserve">  </w:t>
      </w:r>
    </w:p>
    <w:p w:rsidR="00B06A32" w:rsidRPr="0004545B" w:rsidP="0058487F">
      <w:pPr>
        <w:tabs>
          <w:tab w:val="left" w:pos="1440"/>
        </w:tabs>
        <w:ind w:firstLine="720"/>
      </w:pPr>
      <w:r>
        <w:t>Th</w:t>
      </w:r>
      <w:r w:rsidR="00875E5E">
        <w:t xml:space="preserve">e analysis </w:t>
      </w:r>
      <w:r w:rsidR="00E52B49">
        <w:t xml:space="preserve">applies equally to </w:t>
      </w:r>
      <w:r w:rsidR="007C78EA">
        <w:t xml:space="preserve">the compound interest limitation, which is </w:t>
      </w:r>
      <w:r w:rsidR="001507CE">
        <w:t xml:space="preserve">one of the “general restrictions” upon lenders </w:t>
      </w:r>
      <w:r w:rsidR="007C78EA">
        <w:t>contained in the 1918 initiative.</w:t>
      </w:r>
      <w:r w:rsidR="001507CE">
        <w:t xml:space="preserve">  (</w:t>
      </w:r>
      <w:r w:rsidR="001507CE">
        <w:rPr>
          <w:i/>
        </w:rPr>
        <w:t>Matulich</w:t>
      </w:r>
      <w:r w:rsidRPr="00BA2CF0" w:rsidR="001507CE">
        <w:t>,</w:t>
      </w:r>
      <w:r w:rsidR="001507CE">
        <w:rPr>
          <w:i/>
        </w:rPr>
        <w:t xml:space="preserve"> supra</w:t>
      </w:r>
      <w:r w:rsidRPr="00BA2CF0" w:rsidR="001507CE">
        <w:t xml:space="preserve">, </w:t>
      </w:r>
      <w:r w:rsidR="001507CE">
        <w:t xml:space="preserve">7 Cal.2d at p. 376.)  </w:t>
      </w:r>
      <w:r w:rsidR="007C78EA">
        <w:t xml:space="preserve">  </w:t>
      </w:r>
      <w:r w:rsidR="005557D5">
        <w:t>Moreover</w:t>
      </w:r>
      <w:r w:rsidR="000A27B9">
        <w:t>, because voters are presumed to be aware of existing laws and their judicial construction (</w:t>
      </w:r>
      <w:r w:rsidR="000A27B9">
        <w:rPr>
          <w:i/>
        </w:rPr>
        <w:t>In re Lance W.</w:t>
      </w:r>
      <w:r w:rsidRPr="00BA2CF0" w:rsidR="000A27B9">
        <w:t>,</w:t>
      </w:r>
      <w:r w:rsidR="000A27B9">
        <w:rPr>
          <w:i/>
        </w:rPr>
        <w:t xml:space="preserve"> supra</w:t>
      </w:r>
      <w:r w:rsidRPr="00BA2CF0" w:rsidR="000A27B9">
        <w:t xml:space="preserve">, </w:t>
      </w:r>
      <w:r w:rsidR="000A27B9">
        <w:t xml:space="preserve">37 Cal.3d at p. 890, fn. 11), it must be presumed </w:t>
      </w:r>
      <w:r w:rsidR="00B13B6D">
        <w:t>they</w:t>
      </w:r>
      <w:r w:rsidR="000A27B9">
        <w:t xml:space="preserve"> were aware </w:t>
      </w:r>
      <w:r w:rsidR="000668F8">
        <w:t>that</w:t>
      </w:r>
      <w:r w:rsidR="00B13B6D">
        <w:t>,</w:t>
      </w:r>
      <w:r w:rsidR="000668F8">
        <w:t xml:space="preserve"> by </w:t>
      </w:r>
      <w:r w:rsidR="00456B20">
        <w:t xml:space="preserve">amending the </w:t>
      </w:r>
      <w:r w:rsidR="00BA2CF0">
        <w:t>C</w:t>
      </w:r>
      <w:r w:rsidR="00456B20">
        <w:t>onstitution</w:t>
      </w:r>
      <w:r w:rsidR="00B13B6D">
        <w:t xml:space="preserve"> in 1979</w:t>
      </w:r>
      <w:r w:rsidR="00456B20">
        <w:t xml:space="preserve"> to allow the Legislature </w:t>
      </w:r>
      <w:r w:rsidR="000668F8">
        <w:t>to designate additional classes of exempt lende</w:t>
      </w:r>
      <w:r w:rsidR="00456B20">
        <w:t>rs</w:t>
      </w:r>
      <w:r w:rsidR="00B13B6D">
        <w:t>,</w:t>
      </w:r>
      <w:r w:rsidR="00456B20">
        <w:t xml:space="preserve"> lenders </w:t>
      </w:r>
      <w:r w:rsidR="0056135E">
        <w:t xml:space="preserve">so </w:t>
      </w:r>
      <w:r w:rsidR="00B13B6D">
        <w:t>designated</w:t>
      </w:r>
      <w:r w:rsidR="0056135E">
        <w:t xml:space="preserve"> </w:t>
      </w:r>
      <w:r w:rsidR="00456B20">
        <w:t xml:space="preserve">would be relieved of the </w:t>
      </w:r>
      <w:r w:rsidR="00B13B6D">
        <w:t>restrictions contained in the 1918 initiative</w:t>
      </w:r>
      <w:r w:rsidR="00835D31">
        <w:t>, including the compound interest limitation</w:t>
      </w:r>
      <w:r w:rsidR="00B13B6D">
        <w:t xml:space="preserve">.  The Legislature was likewise presumptively aware of this settled law in 1981, when </w:t>
      </w:r>
      <w:r w:rsidR="00DB2E13">
        <w:t xml:space="preserve">it </w:t>
      </w:r>
      <w:r w:rsidR="00DD3F75">
        <w:t xml:space="preserve">enacted Insurance Code section 1100.1 and </w:t>
      </w:r>
      <w:r w:rsidR="00B13B6D">
        <w:t xml:space="preserve">designated insurers like Northwestern Mutual as exempt for the first time.  (See </w:t>
      </w:r>
      <w:r w:rsidR="00B13B6D">
        <w:rPr>
          <w:i/>
        </w:rPr>
        <w:t xml:space="preserve">People v. Giordano </w:t>
      </w:r>
      <w:r w:rsidR="00B13B6D">
        <w:t>(2007) 42 Cal.4th 644, 659.)</w:t>
      </w:r>
      <w:r w:rsidR="007457BF">
        <w:t xml:space="preserve">  </w:t>
      </w:r>
    </w:p>
    <w:p w:rsidR="007D550B" w:rsidP="0004545B">
      <w:pPr>
        <w:tabs>
          <w:tab w:val="left" w:pos="1440"/>
        </w:tabs>
        <w:ind w:firstLine="720"/>
      </w:pPr>
      <w:r w:rsidRPr="0004545B">
        <w:t>Th</w:t>
      </w:r>
      <w:r w:rsidR="00B00A50">
        <w:t xml:space="preserve">is </w:t>
      </w:r>
      <w:r w:rsidRPr="0004545B">
        <w:t xml:space="preserve">conclusion </w:t>
      </w:r>
      <w:r w:rsidR="00B00A50">
        <w:t>is consistent with</w:t>
      </w:r>
      <w:r w:rsidRPr="0004545B">
        <w:t xml:space="preserve"> the argument presented to </w:t>
      </w:r>
      <w:r w:rsidRPr="0004545B" w:rsidR="001A5702">
        <w:t>v</w:t>
      </w:r>
      <w:r w:rsidRPr="0004545B">
        <w:t>oters</w:t>
      </w:r>
      <w:r w:rsidR="00B00A50">
        <w:t xml:space="preserve">, which </w:t>
      </w:r>
      <w:r w:rsidRPr="0004545B">
        <w:t>declared that the 1918 initiative’s attempt to uniformly regulate all lenders “failed miserably</w:t>
      </w:r>
      <w:r w:rsidRPr="0004545B" w:rsidR="00617681">
        <w:t>.</w:t>
      </w:r>
      <w:r w:rsidRPr="0004545B">
        <w:t>”  (</w:t>
      </w:r>
      <w:r w:rsidR="00BA2CF0">
        <w:t>Ballot Pamp.</w:t>
      </w:r>
      <w:r w:rsidRPr="0004545B" w:rsidR="007B5186">
        <w:t xml:space="preserve">, </w:t>
      </w:r>
      <w:r w:rsidRPr="0004545B" w:rsidR="007B5186">
        <w:rPr>
          <w:i/>
        </w:rPr>
        <w:t>supra</w:t>
      </w:r>
      <w:r w:rsidRPr="0004545B" w:rsidR="007B5186">
        <w:t>, a</w:t>
      </w:r>
      <w:r w:rsidRPr="0004545B">
        <w:t>rgument in favor of Asse</w:t>
      </w:r>
      <w:r w:rsidRPr="0004545B" w:rsidR="007B5186">
        <w:t>m.</w:t>
      </w:r>
      <w:r w:rsidRPr="0004545B">
        <w:t xml:space="preserve"> Const</w:t>
      </w:r>
      <w:r w:rsidRPr="0004545B" w:rsidR="007B5186">
        <w:t>.</w:t>
      </w:r>
      <w:r w:rsidRPr="0004545B">
        <w:t xml:space="preserve"> Amend</w:t>
      </w:r>
      <w:r w:rsidRPr="0004545B" w:rsidR="007B5186">
        <w:t>.</w:t>
      </w:r>
      <w:r w:rsidRPr="0004545B">
        <w:t xml:space="preserve"> No. 79</w:t>
      </w:r>
      <w:r w:rsidRPr="0004545B" w:rsidR="007B5186">
        <w:t>, p.</w:t>
      </w:r>
      <w:r w:rsidR="00E9296F">
        <w:t> </w:t>
      </w:r>
      <w:r w:rsidRPr="0004545B" w:rsidR="007B5186">
        <w:t>19</w:t>
      </w:r>
      <w:r w:rsidRPr="0004545B">
        <w:t>.)  “[I]t was the purpose of the constitutional amendment of 1934 to free the Legislature from the restraints imposed by inflexible usury provisions so that interest and charges more appropriate to business conditions peculiar to each of the exempted classes could be established.”  (</w:t>
      </w:r>
      <w:r w:rsidRPr="0004545B">
        <w:rPr>
          <w:i/>
        </w:rPr>
        <w:t>Carter</w:t>
      </w:r>
      <w:r w:rsidRPr="00BA2CF0">
        <w:t xml:space="preserve">, </w:t>
      </w:r>
      <w:r w:rsidRPr="0004545B">
        <w:rPr>
          <w:i/>
        </w:rPr>
        <w:t>supra</w:t>
      </w:r>
      <w:r w:rsidRPr="00BA2CF0">
        <w:t xml:space="preserve">, </w:t>
      </w:r>
      <w:r w:rsidRPr="0004545B">
        <w:t>33 Cal.</w:t>
      </w:r>
      <w:r w:rsidRPr="0004545B" w:rsidR="007B5186">
        <w:t>2</w:t>
      </w:r>
      <w:r w:rsidRPr="0004545B">
        <w:t xml:space="preserve">d at p. 582.)  </w:t>
      </w:r>
      <w:r w:rsidRPr="0004545B" w:rsidR="00F41DA3">
        <w:t xml:space="preserve">The compound interest limitation </w:t>
      </w:r>
      <w:r w:rsidRPr="0004545B" w:rsidR="0064093E">
        <w:t>was</w:t>
      </w:r>
      <w:r w:rsidRPr="0004545B" w:rsidR="00F41DA3">
        <w:t xml:space="preserve"> one </w:t>
      </w:r>
      <w:r w:rsidRPr="0004545B" w:rsidR="00F02265">
        <w:t xml:space="preserve">such </w:t>
      </w:r>
      <w:r w:rsidRPr="0004545B" w:rsidR="00F41DA3">
        <w:t>inflexible</w:t>
      </w:r>
      <w:r w:rsidRPr="0004545B" w:rsidR="00EA282C">
        <w:t xml:space="preserve"> restraint</w:t>
      </w:r>
      <w:r w:rsidRPr="0004545B" w:rsidR="00F02265">
        <w:t xml:space="preserve"> the 1918 initiative </w:t>
      </w:r>
      <w:r w:rsidRPr="0004545B" w:rsidR="00F41DA3">
        <w:t>applied uniformly to all lenders.</w:t>
      </w:r>
    </w:p>
    <w:p w:rsidR="00EB1CFC" w:rsidP="00EB1CFC">
      <w:pPr>
        <w:tabs>
          <w:tab w:val="left" w:pos="1440"/>
        </w:tabs>
        <w:ind w:firstLine="720"/>
      </w:pPr>
      <w:r>
        <w:t>T</w:t>
      </w:r>
      <w:r w:rsidRPr="0004545B">
        <w:t xml:space="preserve">his court has repeatedly expressed in broad terms </w:t>
      </w:r>
      <w:r>
        <w:t>that designating lenders as exempt under the 1934 amendment also “</w:t>
      </w:r>
      <w:r w:rsidRPr="0004545B">
        <w:t>operates to exempt those classes from the restrictions in the [1918 initiative].”  (</w:t>
      </w:r>
      <w:r w:rsidRPr="0004545B">
        <w:rPr>
          <w:i/>
        </w:rPr>
        <w:t>Heald v. Friis-Hansen</w:t>
      </w:r>
      <w:r w:rsidRPr="009423EA">
        <w:t xml:space="preserve">, </w:t>
      </w:r>
      <w:r>
        <w:rPr>
          <w:i/>
        </w:rPr>
        <w:t>supra</w:t>
      </w:r>
      <w:r w:rsidRPr="009423EA">
        <w:t xml:space="preserve">, </w:t>
      </w:r>
      <w:r w:rsidRPr="0004545B">
        <w:t xml:space="preserve">52 Cal.2d </w:t>
      </w:r>
      <w:r>
        <w:t>at p. </w:t>
      </w:r>
      <w:r w:rsidRPr="0004545B">
        <w:t>838</w:t>
      </w:r>
      <w:r>
        <w:t xml:space="preserve">; </w:t>
      </w:r>
      <w:r w:rsidRPr="0004545B">
        <w:t xml:space="preserve">accord, </w:t>
      </w:r>
      <w:r>
        <w:rPr>
          <w:i/>
        </w:rPr>
        <w:t>Matulich</w:t>
      </w:r>
      <w:r w:rsidRPr="009423EA">
        <w:t xml:space="preserve">, </w:t>
      </w:r>
      <w:r>
        <w:rPr>
          <w:i/>
        </w:rPr>
        <w:t>supra</w:t>
      </w:r>
      <w:r w:rsidRPr="009423EA">
        <w:t xml:space="preserve">, </w:t>
      </w:r>
      <w:r>
        <w:t xml:space="preserve">7 Cal.2d at pp. 376–377; </w:t>
      </w:r>
      <w:r>
        <w:rPr>
          <w:i/>
        </w:rPr>
        <w:t xml:space="preserve">Wolf v. Pacific Southwest </w:t>
      </w:r>
      <w:r w:rsidR="00DB363F">
        <w:rPr>
          <w:i/>
        </w:rPr>
        <w:t>Etc.</w:t>
      </w:r>
      <w:r>
        <w:rPr>
          <w:i/>
        </w:rPr>
        <w:t xml:space="preserve"> Corp.</w:t>
      </w:r>
      <w:r w:rsidRPr="009423EA">
        <w:t xml:space="preserve">, </w:t>
      </w:r>
      <w:r>
        <w:rPr>
          <w:i/>
        </w:rPr>
        <w:t>supra</w:t>
      </w:r>
      <w:r w:rsidRPr="009423EA">
        <w:t xml:space="preserve">, </w:t>
      </w:r>
      <w:r>
        <w:t xml:space="preserve">10 Cal.2d at p. 184; </w:t>
      </w:r>
      <w:r>
        <w:rPr>
          <w:i/>
        </w:rPr>
        <w:t>Carter</w:t>
      </w:r>
      <w:r w:rsidRPr="009423EA">
        <w:t xml:space="preserve">, </w:t>
      </w:r>
      <w:r>
        <w:rPr>
          <w:i/>
        </w:rPr>
        <w:t>supra</w:t>
      </w:r>
      <w:r w:rsidRPr="009423EA">
        <w:t>,</w:t>
      </w:r>
      <w:r>
        <w:rPr>
          <w:i/>
        </w:rPr>
        <w:t xml:space="preserve"> </w:t>
      </w:r>
      <w:r>
        <w:t xml:space="preserve">33 Cal.2d at pp. 582–583; </w:t>
      </w:r>
      <w:r w:rsidRPr="0004545B">
        <w:rPr>
          <w:i/>
        </w:rPr>
        <w:t>West Pico Furniture Co. v. Pacific Finance Loans</w:t>
      </w:r>
      <w:r w:rsidRPr="009423EA">
        <w:t xml:space="preserve">, </w:t>
      </w:r>
      <w:r>
        <w:rPr>
          <w:i/>
        </w:rPr>
        <w:t>supra</w:t>
      </w:r>
      <w:r w:rsidRPr="009423EA">
        <w:t xml:space="preserve">, </w:t>
      </w:r>
      <w:r w:rsidRPr="0004545B">
        <w:t xml:space="preserve">2 Cal.3d </w:t>
      </w:r>
      <w:r>
        <w:t>at p. </w:t>
      </w:r>
      <w:r w:rsidRPr="0004545B">
        <w:t>614.)</w:t>
      </w:r>
      <w:r>
        <w:t xml:space="preserve">  </w:t>
      </w:r>
      <w:r w:rsidRPr="0004545B">
        <w:t>Wishnev correctly points out that the compound interest limitation was not at issue in any of the cited cases.  It is, of course, “axiomatic that a decision does not stand for a proposition not considered by the court.”  (</w:t>
      </w:r>
      <w:r w:rsidRPr="0004545B">
        <w:rPr>
          <w:i/>
        </w:rPr>
        <w:t xml:space="preserve">People v. Barker </w:t>
      </w:r>
      <w:r w:rsidRPr="0004545B">
        <w:t xml:space="preserve">(2004) 34 Cal.4th 345, 354.)  </w:t>
      </w:r>
      <w:r>
        <w:t>While the cited cases are not directly on point, their logical foundation assists in discerning electoral intent as to the compound interest limitation’s continued application.</w:t>
      </w:r>
    </w:p>
    <w:p w:rsidR="007405C4" w:rsidRPr="0004545B" w:rsidP="0004545B">
      <w:pPr>
        <w:tabs>
          <w:tab w:val="left" w:pos="1440"/>
        </w:tabs>
        <w:ind w:firstLine="720"/>
      </w:pPr>
      <w:r w:rsidRPr="0004545B">
        <w:t xml:space="preserve">There is little reason to believe voters intended to declare exempt lenders free from </w:t>
      </w:r>
      <w:r w:rsidRPr="0004545B">
        <w:rPr>
          <w:i/>
        </w:rPr>
        <w:t>all</w:t>
      </w:r>
      <w:r w:rsidRPr="0004545B">
        <w:t xml:space="preserve"> of the restrictions of the</w:t>
      </w:r>
      <w:r w:rsidRPr="0004545B" w:rsidR="002212AD">
        <w:t xml:space="preserve"> 1918</w:t>
      </w:r>
      <w:r w:rsidRPr="0004545B">
        <w:t xml:space="preserve"> initiative </w:t>
      </w:r>
      <w:r w:rsidRPr="0004545B">
        <w:rPr>
          <w:i/>
        </w:rPr>
        <w:t xml:space="preserve">except </w:t>
      </w:r>
      <w:r w:rsidRPr="0004545B">
        <w:t>the compound interest limitation.</w:t>
      </w:r>
      <w:r w:rsidRPr="0004545B" w:rsidR="0032738E">
        <w:t xml:space="preserve">  </w:t>
      </w:r>
      <w:r w:rsidRPr="0004545B" w:rsidR="00E168A7">
        <w:t xml:space="preserve">Nevertheless, Wishnev claims that cases discussing the impact of the 1934 amendment support such an outcome. </w:t>
      </w:r>
      <w:r w:rsidR="008B75B5">
        <w:t xml:space="preserve"> L</w:t>
      </w:r>
      <w:r w:rsidRPr="0004545B" w:rsidR="00324FA4">
        <w:t xml:space="preserve">ike the court in </w:t>
      </w:r>
      <w:r w:rsidRPr="0004545B" w:rsidR="00324FA4">
        <w:rPr>
          <w:i/>
        </w:rPr>
        <w:t>Wishnev I</w:t>
      </w:r>
      <w:r w:rsidRPr="009423EA" w:rsidR="00324FA4">
        <w:t xml:space="preserve">, </w:t>
      </w:r>
      <w:r w:rsidRPr="0004545B" w:rsidR="00324FA4">
        <w:rPr>
          <w:i/>
        </w:rPr>
        <w:t>supra</w:t>
      </w:r>
      <w:r w:rsidRPr="009423EA" w:rsidR="00324FA4">
        <w:t xml:space="preserve">, </w:t>
      </w:r>
      <w:r w:rsidRPr="0004545B" w:rsidR="00324FA4">
        <w:t>162</w:t>
      </w:r>
      <w:r w:rsidRPr="0004545B" w:rsidR="007B5186">
        <w:t xml:space="preserve"> </w:t>
      </w:r>
      <w:r w:rsidRPr="0004545B" w:rsidR="00324FA4">
        <w:t>F.Supp.3d at page 945,</w:t>
      </w:r>
      <w:r w:rsidRPr="0004545B" w:rsidR="00324FA4">
        <w:rPr>
          <w:i/>
        </w:rPr>
        <w:t xml:space="preserve"> </w:t>
      </w:r>
      <w:r w:rsidRPr="0004545B" w:rsidR="00324FA4">
        <w:t>h</w:t>
      </w:r>
      <w:r w:rsidRPr="0004545B" w:rsidR="00A53AC2">
        <w:t xml:space="preserve">e places particular reliance on the following passage in </w:t>
      </w:r>
      <w:r w:rsidRPr="0004545B" w:rsidR="00A53AC2">
        <w:rPr>
          <w:i/>
        </w:rPr>
        <w:t>Penziner</w:t>
      </w:r>
      <w:r w:rsidRPr="0004545B" w:rsidR="00A53AC2">
        <w:t>:</w:t>
      </w:r>
      <w:r w:rsidRPr="0004545B" w:rsidR="00C33385">
        <w:t xml:space="preserve"> </w:t>
      </w:r>
      <w:r w:rsidRPr="0004545B" w:rsidR="00A53AC2">
        <w:t xml:space="preserve"> </w:t>
      </w:r>
      <w:r w:rsidRPr="0004545B" w:rsidR="00642CB2">
        <w:t xml:space="preserve">“The amendment does, however, place in the hands of the legislature the power to control </w:t>
      </w:r>
      <w:r w:rsidRPr="0004545B" w:rsidR="00642CB2">
        <w:rPr>
          <w:i/>
        </w:rPr>
        <w:t>certain of the charges</w:t>
      </w:r>
      <w:r w:rsidRPr="0004545B" w:rsidR="00642CB2">
        <w:t xml:space="preserve"> of certain designated classes of lenders.”</w:t>
      </w:r>
      <w:r w:rsidRPr="0004545B" w:rsidR="00A53AC2">
        <w:t xml:space="preserve">  </w:t>
      </w:r>
      <w:r w:rsidRPr="0004545B" w:rsidR="002869D9">
        <w:t>(</w:t>
      </w:r>
      <w:r w:rsidRPr="0004545B" w:rsidR="003F2F3C">
        <w:rPr>
          <w:i/>
        </w:rPr>
        <w:t>Penziner</w:t>
      </w:r>
      <w:r w:rsidRPr="009423EA" w:rsidR="003F2F3C">
        <w:t>,</w:t>
      </w:r>
      <w:r w:rsidRPr="0004545B" w:rsidR="003F2F3C">
        <w:rPr>
          <w:i/>
        </w:rPr>
        <w:t xml:space="preserve"> supra</w:t>
      </w:r>
      <w:r w:rsidRPr="009423EA" w:rsidR="003F2F3C">
        <w:t xml:space="preserve">, </w:t>
      </w:r>
      <w:r w:rsidRPr="0004545B" w:rsidR="003F2F3C">
        <w:t>10 Cal.2d at p. 173, i</w:t>
      </w:r>
      <w:r w:rsidRPr="0004545B" w:rsidR="002869D9">
        <w:t xml:space="preserve">talics added.) </w:t>
      </w:r>
      <w:r w:rsidRPr="0004545B" w:rsidR="003F2F3C">
        <w:t xml:space="preserve"> </w:t>
      </w:r>
      <w:r w:rsidRPr="0004545B" w:rsidR="00203C4A">
        <w:t>He also relies on the following sentence</w:t>
      </w:r>
      <w:r w:rsidRPr="0004545B" w:rsidR="00EB17F1">
        <w:t xml:space="preserve"> from the same decision</w:t>
      </w:r>
      <w:r w:rsidRPr="0004545B" w:rsidR="00203C4A">
        <w:t xml:space="preserve">:  </w:t>
      </w:r>
      <w:r w:rsidRPr="0004545B" w:rsidR="00642CB2">
        <w:t>“All that the constitutional amendment does is to reduce the maximum permissible rate from 12 per cent to 10 per cent per annum; to exempt certain</w:t>
      </w:r>
      <w:r w:rsidRPr="0004545B" w:rsidR="00642CB2">
        <w:rPr>
          <w:i/>
        </w:rPr>
        <w:t xml:space="preserve"> </w:t>
      </w:r>
      <w:r w:rsidRPr="0004545B" w:rsidR="00642CB2">
        <w:t>enumerated classes of lenders from certain</w:t>
      </w:r>
      <w:r w:rsidRPr="0004545B" w:rsidR="00642CB2">
        <w:rPr>
          <w:i/>
        </w:rPr>
        <w:t xml:space="preserve"> </w:t>
      </w:r>
      <w:r w:rsidRPr="0004545B" w:rsidR="00642CB2">
        <w:t xml:space="preserve">of its provisions; and to place in the legislature a </w:t>
      </w:r>
      <w:r w:rsidRPr="0004545B" w:rsidR="00642CB2">
        <w:rPr>
          <w:i/>
        </w:rPr>
        <w:t xml:space="preserve">certain </w:t>
      </w:r>
      <w:r w:rsidRPr="0004545B" w:rsidR="00642CB2">
        <w:t xml:space="preserve">degree of control over the </w:t>
      </w:r>
      <w:r w:rsidRPr="0004545B" w:rsidR="00642CB2">
        <w:rPr>
          <w:i/>
        </w:rPr>
        <w:t>fixing of charges</w:t>
      </w:r>
      <w:r w:rsidRPr="0004545B" w:rsidR="00642CB2">
        <w:t xml:space="preserve"> made by the exempted groups.” </w:t>
      </w:r>
      <w:r w:rsidRPr="0004545B" w:rsidR="00EB17F1">
        <w:t xml:space="preserve"> </w:t>
      </w:r>
      <w:r w:rsidRPr="0004545B" w:rsidR="00203C4A">
        <w:t>(</w:t>
      </w:r>
      <w:r w:rsidRPr="0004545B" w:rsidR="00203C4A">
        <w:rPr>
          <w:i/>
        </w:rPr>
        <w:t>Id.</w:t>
      </w:r>
      <w:r w:rsidRPr="0004545B" w:rsidR="00203C4A">
        <w:t xml:space="preserve"> at p. 17</w:t>
      </w:r>
      <w:r w:rsidRPr="0004545B" w:rsidR="00642CB2">
        <w:t>7</w:t>
      </w:r>
      <w:r w:rsidRPr="0004545B" w:rsidR="00203C4A">
        <w:t>, italics added.)</w:t>
      </w:r>
      <w:r w:rsidRPr="0004545B" w:rsidR="00D70A6D">
        <w:t xml:space="preserve">  Taken together, these passages purportedly </w:t>
      </w:r>
      <w:r w:rsidRPr="0004545B" w:rsidR="00324FA4">
        <w:t xml:space="preserve">demonstrate that the </w:t>
      </w:r>
      <w:r w:rsidRPr="0004545B" w:rsidR="00986AE9">
        <w:t>1934</w:t>
      </w:r>
      <w:r w:rsidRPr="0004545B" w:rsidR="00C33385">
        <w:t xml:space="preserve"> </w:t>
      </w:r>
      <w:r w:rsidRPr="0004545B" w:rsidR="00324FA4">
        <w:t>amendment conferred upon the Legislature authority over</w:t>
      </w:r>
      <w:r w:rsidRPr="0004545B" w:rsidR="002869D9">
        <w:t xml:space="preserve"> only</w:t>
      </w:r>
      <w:r w:rsidRPr="0004545B" w:rsidR="00324FA4">
        <w:t xml:space="preserve"> “certain” of the charges exempt lenders may exact, not all loan-related assessments.</w:t>
      </w:r>
    </w:p>
    <w:p w:rsidR="007F3E75" w:rsidP="007F163E">
      <w:pPr>
        <w:tabs>
          <w:tab w:val="left" w:pos="1440"/>
        </w:tabs>
        <w:ind w:firstLine="720"/>
      </w:pPr>
      <w:r w:rsidRPr="0004545B">
        <w:t>As an initial matter, the admonition that “a decision does not stand for a proposition not considered by the court” applies equally to the authority relied upon by Wishnev.  (</w:t>
      </w:r>
      <w:r w:rsidRPr="0004545B">
        <w:rPr>
          <w:i/>
        </w:rPr>
        <w:t>People v. Barker</w:t>
      </w:r>
      <w:r w:rsidRPr="009423EA">
        <w:t xml:space="preserve">, </w:t>
      </w:r>
      <w:r w:rsidRPr="0004545B">
        <w:rPr>
          <w:i/>
        </w:rPr>
        <w:t>supra</w:t>
      </w:r>
      <w:r w:rsidRPr="009423EA">
        <w:t xml:space="preserve">, </w:t>
      </w:r>
      <w:r w:rsidRPr="0004545B">
        <w:t xml:space="preserve">34 Cal.4th at p. 354.)  </w:t>
      </w:r>
      <w:r w:rsidRPr="0004545B">
        <w:rPr>
          <w:i/>
        </w:rPr>
        <w:t xml:space="preserve">Penziner </w:t>
      </w:r>
      <w:r w:rsidRPr="0004545B">
        <w:t xml:space="preserve">did not consider the compound interest limitation or even involve an exempt lender.  Moreover, </w:t>
      </w:r>
      <w:r w:rsidRPr="0004545B" w:rsidR="00820DB5">
        <w:t xml:space="preserve">it is unremarkable that </w:t>
      </w:r>
      <w:r w:rsidRPr="0004545B" w:rsidR="002B5D51">
        <w:rPr>
          <w:i/>
        </w:rPr>
        <w:t xml:space="preserve">Penziner </w:t>
      </w:r>
      <w:r w:rsidRPr="0004545B" w:rsidR="002B5D51">
        <w:t xml:space="preserve">would characterize the </w:t>
      </w:r>
      <w:r w:rsidRPr="0004545B" w:rsidR="00BB6F53">
        <w:t>1934</w:t>
      </w:r>
      <w:r w:rsidRPr="0004545B" w:rsidR="002B5D51">
        <w:t xml:space="preserve"> amendment as conferring authority on the Legislature to regulate “certain” rather than “all” charges imposed by exempt lenders.  </w:t>
      </w:r>
      <w:r w:rsidRPr="0004545B" w:rsidR="009B66FE">
        <w:t xml:space="preserve">By its plain terms, </w:t>
      </w:r>
      <w:r w:rsidRPr="0004545B" w:rsidR="00F1480C">
        <w:t xml:space="preserve">the legislative authority to regulate exempt lenders under </w:t>
      </w:r>
      <w:r w:rsidRPr="0004545B" w:rsidR="009B66FE">
        <w:t>article XV</w:t>
      </w:r>
      <w:r w:rsidRPr="0004545B" w:rsidR="002B5D51">
        <w:t xml:space="preserve"> </w:t>
      </w:r>
      <w:r w:rsidRPr="0004545B" w:rsidR="00F1480C">
        <w:t xml:space="preserve">does not extend to all </w:t>
      </w:r>
      <w:r w:rsidRPr="0004545B" w:rsidR="007215BD">
        <w:t xml:space="preserve">charges </w:t>
      </w:r>
      <w:r w:rsidRPr="0004545B" w:rsidR="00F1480C">
        <w:t xml:space="preserve">that may be loan-related.  </w:t>
      </w:r>
      <w:r w:rsidRPr="0004545B" w:rsidR="00D863D2">
        <w:t>I</w:t>
      </w:r>
      <w:r w:rsidRPr="0004545B" w:rsidR="00F1480C">
        <w:t>nstead, that authority is limited to “</w:t>
      </w:r>
      <w:r w:rsidRPr="0004545B" w:rsidR="00D863D2">
        <w:t>fees, bonuses, commissions, discounts or other compensation” that a lender may charge in connection with a loan.  (Art. XV.)</w:t>
      </w:r>
      <w:r w:rsidRPr="0004545B" w:rsidR="00F1480C">
        <w:t xml:space="preserve">  </w:t>
      </w:r>
      <w:r w:rsidR="00B00A50">
        <w:t>Not all charges that may be imposed by a lender necessarily fall within the definition of “other compensation.”  It has long been held that “ ‘compensation’ ” paid to a lender for use of money is distinct from third-party charges or expense items that a borrower might pay to the lender, such as appraisal fees, recording fees, and insurance.  (</w:t>
      </w:r>
      <w:r w:rsidR="00B00A50">
        <w:rPr>
          <w:i/>
        </w:rPr>
        <w:t>In re Fuller</w:t>
      </w:r>
      <w:r w:rsidRPr="009423EA" w:rsidR="00B00A50">
        <w:t>,</w:t>
      </w:r>
      <w:r w:rsidR="00B00A50">
        <w:rPr>
          <w:i/>
        </w:rPr>
        <w:t xml:space="preserve"> supra</w:t>
      </w:r>
      <w:r w:rsidRPr="009423EA" w:rsidR="00B00A50">
        <w:t>,</w:t>
      </w:r>
      <w:r w:rsidR="00B00A50">
        <w:rPr>
          <w:i/>
        </w:rPr>
        <w:t xml:space="preserve"> </w:t>
      </w:r>
      <w:r w:rsidR="00B00A50">
        <w:t xml:space="preserve">15 Cal.2d at p. 434.) </w:t>
      </w:r>
      <w:r w:rsidRPr="00E83FA0" w:rsidR="00B00A50">
        <w:t xml:space="preserve"> Even under the 1918 initiative, the Legislature ha</w:t>
      </w:r>
      <w:r w:rsidR="00B00A50">
        <w:t>d</w:t>
      </w:r>
      <w:r w:rsidRPr="00E83FA0" w:rsidR="00B00A50">
        <w:t xml:space="preserve"> the authority to regulate such third-party expenses because the initiative restricts legislative action only as to maximum interest rates and the compensation a lender receives for the use of its money.  (Cf. </w:t>
      </w:r>
      <w:r w:rsidR="00B00A50">
        <w:rPr>
          <w:i/>
        </w:rPr>
        <w:t>In re Fuller</w:t>
      </w:r>
      <w:r w:rsidR="00B00A50">
        <w:t>, at p. 434</w:t>
      </w:r>
      <w:r w:rsidRPr="00E83FA0" w:rsidR="00B00A50">
        <w:rPr>
          <w:i/>
        </w:rPr>
        <w:t>.</w:t>
      </w:r>
      <w:r w:rsidRPr="00E83FA0" w:rsidR="00B00A50">
        <w:t xml:space="preserve">)  A fee for a loan-related service, </w:t>
      </w:r>
      <w:r w:rsidR="00B00A50">
        <w:t>like</w:t>
      </w:r>
      <w:r w:rsidRPr="00E83FA0" w:rsidR="00B00A50">
        <w:t xml:space="preserve"> an appraisal fee, does not compensate the lender for the use of its money</w:t>
      </w:r>
      <w:r w:rsidR="00B00A50">
        <w:t>.  Instead, it is a cost paid to someone other than the lender, or reimbursement to the lender for a cost imposed by a third party.</w:t>
      </w:r>
    </w:p>
    <w:p w:rsidR="007F163E" w:rsidP="007F163E">
      <w:pPr>
        <w:tabs>
          <w:tab w:val="left" w:pos="1440"/>
        </w:tabs>
        <w:ind w:firstLine="720"/>
      </w:pPr>
      <w:r>
        <w:t>A</w:t>
      </w:r>
      <w:r w:rsidRPr="0004545B" w:rsidR="008D3C22">
        <w:t>s long as a charge falls within one of the specifically enumerated categories or can be considered “other compensation,”</w:t>
      </w:r>
      <w:r w:rsidRPr="0004545B" w:rsidR="00F1480C">
        <w:t xml:space="preserve"> </w:t>
      </w:r>
      <w:r w:rsidRPr="0004545B" w:rsidR="00290FD2">
        <w:t xml:space="preserve">the </w:t>
      </w:r>
      <w:r w:rsidRPr="0004545B" w:rsidR="008D3C22">
        <w:t>Legislature has power to regulate that charge in any manner.</w:t>
      </w:r>
      <w:r>
        <w:t xml:space="preserve"> </w:t>
      </w:r>
      <w:r w:rsidRPr="0004545B" w:rsidR="008D3C22">
        <w:t xml:space="preserve"> </w:t>
      </w:r>
      <w:r>
        <w:t>T</w:t>
      </w:r>
      <w:r w:rsidRPr="0004545B" w:rsidR="008D3C22">
        <w:t xml:space="preserve">he reference in </w:t>
      </w:r>
      <w:r w:rsidRPr="0004545B" w:rsidR="00FE34C7">
        <w:rPr>
          <w:i/>
        </w:rPr>
        <w:t xml:space="preserve">Penziner </w:t>
      </w:r>
      <w:r w:rsidRPr="0004545B" w:rsidR="008D3C22">
        <w:t>to the Legislature having authority to control “certain” charges imposed by exempt lenders does not necessarily suggest that compound interest falls outside of the scope of the Legislature’s power.</w:t>
      </w:r>
    </w:p>
    <w:p w:rsidR="006134B5" w:rsidRPr="007F163E" w:rsidP="007F163E">
      <w:pPr>
        <w:tabs>
          <w:tab w:val="left" w:pos="1440"/>
        </w:tabs>
        <w:ind w:firstLine="720"/>
      </w:pPr>
      <w:r>
        <w:t>Accordingly, we hold the 1934 amendment impliedly repealed the compound interest limitation as to exempt lenders.  T</w:t>
      </w:r>
      <w:r w:rsidRPr="0004545B" w:rsidR="00575977">
        <w:t>his conclusion does not mean exempt lenders may charge compound interest without a contractual or legal basis to do so.</w:t>
      </w:r>
      <w:r>
        <w:rPr>
          <w:rStyle w:val="FootnoteReference"/>
        </w:rPr>
        <w:footnoteReference w:id="17"/>
      </w:r>
      <w:r w:rsidRPr="0004545B" w:rsidR="00575977">
        <w:t xml:space="preserve">  </w:t>
      </w:r>
      <w:r>
        <w:t>I</w:t>
      </w:r>
      <w:r w:rsidRPr="0004545B" w:rsidR="00575977">
        <w:t>t simply means they are not subject to statutory liability and penalties</w:t>
      </w:r>
      <w:r>
        <w:t xml:space="preserve"> otherwise imposed by the 1918 initiative on nonexempt lenders</w:t>
      </w:r>
      <w:r w:rsidRPr="0004545B" w:rsidR="00575977">
        <w:t xml:space="preserve">. </w:t>
      </w:r>
    </w:p>
    <w:p w:rsidR="00BC3EA4" w:rsidRPr="0004545B" w:rsidP="0004545B">
      <w:pPr>
        <w:keepNext/>
        <w:tabs>
          <w:tab w:val="left" w:pos="1440"/>
        </w:tabs>
        <w:ind w:firstLine="720"/>
      </w:pPr>
      <w:r w:rsidRPr="0004545B">
        <w:t>C</w:t>
      </w:r>
      <w:r w:rsidRPr="0004545B">
        <w:t>.</w:t>
      </w:r>
      <w:r w:rsidRPr="0004545B">
        <w:tab/>
      </w:r>
      <w:r w:rsidRPr="0004545B" w:rsidR="00611A55">
        <w:rPr>
          <w:i/>
        </w:rPr>
        <w:t>Application of Compound Interest Limitation</w:t>
      </w:r>
    </w:p>
    <w:p w:rsidR="00EC482A" w:rsidRPr="0004545B" w:rsidP="0004545B">
      <w:pPr>
        <w:tabs>
          <w:tab w:val="left" w:pos="1440"/>
        </w:tabs>
        <w:ind w:firstLine="720"/>
      </w:pPr>
      <w:r w:rsidRPr="0004545B">
        <w:t xml:space="preserve">The </w:t>
      </w:r>
      <w:r w:rsidRPr="0004545B" w:rsidR="0024639A">
        <w:t xml:space="preserve">Ninth Circuit </w:t>
      </w:r>
      <w:r w:rsidRPr="0004545B" w:rsidR="00B403AC">
        <w:t>ask</w:t>
      </w:r>
      <w:r w:rsidRPr="0004545B">
        <w:t>ed</w:t>
      </w:r>
      <w:r w:rsidRPr="0004545B" w:rsidR="00B403AC">
        <w:t xml:space="preserve"> whether the procedures </w:t>
      </w:r>
      <w:r w:rsidRPr="0004545B" w:rsidR="00DD30CA">
        <w:t>employed by Northwestern Mutual satisfy the compound interest limitation.</w:t>
      </w:r>
      <w:r>
        <w:rPr>
          <w:rStyle w:val="FootnoteReference"/>
        </w:rPr>
        <w:footnoteReference w:id="18"/>
      </w:r>
      <w:r w:rsidRPr="0004545B" w:rsidR="00DD30CA">
        <w:t xml:space="preserve">  (</w:t>
      </w:r>
      <w:r w:rsidRPr="0004545B" w:rsidR="00DD30CA">
        <w:rPr>
          <w:i/>
        </w:rPr>
        <w:t>Wishnev II</w:t>
      </w:r>
      <w:r w:rsidRPr="009423EA" w:rsidR="00DD30CA">
        <w:t xml:space="preserve">, </w:t>
      </w:r>
      <w:r w:rsidRPr="0004545B" w:rsidR="00DD30CA">
        <w:rPr>
          <w:i/>
        </w:rPr>
        <w:t>supra</w:t>
      </w:r>
      <w:r w:rsidRPr="009423EA" w:rsidR="00DD30CA">
        <w:t>,</w:t>
      </w:r>
      <w:r w:rsidRPr="0004545B" w:rsidR="00DD30CA">
        <w:rPr>
          <w:i/>
        </w:rPr>
        <w:t xml:space="preserve"> </w:t>
      </w:r>
      <w:r w:rsidRPr="0004545B" w:rsidR="00DD30CA">
        <w:t>880 F.3d at p. 495.)  As the Ninth Circuit recognized, this question only arises if it is first determined that exempt lenders are subject to the limitation.</w:t>
      </w:r>
      <w:r>
        <w:rPr>
          <w:rStyle w:val="FootnoteReference"/>
        </w:rPr>
        <w:footnoteReference w:id="19"/>
      </w:r>
      <w:r w:rsidRPr="0004545B" w:rsidR="00DD30CA">
        <w:t xml:space="preserve">  (</w:t>
      </w:r>
      <w:r w:rsidRPr="0004545B" w:rsidR="00DD30CA">
        <w:rPr>
          <w:i/>
        </w:rPr>
        <w:t>Id.</w:t>
      </w:r>
      <w:r w:rsidRPr="0004545B" w:rsidR="00DD30CA">
        <w:t xml:space="preserve"> at p. 502.)  Because</w:t>
      </w:r>
      <w:r w:rsidRPr="0004545B" w:rsidR="00BF4EAF">
        <w:t xml:space="preserve"> the</w:t>
      </w:r>
      <w:r w:rsidRPr="0004545B" w:rsidR="00DD30CA">
        <w:t xml:space="preserve"> answer to the first question </w:t>
      </w:r>
      <w:r w:rsidRPr="0004545B" w:rsidR="00E42961">
        <w:t>fully resolve</w:t>
      </w:r>
      <w:r w:rsidRPr="0004545B" w:rsidR="00F210A0">
        <w:t>s</w:t>
      </w:r>
      <w:r w:rsidRPr="0004545B" w:rsidR="00E42961">
        <w:t xml:space="preserve"> the matter pending before th</w:t>
      </w:r>
      <w:r w:rsidRPr="0004545B">
        <w:t>e Ninth Circuit</w:t>
      </w:r>
      <w:r w:rsidRPr="0004545B" w:rsidR="00E42961">
        <w:t xml:space="preserve">, </w:t>
      </w:r>
      <w:r w:rsidRPr="0004545B">
        <w:t>its</w:t>
      </w:r>
      <w:r w:rsidRPr="0004545B" w:rsidR="00BF4EAF">
        <w:t xml:space="preserve"> second question is rendered moot.</w:t>
      </w:r>
    </w:p>
    <w:p w:rsidR="009423EA">
      <w:pPr>
        <w:spacing w:after="0" w:line="240" w:lineRule="auto"/>
        <w:jc w:val="left"/>
      </w:pPr>
      <w:r>
        <w:br w:type="page"/>
      </w:r>
    </w:p>
    <w:p w:rsidR="00B96D1D" w:rsidRPr="0004545B" w:rsidP="0022157A">
      <w:pPr>
        <w:keepNext/>
        <w:tabs>
          <w:tab w:val="left" w:pos="1440"/>
        </w:tabs>
        <w:jc w:val="center"/>
      </w:pPr>
      <w:r w:rsidRPr="0004545B">
        <w:t xml:space="preserve">III.  </w:t>
      </w:r>
      <w:r w:rsidR="00132475">
        <w:t>CONCLUSION</w:t>
      </w:r>
    </w:p>
    <w:p w:rsidR="00B44AAA" w:rsidP="00132475">
      <w:pPr>
        <w:tabs>
          <w:tab w:val="left" w:pos="1440"/>
        </w:tabs>
        <w:ind w:firstLine="720"/>
      </w:pPr>
      <w:r>
        <w:t>We answer t</w:t>
      </w:r>
      <w:r w:rsidRPr="0004545B" w:rsidR="00A35649">
        <w:t xml:space="preserve">he </w:t>
      </w:r>
      <w:r w:rsidRPr="0004545B" w:rsidR="00245E1B">
        <w:t xml:space="preserve">Ninth </w:t>
      </w:r>
      <w:r w:rsidRPr="0004545B" w:rsidR="00353425">
        <w:t>Circuit</w:t>
      </w:r>
      <w:r w:rsidRPr="0004545B" w:rsidR="00A35649">
        <w:t>’s first question</w:t>
      </w:r>
      <w:r w:rsidRPr="0004545B" w:rsidR="00353425">
        <w:t xml:space="preserve"> as follows</w:t>
      </w:r>
      <w:r w:rsidR="00D13595">
        <w:t>.</w:t>
      </w:r>
      <w:r w:rsidRPr="0004545B" w:rsidR="00353425">
        <w:t xml:space="preserve">  The provision i</w:t>
      </w:r>
      <w:r>
        <w:t xml:space="preserve">n section 1916–2 </w:t>
      </w:r>
      <w:r w:rsidRPr="0004545B" w:rsidR="00353425">
        <w:t xml:space="preserve">prohibiting lenders from assessing compound interest “unless an agreement to that effect is clearly expressed in writing and signed by the party to be charged therewith” does not apply to lenders </w:t>
      </w:r>
      <w:r w:rsidR="00F36763">
        <w:t>exempt</w:t>
      </w:r>
      <w:r w:rsidR="006C694A">
        <w:t xml:space="preserve"> </w:t>
      </w:r>
      <w:r w:rsidR="00423097">
        <w:t>under</w:t>
      </w:r>
      <w:r w:rsidR="006C694A">
        <w:t xml:space="preserve"> </w:t>
      </w:r>
      <w:r w:rsidRPr="0004545B" w:rsidR="00CE0F12">
        <w:t>article XV</w:t>
      </w:r>
      <w:r w:rsidRPr="0004545B" w:rsidR="005526BC">
        <w:t>.</w:t>
      </w:r>
    </w:p>
    <w:p w:rsidR="00A815EA" w:rsidP="00132475">
      <w:pPr>
        <w:tabs>
          <w:tab w:val="left" w:pos="1440"/>
        </w:tabs>
        <w:ind w:firstLine="720"/>
      </w:pPr>
    </w:p>
    <w:p w:rsidR="00A815EA" w:rsidP="00132475">
      <w:pPr>
        <w:tabs>
          <w:tab w:val="left" w:pos="1440"/>
        </w:tabs>
        <w:ind w:firstLine="720"/>
        <w:rPr>
          <w:b/>
        </w:rPr>
      </w:pPr>
      <w:r>
        <w:tab/>
      </w:r>
      <w:r>
        <w:tab/>
      </w:r>
      <w:r>
        <w:tab/>
      </w:r>
      <w:r>
        <w:tab/>
      </w:r>
      <w:r>
        <w:tab/>
      </w:r>
      <w:r>
        <w:tab/>
      </w:r>
      <w:r>
        <w:tab/>
      </w:r>
      <w:r w:rsidRPr="00A815EA">
        <w:rPr>
          <w:b/>
        </w:rPr>
        <w:t>CORRIGAN, J.</w:t>
      </w:r>
    </w:p>
    <w:p w:rsidR="009423EA" w:rsidP="00132475">
      <w:pPr>
        <w:tabs>
          <w:tab w:val="left" w:pos="1440"/>
        </w:tabs>
        <w:ind w:firstLine="720"/>
        <w:rPr>
          <w:b/>
        </w:rPr>
      </w:pPr>
    </w:p>
    <w:p w:rsidR="009423EA" w:rsidP="00C743C3">
      <w:pPr>
        <w:tabs>
          <w:tab w:val="left" w:pos="1440"/>
        </w:tabs>
        <w:spacing w:after="0"/>
        <w:ind w:firstLine="720"/>
        <w:rPr>
          <w:b/>
        </w:rPr>
      </w:pPr>
      <w:r>
        <w:rPr>
          <w:b/>
        </w:rPr>
        <w:t>We Concur:</w:t>
      </w:r>
    </w:p>
    <w:p w:rsidR="008C5317" w:rsidP="00C743C3">
      <w:pPr>
        <w:tabs>
          <w:tab w:val="left" w:pos="1440"/>
        </w:tabs>
        <w:spacing w:after="0"/>
        <w:ind w:firstLine="720"/>
        <w:rPr>
          <w:b/>
        </w:rPr>
      </w:pPr>
    </w:p>
    <w:p w:rsidR="008C5317" w:rsidP="00C743C3">
      <w:pPr>
        <w:spacing w:after="0" w:line="240" w:lineRule="auto"/>
        <w:ind w:firstLine="720"/>
        <w:rPr>
          <w:rFonts w:ascii="Times New Roman" w:hAnsi="Times New Roman"/>
          <w:b/>
          <w:sz w:val="26"/>
          <w:szCs w:val="26"/>
        </w:rPr>
      </w:pPr>
      <w:r>
        <w:rPr>
          <w:b/>
          <w:szCs w:val="26"/>
        </w:rPr>
        <w:t>CANTIL-SAKAUYE, C. J.</w:t>
      </w:r>
    </w:p>
    <w:p w:rsidR="008C5317" w:rsidP="00C743C3">
      <w:pPr>
        <w:spacing w:after="0" w:line="240" w:lineRule="auto"/>
        <w:ind w:firstLine="720"/>
        <w:rPr>
          <w:b/>
          <w:szCs w:val="26"/>
        </w:rPr>
      </w:pPr>
      <w:r>
        <w:rPr>
          <w:b/>
          <w:szCs w:val="26"/>
        </w:rPr>
        <w:t xml:space="preserve">CHIN, J.  </w:t>
      </w:r>
    </w:p>
    <w:p w:rsidR="008C5317" w:rsidP="00C743C3">
      <w:pPr>
        <w:spacing w:after="0" w:line="240" w:lineRule="auto"/>
        <w:ind w:firstLine="720"/>
        <w:rPr>
          <w:b/>
          <w:szCs w:val="26"/>
        </w:rPr>
      </w:pPr>
      <w:r>
        <w:rPr>
          <w:b/>
          <w:szCs w:val="26"/>
        </w:rPr>
        <w:t xml:space="preserve">LIU, J.  </w:t>
      </w:r>
    </w:p>
    <w:p w:rsidR="008C5317" w:rsidP="00C743C3">
      <w:pPr>
        <w:spacing w:after="0" w:line="240" w:lineRule="auto"/>
        <w:ind w:firstLine="720"/>
        <w:rPr>
          <w:b/>
          <w:szCs w:val="26"/>
        </w:rPr>
      </w:pPr>
      <w:r>
        <w:rPr>
          <w:b/>
          <w:szCs w:val="26"/>
        </w:rPr>
        <w:t>CUÉLLAR, J.</w:t>
      </w:r>
    </w:p>
    <w:p w:rsidR="008C5317" w:rsidP="00C743C3">
      <w:pPr>
        <w:spacing w:after="0" w:line="240" w:lineRule="auto"/>
        <w:ind w:firstLine="720"/>
        <w:rPr>
          <w:b/>
        </w:rPr>
      </w:pPr>
      <w:r>
        <w:rPr>
          <w:b/>
        </w:rPr>
        <w:t xml:space="preserve">KRUGER, J.  </w:t>
      </w:r>
    </w:p>
    <w:p w:rsidR="008C5317" w:rsidP="00C743C3">
      <w:pPr>
        <w:spacing w:after="0" w:line="240" w:lineRule="auto"/>
        <w:ind w:firstLine="720"/>
        <w:rPr>
          <w:b/>
        </w:rPr>
      </w:pPr>
      <w:r>
        <w:rPr>
          <w:b/>
        </w:rPr>
        <w:t>GROBAN, J.</w:t>
      </w:r>
    </w:p>
    <w:p w:rsidR="00D71550" w:rsidP="008C5317">
      <w:pPr>
        <w:tabs>
          <w:tab w:val="left" w:pos="1440"/>
        </w:tabs>
        <w:spacing w:after="0"/>
        <w:ind w:firstLine="720"/>
        <w:sectPr w:rsidSect="00BA37DC">
          <w:footerReference w:type="default" r:id="rId11"/>
          <w:footerReference w:type="first" r:id="rId12"/>
          <w:pgSz w:w="12240" w:h="15840"/>
          <w:pgMar w:top="1800" w:right="2160" w:bottom="1440" w:left="2160" w:header="720" w:footer="720" w:gutter="0"/>
          <w:pgNumType w:start="1"/>
          <w:cols w:space="720"/>
          <w:titlePg/>
          <w:docGrid w:linePitch="367"/>
        </w:sectPr>
      </w:pPr>
    </w:p>
    <w:p w:rsidR="00D71550" w:rsidRPr="00D71550" w:rsidP="00D71550">
      <w:pPr>
        <w:spacing w:after="0" w:line="240" w:lineRule="auto"/>
        <w:jc w:val="left"/>
        <w:rPr>
          <w:rFonts w:ascii="Times New Roman" w:hAnsi="Times New Roman"/>
          <w:i/>
          <w:sz w:val="20"/>
        </w:rPr>
      </w:pPr>
      <w:r w:rsidRPr="00D71550">
        <w:rPr>
          <w:rFonts w:ascii="Times New Roman" w:hAnsi="Times New Roman"/>
          <w:i/>
          <w:sz w:val="20"/>
        </w:rPr>
        <w:t>See next page for addresses and telephone numbers for counsel who argued in Supreme Court.</w:t>
      </w:r>
    </w:p>
    <w:p w:rsidR="00D71550" w:rsidRPr="00D71550" w:rsidP="00D71550">
      <w:pPr>
        <w:spacing w:after="0" w:line="240" w:lineRule="auto"/>
        <w:jc w:val="left"/>
        <w:rPr>
          <w:rFonts w:ascii="Times New Roman" w:hAnsi="Times New Roman"/>
          <w:i/>
          <w:sz w:val="20"/>
        </w:rPr>
      </w:pPr>
    </w:p>
    <w:p w:rsidR="00D71550" w:rsidRPr="00D71550" w:rsidP="00D71550">
      <w:pPr>
        <w:spacing w:after="0" w:line="240" w:lineRule="auto"/>
        <w:jc w:val="left"/>
        <w:rPr>
          <w:rFonts w:ascii="Times New Roman" w:hAnsi="Times New Roman"/>
          <w:bCs/>
          <w:i/>
          <w:sz w:val="20"/>
        </w:rPr>
      </w:pPr>
      <w:r w:rsidRPr="00D71550">
        <w:rPr>
          <w:rFonts w:ascii="Times New Roman" w:hAnsi="Times New Roman"/>
          <w:b/>
          <w:sz w:val="20"/>
        </w:rPr>
        <w:t xml:space="preserve">Name of Opinion </w:t>
      </w:r>
      <w:r w:rsidRPr="00D71550">
        <w:rPr>
          <w:rFonts w:ascii="Times New Roman" w:hAnsi="Times New Roman"/>
          <w:sz w:val="20"/>
        </w:rPr>
        <w:t>Wishnev v. The Northwestern Mutual Life Insurance Company</w:t>
      </w:r>
    </w:p>
    <w:p w:rsidR="00D71550" w:rsidRPr="00D71550" w:rsidP="00D71550">
      <w:pPr>
        <w:spacing w:after="0" w:line="240" w:lineRule="auto"/>
        <w:jc w:val="left"/>
        <w:rPr>
          <w:rFonts w:ascii="Times New Roman" w:hAnsi="Times New Roman"/>
          <w:b/>
          <w:sz w:val="20"/>
        </w:rPr>
      </w:pPr>
      <w:r w:rsidRPr="00D71550">
        <w:rPr>
          <w:rFonts w:ascii="Times New Roman" w:hAnsi="Times New Roman"/>
          <w:b/>
          <w:sz w:val="20"/>
        </w:rPr>
        <w:t>__________________________________________________________________________________</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Cs/>
          <w:sz w:val="20"/>
        </w:rPr>
      </w:pPr>
      <w:r w:rsidRPr="00D71550">
        <w:rPr>
          <w:rFonts w:ascii="Times New Roman" w:hAnsi="Times New Roman"/>
          <w:b/>
          <w:sz w:val="20"/>
        </w:rPr>
        <w:t>Unpublished Opinion</w:t>
      </w:r>
    </w:p>
    <w:p w:rsidR="00D71550" w:rsidRPr="00D71550" w:rsidP="00D71550">
      <w:pPr>
        <w:spacing w:after="0" w:line="240" w:lineRule="auto"/>
        <w:jc w:val="left"/>
        <w:rPr>
          <w:rFonts w:ascii="Times New Roman" w:hAnsi="Times New Roman"/>
          <w:sz w:val="20"/>
        </w:rPr>
      </w:pPr>
      <w:r w:rsidRPr="00D71550">
        <w:rPr>
          <w:rFonts w:ascii="Times New Roman" w:hAnsi="Times New Roman"/>
          <w:b/>
          <w:sz w:val="20"/>
        </w:rPr>
        <w:t>Original Appeal</w:t>
      </w:r>
    </w:p>
    <w:p w:rsidR="00D71550" w:rsidRPr="00D71550" w:rsidP="00D71550">
      <w:pPr>
        <w:spacing w:after="0" w:line="240" w:lineRule="auto"/>
        <w:jc w:val="left"/>
        <w:rPr>
          <w:rFonts w:ascii="Times New Roman" w:hAnsi="Times New Roman"/>
          <w:sz w:val="20"/>
        </w:rPr>
      </w:pPr>
      <w:r w:rsidRPr="00D71550">
        <w:rPr>
          <w:rFonts w:ascii="Times New Roman" w:hAnsi="Times New Roman"/>
          <w:b/>
          <w:sz w:val="20"/>
        </w:rPr>
        <w:t>Original Proceeding</w:t>
      </w:r>
      <w:r w:rsidRPr="00D71550">
        <w:rPr>
          <w:rFonts w:ascii="Times New Roman" w:hAnsi="Times New Roman"/>
          <w:sz w:val="20"/>
        </w:rPr>
        <w:t xml:space="preserve"> XXX on request pursuant to rule 8.548, Cal. Rules of Court</w:t>
      </w:r>
    </w:p>
    <w:p w:rsidR="00D71550" w:rsidRPr="00D71550" w:rsidP="00D71550">
      <w:pPr>
        <w:spacing w:after="0" w:line="240" w:lineRule="auto"/>
        <w:jc w:val="left"/>
        <w:rPr>
          <w:rFonts w:ascii="Times New Roman" w:hAnsi="Times New Roman"/>
          <w:sz w:val="20"/>
        </w:rPr>
      </w:pPr>
      <w:r w:rsidRPr="00D71550">
        <w:rPr>
          <w:rFonts w:ascii="Times New Roman" w:hAnsi="Times New Roman"/>
          <w:b/>
          <w:sz w:val="20"/>
        </w:rPr>
        <w:t>Review Granted</w:t>
      </w:r>
    </w:p>
    <w:p w:rsidR="00D71550" w:rsidRPr="00D71550" w:rsidP="00D71550">
      <w:pPr>
        <w:spacing w:after="0" w:line="240" w:lineRule="auto"/>
        <w:jc w:val="left"/>
        <w:rPr>
          <w:rFonts w:ascii="Times New Roman" w:hAnsi="Times New Roman"/>
          <w:b/>
          <w:sz w:val="20"/>
        </w:rPr>
      </w:pPr>
      <w:r w:rsidRPr="00D71550">
        <w:rPr>
          <w:rFonts w:ascii="Times New Roman" w:hAnsi="Times New Roman"/>
          <w:b/>
          <w:sz w:val="20"/>
        </w:rPr>
        <w:t>Rehearing Granted</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r w:rsidRPr="00D71550">
        <w:rPr>
          <w:rFonts w:ascii="Times New Roman" w:hAnsi="Times New Roman"/>
          <w:b/>
          <w:sz w:val="20"/>
        </w:rPr>
        <w:t>__________________________________________________________________________________</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Cs/>
          <w:sz w:val="20"/>
        </w:rPr>
      </w:pPr>
      <w:r w:rsidRPr="00D71550">
        <w:rPr>
          <w:rFonts w:ascii="Times New Roman" w:hAnsi="Times New Roman"/>
          <w:b/>
          <w:sz w:val="20"/>
        </w:rPr>
        <w:t>Opinion No.</w:t>
      </w:r>
      <w:r w:rsidRPr="00D71550">
        <w:rPr>
          <w:rFonts w:ascii="Times New Roman" w:hAnsi="Times New Roman"/>
          <w:sz w:val="20"/>
        </w:rPr>
        <w:t xml:space="preserve"> S246541</w:t>
      </w:r>
    </w:p>
    <w:p w:rsidR="00D71550" w:rsidRPr="00D71550" w:rsidP="00D71550">
      <w:pPr>
        <w:spacing w:after="0" w:line="240" w:lineRule="auto"/>
        <w:jc w:val="left"/>
        <w:rPr>
          <w:rFonts w:ascii="Times New Roman" w:hAnsi="Times New Roman"/>
          <w:bCs/>
          <w:sz w:val="20"/>
        </w:rPr>
      </w:pPr>
      <w:r w:rsidRPr="00D71550">
        <w:rPr>
          <w:rFonts w:ascii="Times New Roman" w:hAnsi="Times New Roman"/>
          <w:b/>
          <w:sz w:val="20"/>
        </w:rPr>
        <w:t>Date Filed:</w:t>
      </w:r>
      <w:r w:rsidRPr="00D71550">
        <w:rPr>
          <w:rFonts w:ascii="Times New Roman" w:hAnsi="Times New Roman"/>
          <w:sz w:val="20"/>
        </w:rPr>
        <w:t xml:space="preserve"> November 14, 2019</w:t>
      </w:r>
    </w:p>
    <w:p w:rsidR="00D71550" w:rsidRPr="00D71550" w:rsidP="00D71550">
      <w:pPr>
        <w:spacing w:after="0" w:line="240" w:lineRule="auto"/>
        <w:jc w:val="left"/>
        <w:rPr>
          <w:rFonts w:ascii="Times New Roman" w:hAnsi="Times New Roman"/>
          <w:b/>
          <w:sz w:val="20"/>
        </w:rPr>
      </w:pPr>
      <w:r w:rsidRPr="00D71550">
        <w:rPr>
          <w:rFonts w:ascii="Times New Roman" w:hAnsi="Times New Roman"/>
          <w:b/>
          <w:sz w:val="20"/>
        </w:rPr>
        <w:t>__________________________________________________________________________________</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Cs/>
          <w:sz w:val="20"/>
        </w:rPr>
      </w:pPr>
      <w:r w:rsidRPr="00D71550">
        <w:rPr>
          <w:rFonts w:ascii="Times New Roman" w:hAnsi="Times New Roman"/>
          <w:b/>
          <w:sz w:val="20"/>
        </w:rPr>
        <w:t>Court:</w:t>
      </w:r>
    </w:p>
    <w:p w:rsidR="00D71550" w:rsidRPr="00D71550" w:rsidP="00D71550">
      <w:pPr>
        <w:spacing w:after="0" w:line="240" w:lineRule="auto"/>
        <w:jc w:val="left"/>
        <w:rPr>
          <w:rFonts w:ascii="Times New Roman" w:hAnsi="Times New Roman"/>
          <w:b/>
          <w:bCs/>
          <w:sz w:val="20"/>
        </w:rPr>
      </w:pPr>
      <w:r w:rsidRPr="00D71550">
        <w:rPr>
          <w:rFonts w:ascii="Times New Roman" w:hAnsi="Times New Roman"/>
          <w:b/>
          <w:sz w:val="20"/>
        </w:rPr>
        <w:t>County:</w:t>
      </w:r>
    </w:p>
    <w:p w:rsidR="00D71550" w:rsidRPr="00D71550" w:rsidP="00D71550">
      <w:pPr>
        <w:spacing w:after="0" w:line="240" w:lineRule="auto"/>
        <w:ind w:left="720" w:hanging="720"/>
        <w:jc w:val="left"/>
        <w:rPr>
          <w:rFonts w:ascii="Times New Roman" w:hAnsi="Times New Roman"/>
          <w:bCs/>
          <w:sz w:val="20"/>
        </w:rPr>
      </w:pPr>
      <w:r w:rsidRPr="00D71550">
        <w:rPr>
          <w:rFonts w:ascii="Times New Roman" w:hAnsi="Times New Roman"/>
          <w:b/>
          <w:sz w:val="20"/>
        </w:rPr>
        <w:t>Judge:</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r w:rsidRPr="00D71550">
        <w:rPr>
          <w:rFonts w:ascii="Times New Roman" w:hAnsi="Times New Roman"/>
          <w:b/>
          <w:sz w:val="20"/>
        </w:rPr>
        <w:t>__________________________________________________________________________________</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r w:rsidRPr="00D71550">
        <w:rPr>
          <w:rFonts w:ascii="Times New Roman" w:hAnsi="Times New Roman"/>
          <w:b/>
          <w:sz w:val="20"/>
        </w:rPr>
        <w:t>Counsel:</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Drinker Biddle &amp; Reath, Stephen C. Baker, Timothy J. O’Driscoll, Michael J. Stortz, Alan J. Lazarus, Matthew J. Adler and Marshall L. Baker for Defendant and Appellant.</w:t>
      </w:r>
    </w:p>
    <w:p w:rsidR="00D71550" w:rsidRPr="00D71550" w:rsidP="00D71550">
      <w:pPr>
        <w:spacing w:after="0" w:line="240" w:lineRule="auto"/>
        <w:jc w:val="left"/>
        <w:rPr>
          <w:rFonts w:ascii="Times New Roman" w:hAnsi="Times New Roman"/>
          <w:sz w:val="20"/>
        </w:rPr>
      </w:pP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Alston &amp; Bird, Reed Smith, Thomas A. Evans; and Lisa Tate for The American Council of Life Insurers as Amicus Curiae on behalf of Defendant and Appellant.</w:t>
      </w:r>
    </w:p>
    <w:p w:rsidR="00D71550" w:rsidRPr="00D71550" w:rsidP="00D71550">
      <w:pPr>
        <w:spacing w:after="0" w:line="240" w:lineRule="auto"/>
        <w:jc w:val="left"/>
        <w:rPr>
          <w:rFonts w:ascii="Times New Roman" w:hAnsi="Times New Roman"/>
          <w:sz w:val="20"/>
        </w:rPr>
      </w:pP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Sidley Austin, Carol Lynn Thompson and Lisa E. Schwartz for Metropolitan Life Insurance Company as Amicus Curiae on behalf of Defendant and Appellant.</w:t>
      </w:r>
    </w:p>
    <w:p w:rsidR="00D71550" w:rsidRPr="00D71550" w:rsidP="00D71550">
      <w:pPr>
        <w:spacing w:after="0" w:line="240" w:lineRule="auto"/>
        <w:jc w:val="left"/>
        <w:rPr>
          <w:rFonts w:ascii="Times New Roman" w:hAnsi="Times New Roman"/>
          <w:sz w:val="20"/>
        </w:rPr>
      </w:pP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Brad Wenger; Dentons US, Laura L. Geist and Andrew S. Azarmi for Association of California Life and Health Insurance Companies as Amicus Curiae on behalf of Defendant and Appellant.</w:t>
      </w:r>
    </w:p>
    <w:p w:rsidR="00D71550" w:rsidRPr="00D71550" w:rsidP="00D71550">
      <w:pPr>
        <w:spacing w:after="0" w:line="240" w:lineRule="auto"/>
        <w:jc w:val="left"/>
        <w:rPr>
          <w:rFonts w:ascii="Times New Roman" w:hAnsi="Times New Roman"/>
          <w:sz w:val="20"/>
        </w:rPr>
      </w:pP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Bramson, Plutzik, Mahler &amp; Birkhaeuser, Robert M. Bramson and Jennifer S. Rosenberg for Plaintiff and Respondent.</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r w:rsidRPr="00D71550">
        <w:rPr>
          <w:rFonts w:ascii="Times New Roman" w:hAnsi="Times New Roman"/>
          <w:b/>
          <w:sz w:val="20"/>
        </w:rPr>
        <w:br w:type="page"/>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b/>
          <w:sz w:val="20"/>
        </w:rPr>
      </w:pPr>
      <w:r w:rsidRPr="00D71550">
        <w:rPr>
          <w:rFonts w:ascii="Times New Roman" w:hAnsi="Times New Roman"/>
          <w:b/>
          <w:sz w:val="20"/>
        </w:rPr>
        <w:t>Counsel who argued in Supreme Court (not intended for publication with opinion):</w:t>
      </w:r>
    </w:p>
    <w:p w:rsidR="00D71550" w:rsidRPr="00D71550" w:rsidP="00D71550">
      <w:pPr>
        <w:spacing w:after="0" w:line="240" w:lineRule="auto"/>
        <w:jc w:val="left"/>
        <w:rPr>
          <w:rFonts w:ascii="Times New Roman" w:hAnsi="Times New Roman"/>
          <w:b/>
          <w:sz w:val="20"/>
        </w:rPr>
      </w:pP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Timothy J. O’Driscoll</w:t>
      </w: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Drinker Biddle &amp; Reath</w:t>
      </w: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One Logan Square, Suite 2000</w:t>
      </w: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Philadelphia, PA 19103</w:t>
      </w: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(215) 988-2700</w:t>
      </w:r>
    </w:p>
    <w:p w:rsidR="00D71550" w:rsidRPr="00D71550" w:rsidP="00D71550">
      <w:pPr>
        <w:spacing w:after="0" w:line="240" w:lineRule="auto"/>
        <w:jc w:val="left"/>
        <w:rPr>
          <w:rFonts w:ascii="Times New Roman" w:hAnsi="Times New Roman"/>
          <w:sz w:val="20"/>
        </w:rPr>
      </w:pP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Robert M. Bramson</w:t>
      </w: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Bramson, Plutzik, Mahler &amp; Birkhaeuser</w:t>
      </w: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2125 Oak Grove Road, Suite 125</w:t>
      </w: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Walnut Creek, CA 94598</w:t>
      </w:r>
    </w:p>
    <w:p w:rsidR="00D71550" w:rsidRPr="00D71550" w:rsidP="00D71550">
      <w:pPr>
        <w:spacing w:after="0" w:line="240" w:lineRule="auto"/>
        <w:jc w:val="left"/>
        <w:rPr>
          <w:rFonts w:ascii="Times New Roman" w:hAnsi="Times New Roman"/>
          <w:sz w:val="20"/>
        </w:rPr>
      </w:pPr>
      <w:r w:rsidRPr="00D71550">
        <w:rPr>
          <w:rFonts w:ascii="Times New Roman" w:hAnsi="Times New Roman"/>
          <w:sz w:val="20"/>
        </w:rPr>
        <w:t>(925) 945-0200</w:t>
      </w:r>
    </w:p>
    <w:p w:rsidR="008C5317" w:rsidRPr="008C5317" w:rsidP="008C5317">
      <w:pPr>
        <w:tabs>
          <w:tab w:val="left" w:pos="1440"/>
        </w:tabs>
        <w:spacing w:after="0"/>
        <w:ind w:firstLine="720"/>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621">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5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6F5">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1439228"/>
      <w:docPartObj>
        <w:docPartGallery w:val="Page Numbers (Bottom of Page)"/>
        <w:docPartUnique/>
      </w:docPartObj>
    </w:sdtPr>
    <w:sdtEndPr>
      <w:rPr>
        <w:noProof/>
      </w:rPr>
    </w:sdtEndPr>
    <w:sdtContent>
      <w:p w:rsidR="00BA37DC">
        <w:pPr>
          <w:pStyle w:val="Footer"/>
        </w:pPr>
        <w:r>
          <w:fldChar w:fldCharType="begin"/>
        </w:r>
        <w:r>
          <w:instrText xml:space="preserve"> PAGE   \* MERGEFORMAT </w:instrText>
        </w:r>
        <w:r>
          <w:fldChar w:fldCharType="separate"/>
        </w:r>
        <w:r>
          <w:rPr>
            <w:noProof/>
          </w:rPr>
          <w:t>2</w:t>
        </w:r>
        <w:r>
          <w:rPr>
            <w:noProof/>
          </w:rPr>
          <w:fldChar w:fldCharType="end"/>
        </w:r>
      </w:p>
    </w:sdtContent>
  </w:sdt>
  <w:p w:rsidR="000454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5A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5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7621">
      <w:r>
        <w:separator/>
      </w:r>
    </w:p>
  </w:footnote>
  <w:footnote w:type="continuationSeparator" w:id="1">
    <w:p w:rsidR="00C77621">
      <w:pPr>
        <w:rPr>
          <w:sz w:val="22"/>
        </w:rPr>
      </w:pPr>
      <w:r>
        <w:continuationSeparator/>
      </w:r>
    </w:p>
  </w:footnote>
  <w:footnote w:type="continuationNotice" w:id="2">
    <w:p w:rsidR="00C77621" w:rsidP="006D5741">
      <w:pPr>
        <w:rPr>
          <w:i/>
          <w:sz w:val="20"/>
        </w:rPr>
      </w:pPr>
    </w:p>
  </w:footnote>
  <w:footnote w:id="3">
    <w:p w:rsidR="00530273" w:rsidP="00530273">
      <w:pPr>
        <w:pStyle w:val="FootnoteText"/>
      </w:pPr>
      <w:r>
        <w:rPr>
          <w:rStyle w:val="FootnoteReference"/>
        </w:rPr>
        <w:footnoteRef/>
      </w:r>
      <w:r>
        <w:t xml:space="preserve"> Further references to article</w:t>
      </w:r>
      <w:r w:rsidR="00026D43">
        <w:t>s</w:t>
      </w:r>
      <w:r>
        <w:t xml:space="preserve"> are to the California Constitution.</w:t>
      </w:r>
    </w:p>
  </w:footnote>
  <w:footnote w:id="4">
    <w:p w:rsidR="00071354" w:rsidRPr="00673550" w:rsidP="0004545B">
      <w:pPr>
        <w:pStyle w:val="FootnoteText"/>
      </w:pPr>
      <w:r>
        <w:rPr>
          <w:rStyle w:val="FootnoteReference"/>
        </w:rPr>
        <w:footnoteRef/>
      </w:r>
      <w:r>
        <w:t xml:space="preserve"> See Cal</w:t>
      </w:r>
      <w:r w:rsidR="008469E9">
        <w:t>ifornia</w:t>
      </w:r>
      <w:r>
        <w:t xml:space="preserve"> Rules of Court, rule 8.548(a) </w:t>
      </w:r>
      <w:r w:rsidR="00026D43">
        <w:t>(</w:t>
      </w:r>
      <w:r>
        <w:t xml:space="preserve">“On request of the United States Supreme Court, a United States Court of Appeals, or the court of last resort of any state, territory, or commonwealth, the Supreme Court may decide a question of California law if: </w:t>
      </w:r>
      <w:r w:rsidRPr="00475453">
        <w:t>[¶] (1) The decision could determine the outcome of a matter pending in the requesting court; and [¶] (2) There is no controlling precedent”</w:t>
      </w:r>
      <w:r w:rsidR="00026D43">
        <w:t>)</w:t>
      </w:r>
      <w:r w:rsidR="00D4434C">
        <w:t>.</w:t>
      </w:r>
    </w:p>
  </w:footnote>
  <w:footnote w:id="5">
    <w:p w:rsidR="007A03E0" w:rsidRPr="00673550" w:rsidP="007A03E0">
      <w:pPr>
        <w:pStyle w:val="FootnoteText"/>
      </w:pPr>
      <w:r w:rsidRPr="00673550">
        <w:rPr>
          <w:rStyle w:val="FootnoteReference"/>
        </w:rPr>
        <w:footnoteRef/>
      </w:r>
      <w:r w:rsidRPr="00673550">
        <w:t xml:space="preserve"> The Ninth Circuit posed the question as follows:  “Are </w:t>
      </w:r>
      <w:r>
        <w:t xml:space="preserve">the </w:t>
      </w:r>
      <w:r w:rsidRPr="00673550">
        <w:t xml:space="preserve">lenders identified in Article XV of the California Constitution, </w:t>
      </w:r>
      <w:r w:rsidRPr="00673550">
        <w:rPr>
          <w:i/>
        </w:rPr>
        <w:t xml:space="preserve">see </w:t>
      </w:r>
      <w:r w:rsidRPr="00673550">
        <w:t>Cal. Const. art. XV, § 1, as being exempt from the restrictions otherwise imposed by that article, nevertheless subject to the requirement in section 1916–2 of the California Civil Code that a lender may not compound interest ‘unless an agreement to that effect is clearly expressed in writing and signed by the party to be charged therewith’</w:t>
      </w:r>
      <w:r>
        <w:t>?</w:t>
      </w:r>
      <w:r w:rsidRPr="00673550">
        <w:t>”</w:t>
      </w:r>
    </w:p>
  </w:footnote>
  <w:footnote w:id="6">
    <w:p w:rsidR="00E27913" w:rsidP="0004545B">
      <w:pPr>
        <w:pStyle w:val="FootnoteText"/>
      </w:pPr>
      <w:r>
        <w:rPr>
          <w:rStyle w:val="FootnoteReference"/>
        </w:rPr>
        <w:footnoteRef/>
      </w:r>
      <w:r>
        <w:t xml:space="preserve"> Whole and universal life insurance are examples of permanent life insurance.</w:t>
      </w:r>
    </w:p>
  </w:footnote>
  <w:footnote w:id="7">
    <w:p w:rsidR="00101F6E" w:rsidP="0004545B">
      <w:pPr>
        <w:pStyle w:val="FootnoteText"/>
      </w:pPr>
      <w:r>
        <w:rPr>
          <w:rStyle w:val="FootnoteReference"/>
        </w:rPr>
        <w:footnoteRef/>
      </w:r>
      <w:r>
        <w:t xml:space="preserve"> </w:t>
      </w:r>
      <w:r w:rsidRPr="000735B5">
        <w:t>Policyholders can also have unpaid premiums automatically treated as loans</w:t>
      </w:r>
      <w:r w:rsidR="004B60F9">
        <w:t>.</w:t>
      </w:r>
    </w:p>
  </w:footnote>
  <w:footnote w:id="8">
    <w:p w:rsidR="005D2E0A" w:rsidRPr="00340ABB" w:rsidP="0004545B">
      <w:pPr>
        <w:pStyle w:val="FootnoteText"/>
        <w:rPr>
          <w:b/>
        </w:rPr>
      </w:pPr>
      <w:r>
        <w:rPr>
          <w:rStyle w:val="FootnoteReference"/>
        </w:rPr>
        <w:footnoteRef/>
      </w:r>
      <w:r>
        <w:t xml:space="preserve"> Northwestern Mutual further argued that, even if it were subject to the limitation on assessing compound interest, it </w:t>
      </w:r>
      <w:r w:rsidR="00E54038">
        <w:t xml:space="preserve">had </w:t>
      </w:r>
      <w:r>
        <w:t>complied because Wishnev signed an agreement containing the mandated disclosure.  It urged that the policy application Wishnev signed, together with attached policy containing the disclosure, formed the parties’ “</w:t>
      </w:r>
      <w:r w:rsidR="006D5741">
        <w:t> ‘</w:t>
      </w:r>
      <w:r>
        <w:t>entire contract</w:t>
      </w:r>
      <w:r w:rsidR="006D5741">
        <w:t>’ </w:t>
      </w:r>
      <w:r>
        <w:t>” under Insurance Code section 10113</w:t>
      </w:r>
      <w:r w:rsidR="0095640B">
        <w:t xml:space="preserve">.  </w:t>
      </w:r>
      <w:r w:rsidR="00622F69">
        <w:t xml:space="preserve">Because we conclude that Northwestern Mutual is not subject to the compound interest limitation, </w:t>
      </w:r>
      <w:r w:rsidR="00F551E2">
        <w:t xml:space="preserve">it is unnecessary to address this </w:t>
      </w:r>
      <w:r w:rsidR="002B146D">
        <w:t>question.</w:t>
      </w:r>
    </w:p>
  </w:footnote>
  <w:footnote w:id="9">
    <w:p w:rsidR="008728FA" w:rsidP="0004545B">
      <w:pPr>
        <w:pStyle w:val="FootnoteText"/>
      </w:pPr>
      <w:r>
        <w:rPr>
          <w:rStyle w:val="FootnoteReference"/>
        </w:rPr>
        <w:footnoteRef/>
      </w:r>
      <w:r>
        <w:t xml:space="preserve"> The 1918 initiative is uncodified.  </w:t>
      </w:r>
      <w:r w:rsidR="007A03E0">
        <w:t xml:space="preserve">Further unspecified </w:t>
      </w:r>
      <w:r w:rsidR="00D4434C">
        <w:t>section</w:t>
      </w:r>
      <w:r w:rsidR="007A03E0">
        <w:t xml:space="preserve"> references are to </w:t>
      </w:r>
      <w:r>
        <w:t>West’s designation of the initiative as section</w:t>
      </w:r>
      <w:r w:rsidR="00F5258A">
        <w:t>s</w:t>
      </w:r>
      <w:r>
        <w:t xml:space="preserve"> 1916–1 to 1916–5 of the Civil Code.</w:t>
      </w:r>
      <w:r w:rsidR="007A03E0">
        <w:t xml:space="preserve">  (9C West’s Ann. Civ. Code</w:t>
      </w:r>
      <w:r w:rsidR="00E9296F">
        <w:t xml:space="preserve">, </w:t>
      </w:r>
      <w:r w:rsidR="00E9296F">
        <w:rPr>
          <w:i/>
        </w:rPr>
        <w:t>supra</w:t>
      </w:r>
      <w:r w:rsidR="00E9296F">
        <w:t>,</w:t>
      </w:r>
      <w:r w:rsidR="007A03E0">
        <w:t xml:space="preserve"> foll. § 1916.12, pp.</w:t>
      </w:r>
      <w:r w:rsidR="00D4434C">
        <w:t xml:space="preserve"> </w:t>
      </w:r>
      <w:r w:rsidR="007A03E0">
        <w:t>187</w:t>
      </w:r>
      <w:r w:rsidRPr="0004545B" w:rsidR="00D4434C">
        <w:t>–</w:t>
      </w:r>
      <w:r w:rsidR="007A03E0">
        <w:t>238.)</w:t>
      </w:r>
    </w:p>
  </w:footnote>
  <w:footnote w:id="10">
    <w:p w:rsidR="006366A6" w:rsidRPr="00CC24BB" w:rsidP="0004545B">
      <w:pPr>
        <w:pStyle w:val="FootnoteText"/>
      </w:pPr>
      <w:r>
        <w:rPr>
          <w:rStyle w:val="FootnoteReference"/>
        </w:rPr>
        <w:footnoteRef/>
      </w:r>
      <w:r>
        <w:t xml:space="preserve"> </w:t>
      </w:r>
      <w:r w:rsidR="00927369">
        <w:t>The Legislature</w:t>
      </w:r>
      <w:r w:rsidR="00F55FFD">
        <w:t xml:space="preserve"> or voters (through the initiative power)</w:t>
      </w:r>
      <w:r w:rsidR="00B661AA">
        <w:t xml:space="preserve"> may place measures on the </w:t>
      </w:r>
      <w:r w:rsidR="00927369">
        <w:t xml:space="preserve">statewide </w:t>
      </w:r>
      <w:r w:rsidR="00B661AA">
        <w:t xml:space="preserve">ballot proposing to repeal or amend </w:t>
      </w:r>
      <w:r w:rsidR="0012477B">
        <w:t>laws</w:t>
      </w:r>
      <w:r w:rsidR="00B661AA">
        <w:t xml:space="preserve"> enacted by initiative.</w:t>
      </w:r>
      <w:r w:rsidR="0012477B">
        <w:t xml:space="preserve">  (</w:t>
      </w:r>
      <w:r w:rsidR="00862FB9">
        <w:t>Art. II, §</w:t>
      </w:r>
      <w:r w:rsidR="00CC24BB">
        <w:t>§</w:t>
      </w:r>
      <w:r w:rsidR="00862FB9">
        <w:t> 8, subds. (a)–(c)</w:t>
      </w:r>
      <w:r w:rsidR="00CC24BB">
        <w:t>,</w:t>
      </w:r>
      <w:r w:rsidR="00F55FFD">
        <w:t> 10, subd. (c)</w:t>
      </w:r>
      <w:r w:rsidR="00CC24BB">
        <w:t xml:space="preserve">; art. </w:t>
      </w:r>
      <w:r w:rsidR="0012477B">
        <w:t xml:space="preserve">XVIII, § 1; </w:t>
      </w:r>
      <w:r w:rsidR="00D80AAB">
        <w:t xml:space="preserve">cf. </w:t>
      </w:r>
      <w:r w:rsidR="00D80AAB">
        <w:rPr>
          <w:i/>
        </w:rPr>
        <w:t xml:space="preserve">People v. Kelly </w:t>
      </w:r>
      <w:r w:rsidR="00D80AAB">
        <w:t>(2010) 47 Cal.4th 1008, 103</w:t>
      </w:r>
      <w:r w:rsidR="0012477B">
        <w:t>7–1040.)</w:t>
      </w:r>
    </w:p>
  </w:footnote>
  <w:footnote w:id="11">
    <w:p w:rsidR="00C4547B" w:rsidP="0004545B">
      <w:pPr>
        <w:pStyle w:val="FootnoteText"/>
      </w:pPr>
      <w:r>
        <w:rPr>
          <w:rStyle w:val="FootnoteReference"/>
        </w:rPr>
        <w:footnoteRef/>
      </w:r>
      <w:r>
        <w:t xml:space="preserve"> </w:t>
      </w:r>
      <w:r w:rsidR="00DA1490">
        <w:t>The fourth section</w:t>
      </w:r>
      <w:r w:rsidR="00485338">
        <w:t xml:space="preserve"> repeals any inconsistent laws and </w:t>
      </w:r>
      <w:r w:rsidR="00DA1490">
        <w:t xml:space="preserve">the fifth section </w:t>
      </w:r>
      <w:r w:rsidR="00485338">
        <w:t>refers to the initiative as the “ ‘usury law.’ ”</w:t>
      </w:r>
      <w:r w:rsidR="00DA5084">
        <w:t xml:space="preserve">  (§§ 1916‒4, 1916‒5.)</w:t>
      </w:r>
    </w:p>
  </w:footnote>
  <w:footnote w:id="12">
    <w:p w:rsidR="00AB0CBF" w:rsidRPr="00581500" w:rsidP="0004545B">
      <w:pPr>
        <w:pStyle w:val="FootnoteText"/>
      </w:pPr>
      <w:r>
        <w:rPr>
          <w:rStyle w:val="FootnoteReference"/>
        </w:rPr>
        <w:footnoteRef/>
      </w:r>
      <w:r>
        <w:t xml:space="preserve"> </w:t>
      </w:r>
      <w:r w:rsidRPr="00581500">
        <w:t xml:space="preserve">In its entirety, section </w:t>
      </w:r>
      <w:r w:rsidR="00DA1490">
        <w:t>1916</w:t>
      </w:r>
      <w:r w:rsidRPr="0004545B" w:rsidR="00D4434C">
        <w:t>–</w:t>
      </w:r>
      <w:r w:rsidRPr="00581500">
        <w:t xml:space="preserve">2 reads as follows:  </w:t>
      </w:r>
      <w:r w:rsidRPr="00581500" w:rsidR="00703BB7">
        <w:t>“</w:t>
      </w:r>
      <w:r w:rsidRPr="00581500">
        <w:t>No person, company, association or corporation shall directly or indirectly take or receive in money, goods or things in action, or in any other manner whatsoever, any great</w:t>
      </w:r>
      <w:r w:rsidRPr="00581500" w:rsidR="00703BB7">
        <w:t>er</w:t>
      </w:r>
      <w:r w:rsidRPr="00581500">
        <w:t xml:space="preserve"> sum or any greater value for the loan or for</w:t>
      </w:r>
      <w:r w:rsidRPr="00581500" w:rsidR="00703BB7">
        <w:t>b</w:t>
      </w:r>
      <w:r w:rsidRPr="00581500">
        <w:t xml:space="preserve">earance of money, goods or things in action than at the rate of twelve dollars upon </w:t>
      </w:r>
      <w:r w:rsidRPr="00581500" w:rsidR="00703BB7">
        <w:t>one hundred dollars for one year; a</w:t>
      </w:r>
      <w:r w:rsidRPr="00581500">
        <w:t>nd in the computation of interest upon any bond, note, or other instrument or agreement, interest shall not be compounded, nor shall the interest thereon be construed to bear interest unless an agreement to that effect is clearly expressed in writing and signed by the party to be charged therewith.</w:t>
      </w:r>
      <w:r w:rsidRPr="00581500" w:rsidR="00703BB7">
        <w:t xml:space="preserve">  Any agreement o</w:t>
      </w:r>
      <w:r w:rsidR="00DA1490">
        <w:t>r</w:t>
      </w:r>
      <w:r w:rsidRPr="00581500" w:rsidR="00703BB7">
        <w:t xml:space="preserve"> contract of any nature in conflict with the provisions of this section shall be null and void as to any agreement or stipulation therein contained to pay interest and no action at law to recover interest in any sum shall be maintained and the debt can not be declared due until the full period of time it was contracted for has elapsed.</w:t>
      </w:r>
      <w:r w:rsidRPr="00581500">
        <w:t xml:space="preserve">”  </w:t>
      </w:r>
    </w:p>
  </w:footnote>
  <w:footnote w:id="13">
    <w:p w:rsidR="00A11F57" w:rsidP="0004545B">
      <w:pPr>
        <w:pStyle w:val="FootnoteText"/>
      </w:pPr>
      <w:r>
        <w:rPr>
          <w:rStyle w:val="FootnoteReference"/>
        </w:rPr>
        <w:footnoteRef/>
      </w:r>
      <w:r>
        <w:t xml:space="preserve"> Also, unlike the 1918 initiative, the amendment does not address penalties or the consequences of violating its restrictions.  (Compare former art. XX, § 22 with §§ 1916–2</w:t>
      </w:r>
      <w:r w:rsidR="00DA5084">
        <w:t>,</w:t>
      </w:r>
      <w:r>
        <w:t xml:space="preserve"> 1916–3</w:t>
      </w:r>
      <w:r w:rsidR="00DA5084">
        <w:t>, subd. (b)</w:t>
      </w:r>
      <w:r>
        <w:t>.)</w:t>
      </w:r>
    </w:p>
  </w:footnote>
  <w:footnote w:id="14">
    <w:p w:rsidR="005D5B7D" w:rsidP="0004545B">
      <w:pPr>
        <w:pStyle w:val="FootnoteText"/>
      </w:pPr>
      <w:r>
        <w:rPr>
          <w:rStyle w:val="FootnoteReference"/>
        </w:rPr>
        <w:footnoteRef/>
      </w:r>
      <w:r>
        <w:t xml:space="preserve"> Because article XV at present consists of a single section, further citations to that article will omit the section reference as superfluous.  Further references to the relevant constitutional provisions governing usury will be to their current designation, article XV, unless the context requires citation to those provisions as originally enacted in former article XX, section 22.</w:t>
      </w:r>
    </w:p>
  </w:footnote>
  <w:footnote w:id="15">
    <w:p w:rsidR="005D5B7D" w:rsidP="0004545B">
      <w:pPr>
        <w:pStyle w:val="FootnoteText"/>
      </w:pPr>
      <w:r>
        <w:rPr>
          <w:rStyle w:val="FootnoteReference"/>
        </w:rPr>
        <w:footnoteRef/>
      </w:r>
      <w:r>
        <w:t xml:space="preserve"> The amendment was accomplished by Proposition 2, approved by voters on November 6, 1979.</w:t>
      </w:r>
      <w:r w:rsidR="00F034A3">
        <w:t xml:space="preserve"> </w:t>
      </w:r>
      <w:r>
        <w:t xml:space="preserve"> </w:t>
      </w:r>
      <w:r w:rsidR="00DA5084">
        <w:t>(</w:t>
      </w:r>
      <w:r w:rsidR="00BA2CF0">
        <w:t>Ballot Pamp.</w:t>
      </w:r>
      <w:r w:rsidR="00DA5084">
        <w:t>, Special Elec. (Nov. 6</w:t>
      </w:r>
      <w:r w:rsidR="00D4434C">
        <w:t>,</w:t>
      </w:r>
      <w:r w:rsidR="00DA5084">
        <w:t xml:space="preserve"> 1979) analysis of Prop. 2 by Legis</w:t>
      </w:r>
      <w:r w:rsidR="00BA2CF0">
        <w:t>.</w:t>
      </w:r>
      <w:r w:rsidR="00DA5084">
        <w:t xml:space="preserve"> Analyst, p. 10; </w:t>
      </w:r>
      <w:r w:rsidR="00DA5084">
        <w:rPr>
          <w:i/>
        </w:rPr>
        <w:t>id.</w:t>
      </w:r>
      <w:r w:rsidR="00DA5084">
        <w:t xml:space="preserve">, text of </w:t>
      </w:r>
      <w:r w:rsidR="00BA2CF0">
        <w:t>Prop. 2</w:t>
      </w:r>
      <w:r w:rsidR="00DA5084">
        <w:t>, p. 11.)</w:t>
      </w:r>
      <w:r w:rsidR="00F034A3">
        <w:t xml:space="preserve"> </w:t>
      </w:r>
      <w:r>
        <w:t xml:space="preserve"> The same proposition modified the maximum interest rate applied to nonexempt lenders. </w:t>
      </w:r>
      <w:r w:rsidR="00F034A3">
        <w:t xml:space="preserve"> </w:t>
      </w:r>
      <w:r>
        <w:t>The latter modification of article XV, as well as other provisions in article XV that did not appear in former article XX, section 22, are not relevant to the legal question</w:t>
      </w:r>
      <w:r w:rsidR="00FC18CB">
        <w:t xml:space="preserve"> here.</w:t>
      </w:r>
    </w:p>
  </w:footnote>
  <w:footnote w:id="16">
    <w:p w:rsidR="00C77621" w:rsidRPr="00BD0EC3" w:rsidP="0004545B">
      <w:pPr>
        <w:pStyle w:val="FootnoteText"/>
      </w:pPr>
      <w:r>
        <w:rPr>
          <w:rStyle w:val="FootnoteReference"/>
        </w:rPr>
        <w:footnoteRef/>
      </w:r>
      <w:r>
        <w:t xml:space="preserve"> As an example, in the phrase “sun, moon, planets, and other large bodies,” the general term “o</w:t>
      </w:r>
      <w:r w:rsidRPr="00BD0EC3">
        <w:t xml:space="preserve">ther large bodies” would be interpreted to mean other large </w:t>
      </w:r>
      <w:r w:rsidRPr="00BD0EC3">
        <w:rPr>
          <w:i/>
        </w:rPr>
        <w:t>heavenly</w:t>
      </w:r>
      <w:r w:rsidRPr="00BD0EC3">
        <w:t xml:space="preserve"> bodie</w:t>
      </w:r>
      <w:r w:rsidRPr="00BD0EC3" w:rsidR="008D7809">
        <w:t>s to be consistent with the more specific terms that precede it.  The general term would not be given the much broader connotation it might otherwise have</w:t>
      </w:r>
      <w:r w:rsidR="0095640B">
        <w:t xml:space="preserve">:  </w:t>
      </w:r>
      <w:r w:rsidRPr="00BD0EC3" w:rsidR="00C14A12">
        <w:t xml:space="preserve">a meaning that might embrace </w:t>
      </w:r>
      <w:r w:rsidRPr="00BD0EC3" w:rsidR="008D7809">
        <w:t xml:space="preserve">bodies of water or </w:t>
      </w:r>
      <w:r w:rsidRPr="00BD0EC3" w:rsidR="00C27A55">
        <w:t xml:space="preserve">certain </w:t>
      </w:r>
      <w:r w:rsidRPr="00BD0EC3" w:rsidR="008D7809">
        <w:t>professional athletes</w:t>
      </w:r>
      <w:r w:rsidRPr="00BD0EC3">
        <w:t>.</w:t>
      </w:r>
    </w:p>
  </w:footnote>
  <w:footnote w:id="17">
    <w:p w:rsidR="007F7179" w:rsidRPr="00827022" w:rsidP="0004545B">
      <w:pPr>
        <w:pStyle w:val="FootnoteText"/>
      </w:pPr>
      <w:r>
        <w:rPr>
          <w:rStyle w:val="FootnoteReference"/>
        </w:rPr>
        <w:footnoteRef/>
      </w:r>
      <w:r>
        <w:t xml:space="preserve"> </w:t>
      </w:r>
      <w:r w:rsidRPr="00827022">
        <w:t xml:space="preserve">Wishnev </w:t>
      </w:r>
      <w:r w:rsidRPr="00827022" w:rsidR="00523D2C">
        <w:t xml:space="preserve">concedes that </w:t>
      </w:r>
      <w:r w:rsidRPr="00827022">
        <w:t xml:space="preserve">the question of whether </w:t>
      </w:r>
      <w:r w:rsidRPr="00827022" w:rsidR="00523D2C">
        <w:t xml:space="preserve">Northwestern Mutual had a contractual basis to charge compound interest </w:t>
      </w:r>
      <w:r w:rsidRPr="00827022" w:rsidR="00E96C62">
        <w:t xml:space="preserve">here </w:t>
      </w:r>
      <w:r w:rsidRPr="00827022" w:rsidR="00523D2C">
        <w:t xml:space="preserve">is distinct from the </w:t>
      </w:r>
      <w:r w:rsidRPr="00827022" w:rsidR="00BF0E06">
        <w:t>issue</w:t>
      </w:r>
      <w:r w:rsidRPr="00827022" w:rsidR="00523D2C">
        <w:t xml:space="preserve"> of whether Northwestern Mutual complied with the compound interest limitation.</w:t>
      </w:r>
    </w:p>
  </w:footnote>
  <w:footnote w:id="18">
    <w:p w:rsidR="0064093E" w:rsidRPr="00BA4DF9" w:rsidP="0004545B">
      <w:pPr>
        <w:pStyle w:val="FootnoteText"/>
      </w:pPr>
      <w:r w:rsidRPr="00BA4DF9">
        <w:rPr>
          <w:rStyle w:val="FootnoteReference"/>
        </w:rPr>
        <w:footnoteRef/>
      </w:r>
      <w:r w:rsidRPr="00BA4DF9">
        <w:t xml:space="preserve"> The second question posed by the Ninth Circuit </w:t>
      </w:r>
      <w:r w:rsidRPr="00BA4DF9" w:rsidR="00F11004">
        <w:t>reads</w:t>
      </w:r>
      <w:r w:rsidRPr="00BA4DF9">
        <w:t xml:space="preserve"> as follows:  “Does an agreement meet the requirement of section 1916–2 if it is comprised of</w:t>
      </w:r>
      <w:r w:rsidR="007B5186">
        <w:t xml:space="preserve">: </w:t>
      </w:r>
      <w:r w:rsidRPr="00BA4DF9">
        <w:t xml:space="preserve"> (1) an application for insurance signed by the borrower, and (2) a policy of insurance containing an agreement for compound interest is subsequently attached to the application, thus constituting the entire contract between the parties pursuant to section 10113 of the California Insurance Code?” </w:t>
      </w:r>
    </w:p>
  </w:footnote>
  <w:footnote w:id="19">
    <w:p w:rsidR="003427FE">
      <w:pPr>
        <w:pStyle w:val="FootnoteText"/>
      </w:pPr>
      <w:r>
        <w:rPr>
          <w:rStyle w:val="FootnoteReference"/>
        </w:rPr>
        <w:footnoteRef/>
      </w:r>
      <w:r>
        <w:t xml:space="preserve"> The Ninth Circuit and the parties seem to have assumed that Northwestern Mutual was an exempt lender at all relevant times.</w:t>
      </w:r>
      <w:r w:rsidR="00BD3DA0">
        <w:t xml:space="preserve">  </w:t>
      </w:r>
      <w:r w:rsidR="00F15374">
        <w:t>W</w:t>
      </w:r>
      <w:r w:rsidR="00C05244">
        <w:t>e express no view concerning whether a lender’s designation as exempt under article XV applies retroactively to a loan that</w:t>
      </w:r>
      <w:r w:rsidR="00F15374">
        <w:t xml:space="preserve"> may</w:t>
      </w:r>
      <w:r w:rsidR="00C05244">
        <w:t xml:space="preserve"> predate the designation.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22AA" w:rsidP="00EA22AA">
    <w:pPr>
      <w:pStyle w:val="Header"/>
    </w:pPr>
    <w:r>
      <w:t>WISHNEV v. THE NORTHWESTERN MUTUAL LIFE INSURANCE CO</w:t>
    </w:r>
    <w:r w:rsidR="00026D43">
      <w:t>MPANY</w:t>
    </w:r>
  </w:p>
  <w:p w:rsidR="00EA22AA" w:rsidP="00EA22AA">
    <w:pPr>
      <w:pStyle w:val="Header"/>
    </w:pPr>
    <w:r>
      <w:t>Opinion of the Court by Corrigan, J.</w:t>
    </w:r>
  </w:p>
  <w:p w:rsidR="0004545B" w:rsidRPr="00EA22AA" w:rsidP="00EA2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5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5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5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3179E"/>
    <w:multiLevelType w:val="hybridMultilevel"/>
    <w:tmpl w:val="3E406B9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310B2E1D"/>
    <w:multiLevelType w:val="hybridMultilevel"/>
    <w:tmpl w:val="7A6ACCB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004A59"/>
    <w:multiLevelType w:val="hybridMultilevel"/>
    <w:tmpl w:val="448402D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AFD3ABC"/>
    <w:multiLevelType w:val="hybridMultilevel"/>
    <w:tmpl w:val="7FAC490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C1106DD"/>
    <w:multiLevelType w:val="multilevel"/>
    <w:tmpl w:val="E6A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21B34"/>
    <w:multiLevelType w:val="hybridMultilevel"/>
    <w:tmpl w:val="29BECC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45B"/>
    <w:pPr>
      <w:spacing w:after="100" w:line="400" w:lineRule="exact"/>
      <w:jc w:val="both"/>
    </w:pPr>
    <w:rPr>
      <w:rFonts w:ascii="Century Schoolbook" w:hAnsi="Century Schoolbook"/>
      <w:sz w:val="27"/>
    </w:rPr>
  </w:style>
  <w:style w:type="paragraph" w:styleId="Heading1">
    <w:name w:val="heading 1"/>
    <w:basedOn w:val="Normal"/>
    <w:next w:val="Normal"/>
    <w:qFormat/>
    <w:rsid w:val="0004545B"/>
    <w:pPr>
      <w:keepNext/>
      <w:spacing w:before="140" w:line="240" w:lineRule="atLeast"/>
      <w:jc w:val="center"/>
      <w:outlineLvl w:val="0"/>
    </w:pPr>
    <w:rPr>
      <w:b/>
      <w:smallCaps/>
    </w:rPr>
  </w:style>
  <w:style w:type="paragraph" w:styleId="Heading2">
    <w:name w:val="heading 2"/>
    <w:basedOn w:val="Normal"/>
    <w:next w:val="Normal"/>
    <w:qFormat/>
    <w:rsid w:val="0004545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4545B"/>
    <w:pPr>
      <w:keepNext/>
      <w:tabs>
        <w:tab w:val="left" w:pos="1584"/>
      </w:tabs>
      <w:spacing w:before="140" w:line="240" w:lineRule="atLeast"/>
      <w:ind w:left="1584" w:hanging="432"/>
      <w:jc w:val="left"/>
      <w:outlineLvl w:val="2"/>
    </w:pPr>
    <w:rPr>
      <w:i/>
    </w:rPr>
  </w:style>
  <w:style w:type="paragraph" w:styleId="Heading4">
    <w:name w:val="heading 4"/>
    <w:basedOn w:val="Normal"/>
    <w:rsid w:val="0004545B"/>
    <w:pPr>
      <w:keepNext/>
      <w:tabs>
        <w:tab w:val="left" w:pos="2016"/>
      </w:tabs>
      <w:spacing w:before="140" w:line="240" w:lineRule="atLeast"/>
      <w:ind w:left="2016" w:hanging="432"/>
      <w:jc w:val="left"/>
      <w:outlineLvl w:val="3"/>
    </w:pPr>
    <w:rPr>
      <w:i/>
    </w:rPr>
  </w:style>
  <w:style w:type="paragraph" w:styleId="Heading5">
    <w:name w:val="heading 5"/>
    <w:basedOn w:val="Normal"/>
    <w:rsid w:val="0004545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4545B"/>
    <w:pPr>
      <w:ind w:left="720"/>
    </w:pPr>
  </w:style>
  <w:style w:type="paragraph" w:styleId="Footer">
    <w:name w:val="footer"/>
    <w:basedOn w:val="Normal"/>
    <w:link w:val="FooterChar"/>
    <w:uiPriority w:val="99"/>
    <w:qFormat/>
    <w:rsid w:val="0004545B"/>
    <w:pPr>
      <w:tabs>
        <w:tab w:val="center" w:pos="3960"/>
        <w:tab w:val="right" w:pos="10080"/>
      </w:tabs>
      <w:spacing w:after="0" w:line="240" w:lineRule="auto"/>
      <w:jc w:val="center"/>
    </w:pPr>
    <w:rPr>
      <w:sz w:val="22"/>
    </w:rPr>
  </w:style>
  <w:style w:type="paragraph" w:styleId="Header">
    <w:name w:val="header"/>
    <w:basedOn w:val="Normal"/>
    <w:qFormat/>
    <w:rsid w:val="0004545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4545B"/>
    <w:rPr>
      <w:rFonts w:ascii="Century Schoolbook" w:hAnsi="Century Schoolbook"/>
      <w:b/>
      <w:i w:val="0"/>
      <w:position w:val="4"/>
      <w:sz w:val="27"/>
      <w:vertAlign w:val="superscript"/>
    </w:rPr>
  </w:style>
  <w:style w:type="paragraph" w:styleId="FootnoteText">
    <w:name w:val="footnote text"/>
    <w:basedOn w:val="Normal"/>
    <w:link w:val="FootnoteTextChar"/>
    <w:rsid w:val="0004545B"/>
    <w:pPr>
      <w:spacing w:line="300" w:lineRule="exact"/>
    </w:pPr>
  </w:style>
  <w:style w:type="paragraph" w:customStyle="1" w:styleId="Title1">
    <w:name w:val="Title1"/>
    <w:basedOn w:val="Normal"/>
    <w:rsid w:val="0004545B"/>
    <w:pPr>
      <w:tabs>
        <w:tab w:val="left" w:pos="5760"/>
        <w:tab w:val="left" w:pos="6480"/>
      </w:tabs>
      <w:spacing w:line="240" w:lineRule="atLeast"/>
    </w:pPr>
  </w:style>
  <w:style w:type="paragraph" w:customStyle="1" w:styleId="Recommend">
    <w:name w:val="Recommend"/>
    <w:basedOn w:val="Normal"/>
    <w:rsid w:val="0004545B"/>
  </w:style>
  <w:style w:type="paragraph" w:customStyle="1" w:styleId="Summary">
    <w:name w:val="Summary"/>
    <w:basedOn w:val="Normal"/>
    <w:rsid w:val="0004545B"/>
    <w:pPr>
      <w:ind w:left="2160" w:hanging="2160"/>
    </w:pPr>
  </w:style>
  <w:style w:type="paragraph" w:customStyle="1" w:styleId="Text">
    <w:name w:val="Text"/>
    <w:basedOn w:val="Normal"/>
    <w:rsid w:val="0004545B"/>
    <w:pPr>
      <w:tabs>
        <w:tab w:val="left" w:pos="720"/>
        <w:tab w:val="left" w:pos="1440"/>
        <w:tab w:val="left" w:pos="2160"/>
        <w:tab w:val="center" w:pos="4320"/>
      </w:tabs>
      <w:spacing w:line="480" w:lineRule="atLeast"/>
      <w:ind w:firstLine="540"/>
    </w:pPr>
  </w:style>
  <w:style w:type="paragraph" w:styleId="Date">
    <w:name w:val="Date"/>
    <w:basedOn w:val="Normal"/>
    <w:semiHidden/>
    <w:rsid w:val="0004545B"/>
    <w:pPr>
      <w:jc w:val="right"/>
    </w:pPr>
  </w:style>
  <w:style w:type="character" w:styleId="PageNumber">
    <w:name w:val="page number"/>
    <w:basedOn w:val="DefaultParagraphFont"/>
    <w:semiHidden/>
    <w:rsid w:val="0004545B"/>
  </w:style>
  <w:style w:type="paragraph" w:customStyle="1" w:styleId="subject">
    <w:name w:val="subject"/>
    <w:basedOn w:val="Normal"/>
    <w:rsid w:val="0004545B"/>
    <w:pPr>
      <w:tabs>
        <w:tab w:val="left" w:pos="1008"/>
      </w:tabs>
      <w:ind w:left="990" w:hanging="990"/>
    </w:pPr>
    <w:rPr>
      <w:b/>
    </w:rPr>
  </w:style>
  <w:style w:type="paragraph" w:customStyle="1" w:styleId="Titles">
    <w:name w:val="Titles"/>
    <w:basedOn w:val="Normal"/>
    <w:rsid w:val="0004545B"/>
    <w:pPr>
      <w:tabs>
        <w:tab w:val="left" w:pos="2160"/>
      </w:tabs>
      <w:ind w:left="2160" w:hanging="2160"/>
    </w:pPr>
    <w:rPr>
      <w:b/>
    </w:rPr>
  </w:style>
  <w:style w:type="paragraph" w:styleId="TOAHeading">
    <w:name w:val="toa heading"/>
    <w:basedOn w:val="Normal"/>
    <w:next w:val="Normal"/>
    <w:semiHidden/>
    <w:rsid w:val="0004545B"/>
    <w:pPr>
      <w:spacing w:before="120"/>
    </w:pPr>
    <w:rPr>
      <w:b/>
    </w:rPr>
  </w:style>
  <w:style w:type="paragraph" w:styleId="TOC1">
    <w:name w:val="toc 1"/>
    <w:basedOn w:val="Normal"/>
    <w:next w:val="Normal"/>
    <w:autoRedefine/>
    <w:semiHidden/>
    <w:rsid w:val="0004545B"/>
  </w:style>
  <w:style w:type="paragraph" w:styleId="TOC2">
    <w:name w:val="toc 2"/>
    <w:basedOn w:val="Normal"/>
    <w:next w:val="Normal"/>
    <w:autoRedefine/>
    <w:semiHidden/>
    <w:rsid w:val="0004545B"/>
    <w:pPr>
      <w:ind w:left="259"/>
    </w:pPr>
  </w:style>
  <w:style w:type="paragraph" w:styleId="TOC3">
    <w:name w:val="toc 3"/>
    <w:basedOn w:val="Normal"/>
    <w:next w:val="Normal"/>
    <w:autoRedefine/>
    <w:semiHidden/>
    <w:rsid w:val="0004545B"/>
    <w:pPr>
      <w:ind w:left="520"/>
    </w:pPr>
  </w:style>
  <w:style w:type="paragraph" w:styleId="TOC4">
    <w:name w:val="toc 4"/>
    <w:basedOn w:val="Normal"/>
    <w:next w:val="Normal"/>
    <w:autoRedefine/>
    <w:semiHidden/>
    <w:rsid w:val="0004545B"/>
    <w:pPr>
      <w:ind w:left="780"/>
    </w:pPr>
  </w:style>
  <w:style w:type="paragraph" w:styleId="TOC5">
    <w:name w:val="toc 5"/>
    <w:basedOn w:val="Normal"/>
    <w:next w:val="Normal"/>
    <w:autoRedefine/>
    <w:semiHidden/>
    <w:rsid w:val="0004545B"/>
    <w:pPr>
      <w:ind w:left="1040"/>
    </w:pPr>
  </w:style>
  <w:style w:type="paragraph" w:styleId="TOC6">
    <w:name w:val="toc 6"/>
    <w:basedOn w:val="Normal"/>
    <w:next w:val="Normal"/>
    <w:autoRedefine/>
    <w:semiHidden/>
    <w:rsid w:val="0004545B"/>
    <w:pPr>
      <w:ind w:left="1300"/>
    </w:pPr>
  </w:style>
  <w:style w:type="paragraph" w:styleId="TOC7">
    <w:name w:val="toc 7"/>
    <w:basedOn w:val="Normal"/>
    <w:next w:val="Normal"/>
    <w:autoRedefine/>
    <w:semiHidden/>
    <w:rsid w:val="0004545B"/>
    <w:pPr>
      <w:ind w:left="1560"/>
    </w:pPr>
  </w:style>
  <w:style w:type="paragraph" w:styleId="TOC8">
    <w:name w:val="toc 8"/>
    <w:basedOn w:val="Normal"/>
    <w:next w:val="Normal"/>
    <w:autoRedefine/>
    <w:semiHidden/>
    <w:rsid w:val="0004545B"/>
    <w:pPr>
      <w:ind w:left="1820"/>
    </w:pPr>
  </w:style>
  <w:style w:type="paragraph" w:styleId="TOC9">
    <w:name w:val="toc 9"/>
    <w:basedOn w:val="Normal"/>
    <w:next w:val="Normal"/>
    <w:autoRedefine/>
    <w:semiHidden/>
    <w:rsid w:val="0004545B"/>
    <w:pPr>
      <w:ind w:left="2080"/>
    </w:pPr>
  </w:style>
  <w:style w:type="paragraph" w:customStyle="1" w:styleId="Contents">
    <w:name w:val="Contents"/>
    <w:basedOn w:val="Normal"/>
    <w:rsid w:val="0004545B"/>
    <w:pPr>
      <w:jc w:val="center"/>
    </w:pPr>
    <w:rPr>
      <w:b/>
      <w:spacing w:val="100"/>
    </w:rPr>
  </w:style>
  <w:style w:type="paragraph" w:styleId="ListParagraph">
    <w:name w:val="List Paragraph"/>
    <w:basedOn w:val="Normal"/>
    <w:uiPriority w:val="34"/>
    <w:qFormat/>
    <w:rsid w:val="00B96D1D"/>
    <w:pPr>
      <w:ind w:left="720"/>
      <w:contextualSpacing/>
    </w:pPr>
  </w:style>
  <w:style w:type="character" w:customStyle="1" w:styleId="cosearchterm">
    <w:name w:val="co_searchterm"/>
    <w:basedOn w:val="DefaultParagraphFont"/>
    <w:rsid w:val="00EA1A3F"/>
  </w:style>
  <w:style w:type="character" w:customStyle="1" w:styleId="costarpage">
    <w:name w:val="co_starpage"/>
    <w:basedOn w:val="DefaultParagraphFont"/>
    <w:rsid w:val="00EA1A3F"/>
  </w:style>
  <w:style w:type="character" w:customStyle="1" w:styleId="ssrfcpassagedeactivated">
    <w:name w:val="ss_rfcpassage_deactivated"/>
    <w:basedOn w:val="DefaultParagraphFont"/>
    <w:rsid w:val="002B2DA8"/>
  </w:style>
  <w:style w:type="character" w:styleId="Hyperlink">
    <w:name w:val="Hyperlink"/>
    <w:basedOn w:val="DefaultParagraphFont"/>
    <w:uiPriority w:val="99"/>
    <w:semiHidden/>
    <w:unhideWhenUsed/>
    <w:rsid w:val="002B2DA8"/>
    <w:rPr>
      <w:color w:val="0000FF"/>
      <w:u w:val="single"/>
    </w:rPr>
  </w:style>
  <w:style w:type="character" w:customStyle="1" w:styleId="ssit">
    <w:name w:val="ss_it"/>
    <w:basedOn w:val="DefaultParagraphFont"/>
    <w:rsid w:val="002B2DA8"/>
  </w:style>
  <w:style w:type="character" w:customStyle="1" w:styleId="sssh">
    <w:name w:val="ss_sh"/>
    <w:basedOn w:val="DefaultParagraphFont"/>
    <w:rsid w:val="002B2DA8"/>
  </w:style>
  <w:style w:type="character" w:customStyle="1" w:styleId="ub">
    <w:name w:val="u_b"/>
    <w:basedOn w:val="DefaultParagraphFont"/>
    <w:rsid w:val="00C06E67"/>
  </w:style>
  <w:style w:type="character" w:customStyle="1" w:styleId="df">
    <w:name w:val="d_f"/>
    <w:basedOn w:val="DefaultParagraphFont"/>
    <w:rsid w:val="00C06E67"/>
  </w:style>
  <w:style w:type="character" w:customStyle="1" w:styleId="un">
    <w:name w:val="u_n"/>
    <w:basedOn w:val="DefaultParagraphFont"/>
    <w:rsid w:val="00C06E67"/>
  </w:style>
  <w:style w:type="character" w:customStyle="1" w:styleId="c4z2avtcy">
    <w:name w:val="c4_z2avtcy"/>
    <w:basedOn w:val="DefaultParagraphFont"/>
    <w:rsid w:val="00C06E67"/>
  </w:style>
  <w:style w:type="paragraph" w:customStyle="1" w:styleId="yiv6012475935ydpf4598e51msonormal">
    <w:name w:val="yiv6012475935ydpf4598e51msonormal"/>
    <w:basedOn w:val="Normal"/>
    <w:rsid w:val="00C06E67"/>
    <w:pPr>
      <w:spacing w:before="100" w:beforeAutospacing="1" w:afterAutospacing="1"/>
    </w:pPr>
    <w:rPr>
      <w:sz w:val="24"/>
      <w:szCs w:val="24"/>
    </w:rPr>
  </w:style>
  <w:style w:type="character" w:styleId="Emphasis">
    <w:name w:val="Emphasis"/>
    <w:basedOn w:val="DefaultParagraphFont"/>
    <w:uiPriority w:val="20"/>
    <w:qFormat/>
    <w:rsid w:val="00276A98"/>
    <w:rPr>
      <w:i/>
      <w:iCs/>
    </w:rPr>
  </w:style>
  <w:style w:type="character" w:customStyle="1" w:styleId="FootnoteTextChar">
    <w:name w:val="Footnote Text Char"/>
    <w:basedOn w:val="DefaultParagraphFont"/>
    <w:link w:val="FootnoteText"/>
    <w:rsid w:val="000B1612"/>
    <w:rPr>
      <w:rFonts w:ascii="Century Schoolbook" w:hAnsi="Century Schoolbook"/>
      <w:sz w:val="27"/>
    </w:rPr>
  </w:style>
  <w:style w:type="paragraph" w:styleId="BodyText">
    <w:name w:val="Body Text"/>
    <w:basedOn w:val="Normal"/>
    <w:link w:val="BodyTextChar"/>
    <w:qFormat/>
    <w:rsid w:val="0004545B"/>
  </w:style>
  <w:style w:type="character" w:customStyle="1" w:styleId="BodyTextChar">
    <w:name w:val="Body Text Char"/>
    <w:basedOn w:val="DefaultParagraphFont"/>
    <w:link w:val="BodyText"/>
    <w:rsid w:val="0004545B"/>
    <w:rPr>
      <w:rFonts w:ascii="Century Schoolbook" w:hAnsi="Century Schoolbook"/>
      <w:sz w:val="27"/>
    </w:rPr>
  </w:style>
  <w:style w:type="character" w:customStyle="1" w:styleId="FooterChar">
    <w:name w:val="Footer Char"/>
    <w:basedOn w:val="DefaultParagraphFont"/>
    <w:link w:val="Footer"/>
    <w:uiPriority w:val="99"/>
    <w:rsid w:val="00BA37DC"/>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5901</Words>
  <Characters>33637</Characters>
  <Application>Microsoft Office Word</Application>
  <DocSecurity>0</DocSecurity>
  <Lines>280</Lines>
  <Paragraphs>78</Paragraphs>
  <ScaleCrop>false</ScaleCrop>
  <Company/>
  <LinksUpToDate>false</LinksUpToDate>
  <CharactersWithSpaces>39460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2019-11-14T17:15:30Z</dcterms:created>
  <dcterms:modified xsi:type="dcterms:W3CDTF">2019-11-14T17:15:30Z</dcterms:modified>
</cp:coreProperties>
</file>