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9436" w14:textId="77777777" w:rsidR="00703AAD" w:rsidRDefault="00E33DB4" w:rsidP="00E33DB4">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1127DB39" w14:textId="77777777" w:rsidR="00E33DB4" w:rsidRDefault="00E33DB4" w:rsidP="00E33DB4">
      <w:pPr>
        <w:tabs>
          <w:tab w:val="left" w:pos="1440"/>
          <w:tab w:val="left" w:pos="4680"/>
          <w:tab w:val="center" w:pos="7200"/>
        </w:tabs>
        <w:spacing w:after="0"/>
        <w:jc w:val="center"/>
      </w:pPr>
    </w:p>
    <w:p w14:paraId="4111DA12" w14:textId="220749A3" w:rsidR="00641BBA" w:rsidRDefault="00641BBA" w:rsidP="00E33DB4">
      <w:pPr>
        <w:tabs>
          <w:tab w:val="left" w:pos="1440"/>
          <w:tab w:val="left" w:pos="4680"/>
          <w:tab w:val="center" w:pos="7200"/>
        </w:tabs>
        <w:spacing w:after="0"/>
        <w:jc w:val="center"/>
      </w:pPr>
      <w:r>
        <w:t>SOUTHERN CALIFORNIA GAS LEAK CASES</w:t>
      </w:r>
      <w:r w:rsidR="00B312C3">
        <w:t>.</w:t>
      </w:r>
    </w:p>
    <w:p w14:paraId="64E7BF80" w14:textId="77777777" w:rsidR="00816E39" w:rsidRDefault="00816E39" w:rsidP="00E33DB4">
      <w:pPr>
        <w:pBdr>
          <w:bottom w:val="single" w:sz="6" w:space="1" w:color="auto"/>
        </w:pBdr>
        <w:tabs>
          <w:tab w:val="left" w:pos="1440"/>
          <w:tab w:val="left" w:pos="4680"/>
          <w:tab w:val="center" w:pos="7200"/>
        </w:tabs>
        <w:spacing w:after="0"/>
        <w:jc w:val="center"/>
      </w:pPr>
    </w:p>
    <w:p w14:paraId="29AA7EF9" w14:textId="77777777" w:rsidR="00816E39" w:rsidRDefault="00816E39" w:rsidP="00E33DB4">
      <w:pPr>
        <w:tabs>
          <w:tab w:val="left" w:pos="1440"/>
          <w:tab w:val="left" w:pos="4680"/>
          <w:tab w:val="center" w:pos="7200"/>
        </w:tabs>
        <w:spacing w:after="0"/>
        <w:jc w:val="center"/>
      </w:pPr>
    </w:p>
    <w:p w14:paraId="0CD5D866" w14:textId="72E83C99" w:rsidR="00E33DB4" w:rsidRDefault="00641BBA" w:rsidP="00E33DB4">
      <w:pPr>
        <w:tabs>
          <w:tab w:val="left" w:pos="1440"/>
          <w:tab w:val="left" w:pos="4680"/>
          <w:tab w:val="center" w:pos="7200"/>
        </w:tabs>
        <w:spacing w:after="0"/>
        <w:jc w:val="center"/>
      </w:pPr>
      <w:r>
        <w:t>SOUTHERN CALIFORNIA GAS COMPANY</w:t>
      </w:r>
      <w:r w:rsidR="00FD4C53">
        <w:t>,</w:t>
      </w:r>
      <w:bookmarkStart w:id="1" w:name="_GoBack"/>
      <w:bookmarkEnd w:id="1"/>
    </w:p>
    <w:p w14:paraId="02DB6E8A" w14:textId="77777777" w:rsidR="00E33DB4" w:rsidRDefault="00641BBA" w:rsidP="00E33DB4">
      <w:pPr>
        <w:tabs>
          <w:tab w:val="left" w:pos="1440"/>
          <w:tab w:val="left" w:pos="4680"/>
          <w:tab w:val="center" w:pos="7200"/>
        </w:tabs>
        <w:spacing w:after="0"/>
        <w:jc w:val="center"/>
      </w:pPr>
      <w:r>
        <w:t>Petitioner</w:t>
      </w:r>
      <w:r w:rsidR="00E33DB4">
        <w:t>,</w:t>
      </w:r>
    </w:p>
    <w:p w14:paraId="372C616D" w14:textId="77777777" w:rsidR="00E33DB4" w:rsidRDefault="00E33DB4" w:rsidP="00E33DB4">
      <w:pPr>
        <w:tabs>
          <w:tab w:val="left" w:pos="1440"/>
          <w:tab w:val="left" w:pos="4680"/>
          <w:tab w:val="center" w:pos="7200"/>
        </w:tabs>
        <w:spacing w:after="0"/>
        <w:jc w:val="center"/>
      </w:pPr>
      <w:r>
        <w:t>v.</w:t>
      </w:r>
    </w:p>
    <w:p w14:paraId="3CA25C68" w14:textId="7EE493CE" w:rsidR="00641BBA" w:rsidRDefault="00B312C3" w:rsidP="00641BBA">
      <w:pPr>
        <w:tabs>
          <w:tab w:val="left" w:pos="1440"/>
          <w:tab w:val="left" w:pos="4680"/>
          <w:tab w:val="center" w:pos="7200"/>
        </w:tabs>
        <w:spacing w:after="0"/>
        <w:jc w:val="center"/>
      </w:pPr>
      <w:r>
        <w:t xml:space="preserve">THE </w:t>
      </w:r>
      <w:r w:rsidR="00641BBA" w:rsidRPr="00641BBA">
        <w:t>SUPERIOR COURT OF</w:t>
      </w:r>
      <w:r w:rsidR="00641BBA">
        <w:t xml:space="preserve"> </w:t>
      </w:r>
      <w:r w:rsidR="00641BBA" w:rsidRPr="00641BBA">
        <w:t>LOS ANGELES COUNTY,</w:t>
      </w:r>
    </w:p>
    <w:p w14:paraId="3BBFC90A" w14:textId="20FC4627" w:rsidR="00E33DB4" w:rsidRDefault="00E33DB4" w:rsidP="00641BBA">
      <w:pPr>
        <w:tabs>
          <w:tab w:val="left" w:pos="1440"/>
          <w:tab w:val="left" w:pos="4680"/>
          <w:tab w:val="center" w:pos="7200"/>
        </w:tabs>
        <w:spacing w:after="0"/>
        <w:jc w:val="center"/>
      </w:pPr>
      <w:r>
        <w:t>Respondent</w:t>
      </w:r>
      <w:r w:rsidR="00B312C3">
        <w:t>;</w:t>
      </w:r>
    </w:p>
    <w:p w14:paraId="47905482" w14:textId="77777777" w:rsidR="00641BBA" w:rsidRDefault="00641BBA" w:rsidP="00641BBA">
      <w:pPr>
        <w:tabs>
          <w:tab w:val="left" w:pos="1440"/>
          <w:tab w:val="left" w:pos="4680"/>
          <w:tab w:val="center" w:pos="7200"/>
        </w:tabs>
        <w:spacing w:after="0"/>
        <w:jc w:val="center"/>
      </w:pPr>
    </w:p>
    <w:p w14:paraId="0706CAD5" w14:textId="77777777" w:rsidR="00641BBA" w:rsidRDefault="00641BBA" w:rsidP="00641BBA">
      <w:pPr>
        <w:tabs>
          <w:tab w:val="left" w:pos="1440"/>
          <w:tab w:val="left" w:pos="4680"/>
          <w:tab w:val="center" w:pos="7200"/>
        </w:tabs>
        <w:spacing w:after="0"/>
        <w:jc w:val="center"/>
      </w:pPr>
      <w:r w:rsidRPr="00641BBA">
        <w:t>FIRST AMERICAN WHOLESALE LENDING</w:t>
      </w:r>
      <w:r>
        <w:t xml:space="preserve"> </w:t>
      </w:r>
      <w:r w:rsidRPr="00641BBA">
        <w:t>CORPORATION et al.,</w:t>
      </w:r>
    </w:p>
    <w:p w14:paraId="2AA00B6C" w14:textId="77777777" w:rsidR="00641BBA" w:rsidRDefault="00641BBA" w:rsidP="00E33DB4">
      <w:pPr>
        <w:tabs>
          <w:tab w:val="left" w:pos="1440"/>
          <w:tab w:val="left" w:pos="4680"/>
          <w:tab w:val="center" w:pos="7200"/>
        </w:tabs>
        <w:spacing w:after="0"/>
        <w:jc w:val="center"/>
      </w:pPr>
      <w:r>
        <w:t>Real Parties in Interest.</w:t>
      </w:r>
    </w:p>
    <w:p w14:paraId="58E2F0FF" w14:textId="77777777" w:rsidR="00641BBA" w:rsidRDefault="00641BBA" w:rsidP="00E33DB4">
      <w:pPr>
        <w:tabs>
          <w:tab w:val="left" w:pos="1440"/>
          <w:tab w:val="left" w:pos="4680"/>
          <w:tab w:val="center" w:pos="7200"/>
        </w:tabs>
        <w:spacing w:after="0"/>
        <w:jc w:val="center"/>
      </w:pPr>
    </w:p>
    <w:p w14:paraId="15443A69" w14:textId="77777777" w:rsidR="00E33DB4" w:rsidRDefault="00641BBA" w:rsidP="00E33DB4">
      <w:pPr>
        <w:tabs>
          <w:tab w:val="left" w:pos="1440"/>
          <w:tab w:val="left" w:pos="4680"/>
          <w:tab w:val="center" w:pos="7200"/>
        </w:tabs>
        <w:spacing w:after="0"/>
        <w:jc w:val="center"/>
        <w:rPr>
          <w:caps/>
        </w:rPr>
      </w:pPr>
      <w:r>
        <w:rPr>
          <w:caps/>
        </w:rPr>
        <w:t>S246669</w:t>
      </w:r>
    </w:p>
    <w:p w14:paraId="75818477" w14:textId="77777777" w:rsidR="00641BBA" w:rsidRDefault="00641BBA" w:rsidP="00E33DB4">
      <w:pPr>
        <w:tabs>
          <w:tab w:val="left" w:pos="1440"/>
          <w:tab w:val="left" w:pos="4680"/>
          <w:tab w:val="center" w:pos="7200"/>
        </w:tabs>
        <w:spacing w:after="0"/>
        <w:jc w:val="center"/>
      </w:pPr>
    </w:p>
    <w:p w14:paraId="04C3BD86" w14:textId="77777777" w:rsidR="00E33DB4" w:rsidRDefault="00E33DB4" w:rsidP="00E33DB4">
      <w:pPr>
        <w:tabs>
          <w:tab w:val="left" w:pos="1440"/>
          <w:tab w:val="left" w:pos="4680"/>
          <w:tab w:val="center" w:pos="7200"/>
        </w:tabs>
        <w:spacing w:after="0"/>
        <w:jc w:val="center"/>
      </w:pPr>
      <w:r>
        <w:t xml:space="preserve">Second Appellate District, Division </w:t>
      </w:r>
      <w:r w:rsidR="00641BBA">
        <w:t>Five</w:t>
      </w:r>
    </w:p>
    <w:p w14:paraId="644A6D8F" w14:textId="77777777" w:rsidR="00E33DB4" w:rsidRDefault="00641BBA" w:rsidP="00E33DB4">
      <w:pPr>
        <w:tabs>
          <w:tab w:val="left" w:pos="1440"/>
          <w:tab w:val="left" w:pos="4680"/>
          <w:tab w:val="center" w:pos="7200"/>
        </w:tabs>
        <w:spacing w:after="0"/>
        <w:jc w:val="center"/>
      </w:pPr>
      <w:r w:rsidRPr="00641BBA">
        <w:t>B283606</w:t>
      </w:r>
    </w:p>
    <w:p w14:paraId="1659E36A" w14:textId="77777777" w:rsidR="00641BBA" w:rsidRDefault="00641BBA" w:rsidP="00E33DB4">
      <w:pPr>
        <w:tabs>
          <w:tab w:val="left" w:pos="1440"/>
          <w:tab w:val="left" w:pos="4680"/>
          <w:tab w:val="center" w:pos="7200"/>
        </w:tabs>
        <w:spacing w:after="0"/>
        <w:jc w:val="center"/>
      </w:pPr>
    </w:p>
    <w:p w14:paraId="11761288" w14:textId="77777777" w:rsidR="00E33DB4" w:rsidRDefault="00E33DB4" w:rsidP="00E33DB4">
      <w:pPr>
        <w:tabs>
          <w:tab w:val="left" w:pos="1440"/>
          <w:tab w:val="left" w:pos="4680"/>
          <w:tab w:val="center" w:pos="7200"/>
        </w:tabs>
        <w:spacing w:after="0"/>
        <w:jc w:val="center"/>
      </w:pPr>
      <w:r>
        <w:t>Los Angeles County</w:t>
      </w:r>
      <w:r w:rsidR="004975E5">
        <w:t xml:space="preserve"> Superior Court</w:t>
      </w:r>
    </w:p>
    <w:p w14:paraId="79B1A7A5" w14:textId="3494C240" w:rsidR="00E33DB4" w:rsidRDefault="00641BBA" w:rsidP="00E33DB4">
      <w:pPr>
        <w:tabs>
          <w:tab w:val="left" w:pos="1440"/>
          <w:tab w:val="left" w:pos="4680"/>
          <w:tab w:val="center" w:pos="7200"/>
        </w:tabs>
        <w:spacing w:after="0"/>
        <w:jc w:val="center"/>
      </w:pPr>
      <w:r w:rsidRPr="00641BBA">
        <w:t>JCCP</w:t>
      </w:r>
      <w:r w:rsidR="00B312C3">
        <w:t xml:space="preserve"> No. </w:t>
      </w:r>
      <w:r w:rsidRPr="00641BBA">
        <w:t>4861</w:t>
      </w:r>
    </w:p>
    <w:p w14:paraId="2F7966A5" w14:textId="77777777" w:rsidR="00E33DB4" w:rsidRDefault="00E33DB4" w:rsidP="00E33DB4">
      <w:pPr>
        <w:pBdr>
          <w:bottom w:val="single" w:sz="4" w:space="1" w:color="auto"/>
        </w:pBdr>
        <w:tabs>
          <w:tab w:val="left" w:pos="1440"/>
          <w:tab w:val="left" w:pos="4680"/>
          <w:tab w:val="center" w:pos="7200"/>
        </w:tabs>
        <w:spacing w:after="0"/>
        <w:jc w:val="center"/>
      </w:pPr>
    </w:p>
    <w:p w14:paraId="5F638B9A" w14:textId="77777777" w:rsidR="00365876" w:rsidRDefault="00365876" w:rsidP="00E33DB4">
      <w:pPr>
        <w:tabs>
          <w:tab w:val="left" w:pos="1440"/>
          <w:tab w:val="left" w:pos="4680"/>
          <w:tab w:val="center" w:pos="7200"/>
        </w:tabs>
        <w:spacing w:after="0"/>
        <w:jc w:val="center"/>
      </w:pPr>
    </w:p>
    <w:p w14:paraId="08EF6D9D" w14:textId="31056E75" w:rsidR="00FA3257" w:rsidRDefault="0063688E" w:rsidP="00E33DB4">
      <w:pPr>
        <w:tabs>
          <w:tab w:val="left" w:pos="1440"/>
          <w:tab w:val="left" w:pos="4680"/>
          <w:tab w:val="center" w:pos="7200"/>
        </w:tabs>
        <w:spacing w:after="0"/>
        <w:jc w:val="center"/>
      </w:pPr>
      <w:r>
        <w:t>May 30</w:t>
      </w:r>
      <w:r w:rsidR="00FA3257">
        <w:t>, 2019</w:t>
      </w:r>
    </w:p>
    <w:p w14:paraId="644CCB44" w14:textId="77777777" w:rsidR="00FA3257" w:rsidRDefault="00FA3257" w:rsidP="00E33DB4">
      <w:pPr>
        <w:tabs>
          <w:tab w:val="left" w:pos="1440"/>
          <w:tab w:val="left" w:pos="4680"/>
          <w:tab w:val="center" w:pos="7200"/>
        </w:tabs>
        <w:spacing w:after="0"/>
        <w:jc w:val="center"/>
      </w:pPr>
    </w:p>
    <w:p w14:paraId="711EE87C" w14:textId="17540FB9" w:rsidR="00E33DB4" w:rsidRDefault="00E33DB4" w:rsidP="00E33DB4">
      <w:pPr>
        <w:tabs>
          <w:tab w:val="left" w:pos="1440"/>
          <w:tab w:val="left" w:pos="4680"/>
          <w:tab w:val="center" w:pos="7200"/>
        </w:tabs>
        <w:spacing w:after="0"/>
        <w:jc w:val="left"/>
      </w:pPr>
      <w:r>
        <w:t xml:space="preserve">Justice Cuéllar </w:t>
      </w:r>
      <w:r w:rsidR="004975E5">
        <w:t xml:space="preserve">authored </w:t>
      </w:r>
      <w:r>
        <w:t xml:space="preserve">the opinion of the court, in which </w:t>
      </w:r>
      <w:r w:rsidR="0063688E">
        <w:t>Chief Justice Cantil-Sakauye and Justices Chin, Corrigan, Liu, Kruger, and Groban</w:t>
      </w:r>
      <w:r w:rsidR="00057BB9">
        <w:t xml:space="preserve"> concurred</w:t>
      </w:r>
      <w:r>
        <w:t>.</w:t>
      </w:r>
    </w:p>
    <w:p w14:paraId="5F1A3EEE" w14:textId="77777777" w:rsidR="00E33DB4" w:rsidRPr="00E33DB4" w:rsidRDefault="00E33DB4" w:rsidP="00E33DB4">
      <w:pPr>
        <w:pBdr>
          <w:bottom w:val="single" w:sz="4" w:space="1" w:color="auto"/>
        </w:pBdr>
        <w:tabs>
          <w:tab w:val="left" w:pos="1440"/>
          <w:tab w:val="left" w:pos="4680"/>
          <w:tab w:val="center" w:pos="7200"/>
        </w:tabs>
        <w:spacing w:line="480" w:lineRule="atLeast"/>
        <w:jc w:val="left"/>
      </w:pPr>
      <w:bookmarkStart w:id="2" w:name="Return"/>
      <w:bookmarkEnd w:id="2"/>
    </w:p>
    <w:p w14:paraId="0CED06EE" w14:textId="77777777" w:rsidR="00E33DB4" w:rsidRDefault="00E33DB4">
      <w:pPr>
        <w:tabs>
          <w:tab w:val="left" w:pos="1440"/>
          <w:tab w:val="left" w:pos="4680"/>
          <w:tab w:val="center" w:pos="7200"/>
        </w:tabs>
        <w:spacing w:line="480" w:lineRule="atLeast"/>
        <w:sectPr w:rsidR="00E33DB4" w:rsidSect="00E33DB4">
          <w:headerReference w:type="default" r:id="rId7"/>
          <w:footerReference w:type="default" r:id="rId8"/>
          <w:pgSz w:w="12240" w:h="15840"/>
          <w:pgMar w:top="1800" w:right="2160" w:bottom="1440" w:left="2160" w:header="720" w:footer="720" w:gutter="0"/>
          <w:cols w:space="720"/>
          <w:titlePg/>
          <w:docGrid w:linePitch="367"/>
        </w:sectPr>
      </w:pPr>
    </w:p>
    <w:p w14:paraId="7C2FA376" w14:textId="77777777" w:rsidR="00E33DB4" w:rsidRDefault="00AB745E" w:rsidP="00E33DB4">
      <w:pPr>
        <w:tabs>
          <w:tab w:val="left" w:pos="1440"/>
          <w:tab w:val="left" w:pos="4680"/>
          <w:tab w:val="center" w:pos="7200"/>
        </w:tabs>
        <w:jc w:val="center"/>
      </w:pPr>
      <w:r>
        <w:lastRenderedPageBreak/>
        <w:t>SOUTHERN CALIFORNIA GAS LEAK CASES</w:t>
      </w:r>
    </w:p>
    <w:p w14:paraId="4A9EDF40" w14:textId="77777777" w:rsidR="00E33DB4" w:rsidRDefault="00E33DB4" w:rsidP="00E33DB4">
      <w:pPr>
        <w:tabs>
          <w:tab w:val="left" w:pos="1440"/>
          <w:tab w:val="left" w:pos="4680"/>
          <w:tab w:val="center" w:pos="7200"/>
        </w:tabs>
        <w:jc w:val="center"/>
      </w:pPr>
      <w:r>
        <w:t>S</w:t>
      </w:r>
      <w:r w:rsidR="00AB745E">
        <w:t>246669</w:t>
      </w:r>
    </w:p>
    <w:p w14:paraId="4BE77DFB" w14:textId="77777777" w:rsidR="00E33DB4" w:rsidRDefault="00E33DB4" w:rsidP="00E33DB4">
      <w:pPr>
        <w:tabs>
          <w:tab w:val="left" w:pos="1440"/>
          <w:tab w:val="left" w:pos="4680"/>
          <w:tab w:val="center" w:pos="7200"/>
        </w:tabs>
        <w:jc w:val="center"/>
      </w:pPr>
    </w:p>
    <w:p w14:paraId="0AD8D6F6" w14:textId="77777777" w:rsidR="00E33DB4" w:rsidRDefault="00E33DB4" w:rsidP="00E33DB4">
      <w:pPr>
        <w:tabs>
          <w:tab w:val="left" w:pos="1440"/>
          <w:tab w:val="left" w:pos="4680"/>
          <w:tab w:val="center" w:pos="7200"/>
        </w:tabs>
        <w:jc w:val="center"/>
      </w:pPr>
      <w:r>
        <w:t>Opinion of the Court by Cuéllar, J.</w:t>
      </w:r>
    </w:p>
    <w:p w14:paraId="3BBB4780" w14:textId="77777777" w:rsidR="00A1765E" w:rsidRPr="00E33DB4" w:rsidRDefault="00A1765E" w:rsidP="00E33DB4"/>
    <w:p w14:paraId="1AB2D2D1" w14:textId="39C283DA" w:rsidR="00D871D0" w:rsidRPr="00D871D0" w:rsidRDefault="005B71A5" w:rsidP="00D871D0">
      <w:r w:rsidRPr="00E33DB4">
        <w:tab/>
      </w:r>
      <w:r w:rsidR="00D871D0" w:rsidRPr="00D871D0">
        <w:t xml:space="preserve">This case concerns a massive, months-long leak from a natural gas storage facility </w:t>
      </w:r>
      <w:r w:rsidR="00993418">
        <w:t xml:space="preserve">located </w:t>
      </w:r>
      <w:r w:rsidR="00D871D0" w:rsidRPr="00D871D0">
        <w:t xml:space="preserve">just outside Los Angeles.  </w:t>
      </w:r>
      <w:r w:rsidR="00114694">
        <w:t>According to the allegations before us, t</w:t>
      </w:r>
      <w:r w:rsidR="00D871D0" w:rsidRPr="00D871D0">
        <w:t>he accident</w:t>
      </w:r>
      <w:r w:rsidR="00E13DE3">
        <w:t xml:space="preserve"> </w:t>
      </w:r>
      <w:r w:rsidR="00090D96">
        <w:t xml:space="preserve">severely </w:t>
      </w:r>
      <w:r w:rsidR="0078598A">
        <w:t>harmed</w:t>
      </w:r>
      <w:r w:rsidR="00005E5B">
        <w:t xml:space="preserve"> </w:t>
      </w:r>
      <w:r w:rsidR="00D871D0" w:rsidRPr="00D871D0">
        <w:t>the economy of a nearby suburb.  We must decide if local businesses — none of wh</w:t>
      </w:r>
      <w:r w:rsidR="00D52011">
        <w:t>ich</w:t>
      </w:r>
      <w:r w:rsidR="00D871D0" w:rsidRPr="00D871D0">
        <w:t xml:space="preserve"> allege they suffered personal injury or property damage — may recover in negligence for income lost because of the leak.  Our decision turns on whether the entity</w:t>
      </w:r>
      <w:r w:rsidR="00422E94">
        <w:t xml:space="preserve"> that</w:t>
      </w:r>
      <w:r w:rsidR="00D871D0" w:rsidRPr="00D871D0">
        <w:t xml:space="preserve"> allegedly </w:t>
      </w:r>
      <w:r w:rsidR="00422E94">
        <w:t>caused the leak</w:t>
      </w:r>
      <w:r w:rsidR="00422E94" w:rsidRPr="00D871D0">
        <w:t xml:space="preserve"> </w:t>
      </w:r>
      <w:r w:rsidR="00D871D0" w:rsidRPr="00D871D0">
        <w:t xml:space="preserve">had a tort duty to guard against what we and other courts have termed “purely economic losses.”  </w:t>
      </w:r>
    </w:p>
    <w:p w14:paraId="5DDC05A8" w14:textId="68AF3623" w:rsidR="00E13DE3" w:rsidRDefault="00D871D0" w:rsidP="00E37985">
      <w:r w:rsidRPr="00D871D0">
        <w:tab/>
        <w:t xml:space="preserve">The businesses argue </w:t>
      </w:r>
      <w:r w:rsidR="00F91EA3">
        <w:t xml:space="preserve">that </w:t>
      </w:r>
      <w:r w:rsidRPr="00D871D0">
        <w:t xml:space="preserve">they deserve compensation for such losses, that the entity </w:t>
      </w:r>
      <w:r w:rsidR="00114694">
        <w:t xml:space="preserve">responsible </w:t>
      </w:r>
      <w:r w:rsidRPr="00D871D0">
        <w:t xml:space="preserve">must </w:t>
      </w:r>
      <w:r w:rsidR="00F179B3">
        <w:t>bear the full costs</w:t>
      </w:r>
      <w:r w:rsidRPr="00D871D0">
        <w:t xml:space="preserve"> of its alleged negligence</w:t>
      </w:r>
      <w:r w:rsidR="00D90DDB">
        <w:t xml:space="preserve"> so tort law can play its essential role of forcing people and organizations to take </w:t>
      </w:r>
      <w:proofErr w:type="gramStart"/>
      <w:r w:rsidR="00D90DDB">
        <w:t>sufficient</w:t>
      </w:r>
      <w:proofErr w:type="gramEnd"/>
      <w:r w:rsidR="00D90DDB">
        <w:t xml:space="preserve"> account of the risks </w:t>
      </w:r>
      <w:r w:rsidR="006A5D73">
        <w:t>they</w:t>
      </w:r>
      <w:r w:rsidR="00D90DDB">
        <w:t xml:space="preserve"> generate</w:t>
      </w:r>
      <w:r w:rsidRPr="00D871D0">
        <w:t xml:space="preserve">, and that courts can sensibly apportion liability under these circumstances within meaningful limits.  </w:t>
      </w:r>
      <w:r w:rsidR="00200BA6">
        <w:t>Tort</w:t>
      </w:r>
      <w:r w:rsidR="00D90DDB">
        <w:t xml:space="preserve"> law </w:t>
      </w:r>
      <w:r w:rsidR="006A5D73">
        <w:t xml:space="preserve">indeed lies </w:t>
      </w:r>
      <w:r w:rsidR="00200BA6">
        <w:t>in</w:t>
      </w:r>
      <w:r w:rsidR="006A5D73">
        <w:t xml:space="preserve"> the heartland of our common law system</w:t>
      </w:r>
      <w:r w:rsidR="00E96139">
        <w:t xml:space="preserve">.  </w:t>
      </w:r>
      <w:r w:rsidR="00A459EE">
        <w:t>I</w:t>
      </w:r>
      <w:r w:rsidR="006A5D73">
        <w:t xml:space="preserve">t serves society’s interest in allocating risks and costs to those who can better prevent them, and </w:t>
      </w:r>
      <w:r w:rsidR="0092739D">
        <w:t xml:space="preserve">it </w:t>
      </w:r>
      <w:r w:rsidR="006A5D73">
        <w:t xml:space="preserve">provides aggrieved parties with just compensation.  </w:t>
      </w:r>
      <w:r w:rsidRPr="00D871D0">
        <w:t xml:space="preserve">But a proper assessment of competing considerations </w:t>
      </w:r>
      <w:proofErr w:type="gramStart"/>
      <w:r w:rsidRPr="00D871D0">
        <w:t>in light of</w:t>
      </w:r>
      <w:proofErr w:type="gramEnd"/>
      <w:r w:rsidRPr="00D871D0">
        <w:t xml:space="preserve"> our precedent suggests, and the extent of consensus across other jurisdictions confirms, that claims for purely economic losses suffered from mere proximity to an industrial accident create intractable line</w:t>
      </w:r>
      <w:r w:rsidR="00ED4A1C">
        <w:noBreakHyphen/>
      </w:r>
      <w:r w:rsidRPr="00D871D0">
        <w:t xml:space="preserve">drawing problems for courts.  </w:t>
      </w:r>
      <w:proofErr w:type="gramStart"/>
      <w:r w:rsidRPr="00D871D0">
        <w:t>So</w:t>
      </w:r>
      <w:proofErr w:type="gramEnd"/>
      <w:r w:rsidRPr="00D871D0">
        <w:t xml:space="preserve"> the claims before us are </w:t>
      </w:r>
      <w:r w:rsidR="0044206A">
        <w:t xml:space="preserve">best </w:t>
      </w:r>
      <w:r w:rsidRPr="00D871D0">
        <w:t xml:space="preserve">not </w:t>
      </w:r>
      <w:r w:rsidR="0044206A">
        <w:t xml:space="preserve">treated as </w:t>
      </w:r>
      <w:r w:rsidRPr="00D871D0">
        <w:t>compensable in negligence.</w:t>
      </w:r>
      <w:r w:rsidR="00E13DE3" w:rsidRPr="00D871D0" w:rsidDel="004511F7">
        <w:t xml:space="preserve"> </w:t>
      </w:r>
      <w:r w:rsidR="007E4B11" w:rsidRPr="00D871D0">
        <w:tab/>
      </w:r>
    </w:p>
    <w:p w14:paraId="6F54F624" w14:textId="21C6195F" w:rsidR="00D871D0" w:rsidRPr="00D871D0" w:rsidRDefault="004511F7" w:rsidP="00E13DE3">
      <w:pPr>
        <w:ind w:firstLine="720"/>
      </w:pPr>
      <w:r>
        <w:lastRenderedPageBreak/>
        <w:t>W</w:t>
      </w:r>
      <w:r w:rsidR="007E4B11" w:rsidRPr="00D871D0">
        <w:t xml:space="preserve">e </w:t>
      </w:r>
      <w:r>
        <w:t xml:space="preserve">therefore </w:t>
      </w:r>
      <w:r w:rsidR="007E4B11" w:rsidRPr="00D871D0">
        <w:t>affirm the judgment of the Court of Appeal.</w:t>
      </w:r>
    </w:p>
    <w:p w14:paraId="2973AC34" w14:textId="77777777" w:rsidR="0052663A" w:rsidRPr="0052663A" w:rsidRDefault="0052663A" w:rsidP="0052663A">
      <w:pPr>
        <w:jc w:val="center"/>
        <w:rPr>
          <w:b/>
        </w:rPr>
      </w:pPr>
      <w:r w:rsidRPr="0052663A">
        <w:rPr>
          <w:b/>
        </w:rPr>
        <w:t>I.</w:t>
      </w:r>
    </w:p>
    <w:p w14:paraId="55A21ABC" w14:textId="15743D4D" w:rsidR="0052663A" w:rsidRPr="0052663A" w:rsidRDefault="0052663A" w:rsidP="0052663A">
      <w:pPr>
        <w:ind w:firstLine="720"/>
      </w:pPr>
      <w:r w:rsidRPr="0052663A">
        <w:t>Because this case comes to us at the demurrer stage, we take as true all properly pleaded material facts — but not conclusions of fact or law.  (</w:t>
      </w:r>
      <w:r w:rsidRPr="0052663A">
        <w:rPr>
          <w:i/>
          <w:iCs/>
        </w:rPr>
        <w:t>Centinela Freeman Emergency Medical Associates v. Health Net of California, Inc.</w:t>
      </w:r>
      <w:r w:rsidRPr="0052663A">
        <w:t> (2016) 1</w:t>
      </w:r>
      <w:r w:rsidR="00012544">
        <w:t> </w:t>
      </w:r>
      <w:r w:rsidRPr="0052663A">
        <w:t>Cal.5th 994, 1010 (</w:t>
      </w:r>
      <w:r w:rsidRPr="0052663A">
        <w:rPr>
          <w:i/>
        </w:rPr>
        <w:t>Centinela</w:t>
      </w:r>
      <w:r w:rsidRPr="0052663A">
        <w:t>).)</w:t>
      </w:r>
    </w:p>
    <w:p w14:paraId="46E881F4" w14:textId="77777777" w:rsidR="007E4BF7" w:rsidRPr="0052663A" w:rsidRDefault="007E4BF7" w:rsidP="007E4BF7">
      <w:pPr>
        <w:jc w:val="center"/>
        <w:rPr>
          <w:b/>
        </w:rPr>
      </w:pPr>
      <w:r>
        <w:rPr>
          <w:b/>
        </w:rPr>
        <w:t>A</w:t>
      </w:r>
      <w:r w:rsidRPr="0052663A">
        <w:rPr>
          <w:b/>
        </w:rPr>
        <w:t>.</w:t>
      </w:r>
    </w:p>
    <w:p w14:paraId="60CE3771" w14:textId="2A02B00C" w:rsidR="007E4BF7" w:rsidRPr="007E4BF7" w:rsidRDefault="007E4BF7" w:rsidP="007E4BF7">
      <w:pPr>
        <w:ind w:firstLine="720"/>
      </w:pPr>
      <w:r w:rsidRPr="007E4BF7">
        <w:t xml:space="preserve">Near the northwestern corner of Los Angeles lies Porter Ranch, a residential neighborhood home to </w:t>
      </w:r>
      <w:proofErr w:type="gramStart"/>
      <w:r w:rsidRPr="007E4BF7">
        <w:t>some</w:t>
      </w:r>
      <w:proofErr w:type="gramEnd"/>
      <w:r w:rsidRPr="007E4BF7">
        <w:t xml:space="preserve"> 30,000 people.  Southern California Gas Company (SoCalGas) stores vast amounts of natural gas in an underground facility in the hills surrounding the community.  Known today as the </w:t>
      </w:r>
      <w:r w:rsidR="00830445">
        <w:t>“</w:t>
      </w:r>
      <w:r w:rsidRPr="007E4BF7">
        <w:t>Aliso Facility,</w:t>
      </w:r>
      <w:r w:rsidR="00830445">
        <w:t>”</w:t>
      </w:r>
      <w:r w:rsidRPr="007E4BF7">
        <w:t xml:space="preserve"> that subterranean storage site was once an oil reservoir.  It was repurposed about 40 years ago for its present use.  SoCalGas supplies over 21 million people with natural gas from its four storage facilities, but the Aliso Facility is the company’s largest.  It holds up to 80 billion cubic feet of natural gas, which SoCalGas pumps underground at high pressure into more than 100 “injection wells.”  Because natural gas is odorless, SoCalGas adds a nausea-causing chemical to the gas so that people notice when a leak happens.</w:t>
      </w:r>
    </w:p>
    <w:p w14:paraId="6231E708" w14:textId="21907803" w:rsidR="007E4BF7" w:rsidRPr="007E4BF7" w:rsidRDefault="007E4BF7" w:rsidP="007E4BF7">
      <w:r w:rsidRPr="007E4BF7">
        <w:tab/>
        <w:t>In October 2015, a leak happened — and people noticed.  An uncontrolled flow of natural gas from the Aliso Facility coated</w:t>
      </w:r>
      <w:r w:rsidR="00E96139" w:rsidRPr="007E4BF7">
        <w:t xml:space="preserve"> </w:t>
      </w:r>
      <w:r w:rsidRPr="007E4BF7">
        <w:t xml:space="preserve">nearby neighborhoods in an oily mist.  At its peak, the leak released </w:t>
      </w:r>
      <w:proofErr w:type="gramStart"/>
      <w:r w:rsidRPr="007E4BF7">
        <w:t>some</w:t>
      </w:r>
      <w:proofErr w:type="gramEnd"/>
      <w:r w:rsidRPr="007E4BF7">
        <w:t xml:space="preserve"> </w:t>
      </w:r>
      <w:r w:rsidR="00712A42">
        <w:t xml:space="preserve">55 tons </w:t>
      </w:r>
      <w:r w:rsidRPr="007E4BF7">
        <w:t>of natural gas every hour.  Porter Ranch residents reported unpleasant odors, headaches, dizziness, and respiratory problems.  In addition to those symptoms, students at local schools complained of nosebleeds and vomiting.</w:t>
      </w:r>
    </w:p>
    <w:p w14:paraId="2F78F6D9" w14:textId="26291280" w:rsidR="007E4BF7" w:rsidRPr="007E4BF7" w:rsidRDefault="007E4BF7" w:rsidP="007E4BF7">
      <w:r w:rsidRPr="007E4BF7">
        <w:lastRenderedPageBreak/>
        <w:tab/>
      </w:r>
      <w:r w:rsidR="00830445">
        <w:t>That</w:t>
      </w:r>
      <w:r w:rsidR="00830445" w:rsidRPr="007E4BF7">
        <w:t xml:space="preserve"> </w:t>
      </w:r>
      <w:r w:rsidRPr="007E4BF7">
        <w:t xml:space="preserve">November, the Los Angeles County </w:t>
      </w:r>
      <w:r w:rsidR="009E37D2">
        <w:t>h</w:t>
      </w:r>
      <w:r w:rsidRPr="007E4BF7">
        <w:t xml:space="preserve">ealth </w:t>
      </w:r>
      <w:r w:rsidR="009E37D2">
        <w:t>d</w:t>
      </w:r>
      <w:r w:rsidRPr="007E4BF7">
        <w:t xml:space="preserve">epartment directed SoCalGas to establish a relocation program available to Porter Ranch residents who lived within a five-mile radius of the leak site.  The </w:t>
      </w:r>
      <w:r w:rsidR="00830445">
        <w:t>Depart</w:t>
      </w:r>
      <w:r w:rsidR="00952617">
        <w:t>ment</w:t>
      </w:r>
      <w:r w:rsidR="00830445">
        <w:t xml:space="preserve"> of Conservation’s</w:t>
      </w:r>
      <w:r w:rsidR="00830445" w:rsidRPr="007E4BF7">
        <w:t xml:space="preserve"> </w:t>
      </w:r>
      <w:r w:rsidRPr="007E4BF7">
        <w:t xml:space="preserve">Division of Oil, Gas, and Geothermal Resources required SoCalGas to provide real-time data about the leak, as well as a timeline for stopping it.  A month later, with the flow of gas slowing but still significant, the </w:t>
      </w:r>
      <w:r w:rsidR="00830445">
        <w:t xml:space="preserve">Los Angeles </w:t>
      </w:r>
      <w:r w:rsidRPr="007E4BF7">
        <w:t>County Board of Education decided to relocate students and staff from two Porter Ranch schools for the duration of the academic year.  And a month after that, SoCalGas expanded its relocation program, citing complaints of poor air quality from people living outside the initial five-mile boundary.  About 15,000 people were relocated in total, scattering</w:t>
      </w:r>
      <w:r w:rsidR="00426EAB">
        <w:t xml:space="preserve"> to locations</w:t>
      </w:r>
      <w:r w:rsidRPr="007E4BF7">
        <w:t xml:space="preserve"> dozens — </w:t>
      </w:r>
      <w:r w:rsidR="00426EAB">
        <w:t xml:space="preserve">and </w:t>
      </w:r>
      <w:r w:rsidRPr="007E4BF7">
        <w:t xml:space="preserve">in </w:t>
      </w:r>
      <w:proofErr w:type="gramStart"/>
      <w:r w:rsidRPr="007E4BF7">
        <w:t>some</w:t>
      </w:r>
      <w:proofErr w:type="gramEnd"/>
      <w:r w:rsidRPr="007E4BF7">
        <w:t xml:space="preserve"> cases hundreds — of miles away.</w:t>
      </w:r>
    </w:p>
    <w:p w14:paraId="4EA2AD9C" w14:textId="2DA94CB7" w:rsidR="00A931A1" w:rsidRDefault="007E4BF7" w:rsidP="007E4BF7">
      <w:r w:rsidRPr="007E4BF7">
        <w:tab/>
        <w:t>SoCalGas finally got the leak under control in February</w:t>
      </w:r>
      <w:r w:rsidR="009E37D2">
        <w:t xml:space="preserve"> 2016</w:t>
      </w:r>
      <w:r w:rsidRPr="007E4BF7">
        <w:t xml:space="preserve"> — four months after detecting it.  All told, about </w:t>
      </w:r>
      <w:r w:rsidR="005D2CC4">
        <w:t xml:space="preserve">100,000 tons </w:t>
      </w:r>
      <w:r w:rsidRPr="007E4BF7">
        <w:t xml:space="preserve">of natural gas escaped the Aliso Facility, releasing enough greenhouse gases into the atmosphere to erase </w:t>
      </w:r>
      <w:proofErr w:type="gramStart"/>
      <w:r w:rsidR="002A744B">
        <w:t>several</w:t>
      </w:r>
      <w:proofErr w:type="gramEnd"/>
      <w:r w:rsidR="002A744B">
        <w:t xml:space="preserve"> </w:t>
      </w:r>
      <w:r w:rsidRPr="007E4BF7">
        <w:t>years</w:t>
      </w:r>
      <w:r w:rsidR="002A744B">
        <w:t>’</w:t>
      </w:r>
      <w:r w:rsidR="009E37D2">
        <w:t xml:space="preserve"> </w:t>
      </w:r>
      <w:r w:rsidRPr="007E4BF7">
        <w:t>worth of efforts to combat climate change in California.</w:t>
      </w:r>
    </w:p>
    <w:p w14:paraId="51EB1E26" w14:textId="77777777" w:rsidR="007E4BF7" w:rsidRPr="007E4BF7" w:rsidRDefault="007E4BF7" w:rsidP="007E4BF7">
      <w:pPr>
        <w:jc w:val="center"/>
      </w:pPr>
      <w:r w:rsidRPr="007E4BF7">
        <w:rPr>
          <w:b/>
        </w:rPr>
        <w:t>B.</w:t>
      </w:r>
    </w:p>
    <w:p w14:paraId="43F087E6" w14:textId="58B849C8" w:rsidR="007E4BF7" w:rsidRPr="007E4BF7" w:rsidRDefault="007E4BF7" w:rsidP="007E4BF7">
      <w:pPr>
        <w:ind w:firstLine="720"/>
      </w:pPr>
      <w:r w:rsidRPr="007E4BF7">
        <w:t>Plaintiffs are Porter Ranch area businesses seeking to represent a class of “[a]</w:t>
      </w:r>
      <w:proofErr w:type="spellStart"/>
      <w:r w:rsidRPr="007E4BF7">
        <w:t>ll</w:t>
      </w:r>
      <w:proofErr w:type="spellEnd"/>
      <w:r w:rsidRPr="007E4BF7">
        <w:t xml:space="preserve"> persons and entities conducting business within five miles of the [Aliso] Facility from October</w:t>
      </w:r>
      <w:r w:rsidR="002345AE">
        <w:t> </w:t>
      </w:r>
      <w:r w:rsidRPr="007E4BF7">
        <w:t>23, 2015 to [the] present.”</w:t>
      </w:r>
      <w:r w:rsidR="009E37D2">
        <w:rPr>
          <w:rStyle w:val="FootnoteReference"/>
        </w:rPr>
        <w:footnoteReference w:id="2"/>
      </w:r>
      <w:r w:rsidRPr="007E4BF7">
        <w:t xml:space="preserve">  They allege </w:t>
      </w:r>
      <w:r w:rsidR="00426EAB">
        <w:t xml:space="preserve">that </w:t>
      </w:r>
      <w:r w:rsidRPr="007E4BF7">
        <w:t xml:space="preserve">SoCalGas’s negligence caused the leak.  The resulting relocation of </w:t>
      </w:r>
      <w:proofErr w:type="gramStart"/>
      <w:r w:rsidRPr="007E4BF7">
        <w:t>many</w:t>
      </w:r>
      <w:proofErr w:type="gramEnd"/>
      <w:r w:rsidRPr="007E4BF7">
        <w:t xml:space="preserve"> Porter Ranch residents devastated the local economy</w:t>
      </w:r>
      <w:r w:rsidR="00426EAB">
        <w:t>:</w:t>
      </w:r>
      <w:r w:rsidR="00A61D93">
        <w:t xml:space="preserve"> </w:t>
      </w:r>
      <w:r w:rsidR="00426EAB">
        <w:t xml:space="preserve"> by </w:t>
      </w:r>
      <w:r w:rsidRPr="007E4BF7">
        <w:lastRenderedPageBreak/>
        <w:t>depriving local businesses of customers</w:t>
      </w:r>
      <w:r w:rsidR="00426EAB">
        <w:t xml:space="preserve">, </w:t>
      </w:r>
      <w:r w:rsidR="00F63E0B">
        <w:t>the environmental disaster cost local businesses considerable earnings</w:t>
      </w:r>
      <w:r w:rsidRPr="007E4BF7">
        <w:t xml:space="preserve">. </w:t>
      </w:r>
    </w:p>
    <w:p w14:paraId="7D9A5233" w14:textId="3342A546" w:rsidR="007E4BF7" w:rsidRPr="007E4BF7" w:rsidRDefault="007E4BF7" w:rsidP="007E4BF7">
      <w:r w:rsidRPr="007E4BF7">
        <w:tab/>
        <w:t xml:space="preserve">That harm, Plaintiffs maintain, is ongoing.  Sales at businesses of all stripes declined sharply, and in </w:t>
      </w:r>
      <w:proofErr w:type="gramStart"/>
      <w:r w:rsidRPr="007E4BF7">
        <w:t>many</w:t>
      </w:r>
      <w:proofErr w:type="gramEnd"/>
      <w:r w:rsidRPr="007E4BF7">
        <w:t xml:space="preserve"> cases, stayed down.  Enrollment at a local martial arts center</w:t>
      </w:r>
      <w:r w:rsidR="00E75151">
        <w:t xml:space="preserve">, </w:t>
      </w:r>
      <w:r w:rsidRPr="007E4BF7">
        <w:t>Plaintiff King Taekwondo</w:t>
      </w:r>
      <w:r w:rsidR="00E75151">
        <w:t xml:space="preserve">, </w:t>
      </w:r>
      <w:r w:rsidRPr="007E4BF7">
        <w:t>nosedived during the leak and has not recovered.  The same was true of a neighborhood day care</w:t>
      </w:r>
      <w:r w:rsidR="00E75151">
        <w:t>,</w:t>
      </w:r>
      <w:r w:rsidRPr="007E4BF7">
        <w:t xml:space="preserve"> Plaintiff Polonsky Family Day Care.  Restaurants, gas stations, </w:t>
      </w:r>
      <w:r w:rsidR="00F90C75">
        <w:t xml:space="preserve">and </w:t>
      </w:r>
      <w:r w:rsidRPr="007E4BF7">
        <w:t xml:space="preserve">pharmacies </w:t>
      </w:r>
      <w:r w:rsidR="00F90C75">
        <w:t xml:space="preserve">were affected, too.  So were </w:t>
      </w:r>
      <w:r w:rsidRPr="007E4BF7">
        <w:t>beauty salons, doctor’s offices, party suppliers</w:t>
      </w:r>
      <w:r w:rsidR="009B67C8">
        <w:t>, and</w:t>
      </w:r>
      <w:r w:rsidRPr="007E4BF7">
        <w:t xml:space="preserve"> a photography store.</w:t>
      </w:r>
    </w:p>
    <w:p w14:paraId="245071F4" w14:textId="3FA35D2D" w:rsidR="007E4BF7" w:rsidRPr="007E4BF7" w:rsidRDefault="007E4BF7" w:rsidP="007E4BF7">
      <w:r w:rsidRPr="007E4BF7">
        <w:tab/>
        <w:t xml:space="preserve">With the </w:t>
      </w:r>
      <w:proofErr w:type="spellStart"/>
      <w:r w:rsidR="00296655">
        <w:t>en</w:t>
      </w:r>
      <w:proofErr w:type="spellEnd"/>
      <w:r w:rsidR="00296655">
        <w:t xml:space="preserve"> masse </w:t>
      </w:r>
      <w:r w:rsidRPr="007E4BF7">
        <w:t>relocation</w:t>
      </w:r>
      <w:r w:rsidR="00296655">
        <w:t xml:space="preserve"> </w:t>
      </w:r>
      <w:r w:rsidRPr="007E4BF7">
        <w:t xml:space="preserve">of Porter Ranch residents and the diminution in property values caused by the leak, home mortgage lenders and home improvement businesses suffered economically as well.  Plaintiff First American Realty saw clients get cold feet, loans </w:t>
      </w:r>
      <w:r w:rsidR="00296655">
        <w:t xml:space="preserve">fall </w:t>
      </w:r>
      <w:r w:rsidRPr="007E4BF7">
        <w:t xml:space="preserve">out of escrow, and sales </w:t>
      </w:r>
      <w:r w:rsidR="00296655">
        <w:t>tumble</w:t>
      </w:r>
      <w:r w:rsidRPr="007E4BF7">
        <w:t>.  A local contractor</w:t>
      </w:r>
      <w:r w:rsidR="0058708F">
        <w:t>’s</w:t>
      </w:r>
      <w:r w:rsidRPr="007E4BF7">
        <w:t xml:space="preserve"> business drop</w:t>
      </w:r>
      <w:r w:rsidR="0058708F">
        <w:t>ped</w:t>
      </w:r>
      <w:r w:rsidRPr="007E4BF7">
        <w:t xml:space="preserve"> by 25 percent, as customers moved away or decided against home improvements for the time being.  “Since the onset of the gas leak,” in other words, business operations throughout Porter Ranch “have either halted or slowed substantially” — and </w:t>
      </w:r>
      <w:r w:rsidR="009D1196">
        <w:t>Plaintiffs</w:t>
      </w:r>
      <w:r w:rsidR="009D1196" w:rsidRPr="007E4BF7">
        <w:t xml:space="preserve"> </w:t>
      </w:r>
      <w:r w:rsidRPr="007E4BF7">
        <w:t xml:space="preserve">“have not yet recovered from the blow to their bottom lines.” </w:t>
      </w:r>
    </w:p>
    <w:p w14:paraId="3D306832" w14:textId="16F5B37A" w:rsidR="007E4BF7" w:rsidRDefault="00296655" w:rsidP="007E4BF7">
      <w:r>
        <w:tab/>
        <w:t>Yet no</w:t>
      </w:r>
      <w:r w:rsidR="007E4BF7" w:rsidRPr="007E4BF7">
        <w:t xml:space="preserve"> named plaintiff in this action alleges personal injury or property damage.  Accordingly, Plaintiffs acknowledge they are suing SoCalGas to recover solely for the income they lost because of the leak.</w:t>
      </w:r>
    </w:p>
    <w:p w14:paraId="051A15BE" w14:textId="77777777" w:rsidR="00AD47BA" w:rsidRDefault="00AD47BA" w:rsidP="00AD47BA">
      <w:pPr>
        <w:jc w:val="center"/>
        <w:rPr>
          <w:b/>
        </w:rPr>
      </w:pPr>
      <w:r>
        <w:rPr>
          <w:b/>
        </w:rPr>
        <w:t>C.</w:t>
      </w:r>
    </w:p>
    <w:p w14:paraId="54C0C9C0" w14:textId="6D263210" w:rsidR="00AD47BA" w:rsidRPr="00AD47BA" w:rsidRDefault="00AD47BA" w:rsidP="00AD47BA">
      <w:pPr>
        <w:ind w:firstLine="720"/>
      </w:pPr>
      <w:r w:rsidRPr="00AD47BA">
        <w:t xml:space="preserve">SoCalGas demurred, arguing that Plaintiffs’ </w:t>
      </w:r>
      <w:r w:rsidR="005C4201">
        <w:t xml:space="preserve">negligence </w:t>
      </w:r>
      <w:r w:rsidRPr="00AD47BA">
        <w:t>claims failed as a matter of law because Plaintiffs were seeking to recover for purely economic losses.</w:t>
      </w:r>
      <w:r w:rsidRPr="00AD47BA">
        <w:rPr>
          <w:b/>
        </w:rPr>
        <w:t xml:space="preserve">  </w:t>
      </w:r>
      <w:r w:rsidRPr="00AD47BA">
        <w:t xml:space="preserve">Overruling the demurrer, the trial court explained that </w:t>
      </w:r>
      <w:r w:rsidR="00475804">
        <w:t xml:space="preserve">companies </w:t>
      </w:r>
      <w:r w:rsidRPr="00AD47BA">
        <w:t xml:space="preserve">“must face the full cost </w:t>
      </w:r>
      <w:r w:rsidRPr="00AD47BA">
        <w:lastRenderedPageBreak/>
        <w:t xml:space="preserve">of accidents” they create, or else “they will underinvest in precautions.”  The trial court acknowledged that economic losses not flowing from conventional injury to person or property, such as physical damage, are ordinarily not recoverable in tort — and that the Court of Appeal had so held in </w:t>
      </w:r>
      <w:r w:rsidRPr="00AD47BA">
        <w:rPr>
          <w:i/>
        </w:rPr>
        <w:t xml:space="preserve">Adams v. Southern Pacific Transportation Co. </w:t>
      </w:r>
      <w:r w:rsidRPr="00AD47BA">
        <w:t>(1975) 50 Cal.App.3d 37 (</w:t>
      </w:r>
      <w:r w:rsidRPr="00AD47BA">
        <w:rPr>
          <w:i/>
        </w:rPr>
        <w:t>Adams</w:t>
      </w:r>
      <w:r w:rsidRPr="00AD47BA">
        <w:t>) on facts with some similarities to those here.</w:t>
      </w:r>
      <w:r w:rsidR="00D96FD2">
        <w:rPr>
          <w:rStyle w:val="FootnoteReference"/>
        </w:rPr>
        <w:footnoteReference w:id="3"/>
      </w:r>
      <w:r w:rsidRPr="00AD47BA">
        <w:rPr>
          <w:b/>
        </w:rPr>
        <w:t xml:space="preserve"> </w:t>
      </w:r>
      <w:r w:rsidRPr="00AD47BA">
        <w:t xml:space="preserve"> But the trial court questioned the wisdom of that rule and reasoned that </w:t>
      </w:r>
      <w:r w:rsidRPr="00AD47BA">
        <w:rPr>
          <w:i/>
        </w:rPr>
        <w:t>Adams</w:t>
      </w:r>
      <w:r w:rsidRPr="00AD47BA">
        <w:t xml:space="preserve"> was no longer good law after our later decision in </w:t>
      </w:r>
      <w:proofErr w:type="spellStart"/>
      <w:r w:rsidRPr="00AD47BA">
        <w:rPr>
          <w:i/>
        </w:rPr>
        <w:t>J’Aire</w:t>
      </w:r>
      <w:proofErr w:type="spellEnd"/>
      <w:r w:rsidRPr="00AD47BA">
        <w:rPr>
          <w:i/>
        </w:rPr>
        <w:t xml:space="preserve"> Corp. v. Gregory </w:t>
      </w:r>
      <w:r w:rsidRPr="00AD47BA">
        <w:t>(1979) 24 Cal.3d 799 (</w:t>
      </w:r>
      <w:proofErr w:type="spellStart"/>
      <w:r w:rsidRPr="00AD47BA">
        <w:rPr>
          <w:i/>
        </w:rPr>
        <w:t>J’Aire</w:t>
      </w:r>
      <w:proofErr w:type="spellEnd"/>
      <w:r w:rsidRPr="00AD47BA">
        <w:t>).</w:t>
      </w:r>
    </w:p>
    <w:p w14:paraId="0308BFA4" w14:textId="25F34C7C" w:rsidR="00AD47BA" w:rsidRDefault="00AD47BA" w:rsidP="00AD47BA">
      <w:r w:rsidRPr="00AD47BA">
        <w:tab/>
        <w:t>After SoCalGas petitioned for a writ of mandate, the Court of Appeal granted the petition and reversed the trial court.  (</w:t>
      </w:r>
      <w:r w:rsidRPr="00AD47BA">
        <w:rPr>
          <w:i/>
          <w:iCs/>
        </w:rPr>
        <w:t>Southern California Gas Leak Cases</w:t>
      </w:r>
      <w:r w:rsidRPr="00AD47BA">
        <w:t> (2017) 18 Cal.App.5th 581, 58</w:t>
      </w:r>
      <w:r w:rsidR="00B06D4A">
        <w:t>3</w:t>
      </w:r>
      <w:r w:rsidRPr="00AD47BA">
        <w:t>-58</w:t>
      </w:r>
      <w:r w:rsidR="00B06D4A">
        <w:t>4</w:t>
      </w:r>
      <w:r w:rsidRPr="00AD47BA">
        <w:t>.)  The Court of Appeal explained that, under California law, it is “not presumed” that a defendant owes a duty of care to guard against economic losses unaccompanied by injury to person or property.  (</w:t>
      </w:r>
      <w:r w:rsidRPr="00AD47BA">
        <w:rPr>
          <w:i/>
        </w:rPr>
        <w:t>Id.</w:t>
      </w:r>
      <w:r w:rsidRPr="00AD47BA">
        <w:t xml:space="preserve"> at p. 591.)  And without a “special relationship” between the plaintiff and the defendant stemming in this context from a “transaction,” the Court of Appeal reasoned, California law did not permit recovery for the purely economic losses sought by Plaintiffs in this case.  (</w:t>
      </w:r>
      <w:r w:rsidRPr="00AD47BA">
        <w:rPr>
          <w:i/>
        </w:rPr>
        <w:t>Id.</w:t>
      </w:r>
      <w:r w:rsidRPr="00AD47BA">
        <w:t xml:space="preserve"> at </w:t>
      </w:r>
      <w:r w:rsidR="00170DC2">
        <w:t>p</w:t>
      </w:r>
      <w:r w:rsidRPr="00AD47BA">
        <w:t xml:space="preserve">. </w:t>
      </w:r>
      <w:r w:rsidR="00170DC2">
        <w:t>591</w:t>
      </w:r>
      <w:r w:rsidRPr="00AD47BA">
        <w:t xml:space="preserve">.)  The Court of Appeal also took the view that our decision in </w:t>
      </w:r>
      <w:proofErr w:type="spellStart"/>
      <w:r w:rsidRPr="00AD47BA">
        <w:rPr>
          <w:i/>
        </w:rPr>
        <w:t>J’Aire</w:t>
      </w:r>
      <w:proofErr w:type="spellEnd"/>
      <w:r w:rsidRPr="00AD47BA">
        <w:t xml:space="preserve"> had not rejected </w:t>
      </w:r>
      <w:r w:rsidRPr="00AD47BA">
        <w:rPr>
          <w:i/>
        </w:rPr>
        <w:t>Adams</w:t>
      </w:r>
      <w:r w:rsidRPr="00AD47BA">
        <w:t xml:space="preserve"> in its entirety but instead disapproved </w:t>
      </w:r>
      <w:r w:rsidRPr="00AD47BA">
        <w:rPr>
          <w:i/>
        </w:rPr>
        <w:t>Adams</w:t>
      </w:r>
      <w:r w:rsidRPr="00AD47BA">
        <w:t xml:space="preserve"> only “insofar as [it] held a plaintiff can </w:t>
      </w:r>
      <w:r w:rsidRPr="00AD47BA">
        <w:rPr>
          <w:i/>
        </w:rPr>
        <w:t>never</w:t>
      </w:r>
      <w:r w:rsidRPr="00AD47BA">
        <w:t xml:space="preserve"> recover purely economic losses</w:t>
      </w:r>
      <w:r w:rsidR="00022CDC">
        <w:t xml:space="preserve"> based on a defendant’s negligent conduct</w:t>
      </w:r>
      <w:r w:rsidRPr="00AD47BA">
        <w:t>.”  (</w:t>
      </w:r>
      <w:r w:rsidRPr="00AD47BA">
        <w:rPr>
          <w:i/>
        </w:rPr>
        <w:t>Id.</w:t>
      </w:r>
      <w:r w:rsidRPr="00AD47BA">
        <w:t xml:space="preserve"> at p. 592, italics added.)  Because Plaintiffs</w:t>
      </w:r>
      <w:r w:rsidR="00012FE0">
        <w:t xml:space="preserve"> </w:t>
      </w:r>
      <w:proofErr w:type="gramStart"/>
      <w:r w:rsidRPr="00AD47BA">
        <w:lastRenderedPageBreak/>
        <w:t>disclaimed</w:t>
      </w:r>
      <w:proofErr w:type="gramEnd"/>
      <w:r w:rsidRPr="00AD47BA">
        <w:t xml:space="preserve"> any desire to further amend their complaint, the Court of Appeal directed the trial court to sustain SoCalGas’s demurrer without leave to amend.  (</w:t>
      </w:r>
      <w:r w:rsidRPr="00AD47BA">
        <w:rPr>
          <w:i/>
        </w:rPr>
        <w:t>Id</w:t>
      </w:r>
      <w:r w:rsidRPr="00AD47BA">
        <w:t>. at p. 595.)</w:t>
      </w:r>
    </w:p>
    <w:p w14:paraId="01ACB7D8" w14:textId="77777777" w:rsidR="00AD47BA" w:rsidRPr="00AD47BA" w:rsidRDefault="00AD47BA" w:rsidP="00AD47BA">
      <w:pPr>
        <w:jc w:val="center"/>
        <w:rPr>
          <w:b/>
        </w:rPr>
      </w:pPr>
      <w:r w:rsidRPr="00AD47BA">
        <w:rPr>
          <w:b/>
        </w:rPr>
        <w:t>II.</w:t>
      </w:r>
    </w:p>
    <w:p w14:paraId="5D8C9E12" w14:textId="71FA04FB" w:rsidR="00BF781D" w:rsidRDefault="00AD47BA" w:rsidP="00BF3582">
      <w:pPr>
        <w:ind w:firstLine="720"/>
      </w:pPr>
      <w:r w:rsidRPr="00AD47BA">
        <w:t>Recovery in a negligence action depends as a threshold matter on whether the defendant had “ ‘a duty to use due care toward an interest of [the plaintiff</w:t>
      </w:r>
      <w:r w:rsidR="00405800">
        <w:t>’s</w:t>
      </w:r>
      <w:r w:rsidRPr="00AD47BA">
        <w:t>] that enjoys legal protection</w:t>
      </w:r>
      <w:r w:rsidR="006D5CC9">
        <w:t xml:space="preserve"> against unintentional invasion</w:t>
      </w:r>
      <w:r w:rsidRPr="00AD47BA">
        <w:t>.’ ”  (</w:t>
      </w:r>
      <w:r w:rsidRPr="00AD47BA">
        <w:rPr>
          <w:i/>
        </w:rPr>
        <w:t>Centinela</w:t>
      </w:r>
      <w:r w:rsidRPr="00AD47BA">
        <w:t xml:space="preserve">, </w:t>
      </w:r>
      <w:r w:rsidR="00AC089D">
        <w:rPr>
          <w:i/>
        </w:rPr>
        <w:t>supra</w:t>
      </w:r>
      <w:r w:rsidR="00AC089D">
        <w:t xml:space="preserve">, </w:t>
      </w:r>
      <w:r w:rsidRPr="00AD47BA">
        <w:t>1</w:t>
      </w:r>
      <w:r w:rsidR="006D5CC9">
        <w:t> </w:t>
      </w:r>
      <w:r w:rsidRPr="00AD47BA">
        <w:t xml:space="preserve">Cal.5th at </w:t>
      </w:r>
      <w:r w:rsidR="00336A8C">
        <w:t xml:space="preserve">p. </w:t>
      </w:r>
      <w:r w:rsidRPr="00AD47BA">
        <w:t xml:space="preserve">1012, quoting </w:t>
      </w:r>
      <w:proofErr w:type="spellStart"/>
      <w:r w:rsidRPr="00AD47BA">
        <w:rPr>
          <w:i/>
          <w:iCs/>
        </w:rPr>
        <w:t>Bily</w:t>
      </w:r>
      <w:proofErr w:type="spellEnd"/>
      <w:r w:rsidRPr="00AD47BA">
        <w:rPr>
          <w:i/>
          <w:iCs/>
        </w:rPr>
        <w:t xml:space="preserve"> v. Arthur Young &amp; Co.</w:t>
      </w:r>
      <w:r w:rsidRPr="00AD47BA">
        <w:t> (1992) 3 Cal.4th 370, 397 (</w:t>
      </w:r>
      <w:proofErr w:type="spellStart"/>
      <w:r w:rsidRPr="00AD47BA">
        <w:rPr>
          <w:i/>
        </w:rPr>
        <w:t>Bily</w:t>
      </w:r>
      <w:proofErr w:type="spellEnd"/>
      <w:r w:rsidRPr="00AD47BA">
        <w:t xml:space="preserve">).)  </w:t>
      </w:r>
      <w:r w:rsidR="00BF781D" w:rsidRPr="00AD47BA">
        <w:t>We review de novo whether this “</w:t>
      </w:r>
      <w:r w:rsidR="00814D74">
        <w:t> ‘</w:t>
      </w:r>
      <w:r w:rsidR="00BF781D" w:rsidRPr="00AD47BA">
        <w:t>essential prerequisite</w:t>
      </w:r>
      <w:r w:rsidR="00814D74">
        <w:t>’ </w:t>
      </w:r>
      <w:r w:rsidR="00BF781D" w:rsidRPr="00AD47BA">
        <w:t>” to recovery</w:t>
      </w:r>
      <w:r w:rsidR="00BF781D">
        <w:t xml:space="preserve"> </w:t>
      </w:r>
      <w:r w:rsidR="00BF781D" w:rsidRPr="00AD47BA">
        <w:t>is satisfied</w:t>
      </w:r>
      <w:r w:rsidR="00BF781D">
        <w:t>.</w:t>
      </w:r>
      <w:r w:rsidR="00BF781D">
        <w:rPr>
          <w:rStyle w:val="FootnoteReference"/>
        </w:rPr>
        <w:footnoteReference w:id="4"/>
      </w:r>
      <w:r w:rsidR="00BF781D" w:rsidRPr="00AD47BA">
        <w:t xml:space="preserve">  (</w:t>
      </w:r>
      <w:r w:rsidR="00BF781D" w:rsidRPr="00AD47BA">
        <w:rPr>
          <w:i/>
        </w:rPr>
        <w:t>Centinela</w:t>
      </w:r>
      <w:r w:rsidR="00BF781D" w:rsidRPr="00AD47BA">
        <w:t>, at p</w:t>
      </w:r>
      <w:r w:rsidR="00336A8C">
        <w:t>p</w:t>
      </w:r>
      <w:r w:rsidR="00BF781D" w:rsidRPr="00AD47BA">
        <w:t>. 1010</w:t>
      </w:r>
      <w:r w:rsidR="00336A8C">
        <w:t>, 1012</w:t>
      </w:r>
      <w:r w:rsidR="00BF781D" w:rsidRPr="00AD47BA">
        <w:t>.)</w:t>
      </w:r>
    </w:p>
    <w:p w14:paraId="5A1594F7" w14:textId="354B3DE8" w:rsidR="00AD47BA" w:rsidRDefault="00AD47BA" w:rsidP="00BF3582">
      <w:pPr>
        <w:ind w:firstLine="720"/>
      </w:pPr>
      <w:r w:rsidRPr="00AD47BA">
        <w:t xml:space="preserve">The issue here is whether SoCalGas — separate from other legal and practical reasons it had to prevent injury </w:t>
      </w:r>
      <w:r w:rsidR="000D180D">
        <w:t xml:space="preserve">of any kind </w:t>
      </w:r>
      <w:r w:rsidRPr="00AD47BA">
        <w:t>to the public</w:t>
      </w:r>
      <w:r w:rsidR="008C6F03">
        <w:t xml:space="preserve"> </w:t>
      </w:r>
      <w:r w:rsidRPr="00AD47BA">
        <w:t xml:space="preserve">— had a tort duty to guard against </w:t>
      </w:r>
      <w:r w:rsidR="00794487">
        <w:t xml:space="preserve">negligently </w:t>
      </w:r>
      <w:r w:rsidRPr="00AD47BA">
        <w:t xml:space="preserve">causing what we and others have </w:t>
      </w:r>
      <w:r w:rsidR="00BF3582">
        <w:t>called</w:t>
      </w:r>
      <w:r w:rsidRPr="00AD47BA">
        <w:t xml:space="preserve"> “purely economic loss</w:t>
      </w:r>
      <w:r w:rsidR="00336A8C">
        <w:t>[</w:t>
      </w:r>
      <w:r w:rsidRPr="00AD47BA">
        <w:t>es</w:t>
      </w:r>
      <w:r w:rsidR="00336A8C">
        <w:t>]</w:t>
      </w:r>
      <w:r w:rsidRPr="00AD47BA">
        <w:t>.”  (</w:t>
      </w:r>
      <w:r w:rsidRPr="00AD47BA">
        <w:rPr>
          <w:i/>
        </w:rPr>
        <w:t>Centinela</w:t>
      </w:r>
      <w:r w:rsidRPr="00AD47BA">
        <w:t xml:space="preserve">, </w:t>
      </w:r>
      <w:r w:rsidR="00AC089D">
        <w:rPr>
          <w:i/>
        </w:rPr>
        <w:t>supra</w:t>
      </w:r>
      <w:r w:rsidR="00AC089D">
        <w:t xml:space="preserve">, </w:t>
      </w:r>
      <w:r w:rsidRPr="00AD47BA">
        <w:t xml:space="preserve">1 Cal.5th at p. 1013; see also </w:t>
      </w:r>
      <w:r w:rsidRPr="00AD47BA">
        <w:rPr>
          <w:i/>
          <w:iCs/>
        </w:rPr>
        <w:t>532 Madison Avenue Gourmet Foods, Inc. v. Finlandia Center, Inc.</w:t>
      </w:r>
      <w:r w:rsidRPr="00AD47BA">
        <w:t> (N.Y.</w:t>
      </w:r>
      <w:r w:rsidR="00554179">
        <w:t> </w:t>
      </w:r>
      <w:r w:rsidRPr="00AD47BA">
        <w:t>2001) 750 N.E.2d 1097, 1102 (</w:t>
      </w:r>
      <w:r w:rsidRPr="00AD47BA">
        <w:rPr>
          <w:i/>
        </w:rPr>
        <w:t>532 Madison</w:t>
      </w:r>
      <w:r w:rsidRPr="00AD47BA">
        <w:t>)</w:t>
      </w:r>
      <w:r w:rsidR="00BF3582">
        <w:t>.</w:t>
      </w:r>
      <w:r w:rsidR="00336A8C">
        <w:t>)</w:t>
      </w:r>
      <w:r w:rsidR="00BF3582">
        <w:t xml:space="preserve">  We use that term as a shorthand for “</w:t>
      </w:r>
      <w:r w:rsidR="00BF3582" w:rsidRPr="00AD47BA">
        <w:t>pecuniary or commercial loss that does not arise from actionable physical, emotional or reputational injury to persons or physical injury to property.”</w:t>
      </w:r>
      <w:r w:rsidR="00BF3582">
        <w:t xml:space="preserve">  (</w:t>
      </w:r>
      <w:r w:rsidRPr="00AD47BA">
        <w:t xml:space="preserve">Dobbs, </w:t>
      </w:r>
      <w:r w:rsidRPr="00AD47BA">
        <w:rPr>
          <w:i/>
        </w:rPr>
        <w:t>An Introduction to Non</w:t>
      </w:r>
      <w:r w:rsidR="00BF3582">
        <w:rPr>
          <w:i/>
        </w:rPr>
        <w:noBreakHyphen/>
      </w:r>
      <w:r w:rsidRPr="00AD47BA">
        <w:rPr>
          <w:i/>
        </w:rPr>
        <w:t>Statutory Economic Loss Claims</w:t>
      </w:r>
      <w:r w:rsidRPr="00AD47BA">
        <w:t xml:space="preserve"> (2006) 48 Ariz. </w:t>
      </w:r>
      <w:proofErr w:type="spellStart"/>
      <w:r w:rsidRPr="00AD47BA">
        <w:t>L.Rev</w:t>
      </w:r>
      <w:proofErr w:type="spellEnd"/>
      <w:r w:rsidRPr="00AD47BA">
        <w:t>. 713 (Dobbs).)</w:t>
      </w:r>
      <w:r w:rsidR="00554179">
        <w:t xml:space="preserve">  And </w:t>
      </w:r>
      <w:r w:rsidR="00930341">
        <w:t xml:space="preserve">although SoCalGas of course had a tort duty to guard against </w:t>
      </w:r>
      <w:r w:rsidR="00C86CCF">
        <w:t>the latter kinds of injury</w:t>
      </w:r>
      <w:r w:rsidR="00930341">
        <w:t xml:space="preserve">, </w:t>
      </w:r>
      <w:r w:rsidR="00554179">
        <w:lastRenderedPageBreak/>
        <w:t xml:space="preserve">we conclude </w:t>
      </w:r>
      <w:r w:rsidR="00930341">
        <w:t xml:space="preserve">it </w:t>
      </w:r>
      <w:r w:rsidR="00554179">
        <w:t xml:space="preserve">had no </w:t>
      </w:r>
      <w:r w:rsidR="00930341">
        <w:t>tort</w:t>
      </w:r>
      <w:r w:rsidR="00114694">
        <w:t xml:space="preserve"> </w:t>
      </w:r>
      <w:r w:rsidR="00554179">
        <w:t xml:space="preserve">duty to guard against </w:t>
      </w:r>
      <w:r w:rsidR="00930341">
        <w:t>purely economic losses</w:t>
      </w:r>
      <w:r w:rsidR="00554179">
        <w:t>.</w:t>
      </w:r>
    </w:p>
    <w:p w14:paraId="09009AC0" w14:textId="77777777" w:rsidR="000C67E6" w:rsidRDefault="000A4D85" w:rsidP="000C67E6">
      <w:pPr>
        <w:jc w:val="center"/>
        <w:rPr>
          <w:b/>
        </w:rPr>
      </w:pPr>
      <w:r>
        <w:rPr>
          <w:b/>
        </w:rPr>
        <w:t>A</w:t>
      </w:r>
      <w:r w:rsidR="000C67E6" w:rsidRPr="000C67E6">
        <w:rPr>
          <w:b/>
        </w:rPr>
        <w:t>.</w:t>
      </w:r>
    </w:p>
    <w:p w14:paraId="773D6D78" w14:textId="58320215" w:rsidR="000C67E6" w:rsidRPr="000C67E6" w:rsidRDefault="000C67E6" w:rsidP="000C67E6">
      <w:pPr>
        <w:ind w:firstLine="720"/>
      </w:pPr>
      <w:r w:rsidRPr="000C67E6">
        <w:t xml:space="preserve">In California, the “general rule” is that people owe a duty of care to </w:t>
      </w:r>
      <w:r w:rsidR="00A26F09">
        <w:t>avoid causing</w:t>
      </w:r>
      <w:r w:rsidRPr="000C67E6">
        <w:t xml:space="preserve"> harm to others and that they are thus usually liable for injuries their negligence inflicts.  (</w:t>
      </w:r>
      <w:r w:rsidRPr="000C67E6">
        <w:rPr>
          <w:i/>
          <w:iCs/>
        </w:rPr>
        <w:t>Cabral v. Ralphs Grocery Co.</w:t>
      </w:r>
      <w:r w:rsidRPr="000C67E6">
        <w:t> (2011) 51 Cal.4th 764, 771 (</w:t>
      </w:r>
      <w:r w:rsidRPr="000C67E6">
        <w:rPr>
          <w:i/>
        </w:rPr>
        <w:t>Cabral</w:t>
      </w:r>
      <w:r w:rsidRPr="000C67E6">
        <w:t>).)  Under Civil Code section 1714, subdivision (a), “[e]</w:t>
      </w:r>
      <w:proofErr w:type="spellStart"/>
      <w:r w:rsidRPr="000C67E6">
        <w:t>veryone</w:t>
      </w:r>
      <w:proofErr w:type="spellEnd"/>
      <w:r w:rsidRPr="000C67E6">
        <w:t xml:space="preserve"> is responsible . . . for an injury occasioned to another by his or her want of ordinary care or skill in the management of his or her property or person, except </w:t>
      </w:r>
      <w:proofErr w:type="gramStart"/>
      <w:r w:rsidRPr="000C67E6">
        <w:t>so far as</w:t>
      </w:r>
      <w:proofErr w:type="gramEnd"/>
      <w:r w:rsidRPr="000C67E6">
        <w:t xml:space="preserve"> the latter has, willfully or by want of ordinary care, brought the injury upon himself or herself.”  So at least in cases involving traditionally compensable forms of injury — like physical </w:t>
      </w:r>
      <w:r w:rsidR="00D57A34">
        <w:t>harm</w:t>
      </w:r>
      <w:r w:rsidRPr="000C67E6">
        <w:t xml:space="preserve"> to person or property — we presume the defendant owed the plaintiff a duty of care and then ask whether the circumstances “justify a departure” from that usual presumption.  (</w:t>
      </w:r>
      <w:r w:rsidRPr="000C67E6">
        <w:rPr>
          <w:i/>
        </w:rPr>
        <w:t>Cabral</w:t>
      </w:r>
      <w:r w:rsidRPr="000C67E6">
        <w:t>, at p. </w:t>
      </w:r>
      <w:r w:rsidR="00E21343">
        <w:t>771</w:t>
      </w:r>
      <w:r w:rsidRPr="000C67E6">
        <w:t>.)  In</w:t>
      </w:r>
      <w:r w:rsidR="00341DF0">
        <w:t> </w:t>
      </w:r>
      <w:r w:rsidRPr="000C67E6">
        <w:rPr>
          <w:i/>
        </w:rPr>
        <w:t>Rowland v. Christian</w:t>
      </w:r>
      <w:r w:rsidRPr="000C67E6">
        <w:t xml:space="preserve"> (1968) 69 Cal.2d 108 (</w:t>
      </w:r>
      <w:r w:rsidRPr="000C67E6">
        <w:rPr>
          <w:i/>
        </w:rPr>
        <w:t>Rowland</w:t>
      </w:r>
      <w:r w:rsidRPr="000C67E6">
        <w:t>), we identified several factors that, among others, may bear on that question:  (1) “the foreseeability of harm to the plaintiff,” (2) “the degree of certainty that the plaintiff suffered injury,</w:t>
      </w:r>
      <w:r w:rsidR="00A82CC9">
        <w:t>” (3)</w:t>
      </w:r>
      <w:r w:rsidRPr="000C67E6">
        <w:t xml:space="preserve"> </w:t>
      </w:r>
      <w:r w:rsidR="00A82CC9">
        <w:t>“</w:t>
      </w:r>
      <w:r w:rsidRPr="000C67E6">
        <w:t>the closeness of the connection between the defendant's conduct and the injury suffered,” (</w:t>
      </w:r>
      <w:r w:rsidR="00A82CC9">
        <w:t>4</w:t>
      </w:r>
      <w:r w:rsidRPr="000C67E6">
        <w:t>) “the moral blame attached to the defendant</w:t>
      </w:r>
      <w:r w:rsidR="00593244">
        <w:t>’</w:t>
      </w:r>
      <w:r w:rsidRPr="000C67E6">
        <w:t>s conduct,” (</w:t>
      </w:r>
      <w:r w:rsidR="00A82CC9">
        <w:t>5</w:t>
      </w:r>
      <w:r w:rsidRPr="000C67E6">
        <w:t>)</w:t>
      </w:r>
      <w:r w:rsidR="00526D13">
        <w:t> </w:t>
      </w:r>
      <w:r w:rsidRPr="000C67E6">
        <w:t>“the policy of preventing future harm,” (</w:t>
      </w:r>
      <w:r w:rsidR="00A82CC9">
        <w:t>6</w:t>
      </w:r>
      <w:r w:rsidRPr="000C67E6">
        <w:t>)</w:t>
      </w:r>
      <w:r w:rsidR="00A41410">
        <w:t> </w:t>
      </w:r>
      <w:r w:rsidRPr="000C67E6">
        <w:t>“the extent of the burden to the defendant and consequences to the community of imposing a duty to exercise care with resulting liability for breach,” and (</w:t>
      </w:r>
      <w:r w:rsidR="00A82CC9">
        <w:t>7</w:t>
      </w:r>
      <w:r w:rsidRPr="000C67E6">
        <w:t>)</w:t>
      </w:r>
      <w:r w:rsidR="00A41410">
        <w:t> </w:t>
      </w:r>
      <w:r w:rsidRPr="000C67E6">
        <w:t>“the availability, cost, and prevalence of insurance for the risk involved.”  (</w:t>
      </w:r>
      <w:r w:rsidRPr="000C67E6">
        <w:rPr>
          <w:i/>
        </w:rPr>
        <w:t>Id.</w:t>
      </w:r>
      <w:r w:rsidRPr="000C67E6">
        <w:t xml:space="preserve"> at p. 113.)  At </w:t>
      </w:r>
      <w:r w:rsidR="00A01B1E">
        <w:t>core</w:t>
      </w:r>
      <w:r w:rsidRPr="000C67E6">
        <w:t>, though, the inquiry hinges not on mere rote</w:t>
      </w:r>
      <w:r w:rsidR="0042644E">
        <w:t xml:space="preserve"> </w:t>
      </w:r>
      <w:r w:rsidRPr="000C67E6">
        <w:t>application of these</w:t>
      </w:r>
      <w:r w:rsidR="0042644E">
        <w:t xml:space="preserve"> separate</w:t>
      </w:r>
      <w:r w:rsidRPr="000C67E6">
        <w:t xml:space="preserve"> so-called </w:t>
      </w:r>
      <w:r w:rsidRPr="000C67E6">
        <w:rPr>
          <w:i/>
        </w:rPr>
        <w:t>Rowland</w:t>
      </w:r>
      <w:r w:rsidRPr="000C67E6">
        <w:t xml:space="preserve"> factors, but instead on a comprehensive look at the “ ‘the sum total’ ” of the policy </w:t>
      </w:r>
      <w:r w:rsidRPr="000C67E6">
        <w:lastRenderedPageBreak/>
        <w:t>considerations at play in the context before us.  (</w:t>
      </w:r>
      <w:r w:rsidRPr="000C67E6">
        <w:rPr>
          <w:i/>
          <w:iCs/>
        </w:rPr>
        <w:t>Parsons v. Crown Disposal Co.</w:t>
      </w:r>
      <w:r w:rsidRPr="000C67E6">
        <w:t> (1997) 15 Cal.4th 456, 472</w:t>
      </w:r>
      <w:r w:rsidR="00A26F09">
        <w:t xml:space="preserve"> (</w:t>
      </w:r>
      <w:r w:rsidR="00A26F09">
        <w:rPr>
          <w:i/>
        </w:rPr>
        <w:t>Parsons</w:t>
      </w:r>
      <w:r w:rsidR="00A26F09">
        <w:t>)</w:t>
      </w:r>
      <w:r w:rsidRPr="000C67E6">
        <w:t xml:space="preserve">, quoting </w:t>
      </w:r>
      <w:r w:rsidR="00555267">
        <w:rPr>
          <w:i/>
        </w:rPr>
        <w:t xml:space="preserve">Ballard v. Uribe </w:t>
      </w:r>
      <w:r w:rsidR="00555267">
        <w:t>(1986) 41 Cal.3d 564, 572, fn. 6</w:t>
      </w:r>
      <w:r w:rsidRPr="000C67E6">
        <w:t xml:space="preserve">; </w:t>
      </w:r>
      <w:r w:rsidR="004E1463">
        <w:t>see</w:t>
      </w:r>
      <w:r w:rsidR="000203E7">
        <w:t> </w:t>
      </w:r>
      <w:r w:rsidR="004E1463">
        <w:t xml:space="preserve">also </w:t>
      </w:r>
      <w:r w:rsidRPr="000C67E6">
        <w:rPr>
          <w:i/>
          <w:iCs/>
        </w:rPr>
        <w:t>T.H. v. Novartis Pharmaceuticals Corp.</w:t>
      </w:r>
      <w:r w:rsidRPr="000C67E6">
        <w:t> (2017) 4 Cal.5th 145, 164.)</w:t>
      </w:r>
    </w:p>
    <w:p w14:paraId="0A9D9DDE" w14:textId="459396F7" w:rsidR="000C67E6" w:rsidRDefault="000C67E6" w:rsidP="000C67E6">
      <w:r w:rsidRPr="000C67E6">
        <w:tab/>
        <w:t xml:space="preserve">What </w:t>
      </w:r>
      <w:r w:rsidR="008C5C38">
        <w:t xml:space="preserve">Civil Code </w:t>
      </w:r>
      <w:r w:rsidRPr="000C67E6">
        <w:t>section 1714 does not do is impose a presumptive duty of care to guard against any conceivable harm that a negligent act might cause.</w:t>
      </w:r>
      <w:r w:rsidR="004E5E3F" w:rsidRPr="0084180F" w:rsidDel="004E5E3F">
        <w:rPr>
          <w:rStyle w:val="FootnoteReference"/>
          <w:b w:val="0"/>
          <w:vertAlign w:val="baseline"/>
        </w:rPr>
        <w:t xml:space="preserve"> </w:t>
      </w:r>
      <w:r w:rsidRPr="000C67E6">
        <w:t xml:space="preserve"> No one doubts, for example, that a child suffers gravely when an accident permanently disables </w:t>
      </w:r>
      <w:r w:rsidR="009837F8">
        <w:t>h</w:t>
      </w:r>
      <w:r w:rsidR="0092301A">
        <w:t>er</w:t>
      </w:r>
      <w:r w:rsidRPr="000C67E6">
        <w:t xml:space="preserve"> parent.  But in </w:t>
      </w:r>
      <w:r w:rsidRPr="000C67E6">
        <w:rPr>
          <w:i/>
          <w:iCs/>
        </w:rPr>
        <w:t>Borer v. American Airlines, Inc.</w:t>
      </w:r>
      <w:r w:rsidRPr="000C67E6">
        <w:t> (1977) 19 Cal.3d 441 (</w:t>
      </w:r>
      <w:r w:rsidRPr="000C67E6">
        <w:rPr>
          <w:i/>
        </w:rPr>
        <w:t>Borer</w:t>
      </w:r>
      <w:r w:rsidRPr="000C67E6">
        <w:t>), we nevertheless treated the prospect of a child recovering for loss of consortium in precisely that circumstance as “a wholly new cause of action,” rather than a presumptively viable one.  (</w:t>
      </w:r>
      <w:r w:rsidRPr="000C67E6">
        <w:rPr>
          <w:i/>
        </w:rPr>
        <w:t>Id.</w:t>
      </w:r>
      <w:r w:rsidRPr="000C67E6">
        <w:t xml:space="preserve"> at p. 447.)  And we refused to recognize </w:t>
      </w:r>
      <w:r w:rsidR="004A1979">
        <w:t>such a</w:t>
      </w:r>
      <w:r w:rsidRPr="000C67E6">
        <w:t xml:space="preserve"> novel — </w:t>
      </w:r>
      <w:r w:rsidR="004A1979">
        <w:t>though</w:t>
      </w:r>
      <w:r w:rsidRPr="000C67E6">
        <w:t xml:space="preserve"> quite sympathetic — claim for emotional harm largely because</w:t>
      </w:r>
      <w:r w:rsidR="00627126">
        <w:t xml:space="preserve"> that claim</w:t>
      </w:r>
      <w:r w:rsidRPr="000C67E6">
        <w:t>, unlike a loss</w:t>
      </w:r>
      <w:r w:rsidR="00696797">
        <w:t xml:space="preserve"> </w:t>
      </w:r>
      <w:r w:rsidRPr="000C67E6">
        <w:t>of</w:t>
      </w:r>
      <w:r w:rsidR="00696797">
        <w:t xml:space="preserve"> </w:t>
      </w:r>
      <w:r w:rsidRPr="000C67E6">
        <w:t>consortium claim brought by a spouse, threatened indeterminate and disproportionate liability.  (</w:t>
      </w:r>
      <w:r w:rsidRPr="000C67E6">
        <w:rPr>
          <w:i/>
        </w:rPr>
        <w:t>Id.</w:t>
      </w:r>
      <w:r w:rsidRPr="000C67E6">
        <w:t xml:space="preserve"> at pp. </w:t>
      </w:r>
      <w:r w:rsidR="00D37C87">
        <w:t>448-</w:t>
      </w:r>
      <w:r w:rsidRPr="000C67E6">
        <w:t>449, 453; see also</w:t>
      </w:r>
      <w:r w:rsidRPr="000C67E6">
        <w:rPr>
          <w:i/>
        </w:rPr>
        <w:t xml:space="preserve"> Thing v. La </w:t>
      </w:r>
      <w:proofErr w:type="spellStart"/>
      <w:r w:rsidRPr="000C67E6">
        <w:rPr>
          <w:i/>
        </w:rPr>
        <w:t>Chusa</w:t>
      </w:r>
      <w:proofErr w:type="spellEnd"/>
      <w:r w:rsidR="00CB3A84">
        <w:t xml:space="preserve"> </w:t>
      </w:r>
      <w:r w:rsidRPr="000C67E6">
        <w:t>(1989) 48 Cal.3d 644, 66</w:t>
      </w:r>
      <w:r w:rsidR="00A21721">
        <w:t>6</w:t>
      </w:r>
      <w:r w:rsidRPr="000C67E6">
        <w:t>-66</w:t>
      </w:r>
      <w:r w:rsidR="00A21721">
        <w:t>8</w:t>
      </w:r>
      <w:r w:rsidRPr="000C67E6">
        <w:t xml:space="preserve"> (</w:t>
      </w:r>
      <w:r w:rsidRPr="000C67E6">
        <w:rPr>
          <w:i/>
        </w:rPr>
        <w:t>Thing</w:t>
      </w:r>
      <w:r w:rsidRPr="000C67E6">
        <w:t xml:space="preserve">) [strictly cabining recovery for negligent infliction of emotional distress to ensure meaningful limits on liability].)  Disabled parents, after all, have parents of their own, along with “brothers, sisters, cousins, </w:t>
      </w:r>
      <w:proofErr w:type="spellStart"/>
      <w:r w:rsidRPr="000C67E6">
        <w:t>inlaws</w:t>
      </w:r>
      <w:proofErr w:type="spellEnd"/>
      <w:r w:rsidRPr="000C67E6">
        <w:t xml:space="preserve">, friends, colleagues, and other acquaintances who,” in </w:t>
      </w:r>
      <w:proofErr w:type="gramStart"/>
      <w:r w:rsidRPr="000C67E6">
        <w:t>some</w:t>
      </w:r>
      <w:proofErr w:type="gramEnd"/>
      <w:r w:rsidRPr="000C67E6">
        <w:t xml:space="preserve"> way, may “be deprived of [their] companionship.”  (</w:t>
      </w:r>
      <w:r w:rsidRPr="000C67E6">
        <w:rPr>
          <w:i/>
        </w:rPr>
        <w:t>Borer</w:t>
      </w:r>
      <w:r w:rsidRPr="000C67E6">
        <w:t xml:space="preserve">, at p. 446.)  In declining to impose a tort duty to guard against such harms, we noted in </w:t>
      </w:r>
      <w:r w:rsidRPr="000C67E6">
        <w:rPr>
          <w:i/>
        </w:rPr>
        <w:t xml:space="preserve">Borer </w:t>
      </w:r>
      <w:r w:rsidRPr="000C67E6">
        <w:t>the “overwhelming approval” our conclusion enjoyed in other jurisdictions and rejected the argument that our analysis was somehow “inconsistent with the principles of tort law” established in our own.  (</w:t>
      </w:r>
      <w:r w:rsidRPr="000C67E6">
        <w:rPr>
          <w:i/>
        </w:rPr>
        <w:t>Id.</w:t>
      </w:r>
      <w:r w:rsidRPr="000C67E6">
        <w:t xml:space="preserve"> at p</w:t>
      </w:r>
      <w:r w:rsidR="00B126B1">
        <w:t>p</w:t>
      </w:r>
      <w:r w:rsidRPr="000C67E6">
        <w:t>. </w:t>
      </w:r>
      <w:r w:rsidR="00B126B1">
        <w:t>449-</w:t>
      </w:r>
      <w:r w:rsidRPr="000C67E6">
        <w:t>450; see also</w:t>
      </w:r>
      <w:r w:rsidRPr="000C67E6">
        <w:rPr>
          <w:i/>
        </w:rPr>
        <w:t xml:space="preserve"> Thing</w:t>
      </w:r>
      <w:r w:rsidRPr="000C67E6">
        <w:t>,</w:t>
      </w:r>
      <w:r w:rsidRPr="000C67E6">
        <w:rPr>
          <w:i/>
        </w:rPr>
        <w:t xml:space="preserve"> </w:t>
      </w:r>
      <w:r w:rsidRPr="000C67E6">
        <w:t>at p. 668, fn. 11.)</w:t>
      </w:r>
    </w:p>
    <w:p w14:paraId="71C22555" w14:textId="7E057D88" w:rsidR="00335F40" w:rsidRDefault="00335F40" w:rsidP="00335F40">
      <w:pPr>
        <w:ind w:firstLine="720"/>
      </w:pPr>
      <w:r w:rsidRPr="007D79C3">
        <w:lastRenderedPageBreak/>
        <w:t xml:space="preserve">Plaintiffs </w:t>
      </w:r>
      <w:r w:rsidR="00D0519C">
        <w:t xml:space="preserve">do </w:t>
      </w:r>
      <w:r w:rsidRPr="007D79C3">
        <w:t xml:space="preserve">cite </w:t>
      </w:r>
      <w:proofErr w:type="gramStart"/>
      <w:r w:rsidRPr="007D79C3">
        <w:t>several</w:t>
      </w:r>
      <w:proofErr w:type="gramEnd"/>
      <w:r w:rsidRPr="007D79C3">
        <w:t xml:space="preserve"> cases where we presumed the defendant owed the plaintiff a duty of care and then asked whether the circumstances warranted a departure from that baseline presumption.  But </w:t>
      </w:r>
      <w:r w:rsidR="004B091C">
        <w:t xml:space="preserve">unlike </w:t>
      </w:r>
      <w:r w:rsidR="004B091C">
        <w:rPr>
          <w:i/>
        </w:rPr>
        <w:t>Borer</w:t>
      </w:r>
      <w:r w:rsidR="004B091C">
        <w:t xml:space="preserve"> and </w:t>
      </w:r>
      <w:r w:rsidR="004B091C">
        <w:rPr>
          <w:i/>
        </w:rPr>
        <w:t>Thing</w:t>
      </w:r>
      <w:r w:rsidR="004B091C">
        <w:t xml:space="preserve">, </w:t>
      </w:r>
      <w:r w:rsidRPr="007D79C3">
        <w:t>every one of those cases involved a traditionally compensable form of harm:  personal injury.</w:t>
      </w:r>
      <w:r w:rsidRPr="00EC6322">
        <w:t xml:space="preserve">  (See </w:t>
      </w:r>
      <w:proofErr w:type="spellStart"/>
      <w:r w:rsidRPr="00EC6322">
        <w:rPr>
          <w:i/>
        </w:rPr>
        <w:t>Vasilenko</w:t>
      </w:r>
      <w:proofErr w:type="spellEnd"/>
      <w:r w:rsidRPr="00EC6322">
        <w:rPr>
          <w:i/>
        </w:rPr>
        <w:t xml:space="preserve"> v. Grace Family Church</w:t>
      </w:r>
      <w:r w:rsidRPr="00EC6322">
        <w:t xml:space="preserve"> (2017) 3 Cal.5th 1077, 1082 [plaintiff was struck by a car when crossing a public street </w:t>
      </w:r>
      <w:r w:rsidR="00714128">
        <w:t>shortly after leaving</w:t>
      </w:r>
      <w:r w:rsidRPr="00EC6322">
        <w:t xml:space="preserve"> defendant’s parking lot]; </w:t>
      </w:r>
      <w:proofErr w:type="spellStart"/>
      <w:r w:rsidRPr="00EC6322">
        <w:rPr>
          <w:i/>
        </w:rPr>
        <w:t>Kesner</w:t>
      </w:r>
      <w:proofErr w:type="spellEnd"/>
      <w:r w:rsidRPr="00EC6322">
        <w:rPr>
          <w:i/>
        </w:rPr>
        <w:t xml:space="preserve"> v. Superior Court</w:t>
      </w:r>
      <w:r w:rsidRPr="00EC6322">
        <w:t xml:space="preserve"> (2016) 1 Cal.5th 1132, 1140-1141 (</w:t>
      </w:r>
      <w:proofErr w:type="spellStart"/>
      <w:r w:rsidRPr="00EC6322">
        <w:rPr>
          <w:i/>
        </w:rPr>
        <w:t>Kesner</w:t>
      </w:r>
      <w:proofErr w:type="spellEnd"/>
      <w:r w:rsidRPr="00EC6322">
        <w:t xml:space="preserve">) [employee’s household members were exposed to asbestos, causing personal injury and death]; </w:t>
      </w:r>
      <w:r w:rsidRPr="00EC6322">
        <w:rPr>
          <w:i/>
        </w:rPr>
        <w:t>Cabral</w:t>
      </w:r>
      <w:r w:rsidRPr="00EC6322">
        <w:t xml:space="preserve">, </w:t>
      </w:r>
      <w:r w:rsidR="00AC089D">
        <w:rPr>
          <w:i/>
        </w:rPr>
        <w:t>supra</w:t>
      </w:r>
      <w:r w:rsidR="00AC089D">
        <w:t xml:space="preserve">, </w:t>
      </w:r>
      <w:r w:rsidRPr="00EC6322">
        <w:t>51 Cal.4th at p. 769 [plaintiff</w:t>
      </w:r>
      <w:r>
        <w:t>’s husband</w:t>
      </w:r>
      <w:r w:rsidRPr="00EC6322">
        <w:t xml:space="preserve"> died after colliding with a truck owned by defendant]; </w:t>
      </w:r>
      <w:r w:rsidRPr="00EC6322">
        <w:rPr>
          <w:i/>
        </w:rPr>
        <w:t>John B. v. Superior Court</w:t>
      </w:r>
      <w:r w:rsidRPr="00EC6322">
        <w:t xml:space="preserve"> (2006) 38 Cal.4th 1177, 1181-1183 [defendant infected plaintiff with HIV]; </w:t>
      </w:r>
      <w:r w:rsidRPr="00EC6322">
        <w:rPr>
          <w:i/>
        </w:rPr>
        <w:t>Parsons</w:t>
      </w:r>
      <w:r w:rsidRPr="00EC6322">
        <w:t xml:space="preserve">, </w:t>
      </w:r>
      <w:r w:rsidR="00AC089D">
        <w:rPr>
          <w:i/>
        </w:rPr>
        <w:t>supra</w:t>
      </w:r>
      <w:r w:rsidR="00AC089D">
        <w:t xml:space="preserve">, </w:t>
      </w:r>
      <w:r w:rsidRPr="00EC6322">
        <w:t xml:space="preserve">15 Cal.4th at p. 460 [defendant’s truck startled plaintiff’s horse, causing the plaintiff to fall to the ground].)  And in </w:t>
      </w:r>
      <w:r w:rsidRPr="00EC6322">
        <w:rPr>
          <w:i/>
        </w:rPr>
        <w:t>Rowland</w:t>
      </w:r>
      <w:r w:rsidRPr="00EC6322">
        <w:t xml:space="preserve"> itself</w:t>
      </w:r>
      <w:r w:rsidR="000C4A92">
        <w:t>,</w:t>
      </w:r>
      <w:r w:rsidRPr="00EC6322">
        <w:t xml:space="preserve"> a faulty faucet in the defendant’s home</w:t>
      </w:r>
      <w:r w:rsidR="000C4A92">
        <w:t xml:space="preserve"> mangled </w:t>
      </w:r>
      <w:r w:rsidR="000C4A92" w:rsidRPr="00EC6322">
        <w:t xml:space="preserve">tendons and nerves in </w:t>
      </w:r>
      <w:r w:rsidR="000C4A92">
        <w:t>the plaintiff’s</w:t>
      </w:r>
      <w:r w:rsidR="000C4A92" w:rsidRPr="00EC6322">
        <w:t xml:space="preserve"> hand</w:t>
      </w:r>
      <w:r w:rsidRPr="00EC6322">
        <w:t>.  (</w:t>
      </w:r>
      <w:r w:rsidR="009456BE">
        <w:rPr>
          <w:i/>
        </w:rPr>
        <w:t>Rowland</w:t>
      </w:r>
      <w:r w:rsidR="009456BE">
        <w:t xml:space="preserve">, </w:t>
      </w:r>
      <w:r w:rsidR="009456BE">
        <w:rPr>
          <w:i/>
        </w:rPr>
        <w:t>supra</w:t>
      </w:r>
      <w:r w:rsidR="009456BE">
        <w:t xml:space="preserve">, </w:t>
      </w:r>
      <w:r w:rsidRPr="00EC6322">
        <w:t>69 Cal.2d at p. 110.)</w:t>
      </w:r>
      <w:r w:rsidR="00D0519C">
        <w:t xml:space="preserve">  So </w:t>
      </w:r>
      <w:r w:rsidR="004E5E3F">
        <w:t>yes</w:t>
      </w:r>
      <w:r w:rsidR="007556F7">
        <w:t>,</w:t>
      </w:r>
      <w:r w:rsidR="004E5E3F">
        <w:t xml:space="preserve"> </w:t>
      </w:r>
      <w:r w:rsidR="007E6728">
        <w:t xml:space="preserve">we have </w:t>
      </w:r>
      <w:r w:rsidR="004E5E3F">
        <w:t xml:space="preserve">frequently </w:t>
      </w:r>
      <w:r w:rsidR="007E6728">
        <w:t xml:space="preserve">begun our </w:t>
      </w:r>
      <w:r w:rsidR="000B3DB1">
        <w:t xml:space="preserve">analysis </w:t>
      </w:r>
      <w:r w:rsidR="007E6728">
        <w:t xml:space="preserve">by presuming </w:t>
      </w:r>
      <w:r w:rsidR="000B3DB1">
        <w:t>a duty of care</w:t>
      </w:r>
      <w:r w:rsidR="004E5E3F">
        <w:t xml:space="preserve">.  But we have </w:t>
      </w:r>
      <w:r w:rsidR="000B3DB1">
        <w:t>not</w:t>
      </w:r>
      <w:r w:rsidR="004E5E3F">
        <w:t xml:space="preserve"> </w:t>
      </w:r>
      <w:r w:rsidR="000C3AB9">
        <w:t xml:space="preserve">universally </w:t>
      </w:r>
      <w:r w:rsidR="008A2F34">
        <w:t>done so</w:t>
      </w:r>
      <w:r w:rsidR="007E6728">
        <w:t>.</w:t>
      </w:r>
    </w:p>
    <w:p w14:paraId="5BBDF822" w14:textId="0C574053" w:rsidR="000C67E6" w:rsidRPr="000C67E6" w:rsidRDefault="00205306" w:rsidP="000C67E6">
      <w:r>
        <w:tab/>
      </w:r>
      <w:r w:rsidR="008019A0">
        <w:t>A case in point is l</w:t>
      </w:r>
      <w:r w:rsidR="000C67E6" w:rsidRPr="000C67E6">
        <w:t xml:space="preserve">iability </w:t>
      </w:r>
      <w:r w:rsidR="0019363E">
        <w:t xml:space="preserve">in negligence </w:t>
      </w:r>
      <w:r w:rsidR="000C67E6" w:rsidRPr="000C67E6">
        <w:t>for purely economic losses</w:t>
      </w:r>
      <w:r w:rsidR="00112D80">
        <w:t xml:space="preserve">, </w:t>
      </w:r>
      <w:r w:rsidR="00A7000C">
        <w:t>which</w:t>
      </w:r>
      <w:r w:rsidR="000C67E6" w:rsidRPr="000C67E6">
        <w:t xml:space="preserve"> is “the exception, not the rule” under </w:t>
      </w:r>
      <w:r w:rsidR="000A071D">
        <w:t>our precedents</w:t>
      </w:r>
      <w:r w:rsidR="000C67E6" w:rsidRPr="000C67E6">
        <w:t>.  (</w:t>
      </w:r>
      <w:proofErr w:type="spellStart"/>
      <w:r w:rsidR="000C67E6" w:rsidRPr="000C67E6">
        <w:rPr>
          <w:i/>
          <w:iCs/>
        </w:rPr>
        <w:t>Quelimane</w:t>
      </w:r>
      <w:proofErr w:type="spellEnd"/>
      <w:r w:rsidR="000C67E6" w:rsidRPr="000C67E6">
        <w:rPr>
          <w:i/>
          <w:iCs/>
        </w:rPr>
        <w:t xml:space="preserve"> Co. v. Stewart Title Guaranty Co.</w:t>
      </w:r>
      <w:r w:rsidR="000C67E6" w:rsidRPr="000C67E6">
        <w:t> (1998) 19 Cal.4th 26, 58</w:t>
      </w:r>
      <w:r w:rsidR="00201167">
        <w:t xml:space="preserve"> (</w:t>
      </w:r>
      <w:proofErr w:type="spellStart"/>
      <w:r w:rsidR="00201167">
        <w:rPr>
          <w:i/>
        </w:rPr>
        <w:t>Quelimane</w:t>
      </w:r>
      <w:proofErr w:type="spellEnd"/>
      <w:r w:rsidR="00201167">
        <w:t>)</w:t>
      </w:r>
      <w:r w:rsidR="000C67E6" w:rsidRPr="000C67E6">
        <w:t xml:space="preserve">.)  And that holds true even though </w:t>
      </w:r>
      <w:r w:rsidR="00015CF3">
        <w:t xml:space="preserve">Civil Code </w:t>
      </w:r>
      <w:r w:rsidR="000C67E6" w:rsidRPr="000C67E6">
        <w:t xml:space="preserve">section 1714 does not, by its terms, “distinguish among injuries to one’s person, one’s property or one’s </w:t>
      </w:r>
      <w:proofErr w:type="gramStart"/>
      <w:r w:rsidR="000C67E6" w:rsidRPr="000C67E6">
        <w:t>financial interests</w:t>
      </w:r>
      <w:proofErr w:type="gramEnd"/>
      <w:r w:rsidR="000C67E6" w:rsidRPr="000C67E6">
        <w:t>.”  (</w:t>
      </w:r>
      <w:proofErr w:type="spellStart"/>
      <w:r w:rsidR="000C67E6" w:rsidRPr="000C67E6">
        <w:rPr>
          <w:i/>
          <w:iCs/>
        </w:rPr>
        <w:t>J’Aire</w:t>
      </w:r>
      <w:proofErr w:type="spellEnd"/>
      <w:r w:rsidR="00DF3009">
        <w:rPr>
          <w:iCs/>
        </w:rPr>
        <w:t xml:space="preserve">, </w:t>
      </w:r>
      <w:r w:rsidR="00DF3009">
        <w:rPr>
          <w:i/>
          <w:iCs/>
        </w:rPr>
        <w:t>supra</w:t>
      </w:r>
      <w:r w:rsidR="00DF3009">
        <w:rPr>
          <w:iCs/>
        </w:rPr>
        <w:t xml:space="preserve">, </w:t>
      </w:r>
      <w:r w:rsidR="000C67E6" w:rsidRPr="000C67E6">
        <w:t xml:space="preserve">24 Cal.3d </w:t>
      </w:r>
      <w:r w:rsidR="00DF3009">
        <w:t>at p.</w:t>
      </w:r>
      <w:r w:rsidR="000C67E6" w:rsidRPr="000C67E6">
        <w:t xml:space="preserve"> 806; </w:t>
      </w:r>
      <w:r w:rsidR="00AC089D">
        <w:t>see</w:t>
      </w:r>
      <w:r w:rsidR="0003448A">
        <w:t> </w:t>
      </w:r>
      <w:r w:rsidR="000C67E6" w:rsidRPr="000C67E6">
        <w:rPr>
          <w:i/>
        </w:rPr>
        <w:t>Centinela</w:t>
      </w:r>
      <w:r w:rsidR="000C67E6" w:rsidRPr="000C67E6">
        <w:t xml:space="preserve">, </w:t>
      </w:r>
      <w:r w:rsidR="00AC089D">
        <w:rPr>
          <w:i/>
        </w:rPr>
        <w:t>supra</w:t>
      </w:r>
      <w:r w:rsidR="00AC089D">
        <w:t xml:space="preserve">, </w:t>
      </w:r>
      <w:r w:rsidR="000C67E6" w:rsidRPr="000C67E6">
        <w:t>1 Cal.5th at p. 1013; Dobbs,</w:t>
      </w:r>
      <w:r w:rsidR="00592F94">
        <w:t xml:space="preserve"> </w:t>
      </w:r>
      <w:r w:rsidR="00592F94">
        <w:rPr>
          <w:i/>
        </w:rPr>
        <w:t>supra</w:t>
      </w:r>
      <w:r w:rsidR="00592F94">
        <w:t>,</w:t>
      </w:r>
      <w:r w:rsidR="000C67E6" w:rsidRPr="000C67E6">
        <w:t xml:space="preserve"> 48 Ariz. </w:t>
      </w:r>
      <w:proofErr w:type="spellStart"/>
      <w:r w:rsidR="000C67E6" w:rsidRPr="000C67E6">
        <w:t>L.Rev</w:t>
      </w:r>
      <w:proofErr w:type="spellEnd"/>
      <w:r w:rsidR="000C67E6" w:rsidRPr="000C67E6">
        <w:t>. at p. 713 [explaining that “[n]</w:t>
      </w:r>
      <w:proofErr w:type="spellStart"/>
      <w:r w:rsidR="000C67E6" w:rsidRPr="000C67E6">
        <w:t>egligently</w:t>
      </w:r>
      <w:proofErr w:type="spellEnd"/>
      <w:r w:rsidR="000C67E6" w:rsidRPr="000C67E6">
        <w:t xml:space="preserve"> inflicted economic loss that results from some other kind of injury may </w:t>
      </w:r>
      <w:r w:rsidR="000C67E6" w:rsidRPr="000C67E6">
        <w:lastRenderedPageBreak/>
        <w:t>be recoverable, but recovery for stand</w:t>
      </w:r>
      <w:r w:rsidR="00DD49BA">
        <w:noBreakHyphen/>
      </w:r>
      <w:r w:rsidR="000C67E6" w:rsidRPr="000C67E6">
        <w:t xml:space="preserve">alone economic loss is frequently rejected”].)  </w:t>
      </w:r>
    </w:p>
    <w:p w14:paraId="35F71CF6" w14:textId="33ADBD59" w:rsidR="008F6490" w:rsidRDefault="000C67E6" w:rsidP="000C67E6">
      <w:r w:rsidRPr="000C67E6">
        <w:tab/>
        <w:t>The primary exception to th</w:t>
      </w:r>
      <w:r w:rsidR="00BE161C">
        <w:t>e</w:t>
      </w:r>
      <w:r w:rsidRPr="000C67E6">
        <w:t xml:space="preserve"> general rule of no</w:t>
      </w:r>
      <w:r w:rsidR="00DD49BA">
        <w:noBreakHyphen/>
      </w:r>
      <w:r w:rsidRPr="000C67E6">
        <w:t xml:space="preserve">recovery for </w:t>
      </w:r>
      <w:r w:rsidR="00CB6CB4">
        <w:t xml:space="preserve">negligently inflicted </w:t>
      </w:r>
      <w:r w:rsidRPr="000C67E6">
        <w:t xml:space="preserve">purely economic losses is where </w:t>
      </w:r>
      <w:r w:rsidR="00E57BFE">
        <w:t>the plaintiff and</w:t>
      </w:r>
      <w:r w:rsidR="00C0459D">
        <w:t xml:space="preserve"> the</w:t>
      </w:r>
      <w:r w:rsidR="00E57BFE">
        <w:t xml:space="preserve"> defendant have </w:t>
      </w:r>
      <w:r w:rsidRPr="000C67E6">
        <w:t>a “special relationship</w:t>
      </w:r>
      <w:r w:rsidR="00E57BFE">
        <w:t>.</w:t>
      </w:r>
      <w:r w:rsidRPr="000C67E6">
        <w:t>”</w:t>
      </w:r>
      <w:r w:rsidR="00DC003B">
        <w:t xml:space="preserve"> </w:t>
      </w:r>
      <w:r w:rsidRPr="000C67E6">
        <w:t xml:space="preserve"> (</w:t>
      </w:r>
      <w:proofErr w:type="spellStart"/>
      <w:r w:rsidRPr="000C67E6">
        <w:rPr>
          <w:i/>
        </w:rPr>
        <w:t>J’Aire</w:t>
      </w:r>
      <w:proofErr w:type="spellEnd"/>
      <w:r w:rsidRPr="000C67E6">
        <w:t xml:space="preserve">, </w:t>
      </w:r>
      <w:r w:rsidR="00EB61EA">
        <w:rPr>
          <w:i/>
        </w:rPr>
        <w:t>supra</w:t>
      </w:r>
      <w:r w:rsidR="00EB61EA">
        <w:t xml:space="preserve">, </w:t>
      </w:r>
      <w:r w:rsidRPr="000C67E6">
        <w:t xml:space="preserve">24 Cal.3d at p. 804.)  What we mean by special relationship is that the plaintiff was </w:t>
      </w:r>
      <w:r w:rsidR="00B70703">
        <w:t>an intended beneficiary</w:t>
      </w:r>
      <w:r w:rsidRPr="000C67E6">
        <w:t xml:space="preserve"> </w:t>
      </w:r>
      <w:r w:rsidR="000D009D">
        <w:t>of</w:t>
      </w:r>
      <w:r w:rsidRPr="000C67E6">
        <w:t xml:space="preserve"> a </w:t>
      </w:r>
      <w:proofErr w:type="gramStart"/>
      <w:r w:rsidRPr="000C67E6">
        <w:t>particular transaction</w:t>
      </w:r>
      <w:proofErr w:type="gramEnd"/>
      <w:r w:rsidRPr="000C67E6">
        <w:t xml:space="preserve"> but was harmed by the defendant’s negligence</w:t>
      </w:r>
      <w:r w:rsidR="000D009D">
        <w:t xml:space="preserve"> in carrying it out</w:t>
      </w:r>
      <w:r w:rsidRPr="000C67E6">
        <w:t>.  Take</w:t>
      </w:r>
      <w:r w:rsidR="009E0F0C">
        <w:t>, for example,</w:t>
      </w:r>
      <w:r w:rsidRPr="000C67E6">
        <w:t xml:space="preserve"> </w:t>
      </w:r>
      <w:proofErr w:type="spellStart"/>
      <w:r w:rsidRPr="000C67E6">
        <w:rPr>
          <w:i/>
          <w:iCs/>
        </w:rPr>
        <w:t>Biakanja</w:t>
      </w:r>
      <w:proofErr w:type="spellEnd"/>
      <w:r w:rsidRPr="000C67E6">
        <w:rPr>
          <w:i/>
          <w:iCs/>
        </w:rPr>
        <w:t xml:space="preserve"> v. Irving</w:t>
      </w:r>
      <w:r w:rsidRPr="000C67E6">
        <w:t> (1958) 49 Cal.2d 647 (</w:t>
      </w:r>
      <w:proofErr w:type="spellStart"/>
      <w:r w:rsidRPr="000C67E6">
        <w:rPr>
          <w:i/>
        </w:rPr>
        <w:t>Biakanja</w:t>
      </w:r>
      <w:proofErr w:type="spellEnd"/>
      <w:r w:rsidRPr="000C67E6">
        <w:t xml:space="preserve">).  There, we held that the intended beneficiary of a will could recover for assets she would have received if the </w:t>
      </w:r>
      <w:r w:rsidR="000C7F3A">
        <w:t>notary</w:t>
      </w:r>
      <w:r w:rsidRPr="000C67E6">
        <w:t xml:space="preserve"> had not been negligent in preparing </w:t>
      </w:r>
      <w:r w:rsidR="00FE4EBE">
        <w:t>the document</w:t>
      </w:r>
      <w:r w:rsidRPr="000C67E6">
        <w:t>.  (</w:t>
      </w:r>
      <w:r w:rsidRPr="000C67E6">
        <w:rPr>
          <w:i/>
        </w:rPr>
        <w:t>Id.</w:t>
      </w:r>
      <w:r w:rsidRPr="000C67E6">
        <w:t xml:space="preserve"> at pp. 650-651.)  A special relationship existed between the </w:t>
      </w:r>
      <w:r w:rsidR="000C7F3A">
        <w:t>intended beneficiary</w:t>
      </w:r>
      <w:r w:rsidRPr="000C67E6">
        <w:t xml:space="preserve"> and the </w:t>
      </w:r>
      <w:r w:rsidR="000C7F3A">
        <w:t>notary</w:t>
      </w:r>
      <w:r w:rsidRPr="000C67E6">
        <w:t xml:space="preserve"> in </w:t>
      </w:r>
      <w:proofErr w:type="spellStart"/>
      <w:r w:rsidRPr="000C67E6">
        <w:rPr>
          <w:i/>
        </w:rPr>
        <w:t>Biakanja</w:t>
      </w:r>
      <w:proofErr w:type="spellEnd"/>
      <w:r w:rsidRPr="000C67E6">
        <w:t xml:space="preserve">, we emphasized, because “the ‘end and aim’ of the transaction” between the nonparty decedent and the </w:t>
      </w:r>
      <w:r w:rsidR="000C7F3A">
        <w:t>notary</w:t>
      </w:r>
      <w:r w:rsidRPr="000C67E6">
        <w:t xml:space="preserve"> was to ensure that the decedent’s estate passed to the </w:t>
      </w:r>
      <w:r w:rsidR="000C7F3A">
        <w:t>intended beneficiary</w:t>
      </w:r>
      <w:r w:rsidRPr="000C67E6">
        <w:t>.  (</w:t>
      </w:r>
      <w:r w:rsidRPr="000C67E6">
        <w:rPr>
          <w:i/>
        </w:rPr>
        <w:t>Id.</w:t>
      </w:r>
      <w:r w:rsidRPr="000C67E6">
        <w:t xml:space="preserve"> at p. 650.)  </w:t>
      </w:r>
    </w:p>
    <w:p w14:paraId="68B0BCC0" w14:textId="490027F3" w:rsidR="000F0090" w:rsidRDefault="000C67E6" w:rsidP="008F6490">
      <w:pPr>
        <w:ind w:firstLine="720"/>
      </w:pPr>
      <w:r w:rsidRPr="000C67E6">
        <w:t xml:space="preserve">For similar reasons, in </w:t>
      </w:r>
      <w:proofErr w:type="spellStart"/>
      <w:r w:rsidRPr="000C67E6">
        <w:rPr>
          <w:i/>
        </w:rPr>
        <w:t>J’Aire</w:t>
      </w:r>
      <w:proofErr w:type="spellEnd"/>
      <w:r w:rsidRPr="000C67E6">
        <w:t xml:space="preserve"> we held that a special relationship existed between a restaurant operator and a contractor hired by a third-party property owner to renovate the space rented by the restaurant operator. </w:t>
      </w:r>
      <w:r w:rsidR="00AC5C94">
        <w:t xml:space="preserve"> </w:t>
      </w:r>
      <w:r w:rsidRPr="000C67E6">
        <w:t>(</w:t>
      </w:r>
      <w:proofErr w:type="spellStart"/>
      <w:r w:rsidR="00751D34">
        <w:rPr>
          <w:i/>
        </w:rPr>
        <w:t>J’Aire</w:t>
      </w:r>
      <w:proofErr w:type="spellEnd"/>
      <w:r w:rsidR="00751D34">
        <w:t xml:space="preserve">, </w:t>
      </w:r>
      <w:r w:rsidR="00751D34">
        <w:rPr>
          <w:i/>
        </w:rPr>
        <w:t>supra</w:t>
      </w:r>
      <w:r w:rsidR="00751D34">
        <w:t xml:space="preserve">, </w:t>
      </w:r>
      <w:r w:rsidRPr="000C67E6">
        <w:t>24 Cal.3d at pp.</w:t>
      </w:r>
      <w:r w:rsidR="00107DFA">
        <w:t xml:space="preserve"> </w:t>
      </w:r>
      <w:r w:rsidRPr="000C67E6">
        <w:t>804</w:t>
      </w:r>
      <w:r w:rsidRPr="000C67E6">
        <w:noBreakHyphen/>
        <w:t xml:space="preserve">805.)  </w:t>
      </w:r>
      <w:proofErr w:type="gramStart"/>
      <w:r w:rsidRPr="000C67E6">
        <w:t>So</w:t>
      </w:r>
      <w:proofErr w:type="gramEnd"/>
      <w:r w:rsidRPr="000C67E6">
        <w:t xml:space="preserve"> when the contractor negligently failed to complete the construction work on time, the restaurant operator could recover purely economic losses it suffered as a result.</w:t>
      </w:r>
      <w:r w:rsidR="00E84289">
        <w:rPr>
          <w:rStyle w:val="FootnoteReference"/>
        </w:rPr>
        <w:footnoteReference w:id="5"/>
      </w:r>
      <w:r w:rsidRPr="000C67E6">
        <w:t xml:space="preserve">  </w:t>
      </w:r>
      <w:r w:rsidR="009734D1" w:rsidRPr="000C67E6">
        <w:t>(</w:t>
      </w:r>
      <w:proofErr w:type="spellStart"/>
      <w:r w:rsidR="009734D1" w:rsidRPr="009734D1">
        <w:rPr>
          <w:i/>
        </w:rPr>
        <w:t>J’Aire</w:t>
      </w:r>
      <w:proofErr w:type="spellEnd"/>
      <w:r w:rsidR="009734D1">
        <w:t xml:space="preserve">, </w:t>
      </w:r>
      <w:r w:rsidR="009734D1" w:rsidRPr="000C67E6">
        <w:t>at pp.</w:t>
      </w:r>
      <w:r w:rsidR="009734D1">
        <w:t xml:space="preserve"> </w:t>
      </w:r>
      <w:r w:rsidR="009734D1" w:rsidRPr="000C67E6">
        <w:t>804</w:t>
      </w:r>
      <w:r w:rsidR="009734D1" w:rsidRPr="000C67E6">
        <w:noBreakHyphen/>
        <w:t>805.)</w:t>
      </w:r>
    </w:p>
    <w:p w14:paraId="21E509D1" w14:textId="167D596C" w:rsidR="000C67E6" w:rsidRPr="000C67E6" w:rsidRDefault="00443998" w:rsidP="00A71D9D">
      <w:pPr>
        <w:ind w:firstLine="720"/>
      </w:pPr>
      <w:r>
        <w:lastRenderedPageBreak/>
        <w:t>D</w:t>
      </w:r>
      <w:r w:rsidR="00972EC9">
        <w:t>iscerning</w:t>
      </w:r>
      <w:r w:rsidR="00BC20DF">
        <w:t xml:space="preserve"> </w:t>
      </w:r>
      <w:r w:rsidR="007D734D">
        <w:t xml:space="preserve">whether there is </w:t>
      </w:r>
      <w:r w:rsidR="00BC20DF">
        <w:t xml:space="preserve">a special relationship </w:t>
      </w:r>
      <w:r w:rsidR="007D734D">
        <w:t xml:space="preserve">justifying liability of this sort can </w:t>
      </w:r>
      <w:r>
        <w:t>nonetheless be</w:t>
      </w:r>
      <w:r w:rsidR="00972EC9">
        <w:t xml:space="preserve"> a subtle enterprise.  In both </w:t>
      </w:r>
      <w:proofErr w:type="spellStart"/>
      <w:r w:rsidR="000C67E6" w:rsidRPr="000C67E6">
        <w:rPr>
          <w:i/>
        </w:rPr>
        <w:t>Biakanja</w:t>
      </w:r>
      <w:proofErr w:type="spellEnd"/>
      <w:r w:rsidR="000C67E6" w:rsidRPr="000C67E6">
        <w:t xml:space="preserve"> and </w:t>
      </w:r>
      <w:proofErr w:type="spellStart"/>
      <w:r w:rsidR="000C67E6" w:rsidRPr="000C67E6">
        <w:rPr>
          <w:i/>
        </w:rPr>
        <w:t>J’Aire</w:t>
      </w:r>
      <w:proofErr w:type="spellEnd"/>
      <w:r w:rsidR="000C67E6" w:rsidRPr="000C67E6">
        <w:t xml:space="preserve"> we emphasized that our duty determination rested not just on (</w:t>
      </w:r>
      <w:proofErr w:type="spellStart"/>
      <w:r w:rsidR="000C67E6" w:rsidRPr="000C67E6">
        <w:t>i</w:t>
      </w:r>
      <w:proofErr w:type="spellEnd"/>
      <w:r w:rsidR="000C67E6" w:rsidRPr="000C67E6">
        <w:t>)</w:t>
      </w:r>
      <w:r w:rsidR="006D1BD5">
        <w:t> </w:t>
      </w:r>
      <w:r w:rsidR="000C67E6" w:rsidRPr="000C67E6">
        <w:t xml:space="preserve">“the extent to which the transaction was intended to affect the plaintiff,” but also on a subset of the </w:t>
      </w:r>
      <w:r w:rsidR="000C67E6" w:rsidRPr="000C67E6">
        <w:rPr>
          <w:i/>
        </w:rPr>
        <w:t xml:space="preserve">Rowland </w:t>
      </w:r>
      <w:r w:rsidR="000C67E6" w:rsidRPr="000C67E6">
        <w:t>factors relevant to the circumstances before us in those cases:  (ii)</w:t>
      </w:r>
      <w:r w:rsidR="006D1BD5">
        <w:t> </w:t>
      </w:r>
      <w:r w:rsidR="000C67E6" w:rsidRPr="000C67E6">
        <w:t>“the foreseeability of harm to the plaintiff,” (iii)</w:t>
      </w:r>
      <w:r w:rsidR="006D1BD5">
        <w:t> </w:t>
      </w:r>
      <w:r w:rsidR="000C67E6" w:rsidRPr="000C67E6">
        <w:t>“the degree of certainty that the plaintiff suffered injury,” (iv)</w:t>
      </w:r>
      <w:r w:rsidR="006D1BD5">
        <w:t> </w:t>
      </w:r>
      <w:r w:rsidR="000C67E6" w:rsidRPr="000C67E6">
        <w:t>“the closeness of the connection between the defendant</w:t>
      </w:r>
      <w:r w:rsidR="006D6BE3">
        <w:t>’</w:t>
      </w:r>
      <w:r w:rsidR="000C67E6" w:rsidRPr="000C67E6">
        <w:t>s conduct and the injury suffered,” (v)</w:t>
      </w:r>
      <w:r w:rsidR="006D1BD5">
        <w:t> </w:t>
      </w:r>
      <w:r w:rsidR="000C67E6" w:rsidRPr="000C67E6">
        <w:t>“the moral blame attached to the defendant’s conduct,” and (vi) “the policy of preventing future harm.”  (</w:t>
      </w:r>
      <w:proofErr w:type="spellStart"/>
      <w:r w:rsidR="000C67E6" w:rsidRPr="000C67E6">
        <w:rPr>
          <w:i/>
        </w:rPr>
        <w:t>J’Aire</w:t>
      </w:r>
      <w:proofErr w:type="spellEnd"/>
      <w:r w:rsidR="000C67E6" w:rsidRPr="000C67E6">
        <w:t xml:space="preserve">, </w:t>
      </w:r>
      <w:r w:rsidR="00995A5A">
        <w:rPr>
          <w:i/>
        </w:rPr>
        <w:t>supra</w:t>
      </w:r>
      <w:r w:rsidR="00995A5A">
        <w:t xml:space="preserve">, </w:t>
      </w:r>
      <w:r w:rsidR="000C67E6" w:rsidRPr="000C67E6">
        <w:t xml:space="preserve">24 Cal.3d at p. 804, citing </w:t>
      </w:r>
      <w:proofErr w:type="spellStart"/>
      <w:r w:rsidR="000C67E6" w:rsidRPr="000C67E6">
        <w:rPr>
          <w:i/>
        </w:rPr>
        <w:t>Biakanja</w:t>
      </w:r>
      <w:proofErr w:type="spellEnd"/>
      <w:r w:rsidR="000C67E6" w:rsidRPr="000C67E6">
        <w:t xml:space="preserve">, </w:t>
      </w:r>
      <w:r w:rsidR="00995A5A">
        <w:rPr>
          <w:i/>
        </w:rPr>
        <w:t>supra</w:t>
      </w:r>
      <w:r w:rsidR="00995A5A">
        <w:t xml:space="preserve">, </w:t>
      </w:r>
      <w:r w:rsidR="000C67E6" w:rsidRPr="000C67E6">
        <w:t xml:space="preserve">49 Cal.2d at p. 650.)  </w:t>
      </w:r>
    </w:p>
    <w:p w14:paraId="6AB66C1E" w14:textId="752E492C" w:rsidR="000C67E6" w:rsidRPr="00364A6F" w:rsidRDefault="000C67E6" w:rsidP="000C67E6">
      <w:pPr>
        <w:rPr>
          <w:i/>
        </w:rPr>
      </w:pPr>
      <w:r w:rsidRPr="000C67E6">
        <w:tab/>
        <w:t xml:space="preserve">Our subsequent decision in </w:t>
      </w:r>
      <w:proofErr w:type="spellStart"/>
      <w:r w:rsidRPr="000C67E6">
        <w:rPr>
          <w:i/>
        </w:rPr>
        <w:t>Bily</w:t>
      </w:r>
      <w:proofErr w:type="spellEnd"/>
      <w:r w:rsidRPr="000C67E6">
        <w:t xml:space="preserve">, however, </w:t>
      </w:r>
      <w:r w:rsidR="00443998">
        <w:t>underscored</w:t>
      </w:r>
      <w:r w:rsidRPr="000C67E6">
        <w:t xml:space="preserve"> for negligence cases involving purely economic losses what is true of all negligence cases</w:t>
      </w:r>
      <w:r w:rsidR="006F70B5">
        <w:t xml:space="preserve">.  </w:t>
      </w:r>
      <w:r w:rsidR="00D56F4B">
        <w:t>D</w:t>
      </w:r>
      <w:r w:rsidRPr="000C67E6">
        <w:t xml:space="preserve">eciding whether to impose a duty of care turns on a careful consideration of the “ ‘the sum total’ ” of the policy considerations at play, not a mere tallying of </w:t>
      </w:r>
      <w:proofErr w:type="gramStart"/>
      <w:r w:rsidRPr="000C67E6">
        <w:t>some</w:t>
      </w:r>
      <w:proofErr w:type="gramEnd"/>
      <w:r w:rsidRPr="000C67E6">
        <w:t xml:space="preserve"> finite, one-size-fits-all set of factors.  (</w:t>
      </w:r>
      <w:proofErr w:type="spellStart"/>
      <w:r w:rsidR="0022168C">
        <w:rPr>
          <w:i/>
        </w:rPr>
        <w:t>Bily</w:t>
      </w:r>
      <w:proofErr w:type="spellEnd"/>
      <w:r w:rsidR="0022168C">
        <w:t xml:space="preserve">, </w:t>
      </w:r>
      <w:r w:rsidR="0022168C">
        <w:rPr>
          <w:i/>
        </w:rPr>
        <w:t>supra</w:t>
      </w:r>
      <w:r w:rsidR="0022168C">
        <w:t xml:space="preserve">, </w:t>
      </w:r>
      <w:r w:rsidRPr="000C67E6">
        <w:t>3 Cal.4th at p.</w:t>
      </w:r>
      <w:r w:rsidR="00364A6F">
        <w:t> </w:t>
      </w:r>
      <w:r w:rsidRPr="000C67E6">
        <w:t xml:space="preserve">397, quoting </w:t>
      </w:r>
      <w:r w:rsidR="00364A6F" w:rsidRPr="00364A6F">
        <w:rPr>
          <w:i/>
        </w:rPr>
        <w:t xml:space="preserve">Dillon v. Legg </w:t>
      </w:r>
      <w:r w:rsidR="00364A6F" w:rsidRPr="00364A6F">
        <w:t>(1968) 68 Cal.2d 728, 734 (</w:t>
      </w:r>
      <w:r w:rsidR="00364A6F" w:rsidRPr="00364A6F">
        <w:rPr>
          <w:i/>
        </w:rPr>
        <w:t>Dillon</w:t>
      </w:r>
      <w:r w:rsidR="00364A6F" w:rsidRPr="00364A6F">
        <w:t>)</w:t>
      </w:r>
      <w:r w:rsidRPr="000C67E6">
        <w:t xml:space="preserve">.)  In </w:t>
      </w:r>
      <w:proofErr w:type="spellStart"/>
      <w:r w:rsidRPr="000C67E6">
        <w:rPr>
          <w:i/>
        </w:rPr>
        <w:t>Bily</w:t>
      </w:r>
      <w:proofErr w:type="spellEnd"/>
      <w:r w:rsidRPr="000C67E6">
        <w:t xml:space="preserve">, investors in a failed company sued the company’s auditor for financial losses they allegedly suffered due to the auditor’s negligent preparation of a public report on the </w:t>
      </w:r>
      <w:r w:rsidRPr="000C67E6">
        <w:lastRenderedPageBreak/>
        <w:t xml:space="preserve">company’s financial well-being.  (See </w:t>
      </w:r>
      <w:proofErr w:type="spellStart"/>
      <w:r w:rsidR="00CE6F59">
        <w:rPr>
          <w:i/>
        </w:rPr>
        <w:t>Bily</w:t>
      </w:r>
      <w:proofErr w:type="spellEnd"/>
      <w:r w:rsidRPr="000C67E6">
        <w:t xml:space="preserve"> at pp. 376-379.)  We rejected those claims.  (</w:t>
      </w:r>
      <w:r w:rsidR="002D1440">
        <w:t xml:space="preserve">See </w:t>
      </w:r>
      <w:r w:rsidR="002D1440">
        <w:rPr>
          <w:i/>
        </w:rPr>
        <w:t>i</w:t>
      </w:r>
      <w:r w:rsidRPr="000C67E6">
        <w:rPr>
          <w:i/>
        </w:rPr>
        <w:t>d</w:t>
      </w:r>
      <w:proofErr w:type="gramStart"/>
      <w:r w:rsidRPr="000C67E6">
        <w:rPr>
          <w:i/>
        </w:rPr>
        <w:t>.</w:t>
      </w:r>
      <w:r w:rsidRPr="000C67E6">
        <w:t xml:space="preserve"> </w:t>
      </w:r>
      <w:proofErr w:type="gramEnd"/>
      <w:r w:rsidRPr="000C67E6">
        <w:t>at p. 376.)  Despite acknowledging that financial losses to investors from negligently prepared audit reports are “certainly” foreseeable,</w:t>
      </w:r>
      <w:r w:rsidR="005F2D00">
        <w:rPr>
          <w:rStyle w:val="FootnoteReference"/>
        </w:rPr>
        <w:footnoteReference w:id="6"/>
      </w:r>
      <w:r w:rsidRPr="000C67E6">
        <w:t xml:space="preserve"> we held that an auditor </w:t>
      </w:r>
      <w:r w:rsidR="00CE6F59">
        <w:t>“</w:t>
      </w:r>
      <w:r w:rsidRPr="000C67E6">
        <w:t>owes no general duty of care regarding the conduct of an audit to persons other than the client.”  (</w:t>
      </w:r>
      <w:proofErr w:type="spellStart"/>
      <w:r w:rsidR="00FA151B" w:rsidRPr="00FA151B">
        <w:rPr>
          <w:i/>
        </w:rPr>
        <w:t>Bily</w:t>
      </w:r>
      <w:proofErr w:type="spellEnd"/>
      <w:r w:rsidR="00FA151B">
        <w:t xml:space="preserve">, </w:t>
      </w:r>
      <w:r w:rsidR="00FA151B" w:rsidRPr="000C67E6">
        <w:t>at</w:t>
      </w:r>
      <w:r w:rsidRPr="000C67E6">
        <w:t xml:space="preserve"> pp. 376, 398.)  </w:t>
      </w:r>
    </w:p>
    <w:p w14:paraId="735EA8E4" w14:textId="29DE6D8C" w:rsidR="000C67E6" w:rsidRPr="000C67E6" w:rsidRDefault="000C67E6" w:rsidP="000C67E6">
      <w:r w:rsidRPr="000C67E6">
        <w:tab/>
        <w:t xml:space="preserve">In requiring more than mere foreseeability for imposing a duty of care in </w:t>
      </w:r>
      <w:proofErr w:type="spellStart"/>
      <w:r w:rsidRPr="000C67E6">
        <w:rPr>
          <w:i/>
        </w:rPr>
        <w:t>Bily</w:t>
      </w:r>
      <w:proofErr w:type="spellEnd"/>
      <w:r w:rsidRPr="000C67E6">
        <w:t xml:space="preserve">, we </w:t>
      </w:r>
      <w:r w:rsidR="00443998">
        <w:t>appreciated</w:t>
      </w:r>
      <w:r w:rsidRPr="000C67E6">
        <w:t xml:space="preserve"> the need </w:t>
      </w:r>
      <w:r w:rsidR="00850093">
        <w:t xml:space="preserve">to </w:t>
      </w:r>
      <w:r w:rsidR="006D7EBB">
        <w:t>safeguard</w:t>
      </w:r>
      <w:r w:rsidR="00850093">
        <w:t xml:space="preserve"> the </w:t>
      </w:r>
      <w:r w:rsidR="006D7EBB">
        <w:t>efficacy</w:t>
      </w:r>
      <w:r w:rsidR="00850093">
        <w:t xml:space="preserve"> of tort l</w:t>
      </w:r>
      <w:r w:rsidR="00516349">
        <w:t>aw</w:t>
      </w:r>
      <w:r w:rsidR="00850093">
        <w:t xml:space="preserve"> by setting</w:t>
      </w:r>
      <w:r w:rsidR="00A71D9D">
        <w:t xml:space="preserve"> </w:t>
      </w:r>
      <w:r w:rsidRPr="000C67E6">
        <w:t>meaningful limits on liability.  (</w:t>
      </w:r>
      <w:proofErr w:type="spellStart"/>
      <w:r w:rsidR="00CE6F59">
        <w:rPr>
          <w:i/>
        </w:rPr>
        <w:t>Bily</w:t>
      </w:r>
      <w:proofErr w:type="spellEnd"/>
      <w:r w:rsidR="00CE6F59">
        <w:t xml:space="preserve">, </w:t>
      </w:r>
      <w:r w:rsidR="00CE6F59">
        <w:rPr>
          <w:i/>
        </w:rPr>
        <w:t>supra</w:t>
      </w:r>
      <w:r w:rsidR="00CE6F59">
        <w:t xml:space="preserve">, </w:t>
      </w:r>
      <w:r w:rsidR="005D778D">
        <w:t>3</w:t>
      </w:r>
      <w:r w:rsidR="00445AA7">
        <w:t> </w:t>
      </w:r>
      <w:r w:rsidR="005D778D">
        <w:t>Cal.4th</w:t>
      </w:r>
      <w:r w:rsidRPr="000C67E6">
        <w:t xml:space="preserve"> at p</w:t>
      </w:r>
      <w:r w:rsidR="00C062D9">
        <w:t>p</w:t>
      </w:r>
      <w:r w:rsidRPr="000C67E6">
        <w:t>. 398</w:t>
      </w:r>
      <w:r w:rsidR="00C062D9">
        <w:t>-399</w:t>
      </w:r>
      <w:r w:rsidRPr="000C67E6">
        <w:t>.)  Citing decisions from our court limiting recovery for emotional harms based on similar concerns, we explained that although foreseeability “ ‘may set tolerable limits for most types of physical harm, it provides virtually no limit on liability for nonphysical harm.’ ”  (</w:t>
      </w:r>
      <w:r w:rsidRPr="000C67E6">
        <w:rPr>
          <w:i/>
        </w:rPr>
        <w:t>Id.</w:t>
      </w:r>
      <w:r w:rsidRPr="000C67E6">
        <w:t xml:space="preserve"> at p. 398, quoting </w:t>
      </w:r>
      <w:r w:rsidRPr="000C67E6">
        <w:rPr>
          <w:i/>
        </w:rPr>
        <w:t>Thing</w:t>
      </w:r>
      <w:r w:rsidRPr="000C67E6">
        <w:t xml:space="preserve">, </w:t>
      </w:r>
      <w:r w:rsidR="00C062D9">
        <w:rPr>
          <w:i/>
        </w:rPr>
        <w:t>supra</w:t>
      </w:r>
      <w:r w:rsidR="00C062D9">
        <w:t xml:space="preserve">, </w:t>
      </w:r>
      <w:r w:rsidRPr="000C67E6">
        <w:t>48 Cal.3d at p. 663.)  After all, on “ ‘clear judicial days’ ” courts “ ‘can foresee forever.’ ”  (</w:t>
      </w:r>
      <w:proofErr w:type="spellStart"/>
      <w:r w:rsidR="00976AF2">
        <w:rPr>
          <w:i/>
        </w:rPr>
        <w:t>Bily</w:t>
      </w:r>
      <w:proofErr w:type="spellEnd"/>
      <w:r w:rsidR="00976AF2">
        <w:t>,</w:t>
      </w:r>
      <w:r w:rsidRPr="000C67E6">
        <w:t xml:space="preserve"> at p.</w:t>
      </w:r>
      <w:r w:rsidR="00076CB9">
        <w:t> </w:t>
      </w:r>
      <w:r w:rsidRPr="000C67E6">
        <w:t xml:space="preserve">399, quoting </w:t>
      </w:r>
      <w:r w:rsidRPr="000C67E6">
        <w:rPr>
          <w:i/>
        </w:rPr>
        <w:t>Thing</w:t>
      </w:r>
      <w:r w:rsidRPr="000C67E6">
        <w:t xml:space="preserve">, at p. 668.)  So although exposure to liability often provides an important incentive for parties to internalize the social costs of their actions, we were concerned that allowing the countless people who rely on public audit reports to recover “pure economic loss suffered” due to a shoddy audit would “raise[] the </w:t>
      </w:r>
      <w:proofErr w:type="spellStart"/>
      <w:r w:rsidRPr="000C67E6">
        <w:t>spectre</w:t>
      </w:r>
      <w:proofErr w:type="spellEnd"/>
      <w:r w:rsidRPr="000C67E6">
        <w:t xml:space="preserve"> of vast numbers of suits and limitless financial exposure.”  (</w:t>
      </w:r>
      <w:proofErr w:type="spellStart"/>
      <w:r w:rsidR="00976AF2">
        <w:rPr>
          <w:i/>
        </w:rPr>
        <w:t>Bily</w:t>
      </w:r>
      <w:proofErr w:type="spellEnd"/>
      <w:r w:rsidR="00976AF2">
        <w:t>,</w:t>
      </w:r>
      <w:r w:rsidRPr="000C67E6">
        <w:t xml:space="preserve"> at p. 400.)  The resulting universe of potential claims would not only raise difficult line</w:t>
      </w:r>
      <w:r w:rsidR="00C44107">
        <w:noBreakHyphen/>
      </w:r>
      <w:r w:rsidRPr="000C67E6">
        <w:t xml:space="preserve">drawing questions for courts, </w:t>
      </w:r>
      <w:r w:rsidR="00422E0C">
        <w:t>it</w:t>
      </w:r>
      <w:r w:rsidRPr="000C67E6">
        <w:t xml:space="preserve"> might deter socially beneficial behavior.  (</w:t>
      </w:r>
      <w:r w:rsidR="00076CB9">
        <w:rPr>
          <w:i/>
        </w:rPr>
        <w:t>I</w:t>
      </w:r>
      <w:r w:rsidRPr="000C67E6">
        <w:rPr>
          <w:i/>
        </w:rPr>
        <w:t>d.</w:t>
      </w:r>
      <w:r w:rsidRPr="000C67E6">
        <w:t xml:space="preserve"> at pp.</w:t>
      </w:r>
      <w:r w:rsidR="00113BFB">
        <w:t> </w:t>
      </w:r>
      <w:r w:rsidRPr="000C67E6">
        <w:t xml:space="preserve">400, 404.)  That result was </w:t>
      </w:r>
      <w:r w:rsidRPr="000C67E6">
        <w:lastRenderedPageBreak/>
        <w:t>unacceptable.  (</w:t>
      </w:r>
      <w:r w:rsidR="00F2771B">
        <w:rPr>
          <w:i/>
        </w:rPr>
        <w:t>I</w:t>
      </w:r>
      <w:r w:rsidRPr="000C67E6">
        <w:rPr>
          <w:i/>
        </w:rPr>
        <w:t>d.</w:t>
      </w:r>
      <w:r w:rsidRPr="000C67E6">
        <w:t xml:space="preserve"> at p. 406.)  We therefore limited auditor liability to claims for negligent misrepresentation brought by plaintiffs who — like the plaintiffs in </w:t>
      </w:r>
      <w:proofErr w:type="spellStart"/>
      <w:r w:rsidRPr="000C67E6">
        <w:rPr>
          <w:i/>
        </w:rPr>
        <w:t>Biakanja</w:t>
      </w:r>
      <w:proofErr w:type="spellEnd"/>
      <w:r w:rsidRPr="000C67E6">
        <w:rPr>
          <w:i/>
        </w:rPr>
        <w:t xml:space="preserve"> </w:t>
      </w:r>
      <w:r w:rsidRPr="000C67E6">
        <w:t xml:space="preserve">and </w:t>
      </w:r>
      <w:proofErr w:type="spellStart"/>
      <w:r w:rsidRPr="000C67E6">
        <w:rPr>
          <w:i/>
        </w:rPr>
        <w:t>J’Aire</w:t>
      </w:r>
      <w:proofErr w:type="spellEnd"/>
      <w:r w:rsidRPr="000C67E6">
        <w:t xml:space="preserve"> — were “specifically intended beneficiaries” of the defendant’s conduct.  (</w:t>
      </w:r>
      <w:proofErr w:type="spellStart"/>
      <w:r w:rsidRPr="000C67E6">
        <w:rPr>
          <w:i/>
        </w:rPr>
        <w:t>Bily</w:t>
      </w:r>
      <w:proofErr w:type="spellEnd"/>
      <w:r w:rsidRPr="000C67E6">
        <w:t>, at pp</w:t>
      </w:r>
      <w:r w:rsidR="009007FA">
        <w:t>. </w:t>
      </w:r>
      <w:r w:rsidRPr="000C67E6">
        <w:t xml:space="preserve">406-407.) </w:t>
      </w:r>
    </w:p>
    <w:p w14:paraId="1182258C" w14:textId="64B9E5F5" w:rsidR="000C67E6" w:rsidRPr="000C67E6" w:rsidRDefault="000C67E6" w:rsidP="000C67E6">
      <w:r w:rsidRPr="000C67E6">
        <w:tab/>
        <w:t xml:space="preserve">To be sure, </w:t>
      </w:r>
      <w:proofErr w:type="gramStart"/>
      <w:r w:rsidRPr="000C67E6">
        <w:t>several</w:t>
      </w:r>
      <w:proofErr w:type="gramEnd"/>
      <w:r w:rsidRPr="000C67E6">
        <w:t xml:space="preserve"> additional considerations cut further in favor of strictly circumscribing recovery </w:t>
      </w:r>
      <w:r w:rsidR="004325F5" w:rsidRPr="000C67E6">
        <w:t xml:space="preserve">in </w:t>
      </w:r>
      <w:proofErr w:type="spellStart"/>
      <w:r w:rsidR="004325F5" w:rsidRPr="000C67E6">
        <w:rPr>
          <w:i/>
        </w:rPr>
        <w:t>Bily</w:t>
      </w:r>
      <w:proofErr w:type="spellEnd"/>
      <w:r w:rsidRPr="000C67E6">
        <w:t>.  In the audit context, “[t]he client typically prepares [the] financial statements” on which the auditor relies in preparing a report</w:t>
      </w:r>
      <w:r w:rsidR="00E074F1">
        <w:t> </w:t>
      </w:r>
      <w:r w:rsidRPr="000C67E6">
        <w:t>—</w:t>
      </w:r>
      <w:r w:rsidR="00E074F1">
        <w:t> </w:t>
      </w:r>
      <w:r w:rsidRPr="000C67E6">
        <w:t>and that report “is not a simple statement of verifiable fact” but instead “a professional opinion based on numerous and complex factors.”  (</w:t>
      </w:r>
      <w:proofErr w:type="spellStart"/>
      <w:r w:rsidRPr="000C67E6">
        <w:rPr>
          <w:i/>
        </w:rPr>
        <w:t>Bily</w:t>
      </w:r>
      <w:proofErr w:type="spellEnd"/>
      <w:r w:rsidRPr="000C67E6">
        <w:t xml:space="preserve">, </w:t>
      </w:r>
      <w:r w:rsidR="00450BC1">
        <w:rPr>
          <w:i/>
        </w:rPr>
        <w:t>supra</w:t>
      </w:r>
      <w:r w:rsidR="00450BC1">
        <w:t xml:space="preserve">, </w:t>
      </w:r>
      <w:r w:rsidRPr="000C67E6">
        <w:t xml:space="preserve">3 Cal.4th at pp. 399-400.)  The plaintiffs in </w:t>
      </w:r>
      <w:proofErr w:type="spellStart"/>
      <w:r w:rsidRPr="000C67E6">
        <w:rPr>
          <w:i/>
        </w:rPr>
        <w:t>Bily</w:t>
      </w:r>
      <w:proofErr w:type="spellEnd"/>
      <w:r w:rsidRPr="000C67E6">
        <w:t xml:space="preserve"> were also particularly “sophisticated” and had “efficient means of self-protection,” such as diversifying their investment portfolios or conducting their own due diligence.  (</w:t>
      </w:r>
      <w:r w:rsidRPr="000C67E6">
        <w:rPr>
          <w:i/>
        </w:rPr>
        <w:t>Id.</w:t>
      </w:r>
      <w:r w:rsidRPr="000C67E6">
        <w:t xml:space="preserve"> at p. 406.)  More fundamentally, purely economic losses flowing from a financial transaction gone awry — which were at issue in </w:t>
      </w:r>
      <w:proofErr w:type="spellStart"/>
      <w:r w:rsidRPr="000C67E6">
        <w:rPr>
          <w:i/>
        </w:rPr>
        <w:t>Biakanja</w:t>
      </w:r>
      <w:proofErr w:type="spellEnd"/>
      <w:r w:rsidRPr="000C67E6">
        <w:t xml:space="preserve">, </w:t>
      </w:r>
      <w:proofErr w:type="spellStart"/>
      <w:r w:rsidRPr="000C67E6">
        <w:rPr>
          <w:i/>
        </w:rPr>
        <w:t>J’Aire</w:t>
      </w:r>
      <w:proofErr w:type="spellEnd"/>
      <w:r w:rsidRPr="000C67E6">
        <w:t xml:space="preserve">, </w:t>
      </w:r>
      <w:proofErr w:type="spellStart"/>
      <w:r w:rsidRPr="000C67E6">
        <w:rPr>
          <w:i/>
        </w:rPr>
        <w:t>Bily</w:t>
      </w:r>
      <w:proofErr w:type="spellEnd"/>
      <w:r w:rsidRPr="000C67E6">
        <w:t xml:space="preserve">, and our other </w:t>
      </w:r>
      <w:r w:rsidR="00B80B10">
        <w:t xml:space="preserve">negligence </w:t>
      </w:r>
      <w:r w:rsidRPr="000C67E6">
        <w:t>cases to date about purely economic losses</w:t>
      </w:r>
      <w:r w:rsidR="00597178">
        <w:rPr>
          <w:rStyle w:val="FootnoteReference"/>
        </w:rPr>
        <w:footnoteReference w:id="7"/>
      </w:r>
      <w:r w:rsidRPr="000C67E6">
        <w:t xml:space="preserve"> — “are primarily the domain of contract and warranty law or the law of fraud, rather than of negligence.”  (</w:t>
      </w:r>
      <w:proofErr w:type="spellStart"/>
      <w:r w:rsidRPr="000C67E6">
        <w:rPr>
          <w:i/>
        </w:rPr>
        <w:t>Aas</w:t>
      </w:r>
      <w:proofErr w:type="spellEnd"/>
      <w:r w:rsidRPr="000C67E6">
        <w:rPr>
          <w:i/>
        </w:rPr>
        <w:t xml:space="preserve"> v. Superior Court</w:t>
      </w:r>
      <w:r w:rsidRPr="000C67E6">
        <w:t xml:space="preserve"> (2000) 24 Cal.4th 627, 636</w:t>
      </w:r>
      <w:r w:rsidR="005D778D">
        <w:t xml:space="preserve"> (</w:t>
      </w:r>
      <w:proofErr w:type="spellStart"/>
      <w:r w:rsidR="005D778D">
        <w:rPr>
          <w:i/>
        </w:rPr>
        <w:t>Aas</w:t>
      </w:r>
      <w:proofErr w:type="spellEnd"/>
      <w:r w:rsidR="005D778D">
        <w:t>)</w:t>
      </w:r>
      <w:r w:rsidRPr="000C67E6">
        <w:t xml:space="preserve">, superseded by statute on other grounds as stated in </w:t>
      </w:r>
      <w:r w:rsidRPr="000C67E6">
        <w:rPr>
          <w:i/>
        </w:rPr>
        <w:t xml:space="preserve">Rosen </w:t>
      </w:r>
      <w:r w:rsidRPr="000C67E6">
        <w:rPr>
          <w:i/>
        </w:rPr>
        <w:lastRenderedPageBreak/>
        <w:t>v. State Farm General Ins. Co.</w:t>
      </w:r>
      <w:r w:rsidRPr="000C67E6">
        <w:t xml:space="preserve"> (2003) 30 Cal.4th 1070, 1079-1080 (</w:t>
      </w:r>
      <w:r w:rsidRPr="000C67E6">
        <w:rPr>
          <w:i/>
        </w:rPr>
        <w:t>Rosen</w:t>
      </w:r>
      <w:r w:rsidRPr="000C67E6">
        <w:t>)</w:t>
      </w:r>
      <w:r w:rsidR="005D3E36">
        <w:t>.)</w:t>
      </w:r>
      <w:r w:rsidRPr="000C67E6">
        <w:t xml:space="preserve">  </w:t>
      </w:r>
    </w:p>
    <w:p w14:paraId="48E722EE" w14:textId="496C5EE2" w:rsidR="000C67E6" w:rsidRDefault="000C67E6" w:rsidP="000C67E6">
      <w:r w:rsidRPr="000C67E6">
        <w:tab/>
      </w:r>
      <w:r w:rsidR="00913715">
        <w:t>W</w:t>
      </w:r>
      <w:r w:rsidRPr="000C67E6">
        <w:t xml:space="preserve">e </w:t>
      </w:r>
      <w:r w:rsidR="006D7EBB">
        <w:t xml:space="preserve">nonetheless </w:t>
      </w:r>
      <w:r w:rsidRPr="000C67E6">
        <w:t xml:space="preserve">acknowledged in </w:t>
      </w:r>
      <w:proofErr w:type="spellStart"/>
      <w:r w:rsidRPr="000C67E6">
        <w:rPr>
          <w:i/>
        </w:rPr>
        <w:t>Bily</w:t>
      </w:r>
      <w:proofErr w:type="spellEnd"/>
      <w:r w:rsidR="006D7EBB">
        <w:rPr>
          <w:i/>
        </w:rPr>
        <w:t xml:space="preserve"> </w:t>
      </w:r>
      <w:r w:rsidRPr="000C67E6">
        <w:t>the “need to limit liability for [purely] economic loss[es]” even in the absence of those additional considerations.  (</w:t>
      </w:r>
      <w:proofErr w:type="spellStart"/>
      <w:r w:rsidR="00DC76FE">
        <w:rPr>
          <w:i/>
        </w:rPr>
        <w:t>Bily</w:t>
      </w:r>
      <w:proofErr w:type="spellEnd"/>
      <w:r w:rsidR="00DC76FE">
        <w:t xml:space="preserve">, </w:t>
      </w:r>
      <w:r w:rsidR="00DC76FE">
        <w:rPr>
          <w:i/>
        </w:rPr>
        <w:t>supra</w:t>
      </w:r>
      <w:r w:rsidR="00DC76FE">
        <w:t xml:space="preserve">, </w:t>
      </w:r>
      <w:r w:rsidRPr="000C67E6">
        <w:t xml:space="preserve">3 Cal.4th at p. 400, fn. 11.)  In doing so, we pointed to a hypothetical scenario similar in </w:t>
      </w:r>
      <w:proofErr w:type="gramStart"/>
      <w:r w:rsidRPr="000C67E6">
        <w:t>many</w:t>
      </w:r>
      <w:proofErr w:type="gramEnd"/>
      <w:r w:rsidRPr="000C67E6">
        <w:t xml:space="preserve"> ways to the case </w:t>
      </w:r>
      <w:r w:rsidR="005D0E98">
        <w:t xml:space="preserve">now </w:t>
      </w:r>
      <w:r w:rsidRPr="000C67E6">
        <w:t>before us.  We considered a situation where “a defendant negligently causes an automobile accident that blocks a major traffic artery such as a bridge or tunnel.”  (</w:t>
      </w:r>
      <w:r w:rsidRPr="000C67E6">
        <w:rPr>
          <w:i/>
        </w:rPr>
        <w:t>Ibid.</w:t>
      </w:r>
      <w:r w:rsidRPr="000C67E6">
        <w:t xml:space="preserve">; see also </w:t>
      </w:r>
      <w:r w:rsidR="00E02768" w:rsidRPr="000C67E6">
        <w:rPr>
          <w:i/>
          <w:iCs/>
        </w:rPr>
        <w:t>Kinsman Transit Co.</w:t>
      </w:r>
      <w:r w:rsidR="00E02768" w:rsidRPr="000C67E6">
        <w:t> (2d Cir. 1968) 388 F.2d 821, 825, fn. 8 [</w:t>
      </w:r>
      <w:r w:rsidR="00E02768">
        <w:t>using a similar illustration</w:t>
      </w:r>
      <w:r w:rsidR="00E02768" w:rsidRPr="000C67E6">
        <w:t>]</w:t>
      </w:r>
      <w:r w:rsidR="00E02768">
        <w:t xml:space="preserve">; </w:t>
      </w:r>
      <w:r w:rsidRPr="000C67E6">
        <w:t xml:space="preserve">Rabin, </w:t>
      </w:r>
      <w:r w:rsidRPr="000C67E6">
        <w:rPr>
          <w:i/>
          <w:iCs/>
        </w:rPr>
        <w:t>Tort Recovery for Economic Loss: A Reassessment</w:t>
      </w:r>
      <w:r w:rsidRPr="000C67E6">
        <w:t> (1985) 37 Stan</w:t>
      </w:r>
      <w:proofErr w:type="gramStart"/>
      <w:r w:rsidRPr="000C67E6">
        <w:t>.</w:t>
      </w:r>
      <w:r w:rsidR="00E02768">
        <w:t xml:space="preserve"> </w:t>
      </w:r>
      <w:proofErr w:type="spellStart"/>
      <w:proofErr w:type="gramEnd"/>
      <w:r w:rsidRPr="000C67E6">
        <w:t>L.Rev</w:t>
      </w:r>
      <w:proofErr w:type="spellEnd"/>
      <w:r w:rsidRPr="000C67E6">
        <w:t>. 1513, 1536-38 [</w:t>
      </w:r>
      <w:r w:rsidR="00E02768">
        <w:t>same</w:t>
      </w:r>
      <w:r w:rsidRPr="000C67E6">
        <w:t>].)  That defendant would of course be liable for “personal injuries and property damage suffered in such an accident.”  (</w:t>
      </w:r>
      <w:proofErr w:type="spellStart"/>
      <w:r w:rsidRPr="000C67E6">
        <w:rPr>
          <w:i/>
        </w:rPr>
        <w:t>Bily</w:t>
      </w:r>
      <w:proofErr w:type="spellEnd"/>
      <w:r w:rsidRPr="000C67E6">
        <w:t xml:space="preserve">, at </w:t>
      </w:r>
      <w:r w:rsidR="00682A6E">
        <w:t>p</w:t>
      </w:r>
      <w:r w:rsidRPr="000C67E6">
        <w:t>p. 400</w:t>
      </w:r>
      <w:r w:rsidR="00682A6E">
        <w:t>-401</w:t>
      </w:r>
      <w:r w:rsidRPr="000C67E6">
        <w:t>, fn. 11</w:t>
      </w:r>
      <w:r w:rsidRPr="000C67E6">
        <w:rPr>
          <w:i/>
        </w:rPr>
        <w:t>.</w:t>
      </w:r>
      <w:r w:rsidRPr="000C67E6">
        <w:t>)  But would “any court,” we continued, “allow recovery by the myriad [other] third parties who might claim [purely] economic losses because the bridge or tunnel” was blocked?  (</w:t>
      </w:r>
      <w:r w:rsidRPr="000C67E6">
        <w:rPr>
          <w:i/>
        </w:rPr>
        <w:t>I</w:t>
      </w:r>
      <w:r w:rsidR="00682A6E">
        <w:rPr>
          <w:i/>
        </w:rPr>
        <w:t xml:space="preserve">d. </w:t>
      </w:r>
      <w:r w:rsidR="00682A6E">
        <w:t>at p. 401</w:t>
      </w:r>
      <w:r w:rsidR="00263D63">
        <w:t>, fn. 11</w:t>
      </w:r>
      <w:r w:rsidR="00725F11">
        <w:t>.</w:t>
      </w:r>
      <w:r w:rsidRPr="000C67E6">
        <w:t>)  Based on concerns about limitless liability and unending litigation, as well as on long</w:t>
      </w:r>
      <w:r w:rsidR="00DC1F84">
        <w:t>-</w:t>
      </w:r>
      <w:r w:rsidRPr="000C67E6">
        <w:t>standing legal consensus, we considered that prospect “doubtful.”  (</w:t>
      </w:r>
      <w:r w:rsidRPr="000C67E6">
        <w:rPr>
          <w:i/>
        </w:rPr>
        <w:t>Ibid</w:t>
      </w:r>
      <w:r w:rsidRPr="000C67E6">
        <w:t>.)</w:t>
      </w:r>
    </w:p>
    <w:p w14:paraId="6633F1B4" w14:textId="77777777" w:rsidR="00D45754" w:rsidRDefault="00D45754" w:rsidP="00D45754">
      <w:pPr>
        <w:jc w:val="center"/>
        <w:rPr>
          <w:b/>
        </w:rPr>
      </w:pPr>
      <w:r w:rsidRPr="00D45754">
        <w:rPr>
          <w:b/>
        </w:rPr>
        <w:t>B.</w:t>
      </w:r>
    </w:p>
    <w:p w14:paraId="71CC8025" w14:textId="2A8A0514" w:rsidR="00D45754" w:rsidRDefault="00D45754" w:rsidP="00D45754">
      <w:pPr>
        <w:ind w:firstLine="720"/>
      </w:pPr>
      <w:r w:rsidRPr="00D45754">
        <w:t xml:space="preserve">What we recognized in </w:t>
      </w:r>
      <w:proofErr w:type="spellStart"/>
      <w:r w:rsidRPr="00D45754">
        <w:rPr>
          <w:i/>
        </w:rPr>
        <w:t>Bily</w:t>
      </w:r>
      <w:proofErr w:type="spellEnd"/>
      <w:r w:rsidRPr="00D45754">
        <w:rPr>
          <w:i/>
        </w:rPr>
        <w:t xml:space="preserve"> </w:t>
      </w:r>
      <w:r w:rsidRPr="00D45754">
        <w:t xml:space="preserve">fits with </w:t>
      </w:r>
      <w:proofErr w:type="gramStart"/>
      <w:r w:rsidRPr="00D45754">
        <w:t>numerous</w:t>
      </w:r>
      <w:proofErr w:type="gramEnd"/>
      <w:r w:rsidRPr="00D45754">
        <w:t xml:space="preserve"> decisions from other jurisdictions — as well as the Restatement</w:t>
      </w:r>
      <w:r w:rsidR="0085220E">
        <w:t xml:space="preserve"> of Torts</w:t>
      </w:r>
      <w:r w:rsidRPr="00D45754">
        <w:t xml:space="preserve">.  That consensus </w:t>
      </w:r>
      <w:r w:rsidR="004F4B42">
        <w:t>cuts</w:t>
      </w:r>
      <w:r w:rsidRPr="00D45754">
        <w:t xml:space="preserve"> </w:t>
      </w:r>
      <w:r w:rsidR="004F4B42">
        <w:t>sharply</w:t>
      </w:r>
      <w:r w:rsidRPr="00D45754">
        <w:t xml:space="preserve"> against imposing a duty of care to </w:t>
      </w:r>
      <w:r w:rsidR="00BB4E80">
        <w:t>avoid causing</w:t>
      </w:r>
      <w:r w:rsidRPr="00D45754">
        <w:t xml:space="preserve"> purely economic losses in negligence cases like this one:  where purely economic losses flow not from a financial transaction meant to benefit the plaintiff </w:t>
      </w:r>
      <w:r w:rsidR="00BE040C">
        <w:t>(and which</w:t>
      </w:r>
      <w:r w:rsidRPr="00D45754">
        <w:t xml:space="preserve"> is later botched by the defendant</w:t>
      </w:r>
      <w:r w:rsidR="00BE040C">
        <w:t>)</w:t>
      </w:r>
      <w:r w:rsidRPr="00D45754">
        <w:t xml:space="preserve">, but instead from an industrial </w:t>
      </w:r>
      <w:r w:rsidRPr="00D45754">
        <w:lastRenderedPageBreak/>
        <w:t xml:space="preserve">accident caused by the defendant </w:t>
      </w:r>
      <w:r w:rsidR="00BE040C">
        <w:t>(and which</w:t>
      </w:r>
      <w:r w:rsidRPr="00D45754">
        <w:t xml:space="preserve"> happens to occur near the plaintiff</w:t>
      </w:r>
      <w:r w:rsidR="00BE040C">
        <w:t>).</w:t>
      </w:r>
    </w:p>
    <w:p w14:paraId="4D5D1203" w14:textId="77777777" w:rsidR="00C40B96" w:rsidRPr="00C40B96" w:rsidRDefault="00C40B96" w:rsidP="00C40B96">
      <w:pPr>
        <w:jc w:val="center"/>
        <w:rPr>
          <w:b/>
        </w:rPr>
      </w:pPr>
      <w:r>
        <w:rPr>
          <w:b/>
        </w:rPr>
        <w:t>1.</w:t>
      </w:r>
    </w:p>
    <w:p w14:paraId="0688DFA0" w14:textId="383B3325" w:rsidR="00D45754" w:rsidRPr="00D45754" w:rsidRDefault="00D45754" w:rsidP="00D45754">
      <w:r w:rsidRPr="00D45754">
        <w:tab/>
        <w:t>Concerned about line-drawing problems and</w:t>
      </w:r>
      <w:r w:rsidR="00BC2290">
        <w:t xml:space="preserve"> </w:t>
      </w:r>
      <w:r w:rsidR="00344CFB">
        <w:t>potentially</w:t>
      </w:r>
      <w:r w:rsidRPr="00D45754">
        <w:t xml:space="preserve"> </w:t>
      </w:r>
      <w:r w:rsidR="00A71D9D">
        <w:t xml:space="preserve">overwhelming </w:t>
      </w:r>
      <w:r w:rsidRPr="00D45754">
        <w:t xml:space="preserve">liability, courts across the country have rejected recovery for purely economic losses stemming from </w:t>
      </w:r>
      <w:proofErr w:type="gramStart"/>
      <w:r w:rsidRPr="00D45754">
        <w:t>man-made</w:t>
      </w:r>
      <w:proofErr w:type="gramEnd"/>
      <w:r w:rsidRPr="00D45754">
        <w:t xml:space="preserve"> calamity.  Take the New York Court of Appeals’ decision in </w:t>
      </w:r>
      <w:r w:rsidRPr="00D45754">
        <w:rPr>
          <w:i/>
          <w:iCs/>
        </w:rPr>
        <w:t>532 Madison</w:t>
      </w:r>
      <w:r w:rsidRPr="00D45754">
        <w:t>.  There, part of a 39</w:t>
      </w:r>
      <w:r w:rsidRPr="00D45754">
        <w:noBreakHyphen/>
        <w:t xml:space="preserve">story office tower collapsed, shutting down more than a dozen bustling blocks of midtown Manhattan for </w:t>
      </w:r>
      <w:proofErr w:type="gramStart"/>
      <w:r w:rsidRPr="00D45754">
        <w:t>several</w:t>
      </w:r>
      <w:proofErr w:type="gramEnd"/>
      <w:r w:rsidRPr="00D45754">
        <w:t xml:space="preserve"> weeks.  (See </w:t>
      </w:r>
      <w:r w:rsidRPr="00D45754">
        <w:rPr>
          <w:i/>
          <w:iCs/>
        </w:rPr>
        <w:t>532 Madison</w:t>
      </w:r>
      <w:r w:rsidRPr="00D45754">
        <w:rPr>
          <w:iCs/>
        </w:rPr>
        <w:t xml:space="preserve">, </w:t>
      </w:r>
      <w:r w:rsidR="00E001E0">
        <w:rPr>
          <w:i/>
          <w:iCs/>
        </w:rPr>
        <w:t>supra</w:t>
      </w:r>
      <w:r w:rsidR="00E001E0">
        <w:rPr>
          <w:iCs/>
        </w:rPr>
        <w:t xml:space="preserve">, </w:t>
      </w:r>
      <w:r w:rsidRPr="00D45754">
        <w:t>750 N.E.2d at p.</w:t>
      </w:r>
      <w:r w:rsidR="004E2B3C">
        <w:t> </w:t>
      </w:r>
      <w:r w:rsidRPr="00D45754">
        <w:t xml:space="preserve">1099.)  Among the plaintiffs in </w:t>
      </w:r>
      <w:r w:rsidRPr="00D45754">
        <w:rPr>
          <w:i/>
        </w:rPr>
        <w:t>532 Madison</w:t>
      </w:r>
      <w:r w:rsidRPr="00D45754">
        <w:t xml:space="preserve"> were local businesses who alleged that would-be customers “were unable to gain access to their stores” due to the disaster, forcing the plaintiffs to shut down for an extended </w:t>
      </w:r>
      <w:proofErr w:type="gramStart"/>
      <w:r w:rsidRPr="00D45754">
        <w:t>period of time</w:t>
      </w:r>
      <w:proofErr w:type="gramEnd"/>
      <w:r w:rsidRPr="00D45754">
        <w:t>.  (</w:t>
      </w:r>
      <w:r w:rsidRPr="00D45754">
        <w:rPr>
          <w:i/>
        </w:rPr>
        <w:t>Id.</w:t>
      </w:r>
      <w:r w:rsidRPr="00D45754">
        <w:t xml:space="preserve"> at pp. 1099</w:t>
      </w:r>
      <w:r w:rsidRPr="00D45754">
        <w:noBreakHyphen/>
        <w:t>1100.)  They sued on behalf of themselves and “all other business entities” operating within the affected city blocks.  (</w:t>
      </w:r>
      <w:r w:rsidRPr="00D45754">
        <w:rPr>
          <w:i/>
        </w:rPr>
        <w:t>Ibid.</w:t>
      </w:r>
      <w:r w:rsidRPr="00D45754">
        <w:t xml:space="preserve">) </w:t>
      </w:r>
    </w:p>
    <w:p w14:paraId="6288C763" w14:textId="4E04B3D5" w:rsidR="00A6587C" w:rsidRDefault="00D45754" w:rsidP="00D45754">
      <w:r w:rsidRPr="00D45754">
        <w:tab/>
      </w:r>
      <w:r w:rsidR="002A570B">
        <w:t>T</w:t>
      </w:r>
      <w:r w:rsidRPr="00D45754">
        <w:t>he plaintiffs</w:t>
      </w:r>
      <w:r w:rsidR="0012257C">
        <w:t xml:space="preserve"> in </w:t>
      </w:r>
      <w:r w:rsidR="0012257C">
        <w:rPr>
          <w:i/>
        </w:rPr>
        <w:t>532 Madison</w:t>
      </w:r>
      <w:r w:rsidR="002A570B">
        <w:t xml:space="preserve"> sought </w:t>
      </w:r>
      <w:r w:rsidRPr="00D45754">
        <w:t xml:space="preserve">compensation for the income they lost </w:t>
      </w:r>
      <w:r w:rsidR="00A6587C">
        <w:t>from</w:t>
      </w:r>
      <w:r w:rsidRPr="00D45754">
        <w:t xml:space="preserve"> the </w:t>
      </w:r>
      <w:r w:rsidR="00AA381D">
        <w:t xml:space="preserve">tower </w:t>
      </w:r>
      <w:r w:rsidRPr="00D45754">
        <w:t>collapse</w:t>
      </w:r>
      <w:r w:rsidR="00A6587C">
        <w:t xml:space="preserve">.  The </w:t>
      </w:r>
      <w:r w:rsidRPr="00D45754">
        <w:t xml:space="preserve">New York Court of Appeals </w:t>
      </w:r>
      <w:r w:rsidR="00A6587C">
        <w:t xml:space="preserve">responded by </w:t>
      </w:r>
      <w:r w:rsidRPr="00D45754">
        <w:t>declin</w:t>
      </w:r>
      <w:r w:rsidR="00A6587C">
        <w:t>ing</w:t>
      </w:r>
      <w:r w:rsidRPr="00D45754">
        <w:t xml:space="preserve"> to hold “that a landowner owes a duty to protect an entire urban neighborhood against purely economic losses.”  (</w:t>
      </w:r>
      <w:r w:rsidRPr="00D45754">
        <w:rPr>
          <w:i/>
        </w:rPr>
        <w:t>532 Madison</w:t>
      </w:r>
      <w:r w:rsidRPr="00D45754">
        <w:t xml:space="preserve">, </w:t>
      </w:r>
      <w:r w:rsidR="00F16F9F">
        <w:rPr>
          <w:i/>
        </w:rPr>
        <w:t>supra</w:t>
      </w:r>
      <w:r w:rsidR="00F16F9F">
        <w:t xml:space="preserve">, </w:t>
      </w:r>
      <w:r w:rsidRPr="00D45754">
        <w:t>750 N.E.2d</w:t>
      </w:r>
      <w:r w:rsidRPr="00D45754">
        <w:rPr>
          <w:i/>
        </w:rPr>
        <w:t>.</w:t>
      </w:r>
      <w:r w:rsidRPr="00D45754">
        <w:t xml:space="preserve"> at pp. 1102.)  It instead “limit[ed] the scope of defendants’ duty to those who ha[d], as a result of </w:t>
      </w:r>
      <w:proofErr w:type="spellStart"/>
      <w:r w:rsidRPr="00D45754">
        <w:t>th</w:t>
      </w:r>
      <w:proofErr w:type="spellEnd"/>
      <w:r w:rsidRPr="00D45754">
        <w:t>[e] [collapse], suffered personal injury or property damage.”  (</w:t>
      </w:r>
      <w:r w:rsidRPr="00D45754">
        <w:rPr>
          <w:i/>
        </w:rPr>
        <w:t>I</w:t>
      </w:r>
      <w:r w:rsidR="00B25C1F">
        <w:rPr>
          <w:i/>
        </w:rPr>
        <w:t xml:space="preserve">d. </w:t>
      </w:r>
      <w:r w:rsidR="00B25C1F">
        <w:t>at p. 1103</w:t>
      </w:r>
      <w:r w:rsidRPr="00D45754">
        <w:rPr>
          <w:i/>
        </w:rPr>
        <w:t>.</w:t>
      </w:r>
      <w:r w:rsidRPr="00D45754">
        <w:t>)  The court explained that this limitation provided “a principled basis for reasonably apportioning liability” that was necessary to prevent potentially crushing liability to “an indeterminate group in the affected areas” who could prove “financial losses directly traceable to the” collapse.  (</w:t>
      </w:r>
      <w:r w:rsidRPr="00D45754">
        <w:rPr>
          <w:i/>
        </w:rPr>
        <w:t>I</w:t>
      </w:r>
      <w:r w:rsidR="00B25C1F">
        <w:rPr>
          <w:i/>
        </w:rPr>
        <w:t>bi</w:t>
      </w:r>
      <w:r w:rsidRPr="00D45754">
        <w:rPr>
          <w:i/>
        </w:rPr>
        <w:t>d.</w:t>
      </w:r>
      <w:r w:rsidRPr="00D45754">
        <w:t xml:space="preserve">)  Adopting that rule, the court </w:t>
      </w:r>
      <w:r w:rsidRPr="00D45754">
        <w:lastRenderedPageBreak/>
        <w:t>added, was what “historically courts ha[d] done” with similar negligence claims.  (</w:t>
      </w:r>
      <w:r w:rsidRPr="00D45754">
        <w:rPr>
          <w:i/>
        </w:rPr>
        <w:t>Ibid.</w:t>
      </w:r>
      <w:r w:rsidRPr="00D45754">
        <w:t xml:space="preserve">)  </w:t>
      </w:r>
    </w:p>
    <w:p w14:paraId="776CFF0E" w14:textId="31928D90" w:rsidR="00D45754" w:rsidRPr="00D45754" w:rsidRDefault="00A6587C" w:rsidP="0012257C">
      <w:pPr>
        <w:ind w:firstLine="720"/>
      </w:pPr>
      <w:r>
        <w:t xml:space="preserve">Indeed: </w:t>
      </w:r>
      <w:r w:rsidR="0012257C">
        <w:t xml:space="preserve"> </w:t>
      </w:r>
      <w:r>
        <w:t>t</w:t>
      </w:r>
      <w:r w:rsidR="00D45754" w:rsidRPr="00D45754">
        <w:t xml:space="preserve">he Illinois Supreme Court, for example, reached the same result for similar reasons in litigation flowing from a flood caused by human error that inundated downtown Chicago in 1992.  (See </w:t>
      </w:r>
      <w:r w:rsidR="00D45754" w:rsidRPr="00D45754">
        <w:rPr>
          <w:i/>
          <w:iCs/>
        </w:rPr>
        <w:t>In re Chicago Flood Litigation</w:t>
      </w:r>
      <w:r w:rsidR="00DC4D2B">
        <w:rPr>
          <w:i/>
          <w:iCs/>
        </w:rPr>
        <w:t xml:space="preserve"> </w:t>
      </w:r>
      <w:r w:rsidR="00D45754" w:rsidRPr="00D45754">
        <w:t xml:space="preserve">(Ill. 1997) 680 N.E.2d 265, 268, 276.) </w:t>
      </w:r>
      <w:r w:rsidR="0012257C">
        <w:t xml:space="preserve"> </w:t>
      </w:r>
      <w:r w:rsidR="00D45754" w:rsidRPr="00D45754">
        <w:t xml:space="preserve">Consider also the West Virginia Supreme Court of Appeals’ decision in </w:t>
      </w:r>
      <w:r w:rsidR="00D45754" w:rsidRPr="00D45754">
        <w:rPr>
          <w:i/>
          <w:iCs/>
        </w:rPr>
        <w:t xml:space="preserve">Aikens v. </w:t>
      </w:r>
      <w:proofErr w:type="spellStart"/>
      <w:r w:rsidR="00D45754" w:rsidRPr="00D45754">
        <w:rPr>
          <w:i/>
          <w:iCs/>
        </w:rPr>
        <w:t>Debow</w:t>
      </w:r>
      <w:proofErr w:type="spellEnd"/>
      <w:r w:rsidR="008D0083">
        <w:t xml:space="preserve"> </w:t>
      </w:r>
      <w:r w:rsidR="00D45754" w:rsidRPr="00D45754">
        <w:t xml:space="preserve">(W.Va. 2000) 541 S.E.2d 576, the Iowa Supreme Court’s decision in </w:t>
      </w:r>
      <w:r w:rsidR="00D45754" w:rsidRPr="00D45754">
        <w:rPr>
          <w:i/>
          <w:iCs/>
        </w:rPr>
        <w:t>Nebraska Innkeepers, Inc. v. Pittsburgh-Des Moines Corp.</w:t>
      </w:r>
      <w:r w:rsidR="008D0083">
        <w:t xml:space="preserve"> </w:t>
      </w:r>
      <w:r w:rsidR="00D45754" w:rsidRPr="00D45754">
        <w:t xml:space="preserve">(Iowa 1984) 345 N.W.2d 124, the Massachusetts Supreme Judicial Court’s decision in </w:t>
      </w:r>
      <w:r w:rsidR="00D45754" w:rsidRPr="00D45754">
        <w:rPr>
          <w:i/>
          <w:iCs/>
        </w:rPr>
        <w:t>Stop &amp; Shop Companies, Inc. v. Fisher</w:t>
      </w:r>
      <w:r w:rsidR="008D0083">
        <w:t xml:space="preserve"> </w:t>
      </w:r>
      <w:r w:rsidR="00D45754" w:rsidRPr="00D45754">
        <w:t xml:space="preserve">(Mass. 1983) 444 N.E.2d 368, and the Seventh Circuit’s decision applying Wisconsin law in </w:t>
      </w:r>
      <w:r w:rsidR="00D45754" w:rsidRPr="00D45754">
        <w:rPr>
          <w:i/>
          <w:iCs/>
        </w:rPr>
        <w:t>Leadfree Enterprises, Inc. v. U.S. Steel Corp.</w:t>
      </w:r>
      <w:r w:rsidR="008D0083">
        <w:t xml:space="preserve"> </w:t>
      </w:r>
      <w:r w:rsidR="00D45754" w:rsidRPr="00D45754">
        <w:t xml:space="preserve">(7th Cir. 1983) 711 F.2d 805.  Those cases all concerned bridge accidents </w:t>
      </w:r>
      <w:proofErr w:type="gramStart"/>
      <w:r w:rsidR="00D45754" w:rsidRPr="00D45754">
        <w:t>similar to</w:t>
      </w:r>
      <w:proofErr w:type="gramEnd"/>
      <w:r w:rsidR="00D45754" w:rsidRPr="00D45754">
        <w:t xml:space="preserve"> the hypothetical we discussed in </w:t>
      </w:r>
      <w:proofErr w:type="spellStart"/>
      <w:r w:rsidR="00D45754" w:rsidRPr="00D45754">
        <w:rPr>
          <w:i/>
        </w:rPr>
        <w:t>Bily</w:t>
      </w:r>
      <w:proofErr w:type="spellEnd"/>
      <w:r w:rsidR="00D45754" w:rsidRPr="00D45754">
        <w:rPr>
          <w:i/>
        </w:rPr>
        <w:t xml:space="preserve"> </w:t>
      </w:r>
      <w:r w:rsidR="00D45754" w:rsidRPr="00D45754">
        <w:t xml:space="preserve">— and those cases all rejected attempts by affected businesses to recover in negligence for purely economic losses resulting from those accidents.  (See </w:t>
      </w:r>
      <w:r w:rsidR="00D45754" w:rsidRPr="00D45754">
        <w:rPr>
          <w:i/>
        </w:rPr>
        <w:t>Aikens</w:t>
      </w:r>
      <w:r w:rsidR="00D45754" w:rsidRPr="00D45754">
        <w:t>,</w:t>
      </w:r>
      <w:r w:rsidR="00C227A0">
        <w:t xml:space="preserve"> </w:t>
      </w:r>
      <w:r w:rsidR="00D45754" w:rsidRPr="00D45754">
        <w:t xml:space="preserve">at pp. 579, 589; </w:t>
      </w:r>
      <w:r w:rsidR="00D45754" w:rsidRPr="00D45754">
        <w:rPr>
          <w:i/>
        </w:rPr>
        <w:t>Nebraska Innkeepers</w:t>
      </w:r>
      <w:r w:rsidR="00D45754" w:rsidRPr="00D45754">
        <w:t xml:space="preserve">, at pp. 125, 128; </w:t>
      </w:r>
      <w:r w:rsidR="00D45754" w:rsidRPr="00D45754">
        <w:rPr>
          <w:i/>
        </w:rPr>
        <w:t>Stop &amp; Shop</w:t>
      </w:r>
      <w:r w:rsidR="00D45754" w:rsidRPr="00D45754">
        <w:t>, at pp. 371</w:t>
      </w:r>
      <w:r w:rsidR="00E82324">
        <w:t>-373</w:t>
      </w:r>
      <w:r w:rsidR="00D45754" w:rsidRPr="00D45754">
        <w:t xml:space="preserve">; </w:t>
      </w:r>
      <w:r w:rsidR="00D45754" w:rsidRPr="00D45754">
        <w:rPr>
          <w:i/>
        </w:rPr>
        <w:t>Leadfree Enterprises</w:t>
      </w:r>
      <w:r w:rsidR="00D45754" w:rsidRPr="00D45754">
        <w:t xml:space="preserve">, at pp. 806, 809; see also </w:t>
      </w:r>
      <w:r w:rsidR="00D45754" w:rsidRPr="00D45754">
        <w:rPr>
          <w:i/>
          <w:iCs/>
        </w:rPr>
        <w:t>American Petroleum and Transport, Inc. v. City of New York</w:t>
      </w:r>
      <w:r w:rsidR="00D45754" w:rsidRPr="00D45754">
        <w:t> (2d Cir. 2013) 737 F.3d 185, 187, 196-197 [rejecting under federal maritime law recovery for purely economic losses stemming from a drawbridge malfunction].)  Among their concerns were the endless “ripple effects of a negligence claim based upon pure economic loss.”  (</w:t>
      </w:r>
      <w:r w:rsidR="00D45754" w:rsidRPr="00D45754">
        <w:rPr>
          <w:i/>
        </w:rPr>
        <w:t>Aikens</w:t>
      </w:r>
      <w:r w:rsidR="00D45754" w:rsidRPr="00D45754">
        <w:t xml:space="preserve">, at p. 591; see also </w:t>
      </w:r>
      <w:r w:rsidR="00D45754" w:rsidRPr="00D45754">
        <w:rPr>
          <w:i/>
          <w:iCs/>
        </w:rPr>
        <w:t>Dundee Cement Co. v. Chemical Laboratories, Inc.</w:t>
      </w:r>
      <w:r w:rsidR="008D0083">
        <w:t xml:space="preserve"> </w:t>
      </w:r>
      <w:r w:rsidR="00D45754" w:rsidRPr="00D45754">
        <w:t>(7th Cir. 1983) 712 F.2d 1166, 1172 [opining that allowing recovery in negligence for purely economic losses may unleash “</w:t>
      </w:r>
      <w:proofErr w:type="spellStart"/>
      <w:r w:rsidR="00D45754" w:rsidRPr="00D45754">
        <w:t>multiversant</w:t>
      </w:r>
      <w:proofErr w:type="spellEnd"/>
      <w:r w:rsidR="00D45754" w:rsidRPr="00D45754">
        <w:t xml:space="preserve"> possibilities” for litigation that “are staggering to the imagination”].)  </w:t>
      </w:r>
    </w:p>
    <w:p w14:paraId="2B81B5C5" w14:textId="6CAC1D88" w:rsidR="00D45754" w:rsidRPr="003F0833" w:rsidRDefault="00D45754" w:rsidP="00D45754">
      <w:pPr>
        <w:rPr>
          <w:iCs/>
        </w:rPr>
      </w:pPr>
      <w:r w:rsidRPr="00D45754">
        <w:lastRenderedPageBreak/>
        <w:tab/>
        <w:t xml:space="preserve">Similar rationales </w:t>
      </w:r>
      <w:r w:rsidR="00927A34">
        <w:t>buttressed</w:t>
      </w:r>
      <w:r w:rsidRPr="00D45754">
        <w:t xml:space="preserve"> the Court of Appeals for the District of Columbia’s decision in </w:t>
      </w:r>
      <w:r w:rsidRPr="00D45754">
        <w:rPr>
          <w:i/>
          <w:iCs/>
        </w:rPr>
        <w:t xml:space="preserve">Aguilar v. RP MRP Washington </w:t>
      </w:r>
      <w:proofErr w:type="spellStart"/>
      <w:r w:rsidRPr="00D45754">
        <w:rPr>
          <w:i/>
          <w:iCs/>
        </w:rPr>
        <w:t>Harbour</w:t>
      </w:r>
      <w:proofErr w:type="spellEnd"/>
      <w:r w:rsidRPr="00D45754">
        <w:rPr>
          <w:i/>
          <w:iCs/>
        </w:rPr>
        <w:t>, LLC</w:t>
      </w:r>
      <w:r w:rsidRPr="00D45754">
        <w:t> (D.C. 2014) 98 A.3d 979 (</w:t>
      </w:r>
      <w:r w:rsidRPr="00D45754">
        <w:rPr>
          <w:i/>
        </w:rPr>
        <w:t>Aguilar</w:t>
      </w:r>
      <w:r w:rsidRPr="00D45754">
        <w:t xml:space="preserve">) and the Connecticut Supreme Court’s decision in </w:t>
      </w:r>
      <w:r w:rsidRPr="00D45754">
        <w:rPr>
          <w:i/>
          <w:iCs/>
        </w:rPr>
        <w:t>Lawrence v. O</w:t>
      </w:r>
      <w:r w:rsidR="0067445A">
        <w:rPr>
          <w:i/>
          <w:iCs/>
        </w:rPr>
        <w:t> </w:t>
      </w:r>
      <w:r w:rsidR="002C320C">
        <w:rPr>
          <w:i/>
          <w:iCs/>
        </w:rPr>
        <w:t>&amp; </w:t>
      </w:r>
      <w:r w:rsidRPr="00D45754">
        <w:rPr>
          <w:i/>
          <w:iCs/>
        </w:rPr>
        <w:t>G Industries, Inc.</w:t>
      </w:r>
      <w:r w:rsidRPr="00D45754">
        <w:t xml:space="preserve"> (Conn. 2015) 126 A.3d 569.  Like the California Court of Appeal’s decision in </w:t>
      </w:r>
      <w:r w:rsidRPr="00D45754">
        <w:rPr>
          <w:i/>
        </w:rPr>
        <w:t>Adams</w:t>
      </w:r>
      <w:r w:rsidRPr="00D45754">
        <w:t xml:space="preserve">, those cases rejected claims for lost wages brought by employees whose workplaces were forced to close by </w:t>
      </w:r>
      <w:proofErr w:type="gramStart"/>
      <w:r w:rsidRPr="00D45754">
        <w:t>a man-made</w:t>
      </w:r>
      <w:proofErr w:type="gramEnd"/>
      <w:r w:rsidRPr="00D45754">
        <w:t xml:space="preserve"> disaster — a flood in </w:t>
      </w:r>
      <w:r w:rsidRPr="00D45754">
        <w:rPr>
          <w:i/>
        </w:rPr>
        <w:t>Aguilar</w:t>
      </w:r>
      <w:r w:rsidRPr="00D45754">
        <w:t xml:space="preserve"> and an explosion in </w:t>
      </w:r>
      <w:r w:rsidRPr="00D45754">
        <w:rPr>
          <w:i/>
        </w:rPr>
        <w:t>Lawrence</w:t>
      </w:r>
      <w:r w:rsidRPr="00D45754">
        <w:t>.  (See</w:t>
      </w:r>
      <w:r w:rsidR="006619B6">
        <w:t xml:space="preserve"> </w:t>
      </w:r>
      <w:r w:rsidR="006619B6" w:rsidRPr="00D45754">
        <w:rPr>
          <w:i/>
          <w:iCs/>
        </w:rPr>
        <w:t>Aguilar</w:t>
      </w:r>
      <w:r w:rsidR="006619B6" w:rsidRPr="00D45754">
        <w:rPr>
          <w:iCs/>
        </w:rPr>
        <w:t>, at pp. 981, 983</w:t>
      </w:r>
      <w:r w:rsidR="006619B6">
        <w:rPr>
          <w:iCs/>
        </w:rPr>
        <w:t>;</w:t>
      </w:r>
      <w:r w:rsidRPr="00D45754">
        <w:t xml:space="preserve"> </w:t>
      </w:r>
      <w:r w:rsidRPr="00D45754">
        <w:rPr>
          <w:i/>
          <w:iCs/>
        </w:rPr>
        <w:t>Lawrence</w:t>
      </w:r>
      <w:r w:rsidRPr="00D45754">
        <w:rPr>
          <w:iCs/>
        </w:rPr>
        <w:t>, at pp. 571, 585</w:t>
      </w:r>
      <w:r w:rsidR="003F0833">
        <w:rPr>
          <w:iCs/>
        </w:rPr>
        <w:t xml:space="preserve">.)  </w:t>
      </w:r>
      <w:r w:rsidR="009C160C">
        <w:rPr>
          <w:iCs/>
        </w:rPr>
        <w:t>In fact,</w:t>
      </w:r>
      <w:r w:rsidR="003E2587">
        <w:rPr>
          <w:iCs/>
        </w:rPr>
        <w:t xml:space="preserve"> </w:t>
      </w:r>
      <w:r w:rsidR="003F0833">
        <w:rPr>
          <w:iCs/>
        </w:rPr>
        <w:t xml:space="preserve">more than a half century ago we ourselves approved a decision from an intermediate appellate court in Ohio that </w:t>
      </w:r>
      <w:r w:rsidR="009C160C">
        <w:rPr>
          <w:iCs/>
        </w:rPr>
        <w:t>arrived at</w:t>
      </w:r>
      <w:r w:rsidR="003F0833">
        <w:rPr>
          <w:iCs/>
        </w:rPr>
        <w:t xml:space="preserve"> the same conclusion on </w:t>
      </w:r>
      <w:proofErr w:type="gramStart"/>
      <w:r w:rsidR="009C160C">
        <w:rPr>
          <w:iCs/>
        </w:rPr>
        <w:t xml:space="preserve">very </w:t>
      </w:r>
      <w:r w:rsidR="003F0833">
        <w:rPr>
          <w:iCs/>
        </w:rPr>
        <w:t>similar</w:t>
      </w:r>
      <w:proofErr w:type="gramEnd"/>
      <w:r w:rsidR="003F0833">
        <w:rPr>
          <w:iCs/>
        </w:rPr>
        <w:t xml:space="preserve"> facts</w:t>
      </w:r>
      <w:r w:rsidR="009C160C">
        <w:rPr>
          <w:iCs/>
        </w:rPr>
        <w:t xml:space="preserve"> — another explosion cau</w:t>
      </w:r>
      <w:r w:rsidR="00081D79">
        <w:rPr>
          <w:iCs/>
        </w:rPr>
        <w:t>s</w:t>
      </w:r>
      <w:r w:rsidR="009C160C">
        <w:rPr>
          <w:iCs/>
        </w:rPr>
        <w:t>ing the closure of a nearby workplace</w:t>
      </w:r>
      <w:r w:rsidR="003F0833">
        <w:rPr>
          <w:iCs/>
        </w:rPr>
        <w:t xml:space="preserve">.  (See </w:t>
      </w:r>
      <w:r w:rsidR="00261638" w:rsidRPr="00261638">
        <w:rPr>
          <w:i/>
          <w:iCs/>
        </w:rPr>
        <w:t>Fifield Manor v. Finston</w:t>
      </w:r>
      <w:r w:rsidR="003E2587">
        <w:rPr>
          <w:iCs/>
        </w:rPr>
        <w:t xml:space="preserve"> </w:t>
      </w:r>
      <w:r w:rsidR="00261638" w:rsidRPr="00261638">
        <w:rPr>
          <w:iCs/>
        </w:rPr>
        <w:t>(1960) 54 Cal.2d 632, 636</w:t>
      </w:r>
      <w:r w:rsidR="003F0833">
        <w:rPr>
          <w:iCs/>
        </w:rPr>
        <w:t xml:space="preserve">, </w:t>
      </w:r>
      <w:r w:rsidR="00261638">
        <w:rPr>
          <w:iCs/>
        </w:rPr>
        <w:t xml:space="preserve">citing </w:t>
      </w:r>
      <w:r w:rsidR="00261638" w:rsidRPr="00261638">
        <w:rPr>
          <w:i/>
          <w:iCs/>
        </w:rPr>
        <w:t>Stevenson v. East Ohio Gas Co.</w:t>
      </w:r>
      <w:r w:rsidR="003E2587">
        <w:rPr>
          <w:iCs/>
        </w:rPr>
        <w:t xml:space="preserve"> </w:t>
      </w:r>
      <w:r w:rsidR="00261638" w:rsidRPr="00261638">
        <w:rPr>
          <w:iCs/>
        </w:rPr>
        <w:t xml:space="preserve">(Ohio </w:t>
      </w:r>
      <w:proofErr w:type="spellStart"/>
      <w:r w:rsidR="00261638" w:rsidRPr="00261638">
        <w:rPr>
          <w:iCs/>
        </w:rPr>
        <w:t>Ct.App</w:t>
      </w:r>
      <w:proofErr w:type="spellEnd"/>
      <w:r w:rsidR="00261638" w:rsidRPr="00261638">
        <w:rPr>
          <w:iCs/>
        </w:rPr>
        <w:t>. 1946) 73 N.E.2d 200</w:t>
      </w:r>
      <w:r w:rsidR="0076629B">
        <w:rPr>
          <w:iCs/>
        </w:rPr>
        <w:t>, 201-204</w:t>
      </w:r>
      <w:r w:rsidRPr="00D45754">
        <w:rPr>
          <w:iCs/>
        </w:rPr>
        <w:t>.)</w:t>
      </w:r>
    </w:p>
    <w:p w14:paraId="39FC087D" w14:textId="3CDA2E1E" w:rsidR="00D45754" w:rsidRPr="00D45754" w:rsidRDefault="00D45754" w:rsidP="0012257C">
      <w:r w:rsidRPr="00D45754">
        <w:tab/>
        <w:t xml:space="preserve">Federal courts sitting in admiralty have dealt with industrial accidents perhaps most like the one before us:  maritime spills of oil and other </w:t>
      </w:r>
      <w:r w:rsidR="001C4D30">
        <w:t>pollutants</w:t>
      </w:r>
      <w:r w:rsidRPr="00D45754">
        <w:t xml:space="preserve">.  </w:t>
      </w:r>
      <w:r w:rsidR="00F44E3A">
        <w:t>Leaving aside</w:t>
      </w:r>
      <w:r w:rsidRPr="00D45754">
        <w:t xml:space="preserve"> one narrow exception not applicable here, they too have refused to impose a duty of care to guard against purely economic losses.  </w:t>
      </w:r>
      <w:r w:rsidR="00594525">
        <w:t xml:space="preserve">To wit:  </w:t>
      </w:r>
      <w:r w:rsidR="0012257C">
        <w:t>i</w:t>
      </w:r>
      <w:r w:rsidRPr="00D45754">
        <w:t xml:space="preserve">n </w:t>
      </w:r>
      <w:r w:rsidRPr="00D45754">
        <w:rPr>
          <w:i/>
          <w:iCs/>
        </w:rPr>
        <w:t xml:space="preserve">State of Louisiana ex rel. </w:t>
      </w:r>
      <w:proofErr w:type="spellStart"/>
      <w:r w:rsidRPr="00D45754">
        <w:rPr>
          <w:i/>
          <w:iCs/>
        </w:rPr>
        <w:t>Guste</w:t>
      </w:r>
      <w:proofErr w:type="spellEnd"/>
      <w:r w:rsidRPr="00D45754">
        <w:rPr>
          <w:i/>
          <w:iCs/>
        </w:rPr>
        <w:t xml:space="preserve"> v. M/V </w:t>
      </w:r>
      <w:proofErr w:type="spellStart"/>
      <w:r w:rsidRPr="00D45754">
        <w:rPr>
          <w:i/>
          <w:iCs/>
        </w:rPr>
        <w:t>Testbank</w:t>
      </w:r>
      <w:proofErr w:type="spellEnd"/>
      <w:r w:rsidRPr="00D45754">
        <w:rPr>
          <w:i/>
          <w:iCs/>
        </w:rPr>
        <w:t xml:space="preserve"> </w:t>
      </w:r>
      <w:r w:rsidRPr="00D45754">
        <w:t>(5th</w:t>
      </w:r>
      <w:r w:rsidR="006D5745">
        <w:t> </w:t>
      </w:r>
      <w:r w:rsidRPr="00D45754">
        <w:t>Cir. 1985) 752 F.2d 1019 (</w:t>
      </w:r>
      <w:proofErr w:type="spellStart"/>
      <w:r w:rsidRPr="00D45754">
        <w:rPr>
          <w:i/>
        </w:rPr>
        <w:t>Testbank</w:t>
      </w:r>
      <w:proofErr w:type="spellEnd"/>
      <w:r w:rsidRPr="00D45754">
        <w:t>), two ships collided in the Mississippi River Gulf.  (</w:t>
      </w:r>
      <w:r w:rsidRPr="00D45754">
        <w:rPr>
          <w:i/>
        </w:rPr>
        <w:t>Id.</w:t>
      </w:r>
      <w:r w:rsidRPr="00D45754">
        <w:t xml:space="preserve"> at p. 1020.)  </w:t>
      </w:r>
      <w:proofErr w:type="gramStart"/>
      <w:r w:rsidRPr="00D45754">
        <w:t>Some</w:t>
      </w:r>
      <w:proofErr w:type="gramEnd"/>
      <w:r w:rsidRPr="00D45754">
        <w:t xml:space="preserve"> 12 tons of a toxic chemical called pentachlorophenol rushed into the water and caused the suspension of fishing, shrimping, and other maritime activities across four hundred square miles of marsh and waterways.  (</w:t>
      </w:r>
      <w:r w:rsidRPr="00D45754">
        <w:rPr>
          <w:i/>
        </w:rPr>
        <w:t>Ibid.</w:t>
      </w:r>
      <w:r w:rsidRPr="00D45754">
        <w:t>)  Among the plaintiffs were businesses like boat rental operators, seafood restaurants, and tackle and bait shops.  (</w:t>
      </w:r>
      <w:r w:rsidRPr="00D45754">
        <w:rPr>
          <w:i/>
        </w:rPr>
        <w:t>Id.</w:t>
      </w:r>
      <w:r w:rsidRPr="00D45754">
        <w:t xml:space="preserve"> at pp. 1020-1021.)  They sued to recover “for </w:t>
      </w:r>
      <w:r w:rsidRPr="00D45754">
        <w:lastRenderedPageBreak/>
        <w:t>economic loss unaccompanied by physical damage” that the spill had inflicted.</w:t>
      </w:r>
      <w:r w:rsidRPr="00D45754">
        <w:rPr>
          <w:b/>
        </w:rPr>
        <w:t xml:space="preserve">  </w:t>
      </w:r>
      <w:r w:rsidRPr="00D45754">
        <w:t>(</w:t>
      </w:r>
      <w:r w:rsidRPr="00D45754">
        <w:rPr>
          <w:i/>
        </w:rPr>
        <w:t>I</w:t>
      </w:r>
      <w:r w:rsidR="002F445F">
        <w:rPr>
          <w:i/>
        </w:rPr>
        <w:t xml:space="preserve">d. </w:t>
      </w:r>
      <w:r w:rsidR="002F445F">
        <w:t>at p. 1021.</w:t>
      </w:r>
      <w:r w:rsidRPr="00D45754">
        <w:t xml:space="preserve">)  </w:t>
      </w:r>
    </w:p>
    <w:p w14:paraId="14DE7768" w14:textId="12B93D98" w:rsidR="00D45754" w:rsidRPr="00D45754" w:rsidRDefault="00D45754" w:rsidP="00D45754">
      <w:r w:rsidRPr="00D45754">
        <w:tab/>
        <w:t xml:space="preserve">The Fifth Circuit rejected those claims.  (See </w:t>
      </w:r>
      <w:proofErr w:type="spellStart"/>
      <w:r w:rsidRPr="00D45754">
        <w:rPr>
          <w:i/>
        </w:rPr>
        <w:t>Testbank</w:t>
      </w:r>
      <w:proofErr w:type="spellEnd"/>
      <w:r w:rsidRPr="00D45754">
        <w:t>,</w:t>
      </w:r>
      <w:r w:rsidR="005D778D">
        <w:t xml:space="preserve"> </w:t>
      </w:r>
      <w:r w:rsidR="005D778D">
        <w:rPr>
          <w:i/>
        </w:rPr>
        <w:t>supra</w:t>
      </w:r>
      <w:r w:rsidR="005D778D">
        <w:t>,</w:t>
      </w:r>
      <w:r w:rsidRPr="00D45754">
        <w:t xml:space="preserve"> 752 F.2d at pp. 1028-1029.)  The court echoed concerns about “wave upon wave of successive economic consequences” and stressed that “[t]hose who would delete the requirement of physical damage have no rule or principle to substitute,” save perhaps letting the trier of fact determine case-by-case, whim</w:t>
      </w:r>
      <w:r w:rsidR="0003093E">
        <w:noBreakHyphen/>
      </w:r>
      <w:r w:rsidRPr="00D45754">
        <w:t>by-whim which claims for purely economic loss</w:t>
      </w:r>
      <w:r w:rsidR="00284524">
        <w:t>es</w:t>
      </w:r>
      <w:r w:rsidRPr="00D45754">
        <w:t xml:space="preserve"> warrant recovery.  </w:t>
      </w:r>
      <w:r w:rsidR="00F6483D">
        <w:t>(</w:t>
      </w:r>
      <w:r w:rsidR="00F6483D" w:rsidRPr="00D45754">
        <w:rPr>
          <w:i/>
        </w:rPr>
        <w:t>Id.</w:t>
      </w:r>
      <w:r w:rsidR="00F6483D" w:rsidRPr="00D45754">
        <w:t xml:space="preserve"> at p. 102</w:t>
      </w:r>
      <w:r w:rsidR="00F6483D">
        <w:t>8</w:t>
      </w:r>
      <w:r w:rsidR="00F6483D" w:rsidRPr="00D45754">
        <w:t>.)</w:t>
      </w:r>
      <w:r w:rsidR="00F6483D">
        <w:t xml:space="preserve">  </w:t>
      </w:r>
      <w:r w:rsidRPr="00D45754">
        <w:t>The Fifth Circuit further explained that “to the extent that economic analysis” mattered, it favored rejecting recovery for purely economic losses.  (</w:t>
      </w:r>
      <w:r w:rsidRPr="00D45754">
        <w:rPr>
          <w:i/>
        </w:rPr>
        <w:t>Id.</w:t>
      </w:r>
      <w:r w:rsidRPr="00D45754">
        <w:t xml:space="preserve"> at p. 1029.)  That was because defendants in industrial accident cases</w:t>
      </w:r>
      <w:r w:rsidR="00672EB6">
        <w:t> </w:t>
      </w:r>
      <w:r w:rsidRPr="00D45754">
        <w:t>—</w:t>
      </w:r>
      <w:r w:rsidR="00672EB6">
        <w:t> </w:t>
      </w:r>
      <w:r w:rsidRPr="00D45754">
        <w:t xml:space="preserve">despite their frequently deep pockets — will have more difficulty obtaining third-party insurance coverage against purely economic losses than will individual plaintiffs seeking comparable first-party insurance.  (See </w:t>
      </w:r>
      <w:r w:rsidRPr="00D45754">
        <w:rPr>
          <w:i/>
        </w:rPr>
        <w:t>ibid.</w:t>
      </w:r>
      <w:r w:rsidRPr="00D45754">
        <w:t>)  Defendants’ potential liability for purely economic losses in such cases is massive and indeterminate.  (</w:t>
      </w:r>
      <w:r w:rsidRPr="00D45754">
        <w:rPr>
          <w:i/>
        </w:rPr>
        <w:t>Ibid.</w:t>
      </w:r>
      <w:r w:rsidRPr="00D45754">
        <w:t xml:space="preserve">)  </w:t>
      </w:r>
      <w:proofErr w:type="gramStart"/>
      <w:r w:rsidRPr="00D45754">
        <w:t>So</w:t>
      </w:r>
      <w:proofErr w:type="gramEnd"/>
      <w:r w:rsidRPr="00D45754">
        <w:t xml:space="preserve"> insurance companies cannot feasibly offer them comprehensive coverage</w:t>
      </w:r>
      <w:r w:rsidR="00555265">
        <w:t xml:space="preserve"> </w:t>
      </w:r>
      <w:r w:rsidRPr="00D45754">
        <w:t>— or even fix a sensible premium based on actuarial measurement.  (</w:t>
      </w:r>
      <w:r w:rsidRPr="00D45754">
        <w:rPr>
          <w:i/>
        </w:rPr>
        <w:t>Ibid.</w:t>
      </w:r>
      <w:r w:rsidRPr="00D45754">
        <w:t>)  Plaintiffs</w:t>
      </w:r>
      <w:r w:rsidR="00672EB6">
        <w:t>’</w:t>
      </w:r>
      <w:r w:rsidRPr="00D45754">
        <w:t xml:space="preserve"> “own potential losses,” by contrast, “are finite and readily discernible.”  (</w:t>
      </w:r>
      <w:r w:rsidRPr="00D45754">
        <w:rPr>
          <w:i/>
        </w:rPr>
        <w:t>Ibid.</w:t>
      </w:r>
      <w:r w:rsidRPr="00D45754">
        <w:t xml:space="preserve">)  They can therefore obtain insurance to cover them — perhaps </w:t>
      </w:r>
      <w:r w:rsidR="0012257C">
        <w:t>relatively cheaply.</w:t>
      </w:r>
      <w:r w:rsidRPr="00D45754">
        <w:t xml:space="preserve"> </w:t>
      </w:r>
      <w:r w:rsidR="00672EB6">
        <w:t xml:space="preserve"> </w:t>
      </w:r>
      <w:r w:rsidRPr="00D45754">
        <w:t>(</w:t>
      </w:r>
      <w:r w:rsidRPr="00D45754">
        <w:rPr>
          <w:i/>
        </w:rPr>
        <w:t>Ibid.</w:t>
      </w:r>
      <w:r w:rsidRPr="00D45754">
        <w:t xml:space="preserve">; see also Posner, </w:t>
      </w:r>
      <w:r w:rsidRPr="00D45754">
        <w:rPr>
          <w:i/>
        </w:rPr>
        <w:t>Common-Law Economic Torts: An Economic and Legal Analysis</w:t>
      </w:r>
      <w:r w:rsidRPr="00D45754">
        <w:t xml:space="preserve"> (2006) 48 Ariz. </w:t>
      </w:r>
      <w:proofErr w:type="spellStart"/>
      <w:r w:rsidRPr="00D45754">
        <w:t>L.Rev</w:t>
      </w:r>
      <w:proofErr w:type="spellEnd"/>
      <w:r w:rsidRPr="00D45754">
        <w:t>. 735, 737-738.)</w:t>
      </w:r>
    </w:p>
    <w:p w14:paraId="35979C03" w14:textId="21F5CD64" w:rsidR="00D45754" w:rsidRPr="00D45754" w:rsidRDefault="00D45754" w:rsidP="00D45754">
      <w:r w:rsidRPr="00D45754">
        <w:tab/>
        <w:t xml:space="preserve">Faced with an oil spill </w:t>
      </w:r>
      <w:r w:rsidR="00017516">
        <w:t>diverting</w:t>
      </w:r>
      <w:r w:rsidRPr="00D45754">
        <w:t xml:space="preserve"> a container ship at </w:t>
      </w:r>
      <w:r w:rsidR="00B6543C">
        <w:t>substantial</w:t>
      </w:r>
      <w:r w:rsidRPr="00D45754">
        <w:t xml:space="preserve"> cost, the First Circuit in </w:t>
      </w:r>
      <w:r w:rsidRPr="00D45754">
        <w:rPr>
          <w:i/>
          <w:iCs/>
        </w:rPr>
        <w:t>Barber Lines A/S v. M/V Donau Maru</w:t>
      </w:r>
      <w:r w:rsidR="00E2425F">
        <w:t xml:space="preserve"> </w:t>
      </w:r>
      <w:r w:rsidRPr="00D45754">
        <w:t xml:space="preserve">(1st Cir. 1985) 764 F.2d 50 denied recovery </w:t>
      </w:r>
      <w:r w:rsidR="00AB6AC5">
        <w:t xml:space="preserve">in negligence </w:t>
      </w:r>
      <w:r w:rsidRPr="00D45754">
        <w:t>for those purely economic losses</w:t>
      </w:r>
      <w:r w:rsidR="00017516">
        <w:t xml:space="preserve">. </w:t>
      </w:r>
      <w:r w:rsidR="00CF5EC0">
        <w:t xml:space="preserve"> The First Circuit’s analysis in </w:t>
      </w:r>
      <w:proofErr w:type="gramStart"/>
      <w:r w:rsidR="00CF5EC0">
        <w:t>many</w:t>
      </w:r>
      <w:proofErr w:type="gramEnd"/>
      <w:r w:rsidR="00CF5EC0">
        <w:t xml:space="preserve"> ways mirrored the Fifth Circuit’s reasoning in </w:t>
      </w:r>
      <w:proofErr w:type="spellStart"/>
      <w:r w:rsidR="00CF5EC0">
        <w:rPr>
          <w:i/>
        </w:rPr>
        <w:lastRenderedPageBreak/>
        <w:t>Testbank</w:t>
      </w:r>
      <w:proofErr w:type="spellEnd"/>
      <w:r w:rsidR="00CF5EC0">
        <w:rPr>
          <w:i/>
        </w:rPr>
        <w:t>.</w:t>
      </w:r>
      <w:r w:rsidRPr="00D45754">
        <w:t xml:space="preserve">  (See </w:t>
      </w:r>
      <w:r w:rsidRPr="00D45754">
        <w:rPr>
          <w:i/>
        </w:rPr>
        <w:t>Barber Lines</w:t>
      </w:r>
      <w:r w:rsidRPr="00D45754">
        <w:t>, at pp. 50-5</w:t>
      </w:r>
      <w:r w:rsidR="00A16C87">
        <w:t>2</w:t>
      </w:r>
      <w:r w:rsidRPr="00D45754">
        <w:t xml:space="preserve">.)  </w:t>
      </w:r>
      <w:r w:rsidR="005D031B">
        <w:t>T</w:t>
      </w:r>
      <w:r w:rsidRPr="00D45754">
        <w:t>hrough the pen of then</w:t>
      </w:r>
      <w:r w:rsidRPr="00D45754">
        <w:noBreakHyphen/>
      </w:r>
      <w:r w:rsidR="005D031B">
        <w:t>J</w:t>
      </w:r>
      <w:r w:rsidRPr="00D45754">
        <w:t xml:space="preserve">udge Breyer, </w:t>
      </w:r>
      <w:r w:rsidR="005D031B">
        <w:t xml:space="preserve">the First Circuit </w:t>
      </w:r>
      <w:r w:rsidRPr="00D45754">
        <w:t>explained that the “number of persons suffering foreseeable financial harm in a typical accident” — like a car crash — “is likely to be far greater than those who suffer traditional (recoverable) physical harm.”  (</w:t>
      </w:r>
      <w:r w:rsidRPr="00D45754">
        <w:rPr>
          <w:i/>
        </w:rPr>
        <w:t>Id.</w:t>
      </w:r>
      <w:r w:rsidRPr="00D45754">
        <w:t xml:space="preserve"> at p. 54.)  And when it comes </w:t>
      </w:r>
      <w:r w:rsidR="00C53C80">
        <w:t xml:space="preserve">to </w:t>
      </w:r>
      <w:r w:rsidRPr="00D45754">
        <w:t xml:space="preserve">industrial accidents, that proliferation of potential liability for purely economic losses is even more dramatic.  (See </w:t>
      </w:r>
      <w:r w:rsidRPr="00D45754">
        <w:rPr>
          <w:i/>
        </w:rPr>
        <w:t>ibid.</w:t>
      </w:r>
      <w:r w:rsidRPr="00D45754">
        <w:t>)  An oil spill, for instance, “foreseeably harms” not just those whose property is “covered with oil,” but also “blockaded ships, marina merchants, suppliers of those firms, the employees of marina businesses and suppliers, the suppliers’ suppliers, and so forth.”  (</w:t>
      </w:r>
      <w:r w:rsidRPr="00D45754">
        <w:rPr>
          <w:i/>
        </w:rPr>
        <w:t>Ibid.</w:t>
      </w:r>
      <w:r w:rsidRPr="00D45754">
        <w:t>)  That indeterminate liability, the First Circuit continued, made third</w:t>
      </w:r>
      <w:r w:rsidR="006F5A92">
        <w:noBreakHyphen/>
      </w:r>
      <w:r w:rsidRPr="00D45754">
        <w:t>party insurance coverage against purely economic losses less feasible than first-party insurance.  (</w:t>
      </w:r>
      <w:r w:rsidRPr="00D45754">
        <w:rPr>
          <w:i/>
        </w:rPr>
        <w:t>Ibid.</w:t>
      </w:r>
      <w:r w:rsidRPr="00D45754">
        <w:t>)  It also risked over-deterring socially productive activities.  (</w:t>
      </w:r>
      <w:r w:rsidRPr="00D45754">
        <w:rPr>
          <w:i/>
        </w:rPr>
        <w:t>Id.</w:t>
      </w:r>
      <w:r w:rsidRPr="00D45754">
        <w:t xml:space="preserve"> at p. 55.)  And unable to “distinguish between, say, oil spill accidents and tunnel accidents,” the First Circuit rejected the idea of adopting different duty rules depending on the particular “industrial context” at issue.  (</w:t>
      </w:r>
      <w:r w:rsidRPr="00D45754">
        <w:rPr>
          <w:i/>
        </w:rPr>
        <w:t>Id.</w:t>
      </w:r>
      <w:r w:rsidRPr="00D45754">
        <w:t xml:space="preserve"> at p. 57.)  </w:t>
      </w:r>
    </w:p>
    <w:p w14:paraId="1448E0A8" w14:textId="07D46E73" w:rsidR="00D45754" w:rsidRPr="00D45754" w:rsidRDefault="00D45754" w:rsidP="00D45754">
      <w:r w:rsidRPr="00D45754">
        <w:tab/>
      </w:r>
      <w:r w:rsidR="00017516">
        <w:t>The narrow exception</w:t>
      </w:r>
      <w:r w:rsidR="0034778B">
        <w:t xml:space="preserve"> </w:t>
      </w:r>
      <w:r w:rsidR="006F1D66">
        <w:t>mentioned earlier</w:t>
      </w:r>
      <w:r w:rsidR="00017516">
        <w:t xml:space="preserve">, to which </w:t>
      </w:r>
      <w:r w:rsidR="00A26451">
        <w:t xml:space="preserve">we </w:t>
      </w:r>
      <w:r w:rsidR="00017516">
        <w:t>now</w:t>
      </w:r>
      <w:r w:rsidRPr="00D45754">
        <w:t xml:space="preserve"> turn</w:t>
      </w:r>
      <w:r w:rsidR="00EC3551">
        <w:t xml:space="preserve">, </w:t>
      </w:r>
      <w:r w:rsidR="004B52B0">
        <w:t>does not help</w:t>
      </w:r>
      <w:r w:rsidR="00EC3551">
        <w:t xml:space="preserve"> Plaintiffs</w:t>
      </w:r>
      <w:r w:rsidRPr="00D45754">
        <w:t>.  Applying maritime law and California law alike in</w:t>
      </w:r>
      <w:r w:rsidRPr="00D45754">
        <w:rPr>
          <w:i/>
          <w:iCs/>
        </w:rPr>
        <w:t xml:space="preserve"> Union Oil Co. v. </w:t>
      </w:r>
      <w:proofErr w:type="spellStart"/>
      <w:r w:rsidRPr="00D45754">
        <w:rPr>
          <w:i/>
          <w:iCs/>
        </w:rPr>
        <w:t>Oppen</w:t>
      </w:r>
      <w:proofErr w:type="spellEnd"/>
      <w:r w:rsidR="00766C36">
        <w:t xml:space="preserve"> </w:t>
      </w:r>
      <w:r w:rsidRPr="00D45754">
        <w:t xml:space="preserve">(9th Cir. 1974) 501 F.2d 558, the Ninth Circuit held that commercial </w:t>
      </w:r>
      <w:proofErr w:type="gramStart"/>
      <w:r w:rsidRPr="00D45754">
        <w:t>fishermen</w:t>
      </w:r>
      <w:proofErr w:type="gramEnd"/>
      <w:r w:rsidRPr="00D45754">
        <w:t xml:space="preserve"> could recover in negligence for the </w:t>
      </w:r>
      <w:r w:rsidR="00175532">
        <w:t>“</w:t>
      </w:r>
      <w:r w:rsidRPr="00D45754">
        <w:t>diminution of aquatic life” caused by an oil spill.  (</w:t>
      </w:r>
      <w:r w:rsidRPr="00D45754">
        <w:rPr>
          <w:i/>
        </w:rPr>
        <w:t>Id.</w:t>
      </w:r>
      <w:r w:rsidRPr="00D45754">
        <w:t xml:space="preserve"> at pp.</w:t>
      </w:r>
      <w:r w:rsidR="00415A0A">
        <w:t> </w:t>
      </w:r>
      <w:r w:rsidRPr="00D45754">
        <w:t>563</w:t>
      </w:r>
      <w:r w:rsidR="00175532">
        <w:t>, 570</w:t>
      </w:r>
      <w:r w:rsidRPr="00D45754">
        <w:t>.)  But that was because theirs was “a pecuniary loss of a particular and special nature</w:t>
      </w:r>
      <w:r w:rsidR="00FB4A1C">
        <w:t xml:space="preserve">” </w:t>
      </w:r>
      <w:r w:rsidR="00F805B9">
        <w:t xml:space="preserve">grounded in </w:t>
      </w:r>
      <w:r w:rsidR="00FB4A1C">
        <w:t>the time</w:t>
      </w:r>
      <w:r w:rsidR="00F805B9">
        <w:noBreakHyphen/>
      </w:r>
      <w:r w:rsidR="00FB4A1C">
        <w:t>worn principle that “</w:t>
      </w:r>
      <w:proofErr w:type="gramStart"/>
      <w:r w:rsidR="00FB4A1C">
        <w:t>seamen</w:t>
      </w:r>
      <w:proofErr w:type="gramEnd"/>
      <w:r w:rsidR="00FB4A1C">
        <w:t xml:space="preserve"> are the favorites of admiralty.</w:t>
      </w:r>
      <w:r w:rsidR="00F805B9">
        <w:t>”</w:t>
      </w:r>
      <w:r w:rsidRPr="00D45754">
        <w:t xml:space="preserve">  (</w:t>
      </w:r>
      <w:r w:rsidRPr="00D45754">
        <w:rPr>
          <w:i/>
        </w:rPr>
        <w:t>Id.</w:t>
      </w:r>
      <w:r w:rsidRPr="00D45754">
        <w:t xml:space="preserve"> at p</w:t>
      </w:r>
      <w:r w:rsidR="00F805B9">
        <w:t>p</w:t>
      </w:r>
      <w:r w:rsidRPr="00D45754">
        <w:t>. </w:t>
      </w:r>
      <w:r w:rsidR="00F805B9">
        <w:t xml:space="preserve">567, </w:t>
      </w:r>
      <w:r w:rsidRPr="00D45754">
        <w:t>570</w:t>
      </w:r>
      <w:r w:rsidR="006924BB">
        <w:t xml:space="preserve">; </w:t>
      </w:r>
      <w:r w:rsidR="006924BB" w:rsidRPr="00D45754">
        <w:t>see</w:t>
      </w:r>
      <w:r w:rsidR="005634D5">
        <w:t> </w:t>
      </w:r>
      <w:r w:rsidR="006924BB" w:rsidRPr="00D45754">
        <w:t>also</w:t>
      </w:r>
      <w:r w:rsidR="005634D5">
        <w:t xml:space="preserve"> </w:t>
      </w:r>
      <w:r w:rsidR="006924BB" w:rsidRPr="00D45754">
        <w:rPr>
          <w:i/>
          <w:iCs/>
        </w:rPr>
        <w:t>Curd v. Mosaic Fertilizer, LLC</w:t>
      </w:r>
      <w:r w:rsidR="006924BB">
        <w:t xml:space="preserve"> </w:t>
      </w:r>
      <w:r w:rsidR="006924BB" w:rsidRPr="00D45754">
        <w:t>(Fla. 2010) 39 So.3d 1216, 1228</w:t>
      </w:r>
      <w:r w:rsidRPr="00D45754">
        <w:t xml:space="preserve">.)  </w:t>
      </w:r>
      <w:r w:rsidR="00FB4A1C">
        <w:t xml:space="preserve">Recovery </w:t>
      </w:r>
      <w:r w:rsidR="00627F24">
        <w:t xml:space="preserve">in </w:t>
      </w:r>
      <w:r w:rsidR="00627F24">
        <w:rPr>
          <w:i/>
        </w:rPr>
        <w:t xml:space="preserve">Union Oil </w:t>
      </w:r>
      <w:r w:rsidR="00FB4A1C">
        <w:t>was therefore</w:t>
      </w:r>
      <w:r w:rsidRPr="00D45754">
        <w:t xml:space="preserve"> </w:t>
      </w:r>
      <w:r w:rsidR="00212645">
        <w:t xml:space="preserve">tightly circumscribed:  it </w:t>
      </w:r>
      <w:r w:rsidR="00212645">
        <w:lastRenderedPageBreak/>
        <w:t xml:space="preserve">was </w:t>
      </w:r>
      <w:r w:rsidRPr="00D45754">
        <w:t>“limited to the class of commercial fishermen” whose livelihoods depend on the flourishing of aquatic life</w:t>
      </w:r>
      <w:r w:rsidR="00097CFE">
        <w:t xml:space="preserve"> in the commons of the sea</w:t>
      </w:r>
      <w:r w:rsidRPr="00D45754">
        <w:t xml:space="preserve"> </w:t>
      </w:r>
      <w:r w:rsidR="000B0488">
        <w:t xml:space="preserve">and </w:t>
      </w:r>
      <w:r w:rsidR="009E1E9C">
        <w:t xml:space="preserve">thus </w:t>
      </w:r>
      <w:r w:rsidR="000B0488">
        <w:t>did not include, for example,</w:t>
      </w:r>
      <w:r w:rsidRPr="00D45754">
        <w:t xml:space="preserve"> recreational fisherman whose “ ‘Sunday piscatorial pleasure’ ” depended on angling in the same waters.  (</w:t>
      </w:r>
      <w:r w:rsidR="00A61F7A" w:rsidRPr="00D45754">
        <w:rPr>
          <w:i/>
          <w:iCs/>
        </w:rPr>
        <w:t>Union Oi</w:t>
      </w:r>
      <w:r w:rsidR="00A61F7A">
        <w:rPr>
          <w:i/>
          <w:iCs/>
        </w:rPr>
        <w:t>l</w:t>
      </w:r>
      <w:r w:rsidR="00A61F7A">
        <w:rPr>
          <w:iCs/>
        </w:rPr>
        <w:t xml:space="preserve">, </w:t>
      </w:r>
      <w:r w:rsidR="00627F24">
        <w:t>at p. 570</w:t>
      </w:r>
      <w:r w:rsidRPr="00D45754">
        <w:t xml:space="preserve">, quoting </w:t>
      </w:r>
      <w:proofErr w:type="spellStart"/>
      <w:r w:rsidRPr="00D45754">
        <w:rPr>
          <w:i/>
        </w:rPr>
        <w:t>Oppen</w:t>
      </w:r>
      <w:proofErr w:type="spellEnd"/>
      <w:r w:rsidRPr="00D45754">
        <w:rPr>
          <w:i/>
        </w:rPr>
        <w:t xml:space="preserve"> v. Aetna Ins. Co.</w:t>
      </w:r>
      <w:r w:rsidR="00577C6A">
        <w:t xml:space="preserve"> </w:t>
      </w:r>
      <w:r w:rsidRPr="00D45754">
        <w:t xml:space="preserve">(9th Cir. 1973) 485 F.2d 252, 260.)  Indeed, the Ninth Circuit further cautioned that its narrow holding </w:t>
      </w:r>
      <w:r w:rsidR="00FB4A1C">
        <w:t xml:space="preserve">based on </w:t>
      </w:r>
      <w:r w:rsidR="00654E17">
        <w:t xml:space="preserve">unique features of the </w:t>
      </w:r>
      <w:r w:rsidR="00FB4A1C">
        <w:t xml:space="preserve">maritime context </w:t>
      </w:r>
      <w:r w:rsidRPr="00D45754">
        <w:t>did “not open the door to claims” from others “whose economic or personal affairs were discommoded by the oil spill.”  (</w:t>
      </w:r>
      <w:r w:rsidR="00627F24">
        <w:rPr>
          <w:i/>
        </w:rPr>
        <w:t>Union Oil</w:t>
      </w:r>
      <w:r w:rsidRPr="00D45754">
        <w:t>, at p. 570.)  Not “every decline in the general commercial activity of every business” nearby, the court reasoned, was “a legally cognizable injury for which the defendants may be responsible.”  (</w:t>
      </w:r>
      <w:r w:rsidRPr="00D45754">
        <w:rPr>
          <w:i/>
        </w:rPr>
        <w:t>Ibid.</w:t>
      </w:r>
      <w:r w:rsidRPr="00D45754">
        <w:t xml:space="preserve">)  </w:t>
      </w:r>
      <w:proofErr w:type="gramStart"/>
      <w:r w:rsidRPr="00D45754">
        <w:t>So</w:t>
      </w:r>
      <w:proofErr w:type="gramEnd"/>
      <w:r w:rsidRPr="00D45754">
        <w:t xml:space="preserve"> in </w:t>
      </w:r>
      <w:r w:rsidR="00627F24">
        <w:rPr>
          <w:i/>
        </w:rPr>
        <w:t>Union Oil</w:t>
      </w:r>
      <w:r w:rsidR="00627F24" w:rsidRPr="00D45754">
        <w:t xml:space="preserve"> </w:t>
      </w:r>
      <w:r w:rsidRPr="00D45754">
        <w:t>— as in every case discussed so far — recovery in negligence for purely economic losses was the exception, not the rule.</w:t>
      </w:r>
    </w:p>
    <w:p w14:paraId="4ADF3E09" w14:textId="344D15EB" w:rsidR="00B25BAA" w:rsidRDefault="00D45754" w:rsidP="00D45754">
      <w:r w:rsidRPr="00D45754">
        <w:tab/>
        <w:t xml:space="preserve">Against all these decisions, only the New Jersey Supreme Court’s </w:t>
      </w:r>
      <w:r w:rsidR="00C842D1">
        <w:t>opinion</w:t>
      </w:r>
      <w:r w:rsidR="00F65D47">
        <w:t xml:space="preserve"> in </w:t>
      </w:r>
      <w:r w:rsidRPr="00D45754">
        <w:rPr>
          <w:i/>
          <w:iCs/>
        </w:rPr>
        <w:t>People Express Airlines, Inc. v. Consolidated Rail Corp.</w:t>
      </w:r>
      <w:r w:rsidR="00934334">
        <w:rPr>
          <w:i/>
          <w:iCs/>
        </w:rPr>
        <w:t xml:space="preserve"> </w:t>
      </w:r>
      <w:r w:rsidRPr="00D45754">
        <w:t>(N.J. 1985) 495 A.2d 107 (</w:t>
      </w:r>
      <w:r w:rsidRPr="00D45754">
        <w:rPr>
          <w:i/>
        </w:rPr>
        <w:t>People Express</w:t>
      </w:r>
      <w:r w:rsidRPr="00D45754">
        <w:t xml:space="preserve">) cuts definitively the other way.  In </w:t>
      </w:r>
      <w:r w:rsidRPr="00D45754">
        <w:rPr>
          <w:i/>
        </w:rPr>
        <w:t>People Express</w:t>
      </w:r>
      <w:r w:rsidRPr="00D45754">
        <w:t>, a rail</w:t>
      </w:r>
      <w:r w:rsidR="00BE43BF">
        <w:t>road</w:t>
      </w:r>
      <w:r w:rsidRPr="00D45754">
        <w:t xml:space="preserve"> fire forced a nearby terminal at Newark International Airport to shut down for twelve hours — a terminal housing the plaintiff’s business.  (See </w:t>
      </w:r>
      <w:r w:rsidRPr="00D45754">
        <w:rPr>
          <w:i/>
        </w:rPr>
        <w:t>id</w:t>
      </w:r>
      <w:proofErr w:type="gramStart"/>
      <w:r w:rsidRPr="00D45754">
        <w:rPr>
          <w:i/>
        </w:rPr>
        <w:t>.</w:t>
      </w:r>
      <w:r w:rsidRPr="00D45754">
        <w:t xml:space="preserve"> </w:t>
      </w:r>
      <w:proofErr w:type="gramEnd"/>
      <w:r w:rsidRPr="00D45754">
        <w:t>at p. 108.)  The plaintiff brought a negligence claim for income lost as a result</w:t>
      </w:r>
      <w:r w:rsidR="001F615E">
        <w:t xml:space="preserve"> </w:t>
      </w:r>
      <w:r w:rsidR="004554C8">
        <w:t xml:space="preserve">–– a claim </w:t>
      </w:r>
      <w:r w:rsidRPr="00D45754">
        <w:t xml:space="preserve">the New Jersey Supreme Court </w:t>
      </w:r>
      <w:r w:rsidR="004554C8">
        <w:t xml:space="preserve">permitted to </w:t>
      </w:r>
      <w:r w:rsidRPr="00D45754">
        <w:t>proceed.  (</w:t>
      </w:r>
      <w:r w:rsidRPr="00D45754">
        <w:rPr>
          <w:i/>
        </w:rPr>
        <w:t>Id.</w:t>
      </w:r>
      <w:r w:rsidRPr="00D45754">
        <w:t xml:space="preserve"> at pp. 108, 116.)  The court imposed a tort duty to guard against purely economic losses where there is “an identifiable class with respect to whom [the] defendant knows or has reason to know are likely to suffer such damages from its conduct.”  (</w:t>
      </w:r>
      <w:r w:rsidRPr="00D45754">
        <w:rPr>
          <w:i/>
        </w:rPr>
        <w:t>Id.</w:t>
      </w:r>
      <w:r w:rsidRPr="00D45754">
        <w:t xml:space="preserve"> at p. 116.)  The court stressed “that an identifiable class of plaintiffs is not simply a foreseeable class of plaintiffs” — such as happenstance </w:t>
      </w:r>
      <w:r w:rsidRPr="00D45754">
        <w:lastRenderedPageBreak/>
        <w:t>bystanders — but instead a class that is “particularly foreseeable in terms of the type of persons or entities comprising the class, the certainty or predictability of their presence, the approximate numbers of those in the class, as well as the type of economic expectations disrupted.”  (</w:t>
      </w:r>
      <w:r w:rsidRPr="00D45754">
        <w:rPr>
          <w:i/>
        </w:rPr>
        <w:t>Ibid.</w:t>
      </w:r>
      <w:r w:rsidRPr="00D45754">
        <w:t xml:space="preserve">)  </w:t>
      </w:r>
    </w:p>
    <w:p w14:paraId="715BB12A" w14:textId="4C998028" w:rsidR="00D45754" w:rsidRDefault="004908D6" w:rsidP="00B25BAA">
      <w:pPr>
        <w:ind w:firstLine="720"/>
      </w:pPr>
      <w:r>
        <w:t xml:space="preserve">Yet </w:t>
      </w:r>
      <w:r w:rsidR="00EF4425">
        <w:t>decad</w:t>
      </w:r>
      <w:r w:rsidR="00CA6881">
        <w:t xml:space="preserve">es after the demise of the airline that gave the case its name, </w:t>
      </w:r>
      <w:r w:rsidR="00D45754" w:rsidRPr="00D45754">
        <w:rPr>
          <w:i/>
        </w:rPr>
        <w:t>People Express</w:t>
      </w:r>
      <w:r>
        <w:t xml:space="preserve"> </w:t>
      </w:r>
      <w:r w:rsidR="00EF4425">
        <w:t>remains</w:t>
      </w:r>
      <w:r w:rsidR="00392168">
        <w:t xml:space="preserve"> </w:t>
      </w:r>
      <w:r w:rsidR="00D45754" w:rsidRPr="00D45754">
        <w:t xml:space="preserve">“a lonely outpost.”  (Rabin, </w:t>
      </w:r>
      <w:r w:rsidR="00D45754" w:rsidRPr="00D45754">
        <w:rPr>
          <w:i/>
          <w:iCs/>
        </w:rPr>
        <w:t xml:space="preserve">Respecting </w:t>
      </w:r>
      <w:proofErr w:type="gramStart"/>
      <w:r w:rsidR="00D45754" w:rsidRPr="00D45754">
        <w:rPr>
          <w:i/>
          <w:iCs/>
        </w:rPr>
        <w:t>Boundaries</w:t>
      </w:r>
      <w:proofErr w:type="gramEnd"/>
      <w:r w:rsidR="00D45754" w:rsidRPr="00D45754">
        <w:rPr>
          <w:i/>
          <w:iCs/>
        </w:rPr>
        <w:t xml:space="preserve"> and the Economic Loss Rule in Tort</w:t>
      </w:r>
      <w:r w:rsidR="00D45754" w:rsidRPr="00D45754">
        <w:t xml:space="preserve"> (2006) 48 Ariz. </w:t>
      </w:r>
      <w:proofErr w:type="spellStart"/>
      <w:r w:rsidR="00D45754" w:rsidRPr="00D45754">
        <w:t>L.Rev</w:t>
      </w:r>
      <w:proofErr w:type="spellEnd"/>
      <w:r w:rsidR="00D45754" w:rsidRPr="00D45754">
        <w:t xml:space="preserve">. 857, 858.)  </w:t>
      </w:r>
      <w:r w:rsidR="00392168">
        <w:t>I</w:t>
      </w:r>
      <w:r w:rsidR="00D45754" w:rsidRPr="00D45754">
        <w:t xml:space="preserve">ts </w:t>
      </w:r>
      <w:r w:rsidR="00B224F4">
        <w:t xml:space="preserve">relatively </w:t>
      </w:r>
      <w:r w:rsidR="00690C49">
        <w:t>ad</w:t>
      </w:r>
      <w:r w:rsidR="00392168">
        <w:t> </w:t>
      </w:r>
      <w:r w:rsidR="00690C49">
        <w:t>hoc</w:t>
      </w:r>
      <w:r w:rsidR="00B224F4">
        <w:t xml:space="preserve"> standard</w:t>
      </w:r>
      <w:r w:rsidR="00690C49">
        <w:t>, embodied in a</w:t>
      </w:r>
      <w:r w:rsidR="00D45754" w:rsidRPr="00D45754">
        <w:t xml:space="preserve"> fact-intensive “</w:t>
      </w:r>
      <w:r w:rsidR="004A1D9B">
        <w:t> ‘</w:t>
      </w:r>
      <w:r w:rsidR="00D45754" w:rsidRPr="00D45754">
        <w:t>particular foreseeability</w:t>
      </w:r>
      <w:r w:rsidR="004A1D9B">
        <w:t>’ </w:t>
      </w:r>
      <w:r w:rsidR="00D45754" w:rsidRPr="00D45754">
        <w:t>” test</w:t>
      </w:r>
      <w:r w:rsidR="00392168">
        <w:t>, has been avoided by other courts with</w:t>
      </w:r>
      <w:r w:rsidR="00A20409">
        <w:t xml:space="preserve"> </w:t>
      </w:r>
      <w:r w:rsidR="00D45754" w:rsidRPr="00D45754">
        <w:t>— as one scholar put it — “a striking degree of unanimity.”  (</w:t>
      </w:r>
      <w:r w:rsidR="00D45754" w:rsidRPr="00D45754">
        <w:rPr>
          <w:i/>
        </w:rPr>
        <w:t>Ibid.</w:t>
      </w:r>
      <w:r w:rsidR="00D45754" w:rsidRPr="00D45754">
        <w:t>; see</w:t>
      </w:r>
      <w:r w:rsidR="001201F9">
        <w:t> </w:t>
      </w:r>
      <w:r w:rsidR="00D45754" w:rsidRPr="00D45754">
        <w:t xml:space="preserve">also </w:t>
      </w:r>
      <w:r w:rsidR="00D45754" w:rsidRPr="00D45754">
        <w:rPr>
          <w:i/>
        </w:rPr>
        <w:t>532 Madison</w:t>
      </w:r>
      <w:r w:rsidR="00D45754" w:rsidRPr="00D45754">
        <w:t xml:space="preserve">, </w:t>
      </w:r>
      <w:r w:rsidR="00196D37">
        <w:rPr>
          <w:i/>
        </w:rPr>
        <w:t>supra</w:t>
      </w:r>
      <w:r w:rsidR="00196D37">
        <w:t xml:space="preserve">, </w:t>
      </w:r>
      <w:r w:rsidR="00D45754" w:rsidRPr="00D45754">
        <w:t xml:space="preserve">750 N.E.2d at p. 1103 [declining to follow </w:t>
      </w:r>
      <w:r w:rsidR="00D45754" w:rsidRPr="00D45754">
        <w:rPr>
          <w:i/>
        </w:rPr>
        <w:t>People Express</w:t>
      </w:r>
      <w:r w:rsidR="00D45754" w:rsidRPr="00D45754">
        <w:t xml:space="preserve">]; </w:t>
      </w:r>
      <w:r w:rsidR="00D45754" w:rsidRPr="00D45754">
        <w:rPr>
          <w:i/>
        </w:rPr>
        <w:t>Aguilar</w:t>
      </w:r>
      <w:r w:rsidR="00D45754" w:rsidRPr="00D45754">
        <w:t>,</w:t>
      </w:r>
      <w:r w:rsidR="00D45754" w:rsidRPr="00D45754">
        <w:rPr>
          <w:i/>
        </w:rPr>
        <w:t xml:space="preserve"> </w:t>
      </w:r>
      <w:r w:rsidR="00196D37">
        <w:rPr>
          <w:i/>
        </w:rPr>
        <w:t>supra</w:t>
      </w:r>
      <w:r w:rsidR="00196D37">
        <w:t xml:space="preserve">, </w:t>
      </w:r>
      <w:r w:rsidR="00D45754" w:rsidRPr="00D45754">
        <w:t>98 A.3d at p. 984 [same].)</w:t>
      </w:r>
      <w:r w:rsidR="00350F9B">
        <w:rPr>
          <w:rStyle w:val="FootnoteReference"/>
        </w:rPr>
        <w:footnoteReference w:id="8"/>
      </w:r>
    </w:p>
    <w:p w14:paraId="65A8868D" w14:textId="77777777" w:rsidR="00C57E9D" w:rsidRPr="00C57E9D" w:rsidRDefault="00C57E9D" w:rsidP="00C57E9D">
      <w:pPr>
        <w:jc w:val="center"/>
        <w:rPr>
          <w:b/>
        </w:rPr>
      </w:pPr>
      <w:r>
        <w:rPr>
          <w:b/>
        </w:rPr>
        <w:t>2.</w:t>
      </w:r>
    </w:p>
    <w:p w14:paraId="0D3EB774" w14:textId="313C8F45" w:rsidR="00974865" w:rsidRDefault="00D45754" w:rsidP="00D45754">
      <w:r w:rsidRPr="00D45754">
        <w:tab/>
        <w:t xml:space="preserve">Little wonder the Restatement </w:t>
      </w:r>
      <w:r w:rsidR="00102AD3">
        <w:t xml:space="preserve">of Torts </w:t>
      </w:r>
      <w:r w:rsidRPr="00D45754">
        <w:t xml:space="preserve">takes the dominant view.  Although </w:t>
      </w:r>
      <w:r w:rsidR="00974865">
        <w:t xml:space="preserve">acknowledging that </w:t>
      </w:r>
      <w:r w:rsidRPr="00D45754">
        <w:t>“[d]</w:t>
      </w:r>
      <w:proofErr w:type="spellStart"/>
      <w:r w:rsidRPr="00D45754">
        <w:t>uties</w:t>
      </w:r>
      <w:proofErr w:type="spellEnd"/>
      <w:r w:rsidRPr="00D45754">
        <w:t xml:space="preserve"> to avoid the unintentional infliction of economic loss” exist in </w:t>
      </w:r>
      <w:r w:rsidR="00974865">
        <w:t>certain</w:t>
      </w:r>
      <w:r w:rsidRPr="00D45754">
        <w:t xml:space="preserve"> recognized circumstances,</w:t>
      </w:r>
      <w:r w:rsidR="002F4C83">
        <w:t xml:space="preserve"> the latest Restatement provides</w:t>
      </w:r>
      <w:r w:rsidRPr="00D45754">
        <w:t xml:space="preserve"> </w:t>
      </w:r>
      <w:r w:rsidR="00AF27D4">
        <w:t>that</w:t>
      </w:r>
      <w:r w:rsidR="002F4C83">
        <w:t xml:space="preserve"> </w:t>
      </w:r>
      <w:r w:rsidRPr="00D45754">
        <w:t xml:space="preserve">there is “no general duty to avoid the unintentional infliction of economic loss on another.”  (Rest.3d, Torts, </w:t>
      </w:r>
      <w:r w:rsidR="0021337E">
        <w:t xml:space="preserve">Liability for </w:t>
      </w:r>
      <w:r w:rsidRPr="00D45754">
        <w:lastRenderedPageBreak/>
        <w:t>Econ</w:t>
      </w:r>
      <w:r w:rsidR="0021337E">
        <w:t>omic</w:t>
      </w:r>
      <w:r w:rsidRPr="00D45754">
        <w:t xml:space="preserve"> Harm (Tent</w:t>
      </w:r>
      <w:proofErr w:type="gramStart"/>
      <w:r w:rsidRPr="00D45754">
        <w:t xml:space="preserve">. </w:t>
      </w:r>
      <w:proofErr w:type="gramEnd"/>
      <w:r w:rsidRPr="00D45754">
        <w:t>Draft</w:t>
      </w:r>
      <w:proofErr w:type="gramStart"/>
      <w:r w:rsidRPr="00D45754">
        <w:t xml:space="preserve">. </w:t>
      </w:r>
      <w:proofErr w:type="gramEnd"/>
      <w:r w:rsidRPr="00D45754">
        <w:t xml:space="preserve">No. 1, Apr. 4, 2012) § 1 (Restatement T.D. 1).)  </w:t>
      </w:r>
    </w:p>
    <w:p w14:paraId="18C62267" w14:textId="7B51093A" w:rsidR="009B4114" w:rsidRPr="00D45754" w:rsidRDefault="00D45754" w:rsidP="0047244D">
      <w:pPr>
        <w:ind w:firstLine="720"/>
      </w:pPr>
      <w:r w:rsidRPr="00D45754">
        <w:t xml:space="preserve">In justifying that position, </w:t>
      </w:r>
      <w:r w:rsidR="00974865">
        <w:t>the Restatement</w:t>
      </w:r>
      <w:r w:rsidRPr="00D45754">
        <w:t xml:space="preserve"> echoes widespread judicial concern that purely economic losses “proliferate more easily than losses of other kinds” and “are not self</w:t>
      </w:r>
      <w:r w:rsidRPr="00D45754">
        <w:noBreakHyphen/>
        <w:t>limiting” in the same way.  (Restatement T.D. 1, § 1, com.</w:t>
      </w:r>
      <w:r w:rsidR="003D643D">
        <w:t> </w:t>
      </w:r>
      <w:r w:rsidRPr="00D45754">
        <w:t>c.)  Those characteristics, the Restatement explains, threaten “liabilities that are indeterminate and out of proportion to [a defendant’s] culpability,” and with them “exaggerated pressure to avoid an activity altogether.”  (Restatement T.D. 1, § 1, com. c.)</w:t>
      </w:r>
      <w:r w:rsidR="00E05293">
        <w:t xml:space="preserve">  For centuries, </w:t>
      </w:r>
      <w:r w:rsidR="00654E17">
        <w:t xml:space="preserve">in fact, </w:t>
      </w:r>
      <w:r w:rsidR="001D3E78">
        <w:t>similar</w:t>
      </w:r>
      <w:r w:rsidR="00E05293">
        <w:t xml:space="preserve"> </w:t>
      </w:r>
      <w:r w:rsidR="00E05293" w:rsidRPr="00350F9B">
        <w:t xml:space="preserve">concerns </w:t>
      </w:r>
      <w:r w:rsidR="00E05293">
        <w:t xml:space="preserve">have </w:t>
      </w:r>
      <w:r w:rsidR="00654E17">
        <w:t>justified strict limits on</w:t>
      </w:r>
      <w:r w:rsidR="00654E17" w:rsidRPr="00350F9B">
        <w:t xml:space="preserve"> </w:t>
      </w:r>
      <w:r w:rsidR="00E05293" w:rsidRPr="00350F9B">
        <w:t>private recovery for a public nuisance.  (</w:t>
      </w:r>
      <w:r w:rsidR="001D3E78">
        <w:t xml:space="preserve">See </w:t>
      </w:r>
      <w:r w:rsidR="00E05293" w:rsidRPr="00350F9B">
        <w:t>4</w:t>
      </w:r>
      <w:r w:rsidR="001D3E78">
        <w:t> </w:t>
      </w:r>
      <w:r w:rsidR="00E05293" w:rsidRPr="00350F9B">
        <w:t>Blackstone,</w:t>
      </w:r>
      <w:r w:rsidR="001D3E78">
        <w:t xml:space="preserve"> </w:t>
      </w:r>
      <w:r w:rsidR="00E05293" w:rsidRPr="00350F9B">
        <w:t>Commentaries 167 [</w:t>
      </w:r>
      <w:r w:rsidR="001D3E78">
        <w:t>noting</w:t>
      </w:r>
      <w:r w:rsidR="00E05293" w:rsidRPr="00350F9B">
        <w:t xml:space="preserve"> that </w:t>
      </w:r>
      <w:r w:rsidR="001D3E78">
        <w:t xml:space="preserve">a </w:t>
      </w:r>
      <w:r w:rsidR="00E05293" w:rsidRPr="00350F9B">
        <w:t xml:space="preserve">public nuisance </w:t>
      </w:r>
      <w:r w:rsidR="001D3E78">
        <w:t>is</w:t>
      </w:r>
      <w:r w:rsidR="00E05293" w:rsidRPr="00350F9B">
        <w:t xml:space="preserve"> usually not privately actionable because “it would be unreasonable to multiply suits by giving every man a separate right of action”]</w:t>
      </w:r>
      <w:r w:rsidR="00E05293">
        <w:t xml:space="preserve">; accord </w:t>
      </w:r>
      <w:r w:rsidR="00E05293" w:rsidRPr="00350F9B">
        <w:t xml:space="preserve">Rest.3d Torts, </w:t>
      </w:r>
      <w:r w:rsidR="0021337E">
        <w:t xml:space="preserve">Liability for </w:t>
      </w:r>
      <w:r w:rsidR="00E05293" w:rsidRPr="00350F9B">
        <w:t>Econ</w:t>
      </w:r>
      <w:r w:rsidR="0021337E">
        <w:t>omic</w:t>
      </w:r>
      <w:r w:rsidR="00E05293" w:rsidRPr="00350F9B">
        <w:t xml:space="preserve"> Harm (Tent</w:t>
      </w:r>
      <w:proofErr w:type="gramStart"/>
      <w:r w:rsidR="00E05293" w:rsidRPr="00350F9B">
        <w:t xml:space="preserve">. </w:t>
      </w:r>
      <w:proofErr w:type="gramEnd"/>
      <w:r w:rsidR="00E05293" w:rsidRPr="00350F9B">
        <w:t>Draft</w:t>
      </w:r>
      <w:proofErr w:type="gramStart"/>
      <w:r w:rsidR="00E05293" w:rsidRPr="00350F9B">
        <w:t xml:space="preserve">. </w:t>
      </w:r>
      <w:proofErr w:type="gramEnd"/>
      <w:r w:rsidR="00E05293" w:rsidRPr="00350F9B">
        <w:t>No. 2, Apr. 7, 2014) § 8, com. c. (Restatement T.D. 2); Civ. Code, §</w:t>
      </w:r>
      <w:r w:rsidR="00E05293">
        <w:t> </w:t>
      </w:r>
      <w:r w:rsidR="00E05293" w:rsidRPr="00350F9B">
        <w:t>3493</w:t>
      </w:r>
      <w:r w:rsidR="00AB454F">
        <w:t xml:space="preserve"> [originally enacted in 1872]</w:t>
      </w:r>
      <w:r w:rsidR="001D3E78">
        <w:t>.)</w:t>
      </w:r>
    </w:p>
    <w:p w14:paraId="26978572" w14:textId="60AB6FDA" w:rsidR="00D45754" w:rsidRDefault="00D45754" w:rsidP="00D45754">
      <w:r w:rsidRPr="00D45754">
        <w:tab/>
        <w:t>Only when the foregoing considerations are “weak or absent”</w:t>
      </w:r>
      <w:r w:rsidR="006E34A4">
        <w:t xml:space="preserve"> </w:t>
      </w:r>
      <w:r w:rsidRPr="00D45754">
        <w:t xml:space="preserve">— such as in </w:t>
      </w:r>
      <w:proofErr w:type="spellStart"/>
      <w:r w:rsidRPr="00D45754">
        <w:rPr>
          <w:i/>
        </w:rPr>
        <w:t>Biakanja</w:t>
      </w:r>
      <w:proofErr w:type="spellEnd"/>
      <w:r w:rsidRPr="00D45754">
        <w:rPr>
          <w:i/>
        </w:rPr>
        <w:t xml:space="preserve"> </w:t>
      </w:r>
      <w:r w:rsidRPr="00D45754">
        <w:t xml:space="preserve">and </w:t>
      </w:r>
      <w:proofErr w:type="spellStart"/>
      <w:r w:rsidRPr="00D45754">
        <w:rPr>
          <w:i/>
        </w:rPr>
        <w:t>J’Aire</w:t>
      </w:r>
      <w:proofErr w:type="spellEnd"/>
      <w:r w:rsidR="009E769F">
        <w:t>,</w:t>
      </w:r>
      <w:r w:rsidRPr="00D45754">
        <w:rPr>
          <w:i/>
        </w:rPr>
        <w:t xml:space="preserve"> </w:t>
      </w:r>
      <w:r w:rsidRPr="00D45754">
        <w:t xml:space="preserve">but not in </w:t>
      </w:r>
      <w:proofErr w:type="spellStart"/>
      <w:r w:rsidRPr="00D45754">
        <w:rPr>
          <w:i/>
        </w:rPr>
        <w:t>Bily</w:t>
      </w:r>
      <w:proofErr w:type="spellEnd"/>
      <w:r w:rsidRPr="00D45754">
        <w:t xml:space="preserve"> — does a duty to guard against purely economic losses exist under the Restatement approach</w:t>
      </w:r>
      <w:r w:rsidR="006E34A4">
        <w:t xml:space="preserve"> to negligence claims</w:t>
      </w:r>
      <w:r w:rsidRPr="00D45754">
        <w:t>.  (</w:t>
      </w:r>
      <w:r w:rsidR="00A832CE">
        <w:t xml:space="preserve">See </w:t>
      </w:r>
      <w:r w:rsidRPr="00D45754">
        <w:t>Restatement T.D. 1,</w:t>
      </w:r>
      <w:r w:rsidR="00A77762">
        <w:t xml:space="preserve"> </w:t>
      </w:r>
      <w:r w:rsidR="00A77762">
        <w:rPr>
          <w:i/>
        </w:rPr>
        <w:t>supra</w:t>
      </w:r>
      <w:r w:rsidR="00A77762">
        <w:t>,</w:t>
      </w:r>
      <w:r w:rsidRPr="00D45754">
        <w:t xml:space="preserve"> § 1, com. d; see also Restatement T.D. 2,</w:t>
      </w:r>
      <w:r w:rsidR="00317A5A">
        <w:t xml:space="preserve"> </w:t>
      </w:r>
      <w:r w:rsidR="00317A5A">
        <w:rPr>
          <w:i/>
        </w:rPr>
        <w:t>supra</w:t>
      </w:r>
      <w:r w:rsidR="00317A5A">
        <w:t>,</w:t>
      </w:r>
      <w:r w:rsidRPr="00D45754">
        <w:t xml:space="preserve"> § 7, com. a [using </w:t>
      </w:r>
      <w:r w:rsidRPr="00D45754">
        <w:rPr>
          <w:i/>
        </w:rPr>
        <w:t>532 Madison</w:t>
      </w:r>
      <w:r w:rsidRPr="00FF7943">
        <w:t>’</w:t>
      </w:r>
      <w:r w:rsidRPr="00D45754">
        <w:t xml:space="preserve">s facts and </w:t>
      </w:r>
      <w:r w:rsidR="00053D5F">
        <w:t xml:space="preserve">the court’s </w:t>
      </w:r>
      <w:r w:rsidRPr="00D45754">
        <w:t>holding as an illustration of the Restatement view].)  But in this case, as in the mine run of man</w:t>
      </w:r>
      <w:r w:rsidRPr="00D45754">
        <w:noBreakHyphen/>
        <w:t>made disaster cases, those rationales apply with full force.</w:t>
      </w:r>
    </w:p>
    <w:p w14:paraId="1DE72FD9" w14:textId="77777777" w:rsidR="003E39BE" w:rsidRDefault="003E39BE" w:rsidP="003E39BE">
      <w:pPr>
        <w:jc w:val="center"/>
        <w:rPr>
          <w:b/>
        </w:rPr>
      </w:pPr>
      <w:r>
        <w:rPr>
          <w:b/>
        </w:rPr>
        <w:t>C.</w:t>
      </w:r>
    </w:p>
    <w:p w14:paraId="49234B9B" w14:textId="3F7016AD" w:rsidR="00DD3C44" w:rsidRPr="00DD3C44" w:rsidRDefault="00DD3C44" w:rsidP="00DD3C44">
      <w:pPr>
        <w:ind w:firstLine="720"/>
      </w:pPr>
      <w:r w:rsidRPr="00DD3C44">
        <w:t xml:space="preserve">The allegations before us underscore the </w:t>
      </w:r>
      <w:r w:rsidR="00F30FEA">
        <w:t>ineluctable</w:t>
      </w:r>
      <w:r w:rsidRPr="00DD3C44">
        <w:t xml:space="preserve"> difficulty </w:t>
      </w:r>
      <w:r w:rsidR="00541F82">
        <w:t>associated</w:t>
      </w:r>
      <w:r w:rsidR="00F30FEA">
        <w:t xml:space="preserve"> </w:t>
      </w:r>
      <w:r w:rsidRPr="00DD3C44">
        <w:t xml:space="preserve">with imposing a duty to guard against </w:t>
      </w:r>
      <w:r w:rsidRPr="00DD3C44">
        <w:lastRenderedPageBreak/>
        <w:t xml:space="preserve">purely economic losses in negligence cases like this one.  </w:t>
      </w:r>
      <w:r w:rsidR="006F04E0">
        <w:t>I</w:t>
      </w:r>
      <w:r w:rsidR="006A2690">
        <w:t xml:space="preserve">t may be possible to quantify </w:t>
      </w:r>
      <w:r w:rsidR="006F04E0">
        <w:t>the profits any</w:t>
      </w:r>
      <w:r w:rsidR="006A2690">
        <w:t xml:space="preserve"> one business</w:t>
      </w:r>
      <w:r w:rsidR="006F04E0">
        <w:t xml:space="preserve"> lost because of an industrial accident</w:t>
      </w:r>
      <w:r w:rsidR="006A2690">
        <w:t>,</w:t>
      </w:r>
      <w:r w:rsidR="006F04E0">
        <w:t xml:space="preserve"> but</w:t>
      </w:r>
      <w:r w:rsidR="006A2690">
        <w:t xml:space="preserve"> </w:t>
      </w:r>
      <w:r w:rsidR="0003161B">
        <w:t>i</w:t>
      </w:r>
      <w:r w:rsidRPr="00DD3C44">
        <w:t xml:space="preserve">mposing such a duty would </w:t>
      </w:r>
      <w:r w:rsidR="0003161B">
        <w:t xml:space="preserve">nevertheless </w:t>
      </w:r>
      <w:r w:rsidRPr="00DD3C44">
        <w:t>create</w:t>
      </w:r>
      <w:r w:rsidR="006A2690">
        <w:t xml:space="preserve"> </w:t>
      </w:r>
      <w:r w:rsidRPr="00DD3C44">
        <w:t>line-drawing problems across — quite literally — space and time.</w:t>
      </w:r>
      <w:r w:rsidR="00802CB9">
        <w:rPr>
          <w:rStyle w:val="FootnoteReference"/>
        </w:rPr>
        <w:footnoteReference w:id="9"/>
      </w:r>
      <w:r w:rsidRPr="00DD3C44">
        <w:t xml:space="preserve">  So although our duty determination must ultimately “occur[] at a higher level of generality” than would a jury’s analysis of fact</w:t>
      </w:r>
      <w:r w:rsidRPr="00DD3C44">
        <w:noBreakHyphen/>
        <w:t>intensive issues like breach and causation (</w:t>
      </w:r>
      <w:proofErr w:type="spellStart"/>
      <w:r w:rsidRPr="00DD3C44">
        <w:rPr>
          <w:i/>
          <w:iCs/>
        </w:rPr>
        <w:t>Kesner</w:t>
      </w:r>
      <w:proofErr w:type="spellEnd"/>
      <w:r w:rsidRPr="00DD3C44">
        <w:rPr>
          <w:iCs/>
        </w:rPr>
        <w:t xml:space="preserve">, </w:t>
      </w:r>
      <w:r w:rsidR="00265632">
        <w:rPr>
          <w:i/>
          <w:iCs/>
        </w:rPr>
        <w:t>supra</w:t>
      </w:r>
      <w:r w:rsidR="00265632">
        <w:rPr>
          <w:iCs/>
        </w:rPr>
        <w:t xml:space="preserve">, </w:t>
      </w:r>
      <w:r w:rsidRPr="00DD3C44">
        <w:t>1 Cal.5th at p. 1144), we examine some particulars of Plaintiffs’ claims to illustrate those two sets of persistent line</w:t>
      </w:r>
      <w:r w:rsidR="0004037D">
        <w:noBreakHyphen/>
      </w:r>
      <w:r w:rsidRPr="00DD3C44">
        <w:t>drawing problems.</w:t>
      </w:r>
    </w:p>
    <w:p w14:paraId="6A1866DA" w14:textId="77777777" w:rsidR="00DD3C44" w:rsidRPr="00DD3C44" w:rsidRDefault="00DD3C44" w:rsidP="00DD3C44">
      <w:pPr>
        <w:jc w:val="center"/>
      </w:pPr>
      <w:r w:rsidRPr="00DD3C44">
        <w:rPr>
          <w:b/>
        </w:rPr>
        <w:t>1.</w:t>
      </w:r>
    </w:p>
    <w:p w14:paraId="452EA877" w14:textId="77777777" w:rsidR="004642E4" w:rsidRDefault="00D7337F" w:rsidP="00DD3C44">
      <w:pPr>
        <w:ind w:firstLine="720"/>
      </w:pPr>
      <w:r>
        <w:t>We lack</w:t>
      </w:r>
      <w:r w:rsidR="00DD3C44" w:rsidRPr="00DD3C44">
        <w:t xml:space="preserve"> clear spatial bounds within which to cabin claims like those asserted here.  </w:t>
      </w:r>
    </w:p>
    <w:p w14:paraId="2A01ACF5" w14:textId="7BBD8C44" w:rsidR="00DD3C44" w:rsidRPr="00DD3C44" w:rsidRDefault="00344B2B" w:rsidP="00DD3C44">
      <w:pPr>
        <w:ind w:firstLine="720"/>
      </w:pPr>
      <w:r>
        <w:t>T</w:t>
      </w:r>
      <w:r w:rsidR="00DD3C44" w:rsidRPr="00DD3C44">
        <w:t>his case</w:t>
      </w:r>
      <w:r>
        <w:t xml:space="preserve"> does not</w:t>
      </w:r>
      <w:r w:rsidR="00DD3C44" w:rsidRPr="00DD3C44">
        <w:t xml:space="preserve"> involve a so-called special relationship under our precedents</w:t>
      </w:r>
      <w:r w:rsidR="00392168">
        <w:t xml:space="preserve">. </w:t>
      </w:r>
      <w:r w:rsidR="00DD3C44" w:rsidRPr="00DD3C44">
        <w:t xml:space="preserve"> Plaintiffs concede — as they must — that their only relevant ties to SoCalGas are having the misfortune of operating near the Aliso </w:t>
      </w:r>
      <w:r w:rsidR="008E22E7">
        <w:t>F</w:t>
      </w:r>
      <w:r w:rsidR="00DD3C44" w:rsidRPr="00DD3C44">
        <w:t xml:space="preserve">acility.  Accordingly, </w:t>
      </w:r>
      <w:r w:rsidR="00FE5A2A">
        <w:t>they</w:t>
      </w:r>
      <w:r w:rsidR="00DD3C44" w:rsidRPr="00DD3C44">
        <w:t xml:space="preserve"> propose to limit the class </w:t>
      </w:r>
      <w:r w:rsidR="00B37279">
        <w:t xml:space="preserve">they </w:t>
      </w:r>
      <w:r w:rsidR="00212645">
        <w:t xml:space="preserve">seek to </w:t>
      </w:r>
      <w:r w:rsidR="00B37279">
        <w:t xml:space="preserve">represent </w:t>
      </w:r>
      <w:r w:rsidR="00DD3C44" w:rsidRPr="00DD3C44">
        <w:t>based on geographic proximity alone.  Putative class members here are businesses operating “in the area within five miles” of the leak, a space which Plaintiffs characterize as “the precise area from which residents were evacuated.”</w:t>
      </w:r>
    </w:p>
    <w:p w14:paraId="1D54F0AC" w14:textId="48FA5EB4" w:rsidR="00C01AF7" w:rsidRDefault="00DD3C44" w:rsidP="00DD3C44">
      <w:r w:rsidRPr="00DD3C44">
        <w:tab/>
      </w:r>
      <w:r w:rsidR="00F64E01">
        <w:t xml:space="preserve">What is far from clear is </w:t>
      </w:r>
      <w:r w:rsidRPr="00DD3C44">
        <w:t xml:space="preserve">why the five-mile line means anything.  </w:t>
      </w:r>
      <w:r w:rsidR="002F57F7">
        <w:t>O</w:t>
      </w:r>
      <w:r w:rsidR="0048578C">
        <w:t>thers beyond th</w:t>
      </w:r>
      <w:r w:rsidR="00BD51CC">
        <w:t>at boundary</w:t>
      </w:r>
      <w:r w:rsidR="0048578C">
        <w:t xml:space="preserve"> were </w:t>
      </w:r>
      <w:r w:rsidR="007077F6">
        <w:t>also</w:t>
      </w:r>
      <w:r w:rsidR="0048578C">
        <w:t xml:space="preserve"> affected.  </w:t>
      </w:r>
      <w:r w:rsidR="00212645">
        <w:t xml:space="preserve">We </w:t>
      </w:r>
      <w:r w:rsidR="005A49AB">
        <w:t xml:space="preserve">discern </w:t>
      </w:r>
      <w:r w:rsidR="001C6FAA">
        <w:t xml:space="preserve">no compelling basis for us to let </w:t>
      </w:r>
      <w:r w:rsidRPr="00DD3C44">
        <w:t xml:space="preserve">a business operating </w:t>
      </w:r>
      <w:r w:rsidRPr="00DD3C44">
        <w:lastRenderedPageBreak/>
        <w:t>4.9</w:t>
      </w:r>
      <w:r w:rsidR="008D351C">
        <w:t> </w:t>
      </w:r>
      <w:r w:rsidRPr="00DD3C44">
        <w:t xml:space="preserve">miles away recover </w:t>
      </w:r>
      <w:r w:rsidR="002F57F7">
        <w:t xml:space="preserve">its lost </w:t>
      </w:r>
      <w:r w:rsidRPr="00DD3C44">
        <w:t xml:space="preserve">profits </w:t>
      </w:r>
      <w:r w:rsidR="002F57F7">
        <w:t>but deny such recovery to</w:t>
      </w:r>
      <w:r w:rsidRPr="00DD3C44">
        <w:t xml:space="preserve"> another business operating 5.1 miles away</w:t>
      </w:r>
      <w:r w:rsidR="00A97A3A">
        <w:t>.</w:t>
      </w:r>
      <w:r w:rsidRPr="00DD3C44">
        <w:t xml:space="preserve">  </w:t>
      </w:r>
      <w:r w:rsidR="002C4516">
        <w:t xml:space="preserve">Nor is it clear what we should do </w:t>
      </w:r>
      <w:r w:rsidRPr="00DD3C44">
        <w:t>about a third business operating 6</w:t>
      </w:r>
      <w:r w:rsidR="002F57F7">
        <w:t> </w:t>
      </w:r>
      <w:r w:rsidRPr="00DD3C44">
        <w:t>miles away whose balance sheet was hit just as hard by the leak and ensuing evacuation</w:t>
      </w:r>
      <w:r w:rsidR="009A73D7">
        <w:t xml:space="preserve"> —</w:t>
      </w:r>
      <w:r w:rsidR="002C4516">
        <w:t xml:space="preserve"> or</w:t>
      </w:r>
      <w:r w:rsidRPr="00DD3C44">
        <w:t xml:space="preserve"> perhaps a fourth business operating 10</w:t>
      </w:r>
      <w:r w:rsidR="00855DD1">
        <w:t> </w:t>
      </w:r>
      <w:r w:rsidRPr="00DD3C44">
        <w:t>miles away, whose income depends on supplying Porter Ranch businesses or offering services to its residents</w:t>
      </w:r>
      <w:r w:rsidR="002C4516">
        <w:t>.</w:t>
      </w:r>
      <w:r w:rsidR="0037599A">
        <w:t>  </w:t>
      </w:r>
      <w:proofErr w:type="gramStart"/>
      <w:r w:rsidR="00C01AF7" w:rsidRPr="00900CB6">
        <w:t>Similar questions</w:t>
      </w:r>
      <w:proofErr w:type="gramEnd"/>
      <w:r w:rsidR="00C01AF7" w:rsidRPr="00900CB6">
        <w:t xml:space="preserve"> arise regarding employees of businesses operating within the five-mile mark but who live outside it — or even well outside it.  (This is Los Angeles </w:t>
      </w:r>
      <w:proofErr w:type="gramStart"/>
      <w:r w:rsidR="00C01AF7" w:rsidRPr="00900CB6">
        <w:t>we’re</w:t>
      </w:r>
      <w:proofErr w:type="gramEnd"/>
      <w:r w:rsidR="00C01AF7" w:rsidRPr="00900CB6">
        <w:t xml:space="preserve"> talking about.)  </w:t>
      </w:r>
      <w:r w:rsidR="003E3756">
        <w:t xml:space="preserve">They </w:t>
      </w:r>
      <w:r w:rsidR="00B3770B">
        <w:t>might</w:t>
      </w:r>
      <w:r w:rsidR="003E3756">
        <w:t xml:space="preserve"> have lost wages during a temporary business slowdown — </w:t>
      </w:r>
      <w:r w:rsidR="00892D68">
        <w:t>or</w:t>
      </w:r>
      <w:r w:rsidR="00B3770B">
        <w:t xml:space="preserve"> even</w:t>
      </w:r>
      <w:r w:rsidR="003E3756">
        <w:t xml:space="preserve"> lost their jobs if </w:t>
      </w:r>
      <w:r w:rsidR="00B3770B">
        <w:t xml:space="preserve">their employers were </w:t>
      </w:r>
      <w:r w:rsidR="003E3756">
        <w:t xml:space="preserve">forced to cut back permanently.  </w:t>
      </w:r>
      <w:r w:rsidR="003B4464">
        <w:t>Those</w:t>
      </w:r>
      <w:r w:rsidR="00B3770B">
        <w:t xml:space="preserve"> </w:t>
      </w:r>
      <w:r w:rsidR="003B4464">
        <w:t xml:space="preserve">employees </w:t>
      </w:r>
      <w:r w:rsidRPr="00DD3C44">
        <w:t>might not be included in Plaintiffs’ proposed class, but their losses are foreseeable</w:t>
      </w:r>
      <w:r w:rsidR="00E4036B">
        <w:t>,</w:t>
      </w:r>
      <w:r w:rsidRPr="00DD3C44">
        <w:t xml:space="preserve"> too.  They could come to court next </w:t>
      </w:r>
      <w:r w:rsidR="0022765A">
        <w:t xml:space="preserve">in </w:t>
      </w:r>
      <w:r w:rsidR="00E1752A">
        <w:t>lawsuits</w:t>
      </w:r>
      <w:r w:rsidRPr="00DD3C44">
        <w:t xml:space="preserve"> of their own.  And if we were to permit recovery for purely economic losses in this </w:t>
      </w:r>
      <w:r w:rsidR="00E1752A">
        <w:t>case</w:t>
      </w:r>
      <w:r w:rsidRPr="00DD3C44">
        <w:t xml:space="preserve">, </w:t>
      </w:r>
      <w:r w:rsidR="00B3770B">
        <w:t xml:space="preserve">we </w:t>
      </w:r>
      <w:proofErr w:type="gramStart"/>
      <w:r w:rsidR="00AD66DE">
        <w:t>don’t</w:t>
      </w:r>
      <w:proofErr w:type="gramEnd"/>
      <w:r w:rsidR="00B3770B">
        <w:t xml:space="preserve"> see how we could</w:t>
      </w:r>
      <w:r w:rsidRPr="00DD3C44">
        <w:t xml:space="preserve"> </w:t>
      </w:r>
      <w:r w:rsidR="009E25D9">
        <w:t>justify</w:t>
      </w:r>
      <w:r w:rsidR="005D2B5D">
        <w:t xml:space="preserve"> </w:t>
      </w:r>
      <w:r w:rsidRPr="00DD3C44">
        <w:t>deny</w:t>
      </w:r>
      <w:r w:rsidR="005D2B5D">
        <w:t>ing</w:t>
      </w:r>
      <w:r w:rsidRPr="00DD3C44">
        <w:t xml:space="preserve"> it in </w:t>
      </w:r>
      <w:r w:rsidR="00B3770B">
        <w:t>that one</w:t>
      </w:r>
      <w:r w:rsidRPr="00DD3C44">
        <w:t xml:space="preserve">.  </w:t>
      </w:r>
    </w:p>
    <w:p w14:paraId="5EA1BCC4" w14:textId="7E088B00" w:rsidR="00DD3C44" w:rsidRPr="00DD3C44" w:rsidRDefault="00932F18" w:rsidP="00C01AF7">
      <w:pPr>
        <w:ind w:firstLine="720"/>
      </w:pPr>
      <w:proofErr w:type="gramStart"/>
      <w:r>
        <w:t>Most of</w:t>
      </w:r>
      <w:proofErr w:type="gramEnd"/>
      <w:r>
        <w:t xml:space="preserve"> the</w:t>
      </w:r>
      <w:r w:rsidR="00426856">
        <w:t xml:space="preserve"> foregoing difficulties </w:t>
      </w:r>
      <w:r>
        <w:t>emerge</w:t>
      </w:r>
      <w:r w:rsidR="00426856">
        <w:t xml:space="preserve"> even when an evacuation zone is set in stone</w:t>
      </w:r>
      <w:r>
        <w:t>.  B</w:t>
      </w:r>
      <w:r w:rsidR="00426856">
        <w:t>ut</w:t>
      </w:r>
      <w:r w:rsidR="00FC019A">
        <w:t xml:space="preserve"> here </w:t>
      </w:r>
      <w:r w:rsidR="00997FEC">
        <w:t xml:space="preserve">the </w:t>
      </w:r>
      <w:r w:rsidR="00DC7AE7">
        <w:t xml:space="preserve">lines drawn were </w:t>
      </w:r>
      <w:r w:rsidR="001B62D2">
        <w:t>traced</w:t>
      </w:r>
      <w:r w:rsidR="00DC7AE7">
        <w:t xml:space="preserve"> in sand</w:t>
      </w:r>
      <w:r w:rsidR="001C2896">
        <w:t xml:space="preserve">.  </w:t>
      </w:r>
      <w:r w:rsidR="00FC019A" w:rsidRPr="00DD3C44">
        <w:t>Plaintiffs’ own complaint acknowledges that</w:t>
      </w:r>
      <w:r w:rsidR="00FC019A">
        <w:t xml:space="preserve">, </w:t>
      </w:r>
      <w:proofErr w:type="gramStart"/>
      <w:r w:rsidR="00FC019A">
        <w:t>a</w:t>
      </w:r>
      <w:r w:rsidR="00426856" w:rsidRPr="00DD3C44">
        <w:t xml:space="preserve"> few</w:t>
      </w:r>
      <w:proofErr w:type="gramEnd"/>
      <w:r w:rsidR="00426856" w:rsidRPr="00DD3C44">
        <w:t xml:space="preserve"> weeks after the leak was detected, </w:t>
      </w:r>
      <w:r w:rsidR="00997FEC">
        <w:t xml:space="preserve">the evacuation zone </w:t>
      </w:r>
      <w:r w:rsidR="00E4036B">
        <w:t xml:space="preserve">was extended </w:t>
      </w:r>
      <w:r w:rsidR="00DD3C44" w:rsidRPr="00DD3C44">
        <w:t xml:space="preserve">beyond the initial five-mile mark.  Why businesses operating outside the original boundary but </w:t>
      </w:r>
      <w:r w:rsidR="00E4036B">
        <w:t>inside</w:t>
      </w:r>
      <w:r w:rsidR="00DD3C44" w:rsidRPr="00DD3C44">
        <w:t xml:space="preserve"> the new one should not get to recover their equally real and foreseeable financial losses we do not know.</w:t>
      </w:r>
    </w:p>
    <w:p w14:paraId="5EA3A8E4" w14:textId="138E0CF6" w:rsidR="00831E15" w:rsidRDefault="00DD3C44" w:rsidP="00DD3C44">
      <w:r w:rsidRPr="00DD3C44">
        <w:tab/>
      </w:r>
      <w:r w:rsidR="00492270">
        <w:t>U</w:t>
      </w:r>
      <w:r w:rsidRPr="00DD3C44">
        <w:t xml:space="preserve">sing </w:t>
      </w:r>
      <w:r w:rsidR="00E85AB3">
        <w:t>the boundary of an</w:t>
      </w:r>
      <w:r w:rsidRPr="00DD3C44">
        <w:t xml:space="preserve"> evacuation zone as a liability line </w:t>
      </w:r>
      <w:r w:rsidR="00492270">
        <w:t xml:space="preserve">might not </w:t>
      </w:r>
      <w:r w:rsidR="00704A24">
        <w:t xml:space="preserve">just </w:t>
      </w:r>
      <w:r w:rsidR="00492270">
        <w:t xml:space="preserve">lack predictability.  </w:t>
      </w:r>
      <w:r w:rsidR="00FA52F3">
        <w:t>In certain circumstances, it</w:t>
      </w:r>
      <w:r w:rsidR="00492270">
        <w:t xml:space="preserve"> </w:t>
      </w:r>
      <w:r w:rsidRPr="00DD3C44">
        <w:t>could</w:t>
      </w:r>
      <w:r w:rsidR="00492270">
        <w:t xml:space="preserve"> also</w:t>
      </w:r>
      <w:r w:rsidRPr="00DD3C44">
        <w:t xml:space="preserve"> inject a dangerous incentive into disaster response efforts.  Consider how a company taking after Justice Oliver Wendell Holmes’s infamous “</w:t>
      </w:r>
      <w:proofErr w:type="spellStart"/>
      <w:r w:rsidRPr="00DD3C44">
        <w:t>bad</w:t>
      </w:r>
      <w:proofErr w:type="spellEnd"/>
      <w:r w:rsidRPr="00DD3C44">
        <w:t xml:space="preserve"> man”</w:t>
      </w:r>
      <w:r w:rsidR="00810ED1">
        <w:t> </w:t>
      </w:r>
      <w:r w:rsidRPr="00DD3C44">
        <w:t>—</w:t>
      </w:r>
      <w:r w:rsidR="00810ED1">
        <w:t> </w:t>
      </w:r>
      <w:r w:rsidRPr="00DD3C44">
        <w:t xml:space="preserve">that is, a company that “cares nothing for an ethical rule” and thus cares “only for </w:t>
      </w:r>
      <w:r w:rsidRPr="00DD3C44">
        <w:lastRenderedPageBreak/>
        <w:t>the material consequences” of its actions — might respond to a</w:t>
      </w:r>
      <w:r w:rsidR="00FC019A">
        <w:t>n evacuation zone</w:t>
      </w:r>
      <w:r w:rsidRPr="00DD3C44">
        <w:t xml:space="preserve"> rule.  (</w:t>
      </w:r>
      <w:r w:rsidR="00983846">
        <w:t xml:space="preserve">Holmes, </w:t>
      </w:r>
      <w:r w:rsidRPr="00DD3C44">
        <w:rPr>
          <w:i/>
          <w:iCs/>
        </w:rPr>
        <w:t>The Path of the Law</w:t>
      </w:r>
      <w:r w:rsidRPr="00DD3C44">
        <w:t xml:space="preserve"> (1897) 10 </w:t>
      </w:r>
      <w:proofErr w:type="spellStart"/>
      <w:r w:rsidRPr="00DD3C44">
        <w:t>Harv</w:t>
      </w:r>
      <w:proofErr w:type="spellEnd"/>
      <w:proofErr w:type="gramStart"/>
      <w:r w:rsidRPr="00DD3C44">
        <w:t xml:space="preserve">. </w:t>
      </w:r>
      <w:proofErr w:type="spellStart"/>
      <w:proofErr w:type="gramEnd"/>
      <w:r w:rsidRPr="00DD3C44">
        <w:t>L.Rev</w:t>
      </w:r>
      <w:proofErr w:type="spellEnd"/>
      <w:r w:rsidRPr="00DD3C44">
        <w:t>. 457, 459, 461; see</w:t>
      </w:r>
      <w:r w:rsidR="008F0E9F">
        <w:t> </w:t>
      </w:r>
      <w:r w:rsidRPr="00DD3C44">
        <w:t xml:space="preserve">also </w:t>
      </w:r>
      <w:r w:rsidRPr="00DD3C44">
        <w:rPr>
          <w:i/>
          <w:iCs/>
        </w:rPr>
        <w:t>Exxon Shipping Co. v. Baker</w:t>
      </w:r>
      <w:r w:rsidR="00F95B3E">
        <w:t xml:space="preserve"> </w:t>
      </w:r>
      <w:r w:rsidRPr="00DD3C44">
        <w:t>(2008) 554 U.S. 471, 501</w:t>
      </w:r>
      <w:r w:rsidR="008F0E9F">
        <w:noBreakHyphen/>
      </w:r>
      <w:r w:rsidRPr="00DD3C44">
        <w:t>502 [looking to “Justice Holmes’s ‘</w:t>
      </w:r>
      <w:proofErr w:type="spellStart"/>
      <w:r w:rsidRPr="00DD3C44">
        <w:t>bad</w:t>
      </w:r>
      <w:proofErr w:type="spellEnd"/>
      <w:r w:rsidRPr="00DD3C44">
        <w:t xml:space="preserve"> man’ ” in a tort case brought under federal maritime law].)  If companies face liability </w:t>
      </w:r>
      <w:r w:rsidR="00236679">
        <w:t xml:space="preserve">in negligence </w:t>
      </w:r>
      <w:r w:rsidRPr="00DD3C44">
        <w:t>only for traditionally compensable harms, their financial incentive with respect to evacuations points in one direction:  caution.  To minimize the risk of, and their liability for, harm to people and property, companies under that legal regime may indeed seek (or at least not try to avoid) large evacuation zones.  But imposing liability for purely economic losses — bounded only by the size of the evacuat</w:t>
      </w:r>
      <w:r w:rsidR="00392168">
        <w:t>ion</w:t>
      </w:r>
      <w:r w:rsidRPr="00DD3C44">
        <w:t xml:space="preserve"> zone — would blunt that otherwise sharp financial incentive</w:t>
      </w:r>
      <w:r w:rsidR="00D252B2">
        <w:t xml:space="preserve"> for caution</w:t>
      </w:r>
      <w:r w:rsidRPr="00DD3C44">
        <w:t xml:space="preserve">.  The larger the evacuation zone, the larger a company’s potential liability for purely economic losses.  </w:t>
      </w:r>
      <w:proofErr w:type="gramStart"/>
      <w:r w:rsidRPr="00DD3C44">
        <w:t>So</w:t>
      </w:r>
      <w:proofErr w:type="gramEnd"/>
      <w:r w:rsidRPr="00DD3C44">
        <w:t xml:space="preserve"> under that rule, </w:t>
      </w:r>
      <w:r w:rsidR="00C94200">
        <w:t xml:space="preserve">a </w:t>
      </w:r>
      <w:r w:rsidRPr="00DD3C44">
        <w:t>compan</w:t>
      </w:r>
      <w:r w:rsidR="00C94200">
        <w:t>y</w:t>
      </w:r>
      <w:r w:rsidRPr="00DD3C44">
        <w:t xml:space="preserve"> taking after Justice Holmes’s bad man would face a newly vexing cost</w:t>
      </w:r>
      <w:r w:rsidRPr="00DD3C44">
        <w:noBreakHyphen/>
        <w:t xml:space="preserve">benefit analysis:  will </w:t>
      </w:r>
      <w:r w:rsidR="00BE0649">
        <w:t>an evacuation</w:t>
      </w:r>
      <w:r w:rsidRPr="00DD3C44">
        <w:t xml:space="preserve"> prevent enough physical damage to offset the purely economic losses </w:t>
      </w:r>
      <w:r w:rsidR="00C94200">
        <w:t xml:space="preserve">it </w:t>
      </w:r>
      <w:r w:rsidRPr="00DD3C44">
        <w:t xml:space="preserve">is sure to cause?  </w:t>
      </w:r>
      <w:r w:rsidR="00D252B2">
        <w:t xml:space="preserve">The calculus of a </w:t>
      </w:r>
      <w:r w:rsidR="00C94200">
        <w:t>ruthlessly</w:t>
      </w:r>
      <w:r w:rsidRPr="00DD3C44">
        <w:t xml:space="preserve"> self-interested compan</w:t>
      </w:r>
      <w:r w:rsidR="002621E5">
        <w:t>y</w:t>
      </w:r>
      <w:r w:rsidR="00D252B2">
        <w:t xml:space="preserve"> </w:t>
      </w:r>
      <w:r w:rsidR="004C1867">
        <w:t>would tend to prioritize</w:t>
      </w:r>
      <w:r w:rsidRPr="00DD3C44">
        <w:t xml:space="preserve"> maximiz</w:t>
      </w:r>
      <w:r w:rsidR="004C1867">
        <w:t>ing</w:t>
      </w:r>
      <w:r w:rsidRPr="00DD3C44">
        <w:t xml:space="preserve"> </w:t>
      </w:r>
      <w:r w:rsidR="00E07F6F">
        <w:t>its</w:t>
      </w:r>
      <w:r w:rsidRPr="00DD3C44">
        <w:t xml:space="preserve"> own economic return, not minimiz</w:t>
      </w:r>
      <w:r w:rsidR="004C1867">
        <w:t>ing</w:t>
      </w:r>
      <w:r w:rsidRPr="00DD3C44">
        <w:t xml:space="preserve"> the risk of harm to people and property.  </w:t>
      </w:r>
      <w:r w:rsidR="003D5FFB">
        <w:t xml:space="preserve">And where </w:t>
      </w:r>
      <w:r w:rsidR="00D43177">
        <w:t>it</w:t>
      </w:r>
      <w:r w:rsidR="003D5FFB">
        <w:t xml:space="preserve"> expects an evacuation to harm its bottom line, </w:t>
      </w:r>
      <w:r w:rsidR="00A443ED">
        <w:t xml:space="preserve">our proverbial “bad </w:t>
      </w:r>
      <w:r w:rsidR="00D43177">
        <w:t>company</w:t>
      </w:r>
      <w:r w:rsidR="00A443ED">
        <w:t>”</w:t>
      </w:r>
      <w:r w:rsidR="004A1B6A">
        <w:t xml:space="preserve"> might </w:t>
      </w:r>
      <w:r w:rsidRPr="00DD3C44">
        <w:t xml:space="preserve">take steps to confine or prevent </w:t>
      </w:r>
      <w:r w:rsidR="00831E15">
        <w:t>one</w:t>
      </w:r>
      <w:r w:rsidR="003D5FFB">
        <w:t xml:space="preserve">.  </w:t>
      </w:r>
    </w:p>
    <w:p w14:paraId="55B2604C" w14:textId="56779BD8" w:rsidR="00DD3C44" w:rsidRPr="00DD3C44" w:rsidRDefault="00DD3C44" w:rsidP="00831E15">
      <w:pPr>
        <w:ind w:firstLine="720"/>
      </w:pPr>
      <w:r w:rsidRPr="00DD3C44">
        <w:t xml:space="preserve">Such steps might include, most obviously, overt pressure on public officials to roll back or eliminate a proposed evacuation.  </w:t>
      </w:r>
      <w:r w:rsidR="00A34E71">
        <w:t xml:space="preserve">But </w:t>
      </w:r>
      <w:proofErr w:type="gramStart"/>
      <w:r w:rsidR="00A34E71">
        <w:t>that’s</w:t>
      </w:r>
      <w:proofErr w:type="gramEnd"/>
      <w:r w:rsidR="00A34E71">
        <w:t xml:space="preserve"> not the only </w:t>
      </w:r>
      <w:r w:rsidR="001320B3">
        <w:t>possibility</w:t>
      </w:r>
      <w:r w:rsidR="00A34E71">
        <w:t>.</w:t>
      </w:r>
      <w:r w:rsidR="001320B3">
        <w:t xml:space="preserve">  </w:t>
      </w:r>
      <w:r w:rsidR="00A34E71">
        <w:t>P</w:t>
      </w:r>
      <w:r w:rsidRPr="00DD3C44">
        <w:t xml:space="preserve">ublic officials must often rely on </w:t>
      </w:r>
      <w:r w:rsidR="00704A24">
        <w:t xml:space="preserve">company </w:t>
      </w:r>
      <w:r w:rsidRPr="00DD3C44">
        <w:t xml:space="preserve">information to know what scale of risk the community faces.  Case in point:  during the very disaster at issue here, authorities allegedly demanded from SoCalGas real-time data about the leak — and a timeline for </w:t>
      </w:r>
      <w:r w:rsidRPr="00DD3C44">
        <w:lastRenderedPageBreak/>
        <w:t xml:space="preserve">ending it.  So public officials might </w:t>
      </w:r>
      <w:r w:rsidR="001E3C9D">
        <w:t>simply</w:t>
      </w:r>
      <w:r w:rsidRPr="00DD3C44">
        <w:t xml:space="preserve"> be kept in the dark.  </w:t>
      </w:r>
      <w:proofErr w:type="gramStart"/>
      <w:r w:rsidRPr="00DD3C44">
        <w:t>That’s</w:t>
      </w:r>
      <w:proofErr w:type="gramEnd"/>
      <w:r w:rsidRPr="00DD3C44">
        <w:t xml:space="preserve"> bad enough when, as here, the public health concerns are </w:t>
      </w:r>
      <w:r w:rsidR="006C3296">
        <w:t>things like</w:t>
      </w:r>
      <w:r w:rsidRPr="00DD3C44">
        <w:t xml:space="preserve"> nausea and nosebleeds.  But it would be much worse when, on different facts, the stakes are life and death.</w:t>
      </w:r>
    </w:p>
    <w:p w14:paraId="37253427" w14:textId="3DC1B7D9" w:rsidR="00DD3C44" w:rsidRPr="00DD3C44" w:rsidRDefault="00DD3C44" w:rsidP="00DD3C44">
      <w:r w:rsidRPr="00DD3C44">
        <w:tab/>
      </w:r>
      <w:r w:rsidR="004F6C82">
        <w:t xml:space="preserve">Nor is it always simple to decide what counts </w:t>
      </w:r>
      <w:r w:rsidRPr="00DD3C44">
        <w:t>as an evacuation</w:t>
      </w:r>
      <w:r w:rsidR="00C20F2F">
        <w:t>, or to resolve</w:t>
      </w:r>
      <w:r w:rsidR="000E7FFC">
        <w:t xml:space="preserve"> claims for purely</w:t>
      </w:r>
      <w:r w:rsidR="00C20F2F">
        <w:t xml:space="preserve"> economic loss</w:t>
      </w:r>
      <w:r w:rsidR="000E7FFC">
        <w:t>es where the disaster in question</w:t>
      </w:r>
      <w:r w:rsidR="00C20F2F">
        <w:t xml:space="preserve"> never trigger</w:t>
      </w:r>
      <w:r w:rsidR="000E7FFC">
        <w:t>ed</w:t>
      </w:r>
      <w:r w:rsidR="00C20F2F">
        <w:t xml:space="preserve"> an evacuation</w:t>
      </w:r>
      <w:r w:rsidRPr="00DD3C44">
        <w:t xml:space="preserve">. </w:t>
      </w:r>
      <w:r w:rsidR="00E8728F">
        <w:t xml:space="preserve"> </w:t>
      </w:r>
      <w:proofErr w:type="gramStart"/>
      <w:r w:rsidR="00E8728F">
        <w:t>Some</w:t>
      </w:r>
      <w:proofErr w:type="gramEnd"/>
      <w:r w:rsidR="00E8728F">
        <w:t xml:space="preserve"> evacuations are mandatory, others are voluntary.  </w:t>
      </w:r>
      <w:r w:rsidR="00902DAB">
        <w:t>And s</w:t>
      </w:r>
      <w:r w:rsidR="00E8728F">
        <w:t>ometimes public officials issue public safety warnings</w:t>
      </w:r>
      <w:r w:rsidR="008F550F">
        <w:t xml:space="preserve"> without telling people to leave the area</w:t>
      </w:r>
      <w:r w:rsidR="00E8728F">
        <w:t xml:space="preserve">.  </w:t>
      </w:r>
      <w:r w:rsidR="00361EA5">
        <w:t>An</w:t>
      </w:r>
      <w:r w:rsidR="007E47E2">
        <w:t xml:space="preserve"> evacuation zone</w:t>
      </w:r>
      <w:r w:rsidR="00902DAB">
        <w:t xml:space="preserve"> rule </w:t>
      </w:r>
      <w:r w:rsidR="00FF7C5C">
        <w:t xml:space="preserve">would </w:t>
      </w:r>
      <w:r w:rsidR="00361EA5">
        <w:t>require</w:t>
      </w:r>
      <w:r w:rsidR="00FF7C5C">
        <w:t xml:space="preserve"> </w:t>
      </w:r>
      <w:r w:rsidR="0093771F">
        <w:t xml:space="preserve">a coherent way </w:t>
      </w:r>
      <w:r w:rsidR="00FF7C5C">
        <w:t xml:space="preserve">to </w:t>
      </w:r>
      <w:r w:rsidR="00E8728F">
        <w:t xml:space="preserve">decide which </w:t>
      </w:r>
      <w:r w:rsidR="00902DAB">
        <w:t>sorts of government action</w:t>
      </w:r>
      <w:r w:rsidR="00E8728F">
        <w:t xml:space="preserve"> count and which ones </w:t>
      </w:r>
      <w:proofErr w:type="gramStart"/>
      <w:r w:rsidR="00E8728F">
        <w:t>don’t</w:t>
      </w:r>
      <w:proofErr w:type="gramEnd"/>
      <w:r w:rsidR="00E8728F">
        <w:t xml:space="preserve">.  </w:t>
      </w:r>
      <w:r w:rsidR="00361EA5">
        <w:t xml:space="preserve">We </w:t>
      </w:r>
      <w:r w:rsidR="005B4696">
        <w:t xml:space="preserve">do not see </w:t>
      </w:r>
      <w:r w:rsidR="00361EA5">
        <w:t xml:space="preserve">one.  </w:t>
      </w:r>
      <w:r w:rsidR="00902DAB">
        <w:t xml:space="preserve">What is more, </w:t>
      </w:r>
      <w:r w:rsidR="006F2882">
        <w:t>the</w:t>
      </w:r>
      <w:r w:rsidR="00C520E8">
        <w:t xml:space="preserve"> utility</w:t>
      </w:r>
      <w:r w:rsidR="00902DAB">
        <w:t xml:space="preserve"> </w:t>
      </w:r>
      <w:r w:rsidR="006F2882">
        <w:t xml:space="preserve">of an evacuation zone rule </w:t>
      </w:r>
      <w:r w:rsidR="00902DAB">
        <w:t xml:space="preserve">depends on there being at least </w:t>
      </w:r>
      <w:proofErr w:type="gramStart"/>
      <w:r w:rsidR="00902DAB">
        <w:rPr>
          <w:i/>
        </w:rPr>
        <w:t>some</w:t>
      </w:r>
      <w:proofErr w:type="gramEnd"/>
      <w:r w:rsidR="00902DAB">
        <w:t xml:space="preserve"> sort of evacuation.  </w:t>
      </w:r>
      <w:proofErr w:type="gramStart"/>
      <w:r w:rsidR="00902DAB">
        <w:t>So</w:t>
      </w:r>
      <w:proofErr w:type="gramEnd"/>
      <w:r w:rsidR="00902DAB">
        <w:t xml:space="preserve"> adopting </w:t>
      </w:r>
      <w:r w:rsidR="005B4696">
        <w:t>an evacuation</w:t>
      </w:r>
      <w:r w:rsidR="00791940">
        <w:t xml:space="preserve"> </w:t>
      </w:r>
      <w:r w:rsidR="005B4696">
        <w:t>zone</w:t>
      </w:r>
      <w:r w:rsidR="007E47E2">
        <w:t xml:space="preserve"> rule</w:t>
      </w:r>
      <w:r w:rsidR="00902DAB">
        <w:t xml:space="preserve"> would be of no help </w:t>
      </w:r>
      <w:r w:rsidR="00C07E1A">
        <w:t xml:space="preserve">in cases where </w:t>
      </w:r>
      <w:r w:rsidRPr="00DD3C44">
        <w:t>nothing remotely approaching an evacuation happens, but the economic effects are nevertheless severe</w:t>
      </w:r>
      <w:r w:rsidR="00181666">
        <w:t xml:space="preserve">.  </w:t>
      </w:r>
      <w:r w:rsidR="00282230">
        <w:t>(</w:t>
      </w:r>
      <w:r w:rsidR="00181666">
        <w:t xml:space="preserve">Consider, for instance, </w:t>
      </w:r>
      <w:r w:rsidR="004A3793">
        <w:t xml:space="preserve">an oil spill at sea </w:t>
      </w:r>
      <w:r w:rsidR="009C6F77">
        <w:t xml:space="preserve">that leaves </w:t>
      </w:r>
      <w:r w:rsidR="004A3793">
        <w:t>dry land mostly untouched</w:t>
      </w:r>
      <w:r w:rsidRPr="00DD3C44">
        <w:t>.</w:t>
      </w:r>
      <w:r w:rsidR="00282230">
        <w:t>)</w:t>
      </w:r>
      <w:r w:rsidRPr="00DD3C44">
        <w:t xml:space="preserve">  Faced with </w:t>
      </w:r>
      <w:r w:rsidR="004A3793">
        <w:t>all this</w:t>
      </w:r>
      <w:r w:rsidRPr="00DD3C44">
        <w:t xml:space="preserve"> potential for negative consequences and doctrinal confusion, “we would be acting rashly to adopt a rule treating” evacuation zones as talismanic.  (</w:t>
      </w:r>
      <w:r w:rsidRPr="00DD3C44">
        <w:rPr>
          <w:i/>
        </w:rPr>
        <w:t>Intel Corp. v. Hamidi</w:t>
      </w:r>
      <w:r w:rsidR="00F95B3E">
        <w:rPr>
          <w:i/>
        </w:rPr>
        <w:t xml:space="preserve"> </w:t>
      </w:r>
      <w:r w:rsidRPr="00DD3C44">
        <w:t>(2003) 30 Cal.4th 1342, 1363 [declining to extend trespass liability into cyberspace based on similar doctrinal and practical concerns].)</w:t>
      </w:r>
    </w:p>
    <w:p w14:paraId="294E8F44" w14:textId="2AB05D63" w:rsidR="00DD3C44" w:rsidRPr="00DD3C44" w:rsidRDefault="00DD3C44" w:rsidP="00DD3C44">
      <w:r w:rsidRPr="00DD3C44">
        <w:tab/>
        <w:t xml:space="preserve">Without adopting </w:t>
      </w:r>
      <w:r w:rsidR="00626792">
        <w:t>a</w:t>
      </w:r>
      <w:r w:rsidR="00626792" w:rsidRPr="00DD3C44">
        <w:t xml:space="preserve"> </w:t>
      </w:r>
      <w:r w:rsidRPr="00DD3C44">
        <w:t>(not so) bright-line evacuation</w:t>
      </w:r>
      <w:r w:rsidR="00BB1D52">
        <w:t xml:space="preserve"> </w:t>
      </w:r>
      <w:r w:rsidRPr="00DD3C44">
        <w:t xml:space="preserve">zone rule, the alternative is applying a fact-intensive, case-by-case </w:t>
      </w:r>
      <w:r w:rsidR="00181666">
        <w:t>standard</w:t>
      </w:r>
      <w:r w:rsidRPr="00DD3C44">
        <w:t xml:space="preserve"> à la </w:t>
      </w:r>
      <w:r w:rsidRPr="00DD3C44">
        <w:rPr>
          <w:i/>
        </w:rPr>
        <w:t>People Express</w:t>
      </w:r>
      <w:r w:rsidRPr="00DD3C44">
        <w:t>.  But we have already experimented with an analogous approach regarding recovery for negligent infliction of emotional distress</w:t>
      </w:r>
      <w:r w:rsidR="00181666">
        <w:t>.</w:t>
      </w:r>
      <w:r w:rsidR="00282230">
        <w:t xml:space="preserve">  </w:t>
      </w:r>
      <w:r w:rsidR="00181666">
        <w:t>It</w:t>
      </w:r>
      <w:r w:rsidR="000A2729">
        <w:t xml:space="preserve"> </w:t>
      </w:r>
      <w:r w:rsidRPr="00DD3C44">
        <w:t xml:space="preserve">did not go well.  In </w:t>
      </w:r>
      <w:r w:rsidRPr="00DD3C44">
        <w:rPr>
          <w:i/>
        </w:rPr>
        <w:t>Thing</w:t>
      </w:r>
      <w:r w:rsidRPr="00DD3C44">
        <w:t xml:space="preserve">, we lamented </w:t>
      </w:r>
      <w:r w:rsidR="00181666">
        <w:t xml:space="preserve">the </w:t>
      </w:r>
      <w:r w:rsidRPr="00DD3C44">
        <w:t>“arbitrary results” and the “</w:t>
      </w:r>
      <w:r w:rsidR="00671760" w:rsidRPr="00DD3C44">
        <w:t>inconsistent and often conflicting</w:t>
      </w:r>
      <w:r w:rsidRPr="00DD3C44">
        <w:t xml:space="preserve">” body of law </w:t>
      </w:r>
      <w:r w:rsidR="007A079B">
        <w:t>that approach</w:t>
      </w:r>
      <w:r w:rsidRPr="00DD3C44">
        <w:t xml:space="preserve"> produced.  (</w:t>
      </w:r>
      <w:r w:rsidR="000E1422" w:rsidRPr="000E1422">
        <w:rPr>
          <w:i/>
        </w:rPr>
        <w:t>Thing</w:t>
      </w:r>
      <w:r w:rsidR="000E1422">
        <w:t xml:space="preserve">, </w:t>
      </w:r>
      <w:r w:rsidR="000E1422" w:rsidRPr="000E1422">
        <w:rPr>
          <w:i/>
        </w:rPr>
        <w:t>supra</w:t>
      </w:r>
      <w:r w:rsidR="000E1422">
        <w:t xml:space="preserve">, </w:t>
      </w:r>
      <w:r w:rsidRPr="00DD3C44">
        <w:t xml:space="preserve">48 Cal.3d at p. 662.)  Which is why we </w:t>
      </w:r>
      <w:r w:rsidRPr="00DD3C44">
        <w:lastRenderedPageBreak/>
        <w:t>retreated from an ad hoc standard and imposed instead a hard</w:t>
      </w:r>
      <w:r w:rsidRPr="00DD3C44">
        <w:noBreakHyphen/>
        <w:t>and-fast rule</w:t>
      </w:r>
      <w:r w:rsidR="007A079B">
        <w:t xml:space="preserve">.  </w:t>
      </w:r>
      <w:r w:rsidRPr="00DD3C44">
        <w:t>(</w:t>
      </w:r>
      <w:r w:rsidRPr="00DD3C44">
        <w:rPr>
          <w:i/>
        </w:rPr>
        <w:t xml:space="preserve">Id. </w:t>
      </w:r>
      <w:r w:rsidRPr="00DD3C44">
        <w:t>at pp.</w:t>
      </w:r>
      <w:r w:rsidR="00B20FE1">
        <w:t> </w:t>
      </w:r>
      <w:r w:rsidRPr="00DD3C44">
        <w:t xml:space="preserve">667-668.)  </w:t>
      </w:r>
    </w:p>
    <w:p w14:paraId="45DAE80A" w14:textId="5C3F488E" w:rsidR="003E39BE" w:rsidRDefault="00DD3C44" w:rsidP="00DD3C44">
      <w:r w:rsidRPr="00DD3C44">
        <w:tab/>
      </w:r>
      <w:r w:rsidR="00CC7F1C">
        <w:t>W</w:t>
      </w:r>
      <w:r w:rsidRPr="00DD3C44">
        <w:t>e have not forgotten that experience.  Today</w:t>
      </w:r>
      <w:r w:rsidR="005925B7">
        <w:t>,</w:t>
      </w:r>
      <w:r w:rsidRPr="00DD3C44">
        <w:t xml:space="preserve"> we are confronted with hundreds of claims brought by hundreds of businesses stemming from one industrial accident</w:t>
      </w:r>
      <w:r w:rsidR="000643CF">
        <w:t> </w:t>
      </w:r>
      <w:r w:rsidRPr="00DD3C44">
        <w:t>— and that’s just the artificially limited class Plaintiffs seek to represent, not the full universe of potential claimants whose pocketbooks were adversely</w:t>
      </w:r>
      <w:r w:rsidR="002408EF">
        <w:t xml:space="preserve"> </w:t>
      </w:r>
      <w:r w:rsidR="005925B7">
        <w:t>(</w:t>
      </w:r>
      <w:r w:rsidR="002408EF">
        <w:t>and foreseeably</w:t>
      </w:r>
      <w:r w:rsidR="005925B7">
        <w:t xml:space="preserve">) </w:t>
      </w:r>
      <w:r w:rsidRPr="00DD3C44">
        <w:t xml:space="preserve">affected by the leak.  We see no workable way to limit geographically who may recover purely economic losses.  </w:t>
      </w:r>
      <w:r w:rsidR="00B45D13">
        <w:t>Without one</w:t>
      </w:r>
      <w:r w:rsidRPr="00DD3C44">
        <w:t xml:space="preserve">, </w:t>
      </w:r>
      <w:r w:rsidR="00B45D13">
        <w:t xml:space="preserve">the </w:t>
      </w:r>
      <w:r w:rsidRPr="00DD3C44">
        <w:t>danger</w:t>
      </w:r>
      <w:r w:rsidR="00B45D13">
        <w:t>s</w:t>
      </w:r>
      <w:r w:rsidRPr="00DD3C44">
        <w:t xml:space="preserve"> of indeterminate liability, over-deterrence, and endless litigation are</w:t>
      </w:r>
      <w:r w:rsidR="00641793">
        <w:t xml:space="preserve"> at</w:t>
      </w:r>
      <w:r w:rsidRPr="00DD3C44">
        <w:t xml:space="preserve"> their apex.</w:t>
      </w:r>
    </w:p>
    <w:p w14:paraId="7A049448" w14:textId="77777777" w:rsidR="00224543" w:rsidRPr="00224543" w:rsidRDefault="00224543" w:rsidP="00224543">
      <w:pPr>
        <w:jc w:val="center"/>
        <w:rPr>
          <w:b/>
        </w:rPr>
      </w:pPr>
      <w:r>
        <w:rPr>
          <w:b/>
        </w:rPr>
        <w:t>2.</w:t>
      </w:r>
    </w:p>
    <w:p w14:paraId="1CB98765" w14:textId="05FFF522" w:rsidR="004642E4" w:rsidRDefault="00C842D1" w:rsidP="00224543">
      <w:pPr>
        <w:ind w:firstLine="720"/>
      </w:pPr>
      <w:r>
        <w:t>Nor do we see</w:t>
      </w:r>
      <w:r w:rsidR="00224543" w:rsidRPr="00224543">
        <w:t xml:space="preserve"> </w:t>
      </w:r>
      <w:r>
        <w:t xml:space="preserve">a viable </w:t>
      </w:r>
      <w:r w:rsidR="00224543" w:rsidRPr="00224543">
        <w:t xml:space="preserve">way to </w:t>
      </w:r>
      <w:r w:rsidR="00FF4083">
        <w:t>limit</w:t>
      </w:r>
      <w:r w:rsidR="00224543" w:rsidRPr="00224543">
        <w:t xml:space="preserve"> temporally </w:t>
      </w:r>
      <w:r w:rsidR="00E64D58">
        <w:t>what purely economic losses could be recovered</w:t>
      </w:r>
      <w:r w:rsidR="00A63D1F">
        <w:t xml:space="preserve"> here.</w:t>
      </w:r>
    </w:p>
    <w:p w14:paraId="148BDD46" w14:textId="48E92B65" w:rsidR="00224543" w:rsidRPr="00224543" w:rsidRDefault="00224543" w:rsidP="00224543">
      <w:pPr>
        <w:ind w:firstLine="720"/>
      </w:pPr>
      <w:r w:rsidRPr="00224543">
        <w:t xml:space="preserve">Plaintiffs allege that they “have been </w:t>
      </w:r>
      <w:r w:rsidRPr="00224543">
        <w:rPr>
          <w:i/>
        </w:rPr>
        <w:t xml:space="preserve">and continue to be </w:t>
      </w:r>
      <w:r w:rsidRPr="00224543">
        <w:t xml:space="preserve">heavily impacted by the gas leak.”  </w:t>
      </w:r>
      <w:r w:rsidR="000F4CD9">
        <w:t xml:space="preserve">(Italics added.)  </w:t>
      </w:r>
      <w:r w:rsidRPr="00224543">
        <w:t xml:space="preserve">That is possible because Plaintiffs complain not of being forced to shut down during the disaster — no named </w:t>
      </w:r>
      <w:r w:rsidR="00146BD8">
        <w:t>p</w:t>
      </w:r>
      <w:r w:rsidRPr="00224543">
        <w:t xml:space="preserve">laintiff squarely alleges that — but of losing customers due to the exodus of neighborhood residents.  And even though the leak is over, </w:t>
      </w:r>
      <w:r w:rsidR="00BE4BEA">
        <w:t>they</w:t>
      </w:r>
      <w:r w:rsidRPr="00224543">
        <w:t xml:space="preserve"> allege that, </w:t>
      </w:r>
      <w:r w:rsidR="005A2B6B">
        <w:t xml:space="preserve">for </w:t>
      </w:r>
      <w:r w:rsidR="00385FA6">
        <w:t>as</w:t>
      </w:r>
      <w:r w:rsidRPr="00224543">
        <w:t xml:space="preserve"> long as the Aliso Facility remains in use, “business will </w:t>
      </w:r>
      <w:r w:rsidRPr="00224543">
        <w:rPr>
          <w:i/>
        </w:rPr>
        <w:t>never return</w:t>
      </w:r>
      <w:r w:rsidRPr="00224543">
        <w:t xml:space="preserve"> to Porter Ranch as usual.”  </w:t>
      </w:r>
      <w:r w:rsidR="000F4CD9">
        <w:t xml:space="preserve">(Italics added.)  </w:t>
      </w:r>
      <w:proofErr w:type="gramStart"/>
      <w:r w:rsidRPr="00224543">
        <w:t>So</w:t>
      </w:r>
      <w:proofErr w:type="gramEnd"/>
      <w:r w:rsidRPr="00224543">
        <w:t xml:space="preserve"> Plaintiffs are, in effect, seeking pro rata recovery for the past, present, and future economic toll the leak allegedly had, has, and will have on Porter Ranch.  These are claims without end.  </w:t>
      </w:r>
    </w:p>
    <w:p w14:paraId="54B48704" w14:textId="77777777" w:rsidR="00224543" w:rsidRPr="00224543" w:rsidRDefault="00224543" w:rsidP="00224543">
      <w:r w:rsidRPr="00224543">
        <w:tab/>
        <w:t xml:space="preserve">True:  we could conceivably cabin recovery for purely economic losses to those suffered during the disaster alone.  Or we could allow recovery only for such losses suffered during a </w:t>
      </w:r>
      <w:r w:rsidRPr="00224543">
        <w:lastRenderedPageBreak/>
        <w:t>business closure, not merely for systemic hits to economic demand.  Yet</w:t>
      </w:r>
      <w:r w:rsidR="002773CD">
        <w:t xml:space="preserve"> upon closer inspection,</w:t>
      </w:r>
      <w:r w:rsidRPr="00224543">
        <w:t xml:space="preserve"> the alluring simplicity of both approaches </w:t>
      </w:r>
      <w:r w:rsidR="002773CD">
        <w:t xml:space="preserve">quickly </w:t>
      </w:r>
      <w:r w:rsidRPr="00224543">
        <w:t xml:space="preserve">proves to be a mirage.  </w:t>
      </w:r>
    </w:p>
    <w:p w14:paraId="2CAC9453" w14:textId="4AFB7189" w:rsidR="00224543" w:rsidRPr="00224543" w:rsidRDefault="00224543" w:rsidP="00224543">
      <w:r w:rsidRPr="00224543">
        <w:tab/>
        <w:t xml:space="preserve">The </w:t>
      </w:r>
      <w:r w:rsidR="00BE147B">
        <w:t>“</w:t>
      </w:r>
      <w:r w:rsidRPr="00224543">
        <w:t>during</w:t>
      </w:r>
      <w:r w:rsidR="00BE147B">
        <w:t xml:space="preserve"> </w:t>
      </w:r>
      <w:r w:rsidRPr="00224543">
        <w:t>the</w:t>
      </w:r>
      <w:r w:rsidR="00BE147B">
        <w:t xml:space="preserve"> </w:t>
      </w:r>
      <w:r w:rsidRPr="00224543">
        <w:t>disaster</w:t>
      </w:r>
      <w:r w:rsidR="00BE147B">
        <w:t>”</w:t>
      </w:r>
      <w:r w:rsidRPr="00224543">
        <w:t xml:space="preserve"> option would require a way of determining precisely what the words “during” and “disaster” mean in a given case.  </w:t>
      </w:r>
      <w:r w:rsidR="00B30BB6">
        <w:t xml:space="preserve">That will not always be easy.  </w:t>
      </w:r>
      <w:r w:rsidRPr="00224543">
        <w:t xml:space="preserve">Even assuming the beginning and end of most disasters can be easily fixed by the closing of a wayward valve or its equivalent, distinctions between one disaster (say, a leak of flammable </w:t>
      </w:r>
      <w:r w:rsidR="00D61459">
        <w:t>fluid</w:t>
      </w:r>
      <w:r w:rsidRPr="00224543">
        <w:t xml:space="preserve">) and another (a fire) can be unstable.  Moreover, disasters like the gas leak at issue here happen over an extended </w:t>
      </w:r>
      <w:proofErr w:type="gramStart"/>
      <w:r w:rsidRPr="00224543">
        <w:t>period of time</w:t>
      </w:r>
      <w:proofErr w:type="gramEnd"/>
      <w:r w:rsidRPr="00224543">
        <w:t xml:space="preserve">, but other industrial accidents (like tower collapses or railroad explosions) happen in an instant.  </w:t>
      </w:r>
      <w:proofErr w:type="gramStart"/>
      <w:r w:rsidRPr="00224543">
        <w:t>So</w:t>
      </w:r>
      <w:proofErr w:type="gramEnd"/>
      <w:r w:rsidRPr="00224543">
        <w:t xml:space="preserve"> for the latter sort of disaster, we might have to use the duration of any subsequent evacuation </w:t>
      </w:r>
      <w:r w:rsidR="00C06724">
        <w:t xml:space="preserve">(if </w:t>
      </w:r>
      <w:r w:rsidR="00B93BAA">
        <w:t>there is one</w:t>
      </w:r>
      <w:r w:rsidR="00C06724">
        <w:t xml:space="preserve">) </w:t>
      </w:r>
      <w:r w:rsidRPr="00224543">
        <w:t>to time</w:t>
      </w:r>
      <w:r w:rsidRPr="00224543">
        <w:noBreakHyphen/>
        <w:t xml:space="preserve">bound the ensuing claims for purely economic losses.  But doing that would inject into disaster response efforts the very same dangerous incentives and other problems discussed above.  </w:t>
      </w:r>
    </w:p>
    <w:p w14:paraId="0A013FF2" w14:textId="5DD6085D" w:rsidR="00C93528" w:rsidRDefault="00224543" w:rsidP="00224543">
      <w:r w:rsidRPr="00224543">
        <w:tab/>
        <w:t xml:space="preserve">The </w:t>
      </w:r>
      <w:r w:rsidR="00BE147B">
        <w:t>“</w:t>
      </w:r>
      <w:r w:rsidRPr="00224543">
        <w:t>business</w:t>
      </w:r>
      <w:r w:rsidR="00BE147B">
        <w:t xml:space="preserve"> </w:t>
      </w:r>
      <w:r w:rsidRPr="00224543">
        <w:t>closure</w:t>
      </w:r>
      <w:r w:rsidR="00BE147B">
        <w:t>”</w:t>
      </w:r>
      <w:r w:rsidRPr="00224543">
        <w:t xml:space="preserve"> option, for its part, would likely prove self-defeating.  Requiring affected businesses to close as a prerequisite for recovery in negligence would </w:t>
      </w:r>
      <w:r w:rsidR="00CC7F1C">
        <w:t>lock</w:t>
      </w:r>
      <w:r w:rsidRPr="00224543">
        <w:t xml:space="preserve"> them into a dilemma:  shut down and lose any income you might have earned — or stay open and lose any tort claim you might have brought.  </w:t>
      </w:r>
      <w:r w:rsidR="00FF3431">
        <w:t xml:space="preserve">Difficult though the choice </w:t>
      </w:r>
      <w:r w:rsidR="00616C1A">
        <w:t xml:space="preserve">could </w:t>
      </w:r>
      <w:r w:rsidR="00FF3431">
        <w:t xml:space="preserve">be for </w:t>
      </w:r>
      <w:proofErr w:type="gramStart"/>
      <w:r w:rsidR="00FF3431">
        <w:t>some</w:t>
      </w:r>
      <w:proofErr w:type="gramEnd"/>
      <w:r w:rsidR="00FF3431">
        <w:t>,</w:t>
      </w:r>
      <w:r w:rsidRPr="00224543">
        <w:t xml:space="preserve"> many businesses might rationally </w:t>
      </w:r>
      <w:r w:rsidR="00FF3431">
        <w:t>decide</w:t>
      </w:r>
      <w:r w:rsidRPr="00224543">
        <w:t xml:space="preserve"> they are better off shutting down.  Plaintiff Mediterranean Bistro</w:t>
      </w:r>
      <w:r w:rsidR="00F20428">
        <w:t>, for example, would presumably be reluctant to</w:t>
      </w:r>
      <w:r w:rsidRPr="00224543">
        <w:t xml:space="preserve"> keep its 80</w:t>
      </w:r>
      <w:r w:rsidRPr="00224543">
        <w:noBreakHyphen/>
        <w:t>seat restaurant open to serve a handful of customers if doing so meant forfeiting a potentially valuable tort claim</w:t>
      </w:r>
      <w:r w:rsidR="00F20428">
        <w:t>.</w:t>
      </w:r>
      <w:r w:rsidRPr="00224543">
        <w:t xml:space="preserve">  Encouraging businesses to close </w:t>
      </w:r>
      <w:r w:rsidR="006B46DE">
        <w:t>c</w:t>
      </w:r>
      <w:r w:rsidRPr="00224543">
        <w:t xml:space="preserve">ould </w:t>
      </w:r>
      <w:r w:rsidR="006B46DE">
        <w:t xml:space="preserve">thus </w:t>
      </w:r>
      <w:r w:rsidRPr="00224543">
        <w:t xml:space="preserve">catalyze the very </w:t>
      </w:r>
      <w:r w:rsidR="00985D9C">
        <w:t xml:space="preserve">economic stagnation </w:t>
      </w:r>
      <w:r w:rsidRPr="00224543">
        <w:t xml:space="preserve">we want to </w:t>
      </w:r>
      <w:r w:rsidRPr="00224543">
        <w:lastRenderedPageBreak/>
        <w:t xml:space="preserve">minimize.  Better instead to encourage </w:t>
      </w:r>
      <w:r w:rsidR="00DA60CF">
        <w:t>businesses</w:t>
      </w:r>
      <w:r w:rsidRPr="00224543">
        <w:t xml:space="preserve"> to </w:t>
      </w:r>
      <w:r w:rsidR="00FC68B1">
        <w:t xml:space="preserve">continue their </w:t>
      </w:r>
      <w:r w:rsidRPr="00224543">
        <w:t>economic activity where they can.</w:t>
      </w:r>
    </w:p>
    <w:p w14:paraId="1853B09E" w14:textId="77777777" w:rsidR="002A43C0" w:rsidRPr="002A43C0" w:rsidRDefault="002A43C0" w:rsidP="002A43C0">
      <w:pPr>
        <w:jc w:val="center"/>
        <w:rPr>
          <w:b/>
        </w:rPr>
      </w:pPr>
      <w:r w:rsidRPr="002A43C0">
        <w:rPr>
          <w:b/>
        </w:rPr>
        <w:t>D.</w:t>
      </w:r>
    </w:p>
    <w:p w14:paraId="5DAB66C0" w14:textId="77777777" w:rsidR="00F22346" w:rsidRDefault="002A43C0" w:rsidP="002A43C0">
      <w:pPr>
        <w:ind w:firstLine="720"/>
      </w:pPr>
      <w:r w:rsidRPr="002A43C0">
        <w:t>None of this is to say that denying recovery for those who did not suffer injury to person or property is a perfect solution in negligence cases like this one.  Far from it.  It is only the least</w:t>
      </w:r>
      <w:r w:rsidRPr="002A43C0">
        <w:noBreakHyphen/>
        <w:t xml:space="preserve">worst rule out there.  </w:t>
      </w:r>
    </w:p>
    <w:p w14:paraId="113CA140" w14:textId="66DE5618" w:rsidR="00DA1CD7" w:rsidRDefault="00FC68B1" w:rsidP="002A43C0">
      <w:pPr>
        <w:ind w:firstLine="720"/>
      </w:pPr>
      <w:r>
        <w:t>L</w:t>
      </w:r>
      <w:r w:rsidR="002A43C0" w:rsidRPr="002A43C0">
        <w:t xml:space="preserve">ike other courts, </w:t>
      </w:r>
      <w:r>
        <w:t xml:space="preserve">we </w:t>
      </w:r>
      <w:r w:rsidR="002A43C0" w:rsidRPr="002A43C0">
        <w:t xml:space="preserve">acknowledge that denying recovery for purely economic </w:t>
      </w:r>
      <w:r w:rsidR="008F3C95">
        <w:t>losses under circumstances</w:t>
      </w:r>
      <w:r w:rsidR="002A43C0" w:rsidRPr="002A43C0">
        <w:t xml:space="preserve"> like th</w:t>
      </w:r>
      <w:r w:rsidR="008F3C95">
        <w:t>ese</w:t>
      </w:r>
      <w:r w:rsidR="002A43C0" w:rsidRPr="002A43C0">
        <w:t xml:space="preserve"> has “the vice of creating results in cases at its edge that are . . . </w:t>
      </w:r>
      <w:r w:rsidR="00505636">
        <w:t>‘</w:t>
      </w:r>
      <w:r w:rsidR="002A43C0" w:rsidRPr="002A43C0">
        <w:t>unjust</w:t>
      </w:r>
      <w:r w:rsidR="00505636">
        <w:t>’</w:t>
      </w:r>
      <w:r w:rsidR="002A43C0" w:rsidRPr="002A43C0">
        <w:t xml:space="preserve"> or </w:t>
      </w:r>
      <w:r w:rsidR="00505636">
        <w:t>‘</w:t>
      </w:r>
      <w:r w:rsidR="002A43C0" w:rsidRPr="002A43C0">
        <w:t>unfair</w:t>
      </w:r>
      <w:r w:rsidR="00505636">
        <w:t>’ </w:t>
      </w:r>
      <w:r w:rsidR="002A43C0" w:rsidRPr="002A43C0">
        <w:t xml:space="preserve">” — </w:t>
      </w:r>
      <w:r w:rsidR="00B25C67">
        <w:t xml:space="preserve">or </w:t>
      </w:r>
      <w:r w:rsidR="002A43C0" w:rsidRPr="002A43C0">
        <w:t>even “seemingly perverse.”  (</w:t>
      </w:r>
      <w:proofErr w:type="spellStart"/>
      <w:r w:rsidR="002A43C0" w:rsidRPr="002A43C0">
        <w:rPr>
          <w:i/>
        </w:rPr>
        <w:t>Testbank</w:t>
      </w:r>
      <w:proofErr w:type="spellEnd"/>
      <w:r w:rsidR="002A43C0" w:rsidRPr="002A43C0">
        <w:t>,</w:t>
      </w:r>
      <w:r w:rsidR="008957FE">
        <w:t xml:space="preserve"> </w:t>
      </w:r>
      <w:r w:rsidR="008957FE">
        <w:rPr>
          <w:i/>
        </w:rPr>
        <w:t>supra</w:t>
      </w:r>
      <w:r w:rsidR="008957FE">
        <w:t>,</w:t>
      </w:r>
      <w:r w:rsidR="002A43C0" w:rsidRPr="002A43C0">
        <w:t xml:space="preserve"> 752 F.2d at p. 1029; see also </w:t>
      </w:r>
      <w:r w:rsidR="002A43C0" w:rsidRPr="002A43C0">
        <w:rPr>
          <w:i/>
        </w:rPr>
        <w:t>532 Madison</w:t>
      </w:r>
      <w:r w:rsidR="002A43C0" w:rsidRPr="002A43C0">
        <w:t xml:space="preserve">, </w:t>
      </w:r>
      <w:r w:rsidR="008957FE">
        <w:rPr>
          <w:i/>
        </w:rPr>
        <w:t>supra</w:t>
      </w:r>
      <w:r w:rsidR="008957FE">
        <w:t xml:space="preserve">, </w:t>
      </w:r>
      <w:r w:rsidR="002A43C0" w:rsidRPr="002A43C0">
        <w:t xml:space="preserve">750 N.E.2d at p. 1103 [acknowledging that this rule is “to an extent arbitrary because . . . invariably it cuts off liability to persons who foreseeably might be plaintiffs”].)  The courthouse doors are open for </w:t>
      </w:r>
      <w:r w:rsidR="00D44E26">
        <w:t>people</w:t>
      </w:r>
      <w:r w:rsidR="00D44E26" w:rsidRPr="002A43C0">
        <w:t xml:space="preserve"> </w:t>
      </w:r>
      <w:r w:rsidR="002A43C0" w:rsidRPr="002A43C0">
        <w:t xml:space="preserve">who </w:t>
      </w:r>
      <w:r w:rsidR="004251B5">
        <w:t>experience</w:t>
      </w:r>
      <w:r w:rsidR="002A43C0" w:rsidRPr="002A43C0">
        <w:t xml:space="preserve"> slight physical injury — yet closed to others who suffer devastating purely economic losses.</w:t>
      </w:r>
      <w:r w:rsidR="00E30801">
        <w:t xml:space="preserve">  That line </w:t>
      </w:r>
      <w:r w:rsidR="00406F93">
        <w:t xml:space="preserve">may appear </w:t>
      </w:r>
      <w:r w:rsidR="00E30801">
        <w:t xml:space="preserve">arbitrary in </w:t>
      </w:r>
      <w:proofErr w:type="gramStart"/>
      <w:r w:rsidR="00E30801">
        <w:t>some</w:t>
      </w:r>
      <w:proofErr w:type="gramEnd"/>
      <w:r w:rsidR="00E30801">
        <w:t xml:space="preserve"> sense. </w:t>
      </w:r>
      <w:r w:rsidR="00D44E26">
        <w:t xml:space="preserve"> </w:t>
      </w:r>
      <w:r w:rsidR="00737F23">
        <w:t>Yet</w:t>
      </w:r>
      <w:r w:rsidR="002A43C0" w:rsidRPr="002A43C0">
        <w:t xml:space="preserve"> </w:t>
      </w:r>
      <w:r w:rsidR="00E30801">
        <w:t>so are the alternatives we have considered and rejected</w:t>
      </w:r>
      <w:r w:rsidR="000F34E2">
        <w:t xml:space="preserve"> — and those alternatives, as </w:t>
      </w:r>
      <w:proofErr w:type="gramStart"/>
      <w:r w:rsidR="000F34E2">
        <w:t>we</w:t>
      </w:r>
      <w:r w:rsidR="003769A8">
        <w:t>’ve</w:t>
      </w:r>
      <w:proofErr w:type="gramEnd"/>
      <w:r w:rsidR="000F34E2">
        <w:t xml:space="preserve"> explained, </w:t>
      </w:r>
      <w:r w:rsidR="003B1133">
        <w:t xml:space="preserve">have </w:t>
      </w:r>
      <w:r w:rsidR="000F34E2">
        <w:t>further flaws of their own</w:t>
      </w:r>
      <w:r w:rsidR="00E30801">
        <w:t xml:space="preserve">.  </w:t>
      </w:r>
    </w:p>
    <w:p w14:paraId="1391CD49" w14:textId="29FA2F24" w:rsidR="002A43C0" w:rsidRPr="002A43C0" w:rsidRDefault="00E30801" w:rsidP="002A43C0">
      <w:pPr>
        <w:ind w:firstLine="720"/>
      </w:pPr>
      <w:r>
        <w:t>A</w:t>
      </w:r>
      <w:r w:rsidR="00D44E26">
        <w:t>t any rate,</w:t>
      </w:r>
      <w:r w:rsidR="00406F93">
        <w:t xml:space="preserve"> </w:t>
      </w:r>
      <w:r w:rsidR="002A43C0" w:rsidRPr="002A43C0">
        <w:t>“drawing arbitrary lines is</w:t>
      </w:r>
      <w:r w:rsidR="00D44E26">
        <w:t xml:space="preserve"> </w:t>
      </w:r>
      <w:r w:rsidR="002A43C0" w:rsidRPr="002A43C0">
        <w:t>unavoidable if we are to limit liability and establish meaningful rules for application by litigants and lower courts.”  (</w:t>
      </w:r>
      <w:r w:rsidR="002A43C0" w:rsidRPr="002A43C0">
        <w:rPr>
          <w:i/>
        </w:rPr>
        <w:t>Thing</w:t>
      </w:r>
      <w:r w:rsidR="002A43C0" w:rsidRPr="002A43C0">
        <w:t xml:space="preserve">, </w:t>
      </w:r>
      <w:r w:rsidR="008957FE">
        <w:rPr>
          <w:i/>
        </w:rPr>
        <w:t>supra</w:t>
      </w:r>
      <w:r w:rsidR="008957FE">
        <w:t xml:space="preserve">, </w:t>
      </w:r>
      <w:r w:rsidR="002A43C0" w:rsidRPr="002A43C0">
        <w:t>48 Cal.3d at p. 666.)  And as we have explained, the ripple effects of industrial catastrophe on this scale in an interconnected economy defy judicial creation of more finely tuned rules.  Hence the admittedly imperfect legal regime that governs in most jurisdictions — and that we now confirm governs in ours.</w:t>
      </w:r>
    </w:p>
    <w:p w14:paraId="5B7D34D2" w14:textId="3FBE192F" w:rsidR="002A43C0" w:rsidRPr="002A43C0" w:rsidRDefault="002A43C0" w:rsidP="002A43C0">
      <w:r w:rsidRPr="002A43C0">
        <w:tab/>
      </w:r>
      <w:r w:rsidR="00E95F7A">
        <w:t>T</w:t>
      </w:r>
      <w:r w:rsidR="000710B8">
        <w:t>he</w:t>
      </w:r>
      <w:r w:rsidRPr="002A43C0">
        <w:t xml:space="preserve"> Legislature</w:t>
      </w:r>
      <w:r w:rsidR="00E95F7A">
        <w:t>, however,</w:t>
      </w:r>
      <w:r w:rsidR="000710B8">
        <w:t xml:space="preserve"> </w:t>
      </w:r>
      <w:r w:rsidRPr="002A43C0">
        <w:t xml:space="preserve">may be able to improve that regime in ways </w:t>
      </w:r>
      <w:r w:rsidR="000710B8">
        <w:t>that would be exceptionally difficult</w:t>
      </w:r>
      <w:r w:rsidR="00406F93">
        <w:t>,</w:t>
      </w:r>
      <w:r w:rsidR="000710B8">
        <w:t xml:space="preserve"> if not </w:t>
      </w:r>
      <w:r w:rsidR="000710B8">
        <w:lastRenderedPageBreak/>
        <w:t>impossible</w:t>
      </w:r>
      <w:r w:rsidR="00406F93">
        <w:t>,</w:t>
      </w:r>
      <w:r w:rsidR="000710B8">
        <w:t xml:space="preserve"> for us</w:t>
      </w:r>
      <w:r w:rsidRPr="002A43C0">
        <w:t xml:space="preserve">.  To name one example:  after we rebuffed homeowners’ efforts to recover </w:t>
      </w:r>
      <w:r w:rsidR="001F7E1A">
        <w:t xml:space="preserve">for </w:t>
      </w:r>
      <w:r w:rsidRPr="002A43C0">
        <w:t xml:space="preserve">purely economic losses stemming from construction defects in </w:t>
      </w:r>
      <w:proofErr w:type="spellStart"/>
      <w:r w:rsidRPr="002A43C0">
        <w:rPr>
          <w:i/>
        </w:rPr>
        <w:t>Aas</w:t>
      </w:r>
      <w:proofErr w:type="spellEnd"/>
      <w:r w:rsidRPr="002A43C0">
        <w:t xml:space="preserve">, the Legislature responded to popular calls for a more forgiving rule in that context.  (See </w:t>
      </w:r>
      <w:r w:rsidRPr="002A43C0">
        <w:rPr>
          <w:i/>
        </w:rPr>
        <w:t>Rosen</w:t>
      </w:r>
      <w:r w:rsidRPr="002A43C0">
        <w:t xml:space="preserve">, </w:t>
      </w:r>
      <w:r w:rsidR="008957FE">
        <w:rPr>
          <w:i/>
        </w:rPr>
        <w:t>supra</w:t>
      </w:r>
      <w:r w:rsidR="008957FE">
        <w:t xml:space="preserve">, </w:t>
      </w:r>
      <w:r w:rsidRPr="002A43C0">
        <w:t xml:space="preserve">30 Cal.4th </w:t>
      </w:r>
      <w:r w:rsidR="00B07620">
        <w:t xml:space="preserve">at </w:t>
      </w:r>
      <w:r w:rsidRPr="002A43C0">
        <w:t xml:space="preserve">p. 1079, citing </w:t>
      </w:r>
      <w:proofErr w:type="spellStart"/>
      <w:r w:rsidRPr="002A43C0">
        <w:rPr>
          <w:i/>
        </w:rPr>
        <w:t>Aas</w:t>
      </w:r>
      <w:proofErr w:type="spellEnd"/>
      <w:r w:rsidRPr="002A43C0">
        <w:t xml:space="preserve">, </w:t>
      </w:r>
      <w:r w:rsidR="00B07620">
        <w:rPr>
          <w:i/>
        </w:rPr>
        <w:t>supra</w:t>
      </w:r>
      <w:r w:rsidR="00B07620">
        <w:t xml:space="preserve">, </w:t>
      </w:r>
      <w:r w:rsidRPr="002A43C0">
        <w:t>24 Cal.4th at p. 646.)  It enacted a detailed statutory mechanism specifically designed for homeowners seeking redress against negligent builders.  (</w:t>
      </w:r>
      <w:r w:rsidR="00B07620">
        <w:rPr>
          <w:i/>
        </w:rPr>
        <w:t>Rosen</w:t>
      </w:r>
      <w:r w:rsidR="00B07620">
        <w:t>, at p. 1079</w:t>
      </w:r>
      <w:r w:rsidRPr="002A43C0">
        <w:t>, citing Civ. Code</w:t>
      </w:r>
      <w:r w:rsidR="00F95B3E">
        <w:t>,</w:t>
      </w:r>
      <w:r w:rsidRPr="002A43C0">
        <w:t xml:space="preserve"> § 895 et</w:t>
      </w:r>
      <w:r w:rsidR="006643DE">
        <w:t> </w:t>
      </w:r>
      <w:r w:rsidRPr="002A43C0">
        <w:t xml:space="preserve">seq.)  To name another:  in view of “the economic and social disruptions arising out of the Lake Davis Northern Pike Eradication Project,” the Legislature set up a </w:t>
      </w:r>
      <w:r w:rsidR="00D44E26">
        <w:t xml:space="preserve">special </w:t>
      </w:r>
      <w:r w:rsidRPr="002A43C0">
        <w:t>process for people to recover for, among other things, purely economic losses suffered due to that environmental protection effort.  (Gov. Code, §§</w:t>
      </w:r>
      <w:r w:rsidR="007E2084">
        <w:t> </w:t>
      </w:r>
      <w:r w:rsidRPr="002A43C0">
        <w:t>998, 998.2.)</w:t>
      </w:r>
    </w:p>
    <w:p w14:paraId="6D604B2E" w14:textId="476BD179" w:rsidR="002A43C0" w:rsidRPr="002A43C0" w:rsidRDefault="002A43C0" w:rsidP="002A43C0">
      <w:r w:rsidRPr="002A43C0">
        <w:tab/>
        <w:t xml:space="preserve">With the economic consequences in this case allegedly so severe, and the number of people affected allegedly so large, the Legislature could be spurred </w:t>
      </w:r>
      <w:r w:rsidR="00286D49">
        <w:t xml:space="preserve">yet again </w:t>
      </w:r>
      <w:r w:rsidRPr="002A43C0">
        <w:t xml:space="preserve">to act.  To be sure, purely economic losses caused by a natural gas leak may present their own set of challenges.  But so too, we can only presume, of those caused by an oil spill.  And in that context the Legislature has already interceded.  </w:t>
      </w:r>
      <w:proofErr w:type="gramStart"/>
      <w:r w:rsidRPr="002A43C0">
        <w:t>It</w:t>
      </w:r>
      <w:proofErr w:type="gramEnd"/>
      <w:r w:rsidRPr="002A43C0">
        <w:t xml:space="preserve"> enacted legislation permitting those “who derive[] at least 25 percent” of their income from activities that utilize “natural resources” to recover — without regard to fault</w:t>
      </w:r>
      <w:r w:rsidR="001C03FB">
        <w:t> </w:t>
      </w:r>
      <w:r w:rsidRPr="002A43C0">
        <w:t>— for “[l]</w:t>
      </w:r>
      <w:proofErr w:type="spellStart"/>
      <w:r w:rsidRPr="002A43C0">
        <w:t>oss</w:t>
      </w:r>
      <w:proofErr w:type="spellEnd"/>
      <w:r w:rsidRPr="002A43C0">
        <w:t xml:space="preserve"> of profits or impairment of earning capacity due to the injury, destruction, or loss of . . . natural resources” from a spill.</w:t>
      </w:r>
      <w:r w:rsidR="00FA270B">
        <w:rPr>
          <w:rStyle w:val="FootnoteReference"/>
        </w:rPr>
        <w:footnoteReference w:id="10"/>
      </w:r>
      <w:r w:rsidRPr="002A43C0">
        <w:t xml:space="preserve">  (Gov. Code, § 8670.56.5, </w:t>
      </w:r>
      <w:proofErr w:type="spellStart"/>
      <w:r w:rsidRPr="002A43C0">
        <w:t>subd</w:t>
      </w:r>
      <w:proofErr w:type="spellEnd"/>
      <w:proofErr w:type="gramStart"/>
      <w:r w:rsidRPr="002A43C0">
        <w:t xml:space="preserve">. </w:t>
      </w:r>
      <w:proofErr w:type="gramEnd"/>
      <w:r w:rsidRPr="002A43C0">
        <w:t xml:space="preserve">(h)(6).)  </w:t>
      </w:r>
      <w:r w:rsidR="00381FC6">
        <w:t xml:space="preserve">Perhaps </w:t>
      </w:r>
      <w:proofErr w:type="gramStart"/>
      <w:r w:rsidR="00381FC6">
        <w:t>there’s</w:t>
      </w:r>
      <w:proofErr w:type="gramEnd"/>
      <w:r w:rsidR="00381FC6">
        <w:t xml:space="preserve"> a basis for</w:t>
      </w:r>
      <w:r w:rsidRPr="002A43C0">
        <w:t xml:space="preserve"> further industry</w:t>
      </w:r>
      <w:r w:rsidR="00FA270B">
        <w:noBreakHyphen/>
      </w:r>
      <w:r w:rsidRPr="002A43C0">
        <w:t xml:space="preserve">specific </w:t>
      </w:r>
      <w:r w:rsidR="00381FC6">
        <w:t xml:space="preserve">legislative or regulatory </w:t>
      </w:r>
      <w:r w:rsidRPr="002A43C0">
        <w:t xml:space="preserve">action.  And through the democratic process, the </w:t>
      </w:r>
      <w:r w:rsidRPr="002A43C0">
        <w:lastRenderedPageBreak/>
        <w:t xml:space="preserve">Legislature can bring to bear </w:t>
      </w:r>
      <w:r w:rsidR="00971429">
        <w:t xml:space="preserve">a mix of </w:t>
      </w:r>
      <w:r w:rsidRPr="002A43C0">
        <w:t xml:space="preserve">expertise </w:t>
      </w:r>
      <w:r w:rsidR="00971429">
        <w:t xml:space="preserve">while considering competing concerns </w:t>
      </w:r>
      <w:r w:rsidRPr="002A43C0">
        <w:t xml:space="preserve">to craft a solution in tune with public demands.  </w:t>
      </w:r>
    </w:p>
    <w:p w14:paraId="22311D52" w14:textId="201BBBC0" w:rsidR="002A43C0" w:rsidRPr="002A43C0" w:rsidRDefault="002A43C0" w:rsidP="002A43C0">
      <w:r w:rsidRPr="002A43C0">
        <w:tab/>
        <w:t>A</w:t>
      </w:r>
      <w:r w:rsidR="000710B8">
        <w:t xml:space="preserve"> partial</w:t>
      </w:r>
      <w:r w:rsidRPr="002A43C0">
        <w:t xml:space="preserve"> solution </w:t>
      </w:r>
      <w:r w:rsidR="000710B8">
        <w:t xml:space="preserve">leveraging the insurance market </w:t>
      </w:r>
      <w:r w:rsidR="00834262">
        <w:t>may</w:t>
      </w:r>
      <w:r w:rsidR="009775BC">
        <w:t xml:space="preserve"> also</w:t>
      </w:r>
      <w:r w:rsidRPr="002A43C0">
        <w:t xml:space="preserve"> </w:t>
      </w:r>
      <w:r w:rsidR="000710B8">
        <w:t xml:space="preserve">prove feasible, at least for </w:t>
      </w:r>
      <w:proofErr w:type="gramStart"/>
      <w:r w:rsidR="000710B8">
        <w:t>some</w:t>
      </w:r>
      <w:proofErr w:type="gramEnd"/>
      <w:r w:rsidR="000710B8">
        <w:t xml:space="preserve"> businesses</w:t>
      </w:r>
      <w:r w:rsidRPr="002A43C0">
        <w:t xml:space="preserve">.  Although </w:t>
      </w:r>
      <w:proofErr w:type="gramStart"/>
      <w:r w:rsidRPr="002A43C0">
        <w:t>many</w:t>
      </w:r>
      <w:proofErr w:type="gramEnd"/>
      <w:r w:rsidRPr="002A43C0">
        <w:t xml:space="preserve"> business interruption insurance policies presently available </w:t>
      </w:r>
      <w:r w:rsidR="009B64BC">
        <w:t>might</w:t>
      </w:r>
      <w:r w:rsidRPr="002A43C0">
        <w:t xml:space="preserve"> not cover the purely economic losses alleged here (</w:t>
      </w:r>
      <w:r w:rsidR="00D155B2">
        <w:t>s</w:t>
      </w:r>
      <w:r w:rsidRPr="002A43C0">
        <w:t xml:space="preserve">ee </w:t>
      </w:r>
      <w:r w:rsidRPr="002A43C0">
        <w:rPr>
          <w:i/>
        </w:rPr>
        <w:t>Buxbaum v. Aetna Life &amp; Casualty Co.</w:t>
      </w:r>
      <w:r w:rsidR="00F95B3E">
        <w:rPr>
          <w:i/>
        </w:rPr>
        <w:t xml:space="preserve"> </w:t>
      </w:r>
      <w:r w:rsidRPr="002A43C0">
        <w:t xml:space="preserve">(2002) 103 Cal.App.4th 434, 448-449), private insurance companies </w:t>
      </w:r>
      <w:r w:rsidR="009775BC">
        <w:t>could</w:t>
      </w:r>
      <w:r w:rsidRPr="002A43C0">
        <w:t xml:space="preserve"> </w:t>
      </w:r>
      <w:r w:rsidR="006D224D">
        <w:t xml:space="preserve">conceivably </w:t>
      </w:r>
      <w:r w:rsidRPr="002A43C0">
        <w:t xml:space="preserve">see a profit-making opportunity in today’s decision.  Now certain that a lawsuit seeking purely economic losses of this sort will not succeed, businesses </w:t>
      </w:r>
      <w:r w:rsidR="0064527A">
        <w:t xml:space="preserve">operating </w:t>
      </w:r>
      <w:r w:rsidRPr="002A43C0">
        <w:t xml:space="preserve">near a natural gas storage facility — or a dam, shipping lane, oil well, and so forth — may be more inclined to buy insurance covering profits they stand to lose if disaster strikes.  (See, e.g., </w:t>
      </w:r>
      <w:proofErr w:type="spellStart"/>
      <w:r w:rsidRPr="002A43C0">
        <w:rPr>
          <w:i/>
        </w:rPr>
        <w:t>Testbank</w:t>
      </w:r>
      <w:proofErr w:type="spellEnd"/>
      <w:r w:rsidRPr="002A43C0">
        <w:t xml:space="preserve">, </w:t>
      </w:r>
      <w:r w:rsidR="00C76F8D">
        <w:rPr>
          <w:i/>
        </w:rPr>
        <w:t>supra</w:t>
      </w:r>
      <w:r w:rsidR="00C76F8D">
        <w:t xml:space="preserve">, </w:t>
      </w:r>
      <w:r w:rsidRPr="002A43C0">
        <w:t>752 F.2d at p. 1029 [observing that a local business’s “own potential losses” in the event of an industrial accident “are finite and readily discernible,” which may enable them to obtain insurance “at a relatively low cost”].)  If so, private insurance companies might expand their policy offerings accordingly.</w:t>
      </w:r>
    </w:p>
    <w:p w14:paraId="513EA522" w14:textId="056CCB53" w:rsidR="002A43C0" w:rsidRDefault="002A43C0" w:rsidP="002A43C0">
      <w:r w:rsidRPr="002A43C0">
        <w:tab/>
        <w:t xml:space="preserve">Finally, </w:t>
      </w:r>
      <w:r w:rsidR="000710B8">
        <w:t xml:space="preserve">we recognize </w:t>
      </w:r>
      <w:r w:rsidRPr="002A43C0">
        <w:t xml:space="preserve">Plaintiffs’ concern that </w:t>
      </w:r>
      <w:r w:rsidR="002F26E3">
        <w:t>SoCalGas’s</w:t>
      </w:r>
      <w:r w:rsidRPr="002A43C0">
        <w:t xml:space="preserve"> </w:t>
      </w:r>
      <w:r w:rsidR="00F33495">
        <w:t xml:space="preserve">alleged </w:t>
      </w:r>
      <w:r w:rsidRPr="002A43C0">
        <w:t>negligent behavior will go insufficiently deterred if we deny recovery</w:t>
      </w:r>
      <w:r w:rsidR="002F26E3">
        <w:t xml:space="preserve"> here</w:t>
      </w:r>
      <w:r w:rsidRPr="002A43C0">
        <w:t xml:space="preserve">.  But SoCalGas </w:t>
      </w:r>
      <w:r w:rsidR="00D02302">
        <w:t>is not getting</w:t>
      </w:r>
      <w:r w:rsidRPr="002A43C0">
        <w:t xml:space="preserve"> off scot</w:t>
      </w:r>
      <w:r w:rsidRPr="002A43C0">
        <w:noBreakHyphen/>
        <w:t xml:space="preserve">free.  </w:t>
      </w:r>
      <w:r w:rsidR="00F60D1E">
        <w:t>At</w:t>
      </w:r>
      <w:r w:rsidRPr="002A43C0">
        <w:t xml:space="preserve"> oral argument</w:t>
      </w:r>
      <w:r w:rsidR="00F60D1E">
        <w:t xml:space="preserve">, the company represented </w:t>
      </w:r>
      <w:r w:rsidRPr="002A43C0">
        <w:t xml:space="preserve">that </w:t>
      </w:r>
      <w:proofErr w:type="gramStart"/>
      <w:r w:rsidRPr="002A43C0">
        <w:t>some</w:t>
      </w:r>
      <w:proofErr w:type="gramEnd"/>
      <w:r w:rsidRPr="002A43C0">
        <w:t xml:space="preserve"> 50,000 claimants have alleged in other litigation </w:t>
      </w:r>
      <w:r w:rsidR="00296B92">
        <w:t xml:space="preserve">that they suffered </w:t>
      </w:r>
      <w:r w:rsidRPr="002A43C0">
        <w:t xml:space="preserve">property damage </w:t>
      </w:r>
      <w:r w:rsidR="00AD5EDA">
        <w:t>caused by</w:t>
      </w:r>
      <w:r w:rsidRPr="002A43C0">
        <w:t xml:space="preserve"> the leak — several hundred of whom are local businesses.  </w:t>
      </w:r>
      <w:r w:rsidR="00F60D1E">
        <w:t>It</w:t>
      </w:r>
      <w:r w:rsidRPr="002A43C0">
        <w:t xml:space="preserve"> further </w:t>
      </w:r>
      <w:r w:rsidR="00F60D1E">
        <w:t>informed</w:t>
      </w:r>
      <w:r w:rsidRPr="002A43C0">
        <w:t xml:space="preserve"> us, and we have no reason to doubt, that the company has spent </w:t>
      </w:r>
      <w:proofErr w:type="gramStart"/>
      <w:r w:rsidRPr="002A43C0">
        <w:t>some</w:t>
      </w:r>
      <w:proofErr w:type="gramEnd"/>
      <w:r w:rsidRPr="002A43C0">
        <w:t xml:space="preserve"> $450 million on remedial measures and agreed to pay another $120 million as part of a settlement with local authorities.  SoCalGas</w:t>
      </w:r>
      <w:r w:rsidR="00C943CF">
        <w:t>,</w:t>
      </w:r>
      <w:r w:rsidRPr="002A43C0">
        <w:t xml:space="preserve"> </w:t>
      </w:r>
      <w:r w:rsidR="0042713E">
        <w:t>operating in a</w:t>
      </w:r>
      <w:r w:rsidRPr="002A43C0">
        <w:t xml:space="preserve"> heavily regulated </w:t>
      </w:r>
      <w:r w:rsidR="0042713E">
        <w:t>domain</w:t>
      </w:r>
      <w:r w:rsidR="00C943CF">
        <w:t>,</w:t>
      </w:r>
      <w:r w:rsidRPr="002A43C0">
        <w:t xml:space="preserve"> also remains under </w:t>
      </w:r>
      <w:r w:rsidRPr="002A43C0">
        <w:lastRenderedPageBreak/>
        <w:t>investigation</w:t>
      </w:r>
      <w:r w:rsidR="000A08E2">
        <w:t xml:space="preserve"> –– and may face further consequences</w:t>
      </w:r>
      <w:r w:rsidR="00AA1748">
        <w:t xml:space="preserve"> in the future</w:t>
      </w:r>
      <w:r w:rsidRPr="002A43C0">
        <w:t>.</w:t>
      </w:r>
    </w:p>
    <w:p w14:paraId="6B51FB17" w14:textId="77777777" w:rsidR="00167A43" w:rsidRPr="00167A43" w:rsidRDefault="00167A43" w:rsidP="00167A43">
      <w:pPr>
        <w:jc w:val="center"/>
        <w:rPr>
          <w:b/>
        </w:rPr>
      </w:pPr>
      <w:r w:rsidRPr="00167A43">
        <w:rPr>
          <w:b/>
        </w:rPr>
        <w:t>III.</w:t>
      </w:r>
    </w:p>
    <w:p w14:paraId="431A9738" w14:textId="14EA9D91" w:rsidR="00167A43" w:rsidRPr="00167A43" w:rsidRDefault="00090D96" w:rsidP="00167A43">
      <w:pPr>
        <w:ind w:firstLine="720"/>
      </w:pPr>
      <w:r>
        <w:t xml:space="preserve">Risks from industrial accidents </w:t>
      </w:r>
      <w:r w:rsidR="00C755D1">
        <w:t xml:space="preserve">raise </w:t>
      </w:r>
      <w:proofErr w:type="gramStart"/>
      <w:r w:rsidR="00C755D1">
        <w:t>grave concerns</w:t>
      </w:r>
      <w:proofErr w:type="gramEnd"/>
      <w:r w:rsidR="00C755D1">
        <w:t xml:space="preserve"> for society, and w</w:t>
      </w:r>
      <w:r w:rsidR="00C755D1" w:rsidRPr="00167A43">
        <w:t xml:space="preserve">e </w:t>
      </w:r>
      <w:r w:rsidR="00167A43" w:rsidRPr="00167A43">
        <w:t xml:space="preserve">have no doubt </w:t>
      </w:r>
      <w:r w:rsidR="00C755D1">
        <w:t xml:space="preserve">the accident precipitating this case caused </w:t>
      </w:r>
      <w:r w:rsidR="00167A43" w:rsidRPr="00167A43">
        <w:t>significant hardship</w:t>
      </w:r>
      <w:r w:rsidR="00C755D1">
        <w:t>s</w:t>
      </w:r>
      <w:r w:rsidR="00167A43" w:rsidRPr="00167A43">
        <w:t xml:space="preserve">.  </w:t>
      </w:r>
      <w:r w:rsidR="00C755D1">
        <w:t xml:space="preserve">To compensate those harmed and </w:t>
      </w:r>
      <w:r w:rsidR="00704A24">
        <w:t xml:space="preserve">to </w:t>
      </w:r>
      <w:r w:rsidR="00C755D1">
        <w:t>deter those who do the harming, our society assigns t</w:t>
      </w:r>
      <w:r w:rsidR="00C755D1" w:rsidRPr="00167A43">
        <w:t xml:space="preserve">ort </w:t>
      </w:r>
      <w:r w:rsidR="00C755D1">
        <w:t>law a pivotal role</w:t>
      </w:r>
      <w:r w:rsidR="00656F9E">
        <w:t xml:space="preserve">.  But that </w:t>
      </w:r>
      <w:r w:rsidR="00167A43" w:rsidRPr="00167A43">
        <w:t>does not mean society’s interests are best served by extending its scope indefinitely.  Meaningful limits on tort liability</w:t>
      </w:r>
      <w:r w:rsidR="00F22068">
        <w:t>,</w:t>
      </w:r>
      <w:r w:rsidR="00167A43" w:rsidRPr="00167A43">
        <w:t xml:space="preserve"> along with the incentives they set</w:t>
      </w:r>
      <w:r w:rsidR="00F22068">
        <w:t>,</w:t>
      </w:r>
      <w:r w:rsidR="00167A43" w:rsidRPr="00167A43">
        <w:t xml:space="preserve"> are crucial to the functioning of our economy and of our courts.  </w:t>
      </w:r>
      <w:r w:rsidR="00F233DE">
        <w:t>W</w:t>
      </w:r>
      <w:r w:rsidR="00167A43" w:rsidRPr="00167A43">
        <w:t xml:space="preserve">here </w:t>
      </w:r>
      <w:r w:rsidR="00F233DE">
        <w:t>such</w:t>
      </w:r>
      <w:r w:rsidR="00167A43" w:rsidRPr="00167A43">
        <w:t xml:space="preserve"> limits leave gaps in our social fabric, tort does not stand alone:  insurance also compensates, regulation also deters.  And where gaps persist, the Legislature can </w:t>
      </w:r>
      <w:r w:rsidR="00587475">
        <w:t>act</w:t>
      </w:r>
      <w:r w:rsidR="00275FAD">
        <w:t>.</w:t>
      </w:r>
    </w:p>
    <w:p w14:paraId="6E280E8A" w14:textId="6EDED9E4" w:rsidR="00167A43" w:rsidRPr="0063688E" w:rsidRDefault="00167A43" w:rsidP="00386D17">
      <w:pPr>
        <w:spacing w:after="0"/>
        <w:rPr>
          <w:sz w:val="22"/>
          <w:szCs w:val="22"/>
        </w:rPr>
      </w:pPr>
      <w:r w:rsidRPr="00167A43">
        <w:tab/>
        <w:t>The better part of a century has passed since then-Judge Cardozo warned that permitting recovery in negligence for purely economic losses can threaten indeterminacy-cubed</w:t>
      </w:r>
      <w:r w:rsidR="00395EEC">
        <w:t xml:space="preserve">:  </w:t>
      </w:r>
      <w:r w:rsidRPr="00167A43">
        <w:t>“liability in an indeterminate amount for an indeterminate time to an indeterminate class.”  (</w:t>
      </w:r>
      <w:proofErr w:type="spellStart"/>
      <w:r w:rsidRPr="00167A43">
        <w:rPr>
          <w:i/>
          <w:iCs/>
        </w:rPr>
        <w:t>Ultramares</w:t>
      </w:r>
      <w:proofErr w:type="spellEnd"/>
      <w:r w:rsidRPr="00167A43">
        <w:rPr>
          <w:i/>
          <w:iCs/>
        </w:rPr>
        <w:t xml:space="preserve"> Corp</w:t>
      </w:r>
      <w:r w:rsidR="00C76F8D">
        <w:rPr>
          <w:i/>
          <w:iCs/>
        </w:rPr>
        <w:t>.</w:t>
      </w:r>
      <w:r w:rsidRPr="00167A43">
        <w:rPr>
          <w:i/>
          <w:iCs/>
        </w:rPr>
        <w:t xml:space="preserve"> v. </w:t>
      </w:r>
      <w:proofErr w:type="spellStart"/>
      <w:r w:rsidRPr="00167A43">
        <w:rPr>
          <w:i/>
          <w:iCs/>
        </w:rPr>
        <w:t>Touche</w:t>
      </w:r>
      <w:proofErr w:type="spellEnd"/>
      <w:r w:rsidR="009F0C83">
        <w:t xml:space="preserve"> </w:t>
      </w:r>
      <w:r w:rsidRPr="00167A43">
        <w:t>(</w:t>
      </w:r>
      <w:r w:rsidR="009F0C83">
        <w:t>N.Y. </w:t>
      </w:r>
      <w:r w:rsidRPr="00167A43">
        <w:t xml:space="preserve">1931) 174 N.E. 441, 444.)  Courts across the country have since heeded that warning, by and large denying recovery in </w:t>
      </w:r>
      <w:r w:rsidR="001C03FB">
        <w:t xml:space="preserve">negligence </w:t>
      </w:r>
      <w:r w:rsidRPr="00167A43">
        <w:t xml:space="preserve">cases like this one even though purely economic </w:t>
      </w:r>
      <w:proofErr w:type="gramStart"/>
      <w:r w:rsidRPr="00167A43">
        <w:t>losses</w:t>
      </w:r>
      <w:proofErr w:type="gramEnd"/>
      <w:r w:rsidRPr="00167A43">
        <w:t xml:space="preserve"> inflict real pain.  That prevailing rule of no</w:t>
      </w:r>
      <w:r w:rsidR="008F29FB">
        <w:t xml:space="preserve"> </w:t>
      </w:r>
      <w:r w:rsidRPr="00167A43">
        <w:t>recovery is, like society itself, imperfect.  Yet nearly everyone follows a rule that few (if</w:t>
      </w:r>
      <w:r w:rsidR="00AF1AE8">
        <w:t> </w:t>
      </w:r>
      <w:r w:rsidRPr="00167A43">
        <w:t xml:space="preserve">any) entirely like.  California does, too.  </w:t>
      </w:r>
      <w:proofErr w:type="gramStart"/>
      <w:r w:rsidR="0023032B">
        <w:t>So</w:t>
      </w:r>
      <w:proofErr w:type="gramEnd"/>
      <w:r w:rsidR="0023032B">
        <w:t xml:space="preserve"> we</w:t>
      </w:r>
      <w:r w:rsidRPr="00167A43">
        <w:t xml:space="preserve"> affirm the Court of Appeal</w:t>
      </w:r>
      <w:r w:rsidR="00B857BA">
        <w:t>’s judgment</w:t>
      </w:r>
      <w:r w:rsidRPr="00167A43">
        <w:t>.</w:t>
      </w:r>
    </w:p>
    <w:p w14:paraId="77EA494D" w14:textId="77777777" w:rsidR="00F85FFA" w:rsidRPr="00386D17" w:rsidRDefault="00F85FFA" w:rsidP="00386D17">
      <w:pPr>
        <w:tabs>
          <w:tab w:val="left" w:pos="1440"/>
        </w:tabs>
        <w:spacing w:after="0" w:line="220" w:lineRule="exact"/>
        <w:ind w:firstLine="720"/>
        <w:rPr>
          <w:b/>
          <w:caps/>
          <w:sz w:val="23"/>
          <w:szCs w:val="23"/>
        </w:rPr>
      </w:pPr>
      <w:r w:rsidRPr="0063688E">
        <w:rPr>
          <w:b/>
          <w:caps/>
          <w:sz w:val="22"/>
          <w:szCs w:val="22"/>
        </w:rPr>
        <w:tab/>
      </w:r>
      <w:r w:rsidRPr="0063688E">
        <w:rPr>
          <w:b/>
          <w:caps/>
          <w:sz w:val="22"/>
          <w:szCs w:val="22"/>
        </w:rPr>
        <w:tab/>
      </w:r>
      <w:r w:rsidRPr="0063688E">
        <w:rPr>
          <w:b/>
          <w:caps/>
          <w:sz w:val="22"/>
          <w:szCs w:val="22"/>
        </w:rPr>
        <w:tab/>
      </w:r>
      <w:r w:rsidRPr="0063688E">
        <w:rPr>
          <w:b/>
          <w:caps/>
          <w:sz w:val="22"/>
          <w:szCs w:val="22"/>
        </w:rPr>
        <w:tab/>
      </w:r>
      <w:r w:rsidRPr="0063688E">
        <w:rPr>
          <w:b/>
          <w:caps/>
          <w:sz w:val="22"/>
          <w:szCs w:val="22"/>
        </w:rPr>
        <w:tab/>
      </w:r>
      <w:r w:rsidRPr="0063688E">
        <w:rPr>
          <w:b/>
          <w:caps/>
          <w:sz w:val="22"/>
          <w:szCs w:val="22"/>
        </w:rPr>
        <w:tab/>
      </w:r>
      <w:r w:rsidRPr="00386D17">
        <w:rPr>
          <w:b/>
          <w:caps/>
          <w:sz w:val="23"/>
          <w:szCs w:val="23"/>
        </w:rPr>
        <w:t>Cuéllar, J.</w:t>
      </w:r>
    </w:p>
    <w:p w14:paraId="295B50D3" w14:textId="171F99F5" w:rsidR="00F85FFA" w:rsidRPr="00386D17" w:rsidRDefault="00F85FFA" w:rsidP="0063688E">
      <w:pPr>
        <w:tabs>
          <w:tab w:val="left" w:pos="1440"/>
        </w:tabs>
        <w:spacing w:after="0" w:line="220" w:lineRule="exact"/>
        <w:rPr>
          <w:b/>
          <w:sz w:val="23"/>
          <w:szCs w:val="23"/>
        </w:rPr>
      </w:pPr>
      <w:r w:rsidRPr="00386D17">
        <w:rPr>
          <w:b/>
          <w:sz w:val="23"/>
          <w:szCs w:val="23"/>
        </w:rPr>
        <w:t>We Concur:</w:t>
      </w:r>
    </w:p>
    <w:p w14:paraId="26A687B0" w14:textId="77777777" w:rsidR="0063688E" w:rsidRPr="00386D17" w:rsidRDefault="0063688E" w:rsidP="0063688E">
      <w:pPr>
        <w:tabs>
          <w:tab w:val="left" w:pos="1440"/>
        </w:tabs>
        <w:spacing w:after="0" w:line="220" w:lineRule="exact"/>
        <w:rPr>
          <w:b/>
          <w:caps/>
          <w:sz w:val="23"/>
          <w:szCs w:val="23"/>
        </w:rPr>
      </w:pPr>
      <w:r w:rsidRPr="00386D17">
        <w:rPr>
          <w:b/>
          <w:caps/>
          <w:sz w:val="23"/>
          <w:szCs w:val="23"/>
        </w:rPr>
        <w:t>Cantil-Sakauye, C. J.</w:t>
      </w:r>
    </w:p>
    <w:p w14:paraId="5DB0272E" w14:textId="77777777" w:rsidR="0063688E" w:rsidRPr="00386D17" w:rsidRDefault="0063688E" w:rsidP="0063688E">
      <w:pPr>
        <w:tabs>
          <w:tab w:val="left" w:pos="1440"/>
        </w:tabs>
        <w:spacing w:after="0" w:line="220" w:lineRule="exact"/>
        <w:rPr>
          <w:b/>
          <w:caps/>
          <w:sz w:val="23"/>
          <w:szCs w:val="23"/>
        </w:rPr>
      </w:pPr>
      <w:r w:rsidRPr="00386D17">
        <w:rPr>
          <w:b/>
          <w:caps/>
          <w:sz w:val="23"/>
          <w:szCs w:val="23"/>
        </w:rPr>
        <w:t>Chin, J.</w:t>
      </w:r>
    </w:p>
    <w:p w14:paraId="49DBEB0C" w14:textId="77777777" w:rsidR="0063688E" w:rsidRPr="00386D17" w:rsidRDefault="0063688E" w:rsidP="0063688E">
      <w:pPr>
        <w:tabs>
          <w:tab w:val="left" w:pos="1440"/>
        </w:tabs>
        <w:spacing w:after="0" w:line="220" w:lineRule="exact"/>
        <w:rPr>
          <w:b/>
          <w:caps/>
          <w:sz w:val="23"/>
          <w:szCs w:val="23"/>
        </w:rPr>
      </w:pPr>
      <w:r w:rsidRPr="00386D17">
        <w:rPr>
          <w:b/>
          <w:caps/>
          <w:sz w:val="23"/>
          <w:szCs w:val="23"/>
        </w:rPr>
        <w:t>Corrigan, J.</w:t>
      </w:r>
    </w:p>
    <w:p w14:paraId="14D51550" w14:textId="77777777" w:rsidR="0063688E" w:rsidRPr="00386D17" w:rsidRDefault="0063688E" w:rsidP="0063688E">
      <w:pPr>
        <w:tabs>
          <w:tab w:val="left" w:pos="1440"/>
        </w:tabs>
        <w:spacing w:after="0" w:line="220" w:lineRule="exact"/>
        <w:rPr>
          <w:b/>
          <w:caps/>
          <w:sz w:val="23"/>
          <w:szCs w:val="23"/>
        </w:rPr>
      </w:pPr>
      <w:r w:rsidRPr="00386D17">
        <w:rPr>
          <w:b/>
          <w:caps/>
          <w:sz w:val="23"/>
          <w:szCs w:val="23"/>
        </w:rPr>
        <w:t>Liu, J.</w:t>
      </w:r>
    </w:p>
    <w:p w14:paraId="4D9F4B65" w14:textId="77777777" w:rsidR="0063688E" w:rsidRPr="00386D17" w:rsidRDefault="0063688E" w:rsidP="0063688E">
      <w:pPr>
        <w:tabs>
          <w:tab w:val="left" w:pos="1440"/>
        </w:tabs>
        <w:spacing w:after="0" w:line="220" w:lineRule="exact"/>
        <w:rPr>
          <w:b/>
          <w:caps/>
          <w:sz w:val="23"/>
          <w:szCs w:val="23"/>
        </w:rPr>
      </w:pPr>
      <w:r w:rsidRPr="00386D17">
        <w:rPr>
          <w:b/>
          <w:caps/>
          <w:sz w:val="23"/>
          <w:szCs w:val="23"/>
        </w:rPr>
        <w:t>Kruger, J.</w:t>
      </w:r>
    </w:p>
    <w:p w14:paraId="6F2BC8EE" w14:textId="77777777" w:rsidR="005C49FF" w:rsidRDefault="0063688E" w:rsidP="0063688E">
      <w:pPr>
        <w:tabs>
          <w:tab w:val="left" w:pos="1440"/>
        </w:tabs>
        <w:spacing w:after="0" w:line="220" w:lineRule="exact"/>
        <w:rPr>
          <w:b/>
          <w:caps/>
          <w:sz w:val="23"/>
          <w:szCs w:val="23"/>
        </w:rPr>
        <w:sectPr w:rsidR="005C49FF" w:rsidSect="00E33DB4">
          <w:footerReference w:type="first" r:id="rId9"/>
          <w:pgSz w:w="12240" w:h="15840"/>
          <w:pgMar w:top="1800" w:right="2160" w:bottom="1440" w:left="2160" w:header="720" w:footer="720" w:gutter="0"/>
          <w:pgNumType w:start="1"/>
          <w:cols w:space="720"/>
          <w:titlePg/>
          <w:docGrid w:linePitch="367"/>
        </w:sectPr>
      </w:pPr>
      <w:r w:rsidRPr="00386D17">
        <w:rPr>
          <w:b/>
          <w:caps/>
          <w:sz w:val="23"/>
          <w:szCs w:val="23"/>
        </w:rPr>
        <w:t>Groban, j.</w:t>
      </w:r>
    </w:p>
    <w:p w14:paraId="68D38102" w14:textId="77777777" w:rsidR="005C49FF" w:rsidRPr="005C49FF" w:rsidRDefault="005C49FF" w:rsidP="005C49FF">
      <w:pPr>
        <w:spacing w:after="0" w:line="240" w:lineRule="auto"/>
        <w:jc w:val="left"/>
        <w:rPr>
          <w:rFonts w:ascii="Times New Roman" w:hAnsi="Times New Roman"/>
          <w:i/>
          <w:sz w:val="20"/>
        </w:rPr>
      </w:pPr>
      <w:r w:rsidRPr="005C49FF">
        <w:rPr>
          <w:rFonts w:ascii="Times New Roman" w:hAnsi="Times New Roman"/>
          <w:i/>
          <w:sz w:val="20"/>
        </w:rPr>
        <w:lastRenderedPageBreak/>
        <w:t>See last page for addresses and telephone numbers for counsel who argued in Supreme Court.</w:t>
      </w:r>
    </w:p>
    <w:p w14:paraId="1509231D" w14:textId="77777777" w:rsidR="005C49FF" w:rsidRPr="005C49FF" w:rsidRDefault="005C49FF" w:rsidP="005C49FF">
      <w:pPr>
        <w:spacing w:after="0" w:line="240" w:lineRule="auto"/>
        <w:jc w:val="left"/>
        <w:rPr>
          <w:rFonts w:ascii="Times New Roman" w:hAnsi="Times New Roman"/>
          <w:i/>
          <w:sz w:val="20"/>
        </w:rPr>
      </w:pPr>
    </w:p>
    <w:p w14:paraId="1A94CCE7" w14:textId="77777777" w:rsidR="005C49FF" w:rsidRPr="005C49FF" w:rsidRDefault="005C49FF" w:rsidP="005C49FF">
      <w:pPr>
        <w:spacing w:after="0" w:line="240" w:lineRule="auto"/>
        <w:jc w:val="left"/>
        <w:rPr>
          <w:rFonts w:ascii="Times New Roman" w:hAnsi="Times New Roman"/>
          <w:bCs/>
          <w:i/>
          <w:sz w:val="20"/>
        </w:rPr>
      </w:pPr>
      <w:r w:rsidRPr="005C49FF">
        <w:rPr>
          <w:rFonts w:ascii="Times New Roman" w:hAnsi="Times New Roman"/>
          <w:b/>
          <w:sz w:val="20"/>
        </w:rPr>
        <w:t>Name of Opinion</w:t>
      </w:r>
      <w:r w:rsidRPr="005C49FF">
        <w:rPr>
          <w:rFonts w:ascii="Times New Roman" w:hAnsi="Times New Roman"/>
          <w:sz w:val="20"/>
        </w:rPr>
        <w:t xml:space="preserve"> Southern California Gas Leak Cases</w:t>
      </w:r>
    </w:p>
    <w:p w14:paraId="59858AB0"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__________________________________________________________________________________</w:t>
      </w:r>
    </w:p>
    <w:p w14:paraId="73267ACB" w14:textId="77777777" w:rsidR="005C49FF" w:rsidRPr="005C49FF" w:rsidRDefault="005C49FF" w:rsidP="005C49FF">
      <w:pPr>
        <w:spacing w:after="0" w:line="240" w:lineRule="auto"/>
        <w:jc w:val="left"/>
        <w:rPr>
          <w:rFonts w:ascii="Times New Roman" w:hAnsi="Times New Roman"/>
          <w:b/>
          <w:sz w:val="20"/>
        </w:rPr>
      </w:pPr>
    </w:p>
    <w:p w14:paraId="2641BD6D" w14:textId="77777777" w:rsidR="005C49FF" w:rsidRPr="005C49FF" w:rsidRDefault="005C49FF" w:rsidP="005C49FF">
      <w:pPr>
        <w:spacing w:after="0" w:line="240" w:lineRule="auto"/>
        <w:jc w:val="left"/>
        <w:rPr>
          <w:rFonts w:ascii="Times New Roman" w:hAnsi="Times New Roman"/>
          <w:bCs/>
          <w:sz w:val="20"/>
        </w:rPr>
      </w:pPr>
      <w:r w:rsidRPr="005C49FF">
        <w:rPr>
          <w:rFonts w:ascii="Times New Roman" w:hAnsi="Times New Roman"/>
          <w:b/>
          <w:sz w:val="20"/>
        </w:rPr>
        <w:t>Unpublished Opinion</w:t>
      </w:r>
    </w:p>
    <w:p w14:paraId="430CC5DB"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b/>
          <w:sz w:val="20"/>
        </w:rPr>
        <w:t>Original Appeal</w:t>
      </w:r>
    </w:p>
    <w:p w14:paraId="5C0F326E"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Original Proceeding</w:t>
      </w:r>
    </w:p>
    <w:p w14:paraId="4E0E97ED"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b/>
          <w:sz w:val="20"/>
        </w:rPr>
        <w:t>Review Granted</w:t>
      </w:r>
      <w:r w:rsidRPr="005C49FF">
        <w:rPr>
          <w:rFonts w:ascii="Times New Roman" w:hAnsi="Times New Roman"/>
          <w:sz w:val="20"/>
        </w:rPr>
        <w:t xml:space="preserve"> XXX 18 Cal.App.5th 581</w:t>
      </w:r>
    </w:p>
    <w:p w14:paraId="20E74381"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Rehearing Granted</w:t>
      </w:r>
    </w:p>
    <w:p w14:paraId="63156E9F" w14:textId="77777777" w:rsidR="005C49FF" w:rsidRPr="005C49FF" w:rsidRDefault="005C49FF" w:rsidP="005C49FF">
      <w:pPr>
        <w:spacing w:after="0" w:line="240" w:lineRule="auto"/>
        <w:jc w:val="left"/>
        <w:rPr>
          <w:rFonts w:ascii="Times New Roman" w:hAnsi="Times New Roman"/>
          <w:b/>
          <w:sz w:val="20"/>
        </w:rPr>
      </w:pPr>
    </w:p>
    <w:p w14:paraId="4841C3E5"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__________________________________________________________________________________</w:t>
      </w:r>
    </w:p>
    <w:p w14:paraId="1E0504E1" w14:textId="77777777" w:rsidR="005C49FF" w:rsidRPr="005C49FF" w:rsidRDefault="005C49FF" w:rsidP="005C49FF">
      <w:pPr>
        <w:spacing w:after="0" w:line="240" w:lineRule="auto"/>
        <w:jc w:val="left"/>
        <w:rPr>
          <w:rFonts w:ascii="Times New Roman" w:hAnsi="Times New Roman"/>
          <w:b/>
          <w:sz w:val="20"/>
        </w:rPr>
      </w:pPr>
    </w:p>
    <w:p w14:paraId="4198F9AA" w14:textId="77777777" w:rsidR="005C49FF" w:rsidRPr="005C49FF" w:rsidRDefault="005C49FF" w:rsidP="005C49FF">
      <w:pPr>
        <w:spacing w:after="0" w:line="240" w:lineRule="auto"/>
        <w:jc w:val="left"/>
        <w:rPr>
          <w:rFonts w:ascii="Times New Roman" w:hAnsi="Times New Roman"/>
          <w:bCs/>
          <w:sz w:val="20"/>
        </w:rPr>
      </w:pPr>
      <w:r w:rsidRPr="005C49FF">
        <w:rPr>
          <w:rFonts w:ascii="Times New Roman" w:hAnsi="Times New Roman"/>
          <w:b/>
          <w:sz w:val="20"/>
        </w:rPr>
        <w:t>Opinion No.</w:t>
      </w:r>
      <w:r w:rsidRPr="005C49FF">
        <w:rPr>
          <w:rFonts w:ascii="Times New Roman" w:hAnsi="Times New Roman"/>
          <w:sz w:val="20"/>
        </w:rPr>
        <w:t xml:space="preserve"> S246669</w:t>
      </w:r>
    </w:p>
    <w:p w14:paraId="24AEC501" w14:textId="77777777" w:rsidR="005C49FF" w:rsidRPr="005C49FF" w:rsidRDefault="005C49FF" w:rsidP="005C49FF">
      <w:pPr>
        <w:spacing w:after="0" w:line="240" w:lineRule="auto"/>
        <w:jc w:val="left"/>
        <w:rPr>
          <w:rFonts w:ascii="Times New Roman" w:hAnsi="Times New Roman"/>
          <w:bCs/>
          <w:sz w:val="20"/>
        </w:rPr>
      </w:pPr>
      <w:r w:rsidRPr="005C49FF">
        <w:rPr>
          <w:rFonts w:ascii="Times New Roman" w:hAnsi="Times New Roman"/>
          <w:b/>
          <w:sz w:val="20"/>
        </w:rPr>
        <w:t>Date Filed:</w:t>
      </w:r>
      <w:r w:rsidRPr="005C49FF">
        <w:rPr>
          <w:rFonts w:ascii="Times New Roman" w:hAnsi="Times New Roman"/>
          <w:sz w:val="20"/>
        </w:rPr>
        <w:t xml:space="preserve"> May 30, 2019</w:t>
      </w:r>
    </w:p>
    <w:p w14:paraId="5FC86D76"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__________________________________________________________________________________</w:t>
      </w:r>
    </w:p>
    <w:p w14:paraId="271C2741" w14:textId="77777777" w:rsidR="005C49FF" w:rsidRPr="005C49FF" w:rsidRDefault="005C49FF" w:rsidP="005C49FF">
      <w:pPr>
        <w:spacing w:after="0" w:line="240" w:lineRule="auto"/>
        <w:jc w:val="left"/>
        <w:rPr>
          <w:rFonts w:ascii="Times New Roman" w:hAnsi="Times New Roman"/>
          <w:b/>
          <w:sz w:val="20"/>
        </w:rPr>
      </w:pPr>
    </w:p>
    <w:p w14:paraId="7E1AA4DA" w14:textId="77777777" w:rsidR="005C49FF" w:rsidRPr="005C49FF" w:rsidRDefault="005C49FF" w:rsidP="005C49FF">
      <w:pPr>
        <w:spacing w:after="0" w:line="240" w:lineRule="auto"/>
        <w:jc w:val="left"/>
        <w:rPr>
          <w:rFonts w:ascii="Times New Roman" w:hAnsi="Times New Roman"/>
          <w:bCs/>
          <w:sz w:val="20"/>
        </w:rPr>
      </w:pPr>
      <w:r w:rsidRPr="005C49FF">
        <w:rPr>
          <w:rFonts w:ascii="Times New Roman" w:hAnsi="Times New Roman"/>
          <w:b/>
          <w:sz w:val="20"/>
        </w:rPr>
        <w:t>Court:</w:t>
      </w:r>
      <w:r w:rsidRPr="005C49FF">
        <w:rPr>
          <w:rFonts w:ascii="Times New Roman" w:hAnsi="Times New Roman"/>
          <w:sz w:val="20"/>
        </w:rPr>
        <w:t xml:space="preserve"> Superior</w:t>
      </w:r>
    </w:p>
    <w:p w14:paraId="5F3340E5" w14:textId="77777777" w:rsidR="005C49FF" w:rsidRPr="005C49FF" w:rsidRDefault="005C49FF" w:rsidP="005C49FF">
      <w:pPr>
        <w:spacing w:after="0" w:line="240" w:lineRule="auto"/>
        <w:jc w:val="left"/>
        <w:rPr>
          <w:rFonts w:ascii="Times New Roman" w:hAnsi="Times New Roman"/>
          <w:bCs/>
          <w:sz w:val="20"/>
        </w:rPr>
      </w:pPr>
      <w:r w:rsidRPr="005C49FF">
        <w:rPr>
          <w:rFonts w:ascii="Times New Roman" w:hAnsi="Times New Roman"/>
          <w:b/>
          <w:sz w:val="20"/>
        </w:rPr>
        <w:t>County:</w:t>
      </w:r>
      <w:r w:rsidRPr="005C49FF">
        <w:rPr>
          <w:rFonts w:ascii="Times New Roman" w:hAnsi="Times New Roman"/>
          <w:sz w:val="20"/>
        </w:rPr>
        <w:t xml:space="preserve"> Los Angeles</w:t>
      </w:r>
    </w:p>
    <w:p w14:paraId="4C4D7B37" w14:textId="77777777" w:rsidR="005C49FF" w:rsidRPr="005C49FF" w:rsidRDefault="005C49FF" w:rsidP="005C49FF">
      <w:pPr>
        <w:spacing w:after="0" w:line="240" w:lineRule="auto"/>
        <w:ind w:left="720" w:hanging="720"/>
        <w:jc w:val="left"/>
        <w:rPr>
          <w:rFonts w:ascii="Times New Roman" w:hAnsi="Times New Roman"/>
          <w:bCs/>
          <w:sz w:val="20"/>
        </w:rPr>
      </w:pPr>
      <w:r w:rsidRPr="005C49FF">
        <w:rPr>
          <w:rFonts w:ascii="Times New Roman" w:hAnsi="Times New Roman"/>
          <w:b/>
          <w:sz w:val="20"/>
        </w:rPr>
        <w:t>Judge:</w:t>
      </w:r>
      <w:r w:rsidRPr="005C49FF">
        <w:rPr>
          <w:rFonts w:ascii="Times New Roman" w:hAnsi="Times New Roman"/>
          <w:sz w:val="20"/>
        </w:rPr>
        <w:t xml:space="preserve"> John Shepard Wiley, Jr.</w:t>
      </w:r>
    </w:p>
    <w:p w14:paraId="537CC7A5" w14:textId="77777777" w:rsidR="005C49FF" w:rsidRPr="005C49FF" w:rsidRDefault="005C49FF" w:rsidP="005C49FF">
      <w:pPr>
        <w:spacing w:after="0" w:line="240" w:lineRule="auto"/>
        <w:jc w:val="left"/>
        <w:rPr>
          <w:rFonts w:ascii="Times New Roman" w:hAnsi="Times New Roman"/>
          <w:b/>
          <w:sz w:val="20"/>
        </w:rPr>
      </w:pPr>
    </w:p>
    <w:p w14:paraId="7503D689"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__________________________________________________________________________________</w:t>
      </w:r>
    </w:p>
    <w:p w14:paraId="2F4A3E8E" w14:textId="77777777" w:rsidR="005C49FF" w:rsidRPr="005C49FF" w:rsidRDefault="005C49FF" w:rsidP="005C49FF">
      <w:pPr>
        <w:spacing w:after="0" w:line="240" w:lineRule="auto"/>
        <w:jc w:val="left"/>
        <w:rPr>
          <w:rFonts w:ascii="Times New Roman" w:hAnsi="Times New Roman"/>
          <w:b/>
          <w:sz w:val="20"/>
        </w:rPr>
      </w:pPr>
    </w:p>
    <w:p w14:paraId="4E4E9FEE"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Counsel:</w:t>
      </w:r>
    </w:p>
    <w:p w14:paraId="395A5F34" w14:textId="77777777" w:rsidR="005C49FF" w:rsidRPr="005C49FF" w:rsidRDefault="005C49FF" w:rsidP="005C49FF">
      <w:pPr>
        <w:spacing w:after="0" w:line="240" w:lineRule="auto"/>
        <w:jc w:val="left"/>
        <w:rPr>
          <w:rFonts w:ascii="Times New Roman" w:hAnsi="Times New Roman"/>
          <w:b/>
          <w:sz w:val="20"/>
        </w:rPr>
      </w:pPr>
    </w:p>
    <w:p w14:paraId="5B031D63"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 xml:space="preserve">Morgan, Lewis &amp; Bockius, James J. </w:t>
      </w:r>
      <w:proofErr w:type="spellStart"/>
      <w:r w:rsidRPr="005C49FF">
        <w:rPr>
          <w:rFonts w:ascii="Times New Roman" w:hAnsi="Times New Roman"/>
          <w:sz w:val="20"/>
        </w:rPr>
        <w:t>Dragna</w:t>
      </w:r>
      <w:proofErr w:type="spellEnd"/>
      <w:r w:rsidRPr="005C49FF">
        <w:rPr>
          <w:rFonts w:ascii="Times New Roman" w:hAnsi="Times New Roman"/>
          <w:sz w:val="20"/>
        </w:rPr>
        <w:t xml:space="preserve">, David L. Schrader, </w:t>
      </w:r>
      <w:proofErr w:type="spellStart"/>
      <w:r w:rsidRPr="005C49FF">
        <w:rPr>
          <w:rFonts w:ascii="Times New Roman" w:hAnsi="Times New Roman"/>
          <w:sz w:val="20"/>
        </w:rPr>
        <w:t>Yardena</w:t>
      </w:r>
      <w:proofErr w:type="spellEnd"/>
      <w:r w:rsidRPr="005C49FF">
        <w:rPr>
          <w:rFonts w:ascii="Times New Roman" w:hAnsi="Times New Roman"/>
          <w:sz w:val="20"/>
        </w:rPr>
        <w:t xml:space="preserve"> R. </w:t>
      </w:r>
      <w:proofErr w:type="spellStart"/>
      <w:r w:rsidRPr="005C49FF">
        <w:rPr>
          <w:rFonts w:ascii="Times New Roman" w:hAnsi="Times New Roman"/>
          <w:sz w:val="20"/>
        </w:rPr>
        <w:t>Zwang</w:t>
      </w:r>
      <w:proofErr w:type="spellEnd"/>
      <w:r w:rsidRPr="005C49FF">
        <w:rPr>
          <w:rFonts w:ascii="Times New Roman" w:hAnsi="Times New Roman"/>
          <w:sz w:val="20"/>
        </w:rPr>
        <w:t xml:space="preserve">-Weissman; Quinn Emmanuel Urquhart &amp; Sullivan, Kathleen M. </w:t>
      </w:r>
      <w:proofErr w:type="gramStart"/>
      <w:r w:rsidRPr="005C49FF">
        <w:rPr>
          <w:rFonts w:ascii="Times New Roman" w:hAnsi="Times New Roman"/>
          <w:sz w:val="20"/>
        </w:rPr>
        <w:t>Sullivan</w:t>
      </w:r>
      <w:proofErr w:type="gramEnd"/>
      <w:r w:rsidRPr="005C49FF">
        <w:rPr>
          <w:rFonts w:ascii="Times New Roman" w:hAnsi="Times New Roman"/>
          <w:sz w:val="20"/>
        </w:rPr>
        <w:t xml:space="preserve"> and Daniel H. Bromberg for Petitioner.</w:t>
      </w:r>
    </w:p>
    <w:p w14:paraId="218B5474" w14:textId="77777777" w:rsidR="005C49FF" w:rsidRPr="005C49FF" w:rsidRDefault="005C49FF" w:rsidP="005C49FF">
      <w:pPr>
        <w:spacing w:after="0" w:line="240" w:lineRule="auto"/>
        <w:jc w:val="left"/>
        <w:rPr>
          <w:rFonts w:ascii="Times New Roman" w:hAnsi="Times New Roman"/>
          <w:sz w:val="20"/>
        </w:rPr>
      </w:pPr>
    </w:p>
    <w:p w14:paraId="7933B8C9"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Horvitz &amp; Levy, Jeremy B. Rosen, Eric S. Boorstin and Yen-</w:t>
      </w:r>
      <w:proofErr w:type="spellStart"/>
      <w:r w:rsidRPr="005C49FF">
        <w:rPr>
          <w:rFonts w:ascii="Times New Roman" w:hAnsi="Times New Roman"/>
          <w:sz w:val="20"/>
        </w:rPr>
        <w:t>Shyang</w:t>
      </w:r>
      <w:proofErr w:type="spellEnd"/>
      <w:r w:rsidRPr="005C49FF">
        <w:rPr>
          <w:rFonts w:ascii="Times New Roman" w:hAnsi="Times New Roman"/>
          <w:sz w:val="20"/>
        </w:rPr>
        <w:t xml:space="preserve"> Tseng for Chamber of Commerce of the United States, California Chamber of Commerce, American Insurance Association and Property Casualty Insurers Association of America as Amici Curiae on behalf of Petitioner.</w:t>
      </w:r>
    </w:p>
    <w:p w14:paraId="5044DE45" w14:textId="77777777" w:rsidR="005C49FF" w:rsidRPr="005C49FF" w:rsidRDefault="005C49FF" w:rsidP="005C49FF">
      <w:pPr>
        <w:spacing w:after="0" w:line="240" w:lineRule="auto"/>
        <w:jc w:val="left"/>
        <w:rPr>
          <w:rFonts w:ascii="Times New Roman" w:hAnsi="Times New Roman"/>
          <w:sz w:val="20"/>
        </w:rPr>
      </w:pPr>
    </w:p>
    <w:p w14:paraId="7D0FE297" w14:textId="77777777" w:rsidR="005C49FF" w:rsidRPr="005C49FF" w:rsidRDefault="005C49FF" w:rsidP="005C49FF">
      <w:pPr>
        <w:spacing w:after="0" w:line="240" w:lineRule="auto"/>
        <w:jc w:val="left"/>
        <w:rPr>
          <w:rFonts w:ascii="Times New Roman" w:hAnsi="Times New Roman"/>
          <w:sz w:val="20"/>
        </w:rPr>
      </w:pPr>
      <w:proofErr w:type="spellStart"/>
      <w:r w:rsidRPr="005C49FF">
        <w:rPr>
          <w:rFonts w:ascii="Times New Roman" w:hAnsi="Times New Roman"/>
          <w:sz w:val="20"/>
        </w:rPr>
        <w:t>Hueston</w:t>
      </w:r>
      <w:proofErr w:type="spellEnd"/>
      <w:r w:rsidRPr="005C49FF">
        <w:rPr>
          <w:rFonts w:ascii="Times New Roman" w:hAnsi="Times New Roman"/>
          <w:sz w:val="20"/>
        </w:rPr>
        <w:t xml:space="preserve"> Hennigan, John C. </w:t>
      </w:r>
      <w:proofErr w:type="spellStart"/>
      <w:r w:rsidRPr="005C49FF">
        <w:rPr>
          <w:rFonts w:ascii="Times New Roman" w:hAnsi="Times New Roman"/>
          <w:sz w:val="20"/>
        </w:rPr>
        <w:t>Hueston</w:t>
      </w:r>
      <w:proofErr w:type="spellEnd"/>
      <w:r w:rsidRPr="005C49FF">
        <w:rPr>
          <w:rFonts w:ascii="Times New Roman" w:hAnsi="Times New Roman"/>
          <w:sz w:val="20"/>
        </w:rPr>
        <w:t xml:space="preserve">, </w:t>
      </w:r>
      <w:proofErr w:type="spellStart"/>
      <w:r w:rsidRPr="005C49FF">
        <w:rPr>
          <w:rFonts w:ascii="Times New Roman" w:hAnsi="Times New Roman"/>
          <w:sz w:val="20"/>
        </w:rPr>
        <w:t>Moez</w:t>
      </w:r>
      <w:proofErr w:type="spellEnd"/>
      <w:r w:rsidRPr="005C49FF">
        <w:rPr>
          <w:rFonts w:ascii="Times New Roman" w:hAnsi="Times New Roman"/>
          <w:sz w:val="20"/>
        </w:rPr>
        <w:t xml:space="preserve"> M. </w:t>
      </w:r>
      <w:proofErr w:type="spellStart"/>
      <w:r w:rsidRPr="005C49FF">
        <w:rPr>
          <w:rFonts w:ascii="Times New Roman" w:hAnsi="Times New Roman"/>
          <w:sz w:val="20"/>
        </w:rPr>
        <w:t>Kaba</w:t>
      </w:r>
      <w:proofErr w:type="spellEnd"/>
      <w:r w:rsidRPr="005C49FF">
        <w:rPr>
          <w:rFonts w:ascii="Times New Roman" w:hAnsi="Times New Roman"/>
          <w:sz w:val="20"/>
        </w:rPr>
        <w:t xml:space="preserve"> and Douglas J. Dixon for Southern California Edison Company, Pacific Gas &amp; Electric Company, Southwest Gas Corporation, Edison Electric Institute and American Gas Association as Amici Curiae on behalf of Petitioner.</w:t>
      </w:r>
    </w:p>
    <w:p w14:paraId="6574BFC7" w14:textId="77777777" w:rsidR="005C49FF" w:rsidRPr="005C49FF" w:rsidRDefault="005C49FF" w:rsidP="005C49FF">
      <w:pPr>
        <w:spacing w:after="0" w:line="240" w:lineRule="auto"/>
        <w:jc w:val="left"/>
        <w:rPr>
          <w:rFonts w:ascii="Times New Roman" w:hAnsi="Times New Roman"/>
          <w:sz w:val="20"/>
        </w:rPr>
      </w:pPr>
    </w:p>
    <w:p w14:paraId="4AEE181F"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 xml:space="preserve">Munger, </w:t>
      </w:r>
      <w:proofErr w:type="spellStart"/>
      <w:r w:rsidRPr="005C49FF">
        <w:rPr>
          <w:rFonts w:ascii="Times New Roman" w:hAnsi="Times New Roman"/>
          <w:sz w:val="20"/>
        </w:rPr>
        <w:t>Tolles</w:t>
      </w:r>
      <w:proofErr w:type="spellEnd"/>
      <w:r w:rsidRPr="005C49FF">
        <w:rPr>
          <w:rFonts w:ascii="Times New Roman" w:hAnsi="Times New Roman"/>
          <w:sz w:val="20"/>
        </w:rPr>
        <w:t xml:space="preserve"> &amp; Olson, Henry </w:t>
      </w:r>
      <w:proofErr w:type="spellStart"/>
      <w:r w:rsidRPr="005C49FF">
        <w:rPr>
          <w:rFonts w:ascii="Times New Roman" w:hAnsi="Times New Roman"/>
          <w:sz w:val="20"/>
        </w:rPr>
        <w:t>Weissmann</w:t>
      </w:r>
      <w:proofErr w:type="spellEnd"/>
      <w:r w:rsidRPr="005C49FF">
        <w:rPr>
          <w:rFonts w:ascii="Times New Roman" w:hAnsi="Times New Roman"/>
          <w:sz w:val="20"/>
        </w:rPr>
        <w:t xml:space="preserve"> and Fred A. Rowley, Jr., for Plains All American Pipeline, L.P., the Association of Oil Pipe </w:t>
      </w:r>
      <w:proofErr w:type="gramStart"/>
      <w:r w:rsidRPr="005C49FF">
        <w:rPr>
          <w:rFonts w:ascii="Times New Roman" w:hAnsi="Times New Roman"/>
          <w:sz w:val="20"/>
        </w:rPr>
        <w:t>Lines</w:t>
      </w:r>
      <w:proofErr w:type="gramEnd"/>
      <w:r w:rsidRPr="005C49FF">
        <w:rPr>
          <w:rFonts w:ascii="Times New Roman" w:hAnsi="Times New Roman"/>
          <w:sz w:val="20"/>
        </w:rPr>
        <w:t xml:space="preserve"> and the Western States Petroleum Association as Amici Curiae on behalf of Petitioner.</w:t>
      </w:r>
    </w:p>
    <w:p w14:paraId="2B204D82" w14:textId="77777777" w:rsidR="005C49FF" w:rsidRPr="005C49FF" w:rsidRDefault="005C49FF" w:rsidP="005C49FF">
      <w:pPr>
        <w:spacing w:after="0" w:line="240" w:lineRule="auto"/>
        <w:jc w:val="left"/>
        <w:rPr>
          <w:rFonts w:ascii="Times New Roman" w:hAnsi="Times New Roman"/>
          <w:sz w:val="20"/>
        </w:rPr>
      </w:pPr>
    </w:p>
    <w:p w14:paraId="114A2B74"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 xml:space="preserve">Mark P. </w:t>
      </w:r>
      <w:proofErr w:type="spellStart"/>
      <w:r w:rsidRPr="005C49FF">
        <w:rPr>
          <w:rFonts w:ascii="Times New Roman" w:hAnsi="Times New Roman"/>
          <w:sz w:val="20"/>
        </w:rPr>
        <w:t>Gergen</w:t>
      </w:r>
      <w:proofErr w:type="spellEnd"/>
      <w:r w:rsidRPr="005C49FF">
        <w:rPr>
          <w:rFonts w:ascii="Times New Roman" w:hAnsi="Times New Roman"/>
          <w:sz w:val="20"/>
        </w:rPr>
        <w:t>; Reed Smith and Raymond A. Cardozo for California Tort Law Scholars as Amicus Curiae on behalf of Petitioner.</w:t>
      </w:r>
    </w:p>
    <w:p w14:paraId="6571AF98" w14:textId="77777777" w:rsidR="005C49FF" w:rsidRPr="005C49FF" w:rsidRDefault="005C49FF" w:rsidP="005C49FF">
      <w:pPr>
        <w:spacing w:after="0" w:line="240" w:lineRule="auto"/>
        <w:jc w:val="left"/>
        <w:rPr>
          <w:rFonts w:ascii="Times New Roman" w:hAnsi="Times New Roman"/>
          <w:sz w:val="20"/>
        </w:rPr>
      </w:pPr>
    </w:p>
    <w:p w14:paraId="556A4BBC"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 xml:space="preserve">Fred J. </w:t>
      </w:r>
      <w:proofErr w:type="spellStart"/>
      <w:r w:rsidRPr="005C49FF">
        <w:rPr>
          <w:rFonts w:ascii="Times New Roman" w:hAnsi="Times New Roman"/>
          <w:sz w:val="20"/>
        </w:rPr>
        <w:t>Hiestand</w:t>
      </w:r>
      <w:proofErr w:type="spellEnd"/>
      <w:r w:rsidRPr="005C49FF">
        <w:rPr>
          <w:rFonts w:ascii="Times New Roman" w:hAnsi="Times New Roman"/>
          <w:sz w:val="20"/>
        </w:rPr>
        <w:t xml:space="preserve"> for The Civil Justice Association of California as Amicus Curiae on behalf of Petitioner.</w:t>
      </w:r>
    </w:p>
    <w:p w14:paraId="69E84C40" w14:textId="77777777" w:rsidR="005C49FF" w:rsidRPr="005C49FF" w:rsidRDefault="005C49FF" w:rsidP="005C49FF">
      <w:pPr>
        <w:spacing w:after="0" w:line="240" w:lineRule="auto"/>
        <w:jc w:val="left"/>
        <w:rPr>
          <w:rFonts w:ascii="Times New Roman" w:hAnsi="Times New Roman"/>
          <w:sz w:val="20"/>
        </w:rPr>
      </w:pPr>
    </w:p>
    <w:p w14:paraId="0FC2351B"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No appearance for Respondent.</w:t>
      </w:r>
    </w:p>
    <w:p w14:paraId="287BF7F8" w14:textId="77777777" w:rsidR="005C49FF" w:rsidRPr="005C49FF" w:rsidRDefault="005C49FF" w:rsidP="005C49FF">
      <w:pPr>
        <w:spacing w:after="0" w:line="240" w:lineRule="auto"/>
        <w:jc w:val="left"/>
        <w:rPr>
          <w:rFonts w:ascii="Times New Roman" w:hAnsi="Times New Roman"/>
          <w:sz w:val="20"/>
        </w:rPr>
      </w:pPr>
    </w:p>
    <w:p w14:paraId="36E4B08C" w14:textId="77777777" w:rsidR="005C49FF" w:rsidRPr="005C49FF" w:rsidRDefault="005C49FF" w:rsidP="005C49FF">
      <w:pPr>
        <w:spacing w:after="0" w:line="240" w:lineRule="auto"/>
        <w:jc w:val="left"/>
        <w:rPr>
          <w:rFonts w:ascii="Times New Roman" w:hAnsi="Times New Roman"/>
          <w:sz w:val="20"/>
        </w:rPr>
      </w:pPr>
      <w:proofErr w:type="spellStart"/>
      <w:r w:rsidRPr="005C49FF">
        <w:rPr>
          <w:rFonts w:ascii="Times New Roman" w:hAnsi="Times New Roman"/>
          <w:sz w:val="20"/>
        </w:rPr>
        <w:t>Lieff</w:t>
      </w:r>
      <w:proofErr w:type="spellEnd"/>
      <w:r w:rsidRPr="005C49FF">
        <w:rPr>
          <w:rFonts w:ascii="Times New Roman" w:hAnsi="Times New Roman"/>
          <w:sz w:val="20"/>
        </w:rPr>
        <w:t xml:space="preserve"> </w:t>
      </w:r>
      <w:proofErr w:type="spellStart"/>
      <w:r w:rsidRPr="005C49FF">
        <w:rPr>
          <w:rFonts w:ascii="Times New Roman" w:hAnsi="Times New Roman"/>
          <w:sz w:val="20"/>
        </w:rPr>
        <w:t>Cabraser</w:t>
      </w:r>
      <w:proofErr w:type="spellEnd"/>
      <w:r w:rsidRPr="005C49FF">
        <w:rPr>
          <w:rFonts w:ascii="Times New Roman" w:hAnsi="Times New Roman"/>
          <w:sz w:val="20"/>
        </w:rPr>
        <w:t xml:space="preserve"> </w:t>
      </w:r>
      <w:proofErr w:type="spellStart"/>
      <w:r w:rsidRPr="005C49FF">
        <w:rPr>
          <w:rFonts w:ascii="Times New Roman" w:hAnsi="Times New Roman"/>
          <w:sz w:val="20"/>
        </w:rPr>
        <w:t>Heimann</w:t>
      </w:r>
      <w:proofErr w:type="spellEnd"/>
      <w:r w:rsidRPr="005C49FF">
        <w:rPr>
          <w:rFonts w:ascii="Times New Roman" w:hAnsi="Times New Roman"/>
          <w:sz w:val="20"/>
        </w:rPr>
        <w:t xml:space="preserve"> &amp; Bernstein, Robert J. Nelson, Sarah R. London, Wilson M. </w:t>
      </w:r>
      <w:proofErr w:type="spellStart"/>
      <w:r w:rsidRPr="005C49FF">
        <w:rPr>
          <w:rFonts w:ascii="Times New Roman" w:hAnsi="Times New Roman"/>
          <w:sz w:val="20"/>
        </w:rPr>
        <w:t>Dunlavey</w:t>
      </w:r>
      <w:proofErr w:type="spellEnd"/>
      <w:r w:rsidRPr="005C49FF">
        <w:rPr>
          <w:rFonts w:ascii="Times New Roman" w:hAnsi="Times New Roman"/>
          <w:sz w:val="20"/>
        </w:rPr>
        <w:t xml:space="preserve">; Public Justice, Leslie A. </w:t>
      </w:r>
      <w:proofErr w:type="spellStart"/>
      <w:r w:rsidRPr="005C49FF">
        <w:rPr>
          <w:rFonts w:ascii="Times New Roman" w:hAnsi="Times New Roman"/>
          <w:sz w:val="20"/>
        </w:rPr>
        <w:t>Brueckner</w:t>
      </w:r>
      <w:proofErr w:type="spellEnd"/>
      <w:r w:rsidRPr="005C49FF">
        <w:rPr>
          <w:rFonts w:ascii="Times New Roman" w:hAnsi="Times New Roman"/>
          <w:sz w:val="20"/>
        </w:rPr>
        <w:t xml:space="preserve">; </w:t>
      </w:r>
      <w:proofErr w:type="spellStart"/>
      <w:r w:rsidRPr="005C49FF">
        <w:rPr>
          <w:rFonts w:ascii="Times New Roman" w:hAnsi="Times New Roman"/>
          <w:sz w:val="20"/>
        </w:rPr>
        <w:t>Kiesel</w:t>
      </w:r>
      <w:proofErr w:type="spellEnd"/>
      <w:r w:rsidRPr="005C49FF">
        <w:rPr>
          <w:rFonts w:ascii="Times New Roman" w:hAnsi="Times New Roman"/>
          <w:sz w:val="20"/>
        </w:rPr>
        <w:t xml:space="preserve"> Law, Paul R. </w:t>
      </w:r>
      <w:proofErr w:type="spellStart"/>
      <w:r w:rsidRPr="005C49FF">
        <w:rPr>
          <w:rFonts w:ascii="Times New Roman" w:hAnsi="Times New Roman"/>
          <w:sz w:val="20"/>
        </w:rPr>
        <w:t>Kiesel</w:t>
      </w:r>
      <w:proofErr w:type="spellEnd"/>
      <w:r w:rsidRPr="005C49FF">
        <w:rPr>
          <w:rFonts w:ascii="Times New Roman" w:hAnsi="Times New Roman"/>
          <w:sz w:val="20"/>
        </w:rPr>
        <w:t xml:space="preserve">, Helen </w:t>
      </w:r>
      <w:proofErr w:type="spellStart"/>
      <w:r w:rsidRPr="005C49FF">
        <w:rPr>
          <w:rFonts w:ascii="Times New Roman" w:hAnsi="Times New Roman"/>
          <w:sz w:val="20"/>
        </w:rPr>
        <w:t>Zukin</w:t>
      </w:r>
      <w:proofErr w:type="spellEnd"/>
      <w:r w:rsidRPr="005C49FF">
        <w:rPr>
          <w:rFonts w:ascii="Times New Roman" w:hAnsi="Times New Roman"/>
          <w:sz w:val="20"/>
        </w:rPr>
        <w:t xml:space="preserve">, Mariana </w:t>
      </w:r>
      <w:proofErr w:type="spellStart"/>
      <w:r w:rsidRPr="005C49FF">
        <w:rPr>
          <w:rFonts w:ascii="Times New Roman" w:hAnsi="Times New Roman"/>
          <w:sz w:val="20"/>
        </w:rPr>
        <w:t>Aroditis</w:t>
      </w:r>
      <w:proofErr w:type="spellEnd"/>
      <w:r w:rsidRPr="005C49FF">
        <w:rPr>
          <w:rFonts w:ascii="Times New Roman" w:hAnsi="Times New Roman"/>
          <w:sz w:val="20"/>
        </w:rPr>
        <w:t xml:space="preserve">; Keller </w:t>
      </w:r>
      <w:proofErr w:type="spellStart"/>
      <w:r w:rsidRPr="005C49FF">
        <w:rPr>
          <w:rFonts w:ascii="Times New Roman" w:hAnsi="Times New Roman"/>
          <w:sz w:val="20"/>
        </w:rPr>
        <w:t>Rohrback</w:t>
      </w:r>
      <w:proofErr w:type="spellEnd"/>
      <w:r w:rsidRPr="005C49FF">
        <w:rPr>
          <w:rFonts w:ascii="Times New Roman" w:hAnsi="Times New Roman"/>
          <w:sz w:val="20"/>
        </w:rPr>
        <w:t xml:space="preserve">, Ben Gould, Derek W. </w:t>
      </w:r>
      <w:proofErr w:type="spellStart"/>
      <w:r w:rsidRPr="005C49FF">
        <w:rPr>
          <w:rFonts w:ascii="Times New Roman" w:hAnsi="Times New Roman"/>
          <w:sz w:val="20"/>
        </w:rPr>
        <w:t>Loeser</w:t>
      </w:r>
      <w:proofErr w:type="spellEnd"/>
      <w:r w:rsidRPr="005C49FF">
        <w:rPr>
          <w:rFonts w:ascii="Times New Roman" w:hAnsi="Times New Roman"/>
          <w:sz w:val="20"/>
        </w:rPr>
        <w:t xml:space="preserve">, Amy Williams-Derry; Boucher, Raymond P. Boucher, </w:t>
      </w:r>
      <w:proofErr w:type="spellStart"/>
      <w:r w:rsidRPr="005C49FF">
        <w:rPr>
          <w:rFonts w:ascii="Times New Roman" w:hAnsi="Times New Roman"/>
          <w:sz w:val="20"/>
        </w:rPr>
        <w:t>Shehnaz</w:t>
      </w:r>
      <w:proofErr w:type="spellEnd"/>
      <w:r w:rsidRPr="005C49FF">
        <w:rPr>
          <w:rFonts w:ascii="Times New Roman" w:hAnsi="Times New Roman"/>
          <w:sz w:val="20"/>
        </w:rPr>
        <w:t xml:space="preserve"> M. </w:t>
      </w:r>
      <w:proofErr w:type="spellStart"/>
      <w:r w:rsidRPr="005C49FF">
        <w:rPr>
          <w:rFonts w:ascii="Times New Roman" w:hAnsi="Times New Roman"/>
          <w:sz w:val="20"/>
        </w:rPr>
        <w:t>Bhujwala</w:t>
      </w:r>
      <w:proofErr w:type="spellEnd"/>
      <w:r w:rsidRPr="005C49FF">
        <w:rPr>
          <w:rFonts w:ascii="Times New Roman" w:hAnsi="Times New Roman"/>
          <w:sz w:val="20"/>
        </w:rPr>
        <w:t xml:space="preserve">, Maria L. Weitz; The Kick Law Firm, </w:t>
      </w:r>
      <w:proofErr w:type="spellStart"/>
      <w:r w:rsidRPr="005C49FF">
        <w:rPr>
          <w:rFonts w:ascii="Times New Roman" w:hAnsi="Times New Roman"/>
          <w:sz w:val="20"/>
        </w:rPr>
        <w:t>Taras</w:t>
      </w:r>
      <w:proofErr w:type="spellEnd"/>
      <w:r w:rsidRPr="005C49FF">
        <w:rPr>
          <w:rFonts w:ascii="Times New Roman" w:hAnsi="Times New Roman"/>
          <w:sz w:val="20"/>
        </w:rPr>
        <w:t xml:space="preserve"> Kick; Baron &amp; Budd, Roland </w:t>
      </w:r>
      <w:proofErr w:type="spellStart"/>
      <w:r w:rsidRPr="005C49FF">
        <w:rPr>
          <w:rFonts w:ascii="Times New Roman" w:hAnsi="Times New Roman"/>
          <w:sz w:val="20"/>
        </w:rPr>
        <w:t>Tellis</w:t>
      </w:r>
      <w:proofErr w:type="spellEnd"/>
      <w:r w:rsidRPr="005C49FF">
        <w:rPr>
          <w:rFonts w:ascii="Times New Roman" w:hAnsi="Times New Roman"/>
          <w:sz w:val="20"/>
        </w:rPr>
        <w:t>; R. Rex Parris Law Firm, R. Rex Parris and Patricia Oliver for Real Parties in Interest.</w:t>
      </w:r>
    </w:p>
    <w:p w14:paraId="7E55C153" w14:textId="77777777" w:rsidR="005C49FF" w:rsidRPr="005C49FF" w:rsidRDefault="005C49FF" w:rsidP="005C49FF">
      <w:pPr>
        <w:spacing w:after="0" w:line="240" w:lineRule="auto"/>
        <w:jc w:val="left"/>
        <w:rPr>
          <w:rFonts w:ascii="Times New Roman" w:hAnsi="Times New Roman"/>
          <w:sz w:val="20"/>
        </w:rPr>
      </w:pPr>
    </w:p>
    <w:p w14:paraId="3AE67E85" w14:textId="77777777" w:rsidR="005C49FF" w:rsidRPr="005C49FF" w:rsidRDefault="005C49FF" w:rsidP="005C49FF">
      <w:pPr>
        <w:spacing w:after="0" w:line="240" w:lineRule="auto"/>
        <w:jc w:val="left"/>
        <w:rPr>
          <w:rFonts w:ascii="Times New Roman" w:hAnsi="Times New Roman"/>
          <w:sz w:val="20"/>
        </w:rPr>
      </w:pPr>
    </w:p>
    <w:p w14:paraId="3790876A" w14:textId="77777777" w:rsidR="005C49FF" w:rsidRPr="005C49FF" w:rsidRDefault="005C49FF" w:rsidP="005C49FF">
      <w:pPr>
        <w:spacing w:after="0" w:line="240" w:lineRule="auto"/>
        <w:jc w:val="left"/>
        <w:rPr>
          <w:rFonts w:ascii="Times New Roman" w:hAnsi="Times New Roman"/>
          <w:b/>
          <w:sz w:val="20"/>
        </w:rPr>
      </w:pPr>
    </w:p>
    <w:p w14:paraId="3EA7B1D8" w14:textId="77777777" w:rsidR="005C49FF" w:rsidRPr="005C49FF" w:rsidRDefault="005C49FF" w:rsidP="005C49FF">
      <w:pPr>
        <w:spacing w:after="0" w:line="240" w:lineRule="auto"/>
        <w:jc w:val="left"/>
        <w:rPr>
          <w:rFonts w:ascii="Times New Roman" w:hAnsi="Times New Roman"/>
          <w:b/>
          <w:sz w:val="20"/>
        </w:rPr>
      </w:pPr>
    </w:p>
    <w:p w14:paraId="425E781F" w14:textId="77777777" w:rsidR="005C49FF" w:rsidRPr="005C49FF" w:rsidRDefault="005C49FF" w:rsidP="005C49FF">
      <w:pPr>
        <w:spacing w:after="0" w:line="240" w:lineRule="auto"/>
        <w:jc w:val="left"/>
        <w:rPr>
          <w:rFonts w:ascii="Times New Roman" w:hAnsi="Times New Roman"/>
          <w:b/>
          <w:sz w:val="20"/>
        </w:rPr>
      </w:pPr>
    </w:p>
    <w:p w14:paraId="3D331022" w14:textId="77777777" w:rsidR="005C49FF" w:rsidRPr="005C49FF" w:rsidRDefault="005C49FF" w:rsidP="005C49FF">
      <w:pPr>
        <w:spacing w:after="0" w:line="240" w:lineRule="auto"/>
        <w:jc w:val="left"/>
        <w:rPr>
          <w:rFonts w:ascii="Times New Roman" w:hAnsi="Times New Roman"/>
          <w:b/>
          <w:sz w:val="20"/>
        </w:rPr>
      </w:pPr>
    </w:p>
    <w:p w14:paraId="6AFEBE24" w14:textId="77777777" w:rsidR="005C49FF" w:rsidRPr="005C49FF" w:rsidRDefault="005C49FF" w:rsidP="005C49FF">
      <w:pPr>
        <w:spacing w:after="0" w:line="240" w:lineRule="auto"/>
        <w:jc w:val="left"/>
        <w:rPr>
          <w:rFonts w:ascii="Times New Roman" w:hAnsi="Times New Roman"/>
          <w:b/>
          <w:sz w:val="20"/>
        </w:rPr>
      </w:pPr>
    </w:p>
    <w:p w14:paraId="49D16A75"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Page 2 – S246669 – counsel continued</w:t>
      </w:r>
    </w:p>
    <w:p w14:paraId="01EDDC41" w14:textId="77777777" w:rsidR="005C49FF" w:rsidRPr="005C49FF" w:rsidRDefault="005C49FF" w:rsidP="005C49FF">
      <w:pPr>
        <w:spacing w:after="0" w:line="240" w:lineRule="auto"/>
        <w:jc w:val="left"/>
        <w:rPr>
          <w:rFonts w:ascii="Times New Roman" w:hAnsi="Times New Roman"/>
          <w:b/>
          <w:sz w:val="20"/>
        </w:rPr>
      </w:pPr>
    </w:p>
    <w:p w14:paraId="1D27639C"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Counsel:</w:t>
      </w:r>
    </w:p>
    <w:p w14:paraId="0B2521C8" w14:textId="77777777" w:rsidR="005C49FF" w:rsidRPr="005C49FF" w:rsidRDefault="005C49FF" w:rsidP="005C49FF">
      <w:pPr>
        <w:spacing w:after="0" w:line="240" w:lineRule="auto"/>
        <w:jc w:val="left"/>
        <w:rPr>
          <w:rFonts w:ascii="Times New Roman" w:hAnsi="Times New Roman"/>
          <w:b/>
          <w:sz w:val="20"/>
        </w:rPr>
      </w:pPr>
    </w:p>
    <w:p w14:paraId="2A8DB26D"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 xml:space="preserve">Sean B. Hecht, Julia E. Stein and Nathaniel </w:t>
      </w:r>
      <w:proofErr w:type="spellStart"/>
      <w:r w:rsidRPr="005C49FF">
        <w:rPr>
          <w:rFonts w:ascii="Times New Roman" w:hAnsi="Times New Roman"/>
          <w:sz w:val="20"/>
        </w:rPr>
        <w:t>Logar</w:t>
      </w:r>
      <w:proofErr w:type="spellEnd"/>
      <w:r w:rsidRPr="005C49FF">
        <w:rPr>
          <w:rFonts w:ascii="Times New Roman" w:hAnsi="Times New Roman"/>
          <w:sz w:val="20"/>
        </w:rPr>
        <w:t xml:space="preserve"> for California Tort Professors Richard Abel, Alison Anderson, Blake Emerson, Jill Horwitz, Kathleen Kim, Albert Lin, John </w:t>
      </w:r>
      <w:proofErr w:type="spellStart"/>
      <w:r w:rsidRPr="005C49FF">
        <w:rPr>
          <w:rFonts w:ascii="Times New Roman" w:hAnsi="Times New Roman"/>
          <w:sz w:val="20"/>
        </w:rPr>
        <w:t>Nockleby</w:t>
      </w:r>
      <w:proofErr w:type="spellEnd"/>
      <w:r w:rsidRPr="005C49FF">
        <w:rPr>
          <w:rFonts w:ascii="Times New Roman" w:hAnsi="Times New Roman"/>
          <w:sz w:val="20"/>
        </w:rPr>
        <w:t>, Alex Wang, Jonathan Zasloff and Adam Zimmerman as Amici Curiae on behalf of Real Parties in Interest.</w:t>
      </w:r>
    </w:p>
    <w:p w14:paraId="1902BEFD" w14:textId="77777777" w:rsidR="005C49FF" w:rsidRPr="005C49FF" w:rsidRDefault="005C49FF" w:rsidP="005C49FF">
      <w:pPr>
        <w:spacing w:after="0" w:line="240" w:lineRule="auto"/>
        <w:jc w:val="left"/>
        <w:rPr>
          <w:rFonts w:ascii="Times New Roman" w:hAnsi="Times New Roman"/>
          <w:b/>
          <w:sz w:val="20"/>
        </w:rPr>
      </w:pPr>
    </w:p>
    <w:p w14:paraId="1965BD04"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 xml:space="preserve">Nelson &amp; Fraenkel, Gretchen M. Nelson and Gabriel S. </w:t>
      </w:r>
      <w:proofErr w:type="spellStart"/>
      <w:r w:rsidRPr="005C49FF">
        <w:rPr>
          <w:rFonts w:ascii="Times New Roman" w:hAnsi="Times New Roman"/>
          <w:sz w:val="20"/>
        </w:rPr>
        <w:t>Barenfeld</w:t>
      </w:r>
      <w:proofErr w:type="spellEnd"/>
      <w:r w:rsidRPr="005C49FF">
        <w:rPr>
          <w:rFonts w:ascii="Times New Roman" w:hAnsi="Times New Roman"/>
          <w:sz w:val="20"/>
        </w:rPr>
        <w:t xml:space="preserve"> for Consumer Attorneys of Los Angeles as Amicus Curiae on behalf of Real Parties in Interest.</w:t>
      </w:r>
    </w:p>
    <w:p w14:paraId="6F10F268" w14:textId="77777777" w:rsidR="005C49FF" w:rsidRPr="005C49FF" w:rsidRDefault="005C49FF" w:rsidP="005C49FF">
      <w:pPr>
        <w:spacing w:after="0" w:line="240" w:lineRule="auto"/>
        <w:jc w:val="left"/>
        <w:rPr>
          <w:rFonts w:ascii="Times New Roman" w:hAnsi="Times New Roman"/>
          <w:sz w:val="20"/>
        </w:rPr>
      </w:pPr>
    </w:p>
    <w:p w14:paraId="78306335"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The Arkin Law Firm and Sharon J. Arkin for Consumer Attorneys of California as Amicus Curiae on behalf of Real Parties in Interest.</w:t>
      </w:r>
    </w:p>
    <w:p w14:paraId="735AE9F4" w14:textId="77777777" w:rsidR="005C49FF" w:rsidRPr="005C49FF" w:rsidRDefault="005C49FF" w:rsidP="005C49FF">
      <w:pPr>
        <w:spacing w:after="0" w:line="240" w:lineRule="auto"/>
        <w:jc w:val="left"/>
        <w:rPr>
          <w:rFonts w:ascii="Times New Roman" w:hAnsi="Times New Roman"/>
          <w:sz w:val="20"/>
        </w:rPr>
      </w:pPr>
    </w:p>
    <w:p w14:paraId="01CE1FAB" w14:textId="77777777" w:rsidR="005C49FF" w:rsidRPr="005C49FF" w:rsidRDefault="005C49FF" w:rsidP="005C49FF">
      <w:pPr>
        <w:spacing w:after="0" w:line="240" w:lineRule="auto"/>
        <w:jc w:val="left"/>
        <w:rPr>
          <w:rFonts w:ascii="Times New Roman" w:hAnsi="Times New Roman"/>
          <w:sz w:val="20"/>
        </w:rPr>
      </w:pPr>
      <w:proofErr w:type="spellStart"/>
      <w:r w:rsidRPr="005C49FF">
        <w:rPr>
          <w:rFonts w:ascii="Times New Roman" w:hAnsi="Times New Roman"/>
          <w:sz w:val="20"/>
        </w:rPr>
        <w:t>Boies</w:t>
      </w:r>
      <w:proofErr w:type="spellEnd"/>
      <w:r w:rsidRPr="005C49FF">
        <w:rPr>
          <w:rFonts w:ascii="Times New Roman" w:hAnsi="Times New Roman"/>
          <w:sz w:val="20"/>
        </w:rPr>
        <w:t xml:space="preserve"> Schiller Flexner, Christopher G. Caldwell, Michael R. Leslie, Andrew </w:t>
      </w:r>
      <w:proofErr w:type="spellStart"/>
      <w:r w:rsidRPr="005C49FF">
        <w:rPr>
          <w:rFonts w:ascii="Times New Roman" w:hAnsi="Times New Roman"/>
          <w:sz w:val="20"/>
        </w:rPr>
        <w:t>Esbenshade</w:t>
      </w:r>
      <w:proofErr w:type="spellEnd"/>
      <w:r w:rsidRPr="005C49FF">
        <w:rPr>
          <w:rFonts w:ascii="Times New Roman" w:hAnsi="Times New Roman"/>
          <w:sz w:val="20"/>
        </w:rPr>
        <w:t xml:space="preserve">, Kelly L. </w:t>
      </w:r>
      <w:proofErr w:type="spellStart"/>
      <w:r w:rsidRPr="005C49FF">
        <w:rPr>
          <w:rFonts w:ascii="Times New Roman" w:hAnsi="Times New Roman"/>
          <w:sz w:val="20"/>
        </w:rPr>
        <w:t>Perigoe</w:t>
      </w:r>
      <w:proofErr w:type="spellEnd"/>
      <w:r w:rsidRPr="005C49FF">
        <w:rPr>
          <w:rFonts w:ascii="Times New Roman" w:hAnsi="Times New Roman"/>
          <w:sz w:val="20"/>
        </w:rPr>
        <w:t xml:space="preserve"> and David </w:t>
      </w:r>
      <w:proofErr w:type="spellStart"/>
      <w:r w:rsidRPr="005C49FF">
        <w:rPr>
          <w:rFonts w:ascii="Times New Roman" w:hAnsi="Times New Roman"/>
          <w:sz w:val="20"/>
        </w:rPr>
        <w:t>Boies</w:t>
      </w:r>
      <w:proofErr w:type="spellEnd"/>
      <w:r w:rsidRPr="005C49FF">
        <w:rPr>
          <w:rFonts w:ascii="Times New Roman" w:hAnsi="Times New Roman"/>
          <w:sz w:val="20"/>
        </w:rPr>
        <w:t xml:space="preserve"> for Toll Brothers, Inc., and Porter Ranch Development Company as Amici Curiae on behalf of Real Parties in Interest.</w:t>
      </w:r>
    </w:p>
    <w:p w14:paraId="5BA1977F" w14:textId="77777777" w:rsidR="005C49FF" w:rsidRPr="005C49FF" w:rsidRDefault="005C49FF" w:rsidP="005C49FF">
      <w:pPr>
        <w:spacing w:after="0" w:line="240" w:lineRule="auto"/>
        <w:jc w:val="left"/>
        <w:rPr>
          <w:rFonts w:ascii="Times New Roman" w:hAnsi="Times New Roman"/>
          <w:sz w:val="20"/>
        </w:rPr>
      </w:pPr>
    </w:p>
    <w:p w14:paraId="613DBBB4" w14:textId="77777777" w:rsidR="005C49FF" w:rsidRPr="005C49FF" w:rsidRDefault="005C49FF" w:rsidP="005C49FF">
      <w:pPr>
        <w:spacing w:after="0" w:line="240" w:lineRule="auto"/>
        <w:jc w:val="left"/>
        <w:rPr>
          <w:rFonts w:ascii="Times New Roman" w:hAnsi="Times New Roman"/>
          <w:b/>
          <w:sz w:val="20"/>
        </w:rPr>
      </w:pPr>
    </w:p>
    <w:p w14:paraId="1856CDB2" w14:textId="77777777" w:rsidR="005C49FF" w:rsidRPr="005C49FF" w:rsidRDefault="005C49FF" w:rsidP="005C49FF">
      <w:pPr>
        <w:spacing w:after="0" w:line="240" w:lineRule="auto"/>
        <w:jc w:val="left"/>
        <w:rPr>
          <w:rFonts w:ascii="Times New Roman" w:hAnsi="Times New Roman"/>
          <w:b/>
          <w:sz w:val="20"/>
        </w:rPr>
      </w:pPr>
    </w:p>
    <w:p w14:paraId="551DEF51" w14:textId="77777777" w:rsidR="005C49FF" w:rsidRPr="005C49FF" w:rsidRDefault="005C49FF" w:rsidP="005C49FF">
      <w:pPr>
        <w:spacing w:after="0" w:line="240" w:lineRule="auto"/>
        <w:jc w:val="left"/>
        <w:rPr>
          <w:rFonts w:ascii="Times New Roman" w:hAnsi="Times New Roman"/>
          <w:b/>
          <w:sz w:val="20"/>
        </w:rPr>
      </w:pPr>
    </w:p>
    <w:p w14:paraId="7872E577" w14:textId="77777777" w:rsidR="005C49FF" w:rsidRPr="005C49FF" w:rsidRDefault="005C49FF" w:rsidP="005C49FF">
      <w:pPr>
        <w:spacing w:after="0" w:line="240" w:lineRule="auto"/>
        <w:jc w:val="left"/>
        <w:rPr>
          <w:rFonts w:ascii="Times New Roman" w:hAnsi="Times New Roman"/>
          <w:b/>
          <w:sz w:val="20"/>
        </w:rPr>
      </w:pPr>
    </w:p>
    <w:p w14:paraId="6ADA0DC6" w14:textId="77777777" w:rsidR="005C49FF" w:rsidRPr="005C49FF" w:rsidRDefault="005C49FF" w:rsidP="005C49FF">
      <w:pPr>
        <w:spacing w:after="0" w:line="240" w:lineRule="auto"/>
        <w:jc w:val="left"/>
        <w:rPr>
          <w:rFonts w:ascii="Times New Roman" w:hAnsi="Times New Roman"/>
          <w:b/>
          <w:sz w:val="20"/>
        </w:rPr>
      </w:pPr>
    </w:p>
    <w:p w14:paraId="4A4F5566" w14:textId="77777777" w:rsidR="005C49FF" w:rsidRPr="005C49FF" w:rsidRDefault="005C49FF" w:rsidP="005C49FF">
      <w:pPr>
        <w:spacing w:after="0" w:line="240" w:lineRule="auto"/>
        <w:jc w:val="left"/>
        <w:rPr>
          <w:rFonts w:ascii="Times New Roman" w:hAnsi="Times New Roman"/>
          <w:b/>
          <w:sz w:val="20"/>
        </w:rPr>
      </w:pPr>
    </w:p>
    <w:p w14:paraId="608BF641" w14:textId="77777777" w:rsidR="005C49FF" w:rsidRPr="005C49FF" w:rsidRDefault="005C49FF" w:rsidP="005C49FF">
      <w:pPr>
        <w:spacing w:after="0" w:line="240" w:lineRule="auto"/>
        <w:jc w:val="left"/>
        <w:rPr>
          <w:rFonts w:ascii="Times New Roman" w:hAnsi="Times New Roman"/>
          <w:b/>
          <w:sz w:val="20"/>
        </w:rPr>
      </w:pPr>
    </w:p>
    <w:p w14:paraId="74731166" w14:textId="77777777" w:rsidR="005C49FF" w:rsidRPr="005C49FF" w:rsidRDefault="005C49FF" w:rsidP="005C49FF">
      <w:pPr>
        <w:spacing w:after="0" w:line="240" w:lineRule="auto"/>
        <w:jc w:val="left"/>
        <w:rPr>
          <w:rFonts w:ascii="Times New Roman" w:hAnsi="Times New Roman"/>
          <w:b/>
          <w:sz w:val="20"/>
        </w:rPr>
      </w:pPr>
    </w:p>
    <w:p w14:paraId="7D6F6492" w14:textId="77777777" w:rsidR="005C49FF" w:rsidRPr="005C49FF" w:rsidRDefault="005C49FF" w:rsidP="005C49FF">
      <w:pPr>
        <w:spacing w:after="0" w:line="240" w:lineRule="auto"/>
        <w:jc w:val="left"/>
        <w:rPr>
          <w:rFonts w:ascii="Times New Roman" w:hAnsi="Times New Roman"/>
          <w:b/>
          <w:sz w:val="20"/>
        </w:rPr>
      </w:pPr>
    </w:p>
    <w:p w14:paraId="3572323F" w14:textId="77777777" w:rsidR="005C49FF" w:rsidRPr="005C49FF" w:rsidRDefault="005C49FF" w:rsidP="005C49FF">
      <w:pPr>
        <w:spacing w:after="0" w:line="240" w:lineRule="auto"/>
        <w:jc w:val="left"/>
        <w:rPr>
          <w:rFonts w:ascii="Times New Roman" w:hAnsi="Times New Roman"/>
          <w:b/>
          <w:sz w:val="20"/>
        </w:rPr>
      </w:pPr>
    </w:p>
    <w:p w14:paraId="78FE6271" w14:textId="77777777" w:rsidR="005C49FF" w:rsidRPr="005C49FF" w:rsidRDefault="005C49FF" w:rsidP="005C49FF">
      <w:pPr>
        <w:spacing w:after="0" w:line="240" w:lineRule="auto"/>
        <w:jc w:val="left"/>
        <w:rPr>
          <w:rFonts w:ascii="Times New Roman" w:hAnsi="Times New Roman"/>
          <w:b/>
          <w:sz w:val="20"/>
        </w:rPr>
      </w:pPr>
    </w:p>
    <w:p w14:paraId="521374CC" w14:textId="77777777" w:rsidR="005C49FF" w:rsidRPr="005C49FF" w:rsidRDefault="005C49FF" w:rsidP="005C49FF">
      <w:pPr>
        <w:spacing w:after="0" w:line="240" w:lineRule="auto"/>
        <w:jc w:val="left"/>
        <w:rPr>
          <w:rFonts w:ascii="Times New Roman" w:hAnsi="Times New Roman"/>
          <w:b/>
          <w:sz w:val="20"/>
        </w:rPr>
      </w:pPr>
    </w:p>
    <w:p w14:paraId="4F7497BE" w14:textId="77777777" w:rsidR="005C49FF" w:rsidRPr="005C49FF" w:rsidRDefault="005C49FF" w:rsidP="005C49FF">
      <w:pPr>
        <w:spacing w:after="0" w:line="240" w:lineRule="auto"/>
        <w:jc w:val="left"/>
        <w:rPr>
          <w:rFonts w:ascii="Times New Roman" w:hAnsi="Times New Roman"/>
          <w:b/>
          <w:sz w:val="20"/>
        </w:rPr>
      </w:pPr>
    </w:p>
    <w:p w14:paraId="46EE2180" w14:textId="77777777" w:rsidR="005C49FF" w:rsidRPr="005C49FF" w:rsidRDefault="005C49FF" w:rsidP="005C49FF">
      <w:pPr>
        <w:spacing w:after="0" w:line="240" w:lineRule="auto"/>
        <w:jc w:val="left"/>
        <w:rPr>
          <w:rFonts w:ascii="Times New Roman" w:hAnsi="Times New Roman"/>
          <w:b/>
          <w:sz w:val="20"/>
        </w:rPr>
      </w:pPr>
    </w:p>
    <w:p w14:paraId="3887FE4C" w14:textId="77777777" w:rsidR="005C49FF" w:rsidRPr="005C49FF" w:rsidRDefault="005C49FF" w:rsidP="005C49FF">
      <w:pPr>
        <w:spacing w:after="0" w:line="240" w:lineRule="auto"/>
        <w:jc w:val="left"/>
        <w:rPr>
          <w:rFonts w:ascii="Times New Roman" w:hAnsi="Times New Roman"/>
          <w:b/>
          <w:sz w:val="20"/>
        </w:rPr>
      </w:pPr>
    </w:p>
    <w:p w14:paraId="5433786F" w14:textId="77777777" w:rsidR="005C49FF" w:rsidRPr="005C49FF" w:rsidRDefault="005C49FF" w:rsidP="005C49FF">
      <w:pPr>
        <w:spacing w:after="0" w:line="240" w:lineRule="auto"/>
        <w:jc w:val="left"/>
        <w:rPr>
          <w:rFonts w:ascii="Times New Roman" w:hAnsi="Times New Roman"/>
          <w:b/>
          <w:sz w:val="20"/>
        </w:rPr>
      </w:pPr>
    </w:p>
    <w:p w14:paraId="55A01776" w14:textId="77777777" w:rsidR="005C49FF" w:rsidRPr="005C49FF" w:rsidRDefault="005C49FF" w:rsidP="005C49FF">
      <w:pPr>
        <w:spacing w:after="0" w:line="240" w:lineRule="auto"/>
        <w:jc w:val="left"/>
        <w:rPr>
          <w:rFonts w:ascii="Times New Roman" w:hAnsi="Times New Roman"/>
          <w:b/>
          <w:sz w:val="20"/>
        </w:rPr>
      </w:pPr>
    </w:p>
    <w:p w14:paraId="79B0DB3C" w14:textId="77777777" w:rsidR="005C49FF" w:rsidRPr="005C49FF" w:rsidRDefault="005C49FF" w:rsidP="005C49FF">
      <w:pPr>
        <w:spacing w:after="0" w:line="240" w:lineRule="auto"/>
        <w:jc w:val="left"/>
        <w:rPr>
          <w:rFonts w:ascii="Times New Roman" w:hAnsi="Times New Roman"/>
          <w:b/>
          <w:sz w:val="20"/>
        </w:rPr>
      </w:pPr>
    </w:p>
    <w:p w14:paraId="10D7970B"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br w:type="page"/>
      </w:r>
    </w:p>
    <w:p w14:paraId="39CA396B" w14:textId="77777777" w:rsidR="005C49FF" w:rsidRPr="005C49FF" w:rsidRDefault="005C49FF" w:rsidP="005C49FF">
      <w:pPr>
        <w:spacing w:after="0" w:line="240" w:lineRule="auto"/>
        <w:jc w:val="left"/>
        <w:rPr>
          <w:rFonts w:ascii="Times New Roman" w:hAnsi="Times New Roman"/>
          <w:b/>
          <w:sz w:val="20"/>
        </w:rPr>
      </w:pPr>
    </w:p>
    <w:p w14:paraId="1E098F19" w14:textId="77777777" w:rsidR="005C49FF" w:rsidRPr="005C49FF" w:rsidRDefault="005C49FF" w:rsidP="005C49FF">
      <w:pPr>
        <w:spacing w:after="0" w:line="240" w:lineRule="auto"/>
        <w:jc w:val="left"/>
        <w:rPr>
          <w:rFonts w:ascii="Times New Roman" w:hAnsi="Times New Roman"/>
          <w:b/>
          <w:sz w:val="20"/>
        </w:rPr>
      </w:pPr>
    </w:p>
    <w:p w14:paraId="6FC361A9" w14:textId="77777777" w:rsidR="005C49FF" w:rsidRPr="005C49FF" w:rsidRDefault="005C49FF" w:rsidP="005C49FF">
      <w:pPr>
        <w:spacing w:after="0" w:line="240" w:lineRule="auto"/>
        <w:jc w:val="left"/>
        <w:rPr>
          <w:rFonts w:ascii="Times New Roman" w:hAnsi="Times New Roman"/>
          <w:b/>
          <w:sz w:val="20"/>
        </w:rPr>
      </w:pPr>
    </w:p>
    <w:p w14:paraId="35867759" w14:textId="77777777" w:rsidR="005C49FF" w:rsidRPr="005C49FF" w:rsidRDefault="005C49FF" w:rsidP="005C49FF">
      <w:pPr>
        <w:spacing w:after="0" w:line="240" w:lineRule="auto"/>
        <w:jc w:val="left"/>
        <w:rPr>
          <w:rFonts w:ascii="Times New Roman" w:hAnsi="Times New Roman"/>
          <w:b/>
          <w:sz w:val="20"/>
        </w:rPr>
      </w:pPr>
      <w:r w:rsidRPr="005C49FF">
        <w:rPr>
          <w:rFonts w:ascii="Times New Roman" w:hAnsi="Times New Roman"/>
          <w:b/>
          <w:sz w:val="20"/>
        </w:rPr>
        <w:t>Counsel who argued in Supreme Court (not intended for publication with opinion):</w:t>
      </w:r>
    </w:p>
    <w:p w14:paraId="029D5AFE" w14:textId="77777777" w:rsidR="005C49FF" w:rsidRPr="005C49FF" w:rsidRDefault="005C49FF" w:rsidP="005C49FF">
      <w:pPr>
        <w:spacing w:after="0" w:line="240" w:lineRule="auto"/>
        <w:jc w:val="left"/>
        <w:rPr>
          <w:rFonts w:ascii="Times New Roman" w:hAnsi="Times New Roman"/>
          <w:b/>
          <w:sz w:val="20"/>
        </w:rPr>
      </w:pPr>
    </w:p>
    <w:p w14:paraId="69B86497"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Kathleen M. Sullivan</w:t>
      </w:r>
    </w:p>
    <w:p w14:paraId="61F7D60A"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Quinn Emmanuel Urquhart &amp; Sullivan</w:t>
      </w:r>
    </w:p>
    <w:p w14:paraId="7BDB1EA9"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555 Twin Dolphin Drive, 5th Floor</w:t>
      </w:r>
    </w:p>
    <w:p w14:paraId="20344237"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Redwood Shores, CA  94065</w:t>
      </w:r>
    </w:p>
    <w:p w14:paraId="0FDD0589"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(650) 801-5000</w:t>
      </w:r>
    </w:p>
    <w:p w14:paraId="2D2A0C2C" w14:textId="77777777" w:rsidR="005C49FF" w:rsidRPr="005C49FF" w:rsidRDefault="005C49FF" w:rsidP="005C49FF">
      <w:pPr>
        <w:spacing w:after="0" w:line="240" w:lineRule="auto"/>
        <w:jc w:val="left"/>
        <w:rPr>
          <w:rFonts w:ascii="Times New Roman" w:hAnsi="Times New Roman"/>
          <w:sz w:val="20"/>
        </w:rPr>
      </w:pPr>
    </w:p>
    <w:p w14:paraId="4121BEB0"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 xml:space="preserve">Leslie A. </w:t>
      </w:r>
      <w:proofErr w:type="spellStart"/>
      <w:r w:rsidRPr="005C49FF">
        <w:rPr>
          <w:rFonts w:ascii="Times New Roman" w:hAnsi="Times New Roman"/>
          <w:sz w:val="20"/>
        </w:rPr>
        <w:t>Brueckner</w:t>
      </w:r>
      <w:proofErr w:type="spellEnd"/>
    </w:p>
    <w:p w14:paraId="469D4373"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Public Justice</w:t>
      </w:r>
    </w:p>
    <w:p w14:paraId="1A3160A1"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475 14th Street, Suite 610</w:t>
      </w:r>
    </w:p>
    <w:p w14:paraId="7354CFC2"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Oakland, CA  94612</w:t>
      </w:r>
    </w:p>
    <w:p w14:paraId="17B34C6D" w14:textId="77777777" w:rsidR="005C49FF" w:rsidRPr="005C49FF" w:rsidRDefault="005C49FF" w:rsidP="005C49FF">
      <w:pPr>
        <w:spacing w:after="0" w:line="240" w:lineRule="auto"/>
        <w:jc w:val="left"/>
        <w:rPr>
          <w:rFonts w:ascii="Times New Roman" w:hAnsi="Times New Roman"/>
          <w:sz w:val="20"/>
        </w:rPr>
      </w:pPr>
      <w:r w:rsidRPr="005C49FF">
        <w:rPr>
          <w:rFonts w:ascii="Times New Roman" w:hAnsi="Times New Roman"/>
          <w:sz w:val="20"/>
        </w:rPr>
        <w:t>(510) 622-8150</w:t>
      </w:r>
    </w:p>
    <w:p w14:paraId="5487AA51" w14:textId="77777777" w:rsidR="005C49FF" w:rsidRPr="005C49FF" w:rsidRDefault="005C49FF" w:rsidP="005C49FF">
      <w:pPr>
        <w:spacing w:after="0" w:line="240" w:lineRule="auto"/>
        <w:jc w:val="left"/>
        <w:rPr>
          <w:rFonts w:ascii="Times New Roman" w:hAnsi="Times New Roman"/>
          <w:b/>
          <w:sz w:val="20"/>
        </w:rPr>
      </w:pPr>
    </w:p>
    <w:p w14:paraId="3261F870" w14:textId="2C23A989" w:rsidR="0063688E" w:rsidRPr="00386D17" w:rsidRDefault="0063688E" w:rsidP="0063688E">
      <w:pPr>
        <w:tabs>
          <w:tab w:val="left" w:pos="1440"/>
        </w:tabs>
        <w:spacing w:after="0" w:line="220" w:lineRule="exact"/>
        <w:rPr>
          <w:sz w:val="23"/>
          <w:szCs w:val="23"/>
        </w:rPr>
      </w:pPr>
    </w:p>
    <w:sectPr w:rsidR="0063688E" w:rsidRPr="00386D1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469D" w14:textId="77777777" w:rsidR="00310357" w:rsidRDefault="00310357">
      <w:r>
        <w:separator/>
      </w:r>
    </w:p>
  </w:endnote>
  <w:endnote w:type="continuationSeparator" w:id="0">
    <w:p w14:paraId="5F87FBD5" w14:textId="77777777" w:rsidR="00310357" w:rsidRDefault="0031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9DD7" w14:textId="77777777" w:rsidR="000E6241" w:rsidRDefault="000E6241">
    <w:pPr>
      <w:pStyle w:val="Footer"/>
    </w:pPr>
    <w:r>
      <w:fldChar w:fldCharType="begin"/>
    </w:r>
    <w:r>
      <w:instrText>PAGE</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5F1F" w14:textId="77777777" w:rsidR="000E6241" w:rsidRDefault="000E6241">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70EF" w14:textId="77777777" w:rsidR="004A4112" w:rsidRDefault="00230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94E5" w14:textId="77777777" w:rsidR="004A4112" w:rsidRDefault="002306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A460" w14:textId="77777777" w:rsidR="004A4112" w:rsidRDefault="0023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2971" w14:textId="77777777" w:rsidR="00310357" w:rsidRDefault="00310357">
      <w:r>
        <w:separator/>
      </w:r>
    </w:p>
  </w:footnote>
  <w:footnote w:type="continuationSeparator" w:id="0">
    <w:p w14:paraId="4469F278" w14:textId="77777777" w:rsidR="00310357" w:rsidRDefault="00310357">
      <w:pPr>
        <w:rPr>
          <w:sz w:val="22"/>
        </w:rPr>
      </w:pPr>
      <w:r>
        <w:continuationSeparator/>
      </w:r>
    </w:p>
  </w:footnote>
  <w:footnote w:type="continuationNotice" w:id="1">
    <w:p w14:paraId="045507AF" w14:textId="77777777" w:rsidR="00310357" w:rsidRDefault="00310357">
      <w:pPr>
        <w:jc w:val="right"/>
        <w:rPr>
          <w:i/>
          <w:sz w:val="20"/>
        </w:rPr>
      </w:pPr>
    </w:p>
  </w:footnote>
  <w:footnote w:id="2">
    <w:p w14:paraId="360FAB17" w14:textId="48A84F65" w:rsidR="009E37D2" w:rsidRDefault="009E37D2">
      <w:pPr>
        <w:pStyle w:val="FootnoteText"/>
      </w:pPr>
      <w:r>
        <w:rPr>
          <w:rStyle w:val="FootnoteReference"/>
        </w:rPr>
        <w:footnoteRef/>
      </w:r>
      <w:r>
        <w:t xml:space="preserve"> </w:t>
      </w:r>
      <w:r>
        <w:tab/>
        <w:t>We refer to the named plaintiffs in this action collectively as “Plaintiffs.”</w:t>
      </w:r>
    </w:p>
  </w:footnote>
  <w:footnote w:id="3">
    <w:p w14:paraId="27C76EFC" w14:textId="6E371659" w:rsidR="000E6241" w:rsidRDefault="000E6241">
      <w:pPr>
        <w:pStyle w:val="FootnoteText"/>
      </w:pPr>
      <w:r>
        <w:rPr>
          <w:rStyle w:val="FootnoteReference"/>
        </w:rPr>
        <w:footnoteRef/>
      </w:r>
      <w:r>
        <w:t xml:space="preserve"> </w:t>
      </w:r>
      <w:r>
        <w:tab/>
      </w:r>
      <w:r w:rsidRPr="00D96FD2">
        <w:t xml:space="preserve">The Court of Appeal held in </w:t>
      </w:r>
      <w:r w:rsidRPr="00D96FD2">
        <w:rPr>
          <w:i/>
        </w:rPr>
        <w:t>Adams</w:t>
      </w:r>
      <w:r w:rsidR="008022A3">
        <w:rPr>
          <w:i/>
        </w:rPr>
        <w:t xml:space="preserve"> </w:t>
      </w:r>
      <w:r w:rsidRPr="00D96FD2">
        <w:t xml:space="preserve">that employees could not sue a railroad for lost wages even though, allegedly, the railroad’s negligence caused </w:t>
      </w:r>
      <w:r w:rsidR="003A7DE6">
        <w:t>an</w:t>
      </w:r>
      <w:r w:rsidRPr="00D96FD2">
        <w:t xml:space="preserve"> explosion that destroyed the employees’ workplace, a nearby factory.</w:t>
      </w:r>
      <w:r w:rsidR="008022A3">
        <w:t xml:space="preserve">  (See </w:t>
      </w:r>
      <w:r w:rsidR="008022A3" w:rsidRPr="008022A3">
        <w:rPr>
          <w:i/>
        </w:rPr>
        <w:t>Adams</w:t>
      </w:r>
      <w:r w:rsidR="008022A3">
        <w:t xml:space="preserve">, </w:t>
      </w:r>
      <w:r w:rsidR="008022A3">
        <w:rPr>
          <w:i/>
        </w:rPr>
        <w:t>supra</w:t>
      </w:r>
      <w:r w:rsidR="008022A3">
        <w:t xml:space="preserve">, 50 Cal.App.3d at </w:t>
      </w:r>
      <w:r w:rsidR="00E31F16">
        <w:t>pp.</w:t>
      </w:r>
      <w:r w:rsidR="008022A3">
        <w:t xml:space="preserve"> 39-41</w:t>
      </w:r>
      <w:r w:rsidR="00E31F16">
        <w:t>.)</w:t>
      </w:r>
    </w:p>
  </w:footnote>
  <w:footnote w:id="4">
    <w:p w14:paraId="6F35B20B" w14:textId="62604D48" w:rsidR="000E6241" w:rsidRDefault="000E6241" w:rsidP="00BF781D">
      <w:pPr>
        <w:pStyle w:val="FootnoteText"/>
      </w:pPr>
      <w:r>
        <w:rPr>
          <w:rStyle w:val="FootnoteReference"/>
        </w:rPr>
        <w:footnoteRef/>
      </w:r>
      <w:r>
        <w:t xml:space="preserve"> </w:t>
      </w:r>
      <w:r>
        <w:tab/>
      </w:r>
      <w:r w:rsidRPr="00D96FD2">
        <w:t xml:space="preserve">The “ordinary standards of demurrer review still apply” even though </w:t>
      </w:r>
      <w:r w:rsidR="00900C1B">
        <w:t>this</w:t>
      </w:r>
      <w:r w:rsidRPr="00D96FD2">
        <w:t xml:space="preserve"> case “arrived at the Court of Appeal by the unusual path of a writ petition challenging an order overruling a demurrer.”  (</w:t>
      </w:r>
      <w:r w:rsidRPr="00D96FD2">
        <w:rPr>
          <w:i/>
          <w:iCs/>
        </w:rPr>
        <w:t>City of Stockton v. Superior Court</w:t>
      </w:r>
      <w:r w:rsidRPr="00D96FD2">
        <w:t> (2007) 42 Cal.4th 730, 746-747.)</w:t>
      </w:r>
    </w:p>
  </w:footnote>
  <w:footnote w:id="5">
    <w:p w14:paraId="00CAF8A0" w14:textId="7CD44949" w:rsidR="000E6241" w:rsidRDefault="000E6241">
      <w:pPr>
        <w:pStyle w:val="FootnoteText"/>
      </w:pPr>
      <w:r>
        <w:rPr>
          <w:rStyle w:val="FootnoteReference"/>
        </w:rPr>
        <w:footnoteRef/>
      </w:r>
      <w:r>
        <w:t xml:space="preserve"> </w:t>
      </w:r>
      <w:r>
        <w:tab/>
      </w:r>
      <w:r w:rsidRPr="00E84289">
        <w:t xml:space="preserve">Having concluded in </w:t>
      </w:r>
      <w:proofErr w:type="spellStart"/>
      <w:r w:rsidRPr="00E84289">
        <w:rPr>
          <w:i/>
        </w:rPr>
        <w:t>J’Aire</w:t>
      </w:r>
      <w:proofErr w:type="spellEnd"/>
      <w:r w:rsidRPr="00E84289">
        <w:rPr>
          <w:i/>
        </w:rPr>
        <w:t xml:space="preserve"> </w:t>
      </w:r>
      <w:r w:rsidRPr="00E84289">
        <w:t xml:space="preserve">that recovery for </w:t>
      </w:r>
      <w:r>
        <w:t xml:space="preserve">foreseeable </w:t>
      </w:r>
      <w:r w:rsidRPr="00E84289">
        <w:t xml:space="preserve">purely economic losses “should not be foreclosed simply because it is the only injury that occurs,” we disapproved the Court of Appeal’s decision in </w:t>
      </w:r>
      <w:r w:rsidRPr="00E84289">
        <w:rPr>
          <w:i/>
        </w:rPr>
        <w:t>Adams</w:t>
      </w:r>
      <w:r w:rsidRPr="00E84289">
        <w:t xml:space="preserve"> “[t]o the extent that [it] h[</w:t>
      </w:r>
      <w:proofErr w:type="spellStart"/>
      <w:r w:rsidRPr="00E84289">
        <w:t>eld</w:t>
      </w:r>
      <w:proofErr w:type="spellEnd"/>
      <w:r w:rsidRPr="00E84289">
        <w:t>] that there can be no recovery for negligent interference with prospective economic advantage.”  (</w:t>
      </w:r>
      <w:proofErr w:type="spellStart"/>
      <w:r w:rsidRPr="00E84289">
        <w:rPr>
          <w:i/>
        </w:rPr>
        <w:t>J’Aire</w:t>
      </w:r>
      <w:proofErr w:type="spellEnd"/>
      <w:r w:rsidRPr="00E84289">
        <w:t xml:space="preserve">, </w:t>
      </w:r>
      <w:r w:rsidR="00995A5A">
        <w:rPr>
          <w:i/>
        </w:rPr>
        <w:t>supra</w:t>
      </w:r>
      <w:r w:rsidR="00995A5A">
        <w:t xml:space="preserve">, </w:t>
      </w:r>
      <w:r w:rsidRPr="00E84289">
        <w:t xml:space="preserve">24 Cal.3d at pp. 806-807 &amp; fn. 3.)  So as the Court of Appeal recognized, </w:t>
      </w:r>
      <w:proofErr w:type="spellStart"/>
      <w:r w:rsidRPr="00E84289">
        <w:rPr>
          <w:i/>
        </w:rPr>
        <w:t>J’Aire</w:t>
      </w:r>
      <w:proofErr w:type="spellEnd"/>
      <w:r w:rsidRPr="00E84289">
        <w:t xml:space="preserve"> disapproved </w:t>
      </w:r>
      <w:r w:rsidRPr="00E84289">
        <w:rPr>
          <w:i/>
        </w:rPr>
        <w:t>Adams</w:t>
      </w:r>
      <w:r w:rsidRPr="00E84289">
        <w:t xml:space="preserve"> only to the extent it purported to impose an absolute rule that a plaintiff can </w:t>
      </w:r>
      <w:r w:rsidRPr="00E84289">
        <w:rPr>
          <w:i/>
        </w:rPr>
        <w:t>never</w:t>
      </w:r>
      <w:r w:rsidRPr="00E84289">
        <w:t xml:space="preserve"> recover for </w:t>
      </w:r>
      <w:r w:rsidR="00525F39">
        <w:t xml:space="preserve">negligently inflicted </w:t>
      </w:r>
      <w:r w:rsidRPr="00E84289">
        <w:t>purely economic losses.</w:t>
      </w:r>
    </w:p>
  </w:footnote>
  <w:footnote w:id="6">
    <w:p w14:paraId="05B0CA53" w14:textId="0F39F4F6" w:rsidR="000E6241" w:rsidRDefault="000E6241">
      <w:pPr>
        <w:pStyle w:val="FootnoteText"/>
      </w:pPr>
      <w:r>
        <w:rPr>
          <w:rStyle w:val="FootnoteReference"/>
        </w:rPr>
        <w:footnoteRef/>
      </w:r>
      <w:r>
        <w:t xml:space="preserve"> </w:t>
      </w:r>
      <w:r>
        <w:tab/>
      </w:r>
      <w:r w:rsidRPr="005F2D00">
        <w:t xml:space="preserve">We </w:t>
      </w:r>
      <w:r>
        <w:t xml:space="preserve">of course </w:t>
      </w:r>
      <w:r w:rsidRPr="005F2D00">
        <w:t xml:space="preserve">determine foreseeability not by reference to specific parties but instead based on the general sort of conduct at issue.  (See </w:t>
      </w:r>
      <w:proofErr w:type="spellStart"/>
      <w:r w:rsidRPr="005F2D00">
        <w:rPr>
          <w:i/>
          <w:iCs/>
        </w:rPr>
        <w:t>Kesner</w:t>
      </w:r>
      <w:proofErr w:type="spellEnd"/>
      <w:r w:rsidRPr="005F2D00">
        <w:rPr>
          <w:iCs/>
        </w:rPr>
        <w:t xml:space="preserve">, </w:t>
      </w:r>
      <w:r w:rsidR="00862B88">
        <w:rPr>
          <w:i/>
          <w:iCs/>
        </w:rPr>
        <w:t>supra</w:t>
      </w:r>
      <w:r w:rsidR="00862B88">
        <w:rPr>
          <w:iCs/>
        </w:rPr>
        <w:t xml:space="preserve">, </w:t>
      </w:r>
      <w:r w:rsidRPr="005F2D00">
        <w:t>1 Cal.5th at p. 1145.)</w:t>
      </w:r>
    </w:p>
  </w:footnote>
  <w:footnote w:id="7">
    <w:p w14:paraId="6A4E8E78" w14:textId="3C538287" w:rsidR="000E6241" w:rsidRDefault="000E6241">
      <w:pPr>
        <w:pStyle w:val="FootnoteText"/>
      </w:pPr>
      <w:r>
        <w:rPr>
          <w:rStyle w:val="FootnoteReference"/>
        </w:rPr>
        <w:footnoteRef/>
      </w:r>
      <w:r>
        <w:t xml:space="preserve"> </w:t>
      </w:r>
      <w:r>
        <w:tab/>
      </w:r>
      <w:r w:rsidRPr="00597178">
        <w:t>(See</w:t>
      </w:r>
      <w:r>
        <w:t>, e.g.,</w:t>
      </w:r>
      <w:r w:rsidRPr="00597178">
        <w:t xml:space="preserve"> </w:t>
      </w:r>
      <w:proofErr w:type="spellStart"/>
      <w:r w:rsidRPr="00597178">
        <w:rPr>
          <w:i/>
          <w:iCs/>
        </w:rPr>
        <w:t>Goonewardene</w:t>
      </w:r>
      <w:proofErr w:type="spellEnd"/>
      <w:r w:rsidRPr="00597178">
        <w:rPr>
          <w:i/>
          <w:iCs/>
        </w:rPr>
        <w:t xml:space="preserve"> v. ADP, LLC</w:t>
      </w:r>
      <w:r w:rsidR="001F2931">
        <w:t xml:space="preserve"> </w:t>
      </w:r>
      <w:r w:rsidRPr="00597178">
        <w:t xml:space="preserve">(2019) 6 Cal.5th 817, </w:t>
      </w:r>
      <w:r w:rsidR="00B743CB">
        <w:t>820</w:t>
      </w:r>
      <w:r w:rsidRPr="00597178">
        <w:t xml:space="preserve"> [purely economic losses stemming from payroll company’s alleged miscalculation of wages]; </w:t>
      </w:r>
      <w:r w:rsidRPr="00597178">
        <w:rPr>
          <w:i/>
        </w:rPr>
        <w:t>Centinela</w:t>
      </w:r>
      <w:r w:rsidRPr="00597178">
        <w:t xml:space="preserve">, </w:t>
      </w:r>
      <w:r w:rsidR="00E02768">
        <w:rPr>
          <w:i/>
        </w:rPr>
        <w:t>supra</w:t>
      </w:r>
      <w:r w:rsidR="00E02768">
        <w:t xml:space="preserve">, </w:t>
      </w:r>
      <w:r w:rsidRPr="00597178">
        <w:t>1</w:t>
      </w:r>
      <w:r w:rsidR="005015B2">
        <w:t> </w:t>
      </w:r>
      <w:r w:rsidRPr="00597178">
        <w:t xml:space="preserve">Cal.5th at p. 1013 [purely economic losses stemming from health care plan’s delegation of financial responsibility to pay emergency service claims to third parties]; </w:t>
      </w:r>
      <w:proofErr w:type="spellStart"/>
      <w:r w:rsidRPr="00597178">
        <w:rPr>
          <w:i/>
        </w:rPr>
        <w:t>Quelimane</w:t>
      </w:r>
      <w:proofErr w:type="spellEnd"/>
      <w:r w:rsidRPr="00597178">
        <w:t xml:space="preserve">, </w:t>
      </w:r>
      <w:r w:rsidR="00F37DD6">
        <w:rPr>
          <w:i/>
        </w:rPr>
        <w:t>supra</w:t>
      </w:r>
      <w:r w:rsidR="00F37DD6">
        <w:t xml:space="preserve">, </w:t>
      </w:r>
      <w:r w:rsidRPr="00597178">
        <w:t>19</w:t>
      </w:r>
      <w:r w:rsidR="005015B2">
        <w:t> </w:t>
      </w:r>
      <w:r w:rsidRPr="00597178">
        <w:t>Cal.4th at pp. 57-60 [purely economic losses stemming from defendant’s refusal to issue title insurance policies on real property].)</w:t>
      </w:r>
    </w:p>
  </w:footnote>
  <w:footnote w:id="8">
    <w:p w14:paraId="62BC7F65" w14:textId="03DC056F" w:rsidR="000E6241" w:rsidRDefault="000E6241">
      <w:pPr>
        <w:pStyle w:val="FootnoteText"/>
      </w:pPr>
      <w:r>
        <w:rPr>
          <w:rStyle w:val="FootnoteReference"/>
        </w:rPr>
        <w:footnoteRef/>
      </w:r>
      <w:r>
        <w:t xml:space="preserve"> </w:t>
      </w:r>
      <w:r>
        <w:tab/>
        <w:t>Although</w:t>
      </w:r>
      <w:r w:rsidRPr="00350F9B">
        <w:t xml:space="preserve"> the Alaska Supreme Court </w:t>
      </w:r>
      <w:r>
        <w:t xml:space="preserve">discussed </w:t>
      </w:r>
      <w:r w:rsidRPr="00350F9B">
        <w:rPr>
          <w:i/>
        </w:rPr>
        <w:t>People Express</w:t>
      </w:r>
      <w:r>
        <w:rPr>
          <w:i/>
        </w:rPr>
        <w:t xml:space="preserve"> </w:t>
      </w:r>
      <w:r w:rsidRPr="00350F9B">
        <w:t>in</w:t>
      </w:r>
      <w:r>
        <w:t xml:space="preserve"> a positive light in</w:t>
      </w:r>
      <w:r w:rsidRPr="00350F9B">
        <w:t xml:space="preserve"> </w:t>
      </w:r>
      <w:r w:rsidRPr="00350F9B">
        <w:rPr>
          <w:i/>
          <w:iCs/>
        </w:rPr>
        <w:t>Mattingly v. Sheldon Jackson College</w:t>
      </w:r>
      <w:r>
        <w:t xml:space="preserve"> </w:t>
      </w:r>
      <w:r w:rsidRPr="00350F9B">
        <w:t>(Alaska 1987) 743 P.2d 356, it did so while allowing a contractor to recover purely economic losses suffered from the collapse of a trench that was dug specifically “so that his employees could work in it.”  (</w:t>
      </w:r>
      <w:r w:rsidRPr="00350F9B">
        <w:rPr>
          <w:i/>
        </w:rPr>
        <w:t>Id.</w:t>
      </w:r>
      <w:r w:rsidRPr="00350F9B">
        <w:t xml:space="preserve"> at pp. 359-361.)  </w:t>
      </w:r>
      <w:r w:rsidRPr="00350F9B">
        <w:rPr>
          <w:i/>
        </w:rPr>
        <w:t xml:space="preserve">Mattingly </w:t>
      </w:r>
      <w:r w:rsidRPr="00350F9B">
        <w:t xml:space="preserve">thus resembles our special relationship precedents far more so than </w:t>
      </w:r>
      <w:r w:rsidRPr="00350F9B">
        <w:rPr>
          <w:i/>
        </w:rPr>
        <w:t>People Express</w:t>
      </w:r>
      <w:r w:rsidRPr="00350F9B">
        <w:t xml:space="preserve"> — or this case.</w:t>
      </w:r>
    </w:p>
  </w:footnote>
  <w:footnote w:id="9">
    <w:p w14:paraId="2179C6E3" w14:textId="5386F6F9" w:rsidR="000E6241" w:rsidRDefault="000E6241">
      <w:pPr>
        <w:pStyle w:val="FootnoteText"/>
      </w:pPr>
      <w:r>
        <w:rPr>
          <w:rStyle w:val="FootnoteReference"/>
        </w:rPr>
        <w:footnoteRef/>
      </w:r>
      <w:r>
        <w:t xml:space="preserve"> </w:t>
      </w:r>
      <w:r>
        <w:tab/>
      </w:r>
      <w:r w:rsidRPr="00802CB9">
        <w:t xml:space="preserve">We express no view on whether, or to what extent, these line-drawing problems persist (or dissipate) in cyberspace.  (See, e.g., </w:t>
      </w:r>
      <w:proofErr w:type="spellStart"/>
      <w:r w:rsidRPr="00802CB9">
        <w:rPr>
          <w:i/>
          <w:iCs/>
        </w:rPr>
        <w:t>Dittman</w:t>
      </w:r>
      <w:proofErr w:type="spellEnd"/>
      <w:r w:rsidRPr="00802CB9">
        <w:rPr>
          <w:i/>
          <w:iCs/>
        </w:rPr>
        <w:t xml:space="preserve"> v. UPMC</w:t>
      </w:r>
      <w:r w:rsidRPr="00802CB9">
        <w:t xml:space="preserve"> (Pa. 2018) 196 A.3d 1036, 1038 [considering whether to impose a tort duty </w:t>
      </w:r>
      <w:r w:rsidR="00937AD6">
        <w:t>to guard against “purely pecuniary” losses stemming from a data breach</w:t>
      </w:r>
      <w:r w:rsidRPr="00802CB9">
        <w:t>].)</w:t>
      </w:r>
    </w:p>
  </w:footnote>
  <w:footnote w:id="10">
    <w:p w14:paraId="4C376825" w14:textId="02272492" w:rsidR="000E6241" w:rsidRDefault="000E6241">
      <w:pPr>
        <w:pStyle w:val="FootnoteText"/>
      </w:pPr>
      <w:r>
        <w:rPr>
          <w:rStyle w:val="FootnoteReference"/>
        </w:rPr>
        <w:footnoteRef/>
      </w:r>
      <w:r>
        <w:t xml:space="preserve"> </w:t>
      </w:r>
      <w:r>
        <w:tab/>
      </w:r>
      <w:r w:rsidRPr="00FA270B">
        <w:t>The United States Congress has passed similar legislation.  (See 33 U.S.C. § 2702(b)(2)(E).)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F3F1" w14:textId="77777777" w:rsidR="000E6241" w:rsidRDefault="000E6241">
    <w:pPr>
      <w:pStyle w:val="Header"/>
    </w:pPr>
    <w:r>
      <w:t>SOUTHERN CALIFORNIA GAS LEAK CASES</w:t>
    </w:r>
  </w:p>
  <w:p w14:paraId="71E24249" w14:textId="77777777" w:rsidR="000E6241" w:rsidRDefault="000E6241">
    <w:pPr>
      <w:pStyle w:val="Header"/>
    </w:pPr>
    <w:r>
      <w:t>Opinion of the Court by Cuéllar, J.</w:t>
    </w:r>
  </w:p>
  <w:p w14:paraId="1015CD47" w14:textId="77777777" w:rsidR="000E6241" w:rsidRDefault="000E6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D285" w14:textId="77777777" w:rsidR="004A4112" w:rsidRDefault="00230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3B3D" w14:textId="77777777" w:rsidR="004A4112" w:rsidRDefault="00230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9A7A" w14:textId="77777777" w:rsidR="004A4112" w:rsidRDefault="0023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DB9"/>
    <w:multiLevelType w:val="hybridMultilevel"/>
    <w:tmpl w:val="94146A0E"/>
    <w:lvl w:ilvl="0" w:tplc="28862A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67574"/>
    <w:multiLevelType w:val="hybridMultilevel"/>
    <w:tmpl w:val="F7B68562"/>
    <w:lvl w:ilvl="0" w:tplc="D4F4448C">
      <w:start w:val="1"/>
      <w:numFmt w:val="upperRoman"/>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37C655EE"/>
    <w:multiLevelType w:val="hybridMultilevel"/>
    <w:tmpl w:val="B4081192"/>
    <w:lvl w:ilvl="0" w:tplc="53509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C3797"/>
    <w:multiLevelType w:val="hybridMultilevel"/>
    <w:tmpl w:val="AD94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9D4B5F"/>
    <w:multiLevelType w:val="hybridMultilevel"/>
    <w:tmpl w:val="62885064"/>
    <w:lvl w:ilvl="0" w:tplc="FC6422E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removePersonalInformation/>
  <w:removeDateAndTime/>
  <w:printFractionalCharacterWidth/>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9"/>
    <w:rsid w:val="00001AF4"/>
    <w:rsid w:val="00002119"/>
    <w:rsid w:val="00002A1E"/>
    <w:rsid w:val="000038A5"/>
    <w:rsid w:val="00005E5B"/>
    <w:rsid w:val="00006490"/>
    <w:rsid w:val="00007224"/>
    <w:rsid w:val="00007572"/>
    <w:rsid w:val="000077B8"/>
    <w:rsid w:val="00007984"/>
    <w:rsid w:val="000100A0"/>
    <w:rsid w:val="00010504"/>
    <w:rsid w:val="000116FE"/>
    <w:rsid w:val="00012544"/>
    <w:rsid w:val="00012DE2"/>
    <w:rsid w:val="00012FD5"/>
    <w:rsid w:val="00012FE0"/>
    <w:rsid w:val="00014000"/>
    <w:rsid w:val="00015C3C"/>
    <w:rsid w:val="00015CF3"/>
    <w:rsid w:val="00017516"/>
    <w:rsid w:val="000203E7"/>
    <w:rsid w:val="00022199"/>
    <w:rsid w:val="00022CDC"/>
    <w:rsid w:val="000236A0"/>
    <w:rsid w:val="00024CB3"/>
    <w:rsid w:val="0002560B"/>
    <w:rsid w:val="00025930"/>
    <w:rsid w:val="00025DD4"/>
    <w:rsid w:val="00030507"/>
    <w:rsid w:val="0003093E"/>
    <w:rsid w:val="00031594"/>
    <w:rsid w:val="0003161B"/>
    <w:rsid w:val="000319AB"/>
    <w:rsid w:val="00031C01"/>
    <w:rsid w:val="00032C42"/>
    <w:rsid w:val="00032CBB"/>
    <w:rsid w:val="0003448A"/>
    <w:rsid w:val="00035E0F"/>
    <w:rsid w:val="00036038"/>
    <w:rsid w:val="00037619"/>
    <w:rsid w:val="0004037D"/>
    <w:rsid w:val="000403B7"/>
    <w:rsid w:val="000411B5"/>
    <w:rsid w:val="00041A30"/>
    <w:rsid w:val="00041D89"/>
    <w:rsid w:val="00041DD2"/>
    <w:rsid w:val="00041DF0"/>
    <w:rsid w:val="00044911"/>
    <w:rsid w:val="00044B64"/>
    <w:rsid w:val="00044C08"/>
    <w:rsid w:val="00046130"/>
    <w:rsid w:val="00046C29"/>
    <w:rsid w:val="0004719B"/>
    <w:rsid w:val="000473D5"/>
    <w:rsid w:val="000479B1"/>
    <w:rsid w:val="00050068"/>
    <w:rsid w:val="0005109A"/>
    <w:rsid w:val="0005119E"/>
    <w:rsid w:val="00051602"/>
    <w:rsid w:val="00051DA9"/>
    <w:rsid w:val="00051F81"/>
    <w:rsid w:val="000523B6"/>
    <w:rsid w:val="00053D5F"/>
    <w:rsid w:val="00053D8D"/>
    <w:rsid w:val="000550C5"/>
    <w:rsid w:val="000550D1"/>
    <w:rsid w:val="00055825"/>
    <w:rsid w:val="00055841"/>
    <w:rsid w:val="00056DBA"/>
    <w:rsid w:val="00057ACD"/>
    <w:rsid w:val="00057BB9"/>
    <w:rsid w:val="00061A55"/>
    <w:rsid w:val="00062555"/>
    <w:rsid w:val="000632F6"/>
    <w:rsid w:val="000643CF"/>
    <w:rsid w:val="00064A6F"/>
    <w:rsid w:val="000706FE"/>
    <w:rsid w:val="000710B8"/>
    <w:rsid w:val="00071F8F"/>
    <w:rsid w:val="00072544"/>
    <w:rsid w:val="0007330A"/>
    <w:rsid w:val="00073821"/>
    <w:rsid w:val="00073D10"/>
    <w:rsid w:val="0007586A"/>
    <w:rsid w:val="00076CB9"/>
    <w:rsid w:val="00080C97"/>
    <w:rsid w:val="00081561"/>
    <w:rsid w:val="00081D79"/>
    <w:rsid w:val="00081E9F"/>
    <w:rsid w:val="00082048"/>
    <w:rsid w:val="000822A7"/>
    <w:rsid w:val="0008266E"/>
    <w:rsid w:val="00082A21"/>
    <w:rsid w:val="00084602"/>
    <w:rsid w:val="00084629"/>
    <w:rsid w:val="00084AF4"/>
    <w:rsid w:val="00084D39"/>
    <w:rsid w:val="0008602A"/>
    <w:rsid w:val="00087208"/>
    <w:rsid w:val="0008758E"/>
    <w:rsid w:val="000879FE"/>
    <w:rsid w:val="0009018B"/>
    <w:rsid w:val="00090D96"/>
    <w:rsid w:val="00091D56"/>
    <w:rsid w:val="000927D2"/>
    <w:rsid w:val="00092C9B"/>
    <w:rsid w:val="0009324F"/>
    <w:rsid w:val="000932D9"/>
    <w:rsid w:val="00093434"/>
    <w:rsid w:val="00093D22"/>
    <w:rsid w:val="00093EF7"/>
    <w:rsid w:val="00093F4B"/>
    <w:rsid w:val="0009513C"/>
    <w:rsid w:val="00096928"/>
    <w:rsid w:val="00096BF0"/>
    <w:rsid w:val="000978BF"/>
    <w:rsid w:val="00097CFE"/>
    <w:rsid w:val="000A0116"/>
    <w:rsid w:val="000A071D"/>
    <w:rsid w:val="000A08E2"/>
    <w:rsid w:val="000A1B9D"/>
    <w:rsid w:val="000A2714"/>
    <w:rsid w:val="000A2729"/>
    <w:rsid w:val="000A4D85"/>
    <w:rsid w:val="000A523D"/>
    <w:rsid w:val="000A5F3E"/>
    <w:rsid w:val="000A6923"/>
    <w:rsid w:val="000A70F3"/>
    <w:rsid w:val="000A71D7"/>
    <w:rsid w:val="000A74F6"/>
    <w:rsid w:val="000B0488"/>
    <w:rsid w:val="000B0AA0"/>
    <w:rsid w:val="000B0BA6"/>
    <w:rsid w:val="000B303C"/>
    <w:rsid w:val="000B3203"/>
    <w:rsid w:val="000B3693"/>
    <w:rsid w:val="000B36C6"/>
    <w:rsid w:val="000B371D"/>
    <w:rsid w:val="000B3BC2"/>
    <w:rsid w:val="000B3CB3"/>
    <w:rsid w:val="000B3DB1"/>
    <w:rsid w:val="000B41D1"/>
    <w:rsid w:val="000B427E"/>
    <w:rsid w:val="000B428B"/>
    <w:rsid w:val="000B72E5"/>
    <w:rsid w:val="000B7BA0"/>
    <w:rsid w:val="000C0712"/>
    <w:rsid w:val="000C1785"/>
    <w:rsid w:val="000C1AB7"/>
    <w:rsid w:val="000C1AED"/>
    <w:rsid w:val="000C2B56"/>
    <w:rsid w:val="000C3AB9"/>
    <w:rsid w:val="000C4A92"/>
    <w:rsid w:val="000C4CFC"/>
    <w:rsid w:val="000C57F2"/>
    <w:rsid w:val="000C67E6"/>
    <w:rsid w:val="000C6E95"/>
    <w:rsid w:val="000C7694"/>
    <w:rsid w:val="000C7864"/>
    <w:rsid w:val="000C7F3A"/>
    <w:rsid w:val="000D009D"/>
    <w:rsid w:val="000D0498"/>
    <w:rsid w:val="000D0578"/>
    <w:rsid w:val="000D1652"/>
    <w:rsid w:val="000D180D"/>
    <w:rsid w:val="000D1B6F"/>
    <w:rsid w:val="000D2200"/>
    <w:rsid w:val="000D2294"/>
    <w:rsid w:val="000D3201"/>
    <w:rsid w:val="000D3311"/>
    <w:rsid w:val="000D4631"/>
    <w:rsid w:val="000D57B2"/>
    <w:rsid w:val="000D63C6"/>
    <w:rsid w:val="000D6464"/>
    <w:rsid w:val="000E1422"/>
    <w:rsid w:val="000E1751"/>
    <w:rsid w:val="000E1FF0"/>
    <w:rsid w:val="000E2C3F"/>
    <w:rsid w:val="000E2F21"/>
    <w:rsid w:val="000E3B87"/>
    <w:rsid w:val="000E3C52"/>
    <w:rsid w:val="000E3EA6"/>
    <w:rsid w:val="000E4465"/>
    <w:rsid w:val="000E6241"/>
    <w:rsid w:val="000E73D7"/>
    <w:rsid w:val="000E7CB5"/>
    <w:rsid w:val="000E7FFC"/>
    <w:rsid w:val="000F0090"/>
    <w:rsid w:val="000F1314"/>
    <w:rsid w:val="000F34E2"/>
    <w:rsid w:val="000F3915"/>
    <w:rsid w:val="000F42F3"/>
    <w:rsid w:val="000F4CD9"/>
    <w:rsid w:val="000F4CEE"/>
    <w:rsid w:val="000F4E1E"/>
    <w:rsid w:val="000F5254"/>
    <w:rsid w:val="000F5FF0"/>
    <w:rsid w:val="000F653C"/>
    <w:rsid w:val="000F6E9A"/>
    <w:rsid w:val="000F762D"/>
    <w:rsid w:val="001007F8"/>
    <w:rsid w:val="00101C3A"/>
    <w:rsid w:val="00102AD3"/>
    <w:rsid w:val="0010383E"/>
    <w:rsid w:val="001042D7"/>
    <w:rsid w:val="00105C7C"/>
    <w:rsid w:val="00105D46"/>
    <w:rsid w:val="00107DFA"/>
    <w:rsid w:val="00107F4B"/>
    <w:rsid w:val="00110553"/>
    <w:rsid w:val="001109C3"/>
    <w:rsid w:val="00110D39"/>
    <w:rsid w:val="00110D77"/>
    <w:rsid w:val="00111482"/>
    <w:rsid w:val="001114BC"/>
    <w:rsid w:val="00112D80"/>
    <w:rsid w:val="001138C8"/>
    <w:rsid w:val="00113BFB"/>
    <w:rsid w:val="00113D26"/>
    <w:rsid w:val="00114133"/>
    <w:rsid w:val="00114694"/>
    <w:rsid w:val="00114CB4"/>
    <w:rsid w:val="00116F4B"/>
    <w:rsid w:val="00117153"/>
    <w:rsid w:val="00117DD2"/>
    <w:rsid w:val="001201F9"/>
    <w:rsid w:val="0012024B"/>
    <w:rsid w:val="00120A0C"/>
    <w:rsid w:val="00120DFB"/>
    <w:rsid w:val="0012129C"/>
    <w:rsid w:val="0012257C"/>
    <w:rsid w:val="001228CF"/>
    <w:rsid w:val="0012586A"/>
    <w:rsid w:val="00125EC4"/>
    <w:rsid w:val="00127BD0"/>
    <w:rsid w:val="00130157"/>
    <w:rsid w:val="00130841"/>
    <w:rsid w:val="001318C3"/>
    <w:rsid w:val="001319D8"/>
    <w:rsid w:val="00131EEF"/>
    <w:rsid w:val="001320B3"/>
    <w:rsid w:val="001332C4"/>
    <w:rsid w:val="00133F77"/>
    <w:rsid w:val="00134690"/>
    <w:rsid w:val="00135A98"/>
    <w:rsid w:val="00135F51"/>
    <w:rsid w:val="00136A32"/>
    <w:rsid w:val="00137021"/>
    <w:rsid w:val="0013737A"/>
    <w:rsid w:val="001373E5"/>
    <w:rsid w:val="00137947"/>
    <w:rsid w:val="001400F2"/>
    <w:rsid w:val="00140D00"/>
    <w:rsid w:val="0014109B"/>
    <w:rsid w:val="00141508"/>
    <w:rsid w:val="0014250C"/>
    <w:rsid w:val="00142E4A"/>
    <w:rsid w:val="00143F02"/>
    <w:rsid w:val="001441BC"/>
    <w:rsid w:val="001442B3"/>
    <w:rsid w:val="0014456A"/>
    <w:rsid w:val="00144900"/>
    <w:rsid w:val="00144C8A"/>
    <w:rsid w:val="0014553A"/>
    <w:rsid w:val="0014559A"/>
    <w:rsid w:val="00146652"/>
    <w:rsid w:val="00146BD8"/>
    <w:rsid w:val="00147088"/>
    <w:rsid w:val="001472A5"/>
    <w:rsid w:val="00150152"/>
    <w:rsid w:val="001504F1"/>
    <w:rsid w:val="0015058D"/>
    <w:rsid w:val="00150B8E"/>
    <w:rsid w:val="00150D27"/>
    <w:rsid w:val="00150DB4"/>
    <w:rsid w:val="00151DAB"/>
    <w:rsid w:val="00152908"/>
    <w:rsid w:val="00152FF4"/>
    <w:rsid w:val="001534C4"/>
    <w:rsid w:val="0015442A"/>
    <w:rsid w:val="001554AE"/>
    <w:rsid w:val="0015629C"/>
    <w:rsid w:val="0015655C"/>
    <w:rsid w:val="0016074D"/>
    <w:rsid w:val="00161E88"/>
    <w:rsid w:val="00162215"/>
    <w:rsid w:val="00163472"/>
    <w:rsid w:val="00163E5F"/>
    <w:rsid w:val="001654DC"/>
    <w:rsid w:val="00165857"/>
    <w:rsid w:val="00165860"/>
    <w:rsid w:val="001663CC"/>
    <w:rsid w:val="0016683D"/>
    <w:rsid w:val="00167A43"/>
    <w:rsid w:val="00170502"/>
    <w:rsid w:val="00170CD1"/>
    <w:rsid w:val="00170DC2"/>
    <w:rsid w:val="001717C0"/>
    <w:rsid w:val="001721D3"/>
    <w:rsid w:val="00172DEA"/>
    <w:rsid w:val="00173DD8"/>
    <w:rsid w:val="00174031"/>
    <w:rsid w:val="00175532"/>
    <w:rsid w:val="00175A91"/>
    <w:rsid w:val="001769F7"/>
    <w:rsid w:val="00181666"/>
    <w:rsid w:val="0018241D"/>
    <w:rsid w:val="00182706"/>
    <w:rsid w:val="00182A8C"/>
    <w:rsid w:val="00182D80"/>
    <w:rsid w:val="00183FFE"/>
    <w:rsid w:val="00184206"/>
    <w:rsid w:val="00184B02"/>
    <w:rsid w:val="0018598F"/>
    <w:rsid w:val="00185D4F"/>
    <w:rsid w:val="001872CC"/>
    <w:rsid w:val="001901DB"/>
    <w:rsid w:val="00190516"/>
    <w:rsid w:val="00191899"/>
    <w:rsid w:val="00192C85"/>
    <w:rsid w:val="00192EF7"/>
    <w:rsid w:val="00193266"/>
    <w:rsid w:val="0019363E"/>
    <w:rsid w:val="0019465A"/>
    <w:rsid w:val="00194A05"/>
    <w:rsid w:val="00194F48"/>
    <w:rsid w:val="00194FFC"/>
    <w:rsid w:val="001956F3"/>
    <w:rsid w:val="0019684B"/>
    <w:rsid w:val="00196D37"/>
    <w:rsid w:val="001972E5"/>
    <w:rsid w:val="001A1CBA"/>
    <w:rsid w:val="001A241E"/>
    <w:rsid w:val="001A2A76"/>
    <w:rsid w:val="001A34E0"/>
    <w:rsid w:val="001A3DF1"/>
    <w:rsid w:val="001A4398"/>
    <w:rsid w:val="001A4833"/>
    <w:rsid w:val="001A491F"/>
    <w:rsid w:val="001A4B27"/>
    <w:rsid w:val="001A5675"/>
    <w:rsid w:val="001A693E"/>
    <w:rsid w:val="001A7269"/>
    <w:rsid w:val="001A7A82"/>
    <w:rsid w:val="001A7CAD"/>
    <w:rsid w:val="001A7F5E"/>
    <w:rsid w:val="001B09C8"/>
    <w:rsid w:val="001B0C5D"/>
    <w:rsid w:val="001B0C7D"/>
    <w:rsid w:val="001B170D"/>
    <w:rsid w:val="001B1AD0"/>
    <w:rsid w:val="001B1E03"/>
    <w:rsid w:val="001B21E9"/>
    <w:rsid w:val="001B2726"/>
    <w:rsid w:val="001B43D1"/>
    <w:rsid w:val="001B4A34"/>
    <w:rsid w:val="001B5FE0"/>
    <w:rsid w:val="001B6225"/>
    <w:rsid w:val="001B62D2"/>
    <w:rsid w:val="001B76F4"/>
    <w:rsid w:val="001B7D20"/>
    <w:rsid w:val="001B7F93"/>
    <w:rsid w:val="001C031D"/>
    <w:rsid w:val="001C03FB"/>
    <w:rsid w:val="001C0F2C"/>
    <w:rsid w:val="001C107F"/>
    <w:rsid w:val="001C1684"/>
    <w:rsid w:val="001C2896"/>
    <w:rsid w:val="001C308C"/>
    <w:rsid w:val="001C312B"/>
    <w:rsid w:val="001C31C6"/>
    <w:rsid w:val="001C34F5"/>
    <w:rsid w:val="001C3C51"/>
    <w:rsid w:val="001C4D04"/>
    <w:rsid w:val="001C4D30"/>
    <w:rsid w:val="001C56A7"/>
    <w:rsid w:val="001C5D32"/>
    <w:rsid w:val="001C6380"/>
    <w:rsid w:val="001C673B"/>
    <w:rsid w:val="001C6FAA"/>
    <w:rsid w:val="001D07ED"/>
    <w:rsid w:val="001D264B"/>
    <w:rsid w:val="001D3001"/>
    <w:rsid w:val="001D3575"/>
    <w:rsid w:val="001D3E78"/>
    <w:rsid w:val="001D40C7"/>
    <w:rsid w:val="001D420D"/>
    <w:rsid w:val="001D474F"/>
    <w:rsid w:val="001D49D8"/>
    <w:rsid w:val="001D4FA5"/>
    <w:rsid w:val="001D56DF"/>
    <w:rsid w:val="001D6A4F"/>
    <w:rsid w:val="001E31CA"/>
    <w:rsid w:val="001E36EA"/>
    <w:rsid w:val="001E3875"/>
    <w:rsid w:val="001E3C9D"/>
    <w:rsid w:val="001E43F7"/>
    <w:rsid w:val="001E4655"/>
    <w:rsid w:val="001E4B59"/>
    <w:rsid w:val="001E526E"/>
    <w:rsid w:val="001E54AD"/>
    <w:rsid w:val="001E5595"/>
    <w:rsid w:val="001E5694"/>
    <w:rsid w:val="001E76C5"/>
    <w:rsid w:val="001F24FA"/>
    <w:rsid w:val="001F2931"/>
    <w:rsid w:val="001F3268"/>
    <w:rsid w:val="001F3B16"/>
    <w:rsid w:val="001F4749"/>
    <w:rsid w:val="001F5AA4"/>
    <w:rsid w:val="001F615E"/>
    <w:rsid w:val="001F65D1"/>
    <w:rsid w:val="001F7E1A"/>
    <w:rsid w:val="00200BA6"/>
    <w:rsid w:val="00201047"/>
    <w:rsid w:val="00201167"/>
    <w:rsid w:val="00201F51"/>
    <w:rsid w:val="002020A1"/>
    <w:rsid w:val="00202C3F"/>
    <w:rsid w:val="00204761"/>
    <w:rsid w:val="00204A24"/>
    <w:rsid w:val="00205306"/>
    <w:rsid w:val="002056EF"/>
    <w:rsid w:val="002059EC"/>
    <w:rsid w:val="00210532"/>
    <w:rsid w:val="00211113"/>
    <w:rsid w:val="00211D66"/>
    <w:rsid w:val="00212235"/>
    <w:rsid w:val="00212571"/>
    <w:rsid w:val="00212645"/>
    <w:rsid w:val="002132E5"/>
    <w:rsid w:val="0021337E"/>
    <w:rsid w:val="002135DB"/>
    <w:rsid w:val="00213E6B"/>
    <w:rsid w:val="00216624"/>
    <w:rsid w:val="002169E7"/>
    <w:rsid w:val="002172EF"/>
    <w:rsid w:val="0022168C"/>
    <w:rsid w:val="002216A7"/>
    <w:rsid w:val="002217C2"/>
    <w:rsid w:val="002223BB"/>
    <w:rsid w:val="002230EE"/>
    <w:rsid w:val="00223A04"/>
    <w:rsid w:val="00223A38"/>
    <w:rsid w:val="0022434A"/>
    <w:rsid w:val="00224543"/>
    <w:rsid w:val="00224686"/>
    <w:rsid w:val="0022538B"/>
    <w:rsid w:val="002253F4"/>
    <w:rsid w:val="00225A94"/>
    <w:rsid w:val="00226599"/>
    <w:rsid w:val="00226614"/>
    <w:rsid w:val="00226936"/>
    <w:rsid w:val="0022765A"/>
    <w:rsid w:val="002278FA"/>
    <w:rsid w:val="0023032B"/>
    <w:rsid w:val="0023069B"/>
    <w:rsid w:val="0023147F"/>
    <w:rsid w:val="002323D1"/>
    <w:rsid w:val="00232A0C"/>
    <w:rsid w:val="002331C7"/>
    <w:rsid w:val="00234355"/>
    <w:rsid w:val="002345AE"/>
    <w:rsid w:val="00234A35"/>
    <w:rsid w:val="00235407"/>
    <w:rsid w:val="002356D8"/>
    <w:rsid w:val="00235958"/>
    <w:rsid w:val="00235BBF"/>
    <w:rsid w:val="00235D57"/>
    <w:rsid w:val="00235D85"/>
    <w:rsid w:val="002363E5"/>
    <w:rsid w:val="00236679"/>
    <w:rsid w:val="0023732F"/>
    <w:rsid w:val="00237DCD"/>
    <w:rsid w:val="002408EF"/>
    <w:rsid w:val="00240BBE"/>
    <w:rsid w:val="00241719"/>
    <w:rsid w:val="002420D8"/>
    <w:rsid w:val="00242713"/>
    <w:rsid w:val="0024361D"/>
    <w:rsid w:val="00247557"/>
    <w:rsid w:val="0025072E"/>
    <w:rsid w:val="00250F2C"/>
    <w:rsid w:val="00251317"/>
    <w:rsid w:val="002518B2"/>
    <w:rsid w:val="00251D06"/>
    <w:rsid w:val="00252BAE"/>
    <w:rsid w:val="00253A9B"/>
    <w:rsid w:val="00254523"/>
    <w:rsid w:val="002557D1"/>
    <w:rsid w:val="00256254"/>
    <w:rsid w:val="0025785E"/>
    <w:rsid w:val="00260370"/>
    <w:rsid w:val="002605FE"/>
    <w:rsid w:val="002608A1"/>
    <w:rsid w:val="00260AB6"/>
    <w:rsid w:val="00260D66"/>
    <w:rsid w:val="00261031"/>
    <w:rsid w:val="00261638"/>
    <w:rsid w:val="00261695"/>
    <w:rsid w:val="00261B48"/>
    <w:rsid w:val="002621E5"/>
    <w:rsid w:val="00263D63"/>
    <w:rsid w:val="002646E7"/>
    <w:rsid w:val="00265632"/>
    <w:rsid w:val="00267679"/>
    <w:rsid w:val="002677AB"/>
    <w:rsid w:val="00267B36"/>
    <w:rsid w:val="00267DF3"/>
    <w:rsid w:val="00270653"/>
    <w:rsid w:val="00270C13"/>
    <w:rsid w:val="002714E1"/>
    <w:rsid w:val="0027294C"/>
    <w:rsid w:val="00272BFA"/>
    <w:rsid w:val="002731C8"/>
    <w:rsid w:val="0027332D"/>
    <w:rsid w:val="002737ED"/>
    <w:rsid w:val="002741CE"/>
    <w:rsid w:val="002751FD"/>
    <w:rsid w:val="00275FAD"/>
    <w:rsid w:val="0027698B"/>
    <w:rsid w:val="002769B4"/>
    <w:rsid w:val="002769EF"/>
    <w:rsid w:val="002773CD"/>
    <w:rsid w:val="002775B0"/>
    <w:rsid w:val="00282230"/>
    <w:rsid w:val="002828B9"/>
    <w:rsid w:val="002840B6"/>
    <w:rsid w:val="00284524"/>
    <w:rsid w:val="00284752"/>
    <w:rsid w:val="00284B08"/>
    <w:rsid w:val="00284DAE"/>
    <w:rsid w:val="00284FE4"/>
    <w:rsid w:val="0028502D"/>
    <w:rsid w:val="00286400"/>
    <w:rsid w:val="00286D49"/>
    <w:rsid w:val="00286E0B"/>
    <w:rsid w:val="0028733D"/>
    <w:rsid w:val="00290B5A"/>
    <w:rsid w:val="002929D6"/>
    <w:rsid w:val="00292B05"/>
    <w:rsid w:val="00293877"/>
    <w:rsid w:val="00294113"/>
    <w:rsid w:val="002946E0"/>
    <w:rsid w:val="00294FA3"/>
    <w:rsid w:val="00295308"/>
    <w:rsid w:val="00295703"/>
    <w:rsid w:val="00295B00"/>
    <w:rsid w:val="002964BA"/>
    <w:rsid w:val="00296655"/>
    <w:rsid w:val="00296B6F"/>
    <w:rsid w:val="00296B92"/>
    <w:rsid w:val="002975CF"/>
    <w:rsid w:val="00297B18"/>
    <w:rsid w:val="002A0626"/>
    <w:rsid w:val="002A20FB"/>
    <w:rsid w:val="002A32DD"/>
    <w:rsid w:val="002A3515"/>
    <w:rsid w:val="002A43C0"/>
    <w:rsid w:val="002A4653"/>
    <w:rsid w:val="002A4B94"/>
    <w:rsid w:val="002A5081"/>
    <w:rsid w:val="002A5177"/>
    <w:rsid w:val="002A570B"/>
    <w:rsid w:val="002A617E"/>
    <w:rsid w:val="002A623D"/>
    <w:rsid w:val="002A65E6"/>
    <w:rsid w:val="002A744B"/>
    <w:rsid w:val="002A7913"/>
    <w:rsid w:val="002B0192"/>
    <w:rsid w:val="002B0833"/>
    <w:rsid w:val="002B0AD4"/>
    <w:rsid w:val="002B10D4"/>
    <w:rsid w:val="002B1329"/>
    <w:rsid w:val="002B28A8"/>
    <w:rsid w:val="002B2A1E"/>
    <w:rsid w:val="002B2FF1"/>
    <w:rsid w:val="002B3475"/>
    <w:rsid w:val="002B3D5B"/>
    <w:rsid w:val="002B43D7"/>
    <w:rsid w:val="002B5790"/>
    <w:rsid w:val="002B66B0"/>
    <w:rsid w:val="002B6DFE"/>
    <w:rsid w:val="002B7464"/>
    <w:rsid w:val="002B77D5"/>
    <w:rsid w:val="002B7E30"/>
    <w:rsid w:val="002C0021"/>
    <w:rsid w:val="002C0053"/>
    <w:rsid w:val="002C0264"/>
    <w:rsid w:val="002C02D6"/>
    <w:rsid w:val="002C0665"/>
    <w:rsid w:val="002C0B2D"/>
    <w:rsid w:val="002C1111"/>
    <w:rsid w:val="002C1329"/>
    <w:rsid w:val="002C1B0E"/>
    <w:rsid w:val="002C320C"/>
    <w:rsid w:val="002C36A9"/>
    <w:rsid w:val="002C3A2D"/>
    <w:rsid w:val="002C4516"/>
    <w:rsid w:val="002C53AC"/>
    <w:rsid w:val="002C559F"/>
    <w:rsid w:val="002C55A6"/>
    <w:rsid w:val="002D0650"/>
    <w:rsid w:val="002D08D0"/>
    <w:rsid w:val="002D108A"/>
    <w:rsid w:val="002D1440"/>
    <w:rsid w:val="002D18A4"/>
    <w:rsid w:val="002D246C"/>
    <w:rsid w:val="002D2B43"/>
    <w:rsid w:val="002D2FE4"/>
    <w:rsid w:val="002D30CC"/>
    <w:rsid w:val="002D5772"/>
    <w:rsid w:val="002D6666"/>
    <w:rsid w:val="002D6F5E"/>
    <w:rsid w:val="002E073A"/>
    <w:rsid w:val="002E1C49"/>
    <w:rsid w:val="002E1C8B"/>
    <w:rsid w:val="002E1CFD"/>
    <w:rsid w:val="002E41BD"/>
    <w:rsid w:val="002E4243"/>
    <w:rsid w:val="002E51F9"/>
    <w:rsid w:val="002E609B"/>
    <w:rsid w:val="002E6978"/>
    <w:rsid w:val="002E6F4E"/>
    <w:rsid w:val="002F1147"/>
    <w:rsid w:val="002F1232"/>
    <w:rsid w:val="002F129F"/>
    <w:rsid w:val="002F13CF"/>
    <w:rsid w:val="002F26E3"/>
    <w:rsid w:val="002F2D87"/>
    <w:rsid w:val="002F3AD4"/>
    <w:rsid w:val="002F434B"/>
    <w:rsid w:val="002F445F"/>
    <w:rsid w:val="002F4C83"/>
    <w:rsid w:val="002F57F7"/>
    <w:rsid w:val="002F5DA1"/>
    <w:rsid w:val="002F64A4"/>
    <w:rsid w:val="002F6718"/>
    <w:rsid w:val="002F729C"/>
    <w:rsid w:val="002F7A53"/>
    <w:rsid w:val="00301865"/>
    <w:rsid w:val="0030203F"/>
    <w:rsid w:val="003029D3"/>
    <w:rsid w:val="00302D1C"/>
    <w:rsid w:val="0030316B"/>
    <w:rsid w:val="0030364F"/>
    <w:rsid w:val="0030414C"/>
    <w:rsid w:val="003049E3"/>
    <w:rsid w:val="003051DB"/>
    <w:rsid w:val="00307242"/>
    <w:rsid w:val="00307694"/>
    <w:rsid w:val="00310321"/>
    <w:rsid w:val="00310357"/>
    <w:rsid w:val="00311C72"/>
    <w:rsid w:val="00311EDB"/>
    <w:rsid w:val="00312F34"/>
    <w:rsid w:val="00313258"/>
    <w:rsid w:val="003150AE"/>
    <w:rsid w:val="003165D4"/>
    <w:rsid w:val="00316892"/>
    <w:rsid w:val="003171CD"/>
    <w:rsid w:val="003171E1"/>
    <w:rsid w:val="00317219"/>
    <w:rsid w:val="00317475"/>
    <w:rsid w:val="00317A5A"/>
    <w:rsid w:val="00317DB4"/>
    <w:rsid w:val="003203CD"/>
    <w:rsid w:val="0032053B"/>
    <w:rsid w:val="00320D3D"/>
    <w:rsid w:val="0032161E"/>
    <w:rsid w:val="003216CF"/>
    <w:rsid w:val="00322919"/>
    <w:rsid w:val="0032330B"/>
    <w:rsid w:val="00323CB7"/>
    <w:rsid w:val="0032416D"/>
    <w:rsid w:val="003249FF"/>
    <w:rsid w:val="00325C85"/>
    <w:rsid w:val="00326654"/>
    <w:rsid w:val="00326658"/>
    <w:rsid w:val="00326D3C"/>
    <w:rsid w:val="00327B2C"/>
    <w:rsid w:val="003304FE"/>
    <w:rsid w:val="003323CD"/>
    <w:rsid w:val="00332825"/>
    <w:rsid w:val="00332FFC"/>
    <w:rsid w:val="00333BD4"/>
    <w:rsid w:val="003352E6"/>
    <w:rsid w:val="00335EC3"/>
    <w:rsid w:val="00335F40"/>
    <w:rsid w:val="00336A8C"/>
    <w:rsid w:val="00336BB2"/>
    <w:rsid w:val="00337585"/>
    <w:rsid w:val="003375E6"/>
    <w:rsid w:val="00337DDA"/>
    <w:rsid w:val="00340BA1"/>
    <w:rsid w:val="00340E14"/>
    <w:rsid w:val="003414CF"/>
    <w:rsid w:val="00341DF0"/>
    <w:rsid w:val="00341FC3"/>
    <w:rsid w:val="00342CD7"/>
    <w:rsid w:val="003430B0"/>
    <w:rsid w:val="0034499C"/>
    <w:rsid w:val="00344B2B"/>
    <w:rsid w:val="00344CFB"/>
    <w:rsid w:val="003452F7"/>
    <w:rsid w:val="00345600"/>
    <w:rsid w:val="00345A05"/>
    <w:rsid w:val="00345DF8"/>
    <w:rsid w:val="00345FE6"/>
    <w:rsid w:val="00346362"/>
    <w:rsid w:val="003465AD"/>
    <w:rsid w:val="00346B92"/>
    <w:rsid w:val="0034778B"/>
    <w:rsid w:val="00347D30"/>
    <w:rsid w:val="00350234"/>
    <w:rsid w:val="00350B26"/>
    <w:rsid w:val="00350BFA"/>
    <w:rsid w:val="00350F9B"/>
    <w:rsid w:val="00352375"/>
    <w:rsid w:val="003531CE"/>
    <w:rsid w:val="00354099"/>
    <w:rsid w:val="003542B3"/>
    <w:rsid w:val="003547B9"/>
    <w:rsid w:val="00354899"/>
    <w:rsid w:val="00354A45"/>
    <w:rsid w:val="00355E9A"/>
    <w:rsid w:val="003562D6"/>
    <w:rsid w:val="003562FD"/>
    <w:rsid w:val="00356963"/>
    <w:rsid w:val="0035739D"/>
    <w:rsid w:val="00357440"/>
    <w:rsid w:val="00360CF6"/>
    <w:rsid w:val="003611F3"/>
    <w:rsid w:val="00361276"/>
    <w:rsid w:val="00361470"/>
    <w:rsid w:val="00361EA5"/>
    <w:rsid w:val="00361F25"/>
    <w:rsid w:val="00363192"/>
    <w:rsid w:val="003636AA"/>
    <w:rsid w:val="00363CE4"/>
    <w:rsid w:val="0036479A"/>
    <w:rsid w:val="00364A6F"/>
    <w:rsid w:val="00364F46"/>
    <w:rsid w:val="00365876"/>
    <w:rsid w:val="00365EC3"/>
    <w:rsid w:val="00366284"/>
    <w:rsid w:val="0036640E"/>
    <w:rsid w:val="003678F8"/>
    <w:rsid w:val="00367A32"/>
    <w:rsid w:val="00370F01"/>
    <w:rsid w:val="00371E62"/>
    <w:rsid w:val="00372B8D"/>
    <w:rsid w:val="00372E48"/>
    <w:rsid w:val="00374ED1"/>
    <w:rsid w:val="003751AF"/>
    <w:rsid w:val="00375652"/>
    <w:rsid w:val="00375739"/>
    <w:rsid w:val="00375876"/>
    <w:rsid w:val="0037599A"/>
    <w:rsid w:val="003761D2"/>
    <w:rsid w:val="003769A8"/>
    <w:rsid w:val="00376F26"/>
    <w:rsid w:val="00377037"/>
    <w:rsid w:val="00377307"/>
    <w:rsid w:val="00381EC2"/>
    <w:rsid w:val="00381FC6"/>
    <w:rsid w:val="003821E1"/>
    <w:rsid w:val="003824AF"/>
    <w:rsid w:val="003826E3"/>
    <w:rsid w:val="00383B1D"/>
    <w:rsid w:val="00385673"/>
    <w:rsid w:val="0038596B"/>
    <w:rsid w:val="00385FA6"/>
    <w:rsid w:val="00386419"/>
    <w:rsid w:val="003864D1"/>
    <w:rsid w:val="00386D17"/>
    <w:rsid w:val="00386DA3"/>
    <w:rsid w:val="00390EC9"/>
    <w:rsid w:val="00391710"/>
    <w:rsid w:val="00391C86"/>
    <w:rsid w:val="00392168"/>
    <w:rsid w:val="003928DE"/>
    <w:rsid w:val="00392933"/>
    <w:rsid w:val="00392F06"/>
    <w:rsid w:val="00394FD0"/>
    <w:rsid w:val="00395631"/>
    <w:rsid w:val="00395D6C"/>
    <w:rsid w:val="00395EEC"/>
    <w:rsid w:val="003966E3"/>
    <w:rsid w:val="00396723"/>
    <w:rsid w:val="0039672F"/>
    <w:rsid w:val="003976A3"/>
    <w:rsid w:val="003979BA"/>
    <w:rsid w:val="00397A41"/>
    <w:rsid w:val="003A16B1"/>
    <w:rsid w:val="003A27EE"/>
    <w:rsid w:val="003A315C"/>
    <w:rsid w:val="003A3532"/>
    <w:rsid w:val="003A3F35"/>
    <w:rsid w:val="003A51F3"/>
    <w:rsid w:val="003A5AC8"/>
    <w:rsid w:val="003A6E0B"/>
    <w:rsid w:val="003A7DE6"/>
    <w:rsid w:val="003B1133"/>
    <w:rsid w:val="003B142B"/>
    <w:rsid w:val="003B1C09"/>
    <w:rsid w:val="003B2384"/>
    <w:rsid w:val="003B364C"/>
    <w:rsid w:val="003B4464"/>
    <w:rsid w:val="003B4AEF"/>
    <w:rsid w:val="003B545B"/>
    <w:rsid w:val="003B75B9"/>
    <w:rsid w:val="003B7AED"/>
    <w:rsid w:val="003C023C"/>
    <w:rsid w:val="003C075A"/>
    <w:rsid w:val="003C0B08"/>
    <w:rsid w:val="003C0B35"/>
    <w:rsid w:val="003C1E7A"/>
    <w:rsid w:val="003C2294"/>
    <w:rsid w:val="003C284F"/>
    <w:rsid w:val="003C3560"/>
    <w:rsid w:val="003C7620"/>
    <w:rsid w:val="003C7CEB"/>
    <w:rsid w:val="003D0E1C"/>
    <w:rsid w:val="003D130F"/>
    <w:rsid w:val="003D1B2B"/>
    <w:rsid w:val="003D2017"/>
    <w:rsid w:val="003D4549"/>
    <w:rsid w:val="003D481C"/>
    <w:rsid w:val="003D4A88"/>
    <w:rsid w:val="003D5905"/>
    <w:rsid w:val="003D5BD6"/>
    <w:rsid w:val="003D5FFB"/>
    <w:rsid w:val="003D643D"/>
    <w:rsid w:val="003D71C9"/>
    <w:rsid w:val="003D7CA2"/>
    <w:rsid w:val="003E1887"/>
    <w:rsid w:val="003E1A54"/>
    <w:rsid w:val="003E1F94"/>
    <w:rsid w:val="003E2587"/>
    <w:rsid w:val="003E2613"/>
    <w:rsid w:val="003E293E"/>
    <w:rsid w:val="003E366B"/>
    <w:rsid w:val="003E3756"/>
    <w:rsid w:val="003E39BE"/>
    <w:rsid w:val="003E4169"/>
    <w:rsid w:val="003E43F5"/>
    <w:rsid w:val="003E761A"/>
    <w:rsid w:val="003E7672"/>
    <w:rsid w:val="003F05E8"/>
    <w:rsid w:val="003F0833"/>
    <w:rsid w:val="003F10B6"/>
    <w:rsid w:val="003F2E3E"/>
    <w:rsid w:val="003F34CE"/>
    <w:rsid w:val="003F40B1"/>
    <w:rsid w:val="003F4F12"/>
    <w:rsid w:val="003F4FD3"/>
    <w:rsid w:val="003F5182"/>
    <w:rsid w:val="003F60DF"/>
    <w:rsid w:val="003F6151"/>
    <w:rsid w:val="003F6C55"/>
    <w:rsid w:val="003F6F9B"/>
    <w:rsid w:val="003F77FE"/>
    <w:rsid w:val="0040003A"/>
    <w:rsid w:val="00400498"/>
    <w:rsid w:val="00400B33"/>
    <w:rsid w:val="00402887"/>
    <w:rsid w:val="00403B7D"/>
    <w:rsid w:val="004040E3"/>
    <w:rsid w:val="0040462D"/>
    <w:rsid w:val="00405106"/>
    <w:rsid w:val="004056CC"/>
    <w:rsid w:val="00405794"/>
    <w:rsid w:val="00405800"/>
    <w:rsid w:val="0040592E"/>
    <w:rsid w:val="004059D3"/>
    <w:rsid w:val="00405F3F"/>
    <w:rsid w:val="0040612E"/>
    <w:rsid w:val="004064D6"/>
    <w:rsid w:val="00406D1E"/>
    <w:rsid w:val="00406F93"/>
    <w:rsid w:val="00407A07"/>
    <w:rsid w:val="00410C00"/>
    <w:rsid w:val="00410DB1"/>
    <w:rsid w:val="00411E1F"/>
    <w:rsid w:val="004127DA"/>
    <w:rsid w:val="00412E64"/>
    <w:rsid w:val="004134B5"/>
    <w:rsid w:val="00413EDE"/>
    <w:rsid w:val="0041479C"/>
    <w:rsid w:val="004151EF"/>
    <w:rsid w:val="00415A0A"/>
    <w:rsid w:val="00420542"/>
    <w:rsid w:val="0042082E"/>
    <w:rsid w:val="00420A21"/>
    <w:rsid w:val="00420AE7"/>
    <w:rsid w:val="00421038"/>
    <w:rsid w:val="00421391"/>
    <w:rsid w:val="004219BC"/>
    <w:rsid w:val="00422196"/>
    <w:rsid w:val="004226D0"/>
    <w:rsid w:val="00422E0C"/>
    <w:rsid w:val="00422E78"/>
    <w:rsid w:val="00422E94"/>
    <w:rsid w:val="00422EA4"/>
    <w:rsid w:val="004243D7"/>
    <w:rsid w:val="00424A52"/>
    <w:rsid w:val="004250EE"/>
    <w:rsid w:val="004251B5"/>
    <w:rsid w:val="0042564C"/>
    <w:rsid w:val="00425CDC"/>
    <w:rsid w:val="0042644E"/>
    <w:rsid w:val="00426856"/>
    <w:rsid w:val="00426EAB"/>
    <w:rsid w:val="00426F85"/>
    <w:rsid w:val="0042713E"/>
    <w:rsid w:val="0043157C"/>
    <w:rsid w:val="004315FF"/>
    <w:rsid w:val="00431C50"/>
    <w:rsid w:val="004325F5"/>
    <w:rsid w:val="0043330A"/>
    <w:rsid w:val="004336D0"/>
    <w:rsid w:val="004348A3"/>
    <w:rsid w:val="00434E84"/>
    <w:rsid w:val="004378F0"/>
    <w:rsid w:val="00437A49"/>
    <w:rsid w:val="00440101"/>
    <w:rsid w:val="00441824"/>
    <w:rsid w:val="0044206A"/>
    <w:rsid w:val="00442715"/>
    <w:rsid w:val="00442CBC"/>
    <w:rsid w:val="00442F60"/>
    <w:rsid w:val="00443421"/>
    <w:rsid w:val="00443998"/>
    <w:rsid w:val="00443ACA"/>
    <w:rsid w:val="00443CA7"/>
    <w:rsid w:val="00444816"/>
    <w:rsid w:val="00445812"/>
    <w:rsid w:val="00445AA7"/>
    <w:rsid w:val="004467F4"/>
    <w:rsid w:val="0044688C"/>
    <w:rsid w:val="0044729C"/>
    <w:rsid w:val="00450A62"/>
    <w:rsid w:val="00450BC1"/>
    <w:rsid w:val="004511F7"/>
    <w:rsid w:val="004513D7"/>
    <w:rsid w:val="00451AAF"/>
    <w:rsid w:val="00451AC9"/>
    <w:rsid w:val="00453BA9"/>
    <w:rsid w:val="00454A18"/>
    <w:rsid w:val="00455119"/>
    <w:rsid w:val="004554C8"/>
    <w:rsid w:val="00455749"/>
    <w:rsid w:val="00455799"/>
    <w:rsid w:val="004564F3"/>
    <w:rsid w:val="0045702B"/>
    <w:rsid w:val="004573DC"/>
    <w:rsid w:val="00460424"/>
    <w:rsid w:val="00460C7F"/>
    <w:rsid w:val="0046111C"/>
    <w:rsid w:val="00461681"/>
    <w:rsid w:val="004617BA"/>
    <w:rsid w:val="00461BC0"/>
    <w:rsid w:val="00463A2B"/>
    <w:rsid w:val="00464147"/>
    <w:rsid w:val="004642E4"/>
    <w:rsid w:val="0046441E"/>
    <w:rsid w:val="0046606F"/>
    <w:rsid w:val="0046658C"/>
    <w:rsid w:val="004667EC"/>
    <w:rsid w:val="0046771E"/>
    <w:rsid w:val="00467989"/>
    <w:rsid w:val="00467A9E"/>
    <w:rsid w:val="0047050F"/>
    <w:rsid w:val="0047244D"/>
    <w:rsid w:val="00472D65"/>
    <w:rsid w:val="00474A73"/>
    <w:rsid w:val="00475804"/>
    <w:rsid w:val="00475B5F"/>
    <w:rsid w:val="00480C29"/>
    <w:rsid w:val="00481B70"/>
    <w:rsid w:val="0048206D"/>
    <w:rsid w:val="004825BA"/>
    <w:rsid w:val="00484613"/>
    <w:rsid w:val="0048578C"/>
    <w:rsid w:val="0048658B"/>
    <w:rsid w:val="004866DE"/>
    <w:rsid w:val="00486AF0"/>
    <w:rsid w:val="00487D1E"/>
    <w:rsid w:val="0049052B"/>
    <w:rsid w:val="004907BD"/>
    <w:rsid w:val="004908D6"/>
    <w:rsid w:val="00490D48"/>
    <w:rsid w:val="00490E51"/>
    <w:rsid w:val="0049115E"/>
    <w:rsid w:val="0049185F"/>
    <w:rsid w:val="00492270"/>
    <w:rsid w:val="004922EC"/>
    <w:rsid w:val="00492A1D"/>
    <w:rsid w:val="00492AC1"/>
    <w:rsid w:val="00493B57"/>
    <w:rsid w:val="00494E7D"/>
    <w:rsid w:val="00495B19"/>
    <w:rsid w:val="00496A00"/>
    <w:rsid w:val="00497317"/>
    <w:rsid w:val="004975E5"/>
    <w:rsid w:val="004A0023"/>
    <w:rsid w:val="004A062E"/>
    <w:rsid w:val="004A072E"/>
    <w:rsid w:val="004A094A"/>
    <w:rsid w:val="004A0BE9"/>
    <w:rsid w:val="004A0CAF"/>
    <w:rsid w:val="004A116F"/>
    <w:rsid w:val="004A1979"/>
    <w:rsid w:val="004A1B6A"/>
    <w:rsid w:val="004A1D9B"/>
    <w:rsid w:val="004A2321"/>
    <w:rsid w:val="004A2474"/>
    <w:rsid w:val="004A2941"/>
    <w:rsid w:val="004A2D89"/>
    <w:rsid w:val="004A3681"/>
    <w:rsid w:val="004A3793"/>
    <w:rsid w:val="004A39AF"/>
    <w:rsid w:val="004A565E"/>
    <w:rsid w:val="004A62AC"/>
    <w:rsid w:val="004A6410"/>
    <w:rsid w:val="004B091C"/>
    <w:rsid w:val="004B0A68"/>
    <w:rsid w:val="004B13FE"/>
    <w:rsid w:val="004B20EF"/>
    <w:rsid w:val="004B24F5"/>
    <w:rsid w:val="004B27E2"/>
    <w:rsid w:val="004B32C5"/>
    <w:rsid w:val="004B346F"/>
    <w:rsid w:val="004B3D8B"/>
    <w:rsid w:val="004B40AF"/>
    <w:rsid w:val="004B4D42"/>
    <w:rsid w:val="004B52B0"/>
    <w:rsid w:val="004B59F2"/>
    <w:rsid w:val="004B5A6B"/>
    <w:rsid w:val="004B5EB5"/>
    <w:rsid w:val="004B70A7"/>
    <w:rsid w:val="004B7890"/>
    <w:rsid w:val="004B7935"/>
    <w:rsid w:val="004C0515"/>
    <w:rsid w:val="004C155A"/>
    <w:rsid w:val="004C1715"/>
    <w:rsid w:val="004C1867"/>
    <w:rsid w:val="004C192F"/>
    <w:rsid w:val="004C1C70"/>
    <w:rsid w:val="004C23B1"/>
    <w:rsid w:val="004C2AC7"/>
    <w:rsid w:val="004C40CE"/>
    <w:rsid w:val="004C5574"/>
    <w:rsid w:val="004C5A6D"/>
    <w:rsid w:val="004C66A1"/>
    <w:rsid w:val="004C6792"/>
    <w:rsid w:val="004C763F"/>
    <w:rsid w:val="004D0458"/>
    <w:rsid w:val="004D08F9"/>
    <w:rsid w:val="004D1D9F"/>
    <w:rsid w:val="004D1F23"/>
    <w:rsid w:val="004D48F2"/>
    <w:rsid w:val="004D50BA"/>
    <w:rsid w:val="004D5231"/>
    <w:rsid w:val="004D6A90"/>
    <w:rsid w:val="004D7330"/>
    <w:rsid w:val="004D7BD7"/>
    <w:rsid w:val="004E03F9"/>
    <w:rsid w:val="004E04F8"/>
    <w:rsid w:val="004E1463"/>
    <w:rsid w:val="004E1487"/>
    <w:rsid w:val="004E186F"/>
    <w:rsid w:val="004E20B0"/>
    <w:rsid w:val="004E2188"/>
    <w:rsid w:val="004E2B3C"/>
    <w:rsid w:val="004E5C52"/>
    <w:rsid w:val="004E5E3F"/>
    <w:rsid w:val="004E62BE"/>
    <w:rsid w:val="004F0437"/>
    <w:rsid w:val="004F0B27"/>
    <w:rsid w:val="004F0E88"/>
    <w:rsid w:val="004F128A"/>
    <w:rsid w:val="004F141A"/>
    <w:rsid w:val="004F2AA6"/>
    <w:rsid w:val="004F2F8E"/>
    <w:rsid w:val="004F4B42"/>
    <w:rsid w:val="004F58C1"/>
    <w:rsid w:val="004F6C82"/>
    <w:rsid w:val="005015B2"/>
    <w:rsid w:val="00501EF3"/>
    <w:rsid w:val="005022B1"/>
    <w:rsid w:val="00502CDA"/>
    <w:rsid w:val="005049EE"/>
    <w:rsid w:val="00504A74"/>
    <w:rsid w:val="0050520F"/>
    <w:rsid w:val="00505636"/>
    <w:rsid w:val="00506053"/>
    <w:rsid w:val="00506458"/>
    <w:rsid w:val="00506D9A"/>
    <w:rsid w:val="00507852"/>
    <w:rsid w:val="00507924"/>
    <w:rsid w:val="00507E0F"/>
    <w:rsid w:val="00510200"/>
    <w:rsid w:val="00510583"/>
    <w:rsid w:val="00510942"/>
    <w:rsid w:val="00511393"/>
    <w:rsid w:val="00511FCE"/>
    <w:rsid w:val="00512281"/>
    <w:rsid w:val="00512430"/>
    <w:rsid w:val="005125EE"/>
    <w:rsid w:val="00512874"/>
    <w:rsid w:val="00512D3A"/>
    <w:rsid w:val="005155B7"/>
    <w:rsid w:val="00515C7C"/>
    <w:rsid w:val="00516349"/>
    <w:rsid w:val="00516A8B"/>
    <w:rsid w:val="00517931"/>
    <w:rsid w:val="005226EC"/>
    <w:rsid w:val="00523086"/>
    <w:rsid w:val="005233CC"/>
    <w:rsid w:val="00523C70"/>
    <w:rsid w:val="00523EDE"/>
    <w:rsid w:val="00523F04"/>
    <w:rsid w:val="00525F39"/>
    <w:rsid w:val="00526117"/>
    <w:rsid w:val="00526275"/>
    <w:rsid w:val="00526306"/>
    <w:rsid w:val="0052663A"/>
    <w:rsid w:val="00526AA8"/>
    <w:rsid w:val="00526D13"/>
    <w:rsid w:val="00527956"/>
    <w:rsid w:val="00530688"/>
    <w:rsid w:val="00533282"/>
    <w:rsid w:val="00533943"/>
    <w:rsid w:val="00534206"/>
    <w:rsid w:val="005348DF"/>
    <w:rsid w:val="00536B6F"/>
    <w:rsid w:val="005372E7"/>
    <w:rsid w:val="00540026"/>
    <w:rsid w:val="0054025C"/>
    <w:rsid w:val="0054070E"/>
    <w:rsid w:val="005409B3"/>
    <w:rsid w:val="005414FE"/>
    <w:rsid w:val="00541F82"/>
    <w:rsid w:val="0054372A"/>
    <w:rsid w:val="00543CB4"/>
    <w:rsid w:val="00543CC7"/>
    <w:rsid w:val="00544885"/>
    <w:rsid w:val="00544EEF"/>
    <w:rsid w:val="005456FE"/>
    <w:rsid w:val="005457F4"/>
    <w:rsid w:val="00545949"/>
    <w:rsid w:val="005472BB"/>
    <w:rsid w:val="00550A7F"/>
    <w:rsid w:val="00552705"/>
    <w:rsid w:val="00552E77"/>
    <w:rsid w:val="00553F9F"/>
    <w:rsid w:val="00554179"/>
    <w:rsid w:val="00554413"/>
    <w:rsid w:val="00555265"/>
    <w:rsid w:val="00555267"/>
    <w:rsid w:val="005554CE"/>
    <w:rsid w:val="0055620E"/>
    <w:rsid w:val="005563C4"/>
    <w:rsid w:val="005565B3"/>
    <w:rsid w:val="00557E19"/>
    <w:rsid w:val="00557F22"/>
    <w:rsid w:val="00561047"/>
    <w:rsid w:val="005615BC"/>
    <w:rsid w:val="005616FF"/>
    <w:rsid w:val="0056280F"/>
    <w:rsid w:val="00563262"/>
    <w:rsid w:val="005634D5"/>
    <w:rsid w:val="0056530A"/>
    <w:rsid w:val="00565515"/>
    <w:rsid w:val="005655DC"/>
    <w:rsid w:val="00565D5E"/>
    <w:rsid w:val="005661C8"/>
    <w:rsid w:val="0056674C"/>
    <w:rsid w:val="00567518"/>
    <w:rsid w:val="00567D64"/>
    <w:rsid w:val="005702BB"/>
    <w:rsid w:val="005709AF"/>
    <w:rsid w:val="00571346"/>
    <w:rsid w:val="00573051"/>
    <w:rsid w:val="005741DE"/>
    <w:rsid w:val="005748E6"/>
    <w:rsid w:val="00574D69"/>
    <w:rsid w:val="005758BC"/>
    <w:rsid w:val="00575A64"/>
    <w:rsid w:val="00576034"/>
    <w:rsid w:val="005762A0"/>
    <w:rsid w:val="00576420"/>
    <w:rsid w:val="00577843"/>
    <w:rsid w:val="00577C6A"/>
    <w:rsid w:val="00577E15"/>
    <w:rsid w:val="005800C9"/>
    <w:rsid w:val="0058041C"/>
    <w:rsid w:val="005807CE"/>
    <w:rsid w:val="005809AD"/>
    <w:rsid w:val="005809D6"/>
    <w:rsid w:val="005819EB"/>
    <w:rsid w:val="005835E3"/>
    <w:rsid w:val="00584E8C"/>
    <w:rsid w:val="0058708F"/>
    <w:rsid w:val="005871C5"/>
    <w:rsid w:val="005871D1"/>
    <w:rsid w:val="00587475"/>
    <w:rsid w:val="0059075A"/>
    <w:rsid w:val="0059178A"/>
    <w:rsid w:val="00591EC1"/>
    <w:rsid w:val="0059210D"/>
    <w:rsid w:val="0059244C"/>
    <w:rsid w:val="005925B7"/>
    <w:rsid w:val="00592A26"/>
    <w:rsid w:val="00592F94"/>
    <w:rsid w:val="00593244"/>
    <w:rsid w:val="0059356A"/>
    <w:rsid w:val="00594514"/>
    <w:rsid w:val="00594525"/>
    <w:rsid w:val="005948CA"/>
    <w:rsid w:val="005949B1"/>
    <w:rsid w:val="00594B72"/>
    <w:rsid w:val="00595A78"/>
    <w:rsid w:val="00596B4D"/>
    <w:rsid w:val="00597178"/>
    <w:rsid w:val="005A0155"/>
    <w:rsid w:val="005A2558"/>
    <w:rsid w:val="005A2B6B"/>
    <w:rsid w:val="005A2E4D"/>
    <w:rsid w:val="005A43C9"/>
    <w:rsid w:val="005A49AB"/>
    <w:rsid w:val="005A59A6"/>
    <w:rsid w:val="005A7169"/>
    <w:rsid w:val="005A75CF"/>
    <w:rsid w:val="005B1414"/>
    <w:rsid w:val="005B2113"/>
    <w:rsid w:val="005B2633"/>
    <w:rsid w:val="005B2773"/>
    <w:rsid w:val="005B3F1B"/>
    <w:rsid w:val="005B4696"/>
    <w:rsid w:val="005B5239"/>
    <w:rsid w:val="005B71A5"/>
    <w:rsid w:val="005B7C2E"/>
    <w:rsid w:val="005C0290"/>
    <w:rsid w:val="005C0B0F"/>
    <w:rsid w:val="005C31C9"/>
    <w:rsid w:val="005C32F8"/>
    <w:rsid w:val="005C36E3"/>
    <w:rsid w:val="005C3740"/>
    <w:rsid w:val="005C3F02"/>
    <w:rsid w:val="005C4201"/>
    <w:rsid w:val="005C49FF"/>
    <w:rsid w:val="005C4F10"/>
    <w:rsid w:val="005C5B6C"/>
    <w:rsid w:val="005C660A"/>
    <w:rsid w:val="005D031B"/>
    <w:rsid w:val="005D0E98"/>
    <w:rsid w:val="005D1CFF"/>
    <w:rsid w:val="005D2B5D"/>
    <w:rsid w:val="005D2CC4"/>
    <w:rsid w:val="005D2F16"/>
    <w:rsid w:val="005D38A5"/>
    <w:rsid w:val="005D3E36"/>
    <w:rsid w:val="005D44D8"/>
    <w:rsid w:val="005D58A5"/>
    <w:rsid w:val="005D5B7F"/>
    <w:rsid w:val="005D5EE5"/>
    <w:rsid w:val="005D6D66"/>
    <w:rsid w:val="005D76D6"/>
    <w:rsid w:val="005D778D"/>
    <w:rsid w:val="005E03EA"/>
    <w:rsid w:val="005E2521"/>
    <w:rsid w:val="005E2E78"/>
    <w:rsid w:val="005E3E43"/>
    <w:rsid w:val="005E407A"/>
    <w:rsid w:val="005E4213"/>
    <w:rsid w:val="005E4249"/>
    <w:rsid w:val="005E4DCA"/>
    <w:rsid w:val="005E66E0"/>
    <w:rsid w:val="005E6EED"/>
    <w:rsid w:val="005F073E"/>
    <w:rsid w:val="005F0F89"/>
    <w:rsid w:val="005F134A"/>
    <w:rsid w:val="005F23D9"/>
    <w:rsid w:val="005F2D00"/>
    <w:rsid w:val="005F3816"/>
    <w:rsid w:val="005F3A12"/>
    <w:rsid w:val="005F3C7D"/>
    <w:rsid w:val="005F4DF3"/>
    <w:rsid w:val="005F59ED"/>
    <w:rsid w:val="005F6354"/>
    <w:rsid w:val="005F658A"/>
    <w:rsid w:val="005F7E7C"/>
    <w:rsid w:val="00600777"/>
    <w:rsid w:val="00600E4A"/>
    <w:rsid w:val="00602A33"/>
    <w:rsid w:val="00603369"/>
    <w:rsid w:val="0060380D"/>
    <w:rsid w:val="00603D36"/>
    <w:rsid w:val="00603F28"/>
    <w:rsid w:val="0060434B"/>
    <w:rsid w:val="00604677"/>
    <w:rsid w:val="00605AE1"/>
    <w:rsid w:val="006064A2"/>
    <w:rsid w:val="006077CE"/>
    <w:rsid w:val="00607A3B"/>
    <w:rsid w:val="0061279C"/>
    <w:rsid w:val="00612E51"/>
    <w:rsid w:val="00612E80"/>
    <w:rsid w:val="0061304B"/>
    <w:rsid w:val="0061330B"/>
    <w:rsid w:val="00613A41"/>
    <w:rsid w:val="0061409C"/>
    <w:rsid w:val="006149C2"/>
    <w:rsid w:val="00614EF2"/>
    <w:rsid w:val="00615310"/>
    <w:rsid w:val="006157D4"/>
    <w:rsid w:val="00615AA3"/>
    <w:rsid w:val="00615B9A"/>
    <w:rsid w:val="00616126"/>
    <w:rsid w:val="00616177"/>
    <w:rsid w:val="00616B29"/>
    <w:rsid w:val="00616C1A"/>
    <w:rsid w:val="00620842"/>
    <w:rsid w:val="0062215D"/>
    <w:rsid w:val="006228A7"/>
    <w:rsid w:val="00623052"/>
    <w:rsid w:val="0062480B"/>
    <w:rsid w:val="00624A90"/>
    <w:rsid w:val="0062541D"/>
    <w:rsid w:val="006255CF"/>
    <w:rsid w:val="00626792"/>
    <w:rsid w:val="006269B0"/>
    <w:rsid w:val="00627126"/>
    <w:rsid w:val="006277B4"/>
    <w:rsid w:val="00627F24"/>
    <w:rsid w:val="0063045B"/>
    <w:rsid w:val="00630912"/>
    <w:rsid w:val="006333DF"/>
    <w:rsid w:val="0063399A"/>
    <w:rsid w:val="0063463A"/>
    <w:rsid w:val="00634657"/>
    <w:rsid w:val="006347D1"/>
    <w:rsid w:val="00634B6F"/>
    <w:rsid w:val="00634D8F"/>
    <w:rsid w:val="006353A3"/>
    <w:rsid w:val="00636812"/>
    <w:rsid w:val="0063688E"/>
    <w:rsid w:val="00640441"/>
    <w:rsid w:val="00640EED"/>
    <w:rsid w:val="00641424"/>
    <w:rsid w:val="00641793"/>
    <w:rsid w:val="00641BBA"/>
    <w:rsid w:val="00641E4E"/>
    <w:rsid w:val="00642228"/>
    <w:rsid w:val="00644148"/>
    <w:rsid w:val="00644749"/>
    <w:rsid w:val="00644F0A"/>
    <w:rsid w:val="0064503B"/>
    <w:rsid w:val="0064527A"/>
    <w:rsid w:val="0064533F"/>
    <w:rsid w:val="00645B79"/>
    <w:rsid w:val="006463D9"/>
    <w:rsid w:val="00650959"/>
    <w:rsid w:val="00650AC5"/>
    <w:rsid w:val="00650AE8"/>
    <w:rsid w:val="0065290E"/>
    <w:rsid w:val="00654383"/>
    <w:rsid w:val="00654854"/>
    <w:rsid w:val="00654E17"/>
    <w:rsid w:val="00655987"/>
    <w:rsid w:val="006562E8"/>
    <w:rsid w:val="0065646F"/>
    <w:rsid w:val="006569E5"/>
    <w:rsid w:val="00656B63"/>
    <w:rsid w:val="00656F9E"/>
    <w:rsid w:val="00657268"/>
    <w:rsid w:val="0065797E"/>
    <w:rsid w:val="00660516"/>
    <w:rsid w:val="0066112C"/>
    <w:rsid w:val="00661695"/>
    <w:rsid w:val="006619B6"/>
    <w:rsid w:val="006619DB"/>
    <w:rsid w:val="00661A91"/>
    <w:rsid w:val="00662199"/>
    <w:rsid w:val="00663E9E"/>
    <w:rsid w:val="006643DE"/>
    <w:rsid w:val="00664E9A"/>
    <w:rsid w:val="006666DD"/>
    <w:rsid w:val="006668A7"/>
    <w:rsid w:val="00667BD7"/>
    <w:rsid w:val="00667D6E"/>
    <w:rsid w:val="0067016A"/>
    <w:rsid w:val="0067029B"/>
    <w:rsid w:val="006704B2"/>
    <w:rsid w:val="00670D33"/>
    <w:rsid w:val="00671760"/>
    <w:rsid w:val="0067234C"/>
    <w:rsid w:val="00672EB6"/>
    <w:rsid w:val="00674286"/>
    <w:rsid w:val="0067445A"/>
    <w:rsid w:val="00674498"/>
    <w:rsid w:val="00676263"/>
    <w:rsid w:val="0067689F"/>
    <w:rsid w:val="006769C1"/>
    <w:rsid w:val="00677594"/>
    <w:rsid w:val="00677FC7"/>
    <w:rsid w:val="00677FD9"/>
    <w:rsid w:val="00680607"/>
    <w:rsid w:val="006811CE"/>
    <w:rsid w:val="006816B8"/>
    <w:rsid w:val="00681FCB"/>
    <w:rsid w:val="00682533"/>
    <w:rsid w:val="006826BF"/>
    <w:rsid w:val="00682A6E"/>
    <w:rsid w:val="00682F64"/>
    <w:rsid w:val="00683510"/>
    <w:rsid w:val="00684C7F"/>
    <w:rsid w:val="00684D49"/>
    <w:rsid w:val="00684F40"/>
    <w:rsid w:val="0068529D"/>
    <w:rsid w:val="0068587E"/>
    <w:rsid w:val="00685B42"/>
    <w:rsid w:val="00685F39"/>
    <w:rsid w:val="00686B9A"/>
    <w:rsid w:val="00687033"/>
    <w:rsid w:val="00687E9E"/>
    <w:rsid w:val="006901AB"/>
    <w:rsid w:val="00690C49"/>
    <w:rsid w:val="00690CEC"/>
    <w:rsid w:val="00691449"/>
    <w:rsid w:val="00692433"/>
    <w:rsid w:val="006924BB"/>
    <w:rsid w:val="00693734"/>
    <w:rsid w:val="00693D9F"/>
    <w:rsid w:val="00695251"/>
    <w:rsid w:val="00696797"/>
    <w:rsid w:val="00696EF5"/>
    <w:rsid w:val="00697067"/>
    <w:rsid w:val="006A0094"/>
    <w:rsid w:val="006A1280"/>
    <w:rsid w:val="006A17E5"/>
    <w:rsid w:val="006A1C17"/>
    <w:rsid w:val="006A2690"/>
    <w:rsid w:val="006A27DD"/>
    <w:rsid w:val="006A37A7"/>
    <w:rsid w:val="006A4177"/>
    <w:rsid w:val="006A5913"/>
    <w:rsid w:val="006A5CAA"/>
    <w:rsid w:val="006A5D73"/>
    <w:rsid w:val="006A69DE"/>
    <w:rsid w:val="006B0887"/>
    <w:rsid w:val="006B0B0C"/>
    <w:rsid w:val="006B0FDF"/>
    <w:rsid w:val="006B1B08"/>
    <w:rsid w:val="006B1CFF"/>
    <w:rsid w:val="006B1D78"/>
    <w:rsid w:val="006B4249"/>
    <w:rsid w:val="006B4680"/>
    <w:rsid w:val="006B46DE"/>
    <w:rsid w:val="006B4B30"/>
    <w:rsid w:val="006B5435"/>
    <w:rsid w:val="006B6091"/>
    <w:rsid w:val="006B663F"/>
    <w:rsid w:val="006B671F"/>
    <w:rsid w:val="006B6AE6"/>
    <w:rsid w:val="006B7147"/>
    <w:rsid w:val="006B72B0"/>
    <w:rsid w:val="006C00F6"/>
    <w:rsid w:val="006C0762"/>
    <w:rsid w:val="006C11F9"/>
    <w:rsid w:val="006C30E8"/>
    <w:rsid w:val="006C3296"/>
    <w:rsid w:val="006C3670"/>
    <w:rsid w:val="006C3DC4"/>
    <w:rsid w:val="006C4971"/>
    <w:rsid w:val="006C4E1E"/>
    <w:rsid w:val="006C5033"/>
    <w:rsid w:val="006C567E"/>
    <w:rsid w:val="006C6870"/>
    <w:rsid w:val="006C7069"/>
    <w:rsid w:val="006D0CF4"/>
    <w:rsid w:val="006D1BD5"/>
    <w:rsid w:val="006D1E0D"/>
    <w:rsid w:val="006D224D"/>
    <w:rsid w:val="006D33FF"/>
    <w:rsid w:val="006D36CA"/>
    <w:rsid w:val="006D429A"/>
    <w:rsid w:val="006D54AC"/>
    <w:rsid w:val="006D5745"/>
    <w:rsid w:val="006D5AC3"/>
    <w:rsid w:val="006D5CC9"/>
    <w:rsid w:val="006D6655"/>
    <w:rsid w:val="006D6AD4"/>
    <w:rsid w:val="006D6BE3"/>
    <w:rsid w:val="006D6ED5"/>
    <w:rsid w:val="006D70F7"/>
    <w:rsid w:val="006D740F"/>
    <w:rsid w:val="006D7D50"/>
    <w:rsid w:val="006D7EBB"/>
    <w:rsid w:val="006E07F5"/>
    <w:rsid w:val="006E1F63"/>
    <w:rsid w:val="006E251E"/>
    <w:rsid w:val="006E2B75"/>
    <w:rsid w:val="006E2D9D"/>
    <w:rsid w:val="006E34A4"/>
    <w:rsid w:val="006E3F9F"/>
    <w:rsid w:val="006E44E8"/>
    <w:rsid w:val="006E69FF"/>
    <w:rsid w:val="006E6D9C"/>
    <w:rsid w:val="006E6E4C"/>
    <w:rsid w:val="006E71FE"/>
    <w:rsid w:val="006E7D60"/>
    <w:rsid w:val="006F0222"/>
    <w:rsid w:val="006F02BE"/>
    <w:rsid w:val="006F04E0"/>
    <w:rsid w:val="006F0572"/>
    <w:rsid w:val="006F0AB2"/>
    <w:rsid w:val="006F1170"/>
    <w:rsid w:val="006F1D66"/>
    <w:rsid w:val="006F2882"/>
    <w:rsid w:val="006F2B51"/>
    <w:rsid w:val="006F36E1"/>
    <w:rsid w:val="006F4BF9"/>
    <w:rsid w:val="006F4F99"/>
    <w:rsid w:val="006F5622"/>
    <w:rsid w:val="006F564B"/>
    <w:rsid w:val="006F5894"/>
    <w:rsid w:val="006F589B"/>
    <w:rsid w:val="006F5A92"/>
    <w:rsid w:val="006F5BAD"/>
    <w:rsid w:val="006F682A"/>
    <w:rsid w:val="006F70B5"/>
    <w:rsid w:val="006F721B"/>
    <w:rsid w:val="006F7EF2"/>
    <w:rsid w:val="0070024B"/>
    <w:rsid w:val="00700925"/>
    <w:rsid w:val="007014D3"/>
    <w:rsid w:val="00701E0C"/>
    <w:rsid w:val="00702227"/>
    <w:rsid w:val="007028F2"/>
    <w:rsid w:val="00703A9D"/>
    <w:rsid w:val="00703AAD"/>
    <w:rsid w:val="00703C27"/>
    <w:rsid w:val="00704A24"/>
    <w:rsid w:val="00705B34"/>
    <w:rsid w:val="007077F6"/>
    <w:rsid w:val="00707932"/>
    <w:rsid w:val="0071079B"/>
    <w:rsid w:val="007107BE"/>
    <w:rsid w:val="00711008"/>
    <w:rsid w:val="0071180F"/>
    <w:rsid w:val="00712A42"/>
    <w:rsid w:val="00712AE5"/>
    <w:rsid w:val="00712BC8"/>
    <w:rsid w:val="00713FF3"/>
    <w:rsid w:val="00714128"/>
    <w:rsid w:val="00714635"/>
    <w:rsid w:val="00714883"/>
    <w:rsid w:val="00714977"/>
    <w:rsid w:val="00716167"/>
    <w:rsid w:val="00716C0F"/>
    <w:rsid w:val="007175CA"/>
    <w:rsid w:val="00717FF7"/>
    <w:rsid w:val="0072089F"/>
    <w:rsid w:val="00720E3E"/>
    <w:rsid w:val="00720F71"/>
    <w:rsid w:val="007214C9"/>
    <w:rsid w:val="007228DF"/>
    <w:rsid w:val="007239D0"/>
    <w:rsid w:val="00723B0B"/>
    <w:rsid w:val="00723D71"/>
    <w:rsid w:val="0072576E"/>
    <w:rsid w:val="00725F11"/>
    <w:rsid w:val="00726F09"/>
    <w:rsid w:val="00727103"/>
    <w:rsid w:val="007275F8"/>
    <w:rsid w:val="0072779F"/>
    <w:rsid w:val="00730D27"/>
    <w:rsid w:val="0073246A"/>
    <w:rsid w:val="007325C5"/>
    <w:rsid w:val="007326A9"/>
    <w:rsid w:val="007329B3"/>
    <w:rsid w:val="00732E1A"/>
    <w:rsid w:val="0073435D"/>
    <w:rsid w:val="00735570"/>
    <w:rsid w:val="007355F0"/>
    <w:rsid w:val="0073663B"/>
    <w:rsid w:val="00736BB8"/>
    <w:rsid w:val="0073749A"/>
    <w:rsid w:val="007376E3"/>
    <w:rsid w:val="00737E8D"/>
    <w:rsid w:val="00737F23"/>
    <w:rsid w:val="00737FBB"/>
    <w:rsid w:val="007409F3"/>
    <w:rsid w:val="00741D44"/>
    <w:rsid w:val="00741E62"/>
    <w:rsid w:val="0074235F"/>
    <w:rsid w:val="00743E64"/>
    <w:rsid w:val="007443E0"/>
    <w:rsid w:val="00744818"/>
    <w:rsid w:val="0074489E"/>
    <w:rsid w:val="00744B8C"/>
    <w:rsid w:val="00744BEC"/>
    <w:rsid w:val="00744F2A"/>
    <w:rsid w:val="007450F1"/>
    <w:rsid w:val="007453EB"/>
    <w:rsid w:val="007454E4"/>
    <w:rsid w:val="007471FB"/>
    <w:rsid w:val="00750C0E"/>
    <w:rsid w:val="00750E34"/>
    <w:rsid w:val="00750E43"/>
    <w:rsid w:val="00750F50"/>
    <w:rsid w:val="007512F4"/>
    <w:rsid w:val="00751D34"/>
    <w:rsid w:val="00753FA3"/>
    <w:rsid w:val="00754959"/>
    <w:rsid w:val="007556F7"/>
    <w:rsid w:val="007575D5"/>
    <w:rsid w:val="007604FA"/>
    <w:rsid w:val="00760765"/>
    <w:rsid w:val="00760F93"/>
    <w:rsid w:val="0076210C"/>
    <w:rsid w:val="007631A8"/>
    <w:rsid w:val="007636DC"/>
    <w:rsid w:val="00763F44"/>
    <w:rsid w:val="0076456A"/>
    <w:rsid w:val="0076533B"/>
    <w:rsid w:val="007657D2"/>
    <w:rsid w:val="00765FD6"/>
    <w:rsid w:val="0076629B"/>
    <w:rsid w:val="00766C36"/>
    <w:rsid w:val="00766CCA"/>
    <w:rsid w:val="00767239"/>
    <w:rsid w:val="0076748E"/>
    <w:rsid w:val="007678CA"/>
    <w:rsid w:val="007707EC"/>
    <w:rsid w:val="00771719"/>
    <w:rsid w:val="007727DD"/>
    <w:rsid w:val="00772D74"/>
    <w:rsid w:val="00773194"/>
    <w:rsid w:val="00773761"/>
    <w:rsid w:val="007739A2"/>
    <w:rsid w:val="007743BA"/>
    <w:rsid w:val="00774706"/>
    <w:rsid w:val="00775EB5"/>
    <w:rsid w:val="00776C7A"/>
    <w:rsid w:val="0077797A"/>
    <w:rsid w:val="00777FBA"/>
    <w:rsid w:val="00782566"/>
    <w:rsid w:val="007835B3"/>
    <w:rsid w:val="00784476"/>
    <w:rsid w:val="00784B82"/>
    <w:rsid w:val="0078598A"/>
    <w:rsid w:val="00785ACD"/>
    <w:rsid w:val="00785F3A"/>
    <w:rsid w:val="007875D6"/>
    <w:rsid w:val="00787E36"/>
    <w:rsid w:val="00790C0A"/>
    <w:rsid w:val="00790D84"/>
    <w:rsid w:val="00791940"/>
    <w:rsid w:val="007933CC"/>
    <w:rsid w:val="007933E4"/>
    <w:rsid w:val="00793B38"/>
    <w:rsid w:val="00794257"/>
    <w:rsid w:val="00794487"/>
    <w:rsid w:val="007969CB"/>
    <w:rsid w:val="00796C54"/>
    <w:rsid w:val="0079730A"/>
    <w:rsid w:val="0079731F"/>
    <w:rsid w:val="00797985"/>
    <w:rsid w:val="007A04FE"/>
    <w:rsid w:val="007A079B"/>
    <w:rsid w:val="007A2696"/>
    <w:rsid w:val="007A2F48"/>
    <w:rsid w:val="007A304F"/>
    <w:rsid w:val="007A30C2"/>
    <w:rsid w:val="007A3F11"/>
    <w:rsid w:val="007A421C"/>
    <w:rsid w:val="007A4E44"/>
    <w:rsid w:val="007A5ADD"/>
    <w:rsid w:val="007A6CC7"/>
    <w:rsid w:val="007A6EDF"/>
    <w:rsid w:val="007A7360"/>
    <w:rsid w:val="007A7480"/>
    <w:rsid w:val="007B2E21"/>
    <w:rsid w:val="007B3949"/>
    <w:rsid w:val="007B3FD9"/>
    <w:rsid w:val="007B4647"/>
    <w:rsid w:val="007B4A7B"/>
    <w:rsid w:val="007B518A"/>
    <w:rsid w:val="007B573E"/>
    <w:rsid w:val="007B5971"/>
    <w:rsid w:val="007B5B28"/>
    <w:rsid w:val="007B5BDB"/>
    <w:rsid w:val="007B5F07"/>
    <w:rsid w:val="007B5FBF"/>
    <w:rsid w:val="007B68FA"/>
    <w:rsid w:val="007B7B0B"/>
    <w:rsid w:val="007B7E7D"/>
    <w:rsid w:val="007B7EFD"/>
    <w:rsid w:val="007B7F1F"/>
    <w:rsid w:val="007C00DA"/>
    <w:rsid w:val="007C2A10"/>
    <w:rsid w:val="007C2AA8"/>
    <w:rsid w:val="007C37E6"/>
    <w:rsid w:val="007C3E18"/>
    <w:rsid w:val="007C3E84"/>
    <w:rsid w:val="007C448A"/>
    <w:rsid w:val="007C4AA3"/>
    <w:rsid w:val="007C4B73"/>
    <w:rsid w:val="007C573E"/>
    <w:rsid w:val="007C62C4"/>
    <w:rsid w:val="007C6DFD"/>
    <w:rsid w:val="007C6E58"/>
    <w:rsid w:val="007C7AD5"/>
    <w:rsid w:val="007D1785"/>
    <w:rsid w:val="007D17F3"/>
    <w:rsid w:val="007D5030"/>
    <w:rsid w:val="007D506C"/>
    <w:rsid w:val="007D6ECC"/>
    <w:rsid w:val="007D734D"/>
    <w:rsid w:val="007D79C3"/>
    <w:rsid w:val="007E034E"/>
    <w:rsid w:val="007E08DC"/>
    <w:rsid w:val="007E2084"/>
    <w:rsid w:val="007E3E0F"/>
    <w:rsid w:val="007E47E2"/>
    <w:rsid w:val="007E4B11"/>
    <w:rsid w:val="007E4BF7"/>
    <w:rsid w:val="007E51F6"/>
    <w:rsid w:val="007E5B3B"/>
    <w:rsid w:val="007E6728"/>
    <w:rsid w:val="007E6B0C"/>
    <w:rsid w:val="007E6D71"/>
    <w:rsid w:val="007E7039"/>
    <w:rsid w:val="007E7065"/>
    <w:rsid w:val="007F1C25"/>
    <w:rsid w:val="007F2334"/>
    <w:rsid w:val="007F24E4"/>
    <w:rsid w:val="007F25F5"/>
    <w:rsid w:val="007F27DE"/>
    <w:rsid w:val="007F3083"/>
    <w:rsid w:val="007F30DB"/>
    <w:rsid w:val="007F3320"/>
    <w:rsid w:val="007F4814"/>
    <w:rsid w:val="007F4EAF"/>
    <w:rsid w:val="007F5019"/>
    <w:rsid w:val="007F5A44"/>
    <w:rsid w:val="007F5C17"/>
    <w:rsid w:val="007F60A9"/>
    <w:rsid w:val="007F7013"/>
    <w:rsid w:val="007F7171"/>
    <w:rsid w:val="007F7814"/>
    <w:rsid w:val="007F7FF6"/>
    <w:rsid w:val="008019A0"/>
    <w:rsid w:val="00801B55"/>
    <w:rsid w:val="0080215C"/>
    <w:rsid w:val="008021BA"/>
    <w:rsid w:val="008022A3"/>
    <w:rsid w:val="00802795"/>
    <w:rsid w:val="00802CB9"/>
    <w:rsid w:val="008033B5"/>
    <w:rsid w:val="00803984"/>
    <w:rsid w:val="00805A4E"/>
    <w:rsid w:val="00806151"/>
    <w:rsid w:val="008062E4"/>
    <w:rsid w:val="008065F6"/>
    <w:rsid w:val="00806774"/>
    <w:rsid w:val="0080754E"/>
    <w:rsid w:val="0080794F"/>
    <w:rsid w:val="008102E3"/>
    <w:rsid w:val="00810DA5"/>
    <w:rsid w:val="00810ED1"/>
    <w:rsid w:val="00810F42"/>
    <w:rsid w:val="00810FFB"/>
    <w:rsid w:val="00812ACF"/>
    <w:rsid w:val="00812D18"/>
    <w:rsid w:val="008135CA"/>
    <w:rsid w:val="008136E4"/>
    <w:rsid w:val="00814782"/>
    <w:rsid w:val="00814D3E"/>
    <w:rsid w:val="00814D74"/>
    <w:rsid w:val="008159DD"/>
    <w:rsid w:val="00815E39"/>
    <w:rsid w:val="00815FF9"/>
    <w:rsid w:val="00816488"/>
    <w:rsid w:val="00816580"/>
    <w:rsid w:val="00816E39"/>
    <w:rsid w:val="00817DE2"/>
    <w:rsid w:val="0082075D"/>
    <w:rsid w:val="0082088B"/>
    <w:rsid w:val="008225B8"/>
    <w:rsid w:val="00822A44"/>
    <w:rsid w:val="00824581"/>
    <w:rsid w:val="00824972"/>
    <w:rsid w:val="00824BDF"/>
    <w:rsid w:val="00824DBC"/>
    <w:rsid w:val="008261B2"/>
    <w:rsid w:val="0082623F"/>
    <w:rsid w:val="00826786"/>
    <w:rsid w:val="0082708C"/>
    <w:rsid w:val="008276B8"/>
    <w:rsid w:val="00827CC6"/>
    <w:rsid w:val="00830445"/>
    <w:rsid w:val="00831C9A"/>
    <w:rsid w:val="00831E15"/>
    <w:rsid w:val="00832462"/>
    <w:rsid w:val="008324E7"/>
    <w:rsid w:val="0083260D"/>
    <w:rsid w:val="00832D47"/>
    <w:rsid w:val="00833A20"/>
    <w:rsid w:val="00833EAD"/>
    <w:rsid w:val="00834262"/>
    <w:rsid w:val="008354A6"/>
    <w:rsid w:val="00835C1C"/>
    <w:rsid w:val="00835FD8"/>
    <w:rsid w:val="00836339"/>
    <w:rsid w:val="00836E18"/>
    <w:rsid w:val="00840E8D"/>
    <w:rsid w:val="0084154F"/>
    <w:rsid w:val="0084180F"/>
    <w:rsid w:val="00841B24"/>
    <w:rsid w:val="00842282"/>
    <w:rsid w:val="00842B99"/>
    <w:rsid w:val="00843891"/>
    <w:rsid w:val="00844455"/>
    <w:rsid w:val="00844CDB"/>
    <w:rsid w:val="008450FC"/>
    <w:rsid w:val="00845F34"/>
    <w:rsid w:val="00845FC5"/>
    <w:rsid w:val="008464E4"/>
    <w:rsid w:val="00847210"/>
    <w:rsid w:val="00850093"/>
    <w:rsid w:val="00851028"/>
    <w:rsid w:val="0085220E"/>
    <w:rsid w:val="008522B0"/>
    <w:rsid w:val="00853689"/>
    <w:rsid w:val="008545AB"/>
    <w:rsid w:val="0085513D"/>
    <w:rsid w:val="00855DD1"/>
    <w:rsid w:val="00855F04"/>
    <w:rsid w:val="00855FA0"/>
    <w:rsid w:val="008560E5"/>
    <w:rsid w:val="00856342"/>
    <w:rsid w:val="00856865"/>
    <w:rsid w:val="00857AC6"/>
    <w:rsid w:val="00861776"/>
    <w:rsid w:val="00862B75"/>
    <w:rsid w:val="00862B88"/>
    <w:rsid w:val="00863BD0"/>
    <w:rsid w:val="008654F8"/>
    <w:rsid w:val="00867284"/>
    <w:rsid w:val="00867C84"/>
    <w:rsid w:val="0087074E"/>
    <w:rsid w:val="00871740"/>
    <w:rsid w:val="00871ACC"/>
    <w:rsid w:val="00872238"/>
    <w:rsid w:val="00873AA2"/>
    <w:rsid w:val="00876325"/>
    <w:rsid w:val="00876A81"/>
    <w:rsid w:val="0087784A"/>
    <w:rsid w:val="0088067B"/>
    <w:rsid w:val="00881202"/>
    <w:rsid w:val="00881FDC"/>
    <w:rsid w:val="00882060"/>
    <w:rsid w:val="00882E7A"/>
    <w:rsid w:val="0088334B"/>
    <w:rsid w:val="00883B46"/>
    <w:rsid w:val="0088408E"/>
    <w:rsid w:val="0088410B"/>
    <w:rsid w:val="00884558"/>
    <w:rsid w:val="00884F5C"/>
    <w:rsid w:val="00885317"/>
    <w:rsid w:val="00885450"/>
    <w:rsid w:val="008858AB"/>
    <w:rsid w:val="00885ABB"/>
    <w:rsid w:val="008866EE"/>
    <w:rsid w:val="00886931"/>
    <w:rsid w:val="0088755F"/>
    <w:rsid w:val="00887E68"/>
    <w:rsid w:val="00887ECF"/>
    <w:rsid w:val="00890914"/>
    <w:rsid w:val="00890E76"/>
    <w:rsid w:val="00891A97"/>
    <w:rsid w:val="00892D4A"/>
    <w:rsid w:val="00892D68"/>
    <w:rsid w:val="00893097"/>
    <w:rsid w:val="00895606"/>
    <w:rsid w:val="008957FE"/>
    <w:rsid w:val="00895D5F"/>
    <w:rsid w:val="00895DC8"/>
    <w:rsid w:val="008A0013"/>
    <w:rsid w:val="008A096C"/>
    <w:rsid w:val="008A0DCA"/>
    <w:rsid w:val="008A124F"/>
    <w:rsid w:val="008A180D"/>
    <w:rsid w:val="008A1D87"/>
    <w:rsid w:val="008A2857"/>
    <w:rsid w:val="008A2964"/>
    <w:rsid w:val="008A2E07"/>
    <w:rsid w:val="008A2F34"/>
    <w:rsid w:val="008A3366"/>
    <w:rsid w:val="008A354F"/>
    <w:rsid w:val="008A36FA"/>
    <w:rsid w:val="008A47C5"/>
    <w:rsid w:val="008A4A38"/>
    <w:rsid w:val="008A4A4B"/>
    <w:rsid w:val="008A4BD8"/>
    <w:rsid w:val="008A5D2D"/>
    <w:rsid w:val="008A6495"/>
    <w:rsid w:val="008A6817"/>
    <w:rsid w:val="008A6E4E"/>
    <w:rsid w:val="008A78F9"/>
    <w:rsid w:val="008A7DD6"/>
    <w:rsid w:val="008B03D0"/>
    <w:rsid w:val="008B23F9"/>
    <w:rsid w:val="008B2866"/>
    <w:rsid w:val="008B4579"/>
    <w:rsid w:val="008B4D6C"/>
    <w:rsid w:val="008B6883"/>
    <w:rsid w:val="008B7417"/>
    <w:rsid w:val="008C01EB"/>
    <w:rsid w:val="008C1055"/>
    <w:rsid w:val="008C12EF"/>
    <w:rsid w:val="008C17F5"/>
    <w:rsid w:val="008C1AD7"/>
    <w:rsid w:val="008C22ED"/>
    <w:rsid w:val="008C3766"/>
    <w:rsid w:val="008C4F3E"/>
    <w:rsid w:val="008C5BB3"/>
    <w:rsid w:val="008C5C38"/>
    <w:rsid w:val="008C5C93"/>
    <w:rsid w:val="008C618A"/>
    <w:rsid w:val="008C6BDA"/>
    <w:rsid w:val="008C6F03"/>
    <w:rsid w:val="008C7851"/>
    <w:rsid w:val="008C7D96"/>
    <w:rsid w:val="008D0083"/>
    <w:rsid w:val="008D16A6"/>
    <w:rsid w:val="008D18CA"/>
    <w:rsid w:val="008D24AB"/>
    <w:rsid w:val="008D2F66"/>
    <w:rsid w:val="008D351C"/>
    <w:rsid w:val="008D4B96"/>
    <w:rsid w:val="008D5288"/>
    <w:rsid w:val="008D52E7"/>
    <w:rsid w:val="008D54AA"/>
    <w:rsid w:val="008D5F07"/>
    <w:rsid w:val="008E22E7"/>
    <w:rsid w:val="008E2D6F"/>
    <w:rsid w:val="008E3866"/>
    <w:rsid w:val="008E3C06"/>
    <w:rsid w:val="008E4B58"/>
    <w:rsid w:val="008E4C3D"/>
    <w:rsid w:val="008E577B"/>
    <w:rsid w:val="008E5AAF"/>
    <w:rsid w:val="008E6576"/>
    <w:rsid w:val="008E67CC"/>
    <w:rsid w:val="008E6DC0"/>
    <w:rsid w:val="008E724D"/>
    <w:rsid w:val="008E74E7"/>
    <w:rsid w:val="008E7C82"/>
    <w:rsid w:val="008F0E9F"/>
    <w:rsid w:val="008F1EED"/>
    <w:rsid w:val="008F22FD"/>
    <w:rsid w:val="008F29FB"/>
    <w:rsid w:val="008F37C3"/>
    <w:rsid w:val="008F3C95"/>
    <w:rsid w:val="008F47D7"/>
    <w:rsid w:val="008F5335"/>
    <w:rsid w:val="008F5415"/>
    <w:rsid w:val="008F550F"/>
    <w:rsid w:val="008F609D"/>
    <w:rsid w:val="008F6490"/>
    <w:rsid w:val="008F70CE"/>
    <w:rsid w:val="008F7C96"/>
    <w:rsid w:val="00900163"/>
    <w:rsid w:val="009007FA"/>
    <w:rsid w:val="009009F5"/>
    <w:rsid w:val="00900C1B"/>
    <w:rsid w:val="00900CB6"/>
    <w:rsid w:val="00901785"/>
    <w:rsid w:val="00901FAE"/>
    <w:rsid w:val="00902073"/>
    <w:rsid w:val="00902C0E"/>
    <w:rsid w:val="00902DAB"/>
    <w:rsid w:val="00903C8A"/>
    <w:rsid w:val="00903CDF"/>
    <w:rsid w:val="00903F2B"/>
    <w:rsid w:val="00904307"/>
    <w:rsid w:val="0090472F"/>
    <w:rsid w:val="0090510F"/>
    <w:rsid w:val="00905A2E"/>
    <w:rsid w:val="009060D2"/>
    <w:rsid w:val="009069F4"/>
    <w:rsid w:val="00906D0B"/>
    <w:rsid w:val="00906F9A"/>
    <w:rsid w:val="009076A6"/>
    <w:rsid w:val="00910410"/>
    <w:rsid w:val="009104A5"/>
    <w:rsid w:val="00910F1A"/>
    <w:rsid w:val="00911615"/>
    <w:rsid w:val="0091170A"/>
    <w:rsid w:val="00911CC6"/>
    <w:rsid w:val="0091292F"/>
    <w:rsid w:val="00912D9C"/>
    <w:rsid w:val="009132CC"/>
    <w:rsid w:val="00913715"/>
    <w:rsid w:val="00913DB1"/>
    <w:rsid w:val="0091426E"/>
    <w:rsid w:val="009145A7"/>
    <w:rsid w:val="00915E31"/>
    <w:rsid w:val="00916368"/>
    <w:rsid w:val="00916657"/>
    <w:rsid w:val="00916CA8"/>
    <w:rsid w:val="00917B4A"/>
    <w:rsid w:val="00917DFE"/>
    <w:rsid w:val="009200BF"/>
    <w:rsid w:val="00920DAA"/>
    <w:rsid w:val="0092301A"/>
    <w:rsid w:val="00923634"/>
    <w:rsid w:val="00924A3A"/>
    <w:rsid w:val="00924DEF"/>
    <w:rsid w:val="00925EA0"/>
    <w:rsid w:val="00926086"/>
    <w:rsid w:val="00926DE4"/>
    <w:rsid w:val="0092739D"/>
    <w:rsid w:val="00927A34"/>
    <w:rsid w:val="00930341"/>
    <w:rsid w:val="009313D6"/>
    <w:rsid w:val="00931DDD"/>
    <w:rsid w:val="00932F18"/>
    <w:rsid w:val="00933741"/>
    <w:rsid w:val="00934334"/>
    <w:rsid w:val="00934B62"/>
    <w:rsid w:val="0093771F"/>
    <w:rsid w:val="00937AD6"/>
    <w:rsid w:val="00937BA0"/>
    <w:rsid w:val="00941827"/>
    <w:rsid w:val="00941A7A"/>
    <w:rsid w:val="0094350E"/>
    <w:rsid w:val="009435CA"/>
    <w:rsid w:val="009456BE"/>
    <w:rsid w:val="0094618A"/>
    <w:rsid w:val="00946D12"/>
    <w:rsid w:val="009513A5"/>
    <w:rsid w:val="009517D0"/>
    <w:rsid w:val="00951E96"/>
    <w:rsid w:val="00951FC7"/>
    <w:rsid w:val="00952617"/>
    <w:rsid w:val="009536F0"/>
    <w:rsid w:val="00954575"/>
    <w:rsid w:val="0095469C"/>
    <w:rsid w:val="00956CC1"/>
    <w:rsid w:val="00957673"/>
    <w:rsid w:val="00960C8A"/>
    <w:rsid w:val="00961A6F"/>
    <w:rsid w:val="009629BB"/>
    <w:rsid w:val="00963661"/>
    <w:rsid w:val="00963798"/>
    <w:rsid w:val="009637C8"/>
    <w:rsid w:val="00963CF4"/>
    <w:rsid w:val="009657C5"/>
    <w:rsid w:val="00965815"/>
    <w:rsid w:val="00967A1A"/>
    <w:rsid w:val="00967C3B"/>
    <w:rsid w:val="00967E6C"/>
    <w:rsid w:val="009701EA"/>
    <w:rsid w:val="00970850"/>
    <w:rsid w:val="00971429"/>
    <w:rsid w:val="00972C55"/>
    <w:rsid w:val="00972C83"/>
    <w:rsid w:val="00972EC9"/>
    <w:rsid w:val="00972F9F"/>
    <w:rsid w:val="009734D1"/>
    <w:rsid w:val="009735B7"/>
    <w:rsid w:val="0097415B"/>
    <w:rsid w:val="00974735"/>
    <w:rsid w:val="00974865"/>
    <w:rsid w:val="00975292"/>
    <w:rsid w:val="0097680D"/>
    <w:rsid w:val="00976AF2"/>
    <w:rsid w:val="00976E8A"/>
    <w:rsid w:val="0097701D"/>
    <w:rsid w:val="009775BC"/>
    <w:rsid w:val="009777DB"/>
    <w:rsid w:val="0098018C"/>
    <w:rsid w:val="009816CC"/>
    <w:rsid w:val="00981856"/>
    <w:rsid w:val="00982389"/>
    <w:rsid w:val="00983460"/>
    <w:rsid w:val="009836EF"/>
    <w:rsid w:val="009837F8"/>
    <w:rsid w:val="00983846"/>
    <w:rsid w:val="00985A9C"/>
    <w:rsid w:val="00985D9C"/>
    <w:rsid w:val="009867B5"/>
    <w:rsid w:val="009903B9"/>
    <w:rsid w:val="00990F01"/>
    <w:rsid w:val="00991D4D"/>
    <w:rsid w:val="009922C5"/>
    <w:rsid w:val="00992C6D"/>
    <w:rsid w:val="00993418"/>
    <w:rsid w:val="009939C8"/>
    <w:rsid w:val="00993DCB"/>
    <w:rsid w:val="009943BE"/>
    <w:rsid w:val="009953FE"/>
    <w:rsid w:val="00995A5A"/>
    <w:rsid w:val="00995F00"/>
    <w:rsid w:val="00996F6D"/>
    <w:rsid w:val="009978C3"/>
    <w:rsid w:val="00997FEC"/>
    <w:rsid w:val="009A03D3"/>
    <w:rsid w:val="009A05FD"/>
    <w:rsid w:val="009A073E"/>
    <w:rsid w:val="009A0B62"/>
    <w:rsid w:val="009A0D9A"/>
    <w:rsid w:val="009A0E48"/>
    <w:rsid w:val="009A142A"/>
    <w:rsid w:val="009A2814"/>
    <w:rsid w:val="009A3704"/>
    <w:rsid w:val="009A38DA"/>
    <w:rsid w:val="009A41F6"/>
    <w:rsid w:val="009A4E96"/>
    <w:rsid w:val="009A57D2"/>
    <w:rsid w:val="009A691F"/>
    <w:rsid w:val="009A6971"/>
    <w:rsid w:val="009A73D7"/>
    <w:rsid w:val="009A795E"/>
    <w:rsid w:val="009B0688"/>
    <w:rsid w:val="009B0EC8"/>
    <w:rsid w:val="009B1377"/>
    <w:rsid w:val="009B26E1"/>
    <w:rsid w:val="009B2A82"/>
    <w:rsid w:val="009B4114"/>
    <w:rsid w:val="009B5A0E"/>
    <w:rsid w:val="009B5EFA"/>
    <w:rsid w:val="009B64BC"/>
    <w:rsid w:val="009B6680"/>
    <w:rsid w:val="009B67C8"/>
    <w:rsid w:val="009B6C21"/>
    <w:rsid w:val="009B6C6C"/>
    <w:rsid w:val="009B7BDA"/>
    <w:rsid w:val="009C0F59"/>
    <w:rsid w:val="009C160C"/>
    <w:rsid w:val="009C3D29"/>
    <w:rsid w:val="009C3D90"/>
    <w:rsid w:val="009C5954"/>
    <w:rsid w:val="009C6B2C"/>
    <w:rsid w:val="009C6F77"/>
    <w:rsid w:val="009C70B1"/>
    <w:rsid w:val="009C7880"/>
    <w:rsid w:val="009D022D"/>
    <w:rsid w:val="009D02F1"/>
    <w:rsid w:val="009D0928"/>
    <w:rsid w:val="009D0CDC"/>
    <w:rsid w:val="009D1196"/>
    <w:rsid w:val="009D1C75"/>
    <w:rsid w:val="009D1F4E"/>
    <w:rsid w:val="009D2531"/>
    <w:rsid w:val="009D35DE"/>
    <w:rsid w:val="009D35F3"/>
    <w:rsid w:val="009D39A3"/>
    <w:rsid w:val="009D3C53"/>
    <w:rsid w:val="009D4951"/>
    <w:rsid w:val="009D4EDB"/>
    <w:rsid w:val="009D556D"/>
    <w:rsid w:val="009D640A"/>
    <w:rsid w:val="009D68B5"/>
    <w:rsid w:val="009D6E90"/>
    <w:rsid w:val="009E0F0C"/>
    <w:rsid w:val="009E1744"/>
    <w:rsid w:val="009E1E9C"/>
    <w:rsid w:val="009E217B"/>
    <w:rsid w:val="009E24E3"/>
    <w:rsid w:val="009E25D9"/>
    <w:rsid w:val="009E37D2"/>
    <w:rsid w:val="009E4269"/>
    <w:rsid w:val="009E55A4"/>
    <w:rsid w:val="009E5BB4"/>
    <w:rsid w:val="009E769F"/>
    <w:rsid w:val="009E7BF8"/>
    <w:rsid w:val="009F0C83"/>
    <w:rsid w:val="009F1745"/>
    <w:rsid w:val="009F4588"/>
    <w:rsid w:val="009F5757"/>
    <w:rsid w:val="009F5C1E"/>
    <w:rsid w:val="009F67B4"/>
    <w:rsid w:val="00A001F6"/>
    <w:rsid w:val="00A00435"/>
    <w:rsid w:val="00A0049A"/>
    <w:rsid w:val="00A00C00"/>
    <w:rsid w:val="00A00F40"/>
    <w:rsid w:val="00A00F85"/>
    <w:rsid w:val="00A01B1E"/>
    <w:rsid w:val="00A02F75"/>
    <w:rsid w:val="00A03CE5"/>
    <w:rsid w:val="00A04977"/>
    <w:rsid w:val="00A050E7"/>
    <w:rsid w:val="00A06351"/>
    <w:rsid w:val="00A068A2"/>
    <w:rsid w:val="00A07C7B"/>
    <w:rsid w:val="00A07F90"/>
    <w:rsid w:val="00A10A37"/>
    <w:rsid w:val="00A1385C"/>
    <w:rsid w:val="00A138C2"/>
    <w:rsid w:val="00A145C5"/>
    <w:rsid w:val="00A1487E"/>
    <w:rsid w:val="00A16128"/>
    <w:rsid w:val="00A16C87"/>
    <w:rsid w:val="00A17100"/>
    <w:rsid w:val="00A17347"/>
    <w:rsid w:val="00A1765E"/>
    <w:rsid w:val="00A20409"/>
    <w:rsid w:val="00A20713"/>
    <w:rsid w:val="00A21019"/>
    <w:rsid w:val="00A2150F"/>
    <w:rsid w:val="00A21721"/>
    <w:rsid w:val="00A22DCD"/>
    <w:rsid w:val="00A23B69"/>
    <w:rsid w:val="00A23F26"/>
    <w:rsid w:val="00A243F5"/>
    <w:rsid w:val="00A24432"/>
    <w:rsid w:val="00A24B8C"/>
    <w:rsid w:val="00A24C88"/>
    <w:rsid w:val="00A24E9C"/>
    <w:rsid w:val="00A258AE"/>
    <w:rsid w:val="00A25AB8"/>
    <w:rsid w:val="00A26451"/>
    <w:rsid w:val="00A26F09"/>
    <w:rsid w:val="00A2722E"/>
    <w:rsid w:val="00A309AE"/>
    <w:rsid w:val="00A30F22"/>
    <w:rsid w:val="00A31D6A"/>
    <w:rsid w:val="00A32524"/>
    <w:rsid w:val="00A325C8"/>
    <w:rsid w:val="00A3274F"/>
    <w:rsid w:val="00A33788"/>
    <w:rsid w:val="00A33DC6"/>
    <w:rsid w:val="00A34160"/>
    <w:rsid w:val="00A3439F"/>
    <w:rsid w:val="00A34C74"/>
    <w:rsid w:val="00A34E71"/>
    <w:rsid w:val="00A37734"/>
    <w:rsid w:val="00A37F11"/>
    <w:rsid w:val="00A41126"/>
    <w:rsid w:val="00A41410"/>
    <w:rsid w:val="00A414D6"/>
    <w:rsid w:val="00A4194E"/>
    <w:rsid w:val="00A4278D"/>
    <w:rsid w:val="00A42987"/>
    <w:rsid w:val="00A42E5C"/>
    <w:rsid w:val="00A43A5D"/>
    <w:rsid w:val="00A43E43"/>
    <w:rsid w:val="00A43F6B"/>
    <w:rsid w:val="00A43F98"/>
    <w:rsid w:val="00A443ED"/>
    <w:rsid w:val="00A45012"/>
    <w:rsid w:val="00A456C4"/>
    <w:rsid w:val="00A459DF"/>
    <w:rsid w:val="00A459EE"/>
    <w:rsid w:val="00A45B48"/>
    <w:rsid w:val="00A475F3"/>
    <w:rsid w:val="00A50DED"/>
    <w:rsid w:val="00A5129F"/>
    <w:rsid w:val="00A51D16"/>
    <w:rsid w:val="00A52A0B"/>
    <w:rsid w:val="00A52AF2"/>
    <w:rsid w:val="00A52B38"/>
    <w:rsid w:val="00A54344"/>
    <w:rsid w:val="00A547F9"/>
    <w:rsid w:val="00A552C4"/>
    <w:rsid w:val="00A56315"/>
    <w:rsid w:val="00A56DF6"/>
    <w:rsid w:val="00A57F51"/>
    <w:rsid w:val="00A601F3"/>
    <w:rsid w:val="00A60C89"/>
    <w:rsid w:val="00A61422"/>
    <w:rsid w:val="00A61D93"/>
    <w:rsid w:val="00A61F7A"/>
    <w:rsid w:val="00A62202"/>
    <w:rsid w:val="00A62430"/>
    <w:rsid w:val="00A625ED"/>
    <w:rsid w:val="00A638D2"/>
    <w:rsid w:val="00A63AE9"/>
    <w:rsid w:val="00A63BDA"/>
    <w:rsid w:val="00A63D1F"/>
    <w:rsid w:val="00A63E55"/>
    <w:rsid w:val="00A64088"/>
    <w:rsid w:val="00A64F63"/>
    <w:rsid w:val="00A651C7"/>
    <w:rsid w:val="00A6587C"/>
    <w:rsid w:val="00A6623E"/>
    <w:rsid w:val="00A6692C"/>
    <w:rsid w:val="00A671FA"/>
    <w:rsid w:val="00A67BBD"/>
    <w:rsid w:val="00A67C32"/>
    <w:rsid w:val="00A67E95"/>
    <w:rsid w:val="00A7000C"/>
    <w:rsid w:val="00A70D85"/>
    <w:rsid w:val="00A719E5"/>
    <w:rsid w:val="00A71D9D"/>
    <w:rsid w:val="00A72CC0"/>
    <w:rsid w:val="00A72F80"/>
    <w:rsid w:val="00A73C54"/>
    <w:rsid w:val="00A7404B"/>
    <w:rsid w:val="00A7498E"/>
    <w:rsid w:val="00A749FD"/>
    <w:rsid w:val="00A75863"/>
    <w:rsid w:val="00A768E4"/>
    <w:rsid w:val="00A77762"/>
    <w:rsid w:val="00A77CCD"/>
    <w:rsid w:val="00A8087C"/>
    <w:rsid w:val="00A80B02"/>
    <w:rsid w:val="00A80E90"/>
    <w:rsid w:val="00A8146F"/>
    <w:rsid w:val="00A81E67"/>
    <w:rsid w:val="00A820CA"/>
    <w:rsid w:val="00A82CC9"/>
    <w:rsid w:val="00A82FB5"/>
    <w:rsid w:val="00A832CE"/>
    <w:rsid w:val="00A8356D"/>
    <w:rsid w:val="00A8473B"/>
    <w:rsid w:val="00A84D3B"/>
    <w:rsid w:val="00A85D00"/>
    <w:rsid w:val="00A86843"/>
    <w:rsid w:val="00A87567"/>
    <w:rsid w:val="00A87847"/>
    <w:rsid w:val="00A87AF5"/>
    <w:rsid w:val="00A90EAC"/>
    <w:rsid w:val="00A910B0"/>
    <w:rsid w:val="00A9298A"/>
    <w:rsid w:val="00A92CD0"/>
    <w:rsid w:val="00A931A1"/>
    <w:rsid w:val="00A93589"/>
    <w:rsid w:val="00A949E6"/>
    <w:rsid w:val="00A94E55"/>
    <w:rsid w:val="00A97A3A"/>
    <w:rsid w:val="00AA0249"/>
    <w:rsid w:val="00AA0E76"/>
    <w:rsid w:val="00AA11BE"/>
    <w:rsid w:val="00AA15DF"/>
    <w:rsid w:val="00AA1748"/>
    <w:rsid w:val="00AA19D4"/>
    <w:rsid w:val="00AA22EC"/>
    <w:rsid w:val="00AA2584"/>
    <w:rsid w:val="00AA381D"/>
    <w:rsid w:val="00AA49CC"/>
    <w:rsid w:val="00AA4CF3"/>
    <w:rsid w:val="00AA52AD"/>
    <w:rsid w:val="00AB0333"/>
    <w:rsid w:val="00AB07BF"/>
    <w:rsid w:val="00AB0D8B"/>
    <w:rsid w:val="00AB141D"/>
    <w:rsid w:val="00AB150B"/>
    <w:rsid w:val="00AB3184"/>
    <w:rsid w:val="00AB426F"/>
    <w:rsid w:val="00AB454F"/>
    <w:rsid w:val="00AB58C0"/>
    <w:rsid w:val="00AB63D0"/>
    <w:rsid w:val="00AB63D5"/>
    <w:rsid w:val="00AB6AC5"/>
    <w:rsid w:val="00AB745E"/>
    <w:rsid w:val="00AB7BC0"/>
    <w:rsid w:val="00AC0383"/>
    <w:rsid w:val="00AC0722"/>
    <w:rsid w:val="00AC089D"/>
    <w:rsid w:val="00AC08D4"/>
    <w:rsid w:val="00AC112F"/>
    <w:rsid w:val="00AC1C36"/>
    <w:rsid w:val="00AC2AA7"/>
    <w:rsid w:val="00AC2D7D"/>
    <w:rsid w:val="00AC2E4B"/>
    <w:rsid w:val="00AC2E80"/>
    <w:rsid w:val="00AC35A4"/>
    <w:rsid w:val="00AC36DB"/>
    <w:rsid w:val="00AC5954"/>
    <w:rsid w:val="00AC5A92"/>
    <w:rsid w:val="00AC5C94"/>
    <w:rsid w:val="00AC6FA8"/>
    <w:rsid w:val="00AD01F5"/>
    <w:rsid w:val="00AD02A9"/>
    <w:rsid w:val="00AD1372"/>
    <w:rsid w:val="00AD14A7"/>
    <w:rsid w:val="00AD1FDE"/>
    <w:rsid w:val="00AD34D3"/>
    <w:rsid w:val="00AD376E"/>
    <w:rsid w:val="00AD3A06"/>
    <w:rsid w:val="00AD3A82"/>
    <w:rsid w:val="00AD47BA"/>
    <w:rsid w:val="00AD56D8"/>
    <w:rsid w:val="00AD58E0"/>
    <w:rsid w:val="00AD5A3E"/>
    <w:rsid w:val="00AD5B67"/>
    <w:rsid w:val="00AD5EDA"/>
    <w:rsid w:val="00AD66DE"/>
    <w:rsid w:val="00AD6780"/>
    <w:rsid w:val="00AD7ACB"/>
    <w:rsid w:val="00AE0CED"/>
    <w:rsid w:val="00AE100C"/>
    <w:rsid w:val="00AE1DD9"/>
    <w:rsid w:val="00AE371B"/>
    <w:rsid w:val="00AE3C53"/>
    <w:rsid w:val="00AE46C4"/>
    <w:rsid w:val="00AE4DBF"/>
    <w:rsid w:val="00AE505E"/>
    <w:rsid w:val="00AE5167"/>
    <w:rsid w:val="00AE5723"/>
    <w:rsid w:val="00AF040D"/>
    <w:rsid w:val="00AF1AE8"/>
    <w:rsid w:val="00AF1E07"/>
    <w:rsid w:val="00AF240F"/>
    <w:rsid w:val="00AF27D4"/>
    <w:rsid w:val="00AF29D8"/>
    <w:rsid w:val="00AF2B38"/>
    <w:rsid w:val="00AF2DF2"/>
    <w:rsid w:val="00AF360C"/>
    <w:rsid w:val="00AF37A8"/>
    <w:rsid w:val="00AF3996"/>
    <w:rsid w:val="00AF3A3F"/>
    <w:rsid w:val="00AF4833"/>
    <w:rsid w:val="00AF48C0"/>
    <w:rsid w:val="00AF499E"/>
    <w:rsid w:val="00AF4A17"/>
    <w:rsid w:val="00AF4F1F"/>
    <w:rsid w:val="00AF50DE"/>
    <w:rsid w:val="00AF530D"/>
    <w:rsid w:val="00AF5A95"/>
    <w:rsid w:val="00AF72A7"/>
    <w:rsid w:val="00AF74D5"/>
    <w:rsid w:val="00AF7823"/>
    <w:rsid w:val="00AF7A97"/>
    <w:rsid w:val="00AF7E44"/>
    <w:rsid w:val="00B0055F"/>
    <w:rsid w:val="00B0081C"/>
    <w:rsid w:val="00B00BB9"/>
    <w:rsid w:val="00B01266"/>
    <w:rsid w:val="00B02527"/>
    <w:rsid w:val="00B02FBB"/>
    <w:rsid w:val="00B04535"/>
    <w:rsid w:val="00B05848"/>
    <w:rsid w:val="00B06164"/>
    <w:rsid w:val="00B06A35"/>
    <w:rsid w:val="00B06AE0"/>
    <w:rsid w:val="00B06D4A"/>
    <w:rsid w:val="00B06F3E"/>
    <w:rsid w:val="00B070F5"/>
    <w:rsid w:val="00B075D0"/>
    <w:rsid w:val="00B07620"/>
    <w:rsid w:val="00B07685"/>
    <w:rsid w:val="00B10018"/>
    <w:rsid w:val="00B11835"/>
    <w:rsid w:val="00B12155"/>
    <w:rsid w:val="00B12502"/>
    <w:rsid w:val="00B126B1"/>
    <w:rsid w:val="00B14275"/>
    <w:rsid w:val="00B14AF0"/>
    <w:rsid w:val="00B15095"/>
    <w:rsid w:val="00B172ED"/>
    <w:rsid w:val="00B17325"/>
    <w:rsid w:val="00B17604"/>
    <w:rsid w:val="00B1767F"/>
    <w:rsid w:val="00B17800"/>
    <w:rsid w:val="00B17834"/>
    <w:rsid w:val="00B20B3C"/>
    <w:rsid w:val="00B20FE1"/>
    <w:rsid w:val="00B22018"/>
    <w:rsid w:val="00B22185"/>
    <w:rsid w:val="00B2233E"/>
    <w:rsid w:val="00B22386"/>
    <w:rsid w:val="00B224F4"/>
    <w:rsid w:val="00B23BC9"/>
    <w:rsid w:val="00B24254"/>
    <w:rsid w:val="00B2497C"/>
    <w:rsid w:val="00B24F71"/>
    <w:rsid w:val="00B25186"/>
    <w:rsid w:val="00B2538A"/>
    <w:rsid w:val="00B25BAA"/>
    <w:rsid w:val="00B25C1F"/>
    <w:rsid w:val="00B25C67"/>
    <w:rsid w:val="00B2607C"/>
    <w:rsid w:val="00B279A5"/>
    <w:rsid w:val="00B3074A"/>
    <w:rsid w:val="00B30A1F"/>
    <w:rsid w:val="00B30BB6"/>
    <w:rsid w:val="00B312C3"/>
    <w:rsid w:val="00B31426"/>
    <w:rsid w:val="00B317AD"/>
    <w:rsid w:val="00B317BA"/>
    <w:rsid w:val="00B31C23"/>
    <w:rsid w:val="00B32F5C"/>
    <w:rsid w:val="00B331D8"/>
    <w:rsid w:val="00B3327E"/>
    <w:rsid w:val="00B345FA"/>
    <w:rsid w:val="00B349B4"/>
    <w:rsid w:val="00B34CA6"/>
    <w:rsid w:val="00B350D6"/>
    <w:rsid w:val="00B352C0"/>
    <w:rsid w:val="00B354F3"/>
    <w:rsid w:val="00B358DC"/>
    <w:rsid w:val="00B35DCA"/>
    <w:rsid w:val="00B36FDC"/>
    <w:rsid w:val="00B37279"/>
    <w:rsid w:val="00B37434"/>
    <w:rsid w:val="00B3770B"/>
    <w:rsid w:val="00B37C8E"/>
    <w:rsid w:val="00B403E2"/>
    <w:rsid w:val="00B40693"/>
    <w:rsid w:val="00B413F4"/>
    <w:rsid w:val="00B424A2"/>
    <w:rsid w:val="00B42641"/>
    <w:rsid w:val="00B43864"/>
    <w:rsid w:val="00B43C36"/>
    <w:rsid w:val="00B4478D"/>
    <w:rsid w:val="00B450F4"/>
    <w:rsid w:val="00B45924"/>
    <w:rsid w:val="00B45D13"/>
    <w:rsid w:val="00B45DA8"/>
    <w:rsid w:val="00B45F45"/>
    <w:rsid w:val="00B4612C"/>
    <w:rsid w:val="00B469CB"/>
    <w:rsid w:val="00B473DA"/>
    <w:rsid w:val="00B50BB7"/>
    <w:rsid w:val="00B50BB9"/>
    <w:rsid w:val="00B51536"/>
    <w:rsid w:val="00B51C30"/>
    <w:rsid w:val="00B525C1"/>
    <w:rsid w:val="00B53050"/>
    <w:rsid w:val="00B53FC5"/>
    <w:rsid w:val="00B541CF"/>
    <w:rsid w:val="00B610E0"/>
    <w:rsid w:val="00B61D5E"/>
    <w:rsid w:val="00B61E6D"/>
    <w:rsid w:val="00B62197"/>
    <w:rsid w:val="00B62430"/>
    <w:rsid w:val="00B6543C"/>
    <w:rsid w:val="00B65630"/>
    <w:rsid w:val="00B6629C"/>
    <w:rsid w:val="00B67181"/>
    <w:rsid w:val="00B67E58"/>
    <w:rsid w:val="00B705C4"/>
    <w:rsid w:val="00B70703"/>
    <w:rsid w:val="00B71A90"/>
    <w:rsid w:val="00B71AB3"/>
    <w:rsid w:val="00B71F66"/>
    <w:rsid w:val="00B72007"/>
    <w:rsid w:val="00B725FE"/>
    <w:rsid w:val="00B727AA"/>
    <w:rsid w:val="00B73F0B"/>
    <w:rsid w:val="00B743CB"/>
    <w:rsid w:val="00B7450C"/>
    <w:rsid w:val="00B74BC4"/>
    <w:rsid w:val="00B754DB"/>
    <w:rsid w:val="00B759D1"/>
    <w:rsid w:val="00B76CC1"/>
    <w:rsid w:val="00B76E96"/>
    <w:rsid w:val="00B76E98"/>
    <w:rsid w:val="00B77019"/>
    <w:rsid w:val="00B77319"/>
    <w:rsid w:val="00B7737A"/>
    <w:rsid w:val="00B80B10"/>
    <w:rsid w:val="00B81D7C"/>
    <w:rsid w:val="00B824EF"/>
    <w:rsid w:val="00B82A96"/>
    <w:rsid w:val="00B83979"/>
    <w:rsid w:val="00B83A8D"/>
    <w:rsid w:val="00B83C73"/>
    <w:rsid w:val="00B83E49"/>
    <w:rsid w:val="00B84288"/>
    <w:rsid w:val="00B84B32"/>
    <w:rsid w:val="00B857BA"/>
    <w:rsid w:val="00B86016"/>
    <w:rsid w:val="00B872AD"/>
    <w:rsid w:val="00B8751C"/>
    <w:rsid w:val="00B90103"/>
    <w:rsid w:val="00B91AA2"/>
    <w:rsid w:val="00B91C47"/>
    <w:rsid w:val="00B9380D"/>
    <w:rsid w:val="00B93BAA"/>
    <w:rsid w:val="00B93F62"/>
    <w:rsid w:val="00B94B64"/>
    <w:rsid w:val="00B95EA6"/>
    <w:rsid w:val="00B96BFE"/>
    <w:rsid w:val="00B9706E"/>
    <w:rsid w:val="00BA0C68"/>
    <w:rsid w:val="00BA2C21"/>
    <w:rsid w:val="00BA5952"/>
    <w:rsid w:val="00BA7E68"/>
    <w:rsid w:val="00BB0019"/>
    <w:rsid w:val="00BB095C"/>
    <w:rsid w:val="00BB1638"/>
    <w:rsid w:val="00BB1D52"/>
    <w:rsid w:val="00BB20C8"/>
    <w:rsid w:val="00BB26F3"/>
    <w:rsid w:val="00BB284B"/>
    <w:rsid w:val="00BB4399"/>
    <w:rsid w:val="00BB4D40"/>
    <w:rsid w:val="00BB4E80"/>
    <w:rsid w:val="00BB5F21"/>
    <w:rsid w:val="00BB6FE2"/>
    <w:rsid w:val="00BB73BE"/>
    <w:rsid w:val="00BB7C51"/>
    <w:rsid w:val="00BB7F64"/>
    <w:rsid w:val="00BC0302"/>
    <w:rsid w:val="00BC04AF"/>
    <w:rsid w:val="00BC0A69"/>
    <w:rsid w:val="00BC0E37"/>
    <w:rsid w:val="00BC17F5"/>
    <w:rsid w:val="00BC1CE6"/>
    <w:rsid w:val="00BC20DF"/>
    <w:rsid w:val="00BC2290"/>
    <w:rsid w:val="00BC264A"/>
    <w:rsid w:val="00BC2FC4"/>
    <w:rsid w:val="00BC33E3"/>
    <w:rsid w:val="00BC3B18"/>
    <w:rsid w:val="00BC4F6A"/>
    <w:rsid w:val="00BC5268"/>
    <w:rsid w:val="00BC5641"/>
    <w:rsid w:val="00BC6D15"/>
    <w:rsid w:val="00BC71E1"/>
    <w:rsid w:val="00BC74C7"/>
    <w:rsid w:val="00BC77DE"/>
    <w:rsid w:val="00BD135A"/>
    <w:rsid w:val="00BD26FB"/>
    <w:rsid w:val="00BD2B1D"/>
    <w:rsid w:val="00BD307E"/>
    <w:rsid w:val="00BD3A6A"/>
    <w:rsid w:val="00BD3E6A"/>
    <w:rsid w:val="00BD43F2"/>
    <w:rsid w:val="00BD494D"/>
    <w:rsid w:val="00BD49BA"/>
    <w:rsid w:val="00BD4E7F"/>
    <w:rsid w:val="00BD4EE2"/>
    <w:rsid w:val="00BD51CC"/>
    <w:rsid w:val="00BD5372"/>
    <w:rsid w:val="00BD6719"/>
    <w:rsid w:val="00BD6A98"/>
    <w:rsid w:val="00BD6FF0"/>
    <w:rsid w:val="00BD7B72"/>
    <w:rsid w:val="00BE040C"/>
    <w:rsid w:val="00BE0649"/>
    <w:rsid w:val="00BE0F47"/>
    <w:rsid w:val="00BE147B"/>
    <w:rsid w:val="00BE14E8"/>
    <w:rsid w:val="00BE161C"/>
    <w:rsid w:val="00BE1DB2"/>
    <w:rsid w:val="00BE2576"/>
    <w:rsid w:val="00BE3969"/>
    <w:rsid w:val="00BE43BF"/>
    <w:rsid w:val="00BE4BEA"/>
    <w:rsid w:val="00BE4E75"/>
    <w:rsid w:val="00BE5C22"/>
    <w:rsid w:val="00BE5EE8"/>
    <w:rsid w:val="00BF0B59"/>
    <w:rsid w:val="00BF0C56"/>
    <w:rsid w:val="00BF0E6E"/>
    <w:rsid w:val="00BF16E5"/>
    <w:rsid w:val="00BF29EB"/>
    <w:rsid w:val="00BF30A8"/>
    <w:rsid w:val="00BF3582"/>
    <w:rsid w:val="00BF4538"/>
    <w:rsid w:val="00BF5474"/>
    <w:rsid w:val="00BF5B4B"/>
    <w:rsid w:val="00BF781D"/>
    <w:rsid w:val="00BF7D6C"/>
    <w:rsid w:val="00C00154"/>
    <w:rsid w:val="00C006C8"/>
    <w:rsid w:val="00C00F55"/>
    <w:rsid w:val="00C01271"/>
    <w:rsid w:val="00C01AF7"/>
    <w:rsid w:val="00C01B00"/>
    <w:rsid w:val="00C0211F"/>
    <w:rsid w:val="00C024A8"/>
    <w:rsid w:val="00C024BD"/>
    <w:rsid w:val="00C025B7"/>
    <w:rsid w:val="00C033B0"/>
    <w:rsid w:val="00C040A1"/>
    <w:rsid w:val="00C0459D"/>
    <w:rsid w:val="00C0494D"/>
    <w:rsid w:val="00C04AF4"/>
    <w:rsid w:val="00C04B50"/>
    <w:rsid w:val="00C04E5D"/>
    <w:rsid w:val="00C062D9"/>
    <w:rsid w:val="00C0666D"/>
    <w:rsid w:val="00C06724"/>
    <w:rsid w:val="00C07E1A"/>
    <w:rsid w:val="00C10196"/>
    <w:rsid w:val="00C1076E"/>
    <w:rsid w:val="00C10794"/>
    <w:rsid w:val="00C10B1B"/>
    <w:rsid w:val="00C11972"/>
    <w:rsid w:val="00C11E18"/>
    <w:rsid w:val="00C138C7"/>
    <w:rsid w:val="00C14955"/>
    <w:rsid w:val="00C1523F"/>
    <w:rsid w:val="00C154D5"/>
    <w:rsid w:val="00C15ED4"/>
    <w:rsid w:val="00C168EC"/>
    <w:rsid w:val="00C17A86"/>
    <w:rsid w:val="00C207AC"/>
    <w:rsid w:val="00C20F2F"/>
    <w:rsid w:val="00C213BA"/>
    <w:rsid w:val="00C21450"/>
    <w:rsid w:val="00C2188E"/>
    <w:rsid w:val="00C21E36"/>
    <w:rsid w:val="00C223B8"/>
    <w:rsid w:val="00C224A7"/>
    <w:rsid w:val="00C22663"/>
    <w:rsid w:val="00C227A0"/>
    <w:rsid w:val="00C2286A"/>
    <w:rsid w:val="00C23010"/>
    <w:rsid w:val="00C237DF"/>
    <w:rsid w:val="00C23CF6"/>
    <w:rsid w:val="00C24443"/>
    <w:rsid w:val="00C24AAA"/>
    <w:rsid w:val="00C253F0"/>
    <w:rsid w:val="00C25F29"/>
    <w:rsid w:val="00C27376"/>
    <w:rsid w:val="00C3126C"/>
    <w:rsid w:val="00C313FF"/>
    <w:rsid w:val="00C31495"/>
    <w:rsid w:val="00C330FE"/>
    <w:rsid w:val="00C343C2"/>
    <w:rsid w:val="00C34A00"/>
    <w:rsid w:val="00C34D4E"/>
    <w:rsid w:val="00C353F8"/>
    <w:rsid w:val="00C35C7A"/>
    <w:rsid w:val="00C35E12"/>
    <w:rsid w:val="00C37615"/>
    <w:rsid w:val="00C40B96"/>
    <w:rsid w:val="00C421A6"/>
    <w:rsid w:val="00C4243A"/>
    <w:rsid w:val="00C42493"/>
    <w:rsid w:val="00C425F7"/>
    <w:rsid w:val="00C43115"/>
    <w:rsid w:val="00C44107"/>
    <w:rsid w:val="00C46385"/>
    <w:rsid w:val="00C466A6"/>
    <w:rsid w:val="00C475FE"/>
    <w:rsid w:val="00C50D11"/>
    <w:rsid w:val="00C51293"/>
    <w:rsid w:val="00C520E8"/>
    <w:rsid w:val="00C52E72"/>
    <w:rsid w:val="00C537BE"/>
    <w:rsid w:val="00C53BC1"/>
    <w:rsid w:val="00C53C80"/>
    <w:rsid w:val="00C53DAA"/>
    <w:rsid w:val="00C54348"/>
    <w:rsid w:val="00C552CD"/>
    <w:rsid w:val="00C562D1"/>
    <w:rsid w:val="00C568CB"/>
    <w:rsid w:val="00C57D0F"/>
    <w:rsid w:val="00C57E7B"/>
    <w:rsid w:val="00C57E9D"/>
    <w:rsid w:val="00C60088"/>
    <w:rsid w:val="00C603A0"/>
    <w:rsid w:val="00C60899"/>
    <w:rsid w:val="00C60C47"/>
    <w:rsid w:val="00C6264E"/>
    <w:rsid w:val="00C646AF"/>
    <w:rsid w:val="00C6512F"/>
    <w:rsid w:val="00C65D3D"/>
    <w:rsid w:val="00C65ED9"/>
    <w:rsid w:val="00C6729F"/>
    <w:rsid w:val="00C67371"/>
    <w:rsid w:val="00C67450"/>
    <w:rsid w:val="00C703C9"/>
    <w:rsid w:val="00C70F53"/>
    <w:rsid w:val="00C7136B"/>
    <w:rsid w:val="00C7184A"/>
    <w:rsid w:val="00C72338"/>
    <w:rsid w:val="00C72AF0"/>
    <w:rsid w:val="00C73369"/>
    <w:rsid w:val="00C73CDB"/>
    <w:rsid w:val="00C73FE5"/>
    <w:rsid w:val="00C74AE2"/>
    <w:rsid w:val="00C75550"/>
    <w:rsid w:val="00C755D1"/>
    <w:rsid w:val="00C76061"/>
    <w:rsid w:val="00C76F8D"/>
    <w:rsid w:val="00C76FA4"/>
    <w:rsid w:val="00C7712B"/>
    <w:rsid w:val="00C77E53"/>
    <w:rsid w:val="00C80151"/>
    <w:rsid w:val="00C812D6"/>
    <w:rsid w:val="00C81D76"/>
    <w:rsid w:val="00C828C3"/>
    <w:rsid w:val="00C83BE9"/>
    <w:rsid w:val="00C83D4F"/>
    <w:rsid w:val="00C83F7E"/>
    <w:rsid w:val="00C842D1"/>
    <w:rsid w:val="00C84835"/>
    <w:rsid w:val="00C849DE"/>
    <w:rsid w:val="00C84AB4"/>
    <w:rsid w:val="00C86722"/>
    <w:rsid w:val="00C86CCF"/>
    <w:rsid w:val="00C9134B"/>
    <w:rsid w:val="00C9159A"/>
    <w:rsid w:val="00C91794"/>
    <w:rsid w:val="00C91B0F"/>
    <w:rsid w:val="00C9226D"/>
    <w:rsid w:val="00C9259F"/>
    <w:rsid w:val="00C92A00"/>
    <w:rsid w:val="00C933B1"/>
    <w:rsid w:val="00C93528"/>
    <w:rsid w:val="00C94200"/>
    <w:rsid w:val="00C943CF"/>
    <w:rsid w:val="00C951B0"/>
    <w:rsid w:val="00C972AF"/>
    <w:rsid w:val="00CA0A4D"/>
    <w:rsid w:val="00CA0AE5"/>
    <w:rsid w:val="00CA0E76"/>
    <w:rsid w:val="00CA2259"/>
    <w:rsid w:val="00CA2B4D"/>
    <w:rsid w:val="00CA2CC8"/>
    <w:rsid w:val="00CA3B8B"/>
    <w:rsid w:val="00CA4485"/>
    <w:rsid w:val="00CA46C5"/>
    <w:rsid w:val="00CA4F92"/>
    <w:rsid w:val="00CA5064"/>
    <w:rsid w:val="00CA5125"/>
    <w:rsid w:val="00CA53D5"/>
    <w:rsid w:val="00CA5568"/>
    <w:rsid w:val="00CA5FFF"/>
    <w:rsid w:val="00CA6881"/>
    <w:rsid w:val="00CA6BAF"/>
    <w:rsid w:val="00CA7290"/>
    <w:rsid w:val="00CB0441"/>
    <w:rsid w:val="00CB1024"/>
    <w:rsid w:val="00CB22BE"/>
    <w:rsid w:val="00CB24E0"/>
    <w:rsid w:val="00CB2A29"/>
    <w:rsid w:val="00CB3A84"/>
    <w:rsid w:val="00CB3D93"/>
    <w:rsid w:val="00CB4360"/>
    <w:rsid w:val="00CB463A"/>
    <w:rsid w:val="00CB5039"/>
    <w:rsid w:val="00CB5DB6"/>
    <w:rsid w:val="00CB69FB"/>
    <w:rsid w:val="00CB6CB4"/>
    <w:rsid w:val="00CB7B58"/>
    <w:rsid w:val="00CB7BAA"/>
    <w:rsid w:val="00CC029E"/>
    <w:rsid w:val="00CC02AD"/>
    <w:rsid w:val="00CC07D9"/>
    <w:rsid w:val="00CC0AA1"/>
    <w:rsid w:val="00CC101F"/>
    <w:rsid w:val="00CC12DE"/>
    <w:rsid w:val="00CC2B08"/>
    <w:rsid w:val="00CC2CAF"/>
    <w:rsid w:val="00CC2CBC"/>
    <w:rsid w:val="00CC4C31"/>
    <w:rsid w:val="00CC5E92"/>
    <w:rsid w:val="00CC6202"/>
    <w:rsid w:val="00CC6A9A"/>
    <w:rsid w:val="00CC6FE7"/>
    <w:rsid w:val="00CC71F9"/>
    <w:rsid w:val="00CC7976"/>
    <w:rsid w:val="00CC79AC"/>
    <w:rsid w:val="00CC7F1C"/>
    <w:rsid w:val="00CD0111"/>
    <w:rsid w:val="00CD2FA9"/>
    <w:rsid w:val="00CD35AF"/>
    <w:rsid w:val="00CD360D"/>
    <w:rsid w:val="00CD3C3A"/>
    <w:rsid w:val="00CD4172"/>
    <w:rsid w:val="00CD4A5B"/>
    <w:rsid w:val="00CD5B34"/>
    <w:rsid w:val="00CD6041"/>
    <w:rsid w:val="00CD66A0"/>
    <w:rsid w:val="00CD7303"/>
    <w:rsid w:val="00CD74E5"/>
    <w:rsid w:val="00CD7E20"/>
    <w:rsid w:val="00CE01A4"/>
    <w:rsid w:val="00CE0626"/>
    <w:rsid w:val="00CE1DC7"/>
    <w:rsid w:val="00CE2088"/>
    <w:rsid w:val="00CE2837"/>
    <w:rsid w:val="00CE311F"/>
    <w:rsid w:val="00CE3777"/>
    <w:rsid w:val="00CE511C"/>
    <w:rsid w:val="00CE5498"/>
    <w:rsid w:val="00CE689E"/>
    <w:rsid w:val="00CE6F59"/>
    <w:rsid w:val="00CE77B3"/>
    <w:rsid w:val="00CE7C2C"/>
    <w:rsid w:val="00CF09BB"/>
    <w:rsid w:val="00CF3443"/>
    <w:rsid w:val="00CF4644"/>
    <w:rsid w:val="00CF4982"/>
    <w:rsid w:val="00CF4BDA"/>
    <w:rsid w:val="00CF4C88"/>
    <w:rsid w:val="00CF5A7E"/>
    <w:rsid w:val="00CF5EC0"/>
    <w:rsid w:val="00CF6204"/>
    <w:rsid w:val="00CF676F"/>
    <w:rsid w:val="00CF68A0"/>
    <w:rsid w:val="00CF7F3B"/>
    <w:rsid w:val="00D001CE"/>
    <w:rsid w:val="00D007E1"/>
    <w:rsid w:val="00D00AA3"/>
    <w:rsid w:val="00D02291"/>
    <w:rsid w:val="00D02302"/>
    <w:rsid w:val="00D03626"/>
    <w:rsid w:val="00D04DB9"/>
    <w:rsid w:val="00D04DD8"/>
    <w:rsid w:val="00D050EC"/>
    <w:rsid w:val="00D0519C"/>
    <w:rsid w:val="00D06069"/>
    <w:rsid w:val="00D06766"/>
    <w:rsid w:val="00D07DDD"/>
    <w:rsid w:val="00D10336"/>
    <w:rsid w:val="00D1053E"/>
    <w:rsid w:val="00D10B2C"/>
    <w:rsid w:val="00D10FEF"/>
    <w:rsid w:val="00D11CB0"/>
    <w:rsid w:val="00D12784"/>
    <w:rsid w:val="00D13757"/>
    <w:rsid w:val="00D13A91"/>
    <w:rsid w:val="00D13F75"/>
    <w:rsid w:val="00D142EC"/>
    <w:rsid w:val="00D14B6A"/>
    <w:rsid w:val="00D155B2"/>
    <w:rsid w:val="00D155FD"/>
    <w:rsid w:val="00D1620E"/>
    <w:rsid w:val="00D16DC2"/>
    <w:rsid w:val="00D170FB"/>
    <w:rsid w:val="00D204C3"/>
    <w:rsid w:val="00D20BEB"/>
    <w:rsid w:val="00D20FE7"/>
    <w:rsid w:val="00D216EA"/>
    <w:rsid w:val="00D21C12"/>
    <w:rsid w:val="00D22325"/>
    <w:rsid w:val="00D22520"/>
    <w:rsid w:val="00D22A55"/>
    <w:rsid w:val="00D24ABC"/>
    <w:rsid w:val="00D25079"/>
    <w:rsid w:val="00D25134"/>
    <w:rsid w:val="00D252B2"/>
    <w:rsid w:val="00D25B36"/>
    <w:rsid w:val="00D26074"/>
    <w:rsid w:val="00D27447"/>
    <w:rsid w:val="00D27976"/>
    <w:rsid w:val="00D3059F"/>
    <w:rsid w:val="00D31086"/>
    <w:rsid w:val="00D31375"/>
    <w:rsid w:val="00D316F6"/>
    <w:rsid w:val="00D3181E"/>
    <w:rsid w:val="00D32524"/>
    <w:rsid w:val="00D329F4"/>
    <w:rsid w:val="00D32CD3"/>
    <w:rsid w:val="00D32F41"/>
    <w:rsid w:val="00D335F4"/>
    <w:rsid w:val="00D34296"/>
    <w:rsid w:val="00D343DE"/>
    <w:rsid w:val="00D34E3C"/>
    <w:rsid w:val="00D35FC0"/>
    <w:rsid w:val="00D361DB"/>
    <w:rsid w:val="00D36369"/>
    <w:rsid w:val="00D36C5F"/>
    <w:rsid w:val="00D37A80"/>
    <w:rsid w:val="00D37C87"/>
    <w:rsid w:val="00D41BEC"/>
    <w:rsid w:val="00D41E9F"/>
    <w:rsid w:val="00D4209B"/>
    <w:rsid w:val="00D43177"/>
    <w:rsid w:val="00D43333"/>
    <w:rsid w:val="00D43530"/>
    <w:rsid w:val="00D4374A"/>
    <w:rsid w:val="00D43BB0"/>
    <w:rsid w:val="00D43BB5"/>
    <w:rsid w:val="00D44062"/>
    <w:rsid w:val="00D448B6"/>
    <w:rsid w:val="00D44E26"/>
    <w:rsid w:val="00D4504C"/>
    <w:rsid w:val="00D45329"/>
    <w:rsid w:val="00D45754"/>
    <w:rsid w:val="00D460B8"/>
    <w:rsid w:val="00D4733C"/>
    <w:rsid w:val="00D47DDA"/>
    <w:rsid w:val="00D50206"/>
    <w:rsid w:val="00D503C6"/>
    <w:rsid w:val="00D50581"/>
    <w:rsid w:val="00D506A3"/>
    <w:rsid w:val="00D510EC"/>
    <w:rsid w:val="00D52011"/>
    <w:rsid w:val="00D52252"/>
    <w:rsid w:val="00D52EDA"/>
    <w:rsid w:val="00D530BB"/>
    <w:rsid w:val="00D539F2"/>
    <w:rsid w:val="00D54348"/>
    <w:rsid w:val="00D54629"/>
    <w:rsid w:val="00D5485E"/>
    <w:rsid w:val="00D54A15"/>
    <w:rsid w:val="00D54F6E"/>
    <w:rsid w:val="00D56B27"/>
    <w:rsid w:val="00D56F4B"/>
    <w:rsid w:val="00D5702A"/>
    <w:rsid w:val="00D574C3"/>
    <w:rsid w:val="00D57A34"/>
    <w:rsid w:val="00D57FF6"/>
    <w:rsid w:val="00D600C2"/>
    <w:rsid w:val="00D60961"/>
    <w:rsid w:val="00D60C95"/>
    <w:rsid w:val="00D61459"/>
    <w:rsid w:val="00D61C9F"/>
    <w:rsid w:val="00D63449"/>
    <w:rsid w:val="00D63699"/>
    <w:rsid w:val="00D63E9E"/>
    <w:rsid w:val="00D6416E"/>
    <w:rsid w:val="00D656D3"/>
    <w:rsid w:val="00D65921"/>
    <w:rsid w:val="00D66041"/>
    <w:rsid w:val="00D677C1"/>
    <w:rsid w:val="00D70149"/>
    <w:rsid w:val="00D71DE0"/>
    <w:rsid w:val="00D7337F"/>
    <w:rsid w:val="00D73810"/>
    <w:rsid w:val="00D73CBD"/>
    <w:rsid w:val="00D73F59"/>
    <w:rsid w:val="00D7483C"/>
    <w:rsid w:val="00D7553E"/>
    <w:rsid w:val="00D76260"/>
    <w:rsid w:val="00D773DA"/>
    <w:rsid w:val="00D77D09"/>
    <w:rsid w:val="00D8121B"/>
    <w:rsid w:val="00D81859"/>
    <w:rsid w:val="00D82BF4"/>
    <w:rsid w:val="00D850B2"/>
    <w:rsid w:val="00D85185"/>
    <w:rsid w:val="00D86F67"/>
    <w:rsid w:val="00D87146"/>
    <w:rsid w:val="00D871D0"/>
    <w:rsid w:val="00D90DDB"/>
    <w:rsid w:val="00D911B8"/>
    <w:rsid w:val="00D912ED"/>
    <w:rsid w:val="00D92434"/>
    <w:rsid w:val="00D934B1"/>
    <w:rsid w:val="00D9366D"/>
    <w:rsid w:val="00D93C49"/>
    <w:rsid w:val="00D94006"/>
    <w:rsid w:val="00D95ADB"/>
    <w:rsid w:val="00D95B07"/>
    <w:rsid w:val="00D96977"/>
    <w:rsid w:val="00D96FD2"/>
    <w:rsid w:val="00D970DA"/>
    <w:rsid w:val="00D9760C"/>
    <w:rsid w:val="00D97D37"/>
    <w:rsid w:val="00DA1CCE"/>
    <w:rsid w:val="00DA1CD7"/>
    <w:rsid w:val="00DA21A9"/>
    <w:rsid w:val="00DA236F"/>
    <w:rsid w:val="00DA23AD"/>
    <w:rsid w:val="00DA30D2"/>
    <w:rsid w:val="00DA3F80"/>
    <w:rsid w:val="00DA44D5"/>
    <w:rsid w:val="00DA4EA5"/>
    <w:rsid w:val="00DA5388"/>
    <w:rsid w:val="00DA60CF"/>
    <w:rsid w:val="00DA6788"/>
    <w:rsid w:val="00DB0015"/>
    <w:rsid w:val="00DB0306"/>
    <w:rsid w:val="00DB0FA8"/>
    <w:rsid w:val="00DB1472"/>
    <w:rsid w:val="00DB15C8"/>
    <w:rsid w:val="00DB2BB5"/>
    <w:rsid w:val="00DB3120"/>
    <w:rsid w:val="00DB3E5C"/>
    <w:rsid w:val="00DB4C14"/>
    <w:rsid w:val="00DB4C94"/>
    <w:rsid w:val="00DB5F61"/>
    <w:rsid w:val="00DB604A"/>
    <w:rsid w:val="00DB6689"/>
    <w:rsid w:val="00DB6BFA"/>
    <w:rsid w:val="00DB6F9F"/>
    <w:rsid w:val="00DB7494"/>
    <w:rsid w:val="00DB7552"/>
    <w:rsid w:val="00DC003B"/>
    <w:rsid w:val="00DC053E"/>
    <w:rsid w:val="00DC1A72"/>
    <w:rsid w:val="00DC1F84"/>
    <w:rsid w:val="00DC26F3"/>
    <w:rsid w:val="00DC2CF5"/>
    <w:rsid w:val="00DC4D2B"/>
    <w:rsid w:val="00DC537F"/>
    <w:rsid w:val="00DC55D5"/>
    <w:rsid w:val="00DC7660"/>
    <w:rsid w:val="00DC76FE"/>
    <w:rsid w:val="00DC7AE7"/>
    <w:rsid w:val="00DC7FAC"/>
    <w:rsid w:val="00DD0485"/>
    <w:rsid w:val="00DD32E8"/>
    <w:rsid w:val="00DD3301"/>
    <w:rsid w:val="00DD338E"/>
    <w:rsid w:val="00DD3C44"/>
    <w:rsid w:val="00DD3CAF"/>
    <w:rsid w:val="00DD3E3B"/>
    <w:rsid w:val="00DD49BA"/>
    <w:rsid w:val="00DD5923"/>
    <w:rsid w:val="00DD5BF2"/>
    <w:rsid w:val="00DD717C"/>
    <w:rsid w:val="00DD7F0C"/>
    <w:rsid w:val="00DE0639"/>
    <w:rsid w:val="00DE11DB"/>
    <w:rsid w:val="00DE19A2"/>
    <w:rsid w:val="00DE301C"/>
    <w:rsid w:val="00DE3799"/>
    <w:rsid w:val="00DE3F0B"/>
    <w:rsid w:val="00DE4717"/>
    <w:rsid w:val="00DE4AD1"/>
    <w:rsid w:val="00DE50BD"/>
    <w:rsid w:val="00DE6AA7"/>
    <w:rsid w:val="00DE7E00"/>
    <w:rsid w:val="00DE7E79"/>
    <w:rsid w:val="00DF0B9E"/>
    <w:rsid w:val="00DF21DF"/>
    <w:rsid w:val="00DF279E"/>
    <w:rsid w:val="00DF2A7E"/>
    <w:rsid w:val="00DF2C19"/>
    <w:rsid w:val="00DF2FD2"/>
    <w:rsid w:val="00DF3009"/>
    <w:rsid w:val="00DF30FF"/>
    <w:rsid w:val="00DF37B0"/>
    <w:rsid w:val="00DF3F7C"/>
    <w:rsid w:val="00DF4316"/>
    <w:rsid w:val="00DF4919"/>
    <w:rsid w:val="00DF512D"/>
    <w:rsid w:val="00DF538B"/>
    <w:rsid w:val="00DF62F0"/>
    <w:rsid w:val="00E00136"/>
    <w:rsid w:val="00E001E0"/>
    <w:rsid w:val="00E02768"/>
    <w:rsid w:val="00E03295"/>
    <w:rsid w:val="00E0390C"/>
    <w:rsid w:val="00E04805"/>
    <w:rsid w:val="00E04AD3"/>
    <w:rsid w:val="00E05293"/>
    <w:rsid w:val="00E05C55"/>
    <w:rsid w:val="00E05DFD"/>
    <w:rsid w:val="00E066B9"/>
    <w:rsid w:val="00E06856"/>
    <w:rsid w:val="00E074F1"/>
    <w:rsid w:val="00E0769D"/>
    <w:rsid w:val="00E07749"/>
    <w:rsid w:val="00E07F6F"/>
    <w:rsid w:val="00E119B6"/>
    <w:rsid w:val="00E11C29"/>
    <w:rsid w:val="00E1316D"/>
    <w:rsid w:val="00E13769"/>
    <w:rsid w:val="00E13DE3"/>
    <w:rsid w:val="00E143F2"/>
    <w:rsid w:val="00E14E32"/>
    <w:rsid w:val="00E1625D"/>
    <w:rsid w:val="00E16D98"/>
    <w:rsid w:val="00E1752A"/>
    <w:rsid w:val="00E175C3"/>
    <w:rsid w:val="00E208A1"/>
    <w:rsid w:val="00E20DCC"/>
    <w:rsid w:val="00E2126F"/>
    <w:rsid w:val="00E21343"/>
    <w:rsid w:val="00E213E8"/>
    <w:rsid w:val="00E216FB"/>
    <w:rsid w:val="00E235BD"/>
    <w:rsid w:val="00E23FAA"/>
    <w:rsid w:val="00E2425F"/>
    <w:rsid w:val="00E24DFF"/>
    <w:rsid w:val="00E2510E"/>
    <w:rsid w:val="00E255D5"/>
    <w:rsid w:val="00E259E4"/>
    <w:rsid w:val="00E25B47"/>
    <w:rsid w:val="00E25D1E"/>
    <w:rsid w:val="00E25D36"/>
    <w:rsid w:val="00E27468"/>
    <w:rsid w:val="00E30055"/>
    <w:rsid w:val="00E30801"/>
    <w:rsid w:val="00E315D0"/>
    <w:rsid w:val="00E31F16"/>
    <w:rsid w:val="00E31FF2"/>
    <w:rsid w:val="00E32571"/>
    <w:rsid w:val="00E32D0B"/>
    <w:rsid w:val="00E33DB4"/>
    <w:rsid w:val="00E34C2A"/>
    <w:rsid w:val="00E35524"/>
    <w:rsid w:val="00E3572B"/>
    <w:rsid w:val="00E3622A"/>
    <w:rsid w:val="00E3672E"/>
    <w:rsid w:val="00E37985"/>
    <w:rsid w:val="00E402AD"/>
    <w:rsid w:val="00E4036B"/>
    <w:rsid w:val="00E41028"/>
    <w:rsid w:val="00E410C9"/>
    <w:rsid w:val="00E41A5A"/>
    <w:rsid w:val="00E42FB1"/>
    <w:rsid w:val="00E4335B"/>
    <w:rsid w:val="00E43FA9"/>
    <w:rsid w:val="00E44103"/>
    <w:rsid w:val="00E442F2"/>
    <w:rsid w:val="00E45542"/>
    <w:rsid w:val="00E458E3"/>
    <w:rsid w:val="00E462A9"/>
    <w:rsid w:val="00E46C8E"/>
    <w:rsid w:val="00E506AD"/>
    <w:rsid w:val="00E50998"/>
    <w:rsid w:val="00E50DCC"/>
    <w:rsid w:val="00E5121F"/>
    <w:rsid w:val="00E520B3"/>
    <w:rsid w:val="00E55028"/>
    <w:rsid w:val="00E55636"/>
    <w:rsid w:val="00E5599F"/>
    <w:rsid w:val="00E55CA2"/>
    <w:rsid w:val="00E56B5D"/>
    <w:rsid w:val="00E57776"/>
    <w:rsid w:val="00E57BFE"/>
    <w:rsid w:val="00E62591"/>
    <w:rsid w:val="00E64D58"/>
    <w:rsid w:val="00E6661E"/>
    <w:rsid w:val="00E666C2"/>
    <w:rsid w:val="00E701B5"/>
    <w:rsid w:val="00E706B8"/>
    <w:rsid w:val="00E71C39"/>
    <w:rsid w:val="00E75151"/>
    <w:rsid w:val="00E75D62"/>
    <w:rsid w:val="00E75EE3"/>
    <w:rsid w:val="00E80923"/>
    <w:rsid w:val="00E80ACD"/>
    <w:rsid w:val="00E80B34"/>
    <w:rsid w:val="00E80ED5"/>
    <w:rsid w:val="00E8209F"/>
    <w:rsid w:val="00E82324"/>
    <w:rsid w:val="00E82CCD"/>
    <w:rsid w:val="00E8337E"/>
    <w:rsid w:val="00E834CC"/>
    <w:rsid w:val="00E83515"/>
    <w:rsid w:val="00E8370F"/>
    <w:rsid w:val="00E84109"/>
    <w:rsid w:val="00E84289"/>
    <w:rsid w:val="00E84AEE"/>
    <w:rsid w:val="00E85663"/>
    <w:rsid w:val="00E85AB3"/>
    <w:rsid w:val="00E86E60"/>
    <w:rsid w:val="00E8728F"/>
    <w:rsid w:val="00E875BB"/>
    <w:rsid w:val="00E876D3"/>
    <w:rsid w:val="00E901B5"/>
    <w:rsid w:val="00E908AA"/>
    <w:rsid w:val="00E91617"/>
    <w:rsid w:val="00E91CB2"/>
    <w:rsid w:val="00E9336B"/>
    <w:rsid w:val="00E93699"/>
    <w:rsid w:val="00E95F7A"/>
    <w:rsid w:val="00E96139"/>
    <w:rsid w:val="00E97AB2"/>
    <w:rsid w:val="00EA0081"/>
    <w:rsid w:val="00EA0DD2"/>
    <w:rsid w:val="00EA2605"/>
    <w:rsid w:val="00EA377E"/>
    <w:rsid w:val="00EA5C72"/>
    <w:rsid w:val="00EA6E98"/>
    <w:rsid w:val="00EA7678"/>
    <w:rsid w:val="00EA7B71"/>
    <w:rsid w:val="00EA7C00"/>
    <w:rsid w:val="00EB3346"/>
    <w:rsid w:val="00EB3B4B"/>
    <w:rsid w:val="00EB56A7"/>
    <w:rsid w:val="00EB5F68"/>
    <w:rsid w:val="00EB61EA"/>
    <w:rsid w:val="00EB6AF4"/>
    <w:rsid w:val="00EB7ADD"/>
    <w:rsid w:val="00EB7B74"/>
    <w:rsid w:val="00EB7FAA"/>
    <w:rsid w:val="00EC05B4"/>
    <w:rsid w:val="00EC0ED2"/>
    <w:rsid w:val="00EC1157"/>
    <w:rsid w:val="00EC1269"/>
    <w:rsid w:val="00EC12B3"/>
    <w:rsid w:val="00EC2616"/>
    <w:rsid w:val="00EC3551"/>
    <w:rsid w:val="00EC5266"/>
    <w:rsid w:val="00EC56FA"/>
    <w:rsid w:val="00EC5701"/>
    <w:rsid w:val="00EC5822"/>
    <w:rsid w:val="00EC6322"/>
    <w:rsid w:val="00EC6ABB"/>
    <w:rsid w:val="00EC6F3C"/>
    <w:rsid w:val="00EC7EA0"/>
    <w:rsid w:val="00ED021B"/>
    <w:rsid w:val="00ED03B6"/>
    <w:rsid w:val="00ED0918"/>
    <w:rsid w:val="00ED1FA4"/>
    <w:rsid w:val="00ED2D1D"/>
    <w:rsid w:val="00ED4380"/>
    <w:rsid w:val="00ED478D"/>
    <w:rsid w:val="00ED48D4"/>
    <w:rsid w:val="00ED4A1C"/>
    <w:rsid w:val="00ED588D"/>
    <w:rsid w:val="00ED6A4F"/>
    <w:rsid w:val="00ED763A"/>
    <w:rsid w:val="00EE2282"/>
    <w:rsid w:val="00EE3227"/>
    <w:rsid w:val="00EE32E1"/>
    <w:rsid w:val="00EE451A"/>
    <w:rsid w:val="00EE591F"/>
    <w:rsid w:val="00EE5D5F"/>
    <w:rsid w:val="00EE682A"/>
    <w:rsid w:val="00EF0439"/>
    <w:rsid w:val="00EF10F2"/>
    <w:rsid w:val="00EF2A23"/>
    <w:rsid w:val="00EF2ABF"/>
    <w:rsid w:val="00EF377E"/>
    <w:rsid w:val="00EF4425"/>
    <w:rsid w:val="00EF4969"/>
    <w:rsid w:val="00EF664A"/>
    <w:rsid w:val="00EF74C0"/>
    <w:rsid w:val="00F00E99"/>
    <w:rsid w:val="00F016DA"/>
    <w:rsid w:val="00F01A42"/>
    <w:rsid w:val="00F05399"/>
    <w:rsid w:val="00F059BD"/>
    <w:rsid w:val="00F05C13"/>
    <w:rsid w:val="00F0604A"/>
    <w:rsid w:val="00F069F7"/>
    <w:rsid w:val="00F076E9"/>
    <w:rsid w:val="00F108C7"/>
    <w:rsid w:val="00F14251"/>
    <w:rsid w:val="00F14A97"/>
    <w:rsid w:val="00F152B0"/>
    <w:rsid w:val="00F169DB"/>
    <w:rsid w:val="00F16AAE"/>
    <w:rsid w:val="00F16B06"/>
    <w:rsid w:val="00F16F9F"/>
    <w:rsid w:val="00F17017"/>
    <w:rsid w:val="00F179B3"/>
    <w:rsid w:val="00F17B86"/>
    <w:rsid w:val="00F2004D"/>
    <w:rsid w:val="00F20428"/>
    <w:rsid w:val="00F20CBD"/>
    <w:rsid w:val="00F21FCF"/>
    <w:rsid w:val="00F22068"/>
    <w:rsid w:val="00F22346"/>
    <w:rsid w:val="00F2276F"/>
    <w:rsid w:val="00F233DE"/>
    <w:rsid w:val="00F24E52"/>
    <w:rsid w:val="00F256F6"/>
    <w:rsid w:val="00F257DB"/>
    <w:rsid w:val="00F27029"/>
    <w:rsid w:val="00F275A5"/>
    <w:rsid w:val="00F2771B"/>
    <w:rsid w:val="00F300D2"/>
    <w:rsid w:val="00F30692"/>
    <w:rsid w:val="00F306B7"/>
    <w:rsid w:val="00F30FEA"/>
    <w:rsid w:val="00F32213"/>
    <w:rsid w:val="00F33495"/>
    <w:rsid w:val="00F33912"/>
    <w:rsid w:val="00F351B9"/>
    <w:rsid w:val="00F35836"/>
    <w:rsid w:val="00F36FCB"/>
    <w:rsid w:val="00F372CA"/>
    <w:rsid w:val="00F37BDB"/>
    <w:rsid w:val="00F37DD6"/>
    <w:rsid w:val="00F4157B"/>
    <w:rsid w:val="00F4201E"/>
    <w:rsid w:val="00F424E9"/>
    <w:rsid w:val="00F42851"/>
    <w:rsid w:val="00F43637"/>
    <w:rsid w:val="00F44E3A"/>
    <w:rsid w:val="00F44E5A"/>
    <w:rsid w:val="00F44F9C"/>
    <w:rsid w:val="00F458E1"/>
    <w:rsid w:val="00F46D27"/>
    <w:rsid w:val="00F473CC"/>
    <w:rsid w:val="00F476F6"/>
    <w:rsid w:val="00F47A68"/>
    <w:rsid w:val="00F47E25"/>
    <w:rsid w:val="00F47F33"/>
    <w:rsid w:val="00F51196"/>
    <w:rsid w:val="00F511C7"/>
    <w:rsid w:val="00F514BD"/>
    <w:rsid w:val="00F51BAB"/>
    <w:rsid w:val="00F52317"/>
    <w:rsid w:val="00F52AE4"/>
    <w:rsid w:val="00F52C83"/>
    <w:rsid w:val="00F52E71"/>
    <w:rsid w:val="00F54143"/>
    <w:rsid w:val="00F54294"/>
    <w:rsid w:val="00F55444"/>
    <w:rsid w:val="00F560E7"/>
    <w:rsid w:val="00F56DB4"/>
    <w:rsid w:val="00F57BA2"/>
    <w:rsid w:val="00F57C4C"/>
    <w:rsid w:val="00F57CBF"/>
    <w:rsid w:val="00F57E40"/>
    <w:rsid w:val="00F60AAF"/>
    <w:rsid w:val="00F60D1E"/>
    <w:rsid w:val="00F615FE"/>
    <w:rsid w:val="00F619E1"/>
    <w:rsid w:val="00F620ED"/>
    <w:rsid w:val="00F62B3E"/>
    <w:rsid w:val="00F63075"/>
    <w:rsid w:val="00F638DB"/>
    <w:rsid w:val="00F63E0B"/>
    <w:rsid w:val="00F6483D"/>
    <w:rsid w:val="00F64CAF"/>
    <w:rsid w:val="00F64CEF"/>
    <w:rsid w:val="00F64E01"/>
    <w:rsid w:val="00F65B44"/>
    <w:rsid w:val="00F65D47"/>
    <w:rsid w:val="00F66357"/>
    <w:rsid w:val="00F67A55"/>
    <w:rsid w:val="00F67A9F"/>
    <w:rsid w:val="00F70E8B"/>
    <w:rsid w:val="00F71948"/>
    <w:rsid w:val="00F71CBC"/>
    <w:rsid w:val="00F72239"/>
    <w:rsid w:val="00F72898"/>
    <w:rsid w:val="00F72960"/>
    <w:rsid w:val="00F735A8"/>
    <w:rsid w:val="00F73CF9"/>
    <w:rsid w:val="00F73D77"/>
    <w:rsid w:val="00F745DC"/>
    <w:rsid w:val="00F76542"/>
    <w:rsid w:val="00F76CB3"/>
    <w:rsid w:val="00F77269"/>
    <w:rsid w:val="00F77432"/>
    <w:rsid w:val="00F77906"/>
    <w:rsid w:val="00F77F51"/>
    <w:rsid w:val="00F80325"/>
    <w:rsid w:val="00F805B9"/>
    <w:rsid w:val="00F80AA6"/>
    <w:rsid w:val="00F8172A"/>
    <w:rsid w:val="00F81DC3"/>
    <w:rsid w:val="00F81F91"/>
    <w:rsid w:val="00F8287C"/>
    <w:rsid w:val="00F82C52"/>
    <w:rsid w:val="00F82F30"/>
    <w:rsid w:val="00F8322F"/>
    <w:rsid w:val="00F83E7D"/>
    <w:rsid w:val="00F8486B"/>
    <w:rsid w:val="00F85CB1"/>
    <w:rsid w:val="00F85FFA"/>
    <w:rsid w:val="00F90303"/>
    <w:rsid w:val="00F90C75"/>
    <w:rsid w:val="00F91B5C"/>
    <w:rsid w:val="00F91C49"/>
    <w:rsid w:val="00F91EA3"/>
    <w:rsid w:val="00F91EBA"/>
    <w:rsid w:val="00F9348B"/>
    <w:rsid w:val="00F93C1C"/>
    <w:rsid w:val="00F94D87"/>
    <w:rsid w:val="00F9569C"/>
    <w:rsid w:val="00F95786"/>
    <w:rsid w:val="00F95B3E"/>
    <w:rsid w:val="00F970ED"/>
    <w:rsid w:val="00F975EC"/>
    <w:rsid w:val="00F97F5C"/>
    <w:rsid w:val="00FA0458"/>
    <w:rsid w:val="00FA0D82"/>
    <w:rsid w:val="00FA151B"/>
    <w:rsid w:val="00FA270B"/>
    <w:rsid w:val="00FA293D"/>
    <w:rsid w:val="00FA2958"/>
    <w:rsid w:val="00FA3257"/>
    <w:rsid w:val="00FA3743"/>
    <w:rsid w:val="00FA399E"/>
    <w:rsid w:val="00FA4154"/>
    <w:rsid w:val="00FA42DC"/>
    <w:rsid w:val="00FA49F3"/>
    <w:rsid w:val="00FA4C00"/>
    <w:rsid w:val="00FA52F3"/>
    <w:rsid w:val="00FA5514"/>
    <w:rsid w:val="00FA5927"/>
    <w:rsid w:val="00FA5EF6"/>
    <w:rsid w:val="00FA66AB"/>
    <w:rsid w:val="00FB03ED"/>
    <w:rsid w:val="00FB09BC"/>
    <w:rsid w:val="00FB15DE"/>
    <w:rsid w:val="00FB1732"/>
    <w:rsid w:val="00FB261A"/>
    <w:rsid w:val="00FB2D64"/>
    <w:rsid w:val="00FB3854"/>
    <w:rsid w:val="00FB3CC4"/>
    <w:rsid w:val="00FB4233"/>
    <w:rsid w:val="00FB4A1C"/>
    <w:rsid w:val="00FB5825"/>
    <w:rsid w:val="00FB646A"/>
    <w:rsid w:val="00FB6567"/>
    <w:rsid w:val="00FB6B96"/>
    <w:rsid w:val="00FB6C2C"/>
    <w:rsid w:val="00FB6D53"/>
    <w:rsid w:val="00FB7568"/>
    <w:rsid w:val="00FC019A"/>
    <w:rsid w:val="00FC2A96"/>
    <w:rsid w:val="00FC2D49"/>
    <w:rsid w:val="00FC4541"/>
    <w:rsid w:val="00FC48D8"/>
    <w:rsid w:val="00FC4B56"/>
    <w:rsid w:val="00FC4FDB"/>
    <w:rsid w:val="00FC59B9"/>
    <w:rsid w:val="00FC68B1"/>
    <w:rsid w:val="00FD0320"/>
    <w:rsid w:val="00FD116A"/>
    <w:rsid w:val="00FD1481"/>
    <w:rsid w:val="00FD28C5"/>
    <w:rsid w:val="00FD292C"/>
    <w:rsid w:val="00FD2DC4"/>
    <w:rsid w:val="00FD37AE"/>
    <w:rsid w:val="00FD414B"/>
    <w:rsid w:val="00FD4550"/>
    <w:rsid w:val="00FD4C53"/>
    <w:rsid w:val="00FD4F6E"/>
    <w:rsid w:val="00FD51CE"/>
    <w:rsid w:val="00FD5353"/>
    <w:rsid w:val="00FD54D3"/>
    <w:rsid w:val="00FD5698"/>
    <w:rsid w:val="00FD5B88"/>
    <w:rsid w:val="00FD7319"/>
    <w:rsid w:val="00FD7542"/>
    <w:rsid w:val="00FE02E6"/>
    <w:rsid w:val="00FE082E"/>
    <w:rsid w:val="00FE112E"/>
    <w:rsid w:val="00FE3808"/>
    <w:rsid w:val="00FE39EA"/>
    <w:rsid w:val="00FE3B2E"/>
    <w:rsid w:val="00FE4882"/>
    <w:rsid w:val="00FE4968"/>
    <w:rsid w:val="00FE4EBE"/>
    <w:rsid w:val="00FE5A2A"/>
    <w:rsid w:val="00FE7153"/>
    <w:rsid w:val="00FE7788"/>
    <w:rsid w:val="00FE7CD4"/>
    <w:rsid w:val="00FF1014"/>
    <w:rsid w:val="00FF13EF"/>
    <w:rsid w:val="00FF2295"/>
    <w:rsid w:val="00FF3431"/>
    <w:rsid w:val="00FF369D"/>
    <w:rsid w:val="00FF384B"/>
    <w:rsid w:val="00FF4083"/>
    <w:rsid w:val="00FF470D"/>
    <w:rsid w:val="00FF478E"/>
    <w:rsid w:val="00FF4F9B"/>
    <w:rsid w:val="00FF5951"/>
    <w:rsid w:val="00FF5A96"/>
    <w:rsid w:val="00FF5FC7"/>
    <w:rsid w:val="00FF65EB"/>
    <w:rsid w:val="00FF7943"/>
    <w:rsid w:val="00FF7C5C"/>
    <w:rsid w:val="00FF7EE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D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DB4"/>
    <w:pPr>
      <w:spacing w:after="100" w:line="400" w:lineRule="exact"/>
      <w:jc w:val="both"/>
    </w:pPr>
    <w:rPr>
      <w:rFonts w:ascii="Century Schoolbook" w:hAnsi="Century Schoolbook"/>
      <w:sz w:val="27"/>
    </w:rPr>
  </w:style>
  <w:style w:type="paragraph" w:styleId="Heading1">
    <w:name w:val="heading 1"/>
    <w:basedOn w:val="Normal"/>
    <w:next w:val="Normal"/>
    <w:qFormat/>
    <w:rsid w:val="00E33DB4"/>
    <w:pPr>
      <w:keepNext/>
      <w:spacing w:before="140" w:line="240" w:lineRule="atLeast"/>
      <w:jc w:val="center"/>
      <w:outlineLvl w:val="0"/>
    </w:pPr>
    <w:rPr>
      <w:b/>
      <w:smallCaps/>
    </w:rPr>
  </w:style>
  <w:style w:type="paragraph" w:styleId="Heading2">
    <w:name w:val="heading 2"/>
    <w:basedOn w:val="Normal"/>
    <w:next w:val="Normal"/>
    <w:qFormat/>
    <w:rsid w:val="00E33DB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33DB4"/>
    <w:pPr>
      <w:keepNext/>
      <w:tabs>
        <w:tab w:val="left" w:pos="1584"/>
      </w:tabs>
      <w:spacing w:before="140" w:line="240" w:lineRule="atLeast"/>
      <w:ind w:left="1584" w:hanging="432"/>
      <w:jc w:val="left"/>
      <w:outlineLvl w:val="2"/>
    </w:pPr>
    <w:rPr>
      <w:i/>
    </w:rPr>
  </w:style>
  <w:style w:type="paragraph" w:styleId="Heading4">
    <w:name w:val="heading 4"/>
    <w:basedOn w:val="Normal"/>
    <w:rsid w:val="00E33DB4"/>
    <w:pPr>
      <w:keepNext/>
      <w:tabs>
        <w:tab w:val="left" w:pos="2016"/>
      </w:tabs>
      <w:spacing w:before="140" w:line="240" w:lineRule="atLeast"/>
      <w:ind w:left="2016" w:hanging="432"/>
      <w:jc w:val="left"/>
      <w:outlineLvl w:val="3"/>
    </w:pPr>
    <w:rPr>
      <w:i/>
    </w:rPr>
  </w:style>
  <w:style w:type="paragraph" w:styleId="Heading5">
    <w:name w:val="heading 5"/>
    <w:basedOn w:val="Normal"/>
    <w:rsid w:val="00E33DB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33DB4"/>
    <w:pPr>
      <w:ind w:left="720"/>
    </w:pPr>
  </w:style>
  <w:style w:type="paragraph" w:styleId="Footer">
    <w:name w:val="footer"/>
    <w:basedOn w:val="Normal"/>
    <w:qFormat/>
    <w:rsid w:val="00E33DB4"/>
    <w:pPr>
      <w:tabs>
        <w:tab w:val="center" w:pos="3960"/>
        <w:tab w:val="right" w:pos="10080"/>
      </w:tabs>
      <w:spacing w:after="0" w:line="240" w:lineRule="auto"/>
      <w:jc w:val="center"/>
    </w:pPr>
    <w:rPr>
      <w:sz w:val="22"/>
    </w:rPr>
  </w:style>
  <w:style w:type="paragraph" w:styleId="Header">
    <w:name w:val="header"/>
    <w:basedOn w:val="Normal"/>
    <w:qFormat/>
    <w:rsid w:val="00E33DB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33DB4"/>
    <w:rPr>
      <w:rFonts w:ascii="Century Schoolbook" w:hAnsi="Century Schoolbook"/>
      <w:b/>
      <w:i w:val="0"/>
      <w:position w:val="4"/>
      <w:sz w:val="27"/>
      <w:vertAlign w:val="superscript"/>
    </w:rPr>
  </w:style>
  <w:style w:type="paragraph" w:styleId="FootnoteText">
    <w:name w:val="footnote text"/>
    <w:basedOn w:val="Normal"/>
    <w:link w:val="FootnoteTextChar"/>
    <w:rsid w:val="00E33DB4"/>
    <w:pPr>
      <w:spacing w:line="300" w:lineRule="exact"/>
    </w:pPr>
  </w:style>
  <w:style w:type="paragraph" w:customStyle="1" w:styleId="Title1">
    <w:name w:val="Title1"/>
    <w:basedOn w:val="Normal"/>
    <w:rsid w:val="00E33DB4"/>
    <w:pPr>
      <w:tabs>
        <w:tab w:val="left" w:pos="5760"/>
        <w:tab w:val="left" w:pos="6480"/>
      </w:tabs>
      <w:spacing w:line="240" w:lineRule="atLeast"/>
    </w:pPr>
  </w:style>
  <w:style w:type="paragraph" w:customStyle="1" w:styleId="Recommend">
    <w:name w:val="Recommend"/>
    <w:basedOn w:val="Normal"/>
    <w:rsid w:val="00E33DB4"/>
  </w:style>
  <w:style w:type="paragraph" w:customStyle="1" w:styleId="Summary">
    <w:name w:val="Summary"/>
    <w:basedOn w:val="Normal"/>
    <w:rsid w:val="00E33DB4"/>
    <w:pPr>
      <w:ind w:left="2160" w:hanging="2160"/>
    </w:pPr>
  </w:style>
  <w:style w:type="paragraph" w:customStyle="1" w:styleId="Text">
    <w:name w:val="Text"/>
    <w:basedOn w:val="Normal"/>
    <w:rsid w:val="00E33DB4"/>
    <w:pPr>
      <w:tabs>
        <w:tab w:val="left" w:pos="720"/>
        <w:tab w:val="left" w:pos="1440"/>
        <w:tab w:val="left" w:pos="2160"/>
        <w:tab w:val="center" w:pos="4320"/>
      </w:tabs>
      <w:spacing w:line="480" w:lineRule="atLeast"/>
      <w:ind w:firstLine="540"/>
    </w:pPr>
  </w:style>
  <w:style w:type="paragraph" w:styleId="Date">
    <w:name w:val="Date"/>
    <w:basedOn w:val="Normal"/>
    <w:semiHidden/>
    <w:rsid w:val="00E33DB4"/>
    <w:pPr>
      <w:jc w:val="right"/>
    </w:pPr>
  </w:style>
  <w:style w:type="character" w:styleId="PageNumber">
    <w:name w:val="page number"/>
    <w:basedOn w:val="DefaultParagraphFont"/>
    <w:semiHidden/>
    <w:rsid w:val="00E33DB4"/>
  </w:style>
  <w:style w:type="paragraph" w:customStyle="1" w:styleId="subject">
    <w:name w:val="subject"/>
    <w:basedOn w:val="Normal"/>
    <w:rsid w:val="00E33DB4"/>
    <w:pPr>
      <w:tabs>
        <w:tab w:val="left" w:pos="1008"/>
      </w:tabs>
      <w:ind w:left="990" w:hanging="990"/>
    </w:pPr>
    <w:rPr>
      <w:b/>
    </w:rPr>
  </w:style>
  <w:style w:type="paragraph" w:customStyle="1" w:styleId="Titles">
    <w:name w:val="Titles"/>
    <w:basedOn w:val="Normal"/>
    <w:rsid w:val="00E33DB4"/>
    <w:pPr>
      <w:tabs>
        <w:tab w:val="left" w:pos="2160"/>
      </w:tabs>
      <w:ind w:left="2160" w:hanging="2160"/>
    </w:pPr>
    <w:rPr>
      <w:b/>
    </w:rPr>
  </w:style>
  <w:style w:type="paragraph" w:styleId="TOAHeading">
    <w:name w:val="toa heading"/>
    <w:basedOn w:val="Normal"/>
    <w:next w:val="Normal"/>
    <w:semiHidden/>
    <w:rsid w:val="00E33DB4"/>
    <w:pPr>
      <w:spacing w:before="120"/>
    </w:pPr>
    <w:rPr>
      <w:b/>
    </w:rPr>
  </w:style>
  <w:style w:type="paragraph" w:styleId="TOC1">
    <w:name w:val="toc 1"/>
    <w:basedOn w:val="Normal"/>
    <w:next w:val="Normal"/>
    <w:autoRedefine/>
    <w:semiHidden/>
    <w:rsid w:val="00E33DB4"/>
  </w:style>
  <w:style w:type="paragraph" w:styleId="TOC2">
    <w:name w:val="toc 2"/>
    <w:basedOn w:val="Normal"/>
    <w:next w:val="Normal"/>
    <w:autoRedefine/>
    <w:semiHidden/>
    <w:rsid w:val="00E33DB4"/>
    <w:pPr>
      <w:ind w:left="259"/>
    </w:pPr>
  </w:style>
  <w:style w:type="paragraph" w:styleId="TOC3">
    <w:name w:val="toc 3"/>
    <w:basedOn w:val="Normal"/>
    <w:next w:val="Normal"/>
    <w:autoRedefine/>
    <w:semiHidden/>
    <w:rsid w:val="00E33DB4"/>
    <w:pPr>
      <w:ind w:left="520"/>
    </w:pPr>
  </w:style>
  <w:style w:type="paragraph" w:styleId="TOC4">
    <w:name w:val="toc 4"/>
    <w:basedOn w:val="Normal"/>
    <w:next w:val="Normal"/>
    <w:autoRedefine/>
    <w:semiHidden/>
    <w:rsid w:val="00E33DB4"/>
    <w:pPr>
      <w:ind w:left="780"/>
    </w:pPr>
  </w:style>
  <w:style w:type="paragraph" w:styleId="TOC5">
    <w:name w:val="toc 5"/>
    <w:basedOn w:val="Normal"/>
    <w:next w:val="Normal"/>
    <w:autoRedefine/>
    <w:semiHidden/>
    <w:rsid w:val="00E33DB4"/>
    <w:pPr>
      <w:ind w:left="1040"/>
    </w:pPr>
  </w:style>
  <w:style w:type="paragraph" w:styleId="TOC6">
    <w:name w:val="toc 6"/>
    <w:basedOn w:val="Normal"/>
    <w:next w:val="Normal"/>
    <w:autoRedefine/>
    <w:semiHidden/>
    <w:rsid w:val="00E33DB4"/>
    <w:pPr>
      <w:ind w:left="1300"/>
    </w:pPr>
  </w:style>
  <w:style w:type="paragraph" w:styleId="TOC7">
    <w:name w:val="toc 7"/>
    <w:basedOn w:val="Normal"/>
    <w:next w:val="Normal"/>
    <w:autoRedefine/>
    <w:semiHidden/>
    <w:rsid w:val="00E33DB4"/>
    <w:pPr>
      <w:ind w:left="1560"/>
    </w:pPr>
  </w:style>
  <w:style w:type="paragraph" w:styleId="TOC8">
    <w:name w:val="toc 8"/>
    <w:basedOn w:val="Normal"/>
    <w:next w:val="Normal"/>
    <w:autoRedefine/>
    <w:semiHidden/>
    <w:rsid w:val="00E33DB4"/>
    <w:pPr>
      <w:ind w:left="1820"/>
    </w:pPr>
  </w:style>
  <w:style w:type="paragraph" w:styleId="TOC9">
    <w:name w:val="toc 9"/>
    <w:basedOn w:val="Normal"/>
    <w:next w:val="Normal"/>
    <w:autoRedefine/>
    <w:semiHidden/>
    <w:rsid w:val="00E33DB4"/>
    <w:pPr>
      <w:ind w:left="2080"/>
    </w:pPr>
  </w:style>
  <w:style w:type="paragraph" w:customStyle="1" w:styleId="Contents">
    <w:name w:val="Contents"/>
    <w:basedOn w:val="Normal"/>
    <w:rsid w:val="00E33DB4"/>
    <w:pPr>
      <w:jc w:val="center"/>
    </w:pPr>
    <w:rPr>
      <w:b/>
      <w:spacing w:val="100"/>
    </w:rPr>
  </w:style>
  <w:style w:type="paragraph" w:styleId="BalloonText">
    <w:name w:val="Balloon Text"/>
    <w:basedOn w:val="Normal"/>
    <w:link w:val="BalloonTextChar"/>
    <w:uiPriority w:val="99"/>
    <w:semiHidden/>
    <w:unhideWhenUsed/>
    <w:rsid w:val="000F5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F0"/>
    <w:rPr>
      <w:rFonts w:ascii="Segoe UI" w:hAnsi="Segoe UI" w:cs="Segoe UI"/>
      <w:sz w:val="18"/>
      <w:szCs w:val="18"/>
    </w:rPr>
  </w:style>
  <w:style w:type="paragraph" w:styleId="ListParagraph">
    <w:name w:val="List Paragraph"/>
    <w:basedOn w:val="Normal"/>
    <w:uiPriority w:val="34"/>
    <w:qFormat/>
    <w:rsid w:val="00686B9A"/>
    <w:pPr>
      <w:ind w:left="720"/>
      <w:contextualSpacing/>
    </w:pPr>
  </w:style>
  <w:style w:type="character" w:styleId="CommentReference">
    <w:name w:val="annotation reference"/>
    <w:basedOn w:val="DefaultParagraphFont"/>
    <w:uiPriority w:val="99"/>
    <w:semiHidden/>
    <w:unhideWhenUsed/>
    <w:rsid w:val="00294FA3"/>
    <w:rPr>
      <w:sz w:val="16"/>
      <w:szCs w:val="16"/>
    </w:rPr>
  </w:style>
  <w:style w:type="paragraph" w:styleId="CommentText">
    <w:name w:val="annotation text"/>
    <w:basedOn w:val="Normal"/>
    <w:link w:val="CommentTextChar"/>
    <w:uiPriority w:val="99"/>
    <w:unhideWhenUsed/>
    <w:rsid w:val="00294FA3"/>
    <w:rPr>
      <w:sz w:val="20"/>
    </w:rPr>
  </w:style>
  <w:style w:type="character" w:customStyle="1" w:styleId="CommentTextChar">
    <w:name w:val="Comment Text Char"/>
    <w:basedOn w:val="DefaultParagraphFont"/>
    <w:link w:val="CommentText"/>
    <w:uiPriority w:val="99"/>
    <w:rsid w:val="00294FA3"/>
  </w:style>
  <w:style w:type="paragraph" w:styleId="CommentSubject">
    <w:name w:val="annotation subject"/>
    <w:basedOn w:val="CommentText"/>
    <w:next w:val="CommentText"/>
    <w:link w:val="CommentSubjectChar"/>
    <w:uiPriority w:val="99"/>
    <w:semiHidden/>
    <w:unhideWhenUsed/>
    <w:rsid w:val="00294FA3"/>
    <w:rPr>
      <w:b/>
      <w:bCs/>
    </w:rPr>
  </w:style>
  <w:style w:type="character" w:customStyle="1" w:styleId="CommentSubjectChar">
    <w:name w:val="Comment Subject Char"/>
    <w:basedOn w:val="CommentTextChar"/>
    <w:link w:val="CommentSubject"/>
    <w:uiPriority w:val="99"/>
    <w:semiHidden/>
    <w:rsid w:val="00294FA3"/>
    <w:rPr>
      <w:b/>
      <w:bCs/>
    </w:rPr>
  </w:style>
  <w:style w:type="paragraph" w:styleId="z-TopofForm">
    <w:name w:val="HTML Top of Form"/>
    <w:basedOn w:val="Normal"/>
    <w:next w:val="Normal"/>
    <w:link w:val="z-TopofFormChar"/>
    <w:hidden/>
    <w:uiPriority w:val="99"/>
    <w:semiHidden/>
    <w:unhideWhenUsed/>
    <w:rsid w:val="00B332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3327E"/>
    <w:rPr>
      <w:rFonts w:ascii="Arial" w:hAnsi="Arial" w:cs="Arial"/>
      <w:vanish/>
      <w:sz w:val="16"/>
      <w:szCs w:val="16"/>
    </w:rPr>
  </w:style>
  <w:style w:type="paragraph" w:styleId="PlainText">
    <w:name w:val="Plain Text"/>
    <w:basedOn w:val="Normal"/>
    <w:link w:val="PlainTextChar"/>
    <w:uiPriority w:val="99"/>
    <w:unhideWhenUsed/>
    <w:rsid w:val="00732E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32E1A"/>
    <w:rPr>
      <w:rFonts w:ascii="Calibri" w:eastAsiaTheme="minorHAnsi" w:hAnsi="Calibri" w:cstheme="minorBidi"/>
      <w:sz w:val="22"/>
      <w:szCs w:val="21"/>
    </w:rPr>
  </w:style>
  <w:style w:type="paragraph" w:styleId="Revision">
    <w:name w:val="Revision"/>
    <w:hidden/>
    <w:uiPriority w:val="99"/>
    <w:semiHidden/>
    <w:rsid w:val="00814D3E"/>
    <w:rPr>
      <w:sz w:val="26"/>
    </w:rPr>
  </w:style>
  <w:style w:type="character" w:customStyle="1" w:styleId="FootnoteTextChar">
    <w:name w:val="Footnote Text Char"/>
    <w:basedOn w:val="DefaultParagraphFont"/>
    <w:link w:val="FootnoteText"/>
    <w:rsid w:val="00C4243A"/>
    <w:rPr>
      <w:rFonts w:ascii="Century Schoolbook" w:hAnsi="Century Schoolbook"/>
      <w:sz w:val="27"/>
    </w:rPr>
  </w:style>
  <w:style w:type="paragraph" w:styleId="BodyText">
    <w:name w:val="Body Text"/>
    <w:basedOn w:val="Normal"/>
    <w:link w:val="BodyTextChar"/>
    <w:qFormat/>
    <w:rsid w:val="00E33DB4"/>
  </w:style>
  <w:style w:type="character" w:customStyle="1" w:styleId="BodyTextChar">
    <w:name w:val="Body Text Char"/>
    <w:basedOn w:val="DefaultParagraphFont"/>
    <w:link w:val="BodyText"/>
    <w:rsid w:val="00E33DB4"/>
    <w:rPr>
      <w:rFonts w:ascii="Century Schoolbook" w:hAnsi="Century Schoolbook"/>
      <w:sz w:val="27"/>
    </w:rPr>
  </w:style>
  <w:style w:type="character" w:styleId="Strong">
    <w:name w:val="Strong"/>
    <w:basedOn w:val="DefaultParagraphFont"/>
    <w:uiPriority w:val="22"/>
    <w:qFormat/>
    <w:rsid w:val="00C71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758">
      <w:bodyDiv w:val="1"/>
      <w:marLeft w:val="0"/>
      <w:marRight w:val="0"/>
      <w:marTop w:val="0"/>
      <w:marBottom w:val="0"/>
      <w:divBdr>
        <w:top w:val="none" w:sz="0" w:space="0" w:color="auto"/>
        <w:left w:val="none" w:sz="0" w:space="0" w:color="auto"/>
        <w:bottom w:val="none" w:sz="0" w:space="0" w:color="auto"/>
        <w:right w:val="none" w:sz="0" w:space="0" w:color="auto"/>
      </w:divBdr>
    </w:div>
    <w:div w:id="345713387">
      <w:bodyDiv w:val="1"/>
      <w:marLeft w:val="0"/>
      <w:marRight w:val="0"/>
      <w:marTop w:val="0"/>
      <w:marBottom w:val="0"/>
      <w:divBdr>
        <w:top w:val="none" w:sz="0" w:space="0" w:color="auto"/>
        <w:left w:val="none" w:sz="0" w:space="0" w:color="auto"/>
        <w:bottom w:val="none" w:sz="0" w:space="0" w:color="auto"/>
        <w:right w:val="none" w:sz="0" w:space="0" w:color="auto"/>
      </w:divBdr>
    </w:div>
    <w:div w:id="355742098">
      <w:bodyDiv w:val="1"/>
      <w:marLeft w:val="0"/>
      <w:marRight w:val="0"/>
      <w:marTop w:val="0"/>
      <w:marBottom w:val="0"/>
      <w:divBdr>
        <w:top w:val="none" w:sz="0" w:space="0" w:color="auto"/>
        <w:left w:val="none" w:sz="0" w:space="0" w:color="auto"/>
        <w:bottom w:val="none" w:sz="0" w:space="0" w:color="auto"/>
        <w:right w:val="none" w:sz="0" w:space="0" w:color="auto"/>
      </w:divBdr>
    </w:div>
    <w:div w:id="491680081">
      <w:bodyDiv w:val="1"/>
      <w:marLeft w:val="0"/>
      <w:marRight w:val="0"/>
      <w:marTop w:val="0"/>
      <w:marBottom w:val="0"/>
      <w:divBdr>
        <w:top w:val="none" w:sz="0" w:space="0" w:color="auto"/>
        <w:left w:val="none" w:sz="0" w:space="0" w:color="auto"/>
        <w:bottom w:val="none" w:sz="0" w:space="0" w:color="auto"/>
        <w:right w:val="none" w:sz="0" w:space="0" w:color="auto"/>
      </w:divBdr>
    </w:div>
    <w:div w:id="588854122">
      <w:bodyDiv w:val="1"/>
      <w:marLeft w:val="0"/>
      <w:marRight w:val="0"/>
      <w:marTop w:val="0"/>
      <w:marBottom w:val="0"/>
      <w:divBdr>
        <w:top w:val="none" w:sz="0" w:space="0" w:color="auto"/>
        <w:left w:val="none" w:sz="0" w:space="0" w:color="auto"/>
        <w:bottom w:val="none" w:sz="0" w:space="0" w:color="auto"/>
        <w:right w:val="none" w:sz="0" w:space="0" w:color="auto"/>
      </w:divBdr>
    </w:div>
    <w:div w:id="795829072">
      <w:bodyDiv w:val="1"/>
      <w:marLeft w:val="0"/>
      <w:marRight w:val="0"/>
      <w:marTop w:val="0"/>
      <w:marBottom w:val="0"/>
      <w:divBdr>
        <w:top w:val="none" w:sz="0" w:space="0" w:color="auto"/>
        <w:left w:val="none" w:sz="0" w:space="0" w:color="auto"/>
        <w:bottom w:val="none" w:sz="0" w:space="0" w:color="auto"/>
        <w:right w:val="none" w:sz="0" w:space="0" w:color="auto"/>
      </w:divBdr>
    </w:div>
    <w:div w:id="946041356">
      <w:bodyDiv w:val="1"/>
      <w:marLeft w:val="0"/>
      <w:marRight w:val="0"/>
      <w:marTop w:val="0"/>
      <w:marBottom w:val="0"/>
      <w:divBdr>
        <w:top w:val="none" w:sz="0" w:space="0" w:color="auto"/>
        <w:left w:val="none" w:sz="0" w:space="0" w:color="auto"/>
        <w:bottom w:val="none" w:sz="0" w:space="0" w:color="auto"/>
        <w:right w:val="none" w:sz="0" w:space="0" w:color="auto"/>
      </w:divBdr>
      <w:divsChild>
        <w:div w:id="2144080639">
          <w:marLeft w:val="0"/>
          <w:marRight w:val="0"/>
          <w:marTop w:val="0"/>
          <w:marBottom w:val="0"/>
          <w:divBdr>
            <w:top w:val="none" w:sz="0" w:space="0" w:color="auto"/>
            <w:left w:val="none" w:sz="0" w:space="0" w:color="auto"/>
            <w:bottom w:val="none" w:sz="0" w:space="0" w:color="auto"/>
            <w:right w:val="none" w:sz="0" w:space="0" w:color="auto"/>
          </w:divBdr>
          <w:divsChild>
            <w:div w:id="591471885">
              <w:marLeft w:val="169"/>
              <w:marRight w:val="169"/>
              <w:marTop w:val="56"/>
              <w:marBottom w:val="113"/>
              <w:divBdr>
                <w:top w:val="single" w:sz="6" w:space="6" w:color="CCCCCC"/>
                <w:left w:val="single" w:sz="6" w:space="6" w:color="CCCCCC"/>
                <w:bottom w:val="single" w:sz="6" w:space="6" w:color="CCCCCC"/>
                <w:right w:val="single" w:sz="6" w:space="6" w:color="CCCCCC"/>
              </w:divBdr>
            </w:div>
          </w:divsChild>
        </w:div>
      </w:divsChild>
    </w:div>
    <w:div w:id="999846288">
      <w:bodyDiv w:val="1"/>
      <w:marLeft w:val="0"/>
      <w:marRight w:val="0"/>
      <w:marTop w:val="0"/>
      <w:marBottom w:val="0"/>
      <w:divBdr>
        <w:top w:val="none" w:sz="0" w:space="0" w:color="auto"/>
        <w:left w:val="none" w:sz="0" w:space="0" w:color="auto"/>
        <w:bottom w:val="none" w:sz="0" w:space="0" w:color="auto"/>
        <w:right w:val="none" w:sz="0" w:space="0" w:color="auto"/>
      </w:divBdr>
    </w:div>
    <w:div w:id="1010571970">
      <w:bodyDiv w:val="1"/>
      <w:marLeft w:val="0"/>
      <w:marRight w:val="0"/>
      <w:marTop w:val="0"/>
      <w:marBottom w:val="0"/>
      <w:divBdr>
        <w:top w:val="none" w:sz="0" w:space="0" w:color="auto"/>
        <w:left w:val="none" w:sz="0" w:space="0" w:color="auto"/>
        <w:bottom w:val="none" w:sz="0" w:space="0" w:color="auto"/>
        <w:right w:val="none" w:sz="0" w:space="0" w:color="auto"/>
      </w:divBdr>
    </w:div>
    <w:div w:id="1019430825">
      <w:bodyDiv w:val="1"/>
      <w:marLeft w:val="0"/>
      <w:marRight w:val="0"/>
      <w:marTop w:val="0"/>
      <w:marBottom w:val="0"/>
      <w:divBdr>
        <w:top w:val="none" w:sz="0" w:space="0" w:color="auto"/>
        <w:left w:val="none" w:sz="0" w:space="0" w:color="auto"/>
        <w:bottom w:val="none" w:sz="0" w:space="0" w:color="auto"/>
        <w:right w:val="none" w:sz="0" w:space="0" w:color="auto"/>
      </w:divBdr>
    </w:div>
    <w:div w:id="1207572078">
      <w:bodyDiv w:val="1"/>
      <w:marLeft w:val="0"/>
      <w:marRight w:val="0"/>
      <w:marTop w:val="0"/>
      <w:marBottom w:val="0"/>
      <w:divBdr>
        <w:top w:val="none" w:sz="0" w:space="0" w:color="auto"/>
        <w:left w:val="none" w:sz="0" w:space="0" w:color="auto"/>
        <w:bottom w:val="none" w:sz="0" w:space="0" w:color="auto"/>
        <w:right w:val="none" w:sz="0" w:space="0" w:color="auto"/>
      </w:divBdr>
    </w:div>
    <w:div w:id="1292173397">
      <w:bodyDiv w:val="1"/>
      <w:marLeft w:val="0"/>
      <w:marRight w:val="0"/>
      <w:marTop w:val="0"/>
      <w:marBottom w:val="0"/>
      <w:divBdr>
        <w:top w:val="none" w:sz="0" w:space="0" w:color="auto"/>
        <w:left w:val="none" w:sz="0" w:space="0" w:color="auto"/>
        <w:bottom w:val="none" w:sz="0" w:space="0" w:color="auto"/>
        <w:right w:val="none" w:sz="0" w:space="0" w:color="auto"/>
      </w:divBdr>
    </w:div>
    <w:div w:id="1373919379">
      <w:bodyDiv w:val="1"/>
      <w:marLeft w:val="0"/>
      <w:marRight w:val="0"/>
      <w:marTop w:val="0"/>
      <w:marBottom w:val="0"/>
      <w:divBdr>
        <w:top w:val="none" w:sz="0" w:space="0" w:color="auto"/>
        <w:left w:val="none" w:sz="0" w:space="0" w:color="auto"/>
        <w:bottom w:val="none" w:sz="0" w:space="0" w:color="auto"/>
        <w:right w:val="none" w:sz="0" w:space="0" w:color="auto"/>
      </w:divBdr>
    </w:div>
    <w:div w:id="1417481614">
      <w:bodyDiv w:val="1"/>
      <w:marLeft w:val="0"/>
      <w:marRight w:val="0"/>
      <w:marTop w:val="0"/>
      <w:marBottom w:val="0"/>
      <w:divBdr>
        <w:top w:val="none" w:sz="0" w:space="0" w:color="auto"/>
        <w:left w:val="none" w:sz="0" w:space="0" w:color="auto"/>
        <w:bottom w:val="none" w:sz="0" w:space="0" w:color="auto"/>
        <w:right w:val="none" w:sz="0" w:space="0" w:color="auto"/>
      </w:divBdr>
    </w:div>
    <w:div w:id="1493372982">
      <w:bodyDiv w:val="1"/>
      <w:marLeft w:val="0"/>
      <w:marRight w:val="0"/>
      <w:marTop w:val="0"/>
      <w:marBottom w:val="0"/>
      <w:divBdr>
        <w:top w:val="none" w:sz="0" w:space="0" w:color="auto"/>
        <w:left w:val="none" w:sz="0" w:space="0" w:color="auto"/>
        <w:bottom w:val="none" w:sz="0" w:space="0" w:color="auto"/>
        <w:right w:val="none" w:sz="0" w:space="0" w:color="auto"/>
      </w:divBdr>
    </w:div>
    <w:div w:id="1588423243">
      <w:bodyDiv w:val="1"/>
      <w:marLeft w:val="0"/>
      <w:marRight w:val="0"/>
      <w:marTop w:val="0"/>
      <w:marBottom w:val="0"/>
      <w:divBdr>
        <w:top w:val="none" w:sz="0" w:space="0" w:color="auto"/>
        <w:left w:val="none" w:sz="0" w:space="0" w:color="auto"/>
        <w:bottom w:val="none" w:sz="0" w:space="0" w:color="auto"/>
        <w:right w:val="none" w:sz="0" w:space="0" w:color="auto"/>
      </w:divBdr>
    </w:div>
    <w:div w:id="1600061891">
      <w:bodyDiv w:val="1"/>
      <w:marLeft w:val="0"/>
      <w:marRight w:val="0"/>
      <w:marTop w:val="0"/>
      <w:marBottom w:val="0"/>
      <w:divBdr>
        <w:top w:val="none" w:sz="0" w:space="0" w:color="auto"/>
        <w:left w:val="none" w:sz="0" w:space="0" w:color="auto"/>
        <w:bottom w:val="none" w:sz="0" w:space="0" w:color="auto"/>
        <w:right w:val="none" w:sz="0" w:space="0" w:color="auto"/>
      </w:divBdr>
    </w:div>
    <w:div w:id="1604730976">
      <w:bodyDiv w:val="1"/>
      <w:marLeft w:val="0"/>
      <w:marRight w:val="0"/>
      <w:marTop w:val="0"/>
      <w:marBottom w:val="0"/>
      <w:divBdr>
        <w:top w:val="none" w:sz="0" w:space="0" w:color="auto"/>
        <w:left w:val="none" w:sz="0" w:space="0" w:color="auto"/>
        <w:bottom w:val="none" w:sz="0" w:space="0" w:color="auto"/>
        <w:right w:val="none" w:sz="0" w:space="0" w:color="auto"/>
      </w:divBdr>
    </w:div>
    <w:div w:id="1619295190">
      <w:bodyDiv w:val="1"/>
      <w:marLeft w:val="0"/>
      <w:marRight w:val="0"/>
      <w:marTop w:val="0"/>
      <w:marBottom w:val="0"/>
      <w:divBdr>
        <w:top w:val="none" w:sz="0" w:space="0" w:color="auto"/>
        <w:left w:val="none" w:sz="0" w:space="0" w:color="auto"/>
        <w:bottom w:val="none" w:sz="0" w:space="0" w:color="auto"/>
        <w:right w:val="none" w:sz="0" w:space="0" w:color="auto"/>
      </w:divBdr>
    </w:div>
    <w:div w:id="1623611740">
      <w:bodyDiv w:val="1"/>
      <w:marLeft w:val="0"/>
      <w:marRight w:val="0"/>
      <w:marTop w:val="0"/>
      <w:marBottom w:val="0"/>
      <w:divBdr>
        <w:top w:val="none" w:sz="0" w:space="0" w:color="auto"/>
        <w:left w:val="none" w:sz="0" w:space="0" w:color="auto"/>
        <w:bottom w:val="none" w:sz="0" w:space="0" w:color="auto"/>
        <w:right w:val="none" w:sz="0" w:space="0" w:color="auto"/>
      </w:divBdr>
    </w:div>
    <w:div w:id="1812479233">
      <w:bodyDiv w:val="1"/>
      <w:marLeft w:val="0"/>
      <w:marRight w:val="0"/>
      <w:marTop w:val="0"/>
      <w:marBottom w:val="0"/>
      <w:divBdr>
        <w:top w:val="none" w:sz="0" w:space="0" w:color="auto"/>
        <w:left w:val="none" w:sz="0" w:space="0" w:color="auto"/>
        <w:bottom w:val="none" w:sz="0" w:space="0" w:color="auto"/>
        <w:right w:val="none" w:sz="0" w:space="0" w:color="auto"/>
      </w:divBdr>
    </w:div>
    <w:div w:id="1955556929">
      <w:bodyDiv w:val="1"/>
      <w:marLeft w:val="0"/>
      <w:marRight w:val="0"/>
      <w:marTop w:val="0"/>
      <w:marBottom w:val="0"/>
      <w:divBdr>
        <w:top w:val="none" w:sz="0" w:space="0" w:color="auto"/>
        <w:left w:val="none" w:sz="0" w:space="0" w:color="auto"/>
        <w:bottom w:val="none" w:sz="0" w:space="0" w:color="auto"/>
        <w:right w:val="none" w:sz="0" w:space="0" w:color="auto"/>
      </w:divBdr>
    </w:div>
    <w:div w:id="21010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9122</Words>
  <Characters>49246</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2019-05-29T16:27:00Z</cp:lastPrinted>
  <dcterms:created xsi:type="dcterms:W3CDTF">2019-05-29T17:12:00Z</dcterms:created>
  <dcterms:modified xsi:type="dcterms:W3CDTF">2019-05-29T19:35:00Z</dcterms:modified>
</cp:coreProperties>
</file>