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C500" w14:textId="4F0E809C" w:rsidR="00C24F03" w:rsidRPr="00C24F03" w:rsidRDefault="00C24F03" w:rsidP="00C24F03">
      <w:pPr>
        <w:jc w:val="center"/>
        <w:rPr>
          <w:b/>
          <w:bCs/>
          <w:sz w:val="36"/>
          <w:szCs w:val="36"/>
        </w:rPr>
      </w:pPr>
      <w:r w:rsidRPr="00C24F03">
        <w:rPr>
          <w:b/>
          <w:bCs/>
          <w:sz w:val="36"/>
          <w:szCs w:val="36"/>
        </w:rPr>
        <w:t>IN THE SUPREME COURT OF CALIFORNIA</w:t>
      </w:r>
    </w:p>
    <w:p w14:paraId="7A8F4213" w14:textId="77777777" w:rsidR="00C24F03" w:rsidRPr="00C24F03" w:rsidRDefault="00C24F03" w:rsidP="00C24F03">
      <w:pPr>
        <w:jc w:val="center"/>
        <w:rPr>
          <w:szCs w:val="27"/>
        </w:rPr>
      </w:pPr>
    </w:p>
    <w:p w14:paraId="64E6D221" w14:textId="2E153A22" w:rsidR="00C24F03" w:rsidRPr="00C24F03" w:rsidRDefault="00C24F03" w:rsidP="00C24F03">
      <w:pPr>
        <w:jc w:val="center"/>
        <w:rPr>
          <w:szCs w:val="27"/>
        </w:rPr>
      </w:pPr>
      <w:r>
        <w:rPr>
          <w:szCs w:val="27"/>
        </w:rPr>
        <w:t>ALAMEDA COUNTY DEPUTY SHERIFF</w:t>
      </w:r>
      <w:r w:rsidR="00633CAE">
        <w:rPr>
          <w:szCs w:val="27"/>
        </w:rPr>
        <w:t>’</w:t>
      </w:r>
      <w:r>
        <w:rPr>
          <w:szCs w:val="27"/>
        </w:rPr>
        <w:t>S ASSOCIATION et</w:t>
      </w:r>
      <w:r w:rsidR="002D1413">
        <w:rPr>
          <w:szCs w:val="27"/>
        </w:rPr>
        <w:t> </w:t>
      </w:r>
      <w:r>
        <w:rPr>
          <w:szCs w:val="27"/>
        </w:rPr>
        <w:t>al.</w:t>
      </w:r>
      <w:r w:rsidRPr="00C24F03">
        <w:rPr>
          <w:szCs w:val="27"/>
        </w:rPr>
        <w:t xml:space="preserve">, </w:t>
      </w:r>
    </w:p>
    <w:p w14:paraId="06182651" w14:textId="77777777" w:rsidR="00C24F03" w:rsidRPr="00C24F03" w:rsidRDefault="00C24F03" w:rsidP="00C24F03">
      <w:pPr>
        <w:jc w:val="center"/>
        <w:rPr>
          <w:szCs w:val="27"/>
        </w:rPr>
      </w:pPr>
      <w:r w:rsidRPr="00C24F03">
        <w:rPr>
          <w:szCs w:val="27"/>
        </w:rPr>
        <w:t xml:space="preserve">Plaintiffs and Appellants, </w:t>
      </w:r>
    </w:p>
    <w:p w14:paraId="67829B3C" w14:textId="77777777" w:rsidR="00C24F03" w:rsidRPr="00C24F03" w:rsidRDefault="00C24F03" w:rsidP="00C24F03">
      <w:pPr>
        <w:spacing w:before="120"/>
        <w:jc w:val="center"/>
        <w:rPr>
          <w:szCs w:val="27"/>
        </w:rPr>
      </w:pPr>
      <w:r w:rsidRPr="00C24F03">
        <w:rPr>
          <w:szCs w:val="27"/>
        </w:rPr>
        <w:t>v.</w:t>
      </w:r>
    </w:p>
    <w:p w14:paraId="188A3447" w14:textId="77777777" w:rsidR="00C24F03" w:rsidRPr="00C24F03" w:rsidRDefault="00C24F03" w:rsidP="00C24F03">
      <w:pPr>
        <w:jc w:val="center"/>
        <w:rPr>
          <w:szCs w:val="27"/>
        </w:rPr>
      </w:pPr>
      <w:r>
        <w:rPr>
          <w:szCs w:val="27"/>
        </w:rPr>
        <w:t xml:space="preserve">ALAMEDA COUNTY EMPLOYEES’ RETIREMENT ASSOCIATION </w:t>
      </w:r>
      <w:r w:rsidRPr="00C24F03">
        <w:rPr>
          <w:szCs w:val="27"/>
        </w:rPr>
        <w:t xml:space="preserve">et al., </w:t>
      </w:r>
    </w:p>
    <w:p w14:paraId="0904355A" w14:textId="77777777" w:rsidR="00C24F03" w:rsidRPr="00C24F03" w:rsidRDefault="00C24F03" w:rsidP="00C24F03">
      <w:pPr>
        <w:jc w:val="center"/>
        <w:rPr>
          <w:szCs w:val="27"/>
        </w:rPr>
      </w:pPr>
      <w:r w:rsidRPr="00C24F03">
        <w:rPr>
          <w:szCs w:val="27"/>
        </w:rPr>
        <w:t>Defendants and Respondents;</w:t>
      </w:r>
    </w:p>
    <w:p w14:paraId="017F81F6" w14:textId="77777777" w:rsidR="00C24F03" w:rsidRPr="00C24F03" w:rsidRDefault="00C24F03" w:rsidP="00C24F03">
      <w:pPr>
        <w:jc w:val="center"/>
        <w:rPr>
          <w:szCs w:val="27"/>
        </w:rPr>
      </w:pPr>
      <w:r>
        <w:rPr>
          <w:szCs w:val="27"/>
        </w:rPr>
        <w:t xml:space="preserve">STATE OF CALIFORNIA </w:t>
      </w:r>
      <w:r w:rsidRPr="00C24F03">
        <w:rPr>
          <w:szCs w:val="27"/>
        </w:rPr>
        <w:t xml:space="preserve">et al., </w:t>
      </w:r>
    </w:p>
    <w:p w14:paraId="13A959B1" w14:textId="77777777" w:rsidR="00C24F03" w:rsidRPr="00C24F03" w:rsidRDefault="00C24F03" w:rsidP="00C24F03">
      <w:pPr>
        <w:jc w:val="center"/>
        <w:rPr>
          <w:szCs w:val="27"/>
        </w:rPr>
      </w:pPr>
      <w:r w:rsidRPr="00C24F03">
        <w:rPr>
          <w:szCs w:val="27"/>
        </w:rPr>
        <w:t>Interveners and Appellants.</w:t>
      </w:r>
    </w:p>
    <w:p w14:paraId="62E28BEE" w14:textId="77777777" w:rsidR="00C24F03" w:rsidRPr="00C24F03" w:rsidRDefault="00C24F03" w:rsidP="00C24F03">
      <w:pPr>
        <w:jc w:val="center"/>
        <w:rPr>
          <w:szCs w:val="27"/>
        </w:rPr>
      </w:pPr>
      <w:r w:rsidRPr="00C24F03">
        <w:rPr>
          <w:szCs w:val="27"/>
        </w:rPr>
        <w:t>* * * *</w:t>
      </w:r>
    </w:p>
    <w:p w14:paraId="281F0A62" w14:textId="77777777" w:rsidR="00C24F03" w:rsidRPr="00C24F03" w:rsidRDefault="00C24F03" w:rsidP="00C24F03">
      <w:pPr>
        <w:jc w:val="center"/>
        <w:rPr>
          <w:szCs w:val="27"/>
        </w:rPr>
      </w:pPr>
    </w:p>
    <w:p w14:paraId="49DE1663" w14:textId="77777777" w:rsidR="00C24F03" w:rsidRPr="00C24F03" w:rsidRDefault="00C24F03" w:rsidP="00C24F03">
      <w:pPr>
        <w:jc w:val="center"/>
        <w:rPr>
          <w:szCs w:val="27"/>
        </w:rPr>
      </w:pPr>
      <w:r>
        <w:rPr>
          <w:szCs w:val="27"/>
        </w:rPr>
        <w:t>CONTRA COSTA COUNTY DEPUTY SHERIFF’S ASSOCIATION et al.</w:t>
      </w:r>
      <w:r w:rsidRPr="00C24F03">
        <w:rPr>
          <w:szCs w:val="27"/>
        </w:rPr>
        <w:t xml:space="preserve">, </w:t>
      </w:r>
    </w:p>
    <w:p w14:paraId="680DA410" w14:textId="77777777" w:rsidR="00C24F03" w:rsidRPr="00C24F03" w:rsidRDefault="00C24F03" w:rsidP="00C24F03">
      <w:pPr>
        <w:jc w:val="center"/>
        <w:rPr>
          <w:szCs w:val="27"/>
        </w:rPr>
      </w:pPr>
      <w:r w:rsidRPr="00C24F03">
        <w:rPr>
          <w:szCs w:val="27"/>
        </w:rPr>
        <w:t xml:space="preserve">Plaintiffs and Appellants, </w:t>
      </w:r>
    </w:p>
    <w:p w14:paraId="6E5BDA51" w14:textId="77777777" w:rsidR="00C24F03" w:rsidRPr="00C24F03" w:rsidRDefault="00C24F03" w:rsidP="00C24F03">
      <w:pPr>
        <w:spacing w:before="120"/>
        <w:jc w:val="center"/>
        <w:rPr>
          <w:szCs w:val="27"/>
        </w:rPr>
      </w:pPr>
      <w:r w:rsidRPr="00C24F03">
        <w:rPr>
          <w:szCs w:val="27"/>
        </w:rPr>
        <w:t>v.</w:t>
      </w:r>
    </w:p>
    <w:p w14:paraId="54D353D4" w14:textId="77777777" w:rsidR="00C24F03" w:rsidRPr="00C24F03" w:rsidRDefault="00C24F03" w:rsidP="00C24F03">
      <w:pPr>
        <w:jc w:val="center"/>
        <w:rPr>
          <w:szCs w:val="27"/>
        </w:rPr>
      </w:pPr>
      <w:r>
        <w:rPr>
          <w:szCs w:val="27"/>
        </w:rPr>
        <w:t xml:space="preserve">CONTRA COSTA COUNTY EMPLOYEES’ RETIREMENT ASSOCIATION </w:t>
      </w:r>
      <w:r w:rsidRPr="00C24F03">
        <w:rPr>
          <w:szCs w:val="27"/>
        </w:rPr>
        <w:t xml:space="preserve">et al., </w:t>
      </w:r>
    </w:p>
    <w:p w14:paraId="4A43D657" w14:textId="77777777" w:rsidR="00C24F03" w:rsidRPr="00C24F03" w:rsidRDefault="00C24F03" w:rsidP="00C24F03">
      <w:pPr>
        <w:jc w:val="center"/>
        <w:rPr>
          <w:szCs w:val="27"/>
        </w:rPr>
      </w:pPr>
      <w:r w:rsidRPr="00C24F03">
        <w:rPr>
          <w:szCs w:val="27"/>
        </w:rPr>
        <w:t>Defendants and Respondents;</w:t>
      </w:r>
    </w:p>
    <w:p w14:paraId="278297C8" w14:textId="77777777" w:rsidR="00C24F03" w:rsidRPr="00C24F03" w:rsidRDefault="00C24F03" w:rsidP="00C24F03">
      <w:pPr>
        <w:jc w:val="center"/>
        <w:rPr>
          <w:szCs w:val="27"/>
        </w:rPr>
      </w:pPr>
      <w:r>
        <w:rPr>
          <w:szCs w:val="27"/>
        </w:rPr>
        <w:t xml:space="preserve">STATE OF CALIFORNIA </w:t>
      </w:r>
      <w:r w:rsidRPr="00C24F03">
        <w:rPr>
          <w:szCs w:val="27"/>
        </w:rPr>
        <w:t xml:space="preserve">et al., </w:t>
      </w:r>
    </w:p>
    <w:p w14:paraId="580594C5" w14:textId="77777777" w:rsidR="00C24F03" w:rsidRPr="00C24F03" w:rsidRDefault="00C24F03" w:rsidP="00C24F03">
      <w:pPr>
        <w:jc w:val="center"/>
        <w:rPr>
          <w:szCs w:val="27"/>
        </w:rPr>
      </w:pPr>
      <w:r w:rsidRPr="00C24F03">
        <w:rPr>
          <w:szCs w:val="27"/>
        </w:rPr>
        <w:t>Interveners and Appellants.</w:t>
      </w:r>
    </w:p>
    <w:p w14:paraId="3122742B" w14:textId="21B16EA9" w:rsidR="00C24F03" w:rsidRDefault="00C24F03" w:rsidP="00425DCB">
      <w:pPr>
        <w:jc w:val="center"/>
        <w:rPr>
          <w:szCs w:val="27"/>
        </w:rPr>
      </w:pPr>
      <w:r w:rsidRPr="00C24F03">
        <w:rPr>
          <w:szCs w:val="27"/>
        </w:rPr>
        <w:t>* * * *</w:t>
      </w:r>
    </w:p>
    <w:p w14:paraId="11CF6C9E" w14:textId="77777777" w:rsidR="00BC1E1D" w:rsidRDefault="00BC1E1D" w:rsidP="00C24F03">
      <w:pPr>
        <w:jc w:val="center"/>
        <w:rPr>
          <w:szCs w:val="27"/>
        </w:rPr>
      </w:pPr>
    </w:p>
    <w:p w14:paraId="5D869874" w14:textId="77777777" w:rsidR="00C24F03" w:rsidRPr="00C24F03" w:rsidRDefault="00C24F03" w:rsidP="00C24F03">
      <w:pPr>
        <w:jc w:val="center"/>
        <w:rPr>
          <w:szCs w:val="27"/>
        </w:rPr>
      </w:pPr>
      <w:r>
        <w:rPr>
          <w:szCs w:val="27"/>
        </w:rPr>
        <w:lastRenderedPageBreak/>
        <w:t>AMERICAN FEDERATION OF STATE, COUNTY AND MUNICIPAL EMPLOYEES et al.</w:t>
      </w:r>
      <w:r w:rsidRPr="00C24F03">
        <w:rPr>
          <w:szCs w:val="27"/>
        </w:rPr>
        <w:t xml:space="preserve">, </w:t>
      </w:r>
    </w:p>
    <w:p w14:paraId="0F9376AE" w14:textId="77777777" w:rsidR="00C24F03" w:rsidRPr="00C24F03" w:rsidRDefault="00C24F03" w:rsidP="00C24F03">
      <w:pPr>
        <w:jc w:val="center"/>
        <w:rPr>
          <w:szCs w:val="27"/>
        </w:rPr>
      </w:pPr>
      <w:r w:rsidRPr="00C24F03">
        <w:rPr>
          <w:szCs w:val="27"/>
        </w:rPr>
        <w:t xml:space="preserve">Plaintiffs and Appellants, </w:t>
      </w:r>
    </w:p>
    <w:p w14:paraId="273CB134" w14:textId="77777777" w:rsidR="00C24F03" w:rsidRPr="00C24F03" w:rsidRDefault="00C24F03" w:rsidP="00C24F03">
      <w:pPr>
        <w:spacing w:before="120"/>
        <w:jc w:val="center"/>
        <w:rPr>
          <w:szCs w:val="27"/>
        </w:rPr>
      </w:pPr>
      <w:r w:rsidRPr="00C24F03">
        <w:rPr>
          <w:szCs w:val="27"/>
        </w:rPr>
        <w:t>v.</w:t>
      </w:r>
    </w:p>
    <w:p w14:paraId="5E66D003" w14:textId="77777777" w:rsidR="00C24F03" w:rsidRPr="00C24F03" w:rsidRDefault="00C24F03" w:rsidP="00C24F03">
      <w:pPr>
        <w:jc w:val="center"/>
        <w:rPr>
          <w:szCs w:val="27"/>
        </w:rPr>
      </w:pPr>
      <w:r>
        <w:rPr>
          <w:szCs w:val="27"/>
        </w:rPr>
        <w:t xml:space="preserve">MERCED COUNTY EMPLOYEES’ RETIREMENT ASSOCIATION </w:t>
      </w:r>
      <w:r w:rsidRPr="00C24F03">
        <w:rPr>
          <w:szCs w:val="27"/>
        </w:rPr>
        <w:t xml:space="preserve">et al., </w:t>
      </w:r>
    </w:p>
    <w:p w14:paraId="2946DECE" w14:textId="77777777" w:rsidR="00C24F03" w:rsidRPr="00C24F03" w:rsidRDefault="00C24F03" w:rsidP="00C24F03">
      <w:pPr>
        <w:jc w:val="center"/>
        <w:rPr>
          <w:szCs w:val="27"/>
        </w:rPr>
      </w:pPr>
      <w:r w:rsidRPr="00C24F03">
        <w:rPr>
          <w:szCs w:val="27"/>
        </w:rPr>
        <w:t>Defendants and Respondents;</w:t>
      </w:r>
    </w:p>
    <w:p w14:paraId="1EDE44E7" w14:textId="77777777" w:rsidR="00C24F03" w:rsidRPr="00C24F03" w:rsidRDefault="00C24F03" w:rsidP="00C24F03">
      <w:pPr>
        <w:jc w:val="center"/>
        <w:rPr>
          <w:szCs w:val="27"/>
        </w:rPr>
      </w:pPr>
      <w:r>
        <w:rPr>
          <w:szCs w:val="27"/>
        </w:rPr>
        <w:t xml:space="preserve">STATE OF CALIFORNIA </w:t>
      </w:r>
      <w:r w:rsidRPr="00C24F03">
        <w:rPr>
          <w:szCs w:val="27"/>
        </w:rPr>
        <w:t xml:space="preserve">et al., </w:t>
      </w:r>
    </w:p>
    <w:p w14:paraId="50061102" w14:textId="77777777" w:rsidR="00C24F03" w:rsidRPr="00C24F03" w:rsidRDefault="00C24F03" w:rsidP="00C24F03">
      <w:pPr>
        <w:jc w:val="center"/>
        <w:rPr>
          <w:szCs w:val="27"/>
        </w:rPr>
      </w:pPr>
      <w:r w:rsidRPr="00C24F03">
        <w:rPr>
          <w:szCs w:val="27"/>
        </w:rPr>
        <w:t>Interveners and Appellants.</w:t>
      </w:r>
    </w:p>
    <w:p w14:paraId="13C75152" w14:textId="77777777" w:rsidR="00C24F03" w:rsidRPr="00C24F03" w:rsidRDefault="00C24F03" w:rsidP="00C24F03">
      <w:pPr>
        <w:jc w:val="center"/>
        <w:rPr>
          <w:szCs w:val="27"/>
        </w:rPr>
      </w:pPr>
    </w:p>
    <w:p w14:paraId="6087773A" w14:textId="77777777" w:rsidR="00C24F03" w:rsidRPr="00C24F03" w:rsidRDefault="00C24F03" w:rsidP="00C24F03">
      <w:pPr>
        <w:jc w:val="center"/>
        <w:rPr>
          <w:szCs w:val="27"/>
        </w:rPr>
      </w:pPr>
      <w:r w:rsidRPr="00C24F03">
        <w:rPr>
          <w:szCs w:val="27"/>
        </w:rPr>
        <w:t>S24</w:t>
      </w:r>
      <w:r w:rsidR="002D1413">
        <w:rPr>
          <w:szCs w:val="27"/>
        </w:rPr>
        <w:t>7095</w:t>
      </w:r>
    </w:p>
    <w:p w14:paraId="47F5CE00" w14:textId="77777777" w:rsidR="00C24F03" w:rsidRPr="00C24F03" w:rsidRDefault="00C24F03" w:rsidP="00C24F03">
      <w:pPr>
        <w:jc w:val="center"/>
        <w:rPr>
          <w:szCs w:val="27"/>
        </w:rPr>
      </w:pPr>
    </w:p>
    <w:p w14:paraId="3BECBF5A" w14:textId="77777777" w:rsidR="00C24F03" w:rsidRPr="00C24F03" w:rsidRDefault="00C24F03" w:rsidP="00C24F03">
      <w:pPr>
        <w:jc w:val="center"/>
        <w:rPr>
          <w:szCs w:val="27"/>
        </w:rPr>
      </w:pPr>
      <w:r w:rsidRPr="00C24F03">
        <w:rPr>
          <w:szCs w:val="27"/>
        </w:rPr>
        <w:t>First Appellate District, Division Four</w:t>
      </w:r>
    </w:p>
    <w:p w14:paraId="0475A203" w14:textId="77777777" w:rsidR="00C24F03" w:rsidRPr="00C24F03" w:rsidRDefault="00C24F03" w:rsidP="00C24F03">
      <w:pPr>
        <w:jc w:val="center"/>
        <w:rPr>
          <w:szCs w:val="27"/>
        </w:rPr>
      </w:pPr>
      <w:r w:rsidRPr="00C24F03">
        <w:rPr>
          <w:szCs w:val="27"/>
        </w:rPr>
        <w:t>A141913</w:t>
      </w:r>
    </w:p>
    <w:p w14:paraId="2FD4F70D" w14:textId="77777777" w:rsidR="00C24F03" w:rsidRPr="00C24F03" w:rsidRDefault="00C24F03" w:rsidP="00C24F03">
      <w:pPr>
        <w:jc w:val="center"/>
        <w:rPr>
          <w:szCs w:val="27"/>
        </w:rPr>
      </w:pPr>
    </w:p>
    <w:p w14:paraId="18167CC6" w14:textId="77777777" w:rsidR="00C24F03" w:rsidRPr="00C24F03" w:rsidRDefault="00C24F03" w:rsidP="00C24F03">
      <w:pPr>
        <w:jc w:val="center"/>
        <w:rPr>
          <w:szCs w:val="27"/>
        </w:rPr>
      </w:pPr>
      <w:r w:rsidRPr="00C24F03">
        <w:rPr>
          <w:szCs w:val="27"/>
        </w:rPr>
        <w:t>Alameda County Superior Court</w:t>
      </w:r>
    </w:p>
    <w:p w14:paraId="31BD839C" w14:textId="77777777" w:rsidR="00C24F03" w:rsidRDefault="00C24F03" w:rsidP="00C24F03">
      <w:pPr>
        <w:jc w:val="center"/>
        <w:rPr>
          <w:szCs w:val="27"/>
        </w:rPr>
      </w:pPr>
      <w:r>
        <w:rPr>
          <w:szCs w:val="27"/>
        </w:rPr>
        <w:t>RG12658890</w:t>
      </w:r>
    </w:p>
    <w:p w14:paraId="4E6EBCAE" w14:textId="77777777" w:rsidR="00C24F03" w:rsidRPr="00C24F03" w:rsidRDefault="00C24F03" w:rsidP="00C24F03">
      <w:pPr>
        <w:jc w:val="center"/>
        <w:rPr>
          <w:szCs w:val="27"/>
        </w:rPr>
      </w:pPr>
      <w:r w:rsidRPr="00C24F03">
        <w:rPr>
          <w:szCs w:val="27"/>
        </w:rPr>
        <w:t>Contra Costa County Superior Court</w:t>
      </w:r>
    </w:p>
    <w:p w14:paraId="09494438" w14:textId="20C2E6A0" w:rsidR="00C24F03" w:rsidRDefault="00C24F03" w:rsidP="00C24F03">
      <w:pPr>
        <w:jc w:val="center"/>
        <w:rPr>
          <w:szCs w:val="27"/>
        </w:rPr>
      </w:pPr>
      <w:r>
        <w:rPr>
          <w:szCs w:val="27"/>
        </w:rPr>
        <w:t>MSN12</w:t>
      </w:r>
      <w:r w:rsidR="00427AF8">
        <w:rPr>
          <w:szCs w:val="27"/>
        </w:rPr>
        <w:t>–</w:t>
      </w:r>
      <w:r>
        <w:rPr>
          <w:szCs w:val="27"/>
        </w:rPr>
        <w:t>1870</w:t>
      </w:r>
    </w:p>
    <w:p w14:paraId="5ACAC620" w14:textId="77777777" w:rsidR="00C24F03" w:rsidRPr="00C24F03" w:rsidRDefault="00C24F03" w:rsidP="00C24F03">
      <w:pPr>
        <w:jc w:val="center"/>
        <w:rPr>
          <w:szCs w:val="27"/>
        </w:rPr>
      </w:pPr>
      <w:r w:rsidRPr="00C24F03">
        <w:rPr>
          <w:szCs w:val="27"/>
        </w:rPr>
        <w:t>Merced County Superior Court</w:t>
      </w:r>
    </w:p>
    <w:p w14:paraId="301F92CA" w14:textId="7CA4A6BF" w:rsidR="00813A03" w:rsidRDefault="00C24F03" w:rsidP="00C24F03">
      <w:pPr>
        <w:jc w:val="center"/>
        <w:rPr>
          <w:szCs w:val="27"/>
        </w:rPr>
      </w:pPr>
      <w:r>
        <w:rPr>
          <w:szCs w:val="27"/>
        </w:rPr>
        <w:t>CV003073</w:t>
      </w:r>
      <w:r w:rsidR="00813A03">
        <w:rPr>
          <w:szCs w:val="27"/>
        </w:rPr>
        <w:br w:type="page"/>
      </w:r>
    </w:p>
    <w:p w14:paraId="35290188" w14:textId="77777777" w:rsidR="00960C8B" w:rsidRDefault="00960C8B" w:rsidP="00C24F03">
      <w:pPr>
        <w:pBdr>
          <w:bottom w:val="single" w:sz="4" w:space="1" w:color="auto"/>
        </w:pBdr>
        <w:tabs>
          <w:tab w:val="left" w:leader="underscore" w:pos="4680"/>
        </w:tabs>
        <w:jc w:val="center"/>
        <w:rPr>
          <w:u w:val="single"/>
        </w:rPr>
      </w:pPr>
    </w:p>
    <w:p w14:paraId="012C842B" w14:textId="77777777" w:rsidR="00D81D5A" w:rsidRDefault="00D81D5A" w:rsidP="00D81D5A">
      <w:pPr>
        <w:tabs>
          <w:tab w:val="left" w:leader="underscore" w:pos="4680"/>
        </w:tabs>
        <w:spacing w:after="0"/>
        <w:jc w:val="center"/>
      </w:pPr>
    </w:p>
    <w:p w14:paraId="23D71D38" w14:textId="0A722FAA" w:rsidR="00D81D5A" w:rsidRDefault="00960C8B" w:rsidP="00D81D5A">
      <w:pPr>
        <w:tabs>
          <w:tab w:val="left" w:leader="underscore" w:pos="4680"/>
        </w:tabs>
        <w:spacing w:after="0"/>
        <w:jc w:val="center"/>
      </w:pPr>
      <w:r>
        <w:t>Ju</w:t>
      </w:r>
      <w:r w:rsidR="00220796">
        <w:t>ly</w:t>
      </w:r>
      <w:r>
        <w:t xml:space="preserve"> </w:t>
      </w:r>
      <w:r w:rsidR="00053735">
        <w:t>30,</w:t>
      </w:r>
      <w:r w:rsidR="00D81D5A">
        <w:t xml:space="preserve"> 2020</w:t>
      </w:r>
    </w:p>
    <w:p w14:paraId="0E88BEA5" w14:textId="77777777" w:rsidR="00D81D5A" w:rsidRDefault="00D81D5A" w:rsidP="00D81D5A">
      <w:pPr>
        <w:tabs>
          <w:tab w:val="left" w:leader="underscore" w:pos="4680"/>
        </w:tabs>
        <w:spacing w:after="0"/>
        <w:jc w:val="center"/>
      </w:pPr>
    </w:p>
    <w:p w14:paraId="2F0681FE" w14:textId="0EF9AB86" w:rsidR="00DC65FC" w:rsidRDefault="00DC65FC" w:rsidP="00DC65FC">
      <w:pPr>
        <w:tabs>
          <w:tab w:val="left" w:pos="1440"/>
          <w:tab w:val="left" w:pos="4680"/>
          <w:tab w:val="center" w:pos="7200"/>
        </w:tabs>
        <w:spacing w:after="0"/>
        <w:jc w:val="left"/>
      </w:pPr>
      <w:r>
        <w:t>Chief Justice Cantil-Sakauye authored the opinion of the Court, in which Justices</w:t>
      </w:r>
      <w:r w:rsidR="00053735">
        <w:t xml:space="preserve"> Chin, Corrigan, Liu, Cuéllar, Kruger, </w:t>
      </w:r>
      <w:r>
        <w:t xml:space="preserve"> and</w:t>
      </w:r>
      <w:r w:rsidR="00053735">
        <w:t xml:space="preserve"> Groban </w:t>
      </w:r>
      <w:r>
        <w:t>concurred.</w:t>
      </w:r>
    </w:p>
    <w:p w14:paraId="32250421" w14:textId="2F278B1C" w:rsidR="00D81D5A" w:rsidRDefault="00D81D5A" w:rsidP="00D81D5A">
      <w:pPr>
        <w:pBdr>
          <w:bottom w:val="single" w:sz="4" w:space="1" w:color="auto"/>
        </w:pBdr>
        <w:tabs>
          <w:tab w:val="left" w:leader="underscore" w:pos="4680"/>
        </w:tabs>
        <w:spacing w:after="0"/>
        <w:jc w:val="left"/>
      </w:pPr>
    </w:p>
    <w:p w14:paraId="1B108BFD" w14:textId="05E08FB4" w:rsidR="00053735" w:rsidRDefault="00053735" w:rsidP="00D81D5A">
      <w:pPr>
        <w:pBdr>
          <w:bottom w:val="single" w:sz="4" w:space="1" w:color="auto"/>
        </w:pBdr>
        <w:tabs>
          <w:tab w:val="left" w:leader="underscore" w:pos="4680"/>
        </w:tabs>
        <w:spacing w:after="0"/>
        <w:jc w:val="left"/>
      </w:pPr>
      <w:r>
        <w:t>Justice Cuéllar filed a concurring opinion.</w:t>
      </w:r>
    </w:p>
    <w:p w14:paraId="511C3753" w14:textId="77777777" w:rsidR="00D81D5A" w:rsidRPr="00D81D5A" w:rsidRDefault="00D81D5A" w:rsidP="00D81D5A">
      <w:pPr>
        <w:pBdr>
          <w:bottom w:val="single" w:sz="4" w:space="1" w:color="auto"/>
        </w:pBdr>
        <w:tabs>
          <w:tab w:val="left" w:leader="underscore" w:pos="4680"/>
        </w:tabs>
        <w:spacing w:line="240" w:lineRule="atLeast"/>
        <w:jc w:val="left"/>
      </w:pPr>
      <w:bookmarkStart w:id="0" w:name="Return"/>
      <w:bookmarkEnd w:id="0"/>
    </w:p>
    <w:p w14:paraId="428343DE" w14:textId="77777777" w:rsidR="00D81D5A" w:rsidRDefault="00D81D5A" w:rsidP="00531ACB">
      <w:pPr>
        <w:tabs>
          <w:tab w:val="left" w:leader="underscore" w:pos="4680"/>
        </w:tabs>
        <w:spacing w:line="240" w:lineRule="atLeast"/>
        <w:sectPr w:rsidR="00D81D5A" w:rsidSect="00D81D5A">
          <w:headerReference w:type="default" r:id="rId8"/>
          <w:pgSz w:w="12240" w:h="15840"/>
          <w:pgMar w:top="1800" w:right="2160" w:bottom="1440" w:left="2160" w:header="720" w:footer="720" w:gutter="0"/>
          <w:cols w:space="720"/>
          <w:titlePg/>
          <w:docGrid w:linePitch="367"/>
        </w:sectPr>
      </w:pPr>
    </w:p>
    <w:p w14:paraId="40CF77E3" w14:textId="1959F179" w:rsidR="00D81D5A" w:rsidRDefault="00D81D5A" w:rsidP="00DC65FC">
      <w:pPr>
        <w:tabs>
          <w:tab w:val="left" w:leader="underscore" w:pos="4680"/>
        </w:tabs>
        <w:jc w:val="center"/>
      </w:pPr>
      <w:bookmarkStart w:id="1" w:name="_Hlk43185139"/>
      <w:bookmarkStart w:id="2" w:name="_Hlk43185531"/>
      <w:r>
        <w:lastRenderedPageBreak/>
        <w:t xml:space="preserve">ALAMEDA COUNTY DEPUTY </w:t>
      </w:r>
      <w:r w:rsidR="00DC65FC">
        <w:t>SHERIFF</w:t>
      </w:r>
      <w:r w:rsidR="000743F4">
        <w:t>’</w:t>
      </w:r>
      <w:r w:rsidR="00DC65FC">
        <w:t>S ASS</w:t>
      </w:r>
      <w:r w:rsidR="00D60C2F">
        <w:t>N</w:t>
      </w:r>
      <w:r w:rsidR="007E41C5">
        <w:t>.</w:t>
      </w:r>
      <w:r w:rsidR="00DC65FC">
        <w:t xml:space="preserve"> </w:t>
      </w:r>
      <w:r>
        <w:t xml:space="preserve">v. </w:t>
      </w:r>
      <w:r w:rsidR="00DC65FC">
        <w:t xml:space="preserve">ALAMEDA COUNTY EMPLOYEES’ </w:t>
      </w:r>
      <w:r>
        <w:t>RETIREMENT ASS</w:t>
      </w:r>
      <w:r w:rsidR="00D60C2F">
        <w:t>N</w:t>
      </w:r>
      <w:r w:rsidR="007E41C5">
        <w:t>.</w:t>
      </w:r>
    </w:p>
    <w:bookmarkEnd w:id="1"/>
    <w:p w14:paraId="723709F1" w14:textId="77777777" w:rsidR="00D81D5A" w:rsidRDefault="00DC65FC" w:rsidP="00D81D5A">
      <w:pPr>
        <w:tabs>
          <w:tab w:val="left" w:leader="underscore" w:pos="4680"/>
        </w:tabs>
        <w:jc w:val="center"/>
      </w:pPr>
      <w:r>
        <w:t>S247095</w:t>
      </w:r>
      <w:bookmarkEnd w:id="2"/>
    </w:p>
    <w:p w14:paraId="44855185" w14:textId="77777777" w:rsidR="00D81D5A" w:rsidRDefault="00D81D5A" w:rsidP="00D81D5A">
      <w:pPr>
        <w:tabs>
          <w:tab w:val="left" w:leader="underscore" w:pos="4680"/>
        </w:tabs>
        <w:jc w:val="center"/>
      </w:pPr>
    </w:p>
    <w:p w14:paraId="4995359B" w14:textId="77777777" w:rsidR="00D81D5A" w:rsidRDefault="00D81D5A" w:rsidP="00D81D5A">
      <w:pPr>
        <w:tabs>
          <w:tab w:val="left" w:leader="underscore" w:pos="4680"/>
        </w:tabs>
        <w:jc w:val="center"/>
      </w:pPr>
      <w:r>
        <w:t>Opinion of the Court by Cantil-Sakauye, C. J.</w:t>
      </w:r>
    </w:p>
    <w:p w14:paraId="7C36506C" w14:textId="77777777" w:rsidR="00D81D5A" w:rsidRPr="00D81D5A" w:rsidRDefault="00D81D5A" w:rsidP="00D81D5A">
      <w:pPr>
        <w:tabs>
          <w:tab w:val="left" w:leader="underscore" w:pos="4680"/>
        </w:tabs>
        <w:jc w:val="center"/>
      </w:pPr>
    </w:p>
    <w:p w14:paraId="4AB84CA0" w14:textId="38B2FD6F" w:rsidR="004F5EC4" w:rsidRPr="00D81D5A" w:rsidRDefault="001058B8" w:rsidP="00D81D5A">
      <w:r w:rsidRPr="00D81D5A">
        <w:tab/>
      </w:r>
      <w:r w:rsidR="00511600" w:rsidRPr="00D81D5A">
        <w:t>T</w:t>
      </w:r>
      <w:r w:rsidR="00A21B82" w:rsidRPr="00D81D5A">
        <w:t>he California Public Employees’ Pension Reform Act of 2013</w:t>
      </w:r>
      <w:r w:rsidR="00BD1557" w:rsidRPr="00D81D5A">
        <w:t xml:space="preserve"> (PEPRA; </w:t>
      </w:r>
      <w:r w:rsidR="00A21B82" w:rsidRPr="00D81D5A">
        <w:t xml:space="preserve">Stats. 2012, </w:t>
      </w:r>
      <w:proofErr w:type="spellStart"/>
      <w:r w:rsidR="00A21B82" w:rsidRPr="00D81D5A">
        <w:t>ch.</w:t>
      </w:r>
      <w:proofErr w:type="spellEnd"/>
      <w:r w:rsidR="00A21B82" w:rsidRPr="00D81D5A">
        <w:t xml:space="preserve"> 296, § 1</w:t>
      </w:r>
      <w:r w:rsidR="003D7C54" w:rsidRPr="00D81D5A">
        <w:t>)</w:t>
      </w:r>
      <w:r w:rsidR="00511600" w:rsidRPr="00D81D5A">
        <w:t xml:space="preserve"> </w:t>
      </w:r>
      <w:r w:rsidR="003177DE" w:rsidRPr="00D81D5A">
        <w:t>substantial</w:t>
      </w:r>
      <w:r w:rsidR="00511600" w:rsidRPr="00D81D5A">
        <w:t xml:space="preserve">ly revised </w:t>
      </w:r>
      <w:r w:rsidR="00C14F3B" w:rsidRPr="00D81D5A">
        <w:t xml:space="preserve">the </w:t>
      </w:r>
      <w:r w:rsidR="00317CF0" w:rsidRPr="00D81D5A">
        <w:t xml:space="preserve">laws governing </w:t>
      </w:r>
      <w:r w:rsidR="006302AD" w:rsidRPr="00D81D5A">
        <w:t>the pension</w:t>
      </w:r>
      <w:r w:rsidR="00C66816" w:rsidRPr="00D81D5A">
        <w:t xml:space="preserve"> plan</w:t>
      </w:r>
      <w:r w:rsidR="006302AD" w:rsidRPr="00D81D5A">
        <w:t xml:space="preserve">s of </w:t>
      </w:r>
      <w:r w:rsidR="00797DEA" w:rsidRPr="00D81D5A">
        <w:t xml:space="preserve">the state’s </w:t>
      </w:r>
      <w:r w:rsidR="006302AD" w:rsidRPr="00D81D5A">
        <w:t xml:space="preserve">public </w:t>
      </w:r>
      <w:r w:rsidR="00317CF0" w:rsidRPr="00D81D5A">
        <w:t>employee</w:t>
      </w:r>
      <w:r w:rsidR="006302AD" w:rsidRPr="00D81D5A">
        <w:t>s</w:t>
      </w:r>
      <w:r w:rsidR="00150F33" w:rsidRPr="00D81D5A">
        <w:t xml:space="preserve">.  </w:t>
      </w:r>
      <w:r w:rsidR="00511600" w:rsidRPr="00D81D5A">
        <w:t xml:space="preserve">In a prior decision, </w:t>
      </w:r>
      <w:r w:rsidR="00511600" w:rsidRPr="00D81D5A">
        <w:rPr>
          <w:i/>
        </w:rPr>
        <w:t xml:space="preserve">Cal Fire Local 2881 v. California </w:t>
      </w:r>
      <w:r w:rsidR="00E34258" w:rsidRPr="00D81D5A">
        <w:rPr>
          <w:i/>
        </w:rPr>
        <w:t xml:space="preserve">Public </w:t>
      </w:r>
      <w:r w:rsidR="00511600" w:rsidRPr="00D81D5A">
        <w:rPr>
          <w:i/>
        </w:rPr>
        <w:t xml:space="preserve">Employees’ Retirement </w:t>
      </w:r>
      <w:r w:rsidR="00E34258" w:rsidRPr="00D81D5A">
        <w:rPr>
          <w:i/>
        </w:rPr>
        <w:t>System</w:t>
      </w:r>
      <w:r w:rsidR="00511600" w:rsidRPr="00D81D5A">
        <w:rPr>
          <w:i/>
        </w:rPr>
        <w:t xml:space="preserve"> </w:t>
      </w:r>
      <w:r w:rsidR="00511600" w:rsidRPr="00D81D5A">
        <w:t xml:space="preserve">(2019) </w:t>
      </w:r>
      <w:r w:rsidR="00E34258" w:rsidRPr="00D81D5A">
        <w:t xml:space="preserve">6 </w:t>
      </w:r>
      <w:r w:rsidR="00511600" w:rsidRPr="00D81D5A">
        <w:t xml:space="preserve">Cal.5th </w:t>
      </w:r>
      <w:r w:rsidR="00E34258" w:rsidRPr="00D81D5A">
        <w:t xml:space="preserve">965 </w:t>
      </w:r>
      <w:r w:rsidR="002768A4" w:rsidRPr="00D81D5A">
        <w:t>(</w:t>
      </w:r>
      <w:r w:rsidR="002768A4" w:rsidRPr="00D81D5A">
        <w:rPr>
          <w:i/>
        </w:rPr>
        <w:t>Cal Fire</w:t>
      </w:r>
      <w:r w:rsidR="002768A4" w:rsidRPr="00D81D5A">
        <w:t>)</w:t>
      </w:r>
      <w:r w:rsidR="00511600" w:rsidRPr="00D81D5A">
        <w:t>, we rejected a</w:t>
      </w:r>
      <w:r w:rsidR="008A7621" w:rsidRPr="00D81D5A">
        <w:t xml:space="preserve"> </w:t>
      </w:r>
      <w:r w:rsidR="003F54DA" w:rsidRPr="00D81D5A">
        <w:t>constitutional</w:t>
      </w:r>
      <w:r w:rsidR="00511600" w:rsidRPr="00D81D5A">
        <w:t xml:space="preserve"> challenge</w:t>
      </w:r>
      <w:r w:rsidR="00827ED9" w:rsidRPr="00D81D5A">
        <w:t xml:space="preserve"> </w:t>
      </w:r>
      <w:r w:rsidR="00511600" w:rsidRPr="00D81D5A">
        <w:t xml:space="preserve">to one </w:t>
      </w:r>
      <w:r w:rsidR="00E37D37" w:rsidRPr="00D81D5A">
        <w:t xml:space="preserve">change effected by </w:t>
      </w:r>
      <w:r w:rsidR="00511600" w:rsidRPr="00D81D5A">
        <w:t xml:space="preserve">PEPRA, the elimination of the opportunity for public employees to purchase </w:t>
      </w:r>
      <w:r w:rsidR="002B7807" w:rsidRPr="00D81D5A">
        <w:t>“</w:t>
      </w:r>
      <w:r w:rsidR="00511600" w:rsidRPr="00D81D5A">
        <w:t>additional retirement service credit</w:t>
      </w:r>
      <w:r w:rsidR="002B7807" w:rsidRPr="00D81D5A">
        <w:t xml:space="preserve">” under </w:t>
      </w:r>
      <w:r w:rsidR="00053FAD" w:rsidRPr="00D81D5A">
        <w:t xml:space="preserve">Government Code </w:t>
      </w:r>
      <w:r w:rsidR="002B7807" w:rsidRPr="00D81D5A">
        <w:t>section 20909.</w:t>
      </w:r>
      <w:r w:rsidR="00511600" w:rsidRPr="00D81D5A">
        <w:t xml:space="preserve">  </w:t>
      </w:r>
      <w:r w:rsidR="00C31D75" w:rsidRPr="00D81D5A">
        <w:t>Th</w:t>
      </w:r>
      <w:r w:rsidR="00D06C7A" w:rsidRPr="00D81D5A">
        <w:t>e present</w:t>
      </w:r>
      <w:r w:rsidR="00C31D75" w:rsidRPr="00D81D5A">
        <w:t xml:space="preserve"> </w:t>
      </w:r>
      <w:r w:rsidR="00B55441" w:rsidRPr="00D81D5A">
        <w:t>decision</w:t>
      </w:r>
      <w:r w:rsidR="00053FAD" w:rsidRPr="00D81D5A">
        <w:t xml:space="preserve"> addresses legal issues raised by a different provision of </w:t>
      </w:r>
      <w:r w:rsidR="00317CF0" w:rsidRPr="00D81D5A">
        <w:t>PEPRA</w:t>
      </w:r>
      <w:r w:rsidR="00053FAD" w:rsidRPr="00D81D5A">
        <w:t xml:space="preserve">, which </w:t>
      </w:r>
      <w:r w:rsidR="00827ED9" w:rsidRPr="00D81D5A">
        <w:t xml:space="preserve">amended the County Employees Retirement Law of 1937 </w:t>
      </w:r>
      <w:r w:rsidR="00BD1557" w:rsidRPr="00D81D5A">
        <w:t>(CERL</w:t>
      </w:r>
      <w:r w:rsidR="0039275B">
        <w:t>;</w:t>
      </w:r>
      <w:r w:rsidR="00B73B8C" w:rsidRPr="00D81D5A">
        <w:t xml:space="preserve"> </w:t>
      </w:r>
      <w:r w:rsidR="00DF4E30">
        <w:t xml:space="preserve">Gov. Code, </w:t>
      </w:r>
      <w:r w:rsidR="00827ED9" w:rsidRPr="00D81D5A">
        <w:t>§</w:t>
      </w:r>
      <w:r w:rsidR="003F54DA" w:rsidRPr="00D81D5A">
        <w:t> </w:t>
      </w:r>
      <w:r w:rsidR="00827ED9" w:rsidRPr="00D81D5A">
        <w:t>31450 et seq.)</w:t>
      </w:r>
      <w:r w:rsidR="006302AD" w:rsidRPr="00D81D5A">
        <w:t>.</w:t>
      </w:r>
      <w:r w:rsidR="00DF4E30" w:rsidRPr="00D81D5A">
        <w:rPr>
          <w:rStyle w:val="FootnoteReference"/>
        </w:rPr>
        <w:footnoteReference w:id="2"/>
      </w:r>
    </w:p>
    <w:p w14:paraId="1B6066AD" w14:textId="77777777" w:rsidR="004D2DBF" w:rsidRPr="00D81D5A" w:rsidRDefault="003A32E7" w:rsidP="00D81D5A">
      <w:pPr>
        <w:ind w:firstLine="720"/>
      </w:pPr>
      <w:r w:rsidRPr="00D81D5A">
        <w:t>CERL governs t</w:t>
      </w:r>
      <w:r w:rsidR="00053FAD" w:rsidRPr="00D81D5A">
        <w:t xml:space="preserve">he pension systems </w:t>
      </w:r>
      <w:r w:rsidR="004F5EC4" w:rsidRPr="00D81D5A">
        <w:t xml:space="preserve">maintained by </w:t>
      </w:r>
      <w:r w:rsidR="00053FAD" w:rsidRPr="00D81D5A">
        <w:t>many of the state’s counties</w:t>
      </w:r>
      <w:r w:rsidR="00827ED9" w:rsidRPr="00D81D5A">
        <w:t>.</w:t>
      </w:r>
      <w:r w:rsidR="004F5EC4" w:rsidRPr="00D81D5A">
        <w:t xml:space="preserve">  Each </w:t>
      </w:r>
      <w:r w:rsidR="00C66816" w:rsidRPr="00D81D5A">
        <w:t>county</w:t>
      </w:r>
      <w:r w:rsidR="004F5EC4" w:rsidRPr="00D81D5A">
        <w:t xml:space="preserve"> </w:t>
      </w:r>
      <w:r w:rsidR="00E16C3B" w:rsidRPr="00D81D5A">
        <w:t xml:space="preserve">system is administered by </w:t>
      </w:r>
      <w:r w:rsidR="00C66816" w:rsidRPr="00D81D5A">
        <w:lastRenderedPageBreak/>
        <w:t>its own</w:t>
      </w:r>
      <w:r w:rsidR="00E16C3B" w:rsidRPr="00D81D5A">
        <w:t xml:space="preserve"> retirement board, which is tasked with implementing </w:t>
      </w:r>
      <w:r w:rsidR="00DD4274" w:rsidRPr="00D81D5A">
        <w:t>CERL</w:t>
      </w:r>
      <w:r w:rsidR="00E16C3B" w:rsidRPr="00D81D5A">
        <w:t>’s provisions.  Under CERL</w:t>
      </w:r>
      <w:r w:rsidR="00964DE3" w:rsidRPr="00D81D5A">
        <w:t>, t</w:t>
      </w:r>
      <w:r w:rsidR="00991F14" w:rsidRPr="00D81D5A">
        <w:t>he amount of a</w:t>
      </w:r>
      <w:r w:rsidRPr="00D81D5A">
        <w:t>n</w:t>
      </w:r>
      <w:r w:rsidR="008D45CF" w:rsidRPr="00D81D5A">
        <w:t xml:space="preserve"> </w:t>
      </w:r>
      <w:r w:rsidR="00991F14" w:rsidRPr="00D81D5A">
        <w:t xml:space="preserve">employee’s pension benefit is </w:t>
      </w:r>
      <w:r w:rsidR="004F5EC4" w:rsidRPr="00D81D5A">
        <w:t>determined</w:t>
      </w:r>
      <w:r w:rsidR="00E16C3B" w:rsidRPr="00D81D5A">
        <w:t xml:space="preserve"> as a percentage of </w:t>
      </w:r>
      <w:r w:rsidR="00D06C7A" w:rsidRPr="00D81D5A">
        <w:t>the</w:t>
      </w:r>
      <w:r w:rsidR="00991F14" w:rsidRPr="00D81D5A">
        <w:t xml:space="preserve"> </w:t>
      </w:r>
      <w:r w:rsidR="00931153" w:rsidRPr="00D81D5A">
        <w:t>“</w:t>
      </w:r>
      <w:r w:rsidR="00991F14" w:rsidRPr="00D81D5A">
        <w:t>compensation</w:t>
      </w:r>
      <w:r w:rsidR="00931153" w:rsidRPr="00D81D5A">
        <w:t xml:space="preserve"> earnable”</w:t>
      </w:r>
      <w:r w:rsidR="00D06C7A" w:rsidRPr="00D81D5A">
        <w:t xml:space="preserve"> </w:t>
      </w:r>
      <w:r w:rsidRPr="00D81D5A">
        <w:t xml:space="preserve">received by the employee </w:t>
      </w:r>
      <w:r w:rsidR="000737E1" w:rsidRPr="00D81D5A">
        <w:t xml:space="preserve">during a </w:t>
      </w:r>
      <w:r w:rsidR="006302AD" w:rsidRPr="00D81D5A">
        <w:t xml:space="preserve">representative </w:t>
      </w:r>
      <w:r w:rsidR="006136BC" w:rsidRPr="00D81D5A">
        <w:t xml:space="preserve">year </w:t>
      </w:r>
      <w:r w:rsidR="000737E1" w:rsidRPr="00D81D5A">
        <w:t>of county employment</w:t>
      </w:r>
      <w:r w:rsidR="00A95B6A" w:rsidRPr="00D81D5A">
        <w:t xml:space="preserve">.  </w:t>
      </w:r>
      <w:r w:rsidR="00931153" w:rsidRPr="00D81D5A">
        <w:t xml:space="preserve">Even before PEPRA, </w:t>
      </w:r>
      <w:r w:rsidR="004D2DBF" w:rsidRPr="00D81D5A">
        <w:t xml:space="preserve">CERL expressly excluded </w:t>
      </w:r>
      <w:r w:rsidR="00BC1BC9" w:rsidRPr="00D81D5A">
        <w:t xml:space="preserve">overtime pay from compensation earnable </w:t>
      </w:r>
      <w:r w:rsidR="004D64F5" w:rsidRPr="00D81D5A">
        <w:t>and</w:t>
      </w:r>
      <w:r w:rsidR="002B7807" w:rsidRPr="00D81D5A">
        <w:t xml:space="preserve"> </w:t>
      </w:r>
      <w:r w:rsidR="00BC1BC9" w:rsidRPr="00D81D5A">
        <w:t xml:space="preserve">limited the inclusion of </w:t>
      </w:r>
      <w:r w:rsidR="005F0052" w:rsidRPr="00D81D5A">
        <w:t xml:space="preserve">payments from a </w:t>
      </w:r>
      <w:r w:rsidR="00931153" w:rsidRPr="00D81D5A">
        <w:t>deferred compensation</w:t>
      </w:r>
      <w:r w:rsidR="002C000E" w:rsidRPr="00D81D5A">
        <w:t xml:space="preserve"> </w:t>
      </w:r>
      <w:r w:rsidR="005F0052" w:rsidRPr="00D81D5A">
        <w:t>plan</w:t>
      </w:r>
      <w:r w:rsidR="00931153" w:rsidRPr="00D81D5A">
        <w:t xml:space="preserve">.  </w:t>
      </w:r>
      <w:r w:rsidR="002403A4" w:rsidRPr="00D81D5A">
        <w:t>T</w:t>
      </w:r>
      <w:r w:rsidR="004D2DBF" w:rsidRPr="00D81D5A">
        <w:t xml:space="preserve">he </w:t>
      </w:r>
      <w:r w:rsidR="00931153" w:rsidRPr="00D81D5A">
        <w:t xml:space="preserve">PEPRA </w:t>
      </w:r>
      <w:r w:rsidR="001A76CA" w:rsidRPr="00D81D5A">
        <w:t>provision</w:t>
      </w:r>
      <w:r w:rsidR="004D2DBF" w:rsidRPr="00D81D5A">
        <w:t xml:space="preserve"> </w:t>
      </w:r>
      <w:r w:rsidR="00B55441" w:rsidRPr="00D81D5A">
        <w:t>at issue</w:t>
      </w:r>
      <w:r w:rsidR="00ED048F" w:rsidRPr="00D81D5A">
        <w:t xml:space="preserve"> here</w:t>
      </w:r>
      <w:r w:rsidR="00B55441" w:rsidRPr="00D81D5A">
        <w:t xml:space="preserve"> </w:t>
      </w:r>
      <w:r w:rsidR="001A76CA" w:rsidRPr="00D81D5A">
        <w:t>amend</w:t>
      </w:r>
      <w:r w:rsidR="00D73750" w:rsidRPr="00D81D5A">
        <w:t>ed</w:t>
      </w:r>
      <w:r w:rsidR="001A76CA" w:rsidRPr="00D81D5A">
        <w:t xml:space="preserve"> </w:t>
      </w:r>
      <w:r w:rsidR="00D73750" w:rsidRPr="00D81D5A">
        <w:t xml:space="preserve">CERL’s </w:t>
      </w:r>
      <w:r w:rsidR="001A76CA" w:rsidRPr="00D81D5A">
        <w:t>defin</w:t>
      </w:r>
      <w:r w:rsidR="00D06C7A" w:rsidRPr="00D81D5A">
        <w:t>ition</w:t>
      </w:r>
      <w:r w:rsidR="00D73750" w:rsidRPr="00D81D5A">
        <w:t xml:space="preserve"> of compensation earnable</w:t>
      </w:r>
      <w:r w:rsidR="001A76CA" w:rsidRPr="00D81D5A">
        <w:t xml:space="preserve"> to</w:t>
      </w:r>
      <w:r w:rsidR="00B55441" w:rsidRPr="00D81D5A">
        <w:t xml:space="preserve"> </w:t>
      </w:r>
      <w:r w:rsidR="001A2718" w:rsidRPr="00D81D5A">
        <w:t>exclu</w:t>
      </w:r>
      <w:r w:rsidR="001E489D" w:rsidRPr="00D81D5A">
        <w:t>d</w:t>
      </w:r>
      <w:r w:rsidRPr="00D81D5A">
        <w:t>e</w:t>
      </w:r>
      <w:r w:rsidR="00D73750" w:rsidRPr="00D81D5A">
        <w:t xml:space="preserve"> or limit </w:t>
      </w:r>
      <w:r w:rsidR="00C70E23" w:rsidRPr="00D81D5A">
        <w:t xml:space="preserve">the inclusion of </w:t>
      </w:r>
      <w:r w:rsidR="00952F3C" w:rsidRPr="00D81D5A">
        <w:t>additional</w:t>
      </w:r>
      <w:r w:rsidR="00931153" w:rsidRPr="00D81D5A">
        <w:t xml:space="preserve"> </w:t>
      </w:r>
      <w:r w:rsidR="002403A4" w:rsidRPr="00D81D5A">
        <w:t>type</w:t>
      </w:r>
      <w:r w:rsidR="00D73750" w:rsidRPr="00D81D5A">
        <w:t>s</w:t>
      </w:r>
      <w:r w:rsidR="006101ED" w:rsidRPr="00D81D5A">
        <w:t xml:space="preserve"> </w:t>
      </w:r>
      <w:r w:rsidR="001A2718" w:rsidRPr="00D81D5A">
        <w:t xml:space="preserve">of </w:t>
      </w:r>
      <w:r w:rsidR="00B55441" w:rsidRPr="00D81D5A">
        <w:t>compensati</w:t>
      </w:r>
      <w:r w:rsidR="00D06C7A" w:rsidRPr="00D81D5A">
        <w:t>on</w:t>
      </w:r>
      <w:r w:rsidR="002403A4" w:rsidRPr="00D81D5A">
        <w:t xml:space="preserve"> in an effort to prevent perceived abuses of the pension system</w:t>
      </w:r>
      <w:r w:rsidR="002337A2" w:rsidRPr="00D81D5A">
        <w:t>.</w:t>
      </w:r>
      <w:r w:rsidR="00144F11" w:rsidRPr="00D81D5A">
        <w:t xml:space="preserve">  Although this amendment applies to the </w:t>
      </w:r>
      <w:r w:rsidR="006B22B3" w:rsidRPr="00D81D5A">
        <w:t xml:space="preserve">calculation of the pensions of </w:t>
      </w:r>
      <w:r w:rsidR="00144F11" w:rsidRPr="00D81D5A">
        <w:t>all employees</w:t>
      </w:r>
      <w:r w:rsidR="006B22B3" w:rsidRPr="00D81D5A">
        <w:t xml:space="preserve"> covered by CERL</w:t>
      </w:r>
      <w:r w:rsidR="00144F11" w:rsidRPr="00D81D5A">
        <w:t>,</w:t>
      </w:r>
      <w:r w:rsidR="006B22B3" w:rsidRPr="00D81D5A">
        <w:t xml:space="preserve"> the parties agree that</w:t>
      </w:r>
      <w:r w:rsidR="00144F11" w:rsidRPr="00D81D5A">
        <w:t xml:space="preserve"> the issues raised in this </w:t>
      </w:r>
      <w:r w:rsidR="006B22B3" w:rsidRPr="00D81D5A">
        <w:t>appeal</w:t>
      </w:r>
      <w:r w:rsidR="00144F11" w:rsidRPr="00D81D5A">
        <w:t xml:space="preserve"> </w:t>
      </w:r>
      <w:r w:rsidR="006B22B3" w:rsidRPr="00D81D5A">
        <w:t xml:space="preserve">relate </w:t>
      </w:r>
      <w:r w:rsidR="00144F11" w:rsidRPr="00D81D5A">
        <w:t xml:space="preserve">only to </w:t>
      </w:r>
      <w:r w:rsidR="006B22B3" w:rsidRPr="00D81D5A">
        <w:t xml:space="preserve">the amendment’s </w:t>
      </w:r>
      <w:r w:rsidR="00DE2973" w:rsidRPr="00D81D5A">
        <w:t xml:space="preserve">impact on </w:t>
      </w:r>
      <w:r w:rsidR="006B22B3" w:rsidRPr="00D81D5A">
        <w:t xml:space="preserve">the </w:t>
      </w:r>
      <w:r w:rsidR="00144F11" w:rsidRPr="00D81D5A">
        <w:t>pensions of persons who were first employed by a county prior to</w:t>
      </w:r>
      <w:r w:rsidR="009C5680" w:rsidRPr="00D81D5A">
        <w:t xml:space="preserve"> the</w:t>
      </w:r>
      <w:r w:rsidR="00144F11" w:rsidRPr="00D81D5A">
        <w:t xml:space="preserve"> effective date</w:t>
      </w:r>
      <w:r w:rsidR="009C5680" w:rsidRPr="00D81D5A">
        <w:t xml:space="preserve"> of PEPRA</w:t>
      </w:r>
      <w:r w:rsidR="00DD4274" w:rsidRPr="00D81D5A">
        <w:t>, referred to as “legacy employees.”</w:t>
      </w:r>
    </w:p>
    <w:p w14:paraId="5C4FB870" w14:textId="4B0EFBBB" w:rsidR="004F10E2" w:rsidRPr="00D81D5A" w:rsidRDefault="00DE2973" w:rsidP="00D81D5A">
      <w:pPr>
        <w:ind w:firstLine="720"/>
      </w:pPr>
      <w:r w:rsidRPr="00D81D5A">
        <w:t xml:space="preserve">This challenge to </w:t>
      </w:r>
      <w:r w:rsidR="00C66816" w:rsidRPr="00D81D5A">
        <w:t xml:space="preserve">PEPRA’s </w:t>
      </w:r>
      <w:r w:rsidR="004D2DBF" w:rsidRPr="00D81D5A">
        <w:t xml:space="preserve">amendment </w:t>
      </w:r>
      <w:r w:rsidR="00C66816" w:rsidRPr="00D81D5A">
        <w:t xml:space="preserve">of CERL </w:t>
      </w:r>
      <w:r w:rsidR="004D2DBF" w:rsidRPr="00D81D5A">
        <w:t>raise</w:t>
      </w:r>
      <w:r w:rsidR="006101ED" w:rsidRPr="00D81D5A">
        <w:t>s</w:t>
      </w:r>
      <w:r w:rsidR="004D2DBF" w:rsidRPr="00D81D5A">
        <w:t xml:space="preserve"> two sets of issues.  </w:t>
      </w:r>
      <w:r w:rsidR="001A76CA" w:rsidRPr="00D81D5A">
        <w:t xml:space="preserve">First, </w:t>
      </w:r>
      <w:r w:rsidR="00DF3899" w:rsidRPr="00D81D5A">
        <w:t xml:space="preserve">the </w:t>
      </w:r>
      <w:r w:rsidR="001A76CA" w:rsidRPr="00D81D5A">
        <w:rPr>
          <w:szCs w:val="26"/>
          <w:shd w:val="clear" w:color="auto" w:fill="FFFFFF"/>
        </w:rPr>
        <w:t>Alameda County Deputy Sheriff</w:t>
      </w:r>
      <w:r w:rsidR="008304A1">
        <w:rPr>
          <w:szCs w:val="26"/>
          <w:shd w:val="clear" w:color="auto" w:fill="FFFFFF"/>
        </w:rPr>
        <w:t>’</w:t>
      </w:r>
      <w:r w:rsidR="001A76CA" w:rsidRPr="00D81D5A">
        <w:rPr>
          <w:szCs w:val="26"/>
          <w:shd w:val="clear" w:color="auto" w:fill="FFFFFF"/>
        </w:rPr>
        <w:t xml:space="preserve">s Association </w:t>
      </w:r>
      <w:r w:rsidR="00DD4274" w:rsidRPr="00D81D5A">
        <w:rPr>
          <w:szCs w:val="26"/>
          <w:shd w:val="clear" w:color="auto" w:fill="FFFFFF"/>
        </w:rPr>
        <w:t xml:space="preserve">(Association) </w:t>
      </w:r>
      <w:r w:rsidR="002403A4" w:rsidRPr="00D81D5A">
        <w:rPr>
          <w:szCs w:val="26"/>
          <w:shd w:val="clear" w:color="auto" w:fill="FFFFFF"/>
        </w:rPr>
        <w:t xml:space="preserve">and its </w:t>
      </w:r>
      <w:proofErr w:type="spellStart"/>
      <w:r w:rsidR="002403A4" w:rsidRPr="00D81D5A">
        <w:rPr>
          <w:szCs w:val="26"/>
          <w:shd w:val="clear" w:color="auto" w:fill="FFFFFF"/>
        </w:rPr>
        <w:t>coplaintiffs</w:t>
      </w:r>
      <w:proofErr w:type="spellEnd"/>
      <w:r w:rsidR="002403A4" w:rsidRPr="00D81D5A">
        <w:rPr>
          <w:szCs w:val="26"/>
          <w:shd w:val="clear" w:color="auto" w:fill="FFFFFF"/>
        </w:rPr>
        <w:t xml:space="preserve"> </w:t>
      </w:r>
      <w:r w:rsidR="001A76CA" w:rsidRPr="00D81D5A">
        <w:rPr>
          <w:szCs w:val="26"/>
          <w:shd w:val="clear" w:color="auto" w:fill="FFFFFF"/>
        </w:rPr>
        <w:t>(</w:t>
      </w:r>
      <w:r w:rsidR="00DD4274" w:rsidRPr="00D81D5A">
        <w:rPr>
          <w:szCs w:val="26"/>
          <w:shd w:val="clear" w:color="auto" w:fill="FFFFFF"/>
        </w:rPr>
        <w:t xml:space="preserve">collectively, </w:t>
      </w:r>
      <w:r w:rsidR="00C70E23" w:rsidRPr="00D81D5A">
        <w:rPr>
          <w:szCs w:val="26"/>
          <w:shd w:val="clear" w:color="auto" w:fill="FFFFFF"/>
        </w:rPr>
        <w:t>plaintiffs</w:t>
      </w:r>
      <w:r w:rsidR="001A76CA" w:rsidRPr="00D81D5A">
        <w:rPr>
          <w:szCs w:val="26"/>
          <w:shd w:val="clear" w:color="auto" w:fill="FFFFFF"/>
        </w:rPr>
        <w:t>)</w:t>
      </w:r>
      <w:r w:rsidR="005D433E" w:rsidRPr="00D81D5A">
        <w:t xml:space="preserve"> </w:t>
      </w:r>
      <w:r w:rsidR="001A76CA" w:rsidRPr="00D81D5A">
        <w:t>contend that employees</w:t>
      </w:r>
      <w:r w:rsidR="0009352C" w:rsidRPr="00D81D5A">
        <w:t xml:space="preserve"> in the three counties involved in this matter</w:t>
      </w:r>
      <w:r w:rsidR="001A76CA" w:rsidRPr="00D81D5A">
        <w:t xml:space="preserve"> have a contractual right to receive pension benefits calculated without regard to </w:t>
      </w:r>
      <w:r w:rsidR="00377008" w:rsidRPr="00D81D5A">
        <w:t>PEPRA’s changes</w:t>
      </w:r>
      <w:r w:rsidR="001A76CA" w:rsidRPr="00D81D5A">
        <w:t xml:space="preserve">, a right </w:t>
      </w:r>
      <w:r w:rsidR="00D06C7A" w:rsidRPr="00D81D5A">
        <w:t xml:space="preserve">based </w:t>
      </w:r>
      <w:r w:rsidR="00104F25" w:rsidRPr="00D81D5A">
        <w:t>either</w:t>
      </w:r>
      <w:r w:rsidR="00D73750" w:rsidRPr="00D81D5A">
        <w:t xml:space="preserve"> on</w:t>
      </w:r>
      <w:r w:rsidR="00104F25" w:rsidRPr="00D81D5A">
        <w:t xml:space="preserve"> </w:t>
      </w:r>
      <w:r w:rsidR="00D73750" w:rsidRPr="00D81D5A">
        <w:t xml:space="preserve">(1) </w:t>
      </w:r>
      <w:r w:rsidR="001A76CA" w:rsidRPr="00D81D5A">
        <w:t>agreements</w:t>
      </w:r>
      <w:r w:rsidR="0009352C" w:rsidRPr="00D81D5A">
        <w:t xml:space="preserve"> </w:t>
      </w:r>
      <w:r w:rsidR="00D73750" w:rsidRPr="00D81D5A">
        <w:t xml:space="preserve">in effect when </w:t>
      </w:r>
      <w:r w:rsidR="0009352C" w:rsidRPr="00D81D5A">
        <w:t>PEPRA</w:t>
      </w:r>
      <w:r w:rsidR="001A76CA" w:rsidRPr="00D81D5A">
        <w:t xml:space="preserve"> </w:t>
      </w:r>
      <w:r w:rsidR="00D73750" w:rsidRPr="00D81D5A">
        <w:t xml:space="preserve">was enacted </w:t>
      </w:r>
      <w:r w:rsidR="001A76CA" w:rsidRPr="00D81D5A">
        <w:t xml:space="preserve">or </w:t>
      </w:r>
      <w:r w:rsidR="00D73750" w:rsidRPr="00D81D5A">
        <w:t xml:space="preserve">(2) </w:t>
      </w:r>
      <w:r w:rsidR="0009352C" w:rsidRPr="00D81D5A">
        <w:t xml:space="preserve">application of </w:t>
      </w:r>
      <w:r w:rsidR="001A76CA" w:rsidRPr="00D81D5A">
        <w:t>the doctrine of equitable estoppel</w:t>
      </w:r>
      <w:r w:rsidR="005D433E" w:rsidRPr="00D81D5A">
        <w:t>.</w:t>
      </w:r>
      <w:r w:rsidR="00C70E23" w:rsidRPr="00D81D5A">
        <w:rPr>
          <w:rStyle w:val="FootnoteReference"/>
        </w:rPr>
        <w:footnoteReference w:id="3"/>
      </w:r>
      <w:r w:rsidR="005D433E" w:rsidRPr="00D81D5A">
        <w:t xml:space="preserve">  </w:t>
      </w:r>
      <w:r w:rsidR="005D433E" w:rsidRPr="00D81D5A">
        <w:lastRenderedPageBreak/>
        <w:t>Long p</w:t>
      </w:r>
      <w:r w:rsidR="004F10E2" w:rsidRPr="00D81D5A">
        <w:t xml:space="preserve">rior to the passage of PEPRA, employees in </w:t>
      </w:r>
      <w:r w:rsidR="0009352C" w:rsidRPr="00D81D5A">
        <w:t xml:space="preserve">each of </w:t>
      </w:r>
      <w:r w:rsidR="004F10E2" w:rsidRPr="00D81D5A">
        <w:t>the</w:t>
      </w:r>
      <w:r w:rsidR="0009352C" w:rsidRPr="00D81D5A">
        <w:t>se</w:t>
      </w:r>
      <w:r w:rsidR="004F10E2" w:rsidRPr="00D81D5A">
        <w:t xml:space="preserve"> counties had entered into</w:t>
      </w:r>
      <w:r w:rsidR="0009352C" w:rsidRPr="00D81D5A">
        <w:t xml:space="preserve"> litigation settlement </w:t>
      </w:r>
      <w:r w:rsidR="004F10E2" w:rsidRPr="00D81D5A">
        <w:t>agreements with their</w:t>
      </w:r>
      <w:r w:rsidR="0009352C" w:rsidRPr="00D81D5A">
        <w:t xml:space="preserve"> respective</w:t>
      </w:r>
      <w:r w:rsidR="004F10E2" w:rsidRPr="00D81D5A">
        <w:t xml:space="preserve"> retirement boards that specify the types of compensation</w:t>
      </w:r>
      <w:r w:rsidR="00BC1BC9" w:rsidRPr="00D81D5A">
        <w:t xml:space="preserve"> </w:t>
      </w:r>
      <w:r w:rsidR="004F10E2" w:rsidRPr="00D81D5A">
        <w:t xml:space="preserve">included in compensation earnable.  In some cases, the </w:t>
      </w:r>
      <w:r w:rsidR="009B1D29" w:rsidRPr="00D81D5A">
        <w:t>provision</w:t>
      </w:r>
      <w:r w:rsidR="00C66816" w:rsidRPr="00D81D5A">
        <w:t>s</w:t>
      </w:r>
      <w:r w:rsidR="004F10E2" w:rsidRPr="00D81D5A">
        <w:t xml:space="preserve"> added by PEPRA conflict with the terms of these agreements, </w:t>
      </w:r>
      <w:r w:rsidR="00D64F43" w:rsidRPr="00D81D5A">
        <w:t xml:space="preserve">excluding </w:t>
      </w:r>
      <w:r w:rsidR="005D433E" w:rsidRPr="00D81D5A">
        <w:t xml:space="preserve">or restricting </w:t>
      </w:r>
      <w:r w:rsidR="004F10E2" w:rsidRPr="00D81D5A">
        <w:t>items of com</w:t>
      </w:r>
      <w:r w:rsidR="00C66816" w:rsidRPr="00D81D5A">
        <w:t>p</w:t>
      </w:r>
      <w:r w:rsidR="004F10E2" w:rsidRPr="00D81D5A">
        <w:t>e</w:t>
      </w:r>
      <w:r w:rsidR="00C66816" w:rsidRPr="00D81D5A">
        <w:t>nsation</w:t>
      </w:r>
      <w:r w:rsidR="004F10E2" w:rsidRPr="00D81D5A">
        <w:t xml:space="preserve"> that the agreements </w:t>
      </w:r>
      <w:r w:rsidR="002403A4" w:rsidRPr="00D81D5A">
        <w:t xml:space="preserve">require to be </w:t>
      </w:r>
      <w:r w:rsidR="00DF3899" w:rsidRPr="00D81D5A">
        <w:t>include</w:t>
      </w:r>
      <w:r w:rsidR="002403A4" w:rsidRPr="00D81D5A">
        <w:t>d</w:t>
      </w:r>
      <w:r w:rsidR="005D433E" w:rsidRPr="00D81D5A">
        <w:t xml:space="preserve"> in compensation earnable</w:t>
      </w:r>
      <w:r w:rsidR="004F10E2" w:rsidRPr="00D81D5A">
        <w:t xml:space="preserve">.  </w:t>
      </w:r>
      <w:r w:rsidR="00CA57E6" w:rsidRPr="00D81D5A">
        <w:t>Plaintiffs</w:t>
      </w:r>
      <w:r w:rsidR="004F10E2" w:rsidRPr="00D81D5A">
        <w:rPr>
          <w:szCs w:val="26"/>
          <w:shd w:val="clear" w:color="auto" w:fill="FFFFFF"/>
        </w:rPr>
        <w:t xml:space="preserve"> </w:t>
      </w:r>
      <w:r w:rsidR="004F10E2" w:rsidRPr="00D81D5A">
        <w:t>argue that the</w:t>
      </w:r>
      <w:r w:rsidR="009B1D29" w:rsidRPr="00D81D5A">
        <w:t>se</w:t>
      </w:r>
      <w:r w:rsidR="004F10E2" w:rsidRPr="00D81D5A">
        <w:t xml:space="preserve"> agreements confer on existing employees the</w:t>
      </w:r>
      <w:r w:rsidR="008F78ED">
        <w:t xml:space="preserve"> contractual</w:t>
      </w:r>
      <w:r w:rsidR="004F10E2" w:rsidRPr="00D81D5A">
        <w:t xml:space="preserve"> right to continue to include these items of compensation in their pensionable </w:t>
      </w:r>
      <w:r w:rsidR="00E43E19" w:rsidRPr="00D81D5A">
        <w:t>compensation</w:t>
      </w:r>
      <w:r w:rsidR="004F10E2" w:rsidRPr="00D81D5A">
        <w:t xml:space="preserve">, notwithstanding their exclusion by </w:t>
      </w:r>
      <w:r w:rsidR="001157A1" w:rsidRPr="00D81D5A">
        <w:t xml:space="preserve">the provisions added by </w:t>
      </w:r>
      <w:r w:rsidR="004F10E2" w:rsidRPr="00D81D5A">
        <w:t xml:space="preserve">PEPRA, </w:t>
      </w:r>
      <w:r w:rsidR="0009352C" w:rsidRPr="00D81D5A">
        <w:t>or, alternatively, that the counties are equitably estopped from implementing the PEPRA amendment</w:t>
      </w:r>
      <w:r w:rsidR="00104F25" w:rsidRPr="00D81D5A">
        <w:t xml:space="preserve"> in a manner inconsistent with the agreements</w:t>
      </w:r>
      <w:r w:rsidR="0009352C" w:rsidRPr="00D81D5A">
        <w:t>.</w:t>
      </w:r>
      <w:r w:rsidR="004F10E2" w:rsidRPr="00D81D5A">
        <w:t xml:space="preserve">  </w:t>
      </w:r>
      <w:r w:rsidR="0009352C" w:rsidRPr="00D81D5A">
        <w:t xml:space="preserve">In turn, </w:t>
      </w:r>
      <w:r w:rsidR="0009352C" w:rsidRPr="00D81D5A">
        <w:rPr>
          <w:szCs w:val="26"/>
          <w:shd w:val="clear" w:color="auto" w:fill="FFFFFF"/>
        </w:rPr>
        <w:t xml:space="preserve">Central Contra Costa Sanitary District (District) and </w:t>
      </w:r>
      <w:r w:rsidR="0009352C" w:rsidRPr="00D81D5A">
        <w:t>the State of California (State)</w:t>
      </w:r>
      <w:r w:rsidR="009B1D29" w:rsidRPr="00D81D5A">
        <w:t xml:space="preserve"> </w:t>
      </w:r>
      <w:r w:rsidR="008E672F" w:rsidRPr="00D81D5A">
        <w:t xml:space="preserve">(collectively, defendants) </w:t>
      </w:r>
      <w:r w:rsidR="009B1D29" w:rsidRPr="00D81D5A">
        <w:t>respond</w:t>
      </w:r>
      <w:r w:rsidR="004F10E2" w:rsidRPr="00D81D5A">
        <w:t xml:space="preserve"> that the retirement boards are required to implement the provisions of CERL, including PEPRA’s </w:t>
      </w:r>
      <w:r w:rsidR="00D73750" w:rsidRPr="00D81D5A">
        <w:t>amendment</w:t>
      </w:r>
      <w:r w:rsidR="004F10E2" w:rsidRPr="00D81D5A">
        <w:t>, notwithstanding any contrary agreement</w:t>
      </w:r>
      <w:r w:rsidR="00E43E19" w:rsidRPr="00D81D5A">
        <w:t>s</w:t>
      </w:r>
      <w:r w:rsidR="004F10E2" w:rsidRPr="00D81D5A">
        <w:t xml:space="preserve"> they might have entered into with county employees.</w:t>
      </w:r>
      <w:r w:rsidR="008E672F" w:rsidRPr="00D81D5A">
        <w:rPr>
          <w:rStyle w:val="FootnoteReference"/>
        </w:rPr>
        <w:footnoteReference w:id="4"/>
      </w:r>
    </w:p>
    <w:p w14:paraId="7963865D" w14:textId="76D82DFD" w:rsidR="00D0204C" w:rsidRPr="00D81D5A" w:rsidRDefault="001A76CA" w:rsidP="00D81D5A">
      <w:pPr>
        <w:pStyle w:val="NormalIndent"/>
        <w:ind w:left="0" w:firstLine="720"/>
        <w:rPr>
          <w:szCs w:val="26"/>
        </w:rPr>
      </w:pPr>
      <w:r w:rsidRPr="00D81D5A">
        <w:lastRenderedPageBreak/>
        <w:t>Wholly apart from th</w:t>
      </w:r>
      <w:r w:rsidR="0009352C" w:rsidRPr="00D81D5A">
        <w:t>ese</w:t>
      </w:r>
      <w:r w:rsidR="001157A1" w:rsidRPr="00D81D5A">
        <w:t xml:space="preserve"> ordinary</w:t>
      </w:r>
      <w:r w:rsidR="0009352C" w:rsidRPr="00D81D5A">
        <w:t xml:space="preserve"> contract issues, </w:t>
      </w:r>
      <w:r w:rsidR="007C222A" w:rsidRPr="00D81D5A">
        <w:t>plaintiffs</w:t>
      </w:r>
      <w:r w:rsidR="0009352C" w:rsidRPr="00D81D5A">
        <w:t xml:space="preserve"> </w:t>
      </w:r>
      <w:r w:rsidR="00DE2973" w:rsidRPr="00D81D5A">
        <w:t xml:space="preserve">also </w:t>
      </w:r>
      <w:r w:rsidR="0009352C" w:rsidRPr="00D81D5A">
        <w:t>contend</w:t>
      </w:r>
      <w:r w:rsidR="00104F25" w:rsidRPr="00D81D5A">
        <w:t xml:space="preserve"> that</w:t>
      </w:r>
      <w:r w:rsidR="0009352C" w:rsidRPr="00D81D5A">
        <w:t xml:space="preserve"> county employees</w:t>
      </w:r>
      <w:r w:rsidR="00ED048F" w:rsidRPr="00D81D5A">
        <w:t xml:space="preserve"> who began their work prior to PEPRA’s enactment </w:t>
      </w:r>
      <w:r w:rsidR="0009352C" w:rsidRPr="00D81D5A">
        <w:t xml:space="preserve">have a </w:t>
      </w:r>
      <w:r w:rsidRPr="00D81D5A">
        <w:t xml:space="preserve">constitutional </w:t>
      </w:r>
      <w:r w:rsidR="0009352C" w:rsidRPr="00D81D5A">
        <w:t xml:space="preserve">right to receive pension benefits calculated according to the law as it existed prior to PEPRA.  </w:t>
      </w:r>
      <w:r w:rsidRPr="00D81D5A">
        <w:t>Since at least the middle of the last century</w:t>
      </w:r>
      <w:r w:rsidR="0039275B">
        <w:t>,</w:t>
      </w:r>
      <w:r w:rsidRPr="00D81D5A">
        <w:t xml:space="preserve"> our precedents have granted constitutional protection to public employee pension plans.  </w:t>
      </w:r>
      <w:r w:rsidR="00D0204C" w:rsidRPr="00D81D5A">
        <w:t>Under the “California Rule,” as it has come to be known (</w:t>
      </w:r>
      <w:r w:rsidR="00D0204C" w:rsidRPr="00D81D5A">
        <w:rPr>
          <w:i/>
        </w:rPr>
        <w:t>Cal Fire</w:t>
      </w:r>
      <w:r w:rsidR="00D0204C" w:rsidRPr="00D81D5A">
        <w:t xml:space="preserve">, </w:t>
      </w:r>
      <w:r w:rsidR="00D0204C" w:rsidRPr="00D81D5A">
        <w:rPr>
          <w:i/>
        </w:rPr>
        <w:t>supra</w:t>
      </w:r>
      <w:r w:rsidR="00D0204C" w:rsidRPr="00D81D5A">
        <w:t>, 6 Cal.5th at p. 971), the contract clause of the state Constitution requires any modification o</w:t>
      </w:r>
      <w:r w:rsidR="00DD4274" w:rsidRPr="00D81D5A">
        <w:t>f</w:t>
      </w:r>
      <w:r w:rsidR="00D0204C" w:rsidRPr="00D81D5A">
        <w:t xml:space="preserve"> public employee pension plans to satisfy a standard </w:t>
      </w:r>
      <w:r w:rsidR="0010537F" w:rsidRPr="00D81D5A">
        <w:t xml:space="preserve">established in a long line of California Supreme Court decisions, including most prominently </w:t>
      </w:r>
      <w:r w:rsidR="0010537F" w:rsidRPr="00D81D5A">
        <w:rPr>
          <w:i/>
        </w:rPr>
        <w:t xml:space="preserve">Allen v. City of Long Beach </w:t>
      </w:r>
      <w:r w:rsidR="0010537F" w:rsidRPr="00D81D5A">
        <w:t>(1955) 45 Cal.2d 128 (</w:t>
      </w:r>
      <w:r w:rsidR="0010537F" w:rsidRPr="00D81D5A">
        <w:rPr>
          <w:i/>
        </w:rPr>
        <w:t>Allen I</w:t>
      </w:r>
      <w:r w:rsidR="0010537F" w:rsidRPr="00D81D5A">
        <w:t xml:space="preserve">).  As explained below, in determining the constitutional validity of a modification to a public employee pension plan, </w:t>
      </w:r>
      <w:r w:rsidR="009C5FFA" w:rsidRPr="00D81D5A">
        <w:rPr>
          <w:i/>
          <w:szCs w:val="26"/>
        </w:rPr>
        <w:t xml:space="preserve">Allen I </w:t>
      </w:r>
      <w:r w:rsidR="009C5FFA" w:rsidRPr="00D81D5A">
        <w:rPr>
          <w:szCs w:val="26"/>
        </w:rPr>
        <w:t>requires a court first to determine whether the modification imposes disadvantages on affected employees, relative to the preexisting pension plan, and, if so, whether th</w:t>
      </w:r>
      <w:r w:rsidR="00DE2973" w:rsidRPr="00D81D5A">
        <w:rPr>
          <w:szCs w:val="26"/>
        </w:rPr>
        <w:t>os</w:t>
      </w:r>
      <w:r w:rsidR="009C5FFA" w:rsidRPr="00D81D5A">
        <w:rPr>
          <w:szCs w:val="26"/>
        </w:rPr>
        <w:t xml:space="preserve">e disadvantages are </w:t>
      </w:r>
      <w:r w:rsidR="005C46F5" w:rsidRPr="00D81D5A">
        <w:rPr>
          <w:szCs w:val="26"/>
        </w:rPr>
        <w:t xml:space="preserve">accompanied by comparable new </w:t>
      </w:r>
      <w:r w:rsidR="009C5FFA" w:rsidRPr="00D81D5A">
        <w:rPr>
          <w:szCs w:val="26"/>
        </w:rPr>
        <w:t>advantages.  Assuming the disadvantages are not offset</w:t>
      </w:r>
      <w:r w:rsidR="005C46F5" w:rsidRPr="00D81D5A">
        <w:rPr>
          <w:szCs w:val="26"/>
        </w:rPr>
        <w:t xml:space="preserve"> in this manner</w:t>
      </w:r>
      <w:r w:rsidR="009C5FFA" w:rsidRPr="00D81D5A">
        <w:rPr>
          <w:szCs w:val="26"/>
        </w:rPr>
        <w:t xml:space="preserve">, the court must then determine whether the agency’s purpose in making the changes was sufficient, for constitutional purposes, to justify an impairment of pension rights.  </w:t>
      </w:r>
      <w:r w:rsidR="00DD4274" w:rsidRPr="00D81D5A">
        <w:rPr>
          <w:szCs w:val="26"/>
        </w:rPr>
        <w:t>P</w:t>
      </w:r>
      <w:r w:rsidR="009C5FFA" w:rsidRPr="00D81D5A">
        <w:rPr>
          <w:szCs w:val="26"/>
        </w:rPr>
        <w:t xml:space="preserve">ublic employee pension plans may be modified </w:t>
      </w:r>
      <w:r w:rsidR="009C5FFA" w:rsidRPr="00D81D5A">
        <w:t>“</w:t>
      </w:r>
      <w:r w:rsidR="009C5FFA" w:rsidRPr="00D81D5A">
        <w:rPr>
          <w:rStyle w:val="ssrfcpassagedeactivated"/>
          <w:szCs w:val="26"/>
        </w:rPr>
        <w:t xml:space="preserve">for the purpose of keeping [the] </w:t>
      </w:r>
      <w:r w:rsidR="009C5FFA" w:rsidRPr="00D81D5A">
        <w:rPr>
          <w:rStyle w:val="sssh"/>
          <w:szCs w:val="26"/>
        </w:rPr>
        <w:t>pension</w:t>
      </w:r>
      <w:r w:rsidR="009C5FFA" w:rsidRPr="00D81D5A">
        <w:rPr>
          <w:rStyle w:val="ssrfcpassagedeactivated"/>
          <w:szCs w:val="26"/>
        </w:rPr>
        <w:t xml:space="preserve"> system flexible to permit adjustments in accord with changing conditions and at the same time maintain the integrity of the system,”</w:t>
      </w:r>
      <w:r w:rsidR="00DD4274" w:rsidRPr="00D81D5A">
        <w:rPr>
          <w:rStyle w:val="ssrfcpassagedeactivated"/>
          <w:szCs w:val="26"/>
        </w:rPr>
        <w:t xml:space="preserve"> but</w:t>
      </w:r>
      <w:r w:rsidR="009C5FFA" w:rsidRPr="00D81D5A">
        <w:rPr>
          <w:rStyle w:val="ssrfcpassagedeactivated"/>
          <w:szCs w:val="26"/>
        </w:rPr>
        <w:t xml:space="preserve"> to survive contract clause scrutiny</w:t>
      </w:r>
      <w:r w:rsidR="0039275B">
        <w:rPr>
          <w:rStyle w:val="ssrfcpassagedeactivated"/>
          <w:szCs w:val="26"/>
        </w:rPr>
        <w:t>,</w:t>
      </w:r>
      <w:r w:rsidR="009C5FFA" w:rsidRPr="00D81D5A">
        <w:rPr>
          <w:rStyle w:val="ssrfcpassagedeactivated"/>
          <w:szCs w:val="26"/>
        </w:rPr>
        <w:t xml:space="preserve"> such changes </w:t>
      </w:r>
      <w:r w:rsidR="009C5FFA" w:rsidRPr="00D81D5A">
        <w:rPr>
          <w:rStyle w:val="ssrfcpassagedeactivated"/>
          <w:szCs w:val="26"/>
        </w:rPr>
        <w:lastRenderedPageBreak/>
        <w:t xml:space="preserve">“must bear some material relation to the theory of a </w:t>
      </w:r>
      <w:r w:rsidR="009C5FFA" w:rsidRPr="00D81D5A">
        <w:rPr>
          <w:rStyle w:val="sssh"/>
          <w:szCs w:val="26"/>
        </w:rPr>
        <w:t>pension</w:t>
      </w:r>
      <w:r w:rsidR="009C5FFA" w:rsidRPr="00D81D5A">
        <w:rPr>
          <w:rStyle w:val="ssrfcpassagedeactivated"/>
          <w:szCs w:val="26"/>
        </w:rPr>
        <w:t xml:space="preserve"> system and its successful operation.”  (</w:t>
      </w:r>
      <w:r w:rsidR="009C5FFA" w:rsidRPr="00D81D5A">
        <w:rPr>
          <w:rStyle w:val="ssrfcpassagedeactivated"/>
          <w:i/>
          <w:szCs w:val="26"/>
        </w:rPr>
        <w:t>Id</w:t>
      </w:r>
      <w:r w:rsidR="009C5FFA" w:rsidRPr="00D81D5A">
        <w:rPr>
          <w:rStyle w:val="ssrfcpassagedeactivated"/>
          <w:szCs w:val="26"/>
        </w:rPr>
        <w:t>.</w:t>
      </w:r>
      <w:r w:rsidR="009C5FFA" w:rsidRPr="00D81D5A">
        <w:rPr>
          <w:rStyle w:val="ssrfcpassagedeactivated"/>
          <w:i/>
          <w:szCs w:val="26"/>
        </w:rPr>
        <w:t xml:space="preserve"> </w:t>
      </w:r>
      <w:r w:rsidR="009C5FFA" w:rsidRPr="00D81D5A">
        <w:t xml:space="preserve">at p. 131.)  Finally, assuming the changes occurred for a </w:t>
      </w:r>
      <w:r w:rsidR="00DD4274" w:rsidRPr="00D81D5A">
        <w:t xml:space="preserve">constitutionally permissible </w:t>
      </w:r>
      <w:r w:rsidR="009C5FFA" w:rsidRPr="00D81D5A">
        <w:t xml:space="preserve">purpose, </w:t>
      </w:r>
      <w:r w:rsidR="00377008" w:rsidRPr="00D81D5A">
        <w:t xml:space="preserve">we interpret </w:t>
      </w:r>
      <w:r w:rsidR="00377008" w:rsidRPr="00D81D5A">
        <w:rPr>
          <w:i/>
        </w:rPr>
        <w:t xml:space="preserve">Allen I </w:t>
      </w:r>
      <w:r w:rsidR="00377008" w:rsidRPr="00D81D5A">
        <w:t xml:space="preserve">to </w:t>
      </w:r>
      <w:r w:rsidR="005C46F5" w:rsidRPr="00D81D5A">
        <w:t xml:space="preserve">require </w:t>
      </w:r>
      <w:r w:rsidR="008F78ED">
        <w:t xml:space="preserve">the </w:t>
      </w:r>
      <w:r w:rsidR="0060242C">
        <w:t xml:space="preserve">modification to </w:t>
      </w:r>
      <w:r w:rsidR="008F78ED">
        <w:t>provi</w:t>
      </w:r>
      <w:r w:rsidR="0060242C">
        <w:t>de</w:t>
      </w:r>
      <w:r w:rsidR="008F78ED">
        <w:t xml:space="preserve"> </w:t>
      </w:r>
      <w:r w:rsidR="005C46F5" w:rsidRPr="00D81D5A">
        <w:t>comparable new advantages</w:t>
      </w:r>
      <w:r w:rsidR="0060242C">
        <w:t xml:space="preserve"> to public employees</w:t>
      </w:r>
      <w:r w:rsidR="005C46F5" w:rsidRPr="00D81D5A">
        <w:t xml:space="preserve"> </w:t>
      </w:r>
      <w:r w:rsidR="0060242C">
        <w:t xml:space="preserve">unless to do so would undermine, or would otherwise be inconsistent with, </w:t>
      </w:r>
      <w:r w:rsidR="00BE190E" w:rsidRPr="00D81D5A">
        <w:t>that proper purpose.</w:t>
      </w:r>
    </w:p>
    <w:p w14:paraId="7A268A47" w14:textId="77777777" w:rsidR="001A76CA" w:rsidRPr="00D81D5A" w:rsidRDefault="001A76CA" w:rsidP="00D81D5A">
      <w:pPr>
        <w:ind w:firstLine="720"/>
      </w:pPr>
      <w:r w:rsidRPr="00D81D5A">
        <w:t>Invoking th</w:t>
      </w:r>
      <w:r w:rsidR="00650F1E" w:rsidRPr="00D81D5A">
        <w:t>e contract clause</w:t>
      </w:r>
      <w:r w:rsidRPr="00D81D5A">
        <w:t xml:space="preserve">, </w:t>
      </w:r>
      <w:r w:rsidR="007C222A" w:rsidRPr="00D81D5A">
        <w:t>plaintiffs</w:t>
      </w:r>
      <w:r w:rsidRPr="00D81D5A">
        <w:rPr>
          <w:szCs w:val="26"/>
          <w:shd w:val="clear" w:color="auto" w:fill="FFFFFF"/>
        </w:rPr>
        <w:t xml:space="preserve"> argue </w:t>
      </w:r>
      <w:r w:rsidRPr="00D81D5A">
        <w:t>that persons employed by a county at the time of PEPRA’s enactment possessed implied contractual rights in the pre</w:t>
      </w:r>
      <w:r w:rsidR="00FF6B9E">
        <w:t>-</w:t>
      </w:r>
      <w:r w:rsidRPr="00D81D5A">
        <w:t xml:space="preserve">PEPRA terms of CERL that are protected against impairment.  </w:t>
      </w:r>
      <w:r w:rsidRPr="00D81D5A">
        <w:rPr>
          <w:szCs w:val="26"/>
          <w:shd w:val="clear" w:color="auto" w:fill="FFFFFF"/>
        </w:rPr>
        <w:t>Because PEPRA’s amendment has the practical effect of diminishing some employees’ pension benefits without granting any comp</w:t>
      </w:r>
      <w:r w:rsidR="005C46F5" w:rsidRPr="00D81D5A">
        <w:rPr>
          <w:szCs w:val="26"/>
          <w:shd w:val="clear" w:color="auto" w:fill="FFFFFF"/>
        </w:rPr>
        <w:t xml:space="preserve">arable </w:t>
      </w:r>
      <w:r w:rsidR="00DD4274" w:rsidRPr="00D81D5A">
        <w:rPr>
          <w:szCs w:val="26"/>
          <w:shd w:val="clear" w:color="auto" w:fill="FFFFFF"/>
        </w:rPr>
        <w:t xml:space="preserve">new </w:t>
      </w:r>
      <w:r w:rsidRPr="00D81D5A">
        <w:rPr>
          <w:szCs w:val="26"/>
          <w:shd w:val="clear" w:color="auto" w:fill="FFFFFF"/>
        </w:rPr>
        <w:t xml:space="preserve">advantages, </w:t>
      </w:r>
      <w:r w:rsidR="007C222A" w:rsidRPr="00D81D5A">
        <w:rPr>
          <w:szCs w:val="26"/>
          <w:shd w:val="clear" w:color="auto" w:fill="FFFFFF"/>
        </w:rPr>
        <w:t>plaintiffs</w:t>
      </w:r>
      <w:r w:rsidRPr="00D81D5A">
        <w:rPr>
          <w:szCs w:val="26"/>
          <w:shd w:val="clear" w:color="auto" w:fill="FFFFFF"/>
        </w:rPr>
        <w:t xml:space="preserve"> contend, its application to</w:t>
      </w:r>
      <w:r w:rsidR="00104F25" w:rsidRPr="00D81D5A">
        <w:rPr>
          <w:szCs w:val="26"/>
          <w:shd w:val="clear" w:color="auto" w:fill="FFFFFF"/>
        </w:rPr>
        <w:t xml:space="preserve"> the pensions of </w:t>
      </w:r>
      <w:r w:rsidRPr="00D81D5A">
        <w:rPr>
          <w:szCs w:val="26"/>
          <w:shd w:val="clear" w:color="auto" w:fill="FFFFFF"/>
        </w:rPr>
        <w:t>existing employee</w:t>
      </w:r>
      <w:r w:rsidR="00104F25" w:rsidRPr="00D81D5A">
        <w:rPr>
          <w:szCs w:val="26"/>
          <w:shd w:val="clear" w:color="auto" w:fill="FFFFFF"/>
        </w:rPr>
        <w:t>s</w:t>
      </w:r>
      <w:r w:rsidRPr="00D81D5A">
        <w:rPr>
          <w:szCs w:val="26"/>
          <w:shd w:val="clear" w:color="auto" w:fill="FFFFFF"/>
        </w:rPr>
        <w:t xml:space="preserve"> is precluded by the California Rule.</w:t>
      </w:r>
      <w:bookmarkStart w:id="5" w:name="_Hlk10722562"/>
      <w:r w:rsidRPr="00D81D5A">
        <w:t xml:space="preserve">  In turn, </w:t>
      </w:r>
      <w:r w:rsidR="00D0204C" w:rsidRPr="00D81D5A">
        <w:t>defendants</w:t>
      </w:r>
      <w:r w:rsidRPr="00D81D5A">
        <w:t xml:space="preserve"> </w:t>
      </w:r>
      <w:r w:rsidR="00D0204C" w:rsidRPr="00D81D5A">
        <w:t>respond that</w:t>
      </w:r>
      <w:r w:rsidR="00D73750" w:rsidRPr="00D81D5A">
        <w:t xml:space="preserve"> (1)</w:t>
      </w:r>
      <w:r w:rsidRPr="00D81D5A">
        <w:t xml:space="preserve"> PEPRA’s amendment did not trigger constitutional scrutiny because it</w:t>
      </w:r>
      <w:r w:rsidR="009F594A" w:rsidRPr="00D81D5A">
        <w:t>s provisions</w:t>
      </w:r>
      <w:r w:rsidRPr="00D81D5A">
        <w:t xml:space="preserve"> constituted a clarification</w:t>
      </w:r>
      <w:r w:rsidR="0009352C" w:rsidRPr="00D81D5A">
        <w:t>,</w:t>
      </w:r>
      <w:r w:rsidRPr="00D81D5A">
        <w:t xml:space="preserve"> rather than a modification</w:t>
      </w:r>
      <w:r w:rsidR="0009352C" w:rsidRPr="00D81D5A">
        <w:t xml:space="preserve"> of </w:t>
      </w:r>
      <w:r w:rsidR="009F594A" w:rsidRPr="00D81D5A">
        <w:t>CERL</w:t>
      </w:r>
      <w:r w:rsidR="0009352C" w:rsidRPr="00D81D5A">
        <w:t>,</w:t>
      </w:r>
      <w:r w:rsidRPr="00D81D5A">
        <w:t xml:space="preserve"> </w:t>
      </w:r>
      <w:r w:rsidR="00104F25" w:rsidRPr="00D81D5A">
        <w:t>and</w:t>
      </w:r>
      <w:r w:rsidRPr="00D81D5A">
        <w:t xml:space="preserve">, alternatively, </w:t>
      </w:r>
      <w:r w:rsidR="00D73750" w:rsidRPr="00D81D5A">
        <w:t xml:space="preserve">(2) </w:t>
      </w:r>
      <w:r w:rsidRPr="00D81D5A">
        <w:t>any changes met the requirements of the California Rule.</w:t>
      </w:r>
      <w:bookmarkEnd w:id="5"/>
    </w:p>
    <w:p w14:paraId="3393C699" w14:textId="77777777" w:rsidR="00930F73" w:rsidRPr="00D81D5A" w:rsidRDefault="00054B89" w:rsidP="00D81D5A">
      <w:pPr>
        <w:ind w:firstLine="720"/>
      </w:pPr>
      <w:bookmarkStart w:id="6" w:name="_Hlk11849458"/>
      <w:bookmarkStart w:id="7" w:name="_Hlk522020107"/>
      <w:r w:rsidRPr="00D81D5A">
        <w:t xml:space="preserve">With regard to the </w:t>
      </w:r>
      <w:r w:rsidR="008F78ED">
        <w:t xml:space="preserve">ordinary </w:t>
      </w:r>
      <w:r w:rsidRPr="00D81D5A">
        <w:t xml:space="preserve">contract issues, </w:t>
      </w:r>
      <w:r w:rsidR="00AB38FD" w:rsidRPr="00D81D5A">
        <w:t>we hold</w:t>
      </w:r>
      <w:r w:rsidR="00104F25" w:rsidRPr="00D81D5A">
        <w:t xml:space="preserve"> that county employees have no </w:t>
      </w:r>
      <w:r w:rsidRPr="00D81D5A">
        <w:t xml:space="preserve">express </w:t>
      </w:r>
      <w:r w:rsidR="00104F25" w:rsidRPr="00D81D5A">
        <w:t xml:space="preserve">contractual right to the calculation of their pension benefits in a manner inconsistent with the terms of the </w:t>
      </w:r>
      <w:r w:rsidR="00D61486" w:rsidRPr="00D81D5A">
        <w:t>PEPRA</w:t>
      </w:r>
      <w:r w:rsidR="009F594A" w:rsidRPr="00D81D5A">
        <w:t xml:space="preserve"> amendment</w:t>
      </w:r>
      <w:r w:rsidR="00D61486" w:rsidRPr="00D81D5A">
        <w:t>.</w:t>
      </w:r>
      <w:r w:rsidR="00930F73" w:rsidRPr="00D81D5A">
        <w:t xml:space="preserve"> </w:t>
      </w:r>
      <w:r w:rsidR="00D61486" w:rsidRPr="00D81D5A">
        <w:t xml:space="preserve"> </w:t>
      </w:r>
      <w:r w:rsidR="00FE4AEF" w:rsidRPr="00D81D5A">
        <w:t>Because</w:t>
      </w:r>
      <w:r w:rsidR="00DD4274" w:rsidRPr="00D81D5A">
        <w:t xml:space="preserve"> the</w:t>
      </w:r>
      <w:r w:rsidR="00FE4AEF" w:rsidRPr="00D81D5A">
        <w:t xml:space="preserve"> county retirement boards are required to implement CERL</w:t>
      </w:r>
      <w:r w:rsidR="00F16000" w:rsidRPr="00D81D5A">
        <w:t xml:space="preserve"> as enacted by the Legislature</w:t>
      </w:r>
      <w:r w:rsidR="00FE4AEF" w:rsidRPr="00D81D5A">
        <w:t xml:space="preserve">, </w:t>
      </w:r>
      <w:r w:rsidR="00DD4274" w:rsidRPr="00D81D5A">
        <w:t xml:space="preserve">the settlement </w:t>
      </w:r>
      <w:r w:rsidR="00FE4AEF" w:rsidRPr="00D81D5A">
        <w:t>agreements</w:t>
      </w:r>
      <w:r w:rsidR="00BE19A0" w:rsidRPr="00D81D5A">
        <w:t>, which are silent on this issue,</w:t>
      </w:r>
      <w:r w:rsidR="00FE4AEF" w:rsidRPr="00D81D5A">
        <w:t xml:space="preserve"> must be interpreted to permit the modification of </w:t>
      </w:r>
      <w:r w:rsidR="00BB2C34" w:rsidRPr="00D81D5A">
        <w:t xml:space="preserve">board </w:t>
      </w:r>
      <w:r w:rsidR="00FE4AEF" w:rsidRPr="00D81D5A">
        <w:t>policies to accommodate statutory changes</w:t>
      </w:r>
      <w:r w:rsidR="000370BE" w:rsidRPr="00D81D5A">
        <w:t xml:space="preserve"> to CERL</w:t>
      </w:r>
      <w:r w:rsidR="00FE4AEF" w:rsidRPr="00D81D5A">
        <w:t xml:space="preserve">.  </w:t>
      </w:r>
      <w:r w:rsidR="00104F25" w:rsidRPr="00D81D5A">
        <w:t xml:space="preserve">In addition, </w:t>
      </w:r>
      <w:r w:rsidR="00AB38FD" w:rsidRPr="00D81D5A">
        <w:t>we</w:t>
      </w:r>
      <w:r w:rsidR="00D64F43" w:rsidRPr="00D81D5A">
        <w:t xml:space="preserve"> conclude that </w:t>
      </w:r>
      <w:r w:rsidR="000370BE" w:rsidRPr="00D81D5A">
        <w:t xml:space="preserve">plaintiffs </w:t>
      </w:r>
      <w:r w:rsidR="00D64F43" w:rsidRPr="00D81D5A">
        <w:t xml:space="preserve">have </w:t>
      </w:r>
      <w:r w:rsidR="000370BE" w:rsidRPr="00D81D5A">
        <w:t>fail</w:t>
      </w:r>
      <w:r w:rsidR="00D64F43" w:rsidRPr="00D81D5A">
        <w:t>ed</w:t>
      </w:r>
      <w:r w:rsidR="000370BE" w:rsidRPr="00D81D5A">
        <w:t xml:space="preserve"> to demonstrate the elements necessary for </w:t>
      </w:r>
      <w:r w:rsidR="00C91810" w:rsidRPr="00D81D5A">
        <w:t>the invocation of equitable estoppel</w:t>
      </w:r>
      <w:r w:rsidR="00104F25" w:rsidRPr="00D81D5A">
        <w:t xml:space="preserve">.  </w:t>
      </w:r>
      <w:r w:rsidR="00D0204C" w:rsidRPr="00D81D5A">
        <w:lastRenderedPageBreak/>
        <w:t xml:space="preserve">In particular, </w:t>
      </w:r>
      <w:r w:rsidR="000370BE" w:rsidRPr="00D81D5A">
        <w:t xml:space="preserve">there is no evidence that </w:t>
      </w:r>
      <w:r w:rsidR="00D0204C" w:rsidRPr="00D81D5A">
        <w:t xml:space="preserve">the county boards made any representations </w:t>
      </w:r>
      <w:r w:rsidR="000370BE" w:rsidRPr="00D81D5A">
        <w:t xml:space="preserve">regarding </w:t>
      </w:r>
      <w:r w:rsidR="00D0204C" w:rsidRPr="00D81D5A">
        <w:t xml:space="preserve">the </w:t>
      </w:r>
      <w:r w:rsidR="00D64F43" w:rsidRPr="00D81D5A">
        <w:t xml:space="preserve">continued </w:t>
      </w:r>
      <w:r w:rsidR="008F78ED">
        <w:t>enforceability</w:t>
      </w:r>
      <w:r w:rsidR="00D64F43" w:rsidRPr="00D81D5A">
        <w:t xml:space="preserve"> of the terms of the settlement agreements </w:t>
      </w:r>
      <w:r w:rsidR="00D0204C" w:rsidRPr="00D81D5A">
        <w:t>in the e</w:t>
      </w:r>
      <w:r w:rsidRPr="00D81D5A">
        <w:t>vent</w:t>
      </w:r>
      <w:r w:rsidR="00D0204C" w:rsidRPr="00D81D5A">
        <w:t xml:space="preserve"> of </w:t>
      </w:r>
      <w:r w:rsidRPr="00D81D5A">
        <w:t xml:space="preserve">inconsistent </w:t>
      </w:r>
      <w:r w:rsidR="00D0204C" w:rsidRPr="00D81D5A">
        <w:t>legislative change</w:t>
      </w:r>
      <w:r w:rsidRPr="00D81D5A">
        <w:t>s to the controlling statutory provisions</w:t>
      </w:r>
      <w:r w:rsidR="00D0204C" w:rsidRPr="00D81D5A">
        <w:t>.</w:t>
      </w:r>
    </w:p>
    <w:p w14:paraId="47369859" w14:textId="14046225" w:rsidR="001A76CA" w:rsidRPr="00D81D5A" w:rsidRDefault="00054B89" w:rsidP="00D81D5A">
      <w:pPr>
        <w:ind w:firstLine="720"/>
      </w:pPr>
      <w:r w:rsidRPr="00D81D5A">
        <w:t xml:space="preserve">With regard to the constitutional question, </w:t>
      </w:r>
      <w:r w:rsidR="00AB38FD" w:rsidRPr="00D81D5A">
        <w:t>we</w:t>
      </w:r>
      <w:r w:rsidR="00D0204C" w:rsidRPr="00D81D5A">
        <w:t xml:space="preserve"> reject defendants’ </w:t>
      </w:r>
      <w:r w:rsidRPr="00D81D5A">
        <w:t xml:space="preserve">threshold </w:t>
      </w:r>
      <w:r w:rsidR="00D0204C" w:rsidRPr="00D81D5A">
        <w:t>argument that</w:t>
      </w:r>
      <w:r w:rsidRPr="00D81D5A">
        <w:t xml:space="preserve"> no constitutional issue is presented here because</w:t>
      </w:r>
      <w:r w:rsidR="00D0204C" w:rsidRPr="00D81D5A">
        <w:t xml:space="preserve"> </w:t>
      </w:r>
      <w:r w:rsidR="001A76CA" w:rsidRPr="00D81D5A">
        <w:t>the exclusions and limitations from compensation earnable imposed by PEPRA d</w:t>
      </w:r>
      <w:r w:rsidR="00D0204C" w:rsidRPr="00D81D5A">
        <w:t xml:space="preserve">id not constitute a change in the law governing CERL pension benefits.  Although the </w:t>
      </w:r>
      <w:r w:rsidR="00AB38FD" w:rsidRPr="00D81D5A">
        <w:t xml:space="preserve">inclusion in compensation earnable of the elements of compensation excluded by PEPRA </w:t>
      </w:r>
      <w:r w:rsidR="00D64F43" w:rsidRPr="00D81D5A">
        <w:t xml:space="preserve">had not been specifically addressed </w:t>
      </w:r>
      <w:r w:rsidR="000370BE" w:rsidRPr="00D81D5A">
        <w:t xml:space="preserve">when </w:t>
      </w:r>
      <w:r w:rsidR="00D0204C" w:rsidRPr="00D81D5A">
        <w:t xml:space="preserve">the </w:t>
      </w:r>
      <w:r w:rsidR="000370BE" w:rsidRPr="00D81D5A">
        <w:t>am</w:t>
      </w:r>
      <w:r w:rsidR="00D0204C" w:rsidRPr="00D81D5A">
        <w:t>endment</w:t>
      </w:r>
      <w:r w:rsidR="000370BE" w:rsidRPr="00D81D5A">
        <w:t xml:space="preserve"> was enacted</w:t>
      </w:r>
      <w:r w:rsidR="00D0204C" w:rsidRPr="00D81D5A">
        <w:t>,</w:t>
      </w:r>
      <w:r w:rsidRPr="00D81D5A">
        <w:t xml:space="preserve"> either in CERL itself or its judicial interpretation</w:t>
      </w:r>
      <w:r w:rsidR="00377008" w:rsidRPr="00D81D5A">
        <w:t>s</w:t>
      </w:r>
      <w:r w:rsidRPr="00D81D5A">
        <w:t>,</w:t>
      </w:r>
      <w:r w:rsidR="00D0204C" w:rsidRPr="00D81D5A">
        <w:t xml:space="preserve"> </w:t>
      </w:r>
      <w:r w:rsidR="006A5EAD" w:rsidRPr="00D81D5A">
        <w:t xml:space="preserve">the </w:t>
      </w:r>
      <w:r w:rsidR="000370BE" w:rsidRPr="00D81D5A">
        <w:t xml:space="preserve">more general law of compensation earnable </w:t>
      </w:r>
      <w:r w:rsidR="006A5EAD" w:rsidRPr="00D81D5A">
        <w:t xml:space="preserve">was sufficiently settled </w:t>
      </w:r>
      <w:r w:rsidRPr="00D81D5A">
        <w:t xml:space="preserve">prior to PEPRA </w:t>
      </w:r>
      <w:r w:rsidR="006A5EAD" w:rsidRPr="00D81D5A">
        <w:t xml:space="preserve">to justify treating the amendment as a change in the law for purposes of contract clause analysis.  </w:t>
      </w:r>
      <w:r w:rsidRPr="00D81D5A">
        <w:t xml:space="preserve">With respect to the merits of plaintiffs’ </w:t>
      </w:r>
      <w:r w:rsidR="006A5EAD" w:rsidRPr="00D81D5A">
        <w:t xml:space="preserve">constitutional </w:t>
      </w:r>
      <w:r w:rsidRPr="00D81D5A">
        <w:t xml:space="preserve">claim, however, </w:t>
      </w:r>
      <w:r w:rsidR="002622BB" w:rsidRPr="00D81D5A">
        <w:t>we hold</w:t>
      </w:r>
      <w:r w:rsidR="001A76CA" w:rsidRPr="00D81D5A">
        <w:t xml:space="preserve"> that the </w:t>
      </w:r>
      <w:r w:rsidR="00AC09C4">
        <w:t xml:space="preserve">challenged </w:t>
      </w:r>
      <w:r w:rsidR="001A76CA" w:rsidRPr="00D81D5A">
        <w:t xml:space="preserve">provisions added by PEPRA meet </w:t>
      </w:r>
      <w:r w:rsidR="006A5EAD" w:rsidRPr="00D81D5A">
        <w:t xml:space="preserve">contract clause </w:t>
      </w:r>
      <w:r w:rsidR="001A76CA" w:rsidRPr="00D81D5A">
        <w:t>requirements</w:t>
      </w:r>
      <w:r w:rsidR="009F6A29" w:rsidRPr="00D81D5A">
        <w:t>.  They were enacted for the constitutionally permiss</w:t>
      </w:r>
      <w:r w:rsidR="00BE19A0" w:rsidRPr="00D81D5A">
        <w:t>i</w:t>
      </w:r>
      <w:r w:rsidR="009F6A29" w:rsidRPr="00D81D5A">
        <w:t>ble purpose of</w:t>
      </w:r>
      <w:r w:rsidR="002622BB" w:rsidRPr="00D81D5A">
        <w:t xml:space="preserve"> </w:t>
      </w:r>
      <w:r w:rsidR="001A76CA" w:rsidRPr="00D81D5A">
        <w:t>clos</w:t>
      </w:r>
      <w:r w:rsidR="009F6A29" w:rsidRPr="00D81D5A">
        <w:t>ing</w:t>
      </w:r>
      <w:r w:rsidR="001A76CA" w:rsidRPr="00D81D5A">
        <w:t xml:space="preserve"> loopholes </w:t>
      </w:r>
      <w:r w:rsidR="006B0D98" w:rsidRPr="00D81D5A">
        <w:t>and</w:t>
      </w:r>
      <w:r w:rsidR="001A76CA" w:rsidRPr="00D81D5A">
        <w:t xml:space="preserve"> prevent</w:t>
      </w:r>
      <w:r w:rsidR="009F6A29" w:rsidRPr="00D81D5A">
        <w:t>ing</w:t>
      </w:r>
      <w:r w:rsidR="001A76CA" w:rsidRPr="00D81D5A">
        <w:t xml:space="preserve"> abuse</w:t>
      </w:r>
      <w:r w:rsidRPr="00D81D5A">
        <w:t xml:space="preserve"> of the pension system</w:t>
      </w:r>
      <w:r w:rsidR="001A76CA" w:rsidRPr="00D81D5A">
        <w:t xml:space="preserve"> </w:t>
      </w:r>
      <w:r w:rsidR="00104F25" w:rsidRPr="00D81D5A">
        <w:t xml:space="preserve">in a manner </w:t>
      </w:r>
      <w:r w:rsidR="001A76CA" w:rsidRPr="00D81D5A">
        <w:t xml:space="preserve">consistent with </w:t>
      </w:r>
      <w:r w:rsidR="007C222A" w:rsidRPr="00D81D5A">
        <w:t>CERL’s</w:t>
      </w:r>
      <w:r w:rsidRPr="00D81D5A">
        <w:t xml:space="preserve"> preexisting structure</w:t>
      </w:r>
      <w:r w:rsidR="001A76CA" w:rsidRPr="00D81D5A">
        <w:t xml:space="preserve">.  </w:t>
      </w:r>
      <w:r w:rsidR="009F6A29" w:rsidRPr="00D81D5A">
        <w:t>Further, i</w:t>
      </w:r>
      <w:r w:rsidR="001A76CA" w:rsidRPr="00D81D5A">
        <w:t xml:space="preserve">t would defeat this proper objective to </w:t>
      </w:r>
      <w:r w:rsidR="000370BE" w:rsidRPr="00D81D5A">
        <w:t xml:space="preserve">interpret the California Rule </w:t>
      </w:r>
      <w:r w:rsidR="00220DD4" w:rsidRPr="00D81D5A">
        <w:t>to</w:t>
      </w:r>
      <w:r w:rsidR="000370BE" w:rsidRPr="00D81D5A">
        <w:t xml:space="preserve"> </w:t>
      </w:r>
      <w:r w:rsidR="001A76CA" w:rsidRPr="00D81D5A">
        <w:t>requir</w:t>
      </w:r>
      <w:r w:rsidR="00220DD4" w:rsidRPr="00D81D5A">
        <w:t>e</w:t>
      </w:r>
      <w:r w:rsidR="001A76CA" w:rsidRPr="00D81D5A">
        <w:t xml:space="preserve"> county pension plans either to maintain these loopholes for existing employees or to </w:t>
      </w:r>
      <w:r w:rsidRPr="00D81D5A">
        <w:t>provide comparable new pension benefits that would perpetuate the</w:t>
      </w:r>
      <w:r w:rsidR="00151C79" w:rsidRPr="00D81D5A">
        <w:t xml:space="preserve"> unwarranted advantages provided by these loopholes.</w:t>
      </w:r>
    </w:p>
    <w:bookmarkEnd w:id="6"/>
    <w:bookmarkEnd w:id="7"/>
    <w:p w14:paraId="147F7416" w14:textId="77777777" w:rsidR="005749E6" w:rsidRPr="00D81D5A" w:rsidRDefault="00D30BFD" w:rsidP="00D81D5A">
      <w:pPr>
        <w:pStyle w:val="Heading1"/>
      </w:pPr>
      <w:r w:rsidRPr="00D81D5A">
        <w:lastRenderedPageBreak/>
        <w:t xml:space="preserve">I.  </w:t>
      </w:r>
      <w:r w:rsidR="00896F9D" w:rsidRPr="00D81D5A">
        <w:t>Background</w:t>
      </w:r>
    </w:p>
    <w:p w14:paraId="78953D17" w14:textId="77777777" w:rsidR="001704FB" w:rsidRPr="00D81D5A" w:rsidRDefault="00516493" w:rsidP="00D81D5A">
      <w:pPr>
        <w:ind w:firstLine="720"/>
      </w:pPr>
      <w:r w:rsidRPr="00D81D5A">
        <w:t>CERL e</w:t>
      </w:r>
      <w:r w:rsidR="00AA6F22" w:rsidRPr="00D81D5A">
        <w:t>stablish</w:t>
      </w:r>
      <w:r w:rsidRPr="00D81D5A">
        <w:t>es a</w:t>
      </w:r>
      <w:r w:rsidR="00E43E19" w:rsidRPr="00D81D5A">
        <w:t>n optional</w:t>
      </w:r>
      <w:r w:rsidR="00D64F43" w:rsidRPr="00D81D5A">
        <w:t xml:space="preserve"> employee</w:t>
      </w:r>
      <w:r w:rsidRPr="00D81D5A">
        <w:t xml:space="preserve"> pension system for county </w:t>
      </w:r>
      <w:r w:rsidR="00D64F43" w:rsidRPr="00D81D5A">
        <w:t>adoption</w:t>
      </w:r>
      <w:r w:rsidR="00E43E19" w:rsidRPr="00D81D5A">
        <w:t xml:space="preserve">. </w:t>
      </w:r>
      <w:r w:rsidR="00AA6F22" w:rsidRPr="00D81D5A">
        <w:t xml:space="preserve"> </w:t>
      </w:r>
      <w:r w:rsidR="00E43E19" w:rsidRPr="00D81D5A">
        <w:t>O</w:t>
      </w:r>
      <w:r w:rsidR="0058091A" w:rsidRPr="00D81D5A">
        <w:t xml:space="preserve">f </w:t>
      </w:r>
      <w:r w:rsidRPr="00D81D5A">
        <w:t>our state’s</w:t>
      </w:r>
      <w:r w:rsidR="0058091A" w:rsidRPr="00D81D5A">
        <w:t xml:space="preserve"> 58 counties, 20 have </w:t>
      </w:r>
      <w:r w:rsidRPr="00D81D5A">
        <w:t xml:space="preserve">chosen to </w:t>
      </w:r>
      <w:r w:rsidR="00BB2C34" w:rsidRPr="00D81D5A">
        <w:t>implement</w:t>
      </w:r>
      <w:r w:rsidR="0058091A" w:rsidRPr="00D81D5A">
        <w:t xml:space="preserve"> </w:t>
      </w:r>
      <w:r w:rsidR="006138C2" w:rsidRPr="00D81D5A">
        <w:t xml:space="preserve">their </w:t>
      </w:r>
      <w:r w:rsidR="0058091A" w:rsidRPr="00D81D5A">
        <w:t>pension plan</w:t>
      </w:r>
      <w:r w:rsidRPr="00D81D5A">
        <w:t>s</w:t>
      </w:r>
      <w:r w:rsidR="0058091A" w:rsidRPr="00D81D5A">
        <w:t xml:space="preserve"> under CERL.  (</w:t>
      </w:r>
      <w:r w:rsidR="0058091A" w:rsidRPr="00D81D5A">
        <w:rPr>
          <w:i/>
        </w:rPr>
        <w:t>Irvin v. Contra Costa County Employees’ Retirement Assn</w:t>
      </w:r>
      <w:r w:rsidR="009315A5">
        <w:rPr>
          <w:i/>
        </w:rPr>
        <w:t>.</w:t>
      </w:r>
      <w:r w:rsidR="0058091A" w:rsidRPr="00D81D5A">
        <w:rPr>
          <w:i/>
        </w:rPr>
        <w:t xml:space="preserve"> </w:t>
      </w:r>
      <w:r w:rsidR="0058091A" w:rsidRPr="00D81D5A">
        <w:t>(2017) 13</w:t>
      </w:r>
      <w:r w:rsidR="00960C8B">
        <w:t> </w:t>
      </w:r>
      <w:r w:rsidR="0058091A" w:rsidRPr="00D81D5A">
        <w:t xml:space="preserve">Cal.App.5th 162, 169, fn. 6.)  The remaining counties </w:t>
      </w:r>
      <w:r w:rsidR="001704FB" w:rsidRPr="00D81D5A">
        <w:t xml:space="preserve">either </w:t>
      </w:r>
      <w:r w:rsidR="0058091A" w:rsidRPr="00D81D5A">
        <w:t>operate an independent retirement system or contract with the state’s pension plan, the Public Employees’ Retirement System</w:t>
      </w:r>
      <w:r w:rsidR="006138C2" w:rsidRPr="00D81D5A">
        <w:t xml:space="preserve"> (</w:t>
      </w:r>
      <w:r w:rsidR="0058091A" w:rsidRPr="00D81D5A">
        <w:t>CalPERS</w:t>
      </w:r>
      <w:r w:rsidR="00FF6B9E">
        <w:t>;</w:t>
      </w:r>
      <w:r w:rsidR="003D3F29" w:rsidRPr="00D81D5A">
        <w:t xml:space="preserve"> § 20000 et seq.</w:t>
      </w:r>
      <w:r w:rsidR="0058091A" w:rsidRPr="00D81D5A">
        <w:t>).  (</w:t>
      </w:r>
      <w:r w:rsidR="0058091A" w:rsidRPr="00D81D5A">
        <w:rPr>
          <w:i/>
        </w:rPr>
        <w:t>I</w:t>
      </w:r>
      <w:r w:rsidR="003D3F29" w:rsidRPr="00D81D5A">
        <w:rPr>
          <w:i/>
        </w:rPr>
        <w:t>rvin</w:t>
      </w:r>
      <w:r w:rsidR="003D3F29" w:rsidRPr="00D81D5A">
        <w:t>, at p.</w:t>
      </w:r>
      <w:r w:rsidR="00DC65FC">
        <w:t> </w:t>
      </w:r>
      <w:r w:rsidR="003D3F29" w:rsidRPr="00D81D5A">
        <w:t xml:space="preserve">169, fn. 6.) </w:t>
      </w:r>
      <w:r w:rsidR="003D3F29" w:rsidRPr="00D81D5A">
        <w:rPr>
          <w:i/>
        </w:rPr>
        <w:t xml:space="preserve"> </w:t>
      </w:r>
      <w:r w:rsidR="00A81FF7" w:rsidRPr="00D81D5A">
        <w:t>Because the legislation at issue here applies only to CERL, t</w:t>
      </w:r>
      <w:r w:rsidRPr="00D81D5A">
        <w:t>he pension</w:t>
      </w:r>
      <w:r w:rsidR="00A81FF7" w:rsidRPr="00D81D5A">
        <w:t>s</w:t>
      </w:r>
      <w:r w:rsidRPr="00D81D5A">
        <w:t xml:space="preserve"> of </w:t>
      </w:r>
      <w:r w:rsidR="003D3F29" w:rsidRPr="00D81D5A">
        <w:t>persons employed by</w:t>
      </w:r>
      <w:r w:rsidR="00A81FF7" w:rsidRPr="00D81D5A">
        <w:t xml:space="preserve"> </w:t>
      </w:r>
      <w:r w:rsidRPr="00D81D5A">
        <w:t>counties</w:t>
      </w:r>
      <w:r w:rsidR="00C91810" w:rsidRPr="00D81D5A">
        <w:t xml:space="preserve"> that do not participate in CERL</w:t>
      </w:r>
      <w:r w:rsidRPr="00D81D5A">
        <w:t xml:space="preserve"> are </w:t>
      </w:r>
      <w:r w:rsidR="00C91810" w:rsidRPr="00D81D5A">
        <w:t xml:space="preserve">not </w:t>
      </w:r>
      <w:r w:rsidR="00F16000" w:rsidRPr="00D81D5A">
        <w:t xml:space="preserve">directly </w:t>
      </w:r>
      <w:r w:rsidRPr="00D81D5A">
        <w:t xml:space="preserve">affected by </w:t>
      </w:r>
      <w:r w:rsidR="00A81FF7" w:rsidRPr="00D81D5A">
        <w:t>our decision</w:t>
      </w:r>
      <w:r w:rsidRPr="00D81D5A">
        <w:t>.</w:t>
      </w:r>
      <w:r w:rsidR="00534321" w:rsidRPr="00D81D5A">
        <w:t xml:space="preserve">  </w:t>
      </w:r>
      <w:r w:rsidR="0058091A" w:rsidRPr="00D81D5A">
        <w:t xml:space="preserve">For </w:t>
      </w:r>
      <w:r w:rsidR="00F373F8" w:rsidRPr="00D81D5A">
        <w:t>convenience</w:t>
      </w:r>
      <w:r w:rsidR="0058091A" w:rsidRPr="00D81D5A">
        <w:t xml:space="preserve">, </w:t>
      </w:r>
      <w:r w:rsidR="00534321" w:rsidRPr="00D81D5A">
        <w:t>o</w:t>
      </w:r>
      <w:r w:rsidR="0058091A" w:rsidRPr="00D81D5A">
        <w:t xml:space="preserve">ur subsequent references to </w:t>
      </w:r>
      <w:r w:rsidRPr="00D81D5A">
        <w:t xml:space="preserve">“counties” and </w:t>
      </w:r>
      <w:r w:rsidR="0058091A" w:rsidRPr="00D81D5A">
        <w:t>“county employees” in this decision should be understood to refer only to counties that maintain a</w:t>
      </w:r>
      <w:r w:rsidR="003D1F9C" w:rsidRPr="00D81D5A">
        <w:t xml:space="preserve"> pension plan under</w:t>
      </w:r>
      <w:r w:rsidR="0058091A" w:rsidRPr="00D81D5A">
        <w:t xml:space="preserve"> CERL</w:t>
      </w:r>
      <w:r w:rsidRPr="00D81D5A">
        <w:t xml:space="preserve"> and </w:t>
      </w:r>
      <w:r w:rsidR="00DF3E97" w:rsidRPr="00D81D5A">
        <w:t>persons employed by</w:t>
      </w:r>
      <w:r w:rsidRPr="00D81D5A">
        <w:t xml:space="preserve"> those counties</w:t>
      </w:r>
      <w:r w:rsidR="0058091A" w:rsidRPr="00D81D5A">
        <w:t>.</w:t>
      </w:r>
    </w:p>
    <w:p w14:paraId="1055980A" w14:textId="5727EC54" w:rsidR="0058091A" w:rsidRPr="00D81D5A" w:rsidRDefault="00BA0E28" w:rsidP="00D81D5A">
      <w:pPr>
        <w:ind w:firstLine="720"/>
      </w:pPr>
      <w:r w:rsidRPr="00D81D5A">
        <w:t xml:space="preserve">In addition, </w:t>
      </w:r>
      <w:r w:rsidR="007C222A" w:rsidRPr="00D81D5A">
        <w:t xml:space="preserve">as noted above, </w:t>
      </w:r>
      <w:r w:rsidR="00C91810" w:rsidRPr="00D81D5A">
        <w:t xml:space="preserve">the arguments raised by the </w:t>
      </w:r>
      <w:r w:rsidR="007C222A" w:rsidRPr="00D81D5A">
        <w:t>parties</w:t>
      </w:r>
      <w:r w:rsidR="00C91810" w:rsidRPr="00D81D5A">
        <w:t xml:space="preserve"> apply only to </w:t>
      </w:r>
      <w:r w:rsidR="00F16000" w:rsidRPr="00D81D5A">
        <w:t xml:space="preserve">county employees </w:t>
      </w:r>
      <w:r w:rsidR="00C91810" w:rsidRPr="00D81D5A">
        <w:t xml:space="preserve">who were employed </w:t>
      </w:r>
      <w:r w:rsidR="00F16000" w:rsidRPr="00D81D5A">
        <w:t>prior t</w:t>
      </w:r>
      <w:r w:rsidR="00C91810" w:rsidRPr="00D81D5A">
        <w:t xml:space="preserve">o PEPRA’s effective date.  </w:t>
      </w:r>
      <w:r w:rsidRPr="00D81D5A">
        <w:t xml:space="preserve">PEPRA made </w:t>
      </w:r>
      <w:r w:rsidR="00C91810" w:rsidRPr="00D81D5A">
        <w:t xml:space="preserve">substantial </w:t>
      </w:r>
      <w:r w:rsidRPr="00D81D5A">
        <w:t xml:space="preserve">changes in the </w:t>
      </w:r>
      <w:r w:rsidR="00DF3E97" w:rsidRPr="00D81D5A">
        <w:t xml:space="preserve">law applicable to the </w:t>
      </w:r>
      <w:r w:rsidRPr="00D81D5A">
        <w:t>pension</w:t>
      </w:r>
      <w:r w:rsidR="00DF3E97" w:rsidRPr="00D81D5A">
        <w:t>s</w:t>
      </w:r>
      <w:r w:rsidRPr="00D81D5A">
        <w:t xml:space="preserve"> of </w:t>
      </w:r>
      <w:r w:rsidR="00F16000" w:rsidRPr="00D81D5A">
        <w:t>p</w:t>
      </w:r>
      <w:r w:rsidRPr="00D81D5A">
        <w:t>ublic employees hired after its effective date</w:t>
      </w:r>
      <w:r w:rsidR="001704FB" w:rsidRPr="00D81D5A">
        <w:t xml:space="preserve"> </w:t>
      </w:r>
      <w:r w:rsidRPr="00D81D5A">
        <w:t xml:space="preserve">that are not applicable to </w:t>
      </w:r>
      <w:r w:rsidR="00A81FF7" w:rsidRPr="00D81D5A">
        <w:t xml:space="preserve">the pensions of </w:t>
      </w:r>
      <w:r w:rsidR="00DF3E97" w:rsidRPr="00D81D5A">
        <w:t xml:space="preserve">legacy </w:t>
      </w:r>
      <w:r w:rsidR="001704FB" w:rsidRPr="00D81D5A">
        <w:t>public employees</w:t>
      </w:r>
      <w:r w:rsidR="00C91810" w:rsidRPr="00D81D5A">
        <w:t xml:space="preserve">, </w:t>
      </w:r>
      <w:r w:rsidR="006B0D98" w:rsidRPr="00D81D5A">
        <w:t>but</w:t>
      </w:r>
      <w:r w:rsidR="00C91810" w:rsidRPr="00D81D5A">
        <w:t xml:space="preserve"> </w:t>
      </w:r>
      <w:r w:rsidR="006B0D98" w:rsidRPr="00D81D5A">
        <w:t xml:space="preserve">none of </w:t>
      </w:r>
      <w:r w:rsidR="00C91810" w:rsidRPr="00D81D5A">
        <w:t>th</w:t>
      </w:r>
      <w:r w:rsidR="00DF3E97" w:rsidRPr="00D81D5A">
        <w:t>o</w:t>
      </w:r>
      <w:r w:rsidR="00C91810" w:rsidRPr="00D81D5A">
        <w:t xml:space="preserve">se changes </w:t>
      </w:r>
      <w:r w:rsidR="00581BB6" w:rsidRPr="00D81D5A">
        <w:t>is</w:t>
      </w:r>
      <w:r w:rsidR="00C91810" w:rsidRPr="00D81D5A">
        <w:t xml:space="preserve"> </w:t>
      </w:r>
      <w:r w:rsidR="00DF3E97" w:rsidRPr="00D81D5A">
        <w:t xml:space="preserve">at issue </w:t>
      </w:r>
      <w:r w:rsidR="00C91810" w:rsidRPr="00D81D5A">
        <w:t>here</w:t>
      </w:r>
      <w:r w:rsidR="001704FB" w:rsidRPr="00D81D5A">
        <w:t xml:space="preserve">.  </w:t>
      </w:r>
      <w:r w:rsidR="00534321" w:rsidRPr="00D81D5A">
        <w:t>Again for convenience, u</w:t>
      </w:r>
      <w:r w:rsidR="001704FB" w:rsidRPr="00D81D5A">
        <w:t xml:space="preserve">nless stated otherwise, references to </w:t>
      </w:r>
      <w:r w:rsidR="00E042C9" w:rsidRPr="00D81D5A">
        <w:t>“</w:t>
      </w:r>
      <w:r w:rsidR="001704FB" w:rsidRPr="00D81D5A">
        <w:t>county employees</w:t>
      </w:r>
      <w:r w:rsidR="00E042C9" w:rsidRPr="00D81D5A">
        <w:t>”</w:t>
      </w:r>
      <w:r w:rsidR="001704FB" w:rsidRPr="00D81D5A">
        <w:t xml:space="preserve"> in the remainder of this decision </w:t>
      </w:r>
      <w:r w:rsidR="00E042C9" w:rsidRPr="00D81D5A">
        <w:t xml:space="preserve">include </w:t>
      </w:r>
      <w:r w:rsidR="001704FB" w:rsidRPr="00D81D5A">
        <w:t>only persons who were</w:t>
      </w:r>
      <w:r w:rsidR="00F85D7B" w:rsidRPr="00D81D5A">
        <w:t xml:space="preserve"> first</w:t>
      </w:r>
      <w:r w:rsidR="001704FB" w:rsidRPr="00D81D5A">
        <w:t xml:space="preserve"> employe</w:t>
      </w:r>
      <w:r w:rsidR="00F16000" w:rsidRPr="00D81D5A">
        <w:t>d</w:t>
      </w:r>
      <w:r w:rsidR="00057CF5">
        <w:t xml:space="preserve"> by a county</w:t>
      </w:r>
      <w:r w:rsidR="001704FB" w:rsidRPr="00D81D5A">
        <w:t xml:space="preserve"> </w:t>
      </w:r>
      <w:r w:rsidR="00F16000" w:rsidRPr="00D81D5A">
        <w:t>prior t</w:t>
      </w:r>
      <w:r w:rsidR="001704FB" w:rsidRPr="00D81D5A">
        <w:t xml:space="preserve">o PEPRA’s effective date.  Similarly, our description of the provisions of CERL </w:t>
      </w:r>
      <w:r w:rsidR="00DF3E97" w:rsidRPr="00D81D5A">
        <w:t xml:space="preserve">addresses only </w:t>
      </w:r>
      <w:r w:rsidR="00A81FF7" w:rsidRPr="00D81D5A">
        <w:t xml:space="preserve">those </w:t>
      </w:r>
      <w:r w:rsidR="001704FB" w:rsidRPr="00D81D5A">
        <w:t xml:space="preserve">provisions applicable to </w:t>
      </w:r>
      <w:r w:rsidR="00A81FF7" w:rsidRPr="00D81D5A">
        <w:t xml:space="preserve">such legacy employees.  </w:t>
      </w:r>
      <w:r w:rsidR="006138C2" w:rsidRPr="00D81D5A">
        <w:t>Employees hired p</w:t>
      </w:r>
      <w:r w:rsidR="00A81FF7" w:rsidRPr="00D81D5A">
        <w:t>ost-PEPRA</w:t>
      </w:r>
      <w:r w:rsidR="001704FB" w:rsidRPr="00D81D5A">
        <w:t xml:space="preserve"> </w:t>
      </w:r>
      <w:r w:rsidR="00E042C9" w:rsidRPr="00D81D5A">
        <w:t xml:space="preserve">are often </w:t>
      </w:r>
      <w:r w:rsidR="001704FB" w:rsidRPr="00D81D5A">
        <w:t xml:space="preserve">subject to </w:t>
      </w:r>
      <w:r w:rsidR="0085631D" w:rsidRPr="00D81D5A">
        <w:t>alternate</w:t>
      </w:r>
      <w:r w:rsidR="001704FB" w:rsidRPr="00D81D5A">
        <w:t xml:space="preserve"> </w:t>
      </w:r>
      <w:r w:rsidR="0085631D" w:rsidRPr="00D81D5A">
        <w:t xml:space="preserve">statutory </w:t>
      </w:r>
      <w:r w:rsidR="001704FB" w:rsidRPr="00D81D5A">
        <w:t>provisions</w:t>
      </w:r>
      <w:r w:rsidR="00506931" w:rsidRPr="00D81D5A">
        <w:t xml:space="preserve">, and, as a general matter, we </w:t>
      </w:r>
      <w:r w:rsidR="00534321" w:rsidRPr="00D81D5A">
        <w:t>do</w:t>
      </w:r>
      <w:r w:rsidR="00506931" w:rsidRPr="00D81D5A">
        <w:t xml:space="preserve"> not a</w:t>
      </w:r>
      <w:r w:rsidR="00534321" w:rsidRPr="00D81D5A">
        <w:t>ddress those provisions</w:t>
      </w:r>
      <w:r w:rsidR="001704FB" w:rsidRPr="00D81D5A">
        <w:t>.</w:t>
      </w:r>
    </w:p>
    <w:p w14:paraId="3EB674B3" w14:textId="77777777" w:rsidR="00866AA2" w:rsidRPr="00D81D5A" w:rsidRDefault="005764EB" w:rsidP="00D81D5A">
      <w:pPr>
        <w:pStyle w:val="Heading2"/>
      </w:pPr>
      <w:r w:rsidRPr="00D81D5A">
        <w:lastRenderedPageBreak/>
        <w:t>A.</w:t>
      </w:r>
      <w:r w:rsidRPr="00D81D5A">
        <w:tab/>
      </w:r>
      <w:r w:rsidR="008D45CF" w:rsidRPr="00D81D5A">
        <w:t>County</w:t>
      </w:r>
      <w:r w:rsidRPr="00D81D5A">
        <w:t xml:space="preserve"> Employee Pension</w:t>
      </w:r>
      <w:r w:rsidR="00D55A17" w:rsidRPr="00D81D5A">
        <w:t>s</w:t>
      </w:r>
      <w:r w:rsidR="008D45CF" w:rsidRPr="00D81D5A">
        <w:t xml:space="preserve"> Under CERL</w:t>
      </w:r>
      <w:r w:rsidR="0058091A" w:rsidRPr="00D81D5A">
        <w:t xml:space="preserve"> </w:t>
      </w:r>
    </w:p>
    <w:p w14:paraId="78A7D249" w14:textId="6C12072A" w:rsidR="0028188B" w:rsidRPr="00D81D5A" w:rsidRDefault="003B1134" w:rsidP="00D81D5A">
      <w:pPr>
        <w:pStyle w:val="FootnoteText"/>
        <w:spacing w:line="400" w:lineRule="exact"/>
        <w:ind w:firstLine="720"/>
      </w:pPr>
      <w:r w:rsidRPr="00D81D5A">
        <w:t>CERL</w:t>
      </w:r>
      <w:r w:rsidR="006B0D98" w:rsidRPr="00D81D5A">
        <w:t xml:space="preserve"> </w:t>
      </w:r>
      <w:r w:rsidR="003D3F29" w:rsidRPr="00D81D5A">
        <w:t>contain</w:t>
      </w:r>
      <w:r w:rsidR="006B0D98" w:rsidRPr="00D81D5A">
        <w:t xml:space="preserve">s a </w:t>
      </w:r>
      <w:r w:rsidR="000839F6" w:rsidRPr="00D81D5A">
        <w:t xml:space="preserve">collection </w:t>
      </w:r>
      <w:r w:rsidR="006B0D98" w:rsidRPr="00D81D5A">
        <w:t>of</w:t>
      </w:r>
      <w:r w:rsidRPr="00D81D5A">
        <w:t xml:space="preserve"> alternative pension p</w:t>
      </w:r>
      <w:r w:rsidR="006B0D98" w:rsidRPr="00D81D5A">
        <w:t>rovisions</w:t>
      </w:r>
      <w:r w:rsidR="0028188B" w:rsidRPr="00D81D5A">
        <w:t xml:space="preserve"> tailored to individual counties and subsets of workers within those counties.</w:t>
      </w:r>
      <w:r w:rsidRPr="00D81D5A">
        <w:t xml:space="preserve">  (See, e.g., §§ 31486, 31487, 31496, 31499, 31511</w:t>
      </w:r>
      <w:r w:rsidR="00FF6B9E">
        <w:t>,</w:t>
      </w:r>
      <w:r w:rsidR="007B0F04" w:rsidRPr="00D81D5A">
        <w:t xml:space="preserve"> 31676.01</w:t>
      </w:r>
      <w:r w:rsidR="00427AF8">
        <w:t>–</w:t>
      </w:r>
      <w:r w:rsidR="007B0F04" w:rsidRPr="00D81D5A">
        <w:t>31676.19</w:t>
      </w:r>
      <w:r w:rsidRPr="00D81D5A">
        <w:t xml:space="preserve">.)  </w:t>
      </w:r>
      <w:r w:rsidR="006B0D98" w:rsidRPr="00D81D5A">
        <w:t>Notwithstanding th</w:t>
      </w:r>
      <w:r w:rsidR="003D3F29" w:rsidRPr="00D81D5A">
        <w:t>i</w:t>
      </w:r>
      <w:r w:rsidR="006B0D98" w:rsidRPr="00D81D5A">
        <w:t>s</w:t>
      </w:r>
      <w:r w:rsidR="003D3F29" w:rsidRPr="00D81D5A">
        <w:t xml:space="preserve"> tailoring</w:t>
      </w:r>
      <w:r w:rsidR="006B0D98" w:rsidRPr="00D81D5A">
        <w:t>, t</w:t>
      </w:r>
      <w:r w:rsidR="006138C2" w:rsidRPr="00D81D5A">
        <w:t xml:space="preserve">he </w:t>
      </w:r>
      <w:r w:rsidR="003D3F29" w:rsidRPr="00D81D5A">
        <w:t xml:space="preserve">county </w:t>
      </w:r>
      <w:r w:rsidR="006138C2" w:rsidRPr="00D81D5A">
        <w:t>plans are identical in their general approach, although t</w:t>
      </w:r>
      <w:r w:rsidR="00CB33C5" w:rsidRPr="00D81D5A">
        <w:t>he</w:t>
      </w:r>
      <w:r w:rsidR="00BD6FFB" w:rsidRPr="00D81D5A">
        <w:t xml:space="preserve"> </w:t>
      </w:r>
      <w:r w:rsidR="00CB33C5" w:rsidRPr="00D81D5A">
        <w:t>details in the following description</w:t>
      </w:r>
      <w:r w:rsidR="006B0D98" w:rsidRPr="00D81D5A">
        <w:t xml:space="preserve"> </w:t>
      </w:r>
      <w:r w:rsidR="00CB33C5" w:rsidRPr="00D81D5A">
        <w:t>vary among the</w:t>
      </w:r>
      <w:r w:rsidR="006138C2" w:rsidRPr="00D81D5A">
        <w:t>m</w:t>
      </w:r>
      <w:r w:rsidR="00CB33C5" w:rsidRPr="00D81D5A">
        <w:t>.</w:t>
      </w:r>
    </w:p>
    <w:p w14:paraId="593B43DD" w14:textId="2C1A5224" w:rsidR="001704FB" w:rsidRPr="00D81D5A" w:rsidRDefault="00B520BF" w:rsidP="00D81D5A">
      <w:pPr>
        <w:pStyle w:val="FootnoteText"/>
        <w:spacing w:line="400" w:lineRule="exact"/>
        <w:ind w:firstLine="720"/>
      </w:pPr>
      <w:r w:rsidRPr="00D81D5A">
        <w:t xml:space="preserve">Each county </w:t>
      </w:r>
      <w:r w:rsidR="00DF3E97" w:rsidRPr="00D81D5A">
        <w:t xml:space="preserve">maintains its own </w:t>
      </w:r>
      <w:r w:rsidRPr="00D81D5A">
        <w:t>pension plan</w:t>
      </w:r>
      <w:r w:rsidR="00DF3E97" w:rsidRPr="00D81D5A">
        <w:t>,</w:t>
      </w:r>
      <w:r w:rsidRPr="00D81D5A">
        <w:t xml:space="preserve"> administered by a retirement board whose </w:t>
      </w:r>
      <w:r w:rsidR="00DF3E97" w:rsidRPr="00D81D5A">
        <w:t xml:space="preserve">general </w:t>
      </w:r>
      <w:r w:rsidR="00CB33C5" w:rsidRPr="00D81D5A">
        <w:t>membership</w:t>
      </w:r>
      <w:r w:rsidRPr="00D81D5A">
        <w:t xml:space="preserve"> is d</w:t>
      </w:r>
      <w:r w:rsidR="00CB33C5" w:rsidRPr="00D81D5A">
        <w:t>ictat</w:t>
      </w:r>
      <w:r w:rsidRPr="00D81D5A">
        <w:t>ed by statute.  (§§ 31520, 31520.1</w:t>
      </w:r>
      <w:r w:rsidR="00FE7A91" w:rsidRPr="00D81D5A">
        <w:t xml:space="preserve">; see </w:t>
      </w:r>
      <w:proofErr w:type="spellStart"/>
      <w:r w:rsidR="00FE7A91" w:rsidRPr="00D81D5A">
        <w:rPr>
          <w:i/>
        </w:rPr>
        <w:t>Lexin</w:t>
      </w:r>
      <w:proofErr w:type="spellEnd"/>
      <w:r w:rsidR="00FE7A91" w:rsidRPr="00D81D5A">
        <w:rPr>
          <w:i/>
        </w:rPr>
        <w:t xml:space="preserve"> v. Superior Court </w:t>
      </w:r>
      <w:r w:rsidR="00FE7A91" w:rsidRPr="00D81D5A">
        <w:t>(2010) 47 Cal.4th 1050, 1095</w:t>
      </w:r>
      <w:r w:rsidR="00427AF8">
        <w:t>–</w:t>
      </w:r>
      <w:r w:rsidR="00FE7A91" w:rsidRPr="00D81D5A">
        <w:t>1096 [discussing the composition of retirement boards]</w:t>
      </w:r>
      <w:r w:rsidRPr="00D81D5A">
        <w:t xml:space="preserve">.)  </w:t>
      </w:r>
      <w:r w:rsidR="00E867DB" w:rsidRPr="00D81D5A">
        <w:t xml:space="preserve">Under </w:t>
      </w:r>
      <w:r w:rsidR="000839F6" w:rsidRPr="00D81D5A">
        <w:t>the California</w:t>
      </w:r>
      <w:r w:rsidR="00E867DB" w:rsidRPr="00D81D5A">
        <w:t xml:space="preserve"> </w:t>
      </w:r>
      <w:r w:rsidR="003D3F29" w:rsidRPr="00D81D5A">
        <w:t>C</w:t>
      </w:r>
      <w:r w:rsidR="00E867DB" w:rsidRPr="00D81D5A">
        <w:t xml:space="preserve">onstitution, </w:t>
      </w:r>
      <w:r w:rsidR="00DF3E97" w:rsidRPr="00D81D5A">
        <w:t>such</w:t>
      </w:r>
      <w:r w:rsidR="00E867DB" w:rsidRPr="00D81D5A">
        <w:t xml:space="preserve"> retirement board</w:t>
      </w:r>
      <w:r w:rsidR="00DF3E97" w:rsidRPr="00D81D5A">
        <w:t>s</w:t>
      </w:r>
      <w:r w:rsidR="00E867DB" w:rsidRPr="00D81D5A">
        <w:t xml:space="preserve"> </w:t>
      </w:r>
      <w:r w:rsidR="00E867DB" w:rsidRPr="00D81D5A">
        <w:rPr>
          <w:rStyle w:val="ssparacontent"/>
          <w:szCs w:val="26"/>
        </w:rPr>
        <w:t>ha</w:t>
      </w:r>
      <w:r w:rsidR="00DF3E97" w:rsidRPr="00D81D5A">
        <w:rPr>
          <w:rStyle w:val="ssparacontent"/>
          <w:szCs w:val="26"/>
        </w:rPr>
        <w:t>ve</w:t>
      </w:r>
      <w:r w:rsidR="00E867DB" w:rsidRPr="00D81D5A">
        <w:rPr>
          <w:rStyle w:val="ssparacontent"/>
          <w:szCs w:val="26"/>
        </w:rPr>
        <w:t xml:space="preserve"> “plenary authority and fiduciary responsibility for investment of moneys and administration of the system.”  (</w:t>
      </w:r>
      <w:r w:rsidR="00FF6B9E">
        <w:rPr>
          <w:rStyle w:val="ssparacontent"/>
          <w:szCs w:val="26"/>
        </w:rPr>
        <w:t>A</w:t>
      </w:r>
      <w:r w:rsidR="00E867DB" w:rsidRPr="00D81D5A">
        <w:rPr>
          <w:rStyle w:val="ssparacontent"/>
          <w:szCs w:val="26"/>
        </w:rPr>
        <w:t>rt. XVI, §17.)</w:t>
      </w:r>
      <w:r w:rsidR="00E867DB" w:rsidRPr="00D81D5A">
        <w:rPr>
          <w:rStyle w:val="ssparacontent"/>
          <w:rFonts w:cs="Helvetica"/>
          <w:szCs w:val="21"/>
        </w:rPr>
        <w:t xml:space="preserve">  </w:t>
      </w:r>
      <w:r w:rsidR="00196CEA" w:rsidRPr="00D81D5A">
        <w:t>Both th</w:t>
      </w:r>
      <w:r w:rsidR="00B148C1" w:rsidRPr="00D81D5A">
        <w:t>e</w:t>
      </w:r>
      <w:r w:rsidR="006738C2" w:rsidRPr="00D81D5A">
        <w:t xml:space="preserve"> county</w:t>
      </w:r>
      <w:r w:rsidR="00196CEA" w:rsidRPr="00D81D5A">
        <w:t xml:space="preserve"> and its</w:t>
      </w:r>
      <w:r w:rsidR="006738C2" w:rsidRPr="00D81D5A">
        <w:t xml:space="preserve"> employees must make regular contributions to the</w:t>
      </w:r>
      <w:r w:rsidR="00DF3E97" w:rsidRPr="00D81D5A">
        <w:t>ir</w:t>
      </w:r>
      <w:r w:rsidR="006738C2" w:rsidRPr="00D81D5A">
        <w:t xml:space="preserve"> </w:t>
      </w:r>
      <w:r w:rsidR="00B148C1" w:rsidRPr="00D81D5A">
        <w:t xml:space="preserve">plan’s </w:t>
      </w:r>
      <w:r w:rsidR="006738C2" w:rsidRPr="00D81D5A">
        <w:t>pension fund</w:t>
      </w:r>
      <w:r w:rsidR="001704FB" w:rsidRPr="00D81D5A">
        <w:t xml:space="preserve"> in amounts determined by the </w:t>
      </w:r>
      <w:r w:rsidR="00DF3E97" w:rsidRPr="00D81D5A">
        <w:t xml:space="preserve">county </w:t>
      </w:r>
      <w:r w:rsidR="00CB33C5" w:rsidRPr="00D81D5A">
        <w:t xml:space="preserve">board of supervisors, upon recommendation </w:t>
      </w:r>
      <w:r w:rsidR="008B01F4" w:rsidRPr="00D81D5A">
        <w:t>of</w:t>
      </w:r>
      <w:r w:rsidR="00CB33C5" w:rsidRPr="00D81D5A">
        <w:t xml:space="preserve"> the </w:t>
      </w:r>
      <w:r w:rsidR="001704FB" w:rsidRPr="00D81D5A">
        <w:t>retirement board</w:t>
      </w:r>
      <w:r w:rsidR="006738C2" w:rsidRPr="00D81D5A">
        <w:t>.  (§§ </w:t>
      </w:r>
      <w:r w:rsidR="009315A5">
        <w:t xml:space="preserve">31453, </w:t>
      </w:r>
      <w:r w:rsidR="006738C2" w:rsidRPr="00D81D5A">
        <w:t>31453.5,</w:t>
      </w:r>
      <w:r w:rsidR="00CB33C5" w:rsidRPr="00D81D5A">
        <w:t xml:space="preserve"> 31454,</w:t>
      </w:r>
      <w:r w:rsidR="006738C2" w:rsidRPr="00D81D5A">
        <w:t xml:space="preserve"> 31</w:t>
      </w:r>
      <w:r w:rsidR="00FA1AF4" w:rsidRPr="00D81D5A">
        <w:t>62</w:t>
      </w:r>
      <w:r w:rsidR="006738C2" w:rsidRPr="00D81D5A">
        <w:t>1.)</w:t>
      </w:r>
    </w:p>
    <w:p w14:paraId="51A74D2D" w14:textId="77777777" w:rsidR="003B1134" w:rsidRPr="00D81D5A" w:rsidRDefault="00D30560" w:rsidP="00D81D5A">
      <w:pPr>
        <w:pStyle w:val="FootnoteText"/>
        <w:spacing w:line="400" w:lineRule="exact"/>
        <w:ind w:firstLine="720"/>
      </w:pPr>
      <w:r w:rsidRPr="00D81D5A">
        <w:t>In general terms, a</w:t>
      </w:r>
      <w:r w:rsidR="006738C2" w:rsidRPr="00D81D5A">
        <w:t xml:space="preserve"> </w:t>
      </w:r>
      <w:r w:rsidR="00FA1AF4" w:rsidRPr="00D81D5A">
        <w:t>c</w:t>
      </w:r>
      <w:r w:rsidR="006738C2" w:rsidRPr="00D81D5A">
        <w:t>ounty employee become</w:t>
      </w:r>
      <w:r w:rsidR="00B148C1" w:rsidRPr="00D81D5A">
        <w:t>s</w:t>
      </w:r>
      <w:r w:rsidR="006738C2" w:rsidRPr="00D81D5A">
        <w:t xml:space="preserve"> eligible to re</w:t>
      </w:r>
      <w:r w:rsidR="007B0F04" w:rsidRPr="00D81D5A">
        <w:t>tire</w:t>
      </w:r>
      <w:r w:rsidR="006738C2" w:rsidRPr="00D81D5A">
        <w:t xml:space="preserve"> </w:t>
      </w:r>
      <w:r w:rsidR="00B148C1" w:rsidRPr="00D81D5A">
        <w:t>after</w:t>
      </w:r>
      <w:r w:rsidR="006738C2" w:rsidRPr="00D81D5A">
        <w:t xml:space="preserve"> he or she has worked for the county for at least ten years and has attained the age of 55</w:t>
      </w:r>
      <w:r w:rsidR="00E50ACF" w:rsidRPr="00D81D5A">
        <w:t xml:space="preserve">, although </w:t>
      </w:r>
      <w:r w:rsidR="00C860E9" w:rsidRPr="00D81D5A">
        <w:t xml:space="preserve">the </w:t>
      </w:r>
      <w:r w:rsidR="00E50ACF" w:rsidRPr="00D81D5A">
        <w:t>count</w:t>
      </w:r>
      <w:r w:rsidR="00C860E9" w:rsidRPr="00D81D5A">
        <w:t xml:space="preserve">y board of supervisors </w:t>
      </w:r>
      <w:r w:rsidR="00E50ACF" w:rsidRPr="00D81D5A">
        <w:t>ha</w:t>
      </w:r>
      <w:r w:rsidR="00C860E9" w:rsidRPr="00D81D5A">
        <w:t>s</w:t>
      </w:r>
      <w:r w:rsidR="00E50ACF" w:rsidRPr="00D81D5A">
        <w:t xml:space="preserve"> the discretion to lower the minimum age of retirement to 50 years</w:t>
      </w:r>
      <w:r w:rsidR="006738C2" w:rsidRPr="00D81D5A">
        <w:t>.  (§</w:t>
      </w:r>
      <w:r w:rsidR="00BB79B2" w:rsidRPr="00D81D5A">
        <w:t> </w:t>
      </w:r>
      <w:r w:rsidR="006738C2" w:rsidRPr="00D81D5A">
        <w:t>316</w:t>
      </w:r>
      <w:r w:rsidR="00FA1AF4" w:rsidRPr="00D81D5A">
        <w:t>72</w:t>
      </w:r>
      <w:r w:rsidR="00C860E9" w:rsidRPr="00D81D5A">
        <w:t xml:space="preserve">, </w:t>
      </w:r>
      <w:proofErr w:type="spellStart"/>
      <w:r w:rsidR="00C860E9" w:rsidRPr="00D81D5A">
        <w:t>subd</w:t>
      </w:r>
      <w:proofErr w:type="spellEnd"/>
      <w:r w:rsidR="00C860E9" w:rsidRPr="00D81D5A">
        <w:t>. (a)</w:t>
      </w:r>
      <w:r w:rsidR="006738C2" w:rsidRPr="00D81D5A">
        <w:t xml:space="preserve">.)  Once vested county employees reach the minimum retirement age, they </w:t>
      </w:r>
      <w:r w:rsidR="007B0F04" w:rsidRPr="00D81D5A">
        <w:t xml:space="preserve">may elect </w:t>
      </w:r>
      <w:r w:rsidR="007B0F04" w:rsidRPr="00D81D5A">
        <w:lastRenderedPageBreak/>
        <w:t>to retire and</w:t>
      </w:r>
      <w:r w:rsidR="006738C2" w:rsidRPr="00D81D5A">
        <w:t xml:space="preserve"> begin receiving monthly retirement benefits.</w:t>
      </w:r>
      <w:r w:rsidR="006738C2" w:rsidRPr="00D81D5A">
        <w:rPr>
          <w:rStyle w:val="FootnoteReference"/>
          <w:shd w:val="clear" w:color="auto" w:fill="FFFFFF"/>
        </w:rPr>
        <w:footnoteReference w:id="5"/>
      </w:r>
      <w:r w:rsidR="006738C2" w:rsidRPr="00D81D5A">
        <w:t xml:space="preserve">  </w:t>
      </w:r>
      <w:r w:rsidR="00FF6B9E" w:rsidRPr="00D81D5A">
        <w:t xml:space="preserve">(§ 31672, </w:t>
      </w:r>
      <w:proofErr w:type="spellStart"/>
      <w:r w:rsidR="00FF6B9E" w:rsidRPr="00D81D5A">
        <w:t>subd</w:t>
      </w:r>
      <w:proofErr w:type="spellEnd"/>
      <w:r w:rsidR="00FF6B9E" w:rsidRPr="00D81D5A">
        <w:t>. (a).)</w:t>
      </w:r>
    </w:p>
    <w:p w14:paraId="1A4893A9" w14:textId="625B9B00" w:rsidR="00D616F9" w:rsidRPr="00D81D5A" w:rsidRDefault="00FA1AF4" w:rsidP="00D81D5A">
      <w:pPr>
        <w:pStyle w:val="FootnoteText"/>
        <w:spacing w:line="400" w:lineRule="exact"/>
        <w:ind w:firstLine="720"/>
      </w:pPr>
      <w:r w:rsidRPr="00D81D5A">
        <w:t xml:space="preserve">CERL contains a series of </w:t>
      </w:r>
      <w:r w:rsidR="00D85428" w:rsidRPr="00D81D5A">
        <w:t xml:space="preserve">statutory </w:t>
      </w:r>
      <w:r w:rsidRPr="00D81D5A">
        <w:t xml:space="preserve">benefit schedules that may be adopted by a </w:t>
      </w:r>
      <w:r w:rsidR="00BB2C34" w:rsidRPr="00D81D5A">
        <w:t xml:space="preserve">participating </w:t>
      </w:r>
      <w:r w:rsidRPr="00D81D5A">
        <w:t xml:space="preserve">county.  </w:t>
      </w:r>
      <w:r w:rsidR="00B071E9" w:rsidRPr="00D81D5A">
        <w:t>(§§ 31676.01</w:t>
      </w:r>
      <w:r w:rsidR="00427AF8">
        <w:t>–</w:t>
      </w:r>
      <w:r w:rsidR="00B071E9" w:rsidRPr="00D81D5A">
        <w:t xml:space="preserve">31676.19.)  </w:t>
      </w:r>
      <w:r w:rsidR="00A12BB5" w:rsidRPr="00D81D5A">
        <w:t xml:space="preserve">These </w:t>
      </w:r>
      <w:r w:rsidR="00B071E9" w:rsidRPr="00D81D5A">
        <w:t>schedule</w:t>
      </w:r>
      <w:r w:rsidR="00A12BB5" w:rsidRPr="00D81D5A">
        <w:t>s</w:t>
      </w:r>
      <w:r w:rsidR="00B071E9" w:rsidRPr="00D81D5A">
        <w:t xml:space="preserve"> </w:t>
      </w:r>
      <w:r w:rsidR="00A12BB5" w:rsidRPr="00D81D5A">
        <w:t xml:space="preserve">determine the amount of </w:t>
      </w:r>
      <w:r w:rsidR="00B071E9" w:rsidRPr="00D81D5A">
        <w:t>a retiring employee’s pension benefit</w:t>
      </w:r>
      <w:r w:rsidR="00506931" w:rsidRPr="00D81D5A">
        <w:t>, which is calculated</w:t>
      </w:r>
      <w:r w:rsidR="00B071E9" w:rsidRPr="00D81D5A">
        <w:t xml:space="preserve"> on the basis of</w:t>
      </w:r>
      <w:r w:rsidR="000F2068" w:rsidRPr="00D81D5A">
        <w:t xml:space="preserve"> </w:t>
      </w:r>
      <w:r w:rsidR="00E47910" w:rsidRPr="00D81D5A">
        <w:t>the</w:t>
      </w:r>
      <w:r w:rsidR="004237FD" w:rsidRPr="00D81D5A">
        <w:t xml:space="preserve"> </w:t>
      </w:r>
      <w:r w:rsidR="00506931" w:rsidRPr="00D81D5A">
        <w:t>employee</w:t>
      </w:r>
      <w:r w:rsidR="00A12BB5" w:rsidRPr="00D81D5A">
        <w:t>’s</w:t>
      </w:r>
      <w:r w:rsidR="00E47910" w:rsidRPr="00D81D5A">
        <w:t xml:space="preserve"> </w:t>
      </w:r>
      <w:r w:rsidR="00D85428" w:rsidRPr="00D81D5A">
        <w:t xml:space="preserve">(1) </w:t>
      </w:r>
      <w:r w:rsidR="00D83BE0" w:rsidRPr="00D81D5A">
        <w:t xml:space="preserve">age at retirement, </w:t>
      </w:r>
      <w:r w:rsidR="000F2068" w:rsidRPr="00D81D5A">
        <w:t xml:space="preserve">(2) </w:t>
      </w:r>
      <w:r w:rsidR="00D83BE0" w:rsidRPr="00D81D5A">
        <w:t>years of service, and</w:t>
      </w:r>
      <w:r w:rsidR="000F2068" w:rsidRPr="00D81D5A">
        <w:t xml:space="preserve"> (3)</w:t>
      </w:r>
      <w:r w:rsidR="008537C5">
        <w:t> </w:t>
      </w:r>
      <w:r w:rsidR="001376E3" w:rsidRPr="00D81D5A">
        <w:t xml:space="preserve">final </w:t>
      </w:r>
      <w:r w:rsidR="00E47910" w:rsidRPr="00D81D5A">
        <w:t>compensation</w:t>
      </w:r>
      <w:r w:rsidR="00DB1F5C" w:rsidRPr="00D81D5A">
        <w:t>.</w:t>
      </w:r>
      <w:r w:rsidR="00D83BE0" w:rsidRPr="00D81D5A">
        <w:t xml:space="preserve"> </w:t>
      </w:r>
      <w:r w:rsidR="00DB1F5C" w:rsidRPr="00D81D5A">
        <w:t xml:space="preserve"> </w:t>
      </w:r>
      <w:bookmarkStart w:id="8" w:name="_Hlk11153529"/>
      <w:r w:rsidR="00684A0A" w:rsidRPr="00D81D5A">
        <w:t>Final compensation</w:t>
      </w:r>
      <w:r w:rsidR="009A4395" w:rsidRPr="00D81D5A">
        <w:t>, explained</w:t>
      </w:r>
      <w:r w:rsidR="008550A2" w:rsidRPr="00D81D5A">
        <w:t xml:space="preserve"> further</w:t>
      </w:r>
      <w:r w:rsidR="009A4395" w:rsidRPr="00D81D5A">
        <w:t xml:space="preserve"> below,</w:t>
      </w:r>
      <w:r w:rsidR="00DB1F5C" w:rsidRPr="00D81D5A">
        <w:t xml:space="preserve"> is roughly equ</w:t>
      </w:r>
      <w:r w:rsidR="00D85428" w:rsidRPr="00D81D5A">
        <w:t>ivalent</w:t>
      </w:r>
      <w:r w:rsidR="00DB1F5C" w:rsidRPr="00D81D5A">
        <w:t xml:space="preserve"> to </w:t>
      </w:r>
      <w:r w:rsidR="00D85428" w:rsidRPr="00D81D5A">
        <w:t>the</w:t>
      </w:r>
      <w:r w:rsidR="00DB1F5C" w:rsidRPr="00D81D5A">
        <w:t xml:space="preserve"> employee’s annual compensation</w:t>
      </w:r>
      <w:r w:rsidR="00BD6FFB" w:rsidRPr="00D81D5A">
        <w:t>, and it depends directly on “compensation earnable,” the statutory term amended by PEPRA</w:t>
      </w:r>
      <w:r w:rsidR="00E47910" w:rsidRPr="00D81D5A">
        <w:t>.</w:t>
      </w:r>
      <w:r w:rsidR="00A12BB5" w:rsidRPr="00D81D5A">
        <w:t xml:space="preserve">  </w:t>
      </w:r>
      <w:r w:rsidR="00F373F8" w:rsidRPr="00D81D5A">
        <w:t xml:space="preserve">Under one </w:t>
      </w:r>
      <w:r w:rsidR="00D85428" w:rsidRPr="00D81D5A">
        <w:t>t</w:t>
      </w:r>
      <w:r w:rsidR="000F2068" w:rsidRPr="00D81D5A">
        <w:t xml:space="preserve">ypical </w:t>
      </w:r>
      <w:r w:rsidR="00A12BB5" w:rsidRPr="00D81D5A">
        <w:t xml:space="preserve">schedule, </w:t>
      </w:r>
      <w:r w:rsidR="00F373F8" w:rsidRPr="00D81D5A">
        <w:t xml:space="preserve">for example, </w:t>
      </w:r>
      <w:r w:rsidR="00506931" w:rsidRPr="00D81D5A">
        <w:t xml:space="preserve">a </w:t>
      </w:r>
      <w:r w:rsidR="00E50ACF" w:rsidRPr="00D81D5A">
        <w:t>retiring</w:t>
      </w:r>
      <w:r w:rsidR="009A4395" w:rsidRPr="00D81D5A">
        <w:t xml:space="preserve"> employee</w:t>
      </w:r>
      <w:r w:rsidR="00B071E9" w:rsidRPr="00D81D5A">
        <w:t xml:space="preserve"> </w:t>
      </w:r>
      <w:r w:rsidR="00684A0A" w:rsidRPr="00D81D5A">
        <w:t xml:space="preserve">will </w:t>
      </w:r>
      <w:r w:rsidR="00E50ACF" w:rsidRPr="00D81D5A">
        <w:t xml:space="preserve">receive </w:t>
      </w:r>
      <w:r w:rsidR="00B071E9" w:rsidRPr="00D81D5A">
        <w:t>a</w:t>
      </w:r>
      <w:r w:rsidR="00E50ACF" w:rsidRPr="00D81D5A">
        <w:t>n annual</w:t>
      </w:r>
      <w:r w:rsidR="00B071E9" w:rsidRPr="00D81D5A">
        <w:t xml:space="preserve"> pension benefit equal to one-sixtieth of </w:t>
      </w:r>
      <w:r w:rsidR="00506931" w:rsidRPr="00D81D5A">
        <w:t>his or her</w:t>
      </w:r>
      <w:r w:rsidR="00E50ACF" w:rsidRPr="00D81D5A">
        <w:t xml:space="preserve"> </w:t>
      </w:r>
      <w:r w:rsidR="00B071E9" w:rsidRPr="00D81D5A">
        <w:t>final compensation</w:t>
      </w:r>
      <w:r w:rsidR="009A4395" w:rsidRPr="00D81D5A">
        <w:t xml:space="preserve"> </w:t>
      </w:r>
      <w:r w:rsidR="001704FB" w:rsidRPr="00D81D5A">
        <w:t>for each</w:t>
      </w:r>
      <w:r w:rsidR="00B071E9" w:rsidRPr="00D81D5A">
        <w:t xml:space="preserve"> </w:t>
      </w:r>
      <w:r w:rsidR="00A12BB5" w:rsidRPr="00D81D5A">
        <w:t xml:space="preserve">year of </w:t>
      </w:r>
      <w:r w:rsidR="00684A0A" w:rsidRPr="00D81D5A">
        <w:t>county employment</w:t>
      </w:r>
      <w:r w:rsidR="00C408FC" w:rsidRPr="00D81D5A">
        <w:t xml:space="preserve">, multiplied by </w:t>
      </w:r>
      <w:r w:rsidR="00C408FC" w:rsidRPr="00D81D5A">
        <w:lastRenderedPageBreak/>
        <w:t>a number derived from a table in the statute.</w:t>
      </w:r>
      <w:r w:rsidR="00E50ACF" w:rsidRPr="00D81D5A">
        <w:rPr>
          <w:rStyle w:val="FootnoteReference"/>
        </w:rPr>
        <w:footnoteReference w:id="6"/>
      </w:r>
      <w:r w:rsidR="009A4395" w:rsidRPr="00D81D5A">
        <w:t xml:space="preserve">  </w:t>
      </w:r>
      <w:r w:rsidR="000F2068" w:rsidRPr="00D81D5A">
        <w:t>(§</w:t>
      </w:r>
      <w:r w:rsidR="00DC65FC">
        <w:t> </w:t>
      </w:r>
      <w:r w:rsidR="000F2068" w:rsidRPr="00D81D5A">
        <w:t xml:space="preserve">31676.1.)  </w:t>
      </w:r>
      <w:bookmarkEnd w:id="8"/>
      <w:r w:rsidR="009A4395" w:rsidRPr="00D81D5A">
        <w:t>T</w:t>
      </w:r>
      <w:r w:rsidR="00A12BB5" w:rsidRPr="00D81D5A">
        <w:t xml:space="preserve">hat </w:t>
      </w:r>
      <w:r w:rsidR="00C408FC" w:rsidRPr="00D81D5A">
        <w:t>number is</w:t>
      </w:r>
      <w:r w:rsidR="00A12BB5" w:rsidRPr="00D81D5A">
        <w:t xml:space="preserve"> determined by the employee’</w:t>
      </w:r>
      <w:r w:rsidR="000F2068" w:rsidRPr="00D81D5A">
        <w:t>s</w:t>
      </w:r>
      <w:r w:rsidR="00A12BB5" w:rsidRPr="00D81D5A">
        <w:t xml:space="preserve"> age at retirement</w:t>
      </w:r>
      <w:r w:rsidR="00C408FC" w:rsidRPr="00D81D5A">
        <w:t xml:space="preserve"> and</w:t>
      </w:r>
      <w:r w:rsidR="00A12BB5" w:rsidRPr="00D81D5A">
        <w:t xml:space="preserve"> </w:t>
      </w:r>
      <w:r w:rsidR="000F2068" w:rsidRPr="00D81D5A">
        <w:t>i</w:t>
      </w:r>
      <w:r w:rsidR="00A12BB5" w:rsidRPr="00D81D5A">
        <w:t>ncreases</w:t>
      </w:r>
      <w:r w:rsidR="00D85428" w:rsidRPr="00D81D5A">
        <w:t xml:space="preserve"> gradually</w:t>
      </w:r>
      <w:r w:rsidR="00C408FC" w:rsidRPr="00D81D5A">
        <w:t xml:space="preserve"> with </w:t>
      </w:r>
      <w:r w:rsidR="003D3F29" w:rsidRPr="00D81D5A">
        <w:t xml:space="preserve">retirement </w:t>
      </w:r>
      <w:r w:rsidR="00C408FC" w:rsidRPr="00D81D5A">
        <w:t>age</w:t>
      </w:r>
      <w:r w:rsidR="00A12BB5" w:rsidRPr="00D81D5A">
        <w:t xml:space="preserve">, </w:t>
      </w:r>
      <w:r w:rsidR="000F2068" w:rsidRPr="00D81D5A">
        <w:t xml:space="preserve">reaching a maximum </w:t>
      </w:r>
      <w:r w:rsidR="00C408FC" w:rsidRPr="00D81D5A">
        <w:t xml:space="preserve">for retirement </w:t>
      </w:r>
      <w:r w:rsidR="00A12BB5" w:rsidRPr="00D81D5A">
        <w:t>at age 65.</w:t>
      </w:r>
      <w:r w:rsidR="00C408FC" w:rsidRPr="00D81D5A">
        <w:t xml:space="preserve">  (</w:t>
      </w:r>
      <w:r w:rsidR="00C408FC" w:rsidRPr="00D81D5A">
        <w:rPr>
          <w:i/>
        </w:rPr>
        <w:t>I</w:t>
      </w:r>
      <w:r w:rsidR="00650F1E" w:rsidRPr="00D81D5A">
        <w:rPr>
          <w:i/>
        </w:rPr>
        <w:t>bi</w:t>
      </w:r>
      <w:r w:rsidR="00C408FC" w:rsidRPr="00D81D5A">
        <w:rPr>
          <w:i/>
        </w:rPr>
        <w:t>d</w:t>
      </w:r>
      <w:r w:rsidR="00C408FC" w:rsidRPr="00D81D5A">
        <w:t>.)</w:t>
      </w:r>
      <w:r w:rsidR="00A12BB5" w:rsidRPr="00D81D5A">
        <w:t xml:space="preserve">  </w:t>
      </w:r>
      <w:r w:rsidR="00151C79" w:rsidRPr="00D81D5A">
        <w:t xml:space="preserve">This last calculation leads </w:t>
      </w:r>
      <w:r w:rsidR="00F373F8" w:rsidRPr="00D81D5A">
        <w:t xml:space="preserve">an employee who retires at a more advanced age </w:t>
      </w:r>
      <w:r w:rsidR="00EB2C5A" w:rsidRPr="00D81D5A">
        <w:t xml:space="preserve">to </w:t>
      </w:r>
      <w:r w:rsidR="00F373F8" w:rsidRPr="00D81D5A">
        <w:t>receiv</w:t>
      </w:r>
      <w:r w:rsidR="00EB2C5A" w:rsidRPr="00D81D5A">
        <w:t>e</w:t>
      </w:r>
      <w:r w:rsidR="00F373F8" w:rsidRPr="00D81D5A">
        <w:t xml:space="preserve"> a greater pension benefit than a</w:t>
      </w:r>
      <w:r w:rsidR="006F3721" w:rsidRPr="00D81D5A">
        <w:t xml:space="preserve"> similarly situated</w:t>
      </w:r>
      <w:r w:rsidR="00F373F8" w:rsidRPr="00D81D5A">
        <w:t xml:space="preserve"> employee who retires at a younger age.</w:t>
      </w:r>
    </w:p>
    <w:p w14:paraId="6D558BD7" w14:textId="77777777" w:rsidR="00D616F9" w:rsidRPr="00D81D5A" w:rsidRDefault="00D616F9" w:rsidP="00D81D5A">
      <w:pPr>
        <w:pStyle w:val="FootnoteText"/>
        <w:spacing w:line="400" w:lineRule="exact"/>
        <w:ind w:firstLine="720"/>
      </w:pPr>
      <w:r w:rsidRPr="00D81D5A">
        <w:t xml:space="preserve">As this </w:t>
      </w:r>
      <w:r w:rsidR="006F3721" w:rsidRPr="00D81D5A">
        <w:t xml:space="preserve">description </w:t>
      </w:r>
      <w:r w:rsidR="00CE15E0" w:rsidRPr="00D81D5A">
        <w:t>demonstrates</w:t>
      </w:r>
      <w:r w:rsidRPr="00D81D5A">
        <w:t xml:space="preserve">, a county employee’s final compensation is a critical factor in determining the amount of his or her pension benefit, </w:t>
      </w:r>
      <w:r w:rsidR="00650F1E" w:rsidRPr="00D81D5A">
        <w:t>becaus</w:t>
      </w:r>
      <w:r w:rsidRPr="00D81D5A">
        <w:t xml:space="preserve">e the benefit is calculated as a percentage of final compensation.  All other things being equal, the greater an employee’s final compensation, the greater </w:t>
      </w:r>
      <w:r w:rsidR="006C7BEA" w:rsidRPr="00D81D5A">
        <w:t>will be</w:t>
      </w:r>
      <w:r w:rsidRPr="00D81D5A">
        <w:t xml:space="preserve"> </w:t>
      </w:r>
      <w:r w:rsidR="00650F1E" w:rsidRPr="00D81D5A">
        <w:t>the</w:t>
      </w:r>
      <w:r w:rsidRPr="00D81D5A">
        <w:t xml:space="preserve"> </w:t>
      </w:r>
      <w:r w:rsidR="003D3F29" w:rsidRPr="00D81D5A">
        <w:t xml:space="preserve">monthly </w:t>
      </w:r>
      <w:r w:rsidRPr="00D81D5A">
        <w:t>pension benefit.</w:t>
      </w:r>
    </w:p>
    <w:p w14:paraId="05E2A1F5" w14:textId="77777777" w:rsidR="00233311" w:rsidRPr="00D81D5A" w:rsidRDefault="000008F3" w:rsidP="00D81D5A">
      <w:pPr>
        <w:pStyle w:val="Heading2"/>
      </w:pPr>
      <w:r w:rsidRPr="00D81D5A">
        <w:t>B.  Compensation Earnable</w:t>
      </w:r>
    </w:p>
    <w:p w14:paraId="626BE861" w14:textId="77777777" w:rsidR="00636EA2" w:rsidRPr="00D81D5A" w:rsidRDefault="000008F3" w:rsidP="00D81D5A">
      <w:r w:rsidRPr="00D81D5A">
        <w:tab/>
        <w:t>A</w:t>
      </w:r>
      <w:r w:rsidR="00203610" w:rsidRPr="00D81D5A">
        <w:t xml:space="preserve">t issue in this matter </w:t>
      </w:r>
      <w:r w:rsidR="00D616F9" w:rsidRPr="00D81D5A">
        <w:t>is</w:t>
      </w:r>
      <w:r w:rsidR="00F81ADE" w:rsidRPr="00D81D5A">
        <w:t xml:space="preserve"> PEPRA’s amendment o</w:t>
      </w:r>
      <w:r w:rsidR="00D616F9" w:rsidRPr="00D81D5A">
        <w:t>f</w:t>
      </w:r>
      <w:r w:rsidR="00C860E9" w:rsidRPr="00D81D5A">
        <w:t xml:space="preserve"> section 31461, the</w:t>
      </w:r>
      <w:r w:rsidR="00F81ADE" w:rsidRPr="00D81D5A">
        <w:t xml:space="preserve"> CERL</w:t>
      </w:r>
      <w:r w:rsidR="00C860E9" w:rsidRPr="00D81D5A">
        <w:t xml:space="preserve"> </w:t>
      </w:r>
      <w:r w:rsidR="00581BB6" w:rsidRPr="00D81D5A">
        <w:t>provision</w:t>
      </w:r>
      <w:r w:rsidR="00C860E9" w:rsidRPr="00D81D5A">
        <w:t xml:space="preserve"> defining</w:t>
      </w:r>
      <w:r w:rsidR="00F81ADE" w:rsidRPr="00D81D5A">
        <w:t xml:space="preserve"> </w:t>
      </w:r>
      <w:r w:rsidR="00C860E9" w:rsidRPr="00D81D5A">
        <w:t xml:space="preserve">the </w:t>
      </w:r>
      <w:r w:rsidR="00F81ADE" w:rsidRPr="00D81D5A">
        <w:t xml:space="preserve">term </w:t>
      </w:r>
      <w:r w:rsidR="00203610" w:rsidRPr="00D81D5A">
        <w:t>“compensation earnable</w:t>
      </w:r>
      <w:r w:rsidR="00C860E9" w:rsidRPr="00D81D5A">
        <w:t>.</w:t>
      </w:r>
      <w:r w:rsidR="00203610" w:rsidRPr="00D81D5A">
        <w:t>”</w:t>
      </w:r>
      <w:r w:rsidR="006C7BEA" w:rsidRPr="00D81D5A">
        <w:t xml:space="preserve">  </w:t>
      </w:r>
      <w:r w:rsidR="00BF2867" w:rsidRPr="00D81D5A">
        <w:t>Final compensation</w:t>
      </w:r>
      <w:r w:rsidR="00C860E9" w:rsidRPr="00D81D5A">
        <w:t xml:space="preserve">, which factors directly into the </w:t>
      </w:r>
      <w:r w:rsidR="00C860E9" w:rsidRPr="00D81D5A">
        <w:lastRenderedPageBreak/>
        <w:t>pension benefit calculation,</w:t>
      </w:r>
      <w:r w:rsidR="00BF2867" w:rsidRPr="00D81D5A">
        <w:t xml:space="preserve"> is</w:t>
      </w:r>
      <w:r w:rsidR="00FA531A" w:rsidRPr="00D81D5A">
        <w:t xml:space="preserve"> statutorily</w:t>
      </w:r>
      <w:r w:rsidR="00C50FC8" w:rsidRPr="00D81D5A">
        <w:t xml:space="preserve"> </w:t>
      </w:r>
      <w:r w:rsidR="00F85143" w:rsidRPr="00D81D5A">
        <w:t>defined as</w:t>
      </w:r>
      <w:r w:rsidR="00BF2867" w:rsidRPr="00D81D5A">
        <w:t xml:space="preserve"> </w:t>
      </w:r>
      <w:r w:rsidR="00FA531A" w:rsidRPr="00D81D5A">
        <w:t xml:space="preserve">an employee’s </w:t>
      </w:r>
      <w:r w:rsidR="007C6F15" w:rsidRPr="00D81D5A">
        <w:t xml:space="preserve">annual </w:t>
      </w:r>
      <w:r w:rsidR="00C50FC8" w:rsidRPr="00D81D5A">
        <w:t>compensation earnable</w:t>
      </w:r>
      <w:r w:rsidR="00FA531A" w:rsidRPr="00D81D5A">
        <w:t>,</w:t>
      </w:r>
      <w:r w:rsidR="00C50FC8" w:rsidRPr="00D81D5A">
        <w:t xml:space="preserve"> </w:t>
      </w:r>
      <w:r w:rsidR="00506931" w:rsidRPr="00D81D5A">
        <w:t xml:space="preserve">received </w:t>
      </w:r>
      <w:r w:rsidR="006C7BEA" w:rsidRPr="00D81D5A">
        <w:t xml:space="preserve">either </w:t>
      </w:r>
      <w:r w:rsidR="00420D0D" w:rsidRPr="00D81D5A">
        <w:t xml:space="preserve">in a </w:t>
      </w:r>
      <w:r w:rsidR="006C7BEA" w:rsidRPr="00D81D5A">
        <w:t xml:space="preserve">single </w:t>
      </w:r>
      <w:r w:rsidR="00FA531A" w:rsidRPr="00D81D5A">
        <w:t xml:space="preserve">specific </w:t>
      </w:r>
      <w:r w:rsidR="00420D0D" w:rsidRPr="00D81D5A">
        <w:t>year</w:t>
      </w:r>
      <w:r w:rsidR="00C50FC8" w:rsidRPr="00D81D5A">
        <w:t xml:space="preserve"> or </w:t>
      </w:r>
      <w:r w:rsidR="00FA531A" w:rsidRPr="00D81D5A">
        <w:t xml:space="preserve">calculated </w:t>
      </w:r>
      <w:r w:rsidR="006C7BEA" w:rsidRPr="00D81D5A">
        <w:t xml:space="preserve">as an average over three </w:t>
      </w:r>
      <w:r w:rsidR="00FA531A" w:rsidRPr="00D81D5A">
        <w:t xml:space="preserve">specific </w:t>
      </w:r>
      <w:r w:rsidR="00C50FC8" w:rsidRPr="00D81D5A">
        <w:t>years.</w:t>
      </w:r>
      <w:r w:rsidR="00D616F9" w:rsidRPr="00D81D5A">
        <w:rPr>
          <w:rStyle w:val="FootnoteReference"/>
        </w:rPr>
        <w:footnoteReference w:id="7"/>
      </w:r>
      <w:r w:rsidR="00C50FC8" w:rsidRPr="00D81D5A">
        <w:t xml:space="preserve">  </w:t>
      </w:r>
      <w:r w:rsidR="00BF2867" w:rsidRPr="00D81D5A">
        <w:t>(§</w:t>
      </w:r>
      <w:r w:rsidR="00F22B7F" w:rsidRPr="00D81D5A">
        <w:t>§</w:t>
      </w:r>
      <w:r w:rsidR="00BF2867" w:rsidRPr="00D81D5A">
        <w:t xml:space="preserve"> 31462</w:t>
      </w:r>
      <w:r w:rsidR="00F22B7F" w:rsidRPr="00D81D5A">
        <w:t xml:space="preserve">, 31462.1; </w:t>
      </w:r>
      <w:r w:rsidR="00CD6D13" w:rsidRPr="00D81D5A">
        <w:rPr>
          <w:i/>
        </w:rPr>
        <w:t xml:space="preserve">Ventura County Deputy Sheriffs’ Assn. v. Board of Retirement </w:t>
      </w:r>
      <w:r w:rsidR="00CD6D13" w:rsidRPr="00D81D5A">
        <w:t>(1997) 16 Cal.4th 483, 499 (</w:t>
      </w:r>
      <w:r w:rsidR="00CD6D13" w:rsidRPr="00D81D5A">
        <w:rPr>
          <w:i/>
        </w:rPr>
        <w:t>Ventura County</w:t>
      </w:r>
      <w:r w:rsidR="0058091A" w:rsidRPr="00D81D5A">
        <w:t>)</w:t>
      </w:r>
      <w:bookmarkStart w:id="9" w:name="_Hlk523230878"/>
      <w:r w:rsidR="00506931" w:rsidRPr="00D81D5A">
        <w:t>.)</w:t>
      </w:r>
      <w:r w:rsidR="00F0785C" w:rsidRPr="00D81D5A">
        <w:t xml:space="preserve">  The </w:t>
      </w:r>
      <w:r w:rsidR="00FA531A" w:rsidRPr="00D81D5A">
        <w:t xml:space="preserve">basis for a county employee’s pension benefit is therefore the </w:t>
      </w:r>
      <w:r w:rsidR="00BC5B54">
        <w:t xml:space="preserve">annual </w:t>
      </w:r>
      <w:r w:rsidR="00F0785C" w:rsidRPr="00D81D5A">
        <w:t xml:space="preserve">compensation earnable received by </w:t>
      </w:r>
      <w:r w:rsidR="00FA531A" w:rsidRPr="00D81D5A">
        <w:t xml:space="preserve">the </w:t>
      </w:r>
      <w:r w:rsidR="00F0785C" w:rsidRPr="00D81D5A">
        <w:t>employee in th</w:t>
      </w:r>
      <w:r w:rsidR="008550A2" w:rsidRPr="00D81D5A">
        <w:t>e</w:t>
      </w:r>
      <w:r w:rsidR="008C4AD4" w:rsidRPr="00D81D5A">
        <w:t xml:space="preserve"> period during which</w:t>
      </w:r>
      <w:r w:rsidR="008550A2" w:rsidRPr="00D81D5A">
        <w:t xml:space="preserve"> final compensation</w:t>
      </w:r>
      <w:r w:rsidR="006C7BEA" w:rsidRPr="00D81D5A">
        <w:t xml:space="preserve"> </w:t>
      </w:r>
      <w:r w:rsidR="008C4AD4" w:rsidRPr="00D81D5A">
        <w:t>is determined</w:t>
      </w:r>
      <w:r w:rsidR="00F0785C" w:rsidRPr="00D81D5A">
        <w:t>.</w:t>
      </w:r>
    </w:p>
    <w:p w14:paraId="60BEA9CD" w14:textId="58E7E093" w:rsidR="00820F0C" w:rsidRPr="00D81D5A" w:rsidRDefault="00A06357" w:rsidP="00D81D5A">
      <w:pPr>
        <w:ind w:firstLine="720"/>
      </w:pPr>
      <w:r w:rsidRPr="00D81D5A">
        <w:t>C</w:t>
      </w:r>
      <w:r w:rsidR="00BF2867" w:rsidRPr="00D81D5A">
        <w:t>ompensation earnable</w:t>
      </w:r>
      <w:r w:rsidR="000F2068" w:rsidRPr="00D81D5A">
        <w:t>, in turn,</w:t>
      </w:r>
      <w:r w:rsidR="003D3E2C" w:rsidRPr="00D81D5A">
        <w:t xml:space="preserve"> </w:t>
      </w:r>
      <w:r w:rsidRPr="00D81D5A">
        <w:t xml:space="preserve">is </w:t>
      </w:r>
      <w:r w:rsidRPr="00D81D5A">
        <w:rPr>
          <w:szCs w:val="26"/>
        </w:rPr>
        <w:t xml:space="preserve">defined </w:t>
      </w:r>
      <w:r w:rsidR="00CE1FE9" w:rsidRPr="00D81D5A">
        <w:rPr>
          <w:szCs w:val="26"/>
        </w:rPr>
        <w:t xml:space="preserve">in section 31461 </w:t>
      </w:r>
      <w:r w:rsidRPr="00D81D5A">
        <w:rPr>
          <w:szCs w:val="26"/>
        </w:rPr>
        <w:t xml:space="preserve">as </w:t>
      </w:r>
      <w:r w:rsidR="00805455" w:rsidRPr="00D81D5A">
        <w:rPr>
          <w:szCs w:val="26"/>
        </w:rPr>
        <w:t xml:space="preserve">the employee’s </w:t>
      </w:r>
      <w:bookmarkStart w:id="10" w:name="_Hlk40712689"/>
      <w:r w:rsidR="005F4769" w:rsidRPr="00D81D5A">
        <w:rPr>
          <w:szCs w:val="26"/>
        </w:rPr>
        <w:t>“</w:t>
      </w:r>
      <w:r w:rsidR="005F4769" w:rsidRPr="00D81D5A">
        <w:rPr>
          <w:rStyle w:val="ssparacontent"/>
          <w:szCs w:val="26"/>
        </w:rPr>
        <w:t xml:space="preserve">average compensation . . . for the period under consideration upon the basis of the average number of days ordinarily worked by persons in the same grade or class of positions during the period, and at the same rate of pay.  </w:t>
      </w:r>
      <w:bookmarkEnd w:id="10"/>
      <w:r w:rsidR="005F4769" w:rsidRPr="00D81D5A">
        <w:rPr>
          <w:rStyle w:val="ssparacontent"/>
          <w:szCs w:val="26"/>
        </w:rPr>
        <w:t>The computation for any absence shall be based on the compensation of the position held by the member at the beginning of the absence</w:t>
      </w:r>
      <w:r w:rsidR="005F4769" w:rsidRPr="00D81D5A">
        <w:rPr>
          <w:rStyle w:val="ssparacontent"/>
          <w:rFonts w:cs="Helvetica"/>
          <w:color w:val="373739"/>
          <w:szCs w:val="21"/>
        </w:rPr>
        <w:t>.</w:t>
      </w:r>
      <w:r w:rsidR="00EC25E4" w:rsidRPr="00D81D5A">
        <w:rPr>
          <w:szCs w:val="26"/>
          <w:shd w:val="clear" w:color="auto" w:fill="FFFFFF"/>
        </w:rPr>
        <w:t>”</w:t>
      </w:r>
      <w:r w:rsidR="00C33874" w:rsidRPr="00D81D5A">
        <w:rPr>
          <w:rStyle w:val="FootnoteReference"/>
          <w:shd w:val="clear" w:color="auto" w:fill="FFFFFF"/>
        </w:rPr>
        <w:footnoteReference w:id="8"/>
      </w:r>
      <w:r w:rsidR="00ED3548" w:rsidRPr="00D81D5A">
        <w:rPr>
          <w:szCs w:val="26"/>
          <w:shd w:val="clear" w:color="auto" w:fill="FFFFFF"/>
        </w:rPr>
        <w:t xml:space="preserve"> </w:t>
      </w:r>
      <w:r w:rsidR="003256DC" w:rsidRPr="00D81D5A">
        <w:rPr>
          <w:szCs w:val="26"/>
          <w:shd w:val="clear" w:color="auto" w:fill="FFFFFF"/>
        </w:rPr>
        <w:t xml:space="preserve"> </w:t>
      </w:r>
      <w:r w:rsidR="00EC25E4" w:rsidRPr="00D81D5A">
        <w:t>(</w:t>
      </w:r>
      <w:r w:rsidR="00FF6B9E">
        <w:t>§ 31461</w:t>
      </w:r>
      <w:r w:rsidR="00EC25E4" w:rsidRPr="00D81D5A">
        <w:t xml:space="preserve">, </w:t>
      </w:r>
      <w:proofErr w:type="spellStart"/>
      <w:r w:rsidR="00EC25E4" w:rsidRPr="00D81D5A">
        <w:t>subd</w:t>
      </w:r>
      <w:proofErr w:type="spellEnd"/>
      <w:r w:rsidR="00EC25E4" w:rsidRPr="00D81D5A">
        <w:t xml:space="preserve">. (a).)  </w:t>
      </w:r>
      <w:r w:rsidR="00C33874" w:rsidRPr="00D81D5A">
        <w:t xml:space="preserve">For purposes of this definition, “compensation” is </w:t>
      </w:r>
      <w:r w:rsidR="00581BB6" w:rsidRPr="00D81D5A">
        <w:t xml:space="preserve">statutorily </w:t>
      </w:r>
      <w:r w:rsidR="00C33874" w:rsidRPr="00D81D5A">
        <w:t>defined as the</w:t>
      </w:r>
      <w:r w:rsidR="00C33874" w:rsidRPr="00D81D5A">
        <w:rPr>
          <w:szCs w:val="26"/>
          <w:shd w:val="clear" w:color="auto" w:fill="FFFFFF"/>
        </w:rPr>
        <w:t xml:space="preserve"> employee’s </w:t>
      </w:r>
      <w:bookmarkStart w:id="11" w:name="_Hlk40712803"/>
      <w:r w:rsidR="00C33874" w:rsidRPr="00D81D5A">
        <w:rPr>
          <w:szCs w:val="26"/>
          <w:shd w:val="clear" w:color="auto" w:fill="FFFFFF"/>
        </w:rPr>
        <w:t xml:space="preserve">“remuneration paid in cash . . . </w:t>
      </w:r>
      <w:r w:rsidR="00C33874" w:rsidRPr="00D81D5A">
        <w:rPr>
          <w:rStyle w:val="ssparacontent"/>
          <w:szCs w:val="26"/>
        </w:rPr>
        <w:t xml:space="preserve">but does not include </w:t>
      </w:r>
      <w:r w:rsidR="00C33874" w:rsidRPr="00D81D5A">
        <w:rPr>
          <w:rStyle w:val="ssparacontent"/>
          <w:szCs w:val="26"/>
        </w:rPr>
        <w:lastRenderedPageBreak/>
        <w:t>the monetary value of board, lodging, fuel, laundry, or other advantages furnished to a member.</w:t>
      </w:r>
      <w:r w:rsidR="00C33874" w:rsidRPr="00D81D5A">
        <w:rPr>
          <w:szCs w:val="26"/>
          <w:shd w:val="clear" w:color="auto" w:fill="FFFFFF"/>
        </w:rPr>
        <w:t>”  (</w:t>
      </w:r>
      <w:r w:rsidR="00C33874" w:rsidRPr="00D81D5A">
        <w:rPr>
          <w:szCs w:val="26"/>
        </w:rPr>
        <w:t>§ 31460.)</w:t>
      </w:r>
      <w:r w:rsidR="00C33874" w:rsidRPr="00D81D5A">
        <w:t xml:space="preserve">  </w:t>
      </w:r>
      <w:bookmarkEnd w:id="11"/>
      <w:r w:rsidR="00C2628C" w:rsidRPr="00D81D5A">
        <w:t xml:space="preserve">Since the 1990s, </w:t>
      </w:r>
      <w:r w:rsidR="008115B4" w:rsidRPr="00D81D5A">
        <w:t>CERL</w:t>
      </w:r>
      <w:r w:rsidR="00EC25E4" w:rsidRPr="00D81D5A">
        <w:t xml:space="preserve"> </w:t>
      </w:r>
      <w:r w:rsidR="00C2628C" w:rsidRPr="00D81D5A">
        <w:t xml:space="preserve">has </w:t>
      </w:r>
      <w:r w:rsidR="00684A0A" w:rsidRPr="00D81D5A">
        <w:t>provid</w:t>
      </w:r>
      <w:r w:rsidR="00D51BC2" w:rsidRPr="00D81D5A">
        <w:t xml:space="preserve">ed </w:t>
      </w:r>
      <w:r w:rsidR="00684A0A" w:rsidRPr="00D81D5A">
        <w:t xml:space="preserve">that </w:t>
      </w:r>
      <w:r w:rsidR="00D51BC2" w:rsidRPr="00D81D5A">
        <w:t xml:space="preserve">an employee’s contributions to a deferred compensation plan </w:t>
      </w:r>
      <w:r w:rsidR="00684A0A" w:rsidRPr="00D81D5A">
        <w:t xml:space="preserve">are </w:t>
      </w:r>
      <w:r w:rsidR="00D51BC2" w:rsidRPr="00D81D5A">
        <w:t>included in compensation earnable in the year of the contribution, rather than the year in which the sum</w:t>
      </w:r>
      <w:r w:rsidR="00684A0A" w:rsidRPr="00D81D5A">
        <w:t>s</w:t>
      </w:r>
      <w:r w:rsidR="00D51BC2" w:rsidRPr="00D81D5A">
        <w:t xml:space="preserve"> </w:t>
      </w:r>
      <w:r w:rsidR="00684A0A" w:rsidRPr="00D81D5A">
        <w:t>are withdrawn from the plan</w:t>
      </w:r>
      <w:r w:rsidR="003E1BB2" w:rsidRPr="00D81D5A">
        <w:rPr>
          <w:rStyle w:val="ssparacontent"/>
          <w:szCs w:val="26"/>
        </w:rPr>
        <w:t>.</w:t>
      </w:r>
      <w:r w:rsidR="00EC25E4" w:rsidRPr="00D81D5A">
        <w:rPr>
          <w:szCs w:val="26"/>
          <w:shd w:val="clear" w:color="auto" w:fill="FFFFFF"/>
        </w:rPr>
        <w:t xml:space="preserve">  (</w:t>
      </w:r>
      <w:r w:rsidR="005E34E4">
        <w:rPr>
          <w:szCs w:val="26"/>
          <w:shd w:val="clear" w:color="auto" w:fill="FFFFFF"/>
        </w:rPr>
        <w:t>§§</w:t>
      </w:r>
      <w:r w:rsidR="00C110DF">
        <w:rPr>
          <w:szCs w:val="26"/>
          <w:shd w:val="clear" w:color="auto" w:fill="FFFFFF"/>
        </w:rPr>
        <w:t> </w:t>
      </w:r>
      <w:r w:rsidR="005E34E4">
        <w:rPr>
          <w:szCs w:val="26"/>
          <w:shd w:val="clear" w:color="auto" w:fill="FFFFFF"/>
        </w:rPr>
        <w:t xml:space="preserve">31460, </w:t>
      </w:r>
      <w:r w:rsidR="00A9039A" w:rsidRPr="00D81D5A">
        <w:rPr>
          <w:szCs w:val="26"/>
          <w:shd w:val="clear" w:color="auto" w:fill="FFFFFF"/>
        </w:rPr>
        <w:t xml:space="preserve">31461; see </w:t>
      </w:r>
      <w:r w:rsidR="00A9039A" w:rsidRPr="00D81D5A">
        <w:rPr>
          <w:i/>
          <w:szCs w:val="26"/>
          <w:shd w:val="clear" w:color="auto" w:fill="FFFFFF"/>
        </w:rPr>
        <w:t>Ventura County</w:t>
      </w:r>
      <w:r w:rsidR="00A9039A" w:rsidRPr="00D81D5A">
        <w:rPr>
          <w:szCs w:val="26"/>
          <w:shd w:val="clear" w:color="auto" w:fill="FFFFFF"/>
        </w:rPr>
        <w:t xml:space="preserve">, </w:t>
      </w:r>
      <w:r w:rsidR="00A9039A" w:rsidRPr="00D81D5A">
        <w:rPr>
          <w:i/>
          <w:szCs w:val="26"/>
          <w:shd w:val="clear" w:color="auto" w:fill="FFFFFF"/>
        </w:rPr>
        <w:t>supra</w:t>
      </w:r>
      <w:r w:rsidR="00A9039A" w:rsidRPr="00D81D5A">
        <w:rPr>
          <w:szCs w:val="26"/>
          <w:shd w:val="clear" w:color="auto" w:fill="FFFFFF"/>
        </w:rPr>
        <w:t>, 16 Cal.4th at p.</w:t>
      </w:r>
      <w:r w:rsidR="00C110DF">
        <w:rPr>
          <w:szCs w:val="26"/>
          <w:shd w:val="clear" w:color="auto" w:fill="FFFFFF"/>
        </w:rPr>
        <w:t> </w:t>
      </w:r>
      <w:r w:rsidR="00A9039A" w:rsidRPr="00D81D5A">
        <w:rPr>
          <w:szCs w:val="26"/>
          <w:shd w:val="clear" w:color="auto" w:fill="FFFFFF"/>
        </w:rPr>
        <w:t>491</w:t>
      </w:r>
      <w:r w:rsidR="00EC25E4" w:rsidRPr="00D81D5A">
        <w:rPr>
          <w:szCs w:val="26"/>
          <w:shd w:val="clear" w:color="auto" w:fill="FFFFFF"/>
        </w:rPr>
        <w:t>.)</w:t>
      </w:r>
      <w:r w:rsidR="00BA29C9" w:rsidRPr="00D81D5A">
        <w:rPr>
          <w:szCs w:val="26"/>
          <w:shd w:val="clear" w:color="auto" w:fill="FFFFFF"/>
        </w:rPr>
        <w:t xml:space="preserve">  Further, compensation earnable ha</w:t>
      </w:r>
      <w:r w:rsidR="00CB4A05" w:rsidRPr="00D81D5A">
        <w:rPr>
          <w:szCs w:val="26"/>
          <w:shd w:val="clear" w:color="auto" w:fill="FFFFFF"/>
        </w:rPr>
        <w:t>s</w:t>
      </w:r>
      <w:r w:rsidR="00BA29C9" w:rsidRPr="00D81D5A">
        <w:rPr>
          <w:szCs w:val="26"/>
          <w:shd w:val="clear" w:color="auto" w:fill="FFFFFF"/>
        </w:rPr>
        <w:t xml:space="preserve"> long been </w:t>
      </w:r>
      <w:r w:rsidR="005E34E4">
        <w:rPr>
          <w:szCs w:val="26"/>
          <w:shd w:val="clear" w:color="auto" w:fill="FFFFFF"/>
        </w:rPr>
        <w:t>held</w:t>
      </w:r>
      <w:r w:rsidR="00BA29C9" w:rsidRPr="00D81D5A">
        <w:rPr>
          <w:szCs w:val="26"/>
          <w:shd w:val="clear" w:color="auto" w:fill="FFFFFF"/>
        </w:rPr>
        <w:t xml:space="preserve"> not to include overtime</w:t>
      </w:r>
      <w:r w:rsidR="0067545D" w:rsidRPr="00D81D5A">
        <w:rPr>
          <w:szCs w:val="26"/>
          <w:shd w:val="clear" w:color="auto" w:fill="FFFFFF"/>
        </w:rPr>
        <w:t xml:space="preserve"> pay</w:t>
      </w:r>
      <w:r w:rsidR="008115B4" w:rsidRPr="00D81D5A">
        <w:rPr>
          <w:szCs w:val="26"/>
          <w:shd w:val="clear" w:color="auto" w:fill="FFFFFF"/>
        </w:rPr>
        <w:t xml:space="preserve">.  </w:t>
      </w:r>
      <w:r w:rsidR="00581BB6" w:rsidRPr="00D81D5A">
        <w:rPr>
          <w:szCs w:val="26"/>
          <w:shd w:val="clear" w:color="auto" w:fill="FFFFFF"/>
        </w:rPr>
        <w:t xml:space="preserve">(See </w:t>
      </w:r>
      <w:proofErr w:type="spellStart"/>
      <w:r w:rsidR="00581BB6" w:rsidRPr="00D81D5A">
        <w:rPr>
          <w:i/>
          <w:szCs w:val="26"/>
          <w:shd w:val="clear" w:color="auto" w:fill="FFFFFF"/>
        </w:rPr>
        <w:t>Guelfi</w:t>
      </w:r>
      <w:proofErr w:type="spellEnd"/>
      <w:r w:rsidR="00581BB6" w:rsidRPr="00D81D5A">
        <w:rPr>
          <w:i/>
          <w:szCs w:val="26"/>
          <w:shd w:val="clear" w:color="auto" w:fill="FFFFFF"/>
        </w:rPr>
        <w:t xml:space="preserve"> v. Marin County Employees’ Retirement Assn. </w:t>
      </w:r>
      <w:r w:rsidR="00581BB6" w:rsidRPr="00D81D5A">
        <w:rPr>
          <w:szCs w:val="26"/>
          <w:shd w:val="clear" w:color="auto" w:fill="FFFFFF"/>
        </w:rPr>
        <w:t xml:space="preserve">(1983) </w:t>
      </w:r>
      <w:bookmarkStart w:id="12" w:name="_Hlk25137349"/>
      <w:r w:rsidR="00581BB6" w:rsidRPr="00D81D5A">
        <w:rPr>
          <w:szCs w:val="26"/>
          <w:shd w:val="clear" w:color="auto" w:fill="FFFFFF"/>
        </w:rPr>
        <w:t>145 Cal.App.3d 297, 306</w:t>
      </w:r>
      <w:bookmarkEnd w:id="12"/>
      <w:r w:rsidR="00427AF8">
        <w:rPr>
          <w:szCs w:val="26"/>
          <w:shd w:val="clear" w:color="auto" w:fill="FFFFFF"/>
        </w:rPr>
        <w:t>–</w:t>
      </w:r>
      <w:r w:rsidR="00581BB6" w:rsidRPr="00D81D5A">
        <w:rPr>
          <w:szCs w:val="26"/>
          <w:shd w:val="clear" w:color="auto" w:fill="FFFFFF"/>
        </w:rPr>
        <w:t>307 (</w:t>
      </w:r>
      <w:proofErr w:type="spellStart"/>
      <w:r w:rsidR="00581BB6" w:rsidRPr="00D81D5A">
        <w:rPr>
          <w:i/>
          <w:szCs w:val="26"/>
          <w:shd w:val="clear" w:color="auto" w:fill="FFFFFF"/>
        </w:rPr>
        <w:t>Guelfi</w:t>
      </w:r>
      <w:proofErr w:type="spellEnd"/>
      <w:r w:rsidR="00581BB6" w:rsidRPr="00D81D5A">
        <w:rPr>
          <w:szCs w:val="26"/>
          <w:shd w:val="clear" w:color="auto" w:fill="FFFFFF"/>
        </w:rPr>
        <w:t>) [“</w:t>
      </w:r>
      <w:r w:rsidR="00581BB6" w:rsidRPr="00D81D5A">
        <w:rPr>
          <w:rStyle w:val="sssh"/>
          <w:szCs w:val="26"/>
        </w:rPr>
        <w:t>overtime</w:t>
      </w:r>
      <w:r w:rsidR="00581BB6" w:rsidRPr="00D81D5A">
        <w:rPr>
          <w:szCs w:val="26"/>
        </w:rPr>
        <w:t xml:space="preserve"> pay is not ‘compensation earnable’ and thus is not to be included in computing . . . ‘final compensation’</w:t>
      </w:r>
      <w:r w:rsidR="00C110DF">
        <w:rPr>
          <w:szCs w:val="26"/>
        </w:rPr>
        <w:t> </w:t>
      </w:r>
      <w:r w:rsidR="00581BB6" w:rsidRPr="00D81D5A">
        <w:rPr>
          <w:szCs w:val="26"/>
        </w:rPr>
        <w:t>”</w:t>
      </w:r>
      <w:r w:rsidR="00581BB6" w:rsidRPr="00D81D5A">
        <w:rPr>
          <w:szCs w:val="26"/>
          <w:shd w:val="clear" w:color="auto" w:fill="FFFFFF"/>
        </w:rPr>
        <w:t xml:space="preserve">].)  Since 2000, overtime </w:t>
      </w:r>
      <w:r w:rsidR="0076012A" w:rsidRPr="00D81D5A">
        <w:rPr>
          <w:szCs w:val="26"/>
          <w:shd w:val="clear" w:color="auto" w:fill="FFFFFF"/>
        </w:rPr>
        <w:t xml:space="preserve">premium </w:t>
      </w:r>
      <w:r w:rsidR="00581BB6" w:rsidRPr="00D81D5A">
        <w:rPr>
          <w:szCs w:val="26"/>
          <w:shd w:val="clear" w:color="auto" w:fill="FFFFFF"/>
        </w:rPr>
        <w:t>pay</w:t>
      </w:r>
      <w:r w:rsidR="008115B4" w:rsidRPr="00D81D5A">
        <w:rPr>
          <w:szCs w:val="26"/>
          <w:shd w:val="clear" w:color="auto" w:fill="FFFFFF"/>
        </w:rPr>
        <w:t xml:space="preserve"> </w:t>
      </w:r>
      <w:r w:rsidR="00581BB6" w:rsidRPr="00D81D5A">
        <w:rPr>
          <w:szCs w:val="26"/>
          <w:shd w:val="clear" w:color="auto" w:fill="FFFFFF"/>
        </w:rPr>
        <w:t xml:space="preserve">has been </w:t>
      </w:r>
      <w:r w:rsidR="00254096" w:rsidRPr="00D81D5A">
        <w:rPr>
          <w:szCs w:val="26"/>
          <w:shd w:val="clear" w:color="auto" w:fill="FFFFFF"/>
        </w:rPr>
        <w:t>expressly excluded</w:t>
      </w:r>
      <w:r w:rsidR="00581BB6" w:rsidRPr="00D81D5A">
        <w:rPr>
          <w:szCs w:val="26"/>
          <w:shd w:val="clear" w:color="auto" w:fill="FFFFFF"/>
        </w:rPr>
        <w:t xml:space="preserve"> from compensation earnable</w:t>
      </w:r>
      <w:r w:rsidR="00D51BC2" w:rsidRPr="00D81D5A">
        <w:rPr>
          <w:szCs w:val="26"/>
          <w:shd w:val="clear" w:color="auto" w:fill="FFFFFF"/>
        </w:rPr>
        <w:t xml:space="preserve"> in most circumstances</w:t>
      </w:r>
      <w:r w:rsidR="00254096" w:rsidRPr="00D81D5A">
        <w:rPr>
          <w:szCs w:val="26"/>
          <w:shd w:val="clear" w:color="auto" w:fill="FFFFFF"/>
        </w:rPr>
        <w:t xml:space="preserve"> by section 31461.6</w:t>
      </w:r>
      <w:r w:rsidR="00BA29C9" w:rsidRPr="00D81D5A">
        <w:rPr>
          <w:szCs w:val="26"/>
          <w:shd w:val="clear" w:color="auto" w:fill="FFFFFF"/>
        </w:rPr>
        <w:t>.</w:t>
      </w:r>
      <w:r w:rsidR="00581BB6" w:rsidRPr="00D81D5A">
        <w:rPr>
          <w:szCs w:val="26"/>
          <w:shd w:val="clear" w:color="auto" w:fill="FFFFFF"/>
        </w:rPr>
        <w:t xml:space="preserve">  (Stats. 2000, </w:t>
      </w:r>
      <w:proofErr w:type="spellStart"/>
      <w:r w:rsidR="00581BB6" w:rsidRPr="00D81D5A">
        <w:rPr>
          <w:szCs w:val="26"/>
          <w:shd w:val="clear" w:color="auto" w:fill="FFFFFF"/>
        </w:rPr>
        <w:t>ch.</w:t>
      </w:r>
      <w:proofErr w:type="spellEnd"/>
      <w:r w:rsidR="00581BB6" w:rsidRPr="00D81D5A">
        <w:rPr>
          <w:szCs w:val="26"/>
          <w:shd w:val="clear" w:color="auto" w:fill="FFFFFF"/>
        </w:rPr>
        <w:t xml:space="preserve"> 966, §</w:t>
      </w:r>
      <w:r w:rsidR="005D2BDE" w:rsidRPr="00D81D5A">
        <w:rPr>
          <w:szCs w:val="26"/>
          <w:shd w:val="clear" w:color="auto" w:fill="FFFFFF"/>
        </w:rPr>
        <w:t> </w:t>
      </w:r>
      <w:r w:rsidR="00581BB6" w:rsidRPr="00D81D5A">
        <w:rPr>
          <w:szCs w:val="26"/>
          <w:shd w:val="clear" w:color="auto" w:fill="FFFFFF"/>
        </w:rPr>
        <w:t>3.)</w:t>
      </w:r>
    </w:p>
    <w:p w14:paraId="0D851224" w14:textId="77777777" w:rsidR="004619F8" w:rsidRPr="00D81D5A" w:rsidRDefault="00BA29C9" w:rsidP="00D81D5A">
      <w:pPr>
        <w:ind w:firstLine="720"/>
        <w:rPr>
          <w:szCs w:val="26"/>
          <w:shd w:val="clear" w:color="auto" w:fill="FFFFFF"/>
        </w:rPr>
      </w:pPr>
      <w:r w:rsidRPr="00D81D5A">
        <w:t xml:space="preserve">As </w:t>
      </w:r>
      <w:r w:rsidR="00CB4A05" w:rsidRPr="00D81D5A">
        <w:t>our quot</w:t>
      </w:r>
      <w:r w:rsidR="00A52893" w:rsidRPr="00D81D5A">
        <w:t>ation</w:t>
      </w:r>
      <w:r w:rsidR="00CB4A05" w:rsidRPr="00D81D5A">
        <w:t xml:space="preserve"> f</w:t>
      </w:r>
      <w:r w:rsidR="004C4919" w:rsidRPr="00D81D5A">
        <w:t>rom</w:t>
      </w:r>
      <w:r w:rsidR="00CB4A05" w:rsidRPr="00D81D5A">
        <w:t xml:space="preserve"> </w:t>
      </w:r>
      <w:r w:rsidR="004619F8" w:rsidRPr="00D81D5A">
        <w:t>section 31461</w:t>
      </w:r>
      <w:r w:rsidR="00CB4A05" w:rsidRPr="00D81D5A">
        <w:t xml:space="preserve"> suggests</w:t>
      </w:r>
      <w:r w:rsidRPr="00D81D5A">
        <w:t xml:space="preserve">, </w:t>
      </w:r>
      <w:r w:rsidR="00CB4A05" w:rsidRPr="00D81D5A">
        <w:t>CERL’s</w:t>
      </w:r>
      <w:r w:rsidR="00CB0537" w:rsidRPr="00D81D5A">
        <w:t xml:space="preserve"> </w:t>
      </w:r>
      <w:r w:rsidRPr="00D81D5A">
        <w:t>definit</w:t>
      </w:r>
      <w:r w:rsidR="00CB0537" w:rsidRPr="00D81D5A">
        <w:t>ion</w:t>
      </w:r>
      <w:r w:rsidRPr="00D81D5A">
        <w:t xml:space="preserve"> of compensation earnable</w:t>
      </w:r>
      <w:r w:rsidR="00CB0537" w:rsidRPr="00D81D5A">
        <w:t xml:space="preserve"> is both very general and </w:t>
      </w:r>
      <w:r w:rsidR="009372B4" w:rsidRPr="00D81D5A">
        <w:t>somewhat inscrutable</w:t>
      </w:r>
      <w:r w:rsidR="00CB0537" w:rsidRPr="00D81D5A">
        <w:t xml:space="preserve">.  </w:t>
      </w:r>
      <w:r w:rsidRPr="00D81D5A">
        <w:t>(</w:t>
      </w:r>
      <w:r w:rsidR="002F4B01" w:rsidRPr="00D81D5A">
        <w:t xml:space="preserve">See </w:t>
      </w:r>
      <w:r w:rsidR="00805455" w:rsidRPr="00D81D5A">
        <w:rPr>
          <w:i/>
        </w:rPr>
        <w:t xml:space="preserve">Ventura </w:t>
      </w:r>
      <w:r w:rsidR="003256DC" w:rsidRPr="00D81D5A">
        <w:rPr>
          <w:i/>
        </w:rPr>
        <w:t>County</w:t>
      </w:r>
      <w:r w:rsidR="00805455" w:rsidRPr="00D81D5A">
        <w:t xml:space="preserve">, </w:t>
      </w:r>
      <w:r w:rsidRPr="00D81D5A">
        <w:rPr>
          <w:i/>
        </w:rPr>
        <w:t>supra</w:t>
      </w:r>
      <w:r w:rsidRPr="00D81D5A">
        <w:t>, 16 Cal.4th at p. 493 [section</w:t>
      </w:r>
      <w:r w:rsidR="005E34E4">
        <w:t>s 31460 and</w:t>
      </w:r>
      <w:r w:rsidRPr="00D81D5A">
        <w:t xml:space="preserve"> 314</w:t>
      </w:r>
      <w:r w:rsidR="005A14FC" w:rsidRPr="00D81D5A">
        <w:t>6</w:t>
      </w:r>
      <w:r w:rsidRPr="00D81D5A">
        <w:t xml:space="preserve">1 </w:t>
      </w:r>
      <w:r w:rsidR="005E34E4">
        <w:t>are</w:t>
      </w:r>
      <w:r w:rsidR="001A6AA4" w:rsidRPr="00D81D5A">
        <w:t xml:space="preserve"> </w:t>
      </w:r>
      <w:r w:rsidRPr="00D81D5A">
        <w:t>“ambiguous in some respects”].)</w:t>
      </w:r>
      <w:r w:rsidRPr="00D81D5A">
        <w:rPr>
          <w:i/>
        </w:rPr>
        <w:t xml:space="preserve"> </w:t>
      </w:r>
      <w:r w:rsidRPr="00D81D5A">
        <w:t xml:space="preserve"> </w:t>
      </w:r>
      <w:r w:rsidR="00326C54" w:rsidRPr="00D81D5A">
        <w:rPr>
          <w:rStyle w:val="ssparacontent"/>
          <w:szCs w:val="26"/>
        </w:rPr>
        <w:t>After an extensive examination of the</w:t>
      </w:r>
      <w:r w:rsidR="002B27F4" w:rsidRPr="00D81D5A">
        <w:rPr>
          <w:rStyle w:val="ssparacontent"/>
          <w:szCs w:val="26"/>
        </w:rPr>
        <w:t xml:space="preserve"> language and</w:t>
      </w:r>
      <w:r w:rsidR="00326C54" w:rsidRPr="00D81D5A">
        <w:rPr>
          <w:rStyle w:val="ssparacontent"/>
          <w:szCs w:val="26"/>
        </w:rPr>
        <w:t xml:space="preserve"> legislative history, </w:t>
      </w:r>
      <w:r w:rsidR="004F0E51" w:rsidRPr="00D81D5A">
        <w:rPr>
          <w:rStyle w:val="ssparacontent"/>
          <w:szCs w:val="26"/>
        </w:rPr>
        <w:t xml:space="preserve">we held in </w:t>
      </w:r>
      <w:r w:rsidR="004619F8" w:rsidRPr="00D81D5A">
        <w:rPr>
          <w:rStyle w:val="ssparacontent"/>
          <w:i/>
          <w:szCs w:val="26"/>
        </w:rPr>
        <w:t xml:space="preserve">Ventura County </w:t>
      </w:r>
      <w:r w:rsidR="00254096" w:rsidRPr="00D81D5A">
        <w:rPr>
          <w:szCs w:val="26"/>
        </w:rPr>
        <w:t>that “</w:t>
      </w:r>
      <w:r w:rsidR="00BC5B54">
        <w:rPr>
          <w:szCs w:val="26"/>
        </w:rPr>
        <w:t> </w:t>
      </w:r>
      <w:r w:rsidR="00254096" w:rsidRPr="00D81D5A">
        <w:rPr>
          <w:szCs w:val="26"/>
        </w:rPr>
        <w:t>‘compensation earnable’ is the average pay of the individual retiring employee computed on the basis of the number of hours worked by other employees in the same class and pay rate — that is</w:t>
      </w:r>
      <w:r w:rsidR="00650F1E" w:rsidRPr="00D81D5A">
        <w:rPr>
          <w:szCs w:val="26"/>
        </w:rPr>
        <w:t>[,]</w:t>
      </w:r>
      <w:r w:rsidR="00254096" w:rsidRPr="00D81D5A">
        <w:rPr>
          <w:szCs w:val="26"/>
        </w:rPr>
        <w:t xml:space="preserve"> the average monthly pay, excluding overtime, received by the retiring employee for the average number of days worked in a month by the other employees in the same job classification at the same base pay level.” </w:t>
      </w:r>
      <w:r w:rsidR="00254096" w:rsidRPr="00D81D5A">
        <w:rPr>
          <w:rFonts w:cs="Helvetica"/>
          <w:szCs w:val="21"/>
        </w:rPr>
        <w:t xml:space="preserve"> </w:t>
      </w:r>
      <w:r w:rsidR="00254096" w:rsidRPr="00D81D5A">
        <w:rPr>
          <w:rStyle w:val="ssparacontent"/>
          <w:szCs w:val="26"/>
        </w:rPr>
        <w:t>(</w:t>
      </w:r>
      <w:r w:rsidR="00254096" w:rsidRPr="00D81D5A">
        <w:rPr>
          <w:rStyle w:val="ssparacontent"/>
          <w:i/>
          <w:szCs w:val="26"/>
        </w:rPr>
        <w:t>Id</w:t>
      </w:r>
      <w:r w:rsidR="00254096" w:rsidRPr="00D81D5A">
        <w:rPr>
          <w:rStyle w:val="ssparacontent"/>
          <w:szCs w:val="26"/>
        </w:rPr>
        <w:t>. at p.</w:t>
      </w:r>
      <w:r w:rsidR="005D2BDE" w:rsidRPr="00D81D5A">
        <w:rPr>
          <w:rStyle w:val="ssparacontent"/>
          <w:szCs w:val="26"/>
        </w:rPr>
        <w:t> </w:t>
      </w:r>
      <w:r w:rsidR="00254096" w:rsidRPr="00D81D5A">
        <w:rPr>
          <w:rStyle w:val="ssparacontent"/>
          <w:szCs w:val="26"/>
        </w:rPr>
        <w:t>504.)</w:t>
      </w:r>
      <w:r w:rsidR="00254096" w:rsidRPr="00D81D5A">
        <w:rPr>
          <w:szCs w:val="26"/>
        </w:rPr>
        <w:t xml:space="preserve">  Accordingly</w:t>
      </w:r>
      <w:r w:rsidR="004619F8" w:rsidRPr="00D81D5A">
        <w:rPr>
          <w:szCs w:val="26"/>
        </w:rPr>
        <w:t xml:space="preserve">, </w:t>
      </w:r>
      <w:r w:rsidR="00254096" w:rsidRPr="00D81D5A">
        <w:rPr>
          <w:szCs w:val="26"/>
        </w:rPr>
        <w:t>to</w:t>
      </w:r>
      <w:r w:rsidR="004619F8" w:rsidRPr="00D81D5A">
        <w:rPr>
          <w:szCs w:val="26"/>
        </w:rPr>
        <w:t xml:space="preserve"> calculat</w:t>
      </w:r>
      <w:r w:rsidR="00254096" w:rsidRPr="00D81D5A">
        <w:rPr>
          <w:szCs w:val="26"/>
        </w:rPr>
        <w:t>e</w:t>
      </w:r>
      <w:r w:rsidR="004619F8" w:rsidRPr="00D81D5A">
        <w:rPr>
          <w:szCs w:val="26"/>
        </w:rPr>
        <w:t xml:space="preserve"> compensation earnable, section 314</w:t>
      </w:r>
      <w:r w:rsidR="004C4919" w:rsidRPr="00D81D5A">
        <w:rPr>
          <w:szCs w:val="26"/>
        </w:rPr>
        <w:t>6</w:t>
      </w:r>
      <w:r w:rsidR="004619F8" w:rsidRPr="00D81D5A">
        <w:rPr>
          <w:szCs w:val="26"/>
        </w:rPr>
        <w:t xml:space="preserve">1 uses </w:t>
      </w:r>
      <w:r w:rsidR="00C2628C" w:rsidRPr="00D81D5A">
        <w:rPr>
          <w:szCs w:val="26"/>
        </w:rPr>
        <w:t>a</w:t>
      </w:r>
      <w:r w:rsidR="004619F8" w:rsidRPr="00D81D5A">
        <w:rPr>
          <w:szCs w:val="26"/>
        </w:rPr>
        <w:t xml:space="preserve"> </w:t>
      </w:r>
      <w:r w:rsidR="005F4769" w:rsidRPr="00D81D5A">
        <w:rPr>
          <w:szCs w:val="26"/>
        </w:rPr>
        <w:t>retiring</w:t>
      </w:r>
      <w:r w:rsidR="004619F8" w:rsidRPr="00D81D5A">
        <w:rPr>
          <w:szCs w:val="26"/>
        </w:rPr>
        <w:t xml:space="preserve"> employee’s </w:t>
      </w:r>
      <w:r w:rsidR="001D4D35" w:rsidRPr="00D81D5A">
        <w:rPr>
          <w:szCs w:val="26"/>
        </w:rPr>
        <w:t>personal</w:t>
      </w:r>
      <w:r w:rsidR="005F4769" w:rsidRPr="00D81D5A">
        <w:rPr>
          <w:szCs w:val="26"/>
        </w:rPr>
        <w:t xml:space="preserve"> </w:t>
      </w:r>
      <w:r w:rsidR="00C2628C" w:rsidRPr="00D81D5A">
        <w:rPr>
          <w:szCs w:val="26"/>
        </w:rPr>
        <w:t xml:space="preserve">daily </w:t>
      </w:r>
      <w:r w:rsidR="004619F8" w:rsidRPr="00D81D5A">
        <w:rPr>
          <w:szCs w:val="26"/>
        </w:rPr>
        <w:t xml:space="preserve">rate of pay, while it looks to the </w:t>
      </w:r>
      <w:r w:rsidR="00254096" w:rsidRPr="00D81D5A">
        <w:rPr>
          <w:szCs w:val="26"/>
        </w:rPr>
        <w:lastRenderedPageBreak/>
        <w:t xml:space="preserve">number of </w:t>
      </w:r>
      <w:r w:rsidR="00530942" w:rsidRPr="00D81D5A">
        <w:rPr>
          <w:szCs w:val="26"/>
        </w:rPr>
        <w:t xml:space="preserve">days </w:t>
      </w:r>
      <w:r w:rsidR="005E34E4" w:rsidRPr="00D81D5A">
        <w:rPr>
          <w:szCs w:val="26"/>
        </w:rPr>
        <w:t>“ordinar</w:t>
      </w:r>
      <w:r w:rsidR="005E34E4">
        <w:rPr>
          <w:szCs w:val="26"/>
        </w:rPr>
        <w:t>il</w:t>
      </w:r>
      <w:r w:rsidR="005E34E4" w:rsidRPr="00D81D5A">
        <w:rPr>
          <w:szCs w:val="26"/>
        </w:rPr>
        <w:t xml:space="preserve">y” </w:t>
      </w:r>
      <w:r w:rsidR="00530942" w:rsidRPr="00D81D5A">
        <w:rPr>
          <w:szCs w:val="26"/>
        </w:rPr>
        <w:t>worked by</w:t>
      </w:r>
      <w:r w:rsidR="00254096" w:rsidRPr="00D81D5A">
        <w:rPr>
          <w:szCs w:val="26"/>
        </w:rPr>
        <w:t xml:space="preserve"> comparable</w:t>
      </w:r>
      <w:r w:rsidR="004619F8" w:rsidRPr="00D81D5A">
        <w:rPr>
          <w:szCs w:val="26"/>
        </w:rPr>
        <w:t xml:space="preserve"> employee</w:t>
      </w:r>
      <w:r w:rsidR="00254096" w:rsidRPr="00D81D5A">
        <w:rPr>
          <w:szCs w:val="26"/>
        </w:rPr>
        <w:t>s</w:t>
      </w:r>
      <w:r w:rsidR="004619F8" w:rsidRPr="00D81D5A">
        <w:rPr>
          <w:szCs w:val="26"/>
        </w:rPr>
        <w:t xml:space="preserve"> — that is, “</w:t>
      </w:r>
      <w:r w:rsidR="004619F8" w:rsidRPr="00D81D5A">
        <w:rPr>
          <w:szCs w:val="26"/>
          <w:shd w:val="clear" w:color="auto" w:fill="FFFFFF"/>
        </w:rPr>
        <w:t>persons in the same grade or class of positions during the period, and at the same [base] rate of pay” (</w:t>
      </w:r>
      <w:r w:rsidR="00254096" w:rsidRPr="00D81D5A">
        <w:rPr>
          <w:i/>
          <w:szCs w:val="26"/>
          <w:shd w:val="clear" w:color="auto" w:fill="FFFFFF"/>
        </w:rPr>
        <w:t>id</w:t>
      </w:r>
      <w:r w:rsidR="00254096" w:rsidRPr="00D81D5A">
        <w:rPr>
          <w:szCs w:val="26"/>
          <w:shd w:val="clear" w:color="auto" w:fill="FFFFFF"/>
        </w:rPr>
        <w:t>.</w:t>
      </w:r>
      <w:r w:rsidR="004619F8" w:rsidRPr="00D81D5A">
        <w:rPr>
          <w:szCs w:val="26"/>
          <w:shd w:val="clear" w:color="auto" w:fill="FFFFFF"/>
        </w:rPr>
        <w:t xml:space="preserve">, </w:t>
      </w:r>
      <w:proofErr w:type="spellStart"/>
      <w:r w:rsidR="004619F8" w:rsidRPr="00D81D5A">
        <w:rPr>
          <w:szCs w:val="26"/>
          <w:shd w:val="clear" w:color="auto" w:fill="FFFFFF"/>
        </w:rPr>
        <w:t>subd</w:t>
      </w:r>
      <w:proofErr w:type="spellEnd"/>
      <w:r w:rsidR="004619F8" w:rsidRPr="00D81D5A">
        <w:rPr>
          <w:szCs w:val="26"/>
          <w:shd w:val="clear" w:color="auto" w:fill="FFFFFF"/>
        </w:rPr>
        <w:t>. (a)) — to determine the number of workdays over which that rate of pay is applied</w:t>
      </w:r>
      <w:r w:rsidR="00C33874" w:rsidRPr="00D81D5A">
        <w:rPr>
          <w:szCs w:val="26"/>
          <w:shd w:val="clear" w:color="auto" w:fill="FFFFFF"/>
        </w:rPr>
        <w:t xml:space="preserve">.  </w:t>
      </w:r>
      <w:r w:rsidR="00E257F6" w:rsidRPr="00D81D5A">
        <w:rPr>
          <w:szCs w:val="26"/>
          <w:shd w:val="clear" w:color="auto" w:fill="FFFFFF"/>
        </w:rPr>
        <w:t xml:space="preserve">As a practical matter, a retiring employee’s final compensation is the annual compensation the employee would have received had he or she worked the </w:t>
      </w:r>
      <w:r w:rsidR="00B11277" w:rsidRPr="00D81D5A">
        <w:rPr>
          <w:szCs w:val="26"/>
          <w:shd w:val="clear" w:color="auto" w:fill="FFFFFF"/>
        </w:rPr>
        <w:t xml:space="preserve">average </w:t>
      </w:r>
      <w:r w:rsidR="00E257F6" w:rsidRPr="00D81D5A">
        <w:rPr>
          <w:szCs w:val="26"/>
          <w:shd w:val="clear" w:color="auto" w:fill="FFFFFF"/>
        </w:rPr>
        <w:t xml:space="preserve">number of days ordinarily worked by his or her peers during the final compensation </w:t>
      </w:r>
      <w:r w:rsidR="00D565BD" w:rsidRPr="00D81D5A">
        <w:rPr>
          <w:szCs w:val="26"/>
          <w:shd w:val="clear" w:color="auto" w:fill="FFFFFF"/>
        </w:rPr>
        <w:t>period</w:t>
      </w:r>
      <w:r w:rsidR="00E257F6" w:rsidRPr="00D81D5A">
        <w:rPr>
          <w:szCs w:val="26"/>
          <w:shd w:val="clear" w:color="auto" w:fill="FFFFFF"/>
        </w:rPr>
        <w:t xml:space="preserve">.  </w:t>
      </w:r>
      <w:r w:rsidR="00530942" w:rsidRPr="00D81D5A">
        <w:rPr>
          <w:szCs w:val="26"/>
        </w:rPr>
        <w:t xml:space="preserve">To </w:t>
      </w:r>
      <w:r w:rsidR="0056723A" w:rsidRPr="00D81D5A">
        <w:rPr>
          <w:szCs w:val="26"/>
        </w:rPr>
        <w:t>find</w:t>
      </w:r>
      <w:r w:rsidR="00530942" w:rsidRPr="00D81D5A">
        <w:rPr>
          <w:szCs w:val="26"/>
        </w:rPr>
        <w:t xml:space="preserve"> final compensation, </w:t>
      </w:r>
      <w:r w:rsidR="002C5353" w:rsidRPr="00D81D5A">
        <w:rPr>
          <w:szCs w:val="26"/>
        </w:rPr>
        <w:t>a</w:t>
      </w:r>
      <w:r w:rsidR="004619F8" w:rsidRPr="00D81D5A">
        <w:rPr>
          <w:szCs w:val="26"/>
        </w:rPr>
        <w:t xml:space="preserve"> county retirement board is </w:t>
      </w:r>
      <w:r w:rsidR="00530942" w:rsidRPr="00D81D5A">
        <w:rPr>
          <w:szCs w:val="26"/>
        </w:rPr>
        <w:t xml:space="preserve">presumably </w:t>
      </w:r>
      <w:r w:rsidR="004619F8" w:rsidRPr="00D81D5A">
        <w:rPr>
          <w:szCs w:val="26"/>
        </w:rPr>
        <w:t xml:space="preserve">required to determine the employee’s compensation during the final compensation </w:t>
      </w:r>
      <w:r w:rsidR="00D565BD" w:rsidRPr="00D81D5A">
        <w:rPr>
          <w:szCs w:val="26"/>
        </w:rPr>
        <w:t>period</w:t>
      </w:r>
      <w:r w:rsidR="004619F8" w:rsidRPr="00D81D5A">
        <w:rPr>
          <w:szCs w:val="26"/>
        </w:rPr>
        <w:t>, divide that figure by the days worked by the employee in that time to determine his or her</w:t>
      </w:r>
      <w:r w:rsidR="008115B4" w:rsidRPr="00D81D5A">
        <w:rPr>
          <w:szCs w:val="26"/>
        </w:rPr>
        <w:t xml:space="preserve"> average</w:t>
      </w:r>
      <w:r w:rsidR="004619F8" w:rsidRPr="00D81D5A">
        <w:rPr>
          <w:szCs w:val="26"/>
        </w:rPr>
        <w:t xml:space="preserve"> daily rate of pay, and then multiply that rate by “</w:t>
      </w:r>
      <w:r w:rsidR="004619F8" w:rsidRPr="00D81D5A">
        <w:rPr>
          <w:szCs w:val="26"/>
          <w:shd w:val="clear" w:color="auto" w:fill="FFFFFF"/>
        </w:rPr>
        <w:t>the average</w:t>
      </w:r>
      <w:r w:rsidR="004C4919" w:rsidRPr="00D81D5A">
        <w:rPr>
          <w:szCs w:val="26"/>
          <w:shd w:val="clear" w:color="auto" w:fill="FFFFFF"/>
        </w:rPr>
        <w:t xml:space="preserve"> [annual]</w:t>
      </w:r>
      <w:r w:rsidR="004619F8" w:rsidRPr="00D81D5A">
        <w:rPr>
          <w:szCs w:val="26"/>
          <w:shd w:val="clear" w:color="auto" w:fill="FFFFFF"/>
        </w:rPr>
        <w:t xml:space="preserve"> number of days ordinarily worked”</w:t>
      </w:r>
      <w:r w:rsidR="00FF6B9E">
        <w:rPr>
          <w:szCs w:val="26"/>
          <w:shd w:val="clear" w:color="auto" w:fill="FFFFFF"/>
        </w:rPr>
        <w:t xml:space="preserve"> (</w:t>
      </w:r>
      <w:r w:rsidR="00F17E52">
        <w:rPr>
          <w:i/>
          <w:iCs/>
          <w:szCs w:val="26"/>
          <w:shd w:val="clear" w:color="auto" w:fill="FFFFFF"/>
        </w:rPr>
        <w:t>ibid</w:t>
      </w:r>
      <w:r w:rsidR="00F17E52">
        <w:rPr>
          <w:szCs w:val="26"/>
          <w:shd w:val="clear" w:color="auto" w:fill="FFFFFF"/>
        </w:rPr>
        <w:t>.)</w:t>
      </w:r>
      <w:r w:rsidR="004619F8" w:rsidRPr="00D81D5A">
        <w:rPr>
          <w:szCs w:val="26"/>
          <w:shd w:val="clear" w:color="auto" w:fill="FFFFFF"/>
        </w:rPr>
        <w:t xml:space="preserve"> by the employee’s peers during the final compensation </w:t>
      </w:r>
      <w:r w:rsidR="00D565BD" w:rsidRPr="00D81D5A">
        <w:rPr>
          <w:szCs w:val="26"/>
          <w:shd w:val="clear" w:color="auto" w:fill="FFFFFF"/>
        </w:rPr>
        <w:t>period</w:t>
      </w:r>
      <w:r w:rsidR="004619F8" w:rsidRPr="00D81D5A">
        <w:rPr>
          <w:szCs w:val="26"/>
          <w:shd w:val="clear" w:color="auto" w:fill="FFFFFF"/>
        </w:rPr>
        <w:t>.</w:t>
      </w:r>
      <w:r w:rsidR="00530942" w:rsidRPr="00D81D5A">
        <w:rPr>
          <w:rStyle w:val="FootnoteReference"/>
          <w:szCs w:val="26"/>
          <w:shd w:val="clear" w:color="auto" w:fill="FFFFFF"/>
        </w:rPr>
        <w:footnoteReference w:id="9"/>
      </w:r>
    </w:p>
    <w:p w14:paraId="45159B70" w14:textId="2FACBACF" w:rsidR="00BF445F" w:rsidRPr="00D81D5A" w:rsidRDefault="000C0612" w:rsidP="00D81D5A">
      <w:pPr>
        <w:ind w:firstLine="720"/>
        <w:rPr>
          <w:szCs w:val="26"/>
          <w:shd w:val="clear" w:color="auto" w:fill="FFFFFF"/>
        </w:rPr>
      </w:pPr>
      <w:r w:rsidRPr="00D81D5A">
        <w:rPr>
          <w:szCs w:val="26"/>
        </w:rPr>
        <w:t>Determining the components</w:t>
      </w:r>
      <w:r w:rsidRPr="00D81D5A">
        <w:t xml:space="preserve"> of an employee’s compensation that are included in compensation earnable</w:t>
      </w:r>
      <w:r w:rsidRPr="00D81D5A">
        <w:rPr>
          <w:szCs w:val="26"/>
        </w:rPr>
        <w:t xml:space="preserve"> has been a</w:t>
      </w:r>
      <w:r w:rsidR="0056723A" w:rsidRPr="00D81D5A">
        <w:rPr>
          <w:szCs w:val="26"/>
        </w:rPr>
        <w:t xml:space="preserve"> recurring issue </w:t>
      </w:r>
      <w:r w:rsidR="00D600EB" w:rsidRPr="00D81D5A">
        <w:rPr>
          <w:szCs w:val="26"/>
        </w:rPr>
        <w:t xml:space="preserve">in </w:t>
      </w:r>
      <w:r w:rsidRPr="00D81D5A">
        <w:rPr>
          <w:szCs w:val="26"/>
        </w:rPr>
        <w:t>the implementation of CERL</w:t>
      </w:r>
      <w:r w:rsidR="002F4B01" w:rsidRPr="00D81D5A">
        <w:t xml:space="preserve">.  </w:t>
      </w:r>
      <w:r w:rsidR="002C0ACB" w:rsidRPr="00D81D5A">
        <w:t>The compensation of m</w:t>
      </w:r>
      <w:r w:rsidR="002F4B01" w:rsidRPr="00D81D5A">
        <w:t>any county employees</w:t>
      </w:r>
      <w:r w:rsidR="002C0ACB" w:rsidRPr="00D81D5A">
        <w:t xml:space="preserve">, particularly including public safety workers like the members of the </w:t>
      </w:r>
      <w:r w:rsidR="00674DC3" w:rsidRPr="00D81D5A">
        <w:t>A</w:t>
      </w:r>
      <w:r w:rsidR="002C0ACB" w:rsidRPr="00D81D5A">
        <w:t>ssociation,</w:t>
      </w:r>
      <w:r w:rsidR="00D35BD4" w:rsidRPr="00D81D5A">
        <w:t xml:space="preserve"> consists of </w:t>
      </w:r>
      <w:r w:rsidR="002F4B01" w:rsidRPr="00D81D5A">
        <w:t xml:space="preserve">a base salary augmented by a series of </w:t>
      </w:r>
      <w:r w:rsidR="00073D00" w:rsidRPr="00D81D5A">
        <w:t>employee-</w:t>
      </w:r>
      <w:r w:rsidR="00073D00" w:rsidRPr="00D81D5A">
        <w:lastRenderedPageBreak/>
        <w:t xml:space="preserve">specific </w:t>
      </w:r>
      <w:r w:rsidR="002F4B01" w:rsidRPr="00D81D5A">
        <w:t>add-ons</w:t>
      </w:r>
      <w:r w:rsidR="00DA0A67" w:rsidRPr="00D81D5A">
        <w:t xml:space="preserve"> to recognize, for</w:t>
      </w:r>
      <w:r w:rsidR="00073D00" w:rsidRPr="00D81D5A">
        <w:t xml:space="preserve"> example,</w:t>
      </w:r>
      <w:r w:rsidR="002F4B01" w:rsidRPr="00D81D5A">
        <w:t xml:space="preserve"> special </w:t>
      </w:r>
      <w:r w:rsidR="00073D00" w:rsidRPr="00D81D5A">
        <w:t>training</w:t>
      </w:r>
      <w:r w:rsidR="00E257F6" w:rsidRPr="00D81D5A">
        <w:t>,</w:t>
      </w:r>
      <w:r w:rsidR="00073D00" w:rsidRPr="00D81D5A">
        <w:t xml:space="preserve"> </w:t>
      </w:r>
      <w:r w:rsidR="002F4B01" w:rsidRPr="00D81D5A">
        <w:t>experi</w:t>
      </w:r>
      <w:r w:rsidR="00073D00" w:rsidRPr="00D81D5A">
        <w:t>ence</w:t>
      </w:r>
      <w:r w:rsidR="00E257F6" w:rsidRPr="00D81D5A">
        <w:t xml:space="preserve">, </w:t>
      </w:r>
      <w:r w:rsidRPr="00D81D5A">
        <w:t>or</w:t>
      </w:r>
      <w:r w:rsidR="00073D00" w:rsidRPr="00D81D5A">
        <w:t xml:space="preserve"> </w:t>
      </w:r>
      <w:r w:rsidR="002F4B01" w:rsidRPr="00D81D5A">
        <w:t>hazardous duty</w:t>
      </w:r>
      <w:r w:rsidR="00073D00" w:rsidRPr="00D81D5A">
        <w:t xml:space="preserve">.  </w:t>
      </w:r>
      <w:r w:rsidR="002F4B01" w:rsidRPr="00D81D5A">
        <w:t xml:space="preserve">Prior to our decision in </w:t>
      </w:r>
      <w:r w:rsidR="002F4B01" w:rsidRPr="00D81D5A">
        <w:rPr>
          <w:i/>
        </w:rPr>
        <w:t>Ventura County</w:t>
      </w:r>
      <w:r w:rsidR="002F4B01" w:rsidRPr="00D81D5A">
        <w:t>, m</w:t>
      </w:r>
      <w:r w:rsidR="001A6AA4" w:rsidRPr="00D81D5A">
        <w:t>any</w:t>
      </w:r>
      <w:r w:rsidR="002F4B01" w:rsidRPr="00D81D5A">
        <w:t xml:space="preserve"> county retirement boards </w:t>
      </w:r>
      <w:r w:rsidRPr="00D81D5A">
        <w:t xml:space="preserve">were </w:t>
      </w:r>
      <w:r w:rsidR="002C0ACB" w:rsidRPr="00D81D5A">
        <w:t>guide</w:t>
      </w:r>
      <w:r w:rsidRPr="00D81D5A">
        <w:t>d</w:t>
      </w:r>
      <w:r w:rsidR="002F4B01" w:rsidRPr="00D81D5A">
        <w:t xml:space="preserve"> </w:t>
      </w:r>
      <w:r w:rsidRPr="00D81D5A">
        <w:t>by</w:t>
      </w:r>
      <w:r w:rsidR="002F4B01" w:rsidRPr="00D81D5A">
        <w:t xml:space="preserve"> </w:t>
      </w:r>
      <w:proofErr w:type="spellStart"/>
      <w:r w:rsidR="002F4B01" w:rsidRPr="00D81D5A">
        <w:rPr>
          <w:i/>
        </w:rPr>
        <w:t>Guelfi</w:t>
      </w:r>
      <w:proofErr w:type="spellEnd"/>
      <w:r w:rsidR="002F4B01" w:rsidRPr="00D81D5A">
        <w:t xml:space="preserve">, </w:t>
      </w:r>
      <w:r w:rsidR="002F4B01" w:rsidRPr="00D81D5A">
        <w:rPr>
          <w:i/>
        </w:rPr>
        <w:t>supra</w:t>
      </w:r>
      <w:r w:rsidR="002F4B01" w:rsidRPr="00D81D5A">
        <w:t xml:space="preserve">, </w:t>
      </w:r>
      <w:r w:rsidR="002F4B01" w:rsidRPr="00D81D5A">
        <w:rPr>
          <w:szCs w:val="26"/>
          <w:shd w:val="clear" w:color="auto" w:fill="FFFFFF"/>
        </w:rPr>
        <w:t xml:space="preserve">145 Cal.App.3d 297, </w:t>
      </w:r>
      <w:r w:rsidR="00805455" w:rsidRPr="00D81D5A">
        <w:t>w</w:t>
      </w:r>
      <w:r w:rsidR="002F4B01" w:rsidRPr="00D81D5A">
        <w:t xml:space="preserve">hich held that compensation earnable </w:t>
      </w:r>
      <w:r w:rsidR="00073D00" w:rsidRPr="00D81D5A">
        <w:t xml:space="preserve">does not </w:t>
      </w:r>
      <w:r w:rsidR="002F4B01" w:rsidRPr="00D81D5A">
        <w:t>include</w:t>
      </w:r>
      <w:r w:rsidR="00073D00" w:rsidRPr="00D81D5A">
        <w:t xml:space="preserve"> such add-ons</w:t>
      </w:r>
      <w:r w:rsidR="002C5353" w:rsidRPr="00D81D5A">
        <w:t xml:space="preserve"> unless they are paid to all of an employee’s peers.  </w:t>
      </w:r>
      <w:proofErr w:type="spellStart"/>
      <w:r w:rsidR="002C5353" w:rsidRPr="00D81D5A">
        <w:rPr>
          <w:i/>
        </w:rPr>
        <w:t>Guelfi</w:t>
      </w:r>
      <w:proofErr w:type="spellEnd"/>
      <w:r w:rsidR="002C5353" w:rsidRPr="00D81D5A">
        <w:rPr>
          <w:i/>
        </w:rPr>
        <w:t xml:space="preserve"> </w:t>
      </w:r>
      <w:r w:rsidR="002C5353" w:rsidRPr="00D81D5A">
        <w:t xml:space="preserve">also held that the value of in-kind advantages provided to an employee </w:t>
      </w:r>
      <w:r w:rsidR="002B57F7" w:rsidRPr="00D81D5A">
        <w:t>is</w:t>
      </w:r>
      <w:r w:rsidR="002C5353" w:rsidRPr="00D81D5A">
        <w:t xml:space="preserve"> excluded from compensation earnable, even if the employee </w:t>
      </w:r>
      <w:r w:rsidRPr="00D81D5A">
        <w:t>i</w:t>
      </w:r>
      <w:r w:rsidR="002C5353" w:rsidRPr="00D81D5A">
        <w:t>s paid the cash value of the advantage rather than receiving it in-kind.  (</w:t>
      </w:r>
      <w:r w:rsidR="002C5353" w:rsidRPr="00D81D5A">
        <w:rPr>
          <w:i/>
        </w:rPr>
        <w:t>Id</w:t>
      </w:r>
      <w:r w:rsidR="002C5353" w:rsidRPr="00D81D5A">
        <w:t>. at pp.</w:t>
      </w:r>
      <w:r w:rsidR="00C110DF">
        <w:t> </w:t>
      </w:r>
      <w:r w:rsidR="002C5353" w:rsidRPr="00D81D5A">
        <w:t>303</w:t>
      </w:r>
      <w:r w:rsidR="00427AF8">
        <w:t>–</w:t>
      </w:r>
      <w:r w:rsidR="002C5353" w:rsidRPr="00D81D5A">
        <w:t xml:space="preserve">304.)  </w:t>
      </w:r>
      <w:r w:rsidR="002C5353" w:rsidRPr="00D81D5A">
        <w:rPr>
          <w:i/>
        </w:rPr>
        <w:t xml:space="preserve">Ventura County </w:t>
      </w:r>
      <w:r w:rsidR="002C5353" w:rsidRPr="00D81D5A">
        <w:t xml:space="preserve">disapproved both </w:t>
      </w:r>
      <w:r w:rsidR="008115B4" w:rsidRPr="00D81D5A">
        <w:t xml:space="preserve">of these aspects of </w:t>
      </w:r>
      <w:proofErr w:type="spellStart"/>
      <w:r w:rsidR="008115B4" w:rsidRPr="00D81D5A">
        <w:rPr>
          <w:i/>
        </w:rPr>
        <w:t>Guelfi</w:t>
      </w:r>
      <w:proofErr w:type="spellEnd"/>
      <w:r w:rsidR="002C5353" w:rsidRPr="00D81D5A">
        <w:t>, holding that</w:t>
      </w:r>
      <w:r w:rsidR="00D35BD4" w:rsidRPr="00D81D5A">
        <w:t xml:space="preserve"> </w:t>
      </w:r>
      <w:r w:rsidR="00E257F6" w:rsidRPr="00D81D5A">
        <w:t>the statutory definition of</w:t>
      </w:r>
      <w:r w:rsidR="00D35BD4" w:rsidRPr="00D81D5A">
        <w:t xml:space="preserve"> </w:t>
      </w:r>
      <w:r w:rsidR="002C5353" w:rsidRPr="00D81D5A">
        <w:t xml:space="preserve">“compensation” </w:t>
      </w:r>
      <w:r w:rsidR="00CE0280" w:rsidRPr="00D81D5A">
        <w:t xml:space="preserve">in section 31460 </w:t>
      </w:r>
      <w:r w:rsidR="002C5353" w:rsidRPr="00D81D5A">
        <w:t>includes a</w:t>
      </w:r>
      <w:r w:rsidR="00E257F6" w:rsidRPr="00D81D5A">
        <w:t>ll</w:t>
      </w:r>
      <w:r w:rsidR="002C5353" w:rsidRPr="00D81D5A">
        <w:t xml:space="preserve"> cash compensation paid to an employee, regard</w:t>
      </w:r>
      <w:r w:rsidR="004F0E51" w:rsidRPr="00D81D5A">
        <w:t>less</w:t>
      </w:r>
      <w:r w:rsidR="002C5353" w:rsidRPr="00D81D5A">
        <w:t xml:space="preserve"> whether the cash represented the value of an in-kind benefit or </w:t>
      </w:r>
      <w:r w:rsidR="00E257F6" w:rsidRPr="00D81D5A">
        <w:t>constituted</w:t>
      </w:r>
      <w:r w:rsidR="00C33874" w:rsidRPr="00D81D5A">
        <w:t xml:space="preserve"> </w:t>
      </w:r>
      <w:r w:rsidR="002C5353" w:rsidRPr="00D81D5A">
        <w:t xml:space="preserve">premium </w:t>
      </w:r>
      <w:r w:rsidR="00C33874" w:rsidRPr="00D81D5A">
        <w:t xml:space="preserve">pay not received by </w:t>
      </w:r>
      <w:r w:rsidR="002C5353" w:rsidRPr="00D81D5A">
        <w:t>all of the employee’s peers.  (</w:t>
      </w:r>
      <w:r w:rsidR="002C5353" w:rsidRPr="00D81D5A">
        <w:rPr>
          <w:i/>
        </w:rPr>
        <w:t>Ventura County</w:t>
      </w:r>
      <w:r w:rsidR="002C5353" w:rsidRPr="00D81D5A">
        <w:t>,</w:t>
      </w:r>
      <w:r w:rsidR="00F17E52">
        <w:t xml:space="preserve"> </w:t>
      </w:r>
      <w:r w:rsidR="00F17E52">
        <w:rPr>
          <w:i/>
          <w:iCs/>
        </w:rPr>
        <w:t>supra</w:t>
      </w:r>
      <w:r w:rsidR="00F17E52">
        <w:t>,</w:t>
      </w:r>
      <w:r w:rsidR="002C5353" w:rsidRPr="00D81D5A">
        <w:t xml:space="preserve"> </w:t>
      </w:r>
      <w:r w:rsidR="00F17E52">
        <w:t xml:space="preserve">16 Cal.4th </w:t>
      </w:r>
      <w:r w:rsidR="002C5353" w:rsidRPr="00D81D5A">
        <w:t>at pp.</w:t>
      </w:r>
      <w:r w:rsidR="002D3CE0">
        <w:t> </w:t>
      </w:r>
      <w:r w:rsidR="002C5353" w:rsidRPr="00D81D5A">
        <w:t>496</w:t>
      </w:r>
      <w:r w:rsidR="00427AF8">
        <w:t>–</w:t>
      </w:r>
      <w:r w:rsidR="002C5353" w:rsidRPr="00D81D5A">
        <w:t>49</w:t>
      </w:r>
      <w:r w:rsidR="005E34E4">
        <w:t>9</w:t>
      </w:r>
      <w:r w:rsidR="002C5353" w:rsidRPr="00D81D5A">
        <w:t>.)</w:t>
      </w:r>
      <w:bookmarkEnd w:id="9"/>
      <w:r w:rsidR="00C33874" w:rsidRPr="00D81D5A">
        <w:t xml:space="preserve">  </w:t>
      </w:r>
      <w:r w:rsidR="001A71E7" w:rsidRPr="00D81D5A">
        <w:t xml:space="preserve">Because </w:t>
      </w:r>
      <w:r w:rsidR="004F0E51" w:rsidRPr="00D81D5A">
        <w:t xml:space="preserve">such </w:t>
      </w:r>
      <w:r w:rsidR="001A71E7" w:rsidRPr="00D81D5A">
        <w:t xml:space="preserve">“compensation” is </w:t>
      </w:r>
      <w:r w:rsidR="004F0E51" w:rsidRPr="00D81D5A">
        <w:t>the basis for compensation earnable</w:t>
      </w:r>
      <w:r w:rsidR="001A71E7" w:rsidRPr="00D81D5A">
        <w:t>, these</w:t>
      </w:r>
      <w:r w:rsidR="004F0E51" w:rsidRPr="00D81D5A">
        <w:t xml:space="preserve"> general</w:t>
      </w:r>
      <w:r w:rsidR="001A71E7" w:rsidRPr="00D81D5A">
        <w:t xml:space="preserve"> </w:t>
      </w:r>
      <w:r w:rsidR="00A52893" w:rsidRPr="00D81D5A">
        <w:t xml:space="preserve">holdings from </w:t>
      </w:r>
      <w:r w:rsidR="00A52893" w:rsidRPr="00D81D5A">
        <w:rPr>
          <w:i/>
        </w:rPr>
        <w:t xml:space="preserve">Ventura County </w:t>
      </w:r>
      <w:r w:rsidR="002B0A19" w:rsidRPr="00D81D5A">
        <w:t xml:space="preserve">have </w:t>
      </w:r>
      <w:r w:rsidR="001A71E7" w:rsidRPr="00D81D5A">
        <w:t xml:space="preserve">guided the </w:t>
      </w:r>
      <w:r w:rsidR="004F0E51" w:rsidRPr="00D81D5A">
        <w:t>determina</w:t>
      </w:r>
      <w:r w:rsidR="001A71E7" w:rsidRPr="00D81D5A">
        <w:t xml:space="preserve">tion of compensation earnable under CERL </w:t>
      </w:r>
      <w:r w:rsidR="002B0A19" w:rsidRPr="00D81D5A">
        <w:t>since</w:t>
      </w:r>
      <w:r w:rsidR="00A52893" w:rsidRPr="00D81D5A">
        <w:t xml:space="preserve"> t</w:t>
      </w:r>
      <w:r w:rsidR="00D565BD" w:rsidRPr="00D81D5A">
        <w:t>he decision’</w:t>
      </w:r>
      <w:r w:rsidR="00A52893" w:rsidRPr="00D81D5A">
        <w:t>s</w:t>
      </w:r>
      <w:r w:rsidR="00C33874" w:rsidRPr="00D81D5A">
        <w:t xml:space="preserve"> issuance </w:t>
      </w:r>
      <w:r w:rsidR="00A52893" w:rsidRPr="00D81D5A">
        <w:t>in</w:t>
      </w:r>
      <w:r w:rsidR="00C33874" w:rsidRPr="00D81D5A">
        <w:t xml:space="preserve"> 1997</w:t>
      </w:r>
      <w:r w:rsidR="001A71E7" w:rsidRPr="00D81D5A">
        <w:t>.</w:t>
      </w:r>
    </w:p>
    <w:p w14:paraId="68F8DF8B" w14:textId="77777777" w:rsidR="00342459" w:rsidRPr="00D81D5A" w:rsidRDefault="007042AB" w:rsidP="00D81D5A">
      <w:pPr>
        <w:pStyle w:val="Heading2"/>
        <w:rPr>
          <w:szCs w:val="26"/>
          <w:shd w:val="clear" w:color="auto" w:fill="FFFFFF"/>
        </w:rPr>
      </w:pPr>
      <w:r w:rsidRPr="00D81D5A">
        <w:t>C</w:t>
      </w:r>
      <w:r w:rsidR="00C46501" w:rsidRPr="00D81D5A">
        <w:t>.  PEPRA</w:t>
      </w:r>
    </w:p>
    <w:p w14:paraId="2EA4B8C1" w14:textId="612DD5CF" w:rsidR="00292DE9" w:rsidRPr="00D81D5A" w:rsidRDefault="00540F28" w:rsidP="00D81D5A">
      <w:pPr>
        <w:autoSpaceDE w:val="0"/>
        <w:autoSpaceDN w:val="0"/>
        <w:adjustRightInd w:val="0"/>
        <w:ind w:firstLine="720"/>
      </w:pPr>
      <w:r w:rsidRPr="00D81D5A">
        <w:t xml:space="preserve">The Legislature viewed PEPRA as a “comprehensive” reform of California’s public pension systems.  (Sen. Rules Com., </w:t>
      </w:r>
      <w:r w:rsidR="00F17E52">
        <w:t xml:space="preserve">Off. of Sen. Floor Analyses, </w:t>
      </w:r>
      <w:r w:rsidRPr="00D81D5A">
        <w:t>Analysis</w:t>
      </w:r>
      <w:r w:rsidR="00F17E52">
        <w:t xml:space="preserve"> of</w:t>
      </w:r>
      <w:r w:rsidRPr="00D81D5A">
        <w:t xml:space="preserve"> Assem. Bill </w:t>
      </w:r>
      <w:r w:rsidR="00F17E52">
        <w:t>No.</w:t>
      </w:r>
      <w:r w:rsidR="00C110DF">
        <w:t> </w:t>
      </w:r>
      <w:r w:rsidRPr="00D81D5A">
        <w:t>340 (2011</w:t>
      </w:r>
      <w:r w:rsidR="00427AF8">
        <w:t>–</w:t>
      </w:r>
      <w:r w:rsidRPr="00D81D5A">
        <w:t xml:space="preserve">2012 Reg. Sess.) Aug. </w:t>
      </w:r>
      <w:r w:rsidR="00F17E52">
        <w:t>28</w:t>
      </w:r>
      <w:r w:rsidRPr="00D81D5A">
        <w:t xml:space="preserve">, 2012, p. 8.)  Many of PEPRA’s provisions were based on a reform proposal published by </w:t>
      </w:r>
      <w:r w:rsidRPr="00D81D5A">
        <w:rPr>
          <w:szCs w:val="26"/>
          <w:shd w:val="clear" w:color="auto" w:fill="FFFFFF"/>
        </w:rPr>
        <w:t>Governor Edmund G. Brown, Jr. in October 2011.</w:t>
      </w:r>
      <w:r w:rsidRPr="00D81D5A">
        <w:rPr>
          <w:rStyle w:val="FootnoteReference"/>
          <w:szCs w:val="26"/>
          <w:shd w:val="clear" w:color="auto" w:fill="FFFFFF"/>
        </w:rPr>
        <w:footnoteReference w:id="10"/>
      </w:r>
      <w:r w:rsidRPr="00D81D5A">
        <w:t xml:space="preserve">  Its </w:t>
      </w:r>
      <w:r w:rsidRPr="00D81D5A">
        <w:lastRenderedPageBreak/>
        <w:t>centerpiece was a new pension plan applicable only to newly hired public employees that i</w:t>
      </w:r>
      <w:r w:rsidRPr="00D81D5A">
        <w:rPr>
          <w:szCs w:val="26"/>
        </w:rPr>
        <w:t>s “less expansive, and therefore less burdensome for the state and local governments, than the plans covering then-existing public employees.”  (</w:t>
      </w:r>
      <w:r w:rsidRPr="00D81D5A">
        <w:rPr>
          <w:i/>
          <w:szCs w:val="26"/>
        </w:rPr>
        <w:t>Cal Fire</w:t>
      </w:r>
      <w:r w:rsidRPr="00D81D5A">
        <w:rPr>
          <w:szCs w:val="26"/>
        </w:rPr>
        <w:t xml:space="preserve">, </w:t>
      </w:r>
      <w:r w:rsidRPr="00D81D5A">
        <w:rPr>
          <w:i/>
          <w:szCs w:val="26"/>
        </w:rPr>
        <w:t>supra</w:t>
      </w:r>
      <w:r w:rsidRPr="00D81D5A">
        <w:rPr>
          <w:szCs w:val="26"/>
        </w:rPr>
        <w:t>, 6 Cal.</w:t>
      </w:r>
      <w:r w:rsidRPr="00D81D5A">
        <w:t>5th at pp. 974</w:t>
      </w:r>
      <w:r w:rsidR="00427AF8">
        <w:t>–</w:t>
      </w:r>
      <w:r w:rsidRPr="00D81D5A">
        <w:t>975.)  But PEPRA also modified some statutes governing the pensions of existing employees (</w:t>
      </w:r>
      <w:r w:rsidR="003214BE">
        <w:rPr>
          <w:i/>
          <w:iCs/>
        </w:rPr>
        <w:t>Cal Fire</w:t>
      </w:r>
      <w:r w:rsidR="0085151E">
        <w:rPr>
          <w:iCs/>
        </w:rPr>
        <w:t>,</w:t>
      </w:r>
      <w:r w:rsidRPr="00D81D5A">
        <w:rPr>
          <w:i/>
        </w:rPr>
        <w:t xml:space="preserve"> </w:t>
      </w:r>
      <w:r w:rsidRPr="00D81D5A">
        <w:t>at p. 975)</w:t>
      </w:r>
      <w:r w:rsidRPr="00D81D5A">
        <w:rPr>
          <w:szCs w:val="26"/>
          <w:shd w:val="clear" w:color="auto" w:fill="FFFFFF"/>
        </w:rPr>
        <w:t xml:space="preserve"> and incorporated provisions from separately pending legislation that were not a part of the governor’s proposal.  One of those provisions was the amendment at issue in this matter.</w:t>
      </w:r>
      <w:r w:rsidRPr="00D81D5A">
        <w:rPr>
          <w:rStyle w:val="FootnoteReference"/>
          <w:szCs w:val="26"/>
          <w:shd w:val="clear" w:color="auto" w:fill="FFFFFF"/>
        </w:rPr>
        <w:footnoteReference w:id="11"/>
      </w:r>
    </w:p>
    <w:p w14:paraId="0050951D" w14:textId="77777777" w:rsidR="00AD1401" w:rsidRDefault="001A71E7" w:rsidP="00D81D5A">
      <w:pPr>
        <w:autoSpaceDE w:val="0"/>
        <w:autoSpaceDN w:val="0"/>
        <w:adjustRightInd w:val="0"/>
        <w:ind w:firstLine="720"/>
        <w:rPr>
          <w:color w:val="060606"/>
          <w:szCs w:val="26"/>
        </w:rPr>
      </w:pPr>
      <w:r w:rsidRPr="00D81D5A">
        <w:lastRenderedPageBreak/>
        <w:t>Th</w:t>
      </w:r>
      <w:r w:rsidR="00EB198A" w:rsidRPr="00D81D5A">
        <w:t>e present</w:t>
      </w:r>
      <w:r w:rsidRPr="00D81D5A">
        <w:t xml:space="preserve"> amendment</w:t>
      </w:r>
      <w:r w:rsidR="00540F28" w:rsidRPr="00D81D5A">
        <w:t xml:space="preserve">, applicable to the pensions of </w:t>
      </w:r>
      <w:r w:rsidR="00985F72">
        <w:t xml:space="preserve">both </w:t>
      </w:r>
      <w:r w:rsidR="00540F28" w:rsidRPr="00D81D5A">
        <w:t xml:space="preserve">legacy </w:t>
      </w:r>
      <w:r w:rsidR="00985F72">
        <w:t xml:space="preserve">and new </w:t>
      </w:r>
      <w:r w:rsidR="00540F28" w:rsidRPr="00D81D5A">
        <w:t>employees,</w:t>
      </w:r>
      <w:r w:rsidRPr="00D81D5A">
        <w:t xml:space="preserve"> added </w:t>
      </w:r>
      <w:r w:rsidR="009662DF" w:rsidRPr="00D81D5A">
        <w:t xml:space="preserve">a </w:t>
      </w:r>
      <w:r w:rsidR="00A9039A" w:rsidRPr="00D81D5A">
        <w:t>subdivision</w:t>
      </w:r>
      <w:r w:rsidRPr="00D81D5A">
        <w:t xml:space="preserve"> </w:t>
      </w:r>
      <w:r w:rsidR="007A3715" w:rsidRPr="00D81D5A">
        <w:t>t</w:t>
      </w:r>
      <w:r w:rsidR="009662DF" w:rsidRPr="00D81D5A">
        <w:t>o</w:t>
      </w:r>
      <w:r w:rsidR="00CE0280" w:rsidRPr="00D81D5A">
        <w:t xml:space="preserve"> the definition of compensation earnable in</w:t>
      </w:r>
      <w:r w:rsidR="009662DF" w:rsidRPr="00D81D5A">
        <w:t xml:space="preserve"> section 31461</w:t>
      </w:r>
      <w:r w:rsidRPr="00D81D5A">
        <w:t>.</w:t>
      </w:r>
      <w:r w:rsidR="00EB198A" w:rsidRPr="00D81D5A">
        <w:rPr>
          <w:rStyle w:val="FootnoteReference"/>
        </w:rPr>
        <w:footnoteReference w:id="12"/>
      </w:r>
      <w:r w:rsidRPr="00D81D5A">
        <w:t xml:space="preserve">  </w:t>
      </w:r>
      <w:r w:rsidR="00AD1401" w:rsidRPr="00D81D5A">
        <w:t xml:space="preserve">(Stats. </w:t>
      </w:r>
      <w:r w:rsidR="00AD1401" w:rsidRPr="00D81D5A">
        <w:lastRenderedPageBreak/>
        <w:t xml:space="preserve">2012, </w:t>
      </w:r>
      <w:proofErr w:type="spellStart"/>
      <w:r w:rsidR="00AD1401" w:rsidRPr="00D81D5A">
        <w:t>ch.</w:t>
      </w:r>
      <w:proofErr w:type="spellEnd"/>
      <w:r w:rsidR="00AD1401" w:rsidRPr="00D81D5A">
        <w:t xml:space="preserve"> 296, § 28.)  </w:t>
      </w:r>
      <w:r w:rsidR="00985F72">
        <w:t>N</w:t>
      </w:r>
      <w:r w:rsidRPr="00D81D5A">
        <w:t xml:space="preserve">ew subdivision </w:t>
      </w:r>
      <w:r w:rsidR="00985F72">
        <w:t xml:space="preserve">(b) </w:t>
      </w:r>
      <w:r w:rsidR="00CE163E" w:rsidRPr="00D81D5A">
        <w:t>exclu</w:t>
      </w:r>
      <w:r w:rsidR="009662DF" w:rsidRPr="00D81D5A">
        <w:t>de</w:t>
      </w:r>
      <w:r w:rsidRPr="00D81D5A">
        <w:t>s</w:t>
      </w:r>
      <w:r w:rsidR="00CE0280" w:rsidRPr="00D81D5A">
        <w:t xml:space="preserve"> entirely</w:t>
      </w:r>
      <w:r w:rsidR="005906FC" w:rsidRPr="00D81D5A">
        <w:t xml:space="preserve"> from compensation earnable</w:t>
      </w:r>
      <w:r w:rsidR="009662DF" w:rsidRPr="00D81D5A">
        <w:t xml:space="preserve"> </w:t>
      </w:r>
      <w:r w:rsidRPr="00D81D5A">
        <w:t xml:space="preserve">two </w:t>
      </w:r>
      <w:r w:rsidR="009662DF" w:rsidRPr="00D81D5A">
        <w:t xml:space="preserve">types of </w:t>
      </w:r>
      <w:r w:rsidRPr="00D81D5A">
        <w:t xml:space="preserve">compensation and </w:t>
      </w:r>
      <w:r w:rsidR="000C0612" w:rsidRPr="00D81D5A">
        <w:t>limit</w:t>
      </w:r>
      <w:r w:rsidRPr="00D81D5A">
        <w:t>s the amount of two other types of compensation that can be included</w:t>
      </w:r>
      <w:r w:rsidR="000C0612" w:rsidRPr="00D81D5A">
        <w:t xml:space="preserve"> in any 12-month period</w:t>
      </w:r>
      <w:r w:rsidR="00920287" w:rsidRPr="00D81D5A">
        <w:t xml:space="preserve"> during the final compensation </w:t>
      </w:r>
      <w:r w:rsidR="00D565BD" w:rsidRPr="00D81D5A">
        <w:t>period</w:t>
      </w:r>
      <w:r w:rsidR="00CE163E" w:rsidRPr="00D81D5A">
        <w:t xml:space="preserve">.  </w:t>
      </w:r>
      <w:r w:rsidR="00AD1401" w:rsidRPr="00D81D5A">
        <w:rPr>
          <w:szCs w:val="26"/>
          <w:bdr w:val="none" w:sz="0" w:space="0" w:color="auto" w:frame="1"/>
          <w:shd w:val="clear" w:color="auto" w:fill="FFFFFF"/>
        </w:rPr>
        <w:t>(§</w:t>
      </w:r>
      <w:r w:rsidR="00AD1401">
        <w:rPr>
          <w:szCs w:val="26"/>
          <w:bdr w:val="none" w:sz="0" w:space="0" w:color="auto" w:frame="1"/>
          <w:shd w:val="clear" w:color="auto" w:fill="FFFFFF"/>
        </w:rPr>
        <w:t> </w:t>
      </w:r>
      <w:r w:rsidR="00AD1401" w:rsidRPr="00D81D5A">
        <w:rPr>
          <w:szCs w:val="26"/>
          <w:bdr w:val="none" w:sz="0" w:space="0" w:color="auto" w:frame="1"/>
          <w:shd w:val="clear" w:color="auto" w:fill="FFFFFF"/>
        </w:rPr>
        <w:t xml:space="preserve">31461, </w:t>
      </w:r>
      <w:proofErr w:type="spellStart"/>
      <w:r w:rsidR="00AD1401" w:rsidRPr="00D81D5A">
        <w:rPr>
          <w:szCs w:val="26"/>
          <w:bdr w:val="none" w:sz="0" w:space="0" w:color="auto" w:frame="1"/>
          <w:shd w:val="clear" w:color="auto" w:fill="FFFFFF"/>
        </w:rPr>
        <w:t>subd</w:t>
      </w:r>
      <w:proofErr w:type="spellEnd"/>
      <w:r w:rsidR="00AD1401" w:rsidRPr="00D81D5A">
        <w:rPr>
          <w:szCs w:val="26"/>
          <w:bdr w:val="none" w:sz="0" w:space="0" w:color="auto" w:frame="1"/>
          <w:shd w:val="clear" w:color="auto" w:fill="FFFFFF"/>
        </w:rPr>
        <w:t>. (b)</w:t>
      </w:r>
      <w:r w:rsidR="00AD1401">
        <w:rPr>
          <w:szCs w:val="26"/>
          <w:bdr w:val="none" w:sz="0" w:space="0" w:color="auto" w:frame="1"/>
          <w:shd w:val="clear" w:color="auto" w:fill="FFFFFF"/>
        </w:rPr>
        <w:t>.</w:t>
      </w:r>
      <w:r w:rsidR="00AD1401" w:rsidRPr="00D81D5A">
        <w:rPr>
          <w:szCs w:val="26"/>
          <w:bdr w:val="none" w:sz="0" w:space="0" w:color="auto" w:frame="1"/>
          <w:shd w:val="clear" w:color="auto" w:fill="FFFFFF"/>
        </w:rPr>
        <w:t xml:space="preserve">) </w:t>
      </w:r>
      <w:r w:rsidR="00AD1401">
        <w:rPr>
          <w:szCs w:val="26"/>
          <w:bdr w:val="none" w:sz="0" w:space="0" w:color="auto" w:frame="1"/>
          <w:shd w:val="clear" w:color="auto" w:fill="FFFFFF"/>
        </w:rPr>
        <w:t xml:space="preserve"> </w:t>
      </w:r>
      <w:r w:rsidR="00920287" w:rsidRPr="00D81D5A">
        <w:t>As a result of the amendment, co</w:t>
      </w:r>
      <w:r w:rsidR="00292DE9" w:rsidRPr="00D81D5A">
        <w:t xml:space="preserve">mpensation earnable </w:t>
      </w:r>
      <w:r w:rsidR="009662DF" w:rsidRPr="00D81D5A">
        <w:t xml:space="preserve">now </w:t>
      </w:r>
      <w:r w:rsidR="00E12D55" w:rsidRPr="00D81D5A">
        <w:t>exclu</w:t>
      </w:r>
      <w:r w:rsidR="00292DE9" w:rsidRPr="00D81D5A">
        <w:t>des</w:t>
      </w:r>
      <w:r w:rsidR="00E12D55" w:rsidRPr="00D81D5A">
        <w:rPr>
          <w:bCs/>
          <w:szCs w:val="26"/>
          <w:bdr w:val="none" w:sz="0" w:space="0" w:color="auto" w:frame="1"/>
          <w:shd w:val="clear" w:color="auto" w:fill="FFFFFF"/>
        </w:rPr>
        <w:t xml:space="preserve"> a</w:t>
      </w:r>
      <w:r w:rsidR="00CE163E" w:rsidRPr="00D81D5A">
        <w:rPr>
          <w:szCs w:val="26"/>
          <w:bdr w:val="none" w:sz="0" w:space="0" w:color="auto" w:frame="1"/>
          <w:shd w:val="clear" w:color="auto" w:fill="FFFFFF"/>
        </w:rPr>
        <w:t xml:space="preserve">ny compensation determined by the </w:t>
      </w:r>
      <w:r w:rsidR="00344517" w:rsidRPr="00D81D5A">
        <w:rPr>
          <w:szCs w:val="26"/>
          <w:bdr w:val="none" w:sz="0" w:space="0" w:color="auto" w:frame="1"/>
          <w:shd w:val="clear" w:color="auto" w:fill="FFFFFF"/>
        </w:rPr>
        <w:t xml:space="preserve">local retirement </w:t>
      </w:r>
      <w:r w:rsidR="00CE163E" w:rsidRPr="00D81D5A">
        <w:rPr>
          <w:szCs w:val="26"/>
          <w:bdr w:val="none" w:sz="0" w:space="0" w:color="auto" w:frame="1"/>
          <w:shd w:val="clear" w:color="auto" w:fill="FFFFFF"/>
        </w:rPr>
        <w:t>board to have been paid to enhance a member’s retirement benefit</w:t>
      </w:r>
      <w:r w:rsidR="00E12D55" w:rsidRPr="00D81D5A">
        <w:rPr>
          <w:szCs w:val="26"/>
          <w:bdr w:val="none" w:sz="0" w:space="0" w:color="auto" w:frame="1"/>
          <w:shd w:val="clear" w:color="auto" w:fill="FFFFFF"/>
        </w:rPr>
        <w:t xml:space="preserve"> (</w:t>
      </w:r>
      <w:r w:rsidR="00AD1401">
        <w:rPr>
          <w:i/>
          <w:iCs/>
          <w:szCs w:val="26"/>
          <w:bdr w:val="none" w:sz="0" w:space="0" w:color="auto" w:frame="1"/>
          <w:shd w:val="clear" w:color="auto" w:fill="FFFFFF"/>
        </w:rPr>
        <w:t>id</w:t>
      </w:r>
      <w:r w:rsidR="00AD1401">
        <w:rPr>
          <w:szCs w:val="26"/>
          <w:bdr w:val="none" w:sz="0" w:space="0" w:color="auto" w:frame="1"/>
          <w:shd w:val="clear" w:color="auto" w:fill="FFFFFF"/>
        </w:rPr>
        <w:t>.</w:t>
      </w:r>
      <w:r w:rsidR="00E12D55" w:rsidRPr="00D81D5A">
        <w:rPr>
          <w:szCs w:val="26"/>
          <w:bdr w:val="none" w:sz="0" w:space="0" w:color="auto" w:frame="1"/>
          <w:shd w:val="clear" w:color="auto" w:fill="FFFFFF"/>
        </w:rPr>
        <w:t xml:space="preserve">, </w:t>
      </w:r>
      <w:proofErr w:type="spellStart"/>
      <w:r w:rsidR="00E12D55" w:rsidRPr="00D81D5A">
        <w:rPr>
          <w:szCs w:val="26"/>
          <w:bdr w:val="none" w:sz="0" w:space="0" w:color="auto" w:frame="1"/>
          <w:shd w:val="clear" w:color="auto" w:fill="FFFFFF"/>
        </w:rPr>
        <w:t>subd</w:t>
      </w:r>
      <w:proofErr w:type="spellEnd"/>
      <w:r w:rsidR="00E12D55" w:rsidRPr="00D81D5A">
        <w:rPr>
          <w:szCs w:val="26"/>
          <w:bdr w:val="none" w:sz="0" w:space="0" w:color="auto" w:frame="1"/>
          <w:shd w:val="clear" w:color="auto" w:fill="FFFFFF"/>
        </w:rPr>
        <w:t>. (b)(1))</w:t>
      </w:r>
      <w:r w:rsidRPr="00D81D5A">
        <w:rPr>
          <w:szCs w:val="26"/>
          <w:bdr w:val="none" w:sz="0" w:space="0" w:color="auto" w:frame="1"/>
          <w:shd w:val="clear" w:color="auto" w:fill="FFFFFF"/>
        </w:rPr>
        <w:t xml:space="preserve"> and any </w:t>
      </w:r>
      <w:r w:rsidR="008D47E8" w:rsidRPr="00D81D5A">
        <w:rPr>
          <w:szCs w:val="26"/>
          <w:bdr w:val="none" w:sz="0" w:space="0" w:color="auto" w:frame="1"/>
          <w:shd w:val="clear" w:color="auto" w:fill="FFFFFF"/>
        </w:rPr>
        <w:t>compensation</w:t>
      </w:r>
      <w:r w:rsidRPr="00D81D5A">
        <w:rPr>
          <w:szCs w:val="26"/>
          <w:bdr w:val="none" w:sz="0" w:space="0" w:color="auto" w:frame="1"/>
          <w:shd w:val="clear" w:color="auto" w:fill="FFFFFF"/>
        </w:rPr>
        <w:t xml:space="preserve"> for services rendered outside normal working hours (</w:t>
      </w:r>
      <w:r w:rsidRPr="00D81D5A">
        <w:rPr>
          <w:i/>
          <w:szCs w:val="26"/>
          <w:bdr w:val="none" w:sz="0" w:space="0" w:color="auto" w:frame="1"/>
          <w:shd w:val="clear" w:color="auto" w:fill="FFFFFF"/>
        </w:rPr>
        <w:t>id</w:t>
      </w:r>
      <w:r w:rsidRPr="00D81D5A">
        <w:rPr>
          <w:szCs w:val="26"/>
          <w:bdr w:val="none" w:sz="0" w:space="0" w:color="auto" w:frame="1"/>
          <w:shd w:val="clear" w:color="auto" w:fill="FFFFFF"/>
        </w:rPr>
        <w:t xml:space="preserve">., </w:t>
      </w:r>
      <w:proofErr w:type="spellStart"/>
      <w:r w:rsidRPr="00D81D5A">
        <w:rPr>
          <w:szCs w:val="26"/>
          <w:bdr w:val="none" w:sz="0" w:space="0" w:color="auto" w:frame="1"/>
          <w:shd w:val="clear" w:color="auto" w:fill="FFFFFF"/>
        </w:rPr>
        <w:t>subd</w:t>
      </w:r>
      <w:proofErr w:type="spellEnd"/>
      <w:r w:rsidRPr="00D81D5A">
        <w:rPr>
          <w:szCs w:val="26"/>
          <w:bdr w:val="none" w:sz="0" w:space="0" w:color="auto" w:frame="1"/>
          <w:shd w:val="clear" w:color="auto" w:fill="FFFFFF"/>
        </w:rPr>
        <w:t>. (b)(3))</w:t>
      </w:r>
      <w:r w:rsidR="0005204C" w:rsidRPr="00D81D5A">
        <w:rPr>
          <w:szCs w:val="26"/>
          <w:bdr w:val="none" w:sz="0" w:space="0" w:color="auto" w:frame="1"/>
          <w:shd w:val="clear" w:color="auto" w:fill="FFFFFF"/>
        </w:rPr>
        <w:t>.  In addition</w:t>
      </w:r>
      <w:r w:rsidRPr="00D81D5A">
        <w:rPr>
          <w:szCs w:val="26"/>
          <w:bdr w:val="none" w:sz="0" w:space="0" w:color="auto" w:frame="1"/>
          <w:shd w:val="clear" w:color="auto" w:fill="FFFFFF"/>
        </w:rPr>
        <w:t>,</w:t>
      </w:r>
      <w:r w:rsidR="0005204C" w:rsidRPr="00D81D5A">
        <w:rPr>
          <w:szCs w:val="26"/>
          <w:bdr w:val="none" w:sz="0" w:space="0" w:color="auto" w:frame="1"/>
          <w:shd w:val="clear" w:color="auto" w:fill="FFFFFF"/>
        </w:rPr>
        <w:t xml:space="preserve"> </w:t>
      </w:r>
      <w:r w:rsidR="008D47E8" w:rsidRPr="00D81D5A">
        <w:rPr>
          <w:szCs w:val="26"/>
          <w:bdr w:val="none" w:sz="0" w:space="0" w:color="auto" w:frame="1"/>
          <w:shd w:val="clear" w:color="auto" w:fill="FFFFFF"/>
        </w:rPr>
        <w:t xml:space="preserve">compensation </w:t>
      </w:r>
      <w:r w:rsidR="00CE163E" w:rsidRPr="00D81D5A">
        <w:rPr>
          <w:szCs w:val="26"/>
          <w:bdr w:val="none" w:sz="0" w:space="0" w:color="auto" w:frame="1"/>
          <w:shd w:val="clear" w:color="auto" w:fill="FFFFFF"/>
        </w:rPr>
        <w:t>for</w:t>
      </w:r>
      <w:r w:rsidR="005906FC" w:rsidRPr="00D81D5A">
        <w:rPr>
          <w:szCs w:val="26"/>
          <w:bdr w:val="none" w:sz="0" w:space="0" w:color="auto" w:frame="1"/>
          <w:shd w:val="clear" w:color="auto" w:fill="FFFFFF"/>
        </w:rPr>
        <w:t xml:space="preserve"> the surrender of</w:t>
      </w:r>
      <w:r w:rsidR="00CE163E" w:rsidRPr="00D81D5A">
        <w:rPr>
          <w:szCs w:val="26"/>
          <w:bdr w:val="none" w:sz="0" w:space="0" w:color="auto" w:frame="1"/>
          <w:shd w:val="clear" w:color="auto" w:fill="FFFFFF"/>
        </w:rPr>
        <w:t xml:space="preserve"> </w:t>
      </w:r>
      <w:r w:rsidR="009C78F4" w:rsidRPr="00D81D5A">
        <w:rPr>
          <w:szCs w:val="26"/>
          <w:bdr w:val="none" w:sz="0" w:space="0" w:color="auto" w:frame="1"/>
          <w:shd w:val="clear" w:color="auto" w:fill="FFFFFF"/>
        </w:rPr>
        <w:t>unused</w:t>
      </w:r>
      <w:r w:rsidR="00CE163E" w:rsidRPr="00D81D5A">
        <w:rPr>
          <w:szCs w:val="26"/>
          <w:bdr w:val="none" w:sz="0" w:space="0" w:color="auto" w:frame="1"/>
          <w:shd w:val="clear" w:color="auto" w:fill="FFFFFF"/>
        </w:rPr>
        <w:t xml:space="preserve"> </w:t>
      </w:r>
      <w:r w:rsidR="008D47E8" w:rsidRPr="00D81D5A">
        <w:rPr>
          <w:szCs w:val="26"/>
          <w:bdr w:val="none" w:sz="0" w:space="0" w:color="auto" w:frame="1"/>
          <w:shd w:val="clear" w:color="auto" w:fill="FFFFFF"/>
        </w:rPr>
        <w:t xml:space="preserve">paid time off, such as </w:t>
      </w:r>
      <w:r w:rsidR="00CE163E" w:rsidRPr="00D81D5A">
        <w:rPr>
          <w:szCs w:val="26"/>
          <w:bdr w:val="none" w:sz="0" w:space="0" w:color="auto" w:frame="1"/>
          <w:shd w:val="clear" w:color="auto" w:fill="FFFFFF"/>
        </w:rPr>
        <w:t>vacatio</w:t>
      </w:r>
      <w:r w:rsidR="0005204C" w:rsidRPr="00D81D5A">
        <w:rPr>
          <w:szCs w:val="26"/>
          <w:bdr w:val="none" w:sz="0" w:space="0" w:color="auto" w:frame="1"/>
          <w:shd w:val="clear" w:color="auto" w:fill="FFFFFF"/>
        </w:rPr>
        <w:t>n</w:t>
      </w:r>
      <w:r w:rsidR="008D47E8" w:rsidRPr="00D81D5A">
        <w:rPr>
          <w:szCs w:val="26"/>
          <w:bdr w:val="none" w:sz="0" w:space="0" w:color="auto" w:frame="1"/>
          <w:shd w:val="clear" w:color="auto" w:fill="FFFFFF"/>
        </w:rPr>
        <w:t xml:space="preserve"> and</w:t>
      </w:r>
      <w:r w:rsidR="00E12D55" w:rsidRPr="00D81D5A">
        <w:rPr>
          <w:szCs w:val="26"/>
          <w:bdr w:val="none" w:sz="0" w:space="0" w:color="auto" w:frame="1"/>
          <w:shd w:val="clear" w:color="auto" w:fill="FFFFFF"/>
        </w:rPr>
        <w:t xml:space="preserve"> </w:t>
      </w:r>
      <w:r w:rsidR="00CE163E" w:rsidRPr="00D81D5A">
        <w:rPr>
          <w:szCs w:val="26"/>
          <w:bdr w:val="none" w:sz="0" w:space="0" w:color="auto" w:frame="1"/>
          <w:shd w:val="clear" w:color="auto" w:fill="FFFFFF"/>
        </w:rPr>
        <w:t>sick leave</w:t>
      </w:r>
      <w:r w:rsidR="008D47E8" w:rsidRPr="00D81D5A">
        <w:rPr>
          <w:szCs w:val="26"/>
          <w:bdr w:val="none" w:sz="0" w:space="0" w:color="auto" w:frame="1"/>
          <w:shd w:val="clear" w:color="auto" w:fill="FFFFFF"/>
        </w:rPr>
        <w:t>,</w:t>
      </w:r>
      <w:r w:rsidR="0005204C" w:rsidRPr="00D81D5A">
        <w:rPr>
          <w:szCs w:val="26"/>
          <w:bdr w:val="none" w:sz="0" w:space="0" w:color="auto" w:frame="1"/>
          <w:shd w:val="clear" w:color="auto" w:fill="FFFFFF"/>
        </w:rPr>
        <w:t xml:space="preserve"> and payments made </w:t>
      </w:r>
      <w:r w:rsidR="009240BE" w:rsidRPr="00D81D5A">
        <w:rPr>
          <w:szCs w:val="26"/>
          <w:bdr w:val="none" w:sz="0" w:space="0" w:color="auto" w:frame="1"/>
          <w:shd w:val="clear" w:color="auto" w:fill="FFFFFF"/>
        </w:rPr>
        <w:t>at</w:t>
      </w:r>
      <w:r w:rsidR="0005204C" w:rsidRPr="00D81D5A">
        <w:rPr>
          <w:szCs w:val="26"/>
          <w:bdr w:val="none" w:sz="0" w:space="0" w:color="auto" w:frame="1"/>
          <w:shd w:val="clear" w:color="auto" w:fill="FFFFFF"/>
        </w:rPr>
        <w:t xml:space="preserve"> termination of employment</w:t>
      </w:r>
      <w:r w:rsidR="00513F79" w:rsidRPr="00D81D5A">
        <w:rPr>
          <w:szCs w:val="26"/>
          <w:bdr w:val="none" w:sz="0" w:space="0" w:color="auto" w:frame="1"/>
          <w:shd w:val="clear" w:color="auto" w:fill="FFFFFF"/>
        </w:rPr>
        <w:t xml:space="preserve">, </w:t>
      </w:r>
      <w:r w:rsidR="00920287" w:rsidRPr="00D81D5A">
        <w:rPr>
          <w:szCs w:val="26"/>
          <w:bdr w:val="none" w:sz="0" w:space="0" w:color="auto" w:frame="1"/>
          <w:shd w:val="clear" w:color="auto" w:fill="FFFFFF"/>
        </w:rPr>
        <w:t xml:space="preserve">which often </w:t>
      </w:r>
      <w:r w:rsidR="00513F79" w:rsidRPr="00D81D5A">
        <w:rPr>
          <w:szCs w:val="26"/>
          <w:bdr w:val="none" w:sz="0" w:space="0" w:color="auto" w:frame="1"/>
          <w:shd w:val="clear" w:color="auto" w:fill="FFFFFF"/>
        </w:rPr>
        <w:t xml:space="preserve">also </w:t>
      </w:r>
      <w:r w:rsidR="00920287" w:rsidRPr="00D81D5A">
        <w:rPr>
          <w:szCs w:val="26"/>
          <w:bdr w:val="none" w:sz="0" w:space="0" w:color="auto" w:frame="1"/>
          <w:shd w:val="clear" w:color="auto" w:fill="FFFFFF"/>
        </w:rPr>
        <w:t>constitute</w:t>
      </w:r>
      <w:r w:rsidR="00513F79" w:rsidRPr="00D81D5A">
        <w:rPr>
          <w:szCs w:val="26"/>
          <w:bdr w:val="none" w:sz="0" w:space="0" w:color="auto" w:frame="1"/>
          <w:shd w:val="clear" w:color="auto" w:fill="FFFFFF"/>
        </w:rPr>
        <w:t xml:space="preserve"> compensation for unused leave time,</w:t>
      </w:r>
      <w:r w:rsidR="00E12D55" w:rsidRPr="00D81D5A">
        <w:rPr>
          <w:szCs w:val="26"/>
          <w:bdr w:val="none" w:sz="0" w:space="0" w:color="auto" w:frame="1"/>
          <w:shd w:val="clear" w:color="auto" w:fill="FFFFFF"/>
        </w:rPr>
        <w:t xml:space="preserve"> </w:t>
      </w:r>
      <w:r w:rsidR="008D47E8" w:rsidRPr="00D81D5A">
        <w:rPr>
          <w:szCs w:val="26"/>
          <w:bdr w:val="none" w:sz="0" w:space="0" w:color="auto" w:frame="1"/>
          <w:shd w:val="clear" w:color="auto" w:fill="FFFFFF"/>
        </w:rPr>
        <w:t>can be</w:t>
      </w:r>
      <w:r w:rsidR="0005204C" w:rsidRPr="00D81D5A">
        <w:rPr>
          <w:szCs w:val="26"/>
          <w:bdr w:val="none" w:sz="0" w:space="0" w:color="auto" w:frame="1"/>
          <w:shd w:val="clear" w:color="auto" w:fill="FFFFFF"/>
        </w:rPr>
        <w:t xml:space="preserve"> included in compensation earnable only to the extent the </w:t>
      </w:r>
      <w:r w:rsidR="00513F79" w:rsidRPr="00D81D5A">
        <w:rPr>
          <w:szCs w:val="26"/>
          <w:bdr w:val="none" w:sz="0" w:space="0" w:color="auto" w:frame="1"/>
          <w:shd w:val="clear" w:color="auto" w:fill="FFFFFF"/>
        </w:rPr>
        <w:t>leave time was</w:t>
      </w:r>
      <w:r w:rsidR="008D47E8" w:rsidRPr="00D81D5A">
        <w:rPr>
          <w:szCs w:val="26"/>
          <w:bdr w:val="none" w:sz="0" w:space="0" w:color="auto" w:frame="1"/>
          <w:shd w:val="clear" w:color="auto" w:fill="FFFFFF"/>
        </w:rPr>
        <w:t xml:space="preserve"> </w:t>
      </w:r>
      <w:r w:rsidR="006E2543" w:rsidRPr="00D81D5A">
        <w:rPr>
          <w:szCs w:val="26"/>
          <w:bdr w:val="none" w:sz="0" w:space="0" w:color="auto" w:frame="1"/>
          <w:shd w:val="clear" w:color="auto" w:fill="FFFFFF"/>
        </w:rPr>
        <w:t>“</w:t>
      </w:r>
      <w:r w:rsidR="00CE163E" w:rsidRPr="00D81D5A">
        <w:rPr>
          <w:szCs w:val="26"/>
          <w:bdr w:val="none" w:sz="0" w:space="0" w:color="auto" w:frame="1"/>
          <w:shd w:val="clear" w:color="auto" w:fill="FFFFFF"/>
        </w:rPr>
        <w:t>earned and payable</w:t>
      </w:r>
      <w:r w:rsidR="006E2543" w:rsidRPr="00D81D5A">
        <w:rPr>
          <w:szCs w:val="26"/>
          <w:bdr w:val="none" w:sz="0" w:space="0" w:color="auto" w:frame="1"/>
          <w:shd w:val="clear" w:color="auto" w:fill="FFFFFF"/>
        </w:rPr>
        <w:t xml:space="preserve">” </w:t>
      </w:r>
      <w:r w:rsidR="00920287" w:rsidRPr="00D81D5A">
        <w:rPr>
          <w:szCs w:val="26"/>
          <w:bdr w:val="none" w:sz="0" w:space="0" w:color="auto" w:frame="1"/>
          <w:shd w:val="clear" w:color="auto" w:fill="FFFFFF"/>
        </w:rPr>
        <w:t xml:space="preserve">in any </w:t>
      </w:r>
      <w:r w:rsidR="00513F79" w:rsidRPr="00D81D5A">
        <w:rPr>
          <w:szCs w:val="26"/>
          <w:bdr w:val="none" w:sz="0" w:space="0" w:color="auto" w:frame="1"/>
          <w:shd w:val="clear" w:color="auto" w:fill="FFFFFF"/>
        </w:rPr>
        <w:t>12-month period</w:t>
      </w:r>
      <w:r w:rsidR="00920287" w:rsidRPr="00D81D5A">
        <w:rPr>
          <w:szCs w:val="26"/>
          <w:bdr w:val="none" w:sz="0" w:space="0" w:color="auto" w:frame="1"/>
          <w:shd w:val="clear" w:color="auto" w:fill="FFFFFF"/>
        </w:rPr>
        <w:t xml:space="preserve"> during a final compensation </w:t>
      </w:r>
      <w:r w:rsidR="006F355E" w:rsidRPr="00D81D5A">
        <w:rPr>
          <w:szCs w:val="26"/>
          <w:bdr w:val="none" w:sz="0" w:space="0" w:color="auto" w:frame="1"/>
          <w:shd w:val="clear" w:color="auto" w:fill="FFFFFF"/>
        </w:rPr>
        <w:t>year</w:t>
      </w:r>
      <w:r w:rsidR="0005204C" w:rsidRPr="00D81D5A">
        <w:rPr>
          <w:szCs w:val="26"/>
          <w:bdr w:val="none" w:sz="0" w:space="0" w:color="auto" w:frame="1"/>
          <w:shd w:val="clear" w:color="auto" w:fill="FFFFFF"/>
        </w:rPr>
        <w:t>.</w:t>
      </w:r>
      <w:r w:rsidR="0005204C" w:rsidRPr="00D81D5A">
        <w:rPr>
          <w:rStyle w:val="FootnoteReference"/>
          <w:szCs w:val="26"/>
        </w:rPr>
        <w:footnoteReference w:id="13"/>
      </w:r>
      <w:r w:rsidR="0005204C" w:rsidRPr="00D81D5A">
        <w:rPr>
          <w:szCs w:val="26"/>
          <w:bdr w:val="none" w:sz="0" w:space="0" w:color="auto" w:frame="1"/>
          <w:shd w:val="clear" w:color="auto" w:fill="FFFFFF"/>
        </w:rPr>
        <w:t xml:space="preserve">  </w:t>
      </w:r>
      <w:r w:rsidR="00F25BA3" w:rsidRPr="00D81D5A">
        <w:rPr>
          <w:szCs w:val="26"/>
          <w:bdr w:val="none" w:sz="0" w:space="0" w:color="auto" w:frame="1"/>
          <w:shd w:val="clear" w:color="auto" w:fill="FFFFFF"/>
        </w:rPr>
        <w:t>(</w:t>
      </w:r>
      <w:r w:rsidR="00AB3F6B">
        <w:rPr>
          <w:szCs w:val="26"/>
          <w:bdr w:val="none" w:sz="0" w:space="0" w:color="auto" w:frame="1"/>
          <w:shd w:val="clear" w:color="auto" w:fill="FFFFFF"/>
        </w:rPr>
        <w:t>§ 31461</w:t>
      </w:r>
      <w:r w:rsidR="00F25BA3" w:rsidRPr="00D81D5A">
        <w:rPr>
          <w:szCs w:val="26"/>
          <w:bdr w:val="none" w:sz="0" w:space="0" w:color="auto" w:frame="1"/>
          <w:shd w:val="clear" w:color="auto" w:fill="FFFFFF"/>
        </w:rPr>
        <w:t xml:space="preserve">, </w:t>
      </w:r>
      <w:proofErr w:type="spellStart"/>
      <w:r w:rsidR="00F25BA3" w:rsidRPr="00D81D5A">
        <w:rPr>
          <w:szCs w:val="26"/>
          <w:bdr w:val="none" w:sz="0" w:space="0" w:color="auto" w:frame="1"/>
          <w:shd w:val="clear" w:color="auto" w:fill="FFFFFF"/>
        </w:rPr>
        <w:t>subd</w:t>
      </w:r>
      <w:proofErr w:type="spellEnd"/>
      <w:r w:rsidR="00F25BA3" w:rsidRPr="00D81D5A">
        <w:rPr>
          <w:szCs w:val="26"/>
          <w:bdr w:val="none" w:sz="0" w:space="0" w:color="auto" w:frame="1"/>
          <w:shd w:val="clear" w:color="auto" w:fill="FFFFFF"/>
        </w:rPr>
        <w:t>. (b)(2)</w:t>
      </w:r>
      <w:r w:rsidR="0005204C" w:rsidRPr="00D81D5A">
        <w:rPr>
          <w:szCs w:val="26"/>
          <w:bdr w:val="none" w:sz="0" w:space="0" w:color="auto" w:frame="1"/>
          <w:shd w:val="clear" w:color="auto" w:fill="FFFFFF"/>
        </w:rPr>
        <w:t xml:space="preserve"> &amp; (b)</w:t>
      </w:r>
      <w:r w:rsidR="00BF445F" w:rsidRPr="00D81D5A">
        <w:rPr>
          <w:szCs w:val="26"/>
          <w:bdr w:val="none" w:sz="0" w:space="0" w:color="auto" w:frame="1"/>
          <w:shd w:val="clear" w:color="auto" w:fill="FFFFFF"/>
        </w:rPr>
        <w:t>(4)</w:t>
      </w:r>
      <w:r w:rsidR="0005204C" w:rsidRPr="00D81D5A">
        <w:rPr>
          <w:szCs w:val="26"/>
          <w:bdr w:val="none" w:sz="0" w:space="0" w:color="auto" w:frame="1"/>
          <w:shd w:val="clear" w:color="auto" w:fill="FFFFFF"/>
        </w:rPr>
        <w:t>.)</w:t>
      </w:r>
      <w:r w:rsidR="00FB6E02" w:rsidRPr="00D81D5A">
        <w:rPr>
          <w:szCs w:val="26"/>
          <w:bdr w:val="none" w:sz="0" w:space="0" w:color="auto" w:frame="1"/>
          <w:shd w:val="clear" w:color="auto" w:fill="FFFFFF"/>
        </w:rPr>
        <w:t xml:space="preserve">  </w:t>
      </w:r>
      <w:r w:rsidR="00FB6E02" w:rsidRPr="00D81D5A">
        <w:rPr>
          <w:szCs w:val="26"/>
        </w:rPr>
        <w:t>S</w:t>
      </w:r>
      <w:r w:rsidR="00423C78" w:rsidRPr="00D81D5A">
        <w:rPr>
          <w:szCs w:val="26"/>
        </w:rPr>
        <w:t>oon after</w:t>
      </w:r>
      <w:r w:rsidR="0005204C" w:rsidRPr="00D81D5A">
        <w:rPr>
          <w:szCs w:val="26"/>
        </w:rPr>
        <w:t xml:space="preserve"> PEPRA</w:t>
      </w:r>
      <w:r w:rsidR="00A52893" w:rsidRPr="00D81D5A">
        <w:rPr>
          <w:szCs w:val="26"/>
        </w:rPr>
        <w:t xml:space="preserve"> was adopted</w:t>
      </w:r>
      <w:r w:rsidR="00423C78" w:rsidRPr="00D81D5A">
        <w:rPr>
          <w:szCs w:val="26"/>
        </w:rPr>
        <w:t>, related</w:t>
      </w:r>
      <w:r w:rsidR="00FB6E02" w:rsidRPr="00D81D5A">
        <w:rPr>
          <w:szCs w:val="26"/>
        </w:rPr>
        <w:t xml:space="preserve"> legislation added subdivision (c)</w:t>
      </w:r>
      <w:r w:rsidR="00423C78" w:rsidRPr="00D81D5A">
        <w:rPr>
          <w:szCs w:val="26"/>
        </w:rPr>
        <w:t xml:space="preserve"> to section 31461,</w:t>
      </w:r>
      <w:r w:rsidR="00FB6E02" w:rsidRPr="00D81D5A">
        <w:rPr>
          <w:szCs w:val="26"/>
        </w:rPr>
        <w:t xml:space="preserve"> </w:t>
      </w:r>
      <w:r w:rsidR="00BF445F" w:rsidRPr="00D81D5A">
        <w:rPr>
          <w:szCs w:val="26"/>
        </w:rPr>
        <w:t xml:space="preserve">which </w:t>
      </w:r>
      <w:r w:rsidR="003750E3" w:rsidRPr="00D81D5A">
        <w:rPr>
          <w:szCs w:val="26"/>
        </w:rPr>
        <w:t>clarif</w:t>
      </w:r>
      <w:r w:rsidR="00423C78" w:rsidRPr="00D81D5A">
        <w:rPr>
          <w:szCs w:val="26"/>
        </w:rPr>
        <w:t>i</w:t>
      </w:r>
      <w:r w:rsidR="00BF445F" w:rsidRPr="00D81D5A">
        <w:rPr>
          <w:szCs w:val="26"/>
        </w:rPr>
        <w:t>es</w:t>
      </w:r>
      <w:r w:rsidR="003750E3" w:rsidRPr="00D81D5A">
        <w:rPr>
          <w:szCs w:val="26"/>
        </w:rPr>
        <w:t xml:space="preserve"> </w:t>
      </w:r>
      <w:r w:rsidR="00FB6E02" w:rsidRPr="00D81D5A">
        <w:rPr>
          <w:szCs w:val="26"/>
        </w:rPr>
        <w:t>that</w:t>
      </w:r>
      <w:r w:rsidR="00B74506" w:rsidRPr="00D81D5A">
        <w:rPr>
          <w:szCs w:val="26"/>
        </w:rPr>
        <w:t xml:space="preserve"> the </w:t>
      </w:r>
      <w:r w:rsidR="0005204C" w:rsidRPr="00D81D5A">
        <w:rPr>
          <w:szCs w:val="26"/>
        </w:rPr>
        <w:t xml:space="preserve">“terms </w:t>
      </w:r>
      <w:r w:rsidR="00B74506" w:rsidRPr="00D81D5A">
        <w:rPr>
          <w:szCs w:val="26"/>
        </w:rPr>
        <w:t xml:space="preserve">of subdivision (b) </w:t>
      </w:r>
      <w:r w:rsidR="00B74506" w:rsidRPr="00D81D5A">
        <w:rPr>
          <w:rStyle w:val="ssparacontent"/>
          <w:szCs w:val="26"/>
        </w:rPr>
        <w:t>are intended to be consistent with</w:t>
      </w:r>
      <w:r w:rsidR="008D47E8" w:rsidRPr="00D81D5A">
        <w:rPr>
          <w:rStyle w:val="ssparacontent"/>
          <w:szCs w:val="26"/>
        </w:rPr>
        <w:t xml:space="preserve"> . . . </w:t>
      </w:r>
      <w:r w:rsidR="00B74506" w:rsidRPr="00D81D5A">
        <w:rPr>
          <w:rStyle w:val="ssparacontent"/>
          <w:szCs w:val="26"/>
        </w:rPr>
        <w:t>the holdings in</w:t>
      </w:r>
      <w:r w:rsidR="00BF445F" w:rsidRPr="00D81D5A">
        <w:rPr>
          <w:rStyle w:val="ssparacontent"/>
          <w:szCs w:val="26"/>
        </w:rPr>
        <w:t xml:space="preserve"> </w:t>
      </w:r>
      <w:r w:rsidR="00BF445F" w:rsidRPr="00D81D5A">
        <w:rPr>
          <w:rStyle w:val="ssparacontent"/>
          <w:i/>
          <w:szCs w:val="26"/>
        </w:rPr>
        <w:t xml:space="preserve">Salus v. San Diego County Employees Retirement </w:t>
      </w:r>
      <w:r w:rsidR="00BF445F" w:rsidRPr="00D81D5A">
        <w:rPr>
          <w:rStyle w:val="ssparacontent"/>
          <w:i/>
          <w:szCs w:val="26"/>
        </w:rPr>
        <w:lastRenderedPageBreak/>
        <w:t>Association</w:t>
      </w:r>
      <w:r w:rsidR="00BF445F" w:rsidRPr="00D81D5A">
        <w:rPr>
          <w:rStyle w:val="ssparacontent"/>
          <w:szCs w:val="26"/>
        </w:rPr>
        <w:t xml:space="preserve"> (2004) 117</w:t>
      </w:r>
      <w:r w:rsidR="00C110DF">
        <w:rPr>
          <w:rStyle w:val="ssparacontent"/>
          <w:szCs w:val="26"/>
        </w:rPr>
        <w:t> </w:t>
      </w:r>
      <w:r w:rsidR="00BF445F" w:rsidRPr="00D81D5A">
        <w:rPr>
          <w:rStyle w:val="ssparacontent"/>
          <w:szCs w:val="26"/>
        </w:rPr>
        <w:t xml:space="preserve">Cal.App.4th 734 and </w:t>
      </w:r>
      <w:r w:rsidR="00BF445F" w:rsidRPr="00D81D5A">
        <w:rPr>
          <w:rStyle w:val="ssparacontent"/>
          <w:i/>
          <w:szCs w:val="26"/>
        </w:rPr>
        <w:t>In re Retirement Cases</w:t>
      </w:r>
      <w:r w:rsidR="00BF445F" w:rsidRPr="00D81D5A">
        <w:rPr>
          <w:rStyle w:val="ssparacontent"/>
          <w:szCs w:val="26"/>
        </w:rPr>
        <w:t xml:space="preserve"> (2003) 110</w:t>
      </w:r>
      <w:r w:rsidR="00C110DF">
        <w:rPr>
          <w:rStyle w:val="ssparacontent"/>
          <w:szCs w:val="26"/>
        </w:rPr>
        <w:t> </w:t>
      </w:r>
      <w:r w:rsidR="00BF445F" w:rsidRPr="00D81D5A">
        <w:rPr>
          <w:rStyle w:val="ssparacontent"/>
          <w:szCs w:val="26"/>
        </w:rPr>
        <w:t>Cal.App.4th 426.</w:t>
      </w:r>
      <w:r w:rsidR="00B74506" w:rsidRPr="00D81D5A">
        <w:rPr>
          <w:rStyle w:val="ssparacontent"/>
          <w:szCs w:val="26"/>
        </w:rPr>
        <w:t>”  (</w:t>
      </w:r>
      <w:r w:rsidR="00FB6E02" w:rsidRPr="00D81D5A">
        <w:rPr>
          <w:szCs w:val="26"/>
        </w:rPr>
        <w:t>Stats. 201</w:t>
      </w:r>
      <w:r w:rsidR="003750E3" w:rsidRPr="00D81D5A">
        <w:rPr>
          <w:szCs w:val="26"/>
        </w:rPr>
        <w:t>2</w:t>
      </w:r>
      <w:r w:rsidR="00FB6E02" w:rsidRPr="00D81D5A">
        <w:rPr>
          <w:szCs w:val="26"/>
        </w:rPr>
        <w:t xml:space="preserve">, </w:t>
      </w:r>
      <w:proofErr w:type="spellStart"/>
      <w:r w:rsidR="00FB6E02" w:rsidRPr="00D81D5A">
        <w:rPr>
          <w:szCs w:val="26"/>
        </w:rPr>
        <w:t>ch.</w:t>
      </w:r>
      <w:proofErr w:type="spellEnd"/>
      <w:r w:rsidR="00FB6E02" w:rsidRPr="00D81D5A">
        <w:rPr>
          <w:szCs w:val="26"/>
        </w:rPr>
        <w:t xml:space="preserve"> 2</w:t>
      </w:r>
      <w:r w:rsidR="003750E3" w:rsidRPr="00D81D5A">
        <w:rPr>
          <w:szCs w:val="26"/>
        </w:rPr>
        <w:t>97</w:t>
      </w:r>
      <w:r w:rsidR="00FB6E02" w:rsidRPr="00D81D5A">
        <w:rPr>
          <w:szCs w:val="26"/>
        </w:rPr>
        <w:t>, §</w:t>
      </w:r>
      <w:r w:rsidR="002D3CE0">
        <w:rPr>
          <w:szCs w:val="26"/>
        </w:rPr>
        <w:t> </w:t>
      </w:r>
      <w:r w:rsidR="003750E3" w:rsidRPr="00D81D5A">
        <w:rPr>
          <w:szCs w:val="26"/>
        </w:rPr>
        <w:t>2</w:t>
      </w:r>
      <w:r w:rsidR="00FB6E02" w:rsidRPr="00D81D5A">
        <w:rPr>
          <w:szCs w:val="26"/>
        </w:rPr>
        <w:t>.)</w:t>
      </w:r>
      <w:bookmarkStart w:id="15" w:name="_Hlk28937883"/>
    </w:p>
    <w:p w14:paraId="2E753A93" w14:textId="2248652A" w:rsidR="00636EA2" w:rsidRPr="00D81D5A" w:rsidRDefault="00F069D7" w:rsidP="00D81D5A">
      <w:pPr>
        <w:autoSpaceDE w:val="0"/>
        <w:autoSpaceDN w:val="0"/>
        <w:adjustRightInd w:val="0"/>
        <w:ind w:firstLine="720"/>
        <w:rPr>
          <w:color w:val="060606"/>
          <w:szCs w:val="26"/>
        </w:rPr>
      </w:pPr>
      <w:r w:rsidRPr="00D81D5A">
        <w:t>A bill analysis prepared in connection with the pre-PEPRA version of A</w:t>
      </w:r>
      <w:r w:rsidR="00AB3F6B">
        <w:t xml:space="preserve">ssembly </w:t>
      </w:r>
      <w:r w:rsidRPr="00D81D5A">
        <w:t>B</w:t>
      </w:r>
      <w:r w:rsidR="00AB3F6B">
        <w:t>ill</w:t>
      </w:r>
      <w:r w:rsidRPr="00D81D5A">
        <w:t xml:space="preserve"> 340 explained that the purpose of these changes was to circumscribe CERL’s “very broad and general definition of ‘compensation earnable’</w:t>
      </w:r>
      <w:r w:rsidR="00CE12E5">
        <w:t> </w:t>
      </w:r>
      <w:r w:rsidRPr="00D81D5A">
        <w:t>” in order to reduce pension “</w:t>
      </w:r>
      <w:r w:rsidR="002D3CE0">
        <w:t> </w:t>
      </w:r>
      <w:r w:rsidRPr="00D81D5A">
        <w:t>‘</w:t>
      </w:r>
      <w:proofErr w:type="spellStart"/>
      <w:r w:rsidRPr="00D81D5A">
        <w:t>spik</w:t>
      </w:r>
      <w:proofErr w:type="spellEnd"/>
      <w:r w:rsidRPr="00D81D5A">
        <w:t>[</w:t>
      </w:r>
      <w:proofErr w:type="spellStart"/>
      <w:r w:rsidRPr="00D81D5A">
        <w:t>ing</w:t>
      </w:r>
      <w:proofErr w:type="spellEnd"/>
      <w:r w:rsidRPr="00D81D5A">
        <w:t>],’</w:t>
      </w:r>
      <w:r w:rsidR="002D3CE0">
        <w:t> </w:t>
      </w:r>
      <w:r w:rsidRPr="00D81D5A">
        <w:t>”</w:t>
      </w:r>
      <w:r w:rsidR="00B451D0" w:rsidRPr="00D81D5A">
        <w:t xml:space="preserve"> t</w:t>
      </w:r>
      <w:r w:rsidRPr="00D81D5A">
        <w:t xml:space="preserve">he manipulation of an employee’s </w:t>
      </w:r>
      <w:r w:rsidR="00DA7DE5" w:rsidRPr="00D81D5A">
        <w:t xml:space="preserve">pattern of work and pay </w:t>
      </w:r>
      <w:r w:rsidRPr="00D81D5A">
        <w:t xml:space="preserve">to produce </w:t>
      </w:r>
      <w:r w:rsidR="00B9365F" w:rsidRPr="00D81D5A">
        <w:t>inflated</w:t>
      </w:r>
      <w:r w:rsidR="00DA7DE5" w:rsidRPr="00D81D5A">
        <w:t xml:space="preserve"> compensation earnable during the final compensation period</w:t>
      </w:r>
      <w:r w:rsidRPr="00D81D5A">
        <w:t xml:space="preserve">. </w:t>
      </w:r>
      <w:r w:rsidR="00832280" w:rsidRPr="00D81D5A">
        <w:t xml:space="preserve"> </w:t>
      </w:r>
      <w:r w:rsidR="00F62CCF" w:rsidRPr="00D81D5A">
        <w:rPr>
          <w:szCs w:val="26"/>
        </w:rPr>
        <w:t>(A</w:t>
      </w:r>
      <w:r w:rsidR="00636EA2" w:rsidRPr="00D81D5A">
        <w:rPr>
          <w:szCs w:val="26"/>
        </w:rPr>
        <w:t>ssem.</w:t>
      </w:r>
      <w:r w:rsidR="00F62CCF" w:rsidRPr="00D81D5A">
        <w:rPr>
          <w:szCs w:val="26"/>
        </w:rPr>
        <w:t xml:space="preserve"> C</w:t>
      </w:r>
      <w:r w:rsidR="00636EA2" w:rsidRPr="00D81D5A">
        <w:rPr>
          <w:szCs w:val="26"/>
        </w:rPr>
        <w:t xml:space="preserve">omm. </w:t>
      </w:r>
      <w:r w:rsidR="006F355E" w:rsidRPr="00D81D5A">
        <w:rPr>
          <w:szCs w:val="26"/>
        </w:rPr>
        <w:t>o</w:t>
      </w:r>
      <w:r w:rsidR="00636EA2" w:rsidRPr="00D81D5A">
        <w:rPr>
          <w:szCs w:val="26"/>
        </w:rPr>
        <w:t xml:space="preserve">n </w:t>
      </w:r>
      <w:r w:rsidR="00F62CCF" w:rsidRPr="00D81D5A">
        <w:rPr>
          <w:szCs w:val="26"/>
        </w:rPr>
        <w:t>P</w:t>
      </w:r>
      <w:r w:rsidR="00636EA2" w:rsidRPr="00D81D5A">
        <w:rPr>
          <w:szCs w:val="26"/>
        </w:rPr>
        <w:t>ublic</w:t>
      </w:r>
      <w:r w:rsidR="00F62CCF" w:rsidRPr="00D81D5A">
        <w:rPr>
          <w:szCs w:val="26"/>
        </w:rPr>
        <w:t xml:space="preserve"> E</w:t>
      </w:r>
      <w:r w:rsidR="00636EA2" w:rsidRPr="00D81D5A">
        <w:rPr>
          <w:szCs w:val="26"/>
        </w:rPr>
        <w:t>mployees, Retirement and Social Security</w:t>
      </w:r>
      <w:r w:rsidR="00F62CCF" w:rsidRPr="00D81D5A">
        <w:rPr>
          <w:szCs w:val="26"/>
        </w:rPr>
        <w:t xml:space="preserve">, </w:t>
      </w:r>
      <w:r w:rsidR="00AB3F6B">
        <w:rPr>
          <w:szCs w:val="26"/>
        </w:rPr>
        <w:t>Analysis of Assem. Bill No. 340 (2011</w:t>
      </w:r>
      <w:r w:rsidR="00427AF8">
        <w:rPr>
          <w:szCs w:val="26"/>
        </w:rPr>
        <w:t>–</w:t>
      </w:r>
      <w:r w:rsidR="00AB3F6B">
        <w:rPr>
          <w:szCs w:val="26"/>
        </w:rPr>
        <w:t>2012 Reg. Sess.) Apr.</w:t>
      </w:r>
      <w:r w:rsidR="00F62CCF" w:rsidRPr="00D81D5A">
        <w:rPr>
          <w:szCs w:val="26"/>
        </w:rPr>
        <w:t xml:space="preserve"> </w:t>
      </w:r>
      <w:r w:rsidR="00AB3F6B">
        <w:rPr>
          <w:szCs w:val="26"/>
        </w:rPr>
        <w:t>25,</w:t>
      </w:r>
      <w:r w:rsidR="00F62CCF" w:rsidRPr="00D81D5A">
        <w:rPr>
          <w:szCs w:val="26"/>
        </w:rPr>
        <w:t xml:space="preserve"> 2011</w:t>
      </w:r>
      <w:r w:rsidR="00AD1401">
        <w:rPr>
          <w:szCs w:val="26"/>
        </w:rPr>
        <w:t>, p. 3</w:t>
      </w:r>
      <w:r w:rsidR="00563C7D" w:rsidRPr="00D81D5A">
        <w:rPr>
          <w:szCs w:val="26"/>
        </w:rPr>
        <w:t>.</w:t>
      </w:r>
      <w:r w:rsidR="00F62CCF" w:rsidRPr="00D81D5A">
        <w:rPr>
          <w:szCs w:val="26"/>
        </w:rPr>
        <w:t>)</w:t>
      </w:r>
      <w:bookmarkEnd w:id="15"/>
    </w:p>
    <w:p w14:paraId="6254E65A" w14:textId="76F35586" w:rsidR="0005204C" w:rsidRPr="00D81D5A" w:rsidRDefault="00633888" w:rsidP="00D81D5A">
      <w:pPr>
        <w:autoSpaceDE w:val="0"/>
        <w:autoSpaceDN w:val="0"/>
        <w:adjustRightInd w:val="0"/>
        <w:ind w:firstLine="720"/>
        <w:rPr>
          <w:rStyle w:val="ssparacontent"/>
          <w:szCs w:val="26"/>
        </w:rPr>
      </w:pPr>
      <w:r w:rsidRPr="00D81D5A">
        <w:rPr>
          <w:szCs w:val="26"/>
        </w:rPr>
        <w:t xml:space="preserve">A review of the </w:t>
      </w:r>
      <w:r w:rsidR="001B3B6F" w:rsidRPr="00D81D5A">
        <w:rPr>
          <w:szCs w:val="26"/>
        </w:rPr>
        <w:t>exclusions and limitations</w:t>
      </w:r>
      <w:r w:rsidRPr="00D81D5A">
        <w:rPr>
          <w:szCs w:val="26"/>
        </w:rPr>
        <w:t xml:space="preserve"> in PEPRA’s</w:t>
      </w:r>
      <w:r w:rsidR="001B3B6F" w:rsidRPr="00D81D5A">
        <w:rPr>
          <w:szCs w:val="26"/>
        </w:rPr>
        <w:t xml:space="preserve"> </w:t>
      </w:r>
      <w:r w:rsidR="00FC2102" w:rsidRPr="00D81D5A">
        <w:rPr>
          <w:szCs w:val="26"/>
        </w:rPr>
        <w:t xml:space="preserve">amendment of section 31461 </w:t>
      </w:r>
      <w:r w:rsidRPr="00D81D5A">
        <w:rPr>
          <w:szCs w:val="26"/>
        </w:rPr>
        <w:t>demonstrates that the</w:t>
      </w:r>
      <w:r w:rsidR="00FC2102" w:rsidRPr="00D81D5A">
        <w:rPr>
          <w:szCs w:val="26"/>
        </w:rPr>
        <w:t xml:space="preserve"> Legislature</w:t>
      </w:r>
      <w:r w:rsidRPr="00D81D5A">
        <w:rPr>
          <w:szCs w:val="26"/>
        </w:rPr>
        <w:t xml:space="preserve"> sought to limit </w:t>
      </w:r>
      <w:r w:rsidR="00864BD2" w:rsidRPr="00D81D5A">
        <w:rPr>
          <w:szCs w:val="26"/>
        </w:rPr>
        <w:t xml:space="preserve">pension </w:t>
      </w:r>
      <w:r w:rsidRPr="00D81D5A">
        <w:rPr>
          <w:szCs w:val="26"/>
        </w:rPr>
        <w:t xml:space="preserve">spiking by </w:t>
      </w:r>
      <w:r w:rsidR="00D12720" w:rsidRPr="00D81D5A">
        <w:rPr>
          <w:szCs w:val="26"/>
        </w:rPr>
        <w:t>eliminat</w:t>
      </w:r>
      <w:r w:rsidRPr="00D81D5A">
        <w:rPr>
          <w:szCs w:val="26"/>
        </w:rPr>
        <w:t>ing</w:t>
      </w:r>
      <w:r w:rsidR="00D12720" w:rsidRPr="00D81D5A">
        <w:rPr>
          <w:szCs w:val="26"/>
        </w:rPr>
        <w:t xml:space="preserve"> </w:t>
      </w:r>
      <w:r w:rsidR="00416AE9" w:rsidRPr="00D81D5A">
        <w:rPr>
          <w:szCs w:val="26"/>
        </w:rPr>
        <w:t>p</w:t>
      </w:r>
      <w:r w:rsidR="00D12720" w:rsidRPr="00D81D5A">
        <w:rPr>
          <w:szCs w:val="26"/>
        </w:rPr>
        <w:t xml:space="preserve">ractices </w:t>
      </w:r>
      <w:r w:rsidRPr="00D81D5A">
        <w:rPr>
          <w:szCs w:val="26"/>
        </w:rPr>
        <w:t xml:space="preserve">that, while </w:t>
      </w:r>
      <w:r w:rsidR="00FC2102" w:rsidRPr="00D81D5A">
        <w:rPr>
          <w:szCs w:val="26"/>
        </w:rPr>
        <w:t xml:space="preserve">arguably </w:t>
      </w:r>
      <w:r w:rsidRPr="00D81D5A">
        <w:rPr>
          <w:szCs w:val="26"/>
        </w:rPr>
        <w:t xml:space="preserve">permitted under </w:t>
      </w:r>
      <w:r w:rsidR="00FC2102" w:rsidRPr="00D81D5A">
        <w:rPr>
          <w:szCs w:val="26"/>
        </w:rPr>
        <w:t xml:space="preserve">the broad language of the </w:t>
      </w:r>
      <w:r w:rsidR="00B9365F" w:rsidRPr="00D81D5A">
        <w:rPr>
          <w:szCs w:val="26"/>
        </w:rPr>
        <w:t xml:space="preserve">preexisting </w:t>
      </w:r>
      <w:r w:rsidR="00FC2102" w:rsidRPr="00D81D5A">
        <w:rPr>
          <w:szCs w:val="26"/>
        </w:rPr>
        <w:t xml:space="preserve">definition, </w:t>
      </w:r>
      <w:r w:rsidR="00885EFE" w:rsidRPr="00D81D5A">
        <w:rPr>
          <w:szCs w:val="26"/>
        </w:rPr>
        <w:t>a</w:t>
      </w:r>
      <w:r w:rsidRPr="00D81D5A">
        <w:rPr>
          <w:szCs w:val="26"/>
        </w:rPr>
        <w:t xml:space="preserve">re </w:t>
      </w:r>
      <w:r w:rsidR="00FC2102" w:rsidRPr="00D81D5A">
        <w:rPr>
          <w:szCs w:val="26"/>
        </w:rPr>
        <w:t xml:space="preserve">inconsistent with </w:t>
      </w:r>
      <w:r w:rsidRPr="00D81D5A">
        <w:rPr>
          <w:szCs w:val="26"/>
        </w:rPr>
        <w:t>t</w:t>
      </w:r>
      <w:r w:rsidR="00FC2102" w:rsidRPr="00D81D5A">
        <w:rPr>
          <w:szCs w:val="26"/>
        </w:rPr>
        <w:t>he statute’</w:t>
      </w:r>
      <w:r w:rsidRPr="00D81D5A">
        <w:rPr>
          <w:szCs w:val="26"/>
        </w:rPr>
        <w:t xml:space="preserve">s </w:t>
      </w:r>
      <w:r w:rsidR="005B1EF8">
        <w:rPr>
          <w:szCs w:val="26"/>
        </w:rPr>
        <w:t>overall</w:t>
      </w:r>
      <w:r w:rsidR="005063DE" w:rsidRPr="00D81D5A">
        <w:rPr>
          <w:szCs w:val="26"/>
        </w:rPr>
        <w:t xml:space="preserve"> </w:t>
      </w:r>
      <w:r w:rsidR="006F355E" w:rsidRPr="00D81D5A">
        <w:rPr>
          <w:szCs w:val="26"/>
        </w:rPr>
        <w:t>concept</w:t>
      </w:r>
      <w:r w:rsidR="00416AE9" w:rsidRPr="00D81D5A">
        <w:rPr>
          <w:szCs w:val="26"/>
        </w:rPr>
        <w:t xml:space="preserve"> of compensation earnable.  </w:t>
      </w:r>
      <w:r w:rsidR="006F7081" w:rsidRPr="00D81D5A">
        <w:rPr>
          <w:szCs w:val="26"/>
        </w:rPr>
        <w:t>S</w:t>
      </w:r>
      <w:r w:rsidR="007050FC" w:rsidRPr="00D81D5A">
        <w:rPr>
          <w:szCs w:val="26"/>
        </w:rPr>
        <w:t xml:space="preserve">ubdivision (b)(1) excludes compensation found by a retirement board to have been </w:t>
      </w:r>
      <w:r w:rsidR="007050FC" w:rsidRPr="00D81D5A">
        <w:rPr>
          <w:rStyle w:val="ssparacontent"/>
          <w:szCs w:val="26"/>
        </w:rPr>
        <w:t>“paid to enhance a member’s retirement benefit</w:t>
      </w:r>
      <w:r w:rsidR="00513F79" w:rsidRPr="00D81D5A">
        <w:rPr>
          <w:rStyle w:val="ssparacontent"/>
          <w:szCs w:val="26"/>
        </w:rPr>
        <w:t>.</w:t>
      </w:r>
      <w:r w:rsidR="007050FC" w:rsidRPr="00D81D5A">
        <w:rPr>
          <w:rStyle w:val="ssparacontent"/>
          <w:szCs w:val="26"/>
        </w:rPr>
        <w:t>”</w:t>
      </w:r>
      <w:r w:rsidR="00513F79" w:rsidRPr="00D81D5A">
        <w:rPr>
          <w:rStyle w:val="ssparacontent"/>
          <w:szCs w:val="26"/>
        </w:rPr>
        <w:t xml:space="preserve"> </w:t>
      </w:r>
      <w:r w:rsidR="006F7081" w:rsidRPr="00D81D5A">
        <w:rPr>
          <w:rStyle w:val="ssparacontent"/>
          <w:szCs w:val="26"/>
        </w:rPr>
        <w:t xml:space="preserve"> </w:t>
      </w:r>
      <w:r w:rsidR="005063DE" w:rsidRPr="00D81D5A">
        <w:rPr>
          <w:rStyle w:val="ssparacontent"/>
          <w:szCs w:val="26"/>
        </w:rPr>
        <w:t xml:space="preserve">In a </w:t>
      </w:r>
      <w:r w:rsidR="000E02E8" w:rsidRPr="00D81D5A">
        <w:rPr>
          <w:rStyle w:val="ssparacontent"/>
          <w:szCs w:val="26"/>
        </w:rPr>
        <w:t>properly</w:t>
      </w:r>
      <w:r w:rsidR="005063DE" w:rsidRPr="00D81D5A">
        <w:rPr>
          <w:rStyle w:val="ssparacontent"/>
          <w:szCs w:val="26"/>
        </w:rPr>
        <w:t xml:space="preserve"> operating employment setting</w:t>
      </w:r>
      <w:r w:rsidR="00416AE9" w:rsidRPr="00D81D5A">
        <w:rPr>
          <w:rStyle w:val="ssparacontent"/>
          <w:szCs w:val="26"/>
        </w:rPr>
        <w:t xml:space="preserve">, compensation received by employees </w:t>
      </w:r>
      <w:r w:rsidR="001B3B6F" w:rsidRPr="00D81D5A">
        <w:rPr>
          <w:rStyle w:val="ssparacontent"/>
          <w:szCs w:val="26"/>
        </w:rPr>
        <w:t>i</w:t>
      </w:r>
      <w:r w:rsidR="00416AE9" w:rsidRPr="00D81D5A">
        <w:rPr>
          <w:rStyle w:val="ssparacontent"/>
          <w:szCs w:val="26"/>
        </w:rPr>
        <w:t xml:space="preserve">s paid to compensate for their work; its enhancement of </w:t>
      </w:r>
      <w:r w:rsidR="001B3B6F" w:rsidRPr="00D81D5A">
        <w:rPr>
          <w:rStyle w:val="ssparacontent"/>
          <w:szCs w:val="26"/>
        </w:rPr>
        <w:t>an</w:t>
      </w:r>
      <w:r w:rsidR="00416AE9" w:rsidRPr="00D81D5A">
        <w:rPr>
          <w:rStyle w:val="ssparacontent"/>
          <w:szCs w:val="26"/>
        </w:rPr>
        <w:t xml:space="preserve"> employee’s pension benefit is merely a consequence, not an objective</w:t>
      </w:r>
      <w:r w:rsidR="00AA57D8" w:rsidRPr="00D81D5A">
        <w:rPr>
          <w:rStyle w:val="ssparacontent"/>
          <w:szCs w:val="26"/>
        </w:rPr>
        <w:t>,</w:t>
      </w:r>
      <w:r w:rsidR="001B3B6F" w:rsidRPr="00D81D5A">
        <w:rPr>
          <w:rStyle w:val="ssparacontent"/>
          <w:szCs w:val="26"/>
        </w:rPr>
        <w:t xml:space="preserve"> of the compensation</w:t>
      </w:r>
      <w:r w:rsidR="00416AE9" w:rsidRPr="00D81D5A">
        <w:rPr>
          <w:rStyle w:val="ssparacontent"/>
          <w:szCs w:val="26"/>
        </w:rPr>
        <w:t xml:space="preserve">.  </w:t>
      </w:r>
      <w:r w:rsidR="00034C99" w:rsidRPr="00D81D5A">
        <w:rPr>
          <w:rStyle w:val="ssparacontent"/>
          <w:szCs w:val="26"/>
        </w:rPr>
        <w:t xml:space="preserve">In excluding compensation </w:t>
      </w:r>
      <w:r w:rsidR="00AA57D8" w:rsidRPr="00D81D5A">
        <w:rPr>
          <w:rStyle w:val="ssparacontent"/>
          <w:szCs w:val="26"/>
        </w:rPr>
        <w:t xml:space="preserve">found by the retirement board to have been </w:t>
      </w:r>
      <w:r w:rsidR="00034C99" w:rsidRPr="00D81D5A">
        <w:rPr>
          <w:rStyle w:val="ssparacontent"/>
          <w:szCs w:val="26"/>
        </w:rPr>
        <w:t xml:space="preserve">paid </w:t>
      </w:r>
      <w:r w:rsidR="00AA57D8" w:rsidRPr="00D81D5A">
        <w:rPr>
          <w:rStyle w:val="ssparacontent"/>
          <w:szCs w:val="26"/>
        </w:rPr>
        <w:t xml:space="preserve">to </w:t>
      </w:r>
      <w:r w:rsidR="00034C99" w:rsidRPr="00D81D5A">
        <w:rPr>
          <w:rStyle w:val="ssparacontent"/>
          <w:szCs w:val="26"/>
        </w:rPr>
        <w:t>enhanc</w:t>
      </w:r>
      <w:r w:rsidR="00AA57D8" w:rsidRPr="00D81D5A">
        <w:rPr>
          <w:rStyle w:val="ssparacontent"/>
          <w:szCs w:val="26"/>
        </w:rPr>
        <w:t>e</w:t>
      </w:r>
      <w:r w:rsidR="00034C99" w:rsidRPr="00D81D5A">
        <w:rPr>
          <w:rStyle w:val="ssparacontent"/>
          <w:szCs w:val="26"/>
        </w:rPr>
        <w:t xml:space="preserve"> a pension benefit, t</w:t>
      </w:r>
      <w:r w:rsidR="00416AE9" w:rsidRPr="00D81D5A">
        <w:rPr>
          <w:rStyle w:val="ssparacontent"/>
          <w:szCs w:val="26"/>
        </w:rPr>
        <w:t xml:space="preserve">he Legislature </w:t>
      </w:r>
      <w:r w:rsidR="00AA57D8" w:rsidRPr="00D81D5A">
        <w:rPr>
          <w:rStyle w:val="ssparacontent"/>
          <w:szCs w:val="26"/>
        </w:rPr>
        <w:t xml:space="preserve">appears to have been </w:t>
      </w:r>
      <w:r w:rsidR="00416AE9" w:rsidRPr="00D81D5A">
        <w:rPr>
          <w:rStyle w:val="ssparacontent"/>
          <w:szCs w:val="26"/>
        </w:rPr>
        <w:t xml:space="preserve">concerned that some employees, presumably those in positions of </w:t>
      </w:r>
      <w:r w:rsidR="00034C99" w:rsidRPr="00D81D5A">
        <w:rPr>
          <w:rStyle w:val="ssparacontent"/>
          <w:szCs w:val="26"/>
        </w:rPr>
        <w:t xml:space="preserve">unusual </w:t>
      </w:r>
      <w:r w:rsidR="00416AE9" w:rsidRPr="00D81D5A">
        <w:rPr>
          <w:rStyle w:val="ssparacontent"/>
          <w:szCs w:val="26"/>
        </w:rPr>
        <w:t xml:space="preserve">authority or influence, </w:t>
      </w:r>
      <w:r w:rsidR="006F7081" w:rsidRPr="00D81D5A">
        <w:rPr>
          <w:rStyle w:val="ssparacontent"/>
          <w:szCs w:val="26"/>
        </w:rPr>
        <w:t>were</w:t>
      </w:r>
      <w:r w:rsidR="00034C99" w:rsidRPr="00D81D5A">
        <w:rPr>
          <w:rStyle w:val="ssparacontent"/>
          <w:szCs w:val="26"/>
        </w:rPr>
        <w:t xml:space="preserve"> </w:t>
      </w:r>
      <w:r w:rsidR="00416AE9" w:rsidRPr="00D81D5A">
        <w:rPr>
          <w:rStyle w:val="ssparacontent"/>
          <w:szCs w:val="26"/>
        </w:rPr>
        <w:t>able to manipulate county compensation practices to</w:t>
      </w:r>
      <w:r w:rsidR="00513F79" w:rsidRPr="00D81D5A">
        <w:rPr>
          <w:rStyle w:val="ssparacontent"/>
          <w:szCs w:val="26"/>
        </w:rPr>
        <w:t xml:space="preserve"> artificially</w:t>
      </w:r>
      <w:r w:rsidR="00416AE9" w:rsidRPr="00D81D5A">
        <w:rPr>
          <w:rStyle w:val="ssparacontent"/>
          <w:szCs w:val="26"/>
        </w:rPr>
        <w:t xml:space="preserve"> increase their cash compensation during the final compensation </w:t>
      </w:r>
      <w:r w:rsidR="00D565BD" w:rsidRPr="00D81D5A">
        <w:rPr>
          <w:rStyle w:val="ssparacontent"/>
          <w:szCs w:val="26"/>
        </w:rPr>
        <w:t>period</w:t>
      </w:r>
      <w:r w:rsidR="00416AE9" w:rsidRPr="00D81D5A">
        <w:rPr>
          <w:rStyle w:val="ssparacontent"/>
          <w:szCs w:val="26"/>
        </w:rPr>
        <w:t xml:space="preserve">.  Subdivision (b)(1) provides three examples of </w:t>
      </w:r>
      <w:r w:rsidR="009240BE" w:rsidRPr="00D81D5A">
        <w:rPr>
          <w:rStyle w:val="ssparacontent"/>
          <w:szCs w:val="26"/>
        </w:rPr>
        <w:t xml:space="preserve">the </w:t>
      </w:r>
      <w:r w:rsidR="00D575F0" w:rsidRPr="00D81D5A">
        <w:rPr>
          <w:rStyle w:val="ssparacontent"/>
          <w:szCs w:val="26"/>
        </w:rPr>
        <w:t xml:space="preserve">types of </w:t>
      </w:r>
      <w:r w:rsidR="00416AE9" w:rsidRPr="00D81D5A">
        <w:rPr>
          <w:rStyle w:val="ssparacontent"/>
          <w:szCs w:val="26"/>
        </w:rPr>
        <w:lastRenderedPageBreak/>
        <w:t>compensation</w:t>
      </w:r>
      <w:r w:rsidR="00513F79" w:rsidRPr="00D81D5A">
        <w:rPr>
          <w:rStyle w:val="ssparacontent"/>
          <w:szCs w:val="26"/>
        </w:rPr>
        <w:t xml:space="preserve"> that</w:t>
      </w:r>
      <w:r w:rsidR="005063DE" w:rsidRPr="00D81D5A">
        <w:rPr>
          <w:rStyle w:val="ssparacontent"/>
          <w:szCs w:val="26"/>
        </w:rPr>
        <w:t xml:space="preserve"> could</w:t>
      </w:r>
      <w:r w:rsidR="00513F79" w:rsidRPr="00D81D5A">
        <w:rPr>
          <w:rStyle w:val="ssparacontent"/>
          <w:szCs w:val="26"/>
        </w:rPr>
        <w:t xml:space="preserve"> raise </w:t>
      </w:r>
      <w:r w:rsidR="005063DE" w:rsidRPr="00D81D5A">
        <w:rPr>
          <w:rStyle w:val="ssparacontent"/>
          <w:szCs w:val="26"/>
        </w:rPr>
        <w:t>an inference</w:t>
      </w:r>
      <w:r w:rsidR="00513F79" w:rsidRPr="00D81D5A">
        <w:rPr>
          <w:rStyle w:val="ssparacontent"/>
          <w:szCs w:val="26"/>
        </w:rPr>
        <w:t xml:space="preserve"> of improper payment.</w:t>
      </w:r>
      <w:r w:rsidR="00853CD2" w:rsidRPr="00D81D5A">
        <w:rPr>
          <w:rStyle w:val="FootnoteReference"/>
          <w:szCs w:val="26"/>
        </w:rPr>
        <w:footnoteReference w:id="14"/>
      </w:r>
      <w:r w:rsidR="00513F79" w:rsidRPr="00D81D5A">
        <w:rPr>
          <w:rStyle w:val="ssparacontent"/>
          <w:szCs w:val="26"/>
        </w:rPr>
        <w:t xml:space="preserve">  Each </w:t>
      </w:r>
      <w:r w:rsidR="00583A3A" w:rsidRPr="00D81D5A">
        <w:rPr>
          <w:rStyle w:val="ssparacontent"/>
          <w:szCs w:val="26"/>
        </w:rPr>
        <w:t>contemplates</w:t>
      </w:r>
      <w:r w:rsidR="00416AE9" w:rsidRPr="00D81D5A">
        <w:rPr>
          <w:rStyle w:val="ssparacontent"/>
          <w:szCs w:val="26"/>
        </w:rPr>
        <w:t xml:space="preserve"> a departure from ordinary practices:</w:t>
      </w:r>
      <w:r w:rsidR="002D3CE0">
        <w:rPr>
          <w:rStyle w:val="ssparacontent"/>
          <w:szCs w:val="26"/>
        </w:rPr>
        <w:t>  </w:t>
      </w:r>
      <w:r w:rsidR="00416AE9" w:rsidRPr="00D81D5A">
        <w:rPr>
          <w:rStyle w:val="ssparacontent"/>
          <w:szCs w:val="26"/>
        </w:rPr>
        <w:t xml:space="preserve">cash compensation </w:t>
      </w:r>
      <w:r w:rsidR="00034C99" w:rsidRPr="00D81D5A">
        <w:rPr>
          <w:rStyle w:val="ssparacontent"/>
          <w:szCs w:val="26"/>
        </w:rPr>
        <w:t xml:space="preserve">in lieu of </w:t>
      </w:r>
      <w:r w:rsidR="00416AE9" w:rsidRPr="00D81D5A">
        <w:rPr>
          <w:rStyle w:val="ssparacontent"/>
          <w:szCs w:val="26"/>
        </w:rPr>
        <w:t xml:space="preserve">a benefit </w:t>
      </w:r>
      <w:r w:rsidR="00034C99" w:rsidRPr="00D81D5A">
        <w:rPr>
          <w:rStyle w:val="ssparacontent"/>
          <w:szCs w:val="26"/>
        </w:rPr>
        <w:t xml:space="preserve">normally </w:t>
      </w:r>
      <w:r w:rsidR="00416AE9" w:rsidRPr="00D81D5A">
        <w:rPr>
          <w:rStyle w:val="ssparacontent"/>
          <w:szCs w:val="26"/>
        </w:rPr>
        <w:t xml:space="preserve">provided in-kind </w:t>
      </w:r>
      <w:r w:rsidR="00416AE9" w:rsidRPr="00D81D5A">
        <w:rPr>
          <w:szCs w:val="26"/>
          <w:bdr w:val="none" w:sz="0" w:space="0" w:color="auto" w:frame="1"/>
          <w:shd w:val="clear" w:color="auto" w:fill="FFFFFF"/>
        </w:rPr>
        <w:t>(</w:t>
      </w:r>
      <w:r w:rsidR="00AB3F6B">
        <w:rPr>
          <w:szCs w:val="26"/>
          <w:bdr w:val="none" w:sz="0" w:space="0" w:color="auto" w:frame="1"/>
          <w:shd w:val="clear" w:color="auto" w:fill="FFFFFF"/>
        </w:rPr>
        <w:t>§ 31461,</w:t>
      </w:r>
      <w:r w:rsidR="00416AE9" w:rsidRPr="00D81D5A">
        <w:rPr>
          <w:szCs w:val="26"/>
          <w:bdr w:val="none" w:sz="0" w:space="0" w:color="auto" w:frame="1"/>
          <w:shd w:val="clear" w:color="auto" w:fill="FFFFFF"/>
        </w:rPr>
        <w:t xml:space="preserve"> </w:t>
      </w:r>
      <w:proofErr w:type="spellStart"/>
      <w:r w:rsidR="00416AE9" w:rsidRPr="00D81D5A">
        <w:rPr>
          <w:szCs w:val="26"/>
          <w:bdr w:val="none" w:sz="0" w:space="0" w:color="auto" w:frame="1"/>
          <w:shd w:val="clear" w:color="auto" w:fill="FFFFFF"/>
        </w:rPr>
        <w:t>subd</w:t>
      </w:r>
      <w:proofErr w:type="spellEnd"/>
      <w:r w:rsidR="00416AE9" w:rsidRPr="00D81D5A">
        <w:rPr>
          <w:szCs w:val="26"/>
          <w:bdr w:val="none" w:sz="0" w:space="0" w:color="auto" w:frame="1"/>
          <w:shd w:val="clear" w:color="auto" w:fill="FFFFFF"/>
        </w:rPr>
        <w:t>. (b)(1)(A)),</w:t>
      </w:r>
      <w:r w:rsidR="00034C99" w:rsidRPr="00D81D5A">
        <w:rPr>
          <w:szCs w:val="26"/>
          <w:bdr w:val="none" w:sz="0" w:space="0" w:color="auto" w:frame="1"/>
          <w:shd w:val="clear" w:color="auto" w:fill="FFFFFF"/>
        </w:rPr>
        <w:t xml:space="preserve"> </w:t>
      </w:r>
      <w:r w:rsidR="00AC09C4">
        <w:rPr>
          <w:szCs w:val="26"/>
          <w:bdr w:val="none" w:sz="0" w:space="0" w:color="auto" w:frame="1"/>
          <w:shd w:val="clear" w:color="auto" w:fill="FFFFFF"/>
        </w:rPr>
        <w:t>which</w:t>
      </w:r>
      <w:r w:rsidR="00034C99" w:rsidRPr="00D81D5A">
        <w:rPr>
          <w:szCs w:val="26"/>
          <w:bdr w:val="none" w:sz="0" w:space="0" w:color="auto" w:frame="1"/>
          <w:shd w:val="clear" w:color="auto" w:fill="FFFFFF"/>
        </w:rPr>
        <w:t xml:space="preserve"> would bring the value of an</w:t>
      </w:r>
      <w:r w:rsidR="001B3B6F" w:rsidRPr="00D81D5A">
        <w:rPr>
          <w:szCs w:val="26"/>
          <w:bdr w:val="none" w:sz="0" w:space="0" w:color="auto" w:frame="1"/>
          <w:shd w:val="clear" w:color="auto" w:fill="FFFFFF"/>
        </w:rPr>
        <w:t xml:space="preserve"> otherwise</w:t>
      </w:r>
      <w:r w:rsidR="00034C99" w:rsidRPr="00D81D5A">
        <w:rPr>
          <w:szCs w:val="26"/>
          <w:bdr w:val="none" w:sz="0" w:space="0" w:color="auto" w:frame="1"/>
          <w:shd w:val="clear" w:color="auto" w:fill="FFFFFF"/>
        </w:rPr>
        <w:t xml:space="preserve"> excluded in-kind benefit within </w:t>
      </w:r>
      <w:r w:rsidR="00513F79" w:rsidRPr="00D81D5A">
        <w:rPr>
          <w:szCs w:val="26"/>
          <w:bdr w:val="none" w:sz="0" w:space="0" w:color="auto" w:frame="1"/>
          <w:shd w:val="clear" w:color="auto" w:fill="FFFFFF"/>
        </w:rPr>
        <w:t xml:space="preserve">the definition of </w:t>
      </w:r>
      <w:r w:rsidR="00034C99" w:rsidRPr="00D81D5A">
        <w:rPr>
          <w:szCs w:val="26"/>
          <w:bdr w:val="none" w:sz="0" w:space="0" w:color="auto" w:frame="1"/>
          <w:shd w:val="clear" w:color="auto" w:fill="FFFFFF"/>
        </w:rPr>
        <w:t>compensation; a “</w:t>
      </w:r>
      <w:r w:rsidR="00034C99" w:rsidRPr="00D81D5A">
        <w:rPr>
          <w:rStyle w:val="ssparacontent"/>
          <w:szCs w:val="26"/>
        </w:rPr>
        <w:t xml:space="preserve">one-time or ad hoc payment made to a member” but not to peers </w:t>
      </w:r>
      <w:r w:rsidR="00034C99" w:rsidRPr="00D81D5A">
        <w:rPr>
          <w:szCs w:val="26"/>
          <w:bdr w:val="none" w:sz="0" w:space="0" w:color="auto" w:frame="1"/>
          <w:shd w:val="clear" w:color="auto" w:fill="FFFFFF"/>
        </w:rPr>
        <w:t>(</w:t>
      </w:r>
      <w:r w:rsidR="00034C99" w:rsidRPr="00D81D5A">
        <w:rPr>
          <w:i/>
          <w:szCs w:val="26"/>
          <w:bdr w:val="none" w:sz="0" w:space="0" w:color="auto" w:frame="1"/>
          <w:shd w:val="clear" w:color="auto" w:fill="FFFFFF"/>
        </w:rPr>
        <w:t>id</w:t>
      </w:r>
      <w:r w:rsidR="00034C99" w:rsidRPr="00D81D5A">
        <w:rPr>
          <w:szCs w:val="26"/>
          <w:bdr w:val="none" w:sz="0" w:space="0" w:color="auto" w:frame="1"/>
          <w:shd w:val="clear" w:color="auto" w:fill="FFFFFF"/>
        </w:rPr>
        <w:t xml:space="preserve">., </w:t>
      </w:r>
      <w:proofErr w:type="spellStart"/>
      <w:r w:rsidR="00034C99" w:rsidRPr="00D81D5A">
        <w:rPr>
          <w:szCs w:val="26"/>
          <w:bdr w:val="none" w:sz="0" w:space="0" w:color="auto" w:frame="1"/>
          <w:shd w:val="clear" w:color="auto" w:fill="FFFFFF"/>
        </w:rPr>
        <w:t>subd</w:t>
      </w:r>
      <w:proofErr w:type="spellEnd"/>
      <w:r w:rsidR="00034C99" w:rsidRPr="00D81D5A">
        <w:rPr>
          <w:szCs w:val="26"/>
          <w:bdr w:val="none" w:sz="0" w:space="0" w:color="auto" w:frame="1"/>
          <w:shd w:val="clear" w:color="auto" w:fill="FFFFFF"/>
        </w:rPr>
        <w:t>. (b)(1)(B));</w:t>
      </w:r>
      <w:r w:rsidR="00034C99" w:rsidRPr="00D81D5A">
        <w:rPr>
          <w:rStyle w:val="ssparacontent"/>
          <w:szCs w:val="26"/>
        </w:rPr>
        <w:t xml:space="preserve"> and a payment made “solely due to the termination of the member’s employment” but received while the employee is still employed </w:t>
      </w:r>
      <w:r w:rsidR="00034C99" w:rsidRPr="00D81D5A">
        <w:rPr>
          <w:szCs w:val="26"/>
          <w:bdr w:val="none" w:sz="0" w:space="0" w:color="auto" w:frame="1"/>
          <w:shd w:val="clear" w:color="auto" w:fill="FFFFFF"/>
        </w:rPr>
        <w:t>(</w:t>
      </w:r>
      <w:r w:rsidR="00034C99" w:rsidRPr="00D81D5A">
        <w:rPr>
          <w:i/>
          <w:szCs w:val="26"/>
          <w:bdr w:val="none" w:sz="0" w:space="0" w:color="auto" w:frame="1"/>
          <w:shd w:val="clear" w:color="auto" w:fill="FFFFFF"/>
        </w:rPr>
        <w:t>id</w:t>
      </w:r>
      <w:r w:rsidR="00034C99" w:rsidRPr="00D81D5A">
        <w:rPr>
          <w:szCs w:val="26"/>
          <w:bdr w:val="none" w:sz="0" w:space="0" w:color="auto" w:frame="1"/>
          <w:shd w:val="clear" w:color="auto" w:fill="FFFFFF"/>
        </w:rPr>
        <w:t xml:space="preserve">., </w:t>
      </w:r>
      <w:proofErr w:type="spellStart"/>
      <w:r w:rsidR="00034C99" w:rsidRPr="00D81D5A">
        <w:rPr>
          <w:szCs w:val="26"/>
          <w:bdr w:val="none" w:sz="0" w:space="0" w:color="auto" w:frame="1"/>
          <w:shd w:val="clear" w:color="auto" w:fill="FFFFFF"/>
        </w:rPr>
        <w:t>subd</w:t>
      </w:r>
      <w:proofErr w:type="spellEnd"/>
      <w:r w:rsidR="00034C99" w:rsidRPr="00D81D5A">
        <w:rPr>
          <w:szCs w:val="26"/>
          <w:bdr w:val="none" w:sz="0" w:space="0" w:color="auto" w:frame="1"/>
          <w:shd w:val="clear" w:color="auto" w:fill="FFFFFF"/>
        </w:rPr>
        <w:t>. (b)(1)(C))</w:t>
      </w:r>
      <w:r w:rsidR="00034C99" w:rsidRPr="00D81D5A">
        <w:rPr>
          <w:rStyle w:val="ssparacontent"/>
          <w:szCs w:val="26"/>
        </w:rPr>
        <w:t xml:space="preserve">.  Because payments made </w:t>
      </w:r>
      <w:r w:rsidR="00B81330" w:rsidRPr="00D81D5A">
        <w:rPr>
          <w:rStyle w:val="ssparacontent"/>
          <w:szCs w:val="26"/>
        </w:rPr>
        <w:t>upon</w:t>
      </w:r>
      <w:r w:rsidR="005063DE" w:rsidRPr="00D81D5A">
        <w:rPr>
          <w:rStyle w:val="ssparacontent"/>
          <w:szCs w:val="26"/>
        </w:rPr>
        <w:t xml:space="preserve"> or after</w:t>
      </w:r>
      <w:r w:rsidR="00034C99" w:rsidRPr="00D81D5A">
        <w:rPr>
          <w:rStyle w:val="ssparacontent"/>
          <w:szCs w:val="26"/>
        </w:rPr>
        <w:t xml:space="preserve"> termination of employment ha</w:t>
      </w:r>
      <w:r w:rsidR="009240BE" w:rsidRPr="00D81D5A">
        <w:rPr>
          <w:rStyle w:val="ssparacontent"/>
          <w:szCs w:val="26"/>
        </w:rPr>
        <w:t>ve</w:t>
      </w:r>
      <w:r w:rsidR="00EE315E" w:rsidRPr="00D81D5A">
        <w:rPr>
          <w:rStyle w:val="ssparacontent"/>
          <w:szCs w:val="26"/>
        </w:rPr>
        <w:t xml:space="preserve"> </w:t>
      </w:r>
      <w:r w:rsidR="00034C99" w:rsidRPr="00D81D5A">
        <w:rPr>
          <w:rStyle w:val="ssparacontent"/>
          <w:szCs w:val="26"/>
        </w:rPr>
        <w:t>been</w:t>
      </w:r>
      <w:r w:rsidR="00EE315E" w:rsidRPr="00D81D5A">
        <w:rPr>
          <w:rStyle w:val="ssparacontent"/>
          <w:szCs w:val="26"/>
        </w:rPr>
        <w:t xml:space="preserve"> held to be </w:t>
      </w:r>
      <w:r w:rsidR="00034C99" w:rsidRPr="00D81D5A">
        <w:rPr>
          <w:rStyle w:val="ssparacontent"/>
          <w:szCs w:val="26"/>
        </w:rPr>
        <w:t>outside compensation earnable (</w:t>
      </w:r>
      <w:r w:rsidR="00751713" w:rsidRPr="00D81D5A">
        <w:rPr>
          <w:rStyle w:val="ssparacontent"/>
          <w:szCs w:val="26"/>
        </w:rPr>
        <w:t xml:space="preserve">see </w:t>
      </w:r>
      <w:r w:rsidR="00034C99" w:rsidRPr="00D81D5A">
        <w:rPr>
          <w:rStyle w:val="ssparacontent"/>
          <w:i/>
          <w:szCs w:val="26"/>
        </w:rPr>
        <w:t xml:space="preserve">In re Retirement Cases </w:t>
      </w:r>
      <w:r w:rsidR="00034C99" w:rsidRPr="00D81D5A">
        <w:rPr>
          <w:rStyle w:val="ssparacontent"/>
          <w:szCs w:val="26"/>
        </w:rPr>
        <w:t>(2003) 110</w:t>
      </w:r>
      <w:r w:rsidR="002D3CE0">
        <w:rPr>
          <w:rStyle w:val="ssparacontent"/>
          <w:szCs w:val="26"/>
        </w:rPr>
        <w:t> </w:t>
      </w:r>
      <w:r w:rsidR="00034C99" w:rsidRPr="00D81D5A">
        <w:rPr>
          <w:rStyle w:val="ssparacontent"/>
          <w:szCs w:val="26"/>
        </w:rPr>
        <w:t>Cal.App.4th 426, 4</w:t>
      </w:r>
      <w:r w:rsidR="00B81330" w:rsidRPr="00D81D5A">
        <w:rPr>
          <w:rStyle w:val="ssparacontent"/>
          <w:szCs w:val="26"/>
        </w:rPr>
        <w:t>7</w:t>
      </w:r>
      <w:r w:rsidR="009B2E30">
        <w:rPr>
          <w:rStyle w:val="ssparacontent"/>
          <w:szCs w:val="26"/>
        </w:rPr>
        <w:t>3</w:t>
      </w:r>
      <w:r w:rsidR="00427AF8">
        <w:rPr>
          <w:rStyle w:val="ssparacontent"/>
          <w:szCs w:val="26"/>
        </w:rPr>
        <w:t>–</w:t>
      </w:r>
      <w:r w:rsidR="00B81330" w:rsidRPr="00D81D5A">
        <w:rPr>
          <w:rStyle w:val="ssparacontent"/>
          <w:szCs w:val="26"/>
        </w:rPr>
        <w:t>476</w:t>
      </w:r>
      <w:r w:rsidR="00034C99" w:rsidRPr="00D81D5A">
        <w:rPr>
          <w:rStyle w:val="ssparacontent"/>
          <w:szCs w:val="26"/>
        </w:rPr>
        <w:t xml:space="preserve"> (</w:t>
      </w:r>
      <w:r w:rsidR="00034C99" w:rsidRPr="00D81D5A">
        <w:rPr>
          <w:rStyle w:val="ssparacontent"/>
          <w:i/>
          <w:szCs w:val="26"/>
        </w:rPr>
        <w:t>Retirement Cases</w:t>
      </w:r>
      <w:r w:rsidR="00034C99" w:rsidRPr="00D81D5A">
        <w:rPr>
          <w:rStyle w:val="ssparacontent"/>
          <w:szCs w:val="26"/>
        </w:rPr>
        <w:t xml:space="preserve">)), </w:t>
      </w:r>
      <w:r w:rsidR="00B81330" w:rsidRPr="00D81D5A">
        <w:rPr>
          <w:rStyle w:val="ssparacontent"/>
          <w:szCs w:val="26"/>
        </w:rPr>
        <w:t xml:space="preserve">this would </w:t>
      </w:r>
      <w:r w:rsidR="00AC09C4">
        <w:rPr>
          <w:rStyle w:val="ssparacontent"/>
          <w:szCs w:val="26"/>
        </w:rPr>
        <w:t xml:space="preserve">also </w:t>
      </w:r>
      <w:r w:rsidR="00583A3A" w:rsidRPr="00D81D5A">
        <w:rPr>
          <w:rStyle w:val="ssparacontent"/>
          <w:szCs w:val="26"/>
        </w:rPr>
        <w:t>make pensionable a form of c</w:t>
      </w:r>
      <w:r w:rsidR="00B81330" w:rsidRPr="00D81D5A">
        <w:rPr>
          <w:rStyle w:val="ssparacontent"/>
          <w:szCs w:val="26"/>
        </w:rPr>
        <w:t>ompensation o</w:t>
      </w:r>
      <w:r w:rsidR="00583A3A" w:rsidRPr="00D81D5A">
        <w:rPr>
          <w:rStyle w:val="ssparacontent"/>
          <w:szCs w:val="26"/>
        </w:rPr>
        <w:t>therwise</w:t>
      </w:r>
      <w:r w:rsidR="00B81330" w:rsidRPr="00D81D5A">
        <w:rPr>
          <w:rStyle w:val="ssparacontent"/>
          <w:szCs w:val="26"/>
        </w:rPr>
        <w:t xml:space="preserve"> excluded from compensation earnable.</w:t>
      </w:r>
    </w:p>
    <w:p w14:paraId="6E1607D3" w14:textId="77777777" w:rsidR="007E4258" w:rsidRPr="00D81D5A" w:rsidRDefault="00133859" w:rsidP="00D81D5A">
      <w:pPr>
        <w:ind w:firstLine="720"/>
        <w:rPr>
          <w:szCs w:val="26"/>
          <w:shd w:val="clear" w:color="auto" w:fill="FFFFFF"/>
        </w:rPr>
      </w:pPr>
      <w:r w:rsidRPr="00D81D5A">
        <w:rPr>
          <w:szCs w:val="26"/>
        </w:rPr>
        <w:t xml:space="preserve">New </w:t>
      </w:r>
      <w:r w:rsidRPr="00D81D5A">
        <w:rPr>
          <w:rStyle w:val="ssparacontent"/>
          <w:szCs w:val="26"/>
        </w:rPr>
        <w:t xml:space="preserve">subdivision (b)(3) </w:t>
      </w:r>
      <w:r w:rsidR="00AB3F6B">
        <w:rPr>
          <w:rStyle w:val="ssparacontent"/>
          <w:szCs w:val="26"/>
        </w:rPr>
        <w:t xml:space="preserve">of section 31461 </w:t>
      </w:r>
      <w:r w:rsidRPr="00D81D5A">
        <w:rPr>
          <w:rStyle w:val="ssparacontent"/>
          <w:szCs w:val="26"/>
        </w:rPr>
        <w:t xml:space="preserve">excludes payments </w:t>
      </w:r>
      <w:r w:rsidRPr="00D81D5A">
        <w:rPr>
          <w:szCs w:val="26"/>
        </w:rPr>
        <w:t>for “</w:t>
      </w:r>
      <w:r w:rsidRPr="00D81D5A">
        <w:rPr>
          <w:rStyle w:val="ssparacontent"/>
          <w:szCs w:val="26"/>
        </w:rPr>
        <w:t xml:space="preserve">additional services rendered outside of normal working hours” from compensation earnable.  </w:t>
      </w:r>
      <w:r w:rsidR="00853CD2" w:rsidRPr="00D81D5A">
        <w:rPr>
          <w:rStyle w:val="ssparacontent"/>
          <w:szCs w:val="26"/>
        </w:rPr>
        <w:t>An</w:t>
      </w:r>
      <w:r w:rsidR="00B81330" w:rsidRPr="00D81D5A">
        <w:rPr>
          <w:szCs w:val="26"/>
        </w:rPr>
        <w:t xml:space="preserve"> often-cited example of </w:t>
      </w:r>
      <w:r w:rsidRPr="00D81D5A">
        <w:rPr>
          <w:szCs w:val="26"/>
        </w:rPr>
        <w:t xml:space="preserve">such </w:t>
      </w:r>
      <w:r w:rsidR="00443244" w:rsidRPr="00D81D5A">
        <w:rPr>
          <w:szCs w:val="26"/>
        </w:rPr>
        <w:t xml:space="preserve">compensation </w:t>
      </w:r>
      <w:r w:rsidR="00B81330" w:rsidRPr="00D81D5A">
        <w:rPr>
          <w:rStyle w:val="ssparacontent"/>
          <w:szCs w:val="26"/>
        </w:rPr>
        <w:t xml:space="preserve">is on-call </w:t>
      </w:r>
      <w:r w:rsidR="00443244" w:rsidRPr="00D81D5A">
        <w:rPr>
          <w:rStyle w:val="ssparacontent"/>
          <w:szCs w:val="26"/>
        </w:rPr>
        <w:t xml:space="preserve">duty </w:t>
      </w:r>
      <w:r w:rsidR="00B81330" w:rsidRPr="00D81D5A">
        <w:rPr>
          <w:rStyle w:val="ssparacontent"/>
          <w:szCs w:val="26"/>
        </w:rPr>
        <w:t xml:space="preserve">pay, which </w:t>
      </w:r>
      <w:r w:rsidR="00BF4F8D" w:rsidRPr="00D81D5A">
        <w:rPr>
          <w:rStyle w:val="ssparacontent"/>
          <w:szCs w:val="26"/>
        </w:rPr>
        <w:t>is</w:t>
      </w:r>
      <w:r w:rsidR="00B81330" w:rsidRPr="00D81D5A">
        <w:rPr>
          <w:rStyle w:val="ssparacontent"/>
          <w:szCs w:val="26"/>
        </w:rPr>
        <w:t xml:space="preserve"> provided to </w:t>
      </w:r>
      <w:r w:rsidR="00B81330" w:rsidRPr="00D81D5A">
        <w:rPr>
          <w:rStyle w:val="ssparacontent"/>
          <w:szCs w:val="26"/>
        </w:rPr>
        <w:lastRenderedPageBreak/>
        <w:t xml:space="preserve">employees </w:t>
      </w:r>
      <w:r w:rsidR="007E4258" w:rsidRPr="00D81D5A">
        <w:rPr>
          <w:rStyle w:val="ssparacontent"/>
          <w:szCs w:val="26"/>
        </w:rPr>
        <w:t>in return for</w:t>
      </w:r>
      <w:r w:rsidR="00BF4F8D" w:rsidRPr="00D81D5A">
        <w:rPr>
          <w:rStyle w:val="ssparacontent"/>
          <w:szCs w:val="26"/>
        </w:rPr>
        <w:t xml:space="preserve"> voluntarily</w:t>
      </w:r>
      <w:r w:rsidR="007E4258" w:rsidRPr="00D81D5A">
        <w:rPr>
          <w:rStyle w:val="ssparacontent"/>
          <w:szCs w:val="26"/>
        </w:rPr>
        <w:t xml:space="preserve"> </w:t>
      </w:r>
      <w:r w:rsidR="00B81330" w:rsidRPr="00D81D5A">
        <w:rPr>
          <w:rStyle w:val="ssparacontent"/>
          <w:szCs w:val="26"/>
        </w:rPr>
        <w:t>mak</w:t>
      </w:r>
      <w:r w:rsidR="007E4258" w:rsidRPr="00D81D5A">
        <w:rPr>
          <w:rStyle w:val="ssparacontent"/>
          <w:szCs w:val="26"/>
        </w:rPr>
        <w:t>ing</w:t>
      </w:r>
      <w:r w:rsidR="00B81330" w:rsidRPr="00D81D5A">
        <w:rPr>
          <w:rStyle w:val="ssparacontent"/>
          <w:szCs w:val="26"/>
        </w:rPr>
        <w:t xml:space="preserve"> themselves available </w:t>
      </w:r>
      <w:r w:rsidR="007E4258" w:rsidRPr="00D81D5A">
        <w:rPr>
          <w:rStyle w:val="ssparacontent"/>
          <w:szCs w:val="26"/>
        </w:rPr>
        <w:t>to</w:t>
      </w:r>
      <w:r w:rsidR="00B81330" w:rsidRPr="00D81D5A">
        <w:rPr>
          <w:rStyle w:val="ssparacontent"/>
          <w:szCs w:val="26"/>
        </w:rPr>
        <w:t xml:space="preserve"> </w:t>
      </w:r>
      <w:r w:rsidR="007E4258" w:rsidRPr="00D81D5A">
        <w:rPr>
          <w:rStyle w:val="ssparacontent"/>
          <w:szCs w:val="26"/>
        </w:rPr>
        <w:t xml:space="preserve">be called to </w:t>
      </w:r>
      <w:r w:rsidR="00B81330" w:rsidRPr="00D81D5A">
        <w:rPr>
          <w:rStyle w:val="ssparacontent"/>
          <w:szCs w:val="26"/>
        </w:rPr>
        <w:t xml:space="preserve">work outside their normal working hours.  </w:t>
      </w:r>
      <w:r w:rsidR="0010248E" w:rsidRPr="00D81D5A">
        <w:rPr>
          <w:rStyle w:val="ssparacontent"/>
          <w:szCs w:val="26"/>
        </w:rPr>
        <w:t>Because such pay</w:t>
      </w:r>
      <w:r w:rsidR="00853CD2" w:rsidRPr="00D81D5A">
        <w:rPr>
          <w:rStyle w:val="ssparacontent"/>
          <w:szCs w:val="26"/>
        </w:rPr>
        <w:t xml:space="preserve"> is</w:t>
      </w:r>
      <w:r w:rsidR="0010248E" w:rsidRPr="00D81D5A">
        <w:rPr>
          <w:rStyle w:val="ssparacontent"/>
          <w:szCs w:val="26"/>
        </w:rPr>
        <w:t xml:space="preserve"> cash remuneration, it </w:t>
      </w:r>
      <w:r w:rsidRPr="00D81D5A">
        <w:rPr>
          <w:rStyle w:val="ssparacontent"/>
          <w:szCs w:val="26"/>
        </w:rPr>
        <w:t>i</w:t>
      </w:r>
      <w:r w:rsidR="00443244" w:rsidRPr="00D81D5A">
        <w:rPr>
          <w:rStyle w:val="ssparacontent"/>
          <w:szCs w:val="26"/>
        </w:rPr>
        <w:t>s “compensation”</w:t>
      </w:r>
      <w:r w:rsidR="00853CD2" w:rsidRPr="00D81D5A">
        <w:rPr>
          <w:rStyle w:val="ssparacontent"/>
          <w:szCs w:val="26"/>
        </w:rPr>
        <w:t xml:space="preserve"> under section 31460.</w:t>
      </w:r>
      <w:r w:rsidR="00443244" w:rsidRPr="00D81D5A">
        <w:rPr>
          <w:rStyle w:val="ssparacontent"/>
          <w:szCs w:val="26"/>
        </w:rPr>
        <w:t xml:space="preserve">  Yet b</w:t>
      </w:r>
      <w:r w:rsidR="00B81330" w:rsidRPr="00D81D5A">
        <w:rPr>
          <w:rStyle w:val="ssparacontent"/>
          <w:szCs w:val="26"/>
        </w:rPr>
        <w:t xml:space="preserve">ecause compensation earnable excludes overtime </w:t>
      </w:r>
      <w:r w:rsidR="001B3B6F" w:rsidRPr="00D81D5A">
        <w:rPr>
          <w:rStyle w:val="ssparacontent"/>
          <w:szCs w:val="26"/>
        </w:rPr>
        <w:t xml:space="preserve">pay </w:t>
      </w:r>
      <w:r w:rsidR="00B81330" w:rsidRPr="00D81D5A">
        <w:rPr>
          <w:szCs w:val="26"/>
          <w:shd w:val="clear" w:color="auto" w:fill="FFFFFF"/>
        </w:rPr>
        <w:t xml:space="preserve">and is </w:t>
      </w:r>
      <w:r w:rsidR="00443244" w:rsidRPr="00D81D5A">
        <w:rPr>
          <w:szCs w:val="26"/>
          <w:shd w:val="clear" w:color="auto" w:fill="FFFFFF"/>
        </w:rPr>
        <w:t xml:space="preserve">calculated on the </w:t>
      </w:r>
      <w:r w:rsidR="00B81330" w:rsidRPr="00D81D5A">
        <w:rPr>
          <w:szCs w:val="26"/>
          <w:shd w:val="clear" w:color="auto" w:fill="FFFFFF"/>
        </w:rPr>
        <w:t>bas</w:t>
      </w:r>
      <w:r w:rsidR="00443244" w:rsidRPr="00D81D5A">
        <w:rPr>
          <w:szCs w:val="26"/>
          <w:shd w:val="clear" w:color="auto" w:fill="FFFFFF"/>
        </w:rPr>
        <w:t>is</w:t>
      </w:r>
      <w:r w:rsidR="00B81330" w:rsidRPr="00D81D5A">
        <w:rPr>
          <w:szCs w:val="26"/>
          <w:shd w:val="clear" w:color="auto" w:fill="FFFFFF"/>
        </w:rPr>
        <w:t xml:space="preserve"> o</w:t>
      </w:r>
      <w:r w:rsidR="00443244" w:rsidRPr="00D81D5A">
        <w:rPr>
          <w:szCs w:val="26"/>
          <w:shd w:val="clear" w:color="auto" w:fill="FFFFFF"/>
        </w:rPr>
        <w:t>f</w:t>
      </w:r>
      <w:r w:rsidR="00B81330" w:rsidRPr="00D81D5A">
        <w:rPr>
          <w:szCs w:val="26"/>
          <w:shd w:val="clear" w:color="auto" w:fill="FFFFFF"/>
        </w:rPr>
        <w:t xml:space="preserve"> the days “ordinarily</w:t>
      </w:r>
      <w:r w:rsidR="001B3B6F" w:rsidRPr="00D81D5A">
        <w:rPr>
          <w:szCs w:val="26"/>
          <w:shd w:val="clear" w:color="auto" w:fill="FFFFFF"/>
        </w:rPr>
        <w:t>”</w:t>
      </w:r>
      <w:r w:rsidR="00B81330" w:rsidRPr="00D81D5A">
        <w:rPr>
          <w:szCs w:val="26"/>
          <w:shd w:val="clear" w:color="auto" w:fill="FFFFFF"/>
        </w:rPr>
        <w:t xml:space="preserve"> worked by an employee’s peers</w:t>
      </w:r>
      <w:r w:rsidR="009B2E30">
        <w:rPr>
          <w:szCs w:val="26"/>
          <w:shd w:val="clear" w:color="auto" w:fill="FFFFFF"/>
        </w:rPr>
        <w:t xml:space="preserve"> </w:t>
      </w:r>
      <w:r w:rsidR="009B2E30" w:rsidRPr="00D81D5A">
        <w:rPr>
          <w:szCs w:val="26"/>
          <w:bdr w:val="none" w:sz="0" w:space="0" w:color="auto" w:frame="1"/>
          <w:shd w:val="clear" w:color="auto" w:fill="FFFFFF"/>
        </w:rPr>
        <w:t>(§</w:t>
      </w:r>
      <w:r w:rsidR="009B2E30">
        <w:rPr>
          <w:szCs w:val="26"/>
          <w:bdr w:val="none" w:sz="0" w:space="0" w:color="auto" w:frame="1"/>
          <w:shd w:val="clear" w:color="auto" w:fill="FFFFFF"/>
        </w:rPr>
        <w:t> </w:t>
      </w:r>
      <w:r w:rsidR="009B2E30" w:rsidRPr="00D81D5A">
        <w:rPr>
          <w:szCs w:val="26"/>
          <w:bdr w:val="none" w:sz="0" w:space="0" w:color="auto" w:frame="1"/>
          <w:shd w:val="clear" w:color="auto" w:fill="FFFFFF"/>
        </w:rPr>
        <w:t xml:space="preserve">31461, </w:t>
      </w:r>
      <w:proofErr w:type="spellStart"/>
      <w:r w:rsidR="009B2E30" w:rsidRPr="00D81D5A">
        <w:rPr>
          <w:szCs w:val="26"/>
          <w:bdr w:val="none" w:sz="0" w:space="0" w:color="auto" w:frame="1"/>
          <w:shd w:val="clear" w:color="auto" w:fill="FFFFFF"/>
        </w:rPr>
        <w:t>subd</w:t>
      </w:r>
      <w:proofErr w:type="spellEnd"/>
      <w:r w:rsidR="009B2E30" w:rsidRPr="00D81D5A">
        <w:rPr>
          <w:szCs w:val="26"/>
          <w:bdr w:val="none" w:sz="0" w:space="0" w:color="auto" w:frame="1"/>
          <w:shd w:val="clear" w:color="auto" w:fill="FFFFFF"/>
        </w:rPr>
        <w:t>. (</w:t>
      </w:r>
      <w:r w:rsidR="009B2E30">
        <w:rPr>
          <w:szCs w:val="26"/>
          <w:bdr w:val="none" w:sz="0" w:space="0" w:color="auto" w:frame="1"/>
          <w:shd w:val="clear" w:color="auto" w:fill="FFFFFF"/>
        </w:rPr>
        <w:t>a</w:t>
      </w:r>
      <w:r w:rsidR="009B2E30" w:rsidRPr="00D81D5A">
        <w:rPr>
          <w:szCs w:val="26"/>
          <w:bdr w:val="none" w:sz="0" w:space="0" w:color="auto" w:frame="1"/>
          <w:shd w:val="clear" w:color="auto" w:fill="FFFFFF"/>
        </w:rPr>
        <w:t>))</w:t>
      </w:r>
      <w:r w:rsidR="00B81330" w:rsidRPr="00D81D5A">
        <w:rPr>
          <w:szCs w:val="26"/>
          <w:shd w:val="clear" w:color="auto" w:fill="FFFFFF"/>
        </w:rPr>
        <w:t xml:space="preserve">, </w:t>
      </w:r>
      <w:r w:rsidR="007E4258" w:rsidRPr="00D81D5A">
        <w:rPr>
          <w:szCs w:val="26"/>
          <w:shd w:val="clear" w:color="auto" w:fill="FFFFFF"/>
        </w:rPr>
        <w:t xml:space="preserve">the </w:t>
      </w:r>
      <w:r w:rsidR="0010248E" w:rsidRPr="00D81D5A">
        <w:rPr>
          <w:szCs w:val="26"/>
          <w:shd w:val="clear" w:color="auto" w:fill="FFFFFF"/>
        </w:rPr>
        <w:t>inclu</w:t>
      </w:r>
      <w:r w:rsidR="007E4258" w:rsidRPr="00D81D5A">
        <w:rPr>
          <w:szCs w:val="26"/>
          <w:shd w:val="clear" w:color="auto" w:fill="FFFFFF"/>
        </w:rPr>
        <w:t>sion of</w:t>
      </w:r>
      <w:r w:rsidR="0010248E" w:rsidRPr="00D81D5A">
        <w:rPr>
          <w:szCs w:val="26"/>
          <w:shd w:val="clear" w:color="auto" w:fill="FFFFFF"/>
        </w:rPr>
        <w:t xml:space="preserve"> </w:t>
      </w:r>
      <w:r w:rsidR="003D5A13" w:rsidRPr="00D81D5A">
        <w:rPr>
          <w:szCs w:val="26"/>
          <w:shd w:val="clear" w:color="auto" w:fill="FFFFFF"/>
        </w:rPr>
        <w:t>payment</w:t>
      </w:r>
      <w:r w:rsidR="0010248E" w:rsidRPr="00D81D5A">
        <w:rPr>
          <w:szCs w:val="26"/>
          <w:shd w:val="clear" w:color="auto" w:fill="FFFFFF"/>
        </w:rPr>
        <w:t xml:space="preserve"> </w:t>
      </w:r>
      <w:r w:rsidR="00B81330" w:rsidRPr="00D81D5A">
        <w:rPr>
          <w:szCs w:val="26"/>
          <w:shd w:val="clear" w:color="auto" w:fill="FFFFFF"/>
        </w:rPr>
        <w:t xml:space="preserve">for services </w:t>
      </w:r>
      <w:r w:rsidR="001B3B6F" w:rsidRPr="00D81D5A">
        <w:rPr>
          <w:szCs w:val="26"/>
          <w:shd w:val="clear" w:color="auto" w:fill="FFFFFF"/>
        </w:rPr>
        <w:t xml:space="preserve">provided </w:t>
      </w:r>
      <w:r w:rsidR="00B81330" w:rsidRPr="00D81D5A">
        <w:rPr>
          <w:szCs w:val="26"/>
          <w:shd w:val="clear" w:color="auto" w:fill="FFFFFF"/>
        </w:rPr>
        <w:t xml:space="preserve">outside </w:t>
      </w:r>
      <w:r w:rsidR="00443244" w:rsidRPr="00D81D5A">
        <w:rPr>
          <w:szCs w:val="26"/>
          <w:shd w:val="clear" w:color="auto" w:fill="FFFFFF"/>
        </w:rPr>
        <w:t>normal hours</w:t>
      </w:r>
      <w:r w:rsidR="001B3B6F" w:rsidRPr="00D81D5A">
        <w:rPr>
          <w:szCs w:val="26"/>
          <w:shd w:val="clear" w:color="auto" w:fill="FFFFFF"/>
        </w:rPr>
        <w:t xml:space="preserve"> in compensation earnable </w:t>
      </w:r>
      <w:r w:rsidR="00443244" w:rsidRPr="00D81D5A">
        <w:rPr>
          <w:szCs w:val="26"/>
          <w:shd w:val="clear" w:color="auto" w:fill="FFFFFF"/>
        </w:rPr>
        <w:t>is</w:t>
      </w:r>
      <w:r w:rsidR="0010248E" w:rsidRPr="00D81D5A">
        <w:rPr>
          <w:szCs w:val="26"/>
          <w:shd w:val="clear" w:color="auto" w:fill="FFFFFF"/>
        </w:rPr>
        <w:t xml:space="preserve"> arguably </w:t>
      </w:r>
      <w:r w:rsidR="00443244" w:rsidRPr="00D81D5A">
        <w:rPr>
          <w:szCs w:val="26"/>
          <w:shd w:val="clear" w:color="auto" w:fill="FFFFFF"/>
        </w:rPr>
        <w:t xml:space="preserve">inconsistent with </w:t>
      </w:r>
      <w:r w:rsidR="009126AF" w:rsidRPr="00D81D5A">
        <w:rPr>
          <w:szCs w:val="26"/>
          <w:shd w:val="clear" w:color="auto" w:fill="FFFFFF"/>
        </w:rPr>
        <w:t>the statutory concept</w:t>
      </w:r>
      <w:r w:rsidR="00443244" w:rsidRPr="00D81D5A">
        <w:rPr>
          <w:szCs w:val="26"/>
          <w:shd w:val="clear" w:color="auto" w:fill="FFFFFF"/>
        </w:rPr>
        <w:t>.</w:t>
      </w:r>
    </w:p>
    <w:p w14:paraId="5E371087" w14:textId="77777777" w:rsidR="007E4258" w:rsidRPr="00D81D5A" w:rsidRDefault="00A57F2C" w:rsidP="00D81D5A">
      <w:pPr>
        <w:ind w:firstLine="720"/>
        <w:rPr>
          <w:rStyle w:val="ssparacontent"/>
        </w:rPr>
      </w:pPr>
      <w:r w:rsidRPr="00D81D5A">
        <w:rPr>
          <w:szCs w:val="26"/>
          <w:shd w:val="clear" w:color="auto" w:fill="FFFFFF"/>
        </w:rPr>
        <w:t>As to</w:t>
      </w:r>
      <w:r w:rsidR="009126AF" w:rsidRPr="00D81D5A">
        <w:rPr>
          <w:szCs w:val="26"/>
          <w:shd w:val="clear" w:color="auto" w:fill="FFFFFF"/>
        </w:rPr>
        <w:t xml:space="preserve"> new</w:t>
      </w:r>
      <w:r w:rsidRPr="00D81D5A">
        <w:rPr>
          <w:szCs w:val="26"/>
          <w:shd w:val="clear" w:color="auto" w:fill="FFFFFF"/>
        </w:rPr>
        <w:t xml:space="preserve"> subdivision (b)(2)</w:t>
      </w:r>
      <w:r w:rsidR="00AB3F6B">
        <w:rPr>
          <w:szCs w:val="26"/>
          <w:shd w:val="clear" w:color="auto" w:fill="FFFFFF"/>
        </w:rPr>
        <w:t xml:space="preserve"> of section 31461</w:t>
      </w:r>
      <w:r w:rsidRPr="00D81D5A">
        <w:rPr>
          <w:szCs w:val="26"/>
          <w:shd w:val="clear" w:color="auto" w:fill="FFFFFF"/>
        </w:rPr>
        <w:t xml:space="preserve">, </w:t>
      </w:r>
      <w:r w:rsidR="00853CD2" w:rsidRPr="00D81D5A">
        <w:rPr>
          <w:szCs w:val="26"/>
          <w:shd w:val="clear" w:color="auto" w:fill="FFFFFF"/>
        </w:rPr>
        <w:t>many</w:t>
      </w:r>
      <w:r w:rsidR="00443244" w:rsidRPr="00D81D5A">
        <w:rPr>
          <w:szCs w:val="26"/>
          <w:shd w:val="clear" w:color="auto" w:fill="FFFFFF"/>
        </w:rPr>
        <w:t xml:space="preserve"> counties permit employees to accumulate </w:t>
      </w:r>
      <w:r w:rsidR="00133859" w:rsidRPr="00D81D5A">
        <w:rPr>
          <w:szCs w:val="26"/>
          <w:shd w:val="clear" w:color="auto" w:fill="FFFFFF"/>
        </w:rPr>
        <w:t xml:space="preserve">unused </w:t>
      </w:r>
      <w:r w:rsidR="00443244" w:rsidRPr="00D81D5A">
        <w:rPr>
          <w:szCs w:val="26"/>
          <w:shd w:val="clear" w:color="auto" w:fill="FFFFFF"/>
        </w:rPr>
        <w:t xml:space="preserve">leave time, such as vacation </w:t>
      </w:r>
      <w:r w:rsidR="009126AF" w:rsidRPr="00D81D5A">
        <w:rPr>
          <w:szCs w:val="26"/>
          <w:shd w:val="clear" w:color="auto" w:fill="FFFFFF"/>
        </w:rPr>
        <w:t>days</w:t>
      </w:r>
      <w:r w:rsidR="00443244" w:rsidRPr="00D81D5A">
        <w:rPr>
          <w:szCs w:val="26"/>
          <w:shd w:val="clear" w:color="auto" w:fill="FFFFFF"/>
        </w:rPr>
        <w:t xml:space="preserve"> and sick</w:t>
      </w:r>
      <w:r w:rsidR="00133859" w:rsidRPr="00D81D5A">
        <w:rPr>
          <w:szCs w:val="26"/>
          <w:shd w:val="clear" w:color="auto" w:fill="FFFFFF"/>
        </w:rPr>
        <w:t xml:space="preserve"> leave</w:t>
      </w:r>
      <w:r w:rsidR="00443244" w:rsidRPr="00D81D5A">
        <w:rPr>
          <w:szCs w:val="26"/>
          <w:shd w:val="clear" w:color="auto" w:fill="FFFFFF"/>
        </w:rPr>
        <w:t xml:space="preserve">, and to “cash out” </w:t>
      </w:r>
      <w:r w:rsidR="00133859" w:rsidRPr="00D81D5A">
        <w:rPr>
          <w:szCs w:val="26"/>
          <w:shd w:val="clear" w:color="auto" w:fill="FFFFFF"/>
        </w:rPr>
        <w:t xml:space="preserve">the </w:t>
      </w:r>
      <w:r w:rsidR="00443244" w:rsidRPr="00D81D5A">
        <w:rPr>
          <w:szCs w:val="26"/>
          <w:shd w:val="clear" w:color="auto" w:fill="FFFFFF"/>
        </w:rPr>
        <w:t xml:space="preserve">leave time at a later date by receiving </w:t>
      </w:r>
      <w:r w:rsidR="00751713" w:rsidRPr="00D81D5A">
        <w:rPr>
          <w:szCs w:val="26"/>
          <w:shd w:val="clear" w:color="auto" w:fill="FFFFFF"/>
        </w:rPr>
        <w:t>the</w:t>
      </w:r>
      <w:r w:rsidR="00443244" w:rsidRPr="00D81D5A">
        <w:rPr>
          <w:szCs w:val="26"/>
          <w:shd w:val="clear" w:color="auto" w:fill="FFFFFF"/>
        </w:rPr>
        <w:t xml:space="preserve"> cash value </w:t>
      </w:r>
      <w:r w:rsidR="00751713" w:rsidRPr="00D81D5A">
        <w:rPr>
          <w:szCs w:val="26"/>
          <w:shd w:val="clear" w:color="auto" w:fill="FFFFFF"/>
        </w:rPr>
        <w:t xml:space="preserve">of the time </w:t>
      </w:r>
      <w:r w:rsidR="00443244" w:rsidRPr="00D81D5A">
        <w:rPr>
          <w:szCs w:val="26"/>
          <w:shd w:val="clear" w:color="auto" w:fill="FFFFFF"/>
        </w:rPr>
        <w:t xml:space="preserve">in return for its surrender. </w:t>
      </w:r>
      <w:r w:rsidR="00133859" w:rsidRPr="00D81D5A">
        <w:rPr>
          <w:szCs w:val="26"/>
          <w:shd w:val="clear" w:color="auto" w:fill="FFFFFF"/>
        </w:rPr>
        <w:t xml:space="preserve"> </w:t>
      </w:r>
      <w:r w:rsidR="00751713" w:rsidRPr="00D81D5A">
        <w:rPr>
          <w:szCs w:val="26"/>
          <w:shd w:val="clear" w:color="auto" w:fill="FFFFFF"/>
        </w:rPr>
        <w:t xml:space="preserve">Such </w:t>
      </w:r>
      <w:r w:rsidR="00443244" w:rsidRPr="00D81D5A">
        <w:rPr>
          <w:szCs w:val="26"/>
          <w:shd w:val="clear" w:color="auto" w:fill="FFFFFF"/>
        </w:rPr>
        <w:t xml:space="preserve">leave time is earned in the year in which </w:t>
      </w:r>
      <w:r w:rsidR="00123D62" w:rsidRPr="00D81D5A">
        <w:rPr>
          <w:szCs w:val="26"/>
          <w:shd w:val="clear" w:color="auto" w:fill="FFFFFF"/>
        </w:rPr>
        <w:t xml:space="preserve">it is </w:t>
      </w:r>
      <w:r w:rsidR="00133859" w:rsidRPr="00D81D5A">
        <w:rPr>
          <w:szCs w:val="26"/>
          <w:shd w:val="clear" w:color="auto" w:fill="FFFFFF"/>
        </w:rPr>
        <w:t>awarded</w:t>
      </w:r>
      <w:r w:rsidR="00123D62" w:rsidRPr="00D81D5A">
        <w:rPr>
          <w:szCs w:val="26"/>
          <w:shd w:val="clear" w:color="auto" w:fill="FFFFFF"/>
        </w:rPr>
        <w:t xml:space="preserve">.  Yet compensation for cashed out leave time </w:t>
      </w:r>
      <w:r w:rsidR="00133859" w:rsidRPr="00D81D5A">
        <w:rPr>
          <w:szCs w:val="26"/>
          <w:shd w:val="clear" w:color="auto" w:fill="FFFFFF"/>
        </w:rPr>
        <w:t>be</w:t>
      </w:r>
      <w:r w:rsidR="00004CEB" w:rsidRPr="00D81D5A">
        <w:rPr>
          <w:szCs w:val="26"/>
          <w:shd w:val="clear" w:color="auto" w:fill="FFFFFF"/>
        </w:rPr>
        <w:t>co</w:t>
      </w:r>
      <w:r w:rsidR="00133859" w:rsidRPr="00D81D5A">
        <w:rPr>
          <w:szCs w:val="26"/>
          <w:shd w:val="clear" w:color="auto" w:fill="FFFFFF"/>
        </w:rPr>
        <w:t>me</w:t>
      </w:r>
      <w:r w:rsidR="00004CEB" w:rsidRPr="00D81D5A">
        <w:rPr>
          <w:szCs w:val="26"/>
          <w:shd w:val="clear" w:color="auto" w:fill="FFFFFF"/>
        </w:rPr>
        <w:t>s</w:t>
      </w:r>
      <w:r w:rsidR="00133859" w:rsidRPr="00D81D5A">
        <w:rPr>
          <w:szCs w:val="26"/>
          <w:shd w:val="clear" w:color="auto" w:fill="FFFFFF"/>
        </w:rPr>
        <w:t xml:space="preserve"> </w:t>
      </w:r>
      <w:r w:rsidR="00123D62" w:rsidRPr="00D81D5A">
        <w:rPr>
          <w:szCs w:val="26"/>
          <w:shd w:val="clear" w:color="auto" w:fill="FFFFFF"/>
        </w:rPr>
        <w:t>“compensation” for purposes of section 31460 in the year in which t</w:t>
      </w:r>
      <w:r w:rsidR="003A1CD5" w:rsidRPr="00D81D5A">
        <w:rPr>
          <w:szCs w:val="26"/>
          <w:shd w:val="clear" w:color="auto" w:fill="FFFFFF"/>
        </w:rPr>
        <w:t>he cash value</w:t>
      </w:r>
      <w:r w:rsidR="00123D62" w:rsidRPr="00D81D5A">
        <w:rPr>
          <w:szCs w:val="26"/>
          <w:shd w:val="clear" w:color="auto" w:fill="FFFFFF"/>
        </w:rPr>
        <w:t xml:space="preserve"> </w:t>
      </w:r>
      <w:r w:rsidR="00004CEB" w:rsidRPr="00D81D5A">
        <w:rPr>
          <w:szCs w:val="26"/>
          <w:shd w:val="clear" w:color="auto" w:fill="FFFFFF"/>
        </w:rPr>
        <w:t>i</w:t>
      </w:r>
      <w:r w:rsidR="00123D62" w:rsidRPr="00D81D5A">
        <w:rPr>
          <w:szCs w:val="26"/>
          <w:shd w:val="clear" w:color="auto" w:fill="FFFFFF"/>
        </w:rPr>
        <w:t>s received</w:t>
      </w:r>
      <w:r w:rsidR="00751713" w:rsidRPr="00D81D5A">
        <w:rPr>
          <w:szCs w:val="26"/>
          <w:shd w:val="clear" w:color="auto" w:fill="FFFFFF"/>
        </w:rPr>
        <w:t xml:space="preserve">, which </w:t>
      </w:r>
      <w:r w:rsidR="009240BE" w:rsidRPr="00D81D5A">
        <w:rPr>
          <w:szCs w:val="26"/>
          <w:shd w:val="clear" w:color="auto" w:fill="FFFFFF"/>
        </w:rPr>
        <w:t>need not be</w:t>
      </w:r>
      <w:r w:rsidR="00751713" w:rsidRPr="00D81D5A">
        <w:rPr>
          <w:szCs w:val="26"/>
          <w:shd w:val="clear" w:color="auto" w:fill="FFFFFF"/>
        </w:rPr>
        <w:t xml:space="preserve"> the year in which the surrendered time was earned</w:t>
      </w:r>
      <w:r w:rsidR="00123D62" w:rsidRPr="00D81D5A">
        <w:rPr>
          <w:szCs w:val="26"/>
          <w:shd w:val="clear" w:color="auto" w:fill="FFFFFF"/>
        </w:rPr>
        <w:t>.</w:t>
      </w:r>
      <w:r w:rsidR="00004CEB" w:rsidRPr="00D81D5A">
        <w:rPr>
          <w:szCs w:val="26"/>
          <w:shd w:val="clear" w:color="auto" w:fill="FFFFFF"/>
        </w:rPr>
        <w:t xml:space="preserve"> </w:t>
      </w:r>
      <w:r w:rsidR="003A1CD5" w:rsidRPr="00D81D5A">
        <w:rPr>
          <w:szCs w:val="26"/>
          <w:shd w:val="clear" w:color="auto" w:fill="FFFFFF"/>
        </w:rPr>
        <w:t xml:space="preserve"> </w:t>
      </w:r>
      <w:r w:rsidR="00DE0900" w:rsidRPr="00D81D5A">
        <w:rPr>
          <w:szCs w:val="26"/>
          <w:shd w:val="clear" w:color="auto" w:fill="FFFFFF"/>
        </w:rPr>
        <w:t xml:space="preserve">This can lead to a distortion of the pension calculation when leave time awarded in a prior year is cashed out during the final compensation period, since this has the effect of adding remuneration for a prior </w:t>
      </w:r>
      <w:proofErr w:type="spellStart"/>
      <w:r w:rsidR="00DE0900" w:rsidRPr="00D81D5A">
        <w:rPr>
          <w:szCs w:val="26"/>
          <w:shd w:val="clear" w:color="auto" w:fill="FFFFFF"/>
        </w:rPr>
        <w:t>year’s service</w:t>
      </w:r>
      <w:proofErr w:type="spellEnd"/>
      <w:r w:rsidR="00DE0900" w:rsidRPr="00D81D5A">
        <w:rPr>
          <w:szCs w:val="26"/>
          <w:shd w:val="clear" w:color="auto" w:fill="FFFFFF"/>
        </w:rPr>
        <w:t xml:space="preserve"> to the compensation received for service during the final compensation period.</w:t>
      </w:r>
      <w:r w:rsidR="00DE0900" w:rsidRPr="00D81D5A">
        <w:t xml:space="preserve">  </w:t>
      </w:r>
      <w:r w:rsidR="00123D62" w:rsidRPr="00D81D5A">
        <w:rPr>
          <w:szCs w:val="26"/>
          <w:shd w:val="clear" w:color="auto" w:fill="FFFFFF"/>
        </w:rPr>
        <w:t>A</w:t>
      </w:r>
      <w:r w:rsidR="009D1B95">
        <w:rPr>
          <w:szCs w:val="26"/>
          <w:shd w:val="clear" w:color="auto" w:fill="FFFFFF"/>
        </w:rPr>
        <w:t> </w:t>
      </w:r>
      <w:r w:rsidR="00123D62" w:rsidRPr="00D81D5A">
        <w:rPr>
          <w:szCs w:val="26"/>
          <w:shd w:val="clear" w:color="auto" w:fill="FFFFFF"/>
        </w:rPr>
        <w:t>similar problem arises with payments made upon termination</w:t>
      </w:r>
      <w:r w:rsidRPr="00D81D5A">
        <w:rPr>
          <w:szCs w:val="26"/>
          <w:shd w:val="clear" w:color="auto" w:fill="FFFFFF"/>
        </w:rPr>
        <w:t xml:space="preserve"> of employment</w:t>
      </w:r>
      <w:r w:rsidR="00123D62" w:rsidRPr="00D81D5A">
        <w:rPr>
          <w:szCs w:val="26"/>
          <w:shd w:val="clear" w:color="auto" w:fill="FFFFFF"/>
        </w:rPr>
        <w:t xml:space="preserve">, excluded by </w:t>
      </w:r>
      <w:r w:rsidR="00AB3F6B">
        <w:rPr>
          <w:szCs w:val="26"/>
          <w:shd w:val="clear" w:color="auto" w:fill="FFFFFF"/>
        </w:rPr>
        <w:t xml:space="preserve">section 31461, </w:t>
      </w:r>
      <w:r w:rsidR="00123D62" w:rsidRPr="00D81D5A">
        <w:rPr>
          <w:szCs w:val="26"/>
          <w:shd w:val="clear" w:color="auto" w:fill="FFFFFF"/>
        </w:rPr>
        <w:t>subdivision (b)(4)</w:t>
      </w:r>
      <w:r w:rsidR="00751713" w:rsidRPr="00D81D5A">
        <w:rPr>
          <w:szCs w:val="26"/>
          <w:shd w:val="clear" w:color="auto" w:fill="FFFFFF"/>
        </w:rPr>
        <w:t xml:space="preserve">, </w:t>
      </w:r>
      <w:r w:rsidR="00583A3A" w:rsidRPr="00D81D5A">
        <w:rPr>
          <w:szCs w:val="26"/>
          <w:shd w:val="clear" w:color="auto" w:fill="FFFFFF"/>
        </w:rPr>
        <w:t>becaus</w:t>
      </w:r>
      <w:r w:rsidR="00751713" w:rsidRPr="00D81D5A">
        <w:rPr>
          <w:szCs w:val="26"/>
          <w:shd w:val="clear" w:color="auto" w:fill="FFFFFF"/>
        </w:rPr>
        <w:t>e s</w:t>
      </w:r>
      <w:r w:rsidR="0010248E" w:rsidRPr="00D81D5A">
        <w:rPr>
          <w:szCs w:val="26"/>
          <w:shd w:val="clear" w:color="auto" w:fill="FFFFFF"/>
        </w:rPr>
        <w:t xml:space="preserve">uch payments are generally also </w:t>
      </w:r>
      <w:r w:rsidR="00123D62" w:rsidRPr="00D81D5A">
        <w:rPr>
          <w:szCs w:val="26"/>
          <w:shd w:val="clear" w:color="auto" w:fill="FFFFFF"/>
        </w:rPr>
        <w:t>compensation for</w:t>
      </w:r>
      <w:r w:rsidR="00060B37" w:rsidRPr="00D81D5A">
        <w:rPr>
          <w:szCs w:val="26"/>
          <w:shd w:val="clear" w:color="auto" w:fill="FFFFFF"/>
        </w:rPr>
        <w:t xml:space="preserve"> the surrender of</w:t>
      </w:r>
      <w:r w:rsidR="00123D62" w:rsidRPr="00D81D5A">
        <w:rPr>
          <w:szCs w:val="26"/>
          <w:shd w:val="clear" w:color="auto" w:fill="FFFFFF"/>
        </w:rPr>
        <w:t xml:space="preserve"> accrued leave time.  By limiting </w:t>
      </w:r>
      <w:r w:rsidR="00156CD6" w:rsidRPr="00D81D5A">
        <w:rPr>
          <w:szCs w:val="26"/>
          <w:shd w:val="clear" w:color="auto" w:fill="FFFFFF"/>
        </w:rPr>
        <w:t xml:space="preserve">the </w:t>
      </w:r>
      <w:r w:rsidR="00346CCE" w:rsidRPr="00D81D5A">
        <w:rPr>
          <w:szCs w:val="26"/>
          <w:shd w:val="clear" w:color="auto" w:fill="FFFFFF"/>
        </w:rPr>
        <w:t xml:space="preserve">amount </w:t>
      </w:r>
      <w:r w:rsidR="00156CD6" w:rsidRPr="00D81D5A">
        <w:rPr>
          <w:szCs w:val="26"/>
          <w:shd w:val="clear" w:color="auto" w:fill="FFFFFF"/>
        </w:rPr>
        <w:t xml:space="preserve">of </w:t>
      </w:r>
      <w:r w:rsidRPr="00D81D5A">
        <w:rPr>
          <w:szCs w:val="26"/>
          <w:shd w:val="clear" w:color="auto" w:fill="FFFFFF"/>
        </w:rPr>
        <w:t xml:space="preserve">“cash out” and termination pay </w:t>
      </w:r>
      <w:r w:rsidR="00346CCE" w:rsidRPr="00D81D5A">
        <w:rPr>
          <w:szCs w:val="26"/>
          <w:shd w:val="clear" w:color="auto" w:fill="FFFFFF"/>
        </w:rPr>
        <w:t xml:space="preserve">that can be included </w:t>
      </w:r>
      <w:r w:rsidR="00156CD6" w:rsidRPr="00D81D5A">
        <w:rPr>
          <w:szCs w:val="26"/>
          <w:shd w:val="clear" w:color="auto" w:fill="FFFFFF"/>
        </w:rPr>
        <w:t>in compensation earnable to th</w:t>
      </w:r>
      <w:r w:rsidR="00110564" w:rsidRPr="00D81D5A">
        <w:rPr>
          <w:szCs w:val="26"/>
          <w:shd w:val="clear" w:color="auto" w:fill="FFFFFF"/>
        </w:rPr>
        <w:t xml:space="preserve">e </w:t>
      </w:r>
      <w:r w:rsidR="00060B37" w:rsidRPr="00D81D5A">
        <w:rPr>
          <w:szCs w:val="26"/>
          <w:shd w:val="clear" w:color="auto" w:fill="FFFFFF"/>
        </w:rPr>
        <w:t xml:space="preserve">value </w:t>
      </w:r>
      <w:r w:rsidR="00110564" w:rsidRPr="00D81D5A">
        <w:rPr>
          <w:szCs w:val="26"/>
          <w:shd w:val="clear" w:color="auto" w:fill="FFFFFF"/>
        </w:rPr>
        <w:t>of leave time</w:t>
      </w:r>
      <w:r w:rsidR="00346CCE" w:rsidRPr="00D81D5A">
        <w:rPr>
          <w:szCs w:val="26"/>
          <w:shd w:val="clear" w:color="auto" w:fill="FFFFFF"/>
        </w:rPr>
        <w:t xml:space="preserve"> “</w:t>
      </w:r>
      <w:r w:rsidR="00346CCE" w:rsidRPr="00D81D5A">
        <w:rPr>
          <w:rStyle w:val="ssparacontent"/>
          <w:szCs w:val="26"/>
        </w:rPr>
        <w:t xml:space="preserve">earned and payable in each 12-month period during the final average salary </w:t>
      </w:r>
      <w:r w:rsidR="00346CCE" w:rsidRPr="00D81D5A">
        <w:rPr>
          <w:rStyle w:val="ssparacontent"/>
          <w:szCs w:val="26"/>
        </w:rPr>
        <w:lastRenderedPageBreak/>
        <w:t>period”</w:t>
      </w:r>
      <w:r w:rsidR="00AB3F6B">
        <w:rPr>
          <w:rStyle w:val="ssparacontent"/>
          <w:szCs w:val="26"/>
        </w:rPr>
        <w:t xml:space="preserve"> (</w:t>
      </w:r>
      <w:r w:rsidR="00AB3F6B">
        <w:rPr>
          <w:rStyle w:val="ssparacontent"/>
          <w:i/>
          <w:iCs/>
          <w:szCs w:val="26"/>
        </w:rPr>
        <w:t>ibid</w:t>
      </w:r>
      <w:r w:rsidR="00AB3F6B">
        <w:rPr>
          <w:rStyle w:val="ssparacontent"/>
          <w:szCs w:val="26"/>
        </w:rPr>
        <w:t>.),</w:t>
      </w:r>
      <w:r w:rsidR="00346CCE" w:rsidRPr="00D81D5A">
        <w:rPr>
          <w:rStyle w:val="ssparacontent"/>
          <w:szCs w:val="26"/>
        </w:rPr>
        <w:t xml:space="preserve"> the Legislature appears to have intended to prevent retiring employees from, in effect, i</w:t>
      </w:r>
      <w:r w:rsidRPr="00D81D5A">
        <w:rPr>
          <w:rStyle w:val="ssparacontent"/>
          <w:szCs w:val="26"/>
        </w:rPr>
        <w:t>ncluding</w:t>
      </w:r>
      <w:r w:rsidR="00346CCE" w:rsidRPr="00D81D5A">
        <w:rPr>
          <w:rStyle w:val="ssparacontent"/>
          <w:szCs w:val="26"/>
        </w:rPr>
        <w:t xml:space="preserve"> </w:t>
      </w:r>
      <w:r w:rsidR="00060B37" w:rsidRPr="00D81D5A">
        <w:rPr>
          <w:rStyle w:val="ssparacontent"/>
          <w:szCs w:val="26"/>
        </w:rPr>
        <w:t>remuneration</w:t>
      </w:r>
      <w:r w:rsidR="00346CCE" w:rsidRPr="00D81D5A">
        <w:rPr>
          <w:rStyle w:val="ssparacontent"/>
          <w:szCs w:val="26"/>
        </w:rPr>
        <w:t xml:space="preserve"> earned during </w:t>
      </w:r>
      <w:r w:rsidR="009055FA" w:rsidRPr="00D81D5A">
        <w:rPr>
          <w:rStyle w:val="ssparacontent"/>
          <w:szCs w:val="26"/>
        </w:rPr>
        <w:t>prior</w:t>
      </w:r>
      <w:r w:rsidR="00346CCE" w:rsidRPr="00D81D5A">
        <w:rPr>
          <w:rStyle w:val="ssparacontent"/>
          <w:szCs w:val="26"/>
        </w:rPr>
        <w:t xml:space="preserve"> years in the final compensation </w:t>
      </w:r>
      <w:r w:rsidR="0010248E" w:rsidRPr="00D81D5A">
        <w:rPr>
          <w:rStyle w:val="ssparacontent"/>
          <w:szCs w:val="26"/>
        </w:rPr>
        <w:t>calculation</w:t>
      </w:r>
      <w:r w:rsidR="00346CCE" w:rsidRPr="00D81D5A">
        <w:rPr>
          <w:rStyle w:val="ssparacontent"/>
          <w:szCs w:val="26"/>
        </w:rPr>
        <w:t>.</w:t>
      </w:r>
    </w:p>
    <w:p w14:paraId="0181F406" w14:textId="7C8FA443" w:rsidR="00F81E8E" w:rsidRPr="00D81D5A" w:rsidRDefault="00060B37" w:rsidP="00D81D5A">
      <w:pPr>
        <w:ind w:firstLine="720"/>
        <w:rPr>
          <w:szCs w:val="26"/>
        </w:rPr>
      </w:pPr>
      <w:r w:rsidRPr="00D81D5A">
        <w:rPr>
          <w:rStyle w:val="ssparacontent"/>
          <w:szCs w:val="26"/>
        </w:rPr>
        <w:t xml:space="preserve">The State points to an additional function of </w:t>
      </w:r>
      <w:r w:rsidR="00AB3F6B">
        <w:rPr>
          <w:rStyle w:val="ssparacontent"/>
          <w:szCs w:val="26"/>
        </w:rPr>
        <w:t xml:space="preserve">section 31461, </w:t>
      </w:r>
      <w:r w:rsidRPr="00D81D5A">
        <w:rPr>
          <w:rStyle w:val="ssparacontent"/>
          <w:szCs w:val="26"/>
        </w:rPr>
        <w:t>subdivision (b)(2)</w:t>
      </w:r>
      <w:r w:rsidR="001A2AF9" w:rsidRPr="00D81D5A">
        <w:rPr>
          <w:rStyle w:val="ssparacontent"/>
          <w:szCs w:val="26"/>
        </w:rPr>
        <w:t xml:space="preserve"> and (4)</w:t>
      </w:r>
      <w:r w:rsidRPr="00D81D5A">
        <w:rPr>
          <w:rStyle w:val="ssparacontent"/>
          <w:szCs w:val="26"/>
        </w:rPr>
        <w:t xml:space="preserve">.  Prior to PEPRA’s amendment, even in counties that limited the amount of leave time that could be cashed out in a calendar year, </w:t>
      </w:r>
      <w:r w:rsidRPr="00D81D5A">
        <w:t xml:space="preserve">employees were able to double the amount of cashed out leave time </w:t>
      </w:r>
      <w:r w:rsidR="00DE0900" w:rsidRPr="00D81D5A">
        <w:t>receiv</w:t>
      </w:r>
      <w:r w:rsidRPr="00D81D5A">
        <w:t xml:space="preserve">ed during a final compensation year by </w:t>
      </w:r>
      <w:r w:rsidR="007E4258" w:rsidRPr="00D81D5A">
        <w:t>designati</w:t>
      </w:r>
      <w:r w:rsidRPr="00D81D5A">
        <w:t>ng a</w:t>
      </w:r>
      <w:r w:rsidR="00751713" w:rsidRPr="00D81D5A">
        <w:t xml:space="preserve"> final compensation</w:t>
      </w:r>
      <w:r w:rsidRPr="00D81D5A">
        <w:t xml:space="preserve"> year that straddles two calendar years, for example, July 1 through June 30.  </w:t>
      </w:r>
      <w:r w:rsidR="001A2AF9" w:rsidRPr="00D81D5A">
        <w:t xml:space="preserve">By cashing out leave time in the second half of the </w:t>
      </w:r>
      <w:r w:rsidR="00785520" w:rsidRPr="00D81D5A">
        <w:t>prior</w:t>
      </w:r>
      <w:r w:rsidR="001A2AF9" w:rsidRPr="00D81D5A">
        <w:t xml:space="preserve"> calendar year and the first half of the subsequent calendar year, </w:t>
      </w:r>
      <w:r w:rsidR="00C40C61" w:rsidRPr="00D81D5A">
        <w:t xml:space="preserve">a retiring employee </w:t>
      </w:r>
      <w:r w:rsidR="001A2AF9" w:rsidRPr="00D81D5A">
        <w:t xml:space="preserve">could double the amount of cashed out leave time </w:t>
      </w:r>
      <w:r w:rsidR="00751713" w:rsidRPr="00D81D5A">
        <w:t>receiv</w:t>
      </w:r>
      <w:r w:rsidRPr="00D81D5A">
        <w:t>e</w:t>
      </w:r>
      <w:r w:rsidR="001A2AF9" w:rsidRPr="00D81D5A">
        <w:t>d</w:t>
      </w:r>
      <w:r w:rsidRPr="00D81D5A">
        <w:t xml:space="preserve"> in</w:t>
      </w:r>
      <w:r w:rsidR="001A2AF9" w:rsidRPr="00D81D5A">
        <w:t xml:space="preserve"> the</w:t>
      </w:r>
      <w:r w:rsidRPr="00D81D5A">
        <w:t xml:space="preserve"> final compensation year.  By limiting the </w:t>
      </w:r>
      <w:r w:rsidRPr="00D81D5A">
        <w:rPr>
          <w:szCs w:val="26"/>
        </w:rPr>
        <w:t xml:space="preserve">inclusion of cashed out leave time to that </w:t>
      </w:r>
      <w:r w:rsidR="001A2AF9" w:rsidRPr="00D81D5A">
        <w:rPr>
          <w:szCs w:val="26"/>
        </w:rPr>
        <w:t>“</w:t>
      </w:r>
      <w:r w:rsidRPr="00D81D5A">
        <w:rPr>
          <w:szCs w:val="26"/>
        </w:rPr>
        <w:t>earned and payable</w:t>
      </w:r>
      <w:r w:rsidR="001A2AF9" w:rsidRPr="00D81D5A">
        <w:rPr>
          <w:szCs w:val="26"/>
        </w:rPr>
        <w:t>”</w:t>
      </w:r>
      <w:r w:rsidRPr="00D81D5A">
        <w:rPr>
          <w:szCs w:val="26"/>
        </w:rPr>
        <w:t xml:space="preserve"> in a “12-month period,” subdivision (b)(2) and (4) prevent this </w:t>
      </w:r>
      <w:r w:rsidR="00785520" w:rsidRPr="00D81D5A">
        <w:rPr>
          <w:szCs w:val="26"/>
        </w:rPr>
        <w:t>practice</w:t>
      </w:r>
      <w:r w:rsidRPr="00D81D5A">
        <w:rPr>
          <w:szCs w:val="26"/>
        </w:rPr>
        <w:t>.</w:t>
      </w:r>
    </w:p>
    <w:p w14:paraId="717B29A6" w14:textId="7623665E" w:rsidR="007E4258" w:rsidRPr="00D81D5A" w:rsidRDefault="00F81E8E" w:rsidP="00D81D5A">
      <w:pPr>
        <w:ind w:firstLine="720"/>
        <w:rPr>
          <w:szCs w:val="26"/>
          <w:shd w:val="clear" w:color="auto" w:fill="FFFFFF"/>
        </w:rPr>
      </w:pPr>
      <w:r w:rsidRPr="00D81D5A">
        <w:rPr>
          <w:szCs w:val="26"/>
          <w:shd w:val="clear" w:color="auto" w:fill="FFFFFF"/>
        </w:rPr>
        <w:t>We emphasize that t</w:t>
      </w:r>
      <w:r w:rsidR="007E4258" w:rsidRPr="00D81D5A">
        <w:rPr>
          <w:szCs w:val="26"/>
          <w:shd w:val="clear" w:color="auto" w:fill="FFFFFF"/>
        </w:rPr>
        <w:t xml:space="preserve">here is nothing inherently abusive in the practices addressed by </w:t>
      </w:r>
      <w:r w:rsidR="00AB3F6B">
        <w:rPr>
          <w:szCs w:val="26"/>
          <w:shd w:val="clear" w:color="auto" w:fill="FFFFFF"/>
        </w:rPr>
        <w:t xml:space="preserve">section 31461, </w:t>
      </w:r>
      <w:r w:rsidR="007E4258" w:rsidRPr="00D81D5A">
        <w:rPr>
          <w:szCs w:val="26"/>
          <w:shd w:val="clear" w:color="auto" w:fill="FFFFFF"/>
        </w:rPr>
        <w:t>sub</w:t>
      </w:r>
      <w:r w:rsidR="00AB3F6B">
        <w:rPr>
          <w:szCs w:val="26"/>
          <w:shd w:val="clear" w:color="auto" w:fill="FFFFFF"/>
        </w:rPr>
        <w:t>divis</w:t>
      </w:r>
      <w:r w:rsidR="007E4258" w:rsidRPr="00D81D5A">
        <w:rPr>
          <w:szCs w:val="26"/>
          <w:shd w:val="clear" w:color="auto" w:fill="FFFFFF"/>
        </w:rPr>
        <w:t>ion (b)(2) through (4)</w:t>
      </w:r>
      <w:r w:rsidRPr="00D81D5A">
        <w:rPr>
          <w:szCs w:val="26"/>
          <w:shd w:val="clear" w:color="auto" w:fill="FFFFFF"/>
        </w:rPr>
        <w:t xml:space="preserve">, </w:t>
      </w:r>
      <w:r w:rsidR="00DE0900" w:rsidRPr="00D81D5A">
        <w:rPr>
          <w:szCs w:val="26"/>
          <w:shd w:val="clear" w:color="auto" w:fill="FFFFFF"/>
        </w:rPr>
        <w:t xml:space="preserve">at least </w:t>
      </w:r>
      <w:r w:rsidRPr="00D81D5A">
        <w:rPr>
          <w:szCs w:val="26"/>
          <w:shd w:val="clear" w:color="auto" w:fill="FFFFFF"/>
        </w:rPr>
        <w:t>when divorced from their</w:t>
      </w:r>
      <w:r w:rsidR="00785520" w:rsidRPr="00D81D5A">
        <w:rPr>
          <w:szCs w:val="26"/>
          <w:shd w:val="clear" w:color="auto" w:fill="FFFFFF"/>
        </w:rPr>
        <w:t xml:space="preserve"> </w:t>
      </w:r>
      <w:r w:rsidRPr="00D81D5A">
        <w:rPr>
          <w:szCs w:val="26"/>
          <w:shd w:val="clear" w:color="auto" w:fill="FFFFFF"/>
        </w:rPr>
        <w:t xml:space="preserve">pension </w:t>
      </w:r>
      <w:r w:rsidR="000F2956" w:rsidRPr="00D81D5A">
        <w:rPr>
          <w:szCs w:val="26"/>
          <w:shd w:val="clear" w:color="auto" w:fill="FFFFFF"/>
        </w:rPr>
        <w:t>consequences</w:t>
      </w:r>
      <w:r w:rsidR="007E4258" w:rsidRPr="00D81D5A">
        <w:rPr>
          <w:szCs w:val="26"/>
          <w:shd w:val="clear" w:color="auto" w:fill="FFFFFF"/>
        </w:rPr>
        <w:t>.</w:t>
      </w:r>
      <w:r w:rsidR="002B15A6" w:rsidRPr="00D81D5A">
        <w:rPr>
          <w:szCs w:val="26"/>
          <w:shd w:val="clear" w:color="auto" w:fill="FFFFFF"/>
        </w:rPr>
        <w:t xml:space="preserve">  Accepting </w:t>
      </w:r>
      <w:r w:rsidR="000149A3" w:rsidRPr="00D81D5A">
        <w:rPr>
          <w:szCs w:val="26"/>
          <w:shd w:val="clear" w:color="auto" w:fill="FFFFFF"/>
        </w:rPr>
        <w:t xml:space="preserve">voluntary </w:t>
      </w:r>
      <w:r w:rsidR="002B15A6" w:rsidRPr="00D81D5A">
        <w:rPr>
          <w:szCs w:val="26"/>
          <w:shd w:val="clear" w:color="auto" w:fill="FFFFFF"/>
        </w:rPr>
        <w:t>on</w:t>
      </w:r>
      <w:r w:rsidR="00AF6533" w:rsidRPr="00D81D5A">
        <w:rPr>
          <w:szCs w:val="26"/>
          <w:shd w:val="clear" w:color="auto" w:fill="FFFFFF"/>
        </w:rPr>
        <w:t>-</w:t>
      </w:r>
      <w:r w:rsidR="002B15A6" w:rsidRPr="00D81D5A">
        <w:rPr>
          <w:szCs w:val="26"/>
          <w:shd w:val="clear" w:color="auto" w:fill="FFFFFF"/>
        </w:rPr>
        <w:t>call duty and cashing out unused leave time to the extent permitted by a</w:t>
      </w:r>
      <w:r w:rsidR="00AF6533" w:rsidRPr="00D81D5A">
        <w:rPr>
          <w:szCs w:val="26"/>
          <w:shd w:val="clear" w:color="auto" w:fill="FFFFFF"/>
        </w:rPr>
        <w:t>n</w:t>
      </w:r>
      <w:r w:rsidR="002B15A6" w:rsidRPr="00D81D5A">
        <w:rPr>
          <w:szCs w:val="26"/>
          <w:shd w:val="clear" w:color="auto" w:fill="FFFFFF"/>
        </w:rPr>
        <w:t xml:space="preserve"> employer are ordinary practices that serve proper public policy interests.</w:t>
      </w:r>
      <w:r w:rsidR="007E4258" w:rsidRPr="00D81D5A">
        <w:rPr>
          <w:szCs w:val="26"/>
          <w:shd w:val="clear" w:color="auto" w:fill="FFFFFF"/>
        </w:rPr>
        <w:t xml:space="preserve">  </w:t>
      </w:r>
      <w:r w:rsidRPr="00D81D5A">
        <w:rPr>
          <w:szCs w:val="26"/>
        </w:rPr>
        <w:t xml:space="preserve">Yet by </w:t>
      </w:r>
      <w:r w:rsidR="00DE0900" w:rsidRPr="00D81D5A">
        <w:rPr>
          <w:szCs w:val="26"/>
        </w:rPr>
        <w:t xml:space="preserve">not expressly excluding </w:t>
      </w:r>
      <w:r w:rsidRPr="00D81D5A">
        <w:rPr>
          <w:szCs w:val="26"/>
        </w:rPr>
        <w:t xml:space="preserve">such payments </w:t>
      </w:r>
      <w:r w:rsidR="00C17100" w:rsidRPr="00D81D5A">
        <w:rPr>
          <w:szCs w:val="26"/>
        </w:rPr>
        <w:t>when</w:t>
      </w:r>
      <w:r w:rsidRPr="00D81D5A">
        <w:rPr>
          <w:szCs w:val="26"/>
        </w:rPr>
        <w:t xml:space="preserve"> determining a</w:t>
      </w:r>
      <w:r w:rsidR="00C17100" w:rsidRPr="00D81D5A">
        <w:rPr>
          <w:szCs w:val="26"/>
        </w:rPr>
        <w:t xml:space="preserve"> county</w:t>
      </w:r>
      <w:r w:rsidRPr="00D81D5A">
        <w:rPr>
          <w:szCs w:val="26"/>
        </w:rPr>
        <w:t xml:space="preserve"> employee’s pension benefit, the pre-PEPRA definition of compensation earnable allowed a</w:t>
      </w:r>
      <w:r w:rsidR="00C17100" w:rsidRPr="00D81D5A">
        <w:rPr>
          <w:szCs w:val="26"/>
        </w:rPr>
        <w:t>n</w:t>
      </w:r>
      <w:r w:rsidRPr="00D81D5A">
        <w:rPr>
          <w:szCs w:val="26"/>
        </w:rPr>
        <w:t xml:space="preserve"> employee to considerably increase his or her pension benefit by volunteering for a large quantity of on-call duty or by accumulating and cashing out a large quantity of unused leave time</w:t>
      </w:r>
      <w:r w:rsidR="00233B79" w:rsidRPr="00D81D5A">
        <w:rPr>
          <w:szCs w:val="26"/>
        </w:rPr>
        <w:t xml:space="preserve"> during the final </w:t>
      </w:r>
      <w:r w:rsidR="00233B79" w:rsidRPr="00D81D5A">
        <w:rPr>
          <w:szCs w:val="26"/>
        </w:rPr>
        <w:lastRenderedPageBreak/>
        <w:t>compensation period</w:t>
      </w:r>
      <w:r w:rsidRPr="00D81D5A">
        <w:rPr>
          <w:szCs w:val="26"/>
        </w:rPr>
        <w:t xml:space="preserve">.  </w:t>
      </w:r>
      <w:r w:rsidR="002B15A6" w:rsidRPr="00D81D5A">
        <w:rPr>
          <w:szCs w:val="26"/>
          <w:shd w:val="clear" w:color="auto" w:fill="FFFFFF"/>
        </w:rPr>
        <w:t>Because such enhancement</w:t>
      </w:r>
      <w:r w:rsidRPr="00D81D5A">
        <w:rPr>
          <w:szCs w:val="26"/>
          <w:shd w:val="clear" w:color="auto" w:fill="FFFFFF"/>
        </w:rPr>
        <w:t>s</w:t>
      </w:r>
      <w:r w:rsidR="002B15A6" w:rsidRPr="00D81D5A">
        <w:rPr>
          <w:szCs w:val="26"/>
          <w:shd w:val="clear" w:color="auto" w:fill="FFFFFF"/>
        </w:rPr>
        <w:t xml:space="preserve"> </w:t>
      </w:r>
      <w:r w:rsidRPr="00D81D5A">
        <w:rPr>
          <w:szCs w:val="26"/>
          <w:shd w:val="clear" w:color="auto" w:fill="FFFFFF"/>
        </w:rPr>
        <w:t>are</w:t>
      </w:r>
      <w:r w:rsidR="002B15A6" w:rsidRPr="00D81D5A">
        <w:rPr>
          <w:szCs w:val="26"/>
          <w:shd w:val="clear" w:color="auto" w:fill="FFFFFF"/>
        </w:rPr>
        <w:t xml:space="preserve"> arguably inconsistent with the underlying </w:t>
      </w:r>
      <w:r w:rsidRPr="00D81D5A">
        <w:rPr>
          <w:szCs w:val="26"/>
          <w:shd w:val="clear" w:color="auto" w:fill="FFFFFF"/>
        </w:rPr>
        <w:t xml:space="preserve">concept of </w:t>
      </w:r>
      <w:r w:rsidR="002B15A6" w:rsidRPr="00D81D5A">
        <w:rPr>
          <w:szCs w:val="26"/>
          <w:shd w:val="clear" w:color="auto" w:fill="FFFFFF"/>
        </w:rPr>
        <w:t xml:space="preserve">compensation earnable, </w:t>
      </w:r>
      <w:r w:rsidR="00C17100" w:rsidRPr="00D81D5A">
        <w:rPr>
          <w:szCs w:val="26"/>
          <w:shd w:val="clear" w:color="auto" w:fill="FFFFFF"/>
        </w:rPr>
        <w:t xml:space="preserve">which is intended to reflect pay for work ordinarily performed during the course of a year, </w:t>
      </w:r>
      <w:r w:rsidRPr="00D81D5A">
        <w:rPr>
          <w:szCs w:val="26"/>
          <w:shd w:val="clear" w:color="auto" w:fill="FFFFFF"/>
        </w:rPr>
        <w:t>th</w:t>
      </w:r>
      <w:r w:rsidR="00C17100" w:rsidRPr="00D81D5A">
        <w:rPr>
          <w:szCs w:val="26"/>
          <w:shd w:val="clear" w:color="auto" w:fill="FFFFFF"/>
        </w:rPr>
        <w:t>ese types of enhancement have</w:t>
      </w:r>
      <w:r w:rsidR="00785520" w:rsidRPr="00D81D5A">
        <w:rPr>
          <w:szCs w:val="26"/>
          <w:shd w:val="clear" w:color="auto" w:fill="FFFFFF"/>
        </w:rPr>
        <w:t xml:space="preserve"> been</w:t>
      </w:r>
      <w:r w:rsidR="002B15A6" w:rsidRPr="00D81D5A">
        <w:rPr>
          <w:szCs w:val="26"/>
          <w:shd w:val="clear" w:color="auto" w:fill="FFFFFF"/>
        </w:rPr>
        <w:t xml:space="preserve"> </w:t>
      </w:r>
      <w:r w:rsidRPr="00D81D5A">
        <w:rPr>
          <w:szCs w:val="26"/>
          <w:shd w:val="clear" w:color="auto" w:fill="FFFFFF"/>
        </w:rPr>
        <w:t xml:space="preserve">characterized </w:t>
      </w:r>
      <w:r w:rsidR="002B15A6" w:rsidRPr="00D81D5A">
        <w:rPr>
          <w:szCs w:val="26"/>
          <w:shd w:val="clear" w:color="auto" w:fill="FFFFFF"/>
        </w:rPr>
        <w:t xml:space="preserve">as </w:t>
      </w:r>
      <w:r w:rsidR="00785520" w:rsidRPr="00D81D5A">
        <w:rPr>
          <w:szCs w:val="26"/>
          <w:shd w:val="clear" w:color="auto" w:fill="FFFFFF"/>
        </w:rPr>
        <w:t>pension spiking</w:t>
      </w:r>
      <w:r w:rsidR="002B15A6" w:rsidRPr="00D81D5A">
        <w:rPr>
          <w:szCs w:val="26"/>
          <w:shd w:val="clear" w:color="auto" w:fill="FFFFFF"/>
        </w:rPr>
        <w:t>.</w:t>
      </w:r>
    </w:p>
    <w:p w14:paraId="1CF9AA3D" w14:textId="77777777" w:rsidR="003A790C" w:rsidRPr="00D81D5A" w:rsidRDefault="007042AB" w:rsidP="00D81D5A">
      <w:pPr>
        <w:pStyle w:val="Heading2"/>
        <w:rPr>
          <w:szCs w:val="26"/>
        </w:rPr>
      </w:pPr>
      <w:r w:rsidRPr="00D81D5A">
        <w:t>D</w:t>
      </w:r>
      <w:r w:rsidR="00636EA2" w:rsidRPr="00D81D5A">
        <w:t xml:space="preserve">.  </w:t>
      </w:r>
      <w:r w:rsidR="00EF59F3" w:rsidRPr="00D81D5A">
        <w:t xml:space="preserve">This </w:t>
      </w:r>
      <w:r w:rsidR="00694BF3" w:rsidRPr="00D81D5A">
        <w:t>Litigation</w:t>
      </w:r>
    </w:p>
    <w:p w14:paraId="31049897" w14:textId="77777777" w:rsidR="009C3D70" w:rsidRPr="00D81D5A" w:rsidRDefault="0074190E" w:rsidP="00D81D5A">
      <w:pPr>
        <w:ind w:firstLine="720"/>
        <w:rPr>
          <w:szCs w:val="26"/>
        </w:rPr>
      </w:pPr>
      <w:r w:rsidRPr="00D81D5A">
        <w:t xml:space="preserve">Following the enactment of PEPRA, </w:t>
      </w:r>
      <w:r w:rsidR="0082115D" w:rsidRPr="00D81D5A">
        <w:t xml:space="preserve">the Association, the Merced County Sheriff’s Employees’ Association, and the Contra Costa County Deputy Sheriffs Association filed </w:t>
      </w:r>
      <w:r w:rsidR="00196CEA" w:rsidRPr="00D81D5A">
        <w:t xml:space="preserve">separate </w:t>
      </w:r>
      <w:r w:rsidRPr="00D81D5A">
        <w:t>petitions for</w:t>
      </w:r>
      <w:r w:rsidR="005A5F9C" w:rsidRPr="00D81D5A">
        <w:t xml:space="preserve"> a</w:t>
      </w:r>
      <w:r w:rsidRPr="00D81D5A">
        <w:t xml:space="preserve"> writ of mandate </w:t>
      </w:r>
      <w:r w:rsidR="00D63393" w:rsidRPr="00D81D5A">
        <w:t xml:space="preserve">against their respective </w:t>
      </w:r>
      <w:r w:rsidR="0082115D" w:rsidRPr="00D81D5A">
        <w:t xml:space="preserve">county </w:t>
      </w:r>
      <w:r w:rsidR="00D63393" w:rsidRPr="00D81D5A">
        <w:t>retirement boards</w:t>
      </w:r>
      <w:r w:rsidR="00297185" w:rsidRPr="00D81D5A">
        <w:t>.</w:t>
      </w:r>
      <w:r w:rsidR="001A1AD1" w:rsidRPr="00D81D5A">
        <w:rPr>
          <w:rStyle w:val="FootnoteReference"/>
          <w:szCs w:val="26"/>
        </w:rPr>
        <w:footnoteReference w:id="15"/>
      </w:r>
      <w:r w:rsidR="00297185" w:rsidRPr="00D81D5A">
        <w:t xml:space="preserve"> </w:t>
      </w:r>
      <w:r w:rsidR="00196CEA" w:rsidRPr="00D81D5A">
        <w:t xml:space="preserve"> </w:t>
      </w:r>
      <w:r w:rsidR="001A2AF9" w:rsidRPr="00D81D5A">
        <w:rPr>
          <w:szCs w:val="26"/>
        </w:rPr>
        <w:t>The three matters were eventually consolidated</w:t>
      </w:r>
      <w:r w:rsidR="00751713" w:rsidRPr="00D81D5A">
        <w:rPr>
          <w:szCs w:val="26"/>
        </w:rPr>
        <w:t xml:space="preserve"> in a single proceeding in Alameda County</w:t>
      </w:r>
      <w:r w:rsidR="001A2AF9" w:rsidRPr="00D81D5A">
        <w:rPr>
          <w:szCs w:val="26"/>
        </w:rPr>
        <w:t>.</w:t>
      </w:r>
      <w:r w:rsidR="001A2AF9" w:rsidRPr="00D81D5A">
        <w:rPr>
          <w:rStyle w:val="FootnoteReference"/>
        </w:rPr>
        <w:footnoteReference w:id="16"/>
      </w:r>
      <w:r w:rsidR="001A2AF9" w:rsidRPr="00D81D5A">
        <w:rPr>
          <w:szCs w:val="26"/>
        </w:rPr>
        <w:t xml:space="preserve">  </w:t>
      </w:r>
      <w:r w:rsidR="006C59E9" w:rsidRPr="00D81D5A">
        <w:rPr>
          <w:szCs w:val="26"/>
        </w:rPr>
        <w:t>The fundamental contention of the</w:t>
      </w:r>
      <w:r w:rsidR="001A1AD1" w:rsidRPr="00D81D5A">
        <w:rPr>
          <w:szCs w:val="26"/>
        </w:rPr>
        <w:t>se</w:t>
      </w:r>
      <w:r w:rsidR="006C59E9" w:rsidRPr="00D81D5A">
        <w:rPr>
          <w:szCs w:val="26"/>
        </w:rPr>
        <w:t xml:space="preserve"> lawsuits was that </w:t>
      </w:r>
      <w:r w:rsidR="007D26E8" w:rsidRPr="00D81D5A">
        <w:rPr>
          <w:szCs w:val="26"/>
        </w:rPr>
        <w:t xml:space="preserve">PEPRA’s exclusion of </w:t>
      </w:r>
      <w:r w:rsidR="00580180" w:rsidRPr="00D81D5A">
        <w:rPr>
          <w:szCs w:val="26"/>
        </w:rPr>
        <w:t>certain</w:t>
      </w:r>
      <w:r w:rsidR="007D26E8" w:rsidRPr="00D81D5A">
        <w:rPr>
          <w:szCs w:val="26"/>
        </w:rPr>
        <w:t xml:space="preserve"> types of income from compensation earnable could not</w:t>
      </w:r>
      <w:r w:rsidR="00A57F2C" w:rsidRPr="00D81D5A">
        <w:rPr>
          <w:szCs w:val="26"/>
        </w:rPr>
        <w:t xml:space="preserve"> lawfully</w:t>
      </w:r>
      <w:r w:rsidR="007D26E8" w:rsidRPr="00D81D5A">
        <w:rPr>
          <w:szCs w:val="26"/>
        </w:rPr>
        <w:t xml:space="preserve"> be applied </w:t>
      </w:r>
      <w:r w:rsidR="00A57F2C" w:rsidRPr="00D81D5A">
        <w:rPr>
          <w:szCs w:val="26"/>
        </w:rPr>
        <w:t>to</w:t>
      </w:r>
      <w:r w:rsidR="001A1AD1" w:rsidRPr="00D81D5A">
        <w:rPr>
          <w:szCs w:val="26"/>
        </w:rPr>
        <w:t xml:space="preserve"> the </w:t>
      </w:r>
      <w:r w:rsidR="007D26E8" w:rsidRPr="00D81D5A">
        <w:rPr>
          <w:szCs w:val="26"/>
        </w:rPr>
        <w:t>calculati</w:t>
      </w:r>
      <w:r w:rsidR="001A1AD1" w:rsidRPr="00D81D5A">
        <w:rPr>
          <w:szCs w:val="26"/>
        </w:rPr>
        <w:t>o</w:t>
      </w:r>
      <w:r w:rsidR="007D26E8" w:rsidRPr="00D81D5A">
        <w:rPr>
          <w:szCs w:val="26"/>
        </w:rPr>
        <w:t>n</w:t>
      </w:r>
      <w:r w:rsidR="001A1AD1" w:rsidRPr="00D81D5A">
        <w:rPr>
          <w:szCs w:val="26"/>
        </w:rPr>
        <w:t xml:space="preserve"> of</w:t>
      </w:r>
      <w:r w:rsidR="007D26E8" w:rsidRPr="00D81D5A">
        <w:rPr>
          <w:szCs w:val="26"/>
        </w:rPr>
        <w:t xml:space="preserve"> the pensions of persons who were </w:t>
      </w:r>
      <w:r w:rsidR="006C59E9" w:rsidRPr="00D81D5A">
        <w:rPr>
          <w:szCs w:val="26"/>
        </w:rPr>
        <w:t>county employees</w:t>
      </w:r>
      <w:r w:rsidR="007D26E8" w:rsidRPr="00D81D5A">
        <w:rPr>
          <w:szCs w:val="26"/>
        </w:rPr>
        <w:t xml:space="preserve"> </w:t>
      </w:r>
      <w:r w:rsidR="001A1AD1" w:rsidRPr="00D81D5A">
        <w:rPr>
          <w:szCs w:val="26"/>
        </w:rPr>
        <w:t xml:space="preserve">at the time </w:t>
      </w:r>
      <w:r w:rsidR="007D26E8" w:rsidRPr="00D81D5A">
        <w:rPr>
          <w:szCs w:val="26"/>
        </w:rPr>
        <w:t xml:space="preserve">PEPRA </w:t>
      </w:r>
      <w:r w:rsidR="001A1AD1" w:rsidRPr="00D81D5A">
        <w:rPr>
          <w:szCs w:val="26"/>
        </w:rPr>
        <w:t xml:space="preserve">became </w:t>
      </w:r>
      <w:r w:rsidR="007D26E8" w:rsidRPr="00D81D5A">
        <w:rPr>
          <w:szCs w:val="26"/>
        </w:rPr>
        <w:t>effective.</w:t>
      </w:r>
    </w:p>
    <w:p w14:paraId="185E95B3" w14:textId="564721D8" w:rsidR="00807684" w:rsidRPr="00D81D5A" w:rsidRDefault="00C33C03" w:rsidP="00D81D5A">
      <w:pPr>
        <w:pStyle w:val="FootnoteText"/>
        <w:spacing w:line="400" w:lineRule="exact"/>
        <w:ind w:right="-90" w:firstLine="720"/>
        <w:rPr>
          <w:szCs w:val="26"/>
          <w:bdr w:val="none" w:sz="0" w:space="0" w:color="auto" w:frame="1"/>
          <w:shd w:val="clear" w:color="auto" w:fill="FFFFFF"/>
        </w:rPr>
      </w:pPr>
      <w:r w:rsidRPr="00D81D5A">
        <w:rPr>
          <w:szCs w:val="26"/>
        </w:rPr>
        <w:lastRenderedPageBreak/>
        <w:t>The l</w:t>
      </w:r>
      <w:r w:rsidR="00196CEA" w:rsidRPr="00D81D5A">
        <w:rPr>
          <w:szCs w:val="26"/>
        </w:rPr>
        <w:t xml:space="preserve">itigation revealed that PEPRA’s amendment of section 31461 had </w:t>
      </w:r>
      <w:r w:rsidR="001A1AD1" w:rsidRPr="00D81D5A">
        <w:rPr>
          <w:szCs w:val="26"/>
        </w:rPr>
        <w:t>caused the three county retirement boards to change</w:t>
      </w:r>
      <w:r w:rsidR="00345510" w:rsidRPr="00D81D5A">
        <w:rPr>
          <w:szCs w:val="26"/>
        </w:rPr>
        <w:t xml:space="preserve"> certain </w:t>
      </w:r>
      <w:r w:rsidR="00196CEA" w:rsidRPr="00D81D5A">
        <w:rPr>
          <w:szCs w:val="26"/>
        </w:rPr>
        <w:t xml:space="preserve">policies </w:t>
      </w:r>
      <w:r w:rsidR="001A1AD1" w:rsidRPr="00D81D5A">
        <w:rPr>
          <w:szCs w:val="26"/>
        </w:rPr>
        <w:t>governing the calculation of compensation earnable</w:t>
      </w:r>
      <w:r w:rsidR="00196CEA" w:rsidRPr="00D81D5A">
        <w:rPr>
          <w:szCs w:val="26"/>
        </w:rPr>
        <w:t xml:space="preserve">.  </w:t>
      </w:r>
      <w:r w:rsidR="006B2A09" w:rsidRPr="00D81D5A">
        <w:rPr>
          <w:szCs w:val="26"/>
        </w:rPr>
        <w:t xml:space="preserve">Although the </w:t>
      </w:r>
      <w:r w:rsidR="0060014D" w:rsidRPr="00D81D5A">
        <w:rPr>
          <w:szCs w:val="26"/>
        </w:rPr>
        <w:t xml:space="preserve">exact </w:t>
      </w:r>
      <w:r w:rsidR="00F81E8E" w:rsidRPr="00D81D5A">
        <w:rPr>
          <w:szCs w:val="26"/>
        </w:rPr>
        <w:t xml:space="preserve">pre-PEPRA </w:t>
      </w:r>
      <w:r w:rsidR="00345510" w:rsidRPr="00D81D5A">
        <w:rPr>
          <w:szCs w:val="26"/>
        </w:rPr>
        <w:t>practices</w:t>
      </w:r>
      <w:r w:rsidR="006B2A09" w:rsidRPr="00D81D5A">
        <w:rPr>
          <w:szCs w:val="26"/>
        </w:rPr>
        <w:t xml:space="preserve"> varied among the</w:t>
      </w:r>
      <w:r w:rsidR="00F81E8E" w:rsidRPr="00D81D5A">
        <w:rPr>
          <w:szCs w:val="26"/>
        </w:rPr>
        <w:t>se</w:t>
      </w:r>
      <w:r w:rsidR="006B2A09" w:rsidRPr="00D81D5A">
        <w:rPr>
          <w:szCs w:val="26"/>
        </w:rPr>
        <w:t xml:space="preserve"> counties, </w:t>
      </w:r>
      <w:r w:rsidR="00A57F2C" w:rsidRPr="00D81D5A">
        <w:rPr>
          <w:szCs w:val="26"/>
        </w:rPr>
        <w:t xml:space="preserve">each retirement board maintained </w:t>
      </w:r>
      <w:r w:rsidR="0045399C" w:rsidRPr="00D81D5A">
        <w:rPr>
          <w:szCs w:val="26"/>
        </w:rPr>
        <w:t xml:space="preserve">a </w:t>
      </w:r>
      <w:r w:rsidR="00DE26C2" w:rsidRPr="00D81D5A">
        <w:rPr>
          <w:szCs w:val="26"/>
        </w:rPr>
        <w:t>polic</w:t>
      </w:r>
      <w:r w:rsidR="0045399C" w:rsidRPr="00D81D5A">
        <w:rPr>
          <w:szCs w:val="26"/>
        </w:rPr>
        <w:t>y</w:t>
      </w:r>
      <w:r w:rsidR="00DE26C2" w:rsidRPr="00D81D5A">
        <w:rPr>
          <w:szCs w:val="26"/>
        </w:rPr>
        <w:t xml:space="preserve"> permitting employees to </w:t>
      </w:r>
      <w:r w:rsidR="00A57F2C" w:rsidRPr="00D81D5A">
        <w:rPr>
          <w:szCs w:val="26"/>
        </w:rPr>
        <w:t xml:space="preserve">include in compensation earnable at least some of the </w:t>
      </w:r>
      <w:r w:rsidR="001A2AF9" w:rsidRPr="00D81D5A">
        <w:rPr>
          <w:szCs w:val="26"/>
        </w:rPr>
        <w:t xml:space="preserve">types of </w:t>
      </w:r>
      <w:r w:rsidR="00A57F2C" w:rsidRPr="00D81D5A">
        <w:rPr>
          <w:szCs w:val="26"/>
        </w:rPr>
        <w:t xml:space="preserve">compensation that </w:t>
      </w:r>
      <w:r w:rsidR="00DD717D" w:rsidRPr="00D81D5A">
        <w:rPr>
          <w:szCs w:val="26"/>
        </w:rPr>
        <w:t>are</w:t>
      </w:r>
      <w:r w:rsidR="00A57F2C" w:rsidRPr="00D81D5A">
        <w:rPr>
          <w:szCs w:val="26"/>
        </w:rPr>
        <w:t xml:space="preserve"> excluded or limited by the PEPRA amendment.  Most often this was compensation for cashed out leave time, which could be included in an amount exceeding that earned and payable in a single year</w:t>
      </w:r>
      <w:r w:rsidR="007164CB" w:rsidRPr="00D81D5A">
        <w:rPr>
          <w:szCs w:val="26"/>
        </w:rPr>
        <w:t>, but on-call duty pay and some termination pay w</w:t>
      </w:r>
      <w:r w:rsidR="0082115D" w:rsidRPr="00D81D5A">
        <w:rPr>
          <w:szCs w:val="26"/>
        </w:rPr>
        <w:t>ere</w:t>
      </w:r>
      <w:r w:rsidR="007164CB" w:rsidRPr="00D81D5A">
        <w:rPr>
          <w:szCs w:val="26"/>
        </w:rPr>
        <w:t xml:space="preserve"> also includable in </w:t>
      </w:r>
      <w:r w:rsidR="00345510" w:rsidRPr="00D81D5A">
        <w:rPr>
          <w:szCs w:val="26"/>
        </w:rPr>
        <w:t>one or more of the</w:t>
      </w:r>
      <w:r w:rsidR="007164CB" w:rsidRPr="00D81D5A">
        <w:rPr>
          <w:szCs w:val="26"/>
        </w:rPr>
        <w:t xml:space="preserve"> counties</w:t>
      </w:r>
      <w:r w:rsidR="00A57F2C" w:rsidRPr="00D81D5A">
        <w:rPr>
          <w:szCs w:val="26"/>
        </w:rPr>
        <w:t>.</w:t>
      </w:r>
      <w:r w:rsidR="00E10814" w:rsidRPr="00D81D5A">
        <w:rPr>
          <w:szCs w:val="26"/>
        </w:rPr>
        <w:t xml:space="preserve">  (</w:t>
      </w:r>
      <w:r w:rsidR="0060014D" w:rsidRPr="00D81D5A">
        <w:rPr>
          <w:szCs w:val="26"/>
        </w:rPr>
        <w:t xml:space="preserve">See </w:t>
      </w:r>
      <w:r w:rsidR="00861B65" w:rsidRPr="00D81D5A">
        <w:rPr>
          <w:i/>
        </w:rPr>
        <w:t xml:space="preserve">Alameda County Deputy Sheriff’s Assn. v. Alameda County Employees’ Retirement Assn. </w:t>
      </w:r>
      <w:r w:rsidR="00861B65" w:rsidRPr="00D81D5A">
        <w:t>(2018) 19</w:t>
      </w:r>
      <w:r w:rsidR="002D3CE0">
        <w:t> </w:t>
      </w:r>
      <w:r w:rsidR="00861B65" w:rsidRPr="00D81D5A">
        <w:t>Cal.App.5th 61,</w:t>
      </w:r>
      <w:r w:rsidR="00E10814" w:rsidRPr="00D81D5A">
        <w:t xml:space="preserve"> 82</w:t>
      </w:r>
      <w:r w:rsidR="00427AF8">
        <w:t>–</w:t>
      </w:r>
      <w:r w:rsidR="00E10814" w:rsidRPr="00D81D5A">
        <w:t>83</w:t>
      </w:r>
      <w:r w:rsidR="00AB20C7" w:rsidRPr="00D81D5A">
        <w:t xml:space="preserve"> (</w:t>
      </w:r>
      <w:r w:rsidR="00AB20C7" w:rsidRPr="00D81D5A">
        <w:rPr>
          <w:i/>
        </w:rPr>
        <w:t>Alameda Sheriffs</w:t>
      </w:r>
      <w:r w:rsidR="00AB20C7" w:rsidRPr="00D81D5A">
        <w:t>)</w:t>
      </w:r>
      <w:r w:rsidR="00E10814" w:rsidRPr="00D81D5A">
        <w:t>.)</w:t>
      </w:r>
    </w:p>
    <w:p w14:paraId="7FA1BA62" w14:textId="15223A4D" w:rsidR="0053293C" w:rsidRPr="00D81D5A" w:rsidRDefault="00345510" w:rsidP="00D81D5A">
      <w:pPr>
        <w:ind w:firstLine="720"/>
        <w:rPr>
          <w:szCs w:val="26"/>
        </w:rPr>
      </w:pPr>
      <w:r w:rsidRPr="00D81D5A">
        <w:rPr>
          <w:szCs w:val="26"/>
        </w:rPr>
        <w:t>Further, t</w:t>
      </w:r>
      <w:r w:rsidR="00B64943" w:rsidRPr="00D81D5A">
        <w:rPr>
          <w:szCs w:val="26"/>
        </w:rPr>
        <w:t xml:space="preserve">he changes </w:t>
      </w:r>
      <w:r w:rsidR="00E45800" w:rsidRPr="00D81D5A">
        <w:rPr>
          <w:szCs w:val="26"/>
        </w:rPr>
        <w:t xml:space="preserve">required by PEPRA </w:t>
      </w:r>
      <w:r w:rsidR="00B64943" w:rsidRPr="00D81D5A">
        <w:rPr>
          <w:szCs w:val="26"/>
        </w:rPr>
        <w:t xml:space="preserve">were, in some cases, contrary to </w:t>
      </w:r>
      <w:r w:rsidR="0070608F" w:rsidRPr="00D81D5A">
        <w:rPr>
          <w:szCs w:val="26"/>
        </w:rPr>
        <w:t>the terms of</w:t>
      </w:r>
      <w:r w:rsidR="001A2AF9" w:rsidRPr="00D81D5A">
        <w:rPr>
          <w:szCs w:val="26"/>
        </w:rPr>
        <w:t xml:space="preserve"> </w:t>
      </w:r>
      <w:r w:rsidR="0070608F" w:rsidRPr="00D81D5A">
        <w:rPr>
          <w:szCs w:val="26"/>
        </w:rPr>
        <w:t>agreements entered into between the county retirement boards and county employees</w:t>
      </w:r>
      <w:r w:rsidR="00EE2E71" w:rsidRPr="00D81D5A">
        <w:rPr>
          <w:szCs w:val="26"/>
        </w:rPr>
        <w:t>, as well as</w:t>
      </w:r>
      <w:r w:rsidR="0070608F" w:rsidRPr="00D81D5A">
        <w:rPr>
          <w:szCs w:val="26"/>
        </w:rPr>
        <w:t xml:space="preserve"> </w:t>
      </w:r>
      <w:r w:rsidR="0082115D" w:rsidRPr="00D81D5A">
        <w:rPr>
          <w:szCs w:val="26"/>
        </w:rPr>
        <w:t xml:space="preserve">written policies </w:t>
      </w:r>
      <w:r w:rsidR="00C40C61" w:rsidRPr="00D81D5A">
        <w:rPr>
          <w:szCs w:val="26"/>
        </w:rPr>
        <w:t xml:space="preserve">adopted to </w:t>
      </w:r>
      <w:r w:rsidR="0070608F" w:rsidRPr="00D81D5A">
        <w:rPr>
          <w:szCs w:val="26"/>
        </w:rPr>
        <w:t>reflect the terms of th</w:t>
      </w:r>
      <w:r w:rsidR="00EE2E71" w:rsidRPr="00D81D5A">
        <w:rPr>
          <w:szCs w:val="26"/>
        </w:rPr>
        <w:t>o</w:t>
      </w:r>
      <w:r w:rsidR="0070608F" w:rsidRPr="00D81D5A">
        <w:rPr>
          <w:szCs w:val="26"/>
        </w:rPr>
        <w:t>se agreements</w:t>
      </w:r>
      <w:r w:rsidR="00B64943" w:rsidRPr="00D81D5A">
        <w:rPr>
          <w:szCs w:val="26"/>
        </w:rPr>
        <w:t>.</w:t>
      </w:r>
      <w:r w:rsidR="00757350" w:rsidRPr="00D81D5A">
        <w:rPr>
          <w:szCs w:val="26"/>
        </w:rPr>
        <w:t xml:space="preserve">  </w:t>
      </w:r>
      <w:r w:rsidR="003E53A2" w:rsidRPr="00D81D5A">
        <w:rPr>
          <w:szCs w:val="26"/>
        </w:rPr>
        <w:t>T</w:t>
      </w:r>
      <w:r w:rsidR="00EE2E71" w:rsidRPr="00D81D5A">
        <w:rPr>
          <w:szCs w:val="26"/>
        </w:rPr>
        <w:t xml:space="preserve">his court’s decision in </w:t>
      </w:r>
      <w:r w:rsidR="00757350" w:rsidRPr="00D81D5A">
        <w:rPr>
          <w:i/>
          <w:szCs w:val="26"/>
        </w:rPr>
        <w:t>Ventura County</w:t>
      </w:r>
      <w:r w:rsidR="003E53A2" w:rsidRPr="00D81D5A">
        <w:rPr>
          <w:iCs/>
          <w:szCs w:val="26"/>
        </w:rPr>
        <w:t>,</w:t>
      </w:r>
      <w:r w:rsidR="00EE2E71" w:rsidRPr="00D81D5A">
        <w:rPr>
          <w:i/>
          <w:szCs w:val="26"/>
        </w:rPr>
        <w:t xml:space="preserve"> </w:t>
      </w:r>
      <w:r w:rsidR="009B2E30" w:rsidRPr="00D81D5A">
        <w:rPr>
          <w:i/>
        </w:rPr>
        <w:t>supra</w:t>
      </w:r>
      <w:r w:rsidR="009B2E30" w:rsidRPr="00D81D5A">
        <w:t>, 16</w:t>
      </w:r>
      <w:r w:rsidR="00C110DF">
        <w:t> </w:t>
      </w:r>
      <w:r w:rsidR="009B2E30" w:rsidRPr="00D81D5A">
        <w:t xml:space="preserve">Cal.4th 483, </w:t>
      </w:r>
      <w:r w:rsidR="003E53A2" w:rsidRPr="00D81D5A">
        <w:rPr>
          <w:iCs/>
          <w:szCs w:val="26"/>
        </w:rPr>
        <w:t>b</w:t>
      </w:r>
      <w:r w:rsidR="003E53A2" w:rsidRPr="00D81D5A">
        <w:rPr>
          <w:szCs w:val="26"/>
        </w:rPr>
        <w:t xml:space="preserve">y disapproving much of </w:t>
      </w:r>
      <w:proofErr w:type="spellStart"/>
      <w:r w:rsidR="003E53A2" w:rsidRPr="00D81D5A">
        <w:rPr>
          <w:i/>
          <w:szCs w:val="26"/>
        </w:rPr>
        <w:t>Guelfi</w:t>
      </w:r>
      <w:proofErr w:type="spellEnd"/>
      <w:r w:rsidR="003E53A2" w:rsidRPr="00D81D5A">
        <w:rPr>
          <w:szCs w:val="26"/>
        </w:rPr>
        <w:t>,</w:t>
      </w:r>
      <w:r w:rsidR="007C0F1D">
        <w:rPr>
          <w:szCs w:val="26"/>
        </w:rPr>
        <w:t xml:space="preserve"> </w:t>
      </w:r>
      <w:r w:rsidR="007C0F1D" w:rsidRPr="00D81D5A">
        <w:rPr>
          <w:i/>
        </w:rPr>
        <w:t>supra</w:t>
      </w:r>
      <w:r w:rsidR="007C0F1D" w:rsidRPr="00D81D5A">
        <w:t xml:space="preserve">, </w:t>
      </w:r>
      <w:r w:rsidR="007C0F1D" w:rsidRPr="00D81D5A">
        <w:rPr>
          <w:szCs w:val="26"/>
          <w:shd w:val="clear" w:color="auto" w:fill="FFFFFF"/>
        </w:rPr>
        <w:t>145</w:t>
      </w:r>
      <w:r w:rsidR="00C110DF">
        <w:rPr>
          <w:szCs w:val="26"/>
          <w:shd w:val="clear" w:color="auto" w:fill="FFFFFF"/>
        </w:rPr>
        <w:t> </w:t>
      </w:r>
      <w:r w:rsidR="007C0F1D" w:rsidRPr="00D81D5A">
        <w:rPr>
          <w:szCs w:val="26"/>
          <w:shd w:val="clear" w:color="auto" w:fill="FFFFFF"/>
        </w:rPr>
        <w:t xml:space="preserve">Cal.App.3d 297, </w:t>
      </w:r>
      <w:r w:rsidR="003E53A2" w:rsidRPr="00D81D5A">
        <w:rPr>
          <w:szCs w:val="26"/>
        </w:rPr>
        <w:t xml:space="preserve">called into question aspects of </w:t>
      </w:r>
      <w:r w:rsidR="00EE2E71" w:rsidRPr="00D81D5A">
        <w:rPr>
          <w:szCs w:val="26"/>
        </w:rPr>
        <w:t>the then-</w:t>
      </w:r>
      <w:r w:rsidR="0070608F" w:rsidRPr="00D81D5A">
        <w:rPr>
          <w:szCs w:val="26"/>
        </w:rPr>
        <w:t xml:space="preserve">prevailing </w:t>
      </w:r>
      <w:r w:rsidRPr="00D81D5A">
        <w:rPr>
          <w:szCs w:val="26"/>
        </w:rPr>
        <w:t>approach to the calculation of compensation earnable</w:t>
      </w:r>
      <w:r w:rsidR="00861DA3" w:rsidRPr="00D81D5A">
        <w:rPr>
          <w:szCs w:val="26"/>
        </w:rPr>
        <w:t xml:space="preserve"> under CERL</w:t>
      </w:r>
      <w:r w:rsidR="003E53A2" w:rsidRPr="00D81D5A">
        <w:rPr>
          <w:szCs w:val="26"/>
        </w:rPr>
        <w:t xml:space="preserve">.  In the wake of </w:t>
      </w:r>
      <w:r w:rsidR="003E53A2" w:rsidRPr="00D81D5A">
        <w:rPr>
          <w:i/>
          <w:szCs w:val="26"/>
        </w:rPr>
        <w:t>Ventura County</w:t>
      </w:r>
      <w:r w:rsidR="003E53A2" w:rsidRPr="00D81D5A">
        <w:rPr>
          <w:iCs/>
          <w:szCs w:val="26"/>
        </w:rPr>
        <w:t>,</w:t>
      </w:r>
      <w:r w:rsidR="003E53A2" w:rsidRPr="00D81D5A">
        <w:rPr>
          <w:i/>
          <w:szCs w:val="26"/>
        </w:rPr>
        <w:t xml:space="preserve"> </w:t>
      </w:r>
      <w:r w:rsidR="003E53A2" w:rsidRPr="00D81D5A">
        <w:rPr>
          <w:szCs w:val="26"/>
        </w:rPr>
        <w:t xml:space="preserve">county employees and their representatives filed </w:t>
      </w:r>
      <w:r w:rsidR="00C40C61" w:rsidRPr="00D81D5A">
        <w:rPr>
          <w:szCs w:val="26"/>
        </w:rPr>
        <w:t xml:space="preserve">lawsuits against </w:t>
      </w:r>
      <w:r w:rsidR="003E53A2" w:rsidRPr="00D81D5A">
        <w:rPr>
          <w:szCs w:val="26"/>
        </w:rPr>
        <w:t>many CERL retirement boards, including those in</w:t>
      </w:r>
      <w:r w:rsidR="00C40C61" w:rsidRPr="00D81D5A">
        <w:rPr>
          <w:szCs w:val="26"/>
        </w:rPr>
        <w:t xml:space="preserve"> Alameda, Contra Costa, and Merced Count</w:t>
      </w:r>
      <w:r w:rsidR="003E53A2" w:rsidRPr="00D81D5A">
        <w:rPr>
          <w:szCs w:val="26"/>
        </w:rPr>
        <w:t>ies,</w:t>
      </w:r>
      <w:r w:rsidR="00D27CEC" w:rsidRPr="00D81D5A">
        <w:rPr>
          <w:szCs w:val="26"/>
        </w:rPr>
        <w:t xml:space="preserve"> </w:t>
      </w:r>
      <w:r w:rsidR="00D23EF6" w:rsidRPr="00D81D5A">
        <w:rPr>
          <w:szCs w:val="26"/>
        </w:rPr>
        <w:t xml:space="preserve">to </w:t>
      </w:r>
      <w:r w:rsidR="00EE2E71" w:rsidRPr="00D81D5A">
        <w:rPr>
          <w:szCs w:val="26"/>
        </w:rPr>
        <w:t>addr</w:t>
      </w:r>
      <w:r w:rsidR="0053293C" w:rsidRPr="00D81D5A">
        <w:rPr>
          <w:szCs w:val="26"/>
        </w:rPr>
        <w:t>e</w:t>
      </w:r>
      <w:r w:rsidR="00EE2E71" w:rsidRPr="00D81D5A">
        <w:rPr>
          <w:szCs w:val="26"/>
        </w:rPr>
        <w:t>ss these</w:t>
      </w:r>
      <w:r w:rsidR="0053293C" w:rsidRPr="00D81D5A">
        <w:rPr>
          <w:szCs w:val="26"/>
        </w:rPr>
        <w:t xml:space="preserve"> </w:t>
      </w:r>
      <w:r w:rsidR="00D23EF6" w:rsidRPr="00D81D5A">
        <w:rPr>
          <w:szCs w:val="26"/>
        </w:rPr>
        <w:t>issues</w:t>
      </w:r>
      <w:r w:rsidR="005111D7" w:rsidRPr="00D81D5A">
        <w:rPr>
          <w:szCs w:val="26"/>
        </w:rPr>
        <w:t>.</w:t>
      </w:r>
      <w:r w:rsidR="0082115D" w:rsidRPr="00D81D5A">
        <w:rPr>
          <w:szCs w:val="26"/>
        </w:rPr>
        <w:t xml:space="preserve">  </w:t>
      </w:r>
      <w:r w:rsidR="003E53A2" w:rsidRPr="00D81D5A">
        <w:rPr>
          <w:szCs w:val="26"/>
        </w:rPr>
        <w:t xml:space="preserve">Each of these three </w:t>
      </w:r>
      <w:r w:rsidR="00D27CEC" w:rsidRPr="00D81D5A">
        <w:rPr>
          <w:szCs w:val="26"/>
        </w:rPr>
        <w:t>lawsuit</w:t>
      </w:r>
      <w:r w:rsidR="003E53A2" w:rsidRPr="00D81D5A">
        <w:rPr>
          <w:szCs w:val="26"/>
        </w:rPr>
        <w:t>s</w:t>
      </w:r>
      <w:r w:rsidR="00D27CEC" w:rsidRPr="00D81D5A">
        <w:rPr>
          <w:szCs w:val="26"/>
        </w:rPr>
        <w:t xml:space="preserve"> </w:t>
      </w:r>
      <w:r w:rsidR="0082115D" w:rsidRPr="00D81D5A">
        <w:rPr>
          <w:szCs w:val="26"/>
        </w:rPr>
        <w:t>w</w:t>
      </w:r>
      <w:r w:rsidR="003E53A2" w:rsidRPr="00D81D5A">
        <w:rPr>
          <w:szCs w:val="26"/>
        </w:rPr>
        <w:t>as</w:t>
      </w:r>
      <w:r w:rsidR="0082115D" w:rsidRPr="00D81D5A">
        <w:rPr>
          <w:szCs w:val="26"/>
        </w:rPr>
        <w:t xml:space="preserve"> resolved by a settlement agreement</w:t>
      </w:r>
      <w:r w:rsidR="00D27CEC" w:rsidRPr="00D81D5A">
        <w:rPr>
          <w:szCs w:val="26"/>
        </w:rPr>
        <w:t xml:space="preserve"> that, in part, </w:t>
      </w:r>
      <w:r w:rsidR="00EE2E71" w:rsidRPr="00D81D5A">
        <w:rPr>
          <w:szCs w:val="26"/>
        </w:rPr>
        <w:t>required the</w:t>
      </w:r>
      <w:r w:rsidR="003E53A2" w:rsidRPr="00D81D5A">
        <w:rPr>
          <w:szCs w:val="26"/>
        </w:rPr>
        <w:t xml:space="preserve"> respective</w:t>
      </w:r>
      <w:r w:rsidR="00EE2E71" w:rsidRPr="00D81D5A">
        <w:rPr>
          <w:szCs w:val="26"/>
        </w:rPr>
        <w:t xml:space="preserve"> retirement boards to </w:t>
      </w:r>
      <w:r w:rsidR="00D27CEC" w:rsidRPr="00D81D5A">
        <w:rPr>
          <w:szCs w:val="26"/>
        </w:rPr>
        <w:t>inclu</w:t>
      </w:r>
      <w:r w:rsidR="00EE2E71" w:rsidRPr="00D81D5A">
        <w:rPr>
          <w:szCs w:val="26"/>
        </w:rPr>
        <w:t>de</w:t>
      </w:r>
      <w:r w:rsidR="00D27CEC" w:rsidRPr="00D81D5A">
        <w:rPr>
          <w:szCs w:val="26"/>
        </w:rPr>
        <w:t xml:space="preserve"> various types of compensation in the calculation of </w:t>
      </w:r>
      <w:r w:rsidR="00D27CEC" w:rsidRPr="00D81D5A">
        <w:rPr>
          <w:szCs w:val="26"/>
        </w:rPr>
        <w:lastRenderedPageBreak/>
        <w:t>compensation earnable.</w:t>
      </w:r>
      <w:r w:rsidR="005111D7" w:rsidRPr="00D81D5A">
        <w:rPr>
          <w:szCs w:val="26"/>
        </w:rPr>
        <w:t xml:space="preserve">  </w:t>
      </w:r>
      <w:r w:rsidR="00C40C61" w:rsidRPr="00D81D5A">
        <w:rPr>
          <w:szCs w:val="26"/>
        </w:rPr>
        <w:t>Because t</w:t>
      </w:r>
      <w:r w:rsidR="00C20666" w:rsidRPr="00D81D5A">
        <w:rPr>
          <w:szCs w:val="26"/>
        </w:rPr>
        <w:t>hese agreements were still in effect when PEPRA was enacted</w:t>
      </w:r>
      <w:r w:rsidR="00C40C61" w:rsidRPr="00D81D5A">
        <w:rPr>
          <w:szCs w:val="26"/>
        </w:rPr>
        <w:t>, c</w:t>
      </w:r>
      <w:r w:rsidR="00B85C7F" w:rsidRPr="00D81D5A">
        <w:rPr>
          <w:szCs w:val="26"/>
        </w:rPr>
        <w:t xml:space="preserve">ompliance with </w:t>
      </w:r>
      <w:r w:rsidR="00C40C61" w:rsidRPr="00D81D5A">
        <w:rPr>
          <w:szCs w:val="26"/>
        </w:rPr>
        <w:t xml:space="preserve">its </w:t>
      </w:r>
      <w:r w:rsidR="0070608F" w:rsidRPr="00D81D5A">
        <w:rPr>
          <w:szCs w:val="26"/>
        </w:rPr>
        <w:t>amendment</w:t>
      </w:r>
      <w:r w:rsidR="00C20666" w:rsidRPr="00D81D5A">
        <w:rPr>
          <w:szCs w:val="26"/>
        </w:rPr>
        <w:t xml:space="preserve"> of section 31461</w:t>
      </w:r>
      <w:r w:rsidR="0070608F" w:rsidRPr="00D81D5A">
        <w:rPr>
          <w:szCs w:val="26"/>
        </w:rPr>
        <w:t xml:space="preserve"> </w:t>
      </w:r>
      <w:r w:rsidR="00B9365F" w:rsidRPr="00D81D5A">
        <w:rPr>
          <w:szCs w:val="26"/>
        </w:rPr>
        <w:t>l</w:t>
      </w:r>
      <w:r w:rsidR="00B85C7F" w:rsidRPr="00D81D5A">
        <w:rPr>
          <w:szCs w:val="26"/>
        </w:rPr>
        <w:t>ed the boards to adopt policies that</w:t>
      </w:r>
      <w:r w:rsidR="0070608F" w:rsidRPr="00D81D5A">
        <w:rPr>
          <w:szCs w:val="26"/>
        </w:rPr>
        <w:t xml:space="preserve"> were, </w:t>
      </w:r>
      <w:r w:rsidR="00861B65" w:rsidRPr="00D81D5A">
        <w:rPr>
          <w:szCs w:val="26"/>
        </w:rPr>
        <w:t>to some extent</w:t>
      </w:r>
      <w:r w:rsidR="0070608F" w:rsidRPr="00D81D5A">
        <w:rPr>
          <w:szCs w:val="26"/>
        </w:rPr>
        <w:t>,</w:t>
      </w:r>
      <w:r w:rsidR="00B85C7F" w:rsidRPr="00D81D5A">
        <w:rPr>
          <w:szCs w:val="26"/>
        </w:rPr>
        <w:t xml:space="preserve"> in</w:t>
      </w:r>
      <w:r w:rsidR="0070608F" w:rsidRPr="00D81D5A">
        <w:rPr>
          <w:szCs w:val="26"/>
        </w:rPr>
        <w:t>consistent</w:t>
      </w:r>
      <w:r w:rsidR="00B85C7F" w:rsidRPr="00D81D5A">
        <w:rPr>
          <w:szCs w:val="26"/>
        </w:rPr>
        <w:t xml:space="preserve"> with the terms of the settlement agreements</w:t>
      </w:r>
      <w:r w:rsidR="00BE30BD" w:rsidRPr="00D81D5A">
        <w:rPr>
          <w:szCs w:val="26"/>
        </w:rPr>
        <w:t>.</w:t>
      </w:r>
      <w:r w:rsidR="00A2514C" w:rsidRPr="00D81D5A">
        <w:rPr>
          <w:szCs w:val="26"/>
        </w:rPr>
        <w:t xml:space="preserve">  (</w:t>
      </w:r>
      <w:r w:rsidR="00A2514C" w:rsidRPr="00D81D5A">
        <w:rPr>
          <w:i/>
          <w:szCs w:val="26"/>
        </w:rPr>
        <w:t>Alameda Sheriffs</w:t>
      </w:r>
      <w:r w:rsidR="00A2514C" w:rsidRPr="00D81D5A">
        <w:rPr>
          <w:szCs w:val="26"/>
        </w:rPr>
        <w:t xml:space="preserve">, </w:t>
      </w:r>
      <w:r w:rsidR="00A2514C" w:rsidRPr="00D81D5A">
        <w:rPr>
          <w:i/>
          <w:szCs w:val="26"/>
        </w:rPr>
        <w:t>supra</w:t>
      </w:r>
      <w:r w:rsidR="00A2514C" w:rsidRPr="00D81D5A">
        <w:rPr>
          <w:szCs w:val="26"/>
        </w:rPr>
        <w:t xml:space="preserve">, </w:t>
      </w:r>
      <w:r w:rsidR="00A2514C" w:rsidRPr="00D81D5A">
        <w:t>19</w:t>
      </w:r>
      <w:r w:rsidR="009D1B95">
        <w:t> </w:t>
      </w:r>
      <w:r w:rsidR="00A2514C" w:rsidRPr="00D81D5A">
        <w:t>Cal.App.5th at p</w:t>
      </w:r>
      <w:r w:rsidR="005D2BDE" w:rsidRPr="00D81D5A">
        <w:t>p</w:t>
      </w:r>
      <w:r w:rsidR="00A2514C" w:rsidRPr="00D81D5A">
        <w:t>.</w:t>
      </w:r>
      <w:r w:rsidR="005D2BDE" w:rsidRPr="00D81D5A">
        <w:t> </w:t>
      </w:r>
      <w:r w:rsidR="00A2514C" w:rsidRPr="00D81D5A">
        <w:t>85</w:t>
      </w:r>
      <w:r w:rsidR="00427AF8">
        <w:t>–</w:t>
      </w:r>
      <w:r w:rsidR="00A2514C" w:rsidRPr="00D81D5A">
        <w:t>86.)</w:t>
      </w:r>
    </w:p>
    <w:p w14:paraId="7A7830F1" w14:textId="77777777" w:rsidR="0099253B" w:rsidRPr="00D81D5A" w:rsidRDefault="00830BCC" w:rsidP="00D81D5A">
      <w:pPr>
        <w:ind w:firstLine="720"/>
        <w:rPr>
          <w:szCs w:val="26"/>
        </w:rPr>
      </w:pPr>
      <w:r w:rsidRPr="00D81D5A">
        <w:rPr>
          <w:szCs w:val="26"/>
        </w:rPr>
        <w:t xml:space="preserve">The </w:t>
      </w:r>
      <w:r w:rsidR="00EE2E71" w:rsidRPr="00D81D5A">
        <w:rPr>
          <w:szCs w:val="26"/>
        </w:rPr>
        <w:t>plaintiffs</w:t>
      </w:r>
      <w:r w:rsidR="00D27CEC" w:rsidRPr="00D81D5A">
        <w:rPr>
          <w:szCs w:val="26"/>
        </w:rPr>
        <w:t xml:space="preserve"> in the</w:t>
      </w:r>
      <w:r w:rsidR="00A649BA" w:rsidRPr="00D81D5A">
        <w:rPr>
          <w:szCs w:val="26"/>
        </w:rPr>
        <w:t xml:space="preserve"> </w:t>
      </w:r>
      <w:r w:rsidR="00D27CEC" w:rsidRPr="00D81D5A">
        <w:rPr>
          <w:szCs w:val="26"/>
        </w:rPr>
        <w:t>consolidated actions contended that county employees had</w:t>
      </w:r>
      <w:r w:rsidR="00EE2E71" w:rsidRPr="00D81D5A">
        <w:rPr>
          <w:szCs w:val="26"/>
        </w:rPr>
        <w:t xml:space="preserve"> both</w:t>
      </w:r>
      <w:r w:rsidR="00D27CEC" w:rsidRPr="00D81D5A">
        <w:rPr>
          <w:szCs w:val="26"/>
        </w:rPr>
        <w:t xml:space="preserve"> a vested right under the </w:t>
      </w:r>
      <w:r w:rsidR="00861DA3" w:rsidRPr="00D81D5A">
        <w:rPr>
          <w:szCs w:val="26"/>
        </w:rPr>
        <w:t xml:space="preserve">constitutional </w:t>
      </w:r>
      <w:r w:rsidR="00D27CEC" w:rsidRPr="00D81D5A">
        <w:rPr>
          <w:szCs w:val="26"/>
        </w:rPr>
        <w:t>contract clause to the continued application of the policies in effect prior to PEPRA and</w:t>
      </w:r>
      <w:r w:rsidR="00EE2E71" w:rsidRPr="00D81D5A">
        <w:rPr>
          <w:szCs w:val="26"/>
        </w:rPr>
        <w:t>, separately,</w:t>
      </w:r>
      <w:r w:rsidR="00D27CEC" w:rsidRPr="00D81D5A">
        <w:rPr>
          <w:szCs w:val="26"/>
        </w:rPr>
        <w:t xml:space="preserve"> a right under the settlement agreements, either directly or </w:t>
      </w:r>
      <w:r w:rsidR="0060014D" w:rsidRPr="00D81D5A">
        <w:rPr>
          <w:szCs w:val="26"/>
        </w:rPr>
        <w:t xml:space="preserve">pursuant to </w:t>
      </w:r>
      <w:r w:rsidR="00C20666" w:rsidRPr="00D81D5A">
        <w:rPr>
          <w:szCs w:val="26"/>
        </w:rPr>
        <w:t>the doctrine of</w:t>
      </w:r>
      <w:r w:rsidR="00D27CEC" w:rsidRPr="00D81D5A">
        <w:rPr>
          <w:szCs w:val="26"/>
        </w:rPr>
        <w:t xml:space="preserve"> equitable estoppel, to </w:t>
      </w:r>
      <w:r w:rsidR="00EE2E71" w:rsidRPr="00D81D5A">
        <w:rPr>
          <w:szCs w:val="26"/>
        </w:rPr>
        <w:t xml:space="preserve">the </w:t>
      </w:r>
      <w:r w:rsidR="00D27CEC" w:rsidRPr="00D81D5A">
        <w:rPr>
          <w:szCs w:val="26"/>
        </w:rPr>
        <w:t>continued application of the policies contained in them.</w:t>
      </w:r>
      <w:r w:rsidR="004157D3" w:rsidRPr="00D81D5A">
        <w:rPr>
          <w:rStyle w:val="FootnoteReference"/>
          <w:szCs w:val="26"/>
        </w:rPr>
        <w:footnoteReference w:id="17"/>
      </w:r>
      <w:r w:rsidR="00D27CEC" w:rsidRPr="00D81D5A">
        <w:rPr>
          <w:szCs w:val="26"/>
        </w:rPr>
        <w:t xml:space="preserve">  </w:t>
      </w:r>
      <w:r w:rsidR="00345510" w:rsidRPr="00D81D5A">
        <w:rPr>
          <w:szCs w:val="26"/>
        </w:rPr>
        <w:t xml:space="preserve">After extensive </w:t>
      </w:r>
      <w:r w:rsidR="00B85C7F" w:rsidRPr="00D81D5A">
        <w:rPr>
          <w:szCs w:val="26"/>
        </w:rPr>
        <w:t>litigation</w:t>
      </w:r>
      <w:r w:rsidR="00345510" w:rsidRPr="00D81D5A">
        <w:rPr>
          <w:szCs w:val="26"/>
        </w:rPr>
        <w:t>, the trial court entered a writ of mandate, ruling that county employees</w:t>
      </w:r>
      <w:r w:rsidR="0053293C" w:rsidRPr="00D81D5A">
        <w:rPr>
          <w:szCs w:val="26"/>
        </w:rPr>
        <w:t xml:space="preserve"> possess</w:t>
      </w:r>
      <w:r w:rsidR="00345510" w:rsidRPr="00D81D5A">
        <w:rPr>
          <w:szCs w:val="26"/>
        </w:rPr>
        <w:t xml:space="preserve"> a vested right to the continuation of some, but not all, of the pre-existing practices.</w:t>
      </w:r>
      <w:bookmarkStart w:id="17" w:name="_Hlk18846370"/>
    </w:p>
    <w:p w14:paraId="6FFA8AC1" w14:textId="7DC952D5" w:rsidR="00711AED" w:rsidRPr="00D81D5A" w:rsidRDefault="00711AED" w:rsidP="00D81D5A">
      <w:pPr>
        <w:ind w:firstLine="720"/>
        <w:rPr>
          <w:szCs w:val="26"/>
        </w:rPr>
      </w:pPr>
      <w:r w:rsidRPr="00D81D5A">
        <w:t xml:space="preserve">The Court of Appeal affirmed in part and reversed in part in </w:t>
      </w:r>
      <w:r w:rsidRPr="00D81D5A">
        <w:rPr>
          <w:i/>
        </w:rPr>
        <w:t>Alameda Sheriffs</w:t>
      </w:r>
      <w:r w:rsidRPr="00D81D5A">
        <w:t xml:space="preserve">, </w:t>
      </w:r>
      <w:r w:rsidRPr="00D81D5A">
        <w:rPr>
          <w:i/>
        </w:rPr>
        <w:t>supra</w:t>
      </w:r>
      <w:r w:rsidRPr="00D81D5A">
        <w:t xml:space="preserve">, 19 Cal.App.5th 61.  The court concluded that </w:t>
      </w:r>
      <w:r w:rsidR="00540E1C" w:rsidRPr="00D81D5A">
        <w:t>subdivision (b)(1) and (3)</w:t>
      </w:r>
      <w:r w:rsidR="00540E1C">
        <w:t>,</w:t>
      </w:r>
      <w:r w:rsidRPr="00D81D5A">
        <w:t xml:space="preserve"> added</w:t>
      </w:r>
      <w:r w:rsidR="00B85C7F" w:rsidRPr="00D81D5A">
        <w:t xml:space="preserve"> to section 31461</w:t>
      </w:r>
      <w:r w:rsidRPr="00D81D5A">
        <w:t xml:space="preserve"> by PEPRA, changed the law governing CERL pensions by excluding </w:t>
      </w:r>
      <w:r w:rsidR="00B85C7F" w:rsidRPr="00D81D5A">
        <w:t xml:space="preserve">types of </w:t>
      </w:r>
      <w:r w:rsidRPr="00D81D5A">
        <w:t xml:space="preserve">compensation that </w:t>
      </w:r>
      <w:r w:rsidR="00B85C7F" w:rsidRPr="00D81D5A">
        <w:t xml:space="preserve">were previously </w:t>
      </w:r>
      <w:r w:rsidRPr="00D81D5A">
        <w:t>included in compensation earnable.  (</w:t>
      </w:r>
      <w:r w:rsidRPr="00D81D5A">
        <w:rPr>
          <w:i/>
        </w:rPr>
        <w:t>Alameda Sheriffs</w:t>
      </w:r>
      <w:r w:rsidRPr="00D81D5A">
        <w:t>, at pp.</w:t>
      </w:r>
      <w:r w:rsidR="005D2BDE" w:rsidRPr="00D81D5A">
        <w:t> </w:t>
      </w:r>
      <w:r w:rsidRPr="00D81D5A">
        <w:t>109</w:t>
      </w:r>
      <w:r w:rsidR="00427AF8">
        <w:t>–</w:t>
      </w:r>
      <w:r w:rsidRPr="00D81D5A">
        <w:t>11</w:t>
      </w:r>
      <w:r w:rsidR="007C0F1D">
        <w:t>2</w:t>
      </w:r>
      <w:r w:rsidRPr="00D81D5A">
        <w:t xml:space="preserve">.)  </w:t>
      </w:r>
      <w:r w:rsidR="008A4672" w:rsidRPr="00D81D5A">
        <w:t>Although r</w:t>
      </w:r>
      <w:r w:rsidRPr="00D81D5A">
        <w:t xml:space="preserve">ecognizing that the constitutionality of these changes </w:t>
      </w:r>
      <w:r w:rsidR="008A4672" w:rsidRPr="00D81D5A">
        <w:t>i</w:t>
      </w:r>
      <w:r w:rsidRPr="00D81D5A">
        <w:t xml:space="preserve">s governed by the </w:t>
      </w:r>
      <w:r w:rsidRPr="00D81D5A">
        <w:rPr>
          <w:i/>
        </w:rPr>
        <w:t>Allen I</w:t>
      </w:r>
      <w:r w:rsidR="00E92BEE" w:rsidRPr="00D81D5A">
        <w:rPr>
          <w:i/>
        </w:rPr>
        <w:t xml:space="preserve"> </w:t>
      </w:r>
      <w:r w:rsidR="00E92BEE" w:rsidRPr="00D81D5A">
        <w:t>test</w:t>
      </w:r>
      <w:r w:rsidRPr="00D81D5A">
        <w:t>, the court declined to r</w:t>
      </w:r>
      <w:r w:rsidR="00BB634A" w:rsidRPr="00D81D5A">
        <w:t xml:space="preserve">esolve the constitutional </w:t>
      </w:r>
      <w:r w:rsidRPr="00D81D5A">
        <w:t xml:space="preserve">issue, concluding that it </w:t>
      </w:r>
      <w:r w:rsidR="007C0F1D">
        <w:t>was “without</w:t>
      </w:r>
      <w:r w:rsidRPr="00D81D5A">
        <w:t xml:space="preserve"> sufficient information</w:t>
      </w:r>
      <w:r w:rsidR="007C0F1D">
        <w:t>”</w:t>
      </w:r>
      <w:r w:rsidRPr="00D81D5A">
        <w:t xml:space="preserve"> about the implementation of CERL in the three counties.  </w:t>
      </w:r>
      <w:r w:rsidRPr="00D81D5A">
        <w:rPr>
          <w:szCs w:val="26"/>
          <w:shd w:val="clear" w:color="auto" w:fill="FFFFFF"/>
        </w:rPr>
        <w:t>(</w:t>
      </w:r>
      <w:r w:rsidR="00540E1C">
        <w:rPr>
          <w:i/>
          <w:szCs w:val="26"/>
          <w:shd w:val="clear" w:color="auto" w:fill="FFFFFF"/>
        </w:rPr>
        <w:t>Alameda Sheriffs</w:t>
      </w:r>
      <w:r w:rsidR="00540E1C">
        <w:rPr>
          <w:iCs/>
          <w:szCs w:val="26"/>
          <w:shd w:val="clear" w:color="auto" w:fill="FFFFFF"/>
        </w:rPr>
        <w:t>,</w:t>
      </w:r>
      <w:r w:rsidRPr="00D81D5A">
        <w:rPr>
          <w:szCs w:val="26"/>
          <w:shd w:val="clear" w:color="auto" w:fill="FFFFFF"/>
        </w:rPr>
        <w:t xml:space="preserve"> at p. 123.)  </w:t>
      </w:r>
      <w:r w:rsidR="00BB634A" w:rsidRPr="00D81D5A">
        <w:rPr>
          <w:szCs w:val="26"/>
          <w:shd w:val="clear" w:color="auto" w:fill="FFFFFF"/>
        </w:rPr>
        <w:t>At the same time, t</w:t>
      </w:r>
      <w:r w:rsidRPr="00D81D5A">
        <w:rPr>
          <w:szCs w:val="26"/>
          <w:shd w:val="clear" w:color="auto" w:fill="FFFFFF"/>
        </w:rPr>
        <w:t>he court accept</w:t>
      </w:r>
      <w:r w:rsidR="00B85C7F" w:rsidRPr="00D81D5A">
        <w:rPr>
          <w:szCs w:val="26"/>
          <w:shd w:val="clear" w:color="auto" w:fill="FFFFFF"/>
        </w:rPr>
        <w:t>ed</w:t>
      </w:r>
      <w:r w:rsidRPr="00D81D5A">
        <w:rPr>
          <w:szCs w:val="26"/>
          <w:shd w:val="clear" w:color="auto" w:fill="FFFFFF"/>
        </w:rPr>
        <w:t xml:space="preserve"> the </w:t>
      </w:r>
      <w:r w:rsidR="00BB634A" w:rsidRPr="00D81D5A">
        <w:rPr>
          <w:szCs w:val="26"/>
          <w:shd w:val="clear" w:color="auto" w:fill="FFFFFF"/>
        </w:rPr>
        <w:t xml:space="preserve">plaintiffs’ </w:t>
      </w:r>
      <w:r w:rsidRPr="00D81D5A">
        <w:rPr>
          <w:szCs w:val="26"/>
          <w:shd w:val="clear" w:color="auto" w:fill="FFFFFF"/>
        </w:rPr>
        <w:t xml:space="preserve">estoppel argument, ruling that </w:t>
      </w:r>
      <w:r w:rsidRPr="00D81D5A">
        <w:t>the injustice resulting from a failure to give effect to the terms of the settlement agreements outweighed “</w:t>
      </w:r>
      <w:r w:rsidR="00CE12E5">
        <w:t> </w:t>
      </w:r>
      <w:r w:rsidR="007C0F1D">
        <w:t>‘</w:t>
      </w:r>
      <w:r w:rsidRPr="00D81D5A">
        <w:t>any effect upon public interest or policy</w:t>
      </w:r>
      <w:r w:rsidR="007C0F1D">
        <w:t>’</w:t>
      </w:r>
      <w:r w:rsidR="00CE12E5">
        <w:t> </w:t>
      </w:r>
      <w:r w:rsidRPr="00D81D5A">
        <w:t>” from failing to give effect to the terms of PEPRA.  (</w:t>
      </w:r>
      <w:r w:rsidR="00540E1C">
        <w:rPr>
          <w:i/>
          <w:szCs w:val="26"/>
          <w:shd w:val="clear" w:color="auto" w:fill="FFFFFF"/>
        </w:rPr>
        <w:t>Alameda Sheriffs</w:t>
      </w:r>
      <w:r w:rsidR="00540E1C">
        <w:rPr>
          <w:iCs/>
          <w:szCs w:val="26"/>
          <w:shd w:val="clear" w:color="auto" w:fill="FFFFFF"/>
        </w:rPr>
        <w:t>,</w:t>
      </w:r>
      <w:r w:rsidR="00540E1C" w:rsidRPr="00D81D5A">
        <w:rPr>
          <w:szCs w:val="26"/>
          <w:shd w:val="clear" w:color="auto" w:fill="FFFFFF"/>
        </w:rPr>
        <w:t xml:space="preserve"> </w:t>
      </w:r>
      <w:r w:rsidRPr="00D81D5A">
        <w:t xml:space="preserve"> at p.</w:t>
      </w:r>
      <w:r w:rsidR="005D2BDE" w:rsidRPr="00D81D5A">
        <w:t> </w:t>
      </w:r>
      <w:r w:rsidRPr="00D81D5A">
        <w:t>126.)</w:t>
      </w:r>
    </w:p>
    <w:p w14:paraId="79A9FC08" w14:textId="77777777" w:rsidR="007A3715" w:rsidRPr="00D81D5A" w:rsidRDefault="00DA2912" w:rsidP="00D81D5A">
      <w:pPr>
        <w:ind w:firstLine="720"/>
      </w:pPr>
      <w:bookmarkStart w:id="18" w:name="_Hlk18925083"/>
      <w:bookmarkEnd w:id="17"/>
      <w:r w:rsidRPr="00D81D5A">
        <w:t xml:space="preserve">We </w:t>
      </w:r>
      <w:r w:rsidR="00DF339F" w:rsidRPr="00D81D5A">
        <w:t>grant</w:t>
      </w:r>
      <w:r w:rsidRPr="00D81D5A">
        <w:t>ed petitions for review f</w:t>
      </w:r>
      <w:r w:rsidR="005A17AF" w:rsidRPr="00D81D5A">
        <w:t>iled by (1)</w:t>
      </w:r>
      <w:r w:rsidR="002D3CE0">
        <w:t> </w:t>
      </w:r>
      <w:r w:rsidR="005A17AF" w:rsidRPr="00D81D5A">
        <w:t xml:space="preserve">the </w:t>
      </w:r>
      <w:r w:rsidR="00674DC3" w:rsidRPr="00D81D5A">
        <w:t>Association</w:t>
      </w:r>
      <w:r w:rsidR="00035071" w:rsidRPr="00D81D5A">
        <w:t xml:space="preserve"> and </w:t>
      </w:r>
      <w:r w:rsidRPr="00D81D5A">
        <w:t xml:space="preserve">the </w:t>
      </w:r>
      <w:r w:rsidR="00035071" w:rsidRPr="00D81D5A">
        <w:t xml:space="preserve">individual </w:t>
      </w:r>
      <w:r w:rsidRPr="00D81D5A">
        <w:t>p</w:t>
      </w:r>
      <w:r w:rsidR="0060014D" w:rsidRPr="00D81D5A">
        <w:t>laintiffs</w:t>
      </w:r>
      <w:r w:rsidRPr="00D81D5A">
        <w:t xml:space="preserve"> in its action</w:t>
      </w:r>
      <w:r w:rsidR="00035071" w:rsidRPr="00D81D5A">
        <w:t xml:space="preserve">, </w:t>
      </w:r>
      <w:r w:rsidR="005A17AF" w:rsidRPr="00D81D5A">
        <w:t>(2)</w:t>
      </w:r>
      <w:r w:rsidR="002D3CE0">
        <w:t> </w:t>
      </w:r>
      <w:r w:rsidRPr="00D81D5A">
        <w:t xml:space="preserve">the </w:t>
      </w:r>
      <w:r w:rsidR="00035071" w:rsidRPr="00D81D5A">
        <w:t>District</w:t>
      </w:r>
      <w:r w:rsidRPr="00D81D5A">
        <w:t xml:space="preserve">, </w:t>
      </w:r>
      <w:r w:rsidR="00DF339F" w:rsidRPr="00D81D5A">
        <w:t xml:space="preserve">which had been </w:t>
      </w:r>
      <w:r w:rsidRPr="00D81D5A">
        <w:t xml:space="preserve">joined as a </w:t>
      </w:r>
      <w:r w:rsidR="009925DF" w:rsidRPr="00D81D5A">
        <w:t>defendant</w:t>
      </w:r>
      <w:r w:rsidRPr="00D81D5A">
        <w:t xml:space="preserve"> </w:t>
      </w:r>
      <w:r w:rsidR="0060014D" w:rsidRPr="00D81D5A">
        <w:t xml:space="preserve">in the Contra Costa County action </w:t>
      </w:r>
      <w:r w:rsidRPr="00D81D5A">
        <w:t>because it employs persons who participate in a CERL pension plan</w:t>
      </w:r>
      <w:r w:rsidR="00035071" w:rsidRPr="00D81D5A">
        <w:t xml:space="preserve">, </w:t>
      </w:r>
      <w:r w:rsidRPr="00D81D5A">
        <w:t xml:space="preserve">and </w:t>
      </w:r>
      <w:r w:rsidR="005A17AF" w:rsidRPr="00D81D5A">
        <w:t xml:space="preserve">(3) </w:t>
      </w:r>
      <w:r w:rsidRPr="00D81D5A">
        <w:t xml:space="preserve">the </w:t>
      </w:r>
      <w:r w:rsidR="00035071" w:rsidRPr="00D81D5A">
        <w:t>State</w:t>
      </w:r>
      <w:r w:rsidRPr="00D81D5A">
        <w:t xml:space="preserve">, which </w:t>
      </w:r>
      <w:r w:rsidR="00BB634A" w:rsidRPr="00D81D5A">
        <w:t>had been</w:t>
      </w:r>
      <w:r w:rsidRPr="00D81D5A">
        <w:t xml:space="preserve"> permitted to </w:t>
      </w:r>
      <w:r w:rsidR="00035071" w:rsidRPr="00D81D5A">
        <w:t>interven</w:t>
      </w:r>
      <w:r w:rsidRPr="00D81D5A">
        <w:t>e</w:t>
      </w:r>
      <w:r w:rsidR="00922008" w:rsidRPr="00D81D5A">
        <w:t xml:space="preserve"> in the consolidated actions</w:t>
      </w:r>
      <w:r w:rsidR="00DF339F" w:rsidRPr="00D81D5A">
        <w:t xml:space="preserve"> to defend the constitutionality of </w:t>
      </w:r>
      <w:r w:rsidR="005A17AF" w:rsidRPr="00D81D5A">
        <w:t>the</w:t>
      </w:r>
      <w:r w:rsidR="00DF339F" w:rsidRPr="00D81D5A">
        <w:t xml:space="preserve"> legislation</w:t>
      </w:r>
      <w:r w:rsidRPr="00D81D5A">
        <w:t>.</w:t>
      </w:r>
    </w:p>
    <w:bookmarkEnd w:id="18"/>
    <w:p w14:paraId="0936AABB" w14:textId="77777777" w:rsidR="00D13D59" w:rsidRPr="00D81D5A" w:rsidRDefault="00896F9D" w:rsidP="00D81D5A">
      <w:pPr>
        <w:pStyle w:val="Heading1"/>
      </w:pPr>
      <w:r w:rsidRPr="00D81D5A">
        <w:t>II.  Discussion</w:t>
      </w:r>
    </w:p>
    <w:p w14:paraId="11408A19" w14:textId="1CDF7186" w:rsidR="00A26B2B" w:rsidRPr="00D81D5A" w:rsidRDefault="00DF339F" w:rsidP="00D81D5A">
      <w:pPr>
        <w:rPr>
          <w:szCs w:val="26"/>
        </w:rPr>
      </w:pPr>
      <w:r w:rsidRPr="00D81D5A">
        <w:tab/>
        <w:t>The issues raised</w:t>
      </w:r>
      <w:r w:rsidR="00B85C7F" w:rsidRPr="00D81D5A">
        <w:t xml:space="preserve"> here</w:t>
      </w:r>
      <w:r w:rsidRPr="00D81D5A">
        <w:t xml:space="preserve"> fall into two groups:</w:t>
      </w:r>
      <w:r w:rsidR="002D3CE0">
        <w:t>  </w:t>
      </w:r>
      <w:r w:rsidR="009F594A" w:rsidRPr="00D81D5A">
        <w:t xml:space="preserve">first, whether the provisions of PEPRA’s amendment of CERL violated rights acquired by county employees by virtue of the settlement agreements entered into with the retirement boards, and, second, </w:t>
      </w:r>
      <w:r w:rsidR="0090771E" w:rsidRPr="00D81D5A">
        <w:t xml:space="preserve">whether </w:t>
      </w:r>
      <w:r w:rsidR="009F594A" w:rsidRPr="00D81D5A">
        <w:t xml:space="preserve">the </w:t>
      </w:r>
      <w:r w:rsidR="0090771E" w:rsidRPr="00D81D5A">
        <w:t xml:space="preserve">amendment impaired county employees’ </w:t>
      </w:r>
      <w:r w:rsidR="00B320F9" w:rsidRPr="00D81D5A">
        <w:t xml:space="preserve">constitutionally protected </w:t>
      </w:r>
      <w:r w:rsidR="0090771E" w:rsidRPr="00D81D5A">
        <w:t xml:space="preserve">implied contractual rights in the </w:t>
      </w:r>
      <w:r w:rsidR="00CF0151" w:rsidRPr="00D81D5A">
        <w:t>implementation o</w:t>
      </w:r>
      <w:r w:rsidR="0090771E" w:rsidRPr="00D81D5A">
        <w:t xml:space="preserve">f CERL as </w:t>
      </w:r>
      <w:r w:rsidR="00CF0151" w:rsidRPr="00D81D5A">
        <w:t>i</w:t>
      </w:r>
      <w:r w:rsidR="0090771E" w:rsidRPr="00D81D5A">
        <w:t xml:space="preserve">t existed prior to </w:t>
      </w:r>
      <w:r w:rsidR="00B85C7F" w:rsidRPr="00D81D5A">
        <w:t xml:space="preserve">the </w:t>
      </w:r>
      <w:r w:rsidR="0090771E" w:rsidRPr="00D81D5A">
        <w:t xml:space="preserve">PEPRA </w:t>
      </w:r>
      <w:r w:rsidR="00B85C7F" w:rsidRPr="00D81D5A">
        <w:t>amendment</w:t>
      </w:r>
      <w:r w:rsidR="00227C4A" w:rsidRPr="00D81D5A">
        <w:t xml:space="preserve">.  </w:t>
      </w:r>
      <w:r w:rsidR="00861DA3" w:rsidRPr="00D81D5A">
        <w:t>Pursuant to traditional jurisprudential principles, w</w:t>
      </w:r>
      <w:r w:rsidR="00C94118" w:rsidRPr="00D81D5A">
        <w:t>e turn first to the</w:t>
      </w:r>
      <w:r w:rsidR="00861DA3" w:rsidRPr="00D81D5A">
        <w:t xml:space="preserve"> </w:t>
      </w:r>
      <w:proofErr w:type="spellStart"/>
      <w:r w:rsidR="00861DA3" w:rsidRPr="00D81D5A">
        <w:t>nonconstitutional</w:t>
      </w:r>
      <w:proofErr w:type="spellEnd"/>
      <w:r w:rsidR="00C94118" w:rsidRPr="00D81D5A">
        <w:t xml:space="preserve"> </w:t>
      </w:r>
      <w:r w:rsidR="0090771E" w:rsidRPr="00D81D5A">
        <w:t>question</w:t>
      </w:r>
      <w:r w:rsidR="00227C4A" w:rsidRPr="00D81D5A">
        <w:t>s</w:t>
      </w:r>
      <w:r w:rsidR="00BB634A" w:rsidRPr="00D81D5A">
        <w:t xml:space="preserve"> r</w:t>
      </w:r>
      <w:r w:rsidR="00861DA3" w:rsidRPr="00D81D5A">
        <w:t xml:space="preserve">aised by </w:t>
      </w:r>
      <w:r w:rsidR="00BB634A" w:rsidRPr="00D81D5A">
        <w:t>the settlement agreements</w:t>
      </w:r>
      <w:r w:rsidR="00C94118" w:rsidRPr="00D81D5A">
        <w:t>.</w:t>
      </w:r>
      <w:r w:rsidR="00861DA3" w:rsidRPr="00D81D5A">
        <w:t xml:space="preserve">  (See </w:t>
      </w:r>
      <w:r w:rsidR="00861DA3" w:rsidRPr="00D81D5A">
        <w:rPr>
          <w:i/>
        </w:rPr>
        <w:t xml:space="preserve">Santa Clara County Local Transportation Authority v. </w:t>
      </w:r>
      <w:proofErr w:type="spellStart"/>
      <w:r w:rsidR="00861DA3" w:rsidRPr="00D81D5A">
        <w:rPr>
          <w:i/>
        </w:rPr>
        <w:t>Guardino</w:t>
      </w:r>
      <w:proofErr w:type="spellEnd"/>
      <w:r w:rsidR="00861DA3" w:rsidRPr="00D81D5A">
        <w:rPr>
          <w:i/>
        </w:rPr>
        <w:t xml:space="preserve"> </w:t>
      </w:r>
      <w:r w:rsidR="00861DA3" w:rsidRPr="00D81D5A">
        <w:t>(1995) 11 Cal.4th 220, 230</w:t>
      </w:r>
      <w:r w:rsidR="00427AF8">
        <w:t>–</w:t>
      </w:r>
      <w:r w:rsidR="00861DA3" w:rsidRPr="00D81D5A">
        <w:t xml:space="preserve">231 </w:t>
      </w:r>
      <w:r w:rsidR="00861DA3" w:rsidRPr="00D81D5A">
        <w:rPr>
          <w:szCs w:val="26"/>
        </w:rPr>
        <w:t>[</w:t>
      </w:r>
      <w:r w:rsidR="00861DA3" w:rsidRPr="00D81D5A">
        <w:rPr>
          <w:rStyle w:val="ssrfcpassagedeactivated"/>
          <w:szCs w:val="26"/>
        </w:rPr>
        <w:t xml:space="preserve">the court </w:t>
      </w:r>
      <w:r w:rsidR="00861DA3" w:rsidRPr="00D81D5A">
        <w:rPr>
          <w:rStyle w:val="sssh"/>
          <w:szCs w:val="26"/>
        </w:rPr>
        <w:t>will not decide</w:t>
      </w:r>
      <w:r w:rsidR="00861DA3" w:rsidRPr="00D81D5A">
        <w:rPr>
          <w:rStyle w:val="ssrfcpassagedeactivated"/>
          <w:szCs w:val="26"/>
        </w:rPr>
        <w:t xml:space="preserve"> constitutional questions whe</w:t>
      </w:r>
      <w:r w:rsidR="001E2452" w:rsidRPr="00D81D5A">
        <w:rPr>
          <w:rStyle w:val="ssrfcpassagedeactivated"/>
          <w:szCs w:val="26"/>
        </w:rPr>
        <w:t>n</w:t>
      </w:r>
      <w:r w:rsidR="00861DA3" w:rsidRPr="00D81D5A">
        <w:rPr>
          <w:rStyle w:val="ssrfcpassagedeactivated"/>
          <w:szCs w:val="26"/>
        </w:rPr>
        <w:t xml:space="preserve"> other dispositive grounds are available].)</w:t>
      </w:r>
    </w:p>
    <w:p w14:paraId="73FEA377" w14:textId="77777777" w:rsidR="00E87101" w:rsidRPr="00D81D5A" w:rsidRDefault="009F594A" w:rsidP="00D81D5A">
      <w:pPr>
        <w:pStyle w:val="Heading2"/>
      </w:pPr>
      <w:r w:rsidRPr="00D81D5A">
        <w:t>A</w:t>
      </w:r>
      <w:r w:rsidR="0090771E" w:rsidRPr="00D81D5A">
        <w:t xml:space="preserve">.  The Retirement Boards’ </w:t>
      </w:r>
      <w:r w:rsidR="00D77515" w:rsidRPr="00D81D5A">
        <w:t xml:space="preserve">Settlement </w:t>
      </w:r>
      <w:r w:rsidR="0090771E" w:rsidRPr="00D81D5A">
        <w:t>Agreements D</w:t>
      </w:r>
      <w:r w:rsidR="00E82102" w:rsidRPr="00D81D5A">
        <w:t>id</w:t>
      </w:r>
      <w:r w:rsidR="0090771E" w:rsidRPr="00D81D5A">
        <w:t xml:space="preserve"> Not C</w:t>
      </w:r>
      <w:r w:rsidR="00B320F9" w:rsidRPr="00D81D5A">
        <w:t xml:space="preserve">reate </w:t>
      </w:r>
      <w:r w:rsidR="00B649AD" w:rsidRPr="00D81D5A">
        <w:t xml:space="preserve">a </w:t>
      </w:r>
      <w:r w:rsidR="00D77515" w:rsidRPr="00D81D5A">
        <w:t>Contractual</w:t>
      </w:r>
      <w:r w:rsidR="008A4672" w:rsidRPr="00D81D5A">
        <w:t xml:space="preserve"> or Equitable</w:t>
      </w:r>
      <w:r w:rsidR="00D77515" w:rsidRPr="00D81D5A">
        <w:t xml:space="preserve"> </w:t>
      </w:r>
      <w:r w:rsidR="00B320F9" w:rsidRPr="00D81D5A">
        <w:t xml:space="preserve">Right </w:t>
      </w:r>
      <w:r w:rsidR="0090771E" w:rsidRPr="00D81D5A">
        <w:t xml:space="preserve">to </w:t>
      </w:r>
      <w:r w:rsidR="00B320F9" w:rsidRPr="00D81D5A">
        <w:t xml:space="preserve">the Calculation of </w:t>
      </w:r>
      <w:r w:rsidR="0090771E" w:rsidRPr="00D81D5A">
        <w:t xml:space="preserve">Pension Benefits </w:t>
      </w:r>
      <w:r w:rsidR="007F61AA" w:rsidRPr="00D81D5A">
        <w:t>That Super</w:t>
      </w:r>
      <w:r w:rsidR="00F4154F" w:rsidRPr="00D81D5A">
        <w:t>s</w:t>
      </w:r>
      <w:r w:rsidR="007F61AA" w:rsidRPr="00D81D5A">
        <w:t>edes the PEPRA Amendment</w:t>
      </w:r>
    </w:p>
    <w:p w14:paraId="0AD209E4" w14:textId="7874A03A" w:rsidR="00E87101" w:rsidRPr="00D81D5A" w:rsidRDefault="00E87101" w:rsidP="00D81D5A">
      <w:r w:rsidRPr="00D81D5A">
        <w:tab/>
      </w:r>
      <w:r w:rsidR="009049B9" w:rsidRPr="00D81D5A">
        <w:t>Plaintiffs</w:t>
      </w:r>
      <w:r w:rsidR="006E6145" w:rsidRPr="00D81D5A">
        <w:t xml:space="preserve"> contend that county employees have the right to continue</w:t>
      </w:r>
      <w:r w:rsidR="00674AAE" w:rsidRPr="00D81D5A">
        <w:t>, after PEPRA,</w:t>
      </w:r>
      <w:r w:rsidR="006E6145" w:rsidRPr="00D81D5A">
        <w:t xml:space="preserve"> to</w:t>
      </w:r>
      <w:r w:rsidR="00674AAE" w:rsidRPr="00D81D5A">
        <w:t xml:space="preserve"> have</w:t>
      </w:r>
      <w:r w:rsidR="006E6145" w:rsidRPr="00D81D5A">
        <w:t xml:space="preserve"> include</w:t>
      </w:r>
      <w:r w:rsidR="00674AAE" w:rsidRPr="00D81D5A">
        <w:t>d</w:t>
      </w:r>
      <w:r w:rsidR="006E6145" w:rsidRPr="00D81D5A">
        <w:t xml:space="preserve"> in compensation earnable </w:t>
      </w:r>
      <w:r w:rsidR="00214F4B" w:rsidRPr="00D81D5A">
        <w:t xml:space="preserve">the </w:t>
      </w:r>
      <w:r w:rsidR="006E6145" w:rsidRPr="00D81D5A">
        <w:t xml:space="preserve">items of compensation declared includable by the settlement agreements entered into by the retirement boards in the wake of </w:t>
      </w:r>
      <w:r w:rsidR="006E6145" w:rsidRPr="00D81D5A">
        <w:rPr>
          <w:i/>
        </w:rPr>
        <w:t>Ventura County</w:t>
      </w:r>
      <w:r w:rsidR="006E6145" w:rsidRPr="00D81D5A">
        <w:t>, despite the exclusion or limitation of these items by new subdivision (b)(2) through (4) of section 31461.</w:t>
      </w:r>
      <w:r w:rsidR="006E6145" w:rsidRPr="00D81D5A">
        <w:rPr>
          <w:rStyle w:val="FootnoteReference"/>
        </w:rPr>
        <w:footnoteReference w:id="18"/>
      </w:r>
      <w:r w:rsidR="006E6145" w:rsidRPr="00D81D5A">
        <w:t xml:space="preserve">  </w:t>
      </w:r>
      <w:r w:rsidR="00CA57E6" w:rsidRPr="00D81D5A">
        <w:t>Plaintiffs</w:t>
      </w:r>
      <w:r w:rsidR="006E6145" w:rsidRPr="00D81D5A">
        <w:t xml:space="preserve"> contend that this right arises either directly, under the terms of the agreements, or by operation of the doctrine of equitable estoppel.  </w:t>
      </w:r>
      <w:r w:rsidR="005D160A" w:rsidRPr="00D81D5A">
        <w:t xml:space="preserve">We conclude that neither argument </w:t>
      </w:r>
      <w:r w:rsidR="00214F4B" w:rsidRPr="00D81D5A">
        <w:t>authorize</w:t>
      </w:r>
      <w:r w:rsidR="005D160A" w:rsidRPr="00D81D5A">
        <w:t xml:space="preserve">s </w:t>
      </w:r>
      <w:r w:rsidR="00214F4B" w:rsidRPr="00D81D5A">
        <w:t xml:space="preserve">the </w:t>
      </w:r>
      <w:r w:rsidR="005D160A" w:rsidRPr="00D81D5A">
        <w:t>county retirement board</w:t>
      </w:r>
      <w:r w:rsidR="00214F4B" w:rsidRPr="00D81D5A">
        <w:t>s</w:t>
      </w:r>
      <w:r w:rsidR="005D160A" w:rsidRPr="00D81D5A">
        <w:t xml:space="preserve"> to administer CERL in a manner inconsistent with </w:t>
      </w:r>
      <w:r w:rsidR="00694BF3" w:rsidRPr="00D81D5A">
        <w:t xml:space="preserve">the </w:t>
      </w:r>
      <w:r w:rsidR="00497D27" w:rsidRPr="00D81D5A">
        <w:t xml:space="preserve">governing </w:t>
      </w:r>
      <w:r w:rsidR="00694BF3" w:rsidRPr="00D81D5A">
        <w:t>statut</w:t>
      </w:r>
      <w:r w:rsidR="00497D27" w:rsidRPr="00D81D5A">
        <w:t>ory provisions</w:t>
      </w:r>
      <w:r w:rsidR="00694BF3" w:rsidRPr="00D81D5A">
        <w:t xml:space="preserve"> by including </w:t>
      </w:r>
      <w:r w:rsidR="00227C4A" w:rsidRPr="00D81D5A">
        <w:t>item</w:t>
      </w:r>
      <w:r w:rsidR="00694BF3" w:rsidRPr="00D81D5A">
        <w:t>s of compensation</w:t>
      </w:r>
      <w:r w:rsidR="00227C4A" w:rsidRPr="00D81D5A">
        <w:t xml:space="preserve"> in compensation earnable</w:t>
      </w:r>
      <w:r w:rsidR="00694BF3" w:rsidRPr="00D81D5A">
        <w:t xml:space="preserve"> that section 31461</w:t>
      </w:r>
      <w:r w:rsidR="000E27B8" w:rsidRPr="00D81D5A">
        <w:t>, as amended,</w:t>
      </w:r>
      <w:r w:rsidR="00694BF3" w:rsidRPr="00D81D5A">
        <w:t xml:space="preserve"> excludes.</w:t>
      </w:r>
    </w:p>
    <w:p w14:paraId="36D21478" w14:textId="77777777" w:rsidR="0090771E" w:rsidRPr="00D81D5A" w:rsidRDefault="0090771E" w:rsidP="00D81D5A">
      <w:pPr>
        <w:pStyle w:val="Heading3"/>
      </w:pPr>
      <w:r w:rsidRPr="00D81D5A">
        <w:t xml:space="preserve">1.  Local retirement boards </w:t>
      </w:r>
      <w:r w:rsidR="007F61AA" w:rsidRPr="00D81D5A">
        <w:t>are required to</w:t>
      </w:r>
      <w:r w:rsidRPr="00D81D5A">
        <w:t xml:space="preserve"> comply with CERL in calculating county employee pension benefits</w:t>
      </w:r>
    </w:p>
    <w:p w14:paraId="3468129E" w14:textId="202F70B8" w:rsidR="00497D27" w:rsidRPr="00D81D5A" w:rsidRDefault="0090771E" w:rsidP="00D81D5A">
      <w:pPr>
        <w:rPr>
          <w:rStyle w:val="ssparacontent"/>
          <w:szCs w:val="26"/>
        </w:rPr>
      </w:pPr>
      <w:r w:rsidRPr="00D81D5A">
        <w:rPr>
          <w:i/>
        </w:rPr>
        <w:tab/>
      </w:r>
      <w:r w:rsidRPr="00D81D5A">
        <w:t>A</w:t>
      </w:r>
      <w:r w:rsidR="00853099" w:rsidRPr="00D81D5A">
        <w:t>n under</w:t>
      </w:r>
      <w:r w:rsidR="00B649AD" w:rsidRPr="00D81D5A">
        <w:t>s</w:t>
      </w:r>
      <w:r w:rsidR="00853099" w:rsidRPr="00D81D5A">
        <w:t xml:space="preserve">tanding of the </w:t>
      </w:r>
      <w:r w:rsidR="00A649BA" w:rsidRPr="00D81D5A">
        <w:t xml:space="preserve">proper </w:t>
      </w:r>
      <w:r w:rsidR="00A44288" w:rsidRPr="00D81D5A">
        <w:t xml:space="preserve">role of </w:t>
      </w:r>
      <w:r w:rsidR="00853774" w:rsidRPr="00D81D5A">
        <w:t>county</w:t>
      </w:r>
      <w:r w:rsidRPr="00D81D5A">
        <w:t xml:space="preserve"> retirement boards </w:t>
      </w:r>
      <w:r w:rsidR="00A44288" w:rsidRPr="00D81D5A">
        <w:t>under</w:t>
      </w:r>
      <w:r w:rsidRPr="00D81D5A">
        <w:t xml:space="preserve"> CERL</w:t>
      </w:r>
      <w:r w:rsidR="00551910" w:rsidRPr="00D81D5A">
        <w:t xml:space="preserve"> is critical to resolving </w:t>
      </w:r>
      <w:r w:rsidR="00CA57E6" w:rsidRPr="00D81D5A">
        <w:t>plaintiffs</w:t>
      </w:r>
      <w:r w:rsidR="00551910" w:rsidRPr="00D81D5A">
        <w:t xml:space="preserve">’ </w:t>
      </w:r>
      <w:r w:rsidR="00D77515" w:rsidRPr="00D81D5A">
        <w:t xml:space="preserve">contract and </w:t>
      </w:r>
      <w:r w:rsidR="00E82102" w:rsidRPr="00D81D5A">
        <w:t>estoppel</w:t>
      </w:r>
      <w:r w:rsidR="00551910" w:rsidRPr="00D81D5A">
        <w:t xml:space="preserve"> claim</w:t>
      </w:r>
      <w:r w:rsidR="00D77515" w:rsidRPr="00D81D5A">
        <w:t>s</w:t>
      </w:r>
      <w:r w:rsidRPr="00D81D5A">
        <w:t>.</w:t>
      </w:r>
      <w:r w:rsidR="00853099" w:rsidRPr="00D81D5A">
        <w:t xml:space="preserve">  </w:t>
      </w:r>
      <w:r w:rsidR="00A946FA" w:rsidRPr="00D81D5A">
        <w:t xml:space="preserve">Under CERL, </w:t>
      </w:r>
      <w:r w:rsidR="00B649AD" w:rsidRPr="00D81D5A">
        <w:t>“management of the retirement system is vested” in the</w:t>
      </w:r>
      <w:r w:rsidR="00E82102" w:rsidRPr="00D81D5A">
        <w:t xml:space="preserve"> county</w:t>
      </w:r>
      <w:r w:rsidR="00B649AD" w:rsidRPr="00D81D5A">
        <w:t xml:space="preserve"> retirement board</w:t>
      </w:r>
      <w:r w:rsidR="007C0F1D">
        <w:t>s</w:t>
      </w:r>
      <w:r w:rsidR="00B649AD" w:rsidRPr="00D81D5A">
        <w:t>.  (§</w:t>
      </w:r>
      <w:r w:rsidR="009D1B95">
        <w:t> </w:t>
      </w:r>
      <w:r w:rsidR="00B649AD" w:rsidRPr="00D81D5A">
        <w:t xml:space="preserve">31520.)  </w:t>
      </w:r>
      <w:r w:rsidR="0065354F" w:rsidRPr="00D81D5A">
        <w:t xml:space="preserve">This </w:t>
      </w:r>
      <w:r w:rsidR="00E82102" w:rsidRPr="00D81D5A">
        <w:t xml:space="preserve">delegation of authority </w:t>
      </w:r>
      <w:r w:rsidR="0065354F" w:rsidRPr="00D81D5A">
        <w:t xml:space="preserve">is </w:t>
      </w:r>
      <w:r w:rsidR="00D77515" w:rsidRPr="00D81D5A">
        <w:t>echoed</w:t>
      </w:r>
      <w:r w:rsidR="0065354F" w:rsidRPr="00D81D5A">
        <w:t xml:space="preserve"> by </w:t>
      </w:r>
      <w:r w:rsidR="001E2452" w:rsidRPr="00D81D5A">
        <w:t>a</w:t>
      </w:r>
      <w:r w:rsidR="0065354F" w:rsidRPr="00D81D5A">
        <w:t xml:space="preserve">rticle XVI of </w:t>
      </w:r>
      <w:r w:rsidR="00853099" w:rsidRPr="00D81D5A">
        <w:t xml:space="preserve">our </w:t>
      </w:r>
      <w:r w:rsidR="00F11C35" w:rsidRPr="00D81D5A">
        <w:t>C</w:t>
      </w:r>
      <w:r w:rsidR="00853099" w:rsidRPr="00D81D5A">
        <w:t>onstitution</w:t>
      </w:r>
      <w:r w:rsidR="0065354F" w:rsidRPr="00D81D5A">
        <w:t>, which</w:t>
      </w:r>
      <w:r w:rsidR="00853099" w:rsidRPr="00D81D5A">
        <w:t xml:space="preserve"> </w:t>
      </w:r>
      <w:r w:rsidR="00D75F5C" w:rsidRPr="00D81D5A">
        <w:t>grants to</w:t>
      </w:r>
      <w:r w:rsidR="00853099" w:rsidRPr="00D81D5A">
        <w:t xml:space="preserve"> public </w:t>
      </w:r>
      <w:r w:rsidR="00D77515" w:rsidRPr="00D81D5A">
        <w:t xml:space="preserve">employee </w:t>
      </w:r>
      <w:r w:rsidR="00853099" w:rsidRPr="00D81D5A">
        <w:t>retirement boards</w:t>
      </w:r>
      <w:r w:rsidR="00F11C35" w:rsidRPr="00D81D5A">
        <w:t>, including those operating under CERL,</w:t>
      </w:r>
      <w:r w:rsidR="00853099" w:rsidRPr="00D81D5A">
        <w:t xml:space="preserve"> </w:t>
      </w:r>
      <w:r w:rsidR="0065354F" w:rsidRPr="00D81D5A">
        <w:rPr>
          <w:rStyle w:val="ssparacontent"/>
          <w:szCs w:val="26"/>
        </w:rPr>
        <w:t>the “sole and exclusive responsibility</w:t>
      </w:r>
      <w:r w:rsidR="007C0F1D">
        <w:rPr>
          <w:rStyle w:val="ssparacontent"/>
          <w:szCs w:val="26"/>
        </w:rPr>
        <w:t xml:space="preserve"> </w:t>
      </w:r>
      <w:r w:rsidR="0065354F" w:rsidRPr="00D81D5A">
        <w:rPr>
          <w:rStyle w:val="ssparacontent"/>
          <w:szCs w:val="26"/>
        </w:rPr>
        <w:t>to administer the system in a manner that will assure prompt delivery of benefits and related services to the participants and their beneficiaries.”</w:t>
      </w:r>
      <w:r w:rsidR="00853099" w:rsidRPr="00D81D5A">
        <w:rPr>
          <w:rStyle w:val="ssparacontent"/>
          <w:szCs w:val="26"/>
        </w:rPr>
        <w:t xml:space="preserve"> </w:t>
      </w:r>
      <w:r w:rsidR="0065354F" w:rsidRPr="00D81D5A">
        <w:rPr>
          <w:rStyle w:val="ssparacontent"/>
          <w:szCs w:val="26"/>
        </w:rPr>
        <w:t xml:space="preserve"> </w:t>
      </w:r>
      <w:r w:rsidR="00853099" w:rsidRPr="00D81D5A">
        <w:rPr>
          <w:rStyle w:val="ssparacontent"/>
          <w:szCs w:val="26"/>
        </w:rPr>
        <w:t>(Cal. Const., art. XVI, §17</w:t>
      </w:r>
      <w:r w:rsidR="00D75F5C" w:rsidRPr="00D81D5A">
        <w:rPr>
          <w:rStyle w:val="ssparacontent"/>
          <w:szCs w:val="26"/>
        </w:rPr>
        <w:t xml:space="preserve">, </w:t>
      </w:r>
      <w:proofErr w:type="spellStart"/>
      <w:r w:rsidR="00D75F5C" w:rsidRPr="00D81D5A">
        <w:rPr>
          <w:rStyle w:val="ssparacontent"/>
          <w:szCs w:val="26"/>
        </w:rPr>
        <w:t>subd</w:t>
      </w:r>
      <w:proofErr w:type="spellEnd"/>
      <w:r w:rsidR="00D75F5C" w:rsidRPr="00D81D5A">
        <w:rPr>
          <w:rStyle w:val="ssparacontent"/>
          <w:szCs w:val="26"/>
        </w:rPr>
        <w:t>. (a)</w:t>
      </w:r>
      <w:r w:rsidR="000172B4" w:rsidRPr="00D81D5A">
        <w:rPr>
          <w:rStyle w:val="ssparacontent"/>
          <w:szCs w:val="26"/>
        </w:rPr>
        <w:t>;</w:t>
      </w:r>
      <w:r w:rsidR="0065354F" w:rsidRPr="00D81D5A">
        <w:rPr>
          <w:rStyle w:val="ssparacontent"/>
          <w:szCs w:val="26"/>
        </w:rPr>
        <w:t xml:space="preserve"> see</w:t>
      </w:r>
      <w:r w:rsidR="000172B4" w:rsidRPr="00D81D5A">
        <w:rPr>
          <w:rStyle w:val="ssparacontent"/>
          <w:szCs w:val="26"/>
        </w:rPr>
        <w:t xml:space="preserve"> </w:t>
      </w:r>
      <w:proofErr w:type="spellStart"/>
      <w:r w:rsidR="000172B4" w:rsidRPr="00D81D5A">
        <w:rPr>
          <w:rStyle w:val="ssparacontent"/>
          <w:i/>
          <w:szCs w:val="26"/>
        </w:rPr>
        <w:t>Flethez</w:t>
      </w:r>
      <w:proofErr w:type="spellEnd"/>
      <w:r w:rsidR="000172B4" w:rsidRPr="00D81D5A">
        <w:rPr>
          <w:rStyle w:val="ssparacontent"/>
          <w:i/>
          <w:szCs w:val="26"/>
        </w:rPr>
        <w:t xml:space="preserve"> v. San Bernardino County Employees Retirement Assn. </w:t>
      </w:r>
      <w:r w:rsidR="000172B4" w:rsidRPr="00D81D5A">
        <w:rPr>
          <w:rStyle w:val="ssparacontent"/>
          <w:szCs w:val="26"/>
        </w:rPr>
        <w:t>(2017) 2</w:t>
      </w:r>
      <w:r w:rsidR="00C110DF">
        <w:rPr>
          <w:rStyle w:val="ssparacontent"/>
          <w:szCs w:val="26"/>
        </w:rPr>
        <w:t> </w:t>
      </w:r>
      <w:r w:rsidR="000172B4" w:rsidRPr="00D81D5A">
        <w:rPr>
          <w:rStyle w:val="ssparacontent"/>
          <w:szCs w:val="26"/>
        </w:rPr>
        <w:t>Cal.5th 630, 635</w:t>
      </w:r>
      <w:r w:rsidR="00427AF8">
        <w:rPr>
          <w:rStyle w:val="ssparacontent"/>
          <w:szCs w:val="26"/>
        </w:rPr>
        <w:t>–</w:t>
      </w:r>
      <w:r w:rsidR="000172B4" w:rsidRPr="00D81D5A">
        <w:rPr>
          <w:rStyle w:val="ssparacontent"/>
          <w:szCs w:val="26"/>
        </w:rPr>
        <w:t>636</w:t>
      </w:r>
      <w:r w:rsidR="00D75F5C" w:rsidRPr="00D81D5A">
        <w:rPr>
          <w:rStyle w:val="ssparacontent"/>
          <w:szCs w:val="26"/>
        </w:rPr>
        <w:t xml:space="preserve"> </w:t>
      </w:r>
      <w:r w:rsidR="00D77515" w:rsidRPr="00D81D5A">
        <w:rPr>
          <w:rStyle w:val="ssparacontent"/>
          <w:szCs w:val="26"/>
        </w:rPr>
        <w:t xml:space="preserve">[applying </w:t>
      </w:r>
      <w:r w:rsidR="001E2452" w:rsidRPr="00D81D5A">
        <w:rPr>
          <w:rStyle w:val="ssparacontent"/>
          <w:szCs w:val="26"/>
        </w:rPr>
        <w:t>a</w:t>
      </w:r>
      <w:r w:rsidR="00D77515" w:rsidRPr="00D81D5A">
        <w:rPr>
          <w:rStyle w:val="ssparacontent"/>
          <w:szCs w:val="26"/>
        </w:rPr>
        <w:t>rt</w:t>
      </w:r>
      <w:r w:rsidR="00540E1C">
        <w:rPr>
          <w:rStyle w:val="ssparacontent"/>
          <w:szCs w:val="26"/>
        </w:rPr>
        <w:t>.</w:t>
      </w:r>
      <w:r w:rsidR="00D77515" w:rsidRPr="00D81D5A">
        <w:rPr>
          <w:rStyle w:val="ssparacontent"/>
          <w:szCs w:val="26"/>
        </w:rPr>
        <w:t xml:space="preserve"> XVI to a county retirement system]</w:t>
      </w:r>
      <w:r w:rsidR="000172B4" w:rsidRPr="00D81D5A">
        <w:rPr>
          <w:rStyle w:val="ssparacontent"/>
          <w:szCs w:val="26"/>
        </w:rPr>
        <w:t>.)</w:t>
      </w:r>
      <w:r w:rsidR="00F11C35" w:rsidRPr="00D81D5A">
        <w:rPr>
          <w:rStyle w:val="ssparacontent"/>
          <w:szCs w:val="26"/>
        </w:rPr>
        <w:t xml:space="preserve">  </w:t>
      </w:r>
      <w:r w:rsidR="00D75F5C" w:rsidRPr="00D81D5A">
        <w:rPr>
          <w:rStyle w:val="ssparacontent"/>
          <w:szCs w:val="26"/>
        </w:rPr>
        <w:t>As a practical matter, th</w:t>
      </w:r>
      <w:r w:rsidR="00D77515" w:rsidRPr="00D81D5A">
        <w:rPr>
          <w:rStyle w:val="ssparacontent"/>
          <w:szCs w:val="26"/>
        </w:rPr>
        <w:t xml:space="preserve">e retirement boards’ </w:t>
      </w:r>
      <w:r w:rsidR="00D75F5C" w:rsidRPr="00D81D5A">
        <w:rPr>
          <w:rStyle w:val="ssparacontent"/>
          <w:szCs w:val="26"/>
        </w:rPr>
        <w:t>responsibilit</w:t>
      </w:r>
      <w:r w:rsidR="00D77515" w:rsidRPr="00D81D5A">
        <w:rPr>
          <w:rStyle w:val="ssparacontent"/>
          <w:szCs w:val="26"/>
        </w:rPr>
        <w:t>ies</w:t>
      </w:r>
      <w:r w:rsidR="00D75F5C" w:rsidRPr="00D81D5A">
        <w:rPr>
          <w:rStyle w:val="ssparacontent"/>
          <w:szCs w:val="26"/>
        </w:rPr>
        <w:t xml:space="preserve"> </w:t>
      </w:r>
      <w:r w:rsidR="006838D5" w:rsidRPr="00D81D5A">
        <w:rPr>
          <w:rStyle w:val="ssparacontent"/>
          <w:szCs w:val="26"/>
        </w:rPr>
        <w:t xml:space="preserve">generally </w:t>
      </w:r>
      <w:r w:rsidR="00836137" w:rsidRPr="00D81D5A">
        <w:rPr>
          <w:rStyle w:val="ssparacontent"/>
          <w:szCs w:val="26"/>
        </w:rPr>
        <w:t>involve</w:t>
      </w:r>
      <w:r w:rsidR="006838D5" w:rsidRPr="00D81D5A">
        <w:rPr>
          <w:rStyle w:val="ssparacontent"/>
          <w:szCs w:val="26"/>
        </w:rPr>
        <w:t xml:space="preserve"> management of </w:t>
      </w:r>
      <w:r w:rsidR="00853774" w:rsidRPr="00D81D5A">
        <w:rPr>
          <w:rStyle w:val="ssparacontent"/>
          <w:szCs w:val="26"/>
        </w:rPr>
        <w:t xml:space="preserve">the </w:t>
      </w:r>
      <w:r w:rsidR="006838D5" w:rsidRPr="00D81D5A">
        <w:rPr>
          <w:rStyle w:val="ssparacontent"/>
          <w:szCs w:val="26"/>
        </w:rPr>
        <w:t>system</w:t>
      </w:r>
      <w:r w:rsidR="00853774" w:rsidRPr="00D81D5A">
        <w:rPr>
          <w:rStyle w:val="ssparacontent"/>
          <w:szCs w:val="26"/>
        </w:rPr>
        <w:t>’s</w:t>
      </w:r>
      <w:r w:rsidR="006838D5" w:rsidRPr="00D81D5A">
        <w:rPr>
          <w:rStyle w:val="ssparacontent"/>
          <w:szCs w:val="26"/>
        </w:rPr>
        <w:t xml:space="preserve"> financial assets (</w:t>
      </w:r>
      <w:r w:rsidR="006838D5" w:rsidRPr="00D81D5A">
        <w:rPr>
          <w:rStyle w:val="ssparacontent"/>
          <w:i/>
          <w:szCs w:val="26"/>
        </w:rPr>
        <w:t xml:space="preserve">Westly v. Board of Administration </w:t>
      </w:r>
      <w:r w:rsidR="006838D5" w:rsidRPr="00D81D5A">
        <w:rPr>
          <w:rStyle w:val="ssparacontent"/>
          <w:szCs w:val="26"/>
        </w:rPr>
        <w:t>(2003) 105</w:t>
      </w:r>
      <w:r w:rsidR="002D3CE0">
        <w:rPr>
          <w:rStyle w:val="ssparacontent"/>
          <w:szCs w:val="26"/>
        </w:rPr>
        <w:t> </w:t>
      </w:r>
      <w:r w:rsidR="006838D5" w:rsidRPr="00D81D5A">
        <w:rPr>
          <w:rStyle w:val="ssparacontent"/>
          <w:szCs w:val="26"/>
        </w:rPr>
        <w:t>Cal.App.4th 1095, 1109</w:t>
      </w:r>
      <w:r w:rsidR="00427AF8">
        <w:rPr>
          <w:rStyle w:val="ssparacontent"/>
          <w:szCs w:val="26"/>
        </w:rPr>
        <w:t>–</w:t>
      </w:r>
      <w:r w:rsidR="006838D5" w:rsidRPr="00D81D5A">
        <w:rPr>
          <w:rStyle w:val="ssparacontent"/>
          <w:szCs w:val="26"/>
        </w:rPr>
        <w:t>1110 (</w:t>
      </w:r>
      <w:r w:rsidR="006838D5" w:rsidRPr="00D81D5A">
        <w:rPr>
          <w:rStyle w:val="ssparacontent"/>
          <w:i/>
          <w:szCs w:val="26"/>
        </w:rPr>
        <w:t>Westly</w:t>
      </w:r>
      <w:r w:rsidR="006838D5" w:rsidRPr="00D81D5A">
        <w:rPr>
          <w:rStyle w:val="ssparacontent"/>
          <w:szCs w:val="26"/>
        </w:rPr>
        <w:t xml:space="preserve">)) and </w:t>
      </w:r>
      <w:r w:rsidR="00D75F5C" w:rsidRPr="00D81D5A">
        <w:rPr>
          <w:rStyle w:val="ssparacontent"/>
          <w:szCs w:val="26"/>
        </w:rPr>
        <w:t>the processing</w:t>
      </w:r>
      <w:r w:rsidR="003555DD" w:rsidRPr="00D81D5A">
        <w:rPr>
          <w:rStyle w:val="ssparacontent"/>
          <w:szCs w:val="26"/>
        </w:rPr>
        <w:t xml:space="preserve"> and payment of </w:t>
      </w:r>
      <w:r w:rsidR="00D75F5C" w:rsidRPr="00D81D5A">
        <w:rPr>
          <w:rStyle w:val="ssparacontent"/>
          <w:szCs w:val="26"/>
        </w:rPr>
        <w:t>claims for benefits under the plan (</w:t>
      </w:r>
      <w:r w:rsidR="003555DD" w:rsidRPr="00D81D5A">
        <w:rPr>
          <w:rStyle w:val="ssparacontent"/>
          <w:szCs w:val="26"/>
        </w:rPr>
        <w:t>see, e</w:t>
      </w:r>
      <w:r w:rsidR="00D75F5C" w:rsidRPr="00D81D5A">
        <w:rPr>
          <w:rStyle w:val="ssparacontent"/>
          <w:szCs w:val="26"/>
        </w:rPr>
        <w:t>.g.</w:t>
      </w:r>
      <w:r w:rsidR="001E2452" w:rsidRPr="00D81D5A">
        <w:rPr>
          <w:rStyle w:val="ssparacontent"/>
          <w:szCs w:val="26"/>
        </w:rPr>
        <w:t>,</w:t>
      </w:r>
      <w:r w:rsidR="00D75F5C" w:rsidRPr="00D81D5A">
        <w:rPr>
          <w:rStyle w:val="ssparacontent"/>
          <w:szCs w:val="26"/>
        </w:rPr>
        <w:t xml:space="preserve"> </w:t>
      </w:r>
      <w:r w:rsidR="00A40475" w:rsidRPr="00D81D5A">
        <w:rPr>
          <w:rStyle w:val="ssparacontent"/>
          <w:i/>
          <w:szCs w:val="26"/>
        </w:rPr>
        <w:t xml:space="preserve">McIntyre v. Santa Barbara County Employees’ Retirement System </w:t>
      </w:r>
      <w:r w:rsidR="00A40475" w:rsidRPr="00D81D5A">
        <w:rPr>
          <w:rStyle w:val="ssparacontent"/>
          <w:szCs w:val="26"/>
        </w:rPr>
        <w:t xml:space="preserve">(2001) 91 Cal.App.4th 730, 734 [board has </w:t>
      </w:r>
      <w:r w:rsidR="007C0F1D">
        <w:rPr>
          <w:rStyle w:val="ssparacontent"/>
          <w:szCs w:val="26"/>
        </w:rPr>
        <w:t>exclusive authority</w:t>
      </w:r>
      <w:r w:rsidR="00A40475" w:rsidRPr="00D81D5A">
        <w:rPr>
          <w:rStyle w:val="ssparacontent"/>
          <w:szCs w:val="26"/>
        </w:rPr>
        <w:t xml:space="preserve"> to determine whether plan is obligated to pay benefits</w:t>
      </w:r>
      <w:r w:rsidR="00384BA6" w:rsidRPr="00D81D5A">
        <w:rPr>
          <w:rStyle w:val="ssparacontent"/>
          <w:szCs w:val="26"/>
        </w:rPr>
        <w:t xml:space="preserve"> to employee</w:t>
      </w:r>
      <w:r w:rsidR="00A40475" w:rsidRPr="00D81D5A">
        <w:rPr>
          <w:rStyle w:val="ssparacontent"/>
          <w:szCs w:val="26"/>
        </w:rPr>
        <w:t>]</w:t>
      </w:r>
      <w:r w:rsidR="00384BA6" w:rsidRPr="00D81D5A">
        <w:rPr>
          <w:rStyle w:val="ssparacontent"/>
          <w:szCs w:val="26"/>
        </w:rPr>
        <w:t xml:space="preserve">; </w:t>
      </w:r>
      <w:r w:rsidR="00384BA6" w:rsidRPr="00D81D5A">
        <w:rPr>
          <w:rStyle w:val="ssparacontent"/>
          <w:i/>
          <w:szCs w:val="26"/>
        </w:rPr>
        <w:t xml:space="preserve">Masters v. San Bernardino County Employees Retirement Assn </w:t>
      </w:r>
      <w:r w:rsidR="00384BA6" w:rsidRPr="00D81D5A">
        <w:rPr>
          <w:rStyle w:val="ssparacontent"/>
          <w:szCs w:val="26"/>
        </w:rPr>
        <w:t>(1995) 32</w:t>
      </w:r>
      <w:r w:rsidR="009D1B95">
        <w:rPr>
          <w:rStyle w:val="ssparacontent"/>
          <w:szCs w:val="26"/>
        </w:rPr>
        <w:t> </w:t>
      </w:r>
      <w:r w:rsidR="00384BA6" w:rsidRPr="00D81D5A">
        <w:rPr>
          <w:rStyle w:val="ssparacontent"/>
          <w:szCs w:val="26"/>
        </w:rPr>
        <w:t>Cal.App.4th 30, 45 [board has exclusive authority to determine whether employee is permanently incapacitated and whether the disability is service-related]</w:t>
      </w:r>
      <w:r w:rsidR="00D75F5C" w:rsidRPr="00D81D5A">
        <w:rPr>
          <w:rStyle w:val="ssparacontent"/>
          <w:szCs w:val="26"/>
        </w:rPr>
        <w:t>)</w:t>
      </w:r>
      <w:r w:rsidR="00384BA6" w:rsidRPr="00D81D5A">
        <w:rPr>
          <w:rStyle w:val="ssparacontent"/>
          <w:szCs w:val="26"/>
        </w:rPr>
        <w:t>.</w:t>
      </w:r>
      <w:r w:rsidR="00D77515" w:rsidRPr="00D81D5A">
        <w:rPr>
          <w:rStyle w:val="ssparacontent"/>
          <w:szCs w:val="26"/>
        </w:rPr>
        <w:t xml:space="preserve">  In carrying out these responsibilities, the Constitution grants retirement boards “plenary authority and fiduciary responsibility for investment of moneys and administration of the system.”  (Cal. Const., art. XVI, §17.)</w:t>
      </w:r>
      <w:r w:rsidR="00A649BA" w:rsidRPr="00D81D5A">
        <w:rPr>
          <w:rStyle w:val="ssparacontent"/>
          <w:szCs w:val="26"/>
        </w:rPr>
        <w:t xml:space="preserve">  Of necessity, the task of processing claims for retirement benefits requires the county retirement boards to interpret and apply the provisions of CERL, including the sections defining compensation, compensation earnable, and final compensation.</w:t>
      </w:r>
      <w:bookmarkStart w:id="19" w:name="_Hlk23407697"/>
    </w:p>
    <w:p w14:paraId="179EF4C4" w14:textId="67DA7874" w:rsidR="000172B4" w:rsidRPr="00D81D5A" w:rsidRDefault="00497D27" w:rsidP="00D81D5A">
      <w:pPr>
        <w:ind w:firstLine="720"/>
        <w:rPr>
          <w:rStyle w:val="ssparacontent"/>
          <w:szCs w:val="26"/>
        </w:rPr>
      </w:pPr>
      <w:r w:rsidRPr="00D81D5A">
        <w:rPr>
          <w:szCs w:val="26"/>
        </w:rPr>
        <w:t xml:space="preserve">The task of a county retirement board is not to </w:t>
      </w:r>
      <w:r w:rsidR="00C267D7" w:rsidRPr="00D81D5A">
        <w:rPr>
          <w:szCs w:val="26"/>
        </w:rPr>
        <w:t xml:space="preserve">design </w:t>
      </w:r>
      <w:r w:rsidRPr="00D81D5A">
        <w:rPr>
          <w:szCs w:val="26"/>
        </w:rPr>
        <w:t xml:space="preserve">the county’s pension plan but to implement the </w:t>
      </w:r>
      <w:r w:rsidR="00C267D7" w:rsidRPr="00D81D5A">
        <w:rPr>
          <w:szCs w:val="26"/>
        </w:rPr>
        <w:t xml:space="preserve">design </w:t>
      </w:r>
      <w:r w:rsidRPr="00D81D5A">
        <w:rPr>
          <w:szCs w:val="26"/>
        </w:rPr>
        <w:t>enacted by the Legislature</w:t>
      </w:r>
      <w:r w:rsidR="00C267D7" w:rsidRPr="00D81D5A">
        <w:rPr>
          <w:szCs w:val="26"/>
        </w:rPr>
        <w:t xml:space="preserve"> </w:t>
      </w:r>
      <w:r w:rsidR="007F61AA" w:rsidRPr="00D81D5A">
        <w:rPr>
          <w:szCs w:val="26"/>
        </w:rPr>
        <w:t>through</w:t>
      </w:r>
      <w:r w:rsidR="00C267D7" w:rsidRPr="00D81D5A">
        <w:rPr>
          <w:szCs w:val="26"/>
        </w:rPr>
        <w:t xml:space="preserve"> CERL</w:t>
      </w:r>
      <w:r w:rsidRPr="00D81D5A">
        <w:rPr>
          <w:szCs w:val="26"/>
        </w:rPr>
        <w:t>.  As noted, CERL speaks of the retirement boards as “</w:t>
      </w:r>
      <w:proofErr w:type="spellStart"/>
      <w:r w:rsidRPr="00D81D5A">
        <w:rPr>
          <w:szCs w:val="26"/>
        </w:rPr>
        <w:t>manag</w:t>
      </w:r>
      <w:proofErr w:type="spellEnd"/>
      <w:r w:rsidRPr="00D81D5A">
        <w:rPr>
          <w:szCs w:val="26"/>
        </w:rPr>
        <w:t>[</w:t>
      </w:r>
      <w:proofErr w:type="spellStart"/>
      <w:r w:rsidRPr="00D81D5A">
        <w:rPr>
          <w:szCs w:val="26"/>
        </w:rPr>
        <w:t>ing</w:t>
      </w:r>
      <w:proofErr w:type="spellEnd"/>
      <w:r w:rsidRPr="00D81D5A">
        <w:rPr>
          <w:szCs w:val="26"/>
        </w:rPr>
        <w:t xml:space="preserve">]” the retirement system </w:t>
      </w:r>
      <w:r w:rsidRPr="00D81D5A">
        <w:t>(§</w:t>
      </w:r>
      <w:r w:rsidR="005D2BDE" w:rsidRPr="00D81D5A">
        <w:t> </w:t>
      </w:r>
      <w:r w:rsidRPr="00D81D5A">
        <w:t>31520), while the Constitution charges them with “administer[</w:t>
      </w:r>
      <w:proofErr w:type="spellStart"/>
      <w:r w:rsidRPr="00D81D5A">
        <w:t>ing</w:t>
      </w:r>
      <w:proofErr w:type="spellEnd"/>
      <w:r w:rsidRPr="00D81D5A">
        <w:t xml:space="preserve">]” the system and its assets </w:t>
      </w:r>
      <w:r w:rsidRPr="00D81D5A">
        <w:rPr>
          <w:rStyle w:val="ssparacontent"/>
          <w:szCs w:val="26"/>
        </w:rPr>
        <w:t>(Cal. Const., art.</w:t>
      </w:r>
      <w:r w:rsidR="00C110DF">
        <w:rPr>
          <w:rStyle w:val="ssparacontent"/>
          <w:szCs w:val="26"/>
        </w:rPr>
        <w:t> </w:t>
      </w:r>
      <w:r w:rsidRPr="00D81D5A">
        <w:rPr>
          <w:rStyle w:val="ssparacontent"/>
          <w:szCs w:val="26"/>
        </w:rPr>
        <w:t xml:space="preserve">XVI, §17, </w:t>
      </w:r>
      <w:proofErr w:type="spellStart"/>
      <w:r w:rsidRPr="00D81D5A">
        <w:rPr>
          <w:rStyle w:val="ssparacontent"/>
          <w:szCs w:val="26"/>
        </w:rPr>
        <w:t>subd</w:t>
      </w:r>
      <w:proofErr w:type="spellEnd"/>
      <w:r w:rsidRPr="00D81D5A">
        <w:rPr>
          <w:rStyle w:val="ssparacontent"/>
          <w:szCs w:val="26"/>
        </w:rPr>
        <w:t>. (a)).</w:t>
      </w:r>
      <w:r w:rsidRPr="00D81D5A">
        <w:t xml:space="preserve"> </w:t>
      </w:r>
      <w:r w:rsidR="00384BA6" w:rsidRPr="00D81D5A">
        <w:rPr>
          <w:szCs w:val="26"/>
        </w:rPr>
        <w:t xml:space="preserve"> </w:t>
      </w:r>
      <w:bookmarkEnd w:id="19"/>
      <w:r w:rsidR="00C267D7" w:rsidRPr="00D81D5A">
        <w:rPr>
          <w:szCs w:val="26"/>
        </w:rPr>
        <w:t>Although CERL grants to retirement boards the power to make regulations, those regulations must be consistent with the provisions of CERL.  (§ 31525 [“The board may make regulations not inconsistent with this chapter”].)  The boards do not have the authority to “evade the law” that otherwise applies to their system.  (</w:t>
      </w:r>
      <w:r w:rsidR="00C267D7" w:rsidRPr="00D81D5A">
        <w:rPr>
          <w:i/>
          <w:szCs w:val="26"/>
        </w:rPr>
        <w:t>Westly</w:t>
      </w:r>
      <w:r w:rsidR="00C267D7" w:rsidRPr="00D81D5A">
        <w:rPr>
          <w:szCs w:val="26"/>
        </w:rPr>
        <w:t xml:space="preserve">, </w:t>
      </w:r>
      <w:r w:rsidR="00C267D7" w:rsidRPr="00D81D5A">
        <w:rPr>
          <w:i/>
          <w:szCs w:val="26"/>
        </w:rPr>
        <w:t>supra</w:t>
      </w:r>
      <w:r w:rsidR="00C267D7" w:rsidRPr="00D81D5A">
        <w:rPr>
          <w:szCs w:val="26"/>
        </w:rPr>
        <w:t xml:space="preserve">, </w:t>
      </w:r>
      <w:r w:rsidR="00C267D7" w:rsidRPr="00D81D5A">
        <w:rPr>
          <w:rStyle w:val="ssparacontent"/>
          <w:szCs w:val="26"/>
        </w:rPr>
        <w:t>105</w:t>
      </w:r>
      <w:r w:rsidR="009D1B95">
        <w:rPr>
          <w:rStyle w:val="ssparacontent"/>
          <w:szCs w:val="26"/>
        </w:rPr>
        <w:t> </w:t>
      </w:r>
      <w:r w:rsidR="00C267D7" w:rsidRPr="00D81D5A">
        <w:rPr>
          <w:rStyle w:val="ssparacontent"/>
          <w:szCs w:val="26"/>
        </w:rPr>
        <w:t>Cal.App.4th at p.</w:t>
      </w:r>
      <w:r w:rsidR="00C110DF">
        <w:rPr>
          <w:rStyle w:val="ssparacontent"/>
          <w:szCs w:val="26"/>
        </w:rPr>
        <w:t> </w:t>
      </w:r>
      <w:r w:rsidR="00C267D7" w:rsidRPr="00D81D5A">
        <w:rPr>
          <w:rStyle w:val="ssparacontent"/>
          <w:szCs w:val="26"/>
        </w:rPr>
        <w:t xml:space="preserve">1100.)  </w:t>
      </w:r>
      <w:r w:rsidR="007E42F9" w:rsidRPr="00D81D5A">
        <w:rPr>
          <w:szCs w:val="26"/>
        </w:rPr>
        <w:t xml:space="preserve">“The granting of retirement benefits is a </w:t>
      </w:r>
      <w:r w:rsidR="007E42F9" w:rsidRPr="00D81D5A">
        <w:rPr>
          <w:rStyle w:val="sssh"/>
          <w:szCs w:val="26"/>
        </w:rPr>
        <w:t>legislative action</w:t>
      </w:r>
      <w:r w:rsidR="007E42F9" w:rsidRPr="00D81D5A">
        <w:rPr>
          <w:szCs w:val="26"/>
        </w:rPr>
        <w:t xml:space="preserve"> within the exclusive jurisdiction of the [relevant legislative body].</w:t>
      </w:r>
      <w:r w:rsidR="00D04E00">
        <w:rPr>
          <w:szCs w:val="26"/>
        </w:rPr>
        <w:t> </w:t>
      </w:r>
      <w:r w:rsidR="007E42F9" w:rsidRPr="00D81D5A">
        <w:rPr>
          <w:szCs w:val="26"/>
        </w:rPr>
        <w:t xml:space="preserve">. . .  </w:t>
      </w:r>
      <w:r w:rsidR="00540E1C">
        <w:rPr>
          <w:szCs w:val="26"/>
        </w:rPr>
        <w:t xml:space="preserve">[¶] </w:t>
      </w:r>
      <w:r w:rsidR="007E42F9" w:rsidRPr="00D81D5A">
        <w:rPr>
          <w:szCs w:val="26"/>
        </w:rPr>
        <w:t>I</w:t>
      </w:r>
      <w:r w:rsidR="00D400C8" w:rsidRPr="00D81D5A">
        <w:rPr>
          <w:rStyle w:val="ssparacontent"/>
          <w:szCs w:val="26"/>
        </w:rPr>
        <w:t>t is not within [a board’s] authority to expand pension benefits beyond those afforded by the authorizing legislation.</w:t>
      </w:r>
      <w:r w:rsidR="00D04E00">
        <w:rPr>
          <w:rStyle w:val="ssparacontent"/>
          <w:szCs w:val="26"/>
        </w:rPr>
        <w:t xml:space="preserve"> . . . </w:t>
      </w:r>
      <w:r w:rsidR="00D400C8" w:rsidRPr="00D81D5A">
        <w:rPr>
          <w:rStyle w:val="ssparacontent"/>
          <w:szCs w:val="26"/>
        </w:rPr>
        <w:t xml:space="preserve"> The scope of the board’s power as to benefits is limited to administering the benefits set by the [legislative body].”  (</w:t>
      </w:r>
      <w:r w:rsidR="00D400C8" w:rsidRPr="00D81D5A">
        <w:rPr>
          <w:rStyle w:val="ssparacontent"/>
          <w:i/>
          <w:szCs w:val="26"/>
        </w:rPr>
        <w:t xml:space="preserve">City of San Diego v. San Diego City Employees’ Retirement System </w:t>
      </w:r>
      <w:r w:rsidR="00D400C8" w:rsidRPr="00D81D5A">
        <w:rPr>
          <w:rStyle w:val="ssparacontent"/>
          <w:szCs w:val="26"/>
        </w:rPr>
        <w:t>(2010) 186</w:t>
      </w:r>
      <w:r w:rsidR="002D3CE0">
        <w:rPr>
          <w:rStyle w:val="ssparacontent"/>
          <w:szCs w:val="26"/>
        </w:rPr>
        <w:t> </w:t>
      </w:r>
      <w:r w:rsidR="00D400C8" w:rsidRPr="00D81D5A">
        <w:rPr>
          <w:rStyle w:val="ssparacontent"/>
          <w:szCs w:val="26"/>
        </w:rPr>
        <w:t xml:space="preserve">Cal.App.4th 69, </w:t>
      </w:r>
      <w:r w:rsidR="00D04E00">
        <w:rPr>
          <w:rStyle w:val="ssparacontent"/>
          <w:szCs w:val="26"/>
        </w:rPr>
        <w:t>79</w:t>
      </w:r>
      <w:r w:rsidR="00427AF8">
        <w:rPr>
          <w:rStyle w:val="ssparacontent"/>
          <w:szCs w:val="26"/>
        </w:rPr>
        <w:t>–</w:t>
      </w:r>
      <w:r w:rsidR="00D400C8" w:rsidRPr="00D81D5A">
        <w:rPr>
          <w:rStyle w:val="ssparacontent"/>
          <w:szCs w:val="26"/>
        </w:rPr>
        <w:t xml:space="preserve">80; see similarly </w:t>
      </w:r>
      <w:r w:rsidR="00D400C8" w:rsidRPr="00D81D5A">
        <w:rPr>
          <w:rStyle w:val="ssparacontent"/>
          <w:i/>
          <w:szCs w:val="26"/>
        </w:rPr>
        <w:t xml:space="preserve">City of San Diego v. Haas </w:t>
      </w:r>
      <w:r w:rsidR="00D400C8" w:rsidRPr="00D81D5A">
        <w:rPr>
          <w:rStyle w:val="ssparacontent"/>
          <w:szCs w:val="26"/>
        </w:rPr>
        <w:t xml:space="preserve">(2012) 207 Cal.App.4th 472, 495.)  </w:t>
      </w:r>
      <w:r w:rsidR="00853774" w:rsidRPr="00D81D5A">
        <w:rPr>
          <w:rStyle w:val="ssparacontent"/>
          <w:szCs w:val="26"/>
        </w:rPr>
        <w:t xml:space="preserve">This </w:t>
      </w:r>
      <w:r w:rsidR="006D2BB7" w:rsidRPr="00D81D5A">
        <w:rPr>
          <w:rStyle w:val="ssparacontent"/>
          <w:szCs w:val="26"/>
        </w:rPr>
        <w:t xml:space="preserve">conclusion </w:t>
      </w:r>
      <w:r w:rsidR="00DF398B" w:rsidRPr="00D81D5A">
        <w:rPr>
          <w:rStyle w:val="ssparacontent"/>
          <w:szCs w:val="26"/>
        </w:rPr>
        <w:t xml:space="preserve">follows from </w:t>
      </w:r>
      <w:r w:rsidR="006D2BB7" w:rsidRPr="00D81D5A">
        <w:rPr>
          <w:rStyle w:val="ssparacontent"/>
          <w:szCs w:val="26"/>
        </w:rPr>
        <w:t xml:space="preserve">principles </w:t>
      </w:r>
      <w:r w:rsidR="00853774" w:rsidRPr="00D81D5A">
        <w:rPr>
          <w:rStyle w:val="ssparacontent"/>
          <w:szCs w:val="26"/>
        </w:rPr>
        <w:t xml:space="preserve">governing the authority of administrative </w:t>
      </w:r>
      <w:r w:rsidR="006D2BB7" w:rsidRPr="00D81D5A">
        <w:rPr>
          <w:rStyle w:val="ssparacontent"/>
          <w:szCs w:val="26"/>
        </w:rPr>
        <w:t>bodies</w:t>
      </w:r>
      <w:r w:rsidR="00DF398B" w:rsidRPr="00D81D5A">
        <w:rPr>
          <w:rStyle w:val="ssparacontent"/>
          <w:szCs w:val="26"/>
        </w:rPr>
        <w:t xml:space="preserve"> generally</w:t>
      </w:r>
      <w:r w:rsidR="00853774" w:rsidRPr="00D81D5A">
        <w:rPr>
          <w:rStyle w:val="ssparacontent"/>
          <w:szCs w:val="26"/>
        </w:rPr>
        <w:t>:  “</w:t>
      </w:r>
      <w:r w:rsidR="00540E1C">
        <w:rPr>
          <w:rStyle w:val="ssparacontent"/>
          <w:szCs w:val="26"/>
        </w:rPr>
        <w:t>[I]</w:t>
      </w:r>
      <w:r w:rsidR="00853774" w:rsidRPr="00D81D5A">
        <w:rPr>
          <w:rStyle w:val="sscrbhighlight"/>
          <w:szCs w:val="26"/>
        </w:rPr>
        <w:t>t is well established that the rulemaking power of an administrative agency does not permit the agency to exceed the scope of authority conferred on the agency by the Legislature.  [Citation.]  ‘A ministerial officer may not . . . under the guise of a rule or regulation vary or enlarge the terms of a legislative enactment or compel that to be done which lies without the scope of the statute</w:t>
      </w:r>
      <w:r w:rsidR="00E82102" w:rsidRPr="00D81D5A">
        <w:rPr>
          <w:rStyle w:val="sscrbhighlight"/>
          <w:szCs w:val="26"/>
        </w:rPr>
        <w:t> . . . </w:t>
      </w:r>
      <w:r w:rsidR="00853774" w:rsidRPr="00D81D5A">
        <w:rPr>
          <w:rStyle w:val="sscrbhighlight"/>
          <w:szCs w:val="26"/>
        </w:rPr>
        <w:t xml:space="preserve">.’  [Citation.]  </w:t>
      </w:r>
      <w:r w:rsidR="00853774" w:rsidRPr="00D81D5A">
        <w:rPr>
          <w:rStyle w:val="ssrfcpassagedeactivated"/>
          <w:szCs w:val="26"/>
        </w:rPr>
        <w:t>And, a regulation which impairs the scope of a statute must be declared void.”  (</w:t>
      </w:r>
      <w:r w:rsidR="00853774" w:rsidRPr="00D81D5A">
        <w:rPr>
          <w:rStyle w:val="ssrfcpassagedeactivated"/>
          <w:i/>
          <w:szCs w:val="26"/>
        </w:rPr>
        <w:t xml:space="preserve">Agnew v. State Bd. of Equalization </w:t>
      </w:r>
      <w:r w:rsidR="00853774" w:rsidRPr="00D81D5A">
        <w:rPr>
          <w:rStyle w:val="ssrfcpassagedeactivated"/>
          <w:szCs w:val="26"/>
        </w:rPr>
        <w:t>(1999) 21</w:t>
      </w:r>
      <w:r w:rsidR="002D3CE0">
        <w:rPr>
          <w:rStyle w:val="ssrfcpassagedeactivated"/>
          <w:szCs w:val="26"/>
        </w:rPr>
        <w:t> </w:t>
      </w:r>
      <w:r w:rsidR="00853774" w:rsidRPr="00D81D5A">
        <w:rPr>
          <w:rStyle w:val="ssrfcpassagedeactivated"/>
          <w:szCs w:val="26"/>
        </w:rPr>
        <w:t>Cal.4th 310, 321</w:t>
      </w:r>
      <w:r w:rsidR="00E82102" w:rsidRPr="00D81D5A">
        <w:rPr>
          <w:rStyle w:val="ssrfcpassagedeactivated"/>
          <w:szCs w:val="26"/>
        </w:rPr>
        <w:t xml:space="preserve">; see </w:t>
      </w:r>
      <w:proofErr w:type="spellStart"/>
      <w:r w:rsidR="00B50010" w:rsidRPr="00D81D5A">
        <w:rPr>
          <w:rStyle w:val="ssrfcpassagedeactivated"/>
          <w:i/>
          <w:szCs w:val="26"/>
        </w:rPr>
        <w:t>PaintCare</w:t>
      </w:r>
      <w:proofErr w:type="spellEnd"/>
      <w:r w:rsidR="00B50010" w:rsidRPr="00D81D5A">
        <w:rPr>
          <w:rStyle w:val="ssrfcpassagedeactivated"/>
          <w:i/>
          <w:szCs w:val="26"/>
        </w:rPr>
        <w:t xml:space="preserve"> v. Mortensen </w:t>
      </w:r>
      <w:r w:rsidR="00B50010" w:rsidRPr="00D81D5A">
        <w:rPr>
          <w:rStyle w:val="ssrfcpassagedeactivated"/>
          <w:szCs w:val="26"/>
        </w:rPr>
        <w:t>(2015) 233</w:t>
      </w:r>
      <w:r w:rsidR="002D3CE0">
        <w:rPr>
          <w:rStyle w:val="ssrfcpassagedeactivated"/>
          <w:szCs w:val="26"/>
        </w:rPr>
        <w:t> </w:t>
      </w:r>
      <w:r w:rsidR="00B50010" w:rsidRPr="00D81D5A">
        <w:rPr>
          <w:rStyle w:val="ssrfcpassagedeactivated"/>
          <w:szCs w:val="26"/>
        </w:rPr>
        <w:t>Cal.App.4th 1292, 1305</w:t>
      </w:r>
      <w:r w:rsidR="00427AF8">
        <w:rPr>
          <w:rStyle w:val="ssrfcpassagedeactivated"/>
          <w:szCs w:val="26"/>
        </w:rPr>
        <w:t>–</w:t>
      </w:r>
      <w:r w:rsidR="00B50010" w:rsidRPr="00D81D5A">
        <w:rPr>
          <w:rStyle w:val="ssrfcpassagedeactivated"/>
          <w:szCs w:val="26"/>
        </w:rPr>
        <w:t xml:space="preserve">1306 [“An </w:t>
      </w:r>
      <w:r w:rsidR="00B50010" w:rsidRPr="00D81D5A">
        <w:rPr>
          <w:rStyle w:val="sssh"/>
          <w:szCs w:val="26"/>
        </w:rPr>
        <w:t>administrative agency</w:t>
      </w:r>
      <w:r w:rsidR="00B50010" w:rsidRPr="00D81D5A">
        <w:rPr>
          <w:rStyle w:val="ssrfcpassagedeactivated"/>
          <w:szCs w:val="26"/>
        </w:rPr>
        <w:t xml:space="preserve"> ‘has only as much rulemaking power as is invested in it by statute.’  [Citations.]  Regulations that are inconsistent with a statute, alter or amend it, or enlarge or impair its scope are void”]</w:t>
      </w:r>
      <w:r w:rsidR="00853774" w:rsidRPr="00D81D5A">
        <w:rPr>
          <w:rStyle w:val="ssrfcpassagedeactivated"/>
          <w:szCs w:val="26"/>
        </w:rPr>
        <w:t>.)</w:t>
      </w:r>
    </w:p>
    <w:p w14:paraId="4820D3FA" w14:textId="77777777" w:rsidR="005A17AF" w:rsidRPr="00D81D5A" w:rsidRDefault="00DF398B" w:rsidP="00D81D5A">
      <w:pPr>
        <w:ind w:firstLine="720"/>
        <w:rPr>
          <w:szCs w:val="26"/>
        </w:rPr>
      </w:pPr>
      <w:r w:rsidRPr="00D81D5A">
        <w:rPr>
          <w:szCs w:val="26"/>
        </w:rPr>
        <w:t>Accordingly, i</w:t>
      </w:r>
      <w:r w:rsidR="00B50010" w:rsidRPr="00D81D5A">
        <w:rPr>
          <w:szCs w:val="26"/>
        </w:rPr>
        <w:t>t is t</w:t>
      </w:r>
      <w:r w:rsidR="00DE7376" w:rsidRPr="00D81D5A">
        <w:rPr>
          <w:szCs w:val="26"/>
        </w:rPr>
        <w:t xml:space="preserve">he Legislature </w:t>
      </w:r>
      <w:r w:rsidR="00B50010" w:rsidRPr="00D81D5A">
        <w:rPr>
          <w:szCs w:val="26"/>
        </w:rPr>
        <w:t xml:space="preserve">that </w:t>
      </w:r>
      <w:r w:rsidR="00DE7376" w:rsidRPr="00D81D5A">
        <w:rPr>
          <w:szCs w:val="26"/>
        </w:rPr>
        <w:t xml:space="preserve">has </w:t>
      </w:r>
      <w:r w:rsidR="006D2BB7" w:rsidRPr="00D81D5A">
        <w:rPr>
          <w:szCs w:val="26"/>
        </w:rPr>
        <w:t>final</w:t>
      </w:r>
      <w:r w:rsidR="00DE7376" w:rsidRPr="00D81D5A">
        <w:rPr>
          <w:szCs w:val="26"/>
        </w:rPr>
        <w:t xml:space="preserve"> authority to </w:t>
      </w:r>
      <w:r w:rsidRPr="00D81D5A">
        <w:rPr>
          <w:szCs w:val="26"/>
        </w:rPr>
        <w:t>establish</w:t>
      </w:r>
      <w:r w:rsidR="00B50010" w:rsidRPr="00D81D5A">
        <w:rPr>
          <w:szCs w:val="26"/>
        </w:rPr>
        <w:t xml:space="preserve"> the </w:t>
      </w:r>
      <w:r w:rsidR="008A4672" w:rsidRPr="00D81D5A">
        <w:rPr>
          <w:szCs w:val="26"/>
        </w:rPr>
        <w:t>provisions</w:t>
      </w:r>
      <w:r w:rsidR="00DE7376" w:rsidRPr="00D81D5A">
        <w:rPr>
          <w:szCs w:val="26"/>
        </w:rPr>
        <w:t xml:space="preserve"> governing the award of pension benefits under CERL.  Further, it is the judiciary, not individual retirement boards, that ha</w:t>
      </w:r>
      <w:r w:rsidR="003F28F0" w:rsidRPr="00D81D5A">
        <w:rPr>
          <w:szCs w:val="26"/>
        </w:rPr>
        <w:t>s</w:t>
      </w:r>
      <w:r w:rsidR="00DE7376" w:rsidRPr="00D81D5A">
        <w:rPr>
          <w:szCs w:val="26"/>
        </w:rPr>
        <w:t xml:space="preserve"> “final responsibility” for the interpretation of th</w:t>
      </w:r>
      <w:r w:rsidR="006D2BB7" w:rsidRPr="00D81D5A">
        <w:rPr>
          <w:szCs w:val="26"/>
        </w:rPr>
        <w:t>e</w:t>
      </w:r>
      <w:r w:rsidR="00DE7376" w:rsidRPr="00D81D5A">
        <w:rPr>
          <w:szCs w:val="26"/>
        </w:rPr>
        <w:t xml:space="preserve"> </w:t>
      </w:r>
      <w:r w:rsidR="006D2BB7" w:rsidRPr="00D81D5A">
        <w:rPr>
          <w:szCs w:val="26"/>
        </w:rPr>
        <w:t>L</w:t>
      </w:r>
      <w:r w:rsidR="00DE7376" w:rsidRPr="00D81D5A">
        <w:rPr>
          <w:szCs w:val="26"/>
        </w:rPr>
        <w:t>egislat</w:t>
      </w:r>
      <w:r w:rsidR="006D2BB7" w:rsidRPr="00D81D5A">
        <w:rPr>
          <w:szCs w:val="26"/>
        </w:rPr>
        <w:t>ure’s terms</w:t>
      </w:r>
      <w:r w:rsidR="00DE7376" w:rsidRPr="00D81D5A">
        <w:rPr>
          <w:szCs w:val="26"/>
        </w:rPr>
        <w:t>.  (</w:t>
      </w:r>
      <w:proofErr w:type="spellStart"/>
      <w:r w:rsidR="00DE7376" w:rsidRPr="00D81D5A">
        <w:rPr>
          <w:i/>
          <w:szCs w:val="26"/>
        </w:rPr>
        <w:t>Terhume</w:t>
      </w:r>
      <w:proofErr w:type="spellEnd"/>
      <w:r w:rsidR="00DE7376" w:rsidRPr="00D81D5A">
        <w:rPr>
          <w:i/>
          <w:szCs w:val="26"/>
        </w:rPr>
        <w:t xml:space="preserve"> v. Superior Court </w:t>
      </w:r>
      <w:r w:rsidR="00DE7376" w:rsidRPr="00D81D5A">
        <w:rPr>
          <w:szCs w:val="26"/>
        </w:rPr>
        <w:t>(1998) 65</w:t>
      </w:r>
      <w:r w:rsidR="005D2BDE" w:rsidRPr="00D81D5A">
        <w:rPr>
          <w:szCs w:val="26"/>
        </w:rPr>
        <w:t> </w:t>
      </w:r>
      <w:r w:rsidR="00DE7376" w:rsidRPr="00D81D5A">
        <w:rPr>
          <w:szCs w:val="26"/>
        </w:rPr>
        <w:t>Cal.App.4th 864, 873.)</w:t>
      </w:r>
      <w:r w:rsidR="00412258" w:rsidRPr="00D81D5A">
        <w:rPr>
          <w:szCs w:val="26"/>
        </w:rPr>
        <w:t xml:space="preserve">  </w:t>
      </w:r>
      <w:r w:rsidR="005A17AF" w:rsidRPr="00D81D5A">
        <w:rPr>
          <w:szCs w:val="26"/>
        </w:rPr>
        <w:t xml:space="preserve">For that reason, although </w:t>
      </w:r>
      <w:r w:rsidR="00D400C8" w:rsidRPr="00D81D5A">
        <w:rPr>
          <w:szCs w:val="26"/>
        </w:rPr>
        <w:t>county retirement board</w:t>
      </w:r>
      <w:r w:rsidRPr="00D81D5A">
        <w:rPr>
          <w:szCs w:val="26"/>
        </w:rPr>
        <w:t>s</w:t>
      </w:r>
      <w:r w:rsidR="00D400C8" w:rsidRPr="00D81D5A">
        <w:rPr>
          <w:szCs w:val="26"/>
        </w:rPr>
        <w:t xml:space="preserve"> ha</w:t>
      </w:r>
      <w:r w:rsidRPr="00D81D5A">
        <w:rPr>
          <w:szCs w:val="26"/>
        </w:rPr>
        <w:t>ve</w:t>
      </w:r>
      <w:r w:rsidR="00D400C8" w:rsidRPr="00D81D5A">
        <w:rPr>
          <w:szCs w:val="26"/>
        </w:rPr>
        <w:t xml:space="preserve"> the authority to interpret CERL’s provision</w:t>
      </w:r>
      <w:r w:rsidR="006D2BB7" w:rsidRPr="00D81D5A">
        <w:rPr>
          <w:szCs w:val="26"/>
        </w:rPr>
        <w:t>s</w:t>
      </w:r>
      <w:r w:rsidR="00414F6F" w:rsidRPr="00D81D5A">
        <w:rPr>
          <w:szCs w:val="26"/>
        </w:rPr>
        <w:t xml:space="preserve"> as necessary to perform </w:t>
      </w:r>
      <w:r w:rsidRPr="00D81D5A">
        <w:rPr>
          <w:szCs w:val="26"/>
        </w:rPr>
        <w:t>their</w:t>
      </w:r>
      <w:r w:rsidR="00414F6F" w:rsidRPr="00D81D5A">
        <w:rPr>
          <w:szCs w:val="26"/>
        </w:rPr>
        <w:t xml:space="preserve"> administrative function</w:t>
      </w:r>
      <w:r w:rsidRPr="00D81D5A">
        <w:rPr>
          <w:szCs w:val="26"/>
        </w:rPr>
        <w:t>s</w:t>
      </w:r>
      <w:r w:rsidR="003F28F0" w:rsidRPr="00D81D5A">
        <w:rPr>
          <w:szCs w:val="26"/>
        </w:rPr>
        <w:t>, t</w:t>
      </w:r>
      <w:r w:rsidRPr="00D81D5A">
        <w:rPr>
          <w:szCs w:val="26"/>
        </w:rPr>
        <w:t>hey</w:t>
      </w:r>
      <w:r w:rsidR="005A17AF" w:rsidRPr="00D81D5A">
        <w:rPr>
          <w:szCs w:val="26"/>
        </w:rPr>
        <w:t xml:space="preserve"> ha</w:t>
      </w:r>
      <w:r w:rsidRPr="00D81D5A">
        <w:rPr>
          <w:szCs w:val="26"/>
        </w:rPr>
        <w:t>ve</w:t>
      </w:r>
      <w:r w:rsidR="005A17AF" w:rsidRPr="00D81D5A">
        <w:rPr>
          <w:szCs w:val="26"/>
        </w:rPr>
        <w:t xml:space="preserve"> no</w:t>
      </w:r>
      <w:r w:rsidR="003F28F0" w:rsidRPr="00D81D5A">
        <w:rPr>
          <w:szCs w:val="26"/>
        </w:rPr>
        <w:t xml:space="preserve"> authority </w:t>
      </w:r>
      <w:r w:rsidR="005A17AF" w:rsidRPr="00D81D5A">
        <w:rPr>
          <w:szCs w:val="26"/>
        </w:rPr>
        <w:t xml:space="preserve">to </w:t>
      </w:r>
      <w:r w:rsidR="0040224B" w:rsidRPr="00D81D5A">
        <w:rPr>
          <w:szCs w:val="26"/>
        </w:rPr>
        <w:t xml:space="preserve">adopt or act on </w:t>
      </w:r>
      <w:r w:rsidR="003F28F0" w:rsidRPr="00D81D5A">
        <w:rPr>
          <w:szCs w:val="26"/>
        </w:rPr>
        <w:t>an interpretation</w:t>
      </w:r>
      <w:r w:rsidR="005A17AF" w:rsidRPr="00D81D5A">
        <w:rPr>
          <w:szCs w:val="26"/>
        </w:rPr>
        <w:t xml:space="preserve"> that</w:t>
      </w:r>
      <w:r w:rsidR="003F28F0" w:rsidRPr="00D81D5A">
        <w:rPr>
          <w:szCs w:val="26"/>
        </w:rPr>
        <w:t xml:space="preserve"> is inconsistent with </w:t>
      </w:r>
      <w:r w:rsidRPr="00D81D5A">
        <w:rPr>
          <w:szCs w:val="26"/>
        </w:rPr>
        <w:t xml:space="preserve">those </w:t>
      </w:r>
      <w:r w:rsidR="003F28F0" w:rsidRPr="00D81D5A">
        <w:rPr>
          <w:szCs w:val="26"/>
        </w:rPr>
        <w:t xml:space="preserve">provisions.  </w:t>
      </w:r>
      <w:r w:rsidR="00412258" w:rsidRPr="00D81D5A">
        <w:rPr>
          <w:szCs w:val="26"/>
        </w:rPr>
        <w:t xml:space="preserve">An administrative action that is unauthorized or inconsistent with governing legislation is </w:t>
      </w:r>
      <w:r w:rsidR="00C267D7" w:rsidRPr="00D81D5A">
        <w:rPr>
          <w:szCs w:val="26"/>
        </w:rPr>
        <w:t>invalid</w:t>
      </w:r>
      <w:r w:rsidR="00412258" w:rsidRPr="00D81D5A">
        <w:rPr>
          <w:szCs w:val="26"/>
        </w:rPr>
        <w:t>.  (</w:t>
      </w:r>
      <w:proofErr w:type="spellStart"/>
      <w:r w:rsidR="00540E1C">
        <w:rPr>
          <w:i/>
          <w:iCs/>
          <w:szCs w:val="26"/>
        </w:rPr>
        <w:t>Terhume</w:t>
      </w:r>
      <w:proofErr w:type="spellEnd"/>
      <w:r w:rsidR="00540E1C">
        <w:rPr>
          <w:szCs w:val="26"/>
        </w:rPr>
        <w:t>, at p. 873.</w:t>
      </w:r>
      <w:r w:rsidR="003F28F0" w:rsidRPr="00D81D5A">
        <w:rPr>
          <w:szCs w:val="26"/>
        </w:rPr>
        <w:t>)</w:t>
      </w:r>
    </w:p>
    <w:p w14:paraId="2E70F051" w14:textId="77777777" w:rsidR="0090771E" w:rsidRPr="00D81D5A" w:rsidRDefault="0090771E" w:rsidP="00D81D5A">
      <w:pPr>
        <w:pStyle w:val="Heading3"/>
      </w:pPr>
      <w:r w:rsidRPr="00D81D5A">
        <w:t xml:space="preserve">2.  County </w:t>
      </w:r>
      <w:r w:rsidR="00A31800" w:rsidRPr="00D81D5A">
        <w:t xml:space="preserve">retirement boards </w:t>
      </w:r>
      <w:r w:rsidR="00060AC6" w:rsidRPr="00D81D5A">
        <w:t>can</w:t>
      </w:r>
      <w:r w:rsidRPr="00D81D5A">
        <w:t xml:space="preserve">not </w:t>
      </w:r>
      <w:r w:rsidR="00A31800" w:rsidRPr="00D81D5A">
        <w:t>confer</w:t>
      </w:r>
      <w:r w:rsidRPr="00D81D5A">
        <w:t xml:space="preserve"> a contractual right to the calculation of </w:t>
      </w:r>
      <w:r w:rsidR="00A31800" w:rsidRPr="00D81D5A">
        <w:t xml:space="preserve">employee </w:t>
      </w:r>
      <w:r w:rsidRPr="00D81D5A">
        <w:t>pension benefits in a manner inconsistent with CERL</w:t>
      </w:r>
    </w:p>
    <w:p w14:paraId="3DC02CBE" w14:textId="77777777" w:rsidR="00E5580D" w:rsidRPr="00D81D5A" w:rsidRDefault="00134E41" w:rsidP="00D81D5A">
      <w:pPr>
        <w:pStyle w:val="FootnoteText"/>
        <w:spacing w:line="400" w:lineRule="exact"/>
      </w:pPr>
      <w:r w:rsidRPr="00D81D5A">
        <w:tab/>
      </w:r>
      <w:r w:rsidR="008E2884" w:rsidRPr="00D81D5A">
        <w:t>Plaintiffs</w:t>
      </w:r>
      <w:r w:rsidR="00F93993" w:rsidRPr="00D81D5A">
        <w:t xml:space="preserve"> argue</w:t>
      </w:r>
      <w:r w:rsidR="00A22511" w:rsidRPr="00D81D5A">
        <w:t xml:space="preserve"> </w:t>
      </w:r>
      <w:r w:rsidR="00F93993" w:rsidRPr="00D81D5A">
        <w:t>that</w:t>
      </w:r>
      <w:r w:rsidR="00A22511" w:rsidRPr="00D81D5A">
        <w:t xml:space="preserve">, by virtue of the settlement agreements, existing county employees </w:t>
      </w:r>
      <w:r w:rsidR="00F93993" w:rsidRPr="00D81D5A">
        <w:t>ha</w:t>
      </w:r>
      <w:r w:rsidR="004039FB" w:rsidRPr="00D81D5A">
        <w:t>ve</w:t>
      </w:r>
      <w:r w:rsidR="00F93993" w:rsidRPr="00D81D5A">
        <w:t xml:space="preserve"> </w:t>
      </w:r>
      <w:r w:rsidR="00A22511" w:rsidRPr="00D81D5A">
        <w:t>a</w:t>
      </w:r>
      <w:r w:rsidR="00F93993" w:rsidRPr="00D81D5A">
        <w:t xml:space="preserve">n express contractual right to the continued inclusion in compensation earnable of </w:t>
      </w:r>
      <w:r w:rsidR="00727E7B" w:rsidRPr="00D81D5A">
        <w:t>certain</w:t>
      </w:r>
      <w:r w:rsidR="00F93993" w:rsidRPr="00D81D5A">
        <w:t xml:space="preserve"> items otherwise excluded by PEPRA’s amendments</w:t>
      </w:r>
      <w:r w:rsidR="00414F6F" w:rsidRPr="00D81D5A">
        <w:t>.</w:t>
      </w:r>
      <w:r w:rsidR="00A22511" w:rsidRPr="00D81D5A">
        <w:t xml:space="preserve">  </w:t>
      </w:r>
      <w:r w:rsidR="00D47801" w:rsidRPr="00D81D5A">
        <w:t xml:space="preserve">In order to find </w:t>
      </w:r>
      <w:r w:rsidR="00A22511" w:rsidRPr="00D81D5A">
        <w:t>such a right</w:t>
      </w:r>
      <w:r w:rsidR="00D47801" w:rsidRPr="00D81D5A">
        <w:t xml:space="preserve">, the settlement agreements must be interpreted to require that their </w:t>
      </w:r>
      <w:r w:rsidR="00727E7B" w:rsidRPr="00D81D5A">
        <w:t>classification</w:t>
      </w:r>
      <w:r w:rsidR="004039FB" w:rsidRPr="00D81D5A">
        <w:t>s</w:t>
      </w:r>
      <w:r w:rsidR="0040224B" w:rsidRPr="00D81D5A">
        <w:t xml:space="preserve"> of compensation</w:t>
      </w:r>
      <w:r w:rsidR="00A22511" w:rsidRPr="00D81D5A">
        <w:t xml:space="preserve"> </w:t>
      </w:r>
      <w:r w:rsidR="00727E7B" w:rsidRPr="00D81D5A">
        <w:t xml:space="preserve">be </w:t>
      </w:r>
      <w:r w:rsidR="00D47801" w:rsidRPr="00D81D5A">
        <w:t>applied</w:t>
      </w:r>
      <w:r w:rsidR="004039FB" w:rsidRPr="00D81D5A">
        <w:t xml:space="preserve"> </w:t>
      </w:r>
      <w:r w:rsidR="00D47801" w:rsidRPr="00D81D5A">
        <w:t>in calculating the pensions of</w:t>
      </w:r>
      <w:r w:rsidR="00E10465" w:rsidRPr="00D81D5A">
        <w:t xml:space="preserve"> </w:t>
      </w:r>
      <w:r w:rsidR="00E63578" w:rsidRPr="00D81D5A">
        <w:t xml:space="preserve">existing </w:t>
      </w:r>
      <w:r w:rsidR="00D47801" w:rsidRPr="00D81D5A">
        <w:t xml:space="preserve">employees, </w:t>
      </w:r>
      <w:r w:rsidR="00727E7B" w:rsidRPr="00D81D5A">
        <w:t>regard</w:t>
      </w:r>
      <w:r w:rsidR="00E10465" w:rsidRPr="00D81D5A">
        <w:t>less</w:t>
      </w:r>
      <w:r w:rsidR="00727E7B" w:rsidRPr="00D81D5A">
        <w:t xml:space="preserve"> o</w:t>
      </w:r>
      <w:r w:rsidR="00E10465" w:rsidRPr="00D81D5A">
        <w:t>f</w:t>
      </w:r>
      <w:r w:rsidR="000134F2" w:rsidRPr="00D81D5A">
        <w:t xml:space="preserve"> </w:t>
      </w:r>
      <w:r w:rsidR="004039FB" w:rsidRPr="00D81D5A">
        <w:t>subsequent</w:t>
      </w:r>
      <w:r w:rsidR="00D47801" w:rsidRPr="00D81D5A">
        <w:t xml:space="preserve"> statutory amendments or judicial decisions.  The settlement agreements </w:t>
      </w:r>
      <w:r w:rsidR="00C267D7" w:rsidRPr="00D81D5A">
        <w:t>are silent on this issue</w:t>
      </w:r>
      <w:r w:rsidR="00727E7B" w:rsidRPr="00D81D5A">
        <w:t xml:space="preserve">. </w:t>
      </w:r>
      <w:r w:rsidR="00A22511" w:rsidRPr="00D81D5A">
        <w:t xml:space="preserve"> </w:t>
      </w:r>
      <w:r w:rsidR="00727E7B" w:rsidRPr="00D81D5A">
        <w:t xml:space="preserve">None of them </w:t>
      </w:r>
      <w:r w:rsidR="00E10465" w:rsidRPr="00D81D5A">
        <w:t xml:space="preserve">contains a provision </w:t>
      </w:r>
      <w:r w:rsidR="004039FB" w:rsidRPr="00D81D5A">
        <w:t>anticipat</w:t>
      </w:r>
      <w:r w:rsidR="00E10465" w:rsidRPr="00D81D5A">
        <w:t>ing</w:t>
      </w:r>
      <w:r w:rsidR="00727E7B" w:rsidRPr="00D81D5A">
        <w:t xml:space="preserve"> the possibility that </w:t>
      </w:r>
      <w:r w:rsidR="004039FB" w:rsidRPr="00D81D5A">
        <w:t xml:space="preserve">CERL’s </w:t>
      </w:r>
      <w:r w:rsidR="00727E7B" w:rsidRPr="00D81D5A">
        <w:t>definition of “compensation earnable” could be legislatively amended in a manner inconsistent with th</w:t>
      </w:r>
      <w:r w:rsidR="004039FB" w:rsidRPr="00D81D5A">
        <w:t>eir</w:t>
      </w:r>
      <w:r w:rsidR="00727E7B" w:rsidRPr="00D81D5A">
        <w:t xml:space="preserve"> c</w:t>
      </w:r>
      <w:r w:rsidR="004039FB" w:rsidRPr="00D81D5A">
        <w:t>lassificati</w:t>
      </w:r>
      <w:r w:rsidR="00727E7B" w:rsidRPr="00D81D5A">
        <w:t>ons or</w:t>
      </w:r>
      <w:r w:rsidR="000134F2" w:rsidRPr="00D81D5A">
        <w:t xml:space="preserve"> address</w:t>
      </w:r>
      <w:r w:rsidR="00E10465" w:rsidRPr="00D81D5A">
        <w:t>ing</w:t>
      </w:r>
      <w:r w:rsidR="000134F2" w:rsidRPr="00D81D5A">
        <w:t xml:space="preserve"> </w:t>
      </w:r>
      <w:r w:rsidR="00E5580D" w:rsidRPr="00D81D5A">
        <w:t>the fate of th</w:t>
      </w:r>
      <w:r w:rsidR="0040224B" w:rsidRPr="00D81D5A">
        <w:t>os</w:t>
      </w:r>
      <w:r w:rsidR="00E5580D" w:rsidRPr="00D81D5A">
        <w:t>e c</w:t>
      </w:r>
      <w:r w:rsidR="004039FB" w:rsidRPr="00D81D5A">
        <w:t>lassificat</w:t>
      </w:r>
      <w:r w:rsidR="00A22511" w:rsidRPr="00D81D5A">
        <w:t>ions</w:t>
      </w:r>
      <w:r w:rsidR="00E5580D" w:rsidRPr="00D81D5A">
        <w:t xml:space="preserve"> in the event of legislative change or contrary judicial decision.</w:t>
      </w:r>
    </w:p>
    <w:p w14:paraId="10813C49" w14:textId="45B5A93B" w:rsidR="00E5580D" w:rsidRPr="00D81D5A" w:rsidRDefault="00E5580D" w:rsidP="00D81D5A">
      <w:r w:rsidRPr="00D81D5A">
        <w:tab/>
      </w:r>
      <w:r w:rsidR="00F96638" w:rsidRPr="00D81D5A">
        <w:t>It is a commonplace that “</w:t>
      </w:r>
      <w:r w:rsidR="008049F0" w:rsidRPr="00D81D5A">
        <w:t>[a]</w:t>
      </w:r>
      <w:r w:rsidR="00F96638" w:rsidRPr="00D81D5A">
        <w:rPr>
          <w:szCs w:val="26"/>
        </w:rPr>
        <w:t xml:space="preserve"> contract must be lawful [citation], i.e., it must not be in conflict either with </w:t>
      </w:r>
      <w:r w:rsidR="00F96638" w:rsidRPr="00D81D5A">
        <w:rPr>
          <w:rStyle w:val="sssh"/>
          <w:szCs w:val="26"/>
        </w:rPr>
        <w:t>express statutes</w:t>
      </w:r>
      <w:r w:rsidR="00F96638" w:rsidRPr="00D81D5A">
        <w:rPr>
          <w:szCs w:val="26"/>
        </w:rPr>
        <w:t xml:space="preserve"> or public policy.</w:t>
      </w:r>
      <w:r w:rsidR="00E43ADF" w:rsidRPr="00D81D5A">
        <w:rPr>
          <w:szCs w:val="26"/>
        </w:rPr>
        <w:t>”</w:t>
      </w:r>
      <w:r w:rsidR="00F96638" w:rsidRPr="00D81D5A">
        <w:rPr>
          <w:szCs w:val="26"/>
        </w:rPr>
        <w:t xml:space="preserve">  (</w:t>
      </w:r>
      <w:proofErr w:type="spellStart"/>
      <w:r w:rsidR="00F96638" w:rsidRPr="00D81D5A">
        <w:rPr>
          <w:i/>
          <w:szCs w:val="26"/>
        </w:rPr>
        <w:t>Vierra</w:t>
      </w:r>
      <w:proofErr w:type="spellEnd"/>
      <w:r w:rsidR="00F96638" w:rsidRPr="00D81D5A">
        <w:rPr>
          <w:i/>
          <w:szCs w:val="26"/>
        </w:rPr>
        <w:t xml:space="preserve"> v. Workers’ Comp. Appeals Bd</w:t>
      </w:r>
      <w:r w:rsidR="00F96638" w:rsidRPr="00D81D5A">
        <w:rPr>
          <w:szCs w:val="26"/>
        </w:rPr>
        <w:t xml:space="preserve">. (2007) 154 Cal.App.4th 1142, 1148; </w:t>
      </w:r>
      <w:r w:rsidR="00540E1C">
        <w:rPr>
          <w:szCs w:val="26"/>
        </w:rPr>
        <w:t xml:space="preserve">see </w:t>
      </w:r>
      <w:r w:rsidR="00F96638" w:rsidRPr="00D81D5A">
        <w:rPr>
          <w:szCs w:val="26"/>
        </w:rPr>
        <w:t>Civ. Code, §</w:t>
      </w:r>
      <w:r w:rsidR="008049F0" w:rsidRPr="00D81D5A">
        <w:rPr>
          <w:szCs w:val="26"/>
        </w:rPr>
        <w:t> </w:t>
      </w:r>
      <w:r w:rsidR="00F96638" w:rsidRPr="00D81D5A">
        <w:rPr>
          <w:szCs w:val="26"/>
        </w:rPr>
        <w:t>1550.)</w:t>
      </w:r>
      <w:r w:rsidR="00F96638" w:rsidRPr="00D81D5A">
        <w:rPr>
          <w:rFonts w:cs="Helvetica"/>
          <w:color w:val="373739"/>
          <w:szCs w:val="21"/>
        </w:rPr>
        <w:t xml:space="preserve">  </w:t>
      </w:r>
      <w:r w:rsidR="002A7B6A" w:rsidRPr="00D81D5A">
        <w:t>California decisions have</w:t>
      </w:r>
      <w:r w:rsidR="00FE639B" w:rsidRPr="00D81D5A">
        <w:t xml:space="preserve"> repeatedly recognized that </w:t>
      </w:r>
      <w:r w:rsidR="00F96638" w:rsidRPr="00D81D5A">
        <w:t xml:space="preserve">this principle places constraints on </w:t>
      </w:r>
      <w:r w:rsidR="00FE639B" w:rsidRPr="00D81D5A">
        <w:t>the authority of public agencies to enter into agreements</w:t>
      </w:r>
      <w:r w:rsidR="00F96638" w:rsidRPr="00D81D5A">
        <w:t xml:space="preserve">, </w:t>
      </w:r>
      <w:r w:rsidR="008049F0" w:rsidRPr="00D81D5A">
        <w:t>since those agreements are unlawful if they</w:t>
      </w:r>
      <w:r w:rsidR="00154DED" w:rsidRPr="00D81D5A">
        <w:t xml:space="preserve"> exceed </w:t>
      </w:r>
      <w:r w:rsidR="00F96638" w:rsidRPr="00D81D5A">
        <w:t xml:space="preserve">the </w:t>
      </w:r>
      <w:r w:rsidR="00FE639B" w:rsidRPr="00D81D5A">
        <w:t xml:space="preserve">agencies’ </w:t>
      </w:r>
      <w:r w:rsidR="002A7B6A" w:rsidRPr="00D81D5A">
        <w:t xml:space="preserve">procedural and </w:t>
      </w:r>
      <w:r w:rsidR="00FE639B" w:rsidRPr="00D81D5A">
        <w:t xml:space="preserve">substantive powers.  </w:t>
      </w:r>
      <w:r w:rsidR="002B414C" w:rsidRPr="00D81D5A">
        <w:t xml:space="preserve">Procedurally, an agreement cannot be used to avoid legally prescribed procedures by dictating a result that, although within an agency’s power, can be achieved only by following those procedures.  </w:t>
      </w:r>
      <w:r w:rsidR="003E0CE0" w:rsidRPr="00D81D5A">
        <w:t xml:space="preserve">(E.g., </w:t>
      </w:r>
      <w:r w:rsidR="003E0CE0" w:rsidRPr="00D81D5A">
        <w:rPr>
          <w:i/>
        </w:rPr>
        <w:t xml:space="preserve">City of San Diego v. California Water &amp; Telephone Co. </w:t>
      </w:r>
      <w:r w:rsidR="003E0CE0" w:rsidRPr="00D81D5A">
        <w:t>(1947) 30 Cal.2d 817, 823</w:t>
      </w:r>
      <w:r w:rsidR="00427AF8">
        <w:t>–</w:t>
      </w:r>
      <w:r w:rsidR="003E0CE0" w:rsidRPr="00D81D5A">
        <w:t>824</w:t>
      </w:r>
      <w:r w:rsidR="00762139" w:rsidRPr="00D81D5A">
        <w:rPr>
          <w:i/>
        </w:rPr>
        <w:t xml:space="preserve"> </w:t>
      </w:r>
      <w:r w:rsidR="003E0CE0" w:rsidRPr="00D81D5A">
        <w:t xml:space="preserve">[city agreement to abandon road </w:t>
      </w:r>
      <w:r w:rsidR="004039FB" w:rsidRPr="00D81D5A">
        <w:t>held</w:t>
      </w:r>
      <w:r w:rsidR="003E0CE0" w:rsidRPr="00D81D5A">
        <w:t xml:space="preserve"> void because</w:t>
      </w:r>
      <w:r w:rsidR="004039FB" w:rsidRPr="00D81D5A">
        <w:t xml:space="preserve"> the</w:t>
      </w:r>
      <w:r w:rsidR="003E0CE0" w:rsidRPr="00D81D5A">
        <w:t xml:space="preserve"> statutory procedure for abandonment</w:t>
      </w:r>
      <w:r w:rsidR="003E0301" w:rsidRPr="00D81D5A">
        <w:t>, requiring public hearings,</w:t>
      </w:r>
      <w:r w:rsidR="003E0CE0" w:rsidRPr="00D81D5A">
        <w:t xml:space="preserve"> is exclusive];</w:t>
      </w:r>
      <w:r w:rsidR="00DE2AA3" w:rsidRPr="00D81D5A">
        <w:t xml:space="preserve"> </w:t>
      </w:r>
      <w:proofErr w:type="spellStart"/>
      <w:r w:rsidR="00DE2AA3" w:rsidRPr="00D81D5A">
        <w:rPr>
          <w:i/>
        </w:rPr>
        <w:t>Trancas</w:t>
      </w:r>
      <w:proofErr w:type="spellEnd"/>
      <w:r w:rsidR="00DE2AA3" w:rsidRPr="00D81D5A">
        <w:rPr>
          <w:i/>
        </w:rPr>
        <w:t xml:space="preserve"> Property Owners Assn. v. City of Malibu </w:t>
      </w:r>
      <w:r w:rsidR="00DE2AA3" w:rsidRPr="00D81D5A">
        <w:t>(2006) 138</w:t>
      </w:r>
      <w:r w:rsidR="00C110DF">
        <w:t> </w:t>
      </w:r>
      <w:r w:rsidR="00DE2AA3" w:rsidRPr="00D81D5A">
        <w:t>Cal.App.4th 172, 181</w:t>
      </w:r>
      <w:r w:rsidR="00427AF8">
        <w:t>–</w:t>
      </w:r>
      <w:r w:rsidR="00DE2AA3" w:rsidRPr="00D81D5A">
        <w:t>18</w:t>
      </w:r>
      <w:r w:rsidR="004D5876">
        <w:t>3</w:t>
      </w:r>
      <w:r w:rsidR="00DE2AA3" w:rsidRPr="00D81D5A">
        <w:t xml:space="preserve"> [city cannot, in </w:t>
      </w:r>
      <w:r w:rsidR="00154DED" w:rsidRPr="00D81D5A">
        <w:t xml:space="preserve">litigation </w:t>
      </w:r>
      <w:r w:rsidR="00DE2AA3" w:rsidRPr="00D81D5A">
        <w:t xml:space="preserve">settlement agreement, avoid </w:t>
      </w:r>
      <w:r w:rsidR="003E0301" w:rsidRPr="00D81D5A">
        <w:t xml:space="preserve">the </w:t>
      </w:r>
      <w:r w:rsidR="00DE2AA3" w:rsidRPr="00D81D5A">
        <w:t xml:space="preserve">requirement of </w:t>
      </w:r>
      <w:r w:rsidR="003E0301" w:rsidRPr="00D81D5A">
        <w:t xml:space="preserve">a </w:t>
      </w:r>
      <w:r w:rsidR="00DE2AA3" w:rsidRPr="00D81D5A">
        <w:t xml:space="preserve">public hearing and findings by </w:t>
      </w:r>
      <w:r w:rsidR="003E0301" w:rsidRPr="00D81D5A">
        <w:t>agreei</w:t>
      </w:r>
      <w:r w:rsidR="00DE2AA3" w:rsidRPr="00D81D5A">
        <w:t>ng</w:t>
      </w:r>
      <w:r w:rsidR="003E0301" w:rsidRPr="00D81D5A">
        <w:t xml:space="preserve"> to</w:t>
      </w:r>
      <w:r w:rsidR="00DE2AA3" w:rsidRPr="00D81D5A">
        <w:t xml:space="preserve"> the functional equivalent of a zoning variance].)</w:t>
      </w:r>
      <w:r w:rsidR="003E0CE0" w:rsidRPr="00D81D5A">
        <w:t xml:space="preserve"> </w:t>
      </w:r>
      <w:r w:rsidR="00DE2AA3" w:rsidRPr="00D81D5A">
        <w:t xml:space="preserve"> </w:t>
      </w:r>
      <w:r w:rsidR="003E0CE0" w:rsidRPr="00D81D5A">
        <w:t>Substantively, an agency cannot agree to a result that is otherwise beyond its power</w:t>
      </w:r>
      <w:r w:rsidR="00154DED" w:rsidRPr="00D81D5A">
        <w:t xml:space="preserve"> to achieve</w:t>
      </w:r>
      <w:r w:rsidR="003E0CE0" w:rsidRPr="00D81D5A">
        <w:t xml:space="preserve">.  </w:t>
      </w:r>
      <w:r w:rsidR="00750394" w:rsidRPr="00D81D5A">
        <w:t xml:space="preserve">(E.g., </w:t>
      </w:r>
      <w:r w:rsidR="00CE5BDB" w:rsidRPr="00D81D5A">
        <w:rPr>
          <w:i/>
        </w:rPr>
        <w:t xml:space="preserve">Summit Media LLC v. City of Los Angeles </w:t>
      </w:r>
      <w:r w:rsidR="00CE5BDB" w:rsidRPr="00D81D5A">
        <w:t>(2012) 211</w:t>
      </w:r>
      <w:r w:rsidR="00C110DF">
        <w:t> </w:t>
      </w:r>
      <w:r w:rsidR="00CE5BDB" w:rsidRPr="00D81D5A">
        <w:t>Cal.App.4th 921, 936</w:t>
      </w:r>
      <w:r w:rsidR="00427AF8">
        <w:t>–</w:t>
      </w:r>
      <w:r w:rsidR="004D5876">
        <w:t>937</w:t>
      </w:r>
      <w:r w:rsidR="00154DED" w:rsidRPr="00D81D5A">
        <w:t xml:space="preserve"> </w:t>
      </w:r>
      <w:r w:rsidR="00CE5BDB" w:rsidRPr="00D81D5A">
        <w:t>[</w:t>
      </w:r>
      <w:r w:rsidR="00F96638" w:rsidRPr="00D81D5A">
        <w:t>c</w:t>
      </w:r>
      <w:r w:rsidR="00CE5BDB" w:rsidRPr="00D81D5A">
        <w:t xml:space="preserve">ity cannot agree to exempt party from otherwise applicable ordinances]; </w:t>
      </w:r>
      <w:r w:rsidR="00652542" w:rsidRPr="00D81D5A">
        <w:rPr>
          <w:i/>
        </w:rPr>
        <w:t>Midway Orchards v. C</w:t>
      </w:r>
      <w:r w:rsidR="004D5876">
        <w:rPr>
          <w:i/>
        </w:rPr>
        <w:t>oun</w:t>
      </w:r>
      <w:r w:rsidR="00652542" w:rsidRPr="00D81D5A">
        <w:rPr>
          <w:i/>
        </w:rPr>
        <w:t xml:space="preserve">ty of Butte </w:t>
      </w:r>
      <w:r w:rsidR="00652542" w:rsidRPr="00D81D5A">
        <w:t>(1990) 220</w:t>
      </w:r>
      <w:r w:rsidR="009D1B95">
        <w:t> </w:t>
      </w:r>
      <w:r w:rsidR="00652542" w:rsidRPr="00D81D5A">
        <w:t xml:space="preserve">Cal.App.3d 765, 783 [city cannot by agreement approve a real estate development that is inconsistent with </w:t>
      </w:r>
      <w:r w:rsidR="00154DED" w:rsidRPr="00D81D5A">
        <w:t>its</w:t>
      </w:r>
      <w:r w:rsidR="00652542" w:rsidRPr="00D81D5A">
        <w:t xml:space="preserve"> general plan].) </w:t>
      </w:r>
      <w:r w:rsidR="00CE5BDB" w:rsidRPr="00D81D5A">
        <w:t xml:space="preserve"> As a corollary</w:t>
      </w:r>
      <w:r w:rsidR="00652542" w:rsidRPr="00D81D5A">
        <w:t xml:space="preserve"> of this principle</w:t>
      </w:r>
      <w:r w:rsidR="00CE5BDB" w:rsidRPr="00D81D5A">
        <w:t xml:space="preserve">, a public agency </w:t>
      </w:r>
      <w:r w:rsidR="00F96638" w:rsidRPr="00D81D5A">
        <w:t xml:space="preserve">is prohibited from </w:t>
      </w:r>
      <w:r w:rsidR="00CE5BDB" w:rsidRPr="00D81D5A">
        <w:t>enter</w:t>
      </w:r>
      <w:r w:rsidR="00F96638" w:rsidRPr="00D81D5A">
        <w:t>ing</w:t>
      </w:r>
      <w:r w:rsidR="00CE5BDB" w:rsidRPr="00D81D5A">
        <w:t xml:space="preserve"> into an agreement that constrains t</w:t>
      </w:r>
      <w:r w:rsidR="00652542" w:rsidRPr="00D81D5A">
        <w:t>he</w:t>
      </w:r>
      <w:r w:rsidR="00CE5BDB" w:rsidRPr="00D81D5A">
        <w:t xml:space="preserve"> future exercise of its legislative or police powers.  (</w:t>
      </w:r>
      <w:proofErr w:type="spellStart"/>
      <w:r w:rsidR="00154DED" w:rsidRPr="00D81D5A">
        <w:rPr>
          <w:i/>
        </w:rPr>
        <w:t>Avco</w:t>
      </w:r>
      <w:proofErr w:type="spellEnd"/>
      <w:r w:rsidR="0085631D" w:rsidRPr="00D81D5A">
        <w:rPr>
          <w:iCs/>
        </w:rPr>
        <w:t xml:space="preserve">, </w:t>
      </w:r>
      <w:r w:rsidR="0085631D" w:rsidRPr="00D81D5A">
        <w:rPr>
          <w:i/>
        </w:rPr>
        <w:t>supra</w:t>
      </w:r>
      <w:r w:rsidR="0085631D" w:rsidRPr="00D81D5A">
        <w:rPr>
          <w:iCs/>
        </w:rPr>
        <w:t>,</w:t>
      </w:r>
      <w:r w:rsidR="00154DED" w:rsidRPr="00D81D5A">
        <w:rPr>
          <w:i/>
        </w:rPr>
        <w:t xml:space="preserve"> </w:t>
      </w:r>
      <w:r w:rsidR="00154DED" w:rsidRPr="00D81D5A">
        <w:t>17</w:t>
      </w:r>
      <w:r w:rsidR="009D1B95">
        <w:t> </w:t>
      </w:r>
      <w:r w:rsidR="00154DED" w:rsidRPr="00D81D5A">
        <w:t xml:space="preserve">Cal.3d </w:t>
      </w:r>
      <w:r w:rsidR="0085631D" w:rsidRPr="00D81D5A">
        <w:t>at p.</w:t>
      </w:r>
      <w:r w:rsidR="00E33818">
        <w:t> </w:t>
      </w:r>
      <w:r w:rsidR="00154DED" w:rsidRPr="00D81D5A">
        <w:t xml:space="preserve">800; </w:t>
      </w:r>
      <w:r w:rsidR="00652542" w:rsidRPr="00D81D5A">
        <w:rPr>
          <w:i/>
        </w:rPr>
        <w:t>Summit Media</w:t>
      </w:r>
      <w:r w:rsidR="00652542" w:rsidRPr="00D81D5A">
        <w:t>, at p.</w:t>
      </w:r>
      <w:r w:rsidR="00DE2AA3" w:rsidRPr="00D81D5A">
        <w:t xml:space="preserve"> 9</w:t>
      </w:r>
      <w:r w:rsidR="004D5876">
        <w:t>34</w:t>
      </w:r>
      <w:r w:rsidR="00427AF8">
        <w:t>–</w:t>
      </w:r>
      <w:r w:rsidR="004D5876">
        <w:t>93</w:t>
      </w:r>
      <w:r w:rsidR="00DE2AA3" w:rsidRPr="00D81D5A">
        <w:t>5</w:t>
      </w:r>
      <w:r w:rsidR="00652542" w:rsidRPr="00D81D5A">
        <w:t>.)</w:t>
      </w:r>
    </w:p>
    <w:p w14:paraId="48F26608" w14:textId="77777777" w:rsidR="00827238" w:rsidRPr="00D81D5A" w:rsidRDefault="00DE2AA3" w:rsidP="00D81D5A">
      <w:r w:rsidRPr="00D81D5A">
        <w:tab/>
        <w:t xml:space="preserve">As discussed above, the duty of a county retirement board is to </w:t>
      </w:r>
      <w:r w:rsidR="00032CA3" w:rsidRPr="00D81D5A">
        <w:t xml:space="preserve">administer </w:t>
      </w:r>
      <w:r w:rsidRPr="00D81D5A">
        <w:t>CERL as enacted by the Legislature</w:t>
      </w:r>
      <w:r w:rsidR="00F96638" w:rsidRPr="00D81D5A">
        <w:t>; t</w:t>
      </w:r>
      <w:r w:rsidR="00032CA3" w:rsidRPr="00D81D5A">
        <w:t>he boards have no authority to act inconsistently with CERL.</w:t>
      </w:r>
      <w:r w:rsidRPr="00D81D5A">
        <w:t xml:space="preserve">  Accordingly, </w:t>
      </w:r>
      <w:r w:rsidR="00032CA3" w:rsidRPr="00D81D5A">
        <w:t xml:space="preserve">the county boards must comply with any </w:t>
      </w:r>
      <w:r w:rsidR="003E0301" w:rsidRPr="00D81D5A">
        <w:t>changes</w:t>
      </w:r>
      <w:r w:rsidR="00032CA3" w:rsidRPr="00D81D5A">
        <w:t xml:space="preserve"> </w:t>
      </w:r>
      <w:r w:rsidR="00F96638" w:rsidRPr="00D81D5A">
        <w:t xml:space="preserve">to CERL </w:t>
      </w:r>
      <w:r w:rsidR="00032CA3" w:rsidRPr="00D81D5A">
        <w:t>enacted by the Legislature.  They have no authority to disregard such amendments</w:t>
      </w:r>
      <w:r w:rsidR="004039FB" w:rsidRPr="00D81D5A">
        <w:t xml:space="preserve"> by</w:t>
      </w:r>
      <w:r w:rsidR="00635A84" w:rsidRPr="00D81D5A">
        <w:t xml:space="preserve"> continuing </w:t>
      </w:r>
      <w:r w:rsidR="00121207" w:rsidRPr="00D81D5A">
        <w:t xml:space="preserve">to pursue </w:t>
      </w:r>
      <w:r w:rsidR="00635A84" w:rsidRPr="00D81D5A">
        <w:t xml:space="preserve">a practice that </w:t>
      </w:r>
      <w:r w:rsidR="007F61AA" w:rsidRPr="00D81D5A">
        <w:t>is contrary to</w:t>
      </w:r>
      <w:r w:rsidR="00635A84" w:rsidRPr="00D81D5A">
        <w:t xml:space="preserve"> CERL</w:t>
      </w:r>
      <w:r w:rsidR="00032CA3" w:rsidRPr="00D81D5A">
        <w:t xml:space="preserve">.  As a consequence, any provision in the settlement agreements that </w:t>
      </w:r>
      <w:r w:rsidR="003E0301" w:rsidRPr="00D81D5A">
        <w:t xml:space="preserve">would have </w:t>
      </w:r>
      <w:r w:rsidR="00032CA3" w:rsidRPr="00D81D5A">
        <w:t>required the retirement boards to continue to apply the agreed upon characterizations in the face of contrary legislative changes or authoritative judicial interpretations would have been void</w:t>
      </w:r>
      <w:r w:rsidR="003E0301" w:rsidRPr="00D81D5A">
        <w:t>.  T</w:t>
      </w:r>
      <w:r w:rsidR="00F96638" w:rsidRPr="00D81D5A">
        <w:t xml:space="preserve">he retirement boards had no authority to enter into an agreement that would require them to </w:t>
      </w:r>
      <w:r w:rsidR="0040224B" w:rsidRPr="00D81D5A">
        <w:t>pursue a policy that conflict</w:t>
      </w:r>
      <w:r w:rsidR="00E10465" w:rsidRPr="00D81D5A">
        <w:t>s</w:t>
      </w:r>
      <w:r w:rsidR="0040224B" w:rsidRPr="00D81D5A">
        <w:t xml:space="preserve"> </w:t>
      </w:r>
      <w:r w:rsidR="00F96638" w:rsidRPr="00D81D5A">
        <w:t xml:space="preserve">with </w:t>
      </w:r>
      <w:r w:rsidR="00827238" w:rsidRPr="00D81D5A">
        <w:t>the governing legislation.</w:t>
      </w:r>
    </w:p>
    <w:p w14:paraId="16410C83" w14:textId="3A8816F9" w:rsidR="003E0301" w:rsidRPr="00D81D5A" w:rsidRDefault="00681038" w:rsidP="00D81D5A">
      <w:pPr>
        <w:ind w:firstLine="720"/>
        <w:rPr>
          <w:szCs w:val="26"/>
        </w:rPr>
      </w:pPr>
      <w:r w:rsidRPr="00450817">
        <w:rPr>
          <w:szCs w:val="27"/>
        </w:rPr>
        <w:t>Accordingly, the settlement agreements are best interpreted to require the retirement boards to implement their classifications of items of compensation only so long as those classifications are consistent with prevailing law. </w:t>
      </w:r>
      <w:r w:rsidR="00827238" w:rsidRPr="00D81D5A">
        <w:t xml:space="preserve"> (See Civ. Code, § </w:t>
      </w:r>
      <w:r w:rsidR="00CC2FCE" w:rsidRPr="00D81D5A">
        <w:t>1643 [“</w:t>
      </w:r>
      <w:r w:rsidR="00CC2FCE" w:rsidRPr="00D81D5A">
        <w:rPr>
          <w:rStyle w:val="ssrfcpassagedeactivated"/>
          <w:szCs w:val="26"/>
        </w:rPr>
        <w:t xml:space="preserve">A contract must receive such an </w:t>
      </w:r>
      <w:r w:rsidR="00CC2FCE" w:rsidRPr="00D81D5A">
        <w:rPr>
          <w:rStyle w:val="sssh"/>
          <w:szCs w:val="26"/>
        </w:rPr>
        <w:t>interpretation</w:t>
      </w:r>
      <w:r w:rsidR="00CC2FCE" w:rsidRPr="00D81D5A">
        <w:rPr>
          <w:rStyle w:val="ssrfcpassagedeactivated"/>
          <w:szCs w:val="26"/>
        </w:rPr>
        <w:t xml:space="preserve"> as will make it</w:t>
      </w:r>
      <w:r w:rsidR="00CC2FCE" w:rsidRPr="00D81D5A">
        <w:rPr>
          <w:rStyle w:val="ssrfcpassagedeactivated"/>
          <w:i/>
          <w:szCs w:val="26"/>
        </w:rPr>
        <w:t xml:space="preserve"> </w:t>
      </w:r>
      <w:r w:rsidR="00CC2FCE" w:rsidRPr="00D81D5A">
        <w:rPr>
          <w:rStyle w:val="ssit2"/>
          <w:i w:val="0"/>
          <w:szCs w:val="26"/>
        </w:rPr>
        <w:t xml:space="preserve">lawful”]; </w:t>
      </w:r>
      <w:r w:rsidR="00CC2FCE" w:rsidRPr="00D81D5A">
        <w:rPr>
          <w:rStyle w:val="ssit2"/>
          <w:szCs w:val="26"/>
        </w:rPr>
        <w:t xml:space="preserve">Edwards v. Arthur Andersen LLP </w:t>
      </w:r>
      <w:r w:rsidR="00CC2FCE" w:rsidRPr="00D81D5A">
        <w:rPr>
          <w:rStyle w:val="ssit2"/>
          <w:i w:val="0"/>
          <w:szCs w:val="26"/>
        </w:rPr>
        <w:t>(2008) 44</w:t>
      </w:r>
      <w:r w:rsidR="00E33818">
        <w:rPr>
          <w:rStyle w:val="ssit2"/>
          <w:i w:val="0"/>
          <w:szCs w:val="26"/>
        </w:rPr>
        <w:t> </w:t>
      </w:r>
      <w:r w:rsidR="00CC2FCE" w:rsidRPr="00D81D5A">
        <w:rPr>
          <w:rStyle w:val="ssit2"/>
          <w:i w:val="0"/>
          <w:szCs w:val="26"/>
        </w:rPr>
        <w:t>Cal.4th 937, 953</w:t>
      </w:r>
      <w:r w:rsidR="00427AF8">
        <w:rPr>
          <w:rStyle w:val="ssit2"/>
          <w:i w:val="0"/>
          <w:szCs w:val="26"/>
        </w:rPr>
        <w:t>–</w:t>
      </w:r>
      <w:r w:rsidR="00CC2FCE" w:rsidRPr="00D81D5A">
        <w:rPr>
          <w:rStyle w:val="ssit2"/>
          <w:i w:val="0"/>
          <w:szCs w:val="26"/>
        </w:rPr>
        <w:t>954 [same]</w:t>
      </w:r>
      <w:r w:rsidR="00762139" w:rsidRPr="00D81D5A">
        <w:rPr>
          <w:rStyle w:val="ssit2"/>
          <w:i w:val="0"/>
          <w:szCs w:val="26"/>
        </w:rPr>
        <w:t xml:space="preserve">; </w:t>
      </w:r>
      <w:proofErr w:type="spellStart"/>
      <w:r w:rsidR="00762139" w:rsidRPr="00D81D5A">
        <w:rPr>
          <w:rStyle w:val="ssit2"/>
          <w:szCs w:val="26"/>
        </w:rPr>
        <w:t>Tiedje</w:t>
      </w:r>
      <w:proofErr w:type="spellEnd"/>
      <w:r w:rsidR="00762139" w:rsidRPr="00D81D5A">
        <w:rPr>
          <w:rStyle w:val="ssit2"/>
          <w:szCs w:val="26"/>
        </w:rPr>
        <w:t xml:space="preserve"> v. Aluminum Taper Milling Co. </w:t>
      </w:r>
      <w:r w:rsidR="00762139" w:rsidRPr="00D81D5A">
        <w:rPr>
          <w:rStyle w:val="ssit2"/>
          <w:i w:val="0"/>
          <w:szCs w:val="26"/>
        </w:rPr>
        <w:t>(1956) 46 Cal.2d 450, 453</w:t>
      </w:r>
      <w:r w:rsidR="00427AF8">
        <w:rPr>
          <w:rStyle w:val="ssit2"/>
          <w:i w:val="0"/>
          <w:szCs w:val="26"/>
        </w:rPr>
        <w:t>–</w:t>
      </w:r>
      <w:r w:rsidR="00762139" w:rsidRPr="00D81D5A">
        <w:rPr>
          <w:rStyle w:val="ssit2"/>
          <w:i w:val="0"/>
          <w:szCs w:val="26"/>
        </w:rPr>
        <w:t>454 [“</w:t>
      </w:r>
      <w:r w:rsidR="00762139" w:rsidRPr="00D81D5A">
        <w:rPr>
          <w:rStyle w:val="ssrfcpassagedeactivated"/>
          <w:szCs w:val="26"/>
        </w:rPr>
        <w:t>A contract made . . . against the express mandate of a statute may not serve as the foundation of any action, either in law or in equity”]</w:t>
      </w:r>
      <w:r w:rsidR="00CC2FCE" w:rsidRPr="00D81D5A">
        <w:rPr>
          <w:rStyle w:val="ssit2"/>
          <w:i w:val="0"/>
          <w:szCs w:val="26"/>
        </w:rPr>
        <w:t xml:space="preserve">.) </w:t>
      </w:r>
      <w:r w:rsidR="00FB5E45" w:rsidRPr="00D81D5A">
        <w:rPr>
          <w:rStyle w:val="ssit2"/>
          <w:i w:val="0"/>
          <w:szCs w:val="26"/>
        </w:rPr>
        <w:t xml:space="preserve"> To the extent any of the provisions of the settlement agreements are now in conflict with section 31461, the agreements must be interpreted to </w:t>
      </w:r>
      <w:r w:rsidR="002B414C" w:rsidRPr="00D81D5A">
        <w:rPr>
          <w:rStyle w:val="ssit2"/>
          <w:i w:val="0"/>
          <w:szCs w:val="26"/>
        </w:rPr>
        <w:t>permit</w:t>
      </w:r>
      <w:r w:rsidR="00FB5E45" w:rsidRPr="00D81D5A">
        <w:rPr>
          <w:rStyle w:val="ssit2"/>
          <w:i w:val="0"/>
          <w:szCs w:val="26"/>
        </w:rPr>
        <w:t xml:space="preserve"> the retirement boards to modify their practices to conform to the governing statute.  </w:t>
      </w:r>
      <w:r w:rsidR="00032CA3" w:rsidRPr="00D81D5A">
        <w:t xml:space="preserve">County employees </w:t>
      </w:r>
      <w:r w:rsidR="00032CA3" w:rsidRPr="00D81D5A">
        <w:rPr>
          <w:szCs w:val="26"/>
        </w:rPr>
        <w:t xml:space="preserve">acquired no </w:t>
      </w:r>
      <w:r w:rsidR="00121207" w:rsidRPr="00D81D5A">
        <w:rPr>
          <w:szCs w:val="26"/>
        </w:rPr>
        <w:t xml:space="preserve">express </w:t>
      </w:r>
      <w:r w:rsidR="00032CA3" w:rsidRPr="00D81D5A">
        <w:rPr>
          <w:szCs w:val="26"/>
        </w:rPr>
        <w:t xml:space="preserve">contractual right to have their retirement benefits calculated in a manner inconsistent with </w:t>
      </w:r>
      <w:r w:rsidR="00635A84" w:rsidRPr="00D81D5A">
        <w:rPr>
          <w:szCs w:val="26"/>
        </w:rPr>
        <w:t>changes in</w:t>
      </w:r>
      <w:r w:rsidR="00032CA3" w:rsidRPr="00D81D5A">
        <w:rPr>
          <w:szCs w:val="26"/>
        </w:rPr>
        <w:t xml:space="preserve"> CERL.</w:t>
      </w:r>
    </w:p>
    <w:p w14:paraId="5889BBA1" w14:textId="77777777" w:rsidR="0056666F" w:rsidRPr="00D81D5A" w:rsidRDefault="00F952FA" w:rsidP="00D81D5A">
      <w:pPr>
        <w:ind w:firstLine="720"/>
        <w:rPr>
          <w:szCs w:val="26"/>
        </w:rPr>
      </w:pPr>
      <w:bookmarkStart w:id="20" w:name="_Hlk24277770"/>
      <w:r w:rsidRPr="00D81D5A">
        <w:t xml:space="preserve"> Plaintiffs argue that the settlement agreements did not exceed the retirement boards’ power because the interpretations of CERL embodied in the settlement agreements were permissible under section 31461 as it existed at the time the agreements were executed.  This argument is based, at least in part, on footnote 6 of </w:t>
      </w:r>
      <w:proofErr w:type="spellStart"/>
      <w:r w:rsidRPr="00D81D5A">
        <w:rPr>
          <w:i/>
        </w:rPr>
        <w:t>Guelfi</w:t>
      </w:r>
      <w:proofErr w:type="spellEnd"/>
      <w:r w:rsidRPr="00D81D5A">
        <w:t>,</w:t>
      </w:r>
      <w:r w:rsidRPr="00D81D5A">
        <w:rPr>
          <w:szCs w:val="26"/>
        </w:rPr>
        <w:t xml:space="preserve"> </w:t>
      </w:r>
      <w:r w:rsidRPr="00D81D5A">
        <w:rPr>
          <w:i/>
          <w:szCs w:val="26"/>
        </w:rPr>
        <w:t>supra</w:t>
      </w:r>
      <w:r w:rsidRPr="00D81D5A">
        <w:rPr>
          <w:szCs w:val="26"/>
        </w:rPr>
        <w:t>, 145</w:t>
      </w:r>
      <w:r w:rsidR="00E33818">
        <w:rPr>
          <w:szCs w:val="26"/>
        </w:rPr>
        <w:t> </w:t>
      </w:r>
      <w:r w:rsidRPr="00D81D5A">
        <w:rPr>
          <w:szCs w:val="26"/>
        </w:rPr>
        <w:t>Cal.App.3d at page 307</w:t>
      </w:r>
      <w:r w:rsidR="001D4D35" w:rsidRPr="00D81D5A">
        <w:rPr>
          <w:szCs w:val="26"/>
        </w:rPr>
        <w:t>.  In this controversial footnote</w:t>
      </w:r>
      <w:r w:rsidRPr="00D81D5A">
        <w:rPr>
          <w:szCs w:val="26"/>
        </w:rPr>
        <w:t xml:space="preserve">, </w:t>
      </w:r>
      <w:r w:rsidR="001D4D35" w:rsidRPr="00D81D5A">
        <w:rPr>
          <w:szCs w:val="26"/>
        </w:rPr>
        <w:t xml:space="preserve">the court </w:t>
      </w:r>
      <w:r w:rsidRPr="00D81D5A">
        <w:rPr>
          <w:szCs w:val="26"/>
        </w:rPr>
        <w:t xml:space="preserve">interpreted section 31461 merely </w:t>
      </w:r>
      <w:r w:rsidR="00122930" w:rsidRPr="00D81D5A">
        <w:rPr>
          <w:szCs w:val="26"/>
        </w:rPr>
        <w:t>to</w:t>
      </w:r>
      <w:r w:rsidRPr="00D81D5A">
        <w:rPr>
          <w:szCs w:val="26"/>
          <w:shd w:val="clear" w:color="auto" w:fill="FFFFFF"/>
        </w:rPr>
        <w:t xml:space="preserve"> establish</w:t>
      </w:r>
      <w:r w:rsidR="001D4D35" w:rsidRPr="00D81D5A">
        <w:rPr>
          <w:szCs w:val="26"/>
          <w:shd w:val="clear" w:color="auto" w:fill="FFFFFF"/>
        </w:rPr>
        <w:t xml:space="preserve"> a</w:t>
      </w:r>
      <w:r w:rsidRPr="00D81D5A">
        <w:rPr>
          <w:szCs w:val="26"/>
          <w:shd w:val="clear" w:color="auto" w:fill="FFFFFF"/>
        </w:rPr>
        <w:t xml:space="preserve"> minimum standard for the items that must be included in compensation earnable, while leaving individual retirement boards the discretion to include other items of compensation beyond this minimum.  A</w:t>
      </w:r>
      <w:r w:rsidRPr="00D81D5A">
        <w:rPr>
          <w:szCs w:val="26"/>
        </w:rPr>
        <w:t xml:space="preserve">s </w:t>
      </w:r>
      <w:proofErr w:type="spellStart"/>
      <w:r w:rsidRPr="00D81D5A">
        <w:rPr>
          <w:i/>
          <w:iCs/>
          <w:szCs w:val="26"/>
        </w:rPr>
        <w:t>Guelfi</w:t>
      </w:r>
      <w:proofErr w:type="spellEnd"/>
      <w:r w:rsidRPr="00D81D5A">
        <w:rPr>
          <w:i/>
          <w:iCs/>
          <w:szCs w:val="26"/>
        </w:rPr>
        <w:t xml:space="preserve"> </w:t>
      </w:r>
      <w:r w:rsidRPr="00D81D5A">
        <w:rPr>
          <w:szCs w:val="26"/>
        </w:rPr>
        <w:t>phrased it, “[n]</w:t>
      </w:r>
      <w:proofErr w:type="spellStart"/>
      <w:r w:rsidRPr="00D81D5A">
        <w:rPr>
          <w:szCs w:val="26"/>
        </w:rPr>
        <w:t>othing</w:t>
      </w:r>
      <w:proofErr w:type="spellEnd"/>
      <w:r w:rsidRPr="00D81D5A">
        <w:rPr>
          <w:szCs w:val="26"/>
        </w:rPr>
        <w:t xml:space="preserve"> in this opinion should be taken as </w:t>
      </w:r>
      <w:r w:rsidRPr="00D81D5A">
        <w:rPr>
          <w:rStyle w:val="sssh"/>
          <w:szCs w:val="26"/>
        </w:rPr>
        <w:t>barring either</w:t>
      </w:r>
      <w:r w:rsidRPr="00D81D5A">
        <w:rPr>
          <w:szCs w:val="26"/>
        </w:rPr>
        <w:t xml:space="preserve"> the inclusion of [pay premiums or] overtime in the calculation of benefits should the Board decide to do so . . . .  Our conclusion is only that CERL does not </w:t>
      </w:r>
      <w:r w:rsidRPr="00D81D5A">
        <w:rPr>
          <w:i/>
          <w:iCs/>
          <w:szCs w:val="26"/>
        </w:rPr>
        <w:t>require</w:t>
      </w:r>
      <w:r w:rsidRPr="00D81D5A">
        <w:rPr>
          <w:szCs w:val="26"/>
        </w:rPr>
        <w:t xml:space="preserve"> inclusion of those items of remuneration for retirees.”  (</w:t>
      </w:r>
      <w:proofErr w:type="spellStart"/>
      <w:r w:rsidR="00540E1C">
        <w:rPr>
          <w:i/>
          <w:szCs w:val="26"/>
        </w:rPr>
        <w:t>Guelfi</w:t>
      </w:r>
      <w:proofErr w:type="spellEnd"/>
      <w:r w:rsidR="00122930" w:rsidRPr="00D81D5A">
        <w:rPr>
          <w:szCs w:val="26"/>
        </w:rPr>
        <w:t>,</w:t>
      </w:r>
      <w:r w:rsidR="00540E1C">
        <w:rPr>
          <w:szCs w:val="26"/>
        </w:rPr>
        <w:t xml:space="preserve"> at p. 307, fn. 6,</w:t>
      </w:r>
      <w:r w:rsidR="00122930" w:rsidRPr="00D81D5A">
        <w:rPr>
          <w:szCs w:val="26"/>
        </w:rPr>
        <w:t xml:space="preserve"> </w:t>
      </w:r>
      <w:r w:rsidR="00006D0B" w:rsidRPr="00D81D5A">
        <w:rPr>
          <w:szCs w:val="26"/>
        </w:rPr>
        <w:t>italics added.</w:t>
      </w:r>
      <w:r w:rsidRPr="00D81D5A">
        <w:rPr>
          <w:szCs w:val="26"/>
        </w:rPr>
        <w:t>)</w:t>
      </w:r>
    </w:p>
    <w:p w14:paraId="36EFF89D" w14:textId="5D320A0C" w:rsidR="00F952FA" w:rsidRPr="00D81D5A" w:rsidRDefault="00F952FA" w:rsidP="00D81D5A">
      <w:pPr>
        <w:ind w:firstLine="720"/>
        <w:rPr>
          <w:szCs w:val="26"/>
        </w:rPr>
      </w:pPr>
      <w:r w:rsidRPr="00D81D5A">
        <w:rPr>
          <w:szCs w:val="26"/>
        </w:rPr>
        <w:t xml:space="preserve">Like </w:t>
      </w:r>
      <w:r w:rsidRPr="00D81D5A">
        <w:t>the Court of Appeal,</w:t>
      </w:r>
      <w:r w:rsidRPr="00D81D5A">
        <w:rPr>
          <w:szCs w:val="26"/>
        </w:rPr>
        <w:t xml:space="preserve"> we reject </w:t>
      </w:r>
      <w:r w:rsidRPr="00D81D5A">
        <w:t>th</w:t>
      </w:r>
      <w:r w:rsidR="001D4D35" w:rsidRPr="00D81D5A">
        <w:t>is</w:t>
      </w:r>
      <w:r w:rsidRPr="00D81D5A">
        <w:t xml:space="preserve"> open-ended concept of compensation earnable</w:t>
      </w:r>
      <w:r w:rsidR="001D4D35" w:rsidRPr="00D81D5A">
        <w:t>, and w</w:t>
      </w:r>
      <w:r w:rsidR="001D4D35" w:rsidRPr="00D81D5A">
        <w:rPr>
          <w:szCs w:val="26"/>
        </w:rPr>
        <w:t xml:space="preserve">e hereby disapprove of footnote 6 of </w:t>
      </w:r>
      <w:proofErr w:type="spellStart"/>
      <w:r w:rsidR="001D4D35" w:rsidRPr="00D81D5A">
        <w:rPr>
          <w:i/>
          <w:iCs/>
          <w:szCs w:val="26"/>
        </w:rPr>
        <w:t>Guelfi</w:t>
      </w:r>
      <w:proofErr w:type="spellEnd"/>
      <w:r w:rsidR="00540E1C">
        <w:rPr>
          <w:i/>
          <w:iCs/>
          <w:szCs w:val="26"/>
        </w:rPr>
        <w:t xml:space="preserve"> v. Marin County Employees’ Retirement Assn.</w:t>
      </w:r>
      <w:r w:rsidR="00540E1C">
        <w:rPr>
          <w:szCs w:val="26"/>
        </w:rPr>
        <w:t xml:space="preserve">, </w:t>
      </w:r>
      <w:r w:rsidR="00540E1C">
        <w:rPr>
          <w:i/>
          <w:iCs/>
          <w:szCs w:val="26"/>
        </w:rPr>
        <w:t>supra</w:t>
      </w:r>
      <w:r w:rsidR="00540E1C">
        <w:rPr>
          <w:szCs w:val="26"/>
        </w:rPr>
        <w:t>, 145 Cal.App.3d at page 307</w:t>
      </w:r>
      <w:r w:rsidR="001D4D35" w:rsidRPr="00D81D5A">
        <w:rPr>
          <w:szCs w:val="26"/>
        </w:rPr>
        <w:t>.</w:t>
      </w:r>
      <w:r w:rsidRPr="00D81D5A">
        <w:t xml:space="preserve">  As th</w:t>
      </w:r>
      <w:r w:rsidR="001D4D35" w:rsidRPr="00D81D5A">
        <w:t>e Court of Appeal</w:t>
      </w:r>
      <w:r w:rsidRPr="00D81D5A">
        <w:t xml:space="preserve"> </w:t>
      </w:r>
      <w:r w:rsidR="00215CAC" w:rsidRPr="00D81D5A">
        <w:t>correctly explained</w:t>
      </w:r>
      <w:r w:rsidRPr="00D81D5A">
        <w:t xml:space="preserve">, compensation earnable under section 31461 has a specific statutory definition:  </w:t>
      </w:r>
      <w:r w:rsidR="003469C6">
        <w:t>I</w:t>
      </w:r>
      <w:r w:rsidRPr="00D81D5A">
        <w:t>t is an employee’s “average compensation</w:t>
      </w:r>
      <w:r w:rsidRPr="00D81D5A">
        <w:rPr>
          <w:rStyle w:val="ssparacontent"/>
          <w:szCs w:val="26"/>
        </w:rPr>
        <w:t xml:space="preserve"> . . . for the period under consideration,” adjusted for “the average number of days ordinarily worked by persons in the same grade or class of positions during the period.</w:t>
      </w:r>
      <w:r w:rsidR="004D5876">
        <w:rPr>
          <w:rStyle w:val="ssparacontent"/>
          <w:szCs w:val="26"/>
        </w:rPr>
        <w:t xml:space="preserve"> . . . </w:t>
      </w:r>
      <w:r w:rsidRPr="00D81D5A">
        <w:t xml:space="preserve">”  </w:t>
      </w:r>
      <w:r w:rsidRPr="00D81D5A">
        <w:rPr>
          <w:szCs w:val="26"/>
          <w:shd w:val="clear" w:color="auto" w:fill="FFFFFF"/>
        </w:rPr>
        <w:t>(</w:t>
      </w:r>
      <w:r w:rsidRPr="00D81D5A">
        <w:rPr>
          <w:szCs w:val="26"/>
        </w:rPr>
        <w:t>§ 31461</w:t>
      </w:r>
      <w:r w:rsidR="004D5876">
        <w:rPr>
          <w:szCs w:val="26"/>
        </w:rPr>
        <w:t xml:space="preserve">, </w:t>
      </w:r>
      <w:proofErr w:type="spellStart"/>
      <w:r w:rsidR="004D5876">
        <w:rPr>
          <w:szCs w:val="26"/>
        </w:rPr>
        <w:t>subd</w:t>
      </w:r>
      <w:proofErr w:type="spellEnd"/>
      <w:r w:rsidR="004D5876">
        <w:rPr>
          <w:szCs w:val="26"/>
        </w:rPr>
        <w:t>. (a)</w:t>
      </w:r>
      <w:r w:rsidRPr="00D81D5A">
        <w:rPr>
          <w:szCs w:val="26"/>
        </w:rPr>
        <w:t xml:space="preserve">; see </w:t>
      </w:r>
      <w:r w:rsidR="001D4D35" w:rsidRPr="00D81D5A">
        <w:rPr>
          <w:i/>
          <w:szCs w:val="26"/>
        </w:rPr>
        <w:t>Alameda Sheriffs</w:t>
      </w:r>
      <w:r w:rsidR="001D4D35" w:rsidRPr="00D81D5A">
        <w:rPr>
          <w:szCs w:val="26"/>
        </w:rPr>
        <w:t xml:space="preserve">, </w:t>
      </w:r>
      <w:r w:rsidR="001D4D35" w:rsidRPr="00D81D5A">
        <w:rPr>
          <w:i/>
          <w:szCs w:val="26"/>
        </w:rPr>
        <w:t>supra</w:t>
      </w:r>
      <w:r w:rsidR="001D4D35" w:rsidRPr="00D81D5A">
        <w:rPr>
          <w:szCs w:val="26"/>
        </w:rPr>
        <w:t xml:space="preserve">, </w:t>
      </w:r>
      <w:r w:rsidR="001D4D35" w:rsidRPr="00D81D5A">
        <w:t>19 Cal.App.5th at pp. 94</w:t>
      </w:r>
      <w:r w:rsidR="00427AF8">
        <w:t>–</w:t>
      </w:r>
      <w:r w:rsidR="001D4D35" w:rsidRPr="00D81D5A">
        <w:t>95.)</w:t>
      </w:r>
      <w:r w:rsidRPr="00D81D5A">
        <w:t xml:space="preserve">  The term “compensation,” as used in section 31461, is similarly statutorily defined:  </w:t>
      </w:r>
      <w:r w:rsidR="003469C6">
        <w:t>I</w:t>
      </w:r>
      <w:r w:rsidRPr="00D81D5A">
        <w:t xml:space="preserve">t is an employee’s </w:t>
      </w:r>
      <w:r w:rsidRPr="00D81D5A">
        <w:rPr>
          <w:szCs w:val="26"/>
          <w:shd w:val="clear" w:color="auto" w:fill="FFFFFF"/>
        </w:rPr>
        <w:t>“remuneration paid in cash” and expressly excludes the “</w:t>
      </w:r>
      <w:r w:rsidRPr="00D81D5A">
        <w:rPr>
          <w:rStyle w:val="ssparacontent"/>
          <w:szCs w:val="26"/>
        </w:rPr>
        <w:t>monetary value” of benefits paid in kind.</w:t>
      </w:r>
      <w:r w:rsidRPr="00D81D5A">
        <w:rPr>
          <w:szCs w:val="26"/>
          <w:shd w:val="clear" w:color="auto" w:fill="FFFFFF"/>
        </w:rPr>
        <w:t xml:space="preserve">  (</w:t>
      </w:r>
      <w:r w:rsidRPr="00D81D5A">
        <w:rPr>
          <w:szCs w:val="26"/>
        </w:rPr>
        <w:t>§</w:t>
      </w:r>
      <w:r w:rsidR="00E33818">
        <w:rPr>
          <w:szCs w:val="26"/>
        </w:rPr>
        <w:t> </w:t>
      </w:r>
      <w:r w:rsidRPr="00D81D5A">
        <w:rPr>
          <w:szCs w:val="26"/>
        </w:rPr>
        <w:t xml:space="preserve">31460.)  Nothing in those definitions hints either that they are intended merely to establish a minimum, rather than to serve as a comprehensive definition, or that they may be </w:t>
      </w:r>
      <w:r w:rsidR="00122930" w:rsidRPr="00D81D5A">
        <w:rPr>
          <w:szCs w:val="26"/>
        </w:rPr>
        <w:t>implemented</w:t>
      </w:r>
      <w:r w:rsidRPr="00D81D5A">
        <w:rPr>
          <w:szCs w:val="26"/>
        </w:rPr>
        <w:t xml:space="preserve"> at the discretion of local retirement boards.  There is no indication, for example, that a local board has the discretion to include the monetary value of in-kind benefits</w:t>
      </w:r>
      <w:r w:rsidR="00122930" w:rsidRPr="00D81D5A">
        <w:rPr>
          <w:szCs w:val="26"/>
        </w:rPr>
        <w:t>, which are expressly excluded by section 31461</w:t>
      </w:r>
      <w:r w:rsidRPr="00D81D5A">
        <w:rPr>
          <w:szCs w:val="26"/>
        </w:rPr>
        <w:t xml:space="preserve">.  </w:t>
      </w:r>
      <w:r w:rsidR="00384361" w:rsidRPr="00D81D5A">
        <w:rPr>
          <w:szCs w:val="26"/>
        </w:rPr>
        <w:t>Necessarily, t</w:t>
      </w:r>
      <w:r w:rsidR="00122930" w:rsidRPr="00D81D5A">
        <w:rPr>
          <w:szCs w:val="26"/>
        </w:rPr>
        <w:t>he same is true of any other item of compensation that, even if not expressly mentioned</w:t>
      </w:r>
      <w:r w:rsidR="00384361" w:rsidRPr="00D81D5A">
        <w:rPr>
          <w:szCs w:val="26"/>
        </w:rPr>
        <w:t xml:space="preserve"> as excluded</w:t>
      </w:r>
      <w:r w:rsidR="00122930" w:rsidRPr="00D81D5A">
        <w:rPr>
          <w:szCs w:val="26"/>
        </w:rPr>
        <w:t>, does not fall within the definition</w:t>
      </w:r>
      <w:r w:rsidR="00384361" w:rsidRPr="00D81D5A">
        <w:rPr>
          <w:szCs w:val="26"/>
        </w:rPr>
        <w:t>s</w:t>
      </w:r>
      <w:r w:rsidR="00122930" w:rsidRPr="00D81D5A">
        <w:rPr>
          <w:szCs w:val="26"/>
        </w:rPr>
        <w:t>.  C</w:t>
      </w:r>
      <w:r w:rsidRPr="00D81D5A">
        <w:rPr>
          <w:szCs w:val="26"/>
        </w:rPr>
        <w:t>ounty retirement boards</w:t>
      </w:r>
      <w:r w:rsidR="00122930" w:rsidRPr="00D81D5A">
        <w:rPr>
          <w:szCs w:val="26"/>
        </w:rPr>
        <w:t xml:space="preserve">, as discussed above, </w:t>
      </w:r>
      <w:r w:rsidRPr="00D81D5A">
        <w:rPr>
          <w:szCs w:val="26"/>
        </w:rPr>
        <w:t xml:space="preserve">have the ordinary authority of an administrative body to resolve, in the first instance, ambiguities in the interpretation and application of these statutes, but nothing in the text of sections 31460 and 31461 hints that the discretion extends further.  As the </w:t>
      </w:r>
      <w:r w:rsidRPr="00D81D5A">
        <w:t xml:space="preserve">Court of Appeal pithily </w:t>
      </w:r>
      <w:r w:rsidR="0056666F" w:rsidRPr="00D81D5A">
        <w:t>put it</w:t>
      </w:r>
      <w:r w:rsidRPr="00D81D5A">
        <w:t xml:space="preserve">, </w:t>
      </w:r>
      <w:r w:rsidRPr="00D81D5A">
        <w:rPr>
          <w:szCs w:val="26"/>
        </w:rPr>
        <w:t>“[a]n item of compensation is either includable in compensation, compensation earnable, and final compensation under the CERL statutes, or it is not.”  (</w:t>
      </w:r>
      <w:r w:rsidRPr="00D81D5A">
        <w:rPr>
          <w:i/>
          <w:iCs/>
          <w:szCs w:val="26"/>
        </w:rPr>
        <w:t>Alameda Sheriffs</w:t>
      </w:r>
      <w:r w:rsidRPr="00D81D5A">
        <w:rPr>
          <w:szCs w:val="26"/>
        </w:rPr>
        <w:t>, at p. 96.)</w:t>
      </w:r>
    </w:p>
    <w:p w14:paraId="2F2172CE" w14:textId="77777777" w:rsidR="00122930" w:rsidRPr="00D81D5A" w:rsidRDefault="00384361" w:rsidP="00D81D5A">
      <w:pPr>
        <w:ind w:firstLine="720"/>
        <w:rPr>
          <w:szCs w:val="26"/>
        </w:rPr>
      </w:pPr>
      <w:r w:rsidRPr="00D81D5A">
        <w:rPr>
          <w:szCs w:val="26"/>
        </w:rPr>
        <w:t>In any event</w:t>
      </w:r>
      <w:r w:rsidR="00F952FA" w:rsidRPr="00D81D5A">
        <w:rPr>
          <w:szCs w:val="26"/>
        </w:rPr>
        <w:t>, plaintiffs</w:t>
      </w:r>
      <w:r w:rsidR="00122930" w:rsidRPr="00D81D5A">
        <w:rPr>
          <w:szCs w:val="26"/>
        </w:rPr>
        <w:t>’</w:t>
      </w:r>
      <w:r w:rsidR="00F952FA" w:rsidRPr="00D81D5A">
        <w:rPr>
          <w:szCs w:val="26"/>
        </w:rPr>
        <w:t xml:space="preserve"> contention</w:t>
      </w:r>
      <w:r w:rsidRPr="00D81D5A">
        <w:rPr>
          <w:szCs w:val="26"/>
        </w:rPr>
        <w:t xml:space="preserve"> —</w:t>
      </w:r>
      <w:r w:rsidR="00F952FA" w:rsidRPr="00D81D5A">
        <w:rPr>
          <w:szCs w:val="26"/>
        </w:rPr>
        <w:t xml:space="preserve"> that the determination of compensation earnable in the settlement agreements should be honored because the</w:t>
      </w:r>
      <w:r w:rsidRPr="00D81D5A">
        <w:rPr>
          <w:szCs w:val="26"/>
        </w:rPr>
        <w:t>y reflect</w:t>
      </w:r>
      <w:r w:rsidR="00F952FA" w:rsidRPr="00D81D5A">
        <w:rPr>
          <w:szCs w:val="26"/>
        </w:rPr>
        <w:t xml:space="preserve"> interpretations </w:t>
      </w:r>
      <w:r w:rsidRPr="00D81D5A">
        <w:rPr>
          <w:szCs w:val="26"/>
        </w:rPr>
        <w:t xml:space="preserve">that </w:t>
      </w:r>
      <w:r w:rsidR="00F952FA" w:rsidRPr="00D81D5A">
        <w:rPr>
          <w:szCs w:val="26"/>
        </w:rPr>
        <w:t>were lawful at the time</w:t>
      </w:r>
      <w:r w:rsidRPr="00D81D5A">
        <w:rPr>
          <w:szCs w:val="26"/>
        </w:rPr>
        <w:t xml:space="preserve"> —</w:t>
      </w:r>
      <w:r w:rsidR="00F952FA" w:rsidRPr="00D81D5A">
        <w:rPr>
          <w:szCs w:val="26"/>
        </w:rPr>
        <w:t xml:space="preserve"> </w:t>
      </w:r>
      <w:r w:rsidR="00F952FA" w:rsidRPr="00D81D5A">
        <w:t xml:space="preserve">misses the point.  We assume for purposes of this analysis that the settlement agreements embodied permissible interpretations of CERL at the time they were executed.  The issue here is whether the retirement boards could have agreed to </w:t>
      </w:r>
      <w:r w:rsidR="00F952FA" w:rsidRPr="00D81D5A">
        <w:rPr>
          <w:i/>
        </w:rPr>
        <w:t>continue</w:t>
      </w:r>
      <w:r w:rsidR="00F952FA" w:rsidRPr="00D81D5A">
        <w:t xml:space="preserve"> to implement those interpretations despite a statutory amendment that rendered the interpretations contrary to CERL.  For the reasons discussed above, such a provision would have been beyond their authority.  County employees can have no express contractual right </w:t>
      </w:r>
      <w:r w:rsidR="00F952FA" w:rsidRPr="00D81D5A">
        <w:rPr>
          <w:szCs w:val="26"/>
        </w:rPr>
        <w:t>to the continued adherence to interpretations of CERL that are now, as a result of PEPRA, contrary to the statute.</w:t>
      </w:r>
      <w:r w:rsidR="00F952FA" w:rsidRPr="00D81D5A">
        <w:rPr>
          <w:rStyle w:val="FootnoteReference"/>
          <w:szCs w:val="26"/>
        </w:rPr>
        <w:footnoteReference w:id="19"/>
      </w:r>
    </w:p>
    <w:p w14:paraId="313E2586" w14:textId="77777777" w:rsidR="000849A1" w:rsidRPr="00D81D5A" w:rsidRDefault="00243EC2" w:rsidP="00400E0D">
      <w:pPr>
        <w:ind w:firstLine="720"/>
      </w:pPr>
      <w:r w:rsidRPr="00D81D5A">
        <w:rPr>
          <w:szCs w:val="26"/>
        </w:rPr>
        <w:t>Finally, we note that plaintiffs repeatedly refer to the settlement agreements as judicially approved</w:t>
      </w:r>
      <w:r w:rsidR="00CA57E6" w:rsidRPr="00D81D5A">
        <w:rPr>
          <w:szCs w:val="26"/>
        </w:rPr>
        <w:t>.  J</w:t>
      </w:r>
      <w:r w:rsidR="00C7742C" w:rsidRPr="00D81D5A">
        <w:rPr>
          <w:szCs w:val="26"/>
        </w:rPr>
        <w:t xml:space="preserve">udicial </w:t>
      </w:r>
      <w:r w:rsidRPr="00D81D5A">
        <w:rPr>
          <w:szCs w:val="26"/>
        </w:rPr>
        <w:t xml:space="preserve">approval </w:t>
      </w:r>
      <w:r w:rsidR="00C7742C" w:rsidRPr="00D81D5A">
        <w:rPr>
          <w:szCs w:val="26"/>
        </w:rPr>
        <w:t xml:space="preserve">of the agreements </w:t>
      </w:r>
      <w:r w:rsidR="00CA57E6" w:rsidRPr="00D81D5A">
        <w:rPr>
          <w:szCs w:val="26"/>
        </w:rPr>
        <w:t>does not a</w:t>
      </w:r>
      <w:r w:rsidR="00215CAC" w:rsidRPr="00D81D5A">
        <w:rPr>
          <w:szCs w:val="26"/>
        </w:rPr>
        <w:t>lter</w:t>
      </w:r>
      <w:r w:rsidRPr="00D81D5A">
        <w:rPr>
          <w:szCs w:val="26"/>
        </w:rPr>
        <w:t xml:space="preserve"> our </w:t>
      </w:r>
      <w:r w:rsidR="00215CAC" w:rsidRPr="00D81D5A">
        <w:rPr>
          <w:szCs w:val="26"/>
        </w:rPr>
        <w:t>conclusion</w:t>
      </w:r>
      <w:r w:rsidRPr="00D81D5A">
        <w:rPr>
          <w:szCs w:val="26"/>
        </w:rPr>
        <w:t xml:space="preserve"> that the</w:t>
      </w:r>
      <w:r w:rsidR="00CA57E6" w:rsidRPr="00D81D5A">
        <w:rPr>
          <w:szCs w:val="26"/>
        </w:rPr>
        <w:t>y</w:t>
      </w:r>
      <w:r w:rsidRPr="00D81D5A">
        <w:rPr>
          <w:szCs w:val="26"/>
        </w:rPr>
        <w:t xml:space="preserve"> must be interpreted not to confer on the retirement boards the authority to pursue p</w:t>
      </w:r>
      <w:r w:rsidR="00C7742C" w:rsidRPr="00D81D5A">
        <w:rPr>
          <w:szCs w:val="26"/>
        </w:rPr>
        <w:t>olicie</w:t>
      </w:r>
      <w:r w:rsidRPr="00D81D5A">
        <w:rPr>
          <w:szCs w:val="26"/>
        </w:rPr>
        <w:t xml:space="preserve">s contrary to CERL.  </w:t>
      </w:r>
      <w:r w:rsidR="003E1429" w:rsidRPr="00D81D5A">
        <w:rPr>
          <w:szCs w:val="26"/>
        </w:rPr>
        <w:t xml:space="preserve">As noted above, our analysis assumes that the interpretations of CERL embodied in the settlement agreements were proper at the time they were approved.  </w:t>
      </w:r>
      <w:r w:rsidR="00384361" w:rsidRPr="00D81D5A">
        <w:rPr>
          <w:szCs w:val="26"/>
        </w:rPr>
        <w:t>At most, t</w:t>
      </w:r>
      <w:r w:rsidR="003E1429" w:rsidRPr="00D81D5A">
        <w:rPr>
          <w:szCs w:val="26"/>
        </w:rPr>
        <w:t xml:space="preserve">he courts’ </w:t>
      </w:r>
      <w:r w:rsidR="00CA57E6" w:rsidRPr="00D81D5A">
        <w:rPr>
          <w:szCs w:val="26"/>
        </w:rPr>
        <w:t>approval</w:t>
      </w:r>
      <w:r w:rsidR="003E1429" w:rsidRPr="00D81D5A">
        <w:rPr>
          <w:szCs w:val="26"/>
        </w:rPr>
        <w:t xml:space="preserve"> </w:t>
      </w:r>
      <w:r w:rsidR="00027E12" w:rsidRPr="00D81D5A">
        <w:rPr>
          <w:szCs w:val="26"/>
        </w:rPr>
        <w:t xml:space="preserve">confirms this.  </w:t>
      </w:r>
      <w:r w:rsidR="00215CAC" w:rsidRPr="00D81D5A">
        <w:rPr>
          <w:szCs w:val="26"/>
        </w:rPr>
        <w:t>T</w:t>
      </w:r>
      <w:r w:rsidR="003E1429" w:rsidRPr="00D81D5A">
        <w:rPr>
          <w:szCs w:val="26"/>
        </w:rPr>
        <w:t>he approving courts</w:t>
      </w:r>
      <w:r w:rsidR="00215CAC" w:rsidRPr="00D81D5A">
        <w:rPr>
          <w:szCs w:val="26"/>
        </w:rPr>
        <w:t>, however,</w:t>
      </w:r>
      <w:r w:rsidR="003E1429" w:rsidRPr="00D81D5A">
        <w:rPr>
          <w:szCs w:val="26"/>
        </w:rPr>
        <w:t xml:space="preserve"> </w:t>
      </w:r>
      <w:r w:rsidR="00027E12" w:rsidRPr="00D81D5A">
        <w:rPr>
          <w:szCs w:val="26"/>
        </w:rPr>
        <w:t xml:space="preserve">rendered no opinion on </w:t>
      </w:r>
      <w:r w:rsidR="003E1429" w:rsidRPr="00D81D5A">
        <w:rPr>
          <w:szCs w:val="26"/>
        </w:rPr>
        <w:t xml:space="preserve">the continued validity of those interpretations in the face of subsequent </w:t>
      </w:r>
      <w:r w:rsidR="00CA57E6" w:rsidRPr="00D81D5A">
        <w:rPr>
          <w:szCs w:val="26"/>
        </w:rPr>
        <w:t xml:space="preserve">legislative </w:t>
      </w:r>
      <w:r w:rsidR="003E1429" w:rsidRPr="00D81D5A">
        <w:rPr>
          <w:szCs w:val="26"/>
        </w:rPr>
        <w:t xml:space="preserve">amendments.  </w:t>
      </w:r>
      <w:r w:rsidR="00215CAC" w:rsidRPr="00D81D5A">
        <w:rPr>
          <w:szCs w:val="26"/>
        </w:rPr>
        <w:t>Even if judicial approval of a settlement agreement could have conferred upon retirement boards the authority to violate a future amendment of CERL, a very doubtful proposition, there is no reason to conclude that these approvals should be understood as conferring such authority.</w:t>
      </w:r>
    </w:p>
    <w:bookmarkEnd w:id="20"/>
    <w:p w14:paraId="3832539B" w14:textId="2AAC9244" w:rsidR="001D0D21" w:rsidRPr="00D81D5A" w:rsidRDefault="000849A1" w:rsidP="00D81D5A">
      <w:pPr>
        <w:ind w:firstLine="720"/>
      </w:pPr>
      <w:r w:rsidRPr="00D81D5A">
        <w:t xml:space="preserve">Our ruling does not mean that county employees could not have acquired a </w:t>
      </w:r>
      <w:r w:rsidRPr="00D81D5A">
        <w:rPr>
          <w:i/>
        </w:rPr>
        <w:t>constitutional</w:t>
      </w:r>
      <w:r w:rsidRPr="00D81D5A">
        <w:t xml:space="preserve"> right to the continued calculation of their pension benefits in the manner existing prior to PEPRA, a right that would be enforceable against subsequent, inconsistent amendments to CERL.  In these circumstances, however, such a right could be created only by the </w:t>
      </w:r>
      <w:proofErr w:type="spellStart"/>
      <w:r w:rsidRPr="00D81D5A">
        <w:t>preamendment</w:t>
      </w:r>
      <w:proofErr w:type="spellEnd"/>
      <w:r w:rsidRPr="00D81D5A">
        <w:t xml:space="preserve"> provisions of </w:t>
      </w:r>
      <w:r w:rsidRPr="00D81D5A">
        <w:rPr>
          <w:i/>
        </w:rPr>
        <w:t>CERL</w:t>
      </w:r>
      <w:r w:rsidRPr="00D81D5A">
        <w:t xml:space="preserve">, as enforced by the constitutional contract clause — that is, created in the manner discussed in part II.B, </w:t>
      </w:r>
      <w:r w:rsidRPr="00D81D5A">
        <w:rPr>
          <w:i/>
        </w:rPr>
        <w:t>post</w:t>
      </w:r>
      <w:r w:rsidRPr="00D81D5A">
        <w:t xml:space="preserve">.  </w:t>
      </w:r>
      <w:bookmarkStart w:id="21" w:name="_Hlk41637913"/>
      <w:r w:rsidRPr="00D81D5A">
        <w:t xml:space="preserve">Because the settlement agreements </w:t>
      </w:r>
      <w:r w:rsidR="00215CAC" w:rsidRPr="00D81D5A">
        <w:t xml:space="preserve">are properly </w:t>
      </w:r>
      <w:r w:rsidR="00753384">
        <w:t>interpreted</w:t>
      </w:r>
      <w:r w:rsidR="00215CAC" w:rsidRPr="00D81D5A">
        <w:t xml:space="preserve"> </w:t>
      </w:r>
      <w:r w:rsidRPr="00D81D5A">
        <w:t xml:space="preserve">not to require the boards to adhere to </w:t>
      </w:r>
      <w:r w:rsidR="0056666F" w:rsidRPr="00D81D5A">
        <w:t xml:space="preserve">contractual terms </w:t>
      </w:r>
      <w:r w:rsidRPr="00D81D5A">
        <w:t>that become contrary to the governing statute, plaintiffs have no express contractual right to receive benefits calculated in a manner that is inconsistent with the PEPRA amendment.</w:t>
      </w:r>
      <w:bookmarkEnd w:id="21"/>
    </w:p>
    <w:p w14:paraId="7DBE378C" w14:textId="77777777" w:rsidR="0090771E" w:rsidRPr="00D81D5A" w:rsidRDefault="0090771E" w:rsidP="00D81D5A">
      <w:pPr>
        <w:pStyle w:val="Heading3"/>
      </w:pPr>
      <w:r w:rsidRPr="00D81D5A">
        <w:t xml:space="preserve">3.  </w:t>
      </w:r>
      <w:r w:rsidR="00E52C9D" w:rsidRPr="00D81D5A">
        <w:t xml:space="preserve">Plaintiffs </w:t>
      </w:r>
      <w:r w:rsidR="00215CAC" w:rsidRPr="00D81D5A">
        <w:t xml:space="preserve">have </w:t>
      </w:r>
      <w:r w:rsidR="00E52C9D" w:rsidRPr="00D81D5A">
        <w:t>fail</w:t>
      </w:r>
      <w:r w:rsidR="00215CAC" w:rsidRPr="00D81D5A">
        <w:t>ed</w:t>
      </w:r>
      <w:r w:rsidR="00E52C9D" w:rsidRPr="00D81D5A">
        <w:t xml:space="preserve"> to demonstrate </w:t>
      </w:r>
      <w:r w:rsidR="00215CAC" w:rsidRPr="00D81D5A">
        <w:t>the prerequisites for invocation of</w:t>
      </w:r>
      <w:r w:rsidR="00E52C9D" w:rsidRPr="00D81D5A">
        <w:t xml:space="preserve"> t</w:t>
      </w:r>
      <w:r w:rsidRPr="00D81D5A">
        <w:t>he doctrine of equitable estoppel</w:t>
      </w:r>
    </w:p>
    <w:p w14:paraId="0565F8B0" w14:textId="344E494E" w:rsidR="00203727" w:rsidRPr="00D81D5A" w:rsidRDefault="00BD477A" w:rsidP="00D81D5A">
      <w:pPr>
        <w:pStyle w:val="FootnoteText"/>
        <w:spacing w:line="400" w:lineRule="exact"/>
      </w:pPr>
      <w:r w:rsidRPr="00D81D5A">
        <w:tab/>
      </w:r>
      <w:r w:rsidR="001650F8" w:rsidRPr="00D81D5A">
        <w:t>The Court of Appeal held that</w:t>
      </w:r>
      <w:r w:rsidR="001D0D21" w:rsidRPr="00D81D5A">
        <w:t xml:space="preserve"> </w:t>
      </w:r>
      <w:r w:rsidR="00AD5D51" w:rsidRPr="00D81D5A">
        <w:t xml:space="preserve">the Merced County retirement </w:t>
      </w:r>
      <w:r w:rsidR="001650F8" w:rsidRPr="00D81D5A">
        <w:t xml:space="preserve">board </w:t>
      </w:r>
      <w:r w:rsidR="00FB5E45" w:rsidRPr="00D81D5A">
        <w:t>is</w:t>
      </w:r>
      <w:r w:rsidR="001650F8" w:rsidRPr="00D81D5A">
        <w:t xml:space="preserve"> precluded from implementing </w:t>
      </w:r>
      <w:r w:rsidR="00FB5E45" w:rsidRPr="00D81D5A">
        <w:t>new subdivision (b)(4)</w:t>
      </w:r>
      <w:r w:rsidR="003469C6">
        <w:t xml:space="preserve"> of section 31461</w:t>
      </w:r>
      <w:r w:rsidR="00FB5E45" w:rsidRPr="00D81D5A">
        <w:t xml:space="preserve">, </w:t>
      </w:r>
      <w:r w:rsidR="0056666F" w:rsidRPr="00D81D5A">
        <w:t xml:space="preserve">which </w:t>
      </w:r>
      <w:r w:rsidR="00FB5E45" w:rsidRPr="00D81D5A">
        <w:t>limit</w:t>
      </w:r>
      <w:r w:rsidR="0056666F" w:rsidRPr="00D81D5A">
        <w:t>s</w:t>
      </w:r>
      <w:r w:rsidR="00FB5E45" w:rsidRPr="00D81D5A">
        <w:t xml:space="preserve"> the </w:t>
      </w:r>
      <w:r w:rsidR="0076448F" w:rsidRPr="00D81D5A">
        <w:t>incl</w:t>
      </w:r>
      <w:r w:rsidR="000E02E8" w:rsidRPr="00D81D5A">
        <w:t>u</w:t>
      </w:r>
      <w:r w:rsidR="0076448F" w:rsidRPr="00D81D5A">
        <w:t>sion of termina</w:t>
      </w:r>
      <w:r w:rsidR="001E2452" w:rsidRPr="00D81D5A">
        <w:t>tion</w:t>
      </w:r>
      <w:r w:rsidR="0076448F" w:rsidRPr="00D81D5A">
        <w:t xml:space="preserve"> pay in compensation earnable, </w:t>
      </w:r>
      <w:r w:rsidR="001650F8" w:rsidRPr="00D81D5A">
        <w:t xml:space="preserve">by the doctrine of </w:t>
      </w:r>
      <w:r w:rsidR="00A771EA" w:rsidRPr="00D81D5A">
        <w:t>equitable</w:t>
      </w:r>
      <w:r w:rsidR="001650F8" w:rsidRPr="00D81D5A">
        <w:t xml:space="preserve"> estoppel</w:t>
      </w:r>
      <w:r w:rsidR="000E02E8" w:rsidRPr="00D81D5A">
        <w:t>.  The estoppel was</w:t>
      </w:r>
      <w:r w:rsidR="001650F8" w:rsidRPr="00D81D5A">
        <w:t xml:space="preserve"> </w:t>
      </w:r>
      <w:r w:rsidR="00392221" w:rsidRPr="00D81D5A">
        <w:t>premis</w:t>
      </w:r>
      <w:r w:rsidR="001650F8" w:rsidRPr="00D81D5A">
        <w:t>ed on th</w:t>
      </w:r>
      <w:r w:rsidR="000E02E8" w:rsidRPr="00D81D5A">
        <w:t>e settlement agreement entered into by th</w:t>
      </w:r>
      <w:r w:rsidR="001D0D21" w:rsidRPr="00D81D5A">
        <w:t>at</w:t>
      </w:r>
      <w:r w:rsidR="001650F8" w:rsidRPr="00D81D5A">
        <w:t xml:space="preserve"> board</w:t>
      </w:r>
      <w:r w:rsidR="000E02E8" w:rsidRPr="00D81D5A">
        <w:t xml:space="preserve"> following the issuance of </w:t>
      </w:r>
      <w:r w:rsidR="000E02E8" w:rsidRPr="00D81D5A">
        <w:rPr>
          <w:i/>
        </w:rPr>
        <w:t>Ventura County</w:t>
      </w:r>
      <w:r w:rsidR="001650F8" w:rsidRPr="00D81D5A">
        <w:t xml:space="preserve">.  </w:t>
      </w:r>
      <w:bookmarkStart w:id="22" w:name="_Hlk23413530"/>
      <w:r w:rsidR="001650F8" w:rsidRPr="00D81D5A">
        <w:rPr>
          <w:szCs w:val="26"/>
        </w:rPr>
        <w:t>(</w:t>
      </w:r>
      <w:r w:rsidR="001650F8" w:rsidRPr="00D81D5A">
        <w:rPr>
          <w:i/>
        </w:rPr>
        <w:t>Alameda Sheriffs</w:t>
      </w:r>
      <w:r w:rsidR="001650F8" w:rsidRPr="00D81D5A">
        <w:t xml:space="preserve">, </w:t>
      </w:r>
      <w:r w:rsidR="001650F8" w:rsidRPr="00D81D5A">
        <w:rPr>
          <w:i/>
        </w:rPr>
        <w:t>supra</w:t>
      </w:r>
      <w:r w:rsidR="001650F8" w:rsidRPr="00D81D5A">
        <w:t>, 19</w:t>
      </w:r>
      <w:r w:rsidR="00C110DF">
        <w:t> </w:t>
      </w:r>
      <w:r w:rsidR="001650F8" w:rsidRPr="00D81D5A">
        <w:t>Cal.App.5th at pp.</w:t>
      </w:r>
      <w:r w:rsidR="005D2BDE" w:rsidRPr="00D81D5A">
        <w:t> </w:t>
      </w:r>
      <w:r w:rsidR="001650F8" w:rsidRPr="00D81D5A">
        <w:t>125</w:t>
      </w:r>
      <w:r w:rsidR="00427AF8">
        <w:t>–</w:t>
      </w:r>
      <w:r w:rsidR="001650F8" w:rsidRPr="00D81D5A">
        <w:t xml:space="preserve">126.)  </w:t>
      </w:r>
      <w:bookmarkEnd w:id="22"/>
      <w:r w:rsidR="00AD5D51" w:rsidRPr="00D81D5A">
        <w:t>Although t</w:t>
      </w:r>
      <w:r w:rsidR="0014056E" w:rsidRPr="00D81D5A">
        <w:t xml:space="preserve">he </w:t>
      </w:r>
      <w:r w:rsidR="00A83979" w:rsidRPr="00D81D5A">
        <w:t>C</w:t>
      </w:r>
      <w:r w:rsidR="0014056E" w:rsidRPr="00D81D5A">
        <w:t>ourt</w:t>
      </w:r>
      <w:r w:rsidR="00A83979" w:rsidRPr="00D81D5A">
        <w:t xml:space="preserve"> of Appeal</w:t>
      </w:r>
      <w:r w:rsidR="00AD5D51" w:rsidRPr="00D81D5A">
        <w:t xml:space="preserve"> invoked the doctrine only in connection with the Merced County agreement, it</w:t>
      </w:r>
      <w:r w:rsidR="0014056E" w:rsidRPr="00D81D5A">
        <w:t>s reasoning would extend</w:t>
      </w:r>
      <w:r w:rsidR="00A83979" w:rsidRPr="00D81D5A">
        <w:t xml:space="preserve"> more generally</w:t>
      </w:r>
      <w:r w:rsidR="0014056E" w:rsidRPr="00D81D5A">
        <w:t xml:space="preserve"> to any inconsistency between the settlement agreements and the terms of section 31461 and require the boards to adhere to the interpretation of CERL found in the settlement agreements, notwithstanding the changes introduced by the PEPRA amendment.</w:t>
      </w:r>
      <w:r w:rsidR="00AD5D51" w:rsidRPr="00D81D5A">
        <w:rPr>
          <w:rStyle w:val="FootnoteReference"/>
        </w:rPr>
        <w:footnoteReference w:id="20"/>
      </w:r>
      <w:r w:rsidR="0014056E" w:rsidRPr="00D81D5A">
        <w:t xml:space="preserve">  </w:t>
      </w:r>
      <w:r w:rsidR="006C33F5" w:rsidRPr="00D81D5A">
        <w:t xml:space="preserve">Plaintiffs </w:t>
      </w:r>
      <w:r w:rsidR="00392221" w:rsidRPr="00D81D5A">
        <w:t>urge us to affirm the Court of Appeal on this ground</w:t>
      </w:r>
      <w:r w:rsidR="0014056E" w:rsidRPr="00D81D5A">
        <w:t xml:space="preserve"> and extend our ruling to any inconsistency between the settlement agreements and PEPRA</w:t>
      </w:r>
      <w:r w:rsidR="00D0246D" w:rsidRPr="00D81D5A">
        <w:t>.</w:t>
      </w:r>
    </w:p>
    <w:p w14:paraId="3402311C" w14:textId="37B589AB" w:rsidR="00D0246D" w:rsidRPr="00D81D5A" w:rsidRDefault="00D0246D" w:rsidP="00D81D5A">
      <w:r w:rsidRPr="00D81D5A">
        <w:tab/>
      </w:r>
      <w:r w:rsidR="007030F0" w:rsidRPr="00D81D5A">
        <w:rPr>
          <w:szCs w:val="26"/>
        </w:rPr>
        <w:t>“</w:t>
      </w:r>
      <w:r w:rsidR="00C110DF">
        <w:rPr>
          <w:szCs w:val="26"/>
        </w:rPr>
        <w:t> </w:t>
      </w:r>
      <w:r w:rsidR="0012323D">
        <w:rPr>
          <w:szCs w:val="26"/>
        </w:rPr>
        <w:t>‘</w:t>
      </w:r>
      <w:r w:rsidR="007030F0" w:rsidRPr="00D81D5A">
        <w:rPr>
          <w:szCs w:val="26"/>
        </w:rPr>
        <w:t xml:space="preserve">The </w:t>
      </w:r>
      <w:r w:rsidR="007030F0" w:rsidRPr="00D81D5A">
        <w:rPr>
          <w:rStyle w:val="sssh"/>
          <w:szCs w:val="26"/>
        </w:rPr>
        <w:t>doctrine</w:t>
      </w:r>
      <w:r w:rsidR="007030F0" w:rsidRPr="00D81D5A">
        <w:rPr>
          <w:szCs w:val="26"/>
        </w:rPr>
        <w:t xml:space="preserve"> of </w:t>
      </w:r>
      <w:r w:rsidR="007030F0" w:rsidRPr="00D81D5A">
        <w:rPr>
          <w:rStyle w:val="sssh"/>
          <w:szCs w:val="26"/>
        </w:rPr>
        <w:t>equitable estoppel</w:t>
      </w:r>
      <w:r w:rsidR="007030F0" w:rsidRPr="00D81D5A">
        <w:rPr>
          <w:szCs w:val="26"/>
        </w:rPr>
        <w:t xml:space="preserve"> is founded on concepts of equity and fair dealing.  </w:t>
      </w:r>
      <w:bookmarkStart w:id="23" w:name="_Hlk23411542"/>
      <w:r w:rsidR="007030F0" w:rsidRPr="00D81D5A">
        <w:rPr>
          <w:rStyle w:val="ssrfcpassagedeactivated"/>
          <w:szCs w:val="26"/>
        </w:rPr>
        <w:t xml:space="preserve">It provides that a person may not deny the existence of a state of facts if he intentionally led another to believe a particular circumstance to be true and to rely upon such belief to his detriment. </w:t>
      </w:r>
      <w:bookmarkEnd w:id="23"/>
      <w:r w:rsidR="007030F0" w:rsidRPr="00D81D5A">
        <w:rPr>
          <w:rStyle w:val="ssrfcpassagedeactivated"/>
          <w:szCs w:val="26"/>
        </w:rPr>
        <w:t xml:space="preserve"> </w:t>
      </w:r>
      <w:r w:rsidR="007030F0" w:rsidRPr="00D81D5A">
        <w:rPr>
          <w:rStyle w:val="sscrbhighlight"/>
          <w:szCs w:val="26"/>
        </w:rPr>
        <w:t>The elements of the doctrine are that (1)</w:t>
      </w:r>
      <w:r w:rsidR="005D2BDE" w:rsidRPr="00D81D5A">
        <w:rPr>
          <w:rStyle w:val="sscrbhighlight"/>
          <w:szCs w:val="26"/>
        </w:rPr>
        <w:t> </w:t>
      </w:r>
      <w:r w:rsidR="007030F0" w:rsidRPr="00D81D5A">
        <w:rPr>
          <w:rStyle w:val="sscrbhighlight"/>
          <w:szCs w:val="26"/>
        </w:rPr>
        <w:t>the party to be estopped must be apprised of the facts; (2)</w:t>
      </w:r>
      <w:r w:rsidR="005D2BDE" w:rsidRPr="00D81D5A">
        <w:rPr>
          <w:rStyle w:val="sscrbhighlight"/>
          <w:szCs w:val="26"/>
        </w:rPr>
        <w:t> </w:t>
      </w:r>
      <w:r w:rsidR="007030F0" w:rsidRPr="00D81D5A">
        <w:rPr>
          <w:rStyle w:val="sscrbhighlight"/>
          <w:szCs w:val="26"/>
        </w:rPr>
        <w:t>he must intend that his conduct shall be acted upon, or must so act that the party asserting the estoppel has a right to believe it was so intended; (3)</w:t>
      </w:r>
      <w:r w:rsidR="005D2BDE" w:rsidRPr="00D81D5A">
        <w:rPr>
          <w:rStyle w:val="sscrbhighlight"/>
          <w:szCs w:val="26"/>
        </w:rPr>
        <w:t> </w:t>
      </w:r>
      <w:r w:rsidR="007030F0" w:rsidRPr="00D81D5A">
        <w:rPr>
          <w:rStyle w:val="sscrbhighlight"/>
          <w:szCs w:val="26"/>
        </w:rPr>
        <w:t>the other party must be ignorant of the true state of facts; and (4)</w:t>
      </w:r>
      <w:r w:rsidR="005D2BDE" w:rsidRPr="00D81D5A">
        <w:rPr>
          <w:rStyle w:val="sscrbhighlight"/>
          <w:szCs w:val="26"/>
        </w:rPr>
        <w:t> </w:t>
      </w:r>
      <w:r w:rsidR="007030F0" w:rsidRPr="00D81D5A">
        <w:rPr>
          <w:rStyle w:val="sscrbhighlight"/>
          <w:szCs w:val="26"/>
        </w:rPr>
        <w:t>he must rely upon the conduct to his injury.</w:t>
      </w:r>
      <w:r w:rsidR="0012323D">
        <w:rPr>
          <w:rStyle w:val="sscrbhighlight"/>
          <w:szCs w:val="26"/>
        </w:rPr>
        <w:t>’</w:t>
      </w:r>
      <w:r w:rsidR="00C110DF">
        <w:rPr>
          <w:rStyle w:val="sscrbhighlight"/>
          <w:szCs w:val="26"/>
        </w:rPr>
        <w:t> </w:t>
      </w:r>
      <w:r w:rsidR="007030F0" w:rsidRPr="00D81D5A">
        <w:rPr>
          <w:rStyle w:val="sscrbhighlight"/>
          <w:szCs w:val="26"/>
        </w:rPr>
        <w:t xml:space="preserve">” </w:t>
      </w:r>
      <w:r w:rsidR="006C09E9" w:rsidRPr="00D81D5A">
        <w:rPr>
          <w:szCs w:val="26"/>
        </w:rPr>
        <w:t xml:space="preserve"> </w:t>
      </w:r>
      <w:r w:rsidRPr="00D81D5A">
        <w:rPr>
          <w:szCs w:val="26"/>
        </w:rPr>
        <w:t>(</w:t>
      </w:r>
      <w:r w:rsidR="007030F0" w:rsidRPr="00D81D5A">
        <w:rPr>
          <w:i/>
          <w:szCs w:val="26"/>
        </w:rPr>
        <w:t xml:space="preserve">City of Goleta v. Superior Court </w:t>
      </w:r>
      <w:r w:rsidR="006C09E9" w:rsidRPr="00D81D5A">
        <w:rPr>
          <w:szCs w:val="26"/>
        </w:rPr>
        <w:t>(200</w:t>
      </w:r>
      <w:r w:rsidR="007030F0" w:rsidRPr="00D81D5A">
        <w:rPr>
          <w:szCs w:val="26"/>
        </w:rPr>
        <w:t>6</w:t>
      </w:r>
      <w:r w:rsidR="006C09E9" w:rsidRPr="00D81D5A">
        <w:rPr>
          <w:szCs w:val="26"/>
        </w:rPr>
        <w:t xml:space="preserve">) </w:t>
      </w:r>
      <w:r w:rsidR="007030F0" w:rsidRPr="00D81D5A">
        <w:rPr>
          <w:szCs w:val="26"/>
        </w:rPr>
        <w:t>40</w:t>
      </w:r>
      <w:r w:rsidR="006C09E9" w:rsidRPr="00D81D5A">
        <w:rPr>
          <w:szCs w:val="26"/>
        </w:rPr>
        <w:t xml:space="preserve"> Cal.4th </w:t>
      </w:r>
      <w:r w:rsidR="007030F0" w:rsidRPr="00D81D5A">
        <w:rPr>
          <w:szCs w:val="26"/>
        </w:rPr>
        <w:t>270</w:t>
      </w:r>
      <w:r w:rsidR="006C09E9" w:rsidRPr="00D81D5A">
        <w:rPr>
          <w:szCs w:val="26"/>
        </w:rPr>
        <w:t>,</w:t>
      </w:r>
      <w:r w:rsidRPr="00D81D5A">
        <w:rPr>
          <w:i/>
          <w:szCs w:val="26"/>
        </w:rPr>
        <w:t xml:space="preserve"> </w:t>
      </w:r>
      <w:r w:rsidR="007030F0" w:rsidRPr="00D81D5A">
        <w:rPr>
          <w:szCs w:val="26"/>
        </w:rPr>
        <w:t>279</w:t>
      </w:r>
      <w:r w:rsidR="00203727" w:rsidRPr="00D81D5A">
        <w:rPr>
          <w:szCs w:val="26"/>
        </w:rPr>
        <w:t xml:space="preserve"> (</w:t>
      </w:r>
      <w:r w:rsidR="00203727" w:rsidRPr="00D81D5A">
        <w:rPr>
          <w:i/>
          <w:szCs w:val="26"/>
        </w:rPr>
        <w:t>Goleta</w:t>
      </w:r>
      <w:r w:rsidR="00203727" w:rsidRPr="00D81D5A">
        <w:rPr>
          <w:szCs w:val="26"/>
        </w:rPr>
        <w:t>)</w:t>
      </w:r>
      <w:r w:rsidRPr="00D81D5A">
        <w:rPr>
          <w:szCs w:val="26"/>
        </w:rPr>
        <w:t xml:space="preserve">.)  </w:t>
      </w:r>
      <w:r w:rsidR="00855596" w:rsidRPr="00D81D5A">
        <w:rPr>
          <w:szCs w:val="26"/>
        </w:rPr>
        <w:t xml:space="preserve">Although </w:t>
      </w:r>
      <w:r w:rsidR="00162388" w:rsidRPr="00D81D5A">
        <w:rPr>
          <w:szCs w:val="26"/>
        </w:rPr>
        <w:t>equitable estoppe</w:t>
      </w:r>
      <w:r w:rsidR="00AC09C4">
        <w:rPr>
          <w:szCs w:val="26"/>
        </w:rPr>
        <w:t>l</w:t>
      </w:r>
      <w:r w:rsidR="00162388" w:rsidRPr="00D81D5A">
        <w:rPr>
          <w:szCs w:val="26"/>
        </w:rPr>
        <w:t xml:space="preserve"> i</w:t>
      </w:r>
      <w:r w:rsidR="0067616F" w:rsidRPr="00D81D5A">
        <w:rPr>
          <w:szCs w:val="26"/>
        </w:rPr>
        <w:t>s a</w:t>
      </w:r>
      <w:r w:rsidR="00855596" w:rsidRPr="00D81D5A">
        <w:rPr>
          <w:szCs w:val="26"/>
        </w:rPr>
        <w:t xml:space="preserve"> well-accepted remedy among private parties, </w:t>
      </w:r>
      <w:r w:rsidR="00162388" w:rsidRPr="00D81D5A">
        <w:rPr>
          <w:szCs w:val="26"/>
        </w:rPr>
        <w:t>it</w:t>
      </w:r>
      <w:r w:rsidR="006C09E9" w:rsidRPr="00D81D5A">
        <w:rPr>
          <w:szCs w:val="26"/>
        </w:rPr>
        <w:t xml:space="preserve"> </w:t>
      </w:r>
      <w:r w:rsidR="0067616F" w:rsidRPr="00D81D5A">
        <w:rPr>
          <w:szCs w:val="26"/>
        </w:rPr>
        <w:t>ha</w:t>
      </w:r>
      <w:r w:rsidR="006C09E9" w:rsidRPr="00D81D5A">
        <w:rPr>
          <w:szCs w:val="26"/>
        </w:rPr>
        <w:t>s</w:t>
      </w:r>
      <w:r w:rsidR="0067616F" w:rsidRPr="00D81D5A">
        <w:rPr>
          <w:szCs w:val="26"/>
        </w:rPr>
        <w:t xml:space="preserve"> been</w:t>
      </w:r>
      <w:r w:rsidR="006C09E9" w:rsidRPr="00D81D5A">
        <w:rPr>
          <w:szCs w:val="26"/>
        </w:rPr>
        <w:t xml:space="preserve"> applied </w:t>
      </w:r>
      <w:r w:rsidR="0067616F" w:rsidRPr="00D81D5A">
        <w:rPr>
          <w:szCs w:val="26"/>
        </w:rPr>
        <w:t>sparingly</w:t>
      </w:r>
      <w:r w:rsidR="006C09E9" w:rsidRPr="00D81D5A">
        <w:rPr>
          <w:szCs w:val="26"/>
        </w:rPr>
        <w:t xml:space="preserve"> when the party sought to be estopped is a governmental </w:t>
      </w:r>
      <w:r w:rsidR="00A771EA" w:rsidRPr="00D81D5A">
        <w:rPr>
          <w:szCs w:val="26"/>
        </w:rPr>
        <w:t>entit</w:t>
      </w:r>
      <w:r w:rsidR="006C09E9" w:rsidRPr="00D81D5A">
        <w:rPr>
          <w:szCs w:val="26"/>
        </w:rPr>
        <w:t xml:space="preserve">y.  </w:t>
      </w:r>
      <w:r w:rsidR="00A771EA" w:rsidRPr="00D81D5A">
        <w:rPr>
          <w:szCs w:val="26"/>
        </w:rPr>
        <w:t>“</w:t>
      </w:r>
      <w:r w:rsidR="00855596" w:rsidRPr="00D81D5A">
        <w:rPr>
          <w:szCs w:val="26"/>
        </w:rPr>
        <w:t>T</w:t>
      </w:r>
      <w:r w:rsidR="00A771EA" w:rsidRPr="00D81D5A">
        <w:rPr>
          <w:szCs w:val="26"/>
        </w:rPr>
        <w:t>he government may be bound by an equitable estoppel in the same manner as a private party”</w:t>
      </w:r>
      <w:r w:rsidR="003469C6">
        <w:rPr>
          <w:szCs w:val="26"/>
        </w:rPr>
        <w:t xml:space="preserve"> </w:t>
      </w:r>
      <w:r w:rsidR="003469C6" w:rsidRPr="00D81D5A">
        <w:rPr>
          <w:szCs w:val="26"/>
        </w:rPr>
        <w:t>(</w:t>
      </w:r>
      <w:r w:rsidR="003469C6" w:rsidRPr="00D81D5A">
        <w:rPr>
          <w:i/>
          <w:szCs w:val="26"/>
        </w:rPr>
        <w:t xml:space="preserve">City of Long Beach v. Mansell </w:t>
      </w:r>
      <w:r w:rsidR="003469C6" w:rsidRPr="00D81D5A">
        <w:rPr>
          <w:szCs w:val="26"/>
        </w:rPr>
        <w:t>(1970) 3 Cal.3d 462, 496</w:t>
      </w:r>
      <w:r w:rsidR="00427AF8">
        <w:rPr>
          <w:szCs w:val="26"/>
        </w:rPr>
        <w:t>–</w:t>
      </w:r>
      <w:r w:rsidR="003469C6" w:rsidRPr="00D81D5A">
        <w:rPr>
          <w:szCs w:val="26"/>
        </w:rPr>
        <w:t>497, 501 (</w:t>
      </w:r>
      <w:r w:rsidR="003469C6" w:rsidRPr="00D81D5A">
        <w:rPr>
          <w:i/>
          <w:szCs w:val="26"/>
        </w:rPr>
        <w:t>Mansell</w:t>
      </w:r>
      <w:r w:rsidR="003469C6" w:rsidRPr="00D81D5A">
        <w:rPr>
          <w:szCs w:val="26"/>
        </w:rPr>
        <w:t>))</w:t>
      </w:r>
      <w:r w:rsidR="003469C6">
        <w:rPr>
          <w:szCs w:val="26"/>
        </w:rPr>
        <w:t>,</w:t>
      </w:r>
      <w:r w:rsidR="003469C6" w:rsidRPr="00D81D5A">
        <w:rPr>
          <w:szCs w:val="26"/>
        </w:rPr>
        <w:t xml:space="preserve"> </w:t>
      </w:r>
      <w:r w:rsidR="00855596" w:rsidRPr="00D81D5A">
        <w:rPr>
          <w:szCs w:val="26"/>
        </w:rPr>
        <w:t xml:space="preserve">but </w:t>
      </w:r>
      <w:r w:rsidR="00A771EA" w:rsidRPr="00D81D5A">
        <w:rPr>
          <w:szCs w:val="26"/>
        </w:rPr>
        <w:t xml:space="preserve">the doctrine is invoked only in “those ‘exceptional cases’ </w:t>
      </w:r>
      <w:r w:rsidR="00A771EA" w:rsidRPr="00D81D5A">
        <w:rPr>
          <w:rStyle w:val="ssrfcpassagedeactivated"/>
          <w:szCs w:val="26"/>
        </w:rPr>
        <w:t xml:space="preserve">where </w:t>
      </w:r>
      <w:r w:rsidR="007030F0" w:rsidRPr="00D81D5A">
        <w:rPr>
          <w:rStyle w:val="ssrfcpassagedeactivated"/>
          <w:szCs w:val="26"/>
        </w:rPr>
        <w:t>‘</w:t>
      </w:r>
      <w:r w:rsidR="00A771EA" w:rsidRPr="00D81D5A">
        <w:rPr>
          <w:rStyle w:val="ssrfcpassagedeactivated"/>
          <w:szCs w:val="26"/>
        </w:rPr>
        <w:t>justice and right require</w:t>
      </w:r>
      <w:r w:rsidR="007030F0" w:rsidRPr="00D81D5A">
        <w:rPr>
          <w:rStyle w:val="ssrfcpassagedeactivated"/>
          <w:szCs w:val="26"/>
        </w:rPr>
        <w:t>’</w:t>
      </w:r>
      <w:r w:rsidR="00C110DF">
        <w:rPr>
          <w:rStyle w:val="ssrfcpassagedeactivated"/>
          <w:szCs w:val="26"/>
        </w:rPr>
        <w:t> </w:t>
      </w:r>
      <w:r w:rsidR="00855596" w:rsidRPr="00D81D5A">
        <w:rPr>
          <w:rStyle w:val="ssrfcpassagedeactivated"/>
          <w:szCs w:val="26"/>
        </w:rPr>
        <w:t xml:space="preserve">” </w:t>
      </w:r>
      <w:r w:rsidR="003469C6">
        <w:rPr>
          <w:rStyle w:val="ssrfcpassagedeactivated"/>
          <w:szCs w:val="26"/>
        </w:rPr>
        <w:t>(</w:t>
      </w:r>
      <w:r w:rsidR="003469C6">
        <w:rPr>
          <w:rStyle w:val="ssrfcpassagedeactivated"/>
          <w:i/>
          <w:iCs/>
          <w:szCs w:val="26"/>
        </w:rPr>
        <w:t>id</w:t>
      </w:r>
      <w:r w:rsidR="003469C6">
        <w:rPr>
          <w:rStyle w:val="ssrfcpassagedeactivated"/>
          <w:szCs w:val="26"/>
        </w:rPr>
        <w:t>. at p. 501)</w:t>
      </w:r>
      <w:r w:rsidR="003469C6">
        <w:rPr>
          <w:rStyle w:val="ssrfcpassagedeactivated"/>
          <w:i/>
          <w:iCs/>
          <w:szCs w:val="26"/>
        </w:rPr>
        <w:t xml:space="preserve"> </w:t>
      </w:r>
      <w:r w:rsidR="007030F0" w:rsidRPr="00D81D5A">
        <w:rPr>
          <w:rStyle w:val="ssrfcpassagedeactivated"/>
          <w:szCs w:val="26"/>
        </w:rPr>
        <w:t xml:space="preserve">— </w:t>
      </w:r>
      <w:r w:rsidR="00A771EA" w:rsidRPr="00D81D5A">
        <w:rPr>
          <w:rStyle w:val="ssrfcpassagedeactivated"/>
          <w:szCs w:val="26"/>
        </w:rPr>
        <w:t xml:space="preserve">that </w:t>
      </w:r>
      <w:r w:rsidR="007030F0" w:rsidRPr="00D81D5A">
        <w:rPr>
          <w:rStyle w:val="ssrfcpassagedeactivated"/>
          <w:szCs w:val="26"/>
        </w:rPr>
        <w:t>is</w:t>
      </w:r>
      <w:bookmarkStart w:id="24" w:name="_Hlk23425781"/>
      <w:r w:rsidR="007030F0" w:rsidRPr="00D81D5A">
        <w:rPr>
          <w:rStyle w:val="ssrfcpassagedeactivated"/>
          <w:szCs w:val="26"/>
        </w:rPr>
        <w:t xml:space="preserve">, when </w:t>
      </w:r>
      <w:r w:rsidR="0012323D">
        <w:rPr>
          <w:rStyle w:val="ssrfcpassagedeactivated"/>
          <w:szCs w:val="26"/>
        </w:rPr>
        <w:t>“</w:t>
      </w:r>
      <w:r w:rsidR="007030F0" w:rsidRPr="00D81D5A">
        <w:rPr>
          <w:szCs w:val="26"/>
        </w:rPr>
        <w:t xml:space="preserve">the injustice which would result from a failure to uphold an estoppel is of sufficient dimension to justify any effect upon public interest or policy which would result from the raising of an estoppel” </w:t>
      </w:r>
      <w:bookmarkStart w:id="25" w:name="_Hlk23425653"/>
      <w:r w:rsidR="003469C6">
        <w:rPr>
          <w:szCs w:val="26"/>
        </w:rPr>
        <w:t>(</w:t>
      </w:r>
      <w:r w:rsidR="007030F0" w:rsidRPr="00D81D5A">
        <w:rPr>
          <w:i/>
          <w:szCs w:val="26"/>
        </w:rPr>
        <w:t>i</w:t>
      </w:r>
      <w:r w:rsidR="003469C6">
        <w:rPr>
          <w:i/>
          <w:szCs w:val="26"/>
        </w:rPr>
        <w:t>d</w:t>
      </w:r>
      <w:r w:rsidR="003469C6">
        <w:rPr>
          <w:iCs/>
          <w:szCs w:val="26"/>
        </w:rPr>
        <w:t>.</w:t>
      </w:r>
      <w:r w:rsidR="003469C6">
        <w:rPr>
          <w:i/>
          <w:szCs w:val="26"/>
        </w:rPr>
        <w:t xml:space="preserve"> </w:t>
      </w:r>
      <w:r w:rsidR="003469C6" w:rsidRPr="003469C6">
        <w:rPr>
          <w:iCs/>
          <w:szCs w:val="26"/>
        </w:rPr>
        <w:t xml:space="preserve">at </w:t>
      </w:r>
      <w:r w:rsidR="003469C6">
        <w:rPr>
          <w:szCs w:val="26"/>
        </w:rPr>
        <w:t>pp.</w:t>
      </w:r>
      <w:r w:rsidR="007030F0" w:rsidRPr="00D81D5A">
        <w:rPr>
          <w:szCs w:val="26"/>
        </w:rPr>
        <w:t xml:space="preserve"> 496</w:t>
      </w:r>
      <w:r w:rsidR="00427AF8">
        <w:rPr>
          <w:szCs w:val="26"/>
        </w:rPr>
        <w:t>–</w:t>
      </w:r>
      <w:r w:rsidR="007030F0" w:rsidRPr="00D81D5A">
        <w:rPr>
          <w:szCs w:val="26"/>
        </w:rPr>
        <w:t>497)</w:t>
      </w:r>
      <w:r w:rsidR="003469C6">
        <w:rPr>
          <w:szCs w:val="26"/>
        </w:rPr>
        <w:t>.</w:t>
      </w:r>
      <w:r w:rsidR="007030F0" w:rsidRPr="00D81D5A">
        <w:rPr>
          <w:szCs w:val="26"/>
        </w:rPr>
        <w:t xml:space="preserve"> </w:t>
      </w:r>
      <w:bookmarkEnd w:id="24"/>
      <w:r w:rsidR="007030F0" w:rsidRPr="00D81D5A">
        <w:rPr>
          <w:szCs w:val="26"/>
        </w:rPr>
        <w:t xml:space="preserve"> </w:t>
      </w:r>
      <w:r w:rsidR="000D3F11" w:rsidRPr="00D81D5A">
        <w:rPr>
          <w:szCs w:val="26"/>
        </w:rPr>
        <w:t>In s</w:t>
      </w:r>
      <w:bookmarkEnd w:id="25"/>
      <w:r w:rsidR="000D3F11" w:rsidRPr="00D81D5A">
        <w:rPr>
          <w:szCs w:val="26"/>
        </w:rPr>
        <w:t>hort</w:t>
      </w:r>
      <w:r w:rsidR="007030F0" w:rsidRPr="00D81D5A">
        <w:rPr>
          <w:szCs w:val="26"/>
        </w:rPr>
        <w:t>, “</w:t>
      </w:r>
      <w:r w:rsidR="00162388" w:rsidRPr="00D81D5A">
        <w:rPr>
          <w:rStyle w:val="ssrfcpassagedeactivated"/>
          <w:szCs w:val="26"/>
        </w:rPr>
        <w:t>[e]</w:t>
      </w:r>
      <w:proofErr w:type="spellStart"/>
      <w:r w:rsidR="007030F0" w:rsidRPr="00D81D5A">
        <w:rPr>
          <w:rStyle w:val="ssrfcpassagedeactivated"/>
          <w:szCs w:val="26"/>
        </w:rPr>
        <w:t>quitable</w:t>
      </w:r>
      <w:proofErr w:type="spellEnd"/>
      <w:r w:rsidR="007030F0" w:rsidRPr="00D81D5A">
        <w:rPr>
          <w:rStyle w:val="ssrfcpassagedeactivated"/>
          <w:szCs w:val="26"/>
        </w:rPr>
        <w:t xml:space="preserve"> estoppel ‘will not apply against a governmental body except in unusual instances when necessary to avoid grave injustice and when the result will not defeat a strong public policy.’</w:t>
      </w:r>
      <w:r w:rsidR="00CE12E5">
        <w:rPr>
          <w:rStyle w:val="ssrfcpassagedeactivated"/>
          <w:szCs w:val="26"/>
        </w:rPr>
        <w:t> </w:t>
      </w:r>
      <w:r w:rsidR="007030F0" w:rsidRPr="00D81D5A">
        <w:rPr>
          <w:rStyle w:val="ssrfcpassagedeactivated"/>
          <w:szCs w:val="26"/>
        </w:rPr>
        <w:t>”  (</w:t>
      </w:r>
      <w:r w:rsidR="007030F0" w:rsidRPr="00D81D5A">
        <w:rPr>
          <w:rStyle w:val="ssrfcpassagedeactivated"/>
          <w:i/>
          <w:szCs w:val="26"/>
        </w:rPr>
        <w:t>Goleta</w:t>
      </w:r>
      <w:r w:rsidR="00BE0EDE" w:rsidRPr="00D81D5A">
        <w:rPr>
          <w:rStyle w:val="ssrfcpassagedeactivated"/>
          <w:szCs w:val="26"/>
        </w:rPr>
        <w:t>, at p.</w:t>
      </w:r>
      <w:r w:rsidR="005D2BDE" w:rsidRPr="00D81D5A">
        <w:rPr>
          <w:rStyle w:val="ssrfcpassagedeactivated"/>
          <w:szCs w:val="26"/>
        </w:rPr>
        <w:t> </w:t>
      </w:r>
      <w:r w:rsidR="00BE0EDE" w:rsidRPr="00D81D5A">
        <w:rPr>
          <w:rStyle w:val="ssrfcpassagedeactivated"/>
          <w:szCs w:val="26"/>
        </w:rPr>
        <w:t>279.)</w:t>
      </w:r>
    </w:p>
    <w:p w14:paraId="5322C95A" w14:textId="6BF9DD69" w:rsidR="00631A66" w:rsidRPr="00D81D5A" w:rsidRDefault="00215CAC" w:rsidP="00D81D5A">
      <w:pPr>
        <w:ind w:firstLine="720"/>
      </w:pPr>
      <w:r w:rsidRPr="00D81D5A">
        <w:rPr>
          <w:rStyle w:val="ssrfcpassagedeactivated"/>
          <w:szCs w:val="26"/>
          <w:bdr w:val="none" w:sz="0" w:space="0" w:color="auto" w:frame="1"/>
          <w:shd w:val="clear" w:color="auto" w:fill="FFFFFF"/>
        </w:rPr>
        <w:t xml:space="preserve">We reject the Court of Appeal’s conclusion with respect to equitable estoppel because we find no actionable representations in the settlement agreements that would support invocation of that doctrine.  </w:t>
      </w:r>
      <w:r w:rsidR="0012323D">
        <w:rPr>
          <w:rStyle w:val="ssrfcpassagedeactivated"/>
          <w:szCs w:val="26"/>
          <w:bdr w:val="none" w:sz="0" w:space="0" w:color="auto" w:frame="1"/>
          <w:shd w:val="clear" w:color="auto" w:fill="FFFFFF"/>
        </w:rPr>
        <w:t>E</w:t>
      </w:r>
      <w:r w:rsidR="00F550E4" w:rsidRPr="00D81D5A">
        <w:rPr>
          <w:rStyle w:val="ssrfcpassagedeactivated"/>
          <w:szCs w:val="26"/>
          <w:bdr w:val="none" w:sz="0" w:space="0" w:color="auto" w:frame="1"/>
          <w:shd w:val="clear" w:color="auto" w:fill="FFFFFF"/>
        </w:rPr>
        <w:t xml:space="preserve">quitable estoppel </w:t>
      </w:r>
      <w:r w:rsidR="00E16571" w:rsidRPr="00D81D5A">
        <w:rPr>
          <w:rStyle w:val="ssrfcpassagedeactivated"/>
          <w:szCs w:val="26"/>
          <w:bdr w:val="none" w:sz="0" w:space="0" w:color="auto" w:frame="1"/>
          <w:shd w:val="clear" w:color="auto" w:fill="FFFFFF"/>
        </w:rPr>
        <w:t>generally</w:t>
      </w:r>
      <w:r w:rsidR="00753384">
        <w:rPr>
          <w:rStyle w:val="ssrfcpassagedeactivated"/>
          <w:szCs w:val="26"/>
          <w:bdr w:val="none" w:sz="0" w:space="0" w:color="auto" w:frame="1"/>
          <w:shd w:val="clear" w:color="auto" w:fill="FFFFFF"/>
        </w:rPr>
        <w:t xml:space="preserve"> must</w:t>
      </w:r>
      <w:r w:rsidR="00E16571" w:rsidRPr="00D81D5A">
        <w:rPr>
          <w:rStyle w:val="ssrfcpassagedeactivated"/>
          <w:szCs w:val="26"/>
          <w:bdr w:val="none" w:sz="0" w:space="0" w:color="auto" w:frame="1"/>
          <w:shd w:val="clear" w:color="auto" w:fill="FFFFFF"/>
        </w:rPr>
        <w:t xml:space="preserve"> be premised on some type of representation, ordinarily false, about a set of circumstances.  (</w:t>
      </w:r>
      <w:r w:rsidR="00E16571" w:rsidRPr="00D81D5A">
        <w:rPr>
          <w:rStyle w:val="ssrfcpassagedeactivated"/>
          <w:i/>
          <w:szCs w:val="26"/>
          <w:bdr w:val="none" w:sz="0" w:space="0" w:color="auto" w:frame="1"/>
          <w:shd w:val="clear" w:color="auto" w:fill="FFFFFF"/>
        </w:rPr>
        <w:t xml:space="preserve">J.M. v. Huntington Beach Union High School Dist. </w:t>
      </w:r>
      <w:r w:rsidR="00E16571" w:rsidRPr="00D81D5A">
        <w:rPr>
          <w:rStyle w:val="ssrfcpassagedeactivated"/>
          <w:szCs w:val="26"/>
          <w:bdr w:val="none" w:sz="0" w:space="0" w:color="auto" w:frame="1"/>
          <w:shd w:val="clear" w:color="auto" w:fill="FFFFFF"/>
        </w:rPr>
        <w:t>(2017) 2 Cal.5th 648, 657</w:t>
      </w:r>
      <w:r w:rsidR="008D1155" w:rsidRPr="00D81D5A">
        <w:rPr>
          <w:rStyle w:val="ssrfcpassagedeactivated"/>
          <w:szCs w:val="26"/>
          <w:bdr w:val="none" w:sz="0" w:space="0" w:color="auto" w:frame="1"/>
          <w:shd w:val="clear" w:color="auto" w:fill="FFFFFF"/>
        </w:rPr>
        <w:t xml:space="preserve"> (</w:t>
      </w:r>
      <w:r w:rsidR="008D1155" w:rsidRPr="00D81D5A">
        <w:rPr>
          <w:rStyle w:val="ssrfcpassagedeactivated"/>
          <w:i/>
          <w:szCs w:val="26"/>
          <w:bdr w:val="none" w:sz="0" w:space="0" w:color="auto" w:frame="1"/>
          <w:shd w:val="clear" w:color="auto" w:fill="FFFFFF"/>
        </w:rPr>
        <w:t>J.M.</w:t>
      </w:r>
      <w:r w:rsidR="008D1155" w:rsidRPr="00D81D5A">
        <w:rPr>
          <w:rStyle w:val="ssrfcpassagedeactivated"/>
          <w:szCs w:val="26"/>
          <w:bdr w:val="none" w:sz="0" w:space="0" w:color="auto" w:frame="1"/>
          <w:shd w:val="clear" w:color="auto" w:fill="FFFFFF"/>
        </w:rPr>
        <w:t>)</w:t>
      </w:r>
      <w:r w:rsidR="00E16571" w:rsidRPr="00D81D5A">
        <w:rPr>
          <w:rStyle w:val="ssrfcpassagedeactivated"/>
          <w:szCs w:val="26"/>
          <w:bdr w:val="none" w:sz="0" w:space="0" w:color="auto" w:frame="1"/>
          <w:shd w:val="clear" w:color="auto" w:fill="FFFFFF"/>
        </w:rPr>
        <w:t xml:space="preserve"> [“</w:t>
      </w:r>
      <w:r w:rsidR="00E16571" w:rsidRPr="00D81D5A">
        <w:rPr>
          <w:rStyle w:val="sssh"/>
          <w:szCs w:val="26"/>
        </w:rPr>
        <w:t>Equitable estoppel</w:t>
      </w:r>
      <w:r w:rsidR="00E16571" w:rsidRPr="00D81D5A">
        <w:rPr>
          <w:rStyle w:val="ssrfcpassagedeactivated"/>
          <w:szCs w:val="26"/>
        </w:rPr>
        <w:t xml:space="preserve"> generally requires an </w:t>
      </w:r>
      <w:r w:rsidR="00E16571" w:rsidRPr="00D81D5A">
        <w:rPr>
          <w:rStyle w:val="ssit2"/>
          <w:szCs w:val="26"/>
        </w:rPr>
        <w:t>affirmative</w:t>
      </w:r>
      <w:r w:rsidR="00E16571" w:rsidRPr="00D81D5A">
        <w:rPr>
          <w:rStyle w:val="ssrfcpassagedeactivated"/>
          <w:szCs w:val="26"/>
        </w:rPr>
        <w:t xml:space="preserve"> </w:t>
      </w:r>
      <w:r w:rsidR="00E16571" w:rsidRPr="00D81D5A">
        <w:rPr>
          <w:rStyle w:val="sssh"/>
          <w:szCs w:val="26"/>
        </w:rPr>
        <w:t>representation</w:t>
      </w:r>
      <w:r w:rsidR="00E16571" w:rsidRPr="00D81D5A">
        <w:rPr>
          <w:rStyle w:val="ssrfcpassagedeactivated"/>
          <w:szCs w:val="26"/>
        </w:rPr>
        <w:t xml:space="preserve"> or act by the public entity”]; </w:t>
      </w:r>
      <w:r w:rsidR="00E16571" w:rsidRPr="00D81D5A">
        <w:rPr>
          <w:rStyle w:val="ssrfcpassagedeactivated"/>
          <w:i/>
          <w:szCs w:val="26"/>
        </w:rPr>
        <w:t xml:space="preserve">Simmons v. Ghaderi </w:t>
      </w:r>
      <w:r w:rsidR="00E16571" w:rsidRPr="00D81D5A">
        <w:rPr>
          <w:rStyle w:val="ssrfcpassagedeactivated"/>
          <w:szCs w:val="26"/>
        </w:rPr>
        <w:t>(2008) 44 Cal.4th 570, 584 [“</w:t>
      </w:r>
      <w:r w:rsidR="00E16571" w:rsidRPr="00D81D5A">
        <w:rPr>
          <w:szCs w:val="26"/>
        </w:rPr>
        <w:t xml:space="preserve">A valid claim for </w:t>
      </w:r>
      <w:r w:rsidR="00E16571" w:rsidRPr="00D81D5A">
        <w:rPr>
          <w:rStyle w:val="sssh"/>
          <w:szCs w:val="26"/>
        </w:rPr>
        <w:t>equitable estoppel</w:t>
      </w:r>
      <w:r w:rsidR="00E16571" w:rsidRPr="00D81D5A">
        <w:rPr>
          <w:szCs w:val="26"/>
        </w:rPr>
        <w:t xml:space="preserve"> requires . . . a </w:t>
      </w:r>
      <w:r w:rsidR="00E16571" w:rsidRPr="00D81D5A">
        <w:rPr>
          <w:rStyle w:val="sssh"/>
          <w:szCs w:val="26"/>
        </w:rPr>
        <w:t>representation</w:t>
      </w:r>
      <w:r w:rsidR="00E16571" w:rsidRPr="00D81D5A">
        <w:rPr>
          <w:szCs w:val="26"/>
        </w:rPr>
        <w:t xml:space="preserve"> or concealment of material facts”].)  </w:t>
      </w:r>
      <w:r w:rsidR="0014056E" w:rsidRPr="00D81D5A">
        <w:rPr>
          <w:szCs w:val="26"/>
        </w:rPr>
        <w:t xml:space="preserve">The representations cited by </w:t>
      </w:r>
      <w:r w:rsidR="00E16571" w:rsidRPr="00D81D5A">
        <w:rPr>
          <w:szCs w:val="26"/>
        </w:rPr>
        <w:t>t</w:t>
      </w:r>
      <w:r w:rsidR="00E16571" w:rsidRPr="00D81D5A">
        <w:rPr>
          <w:rStyle w:val="ssrfcpassagedeactivated"/>
          <w:szCs w:val="26"/>
          <w:bdr w:val="none" w:sz="0" w:space="0" w:color="auto" w:frame="1"/>
          <w:shd w:val="clear" w:color="auto" w:fill="FFFFFF"/>
        </w:rPr>
        <w:t>he Court of Appeal</w:t>
      </w:r>
      <w:r w:rsidR="0014056E" w:rsidRPr="00D81D5A">
        <w:rPr>
          <w:rStyle w:val="ssrfcpassagedeactivated"/>
          <w:szCs w:val="26"/>
          <w:bdr w:val="none" w:sz="0" w:space="0" w:color="auto" w:frame="1"/>
          <w:shd w:val="clear" w:color="auto" w:fill="FFFFFF"/>
        </w:rPr>
        <w:t xml:space="preserve"> were</w:t>
      </w:r>
      <w:r w:rsidR="00E16571" w:rsidRPr="00D81D5A">
        <w:rPr>
          <w:rStyle w:val="ssrfcpassagedeactivated"/>
          <w:szCs w:val="26"/>
          <w:bdr w:val="none" w:sz="0" w:space="0" w:color="auto" w:frame="1"/>
          <w:shd w:val="clear" w:color="auto" w:fill="FFFFFF"/>
        </w:rPr>
        <w:t xml:space="preserve"> “</w:t>
      </w:r>
      <w:r w:rsidR="00E16571" w:rsidRPr="00D81D5A">
        <w:rPr>
          <w:rStyle w:val="ssrfcpassagedeactivated"/>
          <w:szCs w:val="26"/>
        </w:rPr>
        <w:t xml:space="preserve">the </w:t>
      </w:r>
      <w:r w:rsidR="00E16571" w:rsidRPr="00D81D5A">
        <w:rPr>
          <w:rStyle w:val="sssh"/>
          <w:szCs w:val="26"/>
        </w:rPr>
        <w:t>promise</w:t>
      </w:r>
      <w:r w:rsidR="00E16571" w:rsidRPr="00D81D5A">
        <w:rPr>
          <w:rStyle w:val="ssrfcpassagedeactivated"/>
          <w:szCs w:val="26"/>
        </w:rPr>
        <w:t xml:space="preserve"> that [county employees] would receive a pension as authorized by CERL,” combined with “precise and explicit </w:t>
      </w:r>
      <w:r w:rsidR="00E16571" w:rsidRPr="00D81D5A">
        <w:rPr>
          <w:rStyle w:val="sssh"/>
          <w:szCs w:val="26"/>
        </w:rPr>
        <w:t>promises</w:t>
      </w:r>
      <w:r w:rsidR="00E16571" w:rsidRPr="00D81D5A">
        <w:rPr>
          <w:rStyle w:val="ssrfcpassagedeactivated"/>
          <w:szCs w:val="26"/>
        </w:rPr>
        <w:t xml:space="preserve"> to [county employees] as to what such a statutorily authorized CERL pension would include,” which</w:t>
      </w:r>
      <w:r w:rsidR="0014056E" w:rsidRPr="00D81D5A">
        <w:rPr>
          <w:rStyle w:val="ssrfcpassagedeactivated"/>
          <w:szCs w:val="26"/>
        </w:rPr>
        <w:t xml:space="preserve"> promises were</w:t>
      </w:r>
      <w:r w:rsidR="00E16571" w:rsidRPr="00D81D5A">
        <w:rPr>
          <w:rStyle w:val="ssrfcpassagedeactivated"/>
          <w:szCs w:val="26"/>
        </w:rPr>
        <w:t xml:space="preserve"> found in “their court-approved Post-</w:t>
      </w:r>
      <w:r w:rsidR="00E16571" w:rsidRPr="00D81D5A">
        <w:rPr>
          <w:rStyle w:val="ssit2"/>
          <w:szCs w:val="26"/>
        </w:rPr>
        <w:t>Ventura</w:t>
      </w:r>
      <w:r w:rsidR="00E16571" w:rsidRPr="00D81D5A">
        <w:rPr>
          <w:rStyle w:val="ssrfcpassagedeactivated"/>
          <w:szCs w:val="26"/>
        </w:rPr>
        <w:t xml:space="preserve"> Settlement Agreements.”  </w:t>
      </w:r>
      <w:r w:rsidR="00E16571" w:rsidRPr="00D81D5A">
        <w:rPr>
          <w:rStyle w:val="ssrfcpassagedeactivated"/>
          <w:szCs w:val="26"/>
          <w:bdr w:val="none" w:sz="0" w:space="0" w:color="auto" w:frame="1"/>
          <w:shd w:val="clear" w:color="auto" w:fill="FFFFFF"/>
        </w:rPr>
        <w:t>(</w:t>
      </w:r>
      <w:r w:rsidR="00E16571" w:rsidRPr="00D81D5A">
        <w:rPr>
          <w:rStyle w:val="ssrfcpassagedeactivated"/>
          <w:i/>
          <w:szCs w:val="26"/>
          <w:bdr w:val="none" w:sz="0" w:space="0" w:color="auto" w:frame="1"/>
          <w:shd w:val="clear" w:color="auto" w:fill="FFFFFF"/>
        </w:rPr>
        <w:t>Alameda Sheriffs</w:t>
      </w:r>
      <w:r w:rsidR="00E16571" w:rsidRPr="00D81D5A">
        <w:rPr>
          <w:rStyle w:val="ssrfcpassagedeactivated"/>
          <w:szCs w:val="26"/>
          <w:bdr w:val="none" w:sz="0" w:space="0" w:color="auto" w:frame="1"/>
          <w:shd w:val="clear" w:color="auto" w:fill="FFFFFF"/>
        </w:rPr>
        <w:t xml:space="preserve">, </w:t>
      </w:r>
      <w:r w:rsidR="00E16571" w:rsidRPr="00D81D5A">
        <w:rPr>
          <w:rStyle w:val="ssrfcpassagedeactivated"/>
          <w:i/>
          <w:szCs w:val="26"/>
          <w:bdr w:val="none" w:sz="0" w:space="0" w:color="auto" w:frame="1"/>
          <w:shd w:val="clear" w:color="auto" w:fill="FFFFFF"/>
        </w:rPr>
        <w:t>supra</w:t>
      </w:r>
      <w:r w:rsidR="00E16571" w:rsidRPr="00D81D5A">
        <w:rPr>
          <w:rStyle w:val="ssrfcpassagedeactivated"/>
          <w:szCs w:val="26"/>
          <w:bdr w:val="none" w:sz="0" w:space="0" w:color="auto" w:frame="1"/>
          <w:shd w:val="clear" w:color="auto" w:fill="FFFFFF"/>
        </w:rPr>
        <w:t xml:space="preserve">, </w:t>
      </w:r>
      <w:r w:rsidR="00E16571" w:rsidRPr="00D81D5A">
        <w:t>19</w:t>
      </w:r>
      <w:r w:rsidR="00651217">
        <w:t> </w:t>
      </w:r>
      <w:r w:rsidR="00E16571" w:rsidRPr="00D81D5A">
        <w:t>Cal.App.5th at p.</w:t>
      </w:r>
      <w:r w:rsidR="009D1B95">
        <w:t> </w:t>
      </w:r>
      <w:r w:rsidR="00E16571" w:rsidRPr="00D81D5A">
        <w:t xml:space="preserve">128.)  </w:t>
      </w:r>
      <w:r w:rsidR="0014056E" w:rsidRPr="00D81D5A">
        <w:t>The</w:t>
      </w:r>
      <w:r w:rsidR="004F1867" w:rsidRPr="00D81D5A">
        <w:t xml:space="preserve"> cited</w:t>
      </w:r>
      <w:r w:rsidR="00631A66" w:rsidRPr="00D81D5A">
        <w:t xml:space="preserve"> representations are insufficient to support an estoppel in these circumstances.</w:t>
      </w:r>
    </w:p>
    <w:p w14:paraId="789354CA" w14:textId="77777777" w:rsidR="00E16571" w:rsidRPr="00D81D5A" w:rsidRDefault="00E16571" w:rsidP="00D81D5A">
      <w:pPr>
        <w:ind w:firstLine="720"/>
      </w:pPr>
      <w:r w:rsidRPr="00D81D5A">
        <w:rPr>
          <w:szCs w:val="26"/>
        </w:rPr>
        <w:t xml:space="preserve">The </w:t>
      </w:r>
      <w:r w:rsidR="001E2452" w:rsidRPr="00D81D5A">
        <w:rPr>
          <w:szCs w:val="26"/>
        </w:rPr>
        <w:t>core</w:t>
      </w:r>
      <w:r w:rsidRPr="00D81D5A">
        <w:rPr>
          <w:szCs w:val="26"/>
        </w:rPr>
        <w:t xml:space="preserve"> of plaintiffs’ </w:t>
      </w:r>
      <w:r w:rsidR="00631A66" w:rsidRPr="00D81D5A">
        <w:rPr>
          <w:szCs w:val="26"/>
        </w:rPr>
        <w:t xml:space="preserve">estoppel </w:t>
      </w:r>
      <w:r w:rsidRPr="00D81D5A">
        <w:rPr>
          <w:szCs w:val="26"/>
        </w:rPr>
        <w:t xml:space="preserve">claim is the second </w:t>
      </w:r>
      <w:r w:rsidR="0098767E" w:rsidRPr="00D81D5A">
        <w:rPr>
          <w:szCs w:val="26"/>
        </w:rPr>
        <w:t xml:space="preserve">group of statements </w:t>
      </w:r>
      <w:r w:rsidRPr="00D81D5A">
        <w:rPr>
          <w:szCs w:val="26"/>
        </w:rPr>
        <w:t xml:space="preserve">cited by the Court of Appeal, </w:t>
      </w:r>
      <w:r w:rsidR="0098767E" w:rsidRPr="00D81D5A">
        <w:rPr>
          <w:szCs w:val="26"/>
        </w:rPr>
        <w:t xml:space="preserve">the boards’ representations about </w:t>
      </w:r>
      <w:r w:rsidRPr="00D81D5A">
        <w:rPr>
          <w:szCs w:val="26"/>
        </w:rPr>
        <w:t>the requirements of CERL</w:t>
      </w:r>
      <w:r w:rsidR="003469C6">
        <w:rPr>
          <w:szCs w:val="26"/>
        </w:rPr>
        <w:t>,</w:t>
      </w:r>
      <w:r w:rsidRPr="00D81D5A">
        <w:rPr>
          <w:szCs w:val="26"/>
        </w:rPr>
        <w:t xml:space="preserve"> as </w:t>
      </w:r>
      <w:r w:rsidR="0098767E" w:rsidRPr="00D81D5A">
        <w:rPr>
          <w:szCs w:val="26"/>
        </w:rPr>
        <w:t xml:space="preserve">contained </w:t>
      </w:r>
      <w:r w:rsidRPr="00D81D5A">
        <w:rPr>
          <w:szCs w:val="26"/>
        </w:rPr>
        <w:t>in the settlement agreements.</w:t>
      </w:r>
      <w:r w:rsidR="002E48AB" w:rsidRPr="00D81D5A">
        <w:rPr>
          <w:rStyle w:val="FootnoteReference"/>
          <w:szCs w:val="26"/>
        </w:rPr>
        <w:footnoteReference w:id="21"/>
      </w:r>
      <w:r w:rsidRPr="00D81D5A">
        <w:rPr>
          <w:szCs w:val="26"/>
        </w:rPr>
        <w:t xml:space="preserve">  </w:t>
      </w:r>
      <w:r w:rsidRPr="00D81D5A">
        <w:rPr>
          <w:rStyle w:val="ssrfcpassagedeactivated"/>
          <w:szCs w:val="26"/>
        </w:rPr>
        <w:t xml:space="preserve">Necessarily, to the extent the settlement </w:t>
      </w:r>
      <w:r w:rsidRPr="00D81D5A">
        <w:t xml:space="preserve">agreements </w:t>
      </w:r>
      <w:r w:rsidR="00510C1B" w:rsidRPr="00D81D5A">
        <w:t xml:space="preserve">represent an </w:t>
      </w:r>
      <w:r w:rsidR="001B2DE3" w:rsidRPr="00D81D5A">
        <w:t>interpretation</w:t>
      </w:r>
      <w:r w:rsidR="00510C1B" w:rsidRPr="00D81D5A">
        <w:t xml:space="preserve"> of</w:t>
      </w:r>
      <w:r w:rsidR="0098767E" w:rsidRPr="00D81D5A">
        <w:t xml:space="preserve"> the</w:t>
      </w:r>
      <w:r w:rsidR="000C705A" w:rsidRPr="00D81D5A">
        <w:t xml:space="preserve"> statutory provisions</w:t>
      </w:r>
      <w:r w:rsidR="00510C1B" w:rsidRPr="00D81D5A">
        <w:t xml:space="preserve"> </w:t>
      </w:r>
      <w:r w:rsidR="0098767E" w:rsidRPr="00D81D5A">
        <w:t>of CERL, they reflect the statute as it existed</w:t>
      </w:r>
      <w:r w:rsidRPr="00D81D5A">
        <w:t xml:space="preserve"> at the time the settlement agreements were concluded, a decade prior to PEPRA.  </w:t>
      </w:r>
      <w:r w:rsidR="0098767E" w:rsidRPr="00D81D5A">
        <w:t xml:space="preserve">The settlement agreements contain no representations that can be construed as a guarantee that </w:t>
      </w:r>
      <w:r w:rsidR="00510C1B" w:rsidRPr="00D81D5A">
        <w:t xml:space="preserve">these </w:t>
      </w:r>
      <w:r w:rsidR="000C705A" w:rsidRPr="00D81D5A">
        <w:t>provisions</w:t>
      </w:r>
      <w:r w:rsidR="0098767E" w:rsidRPr="00D81D5A">
        <w:t xml:space="preserve"> would not be amended.  On the contrary, </w:t>
      </w:r>
      <w:r w:rsidR="00510C1B" w:rsidRPr="00D81D5A">
        <w:t xml:space="preserve">as discussed above, the agreements contain no provisions addressing the agreements’ implementation in the event of such an amendment.  Further, </w:t>
      </w:r>
      <w:r w:rsidR="0098767E" w:rsidRPr="00D81D5A">
        <w:t>a</w:t>
      </w:r>
      <w:r w:rsidRPr="00D81D5A">
        <w:t>ll parties</w:t>
      </w:r>
      <w:r w:rsidR="00631A66" w:rsidRPr="00D81D5A">
        <w:t xml:space="preserve"> were presumably aware </w:t>
      </w:r>
      <w:r w:rsidRPr="00D81D5A">
        <w:t xml:space="preserve">that </w:t>
      </w:r>
      <w:r w:rsidR="000607C5" w:rsidRPr="00D81D5A">
        <w:t>CERL’s</w:t>
      </w:r>
      <w:r w:rsidR="00631A66" w:rsidRPr="00D81D5A">
        <w:t xml:space="preserve"> provisions, as enactments of the Legislature,</w:t>
      </w:r>
      <w:r w:rsidRPr="00D81D5A">
        <w:t xml:space="preserve"> could be changed by th</w:t>
      </w:r>
      <w:r w:rsidR="0098767E" w:rsidRPr="00D81D5A">
        <w:t>at</w:t>
      </w:r>
      <w:r w:rsidRPr="00D81D5A">
        <w:t xml:space="preserve"> </w:t>
      </w:r>
      <w:r w:rsidR="00631A66" w:rsidRPr="00D81D5A">
        <w:t>same body</w:t>
      </w:r>
      <w:r w:rsidR="0098767E" w:rsidRPr="00D81D5A">
        <w:t>, in which event the agreements’ interpretations might no longer reflect the statut</w:t>
      </w:r>
      <w:r w:rsidR="009925DF" w:rsidRPr="00D81D5A">
        <w:t>e’s</w:t>
      </w:r>
      <w:r w:rsidR="0098767E" w:rsidRPr="00D81D5A">
        <w:t xml:space="preserve"> </w:t>
      </w:r>
      <w:r w:rsidR="00510C1B" w:rsidRPr="00D81D5A">
        <w:t>provisions</w:t>
      </w:r>
      <w:r w:rsidR="0098767E" w:rsidRPr="00D81D5A">
        <w:t>.</w:t>
      </w:r>
      <w:r w:rsidRPr="00D81D5A">
        <w:t xml:space="preserve">  </w:t>
      </w:r>
      <w:r w:rsidR="0098767E" w:rsidRPr="00D81D5A">
        <w:t>A</w:t>
      </w:r>
      <w:r w:rsidR="000607C5" w:rsidRPr="00D81D5A">
        <w:t>n agency’s</w:t>
      </w:r>
      <w:r w:rsidR="0098767E" w:rsidRPr="00D81D5A">
        <w:t xml:space="preserve"> representation about the contents of </w:t>
      </w:r>
      <w:r w:rsidR="000607C5" w:rsidRPr="00D81D5A">
        <w:t xml:space="preserve">its </w:t>
      </w:r>
      <w:r w:rsidR="0091117C" w:rsidRPr="00D81D5A">
        <w:t>governing</w:t>
      </w:r>
      <w:r w:rsidR="0098767E" w:rsidRPr="00D81D5A">
        <w:t xml:space="preserve"> statute at </w:t>
      </w:r>
      <w:r w:rsidR="00510C1B" w:rsidRPr="00D81D5A">
        <w:t xml:space="preserve">a particular </w:t>
      </w:r>
      <w:r w:rsidR="0098767E" w:rsidRPr="00D81D5A">
        <w:t xml:space="preserve">point </w:t>
      </w:r>
      <w:r w:rsidR="0091117C" w:rsidRPr="00D81D5A">
        <w:t xml:space="preserve">in </w:t>
      </w:r>
      <w:r w:rsidR="0098767E" w:rsidRPr="00D81D5A">
        <w:t>time</w:t>
      </w:r>
      <w:r w:rsidR="00510C1B" w:rsidRPr="00D81D5A">
        <w:t>, standing alone,</w:t>
      </w:r>
      <w:r w:rsidR="0098767E" w:rsidRPr="00D81D5A">
        <w:t xml:space="preserve"> provide</w:t>
      </w:r>
      <w:r w:rsidR="0091117C" w:rsidRPr="00D81D5A">
        <w:t>s</w:t>
      </w:r>
      <w:r w:rsidR="0098767E" w:rsidRPr="00D81D5A">
        <w:t xml:space="preserve"> no basis for estopping </w:t>
      </w:r>
      <w:r w:rsidR="0091117C" w:rsidRPr="00D81D5A">
        <w:t>the</w:t>
      </w:r>
      <w:r w:rsidR="0098767E" w:rsidRPr="00D81D5A">
        <w:t xml:space="preserve"> agency from </w:t>
      </w:r>
      <w:r w:rsidR="00510C1B" w:rsidRPr="00D81D5A">
        <w:t xml:space="preserve">conforming its practice </w:t>
      </w:r>
      <w:r w:rsidR="0098767E" w:rsidRPr="00D81D5A">
        <w:t>to a statutory change</w:t>
      </w:r>
      <w:r w:rsidR="0091117C" w:rsidRPr="00D81D5A">
        <w:t xml:space="preserve"> </w:t>
      </w:r>
      <w:r w:rsidR="000607C5" w:rsidRPr="00D81D5A">
        <w:t xml:space="preserve">that </w:t>
      </w:r>
      <w:r w:rsidR="0091117C" w:rsidRPr="00D81D5A">
        <w:t>occurr</w:t>
      </w:r>
      <w:r w:rsidR="000607C5" w:rsidRPr="00D81D5A">
        <w:t>ed</w:t>
      </w:r>
      <w:r w:rsidR="0091117C" w:rsidRPr="00D81D5A">
        <w:t xml:space="preserve"> </w:t>
      </w:r>
      <w:r w:rsidR="000607C5" w:rsidRPr="00D81D5A">
        <w:t>subsequent to th</w:t>
      </w:r>
      <w:r w:rsidR="00510C1B" w:rsidRPr="00D81D5A">
        <w:t>at</w:t>
      </w:r>
      <w:r w:rsidR="000607C5" w:rsidRPr="00D81D5A">
        <w:t xml:space="preserve"> representation</w:t>
      </w:r>
      <w:r w:rsidR="0098767E" w:rsidRPr="00D81D5A">
        <w:t>.</w:t>
      </w:r>
    </w:p>
    <w:p w14:paraId="4728B415" w14:textId="77777777" w:rsidR="00BD4F16" w:rsidRPr="00D81D5A" w:rsidRDefault="008D1155" w:rsidP="00D81D5A">
      <w:pPr>
        <w:ind w:firstLine="720"/>
        <w:rPr>
          <w:rStyle w:val="ssrfcpassagedeactivated"/>
        </w:rPr>
      </w:pPr>
      <w:r w:rsidRPr="00D81D5A">
        <w:t>Application of the doctrine of estoppel requires, at a minimum, an actionable statement — that is, “</w:t>
      </w:r>
      <w:r w:rsidRPr="00D81D5A">
        <w:rPr>
          <w:rStyle w:val="ssrfcpassagedeactivated"/>
          <w:szCs w:val="26"/>
        </w:rPr>
        <w:t xml:space="preserve">an </w:t>
      </w:r>
      <w:r w:rsidRPr="00D81D5A">
        <w:rPr>
          <w:rStyle w:val="ssit2"/>
          <w:i w:val="0"/>
          <w:iCs w:val="0"/>
          <w:szCs w:val="26"/>
        </w:rPr>
        <w:t>affirmative</w:t>
      </w:r>
      <w:r w:rsidRPr="00D81D5A">
        <w:rPr>
          <w:rStyle w:val="ssrfcpassagedeactivated"/>
          <w:szCs w:val="26"/>
        </w:rPr>
        <w:t xml:space="preserve"> </w:t>
      </w:r>
      <w:r w:rsidRPr="00D81D5A">
        <w:rPr>
          <w:rStyle w:val="sssh"/>
          <w:szCs w:val="26"/>
        </w:rPr>
        <w:t>representation</w:t>
      </w:r>
      <w:r w:rsidRPr="00D81D5A">
        <w:rPr>
          <w:rStyle w:val="ssrfcpassagedeactivated"/>
          <w:szCs w:val="26"/>
        </w:rPr>
        <w:t xml:space="preserve"> or act by the public entity” that is intended to induce reliance by the plaintiff.  (</w:t>
      </w:r>
      <w:r w:rsidRPr="00D81D5A">
        <w:rPr>
          <w:rStyle w:val="ssrfcpassagedeactivated"/>
          <w:i/>
          <w:szCs w:val="26"/>
        </w:rPr>
        <w:t>J.M.</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w:t>
      </w:r>
      <w:r w:rsidRPr="00D81D5A">
        <w:rPr>
          <w:rStyle w:val="ssrfcpassagedeactivated"/>
          <w:i/>
          <w:szCs w:val="26"/>
        </w:rPr>
        <w:t xml:space="preserve"> </w:t>
      </w:r>
      <w:r w:rsidRPr="00D81D5A">
        <w:rPr>
          <w:rStyle w:val="ssrfcpassagedeactivated"/>
          <w:szCs w:val="26"/>
          <w:bdr w:val="none" w:sz="0" w:space="0" w:color="auto" w:frame="1"/>
          <w:shd w:val="clear" w:color="auto" w:fill="FFFFFF"/>
        </w:rPr>
        <w:t>2 Cal.5th at p.</w:t>
      </w:r>
      <w:r w:rsidR="00E33818">
        <w:rPr>
          <w:rStyle w:val="ssrfcpassagedeactivated"/>
          <w:szCs w:val="26"/>
          <w:bdr w:val="none" w:sz="0" w:space="0" w:color="auto" w:frame="1"/>
          <w:shd w:val="clear" w:color="auto" w:fill="FFFFFF"/>
        </w:rPr>
        <w:t> </w:t>
      </w:r>
      <w:r w:rsidRPr="00D81D5A">
        <w:rPr>
          <w:rStyle w:val="ssrfcpassagedeactivated"/>
          <w:szCs w:val="26"/>
          <w:bdr w:val="none" w:sz="0" w:space="0" w:color="auto" w:frame="1"/>
          <w:shd w:val="clear" w:color="auto" w:fill="FFFFFF"/>
        </w:rPr>
        <w:t>657</w:t>
      </w:r>
      <w:r w:rsidR="00CA0153" w:rsidRPr="00D81D5A">
        <w:rPr>
          <w:rStyle w:val="ssrfcpassagedeactivated"/>
          <w:szCs w:val="26"/>
          <w:bdr w:val="none" w:sz="0" w:space="0" w:color="auto" w:frame="1"/>
          <w:shd w:val="clear" w:color="auto" w:fill="FFFFFF"/>
        </w:rPr>
        <w:t xml:space="preserve">, italics </w:t>
      </w:r>
      <w:r w:rsidR="00F550E4" w:rsidRPr="00D81D5A">
        <w:rPr>
          <w:rStyle w:val="ssrfcpassagedeactivated"/>
          <w:szCs w:val="26"/>
          <w:bdr w:val="none" w:sz="0" w:space="0" w:color="auto" w:frame="1"/>
          <w:shd w:val="clear" w:color="auto" w:fill="FFFFFF"/>
        </w:rPr>
        <w:t>omitted</w:t>
      </w:r>
      <w:r w:rsidRPr="00D81D5A">
        <w:rPr>
          <w:rStyle w:val="ssrfcpassagedeactivated"/>
          <w:i/>
          <w:szCs w:val="26"/>
          <w:bdr w:val="none" w:sz="0" w:space="0" w:color="auto" w:frame="1"/>
          <w:shd w:val="clear" w:color="auto" w:fill="FFFFFF"/>
        </w:rPr>
        <w:t>.</w:t>
      </w:r>
      <w:r w:rsidRPr="00D81D5A">
        <w:rPr>
          <w:rStyle w:val="ssrfcpassagedeactivated"/>
          <w:szCs w:val="26"/>
          <w:bdr w:val="none" w:sz="0" w:space="0" w:color="auto" w:frame="1"/>
          <w:shd w:val="clear" w:color="auto" w:fill="FFFFFF"/>
        </w:rPr>
        <w:t xml:space="preserve">) </w:t>
      </w:r>
      <w:r w:rsidRPr="00D81D5A">
        <w:rPr>
          <w:rStyle w:val="ssrfcpassagedeactivated"/>
          <w:szCs w:val="26"/>
        </w:rPr>
        <w:t xml:space="preserve"> </w:t>
      </w:r>
      <w:r w:rsidR="00E16571" w:rsidRPr="00D81D5A">
        <w:t>An actionable</w:t>
      </w:r>
      <w:r w:rsidR="00CA0153" w:rsidRPr="00D81D5A">
        <w:t xml:space="preserve"> representation </w:t>
      </w:r>
      <w:r w:rsidR="00E16571" w:rsidRPr="00D81D5A">
        <w:t xml:space="preserve">in these circumstances </w:t>
      </w:r>
      <w:r w:rsidR="0091117C" w:rsidRPr="00D81D5A">
        <w:t xml:space="preserve">would </w:t>
      </w:r>
      <w:r w:rsidR="00E16571" w:rsidRPr="00D81D5A">
        <w:t xml:space="preserve">require, at a minimum, a statement </w:t>
      </w:r>
      <w:r w:rsidR="00215CAC" w:rsidRPr="00D81D5A">
        <w:t>indica</w:t>
      </w:r>
      <w:r w:rsidR="00E16571" w:rsidRPr="00D81D5A">
        <w:t xml:space="preserve">ting that the county boards would adhere to the interpretation of CERL found in the settlement agreements </w:t>
      </w:r>
      <w:r w:rsidR="00E16571" w:rsidRPr="00D81D5A">
        <w:rPr>
          <w:i/>
        </w:rPr>
        <w:t>notwithstanding any change in the governing statute.</w:t>
      </w:r>
      <w:r w:rsidR="00E16571" w:rsidRPr="00D81D5A">
        <w:t xml:space="preserve">  </w:t>
      </w:r>
      <w:r w:rsidR="00510C1B" w:rsidRPr="00D81D5A">
        <w:t xml:space="preserve">In the absence of such a </w:t>
      </w:r>
      <w:r w:rsidR="000C705A" w:rsidRPr="00D81D5A">
        <w:t>representation</w:t>
      </w:r>
      <w:r w:rsidR="00510C1B" w:rsidRPr="00D81D5A">
        <w:t xml:space="preserve">, county employees had no reason to expect that the county boards would not conform their practice to any changes in their governing statute.  </w:t>
      </w:r>
      <w:r w:rsidR="00E16571" w:rsidRPr="00D81D5A">
        <w:t xml:space="preserve">The plaintiffs provided no evidence of such a statement.  Instead, the county boards </w:t>
      </w:r>
      <w:r w:rsidR="0091117C" w:rsidRPr="00D81D5A">
        <w:t xml:space="preserve">merely </w:t>
      </w:r>
      <w:r w:rsidR="00E16571" w:rsidRPr="00D81D5A">
        <w:t xml:space="preserve">entered into agreements that embodied an interpretation of CERL as it existed at the time.  They subsequently made statements suggesting that employee pensions in their county would be determined according to that interpretation.  There is no indication that the boards </w:t>
      </w:r>
      <w:r w:rsidR="0091117C" w:rsidRPr="00D81D5A">
        <w:t xml:space="preserve">went further, assuring employees </w:t>
      </w:r>
      <w:r w:rsidR="00E16571" w:rsidRPr="00D81D5A">
        <w:t xml:space="preserve">that these interpretations were impervious to legislative change or, more pertinent, that the boards intended to adhere to the interpretations in the face of legislative change.  In the absence of </w:t>
      </w:r>
      <w:r w:rsidR="000607C5" w:rsidRPr="00D81D5A">
        <w:t>this type of</w:t>
      </w:r>
      <w:r w:rsidR="00E16571" w:rsidRPr="00D81D5A">
        <w:t xml:space="preserve"> representation, we find no basis for estopping the county boards from adjusting their policies in response to </w:t>
      </w:r>
      <w:r w:rsidR="0091117C" w:rsidRPr="00D81D5A">
        <w:t xml:space="preserve">the </w:t>
      </w:r>
      <w:r w:rsidR="00E16571" w:rsidRPr="00D81D5A">
        <w:t>PEPRA</w:t>
      </w:r>
      <w:r w:rsidR="0091117C" w:rsidRPr="00D81D5A">
        <w:t xml:space="preserve"> amendment</w:t>
      </w:r>
      <w:r w:rsidR="00E16571" w:rsidRPr="00D81D5A">
        <w:t>, as they are required by law to do.</w:t>
      </w:r>
      <w:r w:rsidR="00E52C9D" w:rsidRPr="00D81D5A">
        <w:rPr>
          <w:rStyle w:val="FootnoteReference"/>
        </w:rPr>
        <w:footnoteReference w:id="22"/>
      </w:r>
    </w:p>
    <w:p w14:paraId="7F915647" w14:textId="77777777" w:rsidR="009F594A" w:rsidRPr="00D81D5A" w:rsidRDefault="00227C4A" w:rsidP="00D81D5A">
      <w:pPr>
        <w:pStyle w:val="Heading2"/>
      </w:pPr>
      <w:r w:rsidRPr="00D81D5A">
        <w:t>B</w:t>
      </w:r>
      <w:r w:rsidR="009F594A" w:rsidRPr="00D81D5A">
        <w:t>.  PEPRA’s Amendment of Section 31461 Did Not</w:t>
      </w:r>
      <w:r w:rsidR="000E02E8" w:rsidRPr="00D81D5A">
        <w:t xml:space="preserve"> </w:t>
      </w:r>
      <w:r w:rsidR="00146197" w:rsidRPr="00D81D5A">
        <w:t xml:space="preserve">Violate the Rights of </w:t>
      </w:r>
      <w:r w:rsidR="009F594A" w:rsidRPr="00D81D5A">
        <w:t>County Employees</w:t>
      </w:r>
      <w:r w:rsidR="00146197" w:rsidRPr="00D81D5A">
        <w:t xml:space="preserve"> Under the Constitutional Contract Clause</w:t>
      </w:r>
    </w:p>
    <w:p w14:paraId="05A7DB08" w14:textId="16E11C24" w:rsidR="009F594A" w:rsidRPr="00D81D5A" w:rsidRDefault="009F594A" w:rsidP="00D81D5A">
      <w:pPr>
        <w:ind w:firstLine="720"/>
      </w:pPr>
      <w:r w:rsidRPr="00D81D5A">
        <w:t>The terms of public employee pensions are protected by the</w:t>
      </w:r>
      <w:r w:rsidR="00CD5409" w:rsidRPr="00D81D5A">
        <w:t xml:space="preserve"> constitutional </w:t>
      </w:r>
      <w:r w:rsidRPr="00D81D5A">
        <w:t>contract clause.  (</w:t>
      </w:r>
      <w:r w:rsidR="00CD5409" w:rsidRPr="00D81D5A">
        <w:rPr>
          <w:i/>
        </w:rPr>
        <w:t>Cal Fire</w:t>
      </w:r>
      <w:r w:rsidR="00CD5409" w:rsidRPr="00D81D5A">
        <w:t xml:space="preserve">, </w:t>
      </w:r>
      <w:r w:rsidR="00CD5409" w:rsidRPr="00D81D5A">
        <w:rPr>
          <w:i/>
        </w:rPr>
        <w:t>supra</w:t>
      </w:r>
      <w:r w:rsidR="00CD5409" w:rsidRPr="00D81D5A">
        <w:t>, 6 Cal.5th at p.</w:t>
      </w:r>
      <w:r w:rsidR="009D1B95">
        <w:t> </w:t>
      </w:r>
      <w:r w:rsidR="00CD5409" w:rsidRPr="00D81D5A">
        <w:t>9</w:t>
      </w:r>
      <w:r w:rsidR="0012323D">
        <w:t>8</w:t>
      </w:r>
      <w:r w:rsidR="00CD5409" w:rsidRPr="00D81D5A">
        <w:t>7;</w:t>
      </w:r>
      <w:r w:rsidR="00CD5409" w:rsidRPr="00D81D5A">
        <w:rPr>
          <w:i/>
        </w:rPr>
        <w:t xml:space="preserve"> </w:t>
      </w:r>
      <w:r w:rsidRPr="00D81D5A">
        <w:rPr>
          <w:i/>
        </w:rPr>
        <w:t xml:space="preserve">Legislature v. Eu </w:t>
      </w:r>
      <w:r w:rsidRPr="00D81D5A">
        <w:t>(1991) 54</w:t>
      </w:r>
      <w:r w:rsidR="00E33818">
        <w:t> </w:t>
      </w:r>
      <w:r w:rsidRPr="00D81D5A">
        <w:t>Cal.3d 492, 528 (</w:t>
      </w:r>
      <w:r w:rsidRPr="00D81D5A">
        <w:rPr>
          <w:i/>
        </w:rPr>
        <w:t>Eu</w:t>
      </w:r>
      <w:r w:rsidRPr="00D81D5A">
        <w:t>).)  At</w:t>
      </w:r>
      <w:r w:rsidR="009D1B95">
        <w:t> </w:t>
      </w:r>
      <w:r w:rsidRPr="00D81D5A">
        <w:t>issue here is whether PEPRA’s amendment of section 31461 to exclude certain types of compensation from compensation earnable constitutes a substantial</w:t>
      </w:r>
      <w:r w:rsidR="00E274D8" w:rsidRPr="00D81D5A">
        <w:t xml:space="preserve"> and unjustified</w:t>
      </w:r>
      <w:r w:rsidRPr="00D81D5A">
        <w:t xml:space="preserve"> impairment of county employees’ pension rights, the </w:t>
      </w:r>
      <w:r w:rsidR="00DC1798">
        <w:t xml:space="preserve">general </w:t>
      </w:r>
      <w:r w:rsidRPr="00D81D5A">
        <w:t>standard required for a violation of the contract clause</w:t>
      </w:r>
      <w:r w:rsidR="00E274D8" w:rsidRPr="00D81D5A">
        <w:t xml:space="preserve"> in these circumstances</w:t>
      </w:r>
      <w:r w:rsidRPr="00D81D5A">
        <w:t>.</w:t>
      </w:r>
      <w:r w:rsidR="00CD5409" w:rsidRPr="00D81D5A">
        <w:t xml:space="preserve">  </w:t>
      </w:r>
      <w:r w:rsidR="00E274D8" w:rsidRPr="00D81D5A">
        <w:rPr>
          <w:szCs w:val="26"/>
        </w:rPr>
        <w:t>(</w:t>
      </w:r>
      <w:r w:rsidR="00E274D8" w:rsidRPr="00D81D5A">
        <w:rPr>
          <w:i/>
          <w:szCs w:val="26"/>
        </w:rPr>
        <w:t xml:space="preserve">Sonoma County Organization of Public Employees v. County of Sonoma </w:t>
      </w:r>
      <w:r w:rsidR="00E274D8" w:rsidRPr="00D81D5A">
        <w:rPr>
          <w:szCs w:val="26"/>
        </w:rPr>
        <w:t>(1979) 23 Cal.3d 296, 3</w:t>
      </w:r>
      <w:r w:rsidR="0022334A" w:rsidRPr="00D81D5A">
        <w:rPr>
          <w:szCs w:val="26"/>
        </w:rPr>
        <w:t>08</w:t>
      </w:r>
      <w:r w:rsidR="00427AF8">
        <w:rPr>
          <w:szCs w:val="26"/>
        </w:rPr>
        <w:t>–</w:t>
      </w:r>
      <w:r w:rsidR="0012323D">
        <w:rPr>
          <w:szCs w:val="26"/>
        </w:rPr>
        <w:t>309</w:t>
      </w:r>
      <w:r w:rsidR="00E274D8" w:rsidRPr="00D81D5A">
        <w:rPr>
          <w:szCs w:val="26"/>
        </w:rPr>
        <w:t xml:space="preserve"> (</w:t>
      </w:r>
      <w:r w:rsidR="00E274D8" w:rsidRPr="00D81D5A">
        <w:rPr>
          <w:i/>
          <w:szCs w:val="26"/>
        </w:rPr>
        <w:t>Sonoma Employees</w:t>
      </w:r>
      <w:r w:rsidR="00E274D8" w:rsidRPr="00D81D5A">
        <w:rPr>
          <w:szCs w:val="26"/>
        </w:rPr>
        <w:t>).)</w:t>
      </w:r>
      <w:r w:rsidRPr="00D81D5A">
        <w:t xml:space="preserve">  This is a question of law subject to our independent review.  (</w:t>
      </w:r>
      <w:r w:rsidR="00C06242" w:rsidRPr="00D81D5A">
        <w:rPr>
          <w:i/>
        </w:rPr>
        <w:t>Allen</w:t>
      </w:r>
      <w:r w:rsidR="00420653" w:rsidRPr="00D81D5A">
        <w:rPr>
          <w:i/>
        </w:rPr>
        <w:t xml:space="preserve"> I</w:t>
      </w:r>
      <w:r w:rsidR="00420653" w:rsidRPr="00D81D5A">
        <w:t xml:space="preserve">, </w:t>
      </w:r>
      <w:r w:rsidR="00420653" w:rsidRPr="00D81D5A">
        <w:rPr>
          <w:i/>
        </w:rPr>
        <w:t>supra</w:t>
      </w:r>
      <w:r w:rsidR="00420653" w:rsidRPr="00D81D5A">
        <w:t xml:space="preserve">, </w:t>
      </w:r>
      <w:r w:rsidR="00C06242" w:rsidRPr="00D81D5A">
        <w:t>45</w:t>
      </w:r>
      <w:r w:rsidR="00E33818">
        <w:t> </w:t>
      </w:r>
      <w:r w:rsidR="00C06242" w:rsidRPr="00D81D5A">
        <w:t xml:space="preserve">Cal.2d </w:t>
      </w:r>
      <w:r w:rsidR="00420653" w:rsidRPr="00D81D5A">
        <w:t>at p.</w:t>
      </w:r>
      <w:r w:rsidR="009D1B95">
        <w:t> </w:t>
      </w:r>
      <w:r w:rsidR="00C06242" w:rsidRPr="00D81D5A">
        <w:t>131</w:t>
      </w:r>
      <w:r w:rsidRPr="00D81D5A">
        <w:t>.)</w:t>
      </w:r>
    </w:p>
    <w:p w14:paraId="138A717D" w14:textId="77777777" w:rsidR="009F594A" w:rsidRPr="00D81D5A" w:rsidRDefault="009F594A" w:rsidP="00D81D5A">
      <w:pPr>
        <w:pStyle w:val="Heading3"/>
      </w:pPr>
      <w:r w:rsidRPr="00D81D5A">
        <w:t>1.  Protection of public employee pensions under the contract clause</w:t>
      </w:r>
    </w:p>
    <w:p w14:paraId="41308900" w14:textId="77777777" w:rsidR="009F594A" w:rsidRPr="00D81D5A" w:rsidRDefault="009F594A" w:rsidP="00D81D5A">
      <w:pPr>
        <w:pStyle w:val="Heading4"/>
      </w:pPr>
      <w:r w:rsidRPr="00D81D5A">
        <w:t>a.  Contract clause protections generally</w:t>
      </w:r>
    </w:p>
    <w:p w14:paraId="7E048E80" w14:textId="2F956BE5" w:rsidR="009F594A" w:rsidRPr="00D81D5A" w:rsidRDefault="009F594A" w:rsidP="00D81D5A">
      <w:pPr>
        <w:ind w:firstLine="720"/>
        <w:rPr>
          <w:szCs w:val="26"/>
        </w:rPr>
      </w:pPr>
      <w:r w:rsidRPr="00D81D5A">
        <w:rPr>
          <w:shd w:val="clear" w:color="auto" w:fill="FFFFFF"/>
        </w:rPr>
        <w:t xml:space="preserve">The vested rights doctrine, the foundation of </w:t>
      </w:r>
      <w:r w:rsidR="00CA57E6" w:rsidRPr="00D81D5A">
        <w:rPr>
          <w:shd w:val="clear" w:color="auto" w:fill="FFFFFF"/>
        </w:rPr>
        <w:t>plaintiffs</w:t>
      </w:r>
      <w:r w:rsidRPr="00D81D5A">
        <w:rPr>
          <w:shd w:val="clear" w:color="auto" w:fill="FFFFFF"/>
        </w:rPr>
        <w:t>’ contention that PEPRA’s amendment of section 31461 is unconstitutional as applied to existing county employees, is grounded in the contract clause.</w:t>
      </w:r>
      <w:r w:rsidR="00420653" w:rsidRPr="00D81D5A">
        <w:rPr>
          <w:shd w:val="clear" w:color="auto" w:fill="FFFFFF"/>
        </w:rPr>
        <w:t xml:space="preserve">  (Cal</w:t>
      </w:r>
      <w:r w:rsidR="00626601" w:rsidRPr="00D81D5A">
        <w:rPr>
          <w:shd w:val="clear" w:color="auto" w:fill="FFFFFF"/>
        </w:rPr>
        <w:t>.</w:t>
      </w:r>
      <w:r w:rsidR="00420653" w:rsidRPr="00D81D5A">
        <w:rPr>
          <w:shd w:val="clear" w:color="auto" w:fill="FFFFFF"/>
        </w:rPr>
        <w:t xml:space="preserve"> Const., art. I, §</w:t>
      </w:r>
      <w:r w:rsidR="00E33818">
        <w:rPr>
          <w:shd w:val="clear" w:color="auto" w:fill="FFFFFF"/>
        </w:rPr>
        <w:t> </w:t>
      </w:r>
      <w:r w:rsidR="00420653" w:rsidRPr="00D81D5A">
        <w:rPr>
          <w:shd w:val="clear" w:color="auto" w:fill="FFFFFF"/>
        </w:rPr>
        <w:t>9.)</w:t>
      </w:r>
      <w:r w:rsidRPr="00D81D5A">
        <w:rPr>
          <w:shd w:val="clear" w:color="auto" w:fill="FFFFFF"/>
        </w:rPr>
        <w:t xml:space="preserve">  </w:t>
      </w:r>
      <w:r w:rsidRPr="00D81D5A">
        <w:rPr>
          <w:szCs w:val="26"/>
          <w:shd w:val="clear" w:color="auto" w:fill="FFFFFF"/>
        </w:rPr>
        <w:t>“B</w:t>
      </w:r>
      <w:r w:rsidRPr="00D81D5A">
        <w:rPr>
          <w:rStyle w:val="ssrfcpassagedeactivated"/>
          <w:szCs w:val="26"/>
        </w:rPr>
        <w:t xml:space="preserve">oth the United States and California Constitutions contain provisions that prohibit the enactment of laws effecting a ‘substantial impairment’ of contracts, including contracts of employment.”  </w:t>
      </w:r>
      <w:r w:rsidRPr="00D81D5A">
        <w:rPr>
          <w:szCs w:val="26"/>
        </w:rPr>
        <w:t>(</w:t>
      </w:r>
      <w:r w:rsidRPr="00D81D5A">
        <w:rPr>
          <w:i/>
          <w:szCs w:val="26"/>
        </w:rPr>
        <w:t>Cal Fire</w:t>
      </w:r>
      <w:r w:rsidRPr="00D81D5A">
        <w:rPr>
          <w:szCs w:val="26"/>
        </w:rPr>
        <w:t xml:space="preserve">, </w:t>
      </w:r>
      <w:r w:rsidRPr="00D81D5A">
        <w:rPr>
          <w:i/>
          <w:szCs w:val="26"/>
        </w:rPr>
        <w:t>supra</w:t>
      </w:r>
      <w:r w:rsidRPr="00D81D5A">
        <w:rPr>
          <w:szCs w:val="26"/>
        </w:rPr>
        <w:t>, 6 Cal.5th at p. 977.)</w:t>
      </w:r>
      <w:r w:rsidRPr="00D81D5A">
        <w:rPr>
          <w:rStyle w:val="ssrfcpassagedeactivated"/>
          <w:szCs w:val="26"/>
        </w:rPr>
        <w:t xml:space="preserve">  This constraint applies to public contracts, as well as those between private parties.  (</w:t>
      </w:r>
      <w:r w:rsidRPr="00D81D5A">
        <w:rPr>
          <w:rStyle w:val="ssrfcpassagedeactivated"/>
          <w:i/>
          <w:szCs w:val="26"/>
        </w:rPr>
        <w:t>Ibid</w:t>
      </w:r>
      <w:r w:rsidRPr="00D81D5A">
        <w:rPr>
          <w:rStyle w:val="ssrfcpassagedeactivated"/>
          <w:szCs w:val="26"/>
        </w:rPr>
        <w:t>.)</w:t>
      </w:r>
      <w:r w:rsidRPr="00D81D5A">
        <w:rPr>
          <w:szCs w:val="26"/>
        </w:rPr>
        <w:t xml:space="preserve">  As suggested by the reference to </w:t>
      </w:r>
      <w:r w:rsidR="00EB73AD" w:rsidRPr="00D81D5A">
        <w:rPr>
          <w:szCs w:val="26"/>
        </w:rPr>
        <w:t xml:space="preserve">a </w:t>
      </w:r>
      <w:r w:rsidRPr="00D81D5A">
        <w:rPr>
          <w:i/>
          <w:szCs w:val="26"/>
        </w:rPr>
        <w:t>substantial</w:t>
      </w:r>
      <w:r w:rsidRPr="00D81D5A">
        <w:rPr>
          <w:szCs w:val="26"/>
        </w:rPr>
        <w:t xml:space="preserve"> impairment, not every legislative impairment of contractual relations </w:t>
      </w:r>
      <w:r w:rsidR="00C6215A" w:rsidRPr="00D81D5A">
        <w:rPr>
          <w:szCs w:val="26"/>
        </w:rPr>
        <w:t>triggers</w:t>
      </w:r>
      <w:r w:rsidRPr="00D81D5A">
        <w:rPr>
          <w:szCs w:val="26"/>
        </w:rPr>
        <w:t xml:space="preserve"> the contract clause.  </w:t>
      </w:r>
      <w:r w:rsidRPr="00D81D5A">
        <w:t>(</w:t>
      </w:r>
      <w:r w:rsidR="0012323D">
        <w:rPr>
          <w:i/>
          <w:iCs/>
        </w:rPr>
        <w:t xml:space="preserve">San Francisco Taxpayers Assn. v. Board of Supervisors </w:t>
      </w:r>
      <w:r w:rsidR="0012323D">
        <w:t>(1992) 2</w:t>
      </w:r>
      <w:r w:rsidR="00C110DF">
        <w:t> </w:t>
      </w:r>
      <w:r w:rsidR="0012323D">
        <w:t>Cal.4th 571, 583</w:t>
      </w:r>
      <w:r w:rsidR="00427AF8">
        <w:t>–</w:t>
      </w:r>
      <w:r w:rsidR="0012323D">
        <w:t xml:space="preserve">584; </w:t>
      </w:r>
      <w:r w:rsidRPr="00D81D5A">
        <w:rPr>
          <w:i/>
        </w:rPr>
        <w:t>Eu</w:t>
      </w:r>
      <w:r w:rsidRPr="00D81D5A">
        <w:t xml:space="preserve">, </w:t>
      </w:r>
      <w:r w:rsidRPr="00D81D5A">
        <w:rPr>
          <w:i/>
        </w:rPr>
        <w:t>supra</w:t>
      </w:r>
      <w:r w:rsidRPr="00D81D5A">
        <w:t>, 54 Cal.3d at p. 528</w:t>
      </w:r>
      <w:r w:rsidR="0012323D">
        <w:t xml:space="preserve"> [contract clause protects against “unreasonable” impairments]</w:t>
      </w:r>
      <w:r w:rsidRPr="00D81D5A">
        <w:t>.)</w:t>
      </w:r>
      <w:r w:rsidRPr="00D81D5A">
        <w:rPr>
          <w:szCs w:val="26"/>
        </w:rPr>
        <w:t xml:space="preserve"> </w:t>
      </w:r>
      <w:r w:rsidRPr="00D81D5A">
        <w:rPr>
          <w:i/>
          <w:szCs w:val="26"/>
        </w:rPr>
        <w:t xml:space="preserve"> </w:t>
      </w:r>
      <w:r w:rsidRPr="00D81D5A">
        <w:rPr>
          <w:szCs w:val="26"/>
        </w:rPr>
        <w:t>“[T]</w:t>
      </w:r>
      <w:r w:rsidRPr="00D81D5A">
        <w:rPr>
          <w:rStyle w:val="ssrfcpassagedeactivated"/>
          <w:szCs w:val="26"/>
        </w:rPr>
        <w:t>he prohibition is not an absolute one and is not to be read with literal exactness like a mathematical formula.”  (</w:t>
      </w:r>
      <w:r w:rsidRPr="00D81D5A">
        <w:rPr>
          <w:rStyle w:val="ssrfcpassagedeactivated"/>
          <w:i/>
          <w:szCs w:val="26"/>
        </w:rPr>
        <w:t>Home B</w:t>
      </w:r>
      <w:r w:rsidR="003469C6">
        <w:rPr>
          <w:rStyle w:val="ssrfcpassagedeactivated"/>
          <w:i/>
          <w:szCs w:val="26"/>
        </w:rPr>
        <w:t>.</w:t>
      </w:r>
      <w:r w:rsidRPr="00D81D5A">
        <w:rPr>
          <w:rStyle w:val="ssrfcpassagedeactivated"/>
          <w:i/>
          <w:szCs w:val="26"/>
        </w:rPr>
        <w:t xml:space="preserve"> &amp; L</w:t>
      </w:r>
      <w:r w:rsidR="003469C6">
        <w:rPr>
          <w:rStyle w:val="ssrfcpassagedeactivated"/>
          <w:i/>
          <w:szCs w:val="26"/>
        </w:rPr>
        <w:t>.</w:t>
      </w:r>
      <w:r w:rsidRPr="00D81D5A">
        <w:rPr>
          <w:rStyle w:val="ssrfcpassagedeactivated"/>
          <w:i/>
          <w:szCs w:val="26"/>
        </w:rPr>
        <w:t xml:space="preserve"> Ass</w:t>
      </w:r>
      <w:r w:rsidR="003469C6">
        <w:rPr>
          <w:rStyle w:val="ssrfcpassagedeactivated"/>
          <w:i/>
          <w:szCs w:val="26"/>
        </w:rPr>
        <w:t>.</w:t>
      </w:r>
      <w:r w:rsidRPr="00D81D5A">
        <w:rPr>
          <w:rStyle w:val="ssrfcpassagedeactivated"/>
          <w:i/>
          <w:szCs w:val="26"/>
        </w:rPr>
        <w:t xml:space="preserve"> v. Blai</w:t>
      </w:r>
      <w:r w:rsidR="000D7EC5" w:rsidRPr="00D81D5A">
        <w:rPr>
          <w:rStyle w:val="ssrfcpassagedeactivated"/>
          <w:i/>
          <w:szCs w:val="26"/>
        </w:rPr>
        <w:t>s</w:t>
      </w:r>
      <w:r w:rsidRPr="00D81D5A">
        <w:rPr>
          <w:rStyle w:val="ssrfcpassagedeactivated"/>
          <w:i/>
          <w:szCs w:val="26"/>
        </w:rPr>
        <w:t xml:space="preserve">dell </w:t>
      </w:r>
      <w:r w:rsidRPr="00D81D5A">
        <w:rPr>
          <w:rStyle w:val="ssrfcpassagedeactivated"/>
          <w:szCs w:val="26"/>
        </w:rPr>
        <w:t>(1933) 290 U.S. 398, 4</w:t>
      </w:r>
      <w:r w:rsidR="00DB1FEF">
        <w:rPr>
          <w:rStyle w:val="ssrfcpassagedeactivated"/>
          <w:szCs w:val="26"/>
        </w:rPr>
        <w:t>2</w:t>
      </w:r>
      <w:r w:rsidRPr="00D81D5A">
        <w:rPr>
          <w:rStyle w:val="ssrfcpassagedeactivated"/>
          <w:szCs w:val="26"/>
        </w:rPr>
        <w:t>8</w:t>
      </w:r>
      <w:r w:rsidR="00182F76" w:rsidRPr="00D81D5A">
        <w:rPr>
          <w:rStyle w:val="ssrfcpassagedeactivated"/>
          <w:szCs w:val="26"/>
        </w:rPr>
        <w:t xml:space="preserve"> </w:t>
      </w:r>
      <w:r w:rsidR="00182F76" w:rsidRPr="00D81D5A">
        <w:t>(</w:t>
      </w:r>
      <w:r w:rsidR="00182F76" w:rsidRPr="00D81D5A">
        <w:rPr>
          <w:i/>
        </w:rPr>
        <w:t>Blaisdell</w:t>
      </w:r>
      <w:r w:rsidR="00182F76" w:rsidRPr="00D81D5A">
        <w:t>)</w:t>
      </w:r>
      <w:r w:rsidRPr="00D81D5A">
        <w:rPr>
          <w:rStyle w:val="ssrfcpassagedeactivated"/>
          <w:szCs w:val="26"/>
        </w:rPr>
        <w:t>.)</w:t>
      </w:r>
    </w:p>
    <w:p w14:paraId="0FDBCBF9" w14:textId="0960ADA7" w:rsidR="009F594A" w:rsidRPr="00D81D5A" w:rsidRDefault="009F594A" w:rsidP="00D81D5A">
      <w:pPr>
        <w:ind w:firstLine="720"/>
        <w:rPr>
          <w:rStyle w:val="ssrfcpassagedeactivated"/>
          <w:szCs w:val="26"/>
        </w:rPr>
      </w:pPr>
      <w:r w:rsidRPr="00D81D5A">
        <w:rPr>
          <w:szCs w:val="26"/>
        </w:rPr>
        <w:t xml:space="preserve">In evaluating legislation that impairs private contractual rights, the </w:t>
      </w:r>
      <w:r w:rsidR="00937423" w:rsidRPr="00D81D5A">
        <w:rPr>
          <w:szCs w:val="26"/>
        </w:rPr>
        <w:t xml:space="preserve">United States </w:t>
      </w:r>
      <w:r w:rsidRPr="00D81D5A">
        <w:rPr>
          <w:szCs w:val="26"/>
        </w:rPr>
        <w:t xml:space="preserve">Supreme Court applies </w:t>
      </w:r>
      <w:r w:rsidR="00937423" w:rsidRPr="00D81D5A">
        <w:rPr>
          <w:szCs w:val="26"/>
        </w:rPr>
        <w:t xml:space="preserve">what it characterizes as </w:t>
      </w:r>
      <w:r w:rsidRPr="00D81D5A">
        <w:rPr>
          <w:szCs w:val="26"/>
        </w:rPr>
        <w:t>a “two-step test.”  (</w:t>
      </w:r>
      <w:proofErr w:type="spellStart"/>
      <w:r w:rsidRPr="00D81D5A">
        <w:rPr>
          <w:i/>
          <w:szCs w:val="26"/>
        </w:rPr>
        <w:t>Sveen</w:t>
      </w:r>
      <w:proofErr w:type="spellEnd"/>
      <w:r w:rsidRPr="00D81D5A">
        <w:rPr>
          <w:i/>
          <w:szCs w:val="26"/>
        </w:rPr>
        <w:t xml:space="preserve"> v. </w:t>
      </w:r>
      <w:proofErr w:type="spellStart"/>
      <w:r w:rsidRPr="00D81D5A">
        <w:rPr>
          <w:i/>
          <w:szCs w:val="26"/>
        </w:rPr>
        <w:t>Melin</w:t>
      </w:r>
      <w:proofErr w:type="spellEnd"/>
      <w:r w:rsidRPr="00D81D5A">
        <w:rPr>
          <w:i/>
          <w:szCs w:val="26"/>
        </w:rPr>
        <w:t xml:space="preserve"> </w:t>
      </w:r>
      <w:r w:rsidRPr="00D81D5A">
        <w:rPr>
          <w:szCs w:val="26"/>
        </w:rPr>
        <w:t xml:space="preserve">(2018) </w:t>
      </w:r>
      <w:r w:rsidR="003469C6">
        <w:rPr>
          <w:szCs w:val="26"/>
        </w:rPr>
        <w:t>___ U.S. ___, ___ [</w:t>
      </w:r>
      <w:r w:rsidRPr="00D81D5A">
        <w:rPr>
          <w:szCs w:val="26"/>
        </w:rPr>
        <w:t>138</w:t>
      </w:r>
      <w:r w:rsidR="00E33818">
        <w:rPr>
          <w:szCs w:val="26"/>
        </w:rPr>
        <w:t> </w:t>
      </w:r>
      <w:proofErr w:type="spellStart"/>
      <w:r w:rsidRPr="00D81D5A">
        <w:rPr>
          <w:szCs w:val="26"/>
        </w:rPr>
        <w:t>S.Ct</w:t>
      </w:r>
      <w:proofErr w:type="spellEnd"/>
      <w:r w:rsidRPr="00D81D5A">
        <w:rPr>
          <w:szCs w:val="26"/>
        </w:rPr>
        <w:t>. 1815, 1821</w:t>
      </w:r>
      <w:r w:rsidR="003469C6">
        <w:rPr>
          <w:szCs w:val="26"/>
        </w:rPr>
        <w:t>]</w:t>
      </w:r>
      <w:r w:rsidRPr="00D81D5A">
        <w:rPr>
          <w:szCs w:val="26"/>
        </w:rPr>
        <w:t xml:space="preserve">.)  As a threshold question, the court must determine </w:t>
      </w:r>
      <w:r w:rsidRPr="00D81D5A">
        <w:rPr>
          <w:rStyle w:val="ssrfcpassagedeactivated"/>
          <w:szCs w:val="26"/>
        </w:rPr>
        <w:t>“</w:t>
      </w:r>
      <w:r w:rsidR="00CE12E5">
        <w:rPr>
          <w:rStyle w:val="ssrfcpassagedeactivated"/>
          <w:szCs w:val="26"/>
        </w:rPr>
        <w:t> </w:t>
      </w:r>
      <w:r w:rsidR="00DB1FEF">
        <w:rPr>
          <w:rStyle w:val="ssrfcpassagedeactivated"/>
          <w:szCs w:val="26"/>
        </w:rPr>
        <w:t>‘</w:t>
      </w:r>
      <w:r w:rsidRPr="00D81D5A">
        <w:rPr>
          <w:rStyle w:val="ssrfcpassagedeactivated"/>
          <w:szCs w:val="26"/>
        </w:rPr>
        <w:t>whether the state law has, in fact, operated as a substantial impairment of a contractual relationship.  [Citations.]  The severity of the impairment is said to increase the level of scrutiny to which the legislation will be subjected.</w:t>
      </w:r>
      <w:r w:rsidR="00DB1FEF">
        <w:rPr>
          <w:rStyle w:val="ssrfcpassagedeactivated"/>
          <w:szCs w:val="26"/>
        </w:rPr>
        <w:t>’</w:t>
      </w:r>
      <w:r w:rsidR="00CE12E5">
        <w:rPr>
          <w:rStyle w:val="ssrfcpassagedeactivated"/>
          <w:szCs w:val="26"/>
        </w:rPr>
        <w:t> </w:t>
      </w:r>
      <w:r w:rsidRPr="00D81D5A">
        <w:rPr>
          <w:rStyle w:val="ssrfcpassagedeactivated"/>
          <w:szCs w:val="26"/>
        </w:rPr>
        <w:t>”  (</w:t>
      </w:r>
      <w:r w:rsidRPr="00D81D5A">
        <w:rPr>
          <w:rStyle w:val="ssrfcpassagedeactivated"/>
          <w:i/>
          <w:szCs w:val="26"/>
        </w:rPr>
        <w:t>Energy Reserves Group v. Kansas Power &amp; Light</w:t>
      </w:r>
      <w:r w:rsidRPr="00D81D5A">
        <w:rPr>
          <w:rStyle w:val="ssrfcpassagedeactivated"/>
          <w:szCs w:val="26"/>
        </w:rPr>
        <w:t xml:space="preserve"> (1983) 459 U.S. 400, 411 (</w:t>
      </w:r>
      <w:r w:rsidRPr="00D81D5A">
        <w:rPr>
          <w:rStyle w:val="ssrfcpassagedeactivated"/>
          <w:i/>
          <w:szCs w:val="26"/>
        </w:rPr>
        <w:t>Kansas Power</w:t>
      </w:r>
      <w:r w:rsidRPr="00D81D5A">
        <w:rPr>
          <w:rStyle w:val="ssrfcpassagedeactivated"/>
          <w:szCs w:val="26"/>
        </w:rPr>
        <w:t xml:space="preserve">).)  In making this determination, “the Court has considered the </w:t>
      </w:r>
      <w:r w:rsidRPr="00D81D5A">
        <w:rPr>
          <w:rStyle w:val="sssh"/>
          <w:szCs w:val="26"/>
        </w:rPr>
        <w:t>extent</w:t>
      </w:r>
      <w:r w:rsidRPr="00D81D5A">
        <w:rPr>
          <w:rStyle w:val="ssrfcpassagedeactivated"/>
          <w:szCs w:val="26"/>
        </w:rPr>
        <w:t xml:space="preserve"> to which the law undermines the contractual bargain, interferes with a party’s reasonable expectations, and prevents the party from safeguarding or reinstating his rights.”  (</w:t>
      </w:r>
      <w:proofErr w:type="spellStart"/>
      <w:r w:rsidRPr="00D81D5A">
        <w:rPr>
          <w:rStyle w:val="ssrfcpassagedeactivated"/>
          <w:i/>
          <w:szCs w:val="26"/>
        </w:rPr>
        <w:t>Sveen</w:t>
      </w:r>
      <w:proofErr w:type="spellEnd"/>
      <w:r w:rsidRPr="00D81D5A">
        <w:rPr>
          <w:rStyle w:val="ssrfcpassagedeactivated"/>
          <w:szCs w:val="26"/>
        </w:rPr>
        <w:t>, at p.</w:t>
      </w:r>
      <w:r w:rsidR="003469C6">
        <w:rPr>
          <w:rStyle w:val="ssrfcpassagedeactivated"/>
          <w:szCs w:val="26"/>
        </w:rPr>
        <w:t> ___</w:t>
      </w:r>
      <w:r w:rsidRPr="00D81D5A">
        <w:rPr>
          <w:rStyle w:val="ssrfcpassagedeactivated"/>
          <w:szCs w:val="26"/>
        </w:rPr>
        <w:t xml:space="preserve"> </w:t>
      </w:r>
      <w:r w:rsidR="003469C6">
        <w:rPr>
          <w:rStyle w:val="ssrfcpassagedeactivated"/>
          <w:szCs w:val="26"/>
        </w:rPr>
        <w:t xml:space="preserve">[138 </w:t>
      </w:r>
      <w:proofErr w:type="spellStart"/>
      <w:r w:rsidR="003469C6">
        <w:rPr>
          <w:rStyle w:val="ssrfcpassagedeactivated"/>
          <w:szCs w:val="26"/>
        </w:rPr>
        <w:t>S.Ct</w:t>
      </w:r>
      <w:proofErr w:type="spellEnd"/>
      <w:r w:rsidR="003469C6">
        <w:rPr>
          <w:rStyle w:val="ssrfcpassagedeactivated"/>
          <w:szCs w:val="26"/>
        </w:rPr>
        <w:t xml:space="preserve">. at p. </w:t>
      </w:r>
      <w:r w:rsidRPr="00D81D5A">
        <w:rPr>
          <w:rStyle w:val="ssrfcpassagedeactivated"/>
          <w:szCs w:val="26"/>
        </w:rPr>
        <w:t>1822.)</w:t>
      </w:r>
      <w:r w:rsidRPr="00D81D5A">
        <w:rPr>
          <w:rStyle w:val="ssrfcpassagedeactivated"/>
          <w:i/>
          <w:szCs w:val="26"/>
        </w:rPr>
        <w:t xml:space="preserve"> </w:t>
      </w:r>
      <w:r w:rsidRPr="00D81D5A">
        <w:rPr>
          <w:rStyle w:val="ssrfcpassagedeactivated"/>
          <w:rFonts w:cs="Helvetica"/>
          <w:szCs w:val="21"/>
        </w:rPr>
        <w:t xml:space="preserve"> </w:t>
      </w:r>
      <w:r w:rsidRPr="00D81D5A">
        <w:rPr>
          <w:rStyle w:val="ssrfcpassagedeactivated"/>
          <w:szCs w:val="26"/>
        </w:rPr>
        <w:t>If the state law is found to create a “substantial” impairment, “the inquiry turns to the means and ends of the legislation.”  (</w:t>
      </w:r>
      <w:r w:rsidRPr="00D81D5A">
        <w:rPr>
          <w:rStyle w:val="ssrfcpassagedeactivated"/>
          <w:i/>
          <w:szCs w:val="26"/>
        </w:rPr>
        <w:t>Ibid.</w:t>
      </w:r>
      <w:r w:rsidRPr="00D81D5A">
        <w:rPr>
          <w:rStyle w:val="ssrfcpassagedeactivated"/>
          <w:szCs w:val="26"/>
        </w:rPr>
        <w:t xml:space="preserve">)  To justify the legislation, the state “must have a significant and legitimate public purpose behind the regulation, [citation], such as the remedying of a broad and general social or economic problem. . . . </w:t>
      </w:r>
      <w:r w:rsidRPr="00D81D5A">
        <w:rPr>
          <w:szCs w:val="26"/>
        </w:rPr>
        <w:t xml:space="preserve"> The requirement of a legitimate public purpose guarantees that the State is exercising its police power, rather than providing a benefit to special interests.”  (</w:t>
      </w:r>
      <w:r w:rsidRPr="00D81D5A">
        <w:rPr>
          <w:i/>
          <w:szCs w:val="26"/>
        </w:rPr>
        <w:t>Kansas Power</w:t>
      </w:r>
      <w:r w:rsidRPr="00D81D5A">
        <w:rPr>
          <w:szCs w:val="26"/>
        </w:rPr>
        <w:t>, at pp.</w:t>
      </w:r>
      <w:r w:rsidR="00651217">
        <w:rPr>
          <w:szCs w:val="26"/>
        </w:rPr>
        <w:t> </w:t>
      </w:r>
      <w:r w:rsidR="00DB1FEF">
        <w:rPr>
          <w:szCs w:val="26"/>
        </w:rPr>
        <w:t>411</w:t>
      </w:r>
      <w:r w:rsidR="00427AF8">
        <w:rPr>
          <w:szCs w:val="26"/>
        </w:rPr>
        <w:t>–</w:t>
      </w:r>
      <w:r w:rsidRPr="00D81D5A">
        <w:rPr>
          <w:szCs w:val="26"/>
        </w:rPr>
        <w:t>412.)  If the legislation survives that scrutiny, “</w:t>
      </w:r>
      <w:r w:rsidRPr="00D81D5A">
        <w:rPr>
          <w:rStyle w:val="ssrfcpassagedeactivated"/>
          <w:szCs w:val="26"/>
        </w:rPr>
        <w:t>the next inquiry is whether the adjustment of ‘the rights and responsibilities of contracting parties [is based] upon reasonable conditions and [is] of a character appropriate to the public purpose justifying [the legislation</w:t>
      </w:r>
      <w:r w:rsidR="007F68A1" w:rsidRPr="00D81D5A">
        <w:rPr>
          <w:rStyle w:val="ssrfcpassagedeactivated"/>
          <w:szCs w:val="26"/>
        </w:rPr>
        <w:t>’</w:t>
      </w:r>
      <w:r w:rsidRPr="00D81D5A">
        <w:rPr>
          <w:rStyle w:val="ssrfcpassagedeactivated"/>
          <w:szCs w:val="26"/>
        </w:rPr>
        <w:t>s] adoption.’</w:t>
      </w:r>
      <w:r w:rsidR="00CE12E5">
        <w:rPr>
          <w:rStyle w:val="ssrfcpassagedeactivated"/>
          <w:szCs w:val="26"/>
        </w:rPr>
        <w:t> </w:t>
      </w:r>
      <w:r w:rsidRPr="00D81D5A">
        <w:rPr>
          <w:rStyle w:val="ssrfcpassagedeactivated"/>
          <w:szCs w:val="26"/>
        </w:rPr>
        <w:t>”  (</w:t>
      </w:r>
      <w:r w:rsidRPr="00D81D5A">
        <w:rPr>
          <w:rStyle w:val="ssrfcpassagedeactivated"/>
          <w:i/>
          <w:szCs w:val="26"/>
        </w:rPr>
        <w:t>Id</w:t>
      </w:r>
      <w:r w:rsidRPr="00D81D5A">
        <w:rPr>
          <w:rStyle w:val="ssrfcpassagedeactivated"/>
          <w:szCs w:val="26"/>
        </w:rPr>
        <w:t>. at p.</w:t>
      </w:r>
      <w:r w:rsidR="00651217">
        <w:rPr>
          <w:rStyle w:val="ssrfcpassagedeactivated"/>
          <w:szCs w:val="26"/>
        </w:rPr>
        <w:t> </w:t>
      </w:r>
      <w:r w:rsidRPr="00D81D5A">
        <w:rPr>
          <w:rStyle w:val="ssrfcpassagedeactivated"/>
          <w:szCs w:val="26"/>
        </w:rPr>
        <w:t>412.)</w:t>
      </w:r>
    </w:p>
    <w:p w14:paraId="18B3006C" w14:textId="617F5E8D" w:rsidR="00F47CFC" w:rsidRPr="00F47CFC" w:rsidRDefault="00F130AC" w:rsidP="00D81D5A">
      <w:pPr>
        <w:ind w:firstLine="720"/>
        <w:rPr>
          <w:szCs w:val="26"/>
        </w:rPr>
      </w:pPr>
      <w:r>
        <w:rPr>
          <w:szCs w:val="26"/>
        </w:rPr>
        <w:t>A different, mor</w:t>
      </w:r>
      <w:r w:rsidR="00DC1798">
        <w:rPr>
          <w:szCs w:val="26"/>
        </w:rPr>
        <w:t>e searching</w:t>
      </w:r>
      <w:r w:rsidR="009F594A" w:rsidRPr="00D81D5A">
        <w:rPr>
          <w:szCs w:val="26"/>
        </w:rPr>
        <w:t xml:space="preserve"> </w:t>
      </w:r>
      <w:r>
        <w:rPr>
          <w:szCs w:val="26"/>
        </w:rPr>
        <w:t xml:space="preserve">analysis occurs </w:t>
      </w:r>
      <w:r w:rsidR="009F594A" w:rsidRPr="00D81D5A">
        <w:rPr>
          <w:szCs w:val="26"/>
        </w:rPr>
        <w:t xml:space="preserve">when the state legislates an impairment of its </w:t>
      </w:r>
      <w:r w:rsidR="009F594A" w:rsidRPr="00F130AC">
        <w:rPr>
          <w:i/>
          <w:iCs/>
          <w:szCs w:val="26"/>
        </w:rPr>
        <w:t>own</w:t>
      </w:r>
      <w:r w:rsidR="009F594A" w:rsidRPr="00D81D5A">
        <w:rPr>
          <w:szCs w:val="26"/>
        </w:rPr>
        <w:t xml:space="preserve"> contractual obligations because “the government’s </w:t>
      </w:r>
      <w:r w:rsidR="009F594A" w:rsidRPr="00D81D5A">
        <w:rPr>
          <w:rStyle w:val="sssh"/>
          <w:szCs w:val="26"/>
        </w:rPr>
        <w:t>self-interest</w:t>
      </w:r>
      <w:r w:rsidR="009F594A" w:rsidRPr="00D81D5A">
        <w:rPr>
          <w:szCs w:val="26"/>
        </w:rPr>
        <w:t xml:space="preserve"> is at stake.”  (</w:t>
      </w:r>
      <w:r w:rsidR="009F594A" w:rsidRPr="00D81D5A">
        <w:rPr>
          <w:i/>
          <w:szCs w:val="26"/>
        </w:rPr>
        <w:t>Sonoma Employees</w:t>
      </w:r>
      <w:r w:rsidR="00E274D8" w:rsidRPr="00D81D5A">
        <w:rPr>
          <w:iCs/>
          <w:szCs w:val="26"/>
        </w:rPr>
        <w:t xml:space="preserve">, </w:t>
      </w:r>
      <w:r w:rsidR="00E274D8" w:rsidRPr="00D81D5A">
        <w:rPr>
          <w:i/>
          <w:szCs w:val="26"/>
        </w:rPr>
        <w:t>supra</w:t>
      </w:r>
      <w:r w:rsidR="00E274D8" w:rsidRPr="00D81D5A">
        <w:rPr>
          <w:iCs/>
          <w:szCs w:val="26"/>
        </w:rPr>
        <w:t xml:space="preserve">, </w:t>
      </w:r>
      <w:r w:rsidR="009F594A" w:rsidRPr="00D81D5A">
        <w:rPr>
          <w:szCs w:val="26"/>
        </w:rPr>
        <w:t xml:space="preserve">23 Cal.3d </w:t>
      </w:r>
      <w:r w:rsidR="00E274D8" w:rsidRPr="00D81D5A">
        <w:rPr>
          <w:szCs w:val="26"/>
        </w:rPr>
        <w:t xml:space="preserve">at </w:t>
      </w:r>
      <w:r w:rsidR="00DB1FEF">
        <w:rPr>
          <w:szCs w:val="26"/>
        </w:rPr>
        <w:t>p</w:t>
      </w:r>
      <w:r w:rsidR="00E274D8" w:rsidRPr="00D81D5A">
        <w:rPr>
          <w:szCs w:val="26"/>
        </w:rPr>
        <w:t xml:space="preserve">. </w:t>
      </w:r>
      <w:r w:rsidR="009F594A" w:rsidRPr="00D81D5A">
        <w:rPr>
          <w:szCs w:val="26"/>
        </w:rPr>
        <w:t>308.</w:t>
      </w:r>
      <w:r w:rsidR="00E274D8" w:rsidRPr="00D81D5A">
        <w:rPr>
          <w:szCs w:val="26"/>
        </w:rPr>
        <w:t>)</w:t>
      </w:r>
      <w:r w:rsidR="009F594A" w:rsidRPr="00D81D5A">
        <w:rPr>
          <w:szCs w:val="26"/>
        </w:rPr>
        <w:t xml:space="preserve">  Although “</w:t>
      </w:r>
      <w:r w:rsidR="00CE12E5">
        <w:rPr>
          <w:szCs w:val="26"/>
        </w:rPr>
        <w:t> </w:t>
      </w:r>
      <w:r w:rsidR="00DB1FEF">
        <w:rPr>
          <w:szCs w:val="26"/>
        </w:rPr>
        <w:t>‘</w:t>
      </w:r>
      <w:r w:rsidR="009F594A" w:rsidRPr="00D81D5A">
        <w:rPr>
          <w:rStyle w:val="ssrfcpassagedeactivated"/>
          <w:szCs w:val="26"/>
        </w:rPr>
        <w:t xml:space="preserve">courts properly </w:t>
      </w:r>
      <w:r w:rsidR="009F594A" w:rsidRPr="00D81D5A">
        <w:rPr>
          <w:rStyle w:val="sssh"/>
          <w:szCs w:val="26"/>
        </w:rPr>
        <w:t>defer</w:t>
      </w:r>
      <w:r w:rsidR="009F594A" w:rsidRPr="00D81D5A">
        <w:rPr>
          <w:rStyle w:val="ssrfcpassagedeactivated"/>
          <w:szCs w:val="26"/>
        </w:rPr>
        <w:t xml:space="preserve"> to legislative judgment as to the necessity and reasonableness of a particular measure</w:t>
      </w:r>
      <w:r w:rsidR="00DB1FEF">
        <w:rPr>
          <w:rStyle w:val="ssrfcpassagedeactivated"/>
          <w:szCs w:val="26"/>
        </w:rPr>
        <w:t>’</w:t>
      </w:r>
      <w:r w:rsidR="00CE12E5">
        <w:rPr>
          <w:rStyle w:val="ssrfcpassagedeactivated"/>
          <w:szCs w:val="26"/>
        </w:rPr>
        <w:t> </w:t>
      </w:r>
      <w:r w:rsidR="009F594A" w:rsidRPr="00D81D5A">
        <w:rPr>
          <w:rStyle w:val="ssrfcpassagedeactivated"/>
          <w:szCs w:val="26"/>
        </w:rPr>
        <w:t xml:space="preserve">” when </w:t>
      </w:r>
      <w:r w:rsidR="00DB1FEF">
        <w:rPr>
          <w:rStyle w:val="ssrfcpassagedeactivated"/>
          <w:szCs w:val="26"/>
        </w:rPr>
        <w:t>“the State itself” is not “a contracting party”</w:t>
      </w:r>
      <w:r w:rsidR="009F594A" w:rsidRPr="00D81D5A">
        <w:rPr>
          <w:rStyle w:val="ssrfcpassagedeactivated"/>
          <w:szCs w:val="26"/>
        </w:rPr>
        <w:t xml:space="preserve"> (</w:t>
      </w:r>
      <w:r w:rsidR="009F594A" w:rsidRPr="00D81D5A">
        <w:rPr>
          <w:rStyle w:val="ssrfcpassagedeactivated"/>
          <w:i/>
          <w:szCs w:val="26"/>
        </w:rPr>
        <w:t>Kansas Power</w:t>
      </w:r>
      <w:r w:rsidR="009F594A" w:rsidRPr="00D81D5A">
        <w:rPr>
          <w:rStyle w:val="ssrfcpassagedeactivated"/>
          <w:szCs w:val="26"/>
        </w:rPr>
        <w:t xml:space="preserve">, </w:t>
      </w:r>
      <w:r w:rsidR="009F594A" w:rsidRPr="00D81D5A">
        <w:rPr>
          <w:rStyle w:val="ssrfcpassagedeactivated"/>
          <w:i/>
          <w:szCs w:val="26"/>
        </w:rPr>
        <w:t>supra</w:t>
      </w:r>
      <w:r w:rsidR="009F594A" w:rsidRPr="00D81D5A">
        <w:rPr>
          <w:rStyle w:val="ssrfcpassagedeactivated"/>
          <w:szCs w:val="26"/>
        </w:rPr>
        <w:t>, 459</w:t>
      </w:r>
      <w:r w:rsidR="00C110DF">
        <w:rPr>
          <w:rStyle w:val="ssrfcpassagedeactivated"/>
          <w:szCs w:val="26"/>
        </w:rPr>
        <w:t> </w:t>
      </w:r>
      <w:r w:rsidR="009F594A" w:rsidRPr="00D81D5A">
        <w:rPr>
          <w:rStyle w:val="ssrfcpassagedeactivated"/>
          <w:szCs w:val="26"/>
        </w:rPr>
        <w:t xml:space="preserve">U.S. at </w:t>
      </w:r>
      <w:r w:rsidR="00DB1FEF">
        <w:rPr>
          <w:rStyle w:val="ssrfcpassagedeactivated"/>
          <w:szCs w:val="26"/>
        </w:rPr>
        <w:t>p</w:t>
      </w:r>
      <w:r w:rsidR="009F594A" w:rsidRPr="00D81D5A">
        <w:rPr>
          <w:rStyle w:val="ssrfcpassagedeactivated"/>
          <w:szCs w:val="26"/>
        </w:rPr>
        <w:t>p.</w:t>
      </w:r>
      <w:r w:rsidR="005D2BDE" w:rsidRPr="00D81D5A">
        <w:rPr>
          <w:rStyle w:val="ssrfcpassagedeactivated"/>
          <w:szCs w:val="26"/>
        </w:rPr>
        <w:t> </w:t>
      </w:r>
      <w:r w:rsidR="00DB1FEF">
        <w:rPr>
          <w:rStyle w:val="ssrfcpassagedeactivated"/>
          <w:szCs w:val="26"/>
        </w:rPr>
        <w:t>41</w:t>
      </w:r>
      <w:r w:rsidR="003469C6">
        <w:rPr>
          <w:rStyle w:val="ssrfcpassagedeactivated"/>
          <w:szCs w:val="26"/>
        </w:rPr>
        <w:t>3</w:t>
      </w:r>
      <w:r w:rsidR="00DB1FEF">
        <w:rPr>
          <w:rStyle w:val="ssrfcpassagedeactivated"/>
          <w:szCs w:val="26"/>
        </w:rPr>
        <w:t xml:space="preserve">, </w:t>
      </w:r>
      <w:r w:rsidR="009F594A" w:rsidRPr="00D81D5A">
        <w:rPr>
          <w:rStyle w:val="ssrfcpassagedeactivated"/>
          <w:szCs w:val="26"/>
        </w:rPr>
        <w:t>41</w:t>
      </w:r>
      <w:r w:rsidR="003469C6">
        <w:rPr>
          <w:rStyle w:val="ssrfcpassagedeactivated"/>
          <w:szCs w:val="26"/>
        </w:rPr>
        <w:t>2</w:t>
      </w:r>
      <w:r w:rsidR="009F594A" w:rsidRPr="00D81D5A">
        <w:rPr>
          <w:rStyle w:val="ssrfcpassagedeactivated"/>
          <w:szCs w:val="26"/>
        </w:rPr>
        <w:t>), “</w:t>
      </w:r>
      <w:r w:rsidR="009F594A" w:rsidRPr="00D81D5A">
        <w:rPr>
          <w:szCs w:val="26"/>
        </w:rPr>
        <w:t xml:space="preserve">complete deference to a legislative assessment of reasonableness and necessity is not required” when the state seeks to </w:t>
      </w:r>
      <w:r w:rsidR="00A564C9" w:rsidRPr="00D81D5A">
        <w:rPr>
          <w:szCs w:val="26"/>
        </w:rPr>
        <w:t>alter</w:t>
      </w:r>
      <w:r w:rsidR="009F594A" w:rsidRPr="00D81D5A">
        <w:rPr>
          <w:szCs w:val="26"/>
        </w:rPr>
        <w:t xml:space="preserve"> its own obligations.  (</w:t>
      </w:r>
      <w:r w:rsidR="009F594A" w:rsidRPr="00D81D5A">
        <w:rPr>
          <w:i/>
          <w:szCs w:val="26"/>
        </w:rPr>
        <w:t>Sonoma Employees</w:t>
      </w:r>
      <w:r w:rsidR="009F594A" w:rsidRPr="00D81D5A">
        <w:rPr>
          <w:szCs w:val="26"/>
        </w:rPr>
        <w:t>, at p.</w:t>
      </w:r>
      <w:r w:rsidR="00E33818">
        <w:rPr>
          <w:szCs w:val="26"/>
        </w:rPr>
        <w:t> </w:t>
      </w:r>
      <w:r w:rsidR="009F594A" w:rsidRPr="00D81D5A">
        <w:rPr>
          <w:szCs w:val="26"/>
        </w:rPr>
        <w:t xml:space="preserve">308.)  </w:t>
      </w:r>
      <w:r w:rsidR="00F47CFC" w:rsidRPr="00F47CFC">
        <w:rPr>
          <w:szCs w:val="26"/>
        </w:rPr>
        <w:t xml:space="preserve">In general terms, a state’s impairment of its own obligations </w:t>
      </w:r>
      <w:r w:rsidR="00F47CFC" w:rsidRPr="00F47CFC">
        <w:rPr>
          <w:szCs w:val="27"/>
        </w:rPr>
        <w:t>“</w:t>
      </w:r>
      <w:r w:rsidR="00F47CFC" w:rsidRPr="00F47CFC">
        <w:rPr>
          <w:szCs w:val="27"/>
          <w:shd w:val="clear" w:color="auto" w:fill="FFFFFF"/>
        </w:rPr>
        <w:t>may be constitutional if it is reasonable and necessary to serve an important public purpose.</w:t>
      </w:r>
      <w:r w:rsidR="00F47CFC">
        <w:rPr>
          <w:szCs w:val="27"/>
          <w:shd w:val="clear" w:color="auto" w:fill="FFFFFF"/>
        </w:rPr>
        <w:t>”  (</w:t>
      </w:r>
      <w:r w:rsidR="00F47CFC" w:rsidRPr="00D81D5A">
        <w:rPr>
          <w:i/>
          <w:szCs w:val="26"/>
        </w:rPr>
        <w:t>U</w:t>
      </w:r>
      <w:r w:rsidR="00F47CFC">
        <w:rPr>
          <w:i/>
          <w:szCs w:val="26"/>
        </w:rPr>
        <w:t xml:space="preserve">nited </w:t>
      </w:r>
      <w:r w:rsidR="00F47CFC" w:rsidRPr="00D81D5A">
        <w:rPr>
          <w:i/>
          <w:szCs w:val="26"/>
        </w:rPr>
        <w:t>S</w:t>
      </w:r>
      <w:r w:rsidR="00F47CFC">
        <w:rPr>
          <w:i/>
          <w:szCs w:val="26"/>
        </w:rPr>
        <w:t>tates</w:t>
      </w:r>
      <w:r w:rsidR="00F47CFC" w:rsidRPr="00D81D5A">
        <w:rPr>
          <w:i/>
          <w:szCs w:val="26"/>
        </w:rPr>
        <w:t xml:space="preserve"> Trust</w:t>
      </w:r>
      <w:r w:rsidR="00F47CFC">
        <w:rPr>
          <w:i/>
          <w:szCs w:val="26"/>
        </w:rPr>
        <w:t xml:space="preserve"> Co. v. New Jersey </w:t>
      </w:r>
      <w:r w:rsidR="00F47CFC">
        <w:rPr>
          <w:iCs/>
          <w:szCs w:val="26"/>
        </w:rPr>
        <w:t xml:space="preserve">(1977) </w:t>
      </w:r>
      <w:r w:rsidR="00F47CFC" w:rsidRPr="00D81D5A">
        <w:rPr>
          <w:rStyle w:val="ssrfcpassagedeactivated"/>
          <w:szCs w:val="26"/>
        </w:rPr>
        <w:t xml:space="preserve">431 U.S. </w:t>
      </w:r>
      <w:r w:rsidR="00F47CFC">
        <w:rPr>
          <w:rStyle w:val="ssrfcpassagedeactivated"/>
          <w:szCs w:val="26"/>
        </w:rPr>
        <w:t>1, 25 (</w:t>
      </w:r>
      <w:r w:rsidR="00F47CFC">
        <w:rPr>
          <w:rStyle w:val="ssrfcpassagedeactivated"/>
          <w:i/>
          <w:iCs/>
          <w:szCs w:val="26"/>
        </w:rPr>
        <w:t>U.S. Trust</w:t>
      </w:r>
      <w:r w:rsidR="00F47CFC">
        <w:rPr>
          <w:rStyle w:val="ssrfcpassagedeactivated"/>
          <w:szCs w:val="26"/>
        </w:rPr>
        <w:t>).)</w:t>
      </w:r>
    </w:p>
    <w:p w14:paraId="7E2CD284" w14:textId="1B742268" w:rsidR="009F594A" w:rsidRPr="00D81D5A" w:rsidRDefault="009F594A" w:rsidP="00D81D5A">
      <w:pPr>
        <w:ind w:firstLine="720"/>
        <w:rPr>
          <w:szCs w:val="26"/>
        </w:rPr>
      </w:pPr>
      <w:r w:rsidRPr="00D81D5A">
        <w:rPr>
          <w:rStyle w:val="ssrfcpassagedeactivated"/>
          <w:i/>
          <w:szCs w:val="26"/>
        </w:rPr>
        <w:t xml:space="preserve">Sonoma Employees </w:t>
      </w:r>
      <w:r w:rsidRPr="00D81D5A">
        <w:rPr>
          <w:rStyle w:val="ssrfcpassagedeactivated"/>
          <w:szCs w:val="26"/>
        </w:rPr>
        <w:t xml:space="preserve">addressed a contract clause challenge to state legislation that nullified </w:t>
      </w:r>
      <w:r w:rsidR="001D5FE3" w:rsidRPr="00D81D5A">
        <w:rPr>
          <w:rStyle w:val="ssrfcpassagedeactivated"/>
          <w:szCs w:val="26"/>
        </w:rPr>
        <w:t>ever</w:t>
      </w:r>
      <w:r w:rsidRPr="00D81D5A">
        <w:rPr>
          <w:rStyle w:val="ssrfcpassagedeactivated"/>
          <w:szCs w:val="26"/>
        </w:rPr>
        <w:t>y agreement between a local government and its employees providing for an annual cost of living wage increase greater than the cost of living increase given by the state to its own employees.  The legislation had been passed in the wake of the electorate’s adoption of Proposition 13</w:t>
      </w:r>
      <w:r w:rsidR="00BF5CDE">
        <w:rPr>
          <w:rStyle w:val="ssrfcpassagedeactivated"/>
          <w:szCs w:val="26"/>
        </w:rPr>
        <w:t xml:space="preserve"> in 1978</w:t>
      </w:r>
      <w:r w:rsidRPr="00D81D5A">
        <w:rPr>
          <w:rStyle w:val="ssrfcpassagedeactivated"/>
          <w:szCs w:val="26"/>
        </w:rPr>
        <w:t>, wh</w:t>
      </w:r>
      <w:r w:rsidR="00A564C9" w:rsidRPr="00D81D5A">
        <w:rPr>
          <w:rStyle w:val="ssrfcpassagedeactivated"/>
          <w:szCs w:val="26"/>
        </w:rPr>
        <w:t xml:space="preserve">ich </w:t>
      </w:r>
      <w:r w:rsidRPr="00D81D5A">
        <w:rPr>
          <w:rStyle w:val="ssrfcpassagedeactivated"/>
          <w:szCs w:val="26"/>
        </w:rPr>
        <w:t xml:space="preserve">the Legislature </w:t>
      </w:r>
      <w:r w:rsidR="00A564C9" w:rsidRPr="00D81D5A">
        <w:rPr>
          <w:rStyle w:val="ssrfcpassagedeactivated"/>
          <w:szCs w:val="26"/>
        </w:rPr>
        <w:t xml:space="preserve">feared would bring </w:t>
      </w:r>
      <w:r w:rsidRPr="00D81D5A">
        <w:rPr>
          <w:rStyle w:val="ssrfcpassagedeactivated"/>
          <w:szCs w:val="26"/>
        </w:rPr>
        <w:t xml:space="preserve">a fiscal emergency </w:t>
      </w:r>
      <w:r w:rsidR="00A564C9" w:rsidRPr="00D81D5A">
        <w:rPr>
          <w:rStyle w:val="ssrfcpassagedeactivated"/>
          <w:szCs w:val="26"/>
        </w:rPr>
        <w:t xml:space="preserve">to </w:t>
      </w:r>
      <w:r w:rsidRPr="00D81D5A">
        <w:rPr>
          <w:rStyle w:val="ssrfcpassagedeactivated"/>
          <w:szCs w:val="26"/>
        </w:rPr>
        <w:t>the state’s local governments.  We invalidated the law as an unconstitutional impairment of the</w:t>
      </w:r>
      <w:r w:rsidR="00A564C9" w:rsidRPr="00D81D5A">
        <w:rPr>
          <w:rStyle w:val="ssrfcpassagedeactivated"/>
          <w:szCs w:val="26"/>
        </w:rPr>
        <w:t xml:space="preserve"> wage</w:t>
      </w:r>
      <w:r w:rsidRPr="00D81D5A">
        <w:rPr>
          <w:rStyle w:val="ssrfcpassagedeactivated"/>
          <w:szCs w:val="26"/>
        </w:rPr>
        <w:t xml:space="preserve"> agreements, concluding that “</w:t>
      </w:r>
      <w:r w:rsidRPr="00D81D5A">
        <w:rPr>
          <w:szCs w:val="26"/>
        </w:rPr>
        <w:t>respondents have clearly failed to satisfy their threshold burden of demonstrating that the substantial abridgement of petitioners’ contract rights to an increase in wages was warranted by a grave fiscal crisis, and they advance no other justification for the impairment.”  (</w:t>
      </w:r>
      <w:r w:rsidR="00BF5CDE">
        <w:rPr>
          <w:i/>
          <w:iCs/>
          <w:szCs w:val="26"/>
        </w:rPr>
        <w:t>Sonoma Employees</w:t>
      </w:r>
      <w:r w:rsidR="00BF5CDE">
        <w:rPr>
          <w:szCs w:val="26"/>
        </w:rPr>
        <w:t>,</w:t>
      </w:r>
      <w:r w:rsidRPr="00D81D5A">
        <w:rPr>
          <w:szCs w:val="26"/>
        </w:rPr>
        <w:t xml:space="preserve"> at pp. 313</w:t>
      </w:r>
      <w:r w:rsidR="00427AF8">
        <w:rPr>
          <w:szCs w:val="26"/>
        </w:rPr>
        <w:t>–</w:t>
      </w:r>
      <w:r w:rsidRPr="00D81D5A">
        <w:rPr>
          <w:szCs w:val="26"/>
        </w:rPr>
        <w:t>314.)</w:t>
      </w:r>
    </w:p>
    <w:p w14:paraId="18950199" w14:textId="50454F1B" w:rsidR="009F594A" w:rsidRPr="00D81D5A" w:rsidRDefault="000D7EC5" w:rsidP="00D81D5A">
      <w:pPr>
        <w:ind w:firstLine="720"/>
        <w:rPr>
          <w:szCs w:val="26"/>
        </w:rPr>
      </w:pPr>
      <w:bookmarkStart w:id="26" w:name="_Hlk43191679"/>
      <w:r w:rsidRPr="00D81D5A">
        <w:rPr>
          <w:szCs w:val="26"/>
        </w:rPr>
        <w:t xml:space="preserve">In justification of </w:t>
      </w:r>
      <w:r w:rsidR="009F594A" w:rsidRPr="00D81D5A">
        <w:rPr>
          <w:szCs w:val="26"/>
        </w:rPr>
        <w:t xml:space="preserve">the heightened degree of scrutiny applied when the state seeks to alter its own contractual obligations, we explained in </w:t>
      </w:r>
      <w:r w:rsidR="009F594A" w:rsidRPr="00D81D5A">
        <w:rPr>
          <w:i/>
          <w:szCs w:val="26"/>
        </w:rPr>
        <w:t>Sonoma Employees</w:t>
      </w:r>
      <w:r w:rsidR="009F594A" w:rsidRPr="00D81D5A">
        <w:rPr>
          <w:szCs w:val="26"/>
        </w:rPr>
        <w:t xml:space="preserve">, quoting </w:t>
      </w:r>
      <w:r w:rsidR="009F594A" w:rsidRPr="00D81D5A">
        <w:rPr>
          <w:i/>
          <w:szCs w:val="26"/>
        </w:rPr>
        <w:t>U</w:t>
      </w:r>
      <w:r w:rsidR="00F47CFC">
        <w:rPr>
          <w:i/>
          <w:szCs w:val="26"/>
        </w:rPr>
        <w:t>.</w:t>
      </w:r>
      <w:r w:rsidR="009F594A" w:rsidRPr="00D81D5A">
        <w:rPr>
          <w:i/>
          <w:szCs w:val="26"/>
        </w:rPr>
        <w:t>S</w:t>
      </w:r>
      <w:r w:rsidR="00F47CFC">
        <w:rPr>
          <w:i/>
          <w:szCs w:val="26"/>
        </w:rPr>
        <w:t>.</w:t>
      </w:r>
      <w:r w:rsidR="009F594A" w:rsidRPr="00D81D5A">
        <w:rPr>
          <w:i/>
          <w:szCs w:val="26"/>
        </w:rPr>
        <w:t xml:space="preserve"> Trust</w:t>
      </w:r>
      <w:r w:rsidR="00F47CFC">
        <w:rPr>
          <w:iCs/>
          <w:szCs w:val="26"/>
        </w:rPr>
        <w:t xml:space="preserve">, </w:t>
      </w:r>
      <w:r w:rsidR="00F47CFC">
        <w:rPr>
          <w:i/>
          <w:szCs w:val="26"/>
        </w:rPr>
        <w:t>supra</w:t>
      </w:r>
      <w:r w:rsidR="00F47CFC">
        <w:rPr>
          <w:iCs/>
          <w:szCs w:val="26"/>
        </w:rPr>
        <w:t xml:space="preserve">, </w:t>
      </w:r>
      <w:r w:rsidR="009F594A" w:rsidRPr="00D81D5A">
        <w:rPr>
          <w:rStyle w:val="ssrfcpassagedeactivated"/>
          <w:szCs w:val="26"/>
        </w:rPr>
        <w:t xml:space="preserve">431 U.S. </w:t>
      </w:r>
      <w:r w:rsidR="00F47CFC">
        <w:rPr>
          <w:rStyle w:val="ssrfcpassagedeactivated"/>
          <w:szCs w:val="26"/>
        </w:rPr>
        <w:t xml:space="preserve">at pages </w:t>
      </w:r>
      <w:r w:rsidR="00DB1FEF">
        <w:rPr>
          <w:rStyle w:val="ssrfcpassagedeactivated"/>
          <w:szCs w:val="26"/>
        </w:rPr>
        <w:t>1,</w:t>
      </w:r>
      <w:r w:rsidR="00BF5CDE">
        <w:rPr>
          <w:rStyle w:val="ssrfcpassagedeactivated"/>
          <w:szCs w:val="26"/>
        </w:rPr>
        <w:t xml:space="preserve"> 26, 29, 30</w:t>
      </w:r>
      <w:r w:rsidR="00427AF8">
        <w:rPr>
          <w:rStyle w:val="ssrfcpassagedeactivated"/>
          <w:szCs w:val="26"/>
        </w:rPr>
        <w:t>–</w:t>
      </w:r>
      <w:r w:rsidR="00BF5CDE">
        <w:rPr>
          <w:rStyle w:val="ssrfcpassagedeactivated"/>
          <w:szCs w:val="26"/>
        </w:rPr>
        <w:t>31,</w:t>
      </w:r>
      <w:r w:rsidR="00DB1FEF">
        <w:rPr>
          <w:rStyle w:val="ssrfcpassagedeactivated"/>
          <w:szCs w:val="26"/>
        </w:rPr>
        <w:t xml:space="preserve"> </w:t>
      </w:r>
      <w:r w:rsidR="009F594A" w:rsidRPr="00D81D5A">
        <w:rPr>
          <w:rStyle w:val="ssrfcpassagedeactivated"/>
          <w:szCs w:val="26"/>
        </w:rPr>
        <w:t>that “</w:t>
      </w:r>
      <w:r w:rsidR="00E33818">
        <w:rPr>
          <w:rStyle w:val="ssrfcpassagedeactivated"/>
          <w:szCs w:val="26"/>
        </w:rPr>
        <w:t> </w:t>
      </w:r>
      <w:r w:rsidR="009F594A" w:rsidRPr="00D81D5A">
        <w:rPr>
          <w:rStyle w:val="ssrfcpassagedeactivated"/>
          <w:szCs w:val="26"/>
        </w:rPr>
        <w:t>‘a</w:t>
      </w:r>
      <w:r w:rsidR="009F594A" w:rsidRPr="00D81D5A">
        <w:rPr>
          <w:szCs w:val="26"/>
        </w:rPr>
        <w:t xml:space="preserve"> governmental entity can always find a use for extra money</w:t>
      </w:r>
      <w:r w:rsidR="00DB1FEF">
        <w:rPr>
          <w:szCs w:val="26"/>
        </w:rPr>
        <w:t> </w:t>
      </w:r>
      <w:r w:rsidR="009F594A" w:rsidRPr="00D81D5A">
        <w:rPr>
          <w:szCs w:val="26"/>
        </w:rPr>
        <w:t>. . .</w:t>
      </w:r>
      <w:r w:rsidR="00DB1FEF">
        <w:rPr>
          <w:szCs w:val="26"/>
        </w:rPr>
        <w:t> </w:t>
      </w:r>
      <w:r w:rsidR="009F594A" w:rsidRPr="00D81D5A">
        <w:rPr>
          <w:szCs w:val="26"/>
        </w:rPr>
        <w:t>.  If a State could reduce its financial obligations whenever it wanted to spend the money for what it regarded as an important public purpose, the Contract Clause would provide no protection at all</w:t>
      </w:r>
      <w:r w:rsidR="00EB73AD" w:rsidRPr="00D81D5A">
        <w:rPr>
          <w:szCs w:val="26"/>
        </w:rPr>
        <w:t> </w:t>
      </w:r>
      <w:r w:rsidR="009F594A" w:rsidRPr="00D81D5A">
        <w:rPr>
          <w:szCs w:val="26"/>
        </w:rPr>
        <w:t xml:space="preserve">. . . .  </w:t>
      </w:r>
      <w:r w:rsidR="009F594A" w:rsidRPr="00D81D5A">
        <w:rPr>
          <w:rStyle w:val="ssrfcpassagedeactivated"/>
          <w:szCs w:val="26"/>
        </w:rPr>
        <w:t>[A] State cannot refuse to meet its legitimate financial obligations simply because it would prefer to spend the money to promote the public good rather than the private welfare of its creditors . . . .  [A] State is not completely free to consider impairing the obligations of its own contracts on a par with other policy alternatives.  Similarly, a State is not free to impose a drastic impairment when an evident and more moderate course would serve its purposes equally well.’</w:t>
      </w:r>
      <w:r w:rsidR="00E33818">
        <w:rPr>
          <w:rStyle w:val="ssrfcpassagedeactivated"/>
          <w:szCs w:val="26"/>
        </w:rPr>
        <w:t> </w:t>
      </w:r>
      <w:r w:rsidR="009F594A" w:rsidRPr="00D81D5A">
        <w:rPr>
          <w:rStyle w:val="ssrfcpassagedeactivated"/>
          <w:szCs w:val="26"/>
        </w:rPr>
        <w:t>”  (</w:t>
      </w:r>
      <w:r w:rsidR="009F594A" w:rsidRPr="00D81D5A">
        <w:rPr>
          <w:rStyle w:val="ssrfcpassagedeactivated"/>
          <w:i/>
          <w:szCs w:val="26"/>
        </w:rPr>
        <w:t>Sonoma Employees</w:t>
      </w:r>
      <w:r w:rsidR="009F594A" w:rsidRPr="00D81D5A">
        <w:rPr>
          <w:rStyle w:val="ssrfcpassagedeactivated"/>
          <w:szCs w:val="26"/>
        </w:rPr>
        <w:t xml:space="preserve">, </w:t>
      </w:r>
      <w:r w:rsidR="009F594A" w:rsidRPr="00D81D5A">
        <w:rPr>
          <w:rStyle w:val="ssrfcpassagedeactivated"/>
          <w:i/>
          <w:szCs w:val="26"/>
        </w:rPr>
        <w:t>supra</w:t>
      </w:r>
      <w:r w:rsidR="009F594A" w:rsidRPr="00D81D5A">
        <w:rPr>
          <w:rStyle w:val="ssrfcpassagedeactivated"/>
          <w:szCs w:val="26"/>
        </w:rPr>
        <w:t xml:space="preserve">, </w:t>
      </w:r>
      <w:r w:rsidR="009F594A" w:rsidRPr="00D81D5A">
        <w:rPr>
          <w:szCs w:val="26"/>
        </w:rPr>
        <w:t xml:space="preserve">23 Cal.3d </w:t>
      </w:r>
      <w:r w:rsidR="009F594A" w:rsidRPr="00D81D5A">
        <w:rPr>
          <w:rStyle w:val="ssrfcpassagedeactivated"/>
          <w:szCs w:val="26"/>
        </w:rPr>
        <w:t>at p.</w:t>
      </w:r>
      <w:r w:rsidR="00E33818">
        <w:rPr>
          <w:rStyle w:val="ssrfcpassagedeactivated"/>
          <w:szCs w:val="26"/>
        </w:rPr>
        <w:t> </w:t>
      </w:r>
      <w:r w:rsidR="009F594A" w:rsidRPr="00D81D5A">
        <w:rPr>
          <w:rStyle w:val="ssrfcpassagedeactivated"/>
          <w:szCs w:val="26"/>
        </w:rPr>
        <w:t>308.)</w:t>
      </w:r>
    </w:p>
    <w:bookmarkEnd w:id="26"/>
    <w:p w14:paraId="276B16F0" w14:textId="77777777" w:rsidR="009F594A" w:rsidRPr="00D81D5A" w:rsidRDefault="009F594A" w:rsidP="00D81D5A">
      <w:pPr>
        <w:pStyle w:val="Heading4"/>
        <w:rPr>
          <w:szCs w:val="26"/>
        </w:rPr>
      </w:pPr>
      <w:r w:rsidRPr="00D81D5A">
        <w:t>b.  Contract clause protection of public employee pension rights in California</w:t>
      </w:r>
    </w:p>
    <w:p w14:paraId="525BAC2F" w14:textId="016FFA28" w:rsidR="009F594A" w:rsidRPr="00DB1FEF" w:rsidRDefault="009F594A" w:rsidP="00D81D5A">
      <w:pPr>
        <w:pStyle w:val="NormalIndent"/>
        <w:ind w:left="0" w:firstLine="720"/>
      </w:pPr>
      <w:r w:rsidRPr="00D81D5A">
        <w:t xml:space="preserve">As we discussed in </w:t>
      </w:r>
      <w:r w:rsidRPr="00D81D5A">
        <w:rPr>
          <w:i/>
        </w:rPr>
        <w:t>Cal Fire</w:t>
      </w:r>
      <w:r w:rsidRPr="00D81D5A">
        <w:t>, a public employee has no express contractual rights in a pension plan created by statute, like CERL.  (</w:t>
      </w:r>
      <w:r w:rsidRPr="00D81D5A">
        <w:rPr>
          <w:i/>
        </w:rPr>
        <w:t>Cal Fire</w:t>
      </w:r>
      <w:r w:rsidRPr="00D81D5A">
        <w:t xml:space="preserve">, </w:t>
      </w:r>
      <w:r w:rsidRPr="00D81D5A">
        <w:rPr>
          <w:i/>
        </w:rPr>
        <w:t>supra</w:t>
      </w:r>
      <w:r w:rsidRPr="00D81D5A">
        <w:t>, 6 Cal.5th at pp.</w:t>
      </w:r>
      <w:r w:rsidR="00E33818">
        <w:t> </w:t>
      </w:r>
      <w:r w:rsidRPr="00D81D5A">
        <w:t>977</w:t>
      </w:r>
      <w:r w:rsidR="00427AF8">
        <w:t>–</w:t>
      </w:r>
      <w:r w:rsidRPr="00D81D5A">
        <w:t>978, 984</w:t>
      </w:r>
      <w:r w:rsidR="00427AF8">
        <w:t>–</w:t>
      </w:r>
      <w:r w:rsidRPr="00D81D5A">
        <w:t xml:space="preserve">985.)  Nonetheless, we have recognized, at least since </w:t>
      </w:r>
      <w:r w:rsidRPr="00D81D5A">
        <w:rPr>
          <w:i/>
        </w:rPr>
        <w:t xml:space="preserve">Kern v. City of Long Beach </w:t>
      </w:r>
      <w:r w:rsidRPr="00D81D5A">
        <w:t xml:space="preserve">(1947) </w:t>
      </w:r>
      <w:bookmarkStart w:id="27" w:name="_Hlk41031205"/>
      <w:r w:rsidRPr="00D81D5A">
        <w:t xml:space="preserve">29 Cal.2d 848 </w:t>
      </w:r>
      <w:bookmarkEnd w:id="27"/>
      <w:r w:rsidRPr="00D81D5A">
        <w:t>(</w:t>
      </w:r>
      <w:r w:rsidRPr="00D81D5A">
        <w:rPr>
          <w:i/>
        </w:rPr>
        <w:t>Kern</w:t>
      </w:r>
      <w:r w:rsidRPr="00D81D5A">
        <w:t xml:space="preserve">), that such plans create </w:t>
      </w:r>
      <w:r w:rsidRPr="00D81D5A">
        <w:rPr>
          <w:i/>
        </w:rPr>
        <w:t>implied</w:t>
      </w:r>
      <w:r w:rsidRPr="00D81D5A">
        <w:t xml:space="preserve"> contractual rights that are protected against legislative impairment by the contract clause.  (</w:t>
      </w:r>
      <w:r w:rsidRPr="00D81D5A">
        <w:rPr>
          <w:i/>
        </w:rPr>
        <w:t>Cal Fire</w:t>
      </w:r>
      <w:r w:rsidRPr="00D81D5A">
        <w:t>, at pp.</w:t>
      </w:r>
      <w:r w:rsidR="00E33818">
        <w:t> </w:t>
      </w:r>
      <w:r w:rsidRPr="00D81D5A">
        <w:t>984</w:t>
      </w:r>
      <w:r w:rsidR="00427AF8">
        <w:t>–</w:t>
      </w:r>
      <w:r w:rsidRPr="00D81D5A">
        <w:t xml:space="preserve">985.)  The parties </w:t>
      </w:r>
      <w:r w:rsidR="0019524B" w:rsidRPr="00D81D5A">
        <w:t>agree</w:t>
      </w:r>
      <w:r w:rsidRPr="00D81D5A">
        <w:t xml:space="preserve"> that the provisions of CERL, although statutory, are protected by the contract clause.</w:t>
      </w:r>
      <w:r w:rsidR="00DB1FEF">
        <w:t xml:space="preserve">  (But see fn</w:t>
      </w:r>
      <w:r w:rsidR="00BF5CDE">
        <w:t>.</w:t>
      </w:r>
      <w:r w:rsidR="00651217">
        <w:t> </w:t>
      </w:r>
      <w:r w:rsidR="00DB1FEF">
        <w:t xml:space="preserve">29, </w:t>
      </w:r>
      <w:r w:rsidR="00BF5CDE">
        <w:rPr>
          <w:i/>
          <w:iCs/>
        </w:rPr>
        <w:t>post</w:t>
      </w:r>
      <w:r w:rsidR="00DB1FEF">
        <w:t>.)</w:t>
      </w:r>
    </w:p>
    <w:p w14:paraId="21E96D5A" w14:textId="6290ADE6" w:rsidR="00C35847" w:rsidRPr="00D81D5A" w:rsidRDefault="009F594A" w:rsidP="00D81D5A">
      <w:pPr>
        <w:pStyle w:val="NormalIndent"/>
        <w:ind w:left="0" w:firstLine="720"/>
      </w:pPr>
      <w:r w:rsidRPr="00D81D5A">
        <w:t xml:space="preserve">With respect to that </w:t>
      </w:r>
      <w:r w:rsidR="00B94DC2">
        <w:t xml:space="preserve">constitutional </w:t>
      </w:r>
      <w:r w:rsidRPr="00D81D5A">
        <w:t xml:space="preserve">protection, our decisions have established </w:t>
      </w:r>
      <w:r w:rsidR="00DC1798">
        <w:t>a standard</w:t>
      </w:r>
      <w:r w:rsidR="00CD686B">
        <w:t xml:space="preserve"> specifically</w:t>
      </w:r>
      <w:r w:rsidR="00DC1798">
        <w:t xml:space="preserve"> tailored to the unique circumstances presented by </w:t>
      </w:r>
      <w:r w:rsidR="00B94DC2">
        <w:t>public employee pension reform</w:t>
      </w:r>
      <w:r w:rsidR="00DC1798">
        <w:t>.  A</w:t>
      </w:r>
      <w:r w:rsidRPr="00D81D5A">
        <w:t xml:space="preserve"> modification of the pension rights a</w:t>
      </w:r>
      <w:r w:rsidR="00EB0997">
        <w:t>cc</w:t>
      </w:r>
      <w:r w:rsidRPr="00D81D5A">
        <w:t xml:space="preserve">orded to a public employee at the time he or she commenced public employment, or of pension rights made available subsequently during the course of his or her public career, will be </w:t>
      </w:r>
      <w:r w:rsidR="00D53096" w:rsidRPr="00D81D5A">
        <w:t>upheld</w:t>
      </w:r>
      <w:r w:rsidR="0019524B" w:rsidRPr="00D81D5A">
        <w:t xml:space="preserve"> against a contract clause challenge</w:t>
      </w:r>
      <w:r w:rsidRPr="00D81D5A">
        <w:t xml:space="preserve"> only if </w:t>
      </w:r>
      <w:r w:rsidR="0019524B" w:rsidRPr="00D81D5A">
        <w:t xml:space="preserve">it satisfies </w:t>
      </w:r>
      <w:r w:rsidR="00937423" w:rsidRPr="00D81D5A">
        <w:t xml:space="preserve">the </w:t>
      </w:r>
      <w:r w:rsidR="0019524B" w:rsidRPr="00D81D5A">
        <w:t>test</w:t>
      </w:r>
      <w:r w:rsidR="00937423" w:rsidRPr="00D81D5A">
        <w:t xml:space="preserve"> established in </w:t>
      </w:r>
      <w:r w:rsidR="00937423" w:rsidRPr="00D81D5A">
        <w:rPr>
          <w:i/>
        </w:rPr>
        <w:t>Allen I</w:t>
      </w:r>
      <w:r w:rsidR="00937423" w:rsidRPr="00D81D5A">
        <w:t>:  “</w:t>
      </w:r>
      <w:r w:rsidR="00937423" w:rsidRPr="00D81D5A">
        <w:rPr>
          <w:rStyle w:val="ssrfcpassagedeactivated"/>
          <w:szCs w:val="26"/>
        </w:rPr>
        <w:t xml:space="preserve">An employee’s vested contractual </w:t>
      </w:r>
      <w:r w:rsidR="00937423" w:rsidRPr="00D81D5A">
        <w:rPr>
          <w:rStyle w:val="sssh"/>
          <w:szCs w:val="26"/>
        </w:rPr>
        <w:t>pension</w:t>
      </w:r>
      <w:r w:rsidR="00937423" w:rsidRPr="00D81D5A">
        <w:rPr>
          <w:rStyle w:val="ssrfcpassagedeactivated"/>
          <w:szCs w:val="26"/>
        </w:rPr>
        <w:t xml:space="preserve"> rights may be modified prior to retirement for the purpose of keeping a </w:t>
      </w:r>
      <w:r w:rsidR="00937423" w:rsidRPr="00D81D5A">
        <w:rPr>
          <w:rStyle w:val="sssh"/>
          <w:szCs w:val="26"/>
        </w:rPr>
        <w:t>pension</w:t>
      </w:r>
      <w:r w:rsidR="00937423" w:rsidRPr="00D81D5A">
        <w:rPr>
          <w:rStyle w:val="ssrfcpassagedeactivated"/>
          <w:szCs w:val="26"/>
        </w:rPr>
        <w:t xml:space="preserve"> system flexible to permit adjustments in accord with changing conditions and at the same time maintain the integrity of the system.  [Citations.]</w:t>
      </w:r>
      <w:r w:rsidR="00937423" w:rsidRPr="00D81D5A">
        <w:rPr>
          <w:rStyle w:val="ssbf1"/>
          <w:color w:val="auto"/>
          <w:szCs w:val="26"/>
        </w:rPr>
        <w:t xml:space="preserve">  </w:t>
      </w:r>
      <w:r w:rsidR="00937423" w:rsidRPr="00D81D5A">
        <w:rPr>
          <w:rStyle w:val="ssrfcpassagedeactivated"/>
          <w:szCs w:val="26"/>
        </w:rPr>
        <w:t xml:space="preserve">Such modifications must be reasonable . . . .  To be sustained as reasonable, alterations of employees’ </w:t>
      </w:r>
      <w:r w:rsidR="00937423" w:rsidRPr="00D81D5A">
        <w:rPr>
          <w:rStyle w:val="sssh"/>
          <w:szCs w:val="26"/>
        </w:rPr>
        <w:t>pension</w:t>
      </w:r>
      <w:r w:rsidR="00937423" w:rsidRPr="00D81D5A">
        <w:rPr>
          <w:rStyle w:val="ssrfcpassagedeactivated"/>
          <w:szCs w:val="26"/>
        </w:rPr>
        <w:t xml:space="preserve"> rights must bear some material relation to the theory of a </w:t>
      </w:r>
      <w:r w:rsidR="00937423" w:rsidRPr="00D81D5A">
        <w:rPr>
          <w:rStyle w:val="sssh"/>
          <w:szCs w:val="26"/>
        </w:rPr>
        <w:t>pension</w:t>
      </w:r>
      <w:r w:rsidR="00937423" w:rsidRPr="00D81D5A">
        <w:rPr>
          <w:rStyle w:val="ssrfcpassagedeactivated"/>
          <w:szCs w:val="26"/>
        </w:rPr>
        <w:t xml:space="preserve"> system and its successful operation, and changes in a </w:t>
      </w:r>
      <w:r w:rsidR="00937423" w:rsidRPr="00D81D5A">
        <w:rPr>
          <w:rStyle w:val="sssh"/>
          <w:szCs w:val="26"/>
        </w:rPr>
        <w:t>pension</w:t>
      </w:r>
      <w:r w:rsidR="00937423" w:rsidRPr="00D81D5A">
        <w:rPr>
          <w:rStyle w:val="ssrfcpassagedeactivated"/>
          <w:szCs w:val="26"/>
        </w:rPr>
        <w:t xml:space="preserve"> plan which result in disadvantage to employees should be accompanied by comparable new advantages.” </w:t>
      </w:r>
      <w:r w:rsidRPr="00D81D5A">
        <w:rPr>
          <w:rStyle w:val="ssrfcpassagedeactivated"/>
          <w:szCs w:val="26"/>
        </w:rPr>
        <w:t xml:space="preserve"> (</w:t>
      </w:r>
      <w:r w:rsidR="00BF5CDE">
        <w:rPr>
          <w:i/>
        </w:rPr>
        <w:t>Allen I</w:t>
      </w:r>
      <w:r w:rsidR="00C06242" w:rsidRPr="00D81D5A">
        <w:t xml:space="preserve">, </w:t>
      </w:r>
      <w:r w:rsidR="00C06242" w:rsidRPr="00D81D5A">
        <w:rPr>
          <w:i/>
        </w:rPr>
        <w:t>supra</w:t>
      </w:r>
      <w:r w:rsidR="00C06242" w:rsidRPr="00D81D5A">
        <w:t>,</w:t>
      </w:r>
      <w:r w:rsidR="00C06242" w:rsidRPr="00D81D5A">
        <w:rPr>
          <w:i/>
        </w:rPr>
        <w:t xml:space="preserve"> </w:t>
      </w:r>
      <w:r w:rsidRPr="00D81D5A">
        <w:t>45</w:t>
      </w:r>
      <w:r w:rsidR="00E33818">
        <w:t> </w:t>
      </w:r>
      <w:r w:rsidRPr="00D81D5A">
        <w:t>Cal.2d</w:t>
      </w:r>
      <w:r w:rsidR="00C06242" w:rsidRPr="00D81D5A">
        <w:t xml:space="preserve"> at p.</w:t>
      </w:r>
      <w:r w:rsidR="009D1B95">
        <w:t> </w:t>
      </w:r>
      <w:r w:rsidRPr="00D81D5A">
        <w:t>131;</w:t>
      </w:r>
      <w:r w:rsidR="00EB73AD" w:rsidRPr="00D81D5A">
        <w:t xml:space="preserve"> see also</w:t>
      </w:r>
      <w:r w:rsidRPr="00D81D5A">
        <w:t xml:space="preserve"> </w:t>
      </w:r>
      <w:r w:rsidRPr="00D81D5A">
        <w:rPr>
          <w:i/>
        </w:rPr>
        <w:t xml:space="preserve">Betts v. Board of Administration </w:t>
      </w:r>
      <w:r w:rsidRPr="00D81D5A">
        <w:t>(1978) 21 Cal.3d 859, 866 (</w:t>
      </w:r>
      <w:r w:rsidRPr="00D81D5A">
        <w:rPr>
          <w:i/>
        </w:rPr>
        <w:t>Betts</w:t>
      </w:r>
      <w:r w:rsidRPr="00D81D5A">
        <w:t>) [contract clause protects not only pension rights available at commencement of employment but also those “</w:t>
      </w:r>
      <w:r w:rsidRPr="00D81D5A">
        <w:rPr>
          <w:szCs w:val="26"/>
        </w:rPr>
        <w:t>which are thereafter conferred during the employee’s subsequent tenure”]</w:t>
      </w:r>
      <w:r w:rsidRPr="00D81D5A">
        <w:t xml:space="preserve">.)  </w:t>
      </w:r>
      <w:r w:rsidR="0026747E" w:rsidRPr="00D81D5A">
        <w:t xml:space="preserve">This </w:t>
      </w:r>
      <w:r w:rsidR="00C35847" w:rsidRPr="00D81D5A">
        <w:t xml:space="preserve">quotation from </w:t>
      </w:r>
      <w:r w:rsidR="00C35847" w:rsidRPr="00D81D5A">
        <w:rPr>
          <w:i/>
        </w:rPr>
        <w:t>Allen I</w:t>
      </w:r>
      <w:r w:rsidR="0026747E" w:rsidRPr="00D81D5A">
        <w:t xml:space="preserve"> </w:t>
      </w:r>
      <w:r w:rsidR="00C35847" w:rsidRPr="00D81D5A">
        <w:t>i</w:t>
      </w:r>
      <w:r w:rsidR="0026747E" w:rsidRPr="00D81D5A">
        <w:t>s the foundation o</w:t>
      </w:r>
      <w:r w:rsidR="00C35847" w:rsidRPr="00D81D5A">
        <w:t>f</w:t>
      </w:r>
      <w:r w:rsidR="0026747E" w:rsidRPr="00D81D5A">
        <w:t xml:space="preserve"> the California Rule</w:t>
      </w:r>
      <w:r w:rsidR="00CB6C40">
        <w:t xml:space="preserve">.  </w:t>
      </w:r>
      <w:r w:rsidR="00F0723C">
        <w:t>By analogy to the federal standard,</w:t>
      </w:r>
      <w:r w:rsidR="00CB6C40">
        <w:t xml:space="preserve"> it defines when</w:t>
      </w:r>
      <w:r w:rsidR="00B94DC2">
        <w:t xml:space="preserve"> </w:t>
      </w:r>
      <w:r w:rsidR="00CB6C40">
        <w:t xml:space="preserve">a modification of </w:t>
      </w:r>
      <w:r w:rsidR="00B94DC2">
        <w:t>public employee pension</w:t>
      </w:r>
      <w:r w:rsidR="00CB6C40">
        <w:t xml:space="preserve"> rights will survive contract clause scrutiny as </w:t>
      </w:r>
      <w:r w:rsidR="00CB6C40">
        <w:rPr>
          <w:szCs w:val="26"/>
        </w:rPr>
        <w:t>“</w:t>
      </w:r>
      <w:r w:rsidR="00CB6C40" w:rsidRPr="00F47CFC">
        <w:rPr>
          <w:szCs w:val="27"/>
          <w:shd w:val="clear" w:color="auto" w:fill="FFFFFF"/>
        </w:rPr>
        <w:t xml:space="preserve">reasonable and necessary to serve an important </w:t>
      </w:r>
      <w:r w:rsidR="00CB6C40">
        <w:rPr>
          <w:szCs w:val="27"/>
          <w:shd w:val="clear" w:color="auto" w:fill="FFFFFF"/>
        </w:rPr>
        <w:t>p</w:t>
      </w:r>
      <w:r w:rsidR="00CB6C40" w:rsidRPr="00F47CFC">
        <w:rPr>
          <w:szCs w:val="27"/>
          <w:shd w:val="clear" w:color="auto" w:fill="FFFFFF"/>
        </w:rPr>
        <w:t>ublic purpose.</w:t>
      </w:r>
      <w:r w:rsidR="00CB6C40">
        <w:rPr>
          <w:szCs w:val="27"/>
          <w:shd w:val="clear" w:color="auto" w:fill="FFFFFF"/>
        </w:rPr>
        <w:t>”  (</w:t>
      </w:r>
      <w:r w:rsidR="00CB6C40" w:rsidRPr="00D81D5A">
        <w:rPr>
          <w:i/>
          <w:szCs w:val="26"/>
        </w:rPr>
        <w:t>U</w:t>
      </w:r>
      <w:r w:rsidR="00CB6C40">
        <w:rPr>
          <w:i/>
          <w:szCs w:val="26"/>
        </w:rPr>
        <w:t>.</w:t>
      </w:r>
      <w:r w:rsidR="00CB6C40" w:rsidRPr="00D81D5A">
        <w:rPr>
          <w:i/>
          <w:szCs w:val="26"/>
        </w:rPr>
        <w:t>S</w:t>
      </w:r>
      <w:r w:rsidR="00CB6C40">
        <w:rPr>
          <w:i/>
          <w:szCs w:val="26"/>
        </w:rPr>
        <w:t>.</w:t>
      </w:r>
      <w:r w:rsidR="00CB6C40" w:rsidRPr="00D81D5A">
        <w:rPr>
          <w:i/>
          <w:szCs w:val="26"/>
        </w:rPr>
        <w:t xml:space="preserve"> Trust</w:t>
      </w:r>
      <w:r w:rsidR="00CB6C40">
        <w:rPr>
          <w:iCs/>
          <w:szCs w:val="26"/>
        </w:rPr>
        <w:t xml:space="preserve">, </w:t>
      </w:r>
      <w:r w:rsidR="00CB6C40">
        <w:rPr>
          <w:i/>
          <w:szCs w:val="26"/>
        </w:rPr>
        <w:t>supra</w:t>
      </w:r>
      <w:r w:rsidR="00CB6C40">
        <w:rPr>
          <w:iCs/>
          <w:szCs w:val="26"/>
        </w:rPr>
        <w:t xml:space="preserve">, </w:t>
      </w:r>
      <w:r w:rsidR="00CB6C40" w:rsidRPr="00D81D5A">
        <w:rPr>
          <w:rStyle w:val="ssrfcpassagedeactivated"/>
          <w:szCs w:val="26"/>
        </w:rPr>
        <w:t xml:space="preserve">431 U.S. </w:t>
      </w:r>
      <w:r w:rsidR="00CB6C40">
        <w:rPr>
          <w:rStyle w:val="ssrfcpassagedeactivated"/>
          <w:szCs w:val="26"/>
        </w:rPr>
        <w:t>at p.</w:t>
      </w:r>
      <w:r w:rsidR="00651217">
        <w:rPr>
          <w:rStyle w:val="ssrfcpassagedeactivated"/>
          <w:szCs w:val="26"/>
        </w:rPr>
        <w:t> </w:t>
      </w:r>
      <w:r w:rsidR="00CB6C40">
        <w:rPr>
          <w:rStyle w:val="ssrfcpassagedeactivated"/>
          <w:szCs w:val="26"/>
        </w:rPr>
        <w:t>25.)</w:t>
      </w:r>
    </w:p>
    <w:p w14:paraId="1314ED37" w14:textId="00C477FC" w:rsidR="009F594A" w:rsidRPr="00D81D5A" w:rsidRDefault="009F594A" w:rsidP="00D81D5A">
      <w:pPr>
        <w:pStyle w:val="NormalIndent"/>
        <w:ind w:left="0" w:firstLine="720"/>
        <w:rPr>
          <w:rStyle w:val="sscrbhighlight"/>
          <w:szCs w:val="26"/>
        </w:rPr>
      </w:pPr>
      <w:r w:rsidRPr="00D81D5A">
        <w:rPr>
          <w:rStyle w:val="ssrfcpassagedeactivated"/>
          <w:szCs w:val="26"/>
        </w:rPr>
        <w:t>A review of the rule’s historical development will help to explain its requirements.</w:t>
      </w:r>
      <w:r w:rsidRPr="00D81D5A">
        <w:rPr>
          <w:szCs w:val="26"/>
        </w:rPr>
        <w:t xml:space="preserve">  </w:t>
      </w:r>
      <w:r w:rsidRPr="00D81D5A">
        <w:t xml:space="preserve">As we first recognized over a century ago in </w:t>
      </w:r>
      <w:r w:rsidRPr="00D81D5A">
        <w:rPr>
          <w:i/>
        </w:rPr>
        <w:t xml:space="preserve">O’Dea v. Cook </w:t>
      </w:r>
      <w:r w:rsidRPr="00D81D5A">
        <w:t>(1917) 176 Cal. 659, when a public employee renders service under a pension statute</w:t>
      </w:r>
      <w:r w:rsidRPr="00D81D5A">
        <w:rPr>
          <w:rStyle w:val="sscrbhighlight"/>
          <w:szCs w:val="26"/>
          <w:bdr w:val="none" w:sz="0" w:space="0" w:color="auto" w:frame="1"/>
          <w:shd w:val="clear" w:color="auto" w:fill="FFFFFF"/>
        </w:rPr>
        <w:t xml:space="preserve"> “the pension provisions become a part of the contemplated compensation for those services and so in a sense a part of the contract of employment itself.”  (</w:t>
      </w:r>
      <w:r w:rsidRPr="00D81D5A">
        <w:rPr>
          <w:rStyle w:val="sscrbhighlight"/>
          <w:i/>
          <w:szCs w:val="26"/>
          <w:bdr w:val="none" w:sz="0" w:space="0" w:color="auto" w:frame="1"/>
          <w:shd w:val="clear" w:color="auto" w:fill="FFFFFF"/>
        </w:rPr>
        <w:t xml:space="preserve">Id. </w:t>
      </w:r>
      <w:r w:rsidRPr="00D81D5A">
        <w:rPr>
          <w:rStyle w:val="sscrbhighlight"/>
          <w:szCs w:val="26"/>
          <w:bdr w:val="none" w:sz="0" w:space="0" w:color="auto" w:frame="1"/>
          <w:shd w:val="clear" w:color="auto" w:fill="FFFFFF"/>
        </w:rPr>
        <w:t>at pp.</w:t>
      </w:r>
      <w:r w:rsidR="005D2BDE" w:rsidRPr="00D81D5A">
        <w:rPr>
          <w:rStyle w:val="sscrbhighlight"/>
          <w:szCs w:val="26"/>
          <w:bdr w:val="none" w:sz="0" w:space="0" w:color="auto" w:frame="1"/>
          <w:shd w:val="clear" w:color="auto" w:fill="FFFFFF"/>
        </w:rPr>
        <w:t> </w:t>
      </w:r>
      <w:r w:rsidRPr="00D81D5A">
        <w:rPr>
          <w:rStyle w:val="sscrbhighlight"/>
          <w:szCs w:val="26"/>
          <w:bdr w:val="none" w:sz="0" w:space="0" w:color="auto" w:frame="1"/>
          <w:shd w:val="clear" w:color="auto" w:fill="FFFFFF"/>
        </w:rPr>
        <w:t>661</w:t>
      </w:r>
      <w:r w:rsidR="00427AF8">
        <w:rPr>
          <w:rStyle w:val="sscrbhighlight"/>
          <w:szCs w:val="26"/>
          <w:bdr w:val="none" w:sz="0" w:space="0" w:color="auto" w:frame="1"/>
          <w:shd w:val="clear" w:color="auto" w:fill="FFFFFF"/>
        </w:rPr>
        <w:t>–</w:t>
      </w:r>
      <w:r w:rsidRPr="00D81D5A">
        <w:rPr>
          <w:rStyle w:val="sscrbhighlight"/>
          <w:szCs w:val="26"/>
          <w:bdr w:val="none" w:sz="0" w:space="0" w:color="auto" w:frame="1"/>
          <w:shd w:val="clear" w:color="auto" w:fill="FFFFFF"/>
        </w:rPr>
        <w:t xml:space="preserve">662; see </w:t>
      </w:r>
      <w:r w:rsidRPr="00D81D5A">
        <w:rPr>
          <w:rStyle w:val="sscrbhighlight"/>
          <w:i/>
          <w:szCs w:val="26"/>
          <w:bdr w:val="none" w:sz="0" w:space="0" w:color="auto" w:frame="1"/>
          <w:shd w:val="clear" w:color="auto" w:fill="FFFFFF"/>
        </w:rPr>
        <w:t>Cal Fire</w:t>
      </w:r>
      <w:r w:rsidRPr="00D81D5A">
        <w:rPr>
          <w:rStyle w:val="sscrbhighlight"/>
          <w:szCs w:val="26"/>
          <w:bdr w:val="none" w:sz="0" w:space="0" w:color="auto" w:frame="1"/>
          <w:shd w:val="clear" w:color="auto" w:fill="FFFFFF"/>
        </w:rPr>
        <w:t xml:space="preserve">, </w:t>
      </w:r>
      <w:r w:rsidRPr="00D81D5A">
        <w:rPr>
          <w:rStyle w:val="sscrbhighlight"/>
          <w:i/>
          <w:szCs w:val="26"/>
          <w:bdr w:val="none" w:sz="0" w:space="0" w:color="auto" w:frame="1"/>
          <w:shd w:val="clear" w:color="auto" w:fill="FFFFFF"/>
        </w:rPr>
        <w:t>supra</w:t>
      </w:r>
      <w:r w:rsidRPr="00D81D5A">
        <w:rPr>
          <w:rStyle w:val="sscrbhighlight"/>
          <w:szCs w:val="26"/>
          <w:bdr w:val="none" w:sz="0" w:space="0" w:color="auto" w:frame="1"/>
          <w:shd w:val="clear" w:color="auto" w:fill="FFFFFF"/>
        </w:rPr>
        <w:t xml:space="preserve">, </w:t>
      </w:r>
      <w:r w:rsidRPr="00D81D5A">
        <w:t>6</w:t>
      </w:r>
      <w:r w:rsidR="00E33818">
        <w:t> </w:t>
      </w:r>
      <w:r w:rsidRPr="00D81D5A">
        <w:t>Cal.5th at p.</w:t>
      </w:r>
      <w:r w:rsidR="005D2BDE" w:rsidRPr="00D81D5A">
        <w:t> </w:t>
      </w:r>
      <w:r w:rsidRPr="00D81D5A">
        <w:t>984</w:t>
      </w:r>
      <w:r w:rsidRPr="00D81D5A">
        <w:rPr>
          <w:rStyle w:val="sscrbhighlight"/>
          <w:szCs w:val="26"/>
          <w:bdr w:val="none" w:sz="0" w:space="0" w:color="auto" w:frame="1"/>
          <w:shd w:val="clear" w:color="auto" w:fill="FFFFFF"/>
        </w:rPr>
        <w:t>.)  In squaring this insight with the traditional rule that statutes do not create contractual rights,</w:t>
      </w:r>
      <w:r w:rsidR="00C35847" w:rsidRPr="00D81D5A">
        <w:rPr>
          <w:rStyle w:val="sscrbhighlight"/>
          <w:szCs w:val="26"/>
          <w:bdr w:val="none" w:sz="0" w:space="0" w:color="auto" w:frame="1"/>
          <w:shd w:val="clear" w:color="auto" w:fill="FFFFFF"/>
        </w:rPr>
        <w:t xml:space="preserve"> our subsequent decision in</w:t>
      </w:r>
      <w:r w:rsidRPr="00D81D5A">
        <w:rPr>
          <w:rStyle w:val="sscrbhighlight"/>
          <w:szCs w:val="26"/>
          <w:bdr w:val="none" w:sz="0" w:space="0" w:color="auto" w:frame="1"/>
          <w:shd w:val="clear" w:color="auto" w:fill="FFFFFF"/>
        </w:rPr>
        <w:t xml:space="preserve"> </w:t>
      </w:r>
      <w:r w:rsidRPr="00D81D5A">
        <w:rPr>
          <w:rStyle w:val="sscrbhighlight"/>
          <w:i/>
          <w:szCs w:val="26"/>
          <w:bdr w:val="none" w:sz="0" w:space="0" w:color="auto" w:frame="1"/>
          <w:shd w:val="clear" w:color="auto" w:fill="FFFFFF"/>
        </w:rPr>
        <w:t xml:space="preserve">Kern </w:t>
      </w:r>
      <w:r w:rsidRPr="00D81D5A">
        <w:rPr>
          <w:rStyle w:val="sscrbhighlight"/>
          <w:szCs w:val="26"/>
          <w:bdr w:val="none" w:sz="0" w:space="0" w:color="auto" w:frame="1"/>
          <w:shd w:val="clear" w:color="auto" w:fill="FFFFFF"/>
        </w:rPr>
        <w:t>held that “p</w:t>
      </w:r>
      <w:r w:rsidRPr="00D81D5A">
        <w:rPr>
          <w:rStyle w:val="ssrfcpassagedeactivated"/>
          <w:szCs w:val="26"/>
        </w:rPr>
        <w:t xml:space="preserve">ublic employment gives rise to certain obligations which are protected by the contract clause of the Constitution, including the right to the payment of salary which has been earned.  Since a </w:t>
      </w:r>
      <w:r w:rsidRPr="00D81D5A">
        <w:rPr>
          <w:rStyle w:val="sssh"/>
          <w:szCs w:val="26"/>
        </w:rPr>
        <w:t>pension</w:t>
      </w:r>
      <w:r w:rsidRPr="00D81D5A">
        <w:rPr>
          <w:rStyle w:val="ssrfcpassagedeactivated"/>
          <w:szCs w:val="26"/>
        </w:rPr>
        <w:t xml:space="preserve"> right is ‘an integral portion of contemplated compensation’ [citation], it cannot be destroyed, once it has vested, without impairing a contractual obligation.”  (</w:t>
      </w:r>
      <w:r w:rsidRPr="00D81D5A">
        <w:rPr>
          <w:rStyle w:val="ssrfcpassagedeactivated"/>
          <w:i/>
          <w:szCs w:val="26"/>
        </w:rPr>
        <w:t>Kern, supra</w:t>
      </w:r>
      <w:r w:rsidRPr="00D81D5A">
        <w:rPr>
          <w:rStyle w:val="ssrfcpassagedeactivated"/>
          <w:szCs w:val="26"/>
        </w:rPr>
        <w:t xml:space="preserve">, </w:t>
      </w:r>
      <w:r w:rsidRPr="00D81D5A">
        <w:t>29 Cal.2d at pp.</w:t>
      </w:r>
      <w:r w:rsidR="00E33818">
        <w:t> </w:t>
      </w:r>
      <w:r w:rsidRPr="00D81D5A">
        <w:t xml:space="preserve">853.) </w:t>
      </w:r>
      <w:r w:rsidRPr="00D81D5A">
        <w:rPr>
          <w:rStyle w:val="ssrfcpassagedeactivated"/>
          <w:szCs w:val="26"/>
        </w:rPr>
        <w:t xml:space="preserve"> It </w:t>
      </w:r>
      <w:r w:rsidR="0019524B" w:rsidRPr="00D81D5A">
        <w:rPr>
          <w:rStyle w:val="ssrfcpassagedeactivated"/>
          <w:szCs w:val="26"/>
        </w:rPr>
        <w:t>i</w:t>
      </w:r>
      <w:r w:rsidRPr="00D81D5A">
        <w:rPr>
          <w:rStyle w:val="ssrfcpassagedeactivated"/>
          <w:szCs w:val="26"/>
        </w:rPr>
        <w:t xml:space="preserve">s the nature of pension rights as deferred compensation that caused </w:t>
      </w:r>
      <w:r w:rsidRPr="00D81D5A">
        <w:rPr>
          <w:rStyle w:val="ssrfcpassagedeactivated"/>
          <w:i/>
          <w:szCs w:val="26"/>
        </w:rPr>
        <w:t xml:space="preserve">Kern </w:t>
      </w:r>
      <w:r w:rsidRPr="00D81D5A">
        <w:rPr>
          <w:rStyle w:val="ssrfcpassagedeactivated"/>
          <w:szCs w:val="26"/>
        </w:rPr>
        <w:t>to hold them protected under the contract clause.  (</w:t>
      </w:r>
      <w:r w:rsidRPr="00D81D5A">
        <w:rPr>
          <w:rStyle w:val="sscrbhighlight"/>
          <w:i/>
          <w:szCs w:val="26"/>
          <w:bdr w:val="none" w:sz="0" w:space="0" w:color="auto" w:frame="1"/>
          <w:shd w:val="clear" w:color="auto" w:fill="FFFFFF"/>
        </w:rPr>
        <w:t>Cal Fire</w:t>
      </w:r>
      <w:r w:rsidRPr="00D81D5A">
        <w:rPr>
          <w:rStyle w:val="sscrbhighlight"/>
          <w:szCs w:val="26"/>
          <w:bdr w:val="none" w:sz="0" w:space="0" w:color="auto" w:frame="1"/>
          <w:shd w:val="clear" w:color="auto" w:fill="FFFFFF"/>
        </w:rPr>
        <w:t xml:space="preserve">, </w:t>
      </w:r>
      <w:r w:rsidRPr="00D81D5A">
        <w:t>at pp.</w:t>
      </w:r>
      <w:r w:rsidR="00E33818">
        <w:t> </w:t>
      </w:r>
      <w:r w:rsidRPr="00D81D5A">
        <w:t>984</w:t>
      </w:r>
      <w:r w:rsidR="00427AF8">
        <w:t>–</w:t>
      </w:r>
      <w:r w:rsidRPr="00D81D5A">
        <w:t>985</w:t>
      </w:r>
      <w:r w:rsidRPr="00D81D5A">
        <w:rPr>
          <w:rStyle w:val="sscrbhighlight"/>
          <w:szCs w:val="26"/>
          <w:bdr w:val="none" w:sz="0" w:space="0" w:color="auto" w:frame="1"/>
          <w:shd w:val="clear" w:color="auto" w:fill="FFFFFF"/>
        </w:rPr>
        <w:t>.)</w:t>
      </w:r>
    </w:p>
    <w:p w14:paraId="24DD1074" w14:textId="77777777" w:rsidR="009F594A" w:rsidRPr="00D81D5A" w:rsidRDefault="0041244E" w:rsidP="00D81D5A">
      <w:pPr>
        <w:pStyle w:val="NormalIndent"/>
        <w:ind w:left="0" w:firstLine="720"/>
      </w:pPr>
      <w:r w:rsidRPr="00D81D5A">
        <w:t>In and a</w:t>
      </w:r>
      <w:r w:rsidR="00C06242" w:rsidRPr="00D81D5A">
        <w:t>fter</w:t>
      </w:r>
      <w:r w:rsidR="00EB73AD" w:rsidRPr="00D81D5A">
        <w:t xml:space="preserve"> </w:t>
      </w:r>
      <w:r w:rsidRPr="00D81D5A">
        <w:rPr>
          <w:i/>
        </w:rPr>
        <w:t>Kern</w:t>
      </w:r>
      <w:r w:rsidR="009F594A" w:rsidRPr="00D81D5A">
        <w:t xml:space="preserve">, </w:t>
      </w:r>
      <w:r w:rsidRPr="00D81D5A">
        <w:t xml:space="preserve">we </w:t>
      </w:r>
      <w:r w:rsidR="00C35847" w:rsidRPr="00D81D5A">
        <w:t xml:space="preserve">have attempted </w:t>
      </w:r>
      <w:r w:rsidR="009F594A" w:rsidRPr="00D81D5A">
        <w:t xml:space="preserve">to define the </w:t>
      </w:r>
      <w:r w:rsidR="00C35847" w:rsidRPr="00D81D5A">
        <w:t xml:space="preserve">constitutionally appropriate </w:t>
      </w:r>
      <w:r w:rsidR="009F594A" w:rsidRPr="00D81D5A">
        <w:t xml:space="preserve">balance between preserving public employee pension rights and granting the Legislature the flexibility necessary to cope with changing </w:t>
      </w:r>
      <w:r w:rsidR="005527C8" w:rsidRPr="00D81D5A">
        <w:t>circumstances</w:t>
      </w:r>
      <w:r w:rsidR="009F594A" w:rsidRPr="00D81D5A">
        <w:t xml:space="preserve">.  </w:t>
      </w:r>
      <w:r w:rsidRPr="00D81D5A">
        <w:t xml:space="preserve">In </w:t>
      </w:r>
      <w:r w:rsidR="009F594A" w:rsidRPr="00D81D5A">
        <w:rPr>
          <w:i/>
        </w:rPr>
        <w:t>Kern</w:t>
      </w:r>
      <w:r w:rsidRPr="00D81D5A">
        <w:t>, t</w:t>
      </w:r>
      <w:r w:rsidR="009F594A" w:rsidRPr="00D81D5A">
        <w:t>he defendant city had terminated its safety officer pension plan</w:t>
      </w:r>
      <w:r w:rsidR="000F7955" w:rsidRPr="00D81D5A">
        <w:t xml:space="preserve">, </w:t>
      </w:r>
      <w:r w:rsidR="00485F3C" w:rsidRPr="00D81D5A">
        <w:t>providing n</w:t>
      </w:r>
      <w:r w:rsidR="000F7955" w:rsidRPr="00D81D5A">
        <w:t>o</w:t>
      </w:r>
      <w:r w:rsidR="00485F3C" w:rsidRPr="00D81D5A">
        <w:t xml:space="preserve"> replacement</w:t>
      </w:r>
      <w:r w:rsidR="000F7955" w:rsidRPr="00D81D5A">
        <w:t>,</w:t>
      </w:r>
      <w:r w:rsidR="00485F3C" w:rsidRPr="00D81D5A">
        <w:t xml:space="preserve"> </w:t>
      </w:r>
      <w:r w:rsidR="009F594A" w:rsidRPr="00D81D5A">
        <w:t>mere days before the plaintiff officer completed the 20 years of service necessary to qualify for a pension.  (</w:t>
      </w:r>
      <w:r w:rsidR="009F594A" w:rsidRPr="00D81D5A">
        <w:rPr>
          <w:rStyle w:val="ssrfcpassagedeactivated"/>
          <w:i/>
          <w:szCs w:val="26"/>
        </w:rPr>
        <w:t>Kern, supra</w:t>
      </w:r>
      <w:r w:rsidR="009F594A" w:rsidRPr="00D81D5A">
        <w:rPr>
          <w:rStyle w:val="ssrfcpassagedeactivated"/>
          <w:szCs w:val="26"/>
        </w:rPr>
        <w:t xml:space="preserve">, </w:t>
      </w:r>
      <w:r w:rsidR="009F594A" w:rsidRPr="00D81D5A">
        <w:t>29 Cal.2d at p.</w:t>
      </w:r>
      <w:r w:rsidR="00E33818">
        <w:t> </w:t>
      </w:r>
      <w:r w:rsidR="009F594A" w:rsidRPr="00D81D5A">
        <w:t>850.)  We had no difficulty finding that the wholesale elimination of previously available pension benefits works a substantial impairment of an employee’s implied contractual rights.  (</w:t>
      </w:r>
      <w:r w:rsidR="009F594A" w:rsidRPr="00D81D5A">
        <w:rPr>
          <w:i/>
        </w:rPr>
        <w:t>Id</w:t>
      </w:r>
      <w:r w:rsidR="009F594A" w:rsidRPr="00D81D5A">
        <w:t>. at p. 853 [although pension statutes can be modified, “</w:t>
      </w:r>
      <w:r w:rsidR="009F594A" w:rsidRPr="00D81D5A">
        <w:rPr>
          <w:rStyle w:val="ssrfcpassagedeactivated"/>
          <w:szCs w:val="26"/>
        </w:rPr>
        <w:t xml:space="preserve">it does not follow that an employee may be deprived of all pension benefits by a repeal of the statute without the enactment of a substitute”].)  As we concluded, allowing a last minute repeal of pension rights “would defeat one of the primary objectives in providing pensions for government employees, which is to induce competent persons to enter and remain in public employment,” </w:t>
      </w:r>
      <w:r w:rsidR="007F68A1" w:rsidRPr="00D81D5A">
        <w:rPr>
          <w:rStyle w:val="ssrfcpassagedeactivated"/>
          <w:szCs w:val="26"/>
        </w:rPr>
        <w:t xml:space="preserve">because </w:t>
      </w:r>
      <w:r w:rsidR="009F594A" w:rsidRPr="00D81D5A">
        <w:rPr>
          <w:rStyle w:val="ssrfcpassagedeactivated"/>
          <w:szCs w:val="26"/>
        </w:rPr>
        <w:t>“the promise of a pension annuity would either become ineffective as an inducement to public employees or it would become merely a snare and a delusion to the unwary.”</w:t>
      </w:r>
      <w:r w:rsidR="009F594A" w:rsidRPr="00D81D5A">
        <w:rPr>
          <w:rStyle w:val="ssrfcpassagedeactivated"/>
          <w:rFonts w:cs="Helvetica"/>
          <w:szCs w:val="21"/>
        </w:rPr>
        <w:t xml:space="preserve"> </w:t>
      </w:r>
      <w:r w:rsidR="009F594A" w:rsidRPr="00D81D5A">
        <w:rPr>
          <w:rStyle w:val="ssrfcpassagedeactivated"/>
          <w:szCs w:val="26"/>
        </w:rPr>
        <w:t xml:space="preserve"> </w:t>
      </w:r>
      <w:r w:rsidR="009F594A" w:rsidRPr="00D81D5A">
        <w:t>(</w:t>
      </w:r>
      <w:r w:rsidR="009F594A" w:rsidRPr="00D81D5A">
        <w:rPr>
          <w:i/>
        </w:rPr>
        <w:t>Id</w:t>
      </w:r>
      <w:r w:rsidR="009F594A" w:rsidRPr="00D81D5A">
        <w:t>. at p.</w:t>
      </w:r>
      <w:r w:rsidR="009D1B95">
        <w:t> </w:t>
      </w:r>
      <w:r w:rsidR="009F594A" w:rsidRPr="00D81D5A">
        <w:t>856.)</w:t>
      </w:r>
    </w:p>
    <w:p w14:paraId="4FCCF1D4" w14:textId="6A45F50C" w:rsidR="009F594A" w:rsidRPr="00D81D5A" w:rsidRDefault="009F594A" w:rsidP="00D81D5A">
      <w:pPr>
        <w:pStyle w:val="NormalIndent"/>
        <w:ind w:left="0" w:firstLine="720"/>
        <w:rPr>
          <w:szCs w:val="26"/>
        </w:rPr>
      </w:pPr>
      <w:r w:rsidRPr="00D81D5A">
        <w:rPr>
          <w:rStyle w:val="ssrfcpassagedeactivated"/>
          <w:szCs w:val="26"/>
        </w:rPr>
        <w:t xml:space="preserve">Given the </w:t>
      </w:r>
      <w:r w:rsidR="0019524B" w:rsidRPr="00D81D5A">
        <w:rPr>
          <w:rStyle w:val="ssrfcpassagedeactivated"/>
          <w:szCs w:val="26"/>
        </w:rPr>
        <w:t>complete</w:t>
      </w:r>
      <w:r w:rsidRPr="00D81D5A">
        <w:rPr>
          <w:rStyle w:val="ssrfcpassagedeactivated"/>
          <w:szCs w:val="26"/>
        </w:rPr>
        <w:t xml:space="preserve"> elimination of the plaintiff’s </w:t>
      </w:r>
      <w:r w:rsidR="0019524B" w:rsidRPr="00D81D5A">
        <w:rPr>
          <w:rStyle w:val="ssrfcpassagedeactivated"/>
          <w:szCs w:val="26"/>
        </w:rPr>
        <w:t>pension plan</w:t>
      </w:r>
      <w:r w:rsidR="00DB1FEF">
        <w:rPr>
          <w:rStyle w:val="ssrfcpassagedeactivated"/>
          <w:szCs w:val="26"/>
        </w:rPr>
        <w:t xml:space="preserve"> in </w:t>
      </w:r>
      <w:r w:rsidR="00DB1FEF">
        <w:rPr>
          <w:rStyle w:val="ssrfcpassagedeactivated"/>
          <w:i/>
          <w:iCs/>
          <w:szCs w:val="26"/>
        </w:rPr>
        <w:t>Kern</w:t>
      </w:r>
      <w:r w:rsidRPr="00D81D5A">
        <w:rPr>
          <w:rStyle w:val="ssrfcpassagedeactivated"/>
          <w:szCs w:val="26"/>
        </w:rPr>
        <w:t>, we recognized that “[t]</w:t>
      </w:r>
      <w:r w:rsidRPr="00D81D5A">
        <w:rPr>
          <w:szCs w:val="26"/>
        </w:rPr>
        <w:t>he permissible scope of changes in the provisions [of a public pension plan] need not be considered here</w:t>
      </w:r>
      <w:r w:rsidR="00BF5CDE">
        <w:rPr>
          <w:szCs w:val="26"/>
        </w:rPr>
        <w:t xml:space="preserve"> </w:t>
      </w:r>
      <w:r w:rsidRPr="00D81D5A">
        <w:rPr>
          <w:szCs w:val="26"/>
        </w:rPr>
        <w:t>.</w:t>
      </w:r>
      <w:r w:rsidR="00BF5CDE">
        <w:rPr>
          <w:szCs w:val="26"/>
        </w:rPr>
        <w:t xml:space="preserve"> . . .</w:t>
      </w:r>
      <w:r w:rsidRPr="00D81D5A">
        <w:rPr>
          <w:szCs w:val="26"/>
        </w:rPr>
        <w:t xml:space="preserve">”  </w:t>
      </w:r>
      <w:r w:rsidRPr="00D81D5A">
        <w:t>(</w:t>
      </w:r>
      <w:r w:rsidR="00BF5CDE">
        <w:rPr>
          <w:i/>
          <w:iCs/>
        </w:rPr>
        <w:t>Kern</w:t>
      </w:r>
      <w:r w:rsidRPr="00D81D5A">
        <w:rPr>
          <w:rStyle w:val="ssrfcpassagedeactivated"/>
          <w:i/>
          <w:szCs w:val="26"/>
        </w:rPr>
        <w:t>, supra</w:t>
      </w:r>
      <w:r w:rsidRPr="00D81D5A">
        <w:rPr>
          <w:rStyle w:val="ssrfcpassagedeactivated"/>
          <w:szCs w:val="26"/>
        </w:rPr>
        <w:t xml:space="preserve">, </w:t>
      </w:r>
      <w:r w:rsidRPr="00D81D5A">
        <w:t>29 Cal.2d at p. 85</w:t>
      </w:r>
      <w:r w:rsidRPr="00D81D5A">
        <w:rPr>
          <w:szCs w:val="26"/>
        </w:rPr>
        <w:t>5.)  Yet we ma</w:t>
      </w:r>
      <w:r w:rsidR="00DB1FEF">
        <w:rPr>
          <w:szCs w:val="26"/>
        </w:rPr>
        <w:t>d</w:t>
      </w:r>
      <w:r w:rsidRPr="00D81D5A">
        <w:rPr>
          <w:szCs w:val="26"/>
        </w:rPr>
        <w:t xml:space="preserve">e observations that subsequently influenced the resolution of this issue.  </w:t>
      </w:r>
      <w:r w:rsidRPr="00D81D5A">
        <w:rPr>
          <w:i/>
          <w:szCs w:val="26"/>
        </w:rPr>
        <w:t>Kern</w:t>
      </w:r>
      <w:r w:rsidRPr="00D81D5A">
        <w:rPr>
          <w:szCs w:val="26"/>
        </w:rPr>
        <w:t xml:space="preserve"> acknowledged that “[t]he rule permitting modification of pensions is a necessary one since pension systems must be kept flexible to permit adjustments in accord with changing conditions and at the same time maintain the integrity of the system and carry out its beneficent policy.”  (</w:t>
      </w:r>
      <w:r w:rsidRPr="00D81D5A">
        <w:rPr>
          <w:i/>
          <w:szCs w:val="26"/>
        </w:rPr>
        <w:t>Id</w:t>
      </w:r>
      <w:r w:rsidRPr="00D81D5A">
        <w:rPr>
          <w:szCs w:val="26"/>
        </w:rPr>
        <w:t>. at p</w:t>
      </w:r>
      <w:r w:rsidR="0083753D" w:rsidRPr="00D81D5A">
        <w:rPr>
          <w:szCs w:val="26"/>
        </w:rPr>
        <w:t>p</w:t>
      </w:r>
      <w:r w:rsidRPr="00D81D5A">
        <w:rPr>
          <w:szCs w:val="26"/>
        </w:rPr>
        <w:t>.</w:t>
      </w:r>
      <w:r w:rsidR="00C110DF">
        <w:rPr>
          <w:szCs w:val="26"/>
        </w:rPr>
        <w:t> </w:t>
      </w:r>
      <w:r w:rsidRPr="00D81D5A">
        <w:rPr>
          <w:szCs w:val="26"/>
        </w:rPr>
        <w:t>854</w:t>
      </w:r>
      <w:r w:rsidR="00427AF8">
        <w:rPr>
          <w:szCs w:val="26"/>
        </w:rPr>
        <w:t>–</w:t>
      </w:r>
      <w:r w:rsidRPr="00D81D5A">
        <w:rPr>
          <w:szCs w:val="26"/>
        </w:rPr>
        <w:t>855.)  Because of that</w:t>
      </w:r>
      <w:r w:rsidR="0019524B" w:rsidRPr="00D81D5A">
        <w:rPr>
          <w:szCs w:val="26"/>
        </w:rPr>
        <w:t xml:space="preserve"> necess</w:t>
      </w:r>
      <w:r w:rsidR="007F68A1" w:rsidRPr="00D81D5A">
        <w:rPr>
          <w:szCs w:val="26"/>
        </w:rPr>
        <w:t>it</w:t>
      </w:r>
      <w:r w:rsidR="0019524B" w:rsidRPr="00D81D5A">
        <w:rPr>
          <w:szCs w:val="26"/>
        </w:rPr>
        <w:t>y</w:t>
      </w:r>
      <w:r w:rsidRPr="00D81D5A">
        <w:rPr>
          <w:szCs w:val="26"/>
        </w:rPr>
        <w:t>, we concluded, “</w:t>
      </w:r>
      <w:r w:rsidR="00BF5CDE">
        <w:rPr>
          <w:szCs w:val="26"/>
        </w:rPr>
        <w:t>[A]</w:t>
      </w:r>
      <w:r w:rsidRPr="00D81D5A">
        <w:rPr>
          <w:szCs w:val="26"/>
        </w:rPr>
        <w:t>n employee may acquire a vested contractual right to a pension but . . . this right is not rigidly fixed by the specific terms of the legislation in effect during any particular period in which he serves.  The statutory language is subject to the implied qualification that the governing body may make modifications and changes in the system.  The employee does not have a right to any fixed or definite benefits, but only to a substantial or reasonable pension.  There is no inconsistency therefore in holding that he has a vested right to a pension but that the amount, terms and conditions of the benefits may be altered.”  (</w:t>
      </w:r>
      <w:r w:rsidRPr="00D81D5A">
        <w:rPr>
          <w:i/>
          <w:szCs w:val="26"/>
        </w:rPr>
        <w:t>Id</w:t>
      </w:r>
      <w:r w:rsidRPr="00D81D5A">
        <w:rPr>
          <w:szCs w:val="26"/>
        </w:rPr>
        <w:t>. at p.</w:t>
      </w:r>
      <w:r w:rsidR="005D2BDE" w:rsidRPr="00D81D5A">
        <w:rPr>
          <w:szCs w:val="26"/>
        </w:rPr>
        <w:t> </w:t>
      </w:r>
      <w:r w:rsidRPr="00D81D5A">
        <w:rPr>
          <w:szCs w:val="26"/>
        </w:rPr>
        <w:t>855.)</w:t>
      </w:r>
    </w:p>
    <w:p w14:paraId="04663AFE" w14:textId="019AA5E8" w:rsidR="000F7955" w:rsidRPr="00D81D5A" w:rsidRDefault="00C35847" w:rsidP="00D81D5A">
      <w:pPr>
        <w:pStyle w:val="NormalIndent"/>
        <w:ind w:left="0" w:firstLine="720"/>
        <w:rPr>
          <w:szCs w:val="26"/>
        </w:rPr>
      </w:pPr>
      <w:r w:rsidRPr="00D81D5A">
        <w:rPr>
          <w:szCs w:val="26"/>
        </w:rPr>
        <w:t xml:space="preserve">The question of </w:t>
      </w:r>
      <w:r w:rsidR="009F594A" w:rsidRPr="00D81D5A">
        <w:rPr>
          <w:szCs w:val="26"/>
        </w:rPr>
        <w:t>the permissible scope of pension plan modifications</w:t>
      </w:r>
      <w:r w:rsidRPr="00D81D5A">
        <w:rPr>
          <w:szCs w:val="26"/>
        </w:rPr>
        <w:t xml:space="preserve"> came before the court again</w:t>
      </w:r>
      <w:r w:rsidR="009F594A" w:rsidRPr="00D81D5A">
        <w:rPr>
          <w:szCs w:val="26"/>
        </w:rPr>
        <w:t xml:space="preserve"> in </w:t>
      </w:r>
      <w:r w:rsidR="009F594A" w:rsidRPr="00D81D5A">
        <w:rPr>
          <w:i/>
          <w:szCs w:val="26"/>
        </w:rPr>
        <w:t xml:space="preserve">Packer v. Board of Retirement </w:t>
      </w:r>
      <w:r w:rsidR="009F594A" w:rsidRPr="00D81D5A">
        <w:rPr>
          <w:szCs w:val="26"/>
        </w:rPr>
        <w:t>(1950) 35 Cal.2d 212 (</w:t>
      </w:r>
      <w:r w:rsidR="009F594A" w:rsidRPr="00D81D5A">
        <w:rPr>
          <w:i/>
          <w:szCs w:val="26"/>
        </w:rPr>
        <w:t>Packer</w:t>
      </w:r>
      <w:r w:rsidR="009F594A" w:rsidRPr="00D81D5A">
        <w:rPr>
          <w:szCs w:val="26"/>
        </w:rPr>
        <w:t xml:space="preserve">).  The plaintiff in </w:t>
      </w:r>
      <w:r w:rsidR="009F594A" w:rsidRPr="00D81D5A">
        <w:rPr>
          <w:i/>
          <w:szCs w:val="26"/>
        </w:rPr>
        <w:t xml:space="preserve">Packer </w:t>
      </w:r>
      <w:r w:rsidR="009F594A" w:rsidRPr="00D81D5A">
        <w:rPr>
          <w:szCs w:val="26"/>
        </w:rPr>
        <w:t xml:space="preserve">was the widow of a Los Angeles County peace officer who died a few years after retiring.  Four years before the deceased’s retirement, as part of a larger pension reform, the </w:t>
      </w:r>
      <w:r w:rsidR="000F7955" w:rsidRPr="00D81D5A">
        <w:rPr>
          <w:szCs w:val="26"/>
        </w:rPr>
        <w:t xml:space="preserve">applicable </w:t>
      </w:r>
      <w:r w:rsidR="009F594A" w:rsidRPr="00D81D5A">
        <w:rPr>
          <w:szCs w:val="26"/>
        </w:rPr>
        <w:t xml:space="preserve">pension ordinance was amended to </w:t>
      </w:r>
      <w:r w:rsidR="00C06242" w:rsidRPr="00D81D5A">
        <w:rPr>
          <w:szCs w:val="26"/>
        </w:rPr>
        <w:t>grant</w:t>
      </w:r>
      <w:r w:rsidR="009F594A" w:rsidRPr="00D81D5A">
        <w:rPr>
          <w:szCs w:val="26"/>
        </w:rPr>
        <w:t xml:space="preserve"> </w:t>
      </w:r>
      <w:r w:rsidR="0019524B" w:rsidRPr="00D81D5A">
        <w:rPr>
          <w:szCs w:val="26"/>
        </w:rPr>
        <w:t>benefits to a</w:t>
      </w:r>
      <w:r w:rsidR="00D01DD1" w:rsidRPr="00D81D5A">
        <w:rPr>
          <w:szCs w:val="26"/>
        </w:rPr>
        <w:t>n officer’s</w:t>
      </w:r>
      <w:r w:rsidR="0019524B" w:rsidRPr="00D81D5A">
        <w:rPr>
          <w:szCs w:val="26"/>
        </w:rPr>
        <w:t xml:space="preserve"> </w:t>
      </w:r>
      <w:r w:rsidR="009F594A" w:rsidRPr="00D81D5A">
        <w:rPr>
          <w:szCs w:val="26"/>
        </w:rPr>
        <w:t xml:space="preserve">surviving spouse only </w:t>
      </w:r>
      <w:r w:rsidR="0019524B" w:rsidRPr="00D81D5A">
        <w:rPr>
          <w:szCs w:val="26"/>
        </w:rPr>
        <w:t xml:space="preserve">if the </w:t>
      </w:r>
      <w:r w:rsidR="009F594A" w:rsidRPr="00D81D5A">
        <w:rPr>
          <w:szCs w:val="26"/>
        </w:rPr>
        <w:t>officer accepted a lesser retirement benefit.</w:t>
      </w:r>
      <w:r w:rsidR="00D01DD1" w:rsidRPr="00D81D5A">
        <w:rPr>
          <w:szCs w:val="26"/>
        </w:rPr>
        <w:t xml:space="preserve">  Previously, such </w:t>
      </w:r>
      <w:r w:rsidR="000F7955" w:rsidRPr="00D81D5A">
        <w:rPr>
          <w:szCs w:val="26"/>
        </w:rPr>
        <w:t xml:space="preserve">surviving-spouse </w:t>
      </w:r>
      <w:r w:rsidR="00D01DD1" w:rsidRPr="00D81D5A">
        <w:rPr>
          <w:szCs w:val="26"/>
        </w:rPr>
        <w:t>benefits had been available as a matter of course to all officers.</w:t>
      </w:r>
      <w:r w:rsidR="009F594A" w:rsidRPr="00D81D5A">
        <w:rPr>
          <w:szCs w:val="26"/>
        </w:rPr>
        <w:t xml:space="preserve">  Because the plaintiff’s </w:t>
      </w:r>
      <w:r w:rsidR="000F7955" w:rsidRPr="00D81D5A">
        <w:rPr>
          <w:szCs w:val="26"/>
        </w:rPr>
        <w:t>husband</w:t>
      </w:r>
      <w:r w:rsidR="009F594A" w:rsidRPr="00D81D5A">
        <w:rPr>
          <w:szCs w:val="26"/>
        </w:rPr>
        <w:t xml:space="preserve"> did not elect the lower benefit alternative, </w:t>
      </w:r>
      <w:r w:rsidR="000F7955" w:rsidRPr="00D81D5A">
        <w:rPr>
          <w:szCs w:val="26"/>
        </w:rPr>
        <w:t xml:space="preserve">the retirement board found that </w:t>
      </w:r>
      <w:r w:rsidR="009F594A" w:rsidRPr="00D81D5A">
        <w:rPr>
          <w:szCs w:val="26"/>
        </w:rPr>
        <w:t>she was not entitled to benefits upon his death.  (</w:t>
      </w:r>
      <w:r w:rsidR="009F594A" w:rsidRPr="00D81D5A">
        <w:rPr>
          <w:i/>
          <w:szCs w:val="26"/>
        </w:rPr>
        <w:t>Id.</w:t>
      </w:r>
      <w:r w:rsidR="009F594A" w:rsidRPr="00D81D5A">
        <w:rPr>
          <w:szCs w:val="26"/>
        </w:rPr>
        <w:t xml:space="preserve"> at </w:t>
      </w:r>
      <w:r w:rsidR="00DB1FEF">
        <w:rPr>
          <w:szCs w:val="26"/>
        </w:rPr>
        <w:t>p</w:t>
      </w:r>
      <w:r w:rsidR="009F594A" w:rsidRPr="00D81D5A">
        <w:rPr>
          <w:szCs w:val="26"/>
        </w:rPr>
        <w:t>p.</w:t>
      </w:r>
      <w:r w:rsidR="005D2BDE" w:rsidRPr="00D81D5A">
        <w:rPr>
          <w:szCs w:val="26"/>
        </w:rPr>
        <w:t> </w:t>
      </w:r>
      <w:r w:rsidR="009F594A" w:rsidRPr="00D81D5A">
        <w:rPr>
          <w:szCs w:val="26"/>
        </w:rPr>
        <w:t>213</w:t>
      </w:r>
      <w:r w:rsidR="00427AF8">
        <w:rPr>
          <w:szCs w:val="26"/>
        </w:rPr>
        <w:t>–</w:t>
      </w:r>
      <w:r w:rsidR="00DB1FEF">
        <w:rPr>
          <w:szCs w:val="26"/>
        </w:rPr>
        <w:t>214</w:t>
      </w:r>
      <w:r w:rsidR="009F594A" w:rsidRPr="00D81D5A">
        <w:rPr>
          <w:szCs w:val="26"/>
        </w:rPr>
        <w:t xml:space="preserve">.)  </w:t>
      </w:r>
    </w:p>
    <w:p w14:paraId="60F1E81B" w14:textId="3B2F7C0B" w:rsidR="009F594A" w:rsidRPr="00D81D5A" w:rsidRDefault="009F594A" w:rsidP="00D81D5A">
      <w:pPr>
        <w:pStyle w:val="NormalIndent"/>
        <w:ind w:left="0" w:firstLine="720"/>
        <w:rPr>
          <w:szCs w:val="26"/>
        </w:rPr>
      </w:pPr>
      <w:r w:rsidRPr="00D81D5A">
        <w:rPr>
          <w:szCs w:val="26"/>
        </w:rPr>
        <w:t>In addressing the</w:t>
      </w:r>
      <w:r w:rsidR="00D01DD1" w:rsidRPr="00D81D5A">
        <w:rPr>
          <w:szCs w:val="26"/>
        </w:rPr>
        <w:t xml:space="preserve"> constitutional</w:t>
      </w:r>
      <w:r w:rsidRPr="00D81D5A">
        <w:rPr>
          <w:szCs w:val="26"/>
        </w:rPr>
        <w:t xml:space="preserve"> propriety of the modification of the </w:t>
      </w:r>
      <w:r w:rsidR="00D01DD1" w:rsidRPr="00D81D5A">
        <w:rPr>
          <w:szCs w:val="26"/>
        </w:rPr>
        <w:t xml:space="preserve">surviving </w:t>
      </w:r>
      <w:r w:rsidRPr="00D81D5A">
        <w:rPr>
          <w:szCs w:val="26"/>
        </w:rPr>
        <w:t>spous</w:t>
      </w:r>
      <w:r w:rsidR="00D01DD1" w:rsidRPr="00D81D5A">
        <w:rPr>
          <w:szCs w:val="26"/>
        </w:rPr>
        <w:t>e provisions</w:t>
      </w:r>
      <w:r w:rsidRPr="00D81D5A">
        <w:rPr>
          <w:szCs w:val="26"/>
        </w:rPr>
        <w:t xml:space="preserve">, </w:t>
      </w:r>
      <w:r w:rsidR="000F7955" w:rsidRPr="00D81D5A">
        <w:rPr>
          <w:i/>
          <w:szCs w:val="26"/>
        </w:rPr>
        <w:t>Packer</w:t>
      </w:r>
      <w:r w:rsidRPr="00D81D5A">
        <w:rPr>
          <w:szCs w:val="26"/>
        </w:rPr>
        <w:t xml:space="preserve"> first acknowledged </w:t>
      </w:r>
      <w:r w:rsidRPr="00D81D5A">
        <w:rPr>
          <w:i/>
          <w:szCs w:val="26"/>
        </w:rPr>
        <w:t>Kern</w:t>
      </w:r>
      <w:r w:rsidRPr="00D81D5A">
        <w:rPr>
          <w:szCs w:val="26"/>
        </w:rPr>
        <w:t>’s ruling that some pension modification is permitted to allow state and local governments the flexibility to cope “</w:t>
      </w:r>
      <w:r w:rsidR="00CE12E5">
        <w:rPr>
          <w:szCs w:val="26"/>
        </w:rPr>
        <w:t> </w:t>
      </w:r>
      <w:r w:rsidRPr="00D81D5A">
        <w:rPr>
          <w:szCs w:val="26"/>
        </w:rPr>
        <w:t xml:space="preserve">‘with </w:t>
      </w:r>
      <w:r w:rsidRPr="00D81D5A">
        <w:rPr>
          <w:rStyle w:val="ssrfcpassagedeactivated"/>
          <w:szCs w:val="26"/>
        </w:rPr>
        <w:t>changing conditions and at the same time maintain the integrity of the system.’</w:t>
      </w:r>
      <w:r w:rsidR="00CE12E5">
        <w:rPr>
          <w:rStyle w:val="ssrfcpassagedeactivated"/>
          <w:szCs w:val="26"/>
        </w:rPr>
        <w:t> </w:t>
      </w:r>
      <w:r w:rsidRPr="00D81D5A">
        <w:rPr>
          <w:rStyle w:val="ssrfcpassagedeactivated"/>
          <w:szCs w:val="26"/>
        </w:rPr>
        <w:t>”</w:t>
      </w:r>
      <w:r w:rsidRPr="00D81D5A">
        <w:rPr>
          <w:szCs w:val="26"/>
        </w:rPr>
        <w:t xml:space="preserve">  (</w:t>
      </w:r>
      <w:r w:rsidRPr="00D81D5A">
        <w:rPr>
          <w:i/>
          <w:szCs w:val="26"/>
        </w:rPr>
        <w:t>Packer</w:t>
      </w:r>
      <w:r w:rsidRPr="00D81D5A">
        <w:rPr>
          <w:szCs w:val="26"/>
        </w:rPr>
        <w:t xml:space="preserve">, </w:t>
      </w:r>
      <w:r w:rsidR="00BF5CDE">
        <w:rPr>
          <w:i/>
          <w:iCs/>
          <w:szCs w:val="26"/>
        </w:rPr>
        <w:t>supra</w:t>
      </w:r>
      <w:r w:rsidR="00BF5CDE">
        <w:rPr>
          <w:szCs w:val="26"/>
        </w:rPr>
        <w:t>,</w:t>
      </w:r>
      <w:r w:rsidR="00BF5CDE">
        <w:rPr>
          <w:i/>
          <w:iCs/>
          <w:szCs w:val="26"/>
        </w:rPr>
        <w:t xml:space="preserve"> </w:t>
      </w:r>
      <w:r w:rsidR="00BF5CDE">
        <w:rPr>
          <w:szCs w:val="26"/>
        </w:rPr>
        <w:t>35</w:t>
      </w:r>
      <w:r w:rsidR="00C110DF">
        <w:rPr>
          <w:szCs w:val="26"/>
        </w:rPr>
        <w:t> </w:t>
      </w:r>
      <w:r w:rsidR="00BF5CDE">
        <w:rPr>
          <w:szCs w:val="26"/>
        </w:rPr>
        <w:t xml:space="preserve">Cal.2d </w:t>
      </w:r>
      <w:r w:rsidRPr="00D81D5A">
        <w:rPr>
          <w:szCs w:val="26"/>
        </w:rPr>
        <w:t>at p.</w:t>
      </w:r>
      <w:r w:rsidR="00E33818">
        <w:rPr>
          <w:szCs w:val="26"/>
        </w:rPr>
        <w:t> </w:t>
      </w:r>
      <w:r w:rsidRPr="00D81D5A">
        <w:rPr>
          <w:szCs w:val="26"/>
        </w:rPr>
        <w:t xml:space="preserve">214.)  </w:t>
      </w:r>
      <w:r w:rsidR="0083753D" w:rsidRPr="00D81D5A">
        <w:rPr>
          <w:szCs w:val="26"/>
        </w:rPr>
        <w:t>With respect to</w:t>
      </w:r>
      <w:r w:rsidRPr="00D81D5A">
        <w:rPr>
          <w:szCs w:val="26"/>
        </w:rPr>
        <w:t xml:space="preserve"> the particular modification at issue</w:t>
      </w:r>
      <w:r w:rsidR="00C35847" w:rsidRPr="00D81D5A">
        <w:rPr>
          <w:szCs w:val="26"/>
        </w:rPr>
        <w:t xml:space="preserve"> in </w:t>
      </w:r>
      <w:r w:rsidR="00C35847" w:rsidRPr="00D81D5A">
        <w:rPr>
          <w:i/>
          <w:szCs w:val="26"/>
        </w:rPr>
        <w:t>Packer</w:t>
      </w:r>
      <w:r w:rsidRPr="00D81D5A">
        <w:rPr>
          <w:szCs w:val="26"/>
        </w:rPr>
        <w:t xml:space="preserve">, we noted that </w:t>
      </w:r>
      <w:r w:rsidR="00DB1FEF">
        <w:rPr>
          <w:szCs w:val="26"/>
        </w:rPr>
        <w:t>“</w:t>
      </w:r>
      <w:r w:rsidRPr="00D81D5A">
        <w:rPr>
          <w:szCs w:val="26"/>
        </w:rPr>
        <w:t>under certain circumstances</w:t>
      </w:r>
      <w:r w:rsidR="00DB1FEF">
        <w:rPr>
          <w:szCs w:val="26"/>
        </w:rPr>
        <w:t>”</w:t>
      </w:r>
      <w:r w:rsidRPr="00D81D5A">
        <w:rPr>
          <w:szCs w:val="26"/>
        </w:rPr>
        <w:t xml:space="preserve"> the larger reform of which the challenged provision was a part “would give county peace officers and their families greater benefits than they had before.”  (</w:t>
      </w:r>
      <w:r w:rsidRPr="00D81D5A">
        <w:rPr>
          <w:i/>
          <w:szCs w:val="26"/>
        </w:rPr>
        <w:t>Id</w:t>
      </w:r>
      <w:r w:rsidRPr="00D81D5A">
        <w:rPr>
          <w:szCs w:val="26"/>
        </w:rPr>
        <w:t>. at p.</w:t>
      </w:r>
      <w:r w:rsidR="00C110DF">
        <w:rPr>
          <w:szCs w:val="26"/>
        </w:rPr>
        <w:t> </w:t>
      </w:r>
      <w:r w:rsidRPr="00D81D5A">
        <w:rPr>
          <w:szCs w:val="26"/>
        </w:rPr>
        <w:t>218.)  Pensions continued to be paid to the surviving spouses of officers who died from service-related causes, for example, and these were doubled in amount</w:t>
      </w:r>
      <w:r w:rsidR="00D01DD1" w:rsidRPr="00D81D5A">
        <w:rPr>
          <w:szCs w:val="26"/>
        </w:rPr>
        <w:t xml:space="preserve"> by the pension reform</w:t>
      </w:r>
      <w:r w:rsidRPr="00D81D5A">
        <w:rPr>
          <w:szCs w:val="26"/>
        </w:rPr>
        <w:t>.  Other basic terms and conditions of retirement were unchanged.  In addition, of course, the amended statute continued to make available a general surviving spouse benefit to retirees, albeit on condition of their accepting a lesser benefit during their own life.  (</w:t>
      </w:r>
      <w:r w:rsidRPr="00D81D5A">
        <w:rPr>
          <w:i/>
          <w:szCs w:val="26"/>
        </w:rPr>
        <w:t>Id</w:t>
      </w:r>
      <w:r w:rsidRPr="00D81D5A">
        <w:rPr>
          <w:szCs w:val="26"/>
        </w:rPr>
        <w:t>. at pp.</w:t>
      </w:r>
      <w:r w:rsidR="00E33818">
        <w:rPr>
          <w:szCs w:val="26"/>
        </w:rPr>
        <w:t> </w:t>
      </w:r>
      <w:r w:rsidRPr="00D81D5A">
        <w:rPr>
          <w:szCs w:val="26"/>
        </w:rPr>
        <w:t>218</w:t>
      </w:r>
      <w:r w:rsidR="00427AF8">
        <w:rPr>
          <w:szCs w:val="26"/>
        </w:rPr>
        <w:t>–</w:t>
      </w:r>
      <w:r w:rsidRPr="00D81D5A">
        <w:rPr>
          <w:szCs w:val="26"/>
        </w:rPr>
        <w:t>219.)  Taking the changes as a whole, we concluded, it was “difficult, if not impossible,” to determine whether the “total value” of an officer’s pension rights had been diminished by the amendments.  (</w:t>
      </w:r>
      <w:r w:rsidRPr="00D81D5A">
        <w:rPr>
          <w:i/>
          <w:szCs w:val="26"/>
        </w:rPr>
        <w:t>Id</w:t>
      </w:r>
      <w:r w:rsidRPr="00D81D5A">
        <w:rPr>
          <w:szCs w:val="26"/>
        </w:rPr>
        <w:t>. at p.</w:t>
      </w:r>
      <w:r w:rsidR="00651217">
        <w:rPr>
          <w:szCs w:val="26"/>
        </w:rPr>
        <w:t> </w:t>
      </w:r>
      <w:r w:rsidRPr="00D81D5A">
        <w:rPr>
          <w:szCs w:val="26"/>
        </w:rPr>
        <w:t>219.)  Because “[</w:t>
      </w:r>
      <w:proofErr w:type="spellStart"/>
      <w:r w:rsidRPr="00D81D5A">
        <w:rPr>
          <w:szCs w:val="26"/>
        </w:rPr>
        <w:t>i</w:t>
      </w:r>
      <w:proofErr w:type="spellEnd"/>
      <w:r w:rsidRPr="00D81D5A">
        <w:rPr>
          <w:szCs w:val="26"/>
        </w:rPr>
        <w:t xml:space="preserve">]t is reasonably clear . . . that the employees, including [the plaintiffs’ decedent], retained rights to substantial </w:t>
      </w:r>
      <w:r w:rsidRPr="00D81D5A">
        <w:rPr>
          <w:rStyle w:val="sssh"/>
          <w:szCs w:val="26"/>
        </w:rPr>
        <w:t>pension</w:t>
      </w:r>
      <w:r w:rsidRPr="00D81D5A">
        <w:rPr>
          <w:szCs w:val="26"/>
        </w:rPr>
        <w:t xml:space="preserve"> benefits,</w:t>
      </w:r>
      <w:r w:rsidR="00C06242" w:rsidRPr="00D81D5A">
        <w:rPr>
          <w:szCs w:val="26"/>
        </w:rPr>
        <w:t>”</w:t>
      </w:r>
      <w:r w:rsidRPr="00D81D5A">
        <w:rPr>
          <w:szCs w:val="26"/>
        </w:rPr>
        <w:t xml:space="preserve"> we held that the amendment “did not exceed the scope of a permissible modification.”  (</w:t>
      </w:r>
      <w:r w:rsidRPr="00D81D5A">
        <w:rPr>
          <w:i/>
          <w:szCs w:val="26"/>
        </w:rPr>
        <w:t>Id</w:t>
      </w:r>
      <w:r w:rsidRPr="00D81D5A">
        <w:rPr>
          <w:szCs w:val="26"/>
        </w:rPr>
        <w:t>. at p.</w:t>
      </w:r>
      <w:r w:rsidR="009D1B95">
        <w:rPr>
          <w:szCs w:val="26"/>
        </w:rPr>
        <w:t> </w:t>
      </w:r>
      <w:r w:rsidRPr="00D81D5A">
        <w:rPr>
          <w:szCs w:val="26"/>
        </w:rPr>
        <w:t>219.)</w:t>
      </w:r>
    </w:p>
    <w:p w14:paraId="3B6238BD" w14:textId="6C20C0F1" w:rsidR="009F594A" w:rsidRPr="00D81D5A" w:rsidRDefault="009F594A" w:rsidP="00D81D5A">
      <w:pPr>
        <w:pStyle w:val="NormalIndent"/>
        <w:ind w:left="0" w:firstLine="720"/>
      </w:pPr>
      <w:r w:rsidRPr="00D81D5A">
        <w:t xml:space="preserve">Soon after, we again </w:t>
      </w:r>
      <w:r w:rsidR="00D01DD1" w:rsidRPr="00D81D5A">
        <w:t>confront</w:t>
      </w:r>
      <w:r w:rsidRPr="00D81D5A">
        <w:t xml:space="preserve">ed the issue in </w:t>
      </w:r>
      <w:r w:rsidRPr="00D81D5A">
        <w:rPr>
          <w:i/>
        </w:rPr>
        <w:t xml:space="preserve">Wallace v. City of Fresno </w:t>
      </w:r>
      <w:r w:rsidRPr="00D81D5A">
        <w:t xml:space="preserve">(1954) </w:t>
      </w:r>
      <w:bookmarkStart w:id="28" w:name="_Hlk41031513"/>
      <w:r w:rsidR="003D412A" w:rsidRPr="00D81D5A">
        <w:t>42 Cal.2d 180</w:t>
      </w:r>
      <w:r w:rsidRPr="00D81D5A">
        <w:t xml:space="preserve"> </w:t>
      </w:r>
      <w:bookmarkEnd w:id="28"/>
      <w:r w:rsidRPr="00D81D5A">
        <w:t>(</w:t>
      </w:r>
      <w:r w:rsidRPr="00D81D5A">
        <w:rPr>
          <w:i/>
        </w:rPr>
        <w:t>Wallace</w:t>
      </w:r>
      <w:r w:rsidRPr="00D81D5A">
        <w:t>).  The plaintiff, a former police chief who retired in 1949, was stripped of his pension benefits after a postretirement conviction for tax fraud.  (</w:t>
      </w:r>
      <w:r w:rsidRPr="00D81D5A">
        <w:rPr>
          <w:i/>
        </w:rPr>
        <w:t>Id</w:t>
      </w:r>
      <w:r w:rsidRPr="00D81D5A">
        <w:t>. at pp.</w:t>
      </w:r>
      <w:r w:rsidR="00C110DF">
        <w:t> </w:t>
      </w:r>
      <w:r w:rsidRPr="00D81D5A">
        <w:t>181</w:t>
      </w:r>
      <w:r w:rsidR="00427AF8">
        <w:t>–</w:t>
      </w:r>
      <w:r w:rsidRPr="00D81D5A">
        <w:t xml:space="preserve">182.)  The city had enacted its pension plan for peace officers in 1923, early in the plaintiff’s career.  The initial plan had no provision for depriving a retiree of benefits, but in 1927 the governing ordinance was amended to require the termination of the pension benefits of a retiree who was convicted of a felony or </w:t>
      </w:r>
      <w:r w:rsidR="00D01DD1" w:rsidRPr="00D81D5A">
        <w:t xml:space="preserve">a </w:t>
      </w:r>
      <w:r w:rsidRPr="00D81D5A">
        <w:t>crime of moral turpitude.  (</w:t>
      </w:r>
      <w:r w:rsidRPr="00D81D5A">
        <w:rPr>
          <w:i/>
        </w:rPr>
        <w:t>Id</w:t>
      </w:r>
      <w:r w:rsidRPr="00D81D5A">
        <w:t>. at p.</w:t>
      </w:r>
      <w:r w:rsidR="00C110DF">
        <w:t> </w:t>
      </w:r>
      <w:r w:rsidRPr="00D81D5A">
        <w:t xml:space="preserve">182.)  Although </w:t>
      </w:r>
      <w:r w:rsidR="00C35847" w:rsidRPr="00D81D5A">
        <w:rPr>
          <w:i/>
        </w:rPr>
        <w:t>Wallace</w:t>
      </w:r>
      <w:r w:rsidRPr="00D81D5A">
        <w:t xml:space="preserve"> assumed that the felony conviction provision would have been </w:t>
      </w:r>
      <w:r w:rsidR="003D412A" w:rsidRPr="00D81D5A">
        <w:t>enforceable</w:t>
      </w:r>
      <w:r w:rsidRPr="00D81D5A">
        <w:t xml:space="preserve"> if contained in the original pension ordinance, </w:t>
      </w:r>
      <w:r w:rsidR="00C35847" w:rsidRPr="00D81D5A">
        <w:t xml:space="preserve">we held that </w:t>
      </w:r>
      <w:r w:rsidR="00D01DD1" w:rsidRPr="00D81D5A">
        <w:t>its application to the plaintiff triggered the contract clause because it</w:t>
      </w:r>
      <w:r w:rsidR="00455CC0" w:rsidRPr="00D81D5A">
        <w:t>s</w:t>
      </w:r>
      <w:r w:rsidR="00D01DD1" w:rsidRPr="00D81D5A">
        <w:t xml:space="preserve"> </w:t>
      </w:r>
      <w:r w:rsidR="00C35847" w:rsidRPr="00D81D5A">
        <w:t>adoption during his employment</w:t>
      </w:r>
      <w:r w:rsidR="00455CC0" w:rsidRPr="00D81D5A">
        <w:t xml:space="preserve"> constituted a modification of the terms of his pension plan</w:t>
      </w:r>
      <w:r w:rsidRPr="00D81D5A">
        <w:t>.  As we framed the question, we were required to “</w:t>
      </w:r>
      <w:r w:rsidRPr="00D81D5A">
        <w:rPr>
          <w:rStyle w:val="ssrfcpassagedeactivated"/>
          <w:szCs w:val="26"/>
        </w:rPr>
        <w:t>determine whether the changes made come within the bounds of a reasonable modification or whether their effect is to impair his vested contractual rights.”</w:t>
      </w:r>
      <w:r w:rsidRPr="00D81D5A">
        <w:t xml:space="preserve">  (</w:t>
      </w:r>
      <w:r w:rsidR="00BF5CDE">
        <w:rPr>
          <w:i/>
        </w:rPr>
        <w:t>Wallace</w:t>
      </w:r>
      <w:r w:rsidR="00BF5CDE">
        <w:rPr>
          <w:iCs/>
        </w:rPr>
        <w:t>,</w:t>
      </w:r>
      <w:r w:rsidRPr="00D81D5A">
        <w:t xml:space="preserve"> at pp.</w:t>
      </w:r>
      <w:r w:rsidR="009D1B95">
        <w:t> </w:t>
      </w:r>
      <w:r w:rsidRPr="00D81D5A">
        <w:t>183</w:t>
      </w:r>
      <w:r w:rsidR="00427AF8">
        <w:t>–</w:t>
      </w:r>
      <w:r w:rsidRPr="00D81D5A">
        <w:t>184.)  We again recognized that modification of</w:t>
      </w:r>
      <w:r w:rsidR="0041244E" w:rsidRPr="00D81D5A">
        <w:t xml:space="preserve"> a</w:t>
      </w:r>
      <w:r w:rsidRPr="00D81D5A">
        <w:t xml:space="preserve"> pension plan is permitted to cope with changing times, but we balanced this principle </w:t>
      </w:r>
      <w:bookmarkStart w:id="29" w:name="_Hlk40796616"/>
      <w:r w:rsidRPr="00D81D5A">
        <w:t>against “</w:t>
      </w:r>
      <w:r w:rsidRPr="00D81D5A">
        <w:rPr>
          <w:rStyle w:val="ssrfcpassagedeactivated"/>
          <w:szCs w:val="26"/>
        </w:rPr>
        <w:t xml:space="preserve">the facts that </w:t>
      </w:r>
      <w:r w:rsidRPr="00D81D5A">
        <w:rPr>
          <w:rStyle w:val="sssh"/>
          <w:szCs w:val="26"/>
        </w:rPr>
        <w:t>pension</w:t>
      </w:r>
      <w:r w:rsidRPr="00D81D5A">
        <w:rPr>
          <w:rStyle w:val="ssrfcpassagedeactivated"/>
          <w:szCs w:val="26"/>
        </w:rPr>
        <w:t xml:space="preserve"> payments are deferred compensation to which a pensioner becomes entitled upon performing all services required under the contract and that his retirement because of age ordinarily shows that he has done everything necessary to entitle him to payment of the </w:t>
      </w:r>
      <w:r w:rsidRPr="00D81D5A">
        <w:rPr>
          <w:rStyle w:val="sssh"/>
          <w:szCs w:val="26"/>
        </w:rPr>
        <w:t>pension</w:t>
      </w:r>
      <w:r w:rsidRPr="00D81D5A">
        <w:rPr>
          <w:rStyle w:val="ssrfcpassagedeactivated"/>
          <w:szCs w:val="26"/>
        </w:rPr>
        <w:t>.”</w:t>
      </w:r>
      <w:r w:rsidRPr="00D81D5A">
        <w:rPr>
          <w:rStyle w:val="ssrfcpassagedeactivated"/>
          <w:rFonts w:cs="Helvetica"/>
          <w:color w:val="373739"/>
          <w:szCs w:val="21"/>
        </w:rPr>
        <w:t xml:space="preserve"> </w:t>
      </w:r>
      <w:r w:rsidRPr="00D81D5A">
        <w:t xml:space="preserve"> (</w:t>
      </w:r>
      <w:r w:rsidRPr="00D81D5A">
        <w:rPr>
          <w:i/>
        </w:rPr>
        <w:t>Id</w:t>
      </w:r>
      <w:r w:rsidRPr="00D81D5A">
        <w:t>. at pp. 184</w:t>
      </w:r>
      <w:r w:rsidR="00427AF8">
        <w:t>–</w:t>
      </w:r>
      <w:r w:rsidRPr="00D81D5A">
        <w:t>185.)  We concluded that the amendment was not a reasonable modification.  As we explained, “[t]</w:t>
      </w:r>
      <w:r w:rsidRPr="00D81D5A">
        <w:rPr>
          <w:szCs w:val="26"/>
        </w:rPr>
        <w:t xml:space="preserve">he termination of all </w:t>
      </w:r>
      <w:r w:rsidRPr="00D81D5A">
        <w:rPr>
          <w:rStyle w:val="sssh"/>
          <w:szCs w:val="26"/>
        </w:rPr>
        <w:t>pension</w:t>
      </w:r>
      <w:r w:rsidRPr="00D81D5A">
        <w:rPr>
          <w:szCs w:val="26"/>
        </w:rPr>
        <w:t xml:space="preserve"> rights upon conviction of a felony after retirement does not appear to have any material relation to the theory of the </w:t>
      </w:r>
      <w:r w:rsidRPr="00D81D5A">
        <w:rPr>
          <w:rStyle w:val="sssh"/>
          <w:szCs w:val="26"/>
        </w:rPr>
        <w:t>pension</w:t>
      </w:r>
      <w:r w:rsidRPr="00D81D5A">
        <w:rPr>
          <w:szCs w:val="26"/>
        </w:rPr>
        <w:t xml:space="preserve"> system or to its successful operation.  Rather, the change was designed to benefit the city and, as stated in the city’s brief, to meet the objections of taxpayers who would be opposed to contributing funds for the maintenance of a pensioner who had been convicted of a felony.”  </w:t>
      </w:r>
      <w:r w:rsidRPr="00D81D5A">
        <w:t>(</w:t>
      </w:r>
      <w:r w:rsidR="00BF5CDE">
        <w:rPr>
          <w:i/>
          <w:iCs/>
        </w:rPr>
        <w:t>Id</w:t>
      </w:r>
      <w:r w:rsidR="00BF5CDE">
        <w:t xml:space="preserve">. </w:t>
      </w:r>
      <w:r w:rsidRPr="00D81D5A">
        <w:t>at p.</w:t>
      </w:r>
      <w:r w:rsidR="00C110DF">
        <w:t> </w:t>
      </w:r>
      <w:r w:rsidRPr="00D81D5A">
        <w:t>185.)</w:t>
      </w:r>
    </w:p>
    <w:bookmarkEnd w:id="29"/>
    <w:p w14:paraId="422777D6" w14:textId="17EE9C12" w:rsidR="009F594A" w:rsidRPr="00D81D5A" w:rsidRDefault="009F594A" w:rsidP="00D81D5A">
      <w:pPr>
        <w:pStyle w:val="NormalIndent"/>
        <w:ind w:left="0" w:firstLine="720"/>
      </w:pPr>
      <w:r w:rsidRPr="00D81D5A">
        <w:t xml:space="preserve">The foregoing </w:t>
      </w:r>
      <w:r w:rsidR="00C06242" w:rsidRPr="00D81D5A">
        <w:t>three</w:t>
      </w:r>
      <w:r w:rsidRPr="00D81D5A">
        <w:t xml:space="preserve"> decisions were synthesized in </w:t>
      </w:r>
      <w:bookmarkStart w:id="30" w:name="_Hlk24882533"/>
      <w:r w:rsidRPr="00D81D5A">
        <w:rPr>
          <w:i/>
        </w:rPr>
        <w:t>Allen I</w:t>
      </w:r>
      <w:r w:rsidRPr="00D81D5A">
        <w:t xml:space="preserve">, </w:t>
      </w:r>
      <w:r w:rsidRPr="00D81D5A">
        <w:rPr>
          <w:i/>
        </w:rPr>
        <w:t>supra</w:t>
      </w:r>
      <w:r w:rsidRPr="00D81D5A">
        <w:t>, 45 Cal.2d 128,</w:t>
      </w:r>
      <w:bookmarkEnd w:id="30"/>
      <w:r w:rsidRPr="00D81D5A">
        <w:t xml:space="preserve"> which articulated the standard for contract clause protection of public employee pension benefits that persists to this day.  </w:t>
      </w:r>
      <w:r w:rsidRPr="00D81D5A">
        <w:rPr>
          <w:i/>
        </w:rPr>
        <w:t xml:space="preserve">Allen I </w:t>
      </w:r>
      <w:r w:rsidRPr="00D81D5A">
        <w:t xml:space="preserve">was the second chapter of the story introduced in </w:t>
      </w:r>
      <w:r w:rsidRPr="00D81D5A">
        <w:rPr>
          <w:i/>
        </w:rPr>
        <w:t>Kern</w:t>
      </w:r>
      <w:r w:rsidRPr="00D81D5A">
        <w:t xml:space="preserve">, which addressed the </w:t>
      </w:r>
      <w:r w:rsidR="000F7955" w:rsidRPr="00D81D5A">
        <w:t>elim</w:t>
      </w:r>
      <w:r w:rsidRPr="00D81D5A">
        <w:t xml:space="preserve">ination </w:t>
      </w:r>
      <w:r w:rsidR="00E24D53" w:rsidRPr="00D81D5A">
        <w:t xml:space="preserve">in 1945 </w:t>
      </w:r>
      <w:r w:rsidRPr="00D81D5A">
        <w:t xml:space="preserve">of </w:t>
      </w:r>
      <w:r w:rsidR="00C06242" w:rsidRPr="00D81D5A">
        <w:t xml:space="preserve">the </w:t>
      </w:r>
      <w:r w:rsidRPr="00D81D5A">
        <w:t>public safety officer pension system</w:t>
      </w:r>
      <w:r w:rsidR="00C35847" w:rsidRPr="00D81D5A">
        <w:t xml:space="preserve"> of the City of Long Beach</w:t>
      </w:r>
      <w:r w:rsidRPr="00D81D5A">
        <w:t xml:space="preserve">.  Presumably as a result of </w:t>
      </w:r>
      <w:r w:rsidR="000F7955" w:rsidRPr="00D81D5A">
        <w:t>the</w:t>
      </w:r>
      <w:r w:rsidRPr="00D81D5A">
        <w:t xml:space="preserve"> ruling</w:t>
      </w:r>
      <w:r w:rsidR="000F7955" w:rsidRPr="00D81D5A">
        <w:t xml:space="preserve"> in </w:t>
      </w:r>
      <w:r w:rsidR="000F7955" w:rsidRPr="00D81D5A">
        <w:rPr>
          <w:i/>
        </w:rPr>
        <w:t>Kern</w:t>
      </w:r>
      <w:r w:rsidRPr="00D81D5A">
        <w:t>, the city</w:t>
      </w:r>
      <w:r w:rsidR="006545AF" w:rsidRPr="00D81D5A">
        <w:t xml:space="preserve"> </w:t>
      </w:r>
      <w:r w:rsidRPr="00D81D5A">
        <w:t>rest</w:t>
      </w:r>
      <w:r w:rsidR="00C35847" w:rsidRPr="00D81D5A">
        <w:t>or</w:t>
      </w:r>
      <w:r w:rsidRPr="00D81D5A">
        <w:t>ed the</w:t>
      </w:r>
      <w:r w:rsidR="000F7955" w:rsidRPr="00D81D5A">
        <w:t xml:space="preserve"> </w:t>
      </w:r>
      <w:r w:rsidRPr="00D81D5A">
        <w:t xml:space="preserve">pension plan for officers hired prior to its elimination.  </w:t>
      </w:r>
      <w:r w:rsidR="00455CC0" w:rsidRPr="00D81D5A">
        <w:t>Subsequently</w:t>
      </w:r>
      <w:r w:rsidRPr="00D81D5A">
        <w:t xml:space="preserve"> hired officers, however, work</w:t>
      </w:r>
      <w:r w:rsidR="006545AF" w:rsidRPr="00D81D5A">
        <w:t>ed</w:t>
      </w:r>
      <w:r w:rsidRPr="00D81D5A">
        <w:t xml:space="preserve"> without a pension plan until 1950, when the city entered them in the state pension system.  (</w:t>
      </w:r>
      <w:r w:rsidRPr="00D81D5A">
        <w:rPr>
          <w:i/>
        </w:rPr>
        <w:t>Allen I</w:t>
      </w:r>
      <w:r w:rsidRPr="00D81D5A">
        <w:t>, at p. 130.)  The following year, the city amended the</w:t>
      </w:r>
      <w:r w:rsidR="004E324B" w:rsidRPr="00D81D5A">
        <w:t xml:space="preserve"> original</w:t>
      </w:r>
      <w:r w:rsidRPr="00D81D5A">
        <w:t xml:space="preserve"> pension plan applicable to the officers hired before 1945 in three ways:  (1)</w:t>
      </w:r>
      <w:r w:rsidR="005D2BDE" w:rsidRPr="00D81D5A">
        <w:t> </w:t>
      </w:r>
      <w:r w:rsidRPr="00D81D5A">
        <w:t xml:space="preserve">employee pension contributions were increased fivefold, from </w:t>
      </w:r>
      <w:r w:rsidR="00C57DE4" w:rsidRPr="00D81D5A">
        <w:t>two</w:t>
      </w:r>
      <w:r w:rsidR="0083753D" w:rsidRPr="00D81D5A">
        <w:t xml:space="preserve"> percent</w:t>
      </w:r>
      <w:r w:rsidRPr="00D81D5A">
        <w:t xml:space="preserve"> of salary to </w:t>
      </w:r>
      <w:r w:rsidR="00C57DE4" w:rsidRPr="00D81D5A">
        <w:t>ten</w:t>
      </w:r>
      <w:r w:rsidR="0083753D" w:rsidRPr="00D81D5A">
        <w:t xml:space="preserve"> percent</w:t>
      </w:r>
      <w:r w:rsidR="00BF5CDE">
        <w:t>;</w:t>
      </w:r>
      <w:r w:rsidRPr="00D81D5A">
        <w:t xml:space="preserve"> (2)</w:t>
      </w:r>
      <w:r w:rsidR="005D2BDE" w:rsidRPr="00D81D5A">
        <w:t> </w:t>
      </w:r>
      <w:r w:rsidRPr="00D81D5A">
        <w:t>the city switched from a fluctuating pension benefit, which was pegged to the salary paid to current employees in the retiree’s final job position, to a fixed benefit, which was determined by the retiree’s own late career salary</w:t>
      </w:r>
      <w:r w:rsidR="00BF5CDE">
        <w:t>;</w:t>
      </w:r>
      <w:r w:rsidRPr="00D81D5A">
        <w:t xml:space="preserve"> and (3)</w:t>
      </w:r>
      <w:r w:rsidR="005D2BDE" w:rsidRPr="00D81D5A">
        <w:t> </w:t>
      </w:r>
      <w:r w:rsidRPr="00D81D5A">
        <w:t>employees who were granted pension plan service credit for a leave of absence for military service were, for the first time, required to make contributions to the plan in return for the service credit.  (</w:t>
      </w:r>
      <w:r w:rsidRPr="00D81D5A">
        <w:rPr>
          <w:i/>
        </w:rPr>
        <w:t>Id.</w:t>
      </w:r>
      <w:r w:rsidRPr="00D81D5A">
        <w:t xml:space="preserve"> at pp.</w:t>
      </w:r>
      <w:r w:rsidR="005D2BDE" w:rsidRPr="00D81D5A">
        <w:t> </w:t>
      </w:r>
      <w:r w:rsidRPr="00D81D5A">
        <w:t>130</w:t>
      </w:r>
      <w:r w:rsidR="00427AF8">
        <w:t>–</w:t>
      </w:r>
      <w:r w:rsidRPr="00D81D5A">
        <w:t xml:space="preserve">131.)  The affected officers challenged each of these changes </w:t>
      </w:r>
      <w:r w:rsidR="003F74C1" w:rsidRPr="00D81D5A">
        <w:t>as a violation of</w:t>
      </w:r>
      <w:r w:rsidRPr="00D81D5A">
        <w:t xml:space="preserve"> the contract clause.</w:t>
      </w:r>
    </w:p>
    <w:p w14:paraId="7F2D2A06" w14:textId="77777777" w:rsidR="009F594A" w:rsidRPr="00D81D5A" w:rsidRDefault="009F594A" w:rsidP="00D81D5A">
      <w:pPr>
        <w:pStyle w:val="NormalIndent"/>
        <w:ind w:left="0" w:firstLine="720"/>
        <w:rPr>
          <w:rStyle w:val="ssrfcpassagedeactivated"/>
          <w:szCs w:val="26"/>
        </w:rPr>
      </w:pPr>
      <w:r w:rsidRPr="00D81D5A">
        <w:t xml:space="preserve">Citing </w:t>
      </w:r>
      <w:r w:rsidRPr="00D81D5A">
        <w:rPr>
          <w:i/>
        </w:rPr>
        <w:t>Wallace</w:t>
      </w:r>
      <w:r w:rsidRPr="00D81D5A">
        <w:t xml:space="preserve">, </w:t>
      </w:r>
      <w:r w:rsidRPr="00D81D5A">
        <w:rPr>
          <w:i/>
        </w:rPr>
        <w:t>Packer</w:t>
      </w:r>
      <w:r w:rsidRPr="00D81D5A">
        <w:t xml:space="preserve">, and </w:t>
      </w:r>
      <w:r w:rsidRPr="00D81D5A">
        <w:rPr>
          <w:i/>
        </w:rPr>
        <w:t>Kern</w:t>
      </w:r>
      <w:r w:rsidRPr="00D81D5A">
        <w:t xml:space="preserve">, we acknowledged that </w:t>
      </w:r>
      <w:bookmarkStart w:id="31" w:name="_Hlk40949572"/>
      <w:r w:rsidRPr="00D81D5A">
        <w:t>vested pension rights may be modified “</w:t>
      </w:r>
      <w:r w:rsidRPr="00D81D5A">
        <w:rPr>
          <w:rStyle w:val="ssrfcpassagedeactivated"/>
          <w:szCs w:val="26"/>
        </w:rPr>
        <w:t xml:space="preserve">for the purpose of keeping a </w:t>
      </w:r>
      <w:r w:rsidRPr="00D81D5A">
        <w:rPr>
          <w:rStyle w:val="sssh"/>
          <w:szCs w:val="26"/>
        </w:rPr>
        <w:t>pension</w:t>
      </w:r>
      <w:r w:rsidRPr="00D81D5A">
        <w:rPr>
          <w:rStyle w:val="ssrfcpassagedeactivated"/>
          <w:szCs w:val="26"/>
        </w:rPr>
        <w:t xml:space="preserve"> system flexible to permit adjustments in accord with changing conditions and at the same time maintain the integrity of the system.”  </w:t>
      </w:r>
      <w:bookmarkStart w:id="32" w:name="_Hlk25157128"/>
      <w:r w:rsidRPr="00D81D5A">
        <w:rPr>
          <w:rStyle w:val="ssrfcpassagedeactivated"/>
          <w:szCs w:val="26"/>
        </w:rPr>
        <w:t>(</w:t>
      </w:r>
      <w:r w:rsidRPr="00D81D5A">
        <w:rPr>
          <w:rStyle w:val="ssrfcpassagedeactivated"/>
          <w:i/>
          <w:szCs w:val="26"/>
        </w:rPr>
        <w:t>Allen I</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xml:space="preserve">, </w:t>
      </w:r>
      <w:r w:rsidRPr="00D81D5A">
        <w:t>45</w:t>
      </w:r>
      <w:r w:rsidR="00E33818">
        <w:t> </w:t>
      </w:r>
      <w:r w:rsidRPr="00D81D5A">
        <w:t>Cal.2d at p.</w:t>
      </w:r>
      <w:r w:rsidR="005D2BDE" w:rsidRPr="00D81D5A">
        <w:t> </w:t>
      </w:r>
      <w:r w:rsidRPr="00D81D5A">
        <w:t>131.)  More specifically, we held, “</w:t>
      </w:r>
      <w:r w:rsidRPr="00D81D5A">
        <w:rPr>
          <w:rStyle w:val="ssrfcpassagedeactivated"/>
          <w:szCs w:val="26"/>
        </w:rPr>
        <w:t xml:space="preserve">Such modifications must be reasonable, and it is for the courts to determine upon the facts of each case what constitutes a permissible change.  </w:t>
      </w:r>
      <w:bookmarkEnd w:id="32"/>
      <w:r w:rsidRPr="00D81D5A">
        <w:rPr>
          <w:rStyle w:val="ssrfcpassagedeactivated"/>
          <w:szCs w:val="26"/>
        </w:rPr>
        <w:t xml:space="preserve">To be sustained as reasonable, alterations of employees’ </w:t>
      </w:r>
      <w:r w:rsidRPr="00D81D5A">
        <w:rPr>
          <w:rStyle w:val="sssh"/>
          <w:szCs w:val="26"/>
        </w:rPr>
        <w:t>pension</w:t>
      </w:r>
      <w:r w:rsidRPr="00D81D5A">
        <w:rPr>
          <w:rStyle w:val="ssrfcpassagedeactivated"/>
          <w:szCs w:val="26"/>
        </w:rPr>
        <w:t xml:space="preserve"> rights must bear some material relation to the theory of a </w:t>
      </w:r>
      <w:r w:rsidRPr="00D81D5A">
        <w:rPr>
          <w:rStyle w:val="sssh"/>
          <w:szCs w:val="26"/>
        </w:rPr>
        <w:t>pension</w:t>
      </w:r>
      <w:r w:rsidRPr="00D81D5A">
        <w:rPr>
          <w:rStyle w:val="ssrfcpassagedeactivated"/>
          <w:szCs w:val="26"/>
        </w:rPr>
        <w:t xml:space="preserve"> system and its successful operation, and changes in a </w:t>
      </w:r>
      <w:r w:rsidRPr="00D81D5A">
        <w:rPr>
          <w:rStyle w:val="sssh"/>
          <w:szCs w:val="26"/>
        </w:rPr>
        <w:t>pension</w:t>
      </w:r>
      <w:r w:rsidRPr="00D81D5A">
        <w:rPr>
          <w:rStyle w:val="ssrfcpassagedeactivated"/>
          <w:szCs w:val="26"/>
        </w:rPr>
        <w:t xml:space="preserve"> plan which result in disadvantage to employees should be accompanied by comparable new advantages.”  (</w:t>
      </w:r>
      <w:r w:rsidRPr="00D81D5A">
        <w:rPr>
          <w:rStyle w:val="ssrfcpassagedeactivated"/>
          <w:i/>
          <w:szCs w:val="26"/>
        </w:rPr>
        <w:t>Ibid</w:t>
      </w:r>
      <w:r w:rsidRPr="00D81D5A">
        <w:rPr>
          <w:rStyle w:val="ssrfcpassagedeactivated"/>
          <w:szCs w:val="26"/>
        </w:rPr>
        <w:t>.)  Applying this rule, w</w:t>
      </w:r>
      <w:r w:rsidRPr="00D81D5A">
        <w:rPr>
          <w:szCs w:val="26"/>
        </w:rPr>
        <w:t xml:space="preserve">e rejected all three of the modifications, concluding that the plan amendment “substantially decreases plaintiffs’ </w:t>
      </w:r>
      <w:r w:rsidRPr="00D81D5A">
        <w:rPr>
          <w:rStyle w:val="sssh"/>
          <w:szCs w:val="26"/>
        </w:rPr>
        <w:t>pension</w:t>
      </w:r>
      <w:r w:rsidRPr="00D81D5A">
        <w:rPr>
          <w:szCs w:val="26"/>
        </w:rPr>
        <w:t xml:space="preserve"> rights without offering any commensurate advantages, and there is no evidence or claim that the changes enacted bear any material relation to the integrity or successful operation of the [</w:t>
      </w:r>
      <w:r w:rsidR="00455CC0" w:rsidRPr="00D81D5A">
        <w:rPr>
          <w:szCs w:val="26"/>
        </w:rPr>
        <w:t>preexisting</w:t>
      </w:r>
      <w:r w:rsidRPr="00D81D5A">
        <w:rPr>
          <w:szCs w:val="26"/>
        </w:rPr>
        <w:t xml:space="preserve">] </w:t>
      </w:r>
      <w:r w:rsidRPr="00D81D5A">
        <w:rPr>
          <w:rStyle w:val="sssh"/>
          <w:szCs w:val="26"/>
        </w:rPr>
        <w:t>pension</w:t>
      </w:r>
      <w:r w:rsidRPr="00D81D5A">
        <w:rPr>
          <w:szCs w:val="26"/>
        </w:rPr>
        <w:t xml:space="preserve"> system</w:t>
      </w:r>
      <w:r w:rsidR="00BF5CDE">
        <w:rPr>
          <w:szCs w:val="26"/>
        </w:rPr>
        <w:t xml:space="preserve"> </w:t>
      </w:r>
      <w:r w:rsidRPr="00D81D5A">
        <w:rPr>
          <w:szCs w:val="26"/>
        </w:rPr>
        <w:t>.</w:t>
      </w:r>
      <w:r w:rsidR="00BF5CDE">
        <w:rPr>
          <w:szCs w:val="26"/>
        </w:rPr>
        <w:t xml:space="preserve"> . . .</w:t>
      </w:r>
      <w:r w:rsidRPr="00D81D5A">
        <w:rPr>
          <w:szCs w:val="26"/>
        </w:rPr>
        <w:t xml:space="preserve">”  </w:t>
      </w:r>
      <w:r w:rsidRPr="00D81D5A">
        <w:rPr>
          <w:rStyle w:val="ssrfcpassagedeactivated"/>
          <w:szCs w:val="26"/>
        </w:rPr>
        <w:t>(</w:t>
      </w:r>
      <w:r w:rsidRPr="00D81D5A">
        <w:rPr>
          <w:rStyle w:val="ssrfcpassagedeactivated"/>
          <w:i/>
          <w:szCs w:val="26"/>
        </w:rPr>
        <w:t>Ibid</w:t>
      </w:r>
      <w:r w:rsidRPr="00D81D5A">
        <w:rPr>
          <w:rStyle w:val="ssrfcpassagedeactivated"/>
          <w:szCs w:val="26"/>
        </w:rPr>
        <w:t>.)</w:t>
      </w:r>
    </w:p>
    <w:bookmarkEnd w:id="31"/>
    <w:p w14:paraId="02B22DDB" w14:textId="77777777" w:rsidR="009F594A" w:rsidRPr="00D81D5A" w:rsidRDefault="009F594A" w:rsidP="00D81D5A">
      <w:pPr>
        <w:pStyle w:val="NormalIndent"/>
        <w:ind w:left="0" w:firstLine="720"/>
        <w:rPr>
          <w:szCs w:val="26"/>
        </w:rPr>
      </w:pPr>
      <w:r w:rsidRPr="00D81D5A">
        <w:rPr>
          <w:szCs w:val="26"/>
        </w:rPr>
        <w:t>Our reason</w:t>
      </w:r>
      <w:r w:rsidR="004E324B" w:rsidRPr="00D81D5A">
        <w:rPr>
          <w:szCs w:val="26"/>
        </w:rPr>
        <w:t>ing in</w:t>
      </w:r>
      <w:r w:rsidRPr="00D81D5A">
        <w:rPr>
          <w:szCs w:val="26"/>
        </w:rPr>
        <w:t xml:space="preserve"> rejecting the individual modifications gave substance to the rule’s </w:t>
      </w:r>
      <w:r w:rsidR="003F74C1" w:rsidRPr="00D81D5A">
        <w:rPr>
          <w:szCs w:val="26"/>
        </w:rPr>
        <w:t>requirements</w:t>
      </w:r>
      <w:r w:rsidRPr="00D81D5A">
        <w:rPr>
          <w:szCs w:val="26"/>
        </w:rPr>
        <w:t xml:space="preserve">.  </w:t>
      </w:r>
      <w:r w:rsidR="003F74C1" w:rsidRPr="00D81D5A">
        <w:rPr>
          <w:szCs w:val="26"/>
        </w:rPr>
        <w:t xml:space="preserve">We began with a consideration of the disadvantages and comparable new advantages.  </w:t>
      </w:r>
      <w:r w:rsidRPr="00D81D5A">
        <w:rPr>
          <w:szCs w:val="26"/>
        </w:rPr>
        <w:t xml:space="preserve">Our </w:t>
      </w:r>
      <w:r w:rsidR="003F74C1" w:rsidRPr="00D81D5A">
        <w:rPr>
          <w:szCs w:val="26"/>
        </w:rPr>
        <w:t xml:space="preserve">discussion </w:t>
      </w:r>
      <w:r w:rsidRPr="00D81D5A">
        <w:rPr>
          <w:szCs w:val="26"/>
        </w:rPr>
        <w:t xml:space="preserve">of the increase in the contribution rate was short and pointed:  “The provision . . . obviously constitutes a substantial increase in the cost of </w:t>
      </w:r>
      <w:r w:rsidRPr="00D81D5A">
        <w:rPr>
          <w:rStyle w:val="sssh"/>
          <w:szCs w:val="26"/>
        </w:rPr>
        <w:t>pension</w:t>
      </w:r>
      <w:r w:rsidRPr="00D81D5A">
        <w:rPr>
          <w:szCs w:val="26"/>
        </w:rPr>
        <w:t xml:space="preserve"> protection to the employee without any corresponding increase in the amount of the benefit payments he will be entitled to receive upon his retirement.”  </w:t>
      </w:r>
      <w:r w:rsidRPr="00D81D5A">
        <w:rPr>
          <w:rStyle w:val="ssrfcpassagedeactivated"/>
          <w:szCs w:val="26"/>
        </w:rPr>
        <w:t>(</w:t>
      </w:r>
      <w:r w:rsidRPr="00D81D5A">
        <w:rPr>
          <w:rStyle w:val="ssrfcpassagedeactivated"/>
          <w:i/>
          <w:szCs w:val="26"/>
        </w:rPr>
        <w:t>Allen I</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xml:space="preserve">, </w:t>
      </w:r>
      <w:r w:rsidRPr="00D81D5A">
        <w:t>45 Cal.2d at p.</w:t>
      </w:r>
      <w:r w:rsidR="00E33818">
        <w:t> </w:t>
      </w:r>
      <w:r w:rsidRPr="00D81D5A">
        <w:t xml:space="preserve">131.)  Our </w:t>
      </w:r>
      <w:r w:rsidR="003F74C1" w:rsidRPr="00D81D5A">
        <w:t xml:space="preserve">consideration </w:t>
      </w:r>
      <w:r w:rsidRPr="00D81D5A">
        <w:t>of the switch to a fixed pension benefit was more deliberate.  As we pointed out, a fixed pension benefit is unresponsive to changing economic conditions.  In contrast, tying the amount of the benefit to a current employee’s salary permits retirees to “</w:t>
      </w:r>
      <w:r w:rsidRPr="00D81D5A">
        <w:rPr>
          <w:rStyle w:val="ssrfcpassagedeactivated"/>
          <w:szCs w:val="26"/>
        </w:rPr>
        <w:t xml:space="preserve">maintain a fairly constant standard of living despite changes in our economy,” since it is assumed that current salaries will reflect those changes.  </w:t>
      </w:r>
      <w:r w:rsidR="00BF5CDE" w:rsidRPr="00D81D5A">
        <w:rPr>
          <w:szCs w:val="26"/>
        </w:rPr>
        <w:t>(</w:t>
      </w:r>
      <w:r w:rsidR="00BF5CDE" w:rsidRPr="00D81D5A">
        <w:rPr>
          <w:i/>
          <w:szCs w:val="26"/>
        </w:rPr>
        <w:t>Id</w:t>
      </w:r>
      <w:r w:rsidR="00BF5CDE" w:rsidRPr="00D81D5A">
        <w:rPr>
          <w:szCs w:val="26"/>
        </w:rPr>
        <w:t>. at p</w:t>
      </w:r>
      <w:r w:rsidR="009D1B95">
        <w:rPr>
          <w:szCs w:val="26"/>
        </w:rPr>
        <w:t>. 1</w:t>
      </w:r>
      <w:r w:rsidR="00BF5CDE" w:rsidRPr="00D81D5A">
        <w:rPr>
          <w:szCs w:val="26"/>
        </w:rPr>
        <w:t xml:space="preserve">32.)  </w:t>
      </w:r>
      <w:r w:rsidRPr="00D81D5A">
        <w:rPr>
          <w:rStyle w:val="ssrfcpassagedeactivated"/>
          <w:szCs w:val="26"/>
        </w:rPr>
        <w:t xml:space="preserve">Particularly because the post-war period was “an era of rising salaries and high cost of living,” we concluded </w:t>
      </w:r>
      <w:r w:rsidRPr="00D81D5A">
        <w:rPr>
          <w:szCs w:val="26"/>
        </w:rPr>
        <w:t xml:space="preserve">that </w:t>
      </w:r>
      <w:r w:rsidR="003F74C1" w:rsidRPr="00D81D5A">
        <w:rPr>
          <w:szCs w:val="26"/>
        </w:rPr>
        <w:t>“</w:t>
      </w:r>
      <w:r w:rsidRPr="00D81D5A">
        <w:rPr>
          <w:szCs w:val="26"/>
        </w:rPr>
        <w:t>plaintiffs’ rights would be adversely affected by the change to the fixed benefit plan.”  (</w:t>
      </w:r>
      <w:r w:rsidRPr="00D81D5A">
        <w:rPr>
          <w:i/>
          <w:szCs w:val="26"/>
        </w:rPr>
        <w:t>I</w:t>
      </w:r>
      <w:r w:rsidR="00BF5CDE">
        <w:rPr>
          <w:i/>
          <w:szCs w:val="26"/>
        </w:rPr>
        <w:t>bi</w:t>
      </w:r>
      <w:r w:rsidRPr="00D81D5A">
        <w:rPr>
          <w:i/>
          <w:szCs w:val="26"/>
        </w:rPr>
        <w:t>d</w:t>
      </w:r>
      <w:r w:rsidRPr="00D81D5A">
        <w:rPr>
          <w:szCs w:val="26"/>
        </w:rPr>
        <w:t xml:space="preserve">.)  </w:t>
      </w:r>
      <w:r w:rsidR="003F74C1" w:rsidRPr="00D81D5A">
        <w:rPr>
          <w:szCs w:val="26"/>
        </w:rPr>
        <w:t>Our</w:t>
      </w:r>
      <w:r w:rsidRPr="00D81D5A">
        <w:rPr>
          <w:szCs w:val="26"/>
        </w:rPr>
        <w:t xml:space="preserve"> rationale for questioning the newly required contributions in return for credit for military service was similar to that of the increased ordinary contributions.  “The provision . . . imposes a considerable financial burden upon those who, while in the armed forces, earn less than they would earn as city employees, and it raises the cost to them of </w:t>
      </w:r>
      <w:r w:rsidRPr="00D81D5A">
        <w:rPr>
          <w:rStyle w:val="sssh"/>
          <w:szCs w:val="26"/>
        </w:rPr>
        <w:t>pension</w:t>
      </w:r>
      <w:r w:rsidRPr="00D81D5A">
        <w:rPr>
          <w:szCs w:val="26"/>
        </w:rPr>
        <w:t xml:space="preserve"> protection without securing any advantage in addition to that which they already enjoyed.”  (</w:t>
      </w:r>
      <w:r w:rsidRPr="00D81D5A">
        <w:rPr>
          <w:i/>
          <w:szCs w:val="26"/>
        </w:rPr>
        <w:t>Id</w:t>
      </w:r>
      <w:r w:rsidRPr="00D81D5A">
        <w:rPr>
          <w:szCs w:val="26"/>
        </w:rPr>
        <w:t>. at p.</w:t>
      </w:r>
      <w:r w:rsidR="005D2BDE" w:rsidRPr="00D81D5A">
        <w:rPr>
          <w:szCs w:val="26"/>
        </w:rPr>
        <w:t> </w:t>
      </w:r>
      <w:r w:rsidRPr="00D81D5A">
        <w:rPr>
          <w:szCs w:val="26"/>
        </w:rPr>
        <w:t>133.)</w:t>
      </w:r>
    </w:p>
    <w:p w14:paraId="0895DFD6" w14:textId="1F53771C" w:rsidR="0062419A" w:rsidRPr="00D81D5A" w:rsidRDefault="009F594A" w:rsidP="00D81D5A">
      <w:pPr>
        <w:pStyle w:val="NormalIndent"/>
        <w:ind w:left="0" w:firstLine="720"/>
        <w:rPr>
          <w:szCs w:val="26"/>
        </w:rPr>
      </w:pPr>
      <w:r w:rsidRPr="00D81D5A">
        <w:rPr>
          <w:szCs w:val="26"/>
        </w:rPr>
        <w:t xml:space="preserve">After concluding that each of the changes was, for the reasons stated, disadvantageous to pre-1945 hires, we addressed the </w:t>
      </w:r>
      <w:r w:rsidR="00455CC0" w:rsidRPr="00D81D5A">
        <w:rPr>
          <w:szCs w:val="26"/>
        </w:rPr>
        <w:t>purpose of</w:t>
      </w:r>
      <w:r w:rsidRPr="00D81D5A">
        <w:rPr>
          <w:szCs w:val="26"/>
        </w:rPr>
        <w:t xml:space="preserve"> the changes.  </w:t>
      </w:r>
      <w:bookmarkStart w:id="33" w:name="_Hlk40949655"/>
      <w:r w:rsidR="003F74C1" w:rsidRPr="00D81D5A">
        <w:rPr>
          <w:i/>
          <w:szCs w:val="26"/>
        </w:rPr>
        <w:t>Allen I</w:t>
      </w:r>
      <w:r w:rsidRPr="00D81D5A">
        <w:rPr>
          <w:szCs w:val="26"/>
        </w:rPr>
        <w:t xml:space="preserve"> first noted that the changes were not adopted out of concern for the financial stability of the pension system.  “The city does not claim that any of the provisions contained in [the amendment] was necessary to preserve or protect the </w:t>
      </w:r>
      <w:r w:rsidRPr="00D81D5A">
        <w:rPr>
          <w:rStyle w:val="sssh"/>
          <w:szCs w:val="26"/>
        </w:rPr>
        <w:t>pension</w:t>
      </w:r>
      <w:r w:rsidRPr="00D81D5A">
        <w:rPr>
          <w:szCs w:val="26"/>
        </w:rPr>
        <w:t xml:space="preserve"> program applicable to [pre-1945 hires]</w:t>
      </w:r>
      <w:r w:rsidR="00BF5CDE">
        <w:rPr>
          <w:szCs w:val="26"/>
        </w:rPr>
        <w:t>,</w:t>
      </w:r>
      <w:r w:rsidRPr="00D81D5A">
        <w:rPr>
          <w:szCs w:val="26"/>
        </w:rPr>
        <w:t xml:space="preserve"> and there is no indication that the city would have difficulty in meeting its obligations to those employees under the provisions of [the original pension plan].”  </w:t>
      </w:r>
      <w:r w:rsidRPr="00D81D5A">
        <w:rPr>
          <w:rStyle w:val="ssrfcpassagedeactivated"/>
          <w:szCs w:val="26"/>
        </w:rPr>
        <w:t>(</w:t>
      </w:r>
      <w:r w:rsidRPr="00D81D5A">
        <w:rPr>
          <w:rStyle w:val="ssrfcpassagedeactivated"/>
          <w:i/>
          <w:szCs w:val="26"/>
        </w:rPr>
        <w:t>Allen I</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xml:space="preserve">, </w:t>
      </w:r>
      <w:r w:rsidRPr="00D81D5A">
        <w:t>45 Cal.2d at p.</w:t>
      </w:r>
      <w:r w:rsidR="005D2BDE" w:rsidRPr="00D81D5A">
        <w:t> </w:t>
      </w:r>
      <w:r w:rsidRPr="00D81D5A">
        <w:t xml:space="preserve">133.)  </w:t>
      </w:r>
      <w:r w:rsidR="0062419A" w:rsidRPr="00D81D5A">
        <w:t xml:space="preserve">Instead, we observed, the city explained that </w:t>
      </w:r>
      <w:r w:rsidRPr="00D81D5A">
        <w:t>“</w:t>
      </w:r>
      <w:r w:rsidRPr="00D81D5A">
        <w:rPr>
          <w:szCs w:val="26"/>
        </w:rPr>
        <w:t xml:space="preserve">the changes . . . were enacted in order to make the </w:t>
      </w:r>
      <w:r w:rsidRPr="00D81D5A">
        <w:rPr>
          <w:rStyle w:val="sssh"/>
          <w:szCs w:val="26"/>
        </w:rPr>
        <w:t>pension</w:t>
      </w:r>
      <w:r w:rsidRPr="00D81D5A">
        <w:rPr>
          <w:szCs w:val="26"/>
        </w:rPr>
        <w:t xml:space="preserve"> system for [pre-1945 hires] more nearly coincide with the retirement system established . . . for policemen and firemen employed after that date, thus to ameliorate ‘personal </w:t>
      </w:r>
      <w:r w:rsidR="0083753D" w:rsidRPr="00D81D5A">
        <w:rPr>
          <w:szCs w:val="26"/>
        </w:rPr>
        <w:t xml:space="preserve">[sic] </w:t>
      </w:r>
      <w:r w:rsidRPr="00D81D5A">
        <w:rPr>
          <w:szCs w:val="26"/>
        </w:rPr>
        <w:t xml:space="preserve">problems’ assertedly created by differences in </w:t>
      </w:r>
      <w:r w:rsidRPr="00D81D5A">
        <w:rPr>
          <w:rStyle w:val="sssh"/>
          <w:szCs w:val="26"/>
        </w:rPr>
        <w:t>pension</w:t>
      </w:r>
      <w:r w:rsidRPr="00D81D5A">
        <w:rPr>
          <w:szCs w:val="26"/>
        </w:rPr>
        <w:t xml:space="preserve"> costs and benefits to the two groups of employees and to ‘somewhat equalize the compensation provided for employees who perform like services.’</w:t>
      </w:r>
      <w:r w:rsidR="00CE12E5">
        <w:rPr>
          <w:szCs w:val="26"/>
        </w:rPr>
        <w:t> </w:t>
      </w:r>
      <w:r w:rsidR="0062419A" w:rsidRPr="00D81D5A">
        <w:rPr>
          <w:szCs w:val="26"/>
        </w:rPr>
        <w:t xml:space="preserve">”  </w:t>
      </w:r>
      <w:r w:rsidR="0062419A" w:rsidRPr="00D81D5A">
        <w:rPr>
          <w:rStyle w:val="ssrfcpassagedeactivated"/>
          <w:szCs w:val="26"/>
        </w:rPr>
        <w:t>(</w:t>
      </w:r>
      <w:r w:rsidR="0062419A" w:rsidRPr="00D81D5A">
        <w:rPr>
          <w:rStyle w:val="ssrfcpassagedeactivated"/>
          <w:i/>
          <w:szCs w:val="26"/>
        </w:rPr>
        <w:t>Ibid</w:t>
      </w:r>
      <w:r w:rsidR="0062419A" w:rsidRPr="00D81D5A">
        <w:rPr>
          <w:rStyle w:val="ssrfcpassagedeactivated"/>
          <w:szCs w:val="26"/>
        </w:rPr>
        <w:t>.)</w:t>
      </w:r>
    </w:p>
    <w:bookmarkEnd w:id="33"/>
    <w:p w14:paraId="78B8CDD6" w14:textId="77777777" w:rsidR="009F594A" w:rsidRPr="00D81D5A" w:rsidRDefault="0062419A" w:rsidP="00D81D5A">
      <w:pPr>
        <w:pStyle w:val="NormalIndent"/>
        <w:ind w:left="0" w:firstLine="720"/>
        <w:rPr>
          <w:rStyle w:val="ssrfcpassagedeactivated"/>
          <w:szCs w:val="26"/>
        </w:rPr>
      </w:pPr>
      <w:r w:rsidRPr="00D81D5A">
        <w:t xml:space="preserve">We concluded that this rationale was insufficient to justify the impairment of pension benefits caused by the various changes.  </w:t>
      </w:r>
      <w:bookmarkStart w:id="34" w:name="_Hlk40949698"/>
      <w:r w:rsidR="004E324B" w:rsidRPr="00D81D5A">
        <w:t xml:space="preserve">As we explained, </w:t>
      </w:r>
      <w:r w:rsidRPr="00D81D5A">
        <w:t>“</w:t>
      </w:r>
      <w:r w:rsidR="004E324B" w:rsidRPr="00D81D5A">
        <w:t>[s]</w:t>
      </w:r>
      <w:proofErr w:type="spellStart"/>
      <w:r w:rsidR="009F594A" w:rsidRPr="00D81D5A">
        <w:rPr>
          <w:szCs w:val="26"/>
        </w:rPr>
        <w:t>uch</w:t>
      </w:r>
      <w:proofErr w:type="spellEnd"/>
      <w:r w:rsidR="009F594A" w:rsidRPr="00D81D5A">
        <w:rPr>
          <w:szCs w:val="26"/>
        </w:rPr>
        <w:t xml:space="preserve"> purposes, however beneficial to the city, bear no relation to the functioning and integrity of the </w:t>
      </w:r>
      <w:r w:rsidR="009F594A" w:rsidRPr="00D81D5A">
        <w:rPr>
          <w:rStyle w:val="sssh"/>
          <w:szCs w:val="26"/>
        </w:rPr>
        <w:t>pension</w:t>
      </w:r>
      <w:r w:rsidR="009F594A" w:rsidRPr="00D81D5A">
        <w:rPr>
          <w:szCs w:val="26"/>
        </w:rPr>
        <w:t xml:space="preserve"> system established for persons employed prior to [1945] and constitute no justification for materially reducing the vested contractual rights earned by plaintiffs prior to the time [the charter amendment] was adopted.”  </w:t>
      </w:r>
      <w:r w:rsidRPr="00D81D5A">
        <w:rPr>
          <w:rStyle w:val="ssrfcpassagedeactivated"/>
          <w:szCs w:val="26"/>
        </w:rPr>
        <w:t>(</w:t>
      </w:r>
      <w:r w:rsidRPr="00D81D5A">
        <w:rPr>
          <w:rStyle w:val="ssrfcpassagedeactivated"/>
          <w:i/>
          <w:szCs w:val="26"/>
        </w:rPr>
        <w:t>Allen I</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xml:space="preserve">, </w:t>
      </w:r>
      <w:r w:rsidRPr="00D81D5A">
        <w:t>45</w:t>
      </w:r>
      <w:r w:rsidR="009D1B95">
        <w:t> </w:t>
      </w:r>
      <w:r w:rsidRPr="00D81D5A">
        <w:t>Cal.2d at p.</w:t>
      </w:r>
      <w:r w:rsidR="005D2BDE" w:rsidRPr="00D81D5A">
        <w:t> </w:t>
      </w:r>
      <w:r w:rsidRPr="00D81D5A">
        <w:t>133.)</w:t>
      </w:r>
    </w:p>
    <w:bookmarkEnd w:id="34"/>
    <w:p w14:paraId="64BD8B4F" w14:textId="17A7CFE5" w:rsidR="003F74C1" w:rsidRPr="00D81D5A" w:rsidRDefault="003F74C1" w:rsidP="00D81D5A">
      <w:pPr>
        <w:pStyle w:val="NormalIndent"/>
        <w:ind w:left="0" w:firstLine="720"/>
        <w:rPr>
          <w:szCs w:val="26"/>
        </w:rPr>
      </w:pPr>
      <w:r w:rsidRPr="00D81D5A">
        <w:rPr>
          <w:szCs w:val="26"/>
        </w:rPr>
        <w:t xml:space="preserve">In sum, when evaluating modifications to a public employee pension plan under the contract clause, </w:t>
      </w:r>
      <w:bookmarkStart w:id="35" w:name="_Hlk24281261"/>
      <w:r w:rsidRPr="00D81D5A">
        <w:rPr>
          <w:i/>
          <w:szCs w:val="26"/>
        </w:rPr>
        <w:t>Allen</w:t>
      </w:r>
      <w:r w:rsidR="00651217">
        <w:rPr>
          <w:i/>
          <w:szCs w:val="26"/>
        </w:rPr>
        <w:t> </w:t>
      </w:r>
      <w:r w:rsidRPr="00D81D5A">
        <w:rPr>
          <w:i/>
          <w:szCs w:val="26"/>
        </w:rPr>
        <w:t xml:space="preserve">I </w:t>
      </w:r>
      <w:r w:rsidRPr="00D81D5A">
        <w:rPr>
          <w:szCs w:val="26"/>
        </w:rPr>
        <w:t xml:space="preserve">requires a court first to determine </w:t>
      </w:r>
      <w:r w:rsidR="0062419A" w:rsidRPr="00D81D5A">
        <w:rPr>
          <w:szCs w:val="26"/>
        </w:rPr>
        <w:t xml:space="preserve">whether the modifications impose an economic disadvantage on affected employees and, if so, whether those disadvantages are </w:t>
      </w:r>
      <w:r w:rsidR="005C46F5" w:rsidRPr="00D81D5A">
        <w:rPr>
          <w:szCs w:val="26"/>
        </w:rPr>
        <w:t>offset</w:t>
      </w:r>
      <w:r w:rsidR="0062419A" w:rsidRPr="00D81D5A">
        <w:rPr>
          <w:szCs w:val="26"/>
        </w:rPr>
        <w:t xml:space="preserve"> in some manner by comp</w:t>
      </w:r>
      <w:r w:rsidR="005C46F5" w:rsidRPr="00D81D5A">
        <w:rPr>
          <w:szCs w:val="26"/>
        </w:rPr>
        <w:t>arable new</w:t>
      </w:r>
      <w:r w:rsidR="0062419A" w:rsidRPr="00D81D5A">
        <w:rPr>
          <w:szCs w:val="26"/>
        </w:rPr>
        <w:t xml:space="preserve"> advantages.</w:t>
      </w:r>
      <w:r w:rsidR="003031D1" w:rsidRPr="00D81D5A">
        <w:rPr>
          <w:rStyle w:val="FootnoteReference"/>
          <w:szCs w:val="26"/>
        </w:rPr>
        <w:footnoteReference w:id="23"/>
      </w:r>
      <w:r w:rsidR="009A7449" w:rsidRPr="00D81D5A">
        <w:rPr>
          <w:szCs w:val="26"/>
        </w:rPr>
        <w:t xml:space="preserve">  The court must then determine whether the government’s articulated purpose in making the changes was sufficient, for constitutional purposes, to justify any impairment</w:t>
      </w:r>
      <w:r w:rsidR="00052B6D" w:rsidRPr="00D81D5A">
        <w:rPr>
          <w:szCs w:val="26"/>
        </w:rPr>
        <w:t xml:space="preserve"> of pension rights</w:t>
      </w:r>
      <w:r w:rsidR="003031D1" w:rsidRPr="00D81D5A">
        <w:rPr>
          <w:szCs w:val="26"/>
        </w:rPr>
        <w:t>.</w:t>
      </w:r>
      <w:r w:rsidR="009A7449" w:rsidRPr="00D81D5A">
        <w:rPr>
          <w:szCs w:val="26"/>
        </w:rPr>
        <w:t xml:space="preserve">  A</w:t>
      </w:r>
      <w:r w:rsidR="00751DE0" w:rsidRPr="00D81D5A">
        <w:rPr>
          <w:szCs w:val="26"/>
        </w:rPr>
        <w:t xml:space="preserve">lthough changes may be enacted </w:t>
      </w:r>
      <w:r w:rsidR="00751DE0" w:rsidRPr="00D81D5A">
        <w:t>“</w:t>
      </w:r>
      <w:r w:rsidR="00751DE0" w:rsidRPr="00D81D5A">
        <w:rPr>
          <w:rStyle w:val="ssrfcpassagedeactivated"/>
          <w:szCs w:val="26"/>
        </w:rPr>
        <w:t xml:space="preserve">for the purpose of keeping [the] </w:t>
      </w:r>
      <w:r w:rsidR="00751DE0" w:rsidRPr="00D81D5A">
        <w:rPr>
          <w:rStyle w:val="sssh"/>
          <w:szCs w:val="26"/>
        </w:rPr>
        <w:t>pension</w:t>
      </w:r>
      <w:r w:rsidR="00751DE0" w:rsidRPr="00D81D5A">
        <w:rPr>
          <w:rStyle w:val="ssrfcpassagedeactivated"/>
          <w:szCs w:val="26"/>
        </w:rPr>
        <w:t xml:space="preserve"> system flexible to permit adjustments in accord with changing conditions and at the same time maintain the integrity of the system,” such changes “must bear some material relation to the theory of a </w:t>
      </w:r>
      <w:r w:rsidR="00751DE0" w:rsidRPr="00D81D5A">
        <w:rPr>
          <w:rStyle w:val="sssh"/>
          <w:szCs w:val="26"/>
        </w:rPr>
        <w:t>pension</w:t>
      </w:r>
      <w:r w:rsidR="00751DE0" w:rsidRPr="00D81D5A">
        <w:rPr>
          <w:rStyle w:val="ssrfcpassagedeactivated"/>
          <w:szCs w:val="26"/>
        </w:rPr>
        <w:t xml:space="preserve"> system and its successful operation.”</w:t>
      </w:r>
      <w:r w:rsidR="009A7449" w:rsidRPr="00D81D5A">
        <w:rPr>
          <w:rStyle w:val="ssrfcpassagedeactivated"/>
          <w:szCs w:val="26"/>
        </w:rPr>
        <w:t xml:space="preserve">  (</w:t>
      </w:r>
      <w:r w:rsidR="009A7449" w:rsidRPr="00D81D5A">
        <w:rPr>
          <w:rStyle w:val="ssrfcpassagedeactivated"/>
          <w:i/>
          <w:szCs w:val="26"/>
        </w:rPr>
        <w:t>Allen I</w:t>
      </w:r>
      <w:r w:rsidR="009A7449" w:rsidRPr="00D81D5A">
        <w:rPr>
          <w:rStyle w:val="ssrfcpassagedeactivated"/>
          <w:szCs w:val="26"/>
        </w:rPr>
        <w:t xml:space="preserve">, </w:t>
      </w:r>
      <w:r w:rsidR="009A7449" w:rsidRPr="00D81D5A">
        <w:rPr>
          <w:rStyle w:val="ssrfcpassagedeactivated"/>
          <w:i/>
          <w:szCs w:val="26"/>
        </w:rPr>
        <w:t>supra</w:t>
      </w:r>
      <w:r w:rsidR="009A7449" w:rsidRPr="00D81D5A">
        <w:rPr>
          <w:rStyle w:val="ssrfcpassagedeactivated"/>
          <w:szCs w:val="26"/>
        </w:rPr>
        <w:t xml:space="preserve">, </w:t>
      </w:r>
      <w:r w:rsidR="009A7449" w:rsidRPr="00D81D5A">
        <w:t>45</w:t>
      </w:r>
      <w:r w:rsidR="005D2BDE" w:rsidRPr="00D81D5A">
        <w:t> </w:t>
      </w:r>
      <w:r w:rsidR="009A7449" w:rsidRPr="00D81D5A">
        <w:t>Cal.2d at p.</w:t>
      </w:r>
      <w:r w:rsidR="00F66BBA" w:rsidRPr="00D81D5A">
        <w:t> </w:t>
      </w:r>
      <w:r w:rsidR="009A7449" w:rsidRPr="00D81D5A">
        <w:t>131.)</w:t>
      </w:r>
    </w:p>
    <w:bookmarkEnd w:id="35"/>
    <w:p w14:paraId="56963B13" w14:textId="14D46102" w:rsidR="0054764D" w:rsidRPr="00D81D5A" w:rsidRDefault="009F594A" w:rsidP="00D81D5A">
      <w:pPr>
        <w:pStyle w:val="NormalIndent"/>
        <w:ind w:left="0" w:firstLine="720"/>
        <w:rPr>
          <w:rStyle w:val="ssrfcpassagedeactivated"/>
          <w:szCs w:val="26"/>
        </w:rPr>
      </w:pPr>
      <w:r w:rsidRPr="00D81D5A">
        <w:t xml:space="preserve">In the intervening 65 years, </w:t>
      </w:r>
      <w:r w:rsidR="00455CC0" w:rsidRPr="00D81D5A">
        <w:t>our decisions</w:t>
      </w:r>
      <w:r w:rsidRPr="00D81D5A">
        <w:t xml:space="preserve"> have clarified aspects of the </w:t>
      </w:r>
      <w:r w:rsidRPr="00D81D5A">
        <w:rPr>
          <w:i/>
        </w:rPr>
        <w:t>Allen</w:t>
      </w:r>
      <w:r w:rsidR="00CE7041" w:rsidRPr="00D81D5A">
        <w:rPr>
          <w:i/>
        </w:rPr>
        <w:t> </w:t>
      </w:r>
      <w:r w:rsidRPr="00D81D5A">
        <w:rPr>
          <w:i/>
        </w:rPr>
        <w:t xml:space="preserve">I </w:t>
      </w:r>
      <w:r w:rsidRPr="00D81D5A">
        <w:t xml:space="preserve">test, but its substance </w:t>
      </w:r>
      <w:r w:rsidR="003031D1" w:rsidRPr="00D81D5A">
        <w:t>is</w:t>
      </w:r>
      <w:r w:rsidRPr="00D81D5A">
        <w:t xml:space="preserve"> unchanged.</w:t>
      </w:r>
      <w:r w:rsidR="004C2F98" w:rsidRPr="00D81D5A">
        <w:rPr>
          <w:rStyle w:val="FootnoteReference"/>
        </w:rPr>
        <w:footnoteReference w:id="24"/>
      </w:r>
      <w:r w:rsidRPr="00D81D5A">
        <w:t xml:space="preserve">  In </w:t>
      </w:r>
      <w:bookmarkStart w:id="36" w:name="_Hlk24882545"/>
      <w:r w:rsidR="00C35847" w:rsidRPr="00D81D5A">
        <w:rPr>
          <w:rStyle w:val="ssrfcpassagedeactivated"/>
          <w:i/>
          <w:szCs w:val="26"/>
        </w:rPr>
        <w:t>Abbott</w:t>
      </w:r>
      <w:r w:rsidR="0083753D" w:rsidRPr="00D81D5A">
        <w:rPr>
          <w:rStyle w:val="ssrfcpassagedeactivated"/>
          <w:szCs w:val="26"/>
        </w:rPr>
        <w:t xml:space="preserve">, </w:t>
      </w:r>
      <w:r w:rsidR="0083753D" w:rsidRPr="00D81D5A">
        <w:rPr>
          <w:rStyle w:val="ssrfcpassagedeactivated"/>
          <w:i/>
          <w:szCs w:val="26"/>
        </w:rPr>
        <w:t>supra</w:t>
      </w:r>
      <w:r w:rsidR="0083753D" w:rsidRPr="00D81D5A">
        <w:rPr>
          <w:rStyle w:val="ssrfcpassagedeactivated"/>
          <w:szCs w:val="26"/>
        </w:rPr>
        <w:t>,</w:t>
      </w:r>
      <w:r w:rsidR="00C35847" w:rsidRPr="00D81D5A">
        <w:rPr>
          <w:rStyle w:val="ssrfcpassagedeactivated"/>
          <w:szCs w:val="26"/>
        </w:rPr>
        <w:t xml:space="preserve"> 50 Cal.2d 438, </w:t>
      </w:r>
      <w:r w:rsidRPr="00D81D5A">
        <w:rPr>
          <w:rStyle w:val="ssrfcpassagedeactivated"/>
          <w:szCs w:val="26"/>
        </w:rPr>
        <w:t xml:space="preserve">we </w:t>
      </w:r>
      <w:r w:rsidR="003031D1" w:rsidRPr="00D81D5A">
        <w:rPr>
          <w:rStyle w:val="ssrfcpassagedeactivated"/>
          <w:szCs w:val="26"/>
        </w:rPr>
        <w:t>e</w:t>
      </w:r>
      <w:r w:rsidR="0083753D" w:rsidRPr="00D81D5A">
        <w:rPr>
          <w:rStyle w:val="ssrfcpassagedeactivated"/>
          <w:szCs w:val="26"/>
        </w:rPr>
        <w:t>mployed</w:t>
      </w:r>
      <w:r w:rsidR="003031D1" w:rsidRPr="00D81D5A">
        <w:rPr>
          <w:rStyle w:val="ssrfcpassagedeactivated"/>
          <w:szCs w:val="26"/>
        </w:rPr>
        <w:t xml:space="preserve"> </w:t>
      </w:r>
      <w:r w:rsidRPr="00D81D5A">
        <w:rPr>
          <w:rStyle w:val="ssrfcpassagedeactivated"/>
          <w:szCs w:val="26"/>
        </w:rPr>
        <w:t>the</w:t>
      </w:r>
      <w:r w:rsidR="003031D1" w:rsidRPr="00D81D5A">
        <w:rPr>
          <w:rStyle w:val="ssrfcpassagedeactivated"/>
          <w:szCs w:val="26"/>
        </w:rPr>
        <w:t xml:space="preserve"> rationale </w:t>
      </w:r>
      <w:r w:rsidRPr="00D81D5A">
        <w:rPr>
          <w:rStyle w:val="ssrfcpassagedeactivated"/>
          <w:szCs w:val="26"/>
        </w:rPr>
        <w:t xml:space="preserve">articulated in </w:t>
      </w:r>
      <w:r w:rsidRPr="00D81D5A">
        <w:rPr>
          <w:rStyle w:val="ssrfcpassagedeactivated"/>
          <w:i/>
          <w:szCs w:val="26"/>
        </w:rPr>
        <w:t>Allen I</w:t>
      </w:r>
      <w:r w:rsidRPr="00D81D5A">
        <w:rPr>
          <w:rStyle w:val="ssrfcpassagedeactivated"/>
          <w:szCs w:val="26"/>
        </w:rPr>
        <w:t xml:space="preserve"> in </w:t>
      </w:r>
      <w:r w:rsidR="003031D1" w:rsidRPr="00D81D5A">
        <w:rPr>
          <w:rStyle w:val="ssrfcpassagedeactivated"/>
          <w:szCs w:val="26"/>
        </w:rPr>
        <w:t xml:space="preserve">concluding that </w:t>
      </w:r>
      <w:r w:rsidRPr="00D81D5A">
        <w:rPr>
          <w:rStyle w:val="ssrfcpassagedeactivated"/>
          <w:szCs w:val="26"/>
        </w:rPr>
        <w:t>the change from a fluctuating to a fixed pension benefit</w:t>
      </w:r>
      <w:r w:rsidR="003031D1" w:rsidRPr="00D81D5A">
        <w:rPr>
          <w:rStyle w:val="ssrfcpassagedeactivated"/>
          <w:szCs w:val="26"/>
        </w:rPr>
        <w:t xml:space="preserve"> could not properly be applied</w:t>
      </w:r>
      <w:r w:rsidRPr="00D81D5A">
        <w:rPr>
          <w:rStyle w:val="ssrfcpassagedeactivated"/>
          <w:szCs w:val="26"/>
        </w:rPr>
        <w:t xml:space="preserve"> to persons who were employed by the defendant city at the time the change occurred, even though the change had occurred 35 years earlier.  (</w:t>
      </w:r>
      <w:r w:rsidRPr="00D81D5A">
        <w:rPr>
          <w:rStyle w:val="ssrfcpassagedeactivated"/>
          <w:i/>
          <w:szCs w:val="26"/>
        </w:rPr>
        <w:t>Abbott</w:t>
      </w:r>
      <w:r w:rsidRPr="00D81D5A">
        <w:rPr>
          <w:rStyle w:val="ssrfcpassagedeactivated"/>
          <w:szCs w:val="26"/>
        </w:rPr>
        <w:t>, at pp.</w:t>
      </w:r>
      <w:r w:rsidR="00C110DF">
        <w:rPr>
          <w:rStyle w:val="ssrfcpassagedeactivated"/>
          <w:szCs w:val="26"/>
        </w:rPr>
        <w:t> </w:t>
      </w:r>
      <w:r w:rsidRPr="00D81D5A">
        <w:rPr>
          <w:rStyle w:val="ssrfcpassagedeactivated"/>
          <w:szCs w:val="26"/>
        </w:rPr>
        <w:t>453</w:t>
      </w:r>
      <w:r w:rsidR="00427AF8">
        <w:rPr>
          <w:rStyle w:val="ssrfcpassagedeactivated"/>
          <w:szCs w:val="26"/>
        </w:rPr>
        <w:t>–</w:t>
      </w:r>
      <w:r w:rsidRPr="00D81D5A">
        <w:rPr>
          <w:rStyle w:val="ssrfcpassagedeactivated"/>
          <w:szCs w:val="26"/>
        </w:rPr>
        <w:t xml:space="preserve">455.)  </w:t>
      </w:r>
      <w:bookmarkEnd w:id="36"/>
      <w:r w:rsidRPr="00D81D5A">
        <w:rPr>
          <w:rStyle w:val="ssrfcpassagedeactivated"/>
          <w:szCs w:val="26"/>
        </w:rPr>
        <w:t xml:space="preserve">In the process, we explained that the determination of disadvantages and </w:t>
      </w:r>
      <w:r w:rsidR="001D5298" w:rsidRPr="00D81D5A">
        <w:rPr>
          <w:rStyle w:val="ssrfcpassagedeactivated"/>
          <w:szCs w:val="26"/>
        </w:rPr>
        <w:t>comparable</w:t>
      </w:r>
      <w:r w:rsidR="00182F76" w:rsidRPr="00D81D5A">
        <w:rPr>
          <w:rStyle w:val="ssrfcpassagedeactivated"/>
          <w:szCs w:val="26"/>
        </w:rPr>
        <w:t xml:space="preserve"> new</w:t>
      </w:r>
      <w:r w:rsidRPr="00D81D5A">
        <w:rPr>
          <w:rStyle w:val="ssrfcpassagedeactivated"/>
          <w:szCs w:val="26"/>
        </w:rPr>
        <w:t xml:space="preserve"> advantages must be made individually as to each affected employee, rather than on the basis of the employees as a group.  (</w:t>
      </w:r>
      <w:r w:rsidRPr="00D81D5A">
        <w:rPr>
          <w:rStyle w:val="ssrfcpassagedeactivated"/>
          <w:i/>
          <w:szCs w:val="26"/>
        </w:rPr>
        <w:t>Id.</w:t>
      </w:r>
      <w:r w:rsidRPr="00D81D5A">
        <w:rPr>
          <w:rStyle w:val="ssrfcpassagedeactivated"/>
          <w:szCs w:val="26"/>
        </w:rPr>
        <w:t xml:space="preserve"> at p.</w:t>
      </w:r>
      <w:r w:rsidR="005D2BDE" w:rsidRPr="00D81D5A">
        <w:rPr>
          <w:rStyle w:val="ssrfcpassagedeactivated"/>
          <w:szCs w:val="26"/>
        </w:rPr>
        <w:t> </w:t>
      </w:r>
      <w:r w:rsidRPr="00D81D5A">
        <w:rPr>
          <w:rStyle w:val="ssrfcpassagedeactivated"/>
          <w:szCs w:val="26"/>
        </w:rPr>
        <w:t>449</w:t>
      </w:r>
      <w:r w:rsidR="00081DDD">
        <w:rPr>
          <w:rStyle w:val="ssrfcpassagedeactivated"/>
          <w:szCs w:val="26"/>
        </w:rPr>
        <w:t>;</w:t>
      </w:r>
      <w:r w:rsidRPr="00D81D5A">
        <w:rPr>
          <w:rStyle w:val="ssrfcpassagedeactivated"/>
          <w:szCs w:val="26"/>
        </w:rPr>
        <w:t xml:space="preserve"> see similarly </w:t>
      </w:r>
      <w:r w:rsidRPr="00D81D5A">
        <w:rPr>
          <w:rStyle w:val="ssrfcpassagedeactivated"/>
          <w:i/>
          <w:szCs w:val="26"/>
        </w:rPr>
        <w:t>Betts</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21 Cal.3d at p. 864.)</w:t>
      </w:r>
    </w:p>
    <w:p w14:paraId="5C653EE3" w14:textId="77777777" w:rsidR="000C06B2" w:rsidRPr="00D81D5A" w:rsidRDefault="009F594A" w:rsidP="00D81D5A">
      <w:pPr>
        <w:pStyle w:val="NormalIndent"/>
        <w:ind w:left="0" w:firstLine="720"/>
        <w:rPr>
          <w:szCs w:val="26"/>
        </w:rPr>
      </w:pPr>
      <w:bookmarkStart w:id="37" w:name="_Hlk40949817"/>
      <w:r w:rsidRPr="00D81D5A">
        <w:rPr>
          <w:rStyle w:val="ssrfcpassagedeactivated"/>
          <w:szCs w:val="26"/>
        </w:rPr>
        <w:t>In</w:t>
      </w:r>
      <w:r w:rsidR="003031D1" w:rsidRPr="00D81D5A">
        <w:rPr>
          <w:rStyle w:val="ssrfcpassagedeactivated"/>
          <w:szCs w:val="26"/>
        </w:rPr>
        <w:t xml:space="preserve"> analyzing a similar constitutional issue in</w:t>
      </w:r>
      <w:r w:rsidRPr="00D81D5A">
        <w:rPr>
          <w:rStyle w:val="ssrfcpassagedeactivated"/>
          <w:szCs w:val="26"/>
        </w:rPr>
        <w:t xml:space="preserve"> </w:t>
      </w:r>
      <w:bookmarkStart w:id="38" w:name="_Hlk24882842"/>
      <w:r w:rsidRPr="00D81D5A">
        <w:rPr>
          <w:rStyle w:val="ssrfcpassagedeactivated"/>
          <w:i/>
          <w:szCs w:val="26"/>
        </w:rPr>
        <w:t>Betts</w:t>
      </w:r>
      <w:r w:rsidRPr="00D81D5A">
        <w:rPr>
          <w:rStyle w:val="ssrfcpassagedeactivated"/>
          <w:szCs w:val="26"/>
        </w:rPr>
        <w:t xml:space="preserve">, </w:t>
      </w:r>
      <w:r w:rsidR="0054764D" w:rsidRPr="00D81D5A">
        <w:rPr>
          <w:rStyle w:val="ssrfcpassagedeactivated"/>
          <w:i/>
          <w:szCs w:val="26"/>
        </w:rPr>
        <w:t>supra</w:t>
      </w:r>
      <w:r w:rsidR="0054764D" w:rsidRPr="00D81D5A">
        <w:rPr>
          <w:rStyle w:val="ssrfcpassagedeactivated"/>
          <w:szCs w:val="26"/>
        </w:rPr>
        <w:t xml:space="preserve">, 21 Cal.3d 859, </w:t>
      </w:r>
      <w:bookmarkEnd w:id="38"/>
      <w:r w:rsidRPr="00D81D5A">
        <w:rPr>
          <w:rStyle w:val="ssrfcpassagedeactivated"/>
          <w:szCs w:val="26"/>
        </w:rPr>
        <w:t xml:space="preserve">we </w:t>
      </w:r>
      <w:r w:rsidR="00DE3B67" w:rsidRPr="00D81D5A">
        <w:rPr>
          <w:rStyle w:val="ssrfcpassagedeactivated"/>
          <w:szCs w:val="26"/>
        </w:rPr>
        <w:t xml:space="preserve">entertained the argument </w:t>
      </w:r>
      <w:r w:rsidRPr="00D81D5A">
        <w:rPr>
          <w:rStyle w:val="ssrfcpassagedeactivated"/>
          <w:szCs w:val="26"/>
        </w:rPr>
        <w:t>that</w:t>
      </w:r>
      <w:r w:rsidR="00944D85" w:rsidRPr="00D81D5A">
        <w:rPr>
          <w:rStyle w:val="ssrfcpassagedeactivated"/>
          <w:szCs w:val="26"/>
        </w:rPr>
        <w:t>, as a general matter,</w:t>
      </w:r>
      <w:r w:rsidRPr="00D81D5A">
        <w:rPr>
          <w:rStyle w:val="ssrfcpassagedeactivated"/>
          <w:szCs w:val="26"/>
        </w:rPr>
        <w:t xml:space="preserve"> </w:t>
      </w:r>
      <w:r w:rsidR="00944D85" w:rsidRPr="00D81D5A">
        <w:rPr>
          <w:rStyle w:val="ssrfcpassagedeactivated"/>
          <w:szCs w:val="26"/>
        </w:rPr>
        <w:t>the</w:t>
      </w:r>
      <w:r w:rsidRPr="00D81D5A">
        <w:rPr>
          <w:rStyle w:val="ssrfcpassagedeactivated"/>
          <w:szCs w:val="26"/>
        </w:rPr>
        <w:t xml:space="preserve"> change from a fluctuating benefit to a fixed benefit adjusted annually for inflation </w:t>
      </w:r>
      <w:r w:rsidR="0054764D" w:rsidRPr="00D81D5A">
        <w:rPr>
          <w:rStyle w:val="ssrfcpassagedeactivated"/>
          <w:szCs w:val="26"/>
        </w:rPr>
        <w:t>c</w:t>
      </w:r>
      <w:r w:rsidR="00DE3B67" w:rsidRPr="00D81D5A">
        <w:rPr>
          <w:rStyle w:val="ssrfcpassagedeactivated"/>
          <w:szCs w:val="26"/>
        </w:rPr>
        <w:t>ould</w:t>
      </w:r>
      <w:r w:rsidRPr="00D81D5A">
        <w:rPr>
          <w:rStyle w:val="ssrfcpassagedeactivated"/>
          <w:szCs w:val="26"/>
        </w:rPr>
        <w:t xml:space="preserve"> pass constitutional muster </w:t>
      </w:r>
      <w:r w:rsidR="0083753D" w:rsidRPr="00D81D5A">
        <w:rPr>
          <w:rStyle w:val="ssrfcpassagedeactivated"/>
          <w:szCs w:val="26"/>
        </w:rPr>
        <w:t>becaus</w:t>
      </w:r>
      <w:r w:rsidRPr="00D81D5A">
        <w:rPr>
          <w:rStyle w:val="ssrfcpassagedeactivated"/>
          <w:szCs w:val="26"/>
        </w:rPr>
        <w:t xml:space="preserve">e </w:t>
      </w:r>
      <w:r w:rsidR="00944D85" w:rsidRPr="00D81D5A">
        <w:rPr>
          <w:rStyle w:val="ssrfcpassagedeactivated"/>
          <w:szCs w:val="26"/>
        </w:rPr>
        <w:t xml:space="preserve">such a </w:t>
      </w:r>
      <w:r w:rsidRPr="00D81D5A">
        <w:rPr>
          <w:rStyle w:val="ssrfcpassagedeactivated"/>
          <w:szCs w:val="26"/>
        </w:rPr>
        <w:t>change represent</w:t>
      </w:r>
      <w:r w:rsidR="00DE3B67" w:rsidRPr="00D81D5A">
        <w:rPr>
          <w:rStyle w:val="ssrfcpassagedeactivated"/>
          <w:szCs w:val="26"/>
        </w:rPr>
        <w:t>ed</w:t>
      </w:r>
      <w:r w:rsidRPr="00D81D5A">
        <w:rPr>
          <w:rStyle w:val="ssrfcpassagedeactivated"/>
          <w:szCs w:val="26"/>
        </w:rPr>
        <w:t xml:space="preserve"> the </w:t>
      </w:r>
      <w:r w:rsidR="00DE3B67" w:rsidRPr="00D81D5A">
        <w:rPr>
          <w:rStyle w:val="ssrfcpassagedeactivated"/>
          <w:szCs w:val="26"/>
        </w:rPr>
        <w:t xml:space="preserve">replacement </w:t>
      </w:r>
      <w:r w:rsidRPr="00D81D5A">
        <w:rPr>
          <w:rStyle w:val="ssrfcpassagedeactivated"/>
          <w:szCs w:val="26"/>
        </w:rPr>
        <w:t xml:space="preserve">of </w:t>
      </w:r>
      <w:r w:rsidR="00DE3B67" w:rsidRPr="00D81D5A">
        <w:rPr>
          <w:rStyle w:val="ssrfcpassagedeactivated"/>
          <w:szCs w:val="26"/>
        </w:rPr>
        <w:t>“</w:t>
      </w:r>
      <w:r w:rsidR="00DE3B67" w:rsidRPr="00D81D5A">
        <w:rPr>
          <w:szCs w:val="26"/>
        </w:rPr>
        <w:t xml:space="preserve">one ‘cost of living’ formula” </w:t>
      </w:r>
      <w:r w:rsidRPr="00D81D5A">
        <w:rPr>
          <w:rStyle w:val="ssrfcpassagedeactivated"/>
          <w:szCs w:val="26"/>
        </w:rPr>
        <w:t>for another.  (</w:t>
      </w:r>
      <w:r w:rsidRPr="00D81D5A">
        <w:rPr>
          <w:rStyle w:val="ssrfcpassagedeactivated"/>
          <w:i/>
          <w:szCs w:val="26"/>
        </w:rPr>
        <w:t>Id</w:t>
      </w:r>
      <w:r w:rsidRPr="00D81D5A">
        <w:rPr>
          <w:rStyle w:val="ssrfcpassagedeactivated"/>
          <w:szCs w:val="26"/>
        </w:rPr>
        <w:t>.</w:t>
      </w:r>
      <w:r w:rsidR="00DE3B67" w:rsidRPr="00D81D5A">
        <w:rPr>
          <w:rStyle w:val="ssrfcpassagedeactivated"/>
          <w:szCs w:val="26"/>
        </w:rPr>
        <w:t xml:space="preserve"> at p.</w:t>
      </w:r>
      <w:r w:rsidR="00F66BBA" w:rsidRPr="00D81D5A">
        <w:rPr>
          <w:rStyle w:val="ssrfcpassagedeactivated"/>
          <w:szCs w:val="26"/>
        </w:rPr>
        <w:t> </w:t>
      </w:r>
      <w:r w:rsidR="00DE3B67" w:rsidRPr="00D81D5A">
        <w:rPr>
          <w:rStyle w:val="ssrfcpassagedeactivated"/>
          <w:szCs w:val="26"/>
        </w:rPr>
        <w:t>865.</w:t>
      </w:r>
      <w:r w:rsidRPr="00D81D5A">
        <w:rPr>
          <w:rStyle w:val="ssrfcpassagedeactivated"/>
          <w:szCs w:val="26"/>
        </w:rPr>
        <w:t xml:space="preserve">)  </w:t>
      </w:r>
      <w:r w:rsidR="000C06B2" w:rsidRPr="00D81D5A">
        <w:rPr>
          <w:rStyle w:val="ssrfcpassagedeactivated"/>
          <w:szCs w:val="26"/>
        </w:rPr>
        <w:t>W</w:t>
      </w:r>
      <w:r w:rsidRPr="00D81D5A">
        <w:rPr>
          <w:rStyle w:val="ssrfcpassagedeactivated"/>
          <w:szCs w:val="26"/>
        </w:rPr>
        <w:t xml:space="preserve">e </w:t>
      </w:r>
      <w:r w:rsidR="00DD171C" w:rsidRPr="00D81D5A">
        <w:rPr>
          <w:rStyle w:val="ssrfcpassagedeactivated"/>
          <w:szCs w:val="26"/>
        </w:rPr>
        <w:t>found it unnecessary to rule on that argument</w:t>
      </w:r>
      <w:r w:rsidR="0054764D" w:rsidRPr="00D81D5A">
        <w:rPr>
          <w:rStyle w:val="ssrfcpassagedeactivated"/>
          <w:szCs w:val="26"/>
        </w:rPr>
        <w:t>, however,</w:t>
      </w:r>
      <w:r w:rsidRPr="00D81D5A">
        <w:rPr>
          <w:rStyle w:val="ssrfcpassagedeactivated"/>
          <w:szCs w:val="26"/>
        </w:rPr>
        <w:t xml:space="preserve"> </w:t>
      </w:r>
      <w:bookmarkEnd w:id="37"/>
      <w:r w:rsidRPr="00D81D5A">
        <w:rPr>
          <w:rStyle w:val="ssrfcpassagedeactivated"/>
          <w:szCs w:val="26"/>
        </w:rPr>
        <w:t>because the Legislature had adopted the cost</w:t>
      </w:r>
      <w:r w:rsidR="00B825BE">
        <w:rPr>
          <w:rStyle w:val="ssrfcpassagedeactivated"/>
          <w:szCs w:val="26"/>
        </w:rPr>
        <w:t xml:space="preserve"> </w:t>
      </w:r>
      <w:r w:rsidRPr="00D81D5A">
        <w:rPr>
          <w:rStyle w:val="ssrfcpassagedeactivated"/>
          <w:szCs w:val="26"/>
        </w:rPr>
        <w:t>of</w:t>
      </w:r>
      <w:r w:rsidR="00B825BE">
        <w:rPr>
          <w:rStyle w:val="ssrfcpassagedeactivated"/>
          <w:szCs w:val="26"/>
        </w:rPr>
        <w:t xml:space="preserve"> </w:t>
      </w:r>
      <w:r w:rsidRPr="00D81D5A">
        <w:rPr>
          <w:rStyle w:val="ssrfcpassagedeactivated"/>
          <w:szCs w:val="26"/>
        </w:rPr>
        <w:t xml:space="preserve">living adjustment at a time when pension benefits were still determined by the fluctuating method.  The change to a fixed benefit did not come until several years later.  Accordingly, we held, the plaintiff had a vested right to both a fluctuating pension benefit </w:t>
      </w:r>
      <w:r w:rsidRPr="00D81D5A">
        <w:rPr>
          <w:rStyle w:val="ssrfcpassagedeactivated"/>
          <w:i/>
          <w:szCs w:val="26"/>
        </w:rPr>
        <w:t xml:space="preserve">and </w:t>
      </w:r>
      <w:r w:rsidRPr="00D81D5A">
        <w:rPr>
          <w:rStyle w:val="ssrfcpassagedeactivated"/>
          <w:szCs w:val="26"/>
        </w:rPr>
        <w:t xml:space="preserve">the cost of living adjustment, since those advantages were offered simultaneously by the pension plan during his </w:t>
      </w:r>
      <w:r w:rsidR="00182F76" w:rsidRPr="00D81D5A">
        <w:rPr>
          <w:rStyle w:val="ssrfcpassagedeactivated"/>
          <w:szCs w:val="26"/>
        </w:rPr>
        <w:t>public service</w:t>
      </w:r>
      <w:r w:rsidRPr="00D81D5A">
        <w:rPr>
          <w:rStyle w:val="ssrfcpassagedeactivated"/>
          <w:szCs w:val="26"/>
        </w:rPr>
        <w:t>.  (</w:t>
      </w:r>
      <w:r w:rsidRPr="00D81D5A">
        <w:rPr>
          <w:rStyle w:val="ssrfcpassagedeactivated"/>
          <w:i/>
          <w:szCs w:val="26"/>
        </w:rPr>
        <w:t>Id</w:t>
      </w:r>
      <w:r w:rsidRPr="00D81D5A">
        <w:rPr>
          <w:rStyle w:val="ssrfcpassagedeactivated"/>
          <w:szCs w:val="26"/>
        </w:rPr>
        <w:t>. at p.</w:t>
      </w:r>
      <w:r w:rsidR="00F66BBA" w:rsidRPr="00D81D5A">
        <w:rPr>
          <w:rStyle w:val="ssrfcpassagedeactivated"/>
          <w:szCs w:val="26"/>
        </w:rPr>
        <w:t> </w:t>
      </w:r>
      <w:r w:rsidRPr="00D81D5A">
        <w:rPr>
          <w:rStyle w:val="ssrfcpassagedeactivated"/>
          <w:szCs w:val="26"/>
        </w:rPr>
        <w:t>866</w:t>
      </w:r>
      <w:r w:rsidRPr="00D81D5A">
        <w:rPr>
          <w:rStyle w:val="ssrfcpassagedeactivated"/>
          <w:i/>
          <w:szCs w:val="26"/>
        </w:rPr>
        <w:t xml:space="preserve"> </w:t>
      </w:r>
      <w:r w:rsidRPr="00D81D5A">
        <w:rPr>
          <w:rStyle w:val="ssrfcpassagedeactivated"/>
          <w:szCs w:val="26"/>
        </w:rPr>
        <w:t>[“</w:t>
      </w:r>
      <w:r w:rsidRPr="00D81D5A">
        <w:rPr>
          <w:szCs w:val="26"/>
        </w:rPr>
        <w:t xml:space="preserve">An employee’s contractual </w:t>
      </w:r>
      <w:r w:rsidRPr="00D81D5A">
        <w:rPr>
          <w:rStyle w:val="sssh"/>
          <w:szCs w:val="26"/>
        </w:rPr>
        <w:t>pension</w:t>
      </w:r>
      <w:r w:rsidRPr="00D81D5A">
        <w:rPr>
          <w:szCs w:val="26"/>
        </w:rPr>
        <w:t xml:space="preserve"> expectations are measured by benefits which are in effect not only when employment commences, but which are thereafter conferred during the employee’s subsequent tenure”].)</w:t>
      </w:r>
    </w:p>
    <w:p w14:paraId="332A7563" w14:textId="662CF764" w:rsidR="0054764D" w:rsidRPr="00D81D5A" w:rsidRDefault="000C06B2" w:rsidP="00D81D5A">
      <w:pPr>
        <w:pStyle w:val="NormalIndent"/>
        <w:ind w:left="0" w:firstLine="720"/>
        <w:rPr>
          <w:szCs w:val="26"/>
        </w:rPr>
      </w:pPr>
      <w:r w:rsidRPr="00D81D5A">
        <w:rPr>
          <w:szCs w:val="26"/>
        </w:rPr>
        <w:t>Thereafter</w:t>
      </w:r>
      <w:r w:rsidR="009F594A" w:rsidRPr="00D81D5A">
        <w:rPr>
          <w:szCs w:val="26"/>
        </w:rPr>
        <w:t>,</w:t>
      </w:r>
      <w:r w:rsidRPr="00D81D5A">
        <w:rPr>
          <w:szCs w:val="26"/>
        </w:rPr>
        <w:t xml:space="preserve"> in</w:t>
      </w:r>
      <w:r w:rsidR="009F594A" w:rsidRPr="00D81D5A">
        <w:rPr>
          <w:szCs w:val="26"/>
        </w:rPr>
        <w:t xml:space="preserve"> </w:t>
      </w:r>
      <w:r w:rsidR="009F594A" w:rsidRPr="00D81D5A">
        <w:rPr>
          <w:i/>
          <w:szCs w:val="26"/>
        </w:rPr>
        <w:t>International Assn. of Firefighters v. City of San Diego</w:t>
      </w:r>
      <w:r w:rsidR="009F594A" w:rsidRPr="00D81D5A">
        <w:rPr>
          <w:szCs w:val="26"/>
        </w:rPr>
        <w:t xml:space="preserve"> (1983) 34 Cal.3d 292 (</w:t>
      </w:r>
      <w:r w:rsidR="009F594A" w:rsidRPr="00D81D5A">
        <w:rPr>
          <w:i/>
          <w:szCs w:val="26"/>
        </w:rPr>
        <w:t>Firefighters</w:t>
      </w:r>
      <w:r w:rsidR="009F594A" w:rsidRPr="00D81D5A">
        <w:rPr>
          <w:szCs w:val="26"/>
        </w:rPr>
        <w:t>)</w:t>
      </w:r>
      <w:r w:rsidRPr="00D81D5A">
        <w:rPr>
          <w:szCs w:val="26"/>
        </w:rPr>
        <w:t>, our court</w:t>
      </w:r>
      <w:r w:rsidR="009F594A" w:rsidRPr="00D81D5A">
        <w:rPr>
          <w:szCs w:val="26"/>
        </w:rPr>
        <w:t xml:space="preserve"> made </w:t>
      </w:r>
      <w:r w:rsidR="006E230A" w:rsidRPr="00D81D5A">
        <w:rPr>
          <w:szCs w:val="26"/>
        </w:rPr>
        <w:t>explicit</w:t>
      </w:r>
      <w:r w:rsidR="009F594A" w:rsidRPr="00D81D5A">
        <w:rPr>
          <w:szCs w:val="26"/>
        </w:rPr>
        <w:t xml:space="preserve"> what was already implicit in the vested rights doctrine, </w:t>
      </w:r>
      <w:r w:rsidRPr="00D81D5A">
        <w:rPr>
          <w:szCs w:val="26"/>
        </w:rPr>
        <w:t xml:space="preserve">namely, </w:t>
      </w:r>
      <w:r w:rsidR="009F594A" w:rsidRPr="00D81D5A">
        <w:rPr>
          <w:szCs w:val="26"/>
        </w:rPr>
        <w:t>that the contract clause does not protect public employees against adverse changes</w:t>
      </w:r>
      <w:r w:rsidR="006E230A" w:rsidRPr="00D81D5A">
        <w:rPr>
          <w:szCs w:val="26"/>
        </w:rPr>
        <w:t xml:space="preserve"> in </w:t>
      </w:r>
      <w:r w:rsidR="00F040FC" w:rsidRPr="00D81D5A">
        <w:rPr>
          <w:szCs w:val="26"/>
        </w:rPr>
        <w:t xml:space="preserve">the </w:t>
      </w:r>
      <w:r w:rsidR="0054764D" w:rsidRPr="00D81D5A">
        <w:rPr>
          <w:szCs w:val="26"/>
        </w:rPr>
        <w:t xml:space="preserve">manner in which a pension plan is </w:t>
      </w:r>
      <w:r w:rsidR="00F040FC" w:rsidRPr="00D81D5A">
        <w:rPr>
          <w:szCs w:val="26"/>
        </w:rPr>
        <w:t>implement</w:t>
      </w:r>
      <w:r w:rsidR="0054764D" w:rsidRPr="00D81D5A">
        <w:rPr>
          <w:szCs w:val="26"/>
        </w:rPr>
        <w:t>ed</w:t>
      </w:r>
      <w:r w:rsidR="00F040FC" w:rsidRPr="00D81D5A">
        <w:rPr>
          <w:szCs w:val="26"/>
        </w:rPr>
        <w:t xml:space="preserve"> </w:t>
      </w:r>
      <w:r w:rsidR="009F594A" w:rsidRPr="00D81D5A">
        <w:rPr>
          <w:szCs w:val="26"/>
        </w:rPr>
        <w:t xml:space="preserve">that </w:t>
      </w:r>
      <w:r w:rsidR="00EA5E33" w:rsidRPr="00D81D5A">
        <w:rPr>
          <w:szCs w:val="26"/>
        </w:rPr>
        <w:t xml:space="preserve">are authorized by </w:t>
      </w:r>
      <w:r w:rsidR="00052B6D" w:rsidRPr="00D81D5A">
        <w:rPr>
          <w:szCs w:val="26"/>
        </w:rPr>
        <w:t xml:space="preserve">the existing </w:t>
      </w:r>
      <w:r w:rsidR="009F594A" w:rsidRPr="00D81D5A">
        <w:rPr>
          <w:szCs w:val="26"/>
        </w:rPr>
        <w:t>terms</w:t>
      </w:r>
      <w:r w:rsidR="00052B6D" w:rsidRPr="00D81D5A">
        <w:rPr>
          <w:szCs w:val="26"/>
        </w:rPr>
        <w:t xml:space="preserve"> of the plan</w:t>
      </w:r>
      <w:r w:rsidR="009F594A" w:rsidRPr="00D81D5A">
        <w:rPr>
          <w:szCs w:val="26"/>
        </w:rPr>
        <w:t xml:space="preserve">, rather than </w:t>
      </w:r>
      <w:r w:rsidR="0054764D" w:rsidRPr="00D81D5A">
        <w:rPr>
          <w:szCs w:val="26"/>
        </w:rPr>
        <w:t xml:space="preserve">as a result of </w:t>
      </w:r>
      <w:r w:rsidR="009F594A" w:rsidRPr="00D81D5A">
        <w:rPr>
          <w:szCs w:val="26"/>
        </w:rPr>
        <w:t>legislative change</w:t>
      </w:r>
      <w:r w:rsidR="0054764D" w:rsidRPr="00D81D5A">
        <w:rPr>
          <w:szCs w:val="26"/>
        </w:rPr>
        <w:t>s</w:t>
      </w:r>
      <w:r w:rsidR="009F594A" w:rsidRPr="00D81D5A">
        <w:rPr>
          <w:szCs w:val="26"/>
        </w:rPr>
        <w:t xml:space="preserve"> to those terms.  (</w:t>
      </w:r>
      <w:r w:rsidR="009F594A" w:rsidRPr="00D81D5A">
        <w:rPr>
          <w:i/>
          <w:szCs w:val="26"/>
        </w:rPr>
        <w:t>Id</w:t>
      </w:r>
      <w:r w:rsidR="009F594A" w:rsidRPr="00D81D5A">
        <w:rPr>
          <w:szCs w:val="26"/>
        </w:rPr>
        <w:t>. at pp.</w:t>
      </w:r>
      <w:r w:rsidR="00F66BBA" w:rsidRPr="00D81D5A">
        <w:rPr>
          <w:szCs w:val="26"/>
        </w:rPr>
        <w:t> </w:t>
      </w:r>
      <w:r w:rsidR="009F594A" w:rsidRPr="00D81D5A">
        <w:rPr>
          <w:szCs w:val="26"/>
        </w:rPr>
        <w:t>301</w:t>
      </w:r>
      <w:r w:rsidR="00427AF8">
        <w:rPr>
          <w:szCs w:val="26"/>
        </w:rPr>
        <w:t>–</w:t>
      </w:r>
      <w:r w:rsidR="009F594A" w:rsidRPr="00D81D5A">
        <w:rPr>
          <w:szCs w:val="26"/>
        </w:rPr>
        <w:t>302 [</w:t>
      </w:r>
      <w:r w:rsidR="0054764D" w:rsidRPr="00D81D5A">
        <w:rPr>
          <w:szCs w:val="26"/>
        </w:rPr>
        <w:t xml:space="preserve">holding that </w:t>
      </w:r>
      <w:r w:rsidR="009F594A" w:rsidRPr="00D81D5A">
        <w:rPr>
          <w:szCs w:val="26"/>
        </w:rPr>
        <w:t xml:space="preserve">an increase in employee contribution rates </w:t>
      </w:r>
      <w:r w:rsidR="0054764D" w:rsidRPr="00D81D5A">
        <w:rPr>
          <w:szCs w:val="26"/>
        </w:rPr>
        <w:t xml:space="preserve">pursuant to </w:t>
      </w:r>
      <w:r w:rsidR="009F594A" w:rsidRPr="00D81D5A">
        <w:rPr>
          <w:szCs w:val="26"/>
        </w:rPr>
        <w:t>the existing terms of a pension plan does not violate vested rights].)</w:t>
      </w:r>
    </w:p>
    <w:p w14:paraId="7EE63885" w14:textId="4E48E601" w:rsidR="009F594A" w:rsidRPr="00D81D5A" w:rsidRDefault="009F594A" w:rsidP="00D81D5A">
      <w:pPr>
        <w:pStyle w:val="NormalIndent"/>
        <w:ind w:left="0" w:firstLine="720"/>
        <w:rPr>
          <w:color w:val="373739"/>
          <w:szCs w:val="26"/>
        </w:rPr>
      </w:pPr>
      <w:r w:rsidRPr="00D81D5A">
        <w:rPr>
          <w:szCs w:val="26"/>
        </w:rPr>
        <w:t xml:space="preserve">Although we have addressed pension-related contract clause issues in a few other decisions rendered in the years </w:t>
      </w:r>
      <w:r w:rsidR="00F040FC" w:rsidRPr="00D81D5A">
        <w:rPr>
          <w:szCs w:val="26"/>
        </w:rPr>
        <w:t>since</w:t>
      </w:r>
      <w:r w:rsidRPr="00D81D5A">
        <w:rPr>
          <w:szCs w:val="26"/>
        </w:rPr>
        <w:t xml:space="preserve"> </w:t>
      </w:r>
      <w:r w:rsidR="00F040FC" w:rsidRPr="00D81D5A">
        <w:rPr>
          <w:i/>
          <w:szCs w:val="26"/>
        </w:rPr>
        <w:t>Betts</w:t>
      </w:r>
      <w:r w:rsidRPr="00D81D5A">
        <w:rPr>
          <w:szCs w:val="26"/>
        </w:rPr>
        <w:t xml:space="preserve">, these decisions applied the principles established in </w:t>
      </w:r>
      <w:r w:rsidRPr="00D81D5A">
        <w:rPr>
          <w:i/>
          <w:szCs w:val="26"/>
        </w:rPr>
        <w:t>Allen</w:t>
      </w:r>
      <w:r w:rsidR="009D1B95">
        <w:rPr>
          <w:i/>
          <w:szCs w:val="26"/>
        </w:rPr>
        <w:t> </w:t>
      </w:r>
      <w:r w:rsidRPr="00D81D5A">
        <w:rPr>
          <w:i/>
          <w:szCs w:val="26"/>
        </w:rPr>
        <w:t>I</w:t>
      </w:r>
      <w:r w:rsidRPr="00D81D5A">
        <w:rPr>
          <w:szCs w:val="26"/>
        </w:rPr>
        <w:t xml:space="preserve">, </w:t>
      </w:r>
      <w:r w:rsidRPr="00D81D5A">
        <w:rPr>
          <w:i/>
          <w:szCs w:val="26"/>
        </w:rPr>
        <w:t>Abbott</w:t>
      </w:r>
      <w:r w:rsidRPr="00D81D5A">
        <w:rPr>
          <w:szCs w:val="26"/>
        </w:rPr>
        <w:t xml:space="preserve">, and </w:t>
      </w:r>
      <w:r w:rsidRPr="00D81D5A">
        <w:rPr>
          <w:i/>
          <w:szCs w:val="26"/>
        </w:rPr>
        <w:t>Betts</w:t>
      </w:r>
      <w:r w:rsidRPr="00D81D5A">
        <w:rPr>
          <w:szCs w:val="26"/>
        </w:rPr>
        <w:t xml:space="preserve"> without changing their substance.  (E.g., </w:t>
      </w:r>
      <w:r w:rsidRPr="00D81D5A">
        <w:rPr>
          <w:i/>
          <w:szCs w:val="26"/>
        </w:rPr>
        <w:t xml:space="preserve">City of Huntington Beach v. Board of Administration </w:t>
      </w:r>
      <w:r w:rsidRPr="00D81D5A">
        <w:rPr>
          <w:szCs w:val="26"/>
        </w:rPr>
        <w:t>(1992) 4</w:t>
      </w:r>
      <w:r w:rsidR="00F66BBA" w:rsidRPr="00D81D5A">
        <w:rPr>
          <w:szCs w:val="26"/>
        </w:rPr>
        <w:t> </w:t>
      </w:r>
      <w:r w:rsidRPr="00D81D5A">
        <w:rPr>
          <w:szCs w:val="26"/>
        </w:rPr>
        <w:t xml:space="preserve">Cal.4th 462, </w:t>
      </w:r>
      <w:r w:rsidR="00081DDD">
        <w:rPr>
          <w:szCs w:val="26"/>
        </w:rPr>
        <w:t>471</w:t>
      </w:r>
      <w:r w:rsidR="00427AF8">
        <w:rPr>
          <w:szCs w:val="26"/>
        </w:rPr>
        <w:t>–</w:t>
      </w:r>
      <w:r w:rsidRPr="00D81D5A">
        <w:rPr>
          <w:szCs w:val="26"/>
        </w:rPr>
        <w:t>472 (</w:t>
      </w:r>
      <w:r w:rsidRPr="00D81D5A">
        <w:rPr>
          <w:i/>
          <w:szCs w:val="26"/>
        </w:rPr>
        <w:t>Huntington Beach</w:t>
      </w:r>
      <w:r w:rsidRPr="00D81D5A">
        <w:rPr>
          <w:szCs w:val="26"/>
        </w:rPr>
        <w:t xml:space="preserve">); </w:t>
      </w:r>
      <w:bookmarkStart w:id="39" w:name="_Hlk24883155"/>
      <w:r w:rsidRPr="00D81D5A">
        <w:rPr>
          <w:i/>
          <w:szCs w:val="26"/>
        </w:rPr>
        <w:t>Eu</w:t>
      </w:r>
      <w:r w:rsidRPr="00D81D5A">
        <w:rPr>
          <w:szCs w:val="26"/>
        </w:rPr>
        <w:t xml:space="preserve">, </w:t>
      </w:r>
      <w:r w:rsidRPr="00D81D5A">
        <w:rPr>
          <w:i/>
          <w:szCs w:val="26"/>
        </w:rPr>
        <w:t>supra</w:t>
      </w:r>
      <w:r w:rsidRPr="00D81D5A">
        <w:rPr>
          <w:szCs w:val="26"/>
        </w:rPr>
        <w:t>, 54</w:t>
      </w:r>
      <w:r w:rsidR="00E33818">
        <w:rPr>
          <w:szCs w:val="26"/>
        </w:rPr>
        <w:t> </w:t>
      </w:r>
      <w:r w:rsidRPr="00D81D5A">
        <w:rPr>
          <w:szCs w:val="26"/>
        </w:rPr>
        <w:t>Cal.3d</w:t>
      </w:r>
      <w:r w:rsidR="00081DDD">
        <w:rPr>
          <w:szCs w:val="26"/>
        </w:rPr>
        <w:t xml:space="preserve"> at p. 52</w:t>
      </w:r>
      <w:r w:rsidRPr="00D81D5A">
        <w:rPr>
          <w:szCs w:val="26"/>
        </w:rPr>
        <w:t xml:space="preserve">9; </w:t>
      </w:r>
      <w:bookmarkEnd w:id="39"/>
      <w:r w:rsidRPr="00D81D5A">
        <w:rPr>
          <w:i/>
        </w:rPr>
        <w:t xml:space="preserve">Allen v. Board of Administration </w:t>
      </w:r>
      <w:r w:rsidRPr="00D81D5A">
        <w:t>(1983) 34</w:t>
      </w:r>
      <w:r w:rsidR="00E33818">
        <w:t> </w:t>
      </w:r>
      <w:r w:rsidRPr="00D81D5A">
        <w:t>Cal.3d 114 (</w:t>
      </w:r>
      <w:r w:rsidRPr="00D81D5A">
        <w:rPr>
          <w:i/>
        </w:rPr>
        <w:t>Allen II</w:t>
      </w:r>
      <w:r w:rsidRPr="00D81D5A">
        <w:t>)</w:t>
      </w:r>
      <w:r w:rsidRPr="00D81D5A">
        <w:rPr>
          <w:szCs w:val="26"/>
        </w:rPr>
        <w:t xml:space="preserve">.)  Our last decision to touch on these issues, issued over 25 years ago, continued to cite the test established in </w:t>
      </w:r>
      <w:r w:rsidRPr="00D81D5A">
        <w:rPr>
          <w:i/>
          <w:szCs w:val="26"/>
        </w:rPr>
        <w:t>Allen I</w:t>
      </w:r>
      <w:r w:rsidRPr="00D81D5A">
        <w:rPr>
          <w:szCs w:val="26"/>
        </w:rPr>
        <w:t>.  (</w:t>
      </w:r>
      <w:r w:rsidRPr="00D81D5A">
        <w:rPr>
          <w:i/>
          <w:szCs w:val="26"/>
        </w:rPr>
        <w:t>Huntington Beach</w:t>
      </w:r>
      <w:r w:rsidRPr="00D81D5A">
        <w:rPr>
          <w:szCs w:val="26"/>
        </w:rPr>
        <w:t>, at p.</w:t>
      </w:r>
      <w:r w:rsidR="00F66BBA" w:rsidRPr="00D81D5A">
        <w:rPr>
          <w:szCs w:val="26"/>
        </w:rPr>
        <w:t> </w:t>
      </w:r>
      <w:r w:rsidRPr="00D81D5A">
        <w:rPr>
          <w:szCs w:val="26"/>
        </w:rPr>
        <w:t>472.)</w:t>
      </w:r>
    </w:p>
    <w:p w14:paraId="6113332F" w14:textId="3F0C1BBF" w:rsidR="009F594A" w:rsidRPr="00D81D5A" w:rsidRDefault="009F594A" w:rsidP="00D81D5A">
      <w:pPr>
        <w:pStyle w:val="FootnoteText"/>
        <w:spacing w:line="400" w:lineRule="exact"/>
        <w:ind w:firstLine="720"/>
        <w:rPr>
          <w:szCs w:val="26"/>
        </w:rPr>
      </w:pPr>
      <w:r w:rsidRPr="00D81D5A">
        <w:rPr>
          <w:szCs w:val="26"/>
        </w:rPr>
        <w:t xml:space="preserve">Although it did not otherwise augment our contract clause jurisprudence, </w:t>
      </w:r>
      <w:r w:rsidRPr="00D81D5A">
        <w:rPr>
          <w:i/>
          <w:szCs w:val="26"/>
        </w:rPr>
        <w:t>Allen II</w:t>
      </w:r>
      <w:r w:rsidRPr="00D81D5A">
        <w:rPr>
          <w:szCs w:val="26"/>
        </w:rPr>
        <w:t xml:space="preserve"> has caused some confusion.  When summarizing the test applied to pension plan modifications under the contract clause, the decision stated that when such a change results in disadvantages to employees, it “must” be accompanied by comparable new advantages.  (</w:t>
      </w:r>
      <w:r w:rsidR="00B825BE">
        <w:rPr>
          <w:i/>
          <w:szCs w:val="26"/>
        </w:rPr>
        <w:t>Allen II</w:t>
      </w:r>
      <w:r w:rsidR="00081DDD">
        <w:rPr>
          <w:iCs/>
          <w:szCs w:val="26"/>
        </w:rPr>
        <w:t>,</w:t>
      </w:r>
      <w:r w:rsidRPr="00D81D5A">
        <w:rPr>
          <w:szCs w:val="26"/>
        </w:rPr>
        <w:t xml:space="preserve"> </w:t>
      </w:r>
      <w:r w:rsidRPr="00D81D5A">
        <w:rPr>
          <w:i/>
          <w:szCs w:val="26"/>
        </w:rPr>
        <w:t>supra</w:t>
      </w:r>
      <w:r w:rsidRPr="00D81D5A">
        <w:rPr>
          <w:szCs w:val="26"/>
        </w:rPr>
        <w:t>, 34 Cal.3d at p.</w:t>
      </w:r>
      <w:r w:rsidR="00F66BBA" w:rsidRPr="00D81D5A">
        <w:rPr>
          <w:szCs w:val="26"/>
        </w:rPr>
        <w:t> </w:t>
      </w:r>
      <w:r w:rsidRPr="00D81D5A">
        <w:rPr>
          <w:szCs w:val="26"/>
        </w:rPr>
        <w:t xml:space="preserve">120.)  This </w:t>
      </w:r>
      <w:r w:rsidR="00AC09C4">
        <w:rPr>
          <w:szCs w:val="26"/>
        </w:rPr>
        <w:t>differed from the formulation in</w:t>
      </w:r>
      <w:r w:rsidRPr="00D81D5A">
        <w:rPr>
          <w:szCs w:val="26"/>
        </w:rPr>
        <w:t xml:space="preserve"> </w:t>
      </w:r>
      <w:r w:rsidRPr="00D81D5A">
        <w:rPr>
          <w:i/>
          <w:szCs w:val="26"/>
        </w:rPr>
        <w:t>Allen I</w:t>
      </w:r>
      <w:r w:rsidRPr="00D81D5A">
        <w:rPr>
          <w:szCs w:val="26"/>
        </w:rPr>
        <w:t>, which held that disadvantages “should” be accompanied by new advantages.  (</w:t>
      </w:r>
      <w:r w:rsidR="00B825BE">
        <w:rPr>
          <w:i/>
          <w:szCs w:val="26"/>
        </w:rPr>
        <w:t>Allen I</w:t>
      </w:r>
      <w:r w:rsidRPr="00D81D5A">
        <w:rPr>
          <w:szCs w:val="26"/>
        </w:rPr>
        <w:t xml:space="preserve">, </w:t>
      </w:r>
      <w:r w:rsidRPr="00D81D5A">
        <w:rPr>
          <w:i/>
          <w:szCs w:val="26"/>
        </w:rPr>
        <w:t>supra</w:t>
      </w:r>
      <w:r w:rsidRPr="00D81D5A">
        <w:rPr>
          <w:szCs w:val="26"/>
        </w:rPr>
        <w:t>, 45</w:t>
      </w:r>
      <w:r w:rsidR="00E33818">
        <w:rPr>
          <w:szCs w:val="26"/>
        </w:rPr>
        <w:t> </w:t>
      </w:r>
      <w:r w:rsidRPr="00D81D5A">
        <w:rPr>
          <w:szCs w:val="26"/>
        </w:rPr>
        <w:t>Cal.2d at p.</w:t>
      </w:r>
      <w:r w:rsidR="00F66BBA" w:rsidRPr="00D81D5A">
        <w:rPr>
          <w:szCs w:val="26"/>
        </w:rPr>
        <w:t> </w:t>
      </w:r>
      <w:r w:rsidRPr="00D81D5A">
        <w:rPr>
          <w:szCs w:val="26"/>
        </w:rPr>
        <w:t xml:space="preserve">131.)  Based on this inconsistency, </w:t>
      </w:r>
      <w:r w:rsidR="0054764D" w:rsidRPr="00D81D5A">
        <w:rPr>
          <w:szCs w:val="26"/>
        </w:rPr>
        <w:t>the Court of Appeal in the decision under review</w:t>
      </w:r>
      <w:r w:rsidRPr="00D81D5A">
        <w:rPr>
          <w:i/>
          <w:szCs w:val="26"/>
        </w:rPr>
        <w:t xml:space="preserve"> </w:t>
      </w:r>
      <w:r w:rsidRPr="00D81D5A">
        <w:rPr>
          <w:szCs w:val="26"/>
        </w:rPr>
        <w:t>concluded that “</w:t>
      </w:r>
      <w:r w:rsidRPr="00D81D5A">
        <w:rPr>
          <w:rStyle w:val="ssrfcpassagedeactivated"/>
          <w:szCs w:val="26"/>
        </w:rPr>
        <w:t xml:space="preserve">the Supreme Court changed the formulation of its reasonableness test” in </w:t>
      </w:r>
      <w:r w:rsidRPr="00D81D5A">
        <w:rPr>
          <w:rStyle w:val="ssrfcpassagedeactivated"/>
          <w:i/>
          <w:szCs w:val="26"/>
        </w:rPr>
        <w:t>Allen II</w:t>
      </w:r>
      <w:r w:rsidRPr="00D81D5A">
        <w:rPr>
          <w:rStyle w:val="ssrfcpassagedeactivated"/>
          <w:szCs w:val="26"/>
        </w:rPr>
        <w:t xml:space="preserve">.  </w:t>
      </w:r>
      <w:r w:rsidRPr="00D81D5A">
        <w:rPr>
          <w:szCs w:val="26"/>
        </w:rPr>
        <w:t>(</w:t>
      </w:r>
      <w:r w:rsidRPr="00D81D5A">
        <w:rPr>
          <w:i/>
          <w:szCs w:val="26"/>
        </w:rPr>
        <w:t>Alameda Sheriffs</w:t>
      </w:r>
      <w:r w:rsidRPr="00D81D5A">
        <w:rPr>
          <w:szCs w:val="26"/>
        </w:rPr>
        <w:t>,</w:t>
      </w:r>
      <w:r w:rsidRPr="00D81D5A">
        <w:rPr>
          <w:i/>
          <w:szCs w:val="26"/>
        </w:rPr>
        <w:t xml:space="preserve"> supra</w:t>
      </w:r>
      <w:r w:rsidRPr="00D81D5A">
        <w:rPr>
          <w:szCs w:val="26"/>
        </w:rPr>
        <w:t>, 19 Cal.App.5th at p.</w:t>
      </w:r>
      <w:r w:rsidR="00F66BBA" w:rsidRPr="00D81D5A">
        <w:rPr>
          <w:szCs w:val="26"/>
        </w:rPr>
        <w:t> </w:t>
      </w:r>
      <w:r w:rsidRPr="00D81D5A">
        <w:rPr>
          <w:szCs w:val="26"/>
        </w:rPr>
        <w:t xml:space="preserve">120.)  </w:t>
      </w:r>
      <w:r w:rsidR="00DB649C" w:rsidRPr="00D81D5A">
        <w:rPr>
          <w:szCs w:val="26"/>
        </w:rPr>
        <w:t xml:space="preserve">Although the court’s conclusion is understandable, we conclude that </w:t>
      </w:r>
      <w:r w:rsidR="00DB649C" w:rsidRPr="00D81D5A">
        <w:rPr>
          <w:i/>
          <w:iCs/>
          <w:szCs w:val="26"/>
        </w:rPr>
        <w:t xml:space="preserve">Allen II </w:t>
      </w:r>
      <w:r w:rsidR="00DB649C" w:rsidRPr="00D81D5A">
        <w:rPr>
          <w:szCs w:val="26"/>
        </w:rPr>
        <w:t xml:space="preserve">did not modify the rule of </w:t>
      </w:r>
      <w:r w:rsidR="00DB649C" w:rsidRPr="00D81D5A">
        <w:rPr>
          <w:i/>
          <w:iCs/>
          <w:szCs w:val="26"/>
        </w:rPr>
        <w:t>Allen I</w:t>
      </w:r>
      <w:r w:rsidRPr="00D81D5A">
        <w:rPr>
          <w:szCs w:val="26"/>
        </w:rPr>
        <w:t xml:space="preserve">.  </w:t>
      </w:r>
      <w:r w:rsidRPr="00D81D5A">
        <w:rPr>
          <w:rStyle w:val="ssrfcpassagedeactivated"/>
          <w:szCs w:val="26"/>
        </w:rPr>
        <w:t xml:space="preserve">Other than </w:t>
      </w:r>
      <w:r w:rsidR="00BA39F6" w:rsidRPr="00D81D5A">
        <w:rPr>
          <w:rStyle w:val="ssrfcpassagedeactivated"/>
          <w:szCs w:val="26"/>
        </w:rPr>
        <w:t>its</w:t>
      </w:r>
      <w:r w:rsidRPr="00D81D5A">
        <w:rPr>
          <w:rStyle w:val="ssrfcpassagedeactivated"/>
          <w:szCs w:val="26"/>
        </w:rPr>
        <w:t xml:space="preserve"> isolated use of the word “must,” there is no </w:t>
      </w:r>
      <w:r w:rsidR="00182F76" w:rsidRPr="00D81D5A">
        <w:rPr>
          <w:rStyle w:val="ssrfcpassagedeactivated"/>
          <w:szCs w:val="26"/>
        </w:rPr>
        <w:t>reason to believe</w:t>
      </w:r>
      <w:r w:rsidRPr="00D81D5A">
        <w:rPr>
          <w:rStyle w:val="ssrfcpassagedeactivated"/>
          <w:szCs w:val="26"/>
        </w:rPr>
        <w:t xml:space="preserve"> that </w:t>
      </w:r>
      <w:r w:rsidRPr="00D81D5A">
        <w:rPr>
          <w:rStyle w:val="ssrfcpassagedeactivated"/>
          <w:i/>
          <w:szCs w:val="26"/>
        </w:rPr>
        <w:t xml:space="preserve">Allen II </w:t>
      </w:r>
      <w:r w:rsidRPr="00D81D5A">
        <w:rPr>
          <w:rStyle w:val="ssrfcpassagedeactivated"/>
          <w:szCs w:val="26"/>
        </w:rPr>
        <w:t xml:space="preserve">intended </w:t>
      </w:r>
      <w:r w:rsidR="00DB649C" w:rsidRPr="00D81D5A">
        <w:rPr>
          <w:rStyle w:val="ssrfcpassagedeactivated"/>
          <w:szCs w:val="26"/>
        </w:rPr>
        <w:t>a modification</w:t>
      </w:r>
      <w:r w:rsidRPr="00D81D5A">
        <w:rPr>
          <w:szCs w:val="26"/>
        </w:rPr>
        <w:t xml:space="preserve">.  The two Supreme Court cases </w:t>
      </w:r>
      <w:r w:rsidRPr="00D81D5A">
        <w:rPr>
          <w:i/>
          <w:szCs w:val="26"/>
        </w:rPr>
        <w:t xml:space="preserve">Allen II </w:t>
      </w:r>
      <w:r w:rsidRPr="00D81D5A">
        <w:rPr>
          <w:szCs w:val="26"/>
        </w:rPr>
        <w:t xml:space="preserve">cited as its source for the test, </w:t>
      </w:r>
      <w:r w:rsidRPr="00D81D5A">
        <w:rPr>
          <w:i/>
          <w:szCs w:val="26"/>
        </w:rPr>
        <w:t>Allen I</w:t>
      </w:r>
      <w:r w:rsidRPr="00D81D5A">
        <w:rPr>
          <w:szCs w:val="26"/>
        </w:rPr>
        <w:t xml:space="preserve"> and </w:t>
      </w:r>
      <w:r w:rsidRPr="00D81D5A">
        <w:rPr>
          <w:i/>
          <w:szCs w:val="26"/>
        </w:rPr>
        <w:t>Abbott</w:t>
      </w:r>
      <w:r w:rsidRPr="00D81D5A">
        <w:rPr>
          <w:szCs w:val="26"/>
        </w:rPr>
        <w:t xml:space="preserve">, both use the word “should.”  </w:t>
      </w:r>
      <w:r w:rsidRPr="00D81D5A">
        <w:rPr>
          <w:i/>
          <w:szCs w:val="26"/>
        </w:rPr>
        <w:t>Allen II</w:t>
      </w:r>
      <w:r w:rsidRPr="00D81D5A">
        <w:rPr>
          <w:szCs w:val="26"/>
        </w:rPr>
        <w:t xml:space="preserve"> did not </w:t>
      </w:r>
      <w:r w:rsidR="0054764D" w:rsidRPr="00D81D5A">
        <w:rPr>
          <w:szCs w:val="26"/>
        </w:rPr>
        <w:t>indicate</w:t>
      </w:r>
      <w:r w:rsidRPr="00D81D5A">
        <w:rPr>
          <w:szCs w:val="26"/>
        </w:rPr>
        <w:t xml:space="preserve"> an intent to change the governing standard, let alone attempt to justify it, as would ordinarily occur if we intended to effect a material change in the law</w:t>
      </w:r>
      <w:r w:rsidR="00092CDF" w:rsidRPr="00D81D5A">
        <w:rPr>
          <w:szCs w:val="26"/>
        </w:rPr>
        <w:t>, and t</w:t>
      </w:r>
      <w:r w:rsidR="00D45067" w:rsidRPr="00D81D5A">
        <w:rPr>
          <w:szCs w:val="26"/>
        </w:rPr>
        <w:t>he distinction between “must” and “should” played no role in the resolution</w:t>
      </w:r>
      <w:r w:rsidR="00182F76" w:rsidRPr="00D81D5A">
        <w:rPr>
          <w:szCs w:val="26"/>
        </w:rPr>
        <w:t xml:space="preserve"> of </w:t>
      </w:r>
      <w:r w:rsidR="00182F76" w:rsidRPr="00D81D5A">
        <w:rPr>
          <w:i/>
          <w:iCs/>
          <w:szCs w:val="26"/>
        </w:rPr>
        <w:t>Allen II</w:t>
      </w:r>
      <w:r w:rsidR="00D45067" w:rsidRPr="00D81D5A">
        <w:rPr>
          <w:szCs w:val="26"/>
        </w:rPr>
        <w:t xml:space="preserve">.  </w:t>
      </w:r>
      <w:r w:rsidR="0054764D" w:rsidRPr="00D81D5A">
        <w:rPr>
          <w:szCs w:val="26"/>
        </w:rPr>
        <w:t xml:space="preserve">Further, </w:t>
      </w:r>
      <w:r w:rsidRPr="00D81D5A">
        <w:rPr>
          <w:szCs w:val="26"/>
        </w:rPr>
        <w:t xml:space="preserve">our subsequent decisions have never recognized a change in the test.  All of our later decisions mentioning this standard use the word “should,” including a decision issued </w:t>
      </w:r>
      <w:r w:rsidR="00163E9C" w:rsidRPr="00D81D5A">
        <w:rPr>
          <w:szCs w:val="26"/>
        </w:rPr>
        <w:t>only</w:t>
      </w:r>
      <w:r w:rsidRPr="00D81D5A">
        <w:rPr>
          <w:szCs w:val="26"/>
        </w:rPr>
        <w:t xml:space="preserve"> one month after </w:t>
      </w:r>
      <w:r w:rsidRPr="00D81D5A">
        <w:rPr>
          <w:i/>
          <w:szCs w:val="26"/>
        </w:rPr>
        <w:t>Allen II</w:t>
      </w:r>
      <w:r w:rsidRPr="00D81D5A">
        <w:rPr>
          <w:szCs w:val="26"/>
        </w:rPr>
        <w:t xml:space="preserve"> and authored by the same justice.  (</w:t>
      </w:r>
      <w:r w:rsidRPr="00D81D5A">
        <w:rPr>
          <w:i/>
          <w:szCs w:val="26"/>
        </w:rPr>
        <w:t>Firefighters</w:t>
      </w:r>
      <w:r w:rsidRPr="00D81D5A">
        <w:rPr>
          <w:szCs w:val="26"/>
        </w:rPr>
        <w:t xml:space="preserve">, </w:t>
      </w:r>
      <w:r w:rsidRPr="00D81D5A">
        <w:rPr>
          <w:i/>
          <w:szCs w:val="26"/>
        </w:rPr>
        <w:t>supra</w:t>
      </w:r>
      <w:r w:rsidRPr="00D81D5A">
        <w:rPr>
          <w:szCs w:val="26"/>
        </w:rPr>
        <w:t>, 34 Cal.3d at p.</w:t>
      </w:r>
      <w:r w:rsidR="00F66BBA" w:rsidRPr="00D81D5A">
        <w:rPr>
          <w:szCs w:val="26"/>
        </w:rPr>
        <w:t> </w:t>
      </w:r>
      <w:r w:rsidRPr="00D81D5A">
        <w:rPr>
          <w:szCs w:val="26"/>
        </w:rPr>
        <w:t xml:space="preserve">301; see also </w:t>
      </w:r>
      <w:r w:rsidRPr="00D81D5A">
        <w:rPr>
          <w:i/>
          <w:szCs w:val="26"/>
        </w:rPr>
        <w:t>Huntington Beach</w:t>
      </w:r>
      <w:r w:rsidRPr="00D81D5A">
        <w:rPr>
          <w:szCs w:val="26"/>
        </w:rPr>
        <w:t xml:space="preserve">, </w:t>
      </w:r>
      <w:r w:rsidRPr="00D81D5A">
        <w:rPr>
          <w:i/>
          <w:szCs w:val="26"/>
        </w:rPr>
        <w:t>supra</w:t>
      </w:r>
      <w:r w:rsidRPr="00D81D5A">
        <w:rPr>
          <w:szCs w:val="26"/>
        </w:rPr>
        <w:t>, 4 Cal.4th at p.</w:t>
      </w:r>
      <w:r w:rsidR="009D1B95">
        <w:rPr>
          <w:szCs w:val="26"/>
        </w:rPr>
        <w:t> </w:t>
      </w:r>
      <w:r w:rsidRPr="00D81D5A">
        <w:rPr>
          <w:szCs w:val="26"/>
        </w:rPr>
        <w:t xml:space="preserve">472; </w:t>
      </w:r>
      <w:r w:rsidRPr="00D81D5A">
        <w:rPr>
          <w:i/>
          <w:szCs w:val="26"/>
        </w:rPr>
        <w:t>Eu</w:t>
      </w:r>
      <w:r w:rsidRPr="00D81D5A">
        <w:rPr>
          <w:szCs w:val="26"/>
        </w:rPr>
        <w:t xml:space="preserve">, </w:t>
      </w:r>
      <w:r w:rsidRPr="00D81D5A">
        <w:rPr>
          <w:i/>
          <w:szCs w:val="26"/>
        </w:rPr>
        <w:t>supra</w:t>
      </w:r>
      <w:r w:rsidRPr="00D81D5A">
        <w:rPr>
          <w:szCs w:val="26"/>
        </w:rPr>
        <w:t>,</w:t>
      </w:r>
      <w:r w:rsidRPr="00D81D5A">
        <w:rPr>
          <w:i/>
          <w:szCs w:val="26"/>
        </w:rPr>
        <w:t xml:space="preserve"> </w:t>
      </w:r>
      <w:r w:rsidRPr="00D81D5A">
        <w:rPr>
          <w:szCs w:val="26"/>
        </w:rPr>
        <w:t>54 Cal.3d at p</w:t>
      </w:r>
      <w:r w:rsidR="00081DDD">
        <w:rPr>
          <w:szCs w:val="26"/>
        </w:rPr>
        <w:t>p</w:t>
      </w:r>
      <w:r w:rsidRPr="00D81D5A">
        <w:rPr>
          <w:szCs w:val="26"/>
        </w:rPr>
        <w:t xml:space="preserve">. </w:t>
      </w:r>
      <w:r w:rsidR="00081DDD">
        <w:rPr>
          <w:szCs w:val="26"/>
        </w:rPr>
        <w:t>529</w:t>
      </w:r>
      <w:r w:rsidR="00427AF8">
        <w:rPr>
          <w:szCs w:val="26"/>
        </w:rPr>
        <w:t>–</w:t>
      </w:r>
      <w:r w:rsidRPr="00D81D5A">
        <w:rPr>
          <w:szCs w:val="26"/>
        </w:rPr>
        <w:t xml:space="preserve">530.)  </w:t>
      </w:r>
      <w:r w:rsidR="0054764D" w:rsidRPr="00D81D5A">
        <w:rPr>
          <w:szCs w:val="26"/>
        </w:rPr>
        <w:t>A different division of the</w:t>
      </w:r>
      <w:r w:rsidR="005E1578" w:rsidRPr="00D81D5A">
        <w:rPr>
          <w:szCs w:val="26"/>
        </w:rPr>
        <w:t xml:space="preserve"> First District</w:t>
      </w:r>
      <w:r w:rsidR="0054764D" w:rsidRPr="00D81D5A">
        <w:rPr>
          <w:szCs w:val="26"/>
        </w:rPr>
        <w:t xml:space="preserve"> Court of Appeal </w:t>
      </w:r>
      <w:r w:rsidRPr="00D81D5A">
        <w:t>examined the same question</w:t>
      </w:r>
      <w:r w:rsidR="0054764D" w:rsidRPr="00D81D5A">
        <w:t xml:space="preserve"> in</w:t>
      </w:r>
      <w:r w:rsidRPr="00D81D5A">
        <w:t xml:space="preserve"> </w:t>
      </w:r>
      <w:r w:rsidR="0054764D" w:rsidRPr="00D81D5A">
        <w:rPr>
          <w:i/>
        </w:rPr>
        <w:t>Marin County</w:t>
      </w:r>
      <w:r w:rsidR="0054764D" w:rsidRPr="00D81D5A">
        <w:t xml:space="preserve"> </w:t>
      </w:r>
      <w:r w:rsidRPr="00D81D5A">
        <w:t>and</w:t>
      </w:r>
      <w:r w:rsidR="009E352A" w:rsidRPr="00D81D5A">
        <w:t>, after a careful analysis,</w:t>
      </w:r>
      <w:r w:rsidRPr="00D81D5A">
        <w:t xml:space="preserve"> concluded</w:t>
      </w:r>
      <w:r w:rsidR="0054764D" w:rsidRPr="00D81D5A">
        <w:t xml:space="preserve"> that </w:t>
      </w:r>
      <w:r w:rsidRPr="00D81D5A">
        <w:rPr>
          <w:rStyle w:val="ssrfcpassagedeactivated"/>
          <w:szCs w:val="26"/>
        </w:rPr>
        <w:t>“</w:t>
      </w:r>
      <w:r w:rsidR="0054764D" w:rsidRPr="00D81D5A">
        <w:rPr>
          <w:rStyle w:val="ssrfcpassagedeactivated"/>
          <w:szCs w:val="26"/>
        </w:rPr>
        <w:t> </w:t>
      </w:r>
      <w:r w:rsidRPr="00D81D5A">
        <w:rPr>
          <w:rStyle w:val="ssrfcpassagedeactivated"/>
          <w:szCs w:val="26"/>
        </w:rPr>
        <w:t>‘</w:t>
      </w:r>
      <w:r w:rsidR="0054764D" w:rsidRPr="00D81D5A">
        <w:rPr>
          <w:rStyle w:val="ssrfcpassagedeactivated"/>
          <w:szCs w:val="26"/>
        </w:rPr>
        <w:t>[s]</w:t>
      </w:r>
      <w:proofErr w:type="spellStart"/>
      <w:r w:rsidRPr="00D81D5A">
        <w:rPr>
          <w:rStyle w:val="ssrfcpassagedeactivated"/>
          <w:szCs w:val="26"/>
        </w:rPr>
        <w:t>hould</w:t>
      </w:r>
      <w:proofErr w:type="spellEnd"/>
      <w:r w:rsidRPr="00D81D5A">
        <w:rPr>
          <w:rStyle w:val="ssrfcpassagedeactivated"/>
          <w:szCs w:val="26"/>
        </w:rPr>
        <w:t xml:space="preserve">,’ not ‘must,’ remains the court’s preferred expression.” </w:t>
      </w:r>
      <w:r w:rsidRPr="00D81D5A">
        <w:t xml:space="preserve"> (</w:t>
      </w:r>
      <w:r w:rsidR="00B825BE">
        <w:rPr>
          <w:i/>
        </w:rPr>
        <w:t>Marin County</w:t>
      </w:r>
      <w:r w:rsidRPr="00D81D5A">
        <w:t xml:space="preserve">, </w:t>
      </w:r>
      <w:r w:rsidRPr="00D81D5A">
        <w:rPr>
          <w:i/>
        </w:rPr>
        <w:t>supra</w:t>
      </w:r>
      <w:r w:rsidRPr="00D81D5A">
        <w:t>, 2</w:t>
      </w:r>
      <w:r w:rsidR="00F66BBA" w:rsidRPr="00D81D5A">
        <w:t> </w:t>
      </w:r>
      <w:r w:rsidRPr="00D81D5A">
        <w:t>Cal.App.5th at p. 699</w:t>
      </w:r>
      <w:r w:rsidR="00B825BE">
        <w:t>, review granted</w:t>
      </w:r>
      <w:r w:rsidRPr="00D81D5A">
        <w:t xml:space="preserve">; see similarly, </w:t>
      </w:r>
      <w:proofErr w:type="spellStart"/>
      <w:r w:rsidRPr="00D81D5A">
        <w:rPr>
          <w:i/>
        </w:rPr>
        <w:t>Hipsher</w:t>
      </w:r>
      <w:proofErr w:type="spellEnd"/>
      <w:r w:rsidRPr="00D81D5A">
        <w:rPr>
          <w:i/>
        </w:rPr>
        <w:t xml:space="preserve"> v. Los Angeles County Employees Retirement Assn </w:t>
      </w:r>
      <w:r w:rsidRPr="00D81D5A">
        <w:t>(2018) 24 Cal.App.5th 740, 753, review granted Sept.</w:t>
      </w:r>
      <w:r w:rsidR="00C110DF">
        <w:t> </w:t>
      </w:r>
      <w:r w:rsidRPr="00D81D5A">
        <w:t xml:space="preserve">12, 2018, S250244 [use of “must” in </w:t>
      </w:r>
      <w:r w:rsidRPr="00D81D5A">
        <w:rPr>
          <w:i/>
        </w:rPr>
        <w:t xml:space="preserve">Allen II </w:t>
      </w:r>
      <w:r w:rsidRPr="00D81D5A">
        <w:t>not to be taken literally].)</w:t>
      </w:r>
      <w:r w:rsidRPr="00D81D5A">
        <w:rPr>
          <w:szCs w:val="26"/>
        </w:rPr>
        <w:t xml:space="preserve">  </w:t>
      </w:r>
      <w:bookmarkStart w:id="40" w:name="_Hlk24104813"/>
      <w:r w:rsidR="00182F76" w:rsidRPr="00D81D5A">
        <w:rPr>
          <w:szCs w:val="26"/>
        </w:rPr>
        <w:t>T</w:t>
      </w:r>
      <w:r w:rsidRPr="00D81D5A">
        <w:rPr>
          <w:rStyle w:val="ssrfcpassagedeactivated"/>
          <w:szCs w:val="26"/>
        </w:rPr>
        <w:t xml:space="preserve">he one-time use of “must” in </w:t>
      </w:r>
      <w:r w:rsidRPr="00D81D5A">
        <w:rPr>
          <w:rStyle w:val="ssrfcpassagedeactivated"/>
          <w:i/>
          <w:szCs w:val="26"/>
        </w:rPr>
        <w:t xml:space="preserve">Allen II </w:t>
      </w:r>
      <w:r w:rsidR="00182F76" w:rsidRPr="00D81D5A">
        <w:rPr>
          <w:rStyle w:val="ssrfcpassagedeactivated"/>
          <w:iCs/>
          <w:szCs w:val="26"/>
        </w:rPr>
        <w:t xml:space="preserve">appears to have been </w:t>
      </w:r>
      <w:r w:rsidRPr="00D81D5A">
        <w:rPr>
          <w:rStyle w:val="ssrfcpassagedeactivated"/>
          <w:szCs w:val="26"/>
        </w:rPr>
        <w:t>inadvertent</w:t>
      </w:r>
      <w:r w:rsidR="00182F76" w:rsidRPr="00D81D5A">
        <w:rPr>
          <w:rStyle w:val="ssrfcpassagedeactivated"/>
          <w:szCs w:val="26"/>
        </w:rPr>
        <w:t>,</w:t>
      </w:r>
      <w:r w:rsidRPr="00D81D5A">
        <w:rPr>
          <w:rStyle w:val="ssrfcpassagedeactivated"/>
          <w:szCs w:val="26"/>
        </w:rPr>
        <w:t xml:space="preserve"> </w:t>
      </w:r>
      <w:r w:rsidRPr="00D81D5A">
        <w:rPr>
          <w:szCs w:val="26"/>
        </w:rPr>
        <w:t>and</w:t>
      </w:r>
      <w:r w:rsidR="00182F76" w:rsidRPr="00D81D5A">
        <w:rPr>
          <w:szCs w:val="26"/>
        </w:rPr>
        <w:t xml:space="preserve"> it</w:t>
      </w:r>
      <w:r w:rsidRPr="00D81D5A">
        <w:rPr>
          <w:szCs w:val="26"/>
        </w:rPr>
        <w:t xml:space="preserve"> </w:t>
      </w:r>
      <w:r w:rsidR="00EB284B" w:rsidRPr="00D81D5A">
        <w:rPr>
          <w:szCs w:val="26"/>
        </w:rPr>
        <w:t xml:space="preserve">should not be understood to </w:t>
      </w:r>
      <w:r w:rsidR="00A44340" w:rsidRPr="00D81D5A">
        <w:rPr>
          <w:szCs w:val="26"/>
        </w:rPr>
        <w:t xml:space="preserve">have </w:t>
      </w:r>
      <w:r w:rsidR="00EB284B" w:rsidRPr="00D81D5A">
        <w:rPr>
          <w:szCs w:val="26"/>
        </w:rPr>
        <w:t>change</w:t>
      </w:r>
      <w:r w:rsidR="00A44340" w:rsidRPr="00D81D5A">
        <w:rPr>
          <w:szCs w:val="26"/>
        </w:rPr>
        <w:t>d</w:t>
      </w:r>
      <w:r w:rsidR="00EB284B" w:rsidRPr="00D81D5A">
        <w:rPr>
          <w:szCs w:val="26"/>
        </w:rPr>
        <w:t xml:space="preserve"> the </w:t>
      </w:r>
      <w:r w:rsidR="00EB284B" w:rsidRPr="00D81D5A">
        <w:rPr>
          <w:i/>
          <w:szCs w:val="26"/>
        </w:rPr>
        <w:t xml:space="preserve">Allen I </w:t>
      </w:r>
      <w:r w:rsidR="00EB284B" w:rsidRPr="00D81D5A">
        <w:rPr>
          <w:szCs w:val="26"/>
        </w:rPr>
        <w:t>standard</w:t>
      </w:r>
      <w:r w:rsidRPr="00D81D5A">
        <w:rPr>
          <w:szCs w:val="26"/>
        </w:rPr>
        <w:t>.</w:t>
      </w:r>
    </w:p>
    <w:p w14:paraId="389F8F6E" w14:textId="77777777" w:rsidR="00925773" w:rsidRPr="00D81D5A" w:rsidRDefault="009F594A" w:rsidP="00D81D5A">
      <w:pPr>
        <w:pStyle w:val="Heading3"/>
      </w:pPr>
      <w:r w:rsidRPr="00D81D5A">
        <w:t xml:space="preserve">2.  PEPRA’s amendment of section 31461 </w:t>
      </w:r>
      <w:r w:rsidR="001D6B18" w:rsidRPr="00D81D5A">
        <w:t xml:space="preserve">constituted </w:t>
      </w:r>
      <w:r w:rsidRPr="00D81D5A">
        <w:t>a modification of CERL</w:t>
      </w:r>
    </w:p>
    <w:p w14:paraId="5C4E4461" w14:textId="34566438" w:rsidR="00925773" w:rsidRPr="004748FE" w:rsidRDefault="00925773" w:rsidP="00D81D5A">
      <w:pPr>
        <w:pStyle w:val="NormalIndent"/>
        <w:ind w:left="0" w:firstLine="720"/>
        <w:rPr>
          <w:iCs/>
          <w:szCs w:val="26"/>
        </w:rPr>
      </w:pPr>
      <w:r w:rsidRPr="00D81D5A">
        <w:t>As the Court of Appeal</w:t>
      </w:r>
      <w:r w:rsidRPr="00D81D5A">
        <w:rPr>
          <w:i/>
        </w:rPr>
        <w:t xml:space="preserve"> </w:t>
      </w:r>
      <w:r w:rsidRPr="00D81D5A">
        <w:t>recognized, a legislative action cannot be found to have impaired public employee pension rights unless the action constituted a modification of the pension system.  (</w:t>
      </w:r>
      <w:r w:rsidRPr="00D81D5A">
        <w:rPr>
          <w:i/>
        </w:rPr>
        <w:t>Alameda Sheriffs</w:t>
      </w:r>
      <w:r w:rsidRPr="00D81D5A">
        <w:t>,</w:t>
      </w:r>
      <w:r w:rsidRPr="00D81D5A">
        <w:rPr>
          <w:i/>
        </w:rPr>
        <w:t xml:space="preserve"> supra</w:t>
      </w:r>
      <w:r w:rsidRPr="00D81D5A">
        <w:t>, 19 Cal.App.5th at p.</w:t>
      </w:r>
      <w:r w:rsidR="00F66BBA" w:rsidRPr="00D81D5A">
        <w:t> </w:t>
      </w:r>
      <w:r w:rsidRPr="00D81D5A">
        <w:t>96 [</w:t>
      </w:r>
      <w:r w:rsidRPr="00D81D5A">
        <w:rPr>
          <w:szCs w:val="26"/>
        </w:rPr>
        <w:t xml:space="preserve">“whether the changes to section 31461 . . . unconstitutionally impair the vested </w:t>
      </w:r>
      <w:r w:rsidRPr="00D81D5A">
        <w:rPr>
          <w:rStyle w:val="sssh"/>
          <w:szCs w:val="26"/>
        </w:rPr>
        <w:t>pension</w:t>
      </w:r>
      <w:r w:rsidRPr="00D81D5A">
        <w:rPr>
          <w:szCs w:val="26"/>
        </w:rPr>
        <w:t xml:space="preserve"> rights . . . depends, at least as an initial matter, on whether those changes actually modified CERL”].)</w:t>
      </w:r>
      <w:r w:rsidRPr="00D81D5A">
        <w:rPr>
          <w:rFonts w:cs="Helvetica"/>
          <w:color w:val="373739"/>
          <w:szCs w:val="21"/>
        </w:rPr>
        <w:t xml:space="preserve"> </w:t>
      </w:r>
      <w:r w:rsidRPr="00D81D5A">
        <w:t xml:space="preserve"> Changes in the implementation of a pension plan that occur pursuant to its existing terms and conditions, for example, do not support a claim of impairment.  (</w:t>
      </w:r>
      <w:r w:rsidRPr="00D81D5A">
        <w:rPr>
          <w:i/>
          <w:szCs w:val="26"/>
        </w:rPr>
        <w:t>Firefighters</w:t>
      </w:r>
      <w:r w:rsidRPr="00D81D5A">
        <w:rPr>
          <w:szCs w:val="26"/>
        </w:rPr>
        <w:t xml:space="preserve">, </w:t>
      </w:r>
      <w:r w:rsidRPr="00D81D5A">
        <w:rPr>
          <w:i/>
          <w:szCs w:val="26"/>
        </w:rPr>
        <w:t>supra</w:t>
      </w:r>
      <w:r w:rsidRPr="00D81D5A">
        <w:rPr>
          <w:szCs w:val="26"/>
        </w:rPr>
        <w:t>, 34</w:t>
      </w:r>
      <w:r w:rsidR="00651217">
        <w:rPr>
          <w:szCs w:val="26"/>
        </w:rPr>
        <w:t> </w:t>
      </w:r>
      <w:r w:rsidRPr="00D81D5A">
        <w:rPr>
          <w:szCs w:val="26"/>
        </w:rPr>
        <w:t>Cal.3d at pp.</w:t>
      </w:r>
      <w:r w:rsidR="00F66BBA" w:rsidRPr="00D81D5A">
        <w:rPr>
          <w:szCs w:val="26"/>
        </w:rPr>
        <w:t> </w:t>
      </w:r>
      <w:r w:rsidRPr="00D81D5A">
        <w:rPr>
          <w:szCs w:val="26"/>
        </w:rPr>
        <w:t>301</w:t>
      </w:r>
      <w:r w:rsidR="00427AF8">
        <w:rPr>
          <w:szCs w:val="26"/>
        </w:rPr>
        <w:t>–</w:t>
      </w:r>
      <w:r w:rsidRPr="00D81D5A">
        <w:rPr>
          <w:szCs w:val="26"/>
        </w:rPr>
        <w:t xml:space="preserve">302 [increase in employee contribution rates pursuant to the provisions of a pension plan does not violate the contract clause].)  </w:t>
      </w:r>
      <w:r w:rsidR="001E345E" w:rsidRPr="00D81D5A">
        <w:rPr>
          <w:szCs w:val="26"/>
        </w:rPr>
        <w:t>A</w:t>
      </w:r>
      <w:r w:rsidRPr="00D81D5A">
        <w:rPr>
          <w:szCs w:val="26"/>
        </w:rPr>
        <w:t xml:space="preserve"> change in the language of a statute or ordinance governing a pension plan that does not change the manner in which it is implemented </w:t>
      </w:r>
      <w:r w:rsidR="001E345E" w:rsidRPr="00D81D5A">
        <w:rPr>
          <w:szCs w:val="26"/>
        </w:rPr>
        <w:t xml:space="preserve">similarly does </w:t>
      </w:r>
      <w:r w:rsidRPr="00D81D5A">
        <w:rPr>
          <w:szCs w:val="26"/>
        </w:rPr>
        <w:t xml:space="preserve">not support a claim of impairment.  </w:t>
      </w:r>
      <w:bookmarkStart w:id="41" w:name="_Hlk24277236"/>
      <w:r w:rsidRPr="00D81D5A">
        <w:rPr>
          <w:szCs w:val="26"/>
        </w:rPr>
        <w:t>(</w:t>
      </w:r>
      <w:r w:rsidRPr="00D81D5A">
        <w:rPr>
          <w:i/>
          <w:szCs w:val="26"/>
        </w:rPr>
        <w:t xml:space="preserve">Gatewood v. Board of Retirement </w:t>
      </w:r>
      <w:r w:rsidRPr="00D81D5A">
        <w:rPr>
          <w:szCs w:val="26"/>
        </w:rPr>
        <w:t>(1985) 175</w:t>
      </w:r>
      <w:r w:rsidR="00E33818">
        <w:rPr>
          <w:szCs w:val="26"/>
        </w:rPr>
        <w:t> </w:t>
      </w:r>
      <w:r w:rsidRPr="00D81D5A">
        <w:rPr>
          <w:szCs w:val="26"/>
        </w:rPr>
        <w:t xml:space="preserve">Cal.App.3d 311, 319 </w:t>
      </w:r>
      <w:r w:rsidR="008A20C7" w:rsidRPr="00D81D5A">
        <w:rPr>
          <w:szCs w:val="26"/>
        </w:rPr>
        <w:t>(</w:t>
      </w:r>
      <w:r w:rsidR="008A20C7" w:rsidRPr="00D81D5A">
        <w:rPr>
          <w:i/>
          <w:szCs w:val="26"/>
        </w:rPr>
        <w:t>Gatewood</w:t>
      </w:r>
      <w:r w:rsidR="008A20C7" w:rsidRPr="00D81D5A">
        <w:rPr>
          <w:szCs w:val="26"/>
        </w:rPr>
        <w:t>)</w:t>
      </w:r>
      <w:r w:rsidR="008A20C7" w:rsidRPr="00D81D5A">
        <w:rPr>
          <w:i/>
          <w:szCs w:val="26"/>
        </w:rPr>
        <w:t xml:space="preserve"> </w:t>
      </w:r>
      <w:r w:rsidRPr="00D81D5A">
        <w:rPr>
          <w:szCs w:val="26"/>
        </w:rPr>
        <w:t>[statutory amendment that was consistent with existing judicial interpretation did not give rise to contract clause claim].)</w:t>
      </w:r>
      <w:bookmarkEnd w:id="41"/>
      <w:r w:rsidR="0014704E" w:rsidRPr="00D81D5A">
        <w:rPr>
          <w:szCs w:val="26"/>
        </w:rPr>
        <w:t xml:space="preserve">  </w:t>
      </w:r>
      <w:r w:rsidRPr="00D81D5A">
        <w:rPr>
          <w:szCs w:val="26"/>
        </w:rPr>
        <w:t>Legislation amending unambiguous statutory language or effectively overruling a settled judicial interpretation of statutory language</w:t>
      </w:r>
      <w:r w:rsidR="0014704E" w:rsidRPr="00D81D5A">
        <w:rPr>
          <w:szCs w:val="26"/>
        </w:rPr>
        <w:t>, however,</w:t>
      </w:r>
      <w:r w:rsidRPr="00D81D5A">
        <w:rPr>
          <w:szCs w:val="26"/>
        </w:rPr>
        <w:t xml:space="preserve"> undoubtedly constitutes a constitutionally cognizable modification of employee pension rights, assuming the legislation materially change</w:t>
      </w:r>
      <w:r w:rsidR="0014704E" w:rsidRPr="00D81D5A">
        <w:rPr>
          <w:szCs w:val="26"/>
        </w:rPr>
        <w:t>d</w:t>
      </w:r>
      <w:r w:rsidRPr="00D81D5A">
        <w:rPr>
          <w:szCs w:val="26"/>
        </w:rPr>
        <w:t xml:space="preserve"> the manner in which </w:t>
      </w:r>
      <w:r w:rsidR="001E345E" w:rsidRPr="00D81D5A">
        <w:rPr>
          <w:szCs w:val="26"/>
        </w:rPr>
        <w:t>the</w:t>
      </w:r>
      <w:r w:rsidRPr="00D81D5A">
        <w:rPr>
          <w:szCs w:val="26"/>
        </w:rPr>
        <w:t xml:space="preserve"> pension system is implemented.</w:t>
      </w:r>
      <w:r w:rsidR="0014704E" w:rsidRPr="00D81D5A">
        <w:rPr>
          <w:szCs w:val="26"/>
        </w:rPr>
        <w:t xml:space="preserve">  We conclude that the amendment of section 31461 to add subdivision (b)(1) through (3) </w:t>
      </w:r>
      <w:r w:rsidR="004171BB" w:rsidRPr="00D81D5A">
        <w:rPr>
          <w:szCs w:val="26"/>
        </w:rPr>
        <w:t xml:space="preserve">constituted a </w:t>
      </w:r>
      <w:r w:rsidR="0014704E" w:rsidRPr="00D81D5A">
        <w:rPr>
          <w:szCs w:val="26"/>
        </w:rPr>
        <w:t>change in the law because th</w:t>
      </w:r>
      <w:r w:rsidR="00B825BE">
        <w:rPr>
          <w:szCs w:val="26"/>
        </w:rPr>
        <w:t>ose provisions</w:t>
      </w:r>
      <w:r w:rsidR="0014704E" w:rsidRPr="00D81D5A">
        <w:rPr>
          <w:szCs w:val="26"/>
        </w:rPr>
        <w:t xml:space="preserve"> </w:t>
      </w:r>
      <w:r w:rsidR="004171BB" w:rsidRPr="00D81D5A">
        <w:rPr>
          <w:szCs w:val="26"/>
        </w:rPr>
        <w:t>narrowed</w:t>
      </w:r>
      <w:r w:rsidR="0014704E" w:rsidRPr="00D81D5A">
        <w:rPr>
          <w:szCs w:val="26"/>
        </w:rPr>
        <w:t xml:space="preserve"> the </w:t>
      </w:r>
      <w:r w:rsidR="004171BB" w:rsidRPr="00D81D5A">
        <w:rPr>
          <w:szCs w:val="26"/>
        </w:rPr>
        <w:t xml:space="preserve">expansive </w:t>
      </w:r>
      <w:r w:rsidR="0014704E" w:rsidRPr="00D81D5A">
        <w:rPr>
          <w:szCs w:val="26"/>
        </w:rPr>
        <w:t xml:space="preserve">interpretation of </w:t>
      </w:r>
      <w:r w:rsidR="004171BB" w:rsidRPr="00D81D5A">
        <w:rPr>
          <w:szCs w:val="26"/>
        </w:rPr>
        <w:t xml:space="preserve">compensation earnable </w:t>
      </w:r>
      <w:r w:rsidR="0014704E" w:rsidRPr="00D81D5A">
        <w:rPr>
          <w:szCs w:val="26"/>
        </w:rPr>
        <w:t xml:space="preserve">adopted in </w:t>
      </w:r>
      <w:r w:rsidR="0014704E" w:rsidRPr="00D81D5A">
        <w:rPr>
          <w:i/>
          <w:szCs w:val="26"/>
        </w:rPr>
        <w:t>Ventura County.</w:t>
      </w:r>
      <w:r w:rsidR="0014704E" w:rsidRPr="00D81D5A">
        <w:rPr>
          <w:rStyle w:val="FootnoteReference"/>
          <w:szCs w:val="26"/>
        </w:rPr>
        <w:footnoteReference w:id="25"/>
      </w:r>
    </w:p>
    <w:p w14:paraId="41A219C6" w14:textId="77777777" w:rsidR="00F832F3" w:rsidRPr="00D81D5A" w:rsidRDefault="00F832F3" w:rsidP="00D81D5A">
      <w:pPr>
        <w:pStyle w:val="Heading4"/>
      </w:pPr>
      <w:r w:rsidRPr="00D81D5A">
        <w:t xml:space="preserve">a.  </w:t>
      </w:r>
      <w:r w:rsidRPr="00D81D5A">
        <w:rPr>
          <w:i w:val="0"/>
        </w:rPr>
        <w:t xml:space="preserve">Ventura County </w:t>
      </w:r>
      <w:r w:rsidRPr="00D81D5A">
        <w:t>adopted a broadly inclusive definition of “compensation earnable”</w:t>
      </w:r>
    </w:p>
    <w:p w14:paraId="02C3A749" w14:textId="65A3CE00" w:rsidR="00F832F3" w:rsidRPr="00D81D5A" w:rsidRDefault="00F832F3" w:rsidP="00D81D5A">
      <w:pPr>
        <w:ind w:firstLine="720"/>
        <w:rPr>
          <w:szCs w:val="26"/>
        </w:rPr>
      </w:pPr>
      <w:r w:rsidRPr="00D81D5A">
        <w:t xml:space="preserve">Our sole decision addressing the scope of “compensation earnable” is </w:t>
      </w:r>
      <w:r w:rsidRPr="00D81D5A">
        <w:rPr>
          <w:i/>
        </w:rPr>
        <w:t>Ventura County</w:t>
      </w:r>
      <w:r w:rsidRPr="00D81D5A">
        <w:t xml:space="preserve">, </w:t>
      </w:r>
      <w:r w:rsidRPr="00D81D5A">
        <w:rPr>
          <w:i/>
        </w:rPr>
        <w:t>supra</w:t>
      </w:r>
      <w:r w:rsidRPr="00D81D5A">
        <w:t>, 16 Cal.4th 483, in which we considered whether “</w:t>
      </w:r>
      <w:r w:rsidRPr="00D81D5A">
        <w:rPr>
          <w:szCs w:val="26"/>
        </w:rPr>
        <w:t>various payments by the county over and above the basic salary paid to all employees in the same job classification are ‘compensation’ within the meaning of the [CERL] statute” (</w:t>
      </w:r>
      <w:r w:rsidRPr="00D81D5A">
        <w:rPr>
          <w:i/>
          <w:szCs w:val="26"/>
        </w:rPr>
        <w:t>id</w:t>
      </w:r>
      <w:r w:rsidRPr="00D81D5A">
        <w:rPr>
          <w:szCs w:val="26"/>
        </w:rPr>
        <w:t xml:space="preserve">. at p. 487) and clarified the meaning of compensation earnable under section 31461.  We began by </w:t>
      </w:r>
      <w:r w:rsidRPr="00D81D5A">
        <w:t>recognizing that the statutory terms “compensation” and “compensation earnable” are “ambiguous in some respects” and fail clearly to resolve the status of items of compensation beyond basic salary or wages.  (</w:t>
      </w:r>
      <w:r w:rsidR="00B825BE">
        <w:rPr>
          <w:i/>
        </w:rPr>
        <w:t>Ventura County</w:t>
      </w:r>
      <w:r w:rsidR="00B825BE">
        <w:rPr>
          <w:iCs/>
        </w:rPr>
        <w:t>,</w:t>
      </w:r>
      <w:r w:rsidRPr="00D81D5A">
        <w:t xml:space="preserve"> at p.</w:t>
      </w:r>
      <w:r w:rsidR="00C110DF">
        <w:t> </w:t>
      </w:r>
      <w:r w:rsidRPr="00D81D5A">
        <w:t xml:space="preserve">493.)  </w:t>
      </w:r>
      <w:r w:rsidR="00092CDF" w:rsidRPr="00D81D5A">
        <w:t>Regarding</w:t>
      </w:r>
      <w:r w:rsidRPr="00D81D5A">
        <w:t xml:space="preserve"> the first issue, the status of payments over and above base salary, we began with the statutory definition of compensation </w:t>
      </w:r>
      <w:r w:rsidRPr="00D81D5A">
        <w:rPr>
          <w:szCs w:val="26"/>
        </w:rPr>
        <w:t>as “</w:t>
      </w:r>
      <w:r w:rsidRPr="00D81D5A">
        <w:rPr>
          <w:rStyle w:val="ssparacontent"/>
          <w:szCs w:val="26"/>
        </w:rPr>
        <w:t xml:space="preserve">remuneration paid in cash . . . , but [not] the monetary value of board, lodging, fuel, laundry, or other advantages furnished to a member.”  (§ 31460; </w:t>
      </w:r>
      <w:r w:rsidR="00B825BE">
        <w:rPr>
          <w:rStyle w:val="ssparacontent"/>
          <w:szCs w:val="26"/>
        </w:rPr>
        <w:t xml:space="preserve">see </w:t>
      </w:r>
      <w:r w:rsidR="00B825BE">
        <w:rPr>
          <w:rStyle w:val="ssparacontent"/>
          <w:i/>
          <w:szCs w:val="26"/>
        </w:rPr>
        <w:t>Ventura County</w:t>
      </w:r>
      <w:r w:rsidR="00B825BE">
        <w:rPr>
          <w:rStyle w:val="ssparacontent"/>
          <w:iCs/>
          <w:szCs w:val="26"/>
        </w:rPr>
        <w:t>,</w:t>
      </w:r>
      <w:r w:rsidRPr="00D81D5A">
        <w:rPr>
          <w:rStyle w:val="ssparacontent"/>
          <w:szCs w:val="26"/>
        </w:rPr>
        <w:t xml:space="preserve"> at pp. 490</w:t>
      </w:r>
      <w:r w:rsidR="00427AF8">
        <w:rPr>
          <w:rStyle w:val="ssparacontent"/>
          <w:szCs w:val="26"/>
        </w:rPr>
        <w:t>–</w:t>
      </w:r>
      <w:r w:rsidRPr="00D81D5A">
        <w:rPr>
          <w:rStyle w:val="ssparacontent"/>
          <w:szCs w:val="26"/>
        </w:rPr>
        <w:t>491.)</w:t>
      </w:r>
      <w:r w:rsidRPr="00D81D5A">
        <w:rPr>
          <w:rStyle w:val="ssparacontent"/>
          <w:i/>
          <w:szCs w:val="26"/>
        </w:rPr>
        <w:t xml:space="preserve"> </w:t>
      </w:r>
      <w:r w:rsidRPr="00D81D5A">
        <w:rPr>
          <w:rStyle w:val="ssparacontent"/>
          <w:szCs w:val="26"/>
        </w:rPr>
        <w:t xml:space="preserve"> Accepting the implications of a literal reading of this language, we held that the term includes all compensation paid in cash, while excluding any benefits conferred in a form other than cash.  (</w:t>
      </w:r>
      <w:r w:rsidR="00B825BE">
        <w:rPr>
          <w:rStyle w:val="ssparacontent"/>
          <w:i/>
          <w:szCs w:val="26"/>
        </w:rPr>
        <w:t>Ventura County</w:t>
      </w:r>
      <w:r w:rsidR="00B825BE">
        <w:rPr>
          <w:rStyle w:val="ssparacontent"/>
          <w:iCs/>
          <w:szCs w:val="26"/>
        </w:rPr>
        <w:t>,</w:t>
      </w:r>
      <w:r w:rsidRPr="00D81D5A">
        <w:rPr>
          <w:rStyle w:val="ssparacontent"/>
          <w:szCs w:val="26"/>
        </w:rPr>
        <w:t xml:space="preserve"> at p.</w:t>
      </w:r>
      <w:r w:rsidR="00C110DF">
        <w:rPr>
          <w:rStyle w:val="ssparacontent"/>
          <w:szCs w:val="26"/>
        </w:rPr>
        <w:t> </w:t>
      </w:r>
      <w:r w:rsidRPr="00D81D5A">
        <w:rPr>
          <w:rStyle w:val="ssparacontent"/>
          <w:szCs w:val="26"/>
        </w:rPr>
        <w:t>497.)  We applied this ruling to hold that a wide variety of cash payments that supplement an employee’s base pay are included in “compensation,” including uniform allowances, cashed-out leave time, bilingual premium pay, pay for field training officer and motorcycle duty, holiday pay, and educational incentive pay.  (</w:t>
      </w:r>
      <w:r w:rsidRPr="00D81D5A">
        <w:rPr>
          <w:rStyle w:val="ssparacontent"/>
          <w:i/>
          <w:szCs w:val="26"/>
        </w:rPr>
        <w:t>Id</w:t>
      </w:r>
      <w:r w:rsidRPr="00D81D5A">
        <w:rPr>
          <w:rStyle w:val="ssparacontent"/>
          <w:szCs w:val="26"/>
        </w:rPr>
        <w:t>. at pp.</w:t>
      </w:r>
      <w:r w:rsidR="00C110DF">
        <w:rPr>
          <w:rStyle w:val="ssparacontent"/>
          <w:szCs w:val="26"/>
        </w:rPr>
        <w:t> </w:t>
      </w:r>
      <w:r w:rsidRPr="00D81D5A">
        <w:rPr>
          <w:rStyle w:val="ssparacontent"/>
          <w:szCs w:val="26"/>
        </w:rPr>
        <w:t>497</w:t>
      </w:r>
      <w:r w:rsidR="00427AF8">
        <w:rPr>
          <w:rStyle w:val="ssparacontent"/>
          <w:szCs w:val="26"/>
        </w:rPr>
        <w:t>–</w:t>
      </w:r>
      <w:r w:rsidRPr="00D81D5A">
        <w:rPr>
          <w:rStyle w:val="ssparacontent"/>
          <w:szCs w:val="26"/>
        </w:rPr>
        <w:t>498.)</w:t>
      </w:r>
    </w:p>
    <w:p w14:paraId="26F553A5" w14:textId="727D9BC2" w:rsidR="00F832F3" w:rsidRPr="00D81D5A" w:rsidRDefault="00F832F3" w:rsidP="00D81D5A">
      <w:pPr>
        <w:pStyle w:val="NormalIndent"/>
        <w:ind w:left="0" w:firstLine="720"/>
        <w:rPr>
          <w:rStyle w:val="ssparacontent"/>
          <w:szCs w:val="26"/>
        </w:rPr>
      </w:pPr>
      <w:r w:rsidRPr="00D81D5A">
        <w:rPr>
          <w:szCs w:val="26"/>
        </w:rPr>
        <w:t xml:space="preserve">Having settled the issue of compensation, we turned to the meaning of compensation earnable, which bore the definition now found in section 31461, subdivision (a).  </w:t>
      </w:r>
      <w:r w:rsidRPr="00D81D5A">
        <w:t>(</w:t>
      </w:r>
      <w:r w:rsidRPr="00D81D5A">
        <w:rPr>
          <w:i/>
        </w:rPr>
        <w:t>Ventura County</w:t>
      </w:r>
      <w:r w:rsidRPr="00D81D5A">
        <w:t xml:space="preserve">, </w:t>
      </w:r>
      <w:r w:rsidRPr="00D81D5A">
        <w:rPr>
          <w:i/>
        </w:rPr>
        <w:t>supra</w:t>
      </w:r>
      <w:r w:rsidRPr="00D81D5A">
        <w:t xml:space="preserve">, 16 Cal.4th at p. </w:t>
      </w:r>
      <w:r w:rsidRPr="00D81D5A">
        <w:rPr>
          <w:rStyle w:val="ssparacontent"/>
          <w:szCs w:val="26"/>
        </w:rPr>
        <w:t xml:space="preserve">499.)  As discussed above, we ruled that </w:t>
      </w:r>
      <w:r w:rsidRPr="00D81D5A">
        <w:rPr>
          <w:szCs w:val="26"/>
        </w:rPr>
        <w:t>“</w:t>
      </w:r>
      <w:r w:rsidR="00CE12E5">
        <w:rPr>
          <w:szCs w:val="26"/>
        </w:rPr>
        <w:t> </w:t>
      </w:r>
      <w:r w:rsidRPr="00D81D5A">
        <w:rPr>
          <w:szCs w:val="26"/>
        </w:rPr>
        <w:t>‘compensation earnable’ is the average pay of the individual retiring employee computed on the basis of the number of hours worked by other employees in the same class and pay rate — that is</w:t>
      </w:r>
      <w:r w:rsidR="00081DDD">
        <w:rPr>
          <w:szCs w:val="26"/>
        </w:rPr>
        <w:t>[,]</w:t>
      </w:r>
      <w:r w:rsidRPr="00D81D5A">
        <w:rPr>
          <w:szCs w:val="26"/>
        </w:rPr>
        <w:t xml:space="preserve"> the average monthly pay, excluding overtime, received by the retiring employee for the average number of days worked in a month by the other employees in the same job classification at the same base pay level.” </w:t>
      </w:r>
      <w:r w:rsidRPr="00D81D5A">
        <w:rPr>
          <w:rFonts w:cs="Helvetica"/>
          <w:szCs w:val="21"/>
        </w:rPr>
        <w:t xml:space="preserve"> </w:t>
      </w:r>
      <w:r w:rsidRPr="00D81D5A">
        <w:rPr>
          <w:rStyle w:val="ssparacontent"/>
          <w:szCs w:val="26"/>
        </w:rPr>
        <w:t>(</w:t>
      </w:r>
      <w:r w:rsidRPr="00D81D5A">
        <w:rPr>
          <w:rStyle w:val="ssparacontent"/>
          <w:i/>
          <w:szCs w:val="26"/>
        </w:rPr>
        <w:t>Id</w:t>
      </w:r>
      <w:r w:rsidRPr="00D81D5A">
        <w:rPr>
          <w:rStyle w:val="ssparacontent"/>
          <w:szCs w:val="26"/>
        </w:rPr>
        <w:t>. at p. 504.)</w:t>
      </w:r>
      <w:r w:rsidRPr="00D81D5A">
        <w:rPr>
          <w:szCs w:val="26"/>
        </w:rPr>
        <w:t xml:space="preserve">  In reaching that conclusion, we relied in part on the similar language that was at one time used to define “compensation earnable” in the CalPERS statute.  (</w:t>
      </w:r>
      <w:r w:rsidRPr="00D81D5A">
        <w:rPr>
          <w:i/>
          <w:szCs w:val="26"/>
        </w:rPr>
        <w:t>Ibid</w:t>
      </w:r>
      <w:r w:rsidRPr="00D81D5A">
        <w:rPr>
          <w:szCs w:val="26"/>
        </w:rPr>
        <w:t>.)  The CalPERS language had been repealed a decade earlier and replaced with a more detailed statute, which included a new category of items of compensation labeled “special compensation.”  Although th</w:t>
      </w:r>
      <w:r w:rsidR="004748FE">
        <w:rPr>
          <w:szCs w:val="26"/>
        </w:rPr>
        <w:t>is</w:t>
      </w:r>
      <w:r w:rsidRPr="00D81D5A">
        <w:rPr>
          <w:szCs w:val="26"/>
        </w:rPr>
        <w:t xml:space="preserve"> legislation “recast[] and redefine[d]” compensation earnable</w:t>
      </w:r>
      <w:r w:rsidR="004748FE">
        <w:rPr>
          <w:szCs w:val="26"/>
        </w:rPr>
        <w:t xml:space="preserve"> under CalPERS</w:t>
      </w:r>
      <w:r w:rsidRPr="00D81D5A">
        <w:rPr>
          <w:szCs w:val="26"/>
        </w:rPr>
        <w:t>, we found no indication “that the inclusion of ‘special compensation’ in the definition adds anything that was not included under the prior legislation.”  (</w:t>
      </w:r>
      <w:r w:rsidRPr="00D81D5A">
        <w:rPr>
          <w:i/>
          <w:szCs w:val="26"/>
        </w:rPr>
        <w:t>Id</w:t>
      </w:r>
      <w:r w:rsidRPr="00D81D5A">
        <w:rPr>
          <w:szCs w:val="26"/>
        </w:rPr>
        <w:t>.</w:t>
      </w:r>
      <w:r w:rsidR="00081DDD">
        <w:rPr>
          <w:szCs w:val="26"/>
        </w:rPr>
        <w:t xml:space="preserve"> at p. 505.</w:t>
      </w:r>
      <w:r w:rsidRPr="00D81D5A">
        <w:rPr>
          <w:szCs w:val="26"/>
        </w:rPr>
        <w:t xml:space="preserve">)  As we observed, many of the items of compensation that the </w:t>
      </w:r>
      <w:r w:rsidRPr="00D81D5A">
        <w:rPr>
          <w:i/>
          <w:szCs w:val="26"/>
        </w:rPr>
        <w:t>Ventura County</w:t>
      </w:r>
      <w:r w:rsidRPr="00D81D5A">
        <w:rPr>
          <w:szCs w:val="26"/>
        </w:rPr>
        <w:t xml:space="preserve"> plaintiffs sought to include in CERL’s compensation earnable “appear to be the type of ‘special compensation’ items which are included in the ‘compensation earnable’ of PERS members.”  </w:t>
      </w:r>
      <w:r w:rsidRPr="00D81D5A">
        <w:rPr>
          <w:rStyle w:val="ssparacontent"/>
          <w:szCs w:val="26"/>
        </w:rPr>
        <w:t>(</w:t>
      </w:r>
      <w:r w:rsidR="00B825BE">
        <w:rPr>
          <w:rStyle w:val="ssparacontent"/>
          <w:i/>
          <w:szCs w:val="26"/>
        </w:rPr>
        <w:t>Ventura County</w:t>
      </w:r>
      <w:r w:rsidR="00B825BE">
        <w:rPr>
          <w:rStyle w:val="ssparacontent"/>
          <w:iCs/>
          <w:szCs w:val="26"/>
        </w:rPr>
        <w:t>,</w:t>
      </w:r>
      <w:r w:rsidRPr="00D81D5A">
        <w:rPr>
          <w:rStyle w:val="ssparacontent"/>
          <w:szCs w:val="26"/>
        </w:rPr>
        <w:t xml:space="preserve"> at p. 50</w:t>
      </w:r>
      <w:r w:rsidR="00081DDD">
        <w:rPr>
          <w:rStyle w:val="ssparacontent"/>
          <w:szCs w:val="26"/>
        </w:rPr>
        <w:t>4</w:t>
      </w:r>
      <w:r w:rsidRPr="00D81D5A">
        <w:rPr>
          <w:rStyle w:val="ssparacontent"/>
          <w:szCs w:val="26"/>
        </w:rPr>
        <w:t>.)</w:t>
      </w:r>
      <w:r w:rsidRPr="00D81D5A">
        <w:rPr>
          <w:szCs w:val="26"/>
        </w:rPr>
        <w:t xml:space="preserve"> </w:t>
      </w:r>
      <w:r w:rsidRPr="00D81D5A">
        <w:rPr>
          <w:i/>
          <w:szCs w:val="26"/>
        </w:rPr>
        <w:t xml:space="preserve"> </w:t>
      </w:r>
      <w:r w:rsidRPr="00D81D5A">
        <w:rPr>
          <w:szCs w:val="26"/>
        </w:rPr>
        <w:t xml:space="preserve">On that basis, we held that all of the various “premiums in dispute” are included in compensation earnable.  </w:t>
      </w:r>
      <w:r w:rsidRPr="00D81D5A">
        <w:rPr>
          <w:rStyle w:val="ssparacontent"/>
          <w:szCs w:val="26"/>
        </w:rPr>
        <w:t>(</w:t>
      </w:r>
      <w:r w:rsidRPr="00D81D5A">
        <w:rPr>
          <w:rStyle w:val="ssparacontent"/>
          <w:i/>
          <w:szCs w:val="26"/>
        </w:rPr>
        <w:t>Id</w:t>
      </w:r>
      <w:r w:rsidRPr="00D81D5A">
        <w:rPr>
          <w:rStyle w:val="ssparacontent"/>
          <w:szCs w:val="26"/>
        </w:rPr>
        <w:t>.</w:t>
      </w:r>
      <w:r w:rsidR="00081DDD">
        <w:rPr>
          <w:rStyle w:val="ssparacontent"/>
          <w:szCs w:val="26"/>
        </w:rPr>
        <w:t xml:space="preserve"> at p. 505.</w:t>
      </w:r>
      <w:r w:rsidRPr="00D81D5A">
        <w:rPr>
          <w:rStyle w:val="ssparacontent"/>
          <w:szCs w:val="26"/>
        </w:rPr>
        <w:t xml:space="preserve">)  </w:t>
      </w:r>
      <w:r w:rsidRPr="00D81D5A">
        <w:rPr>
          <w:szCs w:val="26"/>
        </w:rPr>
        <w:t xml:space="preserve">Although we did not specifically identify these premiums, the phrase appears to refer to all of the “items plaintiffs seek to have included in their ‘compensation earnable.’ ”  </w:t>
      </w:r>
      <w:r w:rsidRPr="00D81D5A">
        <w:rPr>
          <w:rStyle w:val="ssparacontent"/>
          <w:szCs w:val="26"/>
        </w:rPr>
        <w:t>(</w:t>
      </w:r>
      <w:r w:rsidRPr="00D81D5A">
        <w:rPr>
          <w:rStyle w:val="ssparacontent"/>
          <w:i/>
          <w:szCs w:val="26"/>
        </w:rPr>
        <w:t>Id</w:t>
      </w:r>
      <w:r w:rsidRPr="00D81D5A">
        <w:rPr>
          <w:rStyle w:val="ssparacontent"/>
          <w:szCs w:val="26"/>
        </w:rPr>
        <w:t>. at p.</w:t>
      </w:r>
      <w:r w:rsidR="00E33818">
        <w:rPr>
          <w:rStyle w:val="ssparacontent"/>
          <w:szCs w:val="26"/>
        </w:rPr>
        <w:t> </w:t>
      </w:r>
      <w:r w:rsidRPr="00D81D5A">
        <w:rPr>
          <w:rStyle w:val="ssparacontent"/>
          <w:szCs w:val="26"/>
        </w:rPr>
        <w:t>504.)</w:t>
      </w:r>
    </w:p>
    <w:p w14:paraId="2C96964B" w14:textId="77777777" w:rsidR="00F832F3" w:rsidRPr="00D81D5A" w:rsidRDefault="00F832F3" w:rsidP="00D81D5A">
      <w:pPr>
        <w:pStyle w:val="Heading4"/>
        <w:rPr>
          <w:rStyle w:val="ssparacontent"/>
          <w:szCs w:val="26"/>
        </w:rPr>
      </w:pPr>
      <w:r w:rsidRPr="00D81D5A">
        <w:t>b.  Subdivision (b)(4) did not modify CERL</w:t>
      </w:r>
    </w:p>
    <w:p w14:paraId="28109251" w14:textId="77777777" w:rsidR="00584708" w:rsidRPr="00D81D5A" w:rsidRDefault="00F832F3" w:rsidP="00D81D5A">
      <w:pPr>
        <w:ind w:firstLine="720"/>
        <w:rPr>
          <w:szCs w:val="26"/>
        </w:rPr>
      </w:pPr>
      <w:r w:rsidRPr="00D81D5A">
        <w:rPr>
          <w:rStyle w:val="ssparacontent"/>
          <w:szCs w:val="26"/>
        </w:rPr>
        <w:t xml:space="preserve">We first address the pre-PEPRA status of termination pay, </w:t>
      </w:r>
      <w:r w:rsidR="00BA39F6" w:rsidRPr="00D81D5A">
        <w:rPr>
          <w:rStyle w:val="ssparacontent"/>
          <w:szCs w:val="26"/>
        </w:rPr>
        <w:t xml:space="preserve">now </w:t>
      </w:r>
      <w:r w:rsidRPr="00D81D5A">
        <w:rPr>
          <w:rStyle w:val="ssparacontent"/>
          <w:szCs w:val="26"/>
        </w:rPr>
        <w:t xml:space="preserve">excluded by section 31461, subdivision (b)(4), because it is the only </w:t>
      </w:r>
      <w:r w:rsidR="00584708" w:rsidRPr="00D81D5A">
        <w:rPr>
          <w:rStyle w:val="ssparacontent"/>
          <w:szCs w:val="26"/>
        </w:rPr>
        <w:t>aspect</w:t>
      </w:r>
      <w:r w:rsidRPr="00D81D5A">
        <w:rPr>
          <w:rStyle w:val="ssparacontent"/>
          <w:szCs w:val="26"/>
        </w:rPr>
        <w:t xml:space="preserve"> of </w:t>
      </w:r>
      <w:r w:rsidR="00584708" w:rsidRPr="00D81D5A">
        <w:rPr>
          <w:rStyle w:val="ssparacontent"/>
          <w:szCs w:val="26"/>
        </w:rPr>
        <w:t>section 31461</w:t>
      </w:r>
      <w:r w:rsidRPr="00D81D5A">
        <w:rPr>
          <w:rStyle w:val="ssparacontent"/>
          <w:szCs w:val="26"/>
        </w:rPr>
        <w:t xml:space="preserve"> specifically addressed by a published appellate decision following </w:t>
      </w:r>
      <w:r w:rsidRPr="00D81D5A">
        <w:rPr>
          <w:rStyle w:val="ssparacontent"/>
          <w:i/>
          <w:szCs w:val="26"/>
        </w:rPr>
        <w:t>Ventura County</w:t>
      </w:r>
      <w:r w:rsidRPr="00D81D5A">
        <w:rPr>
          <w:rStyle w:val="ssparacontent"/>
          <w:szCs w:val="26"/>
        </w:rPr>
        <w:t xml:space="preserve">.  As </w:t>
      </w:r>
      <w:r w:rsidR="00584708" w:rsidRPr="00D81D5A">
        <w:rPr>
          <w:rStyle w:val="ssparacontent"/>
          <w:szCs w:val="26"/>
        </w:rPr>
        <w:t>discuss</w:t>
      </w:r>
      <w:r w:rsidRPr="00D81D5A">
        <w:rPr>
          <w:rStyle w:val="ssparacontent"/>
          <w:szCs w:val="26"/>
        </w:rPr>
        <w:t xml:space="preserve">ed above, the </w:t>
      </w:r>
      <w:r w:rsidR="00584708" w:rsidRPr="00D81D5A">
        <w:rPr>
          <w:rStyle w:val="ssparacontent"/>
          <w:szCs w:val="26"/>
        </w:rPr>
        <w:t>d</w:t>
      </w:r>
      <w:r w:rsidRPr="00D81D5A">
        <w:rPr>
          <w:rStyle w:val="ssparacontent"/>
          <w:szCs w:val="26"/>
        </w:rPr>
        <w:t xml:space="preserve">efinitions of “compensation” and “compensation earnable” adopted in </w:t>
      </w:r>
      <w:r w:rsidRPr="00D81D5A">
        <w:rPr>
          <w:rStyle w:val="ssparacontent"/>
          <w:i/>
          <w:szCs w:val="26"/>
        </w:rPr>
        <w:t xml:space="preserve">Ventura County </w:t>
      </w:r>
      <w:r w:rsidRPr="00D81D5A">
        <w:rPr>
          <w:rStyle w:val="ssparacontent"/>
          <w:szCs w:val="26"/>
        </w:rPr>
        <w:t xml:space="preserve">effectively overturned </w:t>
      </w:r>
      <w:r w:rsidR="00584708" w:rsidRPr="00D81D5A">
        <w:rPr>
          <w:rStyle w:val="ssparacontent"/>
          <w:szCs w:val="26"/>
        </w:rPr>
        <w:t xml:space="preserve">aspects of </w:t>
      </w:r>
      <w:proofErr w:type="spellStart"/>
      <w:r w:rsidRPr="00D81D5A">
        <w:rPr>
          <w:rStyle w:val="ssparacontent"/>
          <w:i/>
          <w:szCs w:val="26"/>
        </w:rPr>
        <w:t>Guelfi</w:t>
      </w:r>
      <w:proofErr w:type="spellEnd"/>
      <w:r w:rsidRPr="00D81D5A">
        <w:rPr>
          <w:rStyle w:val="ssparacontent"/>
          <w:szCs w:val="26"/>
        </w:rPr>
        <w:t xml:space="preserve">, </w:t>
      </w:r>
      <w:r w:rsidRPr="00D81D5A">
        <w:rPr>
          <w:rStyle w:val="ssparacontent"/>
          <w:i/>
          <w:szCs w:val="26"/>
        </w:rPr>
        <w:t>supra</w:t>
      </w:r>
      <w:r w:rsidRPr="00D81D5A">
        <w:rPr>
          <w:rStyle w:val="ssparacontent"/>
          <w:szCs w:val="26"/>
        </w:rPr>
        <w:t xml:space="preserve">, </w:t>
      </w:r>
      <w:r w:rsidRPr="00D81D5A">
        <w:rPr>
          <w:szCs w:val="26"/>
          <w:shd w:val="clear" w:color="auto" w:fill="FFFFFF"/>
        </w:rPr>
        <w:t>145 Cal.App.3d 297, which had guided the implementation of section 31461</w:t>
      </w:r>
      <w:r w:rsidR="00584708" w:rsidRPr="00D81D5A">
        <w:rPr>
          <w:szCs w:val="26"/>
          <w:shd w:val="clear" w:color="auto" w:fill="FFFFFF"/>
        </w:rPr>
        <w:t xml:space="preserve"> prior to </w:t>
      </w:r>
      <w:r w:rsidR="00584708" w:rsidRPr="00D81D5A">
        <w:rPr>
          <w:i/>
          <w:szCs w:val="26"/>
          <w:shd w:val="clear" w:color="auto" w:fill="FFFFFF"/>
        </w:rPr>
        <w:t>Ventura County</w:t>
      </w:r>
      <w:r w:rsidRPr="00D81D5A">
        <w:rPr>
          <w:szCs w:val="26"/>
          <w:shd w:val="clear" w:color="auto" w:fill="FFFFFF"/>
        </w:rPr>
        <w:t xml:space="preserve">.  </w:t>
      </w:r>
      <w:r w:rsidRPr="00D81D5A">
        <w:rPr>
          <w:rStyle w:val="ssparacontent"/>
          <w:szCs w:val="26"/>
        </w:rPr>
        <w:t xml:space="preserve">Our disapproval of </w:t>
      </w:r>
      <w:proofErr w:type="spellStart"/>
      <w:r w:rsidRPr="00D81D5A">
        <w:rPr>
          <w:rStyle w:val="ssparacontent"/>
          <w:i/>
          <w:szCs w:val="26"/>
        </w:rPr>
        <w:t>Guelfi</w:t>
      </w:r>
      <w:r w:rsidRPr="00D81D5A">
        <w:rPr>
          <w:rStyle w:val="ssparacontent"/>
          <w:szCs w:val="26"/>
        </w:rPr>
        <w:t>’s</w:t>
      </w:r>
      <w:proofErr w:type="spellEnd"/>
      <w:r w:rsidRPr="00D81D5A">
        <w:rPr>
          <w:rStyle w:val="ssparacontent"/>
          <w:szCs w:val="26"/>
        </w:rPr>
        <w:t xml:space="preserve"> long-standing rulings</w:t>
      </w:r>
      <w:r w:rsidRPr="00D81D5A">
        <w:rPr>
          <w:rStyle w:val="ssparacontent"/>
          <w:i/>
          <w:szCs w:val="26"/>
        </w:rPr>
        <w:t xml:space="preserve"> </w:t>
      </w:r>
      <w:r w:rsidRPr="00D81D5A">
        <w:rPr>
          <w:szCs w:val="26"/>
        </w:rPr>
        <w:t xml:space="preserve">spawned a variety of lawsuits statewide by county employees and pensioners, as we anticipated.  </w:t>
      </w:r>
      <w:r w:rsidRPr="00D81D5A">
        <w:t>(</w:t>
      </w:r>
      <w:r w:rsidRPr="00D81D5A">
        <w:rPr>
          <w:i/>
        </w:rPr>
        <w:t>Ventura County</w:t>
      </w:r>
      <w:r w:rsidRPr="00D81D5A">
        <w:t xml:space="preserve">, </w:t>
      </w:r>
      <w:r w:rsidRPr="00D81D5A">
        <w:rPr>
          <w:i/>
        </w:rPr>
        <w:t>supra</w:t>
      </w:r>
      <w:r w:rsidRPr="00D81D5A">
        <w:t>, 16</w:t>
      </w:r>
      <w:r w:rsidR="009D1B95">
        <w:t> </w:t>
      </w:r>
      <w:r w:rsidRPr="00D81D5A">
        <w:t>Cal.4th at p. 507</w:t>
      </w:r>
      <w:r w:rsidRPr="00D81D5A">
        <w:rPr>
          <w:rStyle w:val="ssparacontent"/>
          <w:szCs w:val="26"/>
        </w:rPr>
        <w:t>)</w:t>
      </w:r>
      <w:r w:rsidRPr="00D81D5A">
        <w:rPr>
          <w:szCs w:val="26"/>
        </w:rPr>
        <w:t xml:space="preserve">.  These lawsuits were consolidated in a single proceeding, and those that did not settle became the subject of </w:t>
      </w:r>
      <w:r w:rsidRPr="00D81D5A">
        <w:rPr>
          <w:i/>
        </w:rPr>
        <w:t>Retirement Cases</w:t>
      </w:r>
      <w:r w:rsidRPr="00D81D5A">
        <w:t xml:space="preserve">, </w:t>
      </w:r>
      <w:r w:rsidRPr="00D81D5A">
        <w:rPr>
          <w:i/>
        </w:rPr>
        <w:t>supra</w:t>
      </w:r>
      <w:r w:rsidRPr="00D81D5A">
        <w:t>,</w:t>
      </w:r>
      <w:r w:rsidRPr="00D81D5A">
        <w:rPr>
          <w:i/>
        </w:rPr>
        <w:t xml:space="preserve"> </w:t>
      </w:r>
      <w:r w:rsidRPr="00D81D5A">
        <w:t>110</w:t>
      </w:r>
      <w:r w:rsidR="00E33818">
        <w:t> </w:t>
      </w:r>
      <w:r w:rsidRPr="00D81D5A">
        <w:t>Cal.App.4th 426</w:t>
      </w:r>
      <w:r w:rsidRPr="00D81D5A">
        <w:rPr>
          <w:szCs w:val="26"/>
        </w:rPr>
        <w:t>.</w:t>
      </w:r>
      <w:r w:rsidRPr="00D81D5A">
        <w:rPr>
          <w:rStyle w:val="FootnoteReference"/>
          <w:szCs w:val="26"/>
        </w:rPr>
        <w:footnoteReference w:id="26"/>
      </w:r>
    </w:p>
    <w:p w14:paraId="1EC9E374" w14:textId="77777777" w:rsidR="00F832F3" w:rsidRPr="00D81D5A" w:rsidRDefault="00F832F3" w:rsidP="00D81D5A">
      <w:pPr>
        <w:ind w:firstLine="720"/>
        <w:rPr>
          <w:rStyle w:val="ssparacontent"/>
          <w:szCs w:val="26"/>
        </w:rPr>
      </w:pPr>
      <w:r w:rsidRPr="00D81D5A">
        <w:rPr>
          <w:szCs w:val="26"/>
        </w:rPr>
        <w:t xml:space="preserve">Among the issues addressed by </w:t>
      </w:r>
      <w:r w:rsidRPr="00D81D5A">
        <w:rPr>
          <w:i/>
          <w:szCs w:val="26"/>
        </w:rPr>
        <w:t xml:space="preserve">Retirement Cases </w:t>
      </w:r>
      <w:r w:rsidRPr="00D81D5A">
        <w:rPr>
          <w:szCs w:val="26"/>
        </w:rPr>
        <w:t>was the inclusion in final compensation of “termina</w:t>
      </w:r>
      <w:r w:rsidR="00081DDD">
        <w:rPr>
          <w:szCs w:val="26"/>
        </w:rPr>
        <w:t>tion</w:t>
      </w:r>
      <w:r w:rsidRPr="00D81D5A">
        <w:rPr>
          <w:szCs w:val="26"/>
        </w:rPr>
        <w:t xml:space="preserve"> pay,” which the court defined as “one-time cash payments made to plan members upon retirement for accrued but unused compensatory time, sick leave time, and vacation or holiday time.”  </w:t>
      </w:r>
      <w:r w:rsidRPr="00D81D5A">
        <w:rPr>
          <w:rStyle w:val="ssparacontent"/>
          <w:szCs w:val="26"/>
        </w:rPr>
        <w:t>(</w:t>
      </w:r>
      <w:r w:rsidR="00B825BE">
        <w:rPr>
          <w:rStyle w:val="ssparacontent"/>
          <w:i/>
          <w:szCs w:val="26"/>
        </w:rPr>
        <w:t>Retirement Cases</w:t>
      </w:r>
      <w:r w:rsidR="00081DDD">
        <w:rPr>
          <w:rStyle w:val="ssparacontent"/>
          <w:szCs w:val="26"/>
        </w:rPr>
        <w:t xml:space="preserve">, </w:t>
      </w:r>
      <w:r w:rsidR="00081DDD">
        <w:rPr>
          <w:rStyle w:val="ssparacontent"/>
          <w:i/>
          <w:iCs/>
          <w:szCs w:val="26"/>
        </w:rPr>
        <w:t>supra</w:t>
      </w:r>
      <w:r w:rsidR="00081DDD">
        <w:rPr>
          <w:rStyle w:val="ssparacontent"/>
          <w:szCs w:val="26"/>
        </w:rPr>
        <w:t>, 110 Cal.App.4th</w:t>
      </w:r>
      <w:r w:rsidRPr="00D81D5A">
        <w:rPr>
          <w:rStyle w:val="ssparacontent"/>
          <w:szCs w:val="26"/>
        </w:rPr>
        <w:t xml:space="preserve"> at p.</w:t>
      </w:r>
      <w:r w:rsidR="007F7629">
        <w:rPr>
          <w:rStyle w:val="ssparacontent"/>
          <w:szCs w:val="26"/>
        </w:rPr>
        <w:t> </w:t>
      </w:r>
      <w:r w:rsidRPr="00D81D5A">
        <w:rPr>
          <w:rStyle w:val="ssparacontent"/>
          <w:szCs w:val="26"/>
        </w:rPr>
        <w:t xml:space="preserve">473.)  </w:t>
      </w:r>
      <w:r w:rsidRPr="00D81D5A">
        <w:rPr>
          <w:rStyle w:val="ssparacontent"/>
          <w:i/>
          <w:szCs w:val="26"/>
        </w:rPr>
        <w:t xml:space="preserve">Retirement Cases </w:t>
      </w:r>
      <w:r w:rsidRPr="00D81D5A">
        <w:rPr>
          <w:rStyle w:val="ssparacontent"/>
          <w:szCs w:val="26"/>
        </w:rPr>
        <w:t xml:space="preserve">recognized that </w:t>
      </w:r>
      <w:r w:rsidRPr="00D81D5A">
        <w:rPr>
          <w:rStyle w:val="ssparacontent"/>
          <w:i/>
          <w:szCs w:val="26"/>
        </w:rPr>
        <w:t xml:space="preserve">Ventura County </w:t>
      </w:r>
      <w:r w:rsidRPr="00D81D5A">
        <w:rPr>
          <w:szCs w:val="26"/>
        </w:rPr>
        <w:t xml:space="preserve">had defined such payments as compensation.  The court ruled, however, that they were </w:t>
      </w:r>
      <w:r w:rsidRPr="00D81D5A">
        <w:rPr>
          <w:i/>
          <w:szCs w:val="26"/>
        </w:rPr>
        <w:t>not</w:t>
      </w:r>
      <w:r w:rsidRPr="00D81D5A">
        <w:rPr>
          <w:szCs w:val="26"/>
        </w:rPr>
        <w:t xml:space="preserve"> a part of “final compensation” because, under the relevant statutes, the period for calculating final compensation </w:t>
      </w:r>
      <w:r w:rsidRPr="00D81D5A">
        <w:t>“</w:t>
      </w:r>
      <w:r w:rsidRPr="00D81D5A">
        <w:rPr>
          <w:szCs w:val="26"/>
        </w:rPr>
        <w:t>extends up to, but does not include retirement.”  (</w:t>
      </w:r>
      <w:r w:rsidR="00081DDD">
        <w:rPr>
          <w:rStyle w:val="ssparacontent"/>
          <w:i/>
          <w:szCs w:val="26"/>
        </w:rPr>
        <w:t>Id</w:t>
      </w:r>
      <w:r w:rsidR="00081DDD">
        <w:rPr>
          <w:rStyle w:val="ssparacontent"/>
          <w:iCs/>
          <w:szCs w:val="26"/>
        </w:rPr>
        <w:t>. at</w:t>
      </w:r>
      <w:r w:rsidRPr="00D81D5A">
        <w:rPr>
          <w:rStyle w:val="ssparacontent"/>
          <w:szCs w:val="26"/>
        </w:rPr>
        <w:t xml:space="preserve"> p.</w:t>
      </w:r>
      <w:r w:rsidR="007F7629">
        <w:rPr>
          <w:rStyle w:val="ssparacontent"/>
          <w:szCs w:val="26"/>
        </w:rPr>
        <w:t> </w:t>
      </w:r>
      <w:r w:rsidRPr="00D81D5A">
        <w:rPr>
          <w:rStyle w:val="ssparacontent"/>
          <w:szCs w:val="26"/>
        </w:rPr>
        <w:t xml:space="preserve">474; </w:t>
      </w:r>
      <w:r w:rsidR="00081DDD">
        <w:rPr>
          <w:rStyle w:val="ssparacontent"/>
          <w:szCs w:val="26"/>
        </w:rPr>
        <w:t xml:space="preserve">see </w:t>
      </w:r>
      <w:r w:rsidRPr="00D81D5A">
        <w:rPr>
          <w:rStyle w:val="ssparacontent"/>
          <w:szCs w:val="26"/>
        </w:rPr>
        <w:t>§§</w:t>
      </w:r>
      <w:r w:rsidR="00E33818">
        <w:rPr>
          <w:rStyle w:val="ssparacontent"/>
          <w:szCs w:val="26"/>
        </w:rPr>
        <w:t> </w:t>
      </w:r>
      <w:r w:rsidRPr="00D81D5A">
        <w:rPr>
          <w:rStyle w:val="ssparacontent"/>
          <w:szCs w:val="26"/>
        </w:rPr>
        <w:t xml:space="preserve">31462, 31462.1.)  Until the cash compensation was received, the accrued leave time remained an in-kind benefit, excluded from compensation under section 31460.  Yet </w:t>
      </w:r>
      <w:r w:rsidR="005B7AF5" w:rsidRPr="00D81D5A">
        <w:rPr>
          <w:rStyle w:val="ssparacontent"/>
          <w:szCs w:val="26"/>
        </w:rPr>
        <w:t>at</w:t>
      </w:r>
      <w:r w:rsidRPr="00D81D5A">
        <w:rPr>
          <w:rStyle w:val="ssparacontent"/>
          <w:szCs w:val="26"/>
        </w:rPr>
        <w:t xml:space="preserve"> the time the cash was received, the final compensation period had ended.  (</w:t>
      </w:r>
      <w:r w:rsidR="00081DDD">
        <w:rPr>
          <w:rStyle w:val="ssparacontent"/>
          <w:i/>
          <w:szCs w:val="26"/>
        </w:rPr>
        <w:t>Retirement Cases</w:t>
      </w:r>
      <w:r w:rsidR="00081DDD">
        <w:rPr>
          <w:rStyle w:val="ssparacontent"/>
          <w:iCs/>
          <w:szCs w:val="26"/>
        </w:rPr>
        <w:t xml:space="preserve">, </w:t>
      </w:r>
      <w:r w:rsidRPr="00D81D5A">
        <w:rPr>
          <w:rStyle w:val="ssparacontent"/>
          <w:szCs w:val="26"/>
        </w:rPr>
        <w:t>at p.</w:t>
      </w:r>
      <w:r w:rsidR="007F7629">
        <w:rPr>
          <w:rStyle w:val="ssparacontent"/>
          <w:szCs w:val="26"/>
        </w:rPr>
        <w:t> </w:t>
      </w:r>
      <w:r w:rsidRPr="00D81D5A">
        <w:rPr>
          <w:rStyle w:val="ssparacontent"/>
          <w:szCs w:val="26"/>
        </w:rPr>
        <w:t xml:space="preserve">474.)  This ruling was subsequently adopted in </w:t>
      </w:r>
      <w:r w:rsidRPr="00D81D5A">
        <w:rPr>
          <w:rStyle w:val="ssparacontent"/>
          <w:i/>
          <w:szCs w:val="26"/>
        </w:rPr>
        <w:t xml:space="preserve">Salus v. San Diego County Employees Retirement Assn. </w:t>
      </w:r>
      <w:r w:rsidRPr="00D81D5A">
        <w:rPr>
          <w:rStyle w:val="ssparacontent"/>
          <w:szCs w:val="26"/>
        </w:rPr>
        <w:t>(2004) 117</w:t>
      </w:r>
      <w:r w:rsidR="00E33818">
        <w:rPr>
          <w:rStyle w:val="ssparacontent"/>
          <w:szCs w:val="26"/>
        </w:rPr>
        <w:t> </w:t>
      </w:r>
      <w:r w:rsidRPr="00D81D5A">
        <w:rPr>
          <w:rStyle w:val="ssparacontent"/>
          <w:szCs w:val="26"/>
        </w:rPr>
        <w:t>Cal.App.4th 734, 740</w:t>
      </w:r>
      <w:r w:rsidR="00081DDD">
        <w:rPr>
          <w:rStyle w:val="ssparacontent"/>
          <w:szCs w:val="26"/>
        </w:rPr>
        <w:t>.</w:t>
      </w:r>
    </w:p>
    <w:p w14:paraId="42278B31" w14:textId="15C2603F" w:rsidR="00F832F3" w:rsidRPr="00D81D5A" w:rsidRDefault="00F832F3" w:rsidP="00D81D5A">
      <w:pPr>
        <w:ind w:firstLine="720"/>
        <w:rPr>
          <w:rStyle w:val="ssparacontent"/>
        </w:rPr>
      </w:pPr>
      <w:r w:rsidRPr="00D81D5A">
        <w:rPr>
          <w:rStyle w:val="ssparacontent"/>
          <w:szCs w:val="26"/>
        </w:rPr>
        <w:t xml:space="preserve">Because </w:t>
      </w:r>
      <w:r w:rsidRPr="00D81D5A">
        <w:rPr>
          <w:rStyle w:val="ssparacontent"/>
          <w:i/>
          <w:szCs w:val="26"/>
        </w:rPr>
        <w:t xml:space="preserve">Retirement Cases </w:t>
      </w:r>
      <w:r w:rsidRPr="00D81D5A">
        <w:rPr>
          <w:rStyle w:val="ssparacontent"/>
          <w:szCs w:val="26"/>
        </w:rPr>
        <w:t xml:space="preserve">and </w:t>
      </w:r>
      <w:r w:rsidRPr="00D81D5A">
        <w:rPr>
          <w:rStyle w:val="ssparacontent"/>
          <w:i/>
          <w:szCs w:val="26"/>
        </w:rPr>
        <w:t xml:space="preserve">Salus </w:t>
      </w:r>
      <w:r w:rsidRPr="00D81D5A">
        <w:rPr>
          <w:rStyle w:val="ssparacontent"/>
          <w:szCs w:val="26"/>
        </w:rPr>
        <w:t xml:space="preserve">remained good law at the time PEPRA was enacted, </w:t>
      </w:r>
      <w:r w:rsidR="00B825BE">
        <w:rPr>
          <w:rStyle w:val="ssparacontent"/>
          <w:szCs w:val="26"/>
        </w:rPr>
        <w:t xml:space="preserve">section 31461, </w:t>
      </w:r>
      <w:r w:rsidRPr="00D81D5A">
        <w:rPr>
          <w:rStyle w:val="ssparacontent"/>
          <w:szCs w:val="26"/>
        </w:rPr>
        <w:t xml:space="preserve">subdivision (b)(4) made no material change in </w:t>
      </w:r>
      <w:r w:rsidR="006D14B9" w:rsidRPr="00D81D5A">
        <w:rPr>
          <w:rStyle w:val="ssparacontent"/>
          <w:szCs w:val="26"/>
        </w:rPr>
        <w:t xml:space="preserve">the implementation of </w:t>
      </w:r>
      <w:r w:rsidRPr="00D81D5A">
        <w:rPr>
          <w:rStyle w:val="ssparacontent"/>
          <w:szCs w:val="26"/>
        </w:rPr>
        <w:t>CERL.  Subdivision (b)(4) addresses “[p]</w:t>
      </w:r>
      <w:proofErr w:type="spellStart"/>
      <w:r w:rsidRPr="00D81D5A">
        <w:rPr>
          <w:rStyle w:val="ssparacontent"/>
          <w:szCs w:val="26"/>
        </w:rPr>
        <w:t>ayments</w:t>
      </w:r>
      <w:proofErr w:type="spellEnd"/>
      <w:r w:rsidRPr="00D81D5A">
        <w:rPr>
          <w:rStyle w:val="ssparacontent"/>
          <w:szCs w:val="26"/>
        </w:rPr>
        <w:t xml:space="preserve"> made at the termination of employment.”  Assuming, as the Court of Appeal concluded (</w:t>
      </w:r>
      <w:r w:rsidRPr="00D81D5A">
        <w:rPr>
          <w:rStyle w:val="ssparacontent"/>
          <w:i/>
          <w:szCs w:val="26"/>
        </w:rPr>
        <w:t>Alameda Sheriffs</w:t>
      </w:r>
      <w:r w:rsidRPr="00D81D5A">
        <w:rPr>
          <w:rStyle w:val="ssparacontent"/>
          <w:szCs w:val="26"/>
        </w:rPr>
        <w:t xml:space="preserve">, </w:t>
      </w:r>
      <w:r w:rsidRPr="00D81D5A">
        <w:rPr>
          <w:rStyle w:val="ssparacontent"/>
          <w:i/>
          <w:szCs w:val="26"/>
        </w:rPr>
        <w:t>supra</w:t>
      </w:r>
      <w:r w:rsidRPr="00D81D5A">
        <w:rPr>
          <w:rStyle w:val="ssparacontent"/>
          <w:szCs w:val="26"/>
        </w:rPr>
        <w:t>, 19 Cal.App.5th at p.</w:t>
      </w:r>
      <w:r w:rsidR="00651217">
        <w:rPr>
          <w:rStyle w:val="ssparacontent"/>
          <w:szCs w:val="26"/>
        </w:rPr>
        <w:t> </w:t>
      </w:r>
      <w:r w:rsidRPr="00D81D5A">
        <w:rPr>
          <w:rStyle w:val="ssparacontent"/>
          <w:szCs w:val="26"/>
        </w:rPr>
        <w:t>104), that this phrase refers to the same type of payments deemed “termina</w:t>
      </w:r>
      <w:r w:rsidR="00081DDD">
        <w:rPr>
          <w:rStyle w:val="ssparacontent"/>
          <w:szCs w:val="26"/>
        </w:rPr>
        <w:t>tion</w:t>
      </w:r>
      <w:r w:rsidRPr="00D81D5A">
        <w:rPr>
          <w:rStyle w:val="ssparacontent"/>
          <w:szCs w:val="26"/>
        </w:rPr>
        <w:t xml:space="preserve"> pay” by </w:t>
      </w:r>
      <w:r w:rsidRPr="00D81D5A">
        <w:rPr>
          <w:rStyle w:val="ssparacontent"/>
          <w:i/>
          <w:szCs w:val="26"/>
        </w:rPr>
        <w:t xml:space="preserve">Retirement Cases </w:t>
      </w:r>
      <w:r w:rsidRPr="00D81D5A">
        <w:rPr>
          <w:rStyle w:val="ssparacontent"/>
          <w:szCs w:val="26"/>
        </w:rPr>
        <w:t xml:space="preserve">and </w:t>
      </w:r>
      <w:r w:rsidRPr="00D81D5A">
        <w:rPr>
          <w:rStyle w:val="ssparacontent"/>
          <w:i/>
          <w:szCs w:val="26"/>
        </w:rPr>
        <w:t>Salus</w:t>
      </w:r>
      <w:r w:rsidRPr="00D81D5A">
        <w:rPr>
          <w:rStyle w:val="ssparacontent"/>
          <w:szCs w:val="26"/>
        </w:rPr>
        <w:t xml:space="preserve"> — that is, payments made after the employment relationship ends —</w:t>
      </w:r>
      <w:r w:rsidRPr="00D81D5A">
        <w:rPr>
          <w:rStyle w:val="ssparacontent"/>
          <w:i/>
          <w:szCs w:val="26"/>
        </w:rPr>
        <w:t xml:space="preserve"> </w:t>
      </w:r>
      <w:r w:rsidRPr="00D81D5A">
        <w:rPr>
          <w:rStyle w:val="ssparacontent"/>
          <w:szCs w:val="26"/>
        </w:rPr>
        <w:t xml:space="preserve">CERL already restricted the </w:t>
      </w:r>
      <w:proofErr w:type="spellStart"/>
      <w:r w:rsidRPr="00D81D5A">
        <w:rPr>
          <w:rStyle w:val="ssparacontent"/>
          <w:szCs w:val="26"/>
        </w:rPr>
        <w:t>pensionability</w:t>
      </w:r>
      <w:proofErr w:type="spellEnd"/>
      <w:r w:rsidRPr="00D81D5A">
        <w:rPr>
          <w:rStyle w:val="ssparacontent"/>
          <w:szCs w:val="26"/>
        </w:rPr>
        <w:t xml:space="preserve"> of termina</w:t>
      </w:r>
      <w:r w:rsidR="001E2452" w:rsidRPr="00D81D5A">
        <w:rPr>
          <w:rStyle w:val="ssparacontent"/>
          <w:szCs w:val="26"/>
        </w:rPr>
        <w:t>tion</w:t>
      </w:r>
      <w:r w:rsidRPr="00D81D5A">
        <w:rPr>
          <w:rStyle w:val="ssparacontent"/>
          <w:szCs w:val="26"/>
        </w:rPr>
        <w:t xml:space="preserve"> pay when PEPRA became law.</w:t>
      </w:r>
      <w:r w:rsidR="00174893" w:rsidRPr="00D81D5A">
        <w:rPr>
          <w:rStyle w:val="FootnoteReference"/>
          <w:szCs w:val="26"/>
        </w:rPr>
        <w:footnoteReference w:id="27"/>
      </w:r>
      <w:r w:rsidRPr="00D81D5A">
        <w:rPr>
          <w:rStyle w:val="ssparacontent"/>
          <w:szCs w:val="26"/>
        </w:rPr>
        <w:t xml:space="preserve">  </w:t>
      </w:r>
      <w:r w:rsidR="00092CDF" w:rsidRPr="00D81D5A">
        <w:rPr>
          <w:rStyle w:val="ssparacontent"/>
          <w:szCs w:val="26"/>
        </w:rPr>
        <w:t>As so interpreted, s</w:t>
      </w:r>
      <w:r w:rsidRPr="00D81D5A">
        <w:rPr>
          <w:rStyle w:val="ssparacontent"/>
          <w:szCs w:val="26"/>
        </w:rPr>
        <w:t>ubdivision (b)(4) did not impair county employee pension rights for purposes of the contract clause.</w:t>
      </w:r>
    </w:p>
    <w:p w14:paraId="0213BD88" w14:textId="77777777" w:rsidR="00F832F3" w:rsidRPr="00D81D5A" w:rsidRDefault="00F832F3" w:rsidP="00D81D5A">
      <w:pPr>
        <w:pStyle w:val="Heading4"/>
      </w:pPr>
      <w:r w:rsidRPr="00D81D5A">
        <w:t>c.  Subdivision (b)(1), (2), and (3) effected a change in CERL</w:t>
      </w:r>
    </w:p>
    <w:p w14:paraId="4A5ABF01" w14:textId="53016958" w:rsidR="00F832F3" w:rsidRPr="00D81D5A" w:rsidRDefault="00F832F3" w:rsidP="00D81D5A">
      <w:pPr>
        <w:pStyle w:val="NormalIndent"/>
        <w:ind w:left="0" w:firstLine="720"/>
        <w:rPr>
          <w:szCs w:val="26"/>
        </w:rPr>
      </w:pPr>
      <w:r w:rsidRPr="00D81D5A">
        <w:rPr>
          <w:szCs w:val="26"/>
        </w:rPr>
        <w:t>We have not located any other pre-PEPRA judicial decision that address</w:t>
      </w:r>
      <w:r w:rsidR="00092CDF" w:rsidRPr="00D81D5A">
        <w:rPr>
          <w:szCs w:val="26"/>
        </w:rPr>
        <w:t>es</w:t>
      </w:r>
      <w:r w:rsidRPr="00D81D5A">
        <w:rPr>
          <w:szCs w:val="26"/>
        </w:rPr>
        <w:t xml:space="preserve"> the inclusion in compensation earnable of the remaining items excluded or limited by the PEPRA amendment.</w:t>
      </w:r>
      <w:r w:rsidRPr="00D81D5A">
        <w:rPr>
          <w:rStyle w:val="FootnoteReference"/>
          <w:szCs w:val="26"/>
        </w:rPr>
        <w:footnoteReference w:id="28"/>
      </w:r>
      <w:r w:rsidRPr="00D81D5A">
        <w:rPr>
          <w:szCs w:val="26"/>
        </w:rPr>
        <w:t xml:space="preserve">  We conclude, however, that the ruling in </w:t>
      </w:r>
      <w:r w:rsidRPr="00D81D5A">
        <w:rPr>
          <w:i/>
          <w:szCs w:val="26"/>
        </w:rPr>
        <w:t xml:space="preserve">Ventura County </w:t>
      </w:r>
      <w:r w:rsidRPr="00D81D5A">
        <w:rPr>
          <w:szCs w:val="26"/>
        </w:rPr>
        <w:t>was sufficiently clear in including within compensation earnable the items of compensation now excluded</w:t>
      </w:r>
      <w:r w:rsidR="003D32E1">
        <w:rPr>
          <w:szCs w:val="26"/>
        </w:rPr>
        <w:t xml:space="preserve"> or limited</w:t>
      </w:r>
      <w:r w:rsidRPr="00D81D5A">
        <w:rPr>
          <w:szCs w:val="26"/>
        </w:rPr>
        <w:t xml:space="preserve"> by </w:t>
      </w:r>
      <w:r w:rsidR="00B825BE">
        <w:rPr>
          <w:szCs w:val="26"/>
        </w:rPr>
        <w:t xml:space="preserve">section 31461, </w:t>
      </w:r>
      <w:r w:rsidRPr="00D81D5A">
        <w:rPr>
          <w:szCs w:val="26"/>
        </w:rPr>
        <w:t xml:space="preserve">subdivision (b)(1) through (3) that these </w:t>
      </w:r>
      <w:r w:rsidR="00B825BE">
        <w:rPr>
          <w:szCs w:val="26"/>
        </w:rPr>
        <w:t>provision</w:t>
      </w:r>
      <w:r w:rsidRPr="00D81D5A">
        <w:rPr>
          <w:szCs w:val="26"/>
        </w:rPr>
        <w:t>s must be considered a change in the law</w:t>
      </w:r>
      <w:r w:rsidR="00306EE2" w:rsidRPr="00D81D5A">
        <w:rPr>
          <w:szCs w:val="26"/>
        </w:rPr>
        <w:t xml:space="preserve"> for purposes of the contract clause</w:t>
      </w:r>
      <w:r w:rsidRPr="00D81D5A">
        <w:rPr>
          <w:szCs w:val="26"/>
        </w:rPr>
        <w:t>.</w:t>
      </w:r>
    </w:p>
    <w:p w14:paraId="165E76D7" w14:textId="03C275B1" w:rsidR="00F832F3" w:rsidRPr="00D81D5A" w:rsidRDefault="00F832F3" w:rsidP="00D81D5A">
      <w:pPr>
        <w:pStyle w:val="NormalIndent"/>
        <w:ind w:left="0" w:firstLine="720"/>
        <w:rPr>
          <w:rStyle w:val="ssparacontent"/>
          <w:szCs w:val="26"/>
        </w:rPr>
      </w:pPr>
      <w:r w:rsidRPr="00D81D5A">
        <w:rPr>
          <w:szCs w:val="26"/>
        </w:rPr>
        <w:t xml:space="preserve">As noted above, </w:t>
      </w:r>
      <w:r w:rsidRPr="00D81D5A">
        <w:rPr>
          <w:i/>
          <w:szCs w:val="26"/>
        </w:rPr>
        <w:t>Ventura County</w:t>
      </w:r>
      <w:r w:rsidRPr="00D81D5A">
        <w:rPr>
          <w:szCs w:val="26"/>
        </w:rPr>
        <w:t>’s</w:t>
      </w:r>
      <w:r w:rsidRPr="00D81D5A">
        <w:rPr>
          <w:i/>
          <w:szCs w:val="26"/>
        </w:rPr>
        <w:t xml:space="preserve"> </w:t>
      </w:r>
      <w:r w:rsidRPr="00D81D5A">
        <w:rPr>
          <w:szCs w:val="26"/>
        </w:rPr>
        <w:t>consideration of these issues was brief and relatively summary</w:t>
      </w:r>
      <w:r w:rsidR="003303B4" w:rsidRPr="00D81D5A">
        <w:rPr>
          <w:szCs w:val="26"/>
        </w:rPr>
        <w:t xml:space="preserve">, but </w:t>
      </w:r>
      <w:r w:rsidRPr="00D81D5A">
        <w:rPr>
          <w:szCs w:val="26"/>
        </w:rPr>
        <w:t>the decision</w:t>
      </w:r>
      <w:r w:rsidR="003303B4" w:rsidRPr="00D81D5A">
        <w:rPr>
          <w:szCs w:val="26"/>
        </w:rPr>
        <w:t xml:space="preserve"> appears to</w:t>
      </w:r>
      <w:r w:rsidRPr="00D81D5A">
        <w:rPr>
          <w:szCs w:val="26"/>
        </w:rPr>
        <w:t xml:space="preserve"> includ</w:t>
      </w:r>
      <w:r w:rsidR="003303B4" w:rsidRPr="00D81D5A">
        <w:rPr>
          <w:szCs w:val="26"/>
        </w:rPr>
        <w:t>e</w:t>
      </w:r>
      <w:r w:rsidRPr="00D81D5A">
        <w:rPr>
          <w:szCs w:val="26"/>
        </w:rPr>
        <w:t xml:space="preserve"> the items excluded</w:t>
      </w:r>
      <w:r w:rsidR="003D32E1">
        <w:rPr>
          <w:szCs w:val="26"/>
        </w:rPr>
        <w:t xml:space="preserve"> or limited</w:t>
      </w:r>
      <w:r w:rsidRPr="00D81D5A">
        <w:rPr>
          <w:szCs w:val="26"/>
        </w:rPr>
        <w:t xml:space="preserve"> by the PEPRA amendment within the definition of compensation earnable.  The decision began with a consideration of CERL’s definition of “compensation” in section 31640, which concluded that the definition includes virtually any item of cash compensation received by a county employee.  As the court explained, “[w]hen paid in cash, the payment is remuneration and, as it is not excluded, it is ‘compensation’ under section 31460.”  (</w:t>
      </w:r>
      <w:r w:rsidR="00B825BE">
        <w:rPr>
          <w:i/>
          <w:iCs/>
          <w:szCs w:val="26"/>
        </w:rPr>
        <w:t>Ventura County</w:t>
      </w:r>
      <w:r w:rsidR="00B825BE">
        <w:rPr>
          <w:szCs w:val="26"/>
        </w:rPr>
        <w:t xml:space="preserve">, </w:t>
      </w:r>
      <w:r w:rsidR="00B825BE">
        <w:rPr>
          <w:i/>
          <w:iCs/>
          <w:szCs w:val="26"/>
        </w:rPr>
        <w:t>supra</w:t>
      </w:r>
      <w:r w:rsidR="00B825BE">
        <w:rPr>
          <w:szCs w:val="26"/>
        </w:rPr>
        <w:t>,</w:t>
      </w:r>
      <w:r w:rsidR="00B825BE">
        <w:rPr>
          <w:i/>
          <w:iCs/>
          <w:szCs w:val="26"/>
        </w:rPr>
        <w:t xml:space="preserve"> </w:t>
      </w:r>
      <w:r w:rsidR="00092CDF" w:rsidRPr="00D81D5A">
        <w:rPr>
          <w:szCs w:val="26"/>
        </w:rPr>
        <w:t>16</w:t>
      </w:r>
      <w:r w:rsidR="00E33818">
        <w:rPr>
          <w:szCs w:val="26"/>
        </w:rPr>
        <w:t> </w:t>
      </w:r>
      <w:r w:rsidRPr="00D81D5A">
        <w:rPr>
          <w:szCs w:val="26"/>
        </w:rPr>
        <w:t>Cal.4th at p.</w:t>
      </w:r>
      <w:r w:rsidR="00F66BBA" w:rsidRPr="00D81D5A">
        <w:rPr>
          <w:szCs w:val="26"/>
        </w:rPr>
        <w:t> </w:t>
      </w:r>
      <w:r w:rsidRPr="00D81D5A">
        <w:rPr>
          <w:rStyle w:val="ssparacontent"/>
          <w:szCs w:val="26"/>
        </w:rPr>
        <w:t xml:space="preserve">497.)  </w:t>
      </w:r>
      <w:r w:rsidRPr="00D81D5A">
        <w:rPr>
          <w:szCs w:val="26"/>
        </w:rPr>
        <w:t>Although that sentence related specifically to “cash payments made in lieu of providing the same advantages in kind</w:t>
      </w:r>
      <w:r w:rsidR="009D7F91">
        <w:rPr>
          <w:szCs w:val="26"/>
        </w:rPr>
        <w:t>” (</w:t>
      </w:r>
      <w:r w:rsidR="009D7F91">
        <w:rPr>
          <w:i/>
          <w:iCs/>
          <w:szCs w:val="26"/>
        </w:rPr>
        <w:t>ibid</w:t>
      </w:r>
      <w:r w:rsidR="009D7F91">
        <w:rPr>
          <w:szCs w:val="26"/>
        </w:rPr>
        <w:t>.),</w:t>
      </w:r>
      <w:r w:rsidRPr="00D81D5A">
        <w:rPr>
          <w:szCs w:val="26"/>
        </w:rPr>
        <w:t xml:space="preserve"> it captures the court’s general ruling regarding the meaning of “compensation.”</w:t>
      </w:r>
      <w:r w:rsidRPr="00D81D5A">
        <w:rPr>
          <w:rStyle w:val="ssparacontent"/>
          <w:szCs w:val="26"/>
        </w:rPr>
        <w:t xml:space="preserve">  This term, of course, is the foundation for compensation earnable, which is defined as “the average </w:t>
      </w:r>
      <w:r w:rsidRPr="00D81D5A">
        <w:rPr>
          <w:rStyle w:val="ssparacontent"/>
          <w:i/>
          <w:szCs w:val="26"/>
        </w:rPr>
        <w:t>compensation</w:t>
      </w:r>
      <w:r w:rsidRPr="00D81D5A">
        <w:rPr>
          <w:rStyle w:val="ssparacontent"/>
          <w:szCs w:val="26"/>
        </w:rPr>
        <w:t xml:space="preserve"> . . . for the period under consideration</w:t>
      </w:r>
      <w:r w:rsidR="009D7F91">
        <w:rPr>
          <w:rStyle w:val="ssparacontent"/>
          <w:szCs w:val="26"/>
        </w:rPr>
        <w:t>.</w:t>
      </w:r>
      <w:r w:rsidRPr="00D81D5A">
        <w:rPr>
          <w:rStyle w:val="ssparacontent"/>
          <w:szCs w:val="26"/>
        </w:rPr>
        <w:t>”  (§</w:t>
      </w:r>
      <w:r w:rsidR="00E33818">
        <w:rPr>
          <w:rStyle w:val="ssparacontent"/>
          <w:szCs w:val="26"/>
        </w:rPr>
        <w:t> </w:t>
      </w:r>
      <w:r w:rsidRPr="00D81D5A">
        <w:rPr>
          <w:rStyle w:val="ssparacontent"/>
          <w:szCs w:val="26"/>
        </w:rPr>
        <w:t>31461</w:t>
      </w:r>
      <w:r w:rsidR="006E2E66" w:rsidRPr="00D81D5A">
        <w:rPr>
          <w:rStyle w:val="ssparacontent"/>
          <w:szCs w:val="26"/>
        </w:rPr>
        <w:t xml:space="preserve">, </w:t>
      </w:r>
      <w:proofErr w:type="spellStart"/>
      <w:r w:rsidR="009D7F91">
        <w:rPr>
          <w:rStyle w:val="ssparacontent"/>
          <w:szCs w:val="26"/>
        </w:rPr>
        <w:t>subd</w:t>
      </w:r>
      <w:proofErr w:type="spellEnd"/>
      <w:r w:rsidR="009D7F91">
        <w:rPr>
          <w:rStyle w:val="ssparacontent"/>
          <w:szCs w:val="26"/>
        </w:rPr>
        <w:t xml:space="preserve">. (a), </w:t>
      </w:r>
      <w:r w:rsidR="006E2E66" w:rsidRPr="00D81D5A">
        <w:rPr>
          <w:rStyle w:val="ssparacontent"/>
          <w:szCs w:val="26"/>
        </w:rPr>
        <w:t>italics added</w:t>
      </w:r>
      <w:r w:rsidRPr="00D81D5A">
        <w:rPr>
          <w:rStyle w:val="ssparacontent"/>
          <w:szCs w:val="26"/>
        </w:rPr>
        <w:t xml:space="preserve">.)  Given the broad definition of “compensation” adopted by </w:t>
      </w:r>
      <w:r w:rsidRPr="00D81D5A">
        <w:rPr>
          <w:rStyle w:val="ssparacontent"/>
          <w:i/>
          <w:szCs w:val="26"/>
        </w:rPr>
        <w:t xml:space="preserve">Ventura County </w:t>
      </w:r>
      <w:r w:rsidRPr="00D81D5A">
        <w:rPr>
          <w:rStyle w:val="ssparacontent"/>
          <w:szCs w:val="26"/>
        </w:rPr>
        <w:t xml:space="preserve">and the </w:t>
      </w:r>
      <w:r w:rsidR="00092CDF" w:rsidRPr="00D81D5A">
        <w:rPr>
          <w:rStyle w:val="ssparacontent"/>
          <w:szCs w:val="26"/>
        </w:rPr>
        <w:t>absence</w:t>
      </w:r>
      <w:r w:rsidRPr="00D81D5A">
        <w:rPr>
          <w:rStyle w:val="ssparacontent"/>
          <w:szCs w:val="26"/>
        </w:rPr>
        <w:t xml:space="preserve"> of any limitations on that term as it is used in section 31461, it is reasonable to construe the decision as holding that compensation provided as cash remuneration, if not expressly excluded from compensation earnable, is included in that term.  Because none of the items excluded or limited by subdivision (b)(1) through (3) was excluded prior to PEPRA, the exclusion of those items must be regarded as a change in the law.</w:t>
      </w:r>
    </w:p>
    <w:p w14:paraId="4101C8AF" w14:textId="2E30F240" w:rsidR="00F832F3" w:rsidRPr="00D81D5A" w:rsidRDefault="00F832F3" w:rsidP="00D81D5A">
      <w:pPr>
        <w:pStyle w:val="NormalIndent"/>
        <w:ind w:left="0" w:firstLine="720"/>
        <w:rPr>
          <w:szCs w:val="26"/>
        </w:rPr>
      </w:pPr>
      <w:r w:rsidRPr="00D81D5A">
        <w:rPr>
          <w:rStyle w:val="ssparacontent"/>
          <w:szCs w:val="26"/>
        </w:rPr>
        <w:t xml:space="preserve">Our discussion </w:t>
      </w:r>
      <w:r w:rsidR="00306EE2" w:rsidRPr="00D81D5A">
        <w:rPr>
          <w:rStyle w:val="ssparacontent"/>
          <w:szCs w:val="26"/>
        </w:rPr>
        <w:t xml:space="preserve">in </w:t>
      </w:r>
      <w:r w:rsidR="00306EE2" w:rsidRPr="00D81D5A">
        <w:rPr>
          <w:rStyle w:val="ssparacontent"/>
          <w:i/>
          <w:szCs w:val="26"/>
        </w:rPr>
        <w:t xml:space="preserve">Ventura County </w:t>
      </w:r>
      <w:r w:rsidRPr="00D81D5A">
        <w:rPr>
          <w:rStyle w:val="ssparacontent"/>
          <w:szCs w:val="26"/>
        </w:rPr>
        <w:t xml:space="preserve">of the specific items of compensation </w:t>
      </w:r>
      <w:r w:rsidR="00306EE2" w:rsidRPr="00D81D5A">
        <w:rPr>
          <w:rStyle w:val="ssparacontent"/>
          <w:szCs w:val="26"/>
        </w:rPr>
        <w:t xml:space="preserve">there </w:t>
      </w:r>
      <w:r w:rsidRPr="00D81D5A">
        <w:rPr>
          <w:rStyle w:val="ssparacontent"/>
          <w:szCs w:val="26"/>
        </w:rPr>
        <w:t xml:space="preserve">at issue </w:t>
      </w:r>
      <w:r w:rsidR="00306EE2" w:rsidRPr="00D81D5A">
        <w:rPr>
          <w:rStyle w:val="ssparacontent"/>
          <w:szCs w:val="26"/>
        </w:rPr>
        <w:t>i</w:t>
      </w:r>
      <w:r w:rsidRPr="00D81D5A">
        <w:rPr>
          <w:rStyle w:val="ssparacontent"/>
          <w:szCs w:val="26"/>
        </w:rPr>
        <w:t>s consistent with this interpretation.  As noted above, the court held that all of the “premiums in dispute” are included within compensation earnable, presumably referring to all of the items put at issue by plaintiffs.</w:t>
      </w:r>
      <w:r w:rsidR="00FD5864" w:rsidRPr="00D81D5A">
        <w:rPr>
          <w:rStyle w:val="ssparacontent"/>
          <w:szCs w:val="26"/>
        </w:rPr>
        <w:t xml:space="preserve">  </w:t>
      </w:r>
      <w:r w:rsidR="00FD5864" w:rsidRPr="00D81D5A">
        <w:rPr>
          <w:szCs w:val="26"/>
        </w:rPr>
        <w:t>(</w:t>
      </w:r>
      <w:r w:rsidR="00B825BE">
        <w:rPr>
          <w:i/>
          <w:szCs w:val="26"/>
        </w:rPr>
        <w:t>Ventura County</w:t>
      </w:r>
      <w:r w:rsidR="00FD5864" w:rsidRPr="00D81D5A">
        <w:rPr>
          <w:szCs w:val="26"/>
        </w:rPr>
        <w:t xml:space="preserve">, </w:t>
      </w:r>
      <w:r w:rsidR="00FD5864" w:rsidRPr="00D81D5A">
        <w:rPr>
          <w:i/>
          <w:szCs w:val="26"/>
        </w:rPr>
        <w:t>supra</w:t>
      </w:r>
      <w:r w:rsidR="00FD5864" w:rsidRPr="00D81D5A">
        <w:rPr>
          <w:szCs w:val="26"/>
        </w:rPr>
        <w:t>, 16 Cal.4th at p.</w:t>
      </w:r>
      <w:r w:rsidR="007F7629">
        <w:rPr>
          <w:rStyle w:val="ssparacontent"/>
          <w:szCs w:val="26"/>
        </w:rPr>
        <w:t> </w:t>
      </w:r>
      <w:r w:rsidR="00FD5864" w:rsidRPr="00D81D5A">
        <w:rPr>
          <w:rStyle w:val="ssparacontent"/>
          <w:szCs w:val="26"/>
        </w:rPr>
        <w:t>505.)</w:t>
      </w:r>
      <w:r w:rsidR="00FD5864" w:rsidRPr="00D81D5A">
        <w:rPr>
          <w:szCs w:val="26"/>
        </w:rPr>
        <w:t xml:space="preserve"> </w:t>
      </w:r>
      <w:r w:rsidR="00FD5864" w:rsidRPr="00D81D5A">
        <w:rPr>
          <w:i/>
          <w:szCs w:val="26"/>
        </w:rPr>
        <w:t xml:space="preserve"> </w:t>
      </w:r>
      <w:r w:rsidR="009D7F91">
        <w:rPr>
          <w:rStyle w:val="ssparacontent"/>
          <w:szCs w:val="26"/>
        </w:rPr>
        <w:t>T</w:t>
      </w:r>
      <w:r w:rsidRPr="00D81D5A">
        <w:rPr>
          <w:rStyle w:val="ssparacontent"/>
          <w:szCs w:val="26"/>
        </w:rPr>
        <w:t>hose items included</w:t>
      </w:r>
      <w:r w:rsidR="009D7F91">
        <w:rPr>
          <w:rStyle w:val="ssparacontent"/>
          <w:szCs w:val="26"/>
        </w:rPr>
        <w:t>, among others,</w:t>
      </w:r>
      <w:r w:rsidRPr="00D81D5A">
        <w:rPr>
          <w:rStyle w:val="ssparacontent"/>
          <w:szCs w:val="26"/>
        </w:rPr>
        <w:t xml:space="preserve"> “</w:t>
      </w:r>
      <w:r w:rsidRPr="00D81D5A">
        <w:rPr>
          <w:szCs w:val="26"/>
        </w:rPr>
        <w:t>additional compensation for scheduled meal periods for designated employees, pay in lieu of annual leave accrual, holiday pay, . . . [and] a longevity incentive.”  (</w:t>
      </w:r>
      <w:r w:rsidRPr="00D81D5A">
        <w:rPr>
          <w:i/>
          <w:szCs w:val="26"/>
        </w:rPr>
        <w:t>Id</w:t>
      </w:r>
      <w:r w:rsidRPr="00D81D5A">
        <w:rPr>
          <w:szCs w:val="26"/>
        </w:rPr>
        <w:t xml:space="preserve">. at pp. </w:t>
      </w:r>
      <w:r w:rsidRPr="00D81D5A">
        <w:rPr>
          <w:rStyle w:val="ssparacontent"/>
          <w:szCs w:val="26"/>
        </w:rPr>
        <w:t>488</w:t>
      </w:r>
      <w:r w:rsidR="00427AF8">
        <w:rPr>
          <w:rStyle w:val="ssparacontent"/>
          <w:szCs w:val="26"/>
        </w:rPr>
        <w:t>–</w:t>
      </w:r>
      <w:r w:rsidRPr="00D81D5A">
        <w:rPr>
          <w:rStyle w:val="ssparacontent"/>
          <w:szCs w:val="26"/>
        </w:rPr>
        <w:t>489</w:t>
      </w:r>
      <w:r w:rsidR="00B825BE">
        <w:rPr>
          <w:rStyle w:val="ssparacontent"/>
          <w:szCs w:val="26"/>
        </w:rPr>
        <w:t xml:space="preserve">; see </w:t>
      </w:r>
      <w:r w:rsidR="00B825BE">
        <w:rPr>
          <w:rStyle w:val="ssparacontent"/>
          <w:i/>
          <w:iCs/>
          <w:szCs w:val="26"/>
        </w:rPr>
        <w:t>id</w:t>
      </w:r>
      <w:r w:rsidR="00B825BE">
        <w:rPr>
          <w:rStyle w:val="ssparacontent"/>
          <w:szCs w:val="26"/>
        </w:rPr>
        <w:t>. at pp. 488</w:t>
      </w:r>
      <w:r w:rsidR="00427AF8">
        <w:rPr>
          <w:rStyle w:val="ssparacontent"/>
          <w:szCs w:val="26"/>
        </w:rPr>
        <w:t>–</w:t>
      </w:r>
      <w:r w:rsidR="00B825BE">
        <w:rPr>
          <w:rStyle w:val="ssparacontent"/>
          <w:szCs w:val="26"/>
        </w:rPr>
        <w:t>489,</w:t>
      </w:r>
      <w:r w:rsidRPr="00D81D5A">
        <w:rPr>
          <w:rStyle w:val="ssparacontent"/>
          <w:szCs w:val="26"/>
        </w:rPr>
        <w:t xml:space="preserve"> </w:t>
      </w:r>
      <w:proofErr w:type="spellStart"/>
      <w:r w:rsidRPr="00D81D5A">
        <w:rPr>
          <w:rStyle w:val="ssparacontent"/>
          <w:szCs w:val="26"/>
        </w:rPr>
        <w:t>fns</w:t>
      </w:r>
      <w:proofErr w:type="spellEnd"/>
      <w:r w:rsidRPr="00D81D5A">
        <w:rPr>
          <w:rStyle w:val="ssparacontent"/>
          <w:szCs w:val="26"/>
        </w:rPr>
        <w:t xml:space="preserve">. 6, 7, 11 &amp; 12.)  These items are similar to those </w:t>
      </w:r>
      <w:r w:rsidR="00092CDF" w:rsidRPr="00D81D5A">
        <w:rPr>
          <w:rStyle w:val="ssparacontent"/>
          <w:szCs w:val="26"/>
        </w:rPr>
        <w:t xml:space="preserve">subsequently </w:t>
      </w:r>
      <w:r w:rsidRPr="00D81D5A">
        <w:rPr>
          <w:rStyle w:val="ssparacontent"/>
          <w:szCs w:val="26"/>
        </w:rPr>
        <w:t xml:space="preserve">excluded or limited </w:t>
      </w:r>
      <w:r w:rsidRPr="00D81D5A">
        <w:rPr>
          <w:szCs w:val="26"/>
        </w:rPr>
        <w:t xml:space="preserve">by </w:t>
      </w:r>
      <w:r w:rsidR="00B7654D">
        <w:rPr>
          <w:szCs w:val="26"/>
        </w:rPr>
        <w:t xml:space="preserve">section 31461, </w:t>
      </w:r>
      <w:r w:rsidRPr="00D81D5A">
        <w:rPr>
          <w:szCs w:val="26"/>
        </w:rPr>
        <w:t>subdivision (b)(2) and (3)</w:t>
      </w:r>
      <w:r w:rsidR="00092CDF" w:rsidRPr="00D81D5A">
        <w:rPr>
          <w:szCs w:val="26"/>
        </w:rPr>
        <w:t xml:space="preserve"> —</w:t>
      </w:r>
      <w:r w:rsidRPr="00D81D5A">
        <w:rPr>
          <w:szCs w:val="26"/>
        </w:rPr>
        <w:t xml:space="preserve"> and</w:t>
      </w:r>
      <w:r w:rsidR="00092CDF" w:rsidRPr="00D81D5A">
        <w:rPr>
          <w:szCs w:val="26"/>
        </w:rPr>
        <w:t xml:space="preserve"> yet</w:t>
      </w:r>
      <w:r w:rsidRPr="00D81D5A">
        <w:rPr>
          <w:szCs w:val="26"/>
        </w:rPr>
        <w:t xml:space="preserve"> </w:t>
      </w:r>
      <w:r w:rsidRPr="00D81D5A">
        <w:rPr>
          <w:i/>
          <w:szCs w:val="26"/>
        </w:rPr>
        <w:t xml:space="preserve">Ventura County </w:t>
      </w:r>
      <w:r w:rsidR="00C85B83" w:rsidRPr="00D81D5A">
        <w:rPr>
          <w:szCs w:val="26"/>
        </w:rPr>
        <w:t xml:space="preserve">had </w:t>
      </w:r>
      <w:r w:rsidRPr="00D81D5A">
        <w:rPr>
          <w:szCs w:val="26"/>
        </w:rPr>
        <w:t>ruled that they are included within compensation earnable.</w:t>
      </w:r>
    </w:p>
    <w:p w14:paraId="7C7CAC59" w14:textId="5AFA915B" w:rsidR="00F832F3" w:rsidRPr="00D81D5A" w:rsidRDefault="00F832F3" w:rsidP="00D81D5A">
      <w:pPr>
        <w:pStyle w:val="NormalIndent"/>
        <w:ind w:left="0" w:firstLine="720"/>
        <w:rPr>
          <w:szCs w:val="26"/>
        </w:rPr>
      </w:pPr>
      <w:r w:rsidRPr="00D81D5A">
        <w:rPr>
          <w:szCs w:val="26"/>
        </w:rPr>
        <w:t>Defendants argue that CERL had never permitted the inclusion in compensation earnable of the various items of compensation excluded</w:t>
      </w:r>
      <w:r w:rsidR="003D32E1">
        <w:rPr>
          <w:szCs w:val="26"/>
        </w:rPr>
        <w:t xml:space="preserve"> or limited</w:t>
      </w:r>
      <w:r w:rsidRPr="00D81D5A">
        <w:rPr>
          <w:szCs w:val="26"/>
        </w:rPr>
        <w:t xml:space="preserve"> by </w:t>
      </w:r>
      <w:r w:rsidR="00B7654D">
        <w:rPr>
          <w:szCs w:val="26"/>
        </w:rPr>
        <w:t xml:space="preserve">section 31461, </w:t>
      </w:r>
      <w:r w:rsidRPr="00D81D5A">
        <w:rPr>
          <w:szCs w:val="26"/>
        </w:rPr>
        <w:t xml:space="preserve">subdivision (b)(1) to (3).  The argument is not based on </w:t>
      </w:r>
      <w:r w:rsidRPr="00D81D5A">
        <w:rPr>
          <w:i/>
          <w:szCs w:val="26"/>
        </w:rPr>
        <w:t xml:space="preserve">Ventura County </w:t>
      </w:r>
      <w:r w:rsidRPr="00D81D5A">
        <w:rPr>
          <w:szCs w:val="26"/>
        </w:rPr>
        <w:t xml:space="preserve">or any other judicial interpretation of CERL, but rather on defendants’ own interpretations of the language of the governing statutes.  </w:t>
      </w:r>
      <w:r w:rsidR="00887CB4" w:rsidRPr="00D81D5A">
        <w:rPr>
          <w:szCs w:val="26"/>
        </w:rPr>
        <w:t>I</w:t>
      </w:r>
      <w:r w:rsidRPr="00D81D5A">
        <w:rPr>
          <w:szCs w:val="26"/>
        </w:rPr>
        <w:t>n effect,</w:t>
      </w:r>
      <w:r w:rsidR="00887CB4" w:rsidRPr="00D81D5A">
        <w:rPr>
          <w:szCs w:val="26"/>
        </w:rPr>
        <w:t xml:space="preserve"> they argue, </w:t>
      </w:r>
      <w:r w:rsidR="00F348E3" w:rsidRPr="00D81D5A">
        <w:rPr>
          <w:szCs w:val="26"/>
        </w:rPr>
        <w:t xml:space="preserve">the pre-PEPRA provisions of </w:t>
      </w:r>
      <w:r w:rsidRPr="00D81D5A">
        <w:rPr>
          <w:szCs w:val="26"/>
        </w:rPr>
        <w:t xml:space="preserve">CERL </w:t>
      </w:r>
      <w:r w:rsidRPr="00D81D5A">
        <w:rPr>
          <w:i/>
          <w:szCs w:val="26"/>
        </w:rPr>
        <w:t xml:space="preserve">should </w:t>
      </w:r>
      <w:r w:rsidR="002F2807" w:rsidRPr="00D81D5A">
        <w:rPr>
          <w:i/>
          <w:szCs w:val="26"/>
        </w:rPr>
        <w:t xml:space="preserve">have </w:t>
      </w:r>
      <w:r w:rsidRPr="00D81D5A">
        <w:rPr>
          <w:i/>
          <w:szCs w:val="26"/>
        </w:rPr>
        <w:t>be</w:t>
      </w:r>
      <w:r w:rsidR="002F2807" w:rsidRPr="00D81D5A">
        <w:rPr>
          <w:i/>
          <w:szCs w:val="26"/>
        </w:rPr>
        <w:t>en</w:t>
      </w:r>
      <w:r w:rsidRPr="00D81D5A">
        <w:rPr>
          <w:i/>
          <w:szCs w:val="26"/>
        </w:rPr>
        <w:t xml:space="preserve"> </w:t>
      </w:r>
      <w:r w:rsidRPr="00D81D5A">
        <w:rPr>
          <w:szCs w:val="26"/>
        </w:rPr>
        <w:t xml:space="preserve">interpreted to exclude these items.  Even assuming their interpretive arguments have merit, our consideration of a change in the law must focus on how the governing statutes </w:t>
      </w:r>
      <w:r w:rsidRPr="00D81D5A">
        <w:rPr>
          <w:i/>
          <w:szCs w:val="26"/>
        </w:rPr>
        <w:t xml:space="preserve">were </w:t>
      </w:r>
      <w:r w:rsidRPr="00D81D5A">
        <w:rPr>
          <w:szCs w:val="26"/>
        </w:rPr>
        <w:t>interpreted, not how they might</w:t>
      </w:r>
      <w:r w:rsidR="002F2807" w:rsidRPr="00D81D5A">
        <w:rPr>
          <w:szCs w:val="26"/>
        </w:rPr>
        <w:t xml:space="preserve"> </w:t>
      </w:r>
      <w:r w:rsidRPr="00D81D5A">
        <w:rPr>
          <w:szCs w:val="26"/>
        </w:rPr>
        <w:t>have been interpreted.  Our contract clause jurisprudence is designed, at least in part, to protect the reasonable expectations of public employees covered by the pension plan.  (</w:t>
      </w:r>
      <w:r w:rsidRPr="00D81D5A">
        <w:rPr>
          <w:i/>
          <w:szCs w:val="26"/>
        </w:rPr>
        <w:t>Betts</w:t>
      </w:r>
      <w:r w:rsidRPr="00D81D5A">
        <w:rPr>
          <w:szCs w:val="26"/>
        </w:rPr>
        <w:t xml:space="preserve">, </w:t>
      </w:r>
      <w:r w:rsidRPr="00D81D5A">
        <w:rPr>
          <w:i/>
          <w:szCs w:val="26"/>
        </w:rPr>
        <w:t>supra</w:t>
      </w:r>
      <w:r w:rsidRPr="00D81D5A">
        <w:rPr>
          <w:szCs w:val="26"/>
        </w:rPr>
        <w:t>,</w:t>
      </w:r>
      <w:r w:rsidRPr="00D81D5A">
        <w:rPr>
          <w:i/>
          <w:szCs w:val="26"/>
        </w:rPr>
        <w:t xml:space="preserve"> </w:t>
      </w:r>
      <w:r w:rsidRPr="00D81D5A">
        <w:rPr>
          <w:szCs w:val="26"/>
        </w:rPr>
        <w:t>21 Cal.3d at p.</w:t>
      </w:r>
      <w:r w:rsidR="00E33818">
        <w:rPr>
          <w:szCs w:val="26"/>
        </w:rPr>
        <w:t> </w:t>
      </w:r>
      <w:r w:rsidRPr="00D81D5A">
        <w:rPr>
          <w:szCs w:val="26"/>
        </w:rPr>
        <w:t xml:space="preserve">866; see </w:t>
      </w:r>
      <w:r w:rsidRPr="00D81D5A">
        <w:rPr>
          <w:i/>
          <w:szCs w:val="26"/>
        </w:rPr>
        <w:t>Cal Fire</w:t>
      </w:r>
      <w:r w:rsidRPr="00D81D5A">
        <w:rPr>
          <w:szCs w:val="26"/>
        </w:rPr>
        <w:t xml:space="preserve">, </w:t>
      </w:r>
      <w:r w:rsidRPr="00D81D5A">
        <w:rPr>
          <w:i/>
          <w:szCs w:val="26"/>
        </w:rPr>
        <w:t>supra</w:t>
      </w:r>
      <w:r w:rsidRPr="00D81D5A">
        <w:rPr>
          <w:szCs w:val="26"/>
        </w:rPr>
        <w:t xml:space="preserve">, 6 Cal.5th at p. 989, fn. 14.)  Those reasonable expectations are defined not only by the statutes themselves, but also by judicial interpretations of those statutes.  Employees can reasonably expect their pensions to be calculated according to existing judicial interpretations, at least until those interpretations are limited or overruled by subsequent authority.  Because, as discussed above, </w:t>
      </w:r>
      <w:r w:rsidRPr="00D81D5A">
        <w:rPr>
          <w:i/>
          <w:szCs w:val="26"/>
        </w:rPr>
        <w:t xml:space="preserve">Ventura County </w:t>
      </w:r>
      <w:r w:rsidRPr="00D81D5A">
        <w:rPr>
          <w:szCs w:val="26"/>
        </w:rPr>
        <w:t xml:space="preserve">adopted a broad interpretation of compensation earnable and because that interpretation was never changed or otherwise limited by subsequent judicial or statutory authority prior to PEPRA, we measure the PEPRA amendment against that interpretation, not by a different </w:t>
      </w:r>
      <w:r w:rsidR="001B2DE3" w:rsidRPr="00D81D5A">
        <w:rPr>
          <w:szCs w:val="26"/>
        </w:rPr>
        <w:t>interpretation</w:t>
      </w:r>
      <w:r w:rsidRPr="00D81D5A">
        <w:rPr>
          <w:szCs w:val="26"/>
        </w:rPr>
        <w:t xml:space="preserve"> that might have been adopted.</w:t>
      </w:r>
      <w:r w:rsidRPr="00D81D5A">
        <w:rPr>
          <w:rStyle w:val="FootnoteReference"/>
          <w:rFonts w:eastAsia="Calibri"/>
          <w:szCs w:val="26"/>
        </w:rPr>
        <w:footnoteReference w:id="29"/>
      </w:r>
    </w:p>
    <w:p w14:paraId="55ECDD2C" w14:textId="40588D23" w:rsidR="00F832F3" w:rsidRPr="00D81D5A" w:rsidRDefault="00F832F3" w:rsidP="00D81D5A">
      <w:pPr>
        <w:autoSpaceDE w:val="0"/>
        <w:autoSpaceDN w:val="0"/>
        <w:adjustRightInd w:val="0"/>
        <w:ind w:firstLine="720"/>
        <w:rPr>
          <w:rFonts w:eastAsia="Calibri"/>
          <w:szCs w:val="26"/>
        </w:rPr>
      </w:pPr>
      <w:r w:rsidRPr="00D81D5A">
        <w:rPr>
          <w:szCs w:val="26"/>
        </w:rPr>
        <w:t xml:space="preserve">The District, for example, relies on an argument made to the Contra Costa County retirement board by its outside counsel, who opined that the term “final compensation” should be interpreted to limit the inclusion of cashed out leave time to leave time actually earned by the employee during a final compensation year.  </w:t>
      </w:r>
      <w:r w:rsidR="00C85B83" w:rsidRPr="00D81D5A">
        <w:rPr>
          <w:szCs w:val="26"/>
        </w:rPr>
        <w:t>Although</w:t>
      </w:r>
      <w:r w:rsidRPr="00D81D5A">
        <w:rPr>
          <w:szCs w:val="26"/>
        </w:rPr>
        <w:t xml:space="preserve"> we might have accepted that argument had it been presented in </w:t>
      </w:r>
      <w:r w:rsidRPr="00D81D5A">
        <w:rPr>
          <w:i/>
          <w:szCs w:val="26"/>
        </w:rPr>
        <w:t>Ventura County</w:t>
      </w:r>
      <w:r w:rsidRPr="00D81D5A">
        <w:rPr>
          <w:szCs w:val="26"/>
        </w:rPr>
        <w:t xml:space="preserve">, it was not.  Our decision was unqualified in this regard.  Similarly, the State argues that the compensation excluded by </w:t>
      </w:r>
      <w:r w:rsidR="00B7654D">
        <w:rPr>
          <w:szCs w:val="26"/>
        </w:rPr>
        <w:t xml:space="preserve">section 31461, </w:t>
      </w:r>
      <w:r w:rsidRPr="00D81D5A">
        <w:rPr>
          <w:szCs w:val="26"/>
        </w:rPr>
        <w:t>subdivision (b)(1) was “never pensionable” under CERL because “</w:t>
      </w:r>
      <w:r w:rsidRPr="00D81D5A">
        <w:rPr>
          <w:rFonts w:eastAsia="Calibri"/>
          <w:szCs w:val="26"/>
        </w:rPr>
        <w:t>the idea of basing a public employee’s pension on payments intended to spike the member</w:t>
      </w:r>
      <w:r w:rsidR="006E2E66" w:rsidRPr="00D81D5A">
        <w:rPr>
          <w:rFonts w:eastAsia="Calibri"/>
          <w:szCs w:val="26"/>
        </w:rPr>
        <w:t>’</w:t>
      </w:r>
      <w:r w:rsidRPr="00D81D5A">
        <w:rPr>
          <w:rFonts w:eastAsia="Calibri"/>
          <w:szCs w:val="26"/>
        </w:rPr>
        <w:t xml:space="preserve">s retirement benefit, and not exclusively on compensation for faithful service, contradicts the fundamental theory of a pension system.”  </w:t>
      </w:r>
      <w:r w:rsidR="003303B4" w:rsidRPr="00D81D5A">
        <w:rPr>
          <w:rFonts w:eastAsia="Calibri"/>
          <w:szCs w:val="26"/>
        </w:rPr>
        <w:t>Although</w:t>
      </w:r>
      <w:r w:rsidRPr="00D81D5A">
        <w:rPr>
          <w:rFonts w:eastAsia="Calibri"/>
          <w:szCs w:val="26"/>
        </w:rPr>
        <w:t xml:space="preserve"> this is a</w:t>
      </w:r>
      <w:r w:rsidR="00014624" w:rsidRPr="00D81D5A">
        <w:rPr>
          <w:rFonts w:eastAsia="Calibri"/>
          <w:szCs w:val="26"/>
        </w:rPr>
        <w:t>nother</w:t>
      </w:r>
      <w:r w:rsidRPr="00D81D5A">
        <w:rPr>
          <w:rFonts w:eastAsia="Calibri"/>
          <w:szCs w:val="26"/>
        </w:rPr>
        <w:t xml:space="preserve"> </w:t>
      </w:r>
      <w:r w:rsidR="003303B4" w:rsidRPr="00D81D5A">
        <w:rPr>
          <w:rFonts w:eastAsia="Calibri"/>
          <w:szCs w:val="26"/>
        </w:rPr>
        <w:t>plausible</w:t>
      </w:r>
      <w:r w:rsidRPr="00D81D5A">
        <w:rPr>
          <w:rFonts w:eastAsia="Calibri"/>
          <w:szCs w:val="26"/>
        </w:rPr>
        <w:t xml:space="preserve"> argument, </w:t>
      </w:r>
      <w:r w:rsidRPr="00D81D5A">
        <w:rPr>
          <w:rFonts w:eastAsia="Calibri"/>
          <w:i/>
          <w:szCs w:val="26"/>
        </w:rPr>
        <w:t xml:space="preserve">Ventura County </w:t>
      </w:r>
      <w:r w:rsidRPr="00D81D5A">
        <w:rPr>
          <w:rFonts w:eastAsia="Calibri"/>
          <w:szCs w:val="26"/>
        </w:rPr>
        <w:t xml:space="preserve">made no such exception in its general ruling that compensation earnable includes all non-excluded cash remuneration.  The State’s arguments regarding subdivision (b)(2) and (3) similarly rely on its own statutory constructions, rather than the actual ruling of </w:t>
      </w:r>
      <w:r w:rsidRPr="00D81D5A">
        <w:rPr>
          <w:rFonts w:eastAsia="Calibri"/>
          <w:i/>
          <w:szCs w:val="26"/>
        </w:rPr>
        <w:t>Ventura County</w:t>
      </w:r>
      <w:r w:rsidRPr="00D81D5A">
        <w:rPr>
          <w:rFonts w:eastAsia="Calibri"/>
          <w:szCs w:val="26"/>
        </w:rPr>
        <w:t xml:space="preserve">.  </w:t>
      </w:r>
      <w:r w:rsidR="005B7AF5" w:rsidRPr="00D81D5A">
        <w:rPr>
          <w:rFonts w:eastAsia="Calibri"/>
          <w:szCs w:val="26"/>
        </w:rPr>
        <w:t>For the reasons discussed above, we conclude that, when measured against</w:t>
      </w:r>
      <w:r w:rsidR="00043C86">
        <w:rPr>
          <w:rFonts w:eastAsia="Calibri"/>
          <w:szCs w:val="26"/>
        </w:rPr>
        <w:t xml:space="preserve"> a reasonable reading of</w:t>
      </w:r>
      <w:r w:rsidR="005B7AF5" w:rsidRPr="00D81D5A">
        <w:rPr>
          <w:rFonts w:eastAsia="Calibri"/>
          <w:szCs w:val="26"/>
        </w:rPr>
        <w:t xml:space="preserve"> the only applicable judicial guidance — our ruling in </w:t>
      </w:r>
      <w:r w:rsidR="005B7AF5" w:rsidRPr="00D81D5A">
        <w:rPr>
          <w:rFonts w:eastAsia="Calibri"/>
          <w:i/>
          <w:iCs/>
          <w:szCs w:val="26"/>
        </w:rPr>
        <w:t>Ventura County</w:t>
      </w:r>
      <w:r w:rsidR="005B7AF5" w:rsidRPr="00D81D5A">
        <w:rPr>
          <w:rFonts w:eastAsia="Calibri"/>
          <w:szCs w:val="26"/>
        </w:rPr>
        <w:t xml:space="preserve"> — subdivision (b)(1), (2), and (3) changed the law of compensation earnable.</w:t>
      </w:r>
    </w:p>
    <w:p w14:paraId="7AEDD126" w14:textId="77777777" w:rsidR="0090040F" w:rsidRPr="00D81D5A" w:rsidRDefault="0090040F" w:rsidP="00D81D5A">
      <w:pPr>
        <w:pStyle w:val="Heading3"/>
        <w:rPr>
          <w:rStyle w:val="ssrfcpassagedeactivated"/>
          <w:szCs w:val="26"/>
        </w:rPr>
      </w:pPr>
      <w:bookmarkStart w:id="42" w:name="_Hlk24279938"/>
      <w:bookmarkEnd w:id="40"/>
      <w:r w:rsidRPr="00D81D5A">
        <w:rPr>
          <w:rStyle w:val="ssrfcpassagedeactivated"/>
          <w:szCs w:val="26"/>
        </w:rPr>
        <w:t xml:space="preserve">3.  PEPRA’s amendment of CERL is not constitutional merely because it applies only to pension </w:t>
      </w:r>
      <w:r w:rsidR="00A31800" w:rsidRPr="00D81D5A">
        <w:rPr>
          <w:rStyle w:val="ssrfcpassagedeactivated"/>
          <w:szCs w:val="26"/>
        </w:rPr>
        <w:t>benefits awarded</w:t>
      </w:r>
      <w:r w:rsidRPr="00D81D5A">
        <w:rPr>
          <w:rStyle w:val="ssrfcpassagedeactivated"/>
          <w:szCs w:val="26"/>
        </w:rPr>
        <w:t xml:space="preserve"> after its enactment</w:t>
      </w:r>
    </w:p>
    <w:p w14:paraId="107D9BCA" w14:textId="77777777" w:rsidR="0090040F" w:rsidRPr="00D81D5A" w:rsidRDefault="0090040F" w:rsidP="00D81D5A">
      <w:pPr>
        <w:pStyle w:val="NormalIndent"/>
        <w:ind w:left="0" w:firstLine="720"/>
      </w:pPr>
      <w:r w:rsidRPr="00D81D5A">
        <w:t>Before turning to the application of the California Rule</w:t>
      </w:r>
      <w:r w:rsidR="002F2807" w:rsidRPr="00D81D5A">
        <w:t xml:space="preserve"> to </w:t>
      </w:r>
      <w:r w:rsidR="00B7654D">
        <w:t>subdivision (b)(1) to (3) of section 31461,</w:t>
      </w:r>
      <w:r w:rsidRPr="00D81D5A">
        <w:t xml:space="preserve"> we address an argument</w:t>
      </w:r>
      <w:r w:rsidR="00E548D9" w:rsidRPr="00D81D5A">
        <w:t xml:space="preserve"> prominently urged by the State</w:t>
      </w:r>
      <w:r w:rsidRPr="00D81D5A">
        <w:t xml:space="preserve"> </w:t>
      </w:r>
      <w:r w:rsidR="00E548D9" w:rsidRPr="00D81D5A">
        <w:t>t</w:t>
      </w:r>
      <w:r w:rsidRPr="00D81D5A">
        <w:t>o</w:t>
      </w:r>
      <w:r w:rsidR="00E548D9" w:rsidRPr="00D81D5A">
        <w:t xml:space="preserve"> support</w:t>
      </w:r>
      <w:r w:rsidRPr="00D81D5A">
        <w:t xml:space="preserve"> the constitutionality of the PEPRA amendment.  Regardless </w:t>
      </w:r>
      <w:r w:rsidR="00E548D9" w:rsidRPr="00D81D5A">
        <w:t xml:space="preserve">of </w:t>
      </w:r>
      <w:r w:rsidRPr="00D81D5A">
        <w:t>the impact o</w:t>
      </w:r>
      <w:r w:rsidR="00E548D9" w:rsidRPr="00D81D5A">
        <w:t xml:space="preserve">n </w:t>
      </w:r>
      <w:r w:rsidR="00A20891" w:rsidRPr="00D81D5A">
        <w:t>the pensions of county employees who retire after its effective date, the State</w:t>
      </w:r>
      <w:r w:rsidRPr="00D81D5A">
        <w:t xml:space="preserve"> argues</w:t>
      </w:r>
      <w:r w:rsidR="00A20891" w:rsidRPr="00D81D5A">
        <w:t>,</w:t>
      </w:r>
      <w:r w:rsidRPr="00D81D5A">
        <w:t xml:space="preserve"> the PEPRA amendment “could not have impaired any vested rights, because [PEPRA’s changes] only operate prospectively.”  According to the State, PEPRA should be held consistent with the contract clause because it “does not affect the pension of anyone who retired before its effective date.  Nor does it </w:t>
      </w:r>
      <w:r w:rsidRPr="00D81D5A">
        <w:rPr>
          <w:i/>
        </w:rPr>
        <w:t xml:space="preserve">retroactively </w:t>
      </w:r>
      <w:r w:rsidRPr="00D81D5A">
        <w:t xml:space="preserve">re-characterize the </w:t>
      </w:r>
      <w:proofErr w:type="spellStart"/>
      <w:r w:rsidRPr="00D81D5A">
        <w:t>pensionability</w:t>
      </w:r>
      <w:proofErr w:type="spellEnd"/>
      <w:r w:rsidRPr="00D81D5A">
        <w:t xml:space="preserve"> of any item that was earned and already included in an employee’s final pensionable compensation before [its] effective date.”  The argument disregards our long-standing contract clause jurisprudence, but there is another, more fundamental reason to reject it.  </w:t>
      </w:r>
      <w:r w:rsidR="00E548D9" w:rsidRPr="00D81D5A">
        <w:t>The argument</w:t>
      </w:r>
      <w:r w:rsidRPr="00D81D5A">
        <w:t xml:space="preserve"> misunderstands the </w:t>
      </w:r>
      <w:r w:rsidR="00E548D9" w:rsidRPr="00D81D5A">
        <w:t xml:space="preserve">retroactive </w:t>
      </w:r>
      <w:r w:rsidRPr="00D81D5A">
        <w:t>effect of the PEPRA amendment on county employee pension benefits.</w:t>
      </w:r>
    </w:p>
    <w:p w14:paraId="3DCE46F6" w14:textId="64DBBFE7" w:rsidR="00A20891" w:rsidRPr="00D81D5A" w:rsidRDefault="00A20891" w:rsidP="00D81D5A">
      <w:pPr>
        <w:ind w:firstLine="720"/>
      </w:pPr>
      <w:r w:rsidRPr="00D81D5A">
        <w:t>It goes almost without saying that th</w:t>
      </w:r>
      <w:r w:rsidR="001B0B7D" w:rsidRPr="00D81D5A">
        <w:t>e State’</w:t>
      </w:r>
      <w:r w:rsidRPr="00D81D5A">
        <w:t>s argument is inconsistent with our prior pension decisions, and the State makes no attempt to reconcile</w:t>
      </w:r>
      <w:r w:rsidR="00FD1887" w:rsidRPr="00D81D5A">
        <w:t xml:space="preserve"> its </w:t>
      </w:r>
      <w:r w:rsidR="00B276A3" w:rsidRPr="00D81D5A">
        <w:t>position</w:t>
      </w:r>
      <w:r w:rsidR="00FD1887" w:rsidRPr="00D81D5A">
        <w:t xml:space="preserve"> with</w:t>
      </w:r>
      <w:r w:rsidRPr="00D81D5A">
        <w:t xml:space="preserve"> those decisions.  The </w:t>
      </w:r>
      <w:r w:rsidR="00C85B83" w:rsidRPr="00D81D5A">
        <w:t>contention</w:t>
      </w:r>
      <w:r w:rsidRPr="00D81D5A">
        <w:t xml:space="preserve">, in essence, is that the </w:t>
      </w:r>
      <w:r w:rsidR="00FD1887" w:rsidRPr="00D81D5A">
        <w:t xml:space="preserve">PEPRA amendment is prospective because it </w:t>
      </w:r>
      <w:r w:rsidRPr="00D81D5A">
        <w:t>do</w:t>
      </w:r>
      <w:r w:rsidR="00FD1887" w:rsidRPr="00D81D5A">
        <w:t>es</w:t>
      </w:r>
      <w:r w:rsidRPr="00D81D5A">
        <w:t xml:space="preserve"> not change the pension benefits of persons who have already retired or the </w:t>
      </w:r>
      <w:proofErr w:type="spellStart"/>
      <w:r w:rsidRPr="00D81D5A">
        <w:t>pensionability</w:t>
      </w:r>
      <w:proofErr w:type="spellEnd"/>
      <w:r w:rsidRPr="00D81D5A">
        <w:t xml:space="preserve"> of</w:t>
      </w:r>
      <w:r w:rsidR="00FD1887" w:rsidRPr="00D81D5A">
        <w:t xml:space="preserve"> items of compensation</w:t>
      </w:r>
      <w:r w:rsidRPr="00D81D5A">
        <w:t xml:space="preserve"> </w:t>
      </w:r>
      <w:r w:rsidR="00FD1887" w:rsidRPr="00D81D5A">
        <w:t xml:space="preserve">earned by county employees </w:t>
      </w:r>
      <w:r w:rsidRPr="00D81D5A">
        <w:t xml:space="preserve">who are sufficiently near to retirement to have entered the final compensation </w:t>
      </w:r>
      <w:r w:rsidR="00D565BD" w:rsidRPr="00D81D5A">
        <w:t>period</w:t>
      </w:r>
      <w:r w:rsidR="00FD1887" w:rsidRPr="00D81D5A">
        <w:t xml:space="preserve">.  So long as modifications of pension law are prospective as so defined, </w:t>
      </w:r>
      <w:r w:rsidR="00AF45AB" w:rsidRPr="00D81D5A">
        <w:t>t</w:t>
      </w:r>
      <w:r w:rsidR="001B0B7D" w:rsidRPr="00D81D5A">
        <w:t>he State</w:t>
      </w:r>
      <w:r w:rsidR="00AF45AB" w:rsidRPr="00D81D5A">
        <w:t xml:space="preserve"> argue</w:t>
      </w:r>
      <w:r w:rsidR="001B0B7D" w:rsidRPr="00D81D5A">
        <w:t>s</w:t>
      </w:r>
      <w:r w:rsidR="00AF45AB" w:rsidRPr="00D81D5A">
        <w:t xml:space="preserve">, </w:t>
      </w:r>
      <w:r w:rsidR="00FD1887" w:rsidRPr="00D81D5A">
        <w:t>the Legislature is unconstrained by the contract clause.</w:t>
      </w:r>
      <w:r w:rsidRPr="00D81D5A">
        <w:t xml:space="preserve"> </w:t>
      </w:r>
      <w:r w:rsidR="00FD1887" w:rsidRPr="00D81D5A">
        <w:t xml:space="preserve"> Our decisions are fundamentally at odds with this conception of the contract clause.  </w:t>
      </w:r>
      <w:r w:rsidR="00AF45AB" w:rsidRPr="00D81D5A">
        <w:t xml:space="preserve">In </w:t>
      </w:r>
      <w:r w:rsidRPr="00D81D5A">
        <w:rPr>
          <w:i/>
        </w:rPr>
        <w:t>Kern</w:t>
      </w:r>
      <w:r w:rsidRPr="00D81D5A">
        <w:t xml:space="preserve">, </w:t>
      </w:r>
      <w:r w:rsidR="00AF45AB" w:rsidRPr="00D81D5A">
        <w:t>our first decision to grapple with the requirements of the contract clause, the pension modification — in fact, a wholesale repeal — applied only to “</w:t>
      </w:r>
      <w:r w:rsidR="00AF45AB" w:rsidRPr="00D81D5A">
        <w:rPr>
          <w:szCs w:val="26"/>
        </w:rPr>
        <w:t>persons not then eligible for retirement.”  (</w:t>
      </w:r>
      <w:r w:rsidR="00B7654D">
        <w:rPr>
          <w:i/>
          <w:szCs w:val="26"/>
        </w:rPr>
        <w:t>Kern</w:t>
      </w:r>
      <w:r w:rsidR="00AF45AB" w:rsidRPr="00D81D5A">
        <w:rPr>
          <w:szCs w:val="26"/>
        </w:rPr>
        <w:t xml:space="preserve">, </w:t>
      </w:r>
      <w:r w:rsidR="00AF45AB" w:rsidRPr="00D81D5A">
        <w:rPr>
          <w:i/>
          <w:szCs w:val="26"/>
        </w:rPr>
        <w:t>supra</w:t>
      </w:r>
      <w:r w:rsidR="00AF45AB" w:rsidRPr="00D81D5A">
        <w:rPr>
          <w:szCs w:val="26"/>
        </w:rPr>
        <w:t xml:space="preserve">, 29 Cal.2d at p. 850.)  We did not suggest that this limitation avoided </w:t>
      </w:r>
      <w:r w:rsidR="00C85B83" w:rsidRPr="00D81D5A">
        <w:rPr>
          <w:szCs w:val="26"/>
        </w:rPr>
        <w:t>the</w:t>
      </w:r>
      <w:r w:rsidR="00AF45AB" w:rsidRPr="00D81D5A">
        <w:rPr>
          <w:szCs w:val="26"/>
        </w:rPr>
        <w:t xml:space="preserve"> co</w:t>
      </w:r>
      <w:r w:rsidR="00C85B83" w:rsidRPr="00D81D5A">
        <w:rPr>
          <w:szCs w:val="26"/>
        </w:rPr>
        <w:t>ntract clause</w:t>
      </w:r>
      <w:r w:rsidR="00AF45AB" w:rsidRPr="00D81D5A">
        <w:rPr>
          <w:szCs w:val="26"/>
        </w:rPr>
        <w:t xml:space="preserve"> issue; on the contrary, we overturned the repeal.  (</w:t>
      </w:r>
      <w:r w:rsidR="00B7654D">
        <w:rPr>
          <w:i/>
          <w:szCs w:val="26"/>
        </w:rPr>
        <w:t>Kern</w:t>
      </w:r>
      <w:r w:rsidR="00B7654D">
        <w:rPr>
          <w:iCs/>
          <w:szCs w:val="26"/>
        </w:rPr>
        <w:t>,</w:t>
      </w:r>
      <w:r w:rsidR="00AF45AB" w:rsidRPr="00D81D5A">
        <w:rPr>
          <w:szCs w:val="26"/>
        </w:rPr>
        <w:t xml:space="preserve"> at p.</w:t>
      </w:r>
      <w:r w:rsidR="00651217">
        <w:rPr>
          <w:szCs w:val="26"/>
        </w:rPr>
        <w:t> </w:t>
      </w:r>
      <w:r w:rsidR="00AF45AB" w:rsidRPr="00D81D5A">
        <w:rPr>
          <w:szCs w:val="26"/>
        </w:rPr>
        <w:t xml:space="preserve">856.)  In several </w:t>
      </w:r>
      <w:r w:rsidR="001B2DE3" w:rsidRPr="00D81D5A">
        <w:rPr>
          <w:szCs w:val="26"/>
        </w:rPr>
        <w:t>subsequent</w:t>
      </w:r>
      <w:r w:rsidR="00AF45AB" w:rsidRPr="00D81D5A">
        <w:rPr>
          <w:szCs w:val="26"/>
        </w:rPr>
        <w:t xml:space="preserve"> decisions we found pension modifications untenable under the contract clause.  None of those modifications applied to persons already retired, yet that restriction did not preserve their constitutionality.  Nor did we suggest that they would have survived constitutional scrutiny if only the</w:t>
      </w:r>
      <w:r w:rsidR="00000F65" w:rsidRPr="00D81D5A">
        <w:rPr>
          <w:szCs w:val="26"/>
        </w:rPr>
        <w:t>ir impact had been limited to persons who had not entered the final compensation period.</w:t>
      </w:r>
      <w:r w:rsidR="00AF45AB" w:rsidRPr="00D81D5A">
        <w:rPr>
          <w:szCs w:val="26"/>
        </w:rPr>
        <w:t xml:space="preserve">  (E.g., </w:t>
      </w:r>
      <w:r w:rsidR="00DD171C" w:rsidRPr="00D81D5A">
        <w:rPr>
          <w:i/>
          <w:szCs w:val="26"/>
        </w:rPr>
        <w:t>Eu</w:t>
      </w:r>
      <w:r w:rsidR="00DD171C" w:rsidRPr="00D81D5A">
        <w:rPr>
          <w:szCs w:val="26"/>
        </w:rPr>
        <w:t xml:space="preserve">, </w:t>
      </w:r>
      <w:r w:rsidR="00DD171C" w:rsidRPr="00D81D5A">
        <w:rPr>
          <w:i/>
          <w:szCs w:val="26"/>
        </w:rPr>
        <w:t>supra</w:t>
      </w:r>
      <w:r w:rsidR="00DD171C" w:rsidRPr="00D81D5A">
        <w:rPr>
          <w:szCs w:val="26"/>
        </w:rPr>
        <w:t>, 54</w:t>
      </w:r>
      <w:r w:rsidR="007F7629">
        <w:rPr>
          <w:szCs w:val="26"/>
        </w:rPr>
        <w:t> </w:t>
      </w:r>
      <w:r w:rsidR="00DD171C" w:rsidRPr="00D81D5A">
        <w:rPr>
          <w:szCs w:val="26"/>
        </w:rPr>
        <w:t>Cal.3d at pp. 530</w:t>
      </w:r>
      <w:r w:rsidR="00427AF8">
        <w:rPr>
          <w:szCs w:val="26"/>
        </w:rPr>
        <w:t>–</w:t>
      </w:r>
      <w:r w:rsidR="00DD171C" w:rsidRPr="00D81D5A">
        <w:rPr>
          <w:szCs w:val="26"/>
        </w:rPr>
        <w:t xml:space="preserve">532 [ballot initiative’s pension modifications could not be applied to state legislators who assumed office prior to its passage]; </w:t>
      </w:r>
      <w:r w:rsidR="00DD171C" w:rsidRPr="00D81D5A">
        <w:rPr>
          <w:rStyle w:val="ssrfcpassagedeactivated"/>
          <w:i/>
          <w:szCs w:val="26"/>
        </w:rPr>
        <w:t>Betts</w:t>
      </w:r>
      <w:r w:rsidR="00DD171C" w:rsidRPr="00D81D5A">
        <w:rPr>
          <w:rStyle w:val="ssrfcpassagedeactivated"/>
          <w:szCs w:val="26"/>
        </w:rPr>
        <w:t xml:space="preserve">, </w:t>
      </w:r>
      <w:r w:rsidR="00DD171C" w:rsidRPr="00D81D5A">
        <w:rPr>
          <w:rStyle w:val="ssrfcpassagedeactivated"/>
          <w:i/>
          <w:szCs w:val="26"/>
        </w:rPr>
        <w:t>supra</w:t>
      </w:r>
      <w:r w:rsidR="00DD171C" w:rsidRPr="00D81D5A">
        <w:rPr>
          <w:rStyle w:val="ssrfcpassagedeactivated"/>
          <w:szCs w:val="26"/>
        </w:rPr>
        <w:t>, 21 Cal.3d at p.</w:t>
      </w:r>
      <w:r w:rsidR="00F66BBA" w:rsidRPr="00D81D5A">
        <w:rPr>
          <w:rStyle w:val="ssrfcpassagedeactivated"/>
          <w:szCs w:val="26"/>
        </w:rPr>
        <w:t> </w:t>
      </w:r>
      <w:r w:rsidR="00DD171C" w:rsidRPr="00D81D5A">
        <w:rPr>
          <w:rStyle w:val="ssrfcpassagedeactivated"/>
          <w:szCs w:val="26"/>
        </w:rPr>
        <w:t xml:space="preserve">867 [pension modification could not be applied to plaintiff, who was employed by the state prior to its enactment]; </w:t>
      </w:r>
      <w:r w:rsidR="00DD171C" w:rsidRPr="00D81D5A">
        <w:rPr>
          <w:i/>
        </w:rPr>
        <w:t>Abbott</w:t>
      </w:r>
      <w:r w:rsidR="00DD171C" w:rsidRPr="00D81D5A">
        <w:t xml:space="preserve">, </w:t>
      </w:r>
      <w:r w:rsidR="00DD171C" w:rsidRPr="00D81D5A">
        <w:rPr>
          <w:i/>
        </w:rPr>
        <w:t>supra</w:t>
      </w:r>
      <w:r w:rsidR="00DD171C" w:rsidRPr="00D81D5A">
        <w:t xml:space="preserve">, </w:t>
      </w:r>
      <w:r w:rsidR="00DD171C" w:rsidRPr="00D81D5A">
        <w:rPr>
          <w:rStyle w:val="ssrfcpassagedeactivated"/>
          <w:szCs w:val="26"/>
        </w:rPr>
        <w:t>50</w:t>
      </w:r>
      <w:r w:rsidR="00F66BBA" w:rsidRPr="00D81D5A">
        <w:rPr>
          <w:rStyle w:val="ssrfcpassagedeactivated"/>
          <w:szCs w:val="26"/>
        </w:rPr>
        <w:t> </w:t>
      </w:r>
      <w:r w:rsidR="00DD171C" w:rsidRPr="00D81D5A">
        <w:rPr>
          <w:rStyle w:val="ssrfcpassagedeactivated"/>
          <w:szCs w:val="26"/>
        </w:rPr>
        <w:t>Cal.2d at pp.</w:t>
      </w:r>
      <w:r w:rsidR="00F66BBA" w:rsidRPr="00D81D5A">
        <w:rPr>
          <w:rStyle w:val="ssrfcpassagedeactivated"/>
          <w:szCs w:val="26"/>
        </w:rPr>
        <w:t> </w:t>
      </w:r>
      <w:r w:rsidR="00DD171C" w:rsidRPr="00D81D5A">
        <w:rPr>
          <w:rStyle w:val="ssrfcpassagedeactivated"/>
          <w:szCs w:val="26"/>
        </w:rPr>
        <w:t>453</w:t>
      </w:r>
      <w:r w:rsidR="00427AF8">
        <w:rPr>
          <w:rStyle w:val="ssrfcpassagedeactivated"/>
          <w:szCs w:val="26"/>
        </w:rPr>
        <w:t>–</w:t>
      </w:r>
      <w:r w:rsidR="00DD171C" w:rsidRPr="00D81D5A">
        <w:rPr>
          <w:rStyle w:val="ssrfcpassagedeactivated"/>
          <w:szCs w:val="26"/>
        </w:rPr>
        <w:t xml:space="preserve">455 [holding that a pension modification enacted 35 years earlier could not be applied to persons who were employed by the defendant city at the time the change occurred]; </w:t>
      </w:r>
      <w:r w:rsidR="00000F65" w:rsidRPr="00D81D5A">
        <w:rPr>
          <w:i/>
        </w:rPr>
        <w:t>Allen I</w:t>
      </w:r>
      <w:r w:rsidR="00000F65" w:rsidRPr="00D81D5A">
        <w:t xml:space="preserve">, </w:t>
      </w:r>
      <w:r w:rsidR="00000F65" w:rsidRPr="00D81D5A">
        <w:rPr>
          <w:i/>
        </w:rPr>
        <w:t>supra</w:t>
      </w:r>
      <w:r w:rsidR="00000F65" w:rsidRPr="00D81D5A">
        <w:t>, 45</w:t>
      </w:r>
      <w:r w:rsidR="00E33818">
        <w:t> </w:t>
      </w:r>
      <w:r w:rsidR="00000F65" w:rsidRPr="00D81D5A">
        <w:t>Cal.2d at p</w:t>
      </w:r>
      <w:r w:rsidR="00F66BBA" w:rsidRPr="00D81D5A">
        <w:t>p</w:t>
      </w:r>
      <w:r w:rsidR="00000F65" w:rsidRPr="00D81D5A">
        <w:t>.</w:t>
      </w:r>
      <w:r w:rsidR="00F66BBA" w:rsidRPr="00D81D5A">
        <w:t> </w:t>
      </w:r>
      <w:r w:rsidR="00000F65" w:rsidRPr="00D81D5A">
        <w:t>131</w:t>
      </w:r>
      <w:r w:rsidR="00427AF8">
        <w:t>–</w:t>
      </w:r>
      <w:r w:rsidR="00000F65" w:rsidRPr="00D81D5A">
        <w:t>133</w:t>
      </w:r>
      <w:r w:rsidR="00DD171C" w:rsidRPr="00D81D5A">
        <w:t>.)</w:t>
      </w:r>
      <w:r w:rsidR="00802CD8" w:rsidRPr="00D81D5A">
        <w:t xml:space="preserve">  On the contrary, the State’s argument is entirely at odds with our contract clause jurisprudence.</w:t>
      </w:r>
    </w:p>
    <w:p w14:paraId="2D851626" w14:textId="749296AA" w:rsidR="0090040F" w:rsidRPr="00D81D5A" w:rsidRDefault="00EE5E3B" w:rsidP="00D81D5A">
      <w:pPr>
        <w:pStyle w:val="NormalIndent"/>
        <w:ind w:left="0" w:firstLine="720"/>
      </w:pPr>
      <w:r w:rsidRPr="00D81D5A">
        <w:t xml:space="preserve">Because it misunderstands the </w:t>
      </w:r>
      <w:r w:rsidR="00802CD8" w:rsidRPr="00D81D5A">
        <w:t>impac</w:t>
      </w:r>
      <w:r w:rsidRPr="00D81D5A">
        <w:t xml:space="preserve">t of prospective application in this context, the State’s argument does not persuade us to modify our long-standing jurisprudence.  </w:t>
      </w:r>
      <w:r w:rsidR="0090040F" w:rsidRPr="00D81D5A">
        <w:t>In evaluating the proper scope of contract clause protection for pension rights, it is important to recognize the unusual nature of such rights as compensation.  Public employees begin earning pension benefits from the</w:t>
      </w:r>
      <w:r w:rsidR="006E2537">
        <w:t>ir</w:t>
      </w:r>
      <w:r w:rsidR="0090040F" w:rsidRPr="00D81D5A">
        <w:t xml:space="preserve"> first day of work.  As a result, we have consistently held that pension rights become vested at that time.  (</w:t>
      </w:r>
      <w:r w:rsidR="0090040F" w:rsidRPr="00D81D5A">
        <w:rPr>
          <w:rStyle w:val="ssrfcpassagedeactivated"/>
          <w:i/>
          <w:szCs w:val="26"/>
        </w:rPr>
        <w:t>Kern, supra</w:t>
      </w:r>
      <w:r w:rsidR="0090040F" w:rsidRPr="00D81D5A">
        <w:rPr>
          <w:rStyle w:val="ssrfcpassagedeactivated"/>
          <w:szCs w:val="26"/>
        </w:rPr>
        <w:t xml:space="preserve">, </w:t>
      </w:r>
      <w:r w:rsidR="0090040F" w:rsidRPr="00D81D5A">
        <w:t>29 Cal.2d at p.</w:t>
      </w:r>
      <w:r w:rsidR="00F66BBA" w:rsidRPr="00D81D5A">
        <w:t> </w:t>
      </w:r>
      <w:r w:rsidR="0090040F" w:rsidRPr="00D81D5A">
        <w:t xml:space="preserve">855 [a public employee </w:t>
      </w:r>
      <w:r w:rsidR="0090040F" w:rsidRPr="00D81D5A">
        <w:rPr>
          <w:szCs w:val="26"/>
        </w:rPr>
        <w:t>“</w:t>
      </w:r>
      <w:r w:rsidR="0090040F" w:rsidRPr="00D81D5A">
        <w:rPr>
          <w:rStyle w:val="ssrfcpassagedeactivated"/>
          <w:szCs w:val="26"/>
        </w:rPr>
        <w:t xml:space="preserve">has actually earned </w:t>
      </w:r>
      <w:r w:rsidR="0090040F" w:rsidRPr="00D81D5A">
        <w:rPr>
          <w:rStyle w:val="sssh"/>
          <w:szCs w:val="26"/>
        </w:rPr>
        <w:t>some pension</w:t>
      </w:r>
      <w:r w:rsidR="0090040F" w:rsidRPr="00D81D5A">
        <w:rPr>
          <w:rStyle w:val="ssrfcpassagedeactivated"/>
          <w:szCs w:val="26"/>
        </w:rPr>
        <w:t xml:space="preserve"> rights as soon as he has performed substantial services for his employer”];</w:t>
      </w:r>
      <w:r w:rsidR="0090040F" w:rsidRPr="00D81D5A">
        <w:t xml:space="preserve"> </w:t>
      </w:r>
      <w:r w:rsidR="0090040F" w:rsidRPr="00D81D5A">
        <w:rPr>
          <w:i/>
        </w:rPr>
        <w:t xml:space="preserve">Dryden v. Board of Pension Commissioners </w:t>
      </w:r>
      <w:r w:rsidR="0090040F" w:rsidRPr="00D81D5A">
        <w:t>(1936) 6</w:t>
      </w:r>
      <w:r w:rsidR="00F66BBA" w:rsidRPr="00D81D5A">
        <w:t> </w:t>
      </w:r>
      <w:r w:rsidR="0090040F" w:rsidRPr="00D81D5A">
        <w:t xml:space="preserve">Cal.2d 575, 579 [right to pension becomes vested upon acceptance of employment]; </w:t>
      </w:r>
      <w:r w:rsidR="0090040F" w:rsidRPr="00D81D5A">
        <w:rPr>
          <w:i/>
        </w:rPr>
        <w:t>McGlynn</w:t>
      </w:r>
      <w:r w:rsidR="009D7F91">
        <w:rPr>
          <w:i/>
        </w:rPr>
        <w:t xml:space="preserve"> v. State of California</w:t>
      </w:r>
      <w:r w:rsidR="009D7F91">
        <w:t xml:space="preserve"> (2018)</w:t>
      </w:r>
      <w:r w:rsidR="0090040F" w:rsidRPr="00D81D5A">
        <w:t xml:space="preserve"> 21</w:t>
      </w:r>
      <w:r w:rsidR="007F7629">
        <w:t> </w:t>
      </w:r>
      <w:r w:rsidR="0090040F" w:rsidRPr="00D81D5A">
        <w:t>Cal.App.5th</w:t>
      </w:r>
      <w:r w:rsidR="009D7F91">
        <w:t xml:space="preserve"> 548,</w:t>
      </w:r>
      <w:r w:rsidR="00F66BBA" w:rsidRPr="00D81D5A">
        <w:t> </w:t>
      </w:r>
      <w:r w:rsidR="009D7F91">
        <w:t>558</w:t>
      </w:r>
      <w:r w:rsidR="00427AF8">
        <w:t>–</w:t>
      </w:r>
      <w:r w:rsidR="0090040F" w:rsidRPr="00D81D5A">
        <w:t xml:space="preserve">559 [vested pension rights accrue upon commencement of work].)  Yet the </w:t>
      </w:r>
      <w:r w:rsidR="001B0B7D" w:rsidRPr="00D81D5A">
        <w:t>value</w:t>
      </w:r>
      <w:r w:rsidR="00C85B83" w:rsidRPr="00D81D5A">
        <w:t xml:space="preserve"> </w:t>
      </w:r>
      <w:r w:rsidR="0090040F" w:rsidRPr="00D81D5A">
        <w:t xml:space="preserve">of pension rights is not determined until the end of an employee’s career, when the retiring employee’s pension benefit is calculated.  CERL perfectly illustrates this.  The amount of a CERL pension benefit is based on a county employee’s years of service, age at retirement, and compensation during a specific one or three-year period.  The first two cannot be determined until retirement, and pensionable compensation is also normally determined near, if not at, the end of the employee’s career.  Further, it is the law in effect at the time of retirement that is used to calculate the </w:t>
      </w:r>
      <w:r w:rsidR="00C85B83" w:rsidRPr="00D81D5A">
        <w:t>amount</w:t>
      </w:r>
      <w:r w:rsidR="0090040F" w:rsidRPr="00D81D5A">
        <w:t xml:space="preserve"> of an employee’s pension benefit.  </w:t>
      </w:r>
      <w:r w:rsidR="00934CA8" w:rsidRPr="00D81D5A">
        <w:t>Generally speaking, t</w:t>
      </w:r>
      <w:r w:rsidR="0090040F" w:rsidRPr="00D81D5A">
        <w:t xml:space="preserve">he law prevailing during the period when pension rights are earned — that is, during an employee’s career — </w:t>
      </w:r>
      <w:r w:rsidR="00802CD8" w:rsidRPr="00D81D5A">
        <w:t xml:space="preserve">does not factor into the calculation of the </w:t>
      </w:r>
      <w:r w:rsidR="001B0B7D" w:rsidRPr="00D81D5A">
        <w:t>value</w:t>
      </w:r>
      <w:r w:rsidR="0090040F" w:rsidRPr="00D81D5A">
        <w:t xml:space="preserve"> of those pension rights unless t</w:t>
      </w:r>
      <w:r w:rsidR="00C85B83" w:rsidRPr="00D81D5A">
        <w:t>hat law</w:t>
      </w:r>
      <w:r w:rsidR="0090040F" w:rsidRPr="00D81D5A">
        <w:t xml:space="preserve"> is still in effect when</w:t>
      </w:r>
      <w:r w:rsidR="00802CD8" w:rsidRPr="00D81D5A">
        <w:t xml:space="preserve"> the</w:t>
      </w:r>
      <w:r w:rsidR="0090040F" w:rsidRPr="00D81D5A">
        <w:t xml:space="preserve"> pension benefit is calculated</w:t>
      </w:r>
      <w:r w:rsidR="00802CD8" w:rsidRPr="00D81D5A">
        <w:t xml:space="preserve"> — i.e.</w:t>
      </w:r>
      <w:r w:rsidR="0090040F" w:rsidRPr="00D81D5A">
        <w:t>, at retirement.</w:t>
      </w:r>
    </w:p>
    <w:p w14:paraId="65AF6DEB" w14:textId="549ED0A7" w:rsidR="0090040F" w:rsidRPr="00D81D5A" w:rsidRDefault="0090040F" w:rsidP="00D81D5A">
      <w:pPr>
        <w:pStyle w:val="NormalIndent"/>
        <w:ind w:left="0" w:firstLine="720"/>
      </w:pPr>
      <w:r w:rsidRPr="00D81D5A">
        <w:t xml:space="preserve">Because it is the law in effect at the end of a public employee’s career that </w:t>
      </w:r>
      <w:r w:rsidR="00C85B83" w:rsidRPr="00D81D5A">
        <w:t xml:space="preserve">is used to </w:t>
      </w:r>
      <w:r w:rsidRPr="00D81D5A">
        <w:t xml:space="preserve">determine the </w:t>
      </w:r>
      <w:r w:rsidR="00C85B83" w:rsidRPr="00D81D5A">
        <w:t>amount</w:t>
      </w:r>
      <w:r w:rsidRPr="00D81D5A">
        <w:t xml:space="preserve"> of </w:t>
      </w:r>
      <w:r w:rsidR="00C85B83" w:rsidRPr="00D81D5A">
        <w:t>the</w:t>
      </w:r>
      <w:r w:rsidRPr="00D81D5A">
        <w:t xml:space="preserve"> pension benefit, </w:t>
      </w:r>
      <w:r w:rsidR="005251F6" w:rsidRPr="00D81D5A">
        <w:t xml:space="preserve">most </w:t>
      </w:r>
      <w:r w:rsidRPr="00D81D5A">
        <w:t>modification</w:t>
      </w:r>
      <w:r w:rsidR="005251F6" w:rsidRPr="00D81D5A">
        <w:t>s</w:t>
      </w:r>
      <w:r w:rsidRPr="00D81D5A">
        <w:t xml:space="preserve"> of the </w:t>
      </w:r>
      <w:r w:rsidR="002E09D6">
        <w:t>provisions</w:t>
      </w:r>
      <w:r w:rsidRPr="00D81D5A">
        <w:t xml:space="preserve"> </w:t>
      </w:r>
      <w:r w:rsidR="002E09D6">
        <w:t xml:space="preserve">governing the benefit calculation </w:t>
      </w:r>
      <w:r w:rsidR="00887CB4" w:rsidRPr="00D81D5A">
        <w:t>ha</w:t>
      </w:r>
      <w:r w:rsidR="005251F6" w:rsidRPr="00D81D5A">
        <w:t>ve</w:t>
      </w:r>
      <w:r w:rsidRPr="00D81D5A">
        <w:t xml:space="preserve">, in practice, </w:t>
      </w:r>
      <w:r w:rsidR="00887CB4" w:rsidRPr="00D81D5A">
        <w:t xml:space="preserve">a </w:t>
      </w:r>
      <w:r w:rsidRPr="00D81D5A">
        <w:t>profoundly retroactive</w:t>
      </w:r>
      <w:r w:rsidR="00887CB4" w:rsidRPr="00D81D5A">
        <w:t xml:space="preserve"> impact on </w:t>
      </w:r>
      <w:r w:rsidR="005251F6" w:rsidRPr="00D81D5A">
        <w:t>persons</w:t>
      </w:r>
      <w:r w:rsidR="00887CB4" w:rsidRPr="00D81D5A">
        <w:t xml:space="preserve"> </w:t>
      </w:r>
      <w:r w:rsidR="00934CA8" w:rsidRPr="00D81D5A">
        <w:t xml:space="preserve">who began their </w:t>
      </w:r>
      <w:r w:rsidR="00887CB4" w:rsidRPr="00D81D5A">
        <w:t>employ</w:t>
      </w:r>
      <w:r w:rsidR="00934CA8" w:rsidRPr="00D81D5A">
        <w:t>ment</w:t>
      </w:r>
      <w:r w:rsidR="00887CB4" w:rsidRPr="00D81D5A">
        <w:t xml:space="preserve"> prior to the modification</w:t>
      </w:r>
      <w:r w:rsidRPr="00D81D5A">
        <w:t>.  From early on, we have acknowledged that the Legislature may modify the statutory terms and conditions governing a public employee’s pension over the course of his or her career.  (</w:t>
      </w:r>
      <w:r w:rsidRPr="00D81D5A">
        <w:rPr>
          <w:rStyle w:val="ssrfcpassagedeactivated"/>
          <w:i/>
          <w:szCs w:val="26"/>
        </w:rPr>
        <w:t>Kern, supra</w:t>
      </w:r>
      <w:r w:rsidRPr="00D81D5A">
        <w:rPr>
          <w:rStyle w:val="ssrfcpassagedeactivated"/>
          <w:szCs w:val="26"/>
        </w:rPr>
        <w:t xml:space="preserve">, </w:t>
      </w:r>
      <w:r w:rsidRPr="00D81D5A">
        <w:t>29 Cal.2d at pp.</w:t>
      </w:r>
      <w:r w:rsidR="00ED51B3">
        <w:t> </w:t>
      </w:r>
      <w:r w:rsidRPr="00D81D5A">
        <w:t>85</w:t>
      </w:r>
      <w:r w:rsidR="009D7F91">
        <w:t>3</w:t>
      </w:r>
      <w:r w:rsidR="00427AF8">
        <w:t>–</w:t>
      </w:r>
      <w:r w:rsidRPr="00D81D5A">
        <w:t>85</w:t>
      </w:r>
      <w:r w:rsidR="009D7F91">
        <w:t>4</w:t>
      </w:r>
      <w:r w:rsidRPr="00D81D5A">
        <w:t>, citing</w:t>
      </w:r>
      <w:r w:rsidRPr="00D81D5A">
        <w:rPr>
          <w:szCs w:val="26"/>
        </w:rPr>
        <w:t xml:space="preserve"> </w:t>
      </w:r>
      <w:r w:rsidRPr="00D81D5A">
        <w:rPr>
          <w:i/>
        </w:rPr>
        <w:t xml:space="preserve">Pennie v. Reis </w:t>
      </w:r>
      <w:r w:rsidRPr="00D81D5A">
        <w:t>(1889) 80 Cal. 266 [upholding the Legislature’s substitution of a pension plan for the lump-sum death benefit available at the beginning of the plaintiff peace officer’s career].)  Yet, by normal operation of the pension system, such modification</w:t>
      </w:r>
      <w:r w:rsidR="005251F6" w:rsidRPr="00D81D5A">
        <w:t>s</w:t>
      </w:r>
      <w:r w:rsidRPr="00D81D5A">
        <w:t xml:space="preserve"> appl</w:t>
      </w:r>
      <w:r w:rsidR="005251F6" w:rsidRPr="00D81D5A">
        <w:t>y</w:t>
      </w:r>
      <w:r w:rsidRPr="00D81D5A">
        <w:t xml:space="preserve"> not only to the pension rights accrued by public employees after the effective date of the modification, but also to all pension rights accrued prior.  To the extent the modification changes the manner in which a pension benefit is calculated, it changes the</w:t>
      </w:r>
      <w:r w:rsidR="00C85B83" w:rsidRPr="00D81D5A">
        <w:t xml:space="preserve"> value </w:t>
      </w:r>
      <w:r w:rsidRPr="00D81D5A">
        <w:t xml:space="preserve">of the pension rights accrued </w:t>
      </w:r>
      <w:r w:rsidR="00EE5E3B" w:rsidRPr="00D81D5A">
        <w:t xml:space="preserve">from the very inception of </w:t>
      </w:r>
      <w:r w:rsidRPr="00D81D5A">
        <w:t xml:space="preserve">an employee’s career.  </w:t>
      </w:r>
      <w:r w:rsidR="005251F6" w:rsidRPr="00D81D5A">
        <w:t xml:space="preserve">Most </w:t>
      </w:r>
      <w:r w:rsidRPr="00D81D5A">
        <w:t>significant modification</w:t>
      </w:r>
      <w:r w:rsidR="005251F6" w:rsidRPr="00D81D5A">
        <w:t>s</w:t>
      </w:r>
      <w:r w:rsidRPr="00D81D5A">
        <w:t xml:space="preserve"> of a pension plan therefore ha</w:t>
      </w:r>
      <w:r w:rsidR="005251F6" w:rsidRPr="00D81D5A">
        <w:t>ve</w:t>
      </w:r>
      <w:r w:rsidRPr="00D81D5A">
        <w:t xml:space="preserve"> an impact reaching far into the past.</w:t>
      </w:r>
    </w:p>
    <w:p w14:paraId="1618C077" w14:textId="1F8634F9" w:rsidR="005E4996" w:rsidRPr="00D81D5A" w:rsidRDefault="0090040F" w:rsidP="00D81D5A">
      <w:pPr>
        <w:pStyle w:val="NormalIndent"/>
        <w:ind w:left="0" w:firstLine="720"/>
      </w:pPr>
      <w:r w:rsidRPr="00D81D5A">
        <w:t xml:space="preserve">For this reason, the State’s argument that the PEPRA amendment cannot have violated vested rights because it operates </w:t>
      </w:r>
      <w:r w:rsidR="00762DB5" w:rsidRPr="00D81D5A">
        <w:t xml:space="preserve">only </w:t>
      </w:r>
      <w:r w:rsidRPr="00D81D5A">
        <w:t xml:space="preserve">prospectively is misguided.  Although the amendment’s provisions apply only to employees who retire after its effective date, its exclusions and limitations </w:t>
      </w:r>
      <w:r w:rsidR="00762DB5" w:rsidRPr="00D81D5A">
        <w:t xml:space="preserve">are used in the </w:t>
      </w:r>
      <w:r w:rsidRPr="00D81D5A">
        <w:t>calculation that</w:t>
      </w:r>
      <w:r w:rsidR="00762DB5" w:rsidRPr="00D81D5A">
        <w:t>, by setting the amount of their pension benefit,</w:t>
      </w:r>
      <w:r w:rsidRPr="00D81D5A">
        <w:t xml:space="preserve"> determines the </w:t>
      </w:r>
      <w:r w:rsidR="00762DB5" w:rsidRPr="00D81D5A">
        <w:t xml:space="preserve">value </w:t>
      </w:r>
      <w:r w:rsidRPr="00D81D5A">
        <w:t>of the pension rights these employees accrued over the entire course of their careers.</w:t>
      </w:r>
      <w:r w:rsidR="004D6F40" w:rsidRPr="00D81D5A">
        <w:t xml:space="preserve">  </w:t>
      </w:r>
      <w:r w:rsidR="00762DB5" w:rsidRPr="00D81D5A">
        <w:t xml:space="preserve">In practice, </w:t>
      </w:r>
      <w:r w:rsidR="004D6F40" w:rsidRPr="00D81D5A">
        <w:t xml:space="preserve">county employee pension benefits will be calculated as though the PEPRA amendment was </w:t>
      </w:r>
      <w:r w:rsidR="00762DB5" w:rsidRPr="00D81D5A">
        <w:t xml:space="preserve">the governing law </w:t>
      </w:r>
      <w:r w:rsidR="004D6F40" w:rsidRPr="00D81D5A">
        <w:t>from the beginning of their careers.</w:t>
      </w:r>
    </w:p>
    <w:p w14:paraId="4E9C64E1" w14:textId="77777777" w:rsidR="005E4996" w:rsidRPr="00D81D5A" w:rsidRDefault="005E4996" w:rsidP="00D81D5A">
      <w:pPr>
        <w:pStyle w:val="NormalIndent"/>
        <w:ind w:left="0" w:firstLine="720"/>
      </w:pPr>
      <w:r w:rsidRPr="00D81D5A">
        <w:t xml:space="preserve">To effect a pension modification that is prospective in </w:t>
      </w:r>
      <w:r w:rsidRPr="00D81D5A">
        <w:rPr>
          <w:i/>
        </w:rPr>
        <w:t>practice</w:t>
      </w:r>
      <w:r w:rsidRPr="00D81D5A">
        <w:t xml:space="preserve">, the Legislature would be required to enact a law that applies only to pension rights accrued after its effective date, while </w:t>
      </w:r>
      <w:r w:rsidR="005B7AF5" w:rsidRPr="00D81D5A">
        <w:t>preserving</w:t>
      </w:r>
      <w:r w:rsidRPr="00D81D5A">
        <w:t xml:space="preserve"> unchanged the law applicable to pension rights accrued prior to that date.  Because PEPRA’s amendment applies to all pension rights, regardless of when they were accrued, the State’s claim of prospective operation is unpersuasive.</w:t>
      </w:r>
      <w:r w:rsidRPr="00D81D5A">
        <w:rPr>
          <w:rStyle w:val="FootnoteReference"/>
        </w:rPr>
        <w:footnoteReference w:id="30"/>
      </w:r>
    </w:p>
    <w:p w14:paraId="60D6E8CC" w14:textId="77777777" w:rsidR="009F594A" w:rsidRPr="00D81D5A" w:rsidRDefault="00000F65" w:rsidP="00D81D5A">
      <w:pPr>
        <w:pStyle w:val="Heading3"/>
      </w:pPr>
      <w:bookmarkStart w:id="43" w:name="_Hlk41470741"/>
      <w:bookmarkEnd w:id="42"/>
      <w:r w:rsidRPr="00D81D5A">
        <w:t>4</w:t>
      </w:r>
      <w:r w:rsidR="009F594A" w:rsidRPr="00D81D5A">
        <w:t xml:space="preserve">.  </w:t>
      </w:r>
      <w:r w:rsidR="00ED1E72" w:rsidRPr="00D81D5A">
        <w:t xml:space="preserve">The </w:t>
      </w:r>
      <w:r w:rsidR="009F594A" w:rsidRPr="00D81D5A">
        <w:t>PEPRA amendment did not violate the California Rule</w:t>
      </w:r>
    </w:p>
    <w:p w14:paraId="2FADCAE1" w14:textId="56143DB7" w:rsidR="00A200EE" w:rsidRPr="00D81D5A" w:rsidRDefault="00A200EE" w:rsidP="00D81D5A">
      <w:pPr>
        <w:pStyle w:val="NormalIndent"/>
        <w:ind w:left="0" w:firstLine="720"/>
      </w:pPr>
      <w:bookmarkStart w:id="44" w:name="_Hlk26195414"/>
      <w:bookmarkStart w:id="45" w:name="_Hlk24280886"/>
      <w:bookmarkStart w:id="46" w:name="_Hlk18657424"/>
      <w:r w:rsidRPr="00D81D5A">
        <w:t>In evaluating the constitutionality of modification</w:t>
      </w:r>
      <w:r w:rsidR="00106EC2" w:rsidRPr="00D81D5A">
        <w:t>s</w:t>
      </w:r>
      <w:r w:rsidRPr="00D81D5A">
        <w:t xml:space="preserve"> to a public employee pension plan, </w:t>
      </w:r>
      <w:r w:rsidRPr="00D81D5A">
        <w:rPr>
          <w:i/>
          <w:szCs w:val="26"/>
        </w:rPr>
        <w:t xml:space="preserve">Allen I </w:t>
      </w:r>
      <w:r w:rsidRPr="00D81D5A">
        <w:rPr>
          <w:szCs w:val="26"/>
        </w:rPr>
        <w:t>requires a court first to determine whether the modification imposes disadvantages on affected employees</w:t>
      </w:r>
      <w:r w:rsidR="006C7DB7" w:rsidRPr="00D81D5A">
        <w:rPr>
          <w:szCs w:val="26"/>
        </w:rPr>
        <w:t xml:space="preserve">, relative to </w:t>
      </w:r>
      <w:r w:rsidRPr="00D81D5A">
        <w:rPr>
          <w:szCs w:val="26"/>
        </w:rPr>
        <w:t xml:space="preserve">the preexisting pension plan, and, if so, whether the disadvantages are </w:t>
      </w:r>
      <w:r w:rsidR="001D5298" w:rsidRPr="00D81D5A">
        <w:rPr>
          <w:szCs w:val="26"/>
        </w:rPr>
        <w:t>accompanied</w:t>
      </w:r>
      <w:r w:rsidRPr="00D81D5A">
        <w:rPr>
          <w:szCs w:val="26"/>
        </w:rPr>
        <w:t xml:space="preserve"> by </w:t>
      </w:r>
      <w:r w:rsidR="001D5298" w:rsidRPr="00D81D5A">
        <w:rPr>
          <w:szCs w:val="26"/>
        </w:rPr>
        <w:t xml:space="preserve">comparable new </w:t>
      </w:r>
      <w:r w:rsidRPr="00D81D5A">
        <w:rPr>
          <w:szCs w:val="26"/>
        </w:rPr>
        <w:t xml:space="preserve">advantages.  Assuming the disadvantages are not offset, the court must then determine whether the </w:t>
      </w:r>
      <w:r w:rsidR="00793856" w:rsidRPr="00D81D5A">
        <w:rPr>
          <w:szCs w:val="26"/>
        </w:rPr>
        <w:t>l</w:t>
      </w:r>
      <w:r w:rsidR="00D55365" w:rsidRPr="00D81D5A">
        <w:rPr>
          <w:szCs w:val="26"/>
        </w:rPr>
        <w:t>egislat</w:t>
      </w:r>
      <w:r w:rsidR="00793856" w:rsidRPr="00D81D5A">
        <w:rPr>
          <w:szCs w:val="26"/>
        </w:rPr>
        <w:t>iv</w:t>
      </w:r>
      <w:r w:rsidR="00D55365" w:rsidRPr="00D81D5A">
        <w:rPr>
          <w:szCs w:val="26"/>
        </w:rPr>
        <w:t>e</w:t>
      </w:r>
      <w:r w:rsidR="00793856" w:rsidRPr="00D81D5A">
        <w:rPr>
          <w:szCs w:val="26"/>
        </w:rPr>
        <w:t xml:space="preserve"> body</w:t>
      </w:r>
      <w:r w:rsidRPr="00D81D5A">
        <w:rPr>
          <w:szCs w:val="26"/>
        </w:rPr>
        <w:t>’s purpose in making the changes was sufficient, for constitutional purposes, to justify</w:t>
      </w:r>
      <w:r w:rsidR="00213B5C" w:rsidRPr="00D81D5A">
        <w:rPr>
          <w:szCs w:val="26"/>
        </w:rPr>
        <w:t xml:space="preserve"> </w:t>
      </w:r>
      <w:r w:rsidR="00DC1798">
        <w:rPr>
          <w:szCs w:val="26"/>
        </w:rPr>
        <w:t>an</w:t>
      </w:r>
      <w:r w:rsidR="00EC48A9" w:rsidRPr="00D81D5A">
        <w:rPr>
          <w:szCs w:val="26"/>
        </w:rPr>
        <w:t xml:space="preserve"> </w:t>
      </w:r>
      <w:r w:rsidRPr="00D81D5A">
        <w:rPr>
          <w:szCs w:val="26"/>
        </w:rPr>
        <w:t xml:space="preserve">impairment of pension rights.  Although public employee pension plans may be modified </w:t>
      </w:r>
      <w:r w:rsidRPr="00D81D5A">
        <w:t>“</w:t>
      </w:r>
      <w:r w:rsidRPr="00D81D5A">
        <w:rPr>
          <w:rStyle w:val="ssrfcpassagedeactivated"/>
          <w:szCs w:val="26"/>
        </w:rPr>
        <w:t xml:space="preserve">for the purpose of keeping [the] </w:t>
      </w:r>
      <w:r w:rsidRPr="00D81D5A">
        <w:rPr>
          <w:rStyle w:val="sssh"/>
          <w:szCs w:val="26"/>
        </w:rPr>
        <w:t>pension</w:t>
      </w:r>
      <w:r w:rsidRPr="00D81D5A">
        <w:rPr>
          <w:rStyle w:val="ssrfcpassagedeactivated"/>
          <w:szCs w:val="26"/>
        </w:rPr>
        <w:t xml:space="preserve"> system flexible to permit adjustments in accord with changing conditions and at the same time maintain the integrity of the system,” to survive contract clause scrutiny such changes “must bear some material relation to the theory of a </w:t>
      </w:r>
      <w:r w:rsidRPr="00D81D5A">
        <w:rPr>
          <w:rStyle w:val="sssh"/>
          <w:szCs w:val="26"/>
        </w:rPr>
        <w:t>pension</w:t>
      </w:r>
      <w:r w:rsidRPr="00D81D5A">
        <w:rPr>
          <w:rStyle w:val="ssrfcpassagedeactivated"/>
          <w:szCs w:val="26"/>
        </w:rPr>
        <w:t xml:space="preserve"> system and its successful operation.”  (</w:t>
      </w:r>
      <w:r w:rsidRPr="00D81D5A">
        <w:rPr>
          <w:rStyle w:val="ssrfcpassagedeactivated"/>
          <w:i/>
          <w:iCs/>
          <w:szCs w:val="26"/>
        </w:rPr>
        <w:t xml:space="preserve">Allen </w:t>
      </w:r>
      <w:r w:rsidRPr="00D81D5A">
        <w:rPr>
          <w:rStyle w:val="ssrfcpassagedeactivated"/>
          <w:i/>
          <w:szCs w:val="26"/>
        </w:rPr>
        <w:t>I</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xml:space="preserve">, </w:t>
      </w:r>
      <w:r w:rsidRPr="00D81D5A">
        <w:t>45 Cal.2d at p.</w:t>
      </w:r>
      <w:r w:rsidR="009D1B95">
        <w:t> </w:t>
      </w:r>
      <w:r w:rsidRPr="00D81D5A">
        <w:t>131.)</w:t>
      </w:r>
      <w:r w:rsidR="008D7702" w:rsidRPr="00D81D5A">
        <w:t xml:space="preserve">  </w:t>
      </w:r>
      <w:r w:rsidR="007360FE" w:rsidRPr="00D81D5A">
        <w:t xml:space="preserve">Finally, assuming the changes </w:t>
      </w:r>
      <w:r w:rsidR="00762DB5" w:rsidRPr="00D81D5A">
        <w:t>were made</w:t>
      </w:r>
      <w:r w:rsidR="007360FE" w:rsidRPr="00D81D5A">
        <w:t xml:space="preserve"> for a proper purpose, one further </w:t>
      </w:r>
      <w:r w:rsidR="009069B1" w:rsidRPr="00D81D5A">
        <w:t xml:space="preserve">analytic </w:t>
      </w:r>
      <w:r w:rsidR="007360FE" w:rsidRPr="00D81D5A">
        <w:t>step is necessary, as expli</w:t>
      </w:r>
      <w:r w:rsidR="00762DB5" w:rsidRPr="00D81D5A">
        <w:t>cat</w:t>
      </w:r>
      <w:r w:rsidR="007360FE" w:rsidRPr="00D81D5A">
        <w:t xml:space="preserve">ed below:  </w:t>
      </w:r>
      <w:r w:rsidR="00B7654D">
        <w:t>T</w:t>
      </w:r>
      <w:r w:rsidR="008D7702" w:rsidRPr="00D81D5A">
        <w:t xml:space="preserve">he </w:t>
      </w:r>
      <w:r w:rsidR="00B7654D">
        <w:t>L</w:t>
      </w:r>
      <w:r w:rsidR="00793856" w:rsidRPr="00D81D5A">
        <w:t>egislat</w:t>
      </w:r>
      <w:r w:rsidR="00B7654D">
        <w:t>ure’s</w:t>
      </w:r>
      <w:r w:rsidR="00563C7D" w:rsidRPr="00D81D5A">
        <w:t xml:space="preserve"> decision to</w:t>
      </w:r>
      <w:r w:rsidR="008D7702" w:rsidRPr="00D81D5A">
        <w:t xml:space="preserve"> impos</w:t>
      </w:r>
      <w:r w:rsidR="00563C7D" w:rsidRPr="00D81D5A">
        <w:t>e</w:t>
      </w:r>
      <w:r w:rsidR="008D7702" w:rsidRPr="00D81D5A">
        <w:t xml:space="preserve"> </w:t>
      </w:r>
      <w:r w:rsidR="003469D0" w:rsidRPr="00D81D5A">
        <w:t xml:space="preserve">financial </w:t>
      </w:r>
      <w:r w:rsidR="008D7702" w:rsidRPr="00D81D5A">
        <w:t>disadvantages on public employees without providing comp</w:t>
      </w:r>
      <w:r w:rsidR="001D5298" w:rsidRPr="00D81D5A">
        <w:t>arable</w:t>
      </w:r>
      <w:r w:rsidR="008D7702" w:rsidRPr="00D81D5A">
        <w:t xml:space="preserve"> advantages </w:t>
      </w:r>
      <w:r w:rsidR="00793856" w:rsidRPr="00D81D5A">
        <w:t xml:space="preserve">will </w:t>
      </w:r>
      <w:r w:rsidR="003469D0" w:rsidRPr="00D81D5A">
        <w:t>be upheld under the contract clause only if providing comp</w:t>
      </w:r>
      <w:r w:rsidR="001D5298" w:rsidRPr="00D81D5A">
        <w:t>arable</w:t>
      </w:r>
      <w:r w:rsidR="003469D0" w:rsidRPr="00D81D5A">
        <w:t xml:space="preserve"> advantages would undermine, or would otherwise be inconsistent with, the </w:t>
      </w:r>
      <w:r w:rsidR="00793856" w:rsidRPr="00D81D5A">
        <w:t>modification</w:t>
      </w:r>
      <w:r w:rsidR="003469D0" w:rsidRPr="00D81D5A">
        <w:t>’s constitutionally permissible purpose.</w:t>
      </w:r>
      <w:r w:rsidR="00E33818">
        <w:t xml:space="preserve">  </w:t>
      </w:r>
      <w:r w:rsidR="008D7702" w:rsidRPr="00D81D5A">
        <w:t>We conclude that the PEPRA amendment survives this constitutional scrutiny.</w:t>
      </w:r>
    </w:p>
    <w:bookmarkEnd w:id="44"/>
    <w:p w14:paraId="394CDB60" w14:textId="77777777" w:rsidR="00FF1B50" w:rsidRPr="00D81D5A" w:rsidRDefault="00FF1B50" w:rsidP="00D81D5A">
      <w:pPr>
        <w:pStyle w:val="Heading4"/>
      </w:pPr>
      <w:r w:rsidRPr="00D81D5A">
        <w:t>a.  The PEPRA amendment imposed disadvantages on county employees without providing comp</w:t>
      </w:r>
      <w:r w:rsidR="001D5298" w:rsidRPr="00D81D5A">
        <w:t>arable</w:t>
      </w:r>
      <w:r w:rsidRPr="00D81D5A">
        <w:t xml:space="preserve"> advantages</w:t>
      </w:r>
    </w:p>
    <w:p w14:paraId="1FA87565" w14:textId="6EE3C980" w:rsidR="009D1B95" w:rsidRPr="00D81D5A" w:rsidRDefault="00A200EE" w:rsidP="00B94DC2">
      <w:pPr>
        <w:pStyle w:val="NormalIndent"/>
        <w:ind w:left="0" w:firstLine="720"/>
        <w:rPr>
          <w:szCs w:val="26"/>
        </w:rPr>
      </w:pPr>
      <w:r w:rsidRPr="00D81D5A">
        <w:rPr>
          <w:szCs w:val="26"/>
        </w:rPr>
        <w:t xml:space="preserve">There is no question that the PEPRA amendment diminished county employees’ pension rights without providing any comparable new advantages.  </w:t>
      </w:r>
      <w:r w:rsidR="00B7654D">
        <w:rPr>
          <w:szCs w:val="26"/>
        </w:rPr>
        <w:t>N</w:t>
      </w:r>
      <w:r w:rsidR="00ED1E72" w:rsidRPr="00D81D5A">
        <w:rPr>
          <w:szCs w:val="26"/>
        </w:rPr>
        <w:t>ew subdivision (b)(1) through (3)</w:t>
      </w:r>
      <w:r w:rsidR="00B7654D">
        <w:rPr>
          <w:szCs w:val="26"/>
        </w:rPr>
        <w:t xml:space="preserve"> of section 31461</w:t>
      </w:r>
      <w:r w:rsidRPr="00D81D5A">
        <w:rPr>
          <w:szCs w:val="26"/>
        </w:rPr>
        <w:t xml:space="preserve"> exclude from compensation earnable categories of compensation that, prior to PEPRA, were includable.</w:t>
      </w:r>
      <w:r w:rsidR="005301EF" w:rsidRPr="00D81D5A">
        <w:rPr>
          <w:rStyle w:val="FootnoteReference"/>
        </w:rPr>
        <w:footnoteReference w:id="31"/>
      </w:r>
      <w:r w:rsidRPr="00D81D5A">
        <w:rPr>
          <w:szCs w:val="26"/>
        </w:rPr>
        <w:t xml:space="preserve">  Although the impact on </w:t>
      </w:r>
      <w:r w:rsidR="00EC48A9" w:rsidRPr="00D81D5A">
        <w:rPr>
          <w:szCs w:val="26"/>
        </w:rPr>
        <w:t xml:space="preserve">the </w:t>
      </w:r>
      <w:r w:rsidRPr="00D81D5A">
        <w:rPr>
          <w:szCs w:val="26"/>
        </w:rPr>
        <w:t>pension rights</w:t>
      </w:r>
      <w:r w:rsidR="00EC48A9" w:rsidRPr="00D81D5A">
        <w:rPr>
          <w:szCs w:val="26"/>
        </w:rPr>
        <w:t xml:space="preserve"> of</w:t>
      </w:r>
      <w:r w:rsidRPr="00D81D5A">
        <w:rPr>
          <w:szCs w:val="26"/>
        </w:rPr>
        <w:t xml:space="preserve"> </w:t>
      </w:r>
      <w:r w:rsidR="00EC48A9" w:rsidRPr="00D81D5A">
        <w:rPr>
          <w:szCs w:val="26"/>
        </w:rPr>
        <w:t xml:space="preserve">individual employees </w:t>
      </w:r>
      <w:r w:rsidR="00563C7D" w:rsidRPr="00D81D5A">
        <w:rPr>
          <w:szCs w:val="26"/>
        </w:rPr>
        <w:t xml:space="preserve">will </w:t>
      </w:r>
      <w:r w:rsidR="00A577CD" w:rsidRPr="00D81D5A">
        <w:rPr>
          <w:szCs w:val="26"/>
        </w:rPr>
        <w:t xml:space="preserve">vary, </w:t>
      </w:r>
      <w:r w:rsidRPr="00D81D5A">
        <w:rPr>
          <w:szCs w:val="26"/>
        </w:rPr>
        <w:t>depend</w:t>
      </w:r>
      <w:r w:rsidR="00A577CD" w:rsidRPr="00D81D5A">
        <w:rPr>
          <w:szCs w:val="26"/>
        </w:rPr>
        <w:t>ing</w:t>
      </w:r>
      <w:r w:rsidRPr="00D81D5A">
        <w:rPr>
          <w:szCs w:val="26"/>
        </w:rPr>
        <w:t xml:space="preserve"> on </w:t>
      </w:r>
      <w:r w:rsidR="00A577CD" w:rsidRPr="00D81D5A">
        <w:rPr>
          <w:szCs w:val="26"/>
        </w:rPr>
        <w:t xml:space="preserve">the employee’s </w:t>
      </w:r>
      <w:r w:rsidRPr="00D81D5A">
        <w:rPr>
          <w:szCs w:val="26"/>
        </w:rPr>
        <w:t>personal circumstances and the policy adopted</w:t>
      </w:r>
      <w:r w:rsidR="009E626B" w:rsidRPr="00D81D5A">
        <w:rPr>
          <w:szCs w:val="26"/>
        </w:rPr>
        <w:t xml:space="preserve"> prior to PEPRA</w:t>
      </w:r>
      <w:r w:rsidRPr="00D81D5A">
        <w:rPr>
          <w:szCs w:val="26"/>
        </w:rPr>
        <w:t xml:space="preserve"> </w:t>
      </w:r>
      <w:r w:rsidR="00FF1B50" w:rsidRPr="00D81D5A">
        <w:rPr>
          <w:szCs w:val="26"/>
        </w:rPr>
        <w:t>by</w:t>
      </w:r>
      <w:r w:rsidR="00A577CD" w:rsidRPr="00D81D5A">
        <w:rPr>
          <w:szCs w:val="26"/>
        </w:rPr>
        <w:t xml:space="preserve"> his or her</w:t>
      </w:r>
      <w:r w:rsidR="00FF1B50" w:rsidRPr="00D81D5A">
        <w:rPr>
          <w:szCs w:val="26"/>
        </w:rPr>
        <w:t xml:space="preserve"> </w:t>
      </w:r>
      <w:r w:rsidR="003469D0" w:rsidRPr="00D81D5A">
        <w:rPr>
          <w:szCs w:val="26"/>
        </w:rPr>
        <w:t>county</w:t>
      </w:r>
      <w:r w:rsidR="00FF1B50" w:rsidRPr="00D81D5A">
        <w:rPr>
          <w:szCs w:val="26"/>
        </w:rPr>
        <w:t xml:space="preserve"> retirement board</w:t>
      </w:r>
      <w:r w:rsidR="00563C7D" w:rsidRPr="00D81D5A">
        <w:rPr>
          <w:szCs w:val="26"/>
        </w:rPr>
        <w:t xml:space="preserve"> </w:t>
      </w:r>
      <w:r w:rsidRPr="00D81D5A">
        <w:rPr>
          <w:szCs w:val="26"/>
        </w:rPr>
        <w:t xml:space="preserve">regarding the inclusion of these categories, it seems inescapable that </w:t>
      </w:r>
      <w:r w:rsidR="00793856" w:rsidRPr="00D81D5A">
        <w:rPr>
          <w:szCs w:val="26"/>
        </w:rPr>
        <w:t xml:space="preserve">the pension benefits of </w:t>
      </w:r>
      <w:r w:rsidRPr="00D81D5A">
        <w:rPr>
          <w:szCs w:val="26"/>
        </w:rPr>
        <w:t>some county employees will be less than they otherwise would have been as a result of the PEPRA amendment.  In the three counties involved in this matter, for example, retirement board policies permitted at least some of the</w:t>
      </w:r>
      <w:r w:rsidR="00FF1B50" w:rsidRPr="00D81D5A">
        <w:rPr>
          <w:szCs w:val="26"/>
        </w:rPr>
        <w:t xml:space="preserve"> types of</w:t>
      </w:r>
      <w:r w:rsidRPr="00D81D5A">
        <w:rPr>
          <w:szCs w:val="26"/>
        </w:rPr>
        <w:t xml:space="preserve"> compensation excluded by new subdivision (b) to be included in compensation earnable.  Because that compensation will no longer be factored into employees’ final compensation, diminished pension benefits will result.</w:t>
      </w:r>
      <w:r w:rsidR="00563C7D" w:rsidRPr="00D81D5A">
        <w:rPr>
          <w:szCs w:val="26"/>
        </w:rPr>
        <w:t xml:space="preserve">  </w:t>
      </w:r>
      <w:r w:rsidR="003469D0" w:rsidRPr="00D81D5A">
        <w:rPr>
          <w:szCs w:val="26"/>
        </w:rPr>
        <w:t xml:space="preserve">There is no argument that </w:t>
      </w:r>
      <w:r w:rsidRPr="00D81D5A">
        <w:rPr>
          <w:szCs w:val="26"/>
        </w:rPr>
        <w:t>PEPRA provided affected employees new advantages to offset the</w:t>
      </w:r>
      <w:r w:rsidR="00A577CD" w:rsidRPr="00D81D5A">
        <w:rPr>
          <w:szCs w:val="26"/>
        </w:rPr>
        <w:t xml:space="preserve"> financial</w:t>
      </w:r>
      <w:r w:rsidRPr="00D81D5A">
        <w:rPr>
          <w:szCs w:val="26"/>
        </w:rPr>
        <w:t xml:space="preserve"> impact of these exclusions.</w:t>
      </w:r>
    </w:p>
    <w:p w14:paraId="1CAC6C00" w14:textId="77777777" w:rsidR="00ED1E72" w:rsidRPr="00D81D5A" w:rsidRDefault="00ED1E72" w:rsidP="00D81D5A">
      <w:pPr>
        <w:pStyle w:val="Heading4"/>
      </w:pPr>
      <w:bookmarkStart w:id="47" w:name="_Hlk26449375"/>
      <w:r w:rsidRPr="00D81D5A">
        <w:t xml:space="preserve">b. PEPRA’s amendments of CERL were </w:t>
      </w:r>
      <w:r w:rsidR="008A7089" w:rsidRPr="00D81D5A">
        <w:t xml:space="preserve">enacted for the constitutionally permissible purpose of </w:t>
      </w:r>
      <w:r w:rsidRPr="00D81D5A">
        <w:t>conform</w:t>
      </w:r>
      <w:r w:rsidR="008A7089" w:rsidRPr="00D81D5A">
        <w:t>ing</w:t>
      </w:r>
      <w:r w:rsidRPr="00D81D5A">
        <w:t xml:space="preserve"> pension benefits more closely to the theory underlying section 31461 by closing loopholes and proscribing potentially abusive practices</w:t>
      </w:r>
    </w:p>
    <w:p w14:paraId="1DB7FA58" w14:textId="786F50DE" w:rsidR="008A7089" w:rsidRPr="00D81D5A" w:rsidRDefault="008A7089" w:rsidP="00D81D5A">
      <w:pPr>
        <w:pStyle w:val="NormalIndent"/>
        <w:ind w:left="0" w:firstLine="720"/>
        <w:rPr>
          <w:rStyle w:val="ssrfcpassagedeactivated"/>
          <w:szCs w:val="26"/>
        </w:rPr>
      </w:pPr>
      <w:bookmarkStart w:id="48" w:name="_Hlk40964256"/>
      <w:bookmarkEnd w:id="47"/>
      <w:r w:rsidRPr="00D81D5A">
        <w:rPr>
          <w:rStyle w:val="ssrfcpassagedeactivated"/>
          <w:szCs w:val="26"/>
        </w:rPr>
        <w:t xml:space="preserve">The second component of the California Rule is the requirement that the changes to a public pension plan have been enacted for a constitutionally permissible purpose.  The requirement is premised on the recognition in </w:t>
      </w:r>
      <w:r w:rsidRPr="00D81D5A">
        <w:rPr>
          <w:rStyle w:val="ssrfcpassagedeactivated"/>
          <w:i/>
          <w:iCs/>
          <w:szCs w:val="26"/>
        </w:rPr>
        <w:t>Kern</w:t>
      </w:r>
      <w:r w:rsidRPr="00D81D5A">
        <w:rPr>
          <w:rStyle w:val="ssrfcpassagedeactivated"/>
          <w:szCs w:val="26"/>
        </w:rPr>
        <w:t xml:space="preserve">, </w:t>
      </w:r>
      <w:r w:rsidRPr="00D81D5A">
        <w:rPr>
          <w:rStyle w:val="ssrfcpassagedeactivated"/>
          <w:i/>
          <w:iCs/>
          <w:szCs w:val="26"/>
        </w:rPr>
        <w:t>supra</w:t>
      </w:r>
      <w:r w:rsidRPr="00D81D5A">
        <w:rPr>
          <w:rStyle w:val="ssrfcpassagedeactivated"/>
          <w:szCs w:val="26"/>
        </w:rPr>
        <w:t xml:space="preserve">, </w:t>
      </w:r>
      <w:r w:rsidRPr="00D81D5A">
        <w:t>29</w:t>
      </w:r>
      <w:r w:rsidR="00E33818">
        <w:t> </w:t>
      </w:r>
      <w:r w:rsidRPr="00D81D5A">
        <w:t xml:space="preserve">Cal.2d 848, that </w:t>
      </w:r>
      <w:r w:rsidRPr="00D81D5A">
        <w:rPr>
          <w:szCs w:val="26"/>
        </w:rPr>
        <w:t>“[t]he rule permitting modification of pensions is a necessary one since pension systems must be kept flexible to permit adjustments in accord with changing conditions and at the same time maintain the integrity of the system and carry out its beneficent policy.”  (</w:t>
      </w:r>
      <w:r w:rsidRPr="00D81D5A">
        <w:rPr>
          <w:i/>
          <w:szCs w:val="26"/>
        </w:rPr>
        <w:t>Id</w:t>
      </w:r>
      <w:r w:rsidRPr="00D81D5A">
        <w:rPr>
          <w:szCs w:val="26"/>
        </w:rPr>
        <w:t>. at pp.</w:t>
      </w:r>
      <w:r w:rsidR="00E33818">
        <w:rPr>
          <w:szCs w:val="26"/>
        </w:rPr>
        <w:t> </w:t>
      </w:r>
      <w:r w:rsidRPr="00D81D5A">
        <w:rPr>
          <w:szCs w:val="26"/>
        </w:rPr>
        <w:t>854</w:t>
      </w:r>
      <w:r w:rsidR="00427AF8">
        <w:rPr>
          <w:szCs w:val="26"/>
        </w:rPr>
        <w:t>–</w:t>
      </w:r>
      <w:r w:rsidRPr="00D81D5A">
        <w:rPr>
          <w:szCs w:val="26"/>
        </w:rPr>
        <w:t xml:space="preserve">855.)  While acknowledging this need for flexibility, we held in </w:t>
      </w:r>
      <w:r w:rsidRPr="00D81D5A">
        <w:rPr>
          <w:rStyle w:val="ssrfcpassagedeactivated"/>
          <w:i/>
          <w:iCs/>
          <w:szCs w:val="26"/>
        </w:rPr>
        <w:t>Allen I</w:t>
      </w:r>
      <w:r w:rsidRPr="00D81D5A">
        <w:t xml:space="preserve"> that modifications of public pension plans are permissible only if they </w:t>
      </w:r>
      <w:r w:rsidRPr="00D81D5A">
        <w:rPr>
          <w:rStyle w:val="ssrfcpassagedeactivated"/>
          <w:szCs w:val="26"/>
        </w:rPr>
        <w:t xml:space="preserve">relate to the operation of the plan and are intended to improve its functioning or adjust to changing conditions, holding that “alterations of employees’ </w:t>
      </w:r>
      <w:r w:rsidRPr="00D81D5A">
        <w:rPr>
          <w:rStyle w:val="sssh"/>
          <w:szCs w:val="26"/>
        </w:rPr>
        <w:t>pension</w:t>
      </w:r>
      <w:r w:rsidRPr="00D81D5A">
        <w:rPr>
          <w:rStyle w:val="ssrfcpassagedeactivated"/>
          <w:szCs w:val="26"/>
        </w:rPr>
        <w:t xml:space="preserve"> rights must bear some material relation to the theory of a </w:t>
      </w:r>
      <w:r w:rsidRPr="00D81D5A">
        <w:rPr>
          <w:rStyle w:val="sssh"/>
          <w:szCs w:val="26"/>
        </w:rPr>
        <w:t>pension</w:t>
      </w:r>
      <w:r w:rsidRPr="00D81D5A">
        <w:rPr>
          <w:rStyle w:val="ssrfcpassagedeactivated"/>
          <w:szCs w:val="26"/>
        </w:rPr>
        <w:t xml:space="preserve"> system and its successful operation</w:t>
      </w:r>
      <w:r w:rsidR="00B7654D">
        <w:rPr>
          <w:rStyle w:val="ssrfcpassagedeactivated"/>
          <w:szCs w:val="26"/>
        </w:rPr>
        <w:t xml:space="preserve"> </w:t>
      </w:r>
      <w:r w:rsidRPr="00D81D5A">
        <w:rPr>
          <w:rStyle w:val="ssrfcpassagedeactivated"/>
          <w:szCs w:val="26"/>
        </w:rPr>
        <w:t>.</w:t>
      </w:r>
      <w:r w:rsidR="00B7654D">
        <w:rPr>
          <w:rStyle w:val="ssrfcpassagedeactivated"/>
          <w:szCs w:val="26"/>
        </w:rPr>
        <w:t xml:space="preserve"> . . .</w:t>
      </w:r>
      <w:r w:rsidRPr="00D81D5A">
        <w:rPr>
          <w:rStyle w:val="ssrfcpassagedeactivated"/>
          <w:szCs w:val="26"/>
        </w:rPr>
        <w:t>”  (</w:t>
      </w:r>
      <w:r w:rsidR="00B7654D">
        <w:rPr>
          <w:rStyle w:val="ssrfcpassagedeactivated"/>
          <w:i/>
          <w:szCs w:val="26"/>
        </w:rPr>
        <w:t>Allen I</w:t>
      </w:r>
      <w:r w:rsidRPr="00D81D5A">
        <w:rPr>
          <w:rStyle w:val="ssrfcpassagedeactivated"/>
          <w:szCs w:val="26"/>
        </w:rPr>
        <w:t>,</w:t>
      </w:r>
      <w:r w:rsidRPr="00D81D5A">
        <w:rPr>
          <w:rStyle w:val="ssrfcpassagedeactivated"/>
          <w:i/>
          <w:iCs/>
          <w:szCs w:val="26"/>
        </w:rPr>
        <w:t xml:space="preserve"> supra</w:t>
      </w:r>
      <w:r w:rsidRPr="00D81D5A">
        <w:rPr>
          <w:rStyle w:val="ssrfcpassagedeactivated"/>
          <w:szCs w:val="26"/>
        </w:rPr>
        <w:t xml:space="preserve">, </w:t>
      </w:r>
      <w:r w:rsidRPr="00D81D5A">
        <w:t>45</w:t>
      </w:r>
      <w:r w:rsidR="00E33818">
        <w:t> </w:t>
      </w:r>
      <w:r w:rsidRPr="00D81D5A">
        <w:t>Cal.2d at p. 131.)</w:t>
      </w:r>
    </w:p>
    <w:p w14:paraId="360BBA3E" w14:textId="3084C7E4" w:rsidR="007748C7" w:rsidRDefault="008A7089" w:rsidP="007748C7">
      <w:pPr>
        <w:pStyle w:val="NormalIndent"/>
        <w:ind w:left="0" w:firstLine="720"/>
        <w:rPr>
          <w:rStyle w:val="ssrfcpassagedeactivated"/>
          <w:szCs w:val="26"/>
        </w:rPr>
      </w:pPr>
      <w:r w:rsidRPr="00D81D5A">
        <w:rPr>
          <w:rStyle w:val="ssrfcpassagedeactivated"/>
          <w:szCs w:val="26"/>
        </w:rPr>
        <w:t xml:space="preserve">Our decisions since </w:t>
      </w:r>
      <w:r w:rsidRPr="00D81D5A">
        <w:rPr>
          <w:rStyle w:val="ssrfcpassagedeactivated"/>
          <w:i/>
          <w:iCs/>
          <w:szCs w:val="26"/>
        </w:rPr>
        <w:t xml:space="preserve">Allen I </w:t>
      </w:r>
      <w:r w:rsidRPr="00D81D5A">
        <w:rPr>
          <w:rStyle w:val="ssrfcpassagedeactivated"/>
          <w:szCs w:val="26"/>
        </w:rPr>
        <w:t xml:space="preserve">have upheld few, if any, pension modifications as properly motivated.  Perhaps the closest we have come to sustaining such a change was </w:t>
      </w:r>
      <w:r w:rsidRPr="00D81D5A">
        <w:rPr>
          <w:rStyle w:val="ssrfcpassagedeactivated"/>
          <w:i/>
          <w:szCs w:val="26"/>
        </w:rPr>
        <w:t>Betts</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21 Cal.3d 859, in which we considered a modification of the pension system serving state officers.  The plan originally pegged the amount of officers’ pension benefits to the salary of persons currently holding the same office held by the pensioner upon retirement.  (</w:t>
      </w:r>
      <w:r w:rsidRPr="00D81D5A">
        <w:rPr>
          <w:rStyle w:val="ssrfcpassagedeactivated"/>
          <w:i/>
          <w:iCs/>
          <w:szCs w:val="26"/>
        </w:rPr>
        <w:t>Id</w:t>
      </w:r>
      <w:r w:rsidRPr="00D81D5A">
        <w:rPr>
          <w:rStyle w:val="ssrfcpassagedeactivated"/>
          <w:szCs w:val="26"/>
        </w:rPr>
        <w:t>. at p. 862.)  The modification at issue changed this means of preserving the purchasing power of pension benefits to an annual cost</w:t>
      </w:r>
      <w:r w:rsidR="00B7654D">
        <w:rPr>
          <w:rStyle w:val="ssrfcpassagedeactivated"/>
          <w:szCs w:val="26"/>
        </w:rPr>
        <w:t xml:space="preserve"> </w:t>
      </w:r>
      <w:r w:rsidRPr="00D81D5A">
        <w:rPr>
          <w:rStyle w:val="ssrfcpassagedeactivated"/>
          <w:szCs w:val="26"/>
        </w:rPr>
        <w:t>of</w:t>
      </w:r>
      <w:r w:rsidR="00B7654D">
        <w:rPr>
          <w:rStyle w:val="ssrfcpassagedeactivated"/>
          <w:szCs w:val="26"/>
        </w:rPr>
        <w:t xml:space="preserve"> </w:t>
      </w:r>
      <w:r w:rsidRPr="00D81D5A">
        <w:rPr>
          <w:rStyle w:val="ssrfcpassagedeactivated"/>
          <w:szCs w:val="26"/>
        </w:rPr>
        <w:t>living adjustment.  (</w:t>
      </w:r>
      <w:r w:rsidRPr="00D81D5A">
        <w:rPr>
          <w:rStyle w:val="ssrfcpassagedeactivated"/>
          <w:i/>
          <w:iCs/>
          <w:szCs w:val="26"/>
        </w:rPr>
        <w:t>Id</w:t>
      </w:r>
      <w:r w:rsidRPr="00D81D5A">
        <w:rPr>
          <w:rStyle w:val="ssrfcpassagedeactivated"/>
          <w:szCs w:val="26"/>
        </w:rPr>
        <w:t>. at p.</w:t>
      </w:r>
      <w:r w:rsidR="00ED51B3">
        <w:rPr>
          <w:rStyle w:val="ssrfcpassagedeactivated"/>
          <w:szCs w:val="26"/>
        </w:rPr>
        <w:t> </w:t>
      </w:r>
      <w:r w:rsidRPr="00D81D5A">
        <w:rPr>
          <w:rStyle w:val="ssrfcpassagedeactivated"/>
          <w:szCs w:val="26"/>
        </w:rPr>
        <w:t>865.)  We expressed a willingness to entertain the state’s argument that the change was constitutionally permissible because it represented the replacement of “</w:t>
      </w:r>
      <w:r w:rsidRPr="00D81D5A">
        <w:rPr>
          <w:szCs w:val="26"/>
        </w:rPr>
        <w:t>one ‘cost of living’ formula” with</w:t>
      </w:r>
      <w:r w:rsidRPr="00D81D5A">
        <w:rPr>
          <w:rStyle w:val="ssrfcpassagedeactivated"/>
          <w:szCs w:val="26"/>
        </w:rPr>
        <w:t xml:space="preserve"> another, but we concluded that the argument could not be sustained “[u]</w:t>
      </w:r>
      <w:proofErr w:type="spellStart"/>
      <w:r w:rsidRPr="00D81D5A">
        <w:rPr>
          <w:szCs w:val="26"/>
          <w:shd w:val="clear" w:color="auto" w:fill="FFFFFF"/>
        </w:rPr>
        <w:t>nder</w:t>
      </w:r>
      <w:proofErr w:type="spellEnd"/>
      <w:r w:rsidRPr="00D81D5A">
        <w:rPr>
          <w:szCs w:val="26"/>
          <w:shd w:val="clear" w:color="auto" w:fill="FFFFFF"/>
        </w:rPr>
        <w:t xml:space="preserve"> the circumstances of this case.”  </w:t>
      </w:r>
      <w:r w:rsidRPr="00D81D5A">
        <w:rPr>
          <w:rStyle w:val="ssrfcpassagedeactivated"/>
          <w:szCs w:val="26"/>
        </w:rPr>
        <w:t>(</w:t>
      </w:r>
      <w:r w:rsidRPr="00D81D5A">
        <w:rPr>
          <w:rStyle w:val="ssrfcpassagedeactivated"/>
          <w:i/>
          <w:szCs w:val="26"/>
        </w:rPr>
        <w:t>Ibid</w:t>
      </w:r>
      <w:r w:rsidRPr="00D81D5A">
        <w:rPr>
          <w:rStyle w:val="ssrfcpassagedeactivated"/>
          <w:szCs w:val="26"/>
        </w:rPr>
        <w:t>.)</w:t>
      </w:r>
    </w:p>
    <w:p w14:paraId="38CA7DD2" w14:textId="03C36EC8" w:rsidR="00A249C2" w:rsidRPr="00177BD3" w:rsidRDefault="00225DC3" w:rsidP="00A249C2">
      <w:pPr>
        <w:pStyle w:val="NormalIndent"/>
        <w:ind w:left="0" w:firstLine="720"/>
        <w:rPr>
          <w:szCs w:val="27"/>
          <w:shd w:val="clear" w:color="auto" w:fill="FFFFFF"/>
        </w:rPr>
      </w:pPr>
      <w:r w:rsidRPr="007748C7">
        <w:rPr>
          <w:rStyle w:val="ssrfcpassagedeactivated"/>
          <w:szCs w:val="26"/>
        </w:rPr>
        <w:t xml:space="preserve">Our decisions have more often given substance to this requirement of </w:t>
      </w:r>
      <w:r w:rsidRPr="007748C7">
        <w:rPr>
          <w:rStyle w:val="ssrfcpassagedeactivated"/>
          <w:i/>
          <w:iCs/>
          <w:szCs w:val="26"/>
        </w:rPr>
        <w:t>Allen I</w:t>
      </w:r>
      <w:r w:rsidRPr="007748C7">
        <w:rPr>
          <w:rStyle w:val="ssrfcpassagedeactivated"/>
          <w:szCs w:val="26"/>
        </w:rPr>
        <w:t xml:space="preserve"> by delineating what is </w:t>
      </w:r>
      <w:r w:rsidRPr="007748C7">
        <w:rPr>
          <w:rStyle w:val="ssrfcpassagedeactivated"/>
          <w:i/>
          <w:iCs/>
          <w:szCs w:val="26"/>
        </w:rPr>
        <w:t xml:space="preserve">not </w:t>
      </w:r>
      <w:r w:rsidRPr="007748C7">
        <w:rPr>
          <w:rStyle w:val="ssrfcpassagedeactivated"/>
          <w:szCs w:val="26"/>
        </w:rPr>
        <w:t xml:space="preserve">a constitutionally permissible purpose.  </w:t>
      </w:r>
      <w:r w:rsidRPr="007748C7">
        <w:t xml:space="preserve">In </w:t>
      </w:r>
      <w:r w:rsidRPr="007748C7">
        <w:rPr>
          <w:i/>
        </w:rPr>
        <w:t>Wallace</w:t>
      </w:r>
      <w:r w:rsidRPr="007748C7">
        <w:t xml:space="preserve"> and </w:t>
      </w:r>
      <w:r w:rsidRPr="007748C7">
        <w:rPr>
          <w:i/>
        </w:rPr>
        <w:t>Allen I</w:t>
      </w:r>
      <w:r w:rsidRPr="007748C7">
        <w:t xml:space="preserve">, both of which found a violation of contract clause protections, the defendant cities advanced essentially political reasons for the pension modifications at issue.  </w:t>
      </w:r>
      <w:r w:rsidRPr="007748C7">
        <w:rPr>
          <w:rStyle w:val="ssrfcpassagedeactivated"/>
          <w:szCs w:val="26"/>
        </w:rPr>
        <w:t xml:space="preserve">In </w:t>
      </w:r>
      <w:r w:rsidRPr="007748C7">
        <w:rPr>
          <w:rStyle w:val="ssrfcpassagedeactivated"/>
          <w:i/>
          <w:iCs/>
          <w:szCs w:val="26"/>
        </w:rPr>
        <w:t>Allen I</w:t>
      </w:r>
      <w:r w:rsidRPr="007748C7">
        <w:rPr>
          <w:rStyle w:val="ssrfcpassagedeactivated"/>
          <w:szCs w:val="26"/>
        </w:rPr>
        <w:t>,</w:t>
      </w:r>
      <w:r w:rsidRPr="007748C7">
        <w:rPr>
          <w:rStyle w:val="ssrfcpassagedeactivated"/>
          <w:i/>
          <w:iCs/>
          <w:szCs w:val="26"/>
        </w:rPr>
        <w:t xml:space="preserve"> </w:t>
      </w:r>
      <w:r w:rsidRPr="007748C7">
        <w:t>the city adopted three changes to a pension system covering senior employees that had the effect of increasing the cost of participation in the plan for employees and diminishing their benefits.  The city characterized the changes as an attempt to equalize the pension benefits of the senior employees and more recent hires, who were covered by a different, less generous pension plan</w:t>
      </w:r>
      <w:r w:rsidRPr="007748C7">
        <w:rPr>
          <w:szCs w:val="26"/>
        </w:rPr>
        <w:t xml:space="preserve">.  </w:t>
      </w:r>
      <w:r w:rsidRPr="007748C7">
        <w:rPr>
          <w:rStyle w:val="ssrfcpassagedeactivated"/>
          <w:szCs w:val="26"/>
        </w:rPr>
        <w:t>(</w:t>
      </w:r>
      <w:r w:rsidR="00B7654D">
        <w:rPr>
          <w:rStyle w:val="ssrfcpassagedeactivated"/>
          <w:i/>
          <w:szCs w:val="26"/>
        </w:rPr>
        <w:t>Allen</w:t>
      </w:r>
      <w:r w:rsidR="00ED51B3">
        <w:rPr>
          <w:rStyle w:val="ssrfcpassagedeactivated"/>
          <w:i/>
          <w:szCs w:val="26"/>
        </w:rPr>
        <w:t> </w:t>
      </w:r>
      <w:r w:rsidR="00B7654D">
        <w:rPr>
          <w:rStyle w:val="ssrfcpassagedeactivated"/>
          <w:i/>
          <w:szCs w:val="26"/>
        </w:rPr>
        <w:t>I</w:t>
      </w:r>
      <w:r w:rsidRPr="007748C7">
        <w:rPr>
          <w:rStyle w:val="ssrfcpassagedeactivated"/>
          <w:szCs w:val="26"/>
        </w:rPr>
        <w:t xml:space="preserve">, </w:t>
      </w:r>
      <w:r w:rsidRPr="007748C7">
        <w:rPr>
          <w:rStyle w:val="ssrfcpassagedeactivated"/>
          <w:i/>
          <w:iCs/>
          <w:szCs w:val="26"/>
        </w:rPr>
        <w:t>supra</w:t>
      </w:r>
      <w:r w:rsidRPr="007748C7">
        <w:rPr>
          <w:rStyle w:val="ssrfcpassagedeactivated"/>
          <w:szCs w:val="26"/>
        </w:rPr>
        <w:t xml:space="preserve">, </w:t>
      </w:r>
      <w:r w:rsidRPr="007748C7">
        <w:t xml:space="preserve">45 Cal.2d at p. 133.)  </w:t>
      </w:r>
      <w:r w:rsidRPr="007748C7">
        <w:rPr>
          <w:szCs w:val="26"/>
        </w:rPr>
        <w:t xml:space="preserve">We found this rationale insufficient, </w:t>
      </w:r>
      <w:r w:rsidRPr="007748C7">
        <w:t>reasoning that “[s]</w:t>
      </w:r>
      <w:proofErr w:type="spellStart"/>
      <w:r w:rsidRPr="007748C7">
        <w:rPr>
          <w:szCs w:val="26"/>
        </w:rPr>
        <w:t>uch</w:t>
      </w:r>
      <w:proofErr w:type="spellEnd"/>
      <w:r w:rsidRPr="007748C7">
        <w:rPr>
          <w:szCs w:val="26"/>
        </w:rPr>
        <w:t xml:space="preserve"> purposes, however beneficial to the city, . . . constitute no justification for materially reducing the vested contractual rights earned by plaintiffs . . . .”  </w:t>
      </w:r>
      <w:r w:rsidRPr="007748C7">
        <w:rPr>
          <w:rStyle w:val="ssrfcpassagedeactivated"/>
          <w:szCs w:val="26"/>
        </w:rPr>
        <w:t>(</w:t>
      </w:r>
      <w:r w:rsidRPr="007748C7">
        <w:rPr>
          <w:rStyle w:val="ssrfcpassagedeactivated"/>
          <w:i/>
          <w:szCs w:val="26"/>
        </w:rPr>
        <w:t>Ibid.</w:t>
      </w:r>
      <w:r w:rsidRPr="007748C7">
        <w:t xml:space="preserve">)  In </w:t>
      </w:r>
      <w:r w:rsidRPr="007748C7">
        <w:rPr>
          <w:i/>
          <w:iCs/>
        </w:rPr>
        <w:t>Wallace</w:t>
      </w:r>
      <w:r w:rsidRPr="007748C7">
        <w:t xml:space="preserve">, </w:t>
      </w:r>
      <w:r w:rsidRPr="007748C7">
        <w:rPr>
          <w:i/>
          <w:iCs/>
        </w:rPr>
        <w:t>supra</w:t>
      </w:r>
      <w:r w:rsidRPr="007748C7">
        <w:t>, 42 Cal.2d 180, we rejected as improperly motivated a modification that stripped pension benefits from retirees upon conviction of a felony in order “</w:t>
      </w:r>
      <w:r w:rsidRPr="007748C7">
        <w:rPr>
          <w:szCs w:val="26"/>
        </w:rPr>
        <w:t xml:space="preserve">to meet the objections of taxpayers who would be opposed to contributing funds for the maintenance of a pensioner who had been convicted of a felony.”  </w:t>
      </w:r>
      <w:r w:rsidRPr="007748C7">
        <w:t>(</w:t>
      </w:r>
      <w:r w:rsidRPr="007748C7">
        <w:rPr>
          <w:i/>
        </w:rPr>
        <w:t>Id</w:t>
      </w:r>
      <w:r w:rsidRPr="007748C7">
        <w:rPr>
          <w:iCs/>
        </w:rPr>
        <w:t xml:space="preserve">. </w:t>
      </w:r>
      <w:r w:rsidRPr="007748C7">
        <w:t xml:space="preserve">at p. 185.)  </w:t>
      </w:r>
      <w:bookmarkStart w:id="49" w:name="_Hlk44405419"/>
      <w:r w:rsidR="00A249C2" w:rsidRPr="007748C7">
        <w:t xml:space="preserve">Finally, in </w:t>
      </w:r>
      <w:r w:rsidR="00A249C2" w:rsidRPr="007748C7">
        <w:rPr>
          <w:i/>
          <w:iCs/>
        </w:rPr>
        <w:t>Abbott</w:t>
      </w:r>
      <w:r w:rsidR="00A249C2" w:rsidRPr="007748C7">
        <w:t xml:space="preserve">, </w:t>
      </w:r>
      <w:r w:rsidR="00A249C2" w:rsidRPr="007748C7">
        <w:rPr>
          <w:i/>
          <w:iCs/>
        </w:rPr>
        <w:t>supra</w:t>
      </w:r>
      <w:r w:rsidR="00A249C2" w:rsidRPr="007748C7">
        <w:t xml:space="preserve">, 50 Cal.2d 438, </w:t>
      </w:r>
      <w:r w:rsidR="00A249C2">
        <w:t xml:space="preserve">we addressed a city’s argument that </w:t>
      </w:r>
      <w:r w:rsidR="00A249C2">
        <w:rPr>
          <w:sz w:val="28"/>
          <w:szCs w:val="28"/>
        </w:rPr>
        <w:t>the modification of its pension plan was justified as an attempt to stem rising pension costs.  In defense of its</w:t>
      </w:r>
      <w:r w:rsidR="00A249C2" w:rsidRPr="007748C7">
        <w:t xml:space="preserve"> switch from a fluctuating pension benefit</w:t>
      </w:r>
      <w:r w:rsidR="00A249C2">
        <w:t>,</w:t>
      </w:r>
      <w:r w:rsidR="00A249C2" w:rsidRPr="007748C7">
        <w:t xml:space="preserve"> </w:t>
      </w:r>
      <w:r w:rsidR="00A249C2">
        <w:t>intend</w:t>
      </w:r>
      <w:r w:rsidR="00A249C2" w:rsidRPr="007748C7">
        <w:t xml:space="preserve">ed to </w:t>
      </w:r>
      <w:r w:rsidR="00A249C2">
        <w:t>compensate</w:t>
      </w:r>
      <w:r w:rsidR="00A249C2" w:rsidRPr="007748C7">
        <w:t xml:space="preserve"> for changes in the cost of living</w:t>
      </w:r>
      <w:r w:rsidR="00A249C2">
        <w:t>,</w:t>
      </w:r>
      <w:r w:rsidR="00A249C2" w:rsidRPr="007748C7">
        <w:t xml:space="preserve"> to a fixed benefit</w:t>
      </w:r>
      <w:r w:rsidR="00A249C2">
        <w:t xml:space="preserve">, the city contended </w:t>
      </w:r>
      <w:r w:rsidR="00A249C2" w:rsidRPr="007748C7">
        <w:t xml:space="preserve">that </w:t>
      </w:r>
      <w:r w:rsidR="00A249C2" w:rsidRPr="007748C7">
        <w:rPr>
          <w:szCs w:val="26"/>
          <w:shd w:val="clear" w:color="auto" w:fill="FFFFFF"/>
        </w:rPr>
        <w:t>“if the amendments had not been made ‘the cost to the City and its taxpayers would have reached such staggering proportions that, in all probability, the system would have ceased to exist.’</w:t>
      </w:r>
      <w:r w:rsidR="00A249C2">
        <w:rPr>
          <w:szCs w:val="26"/>
          <w:shd w:val="clear" w:color="auto" w:fill="FFFFFF"/>
        </w:rPr>
        <w:t> </w:t>
      </w:r>
      <w:r w:rsidR="00A249C2" w:rsidRPr="007748C7">
        <w:rPr>
          <w:szCs w:val="26"/>
          <w:shd w:val="clear" w:color="auto" w:fill="FFFFFF"/>
        </w:rPr>
        <w:t>”  (</w:t>
      </w:r>
      <w:r w:rsidR="00A249C2" w:rsidRPr="007748C7">
        <w:rPr>
          <w:i/>
          <w:iCs/>
          <w:szCs w:val="26"/>
          <w:shd w:val="clear" w:color="auto" w:fill="FFFFFF"/>
        </w:rPr>
        <w:t>Id</w:t>
      </w:r>
      <w:r w:rsidR="00A249C2" w:rsidRPr="007748C7">
        <w:rPr>
          <w:szCs w:val="26"/>
          <w:shd w:val="clear" w:color="auto" w:fill="FFFFFF"/>
        </w:rPr>
        <w:t xml:space="preserve">. at p. 455.)  We </w:t>
      </w:r>
      <w:r w:rsidR="00A249C2">
        <w:rPr>
          <w:szCs w:val="26"/>
          <w:shd w:val="clear" w:color="auto" w:fill="FFFFFF"/>
        </w:rPr>
        <w:t xml:space="preserve">rejected the argument, </w:t>
      </w:r>
      <w:r w:rsidR="00A249C2">
        <w:rPr>
          <w:color w:val="373739"/>
          <w:szCs w:val="27"/>
          <w:shd w:val="clear" w:color="auto" w:fill="FFFFFF"/>
        </w:rPr>
        <w:t>observ</w:t>
      </w:r>
      <w:r w:rsidR="009C25AB">
        <w:rPr>
          <w:color w:val="373739"/>
          <w:szCs w:val="27"/>
          <w:shd w:val="clear" w:color="auto" w:fill="FFFFFF"/>
        </w:rPr>
        <w:t>ing</w:t>
      </w:r>
      <w:r w:rsidR="00A249C2">
        <w:rPr>
          <w:color w:val="373739"/>
          <w:szCs w:val="27"/>
          <w:shd w:val="clear" w:color="auto" w:fill="FFFFFF"/>
        </w:rPr>
        <w:t xml:space="preserve"> </w:t>
      </w:r>
      <w:r w:rsidR="00045C1D" w:rsidRPr="00045C1D">
        <w:rPr>
          <w:szCs w:val="27"/>
        </w:rPr>
        <w:t>that the city’s hypothetical prediction of costs so great as to lead to the pension system’s abolition was speculative and failed to account for the fact that a pension system is essential to attract qualified municipal employees.  (</w:t>
      </w:r>
      <w:r w:rsidR="00045C1D" w:rsidRPr="00045C1D">
        <w:rPr>
          <w:i/>
          <w:iCs/>
          <w:szCs w:val="27"/>
        </w:rPr>
        <w:t>Ibid</w:t>
      </w:r>
      <w:r w:rsidR="00045C1D" w:rsidRPr="00045C1D">
        <w:rPr>
          <w:szCs w:val="27"/>
        </w:rPr>
        <w:t>.)  This left the city to rely only on rising costs, an argument we found insufficient, without more, to justify the change.  (</w:t>
      </w:r>
      <w:r w:rsidR="00045C1D" w:rsidRPr="00045C1D">
        <w:rPr>
          <w:i/>
          <w:iCs/>
          <w:szCs w:val="27"/>
        </w:rPr>
        <w:t>Ibid</w:t>
      </w:r>
      <w:r w:rsidR="00045C1D" w:rsidRPr="00045C1D">
        <w:rPr>
          <w:szCs w:val="27"/>
        </w:rPr>
        <w:t>.)</w:t>
      </w:r>
      <w:bookmarkEnd w:id="49"/>
    </w:p>
    <w:p w14:paraId="15A3A663" w14:textId="5DA94982" w:rsidR="00A200EE" w:rsidRPr="00D81D5A" w:rsidRDefault="00793856" w:rsidP="00D81D5A">
      <w:pPr>
        <w:autoSpaceDE w:val="0"/>
        <w:autoSpaceDN w:val="0"/>
        <w:adjustRightInd w:val="0"/>
        <w:ind w:firstLine="720"/>
        <w:rPr>
          <w:szCs w:val="26"/>
        </w:rPr>
      </w:pPr>
      <w:r w:rsidRPr="00D81D5A">
        <w:rPr>
          <w:rStyle w:val="ssrfcpassagedeactivated"/>
          <w:szCs w:val="26"/>
        </w:rPr>
        <w:t>Given our past decisions</w:t>
      </w:r>
      <w:r w:rsidR="008A7089" w:rsidRPr="00D81D5A">
        <w:rPr>
          <w:rStyle w:val="ssrfcpassagedeactivated"/>
          <w:szCs w:val="26"/>
        </w:rPr>
        <w:t xml:space="preserve">, we have no difficulty finding that the PEPRA amendment </w:t>
      </w:r>
      <w:r w:rsidR="00DD49D0" w:rsidRPr="00D81D5A">
        <w:rPr>
          <w:rStyle w:val="ssrfcpassagedeactivated"/>
          <w:szCs w:val="26"/>
        </w:rPr>
        <w:t xml:space="preserve">was enacted </w:t>
      </w:r>
      <w:r w:rsidR="000A2E2A" w:rsidRPr="00D81D5A">
        <w:rPr>
          <w:rStyle w:val="ssrfcpassagedeactivated"/>
          <w:szCs w:val="26"/>
        </w:rPr>
        <w:t>t</w:t>
      </w:r>
      <w:r w:rsidR="00DD49D0" w:rsidRPr="00D81D5A">
        <w:rPr>
          <w:rStyle w:val="ssrfcpassagedeactivated"/>
          <w:szCs w:val="26"/>
        </w:rPr>
        <w:t xml:space="preserve">o maintain </w:t>
      </w:r>
      <w:r w:rsidR="000A2E2A" w:rsidRPr="00D81D5A">
        <w:rPr>
          <w:rStyle w:val="ssrfcpassagedeactivated"/>
          <w:szCs w:val="26"/>
        </w:rPr>
        <w:t>the</w:t>
      </w:r>
      <w:r w:rsidR="00DD49D0" w:rsidRPr="00D81D5A">
        <w:rPr>
          <w:rStyle w:val="ssrfcpassagedeactivated"/>
          <w:szCs w:val="26"/>
        </w:rPr>
        <w:t xml:space="preserve"> integrity</w:t>
      </w:r>
      <w:r w:rsidR="000A2E2A" w:rsidRPr="00D81D5A">
        <w:rPr>
          <w:rStyle w:val="ssrfcpassagedeactivated"/>
          <w:szCs w:val="26"/>
        </w:rPr>
        <w:t xml:space="preserve"> of the pension system</w:t>
      </w:r>
      <w:r w:rsidR="00DD49D0" w:rsidRPr="00D81D5A">
        <w:rPr>
          <w:rStyle w:val="ssrfcpassagedeactivated"/>
          <w:szCs w:val="26"/>
        </w:rPr>
        <w:t xml:space="preserve"> and </w:t>
      </w:r>
      <w:r w:rsidR="008A7089" w:rsidRPr="00D81D5A">
        <w:rPr>
          <w:rStyle w:val="ssrfcpassagedeactivated"/>
          <w:szCs w:val="26"/>
        </w:rPr>
        <w:t xml:space="preserve">“bear[s] some material relation to the theory of a </w:t>
      </w:r>
      <w:r w:rsidR="008A7089" w:rsidRPr="00D81D5A">
        <w:rPr>
          <w:rStyle w:val="sssh"/>
          <w:szCs w:val="26"/>
        </w:rPr>
        <w:t>pension</w:t>
      </w:r>
      <w:r w:rsidR="008A7089" w:rsidRPr="00D81D5A">
        <w:rPr>
          <w:rStyle w:val="ssrfcpassagedeactivated"/>
          <w:szCs w:val="26"/>
        </w:rPr>
        <w:t xml:space="preserve"> system and its successful operation.”  (</w:t>
      </w:r>
      <w:r w:rsidR="008A7089" w:rsidRPr="00D81D5A">
        <w:rPr>
          <w:rStyle w:val="ssrfcpassagedeactivated"/>
          <w:i/>
          <w:iCs/>
          <w:szCs w:val="26"/>
        </w:rPr>
        <w:t>Allen</w:t>
      </w:r>
      <w:r w:rsidR="00ED51B3">
        <w:rPr>
          <w:rStyle w:val="ssrfcpassagedeactivated"/>
          <w:i/>
          <w:iCs/>
          <w:szCs w:val="26"/>
        </w:rPr>
        <w:t> </w:t>
      </w:r>
      <w:r w:rsidR="008A7089" w:rsidRPr="00D81D5A">
        <w:rPr>
          <w:rStyle w:val="ssrfcpassagedeactivated"/>
          <w:i/>
          <w:szCs w:val="26"/>
        </w:rPr>
        <w:t>I</w:t>
      </w:r>
      <w:r w:rsidR="008A7089" w:rsidRPr="00D81D5A">
        <w:rPr>
          <w:rStyle w:val="ssrfcpassagedeactivated"/>
          <w:szCs w:val="26"/>
        </w:rPr>
        <w:t xml:space="preserve">, </w:t>
      </w:r>
      <w:r w:rsidR="008A7089" w:rsidRPr="00D81D5A">
        <w:rPr>
          <w:rStyle w:val="ssrfcpassagedeactivated"/>
          <w:i/>
          <w:szCs w:val="26"/>
        </w:rPr>
        <w:t>supra</w:t>
      </w:r>
      <w:r w:rsidR="008A7089" w:rsidRPr="00D81D5A">
        <w:rPr>
          <w:rStyle w:val="ssrfcpassagedeactivated"/>
          <w:szCs w:val="26"/>
        </w:rPr>
        <w:t xml:space="preserve">, </w:t>
      </w:r>
      <w:r w:rsidR="008A7089" w:rsidRPr="00D81D5A">
        <w:rPr>
          <w:szCs w:val="26"/>
        </w:rPr>
        <w:t>45 Cal.2d at p.</w:t>
      </w:r>
      <w:r w:rsidR="00E33818">
        <w:rPr>
          <w:szCs w:val="26"/>
        </w:rPr>
        <w:t> </w:t>
      </w:r>
      <w:r w:rsidR="008A7089" w:rsidRPr="00D81D5A">
        <w:rPr>
          <w:szCs w:val="26"/>
        </w:rPr>
        <w:t xml:space="preserve">131.)  </w:t>
      </w:r>
      <w:r w:rsidR="006F0DC9">
        <w:rPr>
          <w:szCs w:val="26"/>
        </w:rPr>
        <w:t>A</w:t>
      </w:r>
      <w:r w:rsidR="008A7089" w:rsidRPr="00D81D5A">
        <w:rPr>
          <w:szCs w:val="26"/>
        </w:rPr>
        <w:t xml:space="preserve">s discussed above, the Legislature’s </w:t>
      </w:r>
      <w:r w:rsidR="00A249C2">
        <w:rPr>
          <w:szCs w:val="26"/>
        </w:rPr>
        <w:t>primary</w:t>
      </w:r>
      <w:r w:rsidR="008A7089" w:rsidRPr="00D81D5A">
        <w:rPr>
          <w:szCs w:val="26"/>
        </w:rPr>
        <w:t xml:space="preserve"> purpose in enacting the PEPRA amendment was to modify CERL’s “very broad and general definition of ‘compensation earnable’</w:t>
      </w:r>
      <w:r w:rsidR="00E33818">
        <w:rPr>
          <w:szCs w:val="26"/>
        </w:rPr>
        <w:t> </w:t>
      </w:r>
      <w:r w:rsidR="008A7089" w:rsidRPr="00D81D5A">
        <w:rPr>
          <w:szCs w:val="26"/>
        </w:rPr>
        <w:t xml:space="preserve">” to prevent pension spiking.  </w:t>
      </w:r>
      <w:r w:rsidR="009D7F91" w:rsidRPr="00D81D5A">
        <w:rPr>
          <w:szCs w:val="26"/>
        </w:rPr>
        <w:t xml:space="preserve">(Assem. Com. on Public Employees, Retirement and Social Security, </w:t>
      </w:r>
      <w:r w:rsidR="00D2784A">
        <w:rPr>
          <w:szCs w:val="26"/>
        </w:rPr>
        <w:t>Analysis of Assem. Bill No. 340 (2011</w:t>
      </w:r>
      <w:r w:rsidR="00427AF8">
        <w:rPr>
          <w:szCs w:val="26"/>
        </w:rPr>
        <w:t>–</w:t>
      </w:r>
      <w:r w:rsidR="00D2784A">
        <w:rPr>
          <w:szCs w:val="26"/>
        </w:rPr>
        <w:t>2012 Reg. Sess.) Apr.</w:t>
      </w:r>
      <w:r w:rsidR="00890C7B">
        <w:rPr>
          <w:szCs w:val="26"/>
        </w:rPr>
        <w:t> </w:t>
      </w:r>
      <w:r w:rsidR="00D2784A">
        <w:rPr>
          <w:szCs w:val="26"/>
        </w:rPr>
        <w:t>25</w:t>
      </w:r>
      <w:r w:rsidR="009D7F91" w:rsidRPr="00D81D5A">
        <w:rPr>
          <w:szCs w:val="26"/>
        </w:rPr>
        <w:t>, 2011</w:t>
      </w:r>
      <w:r w:rsidR="009D7F91">
        <w:rPr>
          <w:szCs w:val="26"/>
        </w:rPr>
        <w:t>, p. 3</w:t>
      </w:r>
      <w:r w:rsidR="009D7F91" w:rsidRPr="00D81D5A">
        <w:rPr>
          <w:szCs w:val="26"/>
        </w:rPr>
        <w:t>.)</w:t>
      </w:r>
      <w:r w:rsidR="008A7089" w:rsidRPr="00D81D5A">
        <w:rPr>
          <w:szCs w:val="26"/>
        </w:rPr>
        <w:t xml:space="preserve">  An examination of the changes made by PEPRA demonstrates that the Legislature accomplished this objective by introducing new exclusions and limitations that bring the definition of “compensation earnable” into closer alignment with the preexisting theory underlying CERL’s determination of pension benefits.  A</w:t>
      </w:r>
      <w:r w:rsidR="007F7629">
        <w:rPr>
          <w:szCs w:val="26"/>
        </w:rPr>
        <w:t> </w:t>
      </w:r>
      <w:r w:rsidR="008A7089" w:rsidRPr="00D81D5A">
        <w:rPr>
          <w:szCs w:val="26"/>
        </w:rPr>
        <w:t xml:space="preserve">legislative intent to </w:t>
      </w:r>
      <w:r w:rsidR="00DC2D7A" w:rsidRPr="00D81D5A">
        <w:rPr>
          <w:szCs w:val="26"/>
        </w:rPr>
        <w:t>align</w:t>
      </w:r>
      <w:r w:rsidR="008A7089" w:rsidRPr="00D81D5A">
        <w:rPr>
          <w:szCs w:val="26"/>
        </w:rPr>
        <w:t xml:space="preserve"> the express language of a pension statute more closely with its intended </w:t>
      </w:r>
      <w:r w:rsidR="000A2E2A" w:rsidRPr="00D81D5A">
        <w:rPr>
          <w:szCs w:val="26"/>
        </w:rPr>
        <w:t>manner of functioning</w:t>
      </w:r>
      <w:r w:rsidR="008A7089" w:rsidRPr="00D81D5A">
        <w:rPr>
          <w:szCs w:val="26"/>
        </w:rPr>
        <w:t xml:space="preserve"> directly relates </w:t>
      </w:r>
      <w:r w:rsidR="000A2E2A" w:rsidRPr="00D81D5A">
        <w:rPr>
          <w:szCs w:val="26"/>
        </w:rPr>
        <w:t xml:space="preserve">to </w:t>
      </w:r>
      <w:r w:rsidR="008A7089" w:rsidRPr="00D81D5A">
        <w:rPr>
          <w:szCs w:val="26"/>
        </w:rPr>
        <w:t>both the theory of a pension system and its successful operation.</w:t>
      </w:r>
    </w:p>
    <w:bookmarkEnd w:id="48"/>
    <w:p w14:paraId="4232E3E1" w14:textId="7FB586A6" w:rsidR="00A215CF" w:rsidRPr="00D81D5A" w:rsidRDefault="00A577CD" w:rsidP="00D81D5A">
      <w:pPr>
        <w:autoSpaceDE w:val="0"/>
        <w:autoSpaceDN w:val="0"/>
        <w:adjustRightInd w:val="0"/>
        <w:ind w:firstLine="720"/>
        <w:rPr>
          <w:szCs w:val="26"/>
        </w:rPr>
      </w:pPr>
      <w:r w:rsidRPr="00D81D5A">
        <w:rPr>
          <w:rStyle w:val="ssparacontent"/>
          <w:szCs w:val="26"/>
        </w:rPr>
        <w:t xml:space="preserve">The definition of “compensation earnable” in section 31461, which specifies the manner in which a retiring employee’s compensation is used in calculating his or her pension benefit, </w:t>
      </w:r>
      <w:r w:rsidR="00793856" w:rsidRPr="00D81D5A">
        <w:rPr>
          <w:rStyle w:val="ssparacontent"/>
          <w:szCs w:val="26"/>
        </w:rPr>
        <w:t xml:space="preserve">is a critical component in </w:t>
      </w:r>
      <w:r w:rsidR="00A200EE" w:rsidRPr="00D81D5A">
        <w:rPr>
          <w:rStyle w:val="ssparacontent"/>
          <w:szCs w:val="26"/>
        </w:rPr>
        <w:t>establish</w:t>
      </w:r>
      <w:r w:rsidR="00793856" w:rsidRPr="00D81D5A">
        <w:rPr>
          <w:rStyle w:val="ssparacontent"/>
          <w:szCs w:val="26"/>
        </w:rPr>
        <w:t>ing</w:t>
      </w:r>
      <w:r w:rsidR="00A200EE" w:rsidRPr="00D81D5A">
        <w:rPr>
          <w:rStyle w:val="ssparacontent"/>
          <w:szCs w:val="26"/>
        </w:rPr>
        <w:t xml:space="preserve"> the </w:t>
      </w:r>
      <w:r w:rsidR="006C7DB7" w:rsidRPr="00D81D5A">
        <w:rPr>
          <w:rStyle w:val="ssparacontent"/>
          <w:szCs w:val="26"/>
        </w:rPr>
        <w:t xml:space="preserve">general </w:t>
      </w:r>
      <w:r w:rsidR="00A200EE" w:rsidRPr="00D81D5A">
        <w:rPr>
          <w:rStyle w:val="ssparacontent"/>
          <w:szCs w:val="26"/>
        </w:rPr>
        <w:t xml:space="preserve">theory underlying CERL’s </w:t>
      </w:r>
      <w:r w:rsidR="00BA39F6" w:rsidRPr="00D81D5A">
        <w:rPr>
          <w:rStyle w:val="ssparacontent"/>
          <w:szCs w:val="26"/>
        </w:rPr>
        <w:t>payment</w:t>
      </w:r>
      <w:r w:rsidRPr="00D81D5A">
        <w:rPr>
          <w:rStyle w:val="ssparacontent"/>
          <w:szCs w:val="26"/>
        </w:rPr>
        <w:t xml:space="preserve"> of </w:t>
      </w:r>
      <w:r w:rsidR="00A200EE" w:rsidRPr="00D81D5A">
        <w:rPr>
          <w:rStyle w:val="ssparacontent"/>
          <w:szCs w:val="26"/>
        </w:rPr>
        <w:t xml:space="preserve">pension </w:t>
      </w:r>
      <w:r w:rsidRPr="00D81D5A">
        <w:rPr>
          <w:rStyle w:val="ssparacontent"/>
          <w:szCs w:val="26"/>
        </w:rPr>
        <w:t>benefits</w:t>
      </w:r>
      <w:r w:rsidR="00A200EE" w:rsidRPr="00D81D5A">
        <w:rPr>
          <w:rStyle w:val="ssparacontent"/>
          <w:szCs w:val="26"/>
        </w:rPr>
        <w:t xml:space="preserve">.  </w:t>
      </w:r>
      <w:r w:rsidRPr="00D81D5A">
        <w:rPr>
          <w:rStyle w:val="ssparacontent"/>
          <w:szCs w:val="26"/>
        </w:rPr>
        <w:t xml:space="preserve">As discussed above, compensation earnable is based on the retiring employee’s </w:t>
      </w:r>
      <w:r w:rsidR="001C081B" w:rsidRPr="00D81D5A">
        <w:rPr>
          <w:rStyle w:val="ssparacontent"/>
          <w:szCs w:val="26"/>
        </w:rPr>
        <w:t xml:space="preserve">average daily rate of pay during the final compensation </w:t>
      </w:r>
      <w:r w:rsidR="00D565BD" w:rsidRPr="00D81D5A">
        <w:rPr>
          <w:rStyle w:val="ssparacontent"/>
          <w:szCs w:val="26"/>
        </w:rPr>
        <w:t>period</w:t>
      </w:r>
      <w:r w:rsidR="001C081B" w:rsidRPr="00D81D5A">
        <w:rPr>
          <w:rStyle w:val="ssparacontent"/>
          <w:szCs w:val="26"/>
        </w:rPr>
        <w:t xml:space="preserve">, applied over </w:t>
      </w:r>
      <w:r w:rsidR="00A200EE" w:rsidRPr="00D81D5A">
        <w:rPr>
          <w:rStyle w:val="ssparacontent"/>
          <w:szCs w:val="26"/>
        </w:rPr>
        <w:t>the number of days</w:t>
      </w:r>
      <w:r w:rsidR="00E423EC" w:rsidRPr="00D81D5A">
        <w:rPr>
          <w:rStyle w:val="ssparacontent"/>
          <w:szCs w:val="26"/>
        </w:rPr>
        <w:t xml:space="preserve"> ordinarily</w:t>
      </w:r>
      <w:r w:rsidR="00A200EE" w:rsidRPr="00D81D5A">
        <w:rPr>
          <w:rStyle w:val="ssparacontent"/>
          <w:szCs w:val="26"/>
        </w:rPr>
        <w:t xml:space="preserve"> worked </w:t>
      </w:r>
      <w:r w:rsidR="001C081B" w:rsidRPr="00D81D5A">
        <w:rPr>
          <w:rStyle w:val="ssparacontent"/>
          <w:szCs w:val="26"/>
        </w:rPr>
        <w:t>during that time</w:t>
      </w:r>
      <w:r w:rsidR="00A200EE" w:rsidRPr="00D81D5A">
        <w:rPr>
          <w:rStyle w:val="ssparacontent"/>
          <w:szCs w:val="26"/>
        </w:rPr>
        <w:t xml:space="preserve"> by the employee’s peers</w:t>
      </w:r>
      <w:r w:rsidRPr="00D81D5A">
        <w:rPr>
          <w:rStyle w:val="ssparacontent"/>
          <w:szCs w:val="26"/>
        </w:rPr>
        <w:t>, identified as “</w:t>
      </w:r>
      <w:r w:rsidRPr="00D81D5A">
        <w:rPr>
          <w:szCs w:val="26"/>
        </w:rPr>
        <w:t>persons in the same grade or class of positions during the period.”</w:t>
      </w:r>
      <w:r w:rsidR="00A200EE" w:rsidRPr="00D81D5A">
        <w:rPr>
          <w:rStyle w:val="ssparacontent"/>
          <w:szCs w:val="26"/>
        </w:rPr>
        <w:t xml:space="preserve">  </w:t>
      </w:r>
      <w:r w:rsidR="00A200EE" w:rsidRPr="00D81D5A">
        <w:t>(</w:t>
      </w:r>
      <w:r w:rsidR="00432612" w:rsidRPr="00D81D5A">
        <w:t>§</w:t>
      </w:r>
      <w:r w:rsidR="00ED51B3">
        <w:t> </w:t>
      </w:r>
      <w:r w:rsidR="00432612" w:rsidRPr="00D81D5A">
        <w:t xml:space="preserve">31461, </w:t>
      </w:r>
      <w:proofErr w:type="spellStart"/>
      <w:r w:rsidR="00432612" w:rsidRPr="00D81D5A">
        <w:t>subd</w:t>
      </w:r>
      <w:proofErr w:type="spellEnd"/>
      <w:r w:rsidR="00432612" w:rsidRPr="00D81D5A">
        <w:t xml:space="preserve">. (a); see </w:t>
      </w:r>
      <w:r w:rsidR="00A200EE" w:rsidRPr="00D81D5A">
        <w:rPr>
          <w:i/>
        </w:rPr>
        <w:t>Ventura County</w:t>
      </w:r>
      <w:r w:rsidR="00A200EE" w:rsidRPr="00D81D5A">
        <w:t xml:space="preserve">, </w:t>
      </w:r>
      <w:r w:rsidR="00A200EE" w:rsidRPr="00D81D5A">
        <w:rPr>
          <w:i/>
        </w:rPr>
        <w:t>supra</w:t>
      </w:r>
      <w:r w:rsidR="00A200EE" w:rsidRPr="00D81D5A">
        <w:t>, 16</w:t>
      </w:r>
      <w:r w:rsidR="00890C7B">
        <w:t> </w:t>
      </w:r>
      <w:r w:rsidR="00A200EE" w:rsidRPr="00D81D5A">
        <w:t>Cal.4th at p. 50</w:t>
      </w:r>
      <w:r w:rsidR="00A200EE" w:rsidRPr="00D81D5A">
        <w:rPr>
          <w:rStyle w:val="ssparacontent"/>
          <w:szCs w:val="26"/>
        </w:rPr>
        <w:t xml:space="preserve">4.)  </w:t>
      </w:r>
      <w:r w:rsidR="00A215CF" w:rsidRPr="00D81D5A">
        <w:rPr>
          <w:rStyle w:val="ssparacontent"/>
          <w:szCs w:val="26"/>
        </w:rPr>
        <w:t xml:space="preserve">Among employees in </w:t>
      </w:r>
      <w:r w:rsidR="00A200EE" w:rsidRPr="00D81D5A">
        <w:rPr>
          <w:rStyle w:val="ssparacontent"/>
          <w:szCs w:val="26"/>
        </w:rPr>
        <w:t>th</w:t>
      </w:r>
      <w:r w:rsidRPr="00D81D5A">
        <w:rPr>
          <w:rStyle w:val="ssparacontent"/>
          <w:szCs w:val="26"/>
        </w:rPr>
        <w:t>is peer</w:t>
      </w:r>
      <w:r w:rsidR="00A200EE" w:rsidRPr="00D81D5A">
        <w:rPr>
          <w:rStyle w:val="ssparacontent"/>
          <w:szCs w:val="26"/>
        </w:rPr>
        <w:t xml:space="preserve"> group</w:t>
      </w:r>
      <w:r w:rsidRPr="00D81D5A">
        <w:rPr>
          <w:rStyle w:val="ssparacontent"/>
          <w:szCs w:val="26"/>
        </w:rPr>
        <w:t>,</w:t>
      </w:r>
      <w:r w:rsidR="00A200EE" w:rsidRPr="00D81D5A">
        <w:rPr>
          <w:rStyle w:val="ssparacontent"/>
          <w:szCs w:val="26"/>
        </w:rPr>
        <w:t xml:space="preserve"> </w:t>
      </w:r>
      <w:r w:rsidR="00A200EE" w:rsidRPr="00D81D5A">
        <w:rPr>
          <w:szCs w:val="26"/>
        </w:rPr>
        <w:t xml:space="preserve">differences in pension benefits </w:t>
      </w:r>
      <w:r w:rsidR="001C081B" w:rsidRPr="00D81D5A">
        <w:rPr>
          <w:szCs w:val="26"/>
        </w:rPr>
        <w:t xml:space="preserve">are </w:t>
      </w:r>
      <w:r w:rsidR="00A200EE" w:rsidRPr="00D81D5A">
        <w:rPr>
          <w:szCs w:val="26"/>
        </w:rPr>
        <w:t>therefore determined by variations in</w:t>
      </w:r>
      <w:r w:rsidR="001C081B" w:rsidRPr="00D81D5A">
        <w:rPr>
          <w:szCs w:val="26"/>
        </w:rPr>
        <w:t xml:space="preserve"> individual employees’</w:t>
      </w:r>
      <w:r w:rsidR="00A200EE" w:rsidRPr="00D81D5A">
        <w:rPr>
          <w:szCs w:val="26"/>
        </w:rPr>
        <w:t xml:space="preserve"> average daily compensation</w:t>
      </w:r>
      <w:r w:rsidR="00E423EC" w:rsidRPr="00D81D5A">
        <w:rPr>
          <w:szCs w:val="26"/>
        </w:rPr>
        <w:t xml:space="preserve"> during the final compensation period, rather than by the relative amount of time the</w:t>
      </w:r>
      <w:r w:rsidR="00EC48A9" w:rsidRPr="00D81D5A">
        <w:rPr>
          <w:szCs w:val="26"/>
        </w:rPr>
        <w:t xml:space="preserve"> employees</w:t>
      </w:r>
      <w:r w:rsidR="00E423EC" w:rsidRPr="00D81D5A">
        <w:rPr>
          <w:szCs w:val="26"/>
        </w:rPr>
        <w:t xml:space="preserve"> worked</w:t>
      </w:r>
      <w:r w:rsidR="00A200EE" w:rsidRPr="00D81D5A">
        <w:rPr>
          <w:szCs w:val="26"/>
        </w:rPr>
        <w:t xml:space="preserve">.  </w:t>
      </w:r>
      <w:r w:rsidR="00A215CF" w:rsidRPr="00D81D5A">
        <w:rPr>
          <w:szCs w:val="26"/>
        </w:rPr>
        <w:t>A</w:t>
      </w:r>
      <w:r w:rsidR="001C081B" w:rsidRPr="00D81D5A">
        <w:rPr>
          <w:szCs w:val="26"/>
        </w:rPr>
        <w:t>n employee becomes entitled to a greater pension benefit than his or her peers by being compensated at higher rate, not by working more</w:t>
      </w:r>
      <w:r w:rsidR="00ED1E72" w:rsidRPr="00D81D5A">
        <w:rPr>
          <w:szCs w:val="26"/>
        </w:rPr>
        <w:t xml:space="preserve"> days</w:t>
      </w:r>
      <w:r w:rsidR="001C081B" w:rsidRPr="00D81D5A">
        <w:rPr>
          <w:szCs w:val="26"/>
        </w:rPr>
        <w:t xml:space="preserve">.  </w:t>
      </w:r>
      <w:r w:rsidR="00A215CF" w:rsidRPr="00D81D5A">
        <w:rPr>
          <w:szCs w:val="26"/>
        </w:rPr>
        <w:t xml:space="preserve">This is so because </w:t>
      </w:r>
      <w:r w:rsidR="001C081B" w:rsidRPr="00D81D5A">
        <w:rPr>
          <w:szCs w:val="26"/>
        </w:rPr>
        <w:t xml:space="preserve">the calculation </w:t>
      </w:r>
      <w:r w:rsidR="00A215CF" w:rsidRPr="00D81D5A">
        <w:rPr>
          <w:szCs w:val="26"/>
        </w:rPr>
        <w:t>required by</w:t>
      </w:r>
      <w:r w:rsidR="001C081B" w:rsidRPr="00D81D5A">
        <w:rPr>
          <w:szCs w:val="26"/>
        </w:rPr>
        <w:t xml:space="preserve"> section 31461 assumes that all employees have worked the same number of days </w:t>
      </w:r>
      <w:r w:rsidR="00E423EC" w:rsidRPr="00D81D5A">
        <w:rPr>
          <w:szCs w:val="26"/>
        </w:rPr>
        <w:t>— that is, “</w:t>
      </w:r>
      <w:r w:rsidR="00E423EC" w:rsidRPr="00D81D5A">
        <w:rPr>
          <w:rStyle w:val="ssparacontent"/>
          <w:szCs w:val="26"/>
        </w:rPr>
        <w:t>the average number of days ordinarily worked by persons in the same grade or class of positions during the period”</w:t>
      </w:r>
      <w:r w:rsidR="00A215CF" w:rsidRPr="00D81D5A">
        <w:rPr>
          <w:rStyle w:val="ssparacontent"/>
          <w:szCs w:val="26"/>
        </w:rPr>
        <w:t xml:space="preserve"> — and excludes overtime pay earned outside of “normally scheduled or regular working hours.”</w:t>
      </w:r>
      <w:r w:rsidR="00E423EC" w:rsidRPr="00D81D5A">
        <w:rPr>
          <w:rStyle w:val="ssparacontent"/>
          <w:szCs w:val="26"/>
        </w:rPr>
        <w:t xml:space="preserve">  (</w:t>
      </w:r>
      <w:r w:rsidR="00D2784A">
        <w:rPr>
          <w:rStyle w:val="ssparacontent"/>
          <w:szCs w:val="26"/>
        </w:rPr>
        <w:t>§</w:t>
      </w:r>
      <w:r w:rsidR="009D7F91" w:rsidRPr="00D81D5A">
        <w:t>§ 31461</w:t>
      </w:r>
      <w:r w:rsidR="00E423EC" w:rsidRPr="00D81D5A">
        <w:rPr>
          <w:rStyle w:val="ssparacontent"/>
          <w:szCs w:val="26"/>
        </w:rPr>
        <w:t xml:space="preserve">, </w:t>
      </w:r>
      <w:proofErr w:type="spellStart"/>
      <w:r w:rsidR="00E423EC" w:rsidRPr="00D81D5A">
        <w:rPr>
          <w:rStyle w:val="ssparacontent"/>
          <w:szCs w:val="26"/>
        </w:rPr>
        <w:t>subd</w:t>
      </w:r>
      <w:proofErr w:type="spellEnd"/>
      <w:r w:rsidR="00E423EC" w:rsidRPr="00D81D5A">
        <w:rPr>
          <w:rStyle w:val="ssparacontent"/>
          <w:szCs w:val="26"/>
        </w:rPr>
        <w:t>. (a)</w:t>
      </w:r>
      <w:r w:rsidR="00D2784A">
        <w:rPr>
          <w:rStyle w:val="ssparacontent"/>
          <w:szCs w:val="26"/>
        </w:rPr>
        <w:t>,</w:t>
      </w:r>
      <w:r w:rsidR="00A215CF" w:rsidRPr="00D81D5A">
        <w:rPr>
          <w:rStyle w:val="ssparacontent"/>
          <w:szCs w:val="26"/>
        </w:rPr>
        <w:t xml:space="preserve"> </w:t>
      </w:r>
      <w:r w:rsidR="00A215CF" w:rsidRPr="00D81D5A">
        <w:t>31461</w:t>
      </w:r>
      <w:r w:rsidR="00E423EC" w:rsidRPr="00D81D5A">
        <w:rPr>
          <w:rStyle w:val="ssparacontent"/>
          <w:szCs w:val="26"/>
        </w:rPr>
        <w:t>.</w:t>
      </w:r>
      <w:r w:rsidR="00A215CF" w:rsidRPr="00D81D5A">
        <w:rPr>
          <w:rStyle w:val="ssparacontent"/>
          <w:szCs w:val="26"/>
        </w:rPr>
        <w:t>6</w:t>
      </w:r>
      <w:r w:rsidR="009D7F91">
        <w:rPr>
          <w:rStyle w:val="ssparacontent"/>
          <w:szCs w:val="26"/>
        </w:rPr>
        <w:t xml:space="preserve">, </w:t>
      </w:r>
      <w:proofErr w:type="spellStart"/>
      <w:r w:rsidR="009D7F91">
        <w:rPr>
          <w:rStyle w:val="ssparacontent"/>
          <w:szCs w:val="26"/>
        </w:rPr>
        <w:t>subd</w:t>
      </w:r>
      <w:proofErr w:type="spellEnd"/>
      <w:r w:rsidR="009D7F91">
        <w:rPr>
          <w:rStyle w:val="ssparacontent"/>
          <w:szCs w:val="26"/>
        </w:rPr>
        <w:t>. (a)</w:t>
      </w:r>
      <w:r w:rsidR="00A215CF" w:rsidRPr="00D81D5A">
        <w:rPr>
          <w:rStyle w:val="ssparacontent"/>
          <w:szCs w:val="26"/>
        </w:rPr>
        <w:t>.</w:t>
      </w:r>
      <w:r w:rsidR="00E423EC" w:rsidRPr="00D81D5A">
        <w:rPr>
          <w:rStyle w:val="ssparacontent"/>
          <w:szCs w:val="26"/>
        </w:rPr>
        <w:t>)</w:t>
      </w:r>
      <w:r w:rsidR="001C081B" w:rsidRPr="00D81D5A">
        <w:rPr>
          <w:szCs w:val="26"/>
        </w:rPr>
        <w:t xml:space="preserve">  </w:t>
      </w:r>
    </w:p>
    <w:p w14:paraId="355D0641" w14:textId="73AD0656" w:rsidR="00A200EE" w:rsidRPr="00D81D5A" w:rsidRDefault="00A200EE" w:rsidP="00D81D5A">
      <w:pPr>
        <w:autoSpaceDE w:val="0"/>
        <w:autoSpaceDN w:val="0"/>
        <w:adjustRightInd w:val="0"/>
        <w:ind w:firstLine="720"/>
        <w:rPr>
          <w:rStyle w:val="ssparacontent"/>
          <w:szCs w:val="26"/>
        </w:rPr>
      </w:pPr>
      <w:r w:rsidRPr="00D81D5A">
        <w:rPr>
          <w:szCs w:val="26"/>
        </w:rPr>
        <w:t>Given this fundamental definition,</w:t>
      </w:r>
      <w:r w:rsidR="00437A80" w:rsidRPr="00D81D5A">
        <w:rPr>
          <w:szCs w:val="26"/>
        </w:rPr>
        <w:t xml:space="preserve"> </w:t>
      </w:r>
      <w:r w:rsidRPr="00D81D5A">
        <w:rPr>
          <w:szCs w:val="26"/>
        </w:rPr>
        <w:t xml:space="preserve">the inclusion in final compensation of the items of compensation excluded or limited by the PEPRA amendment </w:t>
      </w:r>
      <w:r w:rsidR="00A215CF" w:rsidRPr="00D81D5A">
        <w:rPr>
          <w:szCs w:val="26"/>
        </w:rPr>
        <w:t xml:space="preserve">can be viewed as </w:t>
      </w:r>
      <w:r w:rsidRPr="00D81D5A">
        <w:rPr>
          <w:szCs w:val="26"/>
        </w:rPr>
        <w:t>distort</w:t>
      </w:r>
      <w:r w:rsidR="00A215CF" w:rsidRPr="00D81D5A">
        <w:rPr>
          <w:szCs w:val="26"/>
        </w:rPr>
        <w:t>ing</w:t>
      </w:r>
      <w:r w:rsidRPr="00D81D5A">
        <w:rPr>
          <w:szCs w:val="26"/>
        </w:rPr>
        <w:t xml:space="preserve"> the pension calculation</w:t>
      </w:r>
      <w:r w:rsidR="00C16510" w:rsidRPr="00D81D5A">
        <w:rPr>
          <w:szCs w:val="26"/>
        </w:rPr>
        <w:t xml:space="preserve"> and</w:t>
      </w:r>
      <w:r w:rsidRPr="00D81D5A">
        <w:rPr>
          <w:szCs w:val="26"/>
        </w:rPr>
        <w:t xml:space="preserve"> increasing</w:t>
      </w:r>
      <w:r w:rsidR="00E423EC" w:rsidRPr="00D81D5A">
        <w:rPr>
          <w:szCs w:val="26"/>
        </w:rPr>
        <w:t xml:space="preserve"> pension</w:t>
      </w:r>
      <w:r w:rsidRPr="00D81D5A">
        <w:rPr>
          <w:szCs w:val="26"/>
        </w:rPr>
        <w:t xml:space="preserve"> benefits beyond the amount </w:t>
      </w:r>
      <w:r w:rsidR="00E423EC" w:rsidRPr="00D81D5A">
        <w:rPr>
          <w:szCs w:val="26"/>
        </w:rPr>
        <w:t xml:space="preserve">anticipated by </w:t>
      </w:r>
      <w:r w:rsidRPr="00D81D5A">
        <w:rPr>
          <w:szCs w:val="26"/>
        </w:rPr>
        <w:t>th</w:t>
      </w:r>
      <w:r w:rsidR="00E423EC" w:rsidRPr="00D81D5A">
        <w:rPr>
          <w:szCs w:val="26"/>
        </w:rPr>
        <w:t>e</w:t>
      </w:r>
      <w:r w:rsidRPr="00D81D5A">
        <w:rPr>
          <w:szCs w:val="26"/>
        </w:rPr>
        <w:t xml:space="preserve"> </w:t>
      </w:r>
      <w:r w:rsidR="00E423EC" w:rsidRPr="00D81D5A">
        <w:rPr>
          <w:szCs w:val="26"/>
        </w:rPr>
        <w:t xml:space="preserve">underlying theory of </w:t>
      </w:r>
      <w:r w:rsidR="006A7B65" w:rsidRPr="00D81D5A">
        <w:rPr>
          <w:szCs w:val="26"/>
        </w:rPr>
        <w:t>compensation earnable</w:t>
      </w:r>
      <w:r w:rsidRPr="00D81D5A">
        <w:rPr>
          <w:szCs w:val="26"/>
        </w:rPr>
        <w:t>.</w:t>
      </w:r>
      <w:r w:rsidR="00DD370D" w:rsidRPr="00D81D5A">
        <w:rPr>
          <w:szCs w:val="26"/>
        </w:rPr>
        <w:t xml:space="preserve">  </w:t>
      </w:r>
      <w:r w:rsidRPr="00D81D5A">
        <w:rPr>
          <w:szCs w:val="26"/>
        </w:rPr>
        <w:t>S</w:t>
      </w:r>
      <w:r w:rsidR="00D2784A">
        <w:rPr>
          <w:szCs w:val="26"/>
        </w:rPr>
        <w:t>ection 31461, s</w:t>
      </w:r>
      <w:r w:rsidRPr="00D81D5A">
        <w:rPr>
          <w:szCs w:val="26"/>
        </w:rPr>
        <w:t>ubdivision (b)(2)</w:t>
      </w:r>
      <w:r w:rsidR="00DD370D" w:rsidRPr="00D81D5A">
        <w:rPr>
          <w:szCs w:val="26"/>
        </w:rPr>
        <w:t>, for example,</w:t>
      </w:r>
      <w:r w:rsidRPr="00D81D5A">
        <w:rPr>
          <w:szCs w:val="26"/>
        </w:rPr>
        <w:t xml:space="preserve"> limits the inclusion of payments for unused leave time in compensation earnable to the amount “</w:t>
      </w:r>
      <w:r w:rsidRPr="00D81D5A">
        <w:rPr>
          <w:rStyle w:val="ssparacontent"/>
          <w:szCs w:val="26"/>
        </w:rPr>
        <w:t>earned and payable . . . during the final average salary period, regardless of when reported or paid.</w:t>
      </w:r>
      <w:r w:rsidRPr="00D81D5A">
        <w:rPr>
          <w:szCs w:val="26"/>
        </w:rPr>
        <w:t xml:space="preserve">”  Restricting the inclusion of such payments </w:t>
      </w:r>
      <w:r w:rsidR="00DD370D" w:rsidRPr="00D81D5A">
        <w:rPr>
          <w:szCs w:val="26"/>
        </w:rPr>
        <w:t xml:space="preserve">to those earned in the final compensation period </w:t>
      </w:r>
      <w:r w:rsidRPr="00D81D5A">
        <w:rPr>
          <w:szCs w:val="26"/>
        </w:rPr>
        <w:t>promotes the underlying theory established by the general language of section 31461</w:t>
      </w:r>
      <w:r w:rsidR="00DD370D" w:rsidRPr="00D81D5A">
        <w:rPr>
          <w:szCs w:val="26"/>
        </w:rPr>
        <w:t xml:space="preserve">.  </w:t>
      </w:r>
      <w:r w:rsidRPr="00D81D5A">
        <w:rPr>
          <w:szCs w:val="26"/>
        </w:rPr>
        <w:t xml:space="preserve">Leave time earned </w:t>
      </w:r>
      <w:r w:rsidR="00C16510" w:rsidRPr="00D81D5A">
        <w:rPr>
          <w:szCs w:val="26"/>
        </w:rPr>
        <w:t>prior to the final compensation period</w:t>
      </w:r>
      <w:r w:rsidRPr="00D81D5A">
        <w:rPr>
          <w:szCs w:val="26"/>
        </w:rPr>
        <w:t xml:space="preserve"> </w:t>
      </w:r>
      <w:r w:rsidR="00C16510" w:rsidRPr="00D81D5A">
        <w:rPr>
          <w:szCs w:val="26"/>
        </w:rPr>
        <w:t>i</w:t>
      </w:r>
      <w:r w:rsidRPr="00D81D5A">
        <w:rPr>
          <w:szCs w:val="26"/>
        </w:rPr>
        <w:t>s</w:t>
      </w:r>
      <w:r w:rsidR="00DD370D" w:rsidRPr="00D81D5A">
        <w:rPr>
          <w:szCs w:val="26"/>
        </w:rPr>
        <w:t>, necessarily,</w:t>
      </w:r>
      <w:r w:rsidRPr="00D81D5A">
        <w:rPr>
          <w:szCs w:val="26"/>
        </w:rPr>
        <w:t xml:space="preserve"> awarded in return for work performed </w:t>
      </w:r>
      <w:r w:rsidR="00C16510" w:rsidRPr="00D81D5A">
        <w:rPr>
          <w:szCs w:val="26"/>
        </w:rPr>
        <w:t>prior to that period</w:t>
      </w:r>
      <w:r w:rsidRPr="00D81D5A">
        <w:rPr>
          <w:szCs w:val="26"/>
        </w:rPr>
        <w:t xml:space="preserve">.  </w:t>
      </w:r>
      <w:r w:rsidR="00DD370D" w:rsidRPr="00D81D5A">
        <w:rPr>
          <w:szCs w:val="26"/>
        </w:rPr>
        <w:t>T</w:t>
      </w:r>
      <w:r w:rsidRPr="00D81D5A">
        <w:rPr>
          <w:szCs w:val="26"/>
        </w:rPr>
        <w:t xml:space="preserve">he receipt of cash-out payments for such leave time during </w:t>
      </w:r>
      <w:r w:rsidR="00C16510" w:rsidRPr="00D81D5A">
        <w:rPr>
          <w:szCs w:val="26"/>
        </w:rPr>
        <w:t>the</w:t>
      </w:r>
      <w:r w:rsidRPr="00D81D5A">
        <w:rPr>
          <w:szCs w:val="26"/>
        </w:rPr>
        <w:t xml:space="preserve"> final compensation </w:t>
      </w:r>
      <w:r w:rsidR="00C16510" w:rsidRPr="00D81D5A">
        <w:rPr>
          <w:szCs w:val="26"/>
        </w:rPr>
        <w:t>period</w:t>
      </w:r>
      <w:r w:rsidR="00DD370D" w:rsidRPr="00D81D5A">
        <w:rPr>
          <w:szCs w:val="26"/>
        </w:rPr>
        <w:t xml:space="preserve"> therefore</w:t>
      </w:r>
      <w:r w:rsidRPr="00D81D5A">
        <w:rPr>
          <w:szCs w:val="26"/>
        </w:rPr>
        <w:t xml:space="preserve"> has the effect of shifting compensation for that </w:t>
      </w:r>
      <w:r w:rsidR="00C16510" w:rsidRPr="00D81D5A">
        <w:rPr>
          <w:szCs w:val="26"/>
        </w:rPr>
        <w:t>earlier</w:t>
      </w:r>
      <w:r w:rsidRPr="00D81D5A">
        <w:rPr>
          <w:szCs w:val="26"/>
        </w:rPr>
        <w:t xml:space="preserve"> work into the final compensation </w:t>
      </w:r>
      <w:r w:rsidR="00C16510" w:rsidRPr="00D81D5A">
        <w:rPr>
          <w:szCs w:val="26"/>
        </w:rPr>
        <w:t>period</w:t>
      </w:r>
      <w:r w:rsidRPr="00D81D5A">
        <w:rPr>
          <w:szCs w:val="26"/>
        </w:rPr>
        <w:t xml:space="preserve">, thereby artificially inflating </w:t>
      </w:r>
      <w:r w:rsidR="00DD370D" w:rsidRPr="00D81D5A">
        <w:rPr>
          <w:szCs w:val="26"/>
        </w:rPr>
        <w:t xml:space="preserve">the </w:t>
      </w:r>
      <w:r w:rsidR="00B07D50">
        <w:rPr>
          <w:szCs w:val="26"/>
        </w:rPr>
        <w:t xml:space="preserve">days of </w:t>
      </w:r>
      <w:r w:rsidRPr="00D81D5A">
        <w:rPr>
          <w:szCs w:val="26"/>
        </w:rPr>
        <w:t>compensation</w:t>
      </w:r>
      <w:r w:rsidR="00DD370D" w:rsidRPr="00D81D5A">
        <w:rPr>
          <w:szCs w:val="26"/>
        </w:rPr>
        <w:t xml:space="preserve"> received</w:t>
      </w:r>
      <w:r w:rsidRPr="00D81D5A">
        <w:rPr>
          <w:szCs w:val="26"/>
        </w:rPr>
        <w:t xml:space="preserve"> during the final compensation </w:t>
      </w:r>
      <w:r w:rsidR="00C16510" w:rsidRPr="00D81D5A">
        <w:rPr>
          <w:szCs w:val="26"/>
        </w:rPr>
        <w:t>period</w:t>
      </w:r>
      <w:r w:rsidRPr="00D81D5A">
        <w:rPr>
          <w:szCs w:val="26"/>
        </w:rPr>
        <w:t xml:space="preserve">.  This is incompatible with the general approach of section 31461, which calculates pensionable compensation on the basis of the same work </w:t>
      </w:r>
      <w:r w:rsidR="00C16510" w:rsidRPr="00D81D5A">
        <w:rPr>
          <w:szCs w:val="26"/>
        </w:rPr>
        <w:t>time</w:t>
      </w:r>
      <w:r w:rsidRPr="00D81D5A">
        <w:rPr>
          <w:szCs w:val="26"/>
        </w:rPr>
        <w:t xml:space="preserve"> for every employee within a pay class.  </w:t>
      </w:r>
      <w:r w:rsidR="00DD370D" w:rsidRPr="00D81D5A">
        <w:rPr>
          <w:szCs w:val="26"/>
        </w:rPr>
        <w:t>L</w:t>
      </w:r>
      <w:r w:rsidRPr="00D81D5A">
        <w:rPr>
          <w:szCs w:val="26"/>
        </w:rPr>
        <w:t>imiting the inclusion of such payments in the compensation earnable calculation to the amount “</w:t>
      </w:r>
      <w:r w:rsidRPr="00D81D5A">
        <w:rPr>
          <w:rStyle w:val="ssparacontent"/>
          <w:szCs w:val="26"/>
        </w:rPr>
        <w:t>earned and payable” during the final compensation period, as required by section 31461, subdivision (b)(2), reduces the potential for distortion from this type of compensation.</w:t>
      </w:r>
      <w:bookmarkStart w:id="50" w:name="_Hlk19260733"/>
      <w:r w:rsidRPr="00D81D5A">
        <w:rPr>
          <w:rStyle w:val="ssparacontent"/>
          <w:szCs w:val="26"/>
        </w:rPr>
        <w:t xml:space="preserve">  (See </w:t>
      </w:r>
      <w:r w:rsidRPr="00D81D5A">
        <w:rPr>
          <w:rStyle w:val="ssparacontent"/>
          <w:i/>
          <w:szCs w:val="26"/>
        </w:rPr>
        <w:t>Alameda Sheriffs</w:t>
      </w:r>
      <w:r w:rsidRPr="00D81D5A">
        <w:rPr>
          <w:rStyle w:val="ssparacontent"/>
          <w:szCs w:val="26"/>
        </w:rPr>
        <w:t xml:space="preserve">, </w:t>
      </w:r>
      <w:r w:rsidRPr="00D81D5A">
        <w:rPr>
          <w:rStyle w:val="ssparacontent"/>
          <w:i/>
          <w:szCs w:val="26"/>
        </w:rPr>
        <w:t>supra</w:t>
      </w:r>
      <w:r w:rsidRPr="00D81D5A">
        <w:rPr>
          <w:rStyle w:val="ssparacontent"/>
          <w:szCs w:val="26"/>
        </w:rPr>
        <w:t>, 19 Cal.App.5th at pp.</w:t>
      </w:r>
      <w:r w:rsidR="00054E3E" w:rsidRPr="00D81D5A">
        <w:rPr>
          <w:rStyle w:val="ssparacontent"/>
          <w:szCs w:val="26"/>
        </w:rPr>
        <w:t> </w:t>
      </w:r>
      <w:r w:rsidRPr="00D81D5A">
        <w:rPr>
          <w:rStyle w:val="ssparacontent"/>
          <w:szCs w:val="26"/>
        </w:rPr>
        <w:t>97</w:t>
      </w:r>
      <w:r w:rsidR="00427AF8">
        <w:rPr>
          <w:rStyle w:val="ssparacontent"/>
          <w:szCs w:val="26"/>
        </w:rPr>
        <w:t>–</w:t>
      </w:r>
      <w:r w:rsidRPr="00D81D5A">
        <w:rPr>
          <w:rStyle w:val="ssparacontent"/>
          <w:szCs w:val="26"/>
        </w:rPr>
        <w:t>98</w:t>
      </w:r>
      <w:r w:rsidR="00663899" w:rsidRPr="00D81D5A">
        <w:rPr>
          <w:rStyle w:val="ssparacontent"/>
          <w:szCs w:val="26"/>
        </w:rPr>
        <w:t xml:space="preserve"> [“</w:t>
      </w:r>
      <w:r w:rsidR="00663899" w:rsidRPr="00D81D5A">
        <w:rPr>
          <w:rStyle w:val="ssrfcpassagedeactivated"/>
          <w:szCs w:val="26"/>
        </w:rPr>
        <w:t xml:space="preserve">the </w:t>
      </w:r>
      <w:r w:rsidR="00663899" w:rsidRPr="00D81D5A">
        <w:rPr>
          <w:rStyle w:val="sssh"/>
          <w:szCs w:val="26"/>
        </w:rPr>
        <w:t>touchstone</w:t>
      </w:r>
      <w:r w:rsidR="00663899" w:rsidRPr="00D81D5A">
        <w:rPr>
          <w:rStyle w:val="ssrfcpassagedeactivated"/>
          <w:szCs w:val="26"/>
        </w:rPr>
        <w:t xml:space="preserve"> for calculating compensation earnable is still the compensation that was actually </w:t>
      </w:r>
      <w:r w:rsidR="00663899" w:rsidRPr="00D81D5A">
        <w:rPr>
          <w:rStyle w:val="ssit2"/>
          <w:szCs w:val="26"/>
        </w:rPr>
        <w:t>earned</w:t>
      </w:r>
      <w:r w:rsidR="00663899" w:rsidRPr="00D81D5A">
        <w:rPr>
          <w:rStyle w:val="ssrfcpassagedeactivated"/>
          <w:szCs w:val="26"/>
        </w:rPr>
        <w:t xml:space="preserve"> by the retiring employee in ‘the period under consideration’</w:t>
      </w:r>
      <w:r w:rsidR="00CE12E5">
        <w:rPr>
          <w:rStyle w:val="ssrfcpassagedeactivated"/>
          <w:szCs w:val="26"/>
        </w:rPr>
        <w:t> </w:t>
      </w:r>
      <w:r w:rsidR="00663899" w:rsidRPr="00D81D5A">
        <w:rPr>
          <w:rStyle w:val="ssrfcpassagedeactivated"/>
          <w:szCs w:val="26"/>
        </w:rPr>
        <w:t>”].</w:t>
      </w:r>
      <w:r w:rsidRPr="00D81D5A">
        <w:rPr>
          <w:rStyle w:val="ssrfcpassagedeactivated"/>
          <w:rFonts w:cs="Calibri"/>
          <w:szCs w:val="26"/>
        </w:rPr>
        <w:t>)</w:t>
      </w:r>
      <w:r w:rsidRPr="00D81D5A">
        <w:rPr>
          <w:rStyle w:val="FootnoteReference"/>
          <w:szCs w:val="26"/>
        </w:rPr>
        <w:footnoteReference w:id="32"/>
      </w:r>
      <w:bookmarkEnd w:id="50"/>
      <w:r w:rsidRPr="00D81D5A">
        <w:rPr>
          <w:rStyle w:val="ssparacontent"/>
          <w:szCs w:val="26"/>
        </w:rPr>
        <w:t xml:space="preserve">  </w:t>
      </w:r>
      <w:r w:rsidR="00663899" w:rsidRPr="00D81D5A">
        <w:rPr>
          <w:rStyle w:val="ssparacontent"/>
          <w:szCs w:val="26"/>
        </w:rPr>
        <w:t xml:space="preserve">It is noteworthy that, since 1995, </w:t>
      </w:r>
      <w:r w:rsidRPr="00D81D5A">
        <w:rPr>
          <w:rStyle w:val="ssparacontent"/>
          <w:szCs w:val="26"/>
        </w:rPr>
        <w:t xml:space="preserve">CERL </w:t>
      </w:r>
      <w:r w:rsidR="00663899" w:rsidRPr="00D81D5A">
        <w:rPr>
          <w:rStyle w:val="ssparacontent"/>
          <w:szCs w:val="26"/>
        </w:rPr>
        <w:t xml:space="preserve">has </w:t>
      </w:r>
      <w:r w:rsidRPr="00D81D5A">
        <w:rPr>
          <w:rStyle w:val="ssparacontent"/>
          <w:szCs w:val="26"/>
        </w:rPr>
        <w:t>treated</w:t>
      </w:r>
      <w:r w:rsidR="00663899" w:rsidRPr="00D81D5A">
        <w:rPr>
          <w:rStyle w:val="ssparacontent"/>
          <w:szCs w:val="26"/>
        </w:rPr>
        <w:t xml:space="preserve"> payments from a</w:t>
      </w:r>
      <w:r w:rsidRPr="00D81D5A">
        <w:rPr>
          <w:rStyle w:val="ssparacontent"/>
          <w:szCs w:val="26"/>
        </w:rPr>
        <w:t xml:space="preserve"> deferred compensation</w:t>
      </w:r>
      <w:r w:rsidR="00663899" w:rsidRPr="00D81D5A">
        <w:rPr>
          <w:rStyle w:val="ssparacontent"/>
          <w:szCs w:val="26"/>
        </w:rPr>
        <w:t xml:space="preserve"> plan</w:t>
      </w:r>
      <w:r w:rsidRPr="00D81D5A">
        <w:rPr>
          <w:rStyle w:val="ssparacontent"/>
          <w:szCs w:val="26"/>
        </w:rPr>
        <w:t xml:space="preserve"> in this manner, deeming deferred compensation to be included in compensation “when earned, rather than when paid.”  (§</w:t>
      </w:r>
      <w:r w:rsidR="00054E3E" w:rsidRPr="00D81D5A">
        <w:rPr>
          <w:rStyle w:val="ssparacontent"/>
          <w:szCs w:val="26"/>
        </w:rPr>
        <w:t> </w:t>
      </w:r>
      <w:r w:rsidRPr="00D81D5A">
        <w:rPr>
          <w:rStyle w:val="ssparacontent"/>
          <w:szCs w:val="26"/>
        </w:rPr>
        <w:t xml:space="preserve">31461, </w:t>
      </w:r>
      <w:proofErr w:type="spellStart"/>
      <w:r w:rsidRPr="00D81D5A">
        <w:rPr>
          <w:rStyle w:val="ssparacontent"/>
          <w:szCs w:val="26"/>
        </w:rPr>
        <w:t>subd</w:t>
      </w:r>
      <w:proofErr w:type="spellEnd"/>
      <w:r w:rsidRPr="00D81D5A">
        <w:rPr>
          <w:rStyle w:val="ssparacontent"/>
          <w:szCs w:val="26"/>
        </w:rPr>
        <w:t>. (a)</w:t>
      </w:r>
      <w:r w:rsidR="00663899" w:rsidRPr="00D81D5A">
        <w:rPr>
          <w:rStyle w:val="ssparacontent"/>
          <w:szCs w:val="26"/>
        </w:rPr>
        <w:t xml:space="preserve">; see Stats. 1995, </w:t>
      </w:r>
      <w:proofErr w:type="spellStart"/>
      <w:r w:rsidR="00663899" w:rsidRPr="00D81D5A">
        <w:rPr>
          <w:rStyle w:val="ssparacontent"/>
          <w:szCs w:val="26"/>
        </w:rPr>
        <w:t>ch.</w:t>
      </w:r>
      <w:proofErr w:type="spellEnd"/>
      <w:r w:rsidR="00663899" w:rsidRPr="00D81D5A">
        <w:rPr>
          <w:rStyle w:val="ssparacontent"/>
          <w:szCs w:val="26"/>
        </w:rPr>
        <w:t xml:space="preserve"> 558, § 1</w:t>
      </w:r>
      <w:r w:rsidRPr="00D81D5A">
        <w:rPr>
          <w:rStyle w:val="ssparacontent"/>
          <w:szCs w:val="26"/>
        </w:rPr>
        <w:t xml:space="preserve">.)  Subdivision (b)(2) </w:t>
      </w:r>
      <w:r w:rsidR="00663899" w:rsidRPr="00D81D5A">
        <w:rPr>
          <w:rStyle w:val="ssparacontent"/>
          <w:szCs w:val="26"/>
        </w:rPr>
        <w:t xml:space="preserve">is consistent with this approach and </w:t>
      </w:r>
      <w:r w:rsidRPr="00D81D5A">
        <w:rPr>
          <w:rStyle w:val="ssparacontent"/>
          <w:szCs w:val="26"/>
        </w:rPr>
        <w:t>serves the underlying theory of compensation earnable in the same manner.</w:t>
      </w:r>
    </w:p>
    <w:p w14:paraId="4CC5CB72" w14:textId="77777777" w:rsidR="00A200EE" w:rsidRPr="00D81D5A" w:rsidRDefault="00A200EE" w:rsidP="00D81D5A">
      <w:pPr>
        <w:pStyle w:val="CommentText"/>
        <w:ind w:firstLine="720"/>
        <w:rPr>
          <w:rStyle w:val="ssparacontent"/>
          <w:sz w:val="27"/>
          <w:szCs w:val="26"/>
        </w:rPr>
      </w:pPr>
      <w:r w:rsidRPr="00D81D5A">
        <w:rPr>
          <w:sz w:val="27"/>
          <w:szCs w:val="26"/>
        </w:rPr>
        <w:t>A comparable rationale supports the enactment of section 31461, subdivision (b)(3), which excludes “[p]</w:t>
      </w:r>
      <w:proofErr w:type="spellStart"/>
      <w:r w:rsidRPr="00D81D5A">
        <w:rPr>
          <w:rStyle w:val="ssparacontent"/>
          <w:sz w:val="27"/>
          <w:szCs w:val="26"/>
        </w:rPr>
        <w:t>ayments</w:t>
      </w:r>
      <w:proofErr w:type="spellEnd"/>
      <w:r w:rsidRPr="00D81D5A">
        <w:rPr>
          <w:rStyle w:val="ssparacontent"/>
          <w:sz w:val="27"/>
          <w:szCs w:val="26"/>
        </w:rPr>
        <w:t xml:space="preserve"> for additional services rendered outside of normal working hours.”  </w:t>
      </w:r>
      <w:r w:rsidR="00720265" w:rsidRPr="00D81D5A">
        <w:rPr>
          <w:rStyle w:val="ssparacontent"/>
          <w:sz w:val="27"/>
          <w:szCs w:val="26"/>
        </w:rPr>
        <w:t>Section 31461</w:t>
      </w:r>
      <w:r w:rsidRPr="00D81D5A">
        <w:rPr>
          <w:rStyle w:val="ssparacontent"/>
          <w:sz w:val="27"/>
          <w:szCs w:val="26"/>
        </w:rPr>
        <w:t xml:space="preserve"> base</w:t>
      </w:r>
      <w:r w:rsidR="00720265" w:rsidRPr="00D81D5A">
        <w:rPr>
          <w:rStyle w:val="ssparacontent"/>
          <w:sz w:val="27"/>
          <w:szCs w:val="26"/>
        </w:rPr>
        <w:t>s compensation</w:t>
      </w:r>
      <w:r w:rsidRPr="00D81D5A">
        <w:rPr>
          <w:rStyle w:val="ssparacontent"/>
          <w:sz w:val="27"/>
          <w:szCs w:val="26"/>
        </w:rPr>
        <w:t xml:space="preserve"> </w:t>
      </w:r>
      <w:r w:rsidR="00720265" w:rsidRPr="00D81D5A">
        <w:rPr>
          <w:rStyle w:val="ssparacontent"/>
          <w:sz w:val="27"/>
          <w:szCs w:val="26"/>
        </w:rPr>
        <w:t xml:space="preserve">earnable </w:t>
      </w:r>
      <w:r w:rsidRPr="00D81D5A">
        <w:rPr>
          <w:rStyle w:val="ssparacontent"/>
          <w:sz w:val="27"/>
          <w:szCs w:val="26"/>
        </w:rPr>
        <w:t xml:space="preserve">on the same number of days worked for all employees within a particular pay grade.  </w:t>
      </w:r>
      <w:r w:rsidR="005251F6" w:rsidRPr="00D81D5A">
        <w:rPr>
          <w:sz w:val="27"/>
          <w:szCs w:val="26"/>
        </w:rPr>
        <w:t>The long-standing exclusion of overtime from compensation earnable, now embodied in section 31461.6, confirms that an employee’s pensionable compensation is generally to be based on pay for work performed during normal working hours.</w:t>
      </w:r>
      <w:r w:rsidR="005251F6" w:rsidRPr="00D81D5A">
        <w:rPr>
          <w:rStyle w:val="FootnoteReference"/>
        </w:rPr>
        <w:footnoteReference w:id="33"/>
      </w:r>
      <w:r w:rsidR="005251F6" w:rsidRPr="00D81D5A">
        <w:rPr>
          <w:sz w:val="27"/>
          <w:szCs w:val="26"/>
        </w:rPr>
        <w:t xml:space="preserve">  Consistently with this exclusion of overtime, subdivision (b)(3) requires the exclusion of compensation for other services rendered outside normal working hours.  This restriction prevents employees from volunteering, during their final compensation period, to perform additional services outside normal working hours in order to artificially inflate their daily rate of pay.  </w:t>
      </w:r>
      <w:r w:rsidRPr="00D81D5A">
        <w:rPr>
          <w:rStyle w:val="ssparacontent"/>
          <w:sz w:val="27"/>
          <w:szCs w:val="26"/>
        </w:rPr>
        <w:t>Subdivision (b)(3) therefore reinforces the portion of section 31461 that requires compensation earnable to be based on the same work</w:t>
      </w:r>
      <w:r w:rsidR="00D2784A">
        <w:rPr>
          <w:rStyle w:val="ssparacontent"/>
          <w:sz w:val="27"/>
          <w:szCs w:val="26"/>
        </w:rPr>
        <w:t xml:space="preserve"> </w:t>
      </w:r>
      <w:r w:rsidRPr="00D81D5A">
        <w:rPr>
          <w:rStyle w:val="ssparacontent"/>
          <w:sz w:val="27"/>
          <w:szCs w:val="26"/>
        </w:rPr>
        <w:t>year for all employees within a particular pay grade.</w:t>
      </w:r>
    </w:p>
    <w:p w14:paraId="5B1ABA77" w14:textId="0FCB7310" w:rsidR="00A200EE" w:rsidRPr="00D81D5A" w:rsidRDefault="00A200EE" w:rsidP="00D81D5A">
      <w:pPr>
        <w:pStyle w:val="NormalIndent"/>
        <w:ind w:left="0" w:firstLine="720"/>
        <w:rPr>
          <w:szCs w:val="26"/>
        </w:rPr>
      </w:pPr>
      <w:r w:rsidRPr="00D81D5A">
        <w:rPr>
          <w:rStyle w:val="ssparacontent"/>
          <w:szCs w:val="26"/>
        </w:rPr>
        <w:t xml:space="preserve">Finally, </w:t>
      </w:r>
      <w:r w:rsidR="00D2784A">
        <w:rPr>
          <w:rStyle w:val="ssparacontent"/>
          <w:szCs w:val="26"/>
        </w:rPr>
        <w:t xml:space="preserve">section 31461, </w:t>
      </w:r>
      <w:r w:rsidRPr="00D81D5A">
        <w:rPr>
          <w:rStyle w:val="ssparacontent"/>
          <w:szCs w:val="26"/>
        </w:rPr>
        <w:t>subdivision (b)(1) excludes compensation “paid to enhance a member’s retirement benefit.”  As discussed above, the three examples of potentially excludable compensation provided in subdivision (b)(1)(A) through (C) demonstrate that this section is intended to prevent various forms of manipulation of the compensation earnable calculation.  Subdivision (b)(1)(A) categorizes as suspicious cash compensation</w:t>
      </w:r>
      <w:r w:rsidR="00925419" w:rsidRPr="00D81D5A">
        <w:rPr>
          <w:rStyle w:val="ssparacontent"/>
          <w:szCs w:val="26"/>
        </w:rPr>
        <w:t xml:space="preserve"> received</w:t>
      </w:r>
      <w:r w:rsidRPr="00D81D5A">
        <w:rPr>
          <w:rStyle w:val="ssparacontent"/>
          <w:szCs w:val="26"/>
        </w:rPr>
        <w:t xml:space="preserve"> in lieu of a benefit that had previously been provided in kind</w:t>
      </w:r>
      <w:r w:rsidR="00720265" w:rsidRPr="00D81D5A">
        <w:rPr>
          <w:rStyle w:val="ssparacontent"/>
          <w:szCs w:val="26"/>
        </w:rPr>
        <w:t xml:space="preserve">.  This practice has the effect of converting a </w:t>
      </w:r>
      <w:proofErr w:type="spellStart"/>
      <w:r w:rsidR="00720265" w:rsidRPr="00D81D5A">
        <w:rPr>
          <w:rStyle w:val="ssparacontent"/>
          <w:szCs w:val="26"/>
        </w:rPr>
        <w:t>nonpensionable</w:t>
      </w:r>
      <w:proofErr w:type="spellEnd"/>
      <w:r w:rsidR="00720265" w:rsidRPr="00D81D5A">
        <w:rPr>
          <w:rStyle w:val="ssparacontent"/>
          <w:szCs w:val="26"/>
        </w:rPr>
        <w:t xml:space="preserve"> benefit into </w:t>
      </w:r>
      <w:r w:rsidR="00EE1E1F" w:rsidRPr="00D81D5A">
        <w:rPr>
          <w:rStyle w:val="ssparacontent"/>
          <w:szCs w:val="26"/>
        </w:rPr>
        <w:t xml:space="preserve">pensionable compensation.  </w:t>
      </w:r>
      <w:r w:rsidRPr="00D81D5A">
        <w:rPr>
          <w:rStyle w:val="ssparacontent"/>
          <w:szCs w:val="26"/>
        </w:rPr>
        <w:t xml:space="preserve">Subdivision (b)(1)(B) calls attention to “one-time or ad hoc payment[s]” made to an employee but not to peers.  </w:t>
      </w:r>
      <w:r w:rsidR="00EE1E1F" w:rsidRPr="00D81D5A">
        <w:rPr>
          <w:rStyle w:val="ssparacontent"/>
          <w:szCs w:val="26"/>
        </w:rPr>
        <w:t xml:space="preserve">The ad hoc and exclusive nature of the payment presumably signals the possibility of manipulation of the pension calculation.  </w:t>
      </w:r>
      <w:r w:rsidRPr="00D81D5A">
        <w:rPr>
          <w:rStyle w:val="ssparacontent"/>
          <w:szCs w:val="26"/>
        </w:rPr>
        <w:t>Subdivision (b)(1)(C) casts doubt on payments that are made solely due to termination yet are paid prior to termination</w:t>
      </w:r>
      <w:r w:rsidR="00EE1E1F" w:rsidRPr="00D81D5A">
        <w:rPr>
          <w:rStyle w:val="ssparacontent"/>
          <w:szCs w:val="26"/>
        </w:rPr>
        <w:t xml:space="preserve">.  This practice would </w:t>
      </w:r>
      <w:r w:rsidRPr="00D81D5A">
        <w:rPr>
          <w:rStyle w:val="ssparacontent"/>
          <w:szCs w:val="26"/>
        </w:rPr>
        <w:t xml:space="preserve">shift </w:t>
      </w:r>
      <w:r w:rsidR="00EE1E1F" w:rsidRPr="00D81D5A">
        <w:rPr>
          <w:rStyle w:val="ssparacontent"/>
          <w:szCs w:val="26"/>
        </w:rPr>
        <w:t xml:space="preserve">such </w:t>
      </w:r>
      <w:r w:rsidRPr="00D81D5A">
        <w:rPr>
          <w:rStyle w:val="ssparacontent"/>
          <w:szCs w:val="26"/>
        </w:rPr>
        <w:t>compensation into the final compensation period</w:t>
      </w:r>
      <w:r w:rsidR="00EE1E1F" w:rsidRPr="00D81D5A">
        <w:rPr>
          <w:rStyle w:val="ssparacontent"/>
          <w:szCs w:val="26"/>
        </w:rPr>
        <w:t xml:space="preserve">, again converting a </w:t>
      </w:r>
      <w:proofErr w:type="spellStart"/>
      <w:r w:rsidR="00EE1E1F" w:rsidRPr="00D81D5A">
        <w:rPr>
          <w:rStyle w:val="ssparacontent"/>
          <w:szCs w:val="26"/>
        </w:rPr>
        <w:t>nonpensionable</w:t>
      </w:r>
      <w:proofErr w:type="spellEnd"/>
      <w:r w:rsidR="00EE1E1F" w:rsidRPr="00D81D5A">
        <w:rPr>
          <w:rStyle w:val="ssparacontent"/>
          <w:szCs w:val="26"/>
        </w:rPr>
        <w:t xml:space="preserve"> benefit into pensionable compensation</w:t>
      </w:r>
      <w:r w:rsidRPr="00D81D5A">
        <w:rPr>
          <w:rStyle w:val="ssparacontent"/>
          <w:szCs w:val="26"/>
        </w:rPr>
        <w:t xml:space="preserve">.  The common thread is the alteration of the normal pattern of an employee’s compensation </w:t>
      </w:r>
      <w:r w:rsidR="00B07D50">
        <w:rPr>
          <w:rStyle w:val="ssparacontent"/>
          <w:szCs w:val="26"/>
        </w:rPr>
        <w:t xml:space="preserve">for the purpose of </w:t>
      </w:r>
      <w:r w:rsidRPr="00D81D5A">
        <w:rPr>
          <w:rStyle w:val="ssparacontent"/>
          <w:szCs w:val="26"/>
        </w:rPr>
        <w:t>increas</w:t>
      </w:r>
      <w:r w:rsidR="00B07D50">
        <w:rPr>
          <w:rStyle w:val="ssparacontent"/>
          <w:szCs w:val="26"/>
        </w:rPr>
        <w:t>ing</w:t>
      </w:r>
      <w:r w:rsidRPr="00D81D5A">
        <w:rPr>
          <w:rStyle w:val="ssparacontent"/>
          <w:szCs w:val="26"/>
        </w:rPr>
        <w:t xml:space="preserve"> the compensation receive</w:t>
      </w:r>
      <w:r w:rsidR="005301EF" w:rsidRPr="00D81D5A">
        <w:rPr>
          <w:rStyle w:val="ssparacontent"/>
          <w:szCs w:val="26"/>
        </w:rPr>
        <w:t>d</w:t>
      </w:r>
      <w:r w:rsidRPr="00D81D5A">
        <w:rPr>
          <w:rStyle w:val="ssparacontent"/>
          <w:szCs w:val="26"/>
        </w:rPr>
        <w:t xml:space="preserve"> during the final compensation period.  </w:t>
      </w:r>
      <w:r w:rsidR="00EE1E1F" w:rsidRPr="00D81D5A">
        <w:rPr>
          <w:rStyle w:val="ssparacontent"/>
          <w:szCs w:val="26"/>
        </w:rPr>
        <w:t>T</w:t>
      </w:r>
      <w:r w:rsidRPr="00D81D5A">
        <w:rPr>
          <w:rStyle w:val="ssparacontent"/>
          <w:szCs w:val="26"/>
        </w:rPr>
        <w:t xml:space="preserve">he exclusion </w:t>
      </w:r>
      <w:r w:rsidR="005301EF" w:rsidRPr="00D81D5A">
        <w:rPr>
          <w:rStyle w:val="ssparacontent"/>
          <w:szCs w:val="26"/>
        </w:rPr>
        <w:t>mandated by</w:t>
      </w:r>
      <w:r w:rsidRPr="00D81D5A">
        <w:rPr>
          <w:rStyle w:val="ssparacontent"/>
          <w:szCs w:val="26"/>
        </w:rPr>
        <w:t xml:space="preserve"> subdivision (b)(1) </w:t>
      </w:r>
      <w:r w:rsidR="00925419" w:rsidRPr="00D81D5A">
        <w:rPr>
          <w:rStyle w:val="ssparacontent"/>
          <w:szCs w:val="26"/>
        </w:rPr>
        <w:t xml:space="preserve">therefore </w:t>
      </w:r>
      <w:r w:rsidR="00EE1E1F" w:rsidRPr="00D81D5A">
        <w:rPr>
          <w:rStyle w:val="ssparacontent"/>
          <w:szCs w:val="26"/>
        </w:rPr>
        <w:t>reinforces the requirement in section 31461 that an employee’s pension benefits be based on his or</w:t>
      </w:r>
      <w:r w:rsidR="005251F6" w:rsidRPr="00D81D5A">
        <w:rPr>
          <w:rStyle w:val="ssparacontent"/>
          <w:szCs w:val="26"/>
        </w:rPr>
        <w:t xml:space="preserve"> her</w:t>
      </w:r>
      <w:r w:rsidRPr="00D81D5A">
        <w:rPr>
          <w:rStyle w:val="ssparacontent"/>
          <w:szCs w:val="26"/>
        </w:rPr>
        <w:t xml:space="preserve"> compensation.  As the word implies, “compensation” is money paid in return for the performance of services.  If a payment is made to an employee for the purpose of enhancing his or her pension benefit, it is not paid in return for the delivery of services but for another purpose entirely — to boost the employee’s postemployment</w:t>
      </w:r>
      <w:r w:rsidR="005251F6" w:rsidRPr="00D81D5A">
        <w:rPr>
          <w:rStyle w:val="ssparacontent"/>
          <w:szCs w:val="26"/>
        </w:rPr>
        <w:t xml:space="preserve"> pension</w:t>
      </w:r>
      <w:r w:rsidRPr="00D81D5A">
        <w:rPr>
          <w:rStyle w:val="ssparacontent"/>
          <w:szCs w:val="26"/>
        </w:rPr>
        <w:t xml:space="preserve"> benefits.  This is clear pension abuse, and the express exclusion of such payments from compensation earnable is fully consistent with the theory underlying section 31461.</w:t>
      </w:r>
    </w:p>
    <w:p w14:paraId="0EC1C717" w14:textId="05B5B9E6" w:rsidR="00A200EE" w:rsidRPr="00AA76C5" w:rsidRDefault="00A200EE" w:rsidP="00AA76C5">
      <w:pPr>
        <w:autoSpaceDE w:val="0"/>
        <w:autoSpaceDN w:val="0"/>
        <w:adjustRightInd w:val="0"/>
        <w:ind w:firstLine="720"/>
      </w:pPr>
      <w:r w:rsidRPr="00D81D5A">
        <w:t>As the preceding discussion</w:t>
      </w:r>
      <w:r w:rsidR="005251F6" w:rsidRPr="00D81D5A">
        <w:t xml:space="preserve"> demonstrates</w:t>
      </w:r>
      <w:r w:rsidRPr="00D81D5A">
        <w:t>, the exclusions introduced by PEPRA</w:t>
      </w:r>
      <w:r w:rsidR="00EE1E1F" w:rsidRPr="00D81D5A">
        <w:t xml:space="preserve"> unquestionably</w:t>
      </w:r>
      <w:r w:rsidRPr="00D81D5A">
        <w:t xml:space="preserve"> “</w:t>
      </w:r>
      <w:r w:rsidRPr="00D81D5A">
        <w:rPr>
          <w:rStyle w:val="ssrfcpassagedeactivated"/>
          <w:szCs w:val="26"/>
        </w:rPr>
        <w:t xml:space="preserve">bear [a] material relation to the theory of a </w:t>
      </w:r>
      <w:r w:rsidRPr="00D81D5A">
        <w:rPr>
          <w:rStyle w:val="sssh"/>
          <w:szCs w:val="26"/>
        </w:rPr>
        <w:t>pension</w:t>
      </w:r>
      <w:r w:rsidRPr="00D81D5A">
        <w:rPr>
          <w:rStyle w:val="ssrfcpassagedeactivated"/>
          <w:szCs w:val="26"/>
        </w:rPr>
        <w:t xml:space="preserve"> system and its successful operation.”  (</w:t>
      </w:r>
      <w:r w:rsidRPr="00D81D5A">
        <w:rPr>
          <w:rStyle w:val="ssrfcpassagedeactivated"/>
          <w:i/>
          <w:szCs w:val="26"/>
        </w:rPr>
        <w:t>Allen I</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xml:space="preserve">, </w:t>
      </w:r>
      <w:r w:rsidRPr="00D81D5A">
        <w:t>45 Cal.2d at p. 131; s</w:t>
      </w:r>
      <w:r w:rsidRPr="00D81D5A">
        <w:rPr>
          <w:szCs w:val="26"/>
        </w:rPr>
        <w:t xml:space="preserve">ee </w:t>
      </w:r>
      <w:r w:rsidRPr="00D81D5A">
        <w:rPr>
          <w:i/>
          <w:szCs w:val="26"/>
        </w:rPr>
        <w:t xml:space="preserve">Claypool v. Wilson </w:t>
      </w:r>
      <w:r w:rsidRPr="00D81D5A">
        <w:rPr>
          <w:szCs w:val="26"/>
        </w:rPr>
        <w:t>(1992) 4 Cal.App.4th 646, 666 [a valid justification for changing a pension system “must relate to considerations internal to the pension system”].)</w:t>
      </w:r>
      <w:r w:rsidRPr="00D81D5A">
        <w:t xml:space="preserve">  The definition of compensation earnable is a critical </w:t>
      </w:r>
      <w:r w:rsidRPr="00D81D5A">
        <w:rPr>
          <w:rStyle w:val="ssrfcpassagedeactivated"/>
          <w:szCs w:val="26"/>
        </w:rPr>
        <w:t>element in the calculation of pension benefits.  The interplay of those elements is the very embodiment of “the theory of [the CERL] pension system,” and a workable definition of compensation earnable is crucial to “its successful operation.”</w:t>
      </w:r>
      <w:r w:rsidR="00D2784A">
        <w:rPr>
          <w:rStyle w:val="ssrfcpassagedeactivated"/>
          <w:szCs w:val="26"/>
        </w:rPr>
        <w:t xml:space="preserve">  (</w:t>
      </w:r>
      <w:r w:rsidR="00D2784A">
        <w:rPr>
          <w:rStyle w:val="ssrfcpassagedeactivated"/>
          <w:i/>
          <w:iCs/>
          <w:szCs w:val="26"/>
        </w:rPr>
        <w:t>Allen I</w:t>
      </w:r>
      <w:r w:rsidR="00D2784A">
        <w:rPr>
          <w:rStyle w:val="ssrfcpassagedeactivated"/>
          <w:szCs w:val="26"/>
        </w:rPr>
        <w:t>, at p. 131.)</w:t>
      </w:r>
      <w:r w:rsidRPr="00D81D5A">
        <w:rPr>
          <w:rStyle w:val="ssrfcpassagedeactivated"/>
          <w:szCs w:val="26"/>
        </w:rPr>
        <w:t xml:space="preserve">  Further, a</w:t>
      </w:r>
      <w:r w:rsidRPr="00D81D5A">
        <w:rPr>
          <w:szCs w:val="26"/>
        </w:rPr>
        <w:t xml:space="preserve">s the Legislature explained in passing the amendments, the amendment was designed to limit </w:t>
      </w:r>
      <w:r w:rsidR="003C0E62" w:rsidRPr="00D81D5A">
        <w:rPr>
          <w:szCs w:val="26"/>
        </w:rPr>
        <w:t xml:space="preserve">pension spiking, the manipulation of compensation to artificially increase a pension benefit.  </w:t>
      </w:r>
      <w:r w:rsidRPr="00D81D5A">
        <w:rPr>
          <w:szCs w:val="26"/>
        </w:rPr>
        <w:t xml:space="preserve">Unquestionably, preventing </w:t>
      </w:r>
      <w:r w:rsidR="003C0E62" w:rsidRPr="00D81D5A">
        <w:rPr>
          <w:szCs w:val="26"/>
        </w:rPr>
        <w:t>manipulation</w:t>
      </w:r>
      <w:r w:rsidRPr="00D81D5A">
        <w:rPr>
          <w:szCs w:val="26"/>
        </w:rPr>
        <w:t xml:space="preserve"> of the terms of a pension plan</w:t>
      </w:r>
      <w:r w:rsidR="00A239B8" w:rsidRPr="00D81D5A">
        <w:rPr>
          <w:szCs w:val="26"/>
        </w:rPr>
        <w:t xml:space="preserve"> to produce outsize benefits</w:t>
      </w:r>
      <w:r w:rsidRPr="00D81D5A">
        <w:rPr>
          <w:szCs w:val="26"/>
        </w:rPr>
        <w:t xml:space="preserve"> is a substantively proper </w:t>
      </w:r>
      <w:r w:rsidR="00EE1E1F" w:rsidRPr="00D81D5A">
        <w:rPr>
          <w:szCs w:val="26"/>
        </w:rPr>
        <w:t xml:space="preserve">reason </w:t>
      </w:r>
      <w:r w:rsidRPr="00D81D5A">
        <w:rPr>
          <w:szCs w:val="26"/>
        </w:rPr>
        <w:t>for</w:t>
      </w:r>
      <w:r w:rsidR="00EE1E1F" w:rsidRPr="00D81D5A">
        <w:rPr>
          <w:szCs w:val="26"/>
        </w:rPr>
        <w:t xml:space="preserve"> </w:t>
      </w:r>
      <w:r w:rsidR="00925419" w:rsidRPr="00D81D5A">
        <w:rPr>
          <w:szCs w:val="26"/>
        </w:rPr>
        <w:t>modifying</w:t>
      </w:r>
      <w:r w:rsidR="00EE1E1F" w:rsidRPr="00D81D5A">
        <w:rPr>
          <w:szCs w:val="26"/>
        </w:rPr>
        <w:t xml:space="preserve"> </w:t>
      </w:r>
      <w:r w:rsidR="00925419" w:rsidRPr="00D81D5A">
        <w:rPr>
          <w:szCs w:val="26"/>
        </w:rPr>
        <w:t>the</w:t>
      </w:r>
      <w:r w:rsidR="00EE1E1F" w:rsidRPr="00D81D5A">
        <w:rPr>
          <w:szCs w:val="26"/>
        </w:rPr>
        <w:t xml:space="preserve"> plan</w:t>
      </w:r>
      <w:r w:rsidRPr="00D81D5A">
        <w:rPr>
          <w:szCs w:val="26"/>
        </w:rPr>
        <w:t>, since it serves to maintain the system’s financial integrity and discourage gamesmanship in the management of compensation practices.</w:t>
      </w:r>
    </w:p>
    <w:p w14:paraId="3AFF7BEC" w14:textId="77777777" w:rsidR="0000287B" w:rsidRPr="00D81D5A" w:rsidRDefault="0000287B" w:rsidP="00D81D5A">
      <w:pPr>
        <w:pStyle w:val="Heading4"/>
      </w:pPr>
      <w:bookmarkStart w:id="51" w:name="_Hlk41142257"/>
      <w:r w:rsidRPr="00D81D5A">
        <w:t xml:space="preserve">c.  </w:t>
      </w:r>
      <w:r w:rsidR="002F1C8A" w:rsidRPr="00D81D5A">
        <w:t>T</w:t>
      </w:r>
      <w:r w:rsidRPr="00D81D5A">
        <w:t xml:space="preserve">he Legislature was not constitutionally required to offset the disadvantages imposed by PEPRA’s amendment of </w:t>
      </w:r>
      <w:r w:rsidR="00D2784A">
        <w:t>s</w:t>
      </w:r>
      <w:r w:rsidRPr="00D81D5A">
        <w:t>ection 31461 with comparable advantages</w:t>
      </w:r>
    </w:p>
    <w:p w14:paraId="7641D9E8" w14:textId="77777777" w:rsidR="00A638FD" w:rsidRPr="00D81D5A" w:rsidRDefault="005A533A" w:rsidP="00D81D5A">
      <w:pPr>
        <w:pStyle w:val="NormalIndent"/>
        <w:ind w:left="0" w:firstLine="720"/>
        <w:rPr>
          <w:rStyle w:val="ssrfcpassagedeactivated"/>
          <w:szCs w:val="26"/>
        </w:rPr>
      </w:pPr>
      <w:r w:rsidRPr="00D81D5A">
        <w:rPr>
          <w:rStyle w:val="ssrfcpassagedeactivated"/>
          <w:szCs w:val="26"/>
        </w:rPr>
        <w:t xml:space="preserve">In featuring a properly motivated pension modification that imposes uncompensated financial disadvantages on plan participants, this matter requires us to </w:t>
      </w:r>
      <w:r w:rsidR="002B67D5" w:rsidRPr="00D81D5A">
        <w:rPr>
          <w:rStyle w:val="ssrfcpassagedeactivated"/>
          <w:szCs w:val="26"/>
        </w:rPr>
        <w:t>address</w:t>
      </w:r>
      <w:r w:rsidRPr="00D81D5A">
        <w:rPr>
          <w:rStyle w:val="ssrfcpassagedeactivated"/>
          <w:szCs w:val="26"/>
        </w:rPr>
        <w:t xml:space="preserve"> for the first time</w:t>
      </w:r>
      <w:r w:rsidR="00300C63" w:rsidRPr="00D81D5A">
        <w:rPr>
          <w:rStyle w:val="ssrfcpassagedeactivated"/>
          <w:szCs w:val="26"/>
        </w:rPr>
        <w:t xml:space="preserve"> </w:t>
      </w:r>
      <w:r w:rsidR="002B67D5" w:rsidRPr="00D81D5A">
        <w:rPr>
          <w:rStyle w:val="ssrfcpassagedeactivated"/>
          <w:szCs w:val="26"/>
        </w:rPr>
        <w:t xml:space="preserve">the interplay of the two parts of the </w:t>
      </w:r>
      <w:r w:rsidR="002B67D5" w:rsidRPr="00D81D5A">
        <w:rPr>
          <w:rStyle w:val="ssrfcpassagedeactivated"/>
          <w:i/>
          <w:iCs/>
          <w:szCs w:val="26"/>
        </w:rPr>
        <w:t xml:space="preserve">Allen I </w:t>
      </w:r>
      <w:r w:rsidR="002B67D5" w:rsidRPr="00D81D5A">
        <w:rPr>
          <w:rStyle w:val="ssrfcpassagedeactivated"/>
          <w:szCs w:val="26"/>
        </w:rPr>
        <w:t xml:space="preserve">test.  There is no doubt that </w:t>
      </w:r>
      <w:r w:rsidR="002B67D5" w:rsidRPr="00D81D5A">
        <w:rPr>
          <w:rStyle w:val="ssrfcpassagedeactivated"/>
          <w:i/>
          <w:iCs/>
          <w:szCs w:val="26"/>
        </w:rPr>
        <w:t xml:space="preserve">Allen I </w:t>
      </w:r>
      <w:r w:rsidR="002B67D5" w:rsidRPr="00D81D5A">
        <w:rPr>
          <w:rStyle w:val="ssrfcpassagedeactivated"/>
          <w:szCs w:val="26"/>
        </w:rPr>
        <w:t xml:space="preserve">requires a modification of public employee pension rights to have been properly motivated </w:t>
      </w:r>
      <w:r w:rsidR="002B67D5" w:rsidRPr="00D81D5A">
        <w:t>— that is, to have been enacted “</w:t>
      </w:r>
      <w:r w:rsidR="002B67D5" w:rsidRPr="00D81D5A">
        <w:rPr>
          <w:rStyle w:val="ssrfcpassagedeactivated"/>
          <w:szCs w:val="26"/>
        </w:rPr>
        <w:t xml:space="preserve">for the purpose of keeping a </w:t>
      </w:r>
      <w:r w:rsidR="002B67D5" w:rsidRPr="00D81D5A">
        <w:rPr>
          <w:rStyle w:val="sssh"/>
          <w:szCs w:val="26"/>
        </w:rPr>
        <w:t>pension</w:t>
      </w:r>
      <w:r w:rsidR="002B67D5" w:rsidRPr="00D81D5A">
        <w:rPr>
          <w:rStyle w:val="ssrfcpassagedeactivated"/>
          <w:szCs w:val="26"/>
        </w:rPr>
        <w:t xml:space="preserve"> system flexible to permit adjustments in accord with changing conditions and at the same time maintain the integrity of the system” and </w:t>
      </w:r>
      <w:r w:rsidR="002B67D5" w:rsidRPr="00D81D5A">
        <w:t xml:space="preserve">to </w:t>
      </w:r>
      <w:r w:rsidR="002B67D5" w:rsidRPr="00D81D5A">
        <w:rPr>
          <w:rStyle w:val="ssrfcpassagedeactivated"/>
          <w:szCs w:val="26"/>
        </w:rPr>
        <w:t xml:space="preserve">“bear some material relation to the theory of a </w:t>
      </w:r>
      <w:r w:rsidR="002B67D5" w:rsidRPr="00D81D5A">
        <w:rPr>
          <w:rStyle w:val="sssh"/>
          <w:szCs w:val="26"/>
        </w:rPr>
        <w:t>pension</w:t>
      </w:r>
      <w:r w:rsidR="002B67D5" w:rsidRPr="00D81D5A">
        <w:rPr>
          <w:rStyle w:val="ssrfcpassagedeactivated"/>
          <w:szCs w:val="26"/>
        </w:rPr>
        <w:t xml:space="preserve"> system and its successful operation.”  (</w:t>
      </w:r>
      <w:r w:rsidR="00D2784A">
        <w:rPr>
          <w:rStyle w:val="ssrfcpassagedeactivated"/>
          <w:i/>
          <w:szCs w:val="26"/>
        </w:rPr>
        <w:t>Allen I</w:t>
      </w:r>
      <w:r w:rsidR="002B67D5" w:rsidRPr="00D81D5A">
        <w:rPr>
          <w:rStyle w:val="ssrfcpassagedeactivated"/>
          <w:szCs w:val="26"/>
        </w:rPr>
        <w:t xml:space="preserve">, </w:t>
      </w:r>
      <w:r w:rsidR="002B67D5" w:rsidRPr="00D81D5A">
        <w:rPr>
          <w:rStyle w:val="ssrfcpassagedeactivated"/>
          <w:i/>
          <w:szCs w:val="26"/>
        </w:rPr>
        <w:t>supra</w:t>
      </w:r>
      <w:r w:rsidR="002B67D5" w:rsidRPr="00D81D5A">
        <w:rPr>
          <w:rStyle w:val="ssrfcpassagedeactivated"/>
          <w:szCs w:val="26"/>
        </w:rPr>
        <w:t xml:space="preserve">, </w:t>
      </w:r>
      <w:r w:rsidR="002B67D5" w:rsidRPr="00D81D5A">
        <w:t>45</w:t>
      </w:r>
      <w:r w:rsidR="00890C7B">
        <w:t> </w:t>
      </w:r>
      <w:r w:rsidR="002B67D5" w:rsidRPr="00D81D5A">
        <w:t>Cal.2d at p. 131.)</w:t>
      </w:r>
      <w:r w:rsidR="002B67D5" w:rsidRPr="00D81D5A">
        <w:rPr>
          <w:rStyle w:val="ssrfcpassagedeactivated"/>
          <w:szCs w:val="26"/>
        </w:rPr>
        <w:t xml:space="preserve">  Less clear is the role of the second part of the test, the offsetting of financial disadvantages with comparable</w:t>
      </w:r>
      <w:r w:rsidRPr="00D81D5A">
        <w:rPr>
          <w:rStyle w:val="ssrfcpassagedeactivated"/>
          <w:szCs w:val="26"/>
        </w:rPr>
        <w:t xml:space="preserve"> new</w:t>
      </w:r>
      <w:r w:rsidR="002B67D5" w:rsidRPr="00D81D5A">
        <w:rPr>
          <w:rStyle w:val="ssrfcpassagedeactivated"/>
          <w:szCs w:val="26"/>
        </w:rPr>
        <w:t xml:space="preserve"> advantages.  </w:t>
      </w:r>
      <w:r w:rsidR="00A638FD" w:rsidRPr="00D81D5A">
        <w:rPr>
          <w:rStyle w:val="ssrfcpassagedeactivated"/>
          <w:szCs w:val="26"/>
        </w:rPr>
        <w:t xml:space="preserve">Because neither </w:t>
      </w:r>
      <w:r w:rsidR="00A638FD" w:rsidRPr="00D81D5A">
        <w:rPr>
          <w:rStyle w:val="ssrfcpassagedeactivated"/>
          <w:i/>
          <w:szCs w:val="26"/>
        </w:rPr>
        <w:t xml:space="preserve">Allen I </w:t>
      </w:r>
      <w:r w:rsidR="00A638FD" w:rsidRPr="00D81D5A">
        <w:rPr>
          <w:rStyle w:val="ssrfcpassagedeactivated"/>
          <w:szCs w:val="26"/>
        </w:rPr>
        <w:t>nor any of our subsequent pension decisions has featured a properly motivated pension modification that failed to provide comparable advantages to offset its disadvantages, we have never ruled on the constitutionality of such a modification.</w:t>
      </w:r>
      <w:r w:rsidR="00A638FD" w:rsidRPr="00D81D5A">
        <w:t xml:space="preserve">  The ruling of </w:t>
      </w:r>
      <w:r w:rsidR="00A638FD" w:rsidRPr="00D81D5A">
        <w:rPr>
          <w:rStyle w:val="ssrfcpassagedeactivated"/>
          <w:i/>
          <w:iCs/>
          <w:szCs w:val="26"/>
        </w:rPr>
        <w:t xml:space="preserve">Allen I </w:t>
      </w:r>
      <w:r w:rsidR="00A638FD" w:rsidRPr="00D81D5A">
        <w:rPr>
          <w:rStyle w:val="ssrfcpassagedeactivated"/>
          <w:szCs w:val="26"/>
        </w:rPr>
        <w:t>that disadvantages “should,” rather than “must,” be offset by comparable</w:t>
      </w:r>
      <w:r w:rsidR="001D5298" w:rsidRPr="00D81D5A">
        <w:rPr>
          <w:rStyle w:val="ssrfcpassagedeactivated"/>
          <w:szCs w:val="26"/>
        </w:rPr>
        <w:t xml:space="preserve"> new</w:t>
      </w:r>
      <w:r w:rsidR="00A638FD" w:rsidRPr="00D81D5A">
        <w:rPr>
          <w:rStyle w:val="ssrfcpassagedeactivated"/>
          <w:szCs w:val="26"/>
        </w:rPr>
        <w:t xml:space="preserve"> advantages implies that the </w:t>
      </w:r>
      <w:r w:rsidRPr="00D81D5A">
        <w:rPr>
          <w:rStyle w:val="ssrfcpassagedeactivated"/>
          <w:szCs w:val="26"/>
        </w:rPr>
        <w:t>contract clause</w:t>
      </w:r>
      <w:r w:rsidR="00A638FD" w:rsidRPr="00D81D5A">
        <w:rPr>
          <w:rStyle w:val="ssrfcpassagedeactivated"/>
          <w:szCs w:val="26"/>
        </w:rPr>
        <w:t xml:space="preserve"> does not </w:t>
      </w:r>
      <w:r w:rsidR="00A638FD" w:rsidRPr="00D81D5A">
        <w:rPr>
          <w:rStyle w:val="ssrfcpassagedeactivated"/>
          <w:i/>
          <w:iCs/>
          <w:szCs w:val="26"/>
        </w:rPr>
        <w:t>invariably</w:t>
      </w:r>
      <w:r w:rsidR="00A638FD" w:rsidRPr="00D81D5A">
        <w:rPr>
          <w:rStyle w:val="ssrfcpassagedeactivated"/>
          <w:szCs w:val="26"/>
        </w:rPr>
        <w:t xml:space="preserve"> require offsetting advantages, but </w:t>
      </w:r>
      <w:r w:rsidR="001D5298" w:rsidRPr="00D81D5A">
        <w:rPr>
          <w:rStyle w:val="ssrfcpassagedeactivated"/>
          <w:szCs w:val="26"/>
        </w:rPr>
        <w:t xml:space="preserve">we have never addressed the </w:t>
      </w:r>
      <w:r w:rsidR="00A638FD" w:rsidRPr="00D81D5A">
        <w:rPr>
          <w:rStyle w:val="ssrfcpassagedeactivated"/>
          <w:szCs w:val="26"/>
        </w:rPr>
        <w:t>circumstances</w:t>
      </w:r>
      <w:r w:rsidR="001D5298" w:rsidRPr="00D81D5A">
        <w:rPr>
          <w:rStyle w:val="ssrfcpassagedeactivated"/>
          <w:szCs w:val="26"/>
        </w:rPr>
        <w:t xml:space="preserve"> under which</w:t>
      </w:r>
      <w:r w:rsidR="00A638FD" w:rsidRPr="00D81D5A">
        <w:rPr>
          <w:rStyle w:val="ssrfcpassagedeactivated"/>
          <w:szCs w:val="26"/>
        </w:rPr>
        <w:t xml:space="preserve"> such advantages need not be provided.</w:t>
      </w:r>
    </w:p>
    <w:p w14:paraId="57519CEE" w14:textId="77777777" w:rsidR="002B67D5" w:rsidRPr="00D81D5A" w:rsidRDefault="002B67D5" w:rsidP="00D81D5A">
      <w:pPr>
        <w:pStyle w:val="NormalIndent"/>
        <w:ind w:left="0" w:firstLine="720"/>
      </w:pPr>
      <w:r w:rsidRPr="00D81D5A">
        <w:rPr>
          <w:rStyle w:val="ssrfcpassagedeactivated"/>
          <w:szCs w:val="26"/>
        </w:rPr>
        <w:t>Because we have concluded that the PEPRA amendment was enacted for a constitutionally permissible purpose yet imposes uncompensated</w:t>
      </w:r>
      <w:r w:rsidR="005D3C45" w:rsidRPr="00D81D5A">
        <w:rPr>
          <w:rStyle w:val="ssrfcpassagedeactivated"/>
          <w:szCs w:val="26"/>
        </w:rPr>
        <w:t xml:space="preserve"> financial</w:t>
      </w:r>
      <w:r w:rsidRPr="00D81D5A">
        <w:rPr>
          <w:rStyle w:val="ssrfcpassagedeactivated"/>
          <w:szCs w:val="26"/>
        </w:rPr>
        <w:t xml:space="preserve"> disadvantages, we must now turn to this unresolved issue.</w:t>
      </w:r>
      <w:r w:rsidR="005D3C45" w:rsidRPr="00D81D5A">
        <w:rPr>
          <w:rStyle w:val="ssrfcpassagedeactivated"/>
          <w:szCs w:val="26"/>
        </w:rPr>
        <w:t xml:space="preserve">  For reasons explained below, we conclude that </w:t>
      </w:r>
      <w:r w:rsidR="008F7443" w:rsidRPr="00D81D5A">
        <w:rPr>
          <w:rStyle w:val="ssrfcpassagedeactivated"/>
          <w:szCs w:val="26"/>
        </w:rPr>
        <w:t>the contract clause require</w:t>
      </w:r>
      <w:r w:rsidR="00F90D90" w:rsidRPr="00D81D5A">
        <w:rPr>
          <w:rStyle w:val="ssrfcpassagedeactivated"/>
          <w:szCs w:val="26"/>
        </w:rPr>
        <w:t>s</w:t>
      </w:r>
      <w:r w:rsidR="008F7443" w:rsidRPr="00D81D5A">
        <w:rPr>
          <w:rStyle w:val="ssrfcpassagedeactivated"/>
          <w:szCs w:val="26"/>
        </w:rPr>
        <w:t xml:space="preserve"> </w:t>
      </w:r>
      <w:r w:rsidR="005D3C45" w:rsidRPr="00D81D5A">
        <w:rPr>
          <w:rStyle w:val="ssrfcpassagedeactivated"/>
          <w:szCs w:val="26"/>
        </w:rPr>
        <w:t xml:space="preserve">a properly motivated pension modification to provide comparable </w:t>
      </w:r>
      <w:r w:rsidR="005A533A" w:rsidRPr="00D81D5A">
        <w:rPr>
          <w:rStyle w:val="ssrfcpassagedeactivated"/>
          <w:szCs w:val="26"/>
        </w:rPr>
        <w:t xml:space="preserve">new </w:t>
      </w:r>
      <w:r w:rsidR="005D3C45" w:rsidRPr="00D81D5A">
        <w:rPr>
          <w:rStyle w:val="ssrfcpassagedeactivated"/>
          <w:szCs w:val="26"/>
        </w:rPr>
        <w:t xml:space="preserve">advantages </w:t>
      </w:r>
      <w:r w:rsidR="005A533A" w:rsidRPr="00D81D5A">
        <w:rPr>
          <w:rStyle w:val="ssrfcpassagedeactivated"/>
          <w:szCs w:val="26"/>
        </w:rPr>
        <w:t xml:space="preserve">to offset any financial disadvantages </w:t>
      </w:r>
      <w:r w:rsidR="00F90D90" w:rsidRPr="00D81D5A">
        <w:rPr>
          <w:rStyle w:val="ssrfcpassagedeactivated"/>
          <w:szCs w:val="26"/>
        </w:rPr>
        <w:t>unless</w:t>
      </w:r>
      <w:r w:rsidR="005D3C45" w:rsidRPr="00D81D5A">
        <w:rPr>
          <w:rStyle w:val="ssrfcpassagedeactivated"/>
          <w:szCs w:val="26"/>
        </w:rPr>
        <w:t xml:space="preserve"> to do so would undermine, or would otherwise be inconsistent with, the constitutionally permissible purpose</w:t>
      </w:r>
      <w:r w:rsidR="00A81FF5" w:rsidRPr="00D81D5A">
        <w:rPr>
          <w:rStyle w:val="ssrfcpassagedeactivated"/>
          <w:szCs w:val="26"/>
        </w:rPr>
        <w:t xml:space="preserve"> underlying the modification</w:t>
      </w:r>
      <w:r w:rsidR="005D3C45" w:rsidRPr="00D81D5A">
        <w:rPr>
          <w:rStyle w:val="ssrfcpassagedeactivated"/>
          <w:szCs w:val="26"/>
        </w:rPr>
        <w:t xml:space="preserve">.  Further, we hold that the PEPRA amendment </w:t>
      </w:r>
      <w:r w:rsidR="00F90D90" w:rsidRPr="00D81D5A">
        <w:rPr>
          <w:rStyle w:val="ssrfcpassagedeactivated"/>
          <w:szCs w:val="26"/>
        </w:rPr>
        <w:t xml:space="preserve">at issue here </w:t>
      </w:r>
      <w:r w:rsidR="00A81FF5" w:rsidRPr="00D81D5A">
        <w:rPr>
          <w:rStyle w:val="ssrfcpassagedeactivated"/>
          <w:szCs w:val="26"/>
        </w:rPr>
        <w:t>i</w:t>
      </w:r>
      <w:r w:rsidR="005D3C45" w:rsidRPr="00D81D5A">
        <w:rPr>
          <w:rStyle w:val="ssrfcpassagedeactivated"/>
          <w:szCs w:val="26"/>
        </w:rPr>
        <w:t>s</w:t>
      </w:r>
      <w:r w:rsidR="00A81FF5" w:rsidRPr="00D81D5A">
        <w:rPr>
          <w:rStyle w:val="ssrfcpassagedeactivated"/>
          <w:szCs w:val="26"/>
        </w:rPr>
        <w:t xml:space="preserve"> constitutional under</w:t>
      </w:r>
      <w:r w:rsidR="005D3C45" w:rsidRPr="00D81D5A">
        <w:rPr>
          <w:rStyle w:val="ssrfcpassagedeactivated"/>
          <w:szCs w:val="26"/>
        </w:rPr>
        <w:t xml:space="preserve"> this </w:t>
      </w:r>
      <w:r w:rsidR="00A81FF5" w:rsidRPr="00D81D5A">
        <w:rPr>
          <w:rStyle w:val="ssrfcpassagedeactivated"/>
          <w:szCs w:val="26"/>
        </w:rPr>
        <w:t>analysis</w:t>
      </w:r>
      <w:r w:rsidR="005D3C45" w:rsidRPr="00D81D5A">
        <w:rPr>
          <w:rStyle w:val="ssrfcpassagedeactivated"/>
          <w:szCs w:val="26"/>
        </w:rPr>
        <w:t>.</w:t>
      </w:r>
    </w:p>
    <w:p w14:paraId="70FE35D8" w14:textId="77777777" w:rsidR="0000287B" w:rsidRPr="00D81D5A" w:rsidRDefault="0000287B" w:rsidP="00D81D5A">
      <w:pPr>
        <w:pStyle w:val="Heading5"/>
      </w:pPr>
      <w:r w:rsidRPr="00D81D5A">
        <w:t xml:space="preserve">1.  A modification of public employee pension rights will not be sustained under the contract clause </w:t>
      </w:r>
      <w:r w:rsidR="002C6C3F" w:rsidRPr="00D81D5A">
        <w:t>sol</w:t>
      </w:r>
      <w:r w:rsidRPr="00D81D5A">
        <w:t>ely because it serves a constitutionally permissible purpose</w:t>
      </w:r>
    </w:p>
    <w:p w14:paraId="63648213" w14:textId="77777777" w:rsidR="005D3C45" w:rsidRPr="00D81D5A" w:rsidRDefault="002B67D5" w:rsidP="00D81D5A">
      <w:pPr>
        <w:pStyle w:val="NormalIndent"/>
        <w:ind w:left="0" w:firstLine="720"/>
        <w:rPr>
          <w:rStyle w:val="ssrfcpassagedeactivated"/>
          <w:szCs w:val="26"/>
        </w:rPr>
      </w:pPr>
      <w:r w:rsidRPr="00D81D5A">
        <w:rPr>
          <w:iCs/>
        </w:rPr>
        <w:t xml:space="preserve">It is possible to read </w:t>
      </w:r>
      <w:r w:rsidRPr="00D81D5A">
        <w:rPr>
          <w:i/>
        </w:rPr>
        <w:t xml:space="preserve">Allen I </w:t>
      </w:r>
      <w:r w:rsidRPr="00D81D5A">
        <w:t>to suggest that a modification of public employee pension rights that is properly motivated is constitutional, regardless of its imposition of uncompensated disadvantages</w:t>
      </w:r>
      <w:r w:rsidRPr="00D81D5A">
        <w:rPr>
          <w:rStyle w:val="ssrfcpassagedeactivated"/>
          <w:szCs w:val="26"/>
        </w:rPr>
        <w:t>.  Under such an interpretation, our analysis would end here, since we have concluded that the PEPRA amendment serves a constitutionally permissible purpose.  Two considerations dissuade us from such a reading.</w:t>
      </w:r>
    </w:p>
    <w:p w14:paraId="21DEEE3E" w14:textId="1FD0962D" w:rsidR="002B67D5" w:rsidRPr="00D81D5A" w:rsidRDefault="002B67D5" w:rsidP="00D81D5A">
      <w:pPr>
        <w:pStyle w:val="NormalIndent"/>
        <w:ind w:left="0" w:firstLine="720"/>
        <w:rPr>
          <w:rStyle w:val="ssrfcpassagedeactivated"/>
          <w:szCs w:val="26"/>
        </w:rPr>
      </w:pPr>
      <w:r w:rsidRPr="00D81D5A">
        <w:rPr>
          <w:rStyle w:val="ssrfcpassagedeactivated"/>
          <w:szCs w:val="26"/>
        </w:rPr>
        <w:t xml:space="preserve">The first is the use by </w:t>
      </w:r>
      <w:r w:rsidRPr="00D81D5A">
        <w:rPr>
          <w:rStyle w:val="ssrfcpassagedeactivated"/>
          <w:i/>
          <w:iCs/>
          <w:szCs w:val="26"/>
        </w:rPr>
        <w:t xml:space="preserve">Allen I </w:t>
      </w:r>
      <w:r w:rsidRPr="00D81D5A">
        <w:rPr>
          <w:rStyle w:val="ssrfcpassagedeactivated"/>
          <w:szCs w:val="26"/>
        </w:rPr>
        <w:t xml:space="preserve">of “should” in connection with the first part of its test, that </w:t>
      </w:r>
      <w:r w:rsidRPr="00D81D5A">
        <w:t>“</w:t>
      </w:r>
      <w:r w:rsidRPr="00D81D5A">
        <w:rPr>
          <w:rStyle w:val="ssrfcpassagedeactivated"/>
          <w:szCs w:val="26"/>
        </w:rPr>
        <w:t xml:space="preserve">changes in a </w:t>
      </w:r>
      <w:r w:rsidRPr="00D81D5A">
        <w:rPr>
          <w:rStyle w:val="sssh"/>
          <w:szCs w:val="26"/>
        </w:rPr>
        <w:t>pension</w:t>
      </w:r>
      <w:r w:rsidRPr="00D81D5A">
        <w:rPr>
          <w:rStyle w:val="ssrfcpassagedeactivated"/>
          <w:szCs w:val="26"/>
        </w:rPr>
        <w:t xml:space="preserve"> plan which result in disadvantage to employees </w:t>
      </w:r>
      <w:r w:rsidRPr="00D81D5A">
        <w:rPr>
          <w:rStyle w:val="ssrfcpassagedeactivated"/>
          <w:i/>
          <w:iCs/>
          <w:szCs w:val="26"/>
        </w:rPr>
        <w:t>should</w:t>
      </w:r>
      <w:r w:rsidRPr="00D81D5A">
        <w:rPr>
          <w:rStyle w:val="ssrfcpassagedeactivated"/>
          <w:szCs w:val="26"/>
        </w:rPr>
        <w:t xml:space="preserve"> be accompanied by comparable new advantages.”  (</w:t>
      </w:r>
      <w:r w:rsidRPr="00D81D5A">
        <w:rPr>
          <w:rStyle w:val="ssrfcpassagedeactivated"/>
          <w:i/>
          <w:szCs w:val="26"/>
        </w:rPr>
        <w:t>Allen I</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45 Cal.2d at p. 131</w:t>
      </w:r>
      <w:r w:rsidR="008F7443" w:rsidRPr="00D81D5A">
        <w:rPr>
          <w:rStyle w:val="ssrfcpassagedeactivated"/>
          <w:szCs w:val="26"/>
        </w:rPr>
        <w:t>, italics added</w:t>
      </w:r>
      <w:r w:rsidRPr="00D81D5A">
        <w:rPr>
          <w:rStyle w:val="ssrfcpassagedeactivated"/>
          <w:szCs w:val="26"/>
        </w:rPr>
        <w:t xml:space="preserve">.)  </w:t>
      </w:r>
      <w:r w:rsidR="00F90D90" w:rsidRPr="00D81D5A">
        <w:rPr>
          <w:rStyle w:val="ssrfcpassagedeactivated"/>
          <w:szCs w:val="26"/>
        </w:rPr>
        <w:t xml:space="preserve">If </w:t>
      </w:r>
      <w:r w:rsidR="00B07D50">
        <w:rPr>
          <w:rStyle w:val="ssrfcpassagedeactivated"/>
          <w:szCs w:val="26"/>
        </w:rPr>
        <w:t xml:space="preserve">the use of “should” by </w:t>
      </w:r>
      <w:r w:rsidR="00F90D90" w:rsidRPr="00D81D5A">
        <w:rPr>
          <w:rStyle w:val="ssrfcpassagedeactivated"/>
          <w:i/>
          <w:szCs w:val="26"/>
        </w:rPr>
        <w:t>Allen</w:t>
      </w:r>
      <w:r w:rsidR="000C0886">
        <w:rPr>
          <w:rStyle w:val="ssrfcpassagedeactivated"/>
          <w:i/>
          <w:szCs w:val="26"/>
        </w:rPr>
        <w:t> </w:t>
      </w:r>
      <w:r w:rsidR="00F90D90" w:rsidRPr="00D81D5A">
        <w:rPr>
          <w:rStyle w:val="ssrfcpassagedeactivated"/>
          <w:i/>
          <w:szCs w:val="26"/>
        </w:rPr>
        <w:t>I</w:t>
      </w:r>
      <w:r w:rsidR="00F90D90" w:rsidRPr="00D81D5A">
        <w:rPr>
          <w:rStyle w:val="ssrfcpassagedeactivated"/>
          <w:szCs w:val="26"/>
        </w:rPr>
        <w:t xml:space="preserve"> is not to be disregarded as merely precatory, it must be understood to mean, at a minimum, that although some properly motivated pension modifications that fail to provide comp</w:t>
      </w:r>
      <w:r w:rsidR="001D5298" w:rsidRPr="00D81D5A">
        <w:rPr>
          <w:rStyle w:val="ssrfcpassagedeactivated"/>
          <w:szCs w:val="26"/>
        </w:rPr>
        <w:t>arable</w:t>
      </w:r>
      <w:r w:rsidR="00F90D90" w:rsidRPr="00D81D5A">
        <w:rPr>
          <w:rStyle w:val="ssrfcpassagedeactivated"/>
          <w:szCs w:val="26"/>
        </w:rPr>
        <w:t xml:space="preserve"> advantages will pass constitutional scrutiny, others will not.  Further, a</w:t>
      </w:r>
      <w:r w:rsidRPr="00D81D5A">
        <w:rPr>
          <w:rStyle w:val="ssrfcpassagedeactivated"/>
          <w:szCs w:val="26"/>
        </w:rPr>
        <w:t>lthough this language implies that the enactment of comp</w:t>
      </w:r>
      <w:r w:rsidR="001D5298" w:rsidRPr="00D81D5A">
        <w:rPr>
          <w:rStyle w:val="ssrfcpassagedeactivated"/>
          <w:szCs w:val="26"/>
        </w:rPr>
        <w:t>arable</w:t>
      </w:r>
      <w:r w:rsidRPr="00D81D5A">
        <w:rPr>
          <w:rStyle w:val="ssrfcpassagedeactivated"/>
          <w:szCs w:val="26"/>
        </w:rPr>
        <w:t xml:space="preserve"> advantages is not a</w:t>
      </w:r>
      <w:r w:rsidR="00511890" w:rsidRPr="00D81D5A">
        <w:rPr>
          <w:rStyle w:val="ssrfcpassagedeactivated"/>
          <w:szCs w:val="26"/>
        </w:rPr>
        <w:t>n invariable</w:t>
      </w:r>
      <w:r w:rsidRPr="00D81D5A">
        <w:rPr>
          <w:rStyle w:val="ssrfcpassagedeactivated"/>
          <w:szCs w:val="26"/>
        </w:rPr>
        <w:t xml:space="preserve"> constitutional </w:t>
      </w:r>
      <w:r w:rsidRPr="00D81D5A">
        <w:rPr>
          <w:rStyle w:val="ssrfcpassagedeactivated"/>
          <w:iCs/>
          <w:szCs w:val="26"/>
        </w:rPr>
        <w:t>requirement</w:t>
      </w:r>
      <w:r w:rsidRPr="00D81D5A">
        <w:rPr>
          <w:rStyle w:val="ssrfcpassagedeactivated"/>
          <w:szCs w:val="26"/>
        </w:rPr>
        <w:t xml:space="preserve">, the use of such a strongly directive word </w:t>
      </w:r>
      <w:r w:rsidR="00F90D90" w:rsidRPr="00D81D5A">
        <w:rPr>
          <w:rStyle w:val="ssrfcpassagedeactivated"/>
          <w:szCs w:val="26"/>
        </w:rPr>
        <w:t xml:space="preserve">suggests that </w:t>
      </w:r>
      <w:r w:rsidR="001D5298" w:rsidRPr="00D81D5A">
        <w:rPr>
          <w:rStyle w:val="ssrfcpassagedeactivated"/>
          <w:szCs w:val="26"/>
        </w:rPr>
        <w:t xml:space="preserve">comparable </w:t>
      </w:r>
      <w:r w:rsidR="00F90D90" w:rsidRPr="00D81D5A">
        <w:rPr>
          <w:rStyle w:val="ssrfcpassagedeactivated"/>
          <w:szCs w:val="26"/>
        </w:rPr>
        <w:t>advantages are preferred</w:t>
      </w:r>
      <w:r w:rsidRPr="00D81D5A">
        <w:rPr>
          <w:rStyle w:val="ssrfcpassagedeactivated"/>
          <w:szCs w:val="26"/>
        </w:rPr>
        <w:t xml:space="preserve">.  Speaking generally, modifications of public employee pension plans “should” preserve the value of </w:t>
      </w:r>
      <w:r w:rsidR="005A533A" w:rsidRPr="00D81D5A">
        <w:rPr>
          <w:rStyle w:val="ssrfcpassagedeactivated"/>
          <w:szCs w:val="26"/>
        </w:rPr>
        <w:t>plan participants’ pension</w:t>
      </w:r>
      <w:r w:rsidRPr="00D81D5A">
        <w:rPr>
          <w:rStyle w:val="ssrfcpassagedeactivated"/>
          <w:szCs w:val="26"/>
        </w:rPr>
        <w:t xml:space="preserve"> rights.</w:t>
      </w:r>
    </w:p>
    <w:p w14:paraId="43E4E995" w14:textId="367BBB6B" w:rsidR="00890C7B" w:rsidRPr="007A687D" w:rsidRDefault="002B67D5" w:rsidP="009A6915">
      <w:pPr>
        <w:pStyle w:val="NormalIndent"/>
        <w:ind w:left="0" w:firstLine="720"/>
        <w:rPr>
          <w:szCs w:val="26"/>
        </w:rPr>
      </w:pPr>
      <w:r w:rsidRPr="00D81D5A">
        <w:rPr>
          <w:rStyle w:val="ssrfcpassagedeactivated"/>
          <w:szCs w:val="26"/>
        </w:rPr>
        <w:t xml:space="preserve">Second, as we emphasized in </w:t>
      </w:r>
      <w:r w:rsidRPr="00D81D5A">
        <w:rPr>
          <w:rStyle w:val="ssrfcpassagedeactivated"/>
          <w:i/>
          <w:szCs w:val="26"/>
        </w:rPr>
        <w:t>Allen I</w:t>
      </w:r>
      <w:r w:rsidRPr="00D81D5A">
        <w:rPr>
          <w:rStyle w:val="ssrfcpassagedeactivated"/>
          <w:szCs w:val="26"/>
        </w:rPr>
        <w:t xml:space="preserve">, the ultimate test for modifications to a public pension plan under the contract clause is reasonableness:  </w:t>
      </w:r>
      <w:r w:rsidRPr="00D81D5A">
        <w:t xml:space="preserve">“Such modifications </w:t>
      </w:r>
      <w:r w:rsidRPr="00D81D5A">
        <w:rPr>
          <w:rStyle w:val="ssrfcpassagedeactivated"/>
          <w:szCs w:val="26"/>
        </w:rPr>
        <w:t>must be reasonable, and it is for the courts to determine upon the facts of each case what constitutes a permissible change.”  (</w:t>
      </w:r>
      <w:r w:rsidR="00D2784A">
        <w:rPr>
          <w:rStyle w:val="ssrfcpassagedeactivated"/>
          <w:i/>
          <w:szCs w:val="26"/>
        </w:rPr>
        <w:t>Allen I</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45 Cal.2d at p.</w:t>
      </w:r>
      <w:r w:rsidR="007F7629">
        <w:rPr>
          <w:rStyle w:val="ssrfcpassagedeactivated"/>
          <w:szCs w:val="26"/>
        </w:rPr>
        <w:t> </w:t>
      </w:r>
      <w:r w:rsidRPr="00D81D5A">
        <w:rPr>
          <w:rStyle w:val="ssrfcpassagedeactivated"/>
          <w:szCs w:val="26"/>
        </w:rPr>
        <w:t xml:space="preserve">131.)  </w:t>
      </w:r>
      <w:bookmarkStart w:id="52" w:name="_Hlk45099137"/>
      <w:r w:rsidR="00AA76C5">
        <w:rPr>
          <w:rStyle w:val="ssrfcpassagedeactivated"/>
          <w:szCs w:val="26"/>
        </w:rPr>
        <w:t xml:space="preserve">Even when a court finds </w:t>
      </w:r>
      <w:r w:rsidRPr="00D81D5A">
        <w:rPr>
          <w:rStyle w:val="ssrfcpassagedeactivated"/>
          <w:szCs w:val="26"/>
        </w:rPr>
        <w:t>that a pension modification was enacted for a constitutionally proper purpos</w:t>
      </w:r>
      <w:r w:rsidR="00AA76C5">
        <w:rPr>
          <w:rStyle w:val="ssrfcpassagedeactivated"/>
          <w:szCs w:val="26"/>
        </w:rPr>
        <w:t>e</w:t>
      </w:r>
      <w:r w:rsidR="002F65F6" w:rsidRPr="00D81D5A">
        <w:rPr>
          <w:rStyle w:val="ssrfcpassagedeactivated"/>
          <w:szCs w:val="26"/>
        </w:rPr>
        <w:t xml:space="preserve">, </w:t>
      </w:r>
      <w:r w:rsidR="00FE4C46">
        <w:rPr>
          <w:rStyle w:val="ssrfcpassagedeactivated"/>
          <w:szCs w:val="26"/>
        </w:rPr>
        <w:t>that alone does not ensure its reasonableness.  A</w:t>
      </w:r>
      <w:r w:rsidR="002F65F6" w:rsidRPr="00D81D5A">
        <w:rPr>
          <w:rStyle w:val="ssrfcpassagedeactivated"/>
          <w:szCs w:val="26"/>
        </w:rPr>
        <w:t xml:space="preserve"> further test must be interposed to ensure that a</w:t>
      </w:r>
      <w:r w:rsidR="00AA76C5">
        <w:rPr>
          <w:rStyle w:val="ssrfcpassagedeactivated"/>
          <w:szCs w:val="26"/>
        </w:rPr>
        <w:t>ny</w:t>
      </w:r>
      <w:r w:rsidR="002F65F6" w:rsidRPr="00D81D5A">
        <w:rPr>
          <w:rStyle w:val="ssrfcpassagedeactivated"/>
          <w:szCs w:val="26"/>
        </w:rPr>
        <w:t xml:space="preserve"> </w:t>
      </w:r>
      <w:r w:rsidR="00DC7EA7">
        <w:rPr>
          <w:rStyle w:val="ssrfcpassagedeactivated"/>
          <w:szCs w:val="26"/>
        </w:rPr>
        <w:t xml:space="preserve">imposition of </w:t>
      </w:r>
      <w:r w:rsidR="00FE4C46" w:rsidRPr="00D81D5A">
        <w:rPr>
          <w:rStyle w:val="ssrfcpassagedeactivated"/>
          <w:szCs w:val="26"/>
        </w:rPr>
        <w:t xml:space="preserve">uncompensated financial disadvantages on plan participants </w:t>
      </w:r>
      <w:r w:rsidR="00FE4C46">
        <w:rPr>
          <w:rStyle w:val="ssrfcpassagedeactivated"/>
          <w:szCs w:val="26"/>
        </w:rPr>
        <w:t xml:space="preserve">as a </w:t>
      </w:r>
      <w:r w:rsidR="002F65F6" w:rsidRPr="00D81D5A">
        <w:rPr>
          <w:rStyle w:val="ssrfcpassagedeactivated"/>
          <w:szCs w:val="26"/>
        </w:rPr>
        <w:t xml:space="preserve">result </w:t>
      </w:r>
      <w:r w:rsidR="00FE4C46">
        <w:rPr>
          <w:rStyle w:val="ssrfcpassagedeactivated"/>
          <w:szCs w:val="26"/>
        </w:rPr>
        <w:t>of</w:t>
      </w:r>
      <w:r w:rsidR="002F65F6" w:rsidRPr="00D81D5A">
        <w:rPr>
          <w:rStyle w:val="ssrfcpassagedeactivated"/>
          <w:szCs w:val="26"/>
        </w:rPr>
        <w:t xml:space="preserve"> </w:t>
      </w:r>
      <w:r w:rsidR="00FE4C46">
        <w:rPr>
          <w:rStyle w:val="ssrfcpassagedeactivated"/>
          <w:szCs w:val="26"/>
        </w:rPr>
        <w:t>the</w:t>
      </w:r>
      <w:r w:rsidR="002F65F6" w:rsidRPr="00D81D5A">
        <w:rPr>
          <w:rStyle w:val="ssrfcpassagedeactivated"/>
          <w:szCs w:val="26"/>
        </w:rPr>
        <w:t xml:space="preserve"> properly motivated pension modification </w:t>
      </w:r>
      <w:r w:rsidR="00DC7EA7">
        <w:rPr>
          <w:rStyle w:val="ssrfcpassagedeactivated"/>
          <w:szCs w:val="26"/>
        </w:rPr>
        <w:t>is</w:t>
      </w:r>
      <w:r w:rsidR="002F65F6" w:rsidRPr="00D81D5A">
        <w:rPr>
          <w:rStyle w:val="ssrfcpassagedeactivated"/>
          <w:szCs w:val="26"/>
        </w:rPr>
        <w:t xml:space="preserve"> reasonable.</w:t>
      </w:r>
      <w:bookmarkEnd w:id="52"/>
    </w:p>
    <w:p w14:paraId="3FE1CA47" w14:textId="77777777" w:rsidR="0000287B" w:rsidRPr="00D81D5A" w:rsidRDefault="0000287B" w:rsidP="00D2784A">
      <w:pPr>
        <w:pStyle w:val="Heading5"/>
        <w:rPr>
          <w:rStyle w:val="ssrfcpassagedeactivated"/>
        </w:rPr>
      </w:pPr>
      <w:r w:rsidRPr="00D81D5A">
        <w:t>2.  Modifications to a public employee pension plan that serve a proper purpose yet impose uncompensated disadvantages will be sustained only if providing comp</w:t>
      </w:r>
      <w:r w:rsidR="001D5298" w:rsidRPr="00D81D5A">
        <w:t>arable</w:t>
      </w:r>
      <w:r w:rsidRPr="00D81D5A">
        <w:t xml:space="preserve"> advantages would undermine, or would otherwise be inconsistent with, their constitutionally permissible purpose</w:t>
      </w:r>
    </w:p>
    <w:p w14:paraId="5419D4C4" w14:textId="726D7231" w:rsidR="0000287B" w:rsidRPr="00D81D5A" w:rsidRDefault="0000287B" w:rsidP="00D81D5A">
      <w:pPr>
        <w:pStyle w:val="NormalIndent"/>
        <w:ind w:left="0" w:firstLine="720"/>
        <w:rPr>
          <w:szCs w:val="26"/>
        </w:rPr>
      </w:pPr>
      <w:r w:rsidRPr="00D81D5A">
        <w:rPr>
          <w:rStyle w:val="ssrfcpassagedeactivated"/>
          <w:szCs w:val="26"/>
        </w:rPr>
        <w:t>The contract clause protects</w:t>
      </w:r>
      <w:r w:rsidR="00511890" w:rsidRPr="00D81D5A">
        <w:rPr>
          <w:rStyle w:val="ssrfcpassagedeactivated"/>
          <w:szCs w:val="26"/>
        </w:rPr>
        <w:t xml:space="preserve"> from substantial impairment</w:t>
      </w:r>
      <w:r w:rsidRPr="00D81D5A">
        <w:rPr>
          <w:rStyle w:val="ssrfcpassagedeactivated"/>
          <w:szCs w:val="26"/>
        </w:rPr>
        <w:t xml:space="preserve"> public employees’ implied contractual right</w:t>
      </w:r>
      <w:r w:rsidR="00511890" w:rsidRPr="00D81D5A">
        <w:rPr>
          <w:rStyle w:val="ssrfcpassagedeactivated"/>
          <w:szCs w:val="26"/>
        </w:rPr>
        <w:t>s</w:t>
      </w:r>
      <w:r w:rsidRPr="00D81D5A">
        <w:rPr>
          <w:rStyle w:val="ssrfcpassagedeactivated"/>
          <w:szCs w:val="26"/>
        </w:rPr>
        <w:t xml:space="preserve"> in their pension benefits.  Despite this protection, we have long recognized that public employees’ </w:t>
      </w:r>
      <w:r w:rsidR="003A6371" w:rsidRPr="00D81D5A">
        <w:rPr>
          <w:rStyle w:val="ssrfcpassagedeactivated"/>
          <w:szCs w:val="26"/>
        </w:rPr>
        <w:t xml:space="preserve">pension benefits </w:t>
      </w:r>
      <w:r w:rsidRPr="00D81D5A">
        <w:rPr>
          <w:rStyle w:val="ssrfcpassagedeactivated"/>
          <w:szCs w:val="26"/>
        </w:rPr>
        <w:t>are not immutable, “</w:t>
      </w:r>
      <w:r w:rsidRPr="00D81D5A">
        <w:rPr>
          <w:szCs w:val="26"/>
        </w:rPr>
        <w:t xml:space="preserve">since pension systems must be kept flexible to permit adjustments in accord with changing conditions and at the same time maintain the integrity of the system and carry out its beneficent policy.”  </w:t>
      </w:r>
      <w:r w:rsidRPr="00D81D5A">
        <w:t>(</w:t>
      </w:r>
      <w:r w:rsidRPr="00D81D5A">
        <w:rPr>
          <w:rStyle w:val="ssrfcpassagedeactivated"/>
          <w:i/>
          <w:iCs/>
          <w:szCs w:val="26"/>
        </w:rPr>
        <w:t>Kern</w:t>
      </w:r>
      <w:r w:rsidRPr="00D81D5A">
        <w:rPr>
          <w:rStyle w:val="ssrfcpassagedeactivated"/>
          <w:i/>
          <w:szCs w:val="26"/>
        </w:rPr>
        <w:t xml:space="preserve">, </w:t>
      </w:r>
      <w:r w:rsidRPr="00D81D5A">
        <w:rPr>
          <w:rStyle w:val="ssrfcpassagedeactivated"/>
          <w:i/>
          <w:iCs/>
          <w:szCs w:val="26"/>
        </w:rPr>
        <w:t>supra</w:t>
      </w:r>
      <w:r w:rsidRPr="00D81D5A">
        <w:rPr>
          <w:rStyle w:val="ssrfcpassagedeactivated"/>
          <w:szCs w:val="26"/>
        </w:rPr>
        <w:t xml:space="preserve">, </w:t>
      </w:r>
      <w:r w:rsidRPr="00D81D5A">
        <w:t xml:space="preserve">29 Cal.2d at </w:t>
      </w:r>
      <w:r w:rsidRPr="00D81D5A">
        <w:rPr>
          <w:szCs w:val="26"/>
        </w:rPr>
        <w:t>pp.</w:t>
      </w:r>
      <w:r w:rsidR="007A687D">
        <w:rPr>
          <w:szCs w:val="26"/>
        </w:rPr>
        <w:t> </w:t>
      </w:r>
      <w:r w:rsidRPr="00D81D5A">
        <w:rPr>
          <w:szCs w:val="26"/>
        </w:rPr>
        <w:t>854</w:t>
      </w:r>
      <w:r w:rsidR="00427AF8">
        <w:rPr>
          <w:szCs w:val="26"/>
        </w:rPr>
        <w:t>–</w:t>
      </w:r>
      <w:r w:rsidRPr="00D81D5A">
        <w:rPr>
          <w:szCs w:val="26"/>
        </w:rPr>
        <w:t xml:space="preserve">855.)  At times, those adjustments may incidentally reduce the value of employees’ pension rights.  As we recognized in </w:t>
      </w:r>
      <w:r w:rsidRPr="00D81D5A">
        <w:rPr>
          <w:i/>
          <w:iCs/>
          <w:szCs w:val="26"/>
        </w:rPr>
        <w:t>Allen</w:t>
      </w:r>
      <w:r w:rsidR="007F7629">
        <w:rPr>
          <w:i/>
          <w:iCs/>
          <w:szCs w:val="26"/>
        </w:rPr>
        <w:t> </w:t>
      </w:r>
      <w:r w:rsidRPr="00D81D5A">
        <w:rPr>
          <w:i/>
          <w:iCs/>
          <w:szCs w:val="26"/>
        </w:rPr>
        <w:t>I</w:t>
      </w:r>
      <w:r w:rsidRPr="00D81D5A">
        <w:rPr>
          <w:szCs w:val="26"/>
        </w:rPr>
        <w:t>, this does not necessarily mean that the adjustments are unconstitutional.</w:t>
      </w:r>
    </w:p>
    <w:p w14:paraId="66941373" w14:textId="50CCA39D" w:rsidR="0000287B" w:rsidRPr="00D81D5A" w:rsidRDefault="0000287B" w:rsidP="00FE4C46">
      <w:pPr>
        <w:pStyle w:val="NormalIndent"/>
        <w:ind w:left="0" w:firstLine="720"/>
        <w:rPr>
          <w:szCs w:val="26"/>
        </w:rPr>
      </w:pPr>
      <w:r w:rsidRPr="00D81D5A">
        <w:rPr>
          <w:szCs w:val="26"/>
        </w:rPr>
        <w:t xml:space="preserve">It </w:t>
      </w:r>
      <w:r w:rsidR="0054225F">
        <w:rPr>
          <w:szCs w:val="26"/>
        </w:rPr>
        <w:t>might have been</w:t>
      </w:r>
      <w:r w:rsidRPr="00D81D5A">
        <w:rPr>
          <w:szCs w:val="26"/>
        </w:rPr>
        <w:t xml:space="preserve"> possible to adopt a rule requiring that any disadvantages imposed by a pension modification</w:t>
      </w:r>
      <w:r w:rsidR="003A6371" w:rsidRPr="00D81D5A">
        <w:rPr>
          <w:szCs w:val="26"/>
        </w:rPr>
        <w:t xml:space="preserve"> </w:t>
      </w:r>
      <w:r w:rsidR="003A6371" w:rsidRPr="00FB1A7D">
        <w:rPr>
          <w:i/>
          <w:iCs/>
          <w:szCs w:val="26"/>
        </w:rPr>
        <w:t>must</w:t>
      </w:r>
      <w:r w:rsidRPr="00D81D5A">
        <w:rPr>
          <w:szCs w:val="26"/>
        </w:rPr>
        <w:t xml:space="preserve"> be offset by comparable new advantages.  But in </w:t>
      </w:r>
      <w:r w:rsidRPr="00D81D5A">
        <w:rPr>
          <w:i/>
          <w:iCs/>
          <w:szCs w:val="26"/>
        </w:rPr>
        <w:t xml:space="preserve">Kern </w:t>
      </w:r>
      <w:r w:rsidRPr="00D81D5A">
        <w:rPr>
          <w:szCs w:val="26"/>
        </w:rPr>
        <w:t>we effectively disavowed such a rule, holding, “</w:t>
      </w:r>
      <w:r w:rsidR="00D2784A">
        <w:rPr>
          <w:szCs w:val="26"/>
        </w:rPr>
        <w:t>T</w:t>
      </w:r>
      <w:r w:rsidRPr="00D81D5A">
        <w:rPr>
          <w:szCs w:val="26"/>
        </w:rPr>
        <w:t xml:space="preserve">he employee does not have a right to any fixed or definite benefits, but only to a substantial or reasonable pension.  </w:t>
      </w:r>
      <w:r w:rsidRPr="00D81D5A">
        <w:rPr>
          <w:szCs w:val="26"/>
          <w:shd w:val="clear" w:color="auto" w:fill="FFFFFF"/>
        </w:rPr>
        <w:t>There is no inconsistency therefore in holding that he has a vested right to a pension but that the amount, terms and conditions of the benefits may be altered.</w:t>
      </w:r>
      <w:r w:rsidRPr="00D81D5A">
        <w:rPr>
          <w:szCs w:val="26"/>
        </w:rPr>
        <w:t xml:space="preserve">”  </w:t>
      </w:r>
      <w:r w:rsidRPr="00D81D5A">
        <w:t>(</w:t>
      </w:r>
      <w:r w:rsidRPr="00D81D5A">
        <w:rPr>
          <w:rStyle w:val="ssrfcpassagedeactivated"/>
          <w:i/>
          <w:iCs/>
          <w:szCs w:val="26"/>
        </w:rPr>
        <w:t>Kern</w:t>
      </w:r>
      <w:r w:rsidRPr="00D81D5A">
        <w:rPr>
          <w:rStyle w:val="ssrfcpassagedeactivated"/>
          <w:i/>
          <w:szCs w:val="26"/>
        </w:rPr>
        <w:t xml:space="preserve">, </w:t>
      </w:r>
      <w:r w:rsidRPr="00D81D5A">
        <w:rPr>
          <w:rStyle w:val="ssrfcpassagedeactivated"/>
          <w:i/>
          <w:iCs/>
          <w:szCs w:val="26"/>
        </w:rPr>
        <w:t>supra</w:t>
      </w:r>
      <w:r w:rsidRPr="00D81D5A">
        <w:rPr>
          <w:rStyle w:val="ssrfcpassagedeactivated"/>
          <w:szCs w:val="26"/>
        </w:rPr>
        <w:t xml:space="preserve">, </w:t>
      </w:r>
      <w:r w:rsidRPr="00D81D5A">
        <w:t xml:space="preserve">29 Cal.2d at </w:t>
      </w:r>
      <w:r w:rsidRPr="00D81D5A">
        <w:rPr>
          <w:szCs w:val="26"/>
        </w:rPr>
        <w:t>p.</w:t>
      </w:r>
      <w:r w:rsidR="007A687D">
        <w:rPr>
          <w:szCs w:val="26"/>
        </w:rPr>
        <w:t> </w:t>
      </w:r>
      <w:r w:rsidRPr="00D81D5A">
        <w:rPr>
          <w:szCs w:val="26"/>
        </w:rPr>
        <w:t xml:space="preserve">855.)  Plainly, however, the recognition that pension benefits are not immune from change does not grant carte blanche to the Legislature.  As discussed at length above, the California Rule has two components:  </w:t>
      </w:r>
      <w:r w:rsidR="00D2784A">
        <w:rPr>
          <w:szCs w:val="26"/>
        </w:rPr>
        <w:t>T</w:t>
      </w:r>
      <w:r w:rsidRPr="00D81D5A">
        <w:rPr>
          <w:szCs w:val="26"/>
        </w:rPr>
        <w:t xml:space="preserve">he Legislature must act for a proper purpose and </w:t>
      </w:r>
      <w:r w:rsidR="007748C7">
        <w:rPr>
          <w:szCs w:val="26"/>
        </w:rPr>
        <w:t xml:space="preserve">the </w:t>
      </w:r>
      <w:r w:rsidRPr="00D81D5A">
        <w:rPr>
          <w:szCs w:val="26"/>
        </w:rPr>
        <w:t xml:space="preserve">net level of benefits “should” be preserved.  </w:t>
      </w:r>
      <w:r w:rsidRPr="00D81D5A">
        <w:rPr>
          <w:rStyle w:val="ssrfcpassagedeactivated"/>
          <w:szCs w:val="26"/>
        </w:rPr>
        <w:t>(</w:t>
      </w:r>
      <w:r w:rsidRPr="00D81D5A">
        <w:rPr>
          <w:rStyle w:val="ssrfcpassagedeactivated"/>
          <w:i/>
          <w:iCs/>
          <w:szCs w:val="26"/>
        </w:rPr>
        <w:t>Allen </w:t>
      </w:r>
      <w:r w:rsidRPr="00D81D5A">
        <w:rPr>
          <w:rStyle w:val="ssrfcpassagedeactivated"/>
          <w:i/>
          <w:szCs w:val="26"/>
        </w:rPr>
        <w:t>I</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45 Cal.2d at p. 131.)</w:t>
      </w:r>
      <w:r w:rsidR="003A6371" w:rsidRPr="00D81D5A">
        <w:rPr>
          <w:szCs w:val="26"/>
        </w:rPr>
        <w:t xml:space="preserve">  </w:t>
      </w:r>
      <w:r w:rsidR="000236E3" w:rsidRPr="00D81D5A">
        <w:rPr>
          <w:szCs w:val="26"/>
        </w:rPr>
        <w:t>The logical implication of the latter component</w:t>
      </w:r>
      <w:r w:rsidR="00F90D90" w:rsidRPr="00D81D5A">
        <w:rPr>
          <w:szCs w:val="26"/>
        </w:rPr>
        <w:t xml:space="preserve"> is</w:t>
      </w:r>
      <w:r w:rsidR="000236E3" w:rsidRPr="00D81D5A">
        <w:rPr>
          <w:szCs w:val="26"/>
        </w:rPr>
        <w:t xml:space="preserve"> that the contract clause requires the level of pension benefits to be preserved if it is</w:t>
      </w:r>
      <w:r w:rsidR="00F90D90" w:rsidRPr="00D81D5A">
        <w:rPr>
          <w:szCs w:val="26"/>
        </w:rPr>
        <w:t xml:space="preserve"> feasible to </w:t>
      </w:r>
      <w:r w:rsidR="000236E3" w:rsidRPr="00D81D5A">
        <w:rPr>
          <w:szCs w:val="26"/>
        </w:rPr>
        <w:t>do so</w:t>
      </w:r>
      <w:r w:rsidR="00F90D90" w:rsidRPr="00D81D5A">
        <w:rPr>
          <w:szCs w:val="26"/>
        </w:rPr>
        <w:t xml:space="preserve"> without undermining the </w:t>
      </w:r>
      <w:r w:rsidR="000236E3" w:rsidRPr="00D81D5A">
        <w:rPr>
          <w:szCs w:val="26"/>
        </w:rPr>
        <w:t xml:space="preserve">Legislature’s </w:t>
      </w:r>
      <w:r w:rsidR="00F90D90" w:rsidRPr="00D81D5A">
        <w:rPr>
          <w:szCs w:val="26"/>
        </w:rPr>
        <w:t xml:space="preserve">permissible purpose </w:t>
      </w:r>
      <w:r w:rsidR="000236E3" w:rsidRPr="00D81D5A">
        <w:rPr>
          <w:szCs w:val="26"/>
        </w:rPr>
        <w:t xml:space="preserve">in enacting </w:t>
      </w:r>
      <w:r w:rsidR="00F90D90" w:rsidRPr="00D81D5A">
        <w:rPr>
          <w:szCs w:val="26"/>
        </w:rPr>
        <w:t>the pension modification.</w:t>
      </w:r>
    </w:p>
    <w:p w14:paraId="59BB108C" w14:textId="41657B45" w:rsidR="0000287B" w:rsidRDefault="0000287B" w:rsidP="00D81D5A">
      <w:pPr>
        <w:pStyle w:val="NormalIndent"/>
        <w:ind w:left="0" w:firstLine="720"/>
        <w:rPr>
          <w:rStyle w:val="ssrfcpassagedeactivated"/>
          <w:szCs w:val="26"/>
        </w:rPr>
      </w:pPr>
      <w:r w:rsidRPr="00D81D5A">
        <w:rPr>
          <w:szCs w:val="26"/>
        </w:rPr>
        <w:t xml:space="preserve">This </w:t>
      </w:r>
      <w:r w:rsidR="00DC7EA7">
        <w:rPr>
          <w:szCs w:val="26"/>
        </w:rPr>
        <w:t xml:space="preserve">requirement </w:t>
      </w:r>
      <w:r w:rsidR="00FE4C46">
        <w:rPr>
          <w:szCs w:val="26"/>
        </w:rPr>
        <w:t xml:space="preserve">gives </w:t>
      </w:r>
      <w:r w:rsidRPr="00D81D5A">
        <w:rPr>
          <w:szCs w:val="26"/>
        </w:rPr>
        <w:t xml:space="preserve">substance to the </w:t>
      </w:r>
      <w:r w:rsidR="00DC7EA7">
        <w:rPr>
          <w:szCs w:val="26"/>
        </w:rPr>
        <w:t>instruction</w:t>
      </w:r>
      <w:r w:rsidRPr="00D81D5A">
        <w:rPr>
          <w:szCs w:val="26"/>
        </w:rPr>
        <w:t xml:space="preserve"> in </w:t>
      </w:r>
      <w:r w:rsidRPr="00D81D5A">
        <w:rPr>
          <w:i/>
          <w:iCs/>
          <w:szCs w:val="26"/>
        </w:rPr>
        <w:t xml:space="preserve">Allen I </w:t>
      </w:r>
      <w:r w:rsidRPr="00D81D5A">
        <w:rPr>
          <w:szCs w:val="26"/>
        </w:rPr>
        <w:t>that the disadvantages created by a pension modification “</w:t>
      </w:r>
      <w:r w:rsidRPr="00D81D5A">
        <w:rPr>
          <w:i/>
          <w:iCs/>
          <w:szCs w:val="26"/>
        </w:rPr>
        <w:t>should</w:t>
      </w:r>
      <w:r w:rsidRPr="00D81D5A">
        <w:rPr>
          <w:rStyle w:val="Heading5Char"/>
          <w:szCs w:val="26"/>
        </w:rPr>
        <w:t xml:space="preserve"> </w:t>
      </w:r>
      <w:r w:rsidRPr="00D81D5A">
        <w:rPr>
          <w:rStyle w:val="ssrfcpassagedeactivated"/>
          <w:szCs w:val="26"/>
        </w:rPr>
        <w:t>be accompanied by comparable new advantages.”  (</w:t>
      </w:r>
      <w:r w:rsidR="00D2784A">
        <w:rPr>
          <w:rStyle w:val="ssrfcpassagedeactivated"/>
          <w:i/>
          <w:iCs/>
          <w:szCs w:val="26"/>
        </w:rPr>
        <w:t>Allen I</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45 Cal.2d at p.</w:t>
      </w:r>
      <w:r w:rsidR="007F7629">
        <w:rPr>
          <w:rStyle w:val="ssrfcpassagedeactivated"/>
          <w:szCs w:val="26"/>
        </w:rPr>
        <w:t> </w:t>
      </w:r>
      <w:r w:rsidRPr="00D81D5A">
        <w:rPr>
          <w:rStyle w:val="ssrfcpassagedeactivated"/>
          <w:szCs w:val="26"/>
        </w:rPr>
        <w:t>131</w:t>
      </w:r>
      <w:r w:rsidR="004B2A02" w:rsidRPr="00D81D5A">
        <w:rPr>
          <w:rStyle w:val="ssrfcpassagedeactivated"/>
          <w:szCs w:val="26"/>
        </w:rPr>
        <w:t>, italics added</w:t>
      </w:r>
      <w:r w:rsidRPr="00D81D5A">
        <w:rPr>
          <w:rStyle w:val="ssrfcpassagedeactivated"/>
          <w:szCs w:val="26"/>
        </w:rPr>
        <w:t xml:space="preserve">.)  </w:t>
      </w:r>
      <w:r w:rsidR="00F90D90" w:rsidRPr="00D81D5A">
        <w:rPr>
          <w:rStyle w:val="ssrfcpassagedeactivated"/>
          <w:szCs w:val="26"/>
        </w:rPr>
        <w:t xml:space="preserve">When the Legislature can feasibly preserve the value of public employee pension rights by providing comparable new advantages — that is, when providing such advantages is not inconsistent with the constitutionally permissible purpose of the changes — the Constitution requires it to do so.  On the other hand, when providing comparable new advantages </w:t>
      </w:r>
      <w:bookmarkStart w:id="53" w:name="_Hlk43278328"/>
      <w:r w:rsidR="00F90D90" w:rsidRPr="00D81D5A">
        <w:rPr>
          <w:rStyle w:val="ssrfcpassagedeactivated"/>
          <w:szCs w:val="26"/>
        </w:rPr>
        <w:t xml:space="preserve">would undermine, or would otherwise be inconsistent with, the constitutionally permissible purpose of the change, </w:t>
      </w:r>
      <w:bookmarkEnd w:id="53"/>
      <w:r w:rsidR="00F90D90" w:rsidRPr="00D81D5A">
        <w:rPr>
          <w:rStyle w:val="ssrfcpassagedeactivated"/>
          <w:szCs w:val="26"/>
        </w:rPr>
        <w:t xml:space="preserve">the contract clause imposes no requirement that the Legislature frustrate its permissible purpose by providing comparable </w:t>
      </w:r>
      <w:r w:rsidR="00A56C47" w:rsidRPr="00D81D5A">
        <w:rPr>
          <w:rStyle w:val="ssrfcpassagedeactivated"/>
          <w:szCs w:val="26"/>
        </w:rPr>
        <w:t xml:space="preserve">new </w:t>
      </w:r>
      <w:r w:rsidR="00F90D90" w:rsidRPr="00D81D5A">
        <w:rPr>
          <w:rStyle w:val="ssrfcpassagedeactivated"/>
          <w:szCs w:val="26"/>
        </w:rPr>
        <w:t xml:space="preserve">advantages.  </w:t>
      </w:r>
      <w:r w:rsidRPr="00D81D5A">
        <w:rPr>
          <w:rStyle w:val="ssrfcpassagedeactivated"/>
          <w:szCs w:val="26"/>
        </w:rPr>
        <w:t>Such modifications will be upheld under our Constitution despite the financial disadvantage they impose on public employee pension benefits.</w:t>
      </w:r>
    </w:p>
    <w:p w14:paraId="18BAED43" w14:textId="7E0957DE" w:rsidR="00890C7B" w:rsidRDefault="00E324CF" w:rsidP="008669F3">
      <w:pPr>
        <w:ind w:firstLine="720"/>
        <w:rPr>
          <w:rStyle w:val="ssrfcpassagedeactivated"/>
          <w:szCs w:val="26"/>
        </w:rPr>
      </w:pPr>
      <w:r>
        <w:rPr>
          <w:szCs w:val="26"/>
        </w:rPr>
        <w:t>This rule is consistent with our past constitutional rulings on the power of the state to impair its own contracts.  We have always recognized that such impairments may survive contract clause scrutiny, but we have also held that they are subject to significant constraints.  “</w:t>
      </w:r>
      <w:r w:rsidR="00CE12E5">
        <w:rPr>
          <w:szCs w:val="26"/>
        </w:rPr>
        <w:t> </w:t>
      </w:r>
      <w:r>
        <w:rPr>
          <w:szCs w:val="26"/>
        </w:rPr>
        <w:t>‘[A]</w:t>
      </w:r>
      <w:r w:rsidRPr="00D81D5A">
        <w:rPr>
          <w:rStyle w:val="ssrfcpassagedeactivated"/>
          <w:szCs w:val="26"/>
        </w:rPr>
        <w:t xml:space="preserve"> State is not completely free to consider impairing the obligations of its own contracts on a par with other policy alternatives.  Similarly, a State is not free to impose a drastic impairment when an evident and more moderate course would serve its purposes equally well.’</w:t>
      </w:r>
      <w:r>
        <w:rPr>
          <w:rStyle w:val="ssrfcpassagedeactivated"/>
          <w:szCs w:val="26"/>
        </w:rPr>
        <w:t> </w:t>
      </w:r>
      <w:r w:rsidRPr="00D81D5A">
        <w:rPr>
          <w:rStyle w:val="ssrfcpassagedeactivated"/>
          <w:szCs w:val="26"/>
        </w:rPr>
        <w:t>”  (</w:t>
      </w:r>
      <w:r w:rsidRPr="00D81D5A">
        <w:rPr>
          <w:rStyle w:val="ssrfcpassagedeactivated"/>
          <w:i/>
          <w:szCs w:val="26"/>
        </w:rPr>
        <w:t>Sonoma Employees</w:t>
      </w:r>
      <w:r w:rsidRPr="00D81D5A">
        <w:rPr>
          <w:rStyle w:val="ssrfcpassagedeactivated"/>
          <w:szCs w:val="26"/>
        </w:rPr>
        <w:t xml:space="preserve">, </w:t>
      </w:r>
      <w:r w:rsidRPr="00D81D5A">
        <w:rPr>
          <w:rStyle w:val="ssrfcpassagedeactivated"/>
          <w:i/>
          <w:szCs w:val="26"/>
        </w:rPr>
        <w:t>supra</w:t>
      </w:r>
      <w:r w:rsidRPr="00D81D5A">
        <w:rPr>
          <w:rStyle w:val="ssrfcpassagedeactivated"/>
          <w:szCs w:val="26"/>
        </w:rPr>
        <w:t xml:space="preserve">, </w:t>
      </w:r>
      <w:r w:rsidRPr="00D81D5A">
        <w:rPr>
          <w:szCs w:val="26"/>
        </w:rPr>
        <w:t xml:space="preserve">23 Cal.3d </w:t>
      </w:r>
      <w:r w:rsidRPr="00D81D5A">
        <w:rPr>
          <w:rStyle w:val="ssrfcpassagedeactivated"/>
          <w:szCs w:val="26"/>
        </w:rPr>
        <w:t>at p.</w:t>
      </w:r>
      <w:r>
        <w:rPr>
          <w:rStyle w:val="ssrfcpassagedeactivated"/>
          <w:szCs w:val="26"/>
        </w:rPr>
        <w:t> </w:t>
      </w:r>
      <w:r w:rsidRPr="00D81D5A">
        <w:rPr>
          <w:rStyle w:val="ssrfcpassagedeactivated"/>
          <w:szCs w:val="26"/>
        </w:rPr>
        <w:t>308</w:t>
      </w:r>
      <w:r>
        <w:rPr>
          <w:rStyle w:val="ssrfcpassagedeactivated"/>
          <w:szCs w:val="26"/>
        </w:rPr>
        <w:t xml:space="preserve">, quoting </w:t>
      </w:r>
      <w:r>
        <w:rPr>
          <w:rStyle w:val="ssrfcpassagedeactivated"/>
          <w:i/>
          <w:iCs/>
          <w:szCs w:val="26"/>
        </w:rPr>
        <w:t>U.S. Trust</w:t>
      </w:r>
      <w:r>
        <w:rPr>
          <w:rStyle w:val="ssrfcpassagedeactivated"/>
          <w:szCs w:val="26"/>
        </w:rPr>
        <w:t xml:space="preserve">, </w:t>
      </w:r>
      <w:r>
        <w:rPr>
          <w:rStyle w:val="ssrfcpassagedeactivated"/>
          <w:i/>
          <w:iCs/>
          <w:szCs w:val="26"/>
        </w:rPr>
        <w:t>supra</w:t>
      </w:r>
      <w:r>
        <w:rPr>
          <w:rStyle w:val="ssrfcpassagedeactivated"/>
          <w:szCs w:val="26"/>
        </w:rPr>
        <w:t>, 431 U.S. at pp.</w:t>
      </w:r>
      <w:r>
        <w:rPr>
          <w:rStyle w:val="ssrfcpassagedeactivated"/>
          <w:i/>
          <w:iCs/>
          <w:szCs w:val="26"/>
        </w:rPr>
        <w:t xml:space="preserve"> </w:t>
      </w:r>
      <w:r>
        <w:rPr>
          <w:rStyle w:val="ssrfcpassagedeactivated"/>
          <w:szCs w:val="26"/>
        </w:rPr>
        <w:t>30</w:t>
      </w:r>
      <w:r w:rsidR="00427AF8">
        <w:rPr>
          <w:rStyle w:val="ssrfcpassagedeactivated"/>
          <w:szCs w:val="26"/>
        </w:rPr>
        <w:t>–</w:t>
      </w:r>
      <w:r>
        <w:rPr>
          <w:rStyle w:val="ssrfcpassagedeactivated"/>
          <w:szCs w:val="26"/>
        </w:rPr>
        <w:t>31</w:t>
      </w:r>
      <w:r w:rsidRPr="00D81D5A">
        <w:rPr>
          <w:rStyle w:val="ssrfcpassagedeactivated"/>
          <w:szCs w:val="26"/>
        </w:rPr>
        <w:t>.)</w:t>
      </w:r>
      <w:r>
        <w:rPr>
          <w:rStyle w:val="ssrfcpassagedeactivated"/>
          <w:szCs w:val="26"/>
        </w:rPr>
        <w:t xml:space="preserve">  When preserving the value of public employee pension rights does not disserve the Legislature’s constitutionally permissible pension reform objectives, the contract clause requires it to preserve that value.</w:t>
      </w:r>
    </w:p>
    <w:p w14:paraId="3382C5CA" w14:textId="77777777" w:rsidR="0000287B" w:rsidRPr="00D81D5A" w:rsidRDefault="0000287B" w:rsidP="00D81D5A">
      <w:pPr>
        <w:pStyle w:val="Heading5"/>
      </w:pPr>
      <w:r w:rsidRPr="00D81D5A">
        <w:t xml:space="preserve">3.  Requiring the provision of comparable </w:t>
      </w:r>
      <w:r w:rsidR="00A56C47" w:rsidRPr="00D81D5A">
        <w:t xml:space="preserve">new </w:t>
      </w:r>
      <w:r w:rsidRPr="00D81D5A">
        <w:t>advantages would undermine the constitutionally permissible purpose of the PEPRA amendment</w:t>
      </w:r>
    </w:p>
    <w:p w14:paraId="3AEAAA27" w14:textId="77777777" w:rsidR="0000287B" w:rsidRPr="00D81D5A" w:rsidRDefault="0000287B" w:rsidP="00D81D5A">
      <w:pPr>
        <w:pStyle w:val="NormalIndent"/>
        <w:ind w:left="0" w:firstLine="720"/>
      </w:pPr>
      <w:r w:rsidRPr="00D81D5A">
        <w:t>PEPRA provided no new advantages to existing county employees to offset any impact of the exclusions and limitations in new subdivision (b)(1) through (3)</w:t>
      </w:r>
      <w:r w:rsidR="007D73C2">
        <w:t xml:space="preserve"> of section 31461</w:t>
      </w:r>
      <w:r w:rsidRPr="00D81D5A">
        <w:t xml:space="preserve">.  </w:t>
      </w:r>
      <w:r w:rsidR="004F1E23" w:rsidRPr="00D81D5A">
        <w:t xml:space="preserve">As </w:t>
      </w:r>
      <w:r w:rsidR="005B7AF5" w:rsidRPr="00D81D5A">
        <w:t>indicat</w:t>
      </w:r>
      <w:r w:rsidR="004F1E23" w:rsidRPr="00D81D5A">
        <w:t>ed above, however, w</w:t>
      </w:r>
      <w:r w:rsidRPr="00D81D5A">
        <w:t xml:space="preserve">e conclude that </w:t>
      </w:r>
      <w:r w:rsidR="004F1E23" w:rsidRPr="00D81D5A">
        <w:t>provid</w:t>
      </w:r>
      <w:r w:rsidR="005476FA" w:rsidRPr="00D81D5A">
        <w:t>ing</w:t>
      </w:r>
      <w:r w:rsidR="004F1E23" w:rsidRPr="00D81D5A">
        <w:t xml:space="preserve"> such advantages</w:t>
      </w:r>
      <w:r w:rsidRPr="00D81D5A">
        <w:t xml:space="preserve"> would have undermined </w:t>
      </w:r>
      <w:r w:rsidR="00131301" w:rsidRPr="00D81D5A">
        <w:t>the amendment’</w:t>
      </w:r>
      <w:r w:rsidR="004F1E23" w:rsidRPr="00D81D5A">
        <w:t xml:space="preserve">s </w:t>
      </w:r>
      <w:r w:rsidRPr="00D81D5A">
        <w:t>constitutionally permissible purpose.  Accordingly, the PEPRA amendment did not violate the contract clause of our Constitution</w:t>
      </w:r>
      <w:r w:rsidR="004F1E23" w:rsidRPr="00D81D5A">
        <w:t xml:space="preserve">, notwithstanding the failure of the Legislature to provide new </w:t>
      </w:r>
      <w:r w:rsidR="00A56C47" w:rsidRPr="00D81D5A">
        <w:t>features to offset the financial dis</w:t>
      </w:r>
      <w:r w:rsidR="004F1E23" w:rsidRPr="00D81D5A">
        <w:t>advantages</w:t>
      </w:r>
      <w:r w:rsidR="00A56C47" w:rsidRPr="00D81D5A">
        <w:t xml:space="preserve"> of the PEPRA amendment</w:t>
      </w:r>
      <w:r w:rsidR="004F1E23" w:rsidRPr="00D81D5A">
        <w:t>.</w:t>
      </w:r>
    </w:p>
    <w:p w14:paraId="578E76DA" w14:textId="61B8E689" w:rsidR="0000287B" w:rsidRPr="00D81D5A" w:rsidRDefault="004F1E23" w:rsidP="00D81D5A">
      <w:pPr>
        <w:pStyle w:val="NormalIndent"/>
        <w:ind w:left="0" w:firstLine="720"/>
        <w:rPr>
          <w:szCs w:val="26"/>
        </w:rPr>
      </w:pPr>
      <w:bookmarkStart w:id="54" w:name="_Hlk41228553"/>
      <w:r w:rsidRPr="00D81D5A">
        <w:t>T</w:t>
      </w:r>
      <w:r w:rsidR="0000287B" w:rsidRPr="00D81D5A">
        <w:t>he purpose of PEPRA’s amendment of section 31461 was not to change in any fundamental way the implementation of the CERL pension system.  Save for the exclusion of a few items from pensionable compensation, CERL operates as it did before PEPRA.  Nor was it to reduce the cost burden of the system on counties, other than incidentally.  Rather, as explained above, the purpose was to bring administrative practice under section 31461 into closer alignment with the system’s underlying theory by excluding income designed</w:t>
      </w:r>
      <w:r w:rsidR="00DB0962" w:rsidRPr="00D81D5A">
        <w:t xml:space="preserve"> to</w:t>
      </w:r>
      <w:r w:rsidR="0000287B" w:rsidRPr="00D81D5A">
        <w:t xml:space="preserve"> </w:t>
      </w:r>
      <w:r w:rsidR="00DB0962" w:rsidRPr="00D81D5A">
        <w:t xml:space="preserve">artificially </w:t>
      </w:r>
      <w:r w:rsidR="0000287B" w:rsidRPr="00D81D5A">
        <w:t xml:space="preserve">inflate </w:t>
      </w:r>
      <w:r w:rsidR="00DB0962" w:rsidRPr="00D81D5A">
        <w:t xml:space="preserve">a </w:t>
      </w:r>
      <w:r w:rsidR="0000287B" w:rsidRPr="00D81D5A">
        <w:t>pension</w:t>
      </w:r>
      <w:r w:rsidR="00DB0962" w:rsidRPr="00D81D5A">
        <w:t xml:space="preserve"> benefit</w:t>
      </w:r>
      <w:r w:rsidR="0000287B" w:rsidRPr="00D81D5A">
        <w:t xml:space="preserve"> (§</w:t>
      </w:r>
      <w:r w:rsidR="00DB0962" w:rsidRPr="00D81D5A">
        <w:t> </w:t>
      </w:r>
      <w:r w:rsidR="0000287B" w:rsidRPr="00D81D5A">
        <w:t xml:space="preserve">31461, </w:t>
      </w:r>
      <w:proofErr w:type="spellStart"/>
      <w:r w:rsidR="0000287B" w:rsidRPr="00D81D5A">
        <w:t>subd</w:t>
      </w:r>
      <w:proofErr w:type="spellEnd"/>
      <w:r w:rsidR="0000287B" w:rsidRPr="00D81D5A">
        <w:t>. (b)(1)) and limiting the inclusion of other types of compensation that were reasonably viewed as inconsistent with CERL’s general approach to pensionable compensation (</w:t>
      </w:r>
      <w:r w:rsidR="007D73C2">
        <w:rPr>
          <w:iCs/>
        </w:rPr>
        <w:t>§ 31461</w:t>
      </w:r>
      <w:r w:rsidR="0000287B" w:rsidRPr="00D81D5A">
        <w:t xml:space="preserve">, </w:t>
      </w:r>
      <w:proofErr w:type="spellStart"/>
      <w:r w:rsidR="0000287B" w:rsidRPr="00D81D5A">
        <w:t>subd</w:t>
      </w:r>
      <w:proofErr w:type="spellEnd"/>
      <w:r w:rsidR="0000287B" w:rsidRPr="00D81D5A">
        <w:t>. (b)(2), (3)).  Stated differently</w:t>
      </w:r>
      <w:r w:rsidR="0000287B" w:rsidRPr="00D81D5A">
        <w:rPr>
          <w:szCs w:val="26"/>
        </w:rPr>
        <w:t xml:space="preserve">, the Legislature was attempting to reduce manipulation and abuse by closing loopholes created by the very general language of sections 31460 through 31462, which define “compensation,” “compensation earnable,” and “final compensation.”  </w:t>
      </w:r>
      <w:r w:rsidR="0000287B" w:rsidRPr="00D81D5A">
        <w:t xml:space="preserve">Each of the changes in subdivision (b)(1) through (3) is arguably inherent in the overall intent of section 31461, but the failure of the statute expressly to address these specific circumstances left their fate to the interpretations of 20 individual county retirement boards.  This was exacerbated after our decision in </w:t>
      </w:r>
      <w:r w:rsidR="0000287B" w:rsidRPr="00D81D5A">
        <w:rPr>
          <w:i/>
        </w:rPr>
        <w:t xml:space="preserve">Ventura County </w:t>
      </w:r>
      <w:r w:rsidR="0000287B" w:rsidRPr="00D81D5A">
        <w:t>confirmed and gave effect to the broadly inclusive language of section</w:t>
      </w:r>
      <w:r w:rsidR="007D73C2">
        <w:t>s</w:t>
      </w:r>
      <w:r w:rsidR="0000287B" w:rsidRPr="00D81D5A">
        <w:t xml:space="preserve"> 31460 and 31461.  PEPRA’s amendment compels uniformity on the issues it addresses, guaranteeing that compensation earnable will be implemented consistently with the Legislature’s intent </w:t>
      </w:r>
      <w:r w:rsidR="0000287B" w:rsidRPr="00D81D5A">
        <w:rPr>
          <w:szCs w:val="26"/>
        </w:rPr>
        <w:t>in each CERL county.</w:t>
      </w:r>
    </w:p>
    <w:bookmarkEnd w:id="54"/>
    <w:p w14:paraId="0F727D7D" w14:textId="77777777" w:rsidR="0000287B" w:rsidRPr="00D81D5A" w:rsidRDefault="0000287B" w:rsidP="00D81D5A">
      <w:pPr>
        <w:pStyle w:val="FootnoteText"/>
        <w:spacing w:line="400" w:lineRule="exact"/>
        <w:ind w:firstLine="720"/>
        <w:rPr>
          <w:szCs w:val="26"/>
        </w:rPr>
      </w:pPr>
      <w:r w:rsidRPr="00D81D5A">
        <w:rPr>
          <w:szCs w:val="26"/>
        </w:rPr>
        <w:t xml:space="preserve">It would be anomalous, at best, to hold that the Constitution requires current employees to be provided an equivalent advantage to mitigate the effect of eliminating from compensation earnable payments that, in the view of the Legislature, are inconsistent with the theory underlying the pension system.  Requiring comparable advantages would </w:t>
      </w:r>
      <w:r w:rsidR="00DB0962" w:rsidRPr="00D81D5A">
        <w:rPr>
          <w:szCs w:val="26"/>
        </w:rPr>
        <w:t xml:space="preserve">be wholly inconsistent with </w:t>
      </w:r>
      <w:r w:rsidRPr="00D81D5A">
        <w:rPr>
          <w:szCs w:val="26"/>
        </w:rPr>
        <w:t>the Legislature’s purpose by restoring in some form advantages that, in the view of the Legislature, should not have been available to county employees in the first place.</w:t>
      </w:r>
    </w:p>
    <w:p w14:paraId="5C15D714" w14:textId="77777777" w:rsidR="0089126E" w:rsidRDefault="0000287B" w:rsidP="00676814">
      <w:pPr>
        <w:pStyle w:val="NormalIndent"/>
        <w:ind w:left="0" w:firstLine="720"/>
        <w:rPr>
          <w:rStyle w:val="ssrfcpassagedeactivated"/>
          <w:szCs w:val="26"/>
        </w:rPr>
      </w:pPr>
      <w:r w:rsidRPr="00D81D5A">
        <w:rPr>
          <w:szCs w:val="26"/>
        </w:rPr>
        <w:t>Experience with the implementation of a statutory pension system will inevitably reveal the need for change to close loopholes and foreclose opportunities for abuse</w:t>
      </w:r>
      <w:r w:rsidRPr="00D81D5A">
        <w:t>.  The Legislature must have the authority, discretion, and flexibility to address such problems without being required to, in effect, extend the life of the loopholes and the opportunities for abuse for the duration of the careers of current employees by providing comp</w:t>
      </w:r>
      <w:r w:rsidR="001D5298" w:rsidRPr="00D81D5A">
        <w:t>arable</w:t>
      </w:r>
      <w:r w:rsidRPr="00D81D5A">
        <w:t xml:space="preserve"> advantages.  (See </w:t>
      </w:r>
      <w:r w:rsidRPr="00D81D5A">
        <w:rPr>
          <w:i/>
          <w:szCs w:val="26"/>
        </w:rPr>
        <w:t xml:space="preserve">Pomona Police Officers’ Assn. v. City of Pomona </w:t>
      </w:r>
      <w:r w:rsidRPr="00D81D5A">
        <w:rPr>
          <w:szCs w:val="26"/>
        </w:rPr>
        <w:t xml:space="preserve">(1997) 58 Cal.App.4th 578, 587 [Legislature amended CalPERS governing statute “to curb certain perceived </w:t>
      </w:r>
      <w:r w:rsidRPr="00D81D5A">
        <w:rPr>
          <w:rStyle w:val="sssh"/>
          <w:szCs w:val="26"/>
        </w:rPr>
        <w:t>pension</w:t>
      </w:r>
      <w:r w:rsidRPr="00D81D5A">
        <w:rPr>
          <w:szCs w:val="26"/>
        </w:rPr>
        <w:t xml:space="preserve"> abuses [by] local governments”].)  Because </w:t>
      </w:r>
      <w:r w:rsidRPr="00D81D5A">
        <w:rPr>
          <w:rStyle w:val="ssrfcpassagedeactivated"/>
          <w:szCs w:val="26"/>
        </w:rPr>
        <w:t>requiring comp</w:t>
      </w:r>
      <w:r w:rsidR="00061F99" w:rsidRPr="00D81D5A">
        <w:rPr>
          <w:rStyle w:val="ssrfcpassagedeactivated"/>
          <w:szCs w:val="26"/>
        </w:rPr>
        <w:t>arable</w:t>
      </w:r>
      <w:r w:rsidRPr="00D81D5A">
        <w:rPr>
          <w:rStyle w:val="ssrfcpassagedeactivated"/>
          <w:szCs w:val="26"/>
        </w:rPr>
        <w:t xml:space="preserve"> advantages under these circumstances would significantly undermine the Legislature’s </w:t>
      </w:r>
      <w:r w:rsidR="005B7AF5" w:rsidRPr="00D81D5A">
        <w:rPr>
          <w:rStyle w:val="ssrfcpassagedeactivated"/>
          <w:szCs w:val="26"/>
        </w:rPr>
        <w:t>constitutionally permissible purpose</w:t>
      </w:r>
      <w:r w:rsidRPr="00D81D5A">
        <w:rPr>
          <w:rStyle w:val="ssrfcpassagedeactivated"/>
          <w:szCs w:val="26"/>
        </w:rPr>
        <w:t>, the contract clause impose</w:t>
      </w:r>
      <w:r w:rsidR="00DB0962" w:rsidRPr="00D81D5A">
        <w:rPr>
          <w:rStyle w:val="ssrfcpassagedeactivated"/>
          <w:szCs w:val="26"/>
        </w:rPr>
        <w:t>s</w:t>
      </w:r>
      <w:r w:rsidRPr="00D81D5A">
        <w:rPr>
          <w:rStyle w:val="ssrfcpassagedeactivated"/>
          <w:szCs w:val="26"/>
        </w:rPr>
        <w:t xml:space="preserve"> no such requirement.</w:t>
      </w:r>
      <w:bookmarkEnd w:id="45"/>
      <w:bookmarkEnd w:id="46"/>
      <w:bookmarkEnd w:id="51"/>
      <w:r w:rsidR="0089126E">
        <w:rPr>
          <w:rStyle w:val="ssrfcpassagedeactivated"/>
          <w:szCs w:val="26"/>
        </w:rPr>
        <w:br w:type="page"/>
      </w:r>
    </w:p>
    <w:p w14:paraId="0990F759" w14:textId="0805A84A" w:rsidR="00EC2FE3" w:rsidRPr="00D81D5A" w:rsidRDefault="00896F9D" w:rsidP="0089126E">
      <w:pPr>
        <w:pStyle w:val="Heading1"/>
      </w:pPr>
      <w:r w:rsidRPr="00D81D5A">
        <w:t>III.  Disposition</w:t>
      </w:r>
    </w:p>
    <w:p w14:paraId="196DCA5B" w14:textId="77777777" w:rsidR="00487CC0" w:rsidRPr="00D81D5A" w:rsidRDefault="00064E4A" w:rsidP="00D81D5A">
      <w:pPr>
        <w:ind w:firstLine="720"/>
      </w:pPr>
      <w:r w:rsidRPr="00D81D5A">
        <w:t>The</w:t>
      </w:r>
      <w:r w:rsidR="00487CC0" w:rsidRPr="00D81D5A">
        <w:t xml:space="preserve"> State</w:t>
      </w:r>
      <w:r w:rsidRPr="00D81D5A">
        <w:t>, at least implicitly,</w:t>
      </w:r>
      <w:r w:rsidR="00487CC0" w:rsidRPr="00D81D5A">
        <w:t xml:space="preserve"> and amic</w:t>
      </w:r>
      <w:r w:rsidR="005413A4" w:rsidRPr="00D81D5A">
        <w:t>us</w:t>
      </w:r>
      <w:r w:rsidR="00487CC0" w:rsidRPr="00D81D5A">
        <w:t xml:space="preserve"> curiae </w:t>
      </w:r>
      <w:r w:rsidR="005413A4" w:rsidRPr="00D81D5A">
        <w:t xml:space="preserve">California Business Roundtable, explicitly, </w:t>
      </w:r>
      <w:r w:rsidR="00487CC0" w:rsidRPr="00D81D5A">
        <w:t xml:space="preserve">urge us to use this decision as an occasion to reexamine </w:t>
      </w:r>
      <w:r w:rsidR="005413A4" w:rsidRPr="00D81D5A">
        <w:t xml:space="preserve">and revise </w:t>
      </w:r>
      <w:r w:rsidR="00487CC0" w:rsidRPr="00D81D5A">
        <w:t>the California Rule</w:t>
      </w:r>
      <w:r w:rsidR="00400F13" w:rsidRPr="00D81D5A">
        <w:t xml:space="preserve">, </w:t>
      </w:r>
      <w:r w:rsidR="00086174" w:rsidRPr="00D81D5A">
        <w:t>arguing</w:t>
      </w:r>
      <w:r w:rsidR="00400F13" w:rsidRPr="00D81D5A">
        <w:t xml:space="preserve"> that the rule </w:t>
      </w:r>
      <w:r w:rsidR="0005258B" w:rsidRPr="00D81D5A">
        <w:t>constitutes</w:t>
      </w:r>
      <w:r w:rsidR="00400F13" w:rsidRPr="00D81D5A">
        <w:t xml:space="preserve"> an </w:t>
      </w:r>
      <w:r w:rsidR="005413A4" w:rsidRPr="00D81D5A">
        <w:t>improper</w:t>
      </w:r>
      <w:r w:rsidR="0005258B" w:rsidRPr="00D81D5A">
        <w:t xml:space="preserve"> </w:t>
      </w:r>
      <w:r w:rsidR="00400F13" w:rsidRPr="00D81D5A">
        <w:t>interpretation of the contract clause</w:t>
      </w:r>
      <w:r w:rsidR="0005258B" w:rsidRPr="00D81D5A">
        <w:t xml:space="preserve"> and</w:t>
      </w:r>
      <w:r w:rsidR="006A5ECD" w:rsidRPr="00D81D5A">
        <w:t xml:space="preserve"> </w:t>
      </w:r>
      <w:r w:rsidR="0005258B" w:rsidRPr="00D81D5A">
        <w:t>bad public policy</w:t>
      </w:r>
      <w:r w:rsidR="00487CC0" w:rsidRPr="00D81D5A">
        <w:t xml:space="preserve">.  </w:t>
      </w:r>
      <w:r w:rsidR="0005258B" w:rsidRPr="00D81D5A">
        <w:t xml:space="preserve">Because </w:t>
      </w:r>
      <w:r w:rsidR="005413A4" w:rsidRPr="00D81D5A">
        <w:t xml:space="preserve">we conclude that </w:t>
      </w:r>
      <w:r w:rsidR="0005258B" w:rsidRPr="00D81D5A">
        <w:t xml:space="preserve">PEPRA’s </w:t>
      </w:r>
      <w:r w:rsidR="005E3F54" w:rsidRPr="00D81D5A">
        <w:t xml:space="preserve">amendment of </w:t>
      </w:r>
      <w:r w:rsidR="0005258B" w:rsidRPr="00D81D5A">
        <w:t xml:space="preserve">CERL </w:t>
      </w:r>
      <w:r w:rsidR="005E3F54" w:rsidRPr="00D81D5A">
        <w:t xml:space="preserve">did not violate </w:t>
      </w:r>
      <w:r w:rsidR="0005258B" w:rsidRPr="00D81D5A">
        <w:t>the contract clause</w:t>
      </w:r>
      <w:r w:rsidR="00912990" w:rsidRPr="00D81D5A">
        <w:t xml:space="preserve"> under a proper application of the California Rule</w:t>
      </w:r>
      <w:r w:rsidR="000E3A3B" w:rsidRPr="00D81D5A">
        <w:t xml:space="preserve">, </w:t>
      </w:r>
      <w:r w:rsidR="009D3CCA" w:rsidRPr="00D81D5A">
        <w:t xml:space="preserve">however, </w:t>
      </w:r>
      <w:r w:rsidR="0005258B" w:rsidRPr="00D81D5A">
        <w:t xml:space="preserve">we </w:t>
      </w:r>
      <w:r w:rsidR="00351E69" w:rsidRPr="00D81D5A">
        <w:t xml:space="preserve">have </w:t>
      </w:r>
      <w:r w:rsidR="0005258B" w:rsidRPr="00D81D5A">
        <w:t>no jurisprudential reason to</w:t>
      </w:r>
      <w:r w:rsidR="00912990" w:rsidRPr="00D81D5A">
        <w:t xml:space="preserve"> undertake a fundamental </w:t>
      </w:r>
      <w:r w:rsidR="009D3CCA" w:rsidRPr="00D81D5A">
        <w:t>reexamin</w:t>
      </w:r>
      <w:r w:rsidR="00912990" w:rsidRPr="00D81D5A">
        <w:t>ation of</w:t>
      </w:r>
      <w:r w:rsidR="009D3CCA" w:rsidRPr="00D81D5A">
        <w:t xml:space="preserve"> the </w:t>
      </w:r>
      <w:r w:rsidR="00912990" w:rsidRPr="00D81D5A">
        <w:t>r</w:t>
      </w:r>
      <w:r w:rsidR="009D3CCA" w:rsidRPr="00D81D5A">
        <w:t>ule</w:t>
      </w:r>
      <w:r w:rsidR="0005258B" w:rsidRPr="00D81D5A">
        <w:t xml:space="preserve">.  </w:t>
      </w:r>
      <w:r w:rsidR="00351E69" w:rsidRPr="00D81D5A">
        <w:t xml:space="preserve">The </w:t>
      </w:r>
      <w:r w:rsidR="009D3CCA" w:rsidRPr="00D81D5A">
        <w:t>t</w:t>
      </w:r>
      <w:r w:rsidR="00351E69" w:rsidRPr="00D81D5A">
        <w:t>e</w:t>
      </w:r>
      <w:r w:rsidR="009D3CCA" w:rsidRPr="00D81D5A">
        <w:t>st</w:t>
      </w:r>
      <w:r w:rsidR="00351E69" w:rsidRPr="00D81D5A">
        <w:t xml:space="preserve"> announced in </w:t>
      </w:r>
      <w:r w:rsidR="00351E69" w:rsidRPr="00D81D5A">
        <w:rPr>
          <w:i/>
        </w:rPr>
        <w:t>Allen I</w:t>
      </w:r>
      <w:r w:rsidR="00351E69" w:rsidRPr="00D81D5A">
        <w:t xml:space="preserve">, as </w:t>
      </w:r>
      <w:r w:rsidR="008F4BE1" w:rsidRPr="00D81D5A">
        <w:t>explained and applied</w:t>
      </w:r>
      <w:r w:rsidR="00351E69" w:rsidRPr="00D81D5A">
        <w:t xml:space="preserve"> here, remains the law of California.</w:t>
      </w:r>
    </w:p>
    <w:p w14:paraId="23F8C14E" w14:textId="77777777" w:rsidR="007A687D" w:rsidRPr="007A687D" w:rsidRDefault="00EC2FE3" w:rsidP="007A687D">
      <w:r w:rsidRPr="00D81D5A">
        <w:tab/>
      </w:r>
      <w:r w:rsidR="006474A5" w:rsidRPr="00D81D5A">
        <w:t xml:space="preserve">For the reasons stated above, </w:t>
      </w:r>
      <w:r w:rsidR="00DB0962" w:rsidRPr="00D81D5A">
        <w:t>we</w:t>
      </w:r>
      <w:r w:rsidR="006474A5" w:rsidRPr="00D81D5A">
        <w:t xml:space="preserve"> </w:t>
      </w:r>
      <w:r w:rsidR="00351E69" w:rsidRPr="00D81D5A">
        <w:t>reverse</w:t>
      </w:r>
      <w:r w:rsidR="006474A5" w:rsidRPr="00D81D5A">
        <w:t xml:space="preserve"> t</w:t>
      </w:r>
      <w:r w:rsidRPr="00D81D5A">
        <w:t>he decision of the Court of Appeal</w:t>
      </w:r>
      <w:r w:rsidR="00351E69" w:rsidRPr="00D81D5A">
        <w:t xml:space="preserve"> and remand the matter </w:t>
      </w:r>
      <w:r w:rsidR="003426CF" w:rsidRPr="00D81D5A">
        <w:t xml:space="preserve">to that court, </w:t>
      </w:r>
      <w:r w:rsidR="00351E69" w:rsidRPr="00D81D5A">
        <w:t>with direction</w:t>
      </w:r>
      <w:r w:rsidR="003426CF" w:rsidRPr="00D81D5A">
        <w:t>s</w:t>
      </w:r>
      <w:r w:rsidR="00351E69" w:rsidRPr="00D81D5A">
        <w:t xml:space="preserve"> to remand to the trial court </w:t>
      </w:r>
      <w:r w:rsidR="003426CF" w:rsidRPr="00D81D5A">
        <w:t xml:space="preserve">to vacate the judgments entered in each of the three consolidated proceedings and to </w:t>
      </w:r>
      <w:r w:rsidR="000E3A3B" w:rsidRPr="00D81D5A">
        <w:t xml:space="preserve">conduct </w:t>
      </w:r>
      <w:r w:rsidR="00351E69" w:rsidRPr="00D81D5A">
        <w:t>further proceedings</w:t>
      </w:r>
      <w:r w:rsidR="004637A9" w:rsidRPr="00D81D5A">
        <w:t xml:space="preserve"> </w:t>
      </w:r>
      <w:r w:rsidR="00351E69" w:rsidRPr="00D81D5A">
        <w:t>consistent with this decision</w:t>
      </w:r>
      <w:r w:rsidRPr="00D81D5A">
        <w:t>.</w:t>
      </w:r>
    </w:p>
    <w:p w14:paraId="191C8250" w14:textId="53982B55" w:rsidR="003D33DB" w:rsidRPr="00D81D5A" w:rsidRDefault="007A687D" w:rsidP="007A687D">
      <w:pPr>
        <w:tabs>
          <w:tab w:val="right" w:pos="7740"/>
        </w:tabs>
        <w:rPr>
          <w:b/>
          <w:caps/>
        </w:rPr>
      </w:pPr>
      <w:r>
        <w:rPr>
          <w:b/>
          <w:caps/>
        </w:rPr>
        <w:tab/>
      </w:r>
      <w:r w:rsidR="003D33DB" w:rsidRPr="00D81D5A">
        <w:rPr>
          <w:b/>
          <w:caps/>
        </w:rPr>
        <w:t>cantil-sakauye, C.</w:t>
      </w:r>
      <w:r w:rsidR="001D104E">
        <w:rPr>
          <w:b/>
          <w:caps/>
        </w:rPr>
        <w:t> </w:t>
      </w:r>
      <w:r w:rsidR="003D33DB" w:rsidRPr="00D81D5A">
        <w:rPr>
          <w:b/>
          <w:caps/>
        </w:rPr>
        <w:t>J.</w:t>
      </w:r>
    </w:p>
    <w:p w14:paraId="75BFFAA5" w14:textId="77777777" w:rsidR="003D33DB" w:rsidRPr="00D81D5A" w:rsidRDefault="003D33DB" w:rsidP="00D81D5A"/>
    <w:p w14:paraId="195FAF7E" w14:textId="50805BA4" w:rsidR="00DF4B41" w:rsidRDefault="007A687D" w:rsidP="001E267F">
      <w:pPr>
        <w:rPr>
          <w:b/>
          <w:bCs/>
        </w:rPr>
      </w:pPr>
      <w:r w:rsidRPr="007A687D">
        <w:rPr>
          <w:b/>
          <w:bCs/>
        </w:rPr>
        <w:t>We Concur:</w:t>
      </w:r>
      <w:bookmarkStart w:id="55" w:name="due"/>
      <w:bookmarkEnd w:id="43"/>
      <w:bookmarkEnd w:id="55"/>
    </w:p>
    <w:p w14:paraId="67486FFA" w14:textId="0AF9E75D" w:rsidR="009564D8" w:rsidRDefault="009564D8" w:rsidP="009564D8">
      <w:pPr>
        <w:spacing w:after="0" w:line="240" w:lineRule="auto"/>
        <w:rPr>
          <w:b/>
          <w:bCs/>
        </w:rPr>
      </w:pPr>
      <w:r>
        <w:rPr>
          <w:b/>
          <w:bCs/>
        </w:rPr>
        <w:t>CHIN, J.</w:t>
      </w:r>
    </w:p>
    <w:p w14:paraId="302D8785" w14:textId="78055424" w:rsidR="009564D8" w:rsidRDefault="009564D8" w:rsidP="009564D8">
      <w:pPr>
        <w:spacing w:after="0" w:line="240" w:lineRule="auto"/>
        <w:rPr>
          <w:b/>
          <w:bCs/>
        </w:rPr>
      </w:pPr>
      <w:r>
        <w:rPr>
          <w:b/>
          <w:bCs/>
        </w:rPr>
        <w:t>CORRIGAN, J.</w:t>
      </w:r>
    </w:p>
    <w:p w14:paraId="7F79D067" w14:textId="3EA3E5E3" w:rsidR="009564D8" w:rsidRDefault="009564D8" w:rsidP="009564D8">
      <w:pPr>
        <w:spacing w:after="0" w:line="240" w:lineRule="auto"/>
        <w:rPr>
          <w:b/>
          <w:bCs/>
        </w:rPr>
      </w:pPr>
      <w:r>
        <w:rPr>
          <w:b/>
          <w:bCs/>
        </w:rPr>
        <w:t>LIU, J.</w:t>
      </w:r>
    </w:p>
    <w:p w14:paraId="30B701BE" w14:textId="67A37C99" w:rsidR="009564D8" w:rsidRDefault="009564D8" w:rsidP="009564D8">
      <w:pPr>
        <w:spacing w:after="0" w:line="240" w:lineRule="auto"/>
        <w:rPr>
          <w:b/>
          <w:bCs/>
        </w:rPr>
      </w:pPr>
      <w:r>
        <w:rPr>
          <w:b/>
          <w:bCs/>
        </w:rPr>
        <w:t>CUÉLLAR, J.</w:t>
      </w:r>
    </w:p>
    <w:p w14:paraId="05EFE45C" w14:textId="2F50EFAA" w:rsidR="009564D8" w:rsidRDefault="009564D8" w:rsidP="009564D8">
      <w:pPr>
        <w:spacing w:after="0" w:line="240" w:lineRule="auto"/>
        <w:rPr>
          <w:b/>
          <w:bCs/>
        </w:rPr>
      </w:pPr>
      <w:r>
        <w:rPr>
          <w:b/>
          <w:bCs/>
        </w:rPr>
        <w:t>KRUGER, J.</w:t>
      </w:r>
    </w:p>
    <w:p w14:paraId="4F071942" w14:textId="2A0C081A" w:rsidR="009564D8" w:rsidRDefault="009564D8" w:rsidP="009564D8">
      <w:pPr>
        <w:spacing w:after="0" w:line="240" w:lineRule="auto"/>
        <w:rPr>
          <w:b/>
          <w:bCs/>
        </w:rPr>
      </w:pPr>
      <w:r>
        <w:rPr>
          <w:b/>
          <w:bCs/>
        </w:rPr>
        <w:t>GROBAN, J.</w:t>
      </w:r>
    </w:p>
    <w:p w14:paraId="5F9E7BCD" w14:textId="77777777" w:rsidR="003D6F79" w:rsidRDefault="003D6F79" w:rsidP="009564D8">
      <w:pPr>
        <w:spacing w:after="0" w:line="240" w:lineRule="auto"/>
        <w:rPr>
          <w:b/>
          <w:bCs/>
        </w:rPr>
        <w:sectPr w:rsidR="003D6F79" w:rsidSect="00D81D5A">
          <w:headerReference w:type="default" r:id="rId9"/>
          <w:footerReference w:type="default" r:id="rId10"/>
          <w:headerReference w:type="first" r:id="rId11"/>
          <w:footerReference w:type="first" r:id="rId12"/>
          <w:pgSz w:w="12240" w:h="15840"/>
          <w:pgMar w:top="1800" w:right="2160" w:bottom="1440" w:left="2160" w:header="720" w:footer="720" w:gutter="0"/>
          <w:pgNumType w:start="1"/>
          <w:cols w:space="720"/>
          <w:titlePg/>
          <w:docGrid w:linePitch="367"/>
        </w:sectPr>
      </w:pPr>
    </w:p>
    <w:p w14:paraId="4AADEAA2" w14:textId="081C8617" w:rsidR="003D6F79" w:rsidRPr="003D6F79" w:rsidRDefault="003D6F79" w:rsidP="003D6F79">
      <w:pPr>
        <w:jc w:val="center"/>
      </w:pPr>
      <w:r w:rsidRPr="003D6F79">
        <w:t>ALAMEDA COUNTY DEPUTY SHERIFF</w:t>
      </w:r>
      <w:r w:rsidR="00C114DA">
        <w:t>’</w:t>
      </w:r>
      <w:r w:rsidRPr="003D6F79">
        <w:t>S ASSN</w:t>
      </w:r>
      <w:r w:rsidR="00C114DA">
        <w:t>.</w:t>
      </w:r>
      <w:r w:rsidRPr="003D6F79">
        <w:t xml:space="preserve"> v. ALAMEDA COUNTY EMPLOYEES</w:t>
      </w:r>
      <w:r w:rsidR="00FC751B">
        <w:t>’</w:t>
      </w:r>
      <w:r w:rsidRPr="003D6F79">
        <w:t xml:space="preserve"> RETIREMENT ASSN</w:t>
      </w:r>
      <w:r w:rsidR="00EC7452">
        <w:t>.</w:t>
      </w:r>
    </w:p>
    <w:p w14:paraId="0D0F2BFC" w14:textId="77777777" w:rsidR="003D6F79" w:rsidRPr="003D6F79" w:rsidRDefault="003D6F79" w:rsidP="003D6F79">
      <w:pPr>
        <w:jc w:val="center"/>
      </w:pPr>
      <w:r w:rsidRPr="003D6F79">
        <w:t>S247095</w:t>
      </w:r>
    </w:p>
    <w:p w14:paraId="1A1721F0" w14:textId="77777777" w:rsidR="003D6F79" w:rsidRPr="003D6F79" w:rsidRDefault="003D6F79" w:rsidP="003D6F79">
      <w:pPr>
        <w:jc w:val="center"/>
      </w:pPr>
    </w:p>
    <w:p w14:paraId="047DC14B" w14:textId="77777777" w:rsidR="003D6F79" w:rsidRPr="003D6F79" w:rsidRDefault="003D6F79" w:rsidP="003D6F79">
      <w:pPr>
        <w:jc w:val="center"/>
      </w:pPr>
      <w:r w:rsidRPr="003D6F79">
        <w:t>Concurring Opinion by Justice Cuéllar</w:t>
      </w:r>
    </w:p>
    <w:p w14:paraId="676D0A33" w14:textId="77777777" w:rsidR="003D6F79" w:rsidRPr="003D6F79" w:rsidRDefault="003D6F79" w:rsidP="003D6F79">
      <w:pPr>
        <w:jc w:val="center"/>
      </w:pPr>
    </w:p>
    <w:p w14:paraId="5D2D29F5" w14:textId="77777777" w:rsidR="003D6F79" w:rsidRPr="003D6F79" w:rsidRDefault="003D6F79" w:rsidP="003D6F79">
      <w:pPr>
        <w:ind w:firstLine="720"/>
        <w:rPr>
          <w:szCs w:val="27"/>
        </w:rPr>
      </w:pPr>
      <w:bookmarkStart w:id="57" w:name="mainstory"/>
      <w:bookmarkEnd w:id="57"/>
      <w:r w:rsidRPr="003D6F79">
        <w:rPr>
          <w:szCs w:val="27"/>
        </w:rPr>
        <w:t xml:space="preserve">This case resolves a constitutional challenge to a recent amendment of the County Employees Retirement Law of 1937 (Gov. Code, § 31450 et seq.).  (See Stats. 2012, </w:t>
      </w:r>
      <w:proofErr w:type="spellStart"/>
      <w:r w:rsidRPr="003D6F79">
        <w:rPr>
          <w:szCs w:val="27"/>
        </w:rPr>
        <w:t>ch.</w:t>
      </w:r>
      <w:proofErr w:type="spellEnd"/>
      <w:r w:rsidRPr="003D6F79">
        <w:rPr>
          <w:szCs w:val="27"/>
        </w:rPr>
        <w:t xml:space="preserve"> 296, § 28.)  What the amendment does is reduce county employees’ pension rights by narrowing the definition of “compensation earnable.”  (Gov. Code, § 31461).  What the amendment does not do is provide any comparable new advantages to county employees.  We uphold the change nonetheless, in this quite particular situation:  The definitional change was enacted for a constitutionally permissible purpose — one that would have been undermined by the provision of any offsetting financial advantage for employees.  (See </w:t>
      </w:r>
      <w:proofErr w:type="spellStart"/>
      <w:r w:rsidRPr="003D6F79">
        <w:rPr>
          <w:szCs w:val="27"/>
        </w:rPr>
        <w:t>maj.</w:t>
      </w:r>
      <w:proofErr w:type="spellEnd"/>
      <w:r w:rsidRPr="003D6F79">
        <w:rPr>
          <w:szCs w:val="27"/>
        </w:rPr>
        <w:t xml:space="preserve"> opn., </w:t>
      </w:r>
      <w:r w:rsidRPr="003D6F79">
        <w:rPr>
          <w:i/>
          <w:szCs w:val="27"/>
        </w:rPr>
        <w:t>ante</w:t>
      </w:r>
      <w:r w:rsidRPr="003D6F79">
        <w:rPr>
          <w:szCs w:val="27"/>
        </w:rPr>
        <w:t xml:space="preserve">, at pp. 87-89.)  </w:t>
      </w:r>
    </w:p>
    <w:p w14:paraId="28AF7745" w14:textId="1B70EDB5" w:rsidR="003D6F79" w:rsidRPr="003D6F79" w:rsidRDefault="003D6F79" w:rsidP="003D6F79">
      <w:pPr>
        <w:ind w:firstLine="720"/>
        <w:rPr>
          <w:szCs w:val="27"/>
        </w:rPr>
      </w:pPr>
      <w:r w:rsidRPr="003D6F79">
        <w:rPr>
          <w:szCs w:val="27"/>
        </w:rPr>
        <w:t>Two points are worth bearing in mind as one reads the court’s legal analysis in the context of this particular statutory amendment.  First, the test the court applies here is merely a specific application, fit for this situation, of a more general inquiry:  whether a reduction in pension rights without any comparable new advantages is “reasonable” and “necessary” to further “an important state interest.”  (</w:t>
      </w:r>
      <w:r w:rsidRPr="003D6F79">
        <w:rPr>
          <w:i/>
          <w:szCs w:val="27"/>
        </w:rPr>
        <w:t xml:space="preserve">Sonoma County Organization of Public Employees v. County of Sonoma </w:t>
      </w:r>
      <w:r w:rsidRPr="003D6F79">
        <w:rPr>
          <w:szCs w:val="27"/>
        </w:rPr>
        <w:t xml:space="preserve">(1979) 23 Cal.3d 296, 308; see </w:t>
      </w:r>
      <w:proofErr w:type="spellStart"/>
      <w:r w:rsidRPr="003D6F79">
        <w:rPr>
          <w:szCs w:val="27"/>
        </w:rPr>
        <w:t>maj.</w:t>
      </w:r>
      <w:proofErr w:type="spellEnd"/>
      <w:r w:rsidRPr="003D6F79">
        <w:rPr>
          <w:szCs w:val="27"/>
        </w:rPr>
        <w:t xml:space="preserve"> </w:t>
      </w:r>
      <w:proofErr w:type="spellStart"/>
      <w:r w:rsidRPr="003D6F79">
        <w:rPr>
          <w:szCs w:val="27"/>
        </w:rPr>
        <w:t>opn</w:t>
      </w:r>
      <w:proofErr w:type="spellEnd"/>
      <w:r w:rsidRPr="003D6F79">
        <w:rPr>
          <w:szCs w:val="27"/>
        </w:rPr>
        <w:t xml:space="preserve">., </w:t>
      </w:r>
      <w:r w:rsidRPr="003D6F79">
        <w:rPr>
          <w:i/>
          <w:szCs w:val="27"/>
        </w:rPr>
        <w:t>ante</w:t>
      </w:r>
      <w:r w:rsidRPr="003D6F79">
        <w:rPr>
          <w:szCs w:val="27"/>
        </w:rPr>
        <w:t>, at pp. 43, 45, 51, 85.)  Modifications to pension rights present many complexities, and courts must determine their validity “</w:t>
      </w:r>
      <w:r w:rsidR="00CE12E5">
        <w:rPr>
          <w:szCs w:val="27"/>
        </w:rPr>
        <w:t> </w:t>
      </w:r>
      <w:r w:rsidRPr="003D6F79">
        <w:rPr>
          <w:szCs w:val="27"/>
        </w:rPr>
        <w:t xml:space="preserve">‘upon the facts of each case.’ ”  (Maj. </w:t>
      </w:r>
      <w:proofErr w:type="spellStart"/>
      <w:r w:rsidRPr="003D6F79">
        <w:rPr>
          <w:szCs w:val="27"/>
        </w:rPr>
        <w:t>opn</w:t>
      </w:r>
      <w:proofErr w:type="spellEnd"/>
      <w:r w:rsidRPr="003D6F79">
        <w:rPr>
          <w:szCs w:val="27"/>
        </w:rPr>
        <w:t xml:space="preserve">., </w:t>
      </w:r>
      <w:r w:rsidRPr="003D6F79">
        <w:rPr>
          <w:i/>
          <w:szCs w:val="27"/>
        </w:rPr>
        <w:t>ante</w:t>
      </w:r>
      <w:r w:rsidRPr="003D6F79">
        <w:rPr>
          <w:szCs w:val="27"/>
        </w:rPr>
        <w:t>, at p. 85, quoting</w:t>
      </w:r>
      <w:r w:rsidRPr="003D6F79">
        <w:rPr>
          <w:i/>
          <w:szCs w:val="27"/>
        </w:rPr>
        <w:t xml:space="preserve"> Allen v. City of Long Beach </w:t>
      </w:r>
      <w:r w:rsidRPr="003D6F79">
        <w:rPr>
          <w:szCs w:val="27"/>
        </w:rPr>
        <w:t xml:space="preserve">(1955) 45 Cal.2d 128, 131.)  Second, at no point did plaintiffs in this case attempt to show the amended definition was unnecessary to achieve the Legislature’s permissible purpose, or was otherwise unreasonable.  </w:t>
      </w:r>
    </w:p>
    <w:p w14:paraId="6E7F4EAE" w14:textId="77777777" w:rsidR="003D6F79" w:rsidRPr="003D6F79" w:rsidRDefault="003D6F79" w:rsidP="003D6F79">
      <w:pPr>
        <w:ind w:firstLine="720"/>
        <w:rPr>
          <w:szCs w:val="27"/>
        </w:rPr>
      </w:pPr>
      <w:r w:rsidRPr="003D6F79">
        <w:rPr>
          <w:szCs w:val="27"/>
        </w:rPr>
        <w:t xml:space="preserve">With that understanding, I concur in the Chief Justice’s opinion for the court.  </w:t>
      </w:r>
    </w:p>
    <w:p w14:paraId="24FA6764" w14:textId="77777777" w:rsidR="003D6F79" w:rsidRPr="003D6F79" w:rsidRDefault="003D6F79" w:rsidP="003D6F79">
      <w:pPr>
        <w:ind w:left="5040" w:firstLine="720"/>
        <w:rPr>
          <w:b/>
        </w:rPr>
      </w:pPr>
      <w:r w:rsidRPr="003D6F79">
        <w:rPr>
          <w:b/>
          <w:szCs w:val="27"/>
        </w:rPr>
        <w:t>CUÉLLAR, J.</w:t>
      </w:r>
    </w:p>
    <w:p w14:paraId="355D3CAC" w14:textId="77777777" w:rsidR="003D6F79" w:rsidRPr="003D6F79" w:rsidRDefault="003D6F79" w:rsidP="003D6F79">
      <w:pPr>
        <w:ind w:firstLine="720"/>
      </w:pPr>
    </w:p>
    <w:p w14:paraId="6BDC55A9" w14:textId="77777777" w:rsidR="003D6F79" w:rsidRDefault="003D6F79" w:rsidP="009564D8">
      <w:pPr>
        <w:spacing w:after="0" w:line="240" w:lineRule="auto"/>
        <w:rPr>
          <w:b/>
          <w:bCs/>
        </w:rPr>
        <w:sectPr w:rsidR="003D6F79" w:rsidSect="00D81D5A">
          <w:headerReference w:type="default" r:id="rId13"/>
          <w:headerReference w:type="first" r:id="rId14"/>
          <w:footerReference w:type="first" r:id="rId15"/>
          <w:pgSz w:w="12240" w:h="15840"/>
          <w:pgMar w:top="1800" w:right="2160" w:bottom="1440" w:left="2160" w:header="720" w:footer="720" w:gutter="0"/>
          <w:pgNumType w:start="1"/>
          <w:cols w:space="720"/>
          <w:titlePg/>
          <w:docGrid w:linePitch="367"/>
        </w:sectPr>
      </w:pPr>
    </w:p>
    <w:p w14:paraId="743D57A5" w14:textId="77777777" w:rsidR="006446AC" w:rsidRPr="006446AC" w:rsidRDefault="006446AC" w:rsidP="006446AC">
      <w:pPr>
        <w:spacing w:after="0" w:line="240" w:lineRule="auto"/>
        <w:jc w:val="left"/>
        <w:rPr>
          <w:rFonts w:ascii="Times New Roman" w:hAnsi="Times New Roman"/>
          <w:i/>
          <w:sz w:val="20"/>
        </w:rPr>
      </w:pPr>
      <w:bookmarkStart w:id="58" w:name="_Hlk46904967"/>
      <w:r w:rsidRPr="006446AC">
        <w:rPr>
          <w:rFonts w:ascii="Times New Roman" w:hAnsi="Times New Roman"/>
          <w:i/>
          <w:sz w:val="20"/>
        </w:rPr>
        <w:t>See next page for addresses and telephone numbers for counsel who argued in Supreme Court.</w:t>
      </w:r>
    </w:p>
    <w:p w14:paraId="70583E5D" w14:textId="77777777" w:rsidR="006446AC" w:rsidRPr="006446AC" w:rsidRDefault="006446AC" w:rsidP="006446AC">
      <w:pPr>
        <w:spacing w:after="0" w:line="240" w:lineRule="auto"/>
        <w:jc w:val="left"/>
        <w:rPr>
          <w:rFonts w:ascii="Times New Roman" w:hAnsi="Times New Roman"/>
          <w:i/>
          <w:sz w:val="20"/>
        </w:rPr>
      </w:pPr>
    </w:p>
    <w:p w14:paraId="045D6582" w14:textId="77777777" w:rsidR="006446AC" w:rsidRPr="006446AC" w:rsidRDefault="006446AC" w:rsidP="006446AC">
      <w:pPr>
        <w:spacing w:after="0" w:line="240" w:lineRule="auto"/>
        <w:jc w:val="left"/>
        <w:rPr>
          <w:rFonts w:ascii="Times New Roman" w:hAnsi="Times New Roman"/>
          <w:b/>
          <w:sz w:val="20"/>
        </w:rPr>
      </w:pPr>
      <w:r w:rsidRPr="006446AC">
        <w:rPr>
          <w:rFonts w:ascii="Times New Roman" w:hAnsi="Times New Roman"/>
          <w:b/>
          <w:sz w:val="20"/>
        </w:rPr>
        <w:t xml:space="preserve">Name of Opinion </w:t>
      </w:r>
      <w:r w:rsidRPr="006446AC">
        <w:rPr>
          <w:rFonts w:ascii="Times New Roman" w:hAnsi="Times New Roman"/>
          <w:bCs/>
          <w:sz w:val="20"/>
        </w:rPr>
        <w:t>Alameda County Deputy Sheriff’s Assn. v. Alameda County Employees’ Retirement Assn.</w:t>
      </w:r>
      <w:r w:rsidRPr="006446AC">
        <w:rPr>
          <w:rFonts w:ascii="Times New Roman" w:hAnsi="Times New Roman"/>
          <w:b/>
          <w:sz w:val="20"/>
        </w:rPr>
        <w:t xml:space="preserve"> </w:t>
      </w:r>
      <w:r w:rsidRPr="006446AC">
        <w:rPr>
          <w:rFonts w:ascii="Times New Roman" w:hAnsi="Times New Roman"/>
          <w:bCs/>
          <w:sz w:val="20"/>
        </w:rPr>
        <w:t xml:space="preserve"> </w:t>
      </w:r>
      <w:r w:rsidRPr="006446AC">
        <w:rPr>
          <w:rFonts w:ascii="Times New Roman" w:hAnsi="Times New Roman"/>
          <w:sz w:val="20"/>
        </w:rPr>
        <w:t xml:space="preserve"> </w:t>
      </w:r>
      <w:r w:rsidRPr="006446AC">
        <w:rPr>
          <w:rFonts w:ascii="Times New Roman" w:hAnsi="Times New Roman"/>
          <w:b/>
          <w:sz w:val="20"/>
        </w:rPr>
        <w:t>__________________________________________________________________________________</w:t>
      </w:r>
    </w:p>
    <w:p w14:paraId="0E0BD91D" w14:textId="77777777" w:rsidR="006446AC" w:rsidRPr="006446AC" w:rsidRDefault="006446AC" w:rsidP="006446AC">
      <w:pPr>
        <w:spacing w:after="0" w:line="240" w:lineRule="auto"/>
        <w:jc w:val="left"/>
        <w:rPr>
          <w:rFonts w:ascii="Times New Roman" w:hAnsi="Times New Roman"/>
          <w:b/>
          <w:sz w:val="20"/>
        </w:rPr>
      </w:pPr>
    </w:p>
    <w:p w14:paraId="7794D971" w14:textId="77777777" w:rsidR="006446AC" w:rsidRPr="006446AC" w:rsidRDefault="006446AC" w:rsidP="006446AC">
      <w:pPr>
        <w:spacing w:after="0" w:line="240" w:lineRule="auto"/>
        <w:jc w:val="left"/>
        <w:rPr>
          <w:rFonts w:ascii="Times New Roman" w:hAnsi="Times New Roman"/>
          <w:bCs/>
          <w:sz w:val="20"/>
        </w:rPr>
      </w:pPr>
      <w:r w:rsidRPr="006446AC">
        <w:rPr>
          <w:rFonts w:ascii="Times New Roman" w:hAnsi="Times New Roman"/>
          <w:b/>
          <w:sz w:val="20"/>
        </w:rPr>
        <w:t>Unpublished Opinion</w:t>
      </w:r>
    </w:p>
    <w:p w14:paraId="2466AED3" w14:textId="77777777" w:rsidR="006446AC" w:rsidRPr="006446AC" w:rsidRDefault="006446AC" w:rsidP="006446AC">
      <w:pPr>
        <w:spacing w:after="0" w:line="240" w:lineRule="auto"/>
        <w:jc w:val="left"/>
        <w:rPr>
          <w:rFonts w:ascii="Times New Roman" w:hAnsi="Times New Roman"/>
          <w:sz w:val="20"/>
        </w:rPr>
      </w:pPr>
      <w:r w:rsidRPr="006446AC">
        <w:rPr>
          <w:rFonts w:ascii="Times New Roman" w:hAnsi="Times New Roman"/>
          <w:b/>
          <w:sz w:val="20"/>
        </w:rPr>
        <w:t>Original Appeal</w:t>
      </w:r>
    </w:p>
    <w:p w14:paraId="124DA85A" w14:textId="77777777" w:rsidR="006446AC" w:rsidRPr="006446AC" w:rsidRDefault="006446AC" w:rsidP="006446AC">
      <w:pPr>
        <w:spacing w:after="0" w:line="240" w:lineRule="auto"/>
        <w:jc w:val="left"/>
        <w:rPr>
          <w:rFonts w:ascii="Times New Roman" w:hAnsi="Times New Roman"/>
          <w:b/>
          <w:sz w:val="20"/>
        </w:rPr>
      </w:pPr>
      <w:r w:rsidRPr="006446AC">
        <w:rPr>
          <w:rFonts w:ascii="Times New Roman" w:hAnsi="Times New Roman"/>
          <w:b/>
          <w:sz w:val="20"/>
        </w:rPr>
        <w:t xml:space="preserve">Original Proceeding </w:t>
      </w:r>
    </w:p>
    <w:p w14:paraId="4840340D" w14:textId="77777777" w:rsidR="006446AC" w:rsidRPr="006446AC" w:rsidRDefault="006446AC" w:rsidP="006446AC">
      <w:pPr>
        <w:spacing w:after="0" w:line="240" w:lineRule="auto"/>
        <w:jc w:val="left"/>
        <w:rPr>
          <w:rFonts w:ascii="Times New Roman" w:hAnsi="Times New Roman"/>
          <w:bCs/>
          <w:sz w:val="20"/>
        </w:rPr>
      </w:pPr>
      <w:r w:rsidRPr="006446AC">
        <w:rPr>
          <w:rFonts w:ascii="Times New Roman" w:hAnsi="Times New Roman"/>
          <w:b/>
          <w:sz w:val="20"/>
        </w:rPr>
        <w:t xml:space="preserve">Review Granted </w:t>
      </w:r>
      <w:r w:rsidRPr="006446AC">
        <w:rPr>
          <w:rFonts w:ascii="Times New Roman" w:hAnsi="Times New Roman"/>
          <w:bCs/>
          <w:sz w:val="20"/>
        </w:rPr>
        <w:t>XX 19 Cal.App.5th 61</w:t>
      </w:r>
    </w:p>
    <w:p w14:paraId="6219A8C4" w14:textId="77777777" w:rsidR="006446AC" w:rsidRPr="006446AC" w:rsidRDefault="006446AC" w:rsidP="006446AC">
      <w:pPr>
        <w:spacing w:after="0" w:line="240" w:lineRule="auto"/>
        <w:jc w:val="left"/>
        <w:rPr>
          <w:rFonts w:ascii="Times New Roman" w:hAnsi="Times New Roman"/>
          <w:b/>
          <w:sz w:val="20"/>
        </w:rPr>
      </w:pPr>
      <w:r w:rsidRPr="006446AC">
        <w:rPr>
          <w:rFonts w:ascii="Times New Roman" w:hAnsi="Times New Roman"/>
          <w:b/>
          <w:sz w:val="20"/>
        </w:rPr>
        <w:t>Rehearing Granted</w:t>
      </w:r>
    </w:p>
    <w:p w14:paraId="0D6C6370" w14:textId="77777777" w:rsidR="006446AC" w:rsidRPr="006446AC" w:rsidRDefault="006446AC" w:rsidP="006446AC">
      <w:pPr>
        <w:spacing w:after="0" w:line="240" w:lineRule="auto"/>
        <w:jc w:val="left"/>
        <w:rPr>
          <w:rFonts w:ascii="Times New Roman" w:hAnsi="Times New Roman"/>
          <w:b/>
          <w:sz w:val="20"/>
        </w:rPr>
      </w:pPr>
    </w:p>
    <w:p w14:paraId="122F794F" w14:textId="77777777" w:rsidR="006446AC" w:rsidRPr="006446AC" w:rsidRDefault="006446AC" w:rsidP="006446AC">
      <w:pPr>
        <w:spacing w:after="0" w:line="240" w:lineRule="auto"/>
        <w:jc w:val="left"/>
        <w:rPr>
          <w:rFonts w:ascii="Times New Roman" w:hAnsi="Times New Roman"/>
          <w:b/>
          <w:sz w:val="20"/>
        </w:rPr>
      </w:pPr>
      <w:r w:rsidRPr="006446AC">
        <w:rPr>
          <w:rFonts w:ascii="Times New Roman" w:hAnsi="Times New Roman"/>
          <w:b/>
          <w:sz w:val="20"/>
        </w:rPr>
        <w:t>__________________________________________________________________________________</w:t>
      </w:r>
    </w:p>
    <w:p w14:paraId="424D9953" w14:textId="77777777" w:rsidR="006446AC" w:rsidRPr="006446AC" w:rsidRDefault="006446AC" w:rsidP="006446AC">
      <w:pPr>
        <w:spacing w:after="0" w:line="240" w:lineRule="auto"/>
        <w:jc w:val="left"/>
        <w:rPr>
          <w:rFonts w:ascii="Times New Roman" w:hAnsi="Times New Roman"/>
          <w:b/>
          <w:sz w:val="20"/>
        </w:rPr>
      </w:pPr>
    </w:p>
    <w:p w14:paraId="35FFE5E3" w14:textId="77777777" w:rsidR="006446AC" w:rsidRPr="006446AC" w:rsidRDefault="006446AC" w:rsidP="006446AC">
      <w:pPr>
        <w:spacing w:after="0" w:line="240" w:lineRule="auto"/>
        <w:jc w:val="left"/>
        <w:rPr>
          <w:rFonts w:ascii="Times New Roman" w:hAnsi="Times New Roman"/>
          <w:bCs/>
          <w:sz w:val="20"/>
        </w:rPr>
      </w:pPr>
      <w:r w:rsidRPr="006446AC">
        <w:rPr>
          <w:rFonts w:ascii="Times New Roman" w:hAnsi="Times New Roman"/>
          <w:b/>
          <w:sz w:val="20"/>
        </w:rPr>
        <w:t>Opinion No.</w:t>
      </w:r>
      <w:r w:rsidRPr="006446AC">
        <w:rPr>
          <w:rFonts w:ascii="Times New Roman" w:hAnsi="Times New Roman"/>
          <w:sz w:val="20"/>
        </w:rPr>
        <w:t xml:space="preserve"> S247095</w:t>
      </w:r>
    </w:p>
    <w:p w14:paraId="3522FC0C" w14:textId="77777777" w:rsidR="006446AC" w:rsidRPr="006446AC" w:rsidRDefault="006446AC" w:rsidP="006446AC">
      <w:pPr>
        <w:spacing w:after="0" w:line="240" w:lineRule="auto"/>
        <w:jc w:val="left"/>
        <w:rPr>
          <w:rFonts w:ascii="Times New Roman" w:hAnsi="Times New Roman"/>
          <w:bCs/>
          <w:sz w:val="20"/>
        </w:rPr>
      </w:pPr>
      <w:r w:rsidRPr="006446AC">
        <w:rPr>
          <w:rFonts w:ascii="Times New Roman" w:hAnsi="Times New Roman"/>
          <w:b/>
          <w:sz w:val="20"/>
        </w:rPr>
        <w:t>Date Filed:</w:t>
      </w:r>
      <w:r w:rsidRPr="006446AC">
        <w:rPr>
          <w:rFonts w:ascii="Times New Roman" w:hAnsi="Times New Roman"/>
          <w:sz w:val="20"/>
        </w:rPr>
        <w:t xml:space="preserve"> July 30, 2020</w:t>
      </w:r>
    </w:p>
    <w:p w14:paraId="1A2C363F" w14:textId="77777777" w:rsidR="006446AC" w:rsidRPr="006446AC" w:rsidRDefault="006446AC" w:rsidP="006446AC">
      <w:pPr>
        <w:spacing w:after="0" w:line="240" w:lineRule="auto"/>
        <w:jc w:val="left"/>
        <w:rPr>
          <w:rFonts w:ascii="Times New Roman" w:hAnsi="Times New Roman"/>
          <w:b/>
          <w:sz w:val="20"/>
        </w:rPr>
      </w:pPr>
      <w:r w:rsidRPr="006446AC">
        <w:rPr>
          <w:rFonts w:ascii="Times New Roman" w:hAnsi="Times New Roman"/>
          <w:b/>
          <w:sz w:val="20"/>
        </w:rPr>
        <w:t>__________________________________________________________________________________</w:t>
      </w:r>
    </w:p>
    <w:p w14:paraId="2D29D938" w14:textId="77777777" w:rsidR="006446AC" w:rsidRPr="006446AC" w:rsidRDefault="006446AC" w:rsidP="006446AC">
      <w:pPr>
        <w:spacing w:after="0" w:line="240" w:lineRule="auto"/>
        <w:jc w:val="left"/>
        <w:rPr>
          <w:rFonts w:ascii="Times New Roman" w:hAnsi="Times New Roman"/>
          <w:b/>
          <w:sz w:val="20"/>
        </w:rPr>
      </w:pPr>
    </w:p>
    <w:p w14:paraId="397EF403" w14:textId="77777777" w:rsidR="006446AC" w:rsidRPr="006446AC" w:rsidRDefault="006446AC" w:rsidP="006446AC">
      <w:pPr>
        <w:spacing w:after="0" w:line="240" w:lineRule="auto"/>
        <w:jc w:val="left"/>
        <w:rPr>
          <w:rFonts w:ascii="Times New Roman" w:hAnsi="Times New Roman"/>
          <w:bCs/>
          <w:sz w:val="20"/>
        </w:rPr>
      </w:pPr>
      <w:r w:rsidRPr="006446AC">
        <w:rPr>
          <w:rFonts w:ascii="Times New Roman" w:hAnsi="Times New Roman"/>
          <w:b/>
          <w:sz w:val="20"/>
        </w:rPr>
        <w:t xml:space="preserve">Court:   </w:t>
      </w:r>
      <w:r w:rsidRPr="006446AC">
        <w:rPr>
          <w:rFonts w:ascii="Times New Roman" w:hAnsi="Times New Roman"/>
          <w:bCs/>
          <w:sz w:val="20"/>
        </w:rPr>
        <w:t>Superior</w:t>
      </w:r>
    </w:p>
    <w:p w14:paraId="5663F98B" w14:textId="77777777" w:rsidR="006446AC" w:rsidRPr="006446AC" w:rsidRDefault="006446AC" w:rsidP="006446AC">
      <w:pPr>
        <w:spacing w:after="0" w:line="240" w:lineRule="auto"/>
        <w:jc w:val="left"/>
        <w:rPr>
          <w:rFonts w:ascii="Times New Roman" w:hAnsi="Times New Roman"/>
          <w:bCs/>
          <w:sz w:val="20"/>
        </w:rPr>
      </w:pPr>
      <w:r w:rsidRPr="006446AC">
        <w:rPr>
          <w:rFonts w:ascii="Times New Roman" w:hAnsi="Times New Roman"/>
          <w:b/>
          <w:sz w:val="20"/>
        </w:rPr>
        <w:t xml:space="preserve">County:  </w:t>
      </w:r>
      <w:r w:rsidRPr="006446AC">
        <w:rPr>
          <w:rFonts w:ascii="Times New Roman" w:hAnsi="Times New Roman"/>
          <w:bCs/>
          <w:sz w:val="20"/>
        </w:rPr>
        <w:t>Contra Costa</w:t>
      </w:r>
    </w:p>
    <w:p w14:paraId="54693D42" w14:textId="77777777" w:rsidR="006446AC" w:rsidRPr="006446AC" w:rsidRDefault="006446AC" w:rsidP="006446AC">
      <w:pPr>
        <w:spacing w:after="0" w:line="240" w:lineRule="auto"/>
        <w:ind w:left="720" w:hanging="720"/>
        <w:jc w:val="left"/>
        <w:rPr>
          <w:rFonts w:ascii="Times New Roman" w:hAnsi="Times New Roman"/>
          <w:bCs/>
          <w:sz w:val="20"/>
        </w:rPr>
      </w:pPr>
      <w:r w:rsidRPr="006446AC">
        <w:rPr>
          <w:rFonts w:ascii="Times New Roman" w:hAnsi="Times New Roman"/>
          <w:b/>
          <w:sz w:val="20"/>
        </w:rPr>
        <w:t xml:space="preserve">Judge:  </w:t>
      </w:r>
      <w:r w:rsidRPr="006446AC">
        <w:rPr>
          <w:rFonts w:ascii="Times New Roman" w:hAnsi="Times New Roman"/>
          <w:bCs/>
          <w:sz w:val="20"/>
        </w:rPr>
        <w:t>David B. Flinn</w:t>
      </w:r>
    </w:p>
    <w:p w14:paraId="645FFF2A" w14:textId="77777777" w:rsidR="006446AC" w:rsidRPr="006446AC" w:rsidRDefault="006446AC" w:rsidP="006446AC">
      <w:pPr>
        <w:spacing w:after="0" w:line="240" w:lineRule="auto"/>
        <w:jc w:val="left"/>
        <w:rPr>
          <w:rFonts w:ascii="Times New Roman" w:hAnsi="Times New Roman"/>
          <w:b/>
          <w:sz w:val="20"/>
        </w:rPr>
      </w:pPr>
    </w:p>
    <w:p w14:paraId="51CCE791" w14:textId="77777777" w:rsidR="006446AC" w:rsidRPr="006446AC" w:rsidRDefault="006446AC" w:rsidP="006446AC">
      <w:pPr>
        <w:spacing w:after="0" w:line="240" w:lineRule="auto"/>
        <w:jc w:val="left"/>
        <w:rPr>
          <w:rFonts w:ascii="Times New Roman" w:hAnsi="Times New Roman"/>
          <w:b/>
          <w:sz w:val="20"/>
        </w:rPr>
      </w:pPr>
      <w:r w:rsidRPr="006446AC">
        <w:rPr>
          <w:rFonts w:ascii="Times New Roman" w:hAnsi="Times New Roman"/>
          <w:b/>
          <w:sz w:val="20"/>
        </w:rPr>
        <w:t>__________________________________________________________________________________</w:t>
      </w:r>
    </w:p>
    <w:p w14:paraId="3CDC8270" w14:textId="77777777" w:rsidR="006446AC" w:rsidRPr="006446AC" w:rsidRDefault="006446AC" w:rsidP="006446AC">
      <w:pPr>
        <w:spacing w:after="0" w:line="240" w:lineRule="auto"/>
        <w:jc w:val="left"/>
        <w:rPr>
          <w:rFonts w:ascii="Times New Roman" w:hAnsi="Times New Roman"/>
          <w:b/>
          <w:sz w:val="20"/>
        </w:rPr>
      </w:pPr>
    </w:p>
    <w:p w14:paraId="7284D794" w14:textId="77777777" w:rsidR="006446AC" w:rsidRPr="006446AC" w:rsidRDefault="006446AC" w:rsidP="006446AC">
      <w:pPr>
        <w:spacing w:after="0" w:line="240" w:lineRule="auto"/>
        <w:jc w:val="left"/>
        <w:rPr>
          <w:rFonts w:ascii="Times New Roman" w:hAnsi="Times New Roman"/>
          <w:b/>
          <w:sz w:val="20"/>
        </w:rPr>
      </w:pPr>
      <w:r w:rsidRPr="006446AC">
        <w:rPr>
          <w:rFonts w:ascii="Times New Roman" w:hAnsi="Times New Roman"/>
          <w:b/>
          <w:sz w:val="20"/>
        </w:rPr>
        <w:t xml:space="preserve">Counsel: </w:t>
      </w:r>
    </w:p>
    <w:p w14:paraId="6D4F413F" w14:textId="77777777" w:rsidR="006446AC" w:rsidRPr="006446AC" w:rsidRDefault="006446AC" w:rsidP="006446AC">
      <w:pPr>
        <w:spacing w:after="0" w:line="240" w:lineRule="auto"/>
        <w:jc w:val="left"/>
        <w:rPr>
          <w:rFonts w:ascii="Times New Roman" w:hAnsi="Times New Roman"/>
          <w:b/>
          <w:sz w:val="20"/>
        </w:rPr>
      </w:pPr>
    </w:p>
    <w:p w14:paraId="14871117" w14:textId="30D02C22"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proofErr w:type="spellStart"/>
      <w:r w:rsidRPr="006446AC">
        <w:rPr>
          <w:rFonts w:ascii="Times New Roman" w:hAnsi="Times New Roman"/>
          <w:color w:val="000000" w:themeColor="text1"/>
          <w:sz w:val="20"/>
          <w:shd w:val="clear" w:color="auto" w:fill="FFFFFF"/>
        </w:rPr>
        <w:t>Mastagni</w:t>
      </w:r>
      <w:proofErr w:type="spellEnd"/>
      <w:r w:rsidRPr="006446AC">
        <w:rPr>
          <w:rFonts w:ascii="Times New Roman" w:hAnsi="Times New Roman"/>
          <w:color w:val="000000" w:themeColor="text1"/>
          <w:sz w:val="20"/>
          <w:shd w:val="clear" w:color="auto" w:fill="FFFFFF"/>
        </w:rPr>
        <w:t xml:space="preserve"> </w:t>
      </w:r>
      <w:proofErr w:type="spellStart"/>
      <w:r w:rsidRPr="006446AC">
        <w:rPr>
          <w:rFonts w:ascii="Times New Roman" w:hAnsi="Times New Roman"/>
          <w:color w:val="000000" w:themeColor="text1"/>
          <w:sz w:val="20"/>
          <w:shd w:val="clear" w:color="auto" w:fill="FFFFFF"/>
        </w:rPr>
        <w:t>Holstedt</w:t>
      </w:r>
      <w:proofErr w:type="spellEnd"/>
      <w:r w:rsidRPr="006446AC">
        <w:rPr>
          <w:rFonts w:ascii="Times New Roman" w:hAnsi="Times New Roman"/>
          <w:color w:val="000000" w:themeColor="text1"/>
          <w:sz w:val="20"/>
          <w:shd w:val="clear" w:color="auto" w:fill="FFFFFF"/>
        </w:rPr>
        <w:t xml:space="preserve">, </w:t>
      </w:r>
      <w:proofErr w:type="spellStart"/>
      <w:r w:rsidRPr="006446AC">
        <w:rPr>
          <w:rFonts w:ascii="Times New Roman" w:hAnsi="Times New Roman"/>
          <w:color w:val="000000" w:themeColor="text1"/>
          <w:sz w:val="20"/>
          <w:shd w:val="clear" w:color="auto" w:fill="FFFFFF"/>
        </w:rPr>
        <w:t>Mastagni</w:t>
      </w:r>
      <w:proofErr w:type="spellEnd"/>
      <w:r w:rsidRPr="006446AC">
        <w:rPr>
          <w:rFonts w:ascii="Times New Roman" w:hAnsi="Times New Roman"/>
          <w:color w:val="000000" w:themeColor="text1"/>
          <w:sz w:val="20"/>
          <w:shd w:val="clear" w:color="auto" w:fill="FFFFFF"/>
        </w:rPr>
        <w:t xml:space="preserve">, </w:t>
      </w:r>
      <w:proofErr w:type="spellStart"/>
      <w:r w:rsidRPr="006446AC">
        <w:rPr>
          <w:rFonts w:ascii="Times New Roman" w:hAnsi="Times New Roman"/>
          <w:color w:val="000000" w:themeColor="text1"/>
          <w:sz w:val="20"/>
          <w:shd w:val="clear" w:color="auto" w:fill="FFFFFF"/>
        </w:rPr>
        <w:t>Holstedt</w:t>
      </w:r>
      <w:proofErr w:type="spellEnd"/>
      <w:r w:rsidRPr="006446AC">
        <w:rPr>
          <w:rFonts w:ascii="Times New Roman" w:hAnsi="Times New Roman"/>
          <w:color w:val="000000" w:themeColor="text1"/>
          <w:sz w:val="20"/>
          <w:shd w:val="clear" w:color="auto" w:fill="FFFFFF"/>
        </w:rPr>
        <w:t xml:space="preserve">, Amick, Miller &amp; Associates, David P. </w:t>
      </w:r>
      <w:proofErr w:type="spellStart"/>
      <w:r w:rsidRPr="006446AC">
        <w:rPr>
          <w:rFonts w:ascii="Times New Roman" w:hAnsi="Times New Roman"/>
          <w:color w:val="000000" w:themeColor="text1"/>
          <w:sz w:val="20"/>
          <w:shd w:val="clear" w:color="auto" w:fill="FFFFFF"/>
        </w:rPr>
        <w:t>Mastagni</w:t>
      </w:r>
      <w:proofErr w:type="spellEnd"/>
      <w:r w:rsidRPr="006446AC">
        <w:rPr>
          <w:rFonts w:ascii="Times New Roman" w:hAnsi="Times New Roman"/>
          <w:color w:val="000000" w:themeColor="text1"/>
          <w:sz w:val="20"/>
          <w:shd w:val="clear" w:color="auto" w:fill="FFFFFF"/>
        </w:rPr>
        <w:t xml:space="preserve">, David E. </w:t>
      </w:r>
      <w:proofErr w:type="spellStart"/>
      <w:r w:rsidRPr="006446AC">
        <w:rPr>
          <w:rFonts w:ascii="Times New Roman" w:hAnsi="Times New Roman"/>
          <w:color w:val="000000" w:themeColor="text1"/>
          <w:sz w:val="20"/>
          <w:shd w:val="clear" w:color="auto" w:fill="FFFFFF"/>
        </w:rPr>
        <w:t>Mastagni</w:t>
      </w:r>
      <w:proofErr w:type="spellEnd"/>
      <w:r w:rsidRPr="006446AC">
        <w:rPr>
          <w:rFonts w:ascii="Times New Roman" w:hAnsi="Times New Roman"/>
          <w:color w:val="000000" w:themeColor="text1"/>
          <w:sz w:val="20"/>
          <w:shd w:val="clear" w:color="auto" w:fill="FFFFFF"/>
        </w:rPr>
        <w:t xml:space="preserve"> and Isaac S. Stevens for Plaintiffs and Appellants Alameda County Deputy Sheriff</w:t>
      </w:r>
      <w:r w:rsidR="001A6F6B">
        <w:rPr>
          <w:rFonts w:ascii="Times New Roman" w:hAnsi="Times New Roman"/>
          <w:color w:val="000000" w:themeColor="text1"/>
          <w:sz w:val="20"/>
          <w:shd w:val="clear" w:color="auto" w:fill="FFFFFF"/>
        </w:rPr>
        <w:t>’</w:t>
      </w:r>
      <w:r w:rsidRPr="006446AC">
        <w:rPr>
          <w:rFonts w:ascii="Times New Roman" w:hAnsi="Times New Roman"/>
          <w:color w:val="000000" w:themeColor="text1"/>
          <w:sz w:val="20"/>
          <w:shd w:val="clear" w:color="auto" w:fill="FFFFFF"/>
        </w:rPr>
        <w:t>s Association, Jon Rudolph, Rocky Medeiros, James Nelson and Darlene Hornsby.</w:t>
      </w:r>
    </w:p>
    <w:p w14:paraId="1CA754EF"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p>
    <w:p w14:paraId="5A72036E"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r w:rsidRPr="006446AC">
        <w:rPr>
          <w:rFonts w:ascii="Times New Roman" w:hAnsi="Times New Roman"/>
          <w:color w:val="000000" w:themeColor="text1"/>
          <w:sz w:val="20"/>
          <w:shd w:val="clear" w:color="auto" w:fill="FFFFFF"/>
        </w:rPr>
        <w:t xml:space="preserve">Leonard Carder, Peter Saltzman and Arthur </w:t>
      </w:r>
      <w:proofErr w:type="spellStart"/>
      <w:r w:rsidRPr="006446AC">
        <w:rPr>
          <w:rFonts w:ascii="Times New Roman" w:hAnsi="Times New Roman"/>
          <w:color w:val="000000" w:themeColor="text1"/>
          <w:sz w:val="20"/>
          <w:shd w:val="clear" w:color="auto" w:fill="FFFFFF"/>
        </w:rPr>
        <w:t>Liou</w:t>
      </w:r>
      <w:proofErr w:type="spellEnd"/>
      <w:r w:rsidRPr="006446AC">
        <w:rPr>
          <w:rFonts w:ascii="Times New Roman" w:hAnsi="Times New Roman"/>
          <w:color w:val="000000" w:themeColor="text1"/>
          <w:sz w:val="20"/>
          <w:shd w:val="clear" w:color="auto" w:fill="FFFFFF"/>
        </w:rPr>
        <w:t xml:space="preserve"> for Plaintiffs and Appellants Public Employees Union, Local 1, International Federation of Professional and Technical Engineers, Local 21, Alameda County Management Employees’ Association, David M. </w:t>
      </w:r>
      <w:proofErr w:type="spellStart"/>
      <w:r w:rsidRPr="006446AC">
        <w:rPr>
          <w:rFonts w:ascii="Times New Roman" w:hAnsi="Times New Roman"/>
          <w:color w:val="000000" w:themeColor="text1"/>
          <w:sz w:val="20"/>
          <w:shd w:val="clear" w:color="auto" w:fill="FFFFFF"/>
        </w:rPr>
        <w:t>Rolley</w:t>
      </w:r>
      <w:proofErr w:type="spellEnd"/>
      <w:r w:rsidRPr="006446AC">
        <w:rPr>
          <w:rFonts w:ascii="Times New Roman" w:hAnsi="Times New Roman"/>
          <w:color w:val="000000" w:themeColor="text1"/>
          <w:sz w:val="20"/>
          <w:shd w:val="clear" w:color="auto" w:fill="FFFFFF"/>
        </w:rPr>
        <w:t>, Peter J. Ellis and Susan Guest.</w:t>
      </w:r>
    </w:p>
    <w:p w14:paraId="62FA6C0D"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p>
    <w:p w14:paraId="3C100770"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r w:rsidRPr="006446AC">
        <w:rPr>
          <w:rFonts w:ascii="Times New Roman" w:hAnsi="Times New Roman"/>
          <w:color w:val="000000" w:themeColor="text1"/>
          <w:sz w:val="20"/>
          <w:bdr w:val="none" w:sz="0" w:space="0" w:color="auto" w:frame="1"/>
        </w:rPr>
        <w:t xml:space="preserve">Rains, Lucia &amp; </w:t>
      </w:r>
      <w:proofErr w:type="spellStart"/>
      <w:r w:rsidRPr="006446AC">
        <w:rPr>
          <w:rFonts w:ascii="Times New Roman" w:hAnsi="Times New Roman"/>
          <w:color w:val="000000" w:themeColor="text1"/>
          <w:sz w:val="20"/>
          <w:bdr w:val="none" w:sz="0" w:space="0" w:color="auto" w:frame="1"/>
        </w:rPr>
        <w:t>Willinson</w:t>
      </w:r>
      <w:proofErr w:type="spellEnd"/>
      <w:r w:rsidRPr="006446AC">
        <w:rPr>
          <w:rFonts w:ascii="Times New Roman" w:hAnsi="Times New Roman"/>
          <w:color w:val="000000" w:themeColor="text1"/>
          <w:sz w:val="20"/>
          <w:shd w:val="clear" w:color="auto" w:fill="FFFFFF"/>
        </w:rPr>
        <w:t xml:space="preserve">, Rains Lucia Stern, St. </w:t>
      </w:r>
      <w:proofErr w:type="spellStart"/>
      <w:r w:rsidRPr="006446AC">
        <w:rPr>
          <w:rFonts w:ascii="Times New Roman" w:hAnsi="Times New Roman"/>
          <w:color w:val="000000" w:themeColor="text1"/>
          <w:sz w:val="20"/>
          <w:shd w:val="clear" w:color="auto" w:fill="FFFFFF"/>
        </w:rPr>
        <w:t>Phalle</w:t>
      </w:r>
      <w:proofErr w:type="spellEnd"/>
      <w:r w:rsidRPr="006446AC">
        <w:rPr>
          <w:rFonts w:ascii="Times New Roman" w:hAnsi="Times New Roman"/>
          <w:color w:val="000000" w:themeColor="text1"/>
          <w:sz w:val="20"/>
          <w:shd w:val="clear" w:color="auto" w:fill="FFFFFF"/>
        </w:rPr>
        <w:t xml:space="preserve"> &amp; Silver, Rockne A. Lucia, Jr., Timothy K. Talbot, Steven M. Betz and Zachery A. Lopes for Plaintiffs and Appellants Contra Costa County Deputy Sheriffs Association and Ken Westermann. </w:t>
      </w:r>
    </w:p>
    <w:p w14:paraId="4DFA2FEC"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p>
    <w:p w14:paraId="120D6194" w14:textId="77777777" w:rsidR="006446AC" w:rsidRPr="006446AC" w:rsidRDefault="006446AC" w:rsidP="006446AC">
      <w:pPr>
        <w:spacing w:after="0" w:line="240" w:lineRule="auto"/>
        <w:jc w:val="left"/>
        <w:rPr>
          <w:rFonts w:ascii="Times New Roman" w:hAnsi="Times New Roman"/>
          <w:color w:val="000000" w:themeColor="text1"/>
          <w:sz w:val="20"/>
          <w:bdr w:val="none" w:sz="0" w:space="0" w:color="auto" w:frame="1"/>
        </w:rPr>
      </w:pPr>
      <w:r w:rsidRPr="006446AC">
        <w:rPr>
          <w:rFonts w:ascii="Times New Roman" w:hAnsi="Times New Roman"/>
          <w:color w:val="000000" w:themeColor="text1"/>
          <w:sz w:val="20"/>
          <w:bdr w:val="none" w:sz="0" w:space="0" w:color="auto" w:frame="1"/>
        </w:rPr>
        <w:t>Weinberg, Roger &amp; Rosenfeld</w:t>
      </w:r>
      <w:r w:rsidRPr="006446AC">
        <w:rPr>
          <w:rFonts w:ascii="Times New Roman" w:hAnsi="Times New Roman"/>
          <w:color w:val="000000" w:themeColor="text1"/>
          <w:sz w:val="20"/>
          <w:shd w:val="clear" w:color="auto" w:fill="FFFFFF"/>
        </w:rPr>
        <w:t xml:space="preserve">, </w:t>
      </w:r>
      <w:r w:rsidRPr="006446AC">
        <w:rPr>
          <w:rFonts w:ascii="Times New Roman" w:hAnsi="Times New Roman"/>
          <w:color w:val="000000" w:themeColor="text1"/>
          <w:sz w:val="20"/>
          <w:bdr w:val="none" w:sz="0" w:space="0" w:color="auto" w:frame="1"/>
        </w:rPr>
        <w:t>Anne I. Yen</w:t>
      </w:r>
      <w:r w:rsidRPr="006446AC">
        <w:rPr>
          <w:rFonts w:ascii="Times New Roman" w:hAnsi="Times New Roman"/>
          <w:color w:val="000000" w:themeColor="text1"/>
          <w:sz w:val="20"/>
          <w:shd w:val="clear" w:color="auto" w:fill="FFFFFF"/>
        </w:rPr>
        <w:t xml:space="preserve">, </w:t>
      </w:r>
      <w:r w:rsidRPr="006446AC">
        <w:rPr>
          <w:rFonts w:ascii="Times New Roman" w:hAnsi="Times New Roman"/>
          <w:color w:val="000000" w:themeColor="text1"/>
          <w:sz w:val="20"/>
          <w:bdr w:val="none" w:sz="0" w:space="0" w:color="auto" w:frame="1"/>
        </w:rPr>
        <w:t>Vincent A. Harrington, Jr.</w:t>
      </w:r>
      <w:r w:rsidRPr="006446AC">
        <w:rPr>
          <w:rFonts w:ascii="Times New Roman" w:hAnsi="Times New Roman"/>
          <w:color w:val="000000" w:themeColor="text1"/>
          <w:sz w:val="20"/>
          <w:shd w:val="clear" w:color="auto" w:fill="FFFFFF"/>
        </w:rPr>
        <w:t xml:space="preserve"> and </w:t>
      </w:r>
      <w:proofErr w:type="spellStart"/>
      <w:r w:rsidRPr="006446AC">
        <w:rPr>
          <w:rFonts w:ascii="Times New Roman" w:hAnsi="Times New Roman"/>
          <w:color w:val="000000" w:themeColor="text1"/>
          <w:sz w:val="20"/>
          <w:bdr w:val="none" w:sz="0" w:space="0" w:color="auto" w:frame="1"/>
        </w:rPr>
        <w:t>Kerianne</w:t>
      </w:r>
      <w:proofErr w:type="spellEnd"/>
      <w:r w:rsidRPr="006446AC">
        <w:rPr>
          <w:rFonts w:ascii="Times New Roman" w:hAnsi="Times New Roman"/>
          <w:color w:val="000000" w:themeColor="text1"/>
          <w:sz w:val="20"/>
          <w:bdr w:val="none" w:sz="0" w:space="0" w:color="auto" w:frame="1"/>
        </w:rPr>
        <w:t xml:space="preserve"> Steele for Plaintiffs and Appellants Service Employees International Union, Local 1021 and Building Trades Council of Alameda County.</w:t>
      </w:r>
    </w:p>
    <w:p w14:paraId="2665335F" w14:textId="77777777" w:rsidR="006446AC" w:rsidRPr="006446AC" w:rsidRDefault="006446AC" w:rsidP="006446AC">
      <w:pPr>
        <w:spacing w:after="0" w:line="240" w:lineRule="auto"/>
        <w:jc w:val="left"/>
        <w:rPr>
          <w:rFonts w:ascii="Times New Roman" w:hAnsi="Times New Roman"/>
          <w:color w:val="000000" w:themeColor="text1"/>
          <w:sz w:val="20"/>
          <w:bdr w:val="none" w:sz="0" w:space="0" w:color="auto" w:frame="1"/>
        </w:rPr>
      </w:pPr>
    </w:p>
    <w:p w14:paraId="13709DBA" w14:textId="77777777" w:rsidR="006446AC" w:rsidRPr="006446AC" w:rsidRDefault="006446AC" w:rsidP="006446AC">
      <w:pPr>
        <w:spacing w:after="0" w:line="240" w:lineRule="auto"/>
        <w:jc w:val="left"/>
        <w:rPr>
          <w:rFonts w:ascii="Times New Roman" w:hAnsi="Times New Roman"/>
          <w:color w:val="000000" w:themeColor="text1"/>
          <w:sz w:val="20"/>
          <w:bdr w:val="none" w:sz="0" w:space="0" w:color="auto" w:frame="1"/>
        </w:rPr>
      </w:pPr>
      <w:proofErr w:type="spellStart"/>
      <w:r w:rsidRPr="006446AC">
        <w:rPr>
          <w:rFonts w:ascii="Times New Roman" w:hAnsi="Times New Roman"/>
          <w:color w:val="000000" w:themeColor="text1"/>
          <w:sz w:val="20"/>
          <w:bdr w:val="none" w:sz="0" w:space="0" w:color="auto" w:frame="1"/>
        </w:rPr>
        <w:t>Bogatin</w:t>
      </w:r>
      <w:proofErr w:type="spellEnd"/>
      <w:r w:rsidRPr="006446AC">
        <w:rPr>
          <w:rFonts w:ascii="Times New Roman" w:hAnsi="Times New Roman"/>
          <w:color w:val="000000" w:themeColor="text1"/>
          <w:sz w:val="20"/>
          <w:bdr w:val="none" w:sz="0" w:space="0" w:color="auto" w:frame="1"/>
        </w:rPr>
        <w:t xml:space="preserve"> Corman &amp; Gold and William I. Corman for Plaintiffs and Appellants Physicians’ and Dentists’ Organization of Contra Costa.</w:t>
      </w:r>
    </w:p>
    <w:p w14:paraId="625FB6B8" w14:textId="77777777" w:rsidR="006446AC" w:rsidRPr="006446AC" w:rsidRDefault="006446AC" w:rsidP="006446AC">
      <w:pPr>
        <w:spacing w:after="0" w:line="240" w:lineRule="auto"/>
        <w:jc w:val="left"/>
        <w:rPr>
          <w:rFonts w:ascii="Times New Roman" w:hAnsi="Times New Roman"/>
          <w:color w:val="000000" w:themeColor="text1"/>
          <w:sz w:val="20"/>
          <w:bdr w:val="none" w:sz="0" w:space="0" w:color="auto" w:frame="1"/>
        </w:rPr>
      </w:pPr>
    </w:p>
    <w:p w14:paraId="0CF19BFF"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r w:rsidRPr="006446AC">
        <w:rPr>
          <w:rFonts w:ascii="Times New Roman" w:hAnsi="Times New Roman"/>
          <w:color w:val="000000" w:themeColor="text1"/>
          <w:sz w:val="20"/>
          <w:shd w:val="clear" w:color="auto" w:fill="FFFFFF"/>
        </w:rPr>
        <w:t xml:space="preserve">Davis, Cowell &amp; Bowe, McCracken, </w:t>
      </w:r>
      <w:proofErr w:type="spellStart"/>
      <w:r w:rsidRPr="006446AC">
        <w:rPr>
          <w:rFonts w:ascii="Times New Roman" w:hAnsi="Times New Roman"/>
          <w:color w:val="000000" w:themeColor="text1"/>
          <w:sz w:val="20"/>
          <w:shd w:val="clear" w:color="auto" w:fill="FFFFFF"/>
        </w:rPr>
        <w:t>Stemerman</w:t>
      </w:r>
      <w:proofErr w:type="spellEnd"/>
      <w:r w:rsidRPr="006446AC">
        <w:rPr>
          <w:rFonts w:ascii="Times New Roman" w:hAnsi="Times New Roman"/>
          <w:color w:val="000000" w:themeColor="text1"/>
          <w:sz w:val="20"/>
          <w:shd w:val="clear" w:color="auto" w:fill="FFFFFF"/>
        </w:rPr>
        <w:t xml:space="preserve"> &amp; </w:t>
      </w:r>
      <w:proofErr w:type="spellStart"/>
      <w:r w:rsidRPr="006446AC">
        <w:rPr>
          <w:rFonts w:ascii="Times New Roman" w:hAnsi="Times New Roman"/>
          <w:color w:val="000000" w:themeColor="text1"/>
          <w:sz w:val="20"/>
          <w:shd w:val="clear" w:color="auto" w:fill="FFFFFF"/>
        </w:rPr>
        <w:t>Holsberry</w:t>
      </w:r>
      <w:proofErr w:type="spellEnd"/>
      <w:r w:rsidRPr="006446AC">
        <w:rPr>
          <w:rFonts w:ascii="Times New Roman" w:hAnsi="Times New Roman"/>
          <w:color w:val="000000" w:themeColor="text1"/>
          <w:sz w:val="20"/>
          <w:shd w:val="clear" w:color="auto" w:fill="FFFFFF"/>
        </w:rPr>
        <w:t xml:space="preserve"> and </w:t>
      </w:r>
      <w:r w:rsidRPr="006446AC">
        <w:rPr>
          <w:rFonts w:ascii="Times New Roman" w:hAnsi="Times New Roman"/>
          <w:color w:val="000000" w:themeColor="text1"/>
          <w:sz w:val="20"/>
          <w:bdr w:val="none" w:sz="0" w:space="0" w:color="auto" w:frame="1"/>
        </w:rPr>
        <w:t xml:space="preserve">W. David </w:t>
      </w:r>
      <w:proofErr w:type="spellStart"/>
      <w:r w:rsidRPr="006446AC">
        <w:rPr>
          <w:rFonts w:ascii="Times New Roman" w:hAnsi="Times New Roman"/>
          <w:color w:val="000000" w:themeColor="text1"/>
          <w:sz w:val="20"/>
          <w:bdr w:val="none" w:sz="0" w:space="0" w:color="auto" w:frame="1"/>
        </w:rPr>
        <w:t>Holsberry</w:t>
      </w:r>
      <w:proofErr w:type="spellEnd"/>
      <w:r w:rsidRPr="006446AC">
        <w:rPr>
          <w:rFonts w:ascii="Times New Roman" w:hAnsi="Times New Roman"/>
          <w:color w:val="000000" w:themeColor="text1"/>
          <w:sz w:val="20"/>
          <w:bdr w:val="none" w:sz="0" w:space="0" w:color="auto" w:frame="1"/>
        </w:rPr>
        <w:t xml:space="preserve"> </w:t>
      </w:r>
      <w:r w:rsidRPr="006446AC">
        <w:rPr>
          <w:rFonts w:ascii="Times New Roman" w:hAnsi="Times New Roman"/>
          <w:color w:val="000000" w:themeColor="text1"/>
          <w:sz w:val="20"/>
          <w:shd w:val="clear" w:color="auto" w:fill="FFFFFF"/>
        </w:rPr>
        <w:t xml:space="preserve">for Plaintiffs and Appellants United Professional Fire Fighters of Contra Costa County, Local 1230.  </w:t>
      </w:r>
    </w:p>
    <w:p w14:paraId="2BFA2F60" w14:textId="77777777" w:rsidR="006446AC" w:rsidRPr="006446AC" w:rsidRDefault="006446AC" w:rsidP="006446AC">
      <w:pPr>
        <w:spacing w:after="0" w:line="240" w:lineRule="auto"/>
        <w:jc w:val="left"/>
        <w:rPr>
          <w:rFonts w:ascii="Times New Roman" w:hAnsi="Times New Roman"/>
          <w:color w:val="000000" w:themeColor="text1"/>
          <w:sz w:val="20"/>
          <w:bdr w:val="none" w:sz="0" w:space="0" w:color="auto" w:frame="1"/>
        </w:rPr>
      </w:pPr>
    </w:p>
    <w:p w14:paraId="37F83005" w14:textId="77777777" w:rsidR="006446AC" w:rsidRPr="006446AC" w:rsidRDefault="006446AC" w:rsidP="006446AC">
      <w:pPr>
        <w:spacing w:after="0" w:line="240" w:lineRule="auto"/>
        <w:jc w:val="left"/>
        <w:rPr>
          <w:rFonts w:ascii="Times New Roman" w:hAnsi="Times New Roman"/>
          <w:color w:val="000000" w:themeColor="text1"/>
          <w:sz w:val="20"/>
          <w:bdr w:val="none" w:sz="0" w:space="0" w:color="auto" w:frame="1"/>
        </w:rPr>
      </w:pPr>
      <w:r w:rsidRPr="006446AC">
        <w:rPr>
          <w:rFonts w:ascii="Times New Roman" w:hAnsi="Times New Roman"/>
          <w:color w:val="000000" w:themeColor="text1"/>
          <w:sz w:val="20"/>
          <w:shd w:val="clear" w:color="auto" w:fill="FFFFFF"/>
        </w:rPr>
        <w:t xml:space="preserve">Beeson, </w:t>
      </w:r>
      <w:proofErr w:type="spellStart"/>
      <w:r w:rsidRPr="006446AC">
        <w:rPr>
          <w:rFonts w:ascii="Times New Roman" w:hAnsi="Times New Roman"/>
          <w:color w:val="000000" w:themeColor="text1"/>
          <w:sz w:val="20"/>
          <w:shd w:val="clear" w:color="auto" w:fill="FFFFFF"/>
        </w:rPr>
        <w:t>Tayer</w:t>
      </w:r>
      <w:proofErr w:type="spellEnd"/>
      <w:r w:rsidRPr="006446AC">
        <w:rPr>
          <w:rFonts w:ascii="Times New Roman" w:hAnsi="Times New Roman"/>
          <w:color w:val="000000" w:themeColor="text1"/>
          <w:sz w:val="20"/>
          <w:shd w:val="clear" w:color="auto" w:fill="FFFFFF"/>
        </w:rPr>
        <w:t xml:space="preserve"> &amp; Bodine, </w:t>
      </w:r>
      <w:r w:rsidRPr="006446AC">
        <w:rPr>
          <w:rFonts w:ascii="Times New Roman" w:hAnsi="Times New Roman"/>
          <w:color w:val="000000" w:themeColor="text1"/>
          <w:sz w:val="20"/>
          <w:bdr w:val="none" w:sz="0" w:space="0" w:color="auto" w:frame="1"/>
        </w:rPr>
        <w:t xml:space="preserve">Beeson, </w:t>
      </w:r>
      <w:proofErr w:type="spellStart"/>
      <w:r w:rsidRPr="006446AC">
        <w:rPr>
          <w:rFonts w:ascii="Times New Roman" w:hAnsi="Times New Roman"/>
          <w:color w:val="000000" w:themeColor="text1"/>
          <w:sz w:val="20"/>
          <w:bdr w:val="none" w:sz="0" w:space="0" w:color="auto" w:frame="1"/>
        </w:rPr>
        <w:t>Tayer</w:t>
      </w:r>
      <w:proofErr w:type="spellEnd"/>
      <w:r w:rsidRPr="006446AC">
        <w:rPr>
          <w:rFonts w:ascii="Times New Roman" w:hAnsi="Times New Roman"/>
          <w:color w:val="000000" w:themeColor="text1"/>
          <w:sz w:val="20"/>
          <w:bdr w:val="none" w:sz="0" w:space="0" w:color="auto" w:frame="1"/>
        </w:rPr>
        <w:t xml:space="preserve">, </w:t>
      </w:r>
      <w:proofErr w:type="spellStart"/>
      <w:r w:rsidRPr="006446AC">
        <w:rPr>
          <w:rFonts w:ascii="Times New Roman" w:hAnsi="Times New Roman"/>
          <w:color w:val="000000" w:themeColor="text1"/>
          <w:sz w:val="20"/>
          <w:bdr w:val="none" w:sz="0" w:space="0" w:color="auto" w:frame="1"/>
        </w:rPr>
        <w:t>Silbert</w:t>
      </w:r>
      <w:proofErr w:type="spellEnd"/>
      <w:r w:rsidRPr="006446AC">
        <w:rPr>
          <w:rFonts w:ascii="Times New Roman" w:hAnsi="Times New Roman"/>
          <w:color w:val="000000" w:themeColor="text1"/>
          <w:sz w:val="20"/>
          <w:bdr w:val="none" w:sz="0" w:space="0" w:color="auto" w:frame="1"/>
        </w:rPr>
        <w:t xml:space="preserve"> &amp; Bodine, Robert Bonsall, </w:t>
      </w:r>
      <w:proofErr w:type="spellStart"/>
      <w:r w:rsidRPr="006446AC">
        <w:rPr>
          <w:rFonts w:ascii="Times New Roman" w:hAnsi="Times New Roman"/>
          <w:color w:val="000000" w:themeColor="text1"/>
          <w:sz w:val="20"/>
          <w:bdr w:val="none" w:sz="0" w:space="0" w:color="auto" w:frame="1"/>
        </w:rPr>
        <w:t>Vishtasp</w:t>
      </w:r>
      <w:proofErr w:type="spellEnd"/>
      <w:r w:rsidRPr="006446AC">
        <w:rPr>
          <w:rFonts w:ascii="Times New Roman" w:hAnsi="Times New Roman"/>
          <w:color w:val="000000" w:themeColor="text1"/>
          <w:sz w:val="20"/>
          <w:bdr w:val="none" w:sz="0" w:space="0" w:color="auto" w:frame="1"/>
        </w:rPr>
        <w:t xml:space="preserve"> </w:t>
      </w:r>
      <w:proofErr w:type="spellStart"/>
      <w:r w:rsidRPr="006446AC">
        <w:rPr>
          <w:rFonts w:ascii="Times New Roman" w:hAnsi="Times New Roman"/>
          <w:color w:val="000000" w:themeColor="text1"/>
          <w:sz w:val="20"/>
          <w:bdr w:val="none" w:sz="0" w:space="0" w:color="auto" w:frame="1"/>
        </w:rPr>
        <w:t>Soroushian</w:t>
      </w:r>
      <w:proofErr w:type="spellEnd"/>
      <w:r w:rsidRPr="006446AC">
        <w:rPr>
          <w:rFonts w:ascii="Times New Roman" w:hAnsi="Times New Roman"/>
          <w:color w:val="000000" w:themeColor="text1"/>
          <w:sz w:val="20"/>
          <w:bdr w:val="none" w:sz="0" w:space="0" w:color="auto" w:frame="1"/>
        </w:rPr>
        <w:t>, Teague P. Paterson</w:t>
      </w:r>
      <w:r w:rsidRPr="006446AC">
        <w:rPr>
          <w:rFonts w:ascii="Times New Roman" w:hAnsi="Times New Roman"/>
          <w:color w:val="000000" w:themeColor="text1"/>
          <w:sz w:val="20"/>
          <w:shd w:val="clear" w:color="auto" w:fill="FFFFFF"/>
        </w:rPr>
        <w:t xml:space="preserve"> and Adrian Barnes for Plaintiffs and Appellants AFSCME Local 512, AFSCME Local 2700, Teamsters Local 856, </w:t>
      </w:r>
      <w:proofErr w:type="spellStart"/>
      <w:r w:rsidRPr="006446AC">
        <w:rPr>
          <w:rFonts w:ascii="Times New Roman" w:hAnsi="Times New Roman"/>
          <w:color w:val="000000" w:themeColor="text1"/>
          <w:sz w:val="20"/>
          <w:shd w:val="clear" w:color="auto" w:fill="FFFFFF"/>
        </w:rPr>
        <w:t>Hasani</w:t>
      </w:r>
      <w:proofErr w:type="spellEnd"/>
      <w:r w:rsidRPr="006446AC">
        <w:rPr>
          <w:rFonts w:ascii="Times New Roman" w:hAnsi="Times New Roman"/>
          <w:color w:val="000000" w:themeColor="text1"/>
          <w:sz w:val="20"/>
          <w:shd w:val="clear" w:color="auto" w:fill="FFFFFF"/>
        </w:rPr>
        <w:t xml:space="preserve"> Tabari, Sandra Gonzalez-Diaz and Daniel Lister.</w:t>
      </w:r>
    </w:p>
    <w:p w14:paraId="475707DB"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r w:rsidRPr="006446AC">
        <w:rPr>
          <w:rFonts w:ascii="Times New Roman" w:hAnsi="Times New Roman"/>
          <w:color w:val="000000" w:themeColor="text1"/>
          <w:sz w:val="20"/>
          <w:shd w:val="clear" w:color="auto" w:fill="FFFFFF"/>
        </w:rPr>
        <w:t xml:space="preserve">Bennett, Sharpe, Delarosa, Bennett &amp; </w:t>
      </w:r>
      <w:proofErr w:type="spellStart"/>
      <w:r w:rsidRPr="006446AC">
        <w:rPr>
          <w:rFonts w:ascii="Times New Roman" w:hAnsi="Times New Roman"/>
          <w:color w:val="000000" w:themeColor="text1"/>
          <w:sz w:val="20"/>
          <w:shd w:val="clear" w:color="auto" w:fill="FFFFFF"/>
        </w:rPr>
        <w:t>Licalsi</w:t>
      </w:r>
      <w:proofErr w:type="spellEnd"/>
      <w:r w:rsidRPr="006446AC">
        <w:rPr>
          <w:rFonts w:ascii="Times New Roman" w:hAnsi="Times New Roman"/>
          <w:color w:val="000000" w:themeColor="text1"/>
          <w:sz w:val="20"/>
          <w:shd w:val="clear" w:color="auto" w:fill="FFFFFF"/>
        </w:rPr>
        <w:t xml:space="preserve">, Law Offices of Bennett &amp; Sharpe, Barry J. Bennett, Thomas M. Sharpe,  </w:t>
      </w:r>
      <w:proofErr w:type="spellStart"/>
      <w:r w:rsidRPr="006446AC">
        <w:rPr>
          <w:rFonts w:ascii="Times New Roman" w:hAnsi="Times New Roman"/>
          <w:color w:val="000000" w:themeColor="text1"/>
          <w:sz w:val="20"/>
          <w:bdr w:val="none" w:sz="0" w:space="0" w:color="auto" w:frame="1"/>
        </w:rPr>
        <w:t>Katwyn</w:t>
      </w:r>
      <w:proofErr w:type="spellEnd"/>
      <w:r w:rsidRPr="006446AC">
        <w:rPr>
          <w:rFonts w:ascii="Times New Roman" w:hAnsi="Times New Roman"/>
          <w:color w:val="000000" w:themeColor="text1"/>
          <w:sz w:val="20"/>
          <w:bdr w:val="none" w:sz="0" w:space="0" w:color="auto" w:frame="1"/>
        </w:rPr>
        <w:t xml:space="preserve"> T. </w:t>
      </w:r>
      <w:proofErr w:type="spellStart"/>
      <w:r w:rsidRPr="006446AC">
        <w:rPr>
          <w:rFonts w:ascii="Times New Roman" w:hAnsi="Times New Roman"/>
          <w:color w:val="000000" w:themeColor="text1"/>
          <w:sz w:val="20"/>
          <w:bdr w:val="none" w:sz="0" w:space="0" w:color="auto" w:frame="1"/>
        </w:rPr>
        <w:t>DeLaRosa</w:t>
      </w:r>
      <w:proofErr w:type="spellEnd"/>
      <w:r w:rsidRPr="006446AC">
        <w:rPr>
          <w:rFonts w:ascii="Times New Roman" w:hAnsi="Times New Roman"/>
          <w:color w:val="000000" w:themeColor="text1"/>
          <w:sz w:val="20"/>
          <w:bdr w:val="none" w:sz="0" w:space="0" w:color="auto" w:frame="1"/>
        </w:rPr>
        <w:t xml:space="preserve"> for Plaintiffs and Appellants</w:t>
      </w:r>
      <w:r w:rsidRPr="006446AC">
        <w:rPr>
          <w:rFonts w:ascii="Times New Roman" w:hAnsi="Times New Roman"/>
          <w:color w:val="000000" w:themeColor="text1"/>
          <w:sz w:val="20"/>
          <w:shd w:val="clear" w:color="auto" w:fill="FFFFFF"/>
        </w:rPr>
        <w:t xml:space="preserve"> American Federation of State, County and Municipal Employees, Local 2703, AFL-CIO, Merced County Sheriff’s Association, an affiliate of International Brotherhood of Teamsters, Local 856, Jeffrey Miller and Mary </w:t>
      </w:r>
      <w:proofErr w:type="spellStart"/>
      <w:r w:rsidRPr="006446AC">
        <w:rPr>
          <w:rFonts w:ascii="Times New Roman" w:hAnsi="Times New Roman"/>
          <w:color w:val="000000" w:themeColor="text1"/>
          <w:sz w:val="20"/>
          <w:shd w:val="clear" w:color="auto" w:fill="FFFFFF"/>
        </w:rPr>
        <w:t>McWatters</w:t>
      </w:r>
      <w:proofErr w:type="spellEnd"/>
      <w:r w:rsidRPr="006446AC">
        <w:rPr>
          <w:rFonts w:ascii="Times New Roman" w:hAnsi="Times New Roman"/>
          <w:color w:val="000000" w:themeColor="text1"/>
          <w:sz w:val="20"/>
          <w:shd w:val="clear" w:color="auto" w:fill="FFFFFF"/>
        </w:rPr>
        <w:t>.</w:t>
      </w:r>
    </w:p>
    <w:p w14:paraId="70D546CE"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 xml:space="preserve">Messing Adam &amp; Jasmine, Gary M. Messing, Gregg McLean Adam and Yonatan L. Moskowitz for CAL FIRE, Local 2881, California Correctional Peace Officers Association, Peace Officers Research Association of California, California Statewide Law Enforcement Association, San Francisco Police Officers’ Association, San Jose Police Officers’ Association, Fresno Deputy Sheriffs’ Association, Deputy Sheriffs’ Association of Santa Clara County, Marin Professional Firefighters, International Association of Fire Fighters, Local 1775, Association of California State Supervisors, San Francisco Municipal Executives’ Association, San Francisco Deputy Probation Officers’ Association,  Sunnyvale Public Safety Officers’ Association, Superior Court Professional Employees’ Association of the County of Santa Clara, Sacramento County Professional Accounts Association, City of Fremont Employees’ Association, Redwood City Management Employees’ Association, Burlingame Police Officers’ Association and California State Retirees as Amici Curiae on behalf of Plaintiffs and Appellants. </w:t>
      </w:r>
    </w:p>
    <w:p w14:paraId="410A3C68" w14:textId="77777777" w:rsidR="006446AC" w:rsidRPr="006446AC" w:rsidRDefault="006446AC" w:rsidP="006446AC">
      <w:pPr>
        <w:spacing w:after="0" w:line="240" w:lineRule="auto"/>
        <w:jc w:val="left"/>
        <w:rPr>
          <w:rFonts w:ascii="Times New Roman" w:hAnsi="Times New Roman"/>
          <w:color w:val="000000" w:themeColor="text1"/>
          <w:sz w:val="20"/>
        </w:rPr>
      </w:pPr>
    </w:p>
    <w:p w14:paraId="40BC2717"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 xml:space="preserve">Reich, </w:t>
      </w:r>
      <w:proofErr w:type="spellStart"/>
      <w:r w:rsidRPr="006446AC">
        <w:rPr>
          <w:rFonts w:ascii="Times New Roman" w:hAnsi="Times New Roman"/>
          <w:color w:val="000000" w:themeColor="text1"/>
          <w:sz w:val="20"/>
        </w:rPr>
        <w:t>Adell</w:t>
      </w:r>
      <w:proofErr w:type="spellEnd"/>
      <w:r w:rsidRPr="006446AC">
        <w:rPr>
          <w:rFonts w:ascii="Times New Roman" w:hAnsi="Times New Roman"/>
          <w:color w:val="000000" w:themeColor="text1"/>
          <w:sz w:val="20"/>
        </w:rPr>
        <w:t xml:space="preserve"> &amp; </w:t>
      </w:r>
      <w:proofErr w:type="spellStart"/>
      <w:r w:rsidRPr="006446AC">
        <w:rPr>
          <w:rFonts w:ascii="Times New Roman" w:hAnsi="Times New Roman"/>
          <w:color w:val="000000" w:themeColor="text1"/>
          <w:sz w:val="20"/>
        </w:rPr>
        <w:t>Cvitan</w:t>
      </w:r>
      <w:proofErr w:type="spellEnd"/>
      <w:r w:rsidRPr="006446AC">
        <w:rPr>
          <w:rFonts w:ascii="Times New Roman" w:hAnsi="Times New Roman"/>
          <w:color w:val="000000" w:themeColor="text1"/>
          <w:sz w:val="20"/>
        </w:rPr>
        <w:t xml:space="preserve">, Marianne Reinhold, Laurence S. </w:t>
      </w:r>
      <w:proofErr w:type="spellStart"/>
      <w:r w:rsidRPr="006446AC">
        <w:rPr>
          <w:rFonts w:ascii="Times New Roman" w:hAnsi="Times New Roman"/>
          <w:color w:val="000000" w:themeColor="text1"/>
          <w:sz w:val="20"/>
        </w:rPr>
        <w:t>Zakson</w:t>
      </w:r>
      <w:proofErr w:type="spellEnd"/>
      <w:r w:rsidRPr="006446AC">
        <w:rPr>
          <w:rFonts w:ascii="Times New Roman" w:hAnsi="Times New Roman"/>
          <w:color w:val="000000" w:themeColor="text1"/>
          <w:sz w:val="20"/>
        </w:rPr>
        <w:t xml:space="preserve"> and Aaron G. Lawrence for Orange County Attorneys Association and Orange County Managers Association as Amici Curiae on behalf of Plaintiffs and Appellants.  </w:t>
      </w:r>
    </w:p>
    <w:p w14:paraId="0D3477DF" w14:textId="77777777" w:rsidR="006446AC" w:rsidRPr="006446AC" w:rsidRDefault="006446AC" w:rsidP="006446AC">
      <w:pPr>
        <w:spacing w:after="0" w:line="240" w:lineRule="auto"/>
        <w:jc w:val="left"/>
        <w:rPr>
          <w:rFonts w:ascii="Times New Roman" w:hAnsi="Times New Roman"/>
          <w:color w:val="000000" w:themeColor="text1"/>
          <w:sz w:val="20"/>
        </w:rPr>
      </w:pPr>
    </w:p>
    <w:p w14:paraId="30E769AC"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 xml:space="preserve">Law Offices of Robert J. </w:t>
      </w:r>
      <w:proofErr w:type="spellStart"/>
      <w:r w:rsidRPr="006446AC">
        <w:rPr>
          <w:rFonts w:ascii="Times New Roman" w:hAnsi="Times New Roman"/>
          <w:color w:val="000000" w:themeColor="text1"/>
          <w:sz w:val="20"/>
        </w:rPr>
        <w:t>Bezemek</w:t>
      </w:r>
      <w:proofErr w:type="spellEnd"/>
      <w:r w:rsidRPr="006446AC">
        <w:rPr>
          <w:rFonts w:ascii="Times New Roman" w:hAnsi="Times New Roman"/>
          <w:color w:val="000000" w:themeColor="text1"/>
          <w:sz w:val="20"/>
        </w:rPr>
        <w:t xml:space="preserve">, Robert J. </w:t>
      </w:r>
      <w:proofErr w:type="spellStart"/>
      <w:r w:rsidRPr="006446AC">
        <w:rPr>
          <w:rFonts w:ascii="Times New Roman" w:hAnsi="Times New Roman"/>
          <w:color w:val="000000" w:themeColor="text1"/>
          <w:sz w:val="20"/>
        </w:rPr>
        <w:t>Bezemek</w:t>
      </w:r>
      <w:proofErr w:type="spellEnd"/>
      <w:r w:rsidRPr="006446AC">
        <w:rPr>
          <w:rFonts w:ascii="Times New Roman" w:hAnsi="Times New Roman"/>
          <w:color w:val="000000" w:themeColor="text1"/>
          <w:sz w:val="20"/>
        </w:rPr>
        <w:t xml:space="preserve"> and David Conway for the Peralta Retirees Organization, the California Community Colleges Independents’ Organization and the Faculty Association of the California Community Colleges as Amici Curiae on behalf of Plaintiffs and Appellants.  </w:t>
      </w:r>
    </w:p>
    <w:p w14:paraId="38CDC626" w14:textId="77777777" w:rsidR="006446AC" w:rsidRPr="006446AC" w:rsidRDefault="006446AC" w:rsidP="006446AC">
      <w:pPr>
        <w:spacing w:after="0" w:line="240" w:lineRule="auto"/>
        <w:jc w:val="left"/>
        <w:rPr>
          <w:rFonts w:ascii="Times New Roman" w:hAnsi="Times New Roman"/>
          <w:color w:val="000000" w:themeColor="text1"/>
          <w:sz w:val="20"/>
        </w:rPr>
      </w:pPr>
    </w:p>
    <w:p w14:paraId="49377167" w14:textId="77777777" w:rsidR="006446AC" w:rsidRPr="006446AC" w:rsidRDefault="006446AC" w:rsidP="006446AC">
      <w:pPr>
        <w:spacing w:after="0" w:line="240" w:lineRule="auto"/>
        <w:jc w:val="left"/>
        <w:rPr>
          <w:rFonts w:ascii="Times New Roman" w:hAnsi="Times New Roman"/>
          <w:color w:val="000000" w:themeColor="text1"/>
          <w:sz w:val="20"/>
          <w:bdr w:val="none" w:sz="0" w:space="0" w:color="auto" w:frame="1"/>
        </w:rPr>
      </w:pPr>
      <w:r w:rsidRPr="006446AC">
        <w:rPr>
          <w:rFonts w:ascii="Times New Roman" w:hAnsi="Times New Roman"/>
          <w:color w:val="000000" w:themeColor="text1"/>
          <w:sz w:val="20"/>
          <w:shd w:val="clear" w:color="auto" w:fill="FFFFFF"/>
        </w:rPr>
        <w:t xml:space="preserve">Reed Smith, </w:t>
      </w:r>
      <w:r w:rsidRPr="006446AC">
        <w:rPr>
          <w:rFonts w:ascii="Times New Roman" w:hAnsi="Times New Roman"/>
          <w:color w:val="000000" w:themeColor="text1"/>
          <w:sz w:val="20"/>
          <w:bdr w:val="none" w:sz="0" w:space="0" w:color="auto" w:frame="1"/>
        </w:rPr>
        <w:t xml:space="preserve">Harvey L. </w:t>
      </w:r>
      <w:proofErr w:type="spellStart"/>
      <w:r w:rsidRPr="006446AC">
        <w:rPr>
          <w:rFonts w:ascii="Times New Roman" w:hAnsi="Times New Roman"/>
          <w:color w:val="000000" w:themeColor="text1"/>
          <w:sz w:val="20"/>
          <w:bdr w:val="none" w:sz="0" w:space="0" w:color="auto" w:frame="1"/>
        </w:rPr>
        <w:t>Leiderman</w:t>
      </w:r>
      <w:proofErr w:type="spellEnd"/>
      <w:r w:rsidRPr="006446AC">
        <w:rPr>
          <w:rFonts w:ascii="Times New Roman" w:hAnsi="Times New Roman"/>
          <w:color w:val="000000" w:themeColor="text1"/>
          <w:sz w:val="20"/>
          <w:bdr w:val="none" w:sz="0" w:space="0" w:color="auto" w:frame="1"/>
        </w:rPr>
        <w:t>, Jeffrey R. Rieger and May-</w:t>
      </w:r>
      <w:proofErr w:type="spellStart"/>
      <w:r w:rsidRPr="006446AC">
        <w:rPr>
          <w:rFonts w:ascii="Times New Roman" w:hAnsi="Times New Roman"/>
          <w:color w:val="000000" w:themeColor="text1"/>
          <w:sz w:val="20"/>
          <w:bdr w:val="none" w:sz="0" w:space="0" w:color="auto" w:frame="1"/>
        </w:rPr>
        <w:t>tak</w:t>
      </w:r>
      <w:proofErr w:type="spellEnd"/>
      <w:r w:rsidRPr="006446AC">
        <w:rPr>
          <w:rFonts w:ascii="Times New Roman" w:hAnsi="Times New Roman"/>
          <w:color w:val="000000" w:themeColor="text1"/>
          <w:sz w:val="20"/>
          <w:bdr w:val="none" w:sz="0" w:space="0" w:color="auto" w:frame="1"/>
        </w:rPr>
        <w:t xml:space="preserve"> Chin for Defendants and Respondents Alameda County Employees’ Retirement Association and Contra Costa County Employees’ Retirement Association and their respective Boards of Retirement.</w:t>
      </w:r>
    </w:p>
    <w:p w14:paraId="6F064ED6" w14:textId="77777777" w:rsidR="006446AC" w:rsidRPr="006446AC" w:rsidRDefault="006446AC" w:rsidP="006446AC">
      <w:pPr>
        <w:spacing w:after="0" w:line="240" w:lineRule="auto"/>
        <w:jc w:val="left"/>
        <w:rPr>
          <w:rFonts w:ascii="Times New Roman" w:hAnsi="Times New Roman"/>
          <w:color w:val="000000" w:themeColor="text1"/>
          <w:sz w:val="20"/>
          <w:bdr w:val="none" w:sz="0" w:space="0" w:color="auto" w:frame="1"/>
        </w:rPr>
      </w:pPr>
    </w:p>
    <w:p w14:paraId="600B6073"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proofErr w:type="spellStart"/>
      <w:r w:rsidRPr="006446AC">
        <w:rPr>
          <w:rFonts w:ascii="Times New Roman" w:hAnsi="Times New Roman"/>
          <w:color w:val="000000" w:themeColor="text1"/>
          <w:sz w:val="20"/>
          <w:shd w:val="clear" w:color="auto" w:fill="FFFFFF"/>
        </w:rPr>
        <w:t>Nossaman</w:t>
      </w:r>
      <w:proofErr w:type="spellEnd"/>
      <w:r w:rsidRPr="006446AC">
        <w:rPr>
          <w:rFonts w:ascii="Times New Roman" w:hAnsi="Times New Roman"/>
          <w:color w:val="000000" w:themeColor="text1"/>
          <w:sz w:val="20"/>
          <w:shd w:val="clear" w:color="auto" w:fill="FFFFFF"/>
        </w:rPr>
        <w:t xml:space="preserve">, Ashley K. Dunning, Peter H. Mixon, Robert L. </w:t>
      </w:r>
      <w:proofErr w:type="spellStart"/>
      <w:r w:rsidRPr="006446AC">
        <w:rPr>
          <w:rFonts w:ascii="Times New Roman" w:hAnsi="Times New Roman"/>
          <w:color w:val="000000" w:themeColor="text1"/>
          <w:sz w:val="20"/>
          <w:shd w:val="clear" w:color="auto" w:fill="FFFFFF"/>
        </w:rPr>
        <w:t>Gaumer</w:t>
      </w:r>
      <w:proofErr w:type="spellEnd"/>
      <w:r w:rsidRPr="006446AC">
        <w:rPr>
          <w:rFonts w:ascii="Times New Roman" w:hAnsi="Times New Roman"/>
          <w:color w:val="000000" w:themeColor="text1"/>
          <w:sz w:val="20"/>
          <w:shd w:val="clear" w:color="auto" w:fill="FFFFFF"/>
        </w:rPr>
        <w:t xml:space="preserve">, Michael V. </w:t>
      </w:r>
      <w:proofErr w:type="spellStart"/>
      <w:r w:rsidRPr="006446AC">
        <w:rPr>
          <w:rFonts w:ascii="Times New Roman" w:hAnsi="Times New Roman"/>
          <w:color w:val="000000" w:themeColor="text1"/>
          <w:sz w:val="20"/>
          <w:shd w:val="clear" w:color="auto" w:fill="FFFFFF"/>
        </w:rPr>
        <w:t>Toumanoff</w:t>
      </w:r>
      <w:proofErr w:type="spellEnd"/>
      <w:r w:rsidRPr="006446AC">
        <w:rPr>
          <w:rFonts w:ascii="Times New Roman" w:hAnsi="Times New Roman"/>
          <w:color w:val="000000" w:themeColor="text1"/>
          <w:sz w:val="20"/>
          <w:shd w:val="clear" w:color="auto" w:fill="FFFFFF"/>
        </w:rPr>
        <w:t xml:space="preserve">, Jill N. Jaffe, Natasha Saggar </w:t>
      </w:r>
      <w:proofErr w:type="spellStart"/>
      <w:r w:rsidRPr="006446AC">
        <w:rPr>
          <w:rFonts w:ascii="Times New Roman" w:hAnsi="Times New Roman"/>
          <w:color w:val="000000" w:themeColor="text1"/>
          <w:sz w:val="20"/>
          <w:shd w:val="clear" w:color="auto" w:fill="FFFFFF"/>
        </w:rPr>
        <w:t>Sheth</w:t>
      </w:r>
      <w:proofErr w:type="spellEnd"/>
      <w:r w:rsidRPr="006446AC">
        <w:rPr>
          <w:rFonts w:ascii="Times New Roman" w:hAnsi="Times New Roman"/>
          <w:color w:val="000000" w:themeColor="text1"/>
          <w:sz w:val="20"/>
          <w:shd w:val="clear" w:color="auto" w:fill="FFFFFF"/>
        </w:rPr>
        <w:t xml:space="preserve"> and Jennifer Meeker for Defendants and Respondents Merced  County Employees’ Retirement Association and Merced County Employees’ Retirement Association Board of Retirement.</w:t>
      </w:r>
    </w:p>
    <w:p w14:paraId="2F800D98"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p>
    <w:p w14:paraId="5E9656AF"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r w:rsidRPr="006446AC">
        <w:rPr>
          <w:rFonts w:ascii="Times New Roman" w:hAnsi="Times New Roman"/>
          <w:color w:val="000000" w:themeColor="text1"/>
          <w:sz w:val="20"/>
          <w:bdr w:val="none" w:sz="0" w:space="0" w:color="auto" w:frame="1"/>
        </w:rPr>
        <w:t>Kamala D. Harris</w:t>
      </w:r>
      <w:r w:rsidRPr="006446AC">
        <w:rPr>
          <w:rFonts w:ascii="Times New Roman" w:hAnsi="Times New Roman"/>
          <w:color w:val="000000" w:themeColor="text1"/>
          <w:sz w:val="20"/>
          <w:shd w:val="clear" w:color="auto" w:fill="FFFFFF"/>
        </w:rPr>
        <w:t xml:space="preserve"> and </w:t>
      </w:r>
      <w:r w:rsidRPr="006446AC">
        <w:rPr>
          <w:rFonts w:ascii="Times New Roman" w:hAnsi="Times New Roman"/>
          <w:color w:val="000000" w:themeColor="text1"/>
          <w:sz w:val="20"/>
          <w:bdr w:val="none" w:sz="0" w:space="0" w:color="auto" w:frame="1"/>
        </w:rPr>
        <w:t>Xavier Becerra</w:t>
      </w:r>
      <w:r w:rsidRPr="006446AC">
        <w:rPr>
          <w:rFonts w:ascii="Times New Roman" w:hAnsi="Times New Roman"/>
          <w:color w:val="000000" w:themeColor="text1"/>
          <w:sz w:val="20"/>
          <w:shd w:val="clear" w:color="auto" w:fill="FFFFFF"/>
        </w:rPr>
        <w:t xml:space="preserve">, Attorneys General, Douglas J. Woods and Thomas S. Patterson, Assistant Attorneys General, </w:t>
      </w:r>
      <w:r w:rsidRPr="006446AC">
        <w:rPr>
          <w:rFonts w:ascii="Times New Roman" w:hAnsi="Times New Roman"/>
          <w:color w:val="000000" w:themeColor="text1"/>
          <w:sz w:val="20"/>
          <w:bdr w:val="none" w:sz="0" w:space="0" w:color="auto" w:frame="1"/>
        </w:rPr>
        <w:t xml:space="preserve">Constance L. </w:t>
      </w:r>
      <w:proofErr w:type="spellStart"/>
      <w:r w:rsidRPr="006446AC">
        <w:rPr>
          <w:rFonts w:ascii="Times New Roman" w:hAnsi="Times New Roman"/>
          <w:color w:val="000000" w:themeColor="text1"/>
          <w:sz w:val="20"/>
          <w:bdr w:val="none" w:sz="0" w:space="0" w:color="auto" w:frame="1"/>
        </w:rPr>
        <w:t>LeLouis</w:t>
      </w:r>
      <w:proofErr w:type="spellEnd"/>
      <w:r w:rsidRPr="006446AC">
        <w:rPr>
          <w:rFonts w:ascii="Times New Roman" w:hAnsi="Times New Roman"/>
          <w:color w:val="000000" w:themeColor="text1"/>
          <w:sz w:val="20"/>
          <w:shd w:val="clear" w:color="auto" w:fill="FFFFFF"/>
        </w:rPr>
        <w:t xml:space="preserve"> and Anthony P. O'Brien, Deputy Attorneys General, Peter Krause, Legal Affairs Secretary, Rei R. Onishi, Deputy Legal Affairs Secretary for Intervener and Appellant State of California.  </w:t>
      </w:r>
    </w:p>
    <w:p w14:paraId="488868F1"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p>
    <w:p w14:paraId="342EB893"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 xml:space="preserve">Jones Day, Beth Heifetz, G. Ryan Snyder and Karen P. Hewitt for California Business Roundtable as Amicus Curiae on behalf of Intervener and Appellant State of California. </w:t>
      </w:r>
    </w:p>
    <w:p w14:paraId="7F6B9CC4" w14:textId="77777777" w:rsidR="006446AC" w:rsidRPr="006446AC" w:rsidRDefault="006446AC" w:rsidP="006446AC">
      <w:pPr>
        <w:spacing w:after="0" w:line="240" w:lineRule="auto"/>
        <w:jc w:val="left"/>
        <w:rPr>
          <w:rFonts w:ascii="Times New Roman" w:hAnsi="Times New Roman"/>
          <w:color w:val="000000" w:themeColor="text1"/>
          <w:sz w:val="20"/>
        </w:rPr>
      </w:pPr>
    </w:p>
    <w:p w14:paraId="5E6A0256" w14:textId="77777777" w:rsidR="006446AC" w:rsidRPr="006446AC" w:rsidRDefault="006446AC" w:rsidP="006446AC">
      <w:pPr>
        <w:spacing w:after="0" w:line="240" w:lineRule="auto"/>
        <w:jc w:val="left"/>
        <w:rPr>
          <w:rFonts w:ascii="Times New Roman" w:hAnsi="Times New Roman"/>
          <w:color w:val="000000" w:themeColor="text1"/>
          <w:sz w:val="20"/>
        </w:rPr>
      </w:pPr>
      <w:proofErr w:type="spellStart"/>
      <w:r w:rsidRPr="006446AC">
        <w:rPr>
          <w:rFonts w:ascii="Times New Roman" w:hAnsi="Times New Roman"/>
          <w:color w:val="000000" w:themeColor="text1"/>
          <w:sz w:val="20"/>
        </w:rPr>
        <w:t>Colantuono</w:t>
      </w:r>
      <w:proofErr w:type="spellEnd"/>
      <w:r w:rsidRPr="006446AC">
        <w:rPr>
          <w:rFonts w:ascii="Times New Roman" w:hAnsi="Times New Roman"/>
          <w:color w:val="000000" w:themeColor="text1"/>
          <w:sz w:val="20"/>
        </w:rPr>
        <w:t xml:space="preserve">, Highsmith &amp; Whatley, Michael G. </w:t>
      </w:r>
      <w:proofErr w:type="spellStart"/>
      <w:r w:rsidRPr="006446AC">
        <w:rPr>
          <w:rFonts w:ascii="Times New Roman" w:hAnsi="Times New Roman"/>
          <w:color w:val="000000" w:themeColor="text1"/>
          <w:sz w:val="20"/>
        </w:rPr>
        <w:t>Colantuono</w:t>
      </w:r>
      <w:proofErr w:type="spellEnd"/>
      <w:r w:rsidRPr="006446AC">
        <w:rPr>
          <w:rFonts w:ascii="Times New Roman" w:hAnsi="Times New Roman"/>
          <w:color w:val="000000" w:themeColor="text1"/>
          <w:sz w:val="20"/>
        </w:rPr>
        <w:t xml:space="preserve"> and Liliane M. Wyckoff for League of California Cities as Amicus Curiae on behalf of Intervener and Appellant State of California.  </w:t>
      </w:r>
    </w:p>
    <w:p w14:paraId="23E89641" w14:textId="77777777" w:rsidR="006446AC" w:rsidRPr="006446AC" w:rsidRDefault="006446AC" w:rsidP="006446AC">
      <w:pPr>
        <w:spacing w:after="0" w:line="240" w:lineRule="auto"/>
        <w:jc w:val="left"/>
        <w:rPr>
          <w:rFonts w:ascii="Times New Roman" w:hAnsi="Times New Roman"/>
          <w:color w:val="000000" w:themeColor="text1"/>
          <w:sz w:val="20"/>
          <w:shd w:val="clear" w:color="auto" w:fill="FFFFFF"/>
        </w:rPr>
      </w:pPr>
    </w:p>
    <w:p w14:paraId="2CD8FC81" w14:textId="77777777" w:rsidR="006446AC" w:rsidRPr="006446AC" w:rsidRDefault="006446AC" w:rsidP="006446AC">
      <w:pPr>
        <w:spacing w:after="0" w:line="240" w:lineRule="auto"/>
        <w:jc w:val="left"/>
        <w:rPr>
          <w:rFonts w:ascii="Times New Roman" w:hAnsi="Times New Roman"/>
          <w:color w:val="000000" w:themeColor="text1"/>
          <w:sz w:val="20"/>
          <w:bdr w:val="none" w:sz="0" w:space="0" w:color="auto" w:frame="1"/>
        </w:rPr>
      </w:pPr>
      <w:r w:rsidRPr="006446AC">
        <w:rPr>
          <w:rFonts w:ascii="Times New Roman" w:hAnsi="Times New Roman"/>
          <w:color w:val="000000" w:themeColor="text1"/>
          <w:sz w:val="20"/>
          <w:bdr w:val="none" w:sz="0" w:space="0" w:color="auto" w:frame="1"/>
        </w:rPr>
        <w:t xml:space="preserve">Meyers, Nave, </w:t>
      </w:r>
      <w:proofErr w:type="spellStart"/>
      <w:r w:rsidRPr="006446AC">
        <w:rPr>
          <w:rFonts w:ascii="Times New Roman" w:hAnsi="Times New Roman"/>
          <w:color w:val="000000" w:themeColor="text1"/>
          <w:sz w:val="20"/>
          <w:bdr w:val="none" w:sz="0" w:space="0" w:color="auto" w:frame="1"/>
        </w:rPr>
        <w:t>Riback</w:t>
      </w:r>
      <w:proofErr w:type="spellEnd"/>
      <w:r w:rsidRPr="006446AC">
        <w:rPr>
          <w:rFonts w:ascii="Times New Roman" w:hAnsi="Times New Roman"/>
          <w:color w:val="000000" w:themeColor="text1"/>
          <w:sz w:val="20"/>
          <w:bdr w:val="none" w:sz="0" w:space="0" w:color="auto" w:frame="1"/>
        </w:rPr>
        <w:t>, Silver &amp; Wilson</w:t>
      </w:r>
      <w:r w:rsidRPr="006446AC">
        <w:rPr>
          <w:rFonts w:ascii="Times New Roman" w:hAnsi="Times New Roman"/>
          <w:color w:val="000000" w:themeColor="text1"/>
          <w:sz w:val="20"/>
          <w:shd w:val="clear" w:color="auto" w:fill="FFFFFF"/>
        </w:rPr>
        <w:t xml:space="preserve">, </w:t>
      </w:r>
      <w:r w:rsidRPr="006446AC">
        <w:rPr>
          <w:rFonts w:ascii="Times New Roman" w:hAnsi="Times New Roman"/>
          <w:color w:val="000000" w:themeColor="text1"/>
          <w:sz w:val="20"/>
          <w:bdr w:val="none" w:sz="0" w:space="0" w:color="auto" w:frame="1"/>
        </w:rPr>
        <w:t xml:space="preserve">Richard D. </w:t>
      </w:r>
      <w:proofErr w:type="spellStart"/>
      <w:r w:rsidRPr="006446AC">
        <w:rPr>
          <w:rFonts w:ascii="Times New Roman" w:hAnsi="Times New Roman"/>
          <w:color w:val="000000" w:themeColor="text1"/>
          <w:sz w:val="20"/>
          <w:bdr w:val="none" w:sz="0" w:space="0" w:color="auto" w:frame="1"/>
        </w:rPr>
        <w:t>PioRoda</w:t>
      </w:r>
      <w:proofErr w:type="spellEnd"/>
      <w:r w:rsidRPr="006446AC">
        <w:rPr>
          <w:rFonts w:ascii="Times New Roman" w:hAnsi="Times New Roman"/>
          <w:color w:val="000000" w:themeColor="text1"/>
          <w:sz w:val="20"/>
          <w:shd w:val="clear" w:color="auto" w:fill="FFFFFF"/>
        </w:rPr>
        <w:t xml:space="preserve">, </w:t>
      </w:r>
      <w:r w:rsidRPr="006446AC">
        <w:rPr>
          <w:rFonts w:ascii="Times New Roman" w:hAnsi="Times New Roman"/>
          <w:color w:val="000000" w:themeColor="text1"/>
          <w:sz w:val="20"/>
          <w:bdr w:val="none" w:sz="0" w:space="0" w:color="auto" w:frame="1"/>
        </w:rPr>
        <w:t xml:space="preserve">Kenton L. </w:t>
      </w:r>
      <w:proofErr w:type="spellStart"/>
      <w:r w:rsidRPr="006446AC">
        <w:rPr>
          <w:rFonts w:ascii="Times New Roman" w:hAnsi="Times New Roman"/>
          <w:color w:val="000000" w:themeColor="text1"/>
          <w:sz w:val="20"/>
          <w:bdr w:val="none" w:sz="0" w:space="0" w:color="auto" w:frame="1"/>
        </w:rPr>
        <w:t>Alm</w:t>
      </w:r>
      <w:proofErr w:type="spellEnd"/>
      <w:r w:rsidRPr="006446AC">
        <w:rPr>
          <w:rFonts w:ascii="Times New Roman" w:hAnsi="Times New Roman"/>
          <w:color w:val="000000" w:themeColor="text1"/>
          <w:sz w:val="20"/>
          <w:bdr w:val="none" w:sz="0" w:space="0" w:color="auto" w:frame="1"/>
        </w:rPr>
        <w:t>; Renee Sloan Holtzman Sakai; Renee Public Law Group, Linda M. Ross and Randy Riddle for Real Party in Interest Central Contra Costa Sanitary District.</w:t>
      </w:r>
    </w:p>
    <w:p w14:paraId="1B5B9FE1" w14:textId="77777777" w:rsidR="006446AC" w:rsidRPr="006446AC" w:rsidRDefault="006446AC" w:rsidP="006446AC">
      <w:pPr>
        <w:spacing w:after="0" w:line="240" w:lineRule="auto"/>
        <w:jc w:val="left"/>
        <w:rPr>
          <w:rFonts w:ascii="Times New Roman" w:hAnsi="Times New Roman"/>
          <w:bCs/>
          <w:color w:val="000000" w:themeColor="text1"/>
          <w:sz w:val="20"/>
        </w:rPr>
      </w:pPr>
    </w:p>
    <w:p w14:paraId="25114B5D" w14:textId="77777777" w:rsidR="006446AC" w:rsidRPr="006446AC" w:rsidRDefault="006446AC" w:rsidP="006446AC">
      <w:pPr>
        <w:spacing w:after="0" w:line="240" w:lineRule="auto"/>
        <w:jc w:val="left"/>
        <w:rPr>
          <w:rFonts w:ascii="Times New Roman" w:hAnsi="Times New Roman"/>
          <w:bCs/>
          <w:color w:val="000000" w:themeColor="text1"/>
          <w:sz w:val="20"/>
        </w:rPr>
      </w:pPr>
      <w:r w:rsidRPr="006446AC">
        <w:rPr>
          <w:rFonts w:ascii="Times New Roman" w:hAnsi="Times New Roman"/>
          <w:bCs/>
          <w:color w:val="000000" w:themeColor="text1"/>
          <w:sz w:val="20"/>
        </w:rPr>
        <w:t xml:space="preserve">Atkinson, </w:t>
      </w:r>
      <w:proofErr w:type="spellStart"/>
      <w:r w:rsidRPr="006446AC">
        <w:rPr>
          <w:rFonts w:ascii="Times New Roman" w:hAnsi="Times New Roman"/>
          <w:bCs/>
          <w:color w:val="000000" w:themeColor="text1"/>
          <w:sz w:val="20"/>
        </w:rPr>
        <w:t>Andelson</w:t>
      </w:r>
      <w:proofErr w:type="spellEnd"/>
      <w:r w:rsidRPr="006446AC">
        <w:rPr>
          <w:rFonts w:ascii="Times New Roman" w:hAnsi="Times New Roman"/>
          <w:bCs/>
          <w:color w:val="000000" w:themeColor="text1"/>
          <w:sz w:val="20"/>
        </w:rPr>
        <w:t xml:space="preserve">, </w:t>
      </w:r>
      <w:proofErr w:type="spellStart"/>
      <w:r w:rsidRPr="006446AC">
        <w:rPr>
          <w:rFonts w:ascii="Times New Roman" w:hAnsi="Times New Roman"/>
          <w:bCs/>
          <w:color w:val="000000" w:themeColor="text1"/>
          <w:sz w:val="20"/>
        </w:rPr>
        <w:t>Loya</w:t>
      </w:r>
      <w:proofErr w:type="spellEnd"/>
      <w:r w:rsidRPr="006446AC">
        <w:rPr>
          <w:rFonts w:ascii="Times New Roman" w:hAnsi="Times New Roman"/>
          <w:bCs/>
          <w:color w:val="000000" w:themeColor="text1"/>
          <w:sz w:val="20"/>
        </w:rPr>
        <w:t xml:space="preserve">, Ruud &amp; Romo, Anthony P. De Marco and Joshua E. Morrison for Association of California School Administrators as Amicus Curiae.  </w:t>
      </w:r>
    </w:p>
    <w:p w14:paraId="2384F359" w14:textId="77777777" w:rsidR="006446AC" w:rsidRPr="006446AC" w:rsidRDefault="006446AC" w:rsidP="006446AC">
      <w:pPr>
        <w:spacing w:after="0" w:line="240" w:lineRule="auto"/>
        <w:jc w:val="left"/>
        <w:rPr>
          <w:rFonts w:ascii="Times New Roman" w:hAnsi="Times New Roman"/>
          <w:bCs/>
          <w:i/>
          <w:iCs/>
          <w:color w:val="000000" w:themeColor="text1"/>
          <w:sz w:val="20"/>
        </w:rPr>
      </w:pPr>
    </w:p>
    <w:p w14:paraId="3E785887" w14:textId="77777777" w:rsidR="006446AC" w:rsidRPr="006446AC" w:rsidRDefault="006446AC" w:rsidP="006446AC">
      <w:pPr>
        <w:spacing w:after="0" w:line="240" w:lineRule="auto"/>
        <w:jc w:val="left"/>
        <w:rPr>
          <w:rFonts w:ascii="Times New Roman" w:hAnsi="Times New Roman"/>
          <w:bCs/>
          <w:color w:val="000000" w:themeColor="text1"/>
          <w:sz w:val="20"/>
        </w:rPr>
      </w:pPr>
      <w:proofErr w:type="spellStart"/>
      <w:r w:rsidRPr="006446AC">
        <w:rPr>
          <w:rFonts w:ascii="Times New Roman" w:hAnsi="Times New Roman"/>
          <w:bCs/>
          <w:color w:val="000000" w:themeColor="text1"/>
          <w:sz w:val="20"/>
        </w:rPr>
        <w:t>Greines</w:t>
      </w:r>
      <w:proofErr w:type="spellEnd"/>
      <w:r w:rsidRPr="006446AC">
        <w:rPr>
          <w:rFonts w:ascii="Times New Roman" w:hAnsi="Times New Roman"/>
          <w:bCs/>
          <w:color w:val="000000" w:themeColor="text1"/>
          <w:sz w:val="20"/>
        </w:rPr>
        <w:t xml:space="preserve">, Martin, Stein &amp; Richland and Timothy T. Coates for Los Angeles County Employees Retirement Association as Amicus Curiae.  </w:t>
      </w:r>
    </w:p>
    <w:p w14:paraId="29E8F98D" w14:textId="77777777" w:rsidR="006446AC" w:rsidRPr="006446AC" w:rsidRDefault="006446AC" w:rsidP="006446AC">
      <w:pPr>
        <w:spacing w:after="0" w:line="240" w:lineRule="auto"/>
        <w:jc w:val="left"/>
        <w:rPr>
          <w:rFonts w:ascii="Times New Roman" w:hAnsi="Times New Roman"/>
          <w:b/>
          <w:sz w:val="20"/>
        </w:rPr>
      </w:pPr>
      <w:r w:rsidRPr="006446AC">
        <w:rPr>
          <w:rFonts w:ascii="Times New Roman" w:hAnsi="Times New Roman"/>
          <w:b/>
          <w:sz w:val="20"/>
        </w:rPr>
        <w:br w:type="page"/>
      </w:r>
    </w:p>
    <w:p w14:paraId="69BA6D23" w14:textId="77777777" w:rsidR="006446AC" w:rsidRPr="006446AC" w:rsidRDefault="006446AC" w:rsidP="006446AC">
      <w:pPr>
        <w:spacing w:after="0" w:line="240" w:lineRule="auto"/>
        <w:jc w:val="left"/>
        <w:rPr>
          <w:rFonts w:ascii="Times New Roman" w:hAnsi="Times New Roman"/>
          <w:b/>
          <w:sz w:val="20"/>
        </w:rPr>
      </w:pPr>
      <w:r w:rsidRPr="006446AC">
        <w:rPr>
          <w:rFonts w:ascii="Times New Roman" w:hAnsi="Times New Roman"/>
          <w:b/>
          <w:sz w:val="20"/>
        </w:rPr>
        <w:t>Counsel who argued in Supreme Court (not intended for publication with opinion):</w:t>
      </w:r>
    </w:p>
    <w:p w14:paraId="2FF9CC88" w14:textId="77777777" w:rsidR="006446AC" w:rsidRPr="006446AC" w:rsidRDefault="006446AC" w:rsidP="006446AC">
      <w:pPr>
        <w:spacing w:after="0" w:line="240" w:lineRule="auto"/>
        <w:jc w:val="left"/>
        <w:rPr>
          <w:rFonts w:ascii="Times New Roman" w:hAnsi="Times New Roman"/>
          <w:b/>
          <w:sz w:val="20"/>
        </w:rPr>
      </w:pPr>
    </w:p>
    <w:p w14:paraId="1D2837B4"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Rei Onishi</w:t>
      </w:r>
    </w:p>
    <w:p w14:paraId="2AEDB402"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Office of Governor Gavin Newsom</w:t>
      </w:r>
    </w:p>
    <w:p w14:paraId="7C1F6C5E"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State Capitol, Suite 1173</w:t>
      </w:r>
    </w:p>
    <w:p w14:paraId="5C8D4277"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Sacramento, CA 95814</w:t>
      </w:r>
    </w:p>
    <w:p w14:paraId="323BB3DC"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(916) 445-0873</w:t>
      </w:r>
    </w:p>
    <w:p w14:paraId="376FD697" w14:textId="77777777" w:rsidR="006446AC" w:rsidRPr="006446AC" w:rsidRDefault="006446AC" w:rsidP="006446AC">
      <w:pPr>
        <w:spacing w:after="0" w:line="240" w:lineRule="auto"/>
        <w:jc w:val="left"/>
        <w:rPr>
          <w:rFonts w:ascii="Times New Roman" w:hAnsi="Times New Roman"/>
          <w:color w:val="000000" w:themeColor="text1"/>
          <w:sz w:val="20"/>
        </w:rPr>
      </w:pPr>
    </w:p>
    <w:p w14:paraId="58882643"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 xml:space="preserve">David E. </w:t>
      </w:r>
      <w:proofErr w:type="spellStart"/>
      <w:r w:rsidRPr="006446AC">
        <w:rPr>
          <w:rFonts w:ascii="Times New Roman" w:hAnsi="Times New Roman"/>
          <w:color w:val="000000" w:themeColor="text1"/>
          <w:sz w:val="20"/>
        </w:rPr>
        <w:t>Mastagni</w:t>
      </w:r>
      <w:proofErr w:type="spellEnd"/>
    </w:p>
    <w:p w14:paraId="7A30B626" w14:textId="77777777" w:rsidR="006446AC" w:rsidRPr="006446AC" w:rsidRDefault="006446AC" w:rsidP="006446AC">
      <w:pPr>
        <w:spacing w:after="0" w:line="240" w:lineRule="auto"/>
        <w:jc w:val="left"/>
        <w:rPr>
          <w:rFonts w:ascii="Times New Roman" w:hAnsi="Times New Roman"/>
          <w:color w:val="000000" w:themeColor="text1"/>
          <w:sz w:val="20"/>
        </w:rPr>
      </w:pPr>
      <w:proofErr w:type="spellStart"/>
      <w:r w:rsidRPr="006446AC">
        <w:rPr>
          <w:rFonts w:ascii="Times New Roman" w:hAnsi="Times New Roman"/>
          <w:color w:val="000000" w:themeColor="text1"/>
          <w:sz w:val="20"/>
        </w:rPr>
        <w:t>Mastagni</w:t>
      </w:r>
      <w:proofErr w:type="spellEnd"/>
      <w:r w:rsidRPr="006446AC">
        <w:rPr>
          <w:rFonts w:ascii="Times New Roman" w:hAnsi="Times New Roman"/>
          <w:color w:val="000000" w:themeColor="text1"/>
          <w:sz w:val="20"/>
        </w:rPr>
        <w:t xml:space="preserve"> </w:t>
      </w:r>
      <w:proofErr w:type="spellStart"/>
      <w:r w:rsidRPr="006446AC">
        <w:rPr>
          <w:rFonts w:ascii="Times New Roman" w:hAnsi="Times New Roman"/>
          <w:color w:val="000000" w:themeColor="text1"/>
          <w:sz w:val="20"/>
        </w:rPr>
        <w:t>Holstedt</w:t>
      </w:r>
      <w:proofErr w:type="spellEnd"/>
    </w:p>
    <w:p w14:paraId="39C8B987"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1912 I Street</w:t>
      </w:r>
    </w:p>
    <w:p w14:paraId="64825545"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Sacramento, CA 95811</w:t>
      </w:r>
    </w:p>
    <w:p w14:paraId="770E211D"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(916) 446-4692</w:t>
      </w:r>
    </w:p>
    <w:p w14:paraId="741948B2" w14:textId="77777777" w:rsidR="006446AC" w:rsidRPr="006446AC" w:rsidRDefault="006446AC" w:rsidP="006446AC">
      <w:pPr>
        <w:spacing w:after="0" w:line="240" w:lineRule="auto"/>
        <w:jc w:val="left"/>
        <w:rPr>
          <w:rFonts w:ascii="Times New Roman" w:hAnsi="Times New Roman"/>
          <w:color w:val="000000" w:themeColor="text1"/>
          <w:sz w:val="20"/>
        </w:rPr>
      </w:pPr>
    </w:p>
    <w:p w14:paraId="0906DBEA"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Timothy K. Talbot</w:t>
      </w:r>
    </w:p>
    <w:p w14:paraId="672F4E3D"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 xml:space="preserve">Rains Lucia Stern St. </w:t>
      </w:r>
      <w:proofErr w:type="spellStart"/>
      <w:r w:rsidRPr="006446AC">
        <w:rPr>
          <w:rFonts w:ascii="Times New Roman" w:hAnsi="Times New Roman"/>
          <w:color w:val="000000" w:themeColor="text1"/>
          <w:sz w:val="20"/>
        </w:rPr>
        <w:t>Phalle</w:t>
      </w:r>
      <w:proofErr w:type="spellEnd"/>
      <w:r w:rsidRPr="006446AC">
        <w:rPr>
          <w:rFonts w:ascii="Times New Roman" w:hAnsi="Times New Roman"/>
          <w:color w:val="000000" w:themeColor="text1"/>
          <w:sz w:val="20"/>
        </w:rPr>
        <w:t xml:space="preserve"> &amp; Silver</w:t>
      </w:r>
    </w:p>
    <w:p w14:paraId="1CD956C6"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2300 Contra Costa Blvd., Suite 500</w:t>
      </w:r>
    </w:p>
    <w:p w14:paraId="58E2B0E3"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Pleasant Hill, CA 94523</w:t>
      </w:r>
    </w:p>
    <w:p w14:paraId="0BA8CED5" w14:textId="77777777" w:rsidR="006446AC" w:rsidRPr="006446AC" w:rsidRDefault="006446AC" w:rsidP="006446AC">
      <w:pPr>
        <w:spacing w:after="0" w:line="240" w:lineRule="auto"/>
        <w:jc w:val="left"/>
        <w:rPr>
          <w:rFonts w:ascii="Times New Roman" w:hAnsi="Times New Roman"/>
          <w:color w:val="000000" w:themeColor="text1"/>
          <w:sz w:val="20"/>
        </w:rPr>
      </w:pPr>
      <w:r w:rsidRPr="006446AC">
        <w:rPr>
          <w:rFonts w:ascii="Times New Roman" w:hAnsi="Times New Roman"/>
          <w:color w:val="000000" w:themeColor="text1"/>
          <w:sz w:val="20"/>
        </w:rPr>
        <w:t>(925) 609-1699</w:t>
      </w:r>
      <w:bookmarkEnd w:id="58"/>
    </w:p>
    <w:p w14:paraId="2A9F9108" w14:textId="30774D46" w:rsidR="003D6F79" w:rsidRPr="001E267F" w:rsidRDefault="003D6F79" w:rsidP="009564D8">
      <w:pPr>
        <w:spacing w:after="0" w:line="240" w:lineRule="auto"/>
        <w:rPr>
          <w:b/>
          <w:bCs/>
        </w:rPr>
      </w:pPr>
    </w:p>
    <w:sectPr w:rsidR="003D6F79" w:rsidRPr="001E267F" w:rsidSect="005C63B4">
      <w:headerReference w:type="default" r:id="rId16"/>
      <w:footerReference w:type="default" r:id="rId17"/>
      <w:headerReference w:type="first" r:id="rId18"/>
      <w:footerReference w:type="first" r:id="rId19"/>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A621" w14:textId="77777777" w:rsidR="00F900DB" w:rsidRDefault="00F900DB">
      <w:r>
        <w:separator/>
      </w:r>
    </w:p>
  </w:endnote>
  <w:endnote w:type="continuationSeparator" w:id="0">
    <w:p w14:paraId="3B1AAAA7" w14:textId="77777777" w:rsidR="00F900DB" w:rsidRDefault="00F9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1458" w14:textId="77777777" w:rsidR="008943A4" w:rsidRDefault="008943A4">
    <w:pPr>
      <w:pStyle w:val="Footer"/>
    </w:pPr>
    <w:r>
      <w:fldChar w:fldCharType="begin"/>
    </w:r>
    <w:r>
      <w:instrText>PAGE</w:instrText>
    </w:r>
    <w:r>
      <w:fldChar w:fldCharType="separate"/>
    </w:r>
    <w:r>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25E1" w14:textId="77777777" w:rsidR="00D81D5A" w:rsidRDefault="00D81D5A">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F198" w14:textId="6F0C42BC" w:rsidR="003D6F79" w:rsidRDefault="003D6F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7D87" w14:textId="4A028AEB" w:rsidR="006446AC" w:rsidRDefault="006446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D28A" w14:textId="77777777" w:rsidR="005C63B4" w:rsidRDefault="005C6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77E0" w14:textId="77777777" w:rsidR="00F900DB" w:rsidRDefault="00F900DB" w:rsidP="00BB79B2">
      <w:pPr>
        <w:spacing w:after="120"/>
      </w:pPr>
      <w:r>
        <w:separator/>
      </w:r>
    </w:p>
  </w:footnote>
  <w:footnote w:type="continuationSeparator" w:id="0">
    <w:p w14:paraId="01CDA55F" w14:textId="77777777" w:rsidR="00F900DB" w:rsidRPr="00534EF6" w:rsidRDefault="00F900DB" w:rsidP="00BB79B2">
      <w:pPr>
        <w:spacing w:after="240"/>
      </w:pPr>
      <w:r>
        <w:continuationSeparator/>
      </w:r>
    </w:p>
  </w:footnote>
  <w:footnote w:type="continuationNotice" w:id="1">
    <w:p w14:paraId="4CEAEE01" w14:textId="77777777" w:rsidR="00F900DB" w:rsidRPr="00BB79B2" w:rsidRDefault="00F900DB" w:rsidP="00960C8B">
      <w:pPr>
        <w:pStyle w:val="Footer"/>
        <w:jc w:val="both"/>
      </w:pPr>
    </w:p>
  </w:footnote>
  <w:footnote w:id="2">
    <w:p w14:paraId="77E193C1" w14:textId="2F8E12A6" w:rsidR="00DF4E30" w:rsidRDefault="00DF4E30" w:rsidP="00DF4E30">
      <w:pPr>
        <w:pStyle w:val="FootnoteText"/>
      </w:pPr>
      <w:r>
        <w:rPr>
          <w:rStyle w:val="FootnoteReference"/>
        </w:rPr>
        <w:footnoteRef/>
      </w:r>
      <w:r>
        <w:t xml:space="preserve"> </w:t>
      </w:r>
      <w:r>
        <w:tab/>
        <w:t>Unless indicated otherwise, all further statutory citations are to the Government Code.</w:t>
      </w:r>
    </w:p>
    <w:p w14:paraId="786E245F" w14:textId="347647F3" w:rsidR="00DF4E30" w:rsidRDefault="00DF4E30" w:rsidP="00DF4E30">
      <w:pPr>
        <w:pStyle w:val="FootnoteText"/>
        <w:ind w:firstLine="720"/>
      </w:pPr>
      <w:bookmarkStart w:id="3" w:name="_Hlk45611265"/>
      <w:r>
        <w:t>We use the abbreviation “PEPRA” in its popular sense to refer to Assembly Bill No. 340 (2011-2012 Reg. Sess.) (Assembly Bill 340), which enacted the amendment under consideration here.  (</w:t>
      </w:r>
      <w:r w:rsidRPr="00D81D5A">
        <w:t xml:space="preserve">Stats. 2012, </w:t>
      </w:r>
      <w:proofErr w:type="spellStart"/>
      <w:r w:rsidRPr="00D81D5A">
        <w:t>ch.</w:t>
      </w:r>
      <w:proofErr w:type="spellEnd"/>
      <w:r w:rsidRPr="00D81D5A">
        <w:t xml:space="preserve"> 296, § </w:t>
      </w:r>
      <w:r>
        <w:t>28.</w:t>
      </w:r>
      <w:r w:rsidRPr="00D81D5A">
        <w:t xml:space="preserve">) </w:t>
      </w:r>
      <w:r>
        <w:t xml:space="preserve"> Assembly Bill 340 formally gave the name </w:t>
      </w:r>
      <w:bookmarkStart w:id="4" w:name="_Hlk45611066"/>
      <w:r>
        <w:t xml:space="preserve">“California </w:t>
      </w:r>
      <w:r w:rsidRPr="00D81D5A">
        <w:t>Public Employees’ Pension Reform Act of 2013</w:t>
      </w:r>
      <w:r>
        <w:t>” o</w:t>
      </w:r>
      <w:bookmarkEnd w:id="4"/>
      <w:r>
        <w:t xml:space="preserve">nly to newly added article 4 of Chapter 21 of the Government Code, which spans sections 7522 – 7522.74. </w:t>
      </w:r>
      <w:r w:rsidRPr="00D81D5A">
        <w:t xml:space="preserve"> </w:t>
      </w:r>
      <w:r>
        <w:t>(</w:t>
      </w:r>
      <w:r w:rsidRPr="00D81D5A">
        <w:t xml:space="preserve">Stats. 2012, </w:t>
      </w:r>
      <w:proofErr w:type="spellStart"/>
      <w:r w:rsidRPr="00D81D5A">
        <w:t>ch.</w:t>
      </w:r>
      <w:proofErr w:type="spellEnd"/>
      <w:r w:rsidRPr="00D81D5A">
        <w:t xml:space="preserve"> 296, § 1</w:t>
      </w:r>
      <w:r>
        <w:t>5.</w:t>
      </w:r>
      <w:r w:rsidRPr="00D81D5A">
        <w:t>)</w:t>
      </w:r>
    </w:p>
    <w:bookmarkEnd w:id="3"/>
  </w:footnote>
  <w:footnote w:id="3">
    <w:p w14:paraId="7C9B1DFB" w14:textId="77777777" w:rsidR="002C6C3F" w:rsidRDefault="002C6C3F" w:rsidP="00D81D5A">
      <w:pPr>
        <w:pStyle w:val="FootnoteText"/>
      </w:pPr>
      <w:r>
        <w:rPr>
          <w:rStyle w:val="FootnoteReference"/>
        </w:rPr>
        <w:footnoteRef/>
      </w:r>
      <w:r>
        <w:t xml:space="preserve"> </w:t>
      </w:r>
      <w:r>
        <w:tab/>
        <w:t xml:space="preserve">As explained below, this matter resulted from the consolidation of three separate lawsuits filed by organizations representing employees of Alameda, Contra Costa, and Merced </w:t>
      </w:r>
      <w:r w:rsidR="0039275B">
        <w:t>C</w:t>
      </w:r>
      <w:r>
        <w:t>ounties.  Among the plaintiffs in these actions, only those in the Alameda County action petitioned this court for review of the Court of Appeal’s decision</w:t>
      </w:r>
      <w:r w:rsidR="008F78ED">
        <w:t xml:space="preserve">.  </w:t>
      </w:r>
      <w:r w:rsidR="0039275B">
        <w:t>T</w:t>
      </w:r>
      <w:r>
        <w:t>he plaintiffs in the Contra Costa and Merced actions</w:t>
      </w:r>
      <w:r w:rsidR="0039275B">
        <w:t xml:space="preserve"> filed respondents’ briefs in this court advancing positions similar to those of the Association and its </w:t>
      </w:r>
      <w:proofErr w:type="spellStart"/>
      <w:r w:rsidR="0039275B">
        <w:t>coplaintiffs</w:t>
      </w:r>
      <w:proofErr w:type="spellEnd"/>
      <w:r w:rsidR="0039275B">
        <w:t>.</w:t>
      </w:r>
    </w:p>
  </w:footnote>
  <w:footnote w:id="4">
    <w:p w14:paraId="65DA29FB" w14:textId="79300860" w:rsidR="002C6C3F" w:rsidRDefault="002C6C3F" w:rsidP="00D81D5A">
      <w:pPr>
        <w:pStyle w:val="FootnoteText"/>
      </w:pPr>
      <w:r>
        <w:rPr>
          <w:rStyle w:val="FootnoteReference"/>
        </w:rPr>
        <w:footnoteRef/>
      </w:r>
      <w:r>
        <w:t xml:space="preserve"> </w:t>
      </w:r>
      <w:r>
        <w:tab/>
      </w:r>
      <w:r w:rsidR="00DD4274">
        <w:t>In addition to the petition for review filed by the Association, w</w:t>
      </w:r>
      <w:r>
        <w:t>e granted petitions for review filed by both the District and the State.</w:t>
      </w:r>
      <w:r w:rsidR="00DD4274">
        <w:t xml:space="preserve">  </w:t>
      </w:r>
      <w:r>
        <w:t xml:space="preserve">The District had been joined as a defendant in the Contra Costa County action because its employees participate in a CERL pension plan.  </w:t>
      </w:r>
      <w:r w:rsidR="00DD4274">
        <w:t>Although not initially a party, t</w:t>
      </w:r>
      <w:r>
        <w:t xml:space="preserve">he State was permitted to intervene in all three of the consolidated actions to defend </w:t>
      </w:r>
      <w:r w:rsidR="00057CF5">
        <w:t>PEPRA</w:t>
      </w:r>
      <w:r>
        <w:t>.</w:t>
      </w:r>
    </w:p>
  </w:footnote>
  <w:footnote w:id="5">
    <w:p w14:paraId="7D896F80" w14:textId="77777777" w:rsidR="002C6C3F" w:rsidRPr="005050F1" w:rsidRDefault="002C6C3F" w:rsidP="00D81D5A">
      <w:pPr>
        <w:pStyle w:val="FootnoteText"/>
      </w:pPr>
      <w:r>
        <w:rPr>
          <w:rStyle w:val="FootnoteReference"/>
        </w:rPr>
        <w:footnoteRef/>
      </w:r>
      <w:r>
        <w:t xml:space="preserve"> </w:t>
      </w:r>
      <w:r>
        <w:tab/>
        <w:t xml:space="preserve">As explained in </w:t>
      </w:r>
      <w:r>
        <w:rPr>
          <w:i/>
        </w:rPr>
        <w:t xml:space="preserve">Cal </w:t>
      </w:r>
      <w:r w:rsidRPr="001376E3">
        <w:rPr>
          <w:i/>
        </w:rPr>
        <w:t>Fire</w:t>
      </w:r>
      <w:r>
        <w:t xml:space="preserve">, </w:t>
      </w:r>
      <w:r>
        <w:rPr>
          <w:i/>
        </w:rPr>
        <w:t>supra</w:t>
      </w:r>
      <w:r>
        <w:t>, 6 Cal.5th 965,</w:t>
      </w:r>
      <w:r>
        <w:rPr>
          <w:i/>
        </w:rPr>
        <w:t xml:space="preserve"> </w:t>
      </w:r>
      <w:r>
        <w:t>use of the term “vested” is potentially confusing here because the term is used in two different ways in discussing pensions.  (</w:t>
      </w:r>
      <w:r>
        <w:rPr>
          <w:i/>
        </w:rPr>
        <w:t>Id</w:t>
      </w:r>
      <w:r>
        <w:t>. at p.</w:t>
      </w:r>
      <w:r w:rsidR="00DC65FC">
        <w:t> </w:t>
      </w:r>
      <w:r>
        <w:t>972, fn. 3.)  County employees become eligible to receive a pension after ten years of county employment.  (§</w:t>
      </w:r>
      <w:r w:rsidR="00DC65FC">
        <w:t> </w:t>
      </w:r>
      <w:r>
        <w:t>31672</w:t>
      </w:r>
      <w:r w:rsidR="009315A5">
        <w:t xml:space="preserve">, </w:t>
      </w:r>
      <w:proofErr w:type="spellStart"/>
      <w:r w:rsidR="009315A5">
        <w:t>subd</w:t>
      </w:r>
      <w:proofErr w:type="spellEnd"/>
      <w:r w:rsidR="009315A5">
        <w:t>. (a)</w:t>
      </w:r>
      <w:r>
        <w:t>.)  Once an employee has become qualified to receive a pension by satisfying this minimum service requirement, he or she is said to be “vested” with respect to the receipt of a pension.  That is not the same as having a “vested right” in a particular pension benefit.  The term “vested right” has come to refer to a benefit of public employment whose repeal or other divestment is constrained by the constitutional contract clause.  (</w:t>
      </w:r>
      <w:r>
        <w:rPr>
          <w:i/>
        </w:rPr>
        <w:t>Cal Fire</w:t>
      </w:r>
      <w:r>
        <w:t xml:space="preserve">, at p. 972, fn. 3.)  To further compound the confusion, “vested right” means different things in other legal contexts.  (E.g., </w:t>
      </w:r>
      <w:proofErr w:type="spellStart"/>
      <w:r>
        <w:rPr>
          <w:i/>
        </w:rPr>
        <w:t>Avco</w:t>
      </w:r>
      <w:proofErr w:type="spellEnd"/>
      <w:r>
        <w:rPr>
          <w:i/>
        </w:rPr>
        <w:t xml:space="preserve"> Community Developers, Inc. v. South Coast Regional Com. </w:t>
      </w:r>
      <w:r>
        <w:t>(1976) 17 Cal.3d 785, 791</w:t>
      </w:r>
      <w:r w:rsidR="0085631D">
        <w:t xml:space="preserve"> (</w:t>
      </w:r>
      <w:proofErr w:type="spellStart"/>
      <w:r w:rsidR="0085631D">
        <w:rPr>
          <w:i/>
          <w:iCs/>
        </w:rPr>
        <w:t>Avco</w:t>
      </w:r>
      <w:proofErr w:type="spellEnd"/>
      <w:r w:rsidR="0085631D">
        <w:t>)</w:t>
      </w:r>
      <w:r>
        <w:t xml:space="preserve"> [“vested right” to pursue a permitted real estate development].)</w:t>
      </w:r>
    </w:p>
  </w:footnote>
  <w:footnote w:id="6">
    <w:p w14:paraId="1C87823B" w14:textId="77777777" w:rsidR="002C6C3F" w:rsidRDefault="002C6C3F" w:rsidP="00DC65FC">
      <w:pPr>
        <w:pStyle w:val="FootnoteText"/>
      </w:pPr>
      <w:r>
        <w:rPr>
          <w:rStyle w:val="FootnoteReference"/>
        </w:rPr>
        <w:footnoteRef/>
      </w:r>
      <w:r>
        <w:t xml:space="preserve"> </w:t>
      </w:r>
      <w:r>
        <w:tab/>
        <w:t>Pension benefits under CERL are composed of two elements, a “service retirement annuity” and a “current service pension.”  (§</w:t>
      </w:r>
      <w:r w:rsidRPr="00D30560">
        <w:rPr>
          <w:rFonts w:cs="Calibri"/>
        </w:rPr>
        <w:t>§</w:t>
      </w:r>
      <w:r>
        <w:t xml:space="preserve"> 31673-31675; </w:t>
      </w:r>
      <w:r>
        <w:rPr>
          <w:i/>
        </w:rPr>
        <w:t xml:space="preserve">O’Neal v. Stanislaus County Employees’ Retirement Assn. </w:t>
      </w:r>
      <w:r>
        <w:t>(2017) 8 Cal.App.5th 1184, 1199.)  Our example does not discuss the distinction between these two elements because it appears to make no practical difference in the size of an employee’s pension benefit.  Under the benefit schedules, the amount of the current service pension is calculated to result in an identical pension benefit for employees with identical circumstances of retirement, without regard to the respective size of their service retirement annuities.  (E.g., §§ 31676.01, 31676.1 [current service pension is calculated so that, “when added to the service retirement annuity,” the total pension benefit will have a particular value].)</w:t>
      </w:r>
    </w:p>
  </w:footnote>
  <w:footnote w:id="7">
    <w:p w14:paraId="159BC74F" w14:textId="77777777" w:rsidR="002C6C3F" w:rsidRDefault="002C6C3F" w:rsidP="00D81D5A">
      <w:pPr>
        <w:pStyle w:val="FootnoteText"/>
      </w:pPr>
      <w:r>
        <w:rPr>
          <w:rStyle w:val="FootnoteReference"/>
        </w:rPr>
        <w:footnoteRef/>
      </w:r>
      <w:r>
        <w:t xml:space="preserve"> </w:t>
      </w:r>
      <w:r>
        <w:tab/>
        <w:t>The three-year average governs unless the county board of supervisors affirmatively elects the single year alternative.  (§</w:t>
      </w:r>
      <w:r w:rsidR="005E34E4">
        <w:t>§</w:t>
      </w:r>
      <w:r w:rsidR="00C110DF">
        <w:t> </w:t>
      </w:r>
      <w:r w:rsidR="005E34E4">
        <w:t xml:space="preserve">31462, </w:t>
      </w:r>
      <w:r>
        <w:t xml:space="preserve">31462.1, </w:t>
      </w:r>
      <w:proofErr w:type="spellStart"/>
      <w:r>
        <w:t>subd</w:t>
      </w:r>
      <w:proofErr w:type="spellEnd"/>
      <w:r>
        <w:t>. (a)(2).)  In either case, the retiring employee is entitled to designate the year or years to be used in calculating final compensation.  (§§ 31462, 31462.1.)</w:t>
      </w:r>
    </w:p>
  </w:footnote>
  <w:footnote w:id="8">
    <w:p w14:paraId="1439EC2E" w14:textId="77777777" w:rsidR="002C6C3F" w:rsidRDefault="002C6C3F" w:rsidP="00D81D5A">
      <w:pPr>
        <w:pStyle w:val="FootnoteText"/>
      </w:pPr>
      <w:r>
        <w:rPr>
          <w:rStyle w:val="FootnoteReference"/>
        </w:rPr>
        <w:footnoteRef/>
      </w:r>
      <w:r>
        <w:t xml:space="preserve"> </w:t>
      </w:r>
      <w:r>
        <w:tab/>
        <w:t>CERL contains a few alternative definitions of compensation earnable applicable in specific circumstances.  (See, e.g., §§ 31461.1, 31461.4, 31461.45 [all applicable only to Los Angeles County</w:t>
      </w:r>
      <w:r w:rsidR="005E34E4">
        <w:t>; see §§ 28020, 28022</w:t>
      </w:r>
      <w:r>
        <w:t>]; 31461.2 [applicable only to certain administrators and coroners].)  We are concerned here only with the generally applicable definition, which is found in section 31461</w:t>
      </w:r>
      <w:r w:rsidR="00BC5B54">
        <w:t>, subd</w:t>
      </w:r>
      <w:r w:rsidR="00FF6B9E">
        <w:t>i</w:t>
      </w:r>
      <w:r w:rsidR="00C110DF">
        <w:t>vi</w:t>
      </w:r>
      <w:r w:rsidR="00FF6B9E">
        <w:t>sion</w:t>
      </w:r>
      <w:r w:rsidR="00BC5B54">
        <w:t xml:space="preserve"> (a)</w:t>
      </w:r>
      <w:r>
        <w:t>.</w:t>
      </w:r>
    </w:p>
  </w:footnote>
  <w:footnote w:id="9">
    <w:p w14:paraId="05ADDE77" w14:textId="77777777" w:rsidR="00BB09DD" w:rsidRDefault="002C6C3F" w:rsidP="00BB09DD">
      <w:pPr>
        <w:spacing w:after="0" w:line="300" w:lineRule="exact"/>
        <w:ind w:right="-86"/>
      </w:pPr>
      <w:r>
        <w:rPr>
          <w:rStyle w:val="FootnoteReference"/>
        </w:rPr>
        <w:footnoteRef/>
      </w:r>
      <w:r>
        <w:tab/>
      </w:r>
      <w:r w:rsidRPr="00920287">
        <w:t xml:space="preserve">This is the manner </w:t>
      </w:r>
      <w:r>
        <w:t>in</w:t>
      </w:r>
      <w:r w:rsidRPr="00920287">
        <w:t xml:space="preserve"> which at least one county retirement board does calculate final compensation.  (See, e.g., Orange County Employees Retirement System Compensation Earnable Policy (Mar</w:t>
      </w:r>
      <w:r w:rsidR="00F17E52">
        <w:t>.</w:t>
      </w:r>
      <w:r w:rsidRPr="00920287">
        <w:t xml:space="preserve"> 18, 2019), at p.</w:t>
      </w:r>
      <w:r>
        <w:t> </w:t>
      </w:r>
      <w:r w:rsidRPr="00920287">
        <w:t xml:space="preserve">4 [using hours worked rather than days worked] </w:t>
      </w:r>
      <w:r w:rsidR="00F17E52">
        <w:t>&lt;</w:t>
      </w:r>
      <w:r w:rsidR="00F17E52" w:rsidRPr="005231F4">
        <w:t>https://www.ocers.org/sites/main/files/</w:t>
      </w:r>
    </w:p>
    <w:p w14:paraId="0D266952" w14:textId="72C885B8" w:rsidR="002C6C3F" w:rsidRPr="00F7544A" w:rsidRDefault="00F17E52" w:rsidP="00D81D5A">
      <w:pPr>
        <w:spacing w:line="300" w:lineRule="exact"/>
        <w:ind w:right="-90"/>
      </w:pPr>
      <w:r w:rsidRPr="005231F4">
        <w:t>file-attachments/compensationearnablepolicy_1.pdf</w:t>
      </w:r>
      <w:r>
        <w:t>&gt;</w:t>
      </w:r>
      <w:r w:rsidR="002C6C3F" w:rsidRPr="00920287">
        <w:t xml:space="preserve"> [as of </w:t>
      </w:r>
      <w:r w:rsidR="006F23DE">
        <w:t>July 30, 2020</w:t>
      </w:r>
      <w:r w:rsidR="002C6C3F" w:rsidRPr="00920287">
        <w:t xml:space="preserve">]; all Internet citations in this opinion are archived by year, docket number, and case name at </w:t>
      </w:r>
      <w:r>
        <w:t>&lt;</w:t>
      </w:r>
      <w:r w:rsidRPr="005231F4">
        <w:t>http://www.courts.ca.gov/38324.htm</w:t>
      </w:r>
      <w:r>
        <w:t>&gt;</w:t>
      </w:r>
      <w:r w:rsidR="002C6C3F" w:rsidRPr="00920287">
        <w:t>.)</w:t>
      </w:r>
    </w:p>
  </w:footnote>
  <w:footnote w:id="10">
    <w:p w14:paraId="2595F0D1" w14:textId="1DC4FB28" w:rsidR="001350DA" w:rsidRDefault="00540F28" w:rsidP="00D81D5A">
      <w:pPr>
        <w:pStyle w:val="FootnoteText"/>
      </w:pPr>
      <w:r>
        <w:rPr>
          <w:rStyle w:val="FootnoteReference"/>
        </w:rPr>
        <w:footnoteRef/>
      </w:r>
      <w:r>
        <w:t xml:space="preserve"> </w:t>
      </w:r>
      <w:r>
        <w:tab/>
        <w:t xml:space="preserve">A copy of Governor Brown’s “Twelve Point Pension Reform Plan,” which is dated October 27, 2011, is posted on the California government website at </w:t>
      </w:r>
      <w:r w:rsidR="00F17E52">
        <w:t>&lt;</w:t>
      </w:r>
      <w:r w:rsidR="001350DA" w:rsidRPr="001350DA">
        <w:t>https://www.ca.gov/archive/</w:t>
      </w:r>
      <w:bookmarkStart w:id="13" w:name="_GoBack"/>
      <w:bookmarkEnd w:id="13"/>
      <w:r w:rsidR="001350DA" w:rsidRPr="001350DA">
        <w:t>gov39/wp-content/uploads/2017/</w:t>
      </w:r>
    </w:p>
    <w:p w14:paraId="15A322A4" w14:textId="2FA0A3F2" w:rsidR="00540F28" w:rsidRPr="003E12F5" w:rsidRDefault="00C56186" w:rsidP="00D81D5A">
      <w:pPr>
        <w:pStyle w:val="FootnoteText"/>
      </w:pPr>
      <w:r w:rsidRPr="00D16C15">
        <w:t>09/Twelve_Point_Pension_Reform_10.27.11.pdf</w:t>
      </w:r>
      <w:r w:rsidR="00F17E52">
        <w:t>&gt;</w:t>
      </w:r>
      <w:r w:rsidR="00E75584">
        <w:t xml:space="preserve"> </w:t>
      </w:r>
      <w:r w:rsidR="00E75584" w:rsidRPr="00920287">
        <w:t xml:space="preserve">[as of </w:t>
      </w:r>
      <w:r w:rsidR="00716EE1">
        <w:t>July 30, 2020</w:t>
      </w:r>
      <w:r w:rsidR="00E75584" w:rsidRPr="00920287">
        <w:t>]</w:t>
      </w:r>
      <w:r w:rsidR="003E12F5">
        <w:t>.</w:t>
      </w:r>
    </w:p>
  </w:footnote>
  <w:footnote w:id="11">
    <w:p w14:paraId="2E74BBBB" w14:textId="6F08AE69" w:rsidR="00540F28" w:rsidRPr="00214766" w:rsidRDefault="00540F28" w:rsidP="00D81D5A">
      <w:pPr>
        <w:spacing w:line="300" w:lineRule="exact"/>
        <w:rPr>
          <w:iCs/>
        </w:rPr>
      </w:pPr>
      <w:r>
        <w:rPr>
          <w:rStyle w:val="FootnoteReference"/>
        </w:rPr>
        <w:footnoteRef/>
      </w:r>
      <w:r>
        <w:t xml:space="preserve"> </w:t>
      </w:r>
      <w:r>
        <w:tab/>
        <w:t xml:space="preserve">As explained in a contemporary Senate </w:t>
      </w:r>
      <w:r w:rsidR="003214BE">
        <w:t>b</w:t>
      </w:r>
      <w:r>
        <w:t xml:space="preserve">ill analysis, </w:t>
      </w:r>
      <w:r w:rsidRPr="004F27D7">
        <w:t>“The compre</w:t>
      </w:r>
      <w:r>
        <w:t xml:space="preserve">hensive pension reform proposal . . . </w:t>
      </w:r>
      <w:r w:rsidRPr="004F27D7">
        <w:t>is based on the Governor’s 12-Point Pension Reform Plan</w:t>
      </w:r>
      <w:r>
        <w:t xml:space="preserve">.  [¶]  </w:t>
      </w:r>
      <w:r>
        <w:rPr>
          <w:szCs w:val="27"/>
        </w:rPr>
        <w:t xml:space="preserve">The Conference Committee Report includes 10 of the 12 points included in the Governor’s plan. . . .  </w:t>
      </w:r>
      <w:r w:rsidRPr="00292DE9">
        <w:t>Additionally, in order to ac</w:t>
      </w:r>
      <w:r>
        <w:t xml:space="preserve">hieve the goal of comprehensive </w:t>
      </w:r>
      <w:r w:rsidRPr="00292DE9">
        <w:t xml:space="preserve">reform, included are some </w:t>
      </w:r>
      <w:r>
        <w:t xml:space="preserve">pension reform changes found in </w:t>
      </w:r>
      <w:r w:rsidRPr="00292DE9">
        <w:t>bills going through the Leg</w:t>
      </w:r>
      <w:r>
        <w:t xml:space="preserve">islature this session that were </w:t>
      </w:r>
      <w:r w:rsidRPr="00292DE9">
        <w:t>not i</w:t>
      </w:r>
      <w:r>
        <w:t>ncluded as part of the Governor’</w:t>
      </w:r>
      <w:r w:rsidRPr="00292DE9">
        <w:t>s plan.</w:t>
      </w:r>
      <w:r>
        <w:t>”  (</w:t>
      </w:r>
      <w:r w:rsidRPr="00292DE9">
        <w:t xml:space="preserve">Sen. Rules Com., </w:t>
      </w:r>
      <w:r w:rsidR="003214BE">
        <w:t>Off. of Sen. Floor Analyses</w:t>
      </w:r>
      <w:r w:rsidRPr="004F27D7">
        <w:t xml:space="preserve">, </w:t>
      </w:r>
      <w:r w:rsidR="003214BE">
        <w:t xml:space="preserve">Analysis of </w:t>
      </w:r>
      <w:r w:rsidRPr="004F27D7">
        <w:t>A</w:t>
      </w:r>
      <w:r>
        <w:t xml:space="preserve">ssem. </w:t>
      </w:r>
      <w:r w:rsidRPr="004F27D7">
        <w:t>B</w:t>
      </w:r>
      <w:r>
        <w:t>ill</w:t>
      </w:r>
      <w:r w:rsidRPr="004F27D7">
        <w:t xml:space="preserve"> </w:t>
      </w:r>
      <w:r w:rsidR="003214BE">
        <w:t xml:space="preserve">No. </w:t>
      </w:r>
      <w:r w:rsidRPr="004F27D7">
        <w:t>340</w:t>
      </w:r>
      <w:r>
        <w:t xml:space="preserve"> (2011-2012 Reg. Sess.)</w:t>
      </w:r>
      <w:r w:rsidRPr="004F27D7">
        <w:t xml:space="preserve"> Aug</w:t>
      </w:r>
      <w:r>
        <w:t>.</w:t>
      </w:r>
      <w:r w:rsidRPr="004F27D7">
        <w:t xml:space="preserve"> </w:t>
      </w:r>
      <w:r w:rsidR="003214BE">
        <w:t>28</w:t>
      </w:r>
      <w:r w:rsidRPr="004F27D7">
        <w:t>, 2012, p</w:t>
      </w:r>
      <w:r>
        <w:t>p</w:t>
      </w:r>
      <w:r w:rsidRPr="004F27D7">
        <w:t>.</w:t>
      </w:r>
      <w:r>
        <w:t> </w:t>
      </w:r>
      <w:r w:rsidRPr="004F27D7">
        <w:t>7</w:t>
      </w:r>
      <w:r>
        <w:t xml:space="preserve">-8.)  Rather than arising in the governor’s reform proposal, </w:t>
      </w:r>
      <w:r w:rsidR="00985F72">
        <w:t xml:space="preserve">however, </w:t>
      </w:r>
      <w:r>
        <w:t>t</w:t>
      </w:r>
      <w:r>
        <w:rPr>
          <w:shd w:val="clear" w:color="auto" w:fill="FFFFFF"/>
        </w:rPr>
        <w:t>he provision of PEPRA under consideration here</w:t>
      </w:r>
      <w:r>
        <w:t xml:space="preserve"> originated in an earlier version of A</w:t>
      </w:r>
      <w:r w:rsidR="003214BE">
        <w:t xml:space="preserve">ssembly </w:t>
      </w:r>
      <w:r>
        <w:t>B</w:t>
      </w:r>
      <w:r w:rsidR="003214BE">
        <w:t>ill</w:t>
      </w:r>
      <w:r w:rsidR="00546110">
        <w:t xml:space="preserve"> 340</w:t>
      </w:r>
      <w:r>
        <w:t xml:space="preserve"> and was retained throughout the legislative process.</w:t>
      </w:r>
      <w:r w:rsidRPr="006A35D3">
        <w:t xml:space="preserve"> </w:t>
      </w:r>
      <w:r>
        <w:t xml:space="preserve"> </w:t>
      </w:r>
      <w:r w:rsidRPr="006A35D3">
        <w:t>(</w:t>
      </w:r>
      <w:r w:rsidR="003214BE">
        <w:t>Assem. Bill No.</w:t>
      </w:r>
      <w:r w:rsidR="004D125A">
        <w:t> </w:t>
      </w:r>
      <w:r w:rsidR="003214BE">
        <w:t>340, Final Hist. (2011-2012 Reg. Sess.); see</w:t>
      </w:r>
      <w:r w:rsidRPr="006A35D3">
        <w:t xml:space="preserve"> A</w:t>
      </w:r>
      <w:r w:rsidR="003214BE">
        <w:t xml:space="preserve">ssem. </w:t>
      </w:r>
      <w:r w:rsidRPr="006A35D3">
        <w:t>B</w:t>
      </w:r>
      <w:r w:rsidR="003214BE">
        <w:t>ill No.</w:t>
      </w:r>
      <w:r w:rsidR="004D125A">
        <w:t> </w:t>
      </w:r>
      <w:r w:rsidRPr="006A35D3">
        <w:t>340, as amended April 25, 2011</w:t>
      </w:r>
      <w:r>
        <w:t>;</w:t>
      </w:r>
      <w:r w:rsidR="003214BE">
        <w:t xml:space="preserve"> Sen. Rules Com., Off. of Sen. Floor Analyses, Analysis of Assem. Bill No. 340 (2011-2012 Reg. Sess.</w:t>
      </w:r>
      <w:r w:rsidRPr="006A35D3">
        <w:t>)</w:t>
      </w:r>
      <w:r w:rsidR="003214BE">
        <w:t xml:space="preserve"> Aug. 28, 2012.)</w:t>
      </w:r>
    </w:p>
  </w:footnote>
  <w:footnote w:id="12">
    <w:p w14:paraId="4F52B9B8" w14:textId="4337AA33" w:rsidR="00EB198A" w:rsidRDefault="00EB198A" w:rsidP="00D81D5A">
      <w:pPr>
        <w:pStyle w:val="FootnoteText"/>
      </w:pPr>
      <w:r>
        <w:rPr>
          <w:rStyle w:val="FootnoteReference"/>
        </w:rPr>
        <w:footnoteRef/>
      </w:r>
      <w:r>
        <w:t xml:space="preserve"> </w:t>
      </w:r>
      <w:r>
        <w:tab/>
        <w:t>In the text, we often refer to this provision of PEPRA as “the PEPRA amendment.”</w:t>
      </w:r>
    </w:p>
    <w:p w14:paraId="33AB97F1" w14:textId="7D08DBBC" w:rsidR="00EB198A" w:rsidRDefault="001D63F7" w:rsidP="00D81D5A">
      <w:pPr>
        <w:spacing w:line="300" w:lineRule="exact"/>
        <w:ind w:firstLine="720"/>
        <w:rPr>
          <w:szCs w:val="26"/>
        </w:rPr>
      </w:pPr>
      <w:r>
        <w:t>S</w:t>
      </w:r>
      <w:r w:rsidR="00EB198A">
        <w:t>ubdivision (b) of section 31461, added by the PEPRA amendment, provides:</w:t>
      </w:r>
    </w:p>
    <w:p w14:paraId="58F0D90F" w14:textId="77777777" w:rsidR="00EB198A" w:rsidRPr="00CE163E" w:rsidRDefault="00EB198A" w:rsidP="00D81D5A">
      <w:pPr>
        <w:spacing w:line="300" w:lineRule="exact"/>
        <w:ind w:firstLine="720"/>
        <w:rPr>
          <w:szCs w:val="26"/>
        </w:rPr>
      </w:pPr>
      <w:r>
        <w:rPr>
          <w:bCs/>
          <w:szCs w:val="26"/>
          <w:bdr w:val="none" w:sz="0" w:space="0" w:color="auto" w:frame="1"/>
          <w:shd w:val="clear" w:color="auto" w:fill="FFFFFF"/>
        </w:rPr>
        <w:t xml:space="preserve">“(b) ‘Compensation earnable’ </w:t>
      </w:r>
      <w:r w:rsidRPr="00CE163E">
        <w:rPr>
          <w:szCs w:val="26"/>
          <w:bdr w:val="none" w:sz="0" w:space="0" w:color="auto" w:frame="1"/>
          <w:shd w:val="clear" w:color="auto" w:fill="FFFFFF"/>
        </w:rPr>
        <w:t>does not include, in any case, the following:</w:t>
      </w:r>
    </w:p>
    <w:p w14:paraId="2AC3EC7E" w14:textId="77777777" w:rsidR="00EB198A" w:rsidRPr="00CE163E" w:rsidRDefault="00EB198A" w:rsidP="00D81D5A">
      <w:pPr>
        <w:spacing w:line="300" w:lineRule="exact"/>
        <w:ind w:firstLine="720"/>
        <w:rPr>
          <w:szCs w:val="26"/>
          <w:bdr w:val="none" w:sz="0" w:space="0" w:color="auto" w:frame="1"/>
          <w:shd w:val="clear" w:color="auto" w:fill="FFFFFF"/>
        </w:rPr>
      </w:pPr>
      <w:r>
        <w:rPr>
          <w:bCs/>
          <w:szCs w:val="26"/>
          <w:bdr w:val="none" w:sz="0" w:space="0" w:color="auto" w:frame="1"/>
          <w:shd w:val="clear" w:color="auto" w:fill="FFFFFF"/>
        </w:rPr>
        <w:t xml:space="preserve">“(1) </w:t>
      </w:r>
      <w:r w:rsidRPr="00CE163E">
        <w:rPr>
          <w:szCs w:val="26"/>
          <w:bdr w:val="none" w:sz="0" w:space="0" w:color="auto" w:frame="1"/>
          <w:shd w:val="clear" w:color="auto" w:fill="FFFFFF"/>
        </w:rPr>
        <w:t xml:space="preserve">Any </w:t>
      </w:r>
      <w:bookmarkStart w:id="14" w:name="_Hlk28867916"/>
      <w:r w:rsidRPr="00CE163E">
        <w:rPr>
          <w:szCs w:val="26"/>
          <w:bdr w:val="none" w:sz="0" w:space="0" w:color="auto" w:frame="1"/>
          <w:shd w:val="clear" w:color="auto" w:fill="FFFFFF"/>
        </w:rPr>
        <w:t xml:space="preserve">compensation determined by the board to have been paid to enhance a member’s retirement benefit </w:t>
      </w:r>
      <w:bookmarkEnd w:id="14"/>
      <w:r w:rsidRPr="00CE163E">
        <w:rPr>
          <w:szCs w:val="26"/>
          <w:bdr w:val="none" w:sz="0" w:space="0" w:color="auto" w:frame="1"/>
          <w:shd w:val="clear" w:color="auto" w:fill="FFFFFF"/>
        </w:rPr>
        <w:t>under that system. That compensation may include:</w:t>
      </w:r>
    </w:p>
    <w:p w14:paraId="395461A9" w14:textId="77777777" w:rsidR="00EB198A" w:rsidRPr="00CE163E" w:rsidRDefault="00EB198A" w:rsidP="00D81D5A">
      <w:pPr>
        <w:spacing w:line="300" w:lineRule="exact"/>
        <w:ind w:firstLine="720"/>
        <w:rPr>
          <w:szCs w:val="26"/>
        </w:rPr>
      </w:pPr>
      <w:r>
        <w:rPr>
          <w:bCs/>
          <w:szCs w:val="26"/>
          <w:bdr w:val="none" w:sz="0" w:space="0" w:color="auto" w:frame="1"/>
          <w:shd w:val="clear" w:color="auto" w:fill="FFFFFF"/>
        </w:rPr>
        <w:t>“</w:t>
      </w:r>
      <w:r w:rsidRPr="00E12D55">
        <w:rPr>
          <w:bCs/>
          <w:szCs w:val="26"/>
          <w:bdr w:val="none" w:sz="0" w:space="0" w:color="auto" w:frame="1"/>
          <w:shd w:val="clear" w:color="auto" w:fill="FFFFFF"/>
        </w:rPr>
        <w:t>(A)</w:t>
      </w:r>
      <w:r w:rsidRPr="00CE163E">
        <w:rPr>
          <w:szCs w:val="26"/>
          <w:bdr w:val="none" w:sz="0" w:space="0" w:color="auto" w:frame="1"/>
          <w:shd w:val="clear" w:color="auto" w:fill="FFFFFF"/>
        </w:rPr>
        <w:t> Compensation that had previously been provided in kind to the member by the employer or paid directly by the employer to a third party other than the retirement system for the benefit of the member, and which was converted to and received by the member in the form of a cash payment in the final average salary period.</w:t>
      </w:r>
    </w:p>
    <w:p w14:paraId="75335999" w14:textId="77777777" w:rsidR="00EB198A" w:rsidRPr="00CE163E" w:rsidRDefault="00EB198A" w:rsidP="00D81D5A">
      <w:pPr>
        <w:spacing w:line="300" w:lineRule="exact"/>
        <w:ind w:firstLine="720"/>
        <w:rPr>
          <w:szCs w:val="26"/>
          <w:bdr w:val="none" w:sz="0" w:space="0" w:color="auto" w:frame="1"/>
          <w:shd w:val="clear" w:color="auto" w:fill="FFFFFF"/>
        </w:rPr>
      </w:pPr>
      <w:r>
        <w:rPr>
          <w:bCs/>
          <w:szCs w:val="26"/>
          <w:bdr w:val="none" w:sz="0" w:space="0" w:color="auto" w:frame="1"/>
          <w:shd w:val="clear" w:color="auto" w:fill="FFFFFF"/>
        </w:rPr>
        <w:t>“</w:t>
      </w:r>
      <w:r w:rsidRPr="00E12D55">
        <w:rPr>
          <w:bCs/>
          <w:szCs w:val="26"/>
          <w:bdr w:val="none" w:sz="0" w:space="0" w:color="auto" w:frame="1"/>
          <w:shd w:val="clear" w:color="auto" w:fill="FFFFFF"/>
        </w:rPr>
        <w:t>(B)</w:t>
      </w:r>
      <w:r w:rsidRPr="00CE163E">
        <w:rPr>
          <w:szCs w:val="26"/>
          <w:bdr w:val="none" w:sz="0" w:space="0" w:color="auto" w:frame="1"/>
          <w:shd w:val="clear" w:color="auto" w:fill="FFFFFF"/>
        </w:rPr>
        <w:t> Any one-time or ad hoc payment made to a member, but not to all similarly situated members in the member’s grade or class.</w:t>
      </w:r>
    </w:p>
    <w:p w14:paraId="4E012E2E" w14:textId="77777777" w:rsidR="00EB198A" w:rsidRPr="00CE163E" w:rsidRDefault="00EB198A" w:rsidP="00D81D5A">
      <w:pPr>
        <w:spacing w:line="300" w:lineRule="exact"/>
        <w:ind w:firstLine="720"/>
        <w:rPr>
          <w:szCs w:val="26"/>
          <w:bdr w:val="none" w:sz="0" w:space="0" w:color="auto" w:frame="1"/>
          <w:shd w:val="clear" w:color="auto" w:fill="FFFFFF"/>
        </w:rPr>
      </w:pPr>
      <w:r w:rsidRPr="00E12D55">
        <w:rPr>
          <w:bCs/>
          <w:szCs w:val="26"/>
          <w:bdr w:val="none" w:sz="0" w:space="0" w:color="auto" w:frame="1"/>
          <w:shd w:val="clear" w:color="auto" w:fill="FFFFFF"/>
        </w:rPr>
        <w:t>“(C)</w:t>
      </w:r>
      <w:r w:rsidRPr="00CE163E">
        <w:rPr>
          <w:szCs w:val="26"/>
          <w:bdr w:val="none" w:sz="0" w:space="0" w:color="auto" w:frame="1"/>
          <w:shd w:val="clear" w:color="auto" w:fill="FFFFFF"/>
        </w:rPr>
        <w:t> Any payment that is made solely due to the termination of the member’s employment, but is received by the member while employed, except those payments that do not exceed what is earned and payable in each 12-month period during the final average salary period regardless of when reported or paid.</w:t>
      </w:r>
    </w:p>
    <w:p w14:paraId="1E556E42" w14:textId="77777777" w:rsidR="00EB198A" w:rsidRPr="00CE163E" w:rsidRDefault="00EB198A" w:rsidP="00D81D5A">
      <w:pPr>
        <w:spacing w:line="300" w:lineRule="exact"/>
        <w:ind w:firstLine="720"/>
        <w:rPr>
          <w:szCs w:val="26"/>
          <w:bdr w:val="none" w:sz="0" w:space="0" w:color="auto" w:frame="1"/>
          <w:shd w:val="clear" w:color="auto" w:fill="FFFFFF"/>
        </w:rPr>
      </w:pPr>
      <w:r>
        <w:rPr>
          <w:bCs/>
          <w:szCs w:val="26"/>
          <w:bdr w:val="none" w:sz="0" w:space="0" w:color="auto" w:frame="1"/>
          <w:shd w:val="clear" w:color="auto" w:fill="FFFFFF"/>
        </w:rPr>
        <w:t>“</w:t>
      </w:r>
      <w:r w:rsidRPr="00E12D55">
        <w:rPr>
          <w:bCs/>
          <w:szCs w:val="26"/>
          <w:bdr w:val="none" w:sz="0" w:space="0" w:color="auto" w:frame="1"/>
          <w:shd w:val="clear" w:color="auto" w:fill="FFFFFF"/>
        </w:rPr>
        <w:t>(2)</w:t>
      </w:r>
      <w:r w:rsidRPr="00CE163E">
        <w:rPr>
          <w:szCs w:val="26"/>
          <w:bdr w:val="none" w:sz="0" w:space="0" w:color="auto" w:frame="1"/>
          <w:shd w:val="clear" w:color="auto" w:fill="FFFFFF"/>
        </w:rPr>
        <w:t> Payments for unused vacation, annual leave, personal leave, sick leave, or compensatory time off, however denominated, whether paid in a lump sum or otherwise, in an amount that exceeds that which may be earned and payable in each 12-month period during the final average salary period, regardless of when reported or paid.</w:t>
      </w:r>
    </w:p>
    <w:p w14:paraId="4E73A1C2" w14:textId="77777777" w:rsidR="00EB198A" w:rsidRPr="00CE163E" w:rsidRDefault="00EB198A" w:rsidP="00D81D5A">
      <w:pPr>
        <w:spacing w:line="300" w:lineRule="exact"/>
        <w:ind w:firstLine="720"/>
        <w:textAlignment w:val="baseline"/>
        <w:rPr>
          <w:szCs w:val="26"/>
          <w:bdr w:val="none" w:sz="0" w:space="0" w:color="auto" w:frame="1"/>
          <w:shd w:val="clear" w:color="auto" w:fill="FFFFFF"/>
        </w:rPr>
      </w:pPr>
      <w:r w:rsidRPr="00E12D55">
        <w:rPr>
          <w:bCs/>
          <w:szCs w:val="26"/>
          <w:bdr w:val="none" w:sz="0" w:space="0" w:color="auto" w:frame="1"/>
          <w:shd w:val="clear" w:color="auto" w:fill="FFFFFF"/>
        </w:rPr>
        <w:t>“(3)</w:t>
      </w:r>
      <w:r w:rsidRPr="00E12D55">
        <w:rPr>
          <w:szCs w:val="26"/>
          <w:bdr w:val="none" w:sz="0" w:space="0" w:color="auto" w:frame="1"/>
          <w:shd w:val="clear" w:color="auto" w:fill="FFFFFF"/>
        </w:rPr>
        <w:t> </w:t>
      </w:r>
      <w:r w:rsidRPr="00CE163E">
        <w:rPr>
          <w:szCs w:val="26"/>
          <w:bdr w:val="none" w:sz="0" w:space="0" w:color="auto" w:frame="1"/>
          <w:shd w:val="clear" w:color="auto" w:fill="FFFFFF"/>
        </w:rPr>
        <w:t>Payments for additional services rendered outside of normal working hours, whether paid in a lump sum or otherwise.</w:t>
      </w:r>
    </w:p>
    <w:p w14:paraId="451169C4" w14:textId="77777777" w:rsidR="00EB198A" w:rsidRPr="00F7493C" w:rsidRDefault="00EB198A" w:rsidP="00D81D5A">
      <w:pPr>
        <w:spacing w:line="300" w:lineRule="exact"/>
        <w:ind w:firstLine="720"/>
        <w:textAlignment w:val="baseline"/>
        <w:rPr>
          <w:szCs w:val="26"/>
          <w:bdr w:val="none" w:sz="0" w:space="0" w:color="auto" w:frame="1"/>
          <w:shd w:val="clear" w:color="auto" w:fill="FFFFFF"/>
        </w:rPr>
      </w:pPr>
      <w:r w:rsidRPr="00E12D55">
        <w:rPr>
          <w:bCs/>
          <w:szCs w:val="26"/>
          <w:bdr w:val="none" w:sz="0" w:space="0" w:color="auto" w:frame="1"/>
          <w:shd w:val="clear" w:color="auto" w:fill="FFFFFF"/>
        </w:rPr>
        <w:t>“(4)</w:t>
      </w:r>
      <w:r w:rsidRPr="00E12D55">
        <w:rPr>
          <w:szCs w:val="26"/>
          <w:bdr w:val="none" w:sz="0" w:space="0" w:color="auto" w:frame="1"/>
          <w:shd w:val="clear" w:color="auto" w:fill="FFFFFF"/>
        </w:rPr>
        <w:t> </w:t>
      </w:r>
      <w:r w:rsidRPr="00CE163E">
        <w:rPr>
          <w:szCs w:val="26"/>
          <w:bdr w:val="none" w:sz="0" w:space="0" w:color="auto" w:frame="1"/>
          <w:shd w:val="clear" w:color="auto" w:fill="FFFFFF"/>
        </w:rPr>
        <w:t>Payments made at the termination of employment, except those payments that do not exceed what is earned and payable in each 12-month period during the final average salary period, regardless of when reported or paid.</w:t>
      </w:r>
      <w:r>
        <w:rPr>
          <w:szCs w:val="26"/>
          <w:bdr w:val="none" w:sz="0" w:space="0" w:color="auto" w:frame="1"/>
          <w:shd w:val="clear" w:color="auto" w:fill="FFFFFF"/>
        </w:rPr>
        <w:t>”</w:t>
      </w:r>
    </w:p>
  </w:footnote>
  <w:footnote w:id="13">
    <w:p w14:paraId="48135952" w14:textId="77777777" w:rsidR="002C6C3F" w:rsidRPr="002D3CE0" w:rsidRDefault="002C6C3F" w:rsidP="0005204C">
      <w:pPr>
        <w:pStyle w:val="FootnoteText"/>
        <w:rPr>
          <w:szCs w:val="26"/>
        </w:rPr>
      </w:pPr>
      <w:r>
        <w:rPr>
          <w:rStyle w:val="FootnoteReference"/>
        </w:rPr>
        <w:footnoteRef/>
      </w:r>
      <w:r>
        <w:t xml:space="preserve"> </w:t>
      </w:r>
      <w:r>
        <w:tab/>
        <w:t xml:space="preserve">The words “and payable” were added to </w:t>
      </w:r>
      <w:r w:rsidR="00AB3F6B">
        <w:t xml:space="preserve">section 31461, </w:t>
      </w:r>
      <w:r>
        <w:t xml:space="preserve">subdivision (b)(2) by a separate bill passed soon after PEPRA.  The same bill added subdivision (c) to section 31461.  </w:t>
      </w:r>
      <w:r>
        <w:rPr>
          <w:rStyle w:val="ssparacontent"/>
          <w:szCs w:val="26"/>
        </w:rPr>
        <w:t>(</w:t>
      </w:r>
      <w:r w:rsidRPr="00FB6E02">
        <w:rPr>
          <w:szCs w:val="26"/>
        </w:rPr>
        <w:t>Stats. 201</w:t>
      </w:r>
      <w:r>
        <w:rPr>
          <w:szCs w:val="26"/>
        </w:rPr>
        <w:t>2</w:t>
      </w:r>
      <w:r w:rsidRPr="00FB6E02">
        <w:rPr>
          <w:szCs w:val="26"/>
        </w:rPr>
        <w:t xml:space="preserve">, </w:t>
      </w:r>
      <w:proofErr w:type="spellStart"/>
      <w:r w:rsidRPr="00FB6E02">
        <w:rPr>
          <w:szCs w:val="26"/>
        </w:rPr>
        <w:t>ch.</w:t>
      </w:r>
      <w:proofErr w:type="spellEnd"/>
      <w:r w:rsidRPr="00FB6E02">
        <w:rPr>
          <w:szCs w:val="26"/>
        </w:rPr>
        <w:t xml:space="preserve"> 2</w:t>
      </w:r>
      <w:r>
        <w:rPr>
          <w:szCs w:val="26"/>
        </w:rPr>
        <w:t>97</w:t>
      </w:r>
      <w:r w:rsidRPr="00FB6E02">
        <w:rPr>
          <w:szCs w:val="26"/>
        </w:rPr>
        <w:t>, §</w:t>
      </w:r>
      <w:r>
        <w:rPr>
          <w:szCs w:val="26"/>
        </w:rPr>
        <w:t> 2</w:t>
      </w:r>
      <w:r w:rsidRPr="00FB6E02">
        <w:rPr>
          <w:szCs w:val="26"/>
        </w:rPr>
        <w:t>.)</w:t>
      </w:r>
    </w:p>
  </w:footnote>
  <w:footnote w:id="14">
    <w:p w14:paraId="295685D1" w14:textId="653B3A30" w:rsidR="002C6C3F" w:rsidRPr="00AA57D8" w:rsidRDefault="002C6C3F" w:rsidP="00D81D5A">
      <w:pPr>
        <w:spacing w:line="300" w:lineRule="exact"/>
        <w:rPr>
          <w:szCs w:val="26"/>
        </w:rPr>
      </w:pPr>
      <w:r>
        <w:rPr>
          <w:rStyle w:val="FootnoteReference"/>
        </w:rPr>
        <w:footnoteRef/>
      </w:r>
      <w:r>
        <w:t xml:space="preserve"> </w:t>
      </w:r>
      <w:r>
        <w:tab/>
        <w:t xml:space="preserve">The PEPRA amendment does not require </w:t>
      </w:r>
      <w:r>
        <w:rPr>
          <w:rStyle w:val="ssparacontent"/>
          <w:szCs w:val="26"/>
        </w:rPr>
        <w:t>exclusion solely because an item of compensation fits within one of the</w:t>
      </w:r>
      <w:r w:rsidR="0085151E">
        <w:rPr>
          <w:rStyle w:val="ssparacontent"/>
          <w:szCs w:val="26"/>
        </w:rPr>
        <w:t>se</w:t>
      </w:r>
      <w:r>
        <w:rPr>
          <w:rStyle w:val="ssparacontent"/>
          <w:szCs w:val="26"/>
        </w:rPr>
        <w:t xml:space="preserve"> examples.  Instead, they illustrate the type of practices that raise suspicion under </w:t>
      </w:r>
      <w:r w:rsidR="00AB3F6B">
        <w:rPr>
          <w:rStyle w:val="ssparacontent"/>
          <w:szCs w:val="26"/>
        </w:rPr>
        <w:t xml:space="preserve">section 31461, </w:t>
      </w:r>
      <w:r>
        <w:rPr>
          <w:rStyle w:val="ssparacontent"/>
          <w:szCs w:val="26"/>
        </w:rPr>
        <w:t>subdivision (b)(1).  (</w:t>
      </w:r>
      <w:r>
        <w:rPr>
          <w:rStyle w:val="ssparacontent"/>
          <w:i/>
          <w:szCs w:val="26"/>
        </w:rPr>
        <w:t>I</w:t>
      </w:r>
      <w:r w:rsidR="00AB3F6B">
        <w:rPr>
          <w:rStyle w:val="ssparacontent"/>
          <w:i/>
          <w:szCs w:val="26"/>
        </w:rPr>
        <w:t>bi</w:t>
      </w:r>
      <w:r>
        <w:rPr>
          <w:rStyle w:val="ssparacontent"/>
          <w:i/>
          <w:szCs w:val="26"/>
        </w:rPr>
        <w:t>d</w:t>
      </w:r>
      <w:r>
        <w:rPr>
          <w:rStyle w:val="ssparacontent"/>
          <w:szCs w:val="26"/>
        </w:rPr>
        <w:t>. [“</w:t>
      </w:r>
      <w:r w:rsidRPr="006F355E">
        <w:rPr>
          <w:rStyle w:val="ssparacontent"/>
          <w:szCs w:val="26"/>
        </w:rPr>
        <w:t>That compensation may include</w:t>
      </w:r>
      <w:r>
        <w:rPr>
          <w:rStyle w:val="ssparacontent"/>
          <w:szCs w:val="26"/>
        </w:rPr>
        <w:t xml:space="preserve">. . . .”].)  Before it is excluded, an item of compensation described by subdivision (b)(1)(A) through (C) must be found by </w:t>
      </w:r>
      <w:r w:rsidR="00864BD2">
        <w:rPr>
          <w:rStyle w:val="ssparacontent"/>
          <w:szCs w:val="26"/>
        </w:rPr>
        <w:t>the county</w:t>
      </w:r>
      <w:r>
        <w:rPr>
          <w:rStyle w:val="ssparacontent"/>
          <w:szCs w:val="26"/>
        </w:rPr>
        <w:t xml:space="preserve"> retirement board to have been “</w:t>
      </w:r>
      <w:r w:rsidRPr="00AA57D8">
        <w:rPr>
          <w:rStyle w:val="ssparacontent"/>
          <w:szCs w:val="26"/>
        </w:rPr>
        <w:t>paid to enhance a member’s retirement benefit</w:t>
      </w:r>
      <w:r>
        <w:rPr>
          <w:rStyle w:val="ssparacontent"/>
          <w:szCs w:val="26"/>
        </w:rPr>
        <w:t>.”  (§</w:t>
      </w:r>
      <w:r w:rsidR="00651217">
        <w:rPr>
          <w:rStyle w:val="ssparacontent"/>
          <w:szCs w:val="26"/>
        </w:rPr>
        <w:t> </w:t>
      </w:r>
      <w:r>
        <w:rPr>
          <w:rStyle w:val="ssparacontent"/>
          <w:szCs w:val="26"/>
        </w:rPr>
        <w:t xml:space="preserve">31461, </w:t>
      </w:r>
      <w:proofErr w:type="spellStart"/>
      <w:r>
        <w:rPr>
          <w:rStyle w:val="ssparacontent"/>
          <w:szCs w:val="26"/>
        </w:rPr>
        <w:t>subd</w:t>
      </w:r>
      <w:proofErr w:type="spellEnd"/>
      <w:r>
        <w:rPr>
          <w:rStyle w:val="ssparacontent"/>
          <w:szCs w:val="26"/>
        </w:rPr>
        <w:t>. (b)(1).)  Section 31542, subdivision (a), also added by PEPRA (</w:t>
      </w:r>
      <w:r>
        <w:t xml:space="preserve">Stats. 2012, </w:t>
      </w:r>
      <w:proofErr w:type="spellStart"/>
      <w:r>
        <w:t>ch.</w:t>
      </w:r>
      <w:proofErr w:type="spellEnd"/>
      <w:r>
        <w:t xml:space="preserve"> 296, § 29), </w:t>
      </w:r>
      <w:r>
        <w:rPr>
          <w:rStyle w:val="ssparacontent"/>
          <w:szCs w:val="26"/>
        </w:rPr>
        <w:t>requires each board to “establish a procedure for . . . determining whether an element of compensation was paid to enhance a member’s retirement benefit.”</w:t>
      </w:r>
    </w:p>
  </w:footnote>
  <w:footnote w:id="15">
    <w:p w14:paraId="77587365" w14:textId="77777777" w:rsidR="002C6C3F" w:rsidRDefault="002C6C3F" w:rsidP="00D81D5A">
      <w:pPr>
        <w:pStyle w:val="FootnoteText"/>
      </w:pPr>
      <w:r>
        <w:rPr>
          <w:rStyle w:val="FootnoteReference"/>
        </w:rPr>
        <w:footnoteRef/>
      </w:r>
      <w:r>
        <w:t xml:space="preserve"> </w:t>
      </w:r>
      <w:r>
        <w:tab/>
        <w:t>Various other entities and individual plaintiffs also joined as petitioners in these actions.  I</w:t>
      </w:r>
      <w:r>
        <w:rPr>
          <w:szCs w:val="26"/>
        </w:rPr>
        <w:t>n the course of the proceedings, additional parties were permitted to intervene or were joined as defendants, including the State, several public employers, such as the counties and county agencies like the District, and other public employee o</w:t>
      </w:r>
      <w:r w:rsidR="00861B65">
        <w:rPr>
          <w:szCs w:val="26"/>
        </w:rPr>
        <w:t>rganization</w:t>
      </w:r>
      <w:r>
        <w:rPr>
          <w:szCs w:val="26"/>
        </w:rPr>
        <w:t>s.</w:t>
      </w:r>
    </w:p>
  </w:footnote>
  <w:footnote w:id="16">
    <w:p w14:paraId="174FED0B" w14:textId="77777777" w:rsidR="002C6C3F" w:rsidRDefault="002C6C3F" w:rsidP="00D81D5A">
      <w:pPr>
        <w:pStyle w:val="FootnoteText"/>
      </w:pPr>
      <w:r>
        <w:rPr>
          <w:rStyle w:val="FootnoteReference"/>
        </w:rPr>
        <w:footnoteRef/>
      </w:r>
      <w:r>
        <w:t xml:space="preserve"> </w:t>
      </w:r>
      <w:r>
        <w:tab/>
        <w:t>A fourth, similar case from Marin County was ordered consolidated with these three</w:t>
      </w:r>
      <w:r>
        <w:rPr>
          <w:szCs w:val="26"/>
        </w:rPr>
        <w:t xml:space="preserve">, </w:t>
      </w:r>
      <w:r>
        <w:t xml:space="preserve">but that case was dismissed on demurrer prior to enforcement of the order of consolidation.  The judgment in that action was affirmed in </w:t>
      </w:r>
      <w:r>
        <w:rPr>
          <w:i/>
        </w:rPr>
        <w:t xml:space="preserve">Marin Assn. of Public Employees v. Marin County Employees’ Retirement Assn. </w:t>
      </w:r>
      <w:r>
        <w:t>(2016) 2 Cal.App.5th 674 (</w:t>
      </w:r>
      <w:r>
        <w:rPr>
          <w:i/>
        </w:rPr>
        <w:t>Marin County</w:t>
      </w:r>
      <w:r>
        <w:t xml:space="preserve">).  We granted review of </w:t>
      </w:r>
      <w:r>
        <w:rPr>
          <w:i/>
        </w:rPr>
        <w:t xml:space="preserve">Marin County </w:t>
      </w:r>
      <w:r w:rsidR="00AB3F6B">
        <w:rPr>
          <w:iCs/>
        </w:rPr>
        <w:t xml:space="preserve">(Nov. 22, 2016, S237460) </w:t>
      </w:r>
      <w:r w:rsidR="009B2E30">
        <w:rPr>
          <w:iCs/>
        </w:rPr>
        <w:t>but</w:t>
      </w:r>
      <w:r>
        <w:t xml:space="preserve"> have deferred briefing.</w:t>
      </w:r>
    </w:p>
  </w:footnote>
  <w:footnote w:id="17">
    <w:p w14:paraId="70458281" w14:textId="30A21C0A" w:rsidR="002C6C3F" w:rsidRPr="00DD40B9" w:rsidRDefault="002C6C3F" w:rsidP="00D81D5A">
      <w:pPr>
        <w:pStyle w:val="FootnoteText"/>
      </w:pPr>
      <w:r>
        <w:rPr>
          <w:rStyle w:val="FootnoteReference"/>
        </w:rPr>
        <w:footnoteRef/>
      </w:r>
      <w:r>
        <w:t xml:space="preserve"> </w:t>
      </w:r>
      <w:r>
        <w:tab/>
      </w:r>
      <w:bookmarkStart w:id="16" w:name="_Hlk43732992"/>
      <w:r>
        <w:t xml:space="preserve">In their complaint, the plaintiffs cited the contract clauses of both the state and federal </w:t>
      </w:r>
      <w:r w:rsidR="00540E1C">
        <w:t>C</w:t>
      </w:r>
      <w:r>
        <w:t xml:space="preserve">onstitutions as authority for their constitutional claims.  In </w:t>
      </w:r>
      <w:r>
        <w:rPr>
          <w:i/>
        </w:rPr>
        <w:t>Cal Fire</w:t>
      </w:r>
      <w:r>
        <w:t>, we implicitly considered only California’s contract clause.  (Cal. Const., art.</w:t>
      </w:r>
      <w:r w:rsidR="00C110DF">
        <w:t> </w:t>
      </w:r>
      <w:r>
        <w:t xml:space="preserve">I, § 9; </w:t>
      </w:r>
      <w:r>
        <w:rPr>
          <w:i/>
        </w:rPr>
        <w:t>Cal Fire</w:t>
      </w:r>
      <w:r>
        <w:t xml:space="preserve">, </w:t>
      </w:r>
      <w:r>
        <w:rPr>
          <w:i/>
        </w:rPr>
        <w:t>supra</w:t>
      </w:r>
      <w:r>
        <w:t xml:space="preserve">, 6 Cal.5th at </w:t>
      </w:r>
      <w:r w:rsidR="00540E1C">
        <w:t>p</w:t>
      </w:r>
      <w:r>
        <w:t>p. 976</w:t>
      </w:r>
      <w:r w:rsidR="00540E1C">
        <w:t xml:space="preserve">, </w:t>
      </w:r>
      <w:r w:rsidR="007C0F1D">
        <w:t>977</w:t>
      </w:r>
      <w:r w:rsidR="00540E1C">
        <w:t xml:space="preserve"> &amp;</w:t>
      </w:r>
      <w:r w:rsidR="007C0F1D">
        <w:t xml:space="preserve"> fn.</w:t>
      </w:r>
      <w:r w:rsidR="00C110DF">
        <w:t> </w:t>
      </w:r>
      <w:r w:rsidR="007C0F1D">
        <w:t>8</w:t>
      </w:r>
      <w:r>
        <w:t xml:space="preserve"> [plaintiffs’ claims pleaded under the California Constitution].)  We take the same approach here</w:t>
      </w:r>
      <w:r w:rsidR="00697D80">
        <w:t xml:space="preserve">, </w:t>
      </w:r>
      <w:r w:rsidR="00D721AD">
        <w:t xml:space="preserve">ruling </w:t>
      </w:r>
      <w:r w:rsidR="00425DCB">
        <w:t xml:space="preserve">solely </w:t>
      </w:r>
      <w:r w:rsidR="00D721AD">
        <w:t xml:space="preserve">on </w:t>
      </w:r>
      <w:r w:rsidR="00697D80">
        <w:t xml:space="preserve">California’s unique approach to the contract clause in this context and </w:t>
      </w:r>
      <w:r w:rsidR="00697D80" w:rsidRPr="00C467D6">
        <w:rPr>
          <w:color w:val="000000"/>
          <w:szCs w:val="27"/>
        </w:rPr>
        <w:t>discuss</w:t>
      </w:r>
      <w:r w:rsidR="00697D80">
        <w:rPr>
          <w:color w:val="000000"/>
          <w:szCs w:val="27"/>
        </w:rPr>
        <w:t>ing</w:t>
      </w:r>
      <w:r w:rsidR="00697D80" w:rsidRPr="00C467D6">
        <w:rPr>
          <w:color w:val="000000"/>
          <w:szCs w:val="27"/>
        </w:rPr>
        <w:t xml:space="preserve"> decisions under the United States Constitution only for their persuasive value in interpreting our own.</w:t>
      </w:r>
      <w:r w:rsidR="00697D80">
        <w:rPr>
          <w:color w:val="000000"/>
          <w:szCs w:val="27"/>
        </w:rPr>
        <w:t xml:space="preserve">  </w:t>
      </w:r>
      <w:r>
        <w:t>Plaintiffs do not suggest that the federal Constitution provides greater protection for their pension rights than does the California Constitution.</w:t>
      </w:r>
    </w:p>
    <w:bookmarkEnd w:id="16"/>
  </w:footnote>
  <w:footnote w:id="18">
    <w:p w14:paraId="35AC81F4" w14:textId="77777777" w:rsidR="002C6C3F" w:rsidRDefault="002C6C3F" w:rsidP="00D81D5A">
      <w:pPr>
        <w:pStyle w:val="FootnoteText"/>
      </w:pPr>
      <w:r>
        <w:rPr>
          <w:rStyle w:val="FootnoteReference"/>
        </w:rPr>
        <w:footnoteRef/>
      </w:r>
      <w:r>
        <w:t xml:space="preserve"> </w:t>
      </w:r>
      <w:r>
        <w:tab/>
        <w:t>The precise nature of the compensation at issue varies among the settlement agreements, which are not identical in their terms, but each agreement states that employees will be allowed to include in compensation earnable at least some of the types of compensation ruled out by PEPRA’s amendment of section 31461.</w:t>
      </w:r>
    </w:p>
  </w:footnote>
  <w:footnote w:id="19">
    <w:p w14:paraId="3602477B" w14:textId="77777777" w:rsidR="002C6C3F" w:rsidRPr="00CE725C" w:rsidRDefault="002C6C3F" w:rsidP="00D81D5A">
      <w:pPr>
        <w:pStyle w:val="FootnoteText"/>
      </w:pPr>
      <w:r>
        <w:rPr>
          <w:rStyle w:val="FootnoteReference"/>
        </w:rPr>
        <w:footnoteRef/>
      </w:r>
      <w:r>
        <w:t xml:space="preserve"> </w:t>
      </w:r>
      <w:r>
        <w:tab/>
        <w:t>Plaintiffs also argue that county employees acquired a contractual right to receive these benefits because their contributions to the county pension fund were based on an actuarial calculation that included the additional benefit costs attributable to the inclusion of items now excluded or limited by PEPRA.  In plaintiffs’ view, county employees have, in effect, paid for the inclusion of the items excluded by PEPRA but permitted by the settlement agreements.  Although this might entitle employees to a partial refund of their contributions, an issue we do not address, it does not create a contractual right to receive benefits in a manner inconsistent with CERL.  (Cf.</w:t>
      </w:r>
      <w:r w:rsidR="009D1B95">
        <w:t> </w:t>
      </w:r>
      <w:r>
        <w:rPr>
          <w:i/>
        </w:rPr>
        <w:t>Retirement Cases</w:t>
      </w:r>
      <w:r>
        <w:t xml:space="preserve">, </w:t>
      </w:r>
      <w:r>
        <w:rPr>
          <w:i/>
        </w:rPr>
        <w:t>supra</w:t>
      </w:r>
      <w:r>
        <w:t>, 110 Cal.App.4th at pp.</w:t>
      </w:r>
      <w:r w:rsidR="00E33818">
        <w:t> </w:t>
      </w:r>
      <w:r>
        <w:t xml:space="preserve">453-454, </w:t>
      </w:r>
      <w:r w:rsidR="0012323D">
        <w:t>469-47</w:t>
      </w:r>
      <w:r>
        <w:t xml:space="preserve">2 [county employees have a right only to receive a pension benefit as mandated by CERL, regardless of contributions; county retirement boards can collect contributions in arrears to compensate for increased pension benefits resulting from </w:t>
      </w:r>
      <w:r>
        <w:rPr>
          <w:i/>
        </w:rPr>
        <w:t>Ventura County</w:t>
      </w:r>
      <w:r>
        <w:t>’s interpretation of CERL].)</w:t>
      </w:r>
    </w:p>
  </w:footnote>
  <w:footnote w:id="20">
    <w:p w14:paraId="107D0B5C" w14:textId="77777777" w:rsidR="00AD5D51" w:rsidRDefault="00AD5D51" w:rsidP="00D81D5A">
      <w:pPr>
        <w:pStyle w:val="FootnoteText"/>
      </w:pPr>
      <w:r>
        <w:rPr>
          <w:rStyle w:val="FootnoteReference"/>
        </w:rPr>
        <w:footnoteRef/>
      </w:r>
      <w:r>
        <w:t xml:space="preserve"> </w:t>
      </w:r>
      <w:r>
        <w:tab/>
        <w:t>The ruling applied only to the Merced County retirement board because only its settlement agreement permitted the inclusion of termination pay.  Because the Court of Appeal</w:t>
      </w:r>
      <w:r>
        <w:rPr>
          <w:i/>
        </w:rPr>
        <w:t xml:space="preserve"> </w:t>
      </w:r>
      <w:r>
        <w:t xml:space="preserve">had already interpreted the PEPRA amendment not to limit the inclusion of compensation for cashed out leave time, the court found it unnecessary to consider application of the doctrine of estoppel to that type of compensation.  </w:t>
      </w:r>
      <w:r>
        <w:rPr>
          <w:szCs w:val="26"/>
        </w:rPr>
        <w:t>(</w:t>
      </w:r>
      <w:r>
        <w:rPr>
          <w:i/>
          <w:szCs w:val="26"/>
        </w:rPr>
        <w:t>Alameda Sheriffs</w:t>
      </w:r>
      <w:r>
        <w:t xml:space="preserve">, </w:t>
      </w:r>
      <w:r>
        <w:rPr>
          <w:i/>
        </w:rPr>
        <w:t>supra</w:t>
      </w:r>
      <w:r>
        <w:t>, 19 Cal.App.5th at p. 124.)</w:t>
      </w:r>
    </w:p>
  </w:footnote>
  <w:footnote w:id="21">
    <w:p w14:paraId="28297B73" w14:textId="77777777" w:rsidR="002C6C3F" w:rsidRDefault="002C6C3F" w:rsidP="00D81D5A">
      <w:pPr>
        <w:spacing w:line="300" w:lineRule="exact"/>
      </w:pPr>
      <w:r>
        <w:rPr>
          <w:rStyle w:val="FootnoteReference"/>
        </w:rPr>
        <w:footnoteRef/>
      </w:r>
      <w:r>
        <w:t xml:space="preserve"> </w:t>
      </w:r>
      <w:r>
        <w:tab/>
        <w:t xml:space="preserve">The first of these representations, that county employees </w:t>
      </w:r>
      <w:r w:rsidRPr="00D40D26">
        <w:rPr>
          <w:rStyle w:val="ssrfcpassagedeactivated"/>
          <w:szCs w:val="26"/>
        </w:rPr>
        <w:t xml:space="preserve">would receive </w:t>
      </w:r>
      <w:r>
        <w:rPr>
          <w:rStyle w:val="ssrfcpassagedeactivated"/>
          <w:szCs w:val="26"/>
        </w:rPr>
        <w:t>“</w:t>
      </w:r>
      <w:r w:rsidRPr="00D40D26">
        <w:rPr>
          <w:rStyle w:val="ssrfcpassagedeactivated"/>
          <w:szCs w:val="26"/>
        </w:rPr>
        <w:t>a pension as authorized by CERL</w:t>
      </w:r>
      <w:r>
        <w:rPr>
          <w:rStyle w:val="ssrfcpassagedeactivated"/>
          <w:szCs w:val="26"/>
        </w:rPr>
        <w:t>,</w:t>
      </w:r>
      <w:r w:rsidRPr="00D40D26">
        <w:rPr>
          <w:rStyle w:val="ssrfcpassagedeactivated"/>
          <w:szCs w:val="26"/>
        </w:rPr>
        <w:t>”</w:t>
      </w:r>
      <w:r>
        <w:rPr>
          <w:rStyle w:val="ssrfcpassagedeactivated"/>
          <w:szCs w:val="26"/>
        </w:rPr>
        <w:t xml:space="preserve"> is plainly insufficient.  Plaintiffs, in seeking an estoppel, are attempting to compel the county boards to award pension benefits in a manner </w:t>
      </w:r>
      <w:r w:rsidRPr="0085606A">
        <w:rPr>
          <w:rStyle w:val="ssrfcpassagedeactivated"/>
          <w:i/>
          <w:szCs w:val="26"/>
        </w:rPr>
        <w:t>inconsistent</w:t>
      </w:r>
      <w:r>
        <w:rPr>
          <w:rStyle w:val="ssrfcpassagedeactivated"/>
          <w:szCs w:val="26"/>
        </w:rPr>
        <w:t xml:space="preserve"> with CERL.  It is </w:t>
      </w:r>
      <w:r w:rsidRPr="00631A66">
        <w:rPr>
          <w:rStyle w:val="ssrfcpassagedeactivated"/>
          <w:szCs w:val="26"/>
        </w:rPr>
        <w:t>defendants</w:t>
      </w:r>
      <w:r>
        <w:rPr>
          <w:rStyle w:val="ssrfcpassagedeactivated"/>
          <w:szCs w:val="26"/>
        </w:rPr>
        <w:t xml:space="preserve"> who advocate for application of the statute’s provisions.  Ordinarily, a party will be estopped from “</w:t>
      </w:r>
      <w:r w:rsidRPr="007030F0">
        <w:rPr>
          <w:rStyle w:val="ssrfcpassagedeactivated"/>
          <w:szCs w:val="26"/>
        </w:rPr>
        <w:t>deny</w:t>
      </w:r>
      <w:r>
        <w:rPr>
          <w:rStyle w:val="ssrfcpassagedeactivated"/>
          <w:szCs w:val="26"/>
        </w:rPr>
        <w:t>[</w:t>
      </w:r>
      <w:proofErr w:type="spellStart"/>
      <w:r>
        <w:rPr>
          <w:rStyle w:val="ssrfcpassagedeactivated"/>
          <w:szCs w:val="26"/>
        </w:rPr>
        <w:t>ing</w:t>
      </w:r>
      <w:proofErr w:type="spellEnd"/>
      <w:r>
        <w:rPr>
          <w:rStyle w:val="ssrfcpassagedeactivated"/>
          <w:szCs w:val="26"/>
        </w:rPr>
        <w:t>]</w:t>
      </w:r>
      <w:r w:rsidRPr="007030F0">
        <w:rPr>
          <w:rStyle w:val="ssrfcpassagedeactivated"/>
          <w:szCs w:val="26"/>
        </w:rPr>
        <w:t xml:space="preserve"> the existence of a state of facts</w:t>
      </w:r>
      <w:r>
        <w:rPr>
          <w:rStyle w:val="ssrfcpassagedeactivated"/>
          <w:szCs w:val="26"/>
        </w:rPr>
        <w:t xml:space="preserve"> . . . </w:t>
      </w:r>
      <w:r w:rsidRPr="007030F0">
        <w:rPr>
          <w:rStyle w:val="ssrfcpassagedeactivated"/>
          <w:szCs w:val="26"/>
        </w:rPr>
        <w:t>he intentionally led another to believe</w:t>
      </w:r>
      <w:r>
        <w:rPr>
          <w:rStyle w:val="ssrfcpassagedeactivated"/>
          <w:szCs w:val="26"/>
        </w:rPr>
        <w:t xml:space="preserve">.”  </w:t>
      </w:r>
      <w:r>
        <w:t>(</w:t>
      </w:r>
      <w:r>
        <w:rPr>
          <w:i/>
        </w:rPr>
        <w:t>Goleta</w:t>
      </w:r>
      <w:r>
        <w:t xml:space="preserve">, </w:t>
      </w:r>
      <w:r>
        <w:rPr>
          <w:i/>
        </w:rPr>
        <w:t>supra</w:t>
      </w:r>
      <w:r>
        <w:t>, 40</w:t>
      </w:r>
      <w:r w:rsidR="009D1B95">
        <w:t> </w:t>
      </w:r>
      <w:r>
        <w:t>Cal.4th at p.</w:t>
      </w:r>
      <w:r>
        <w:rPr>
          <w:i/>
        </w:rPr>
        <w:t xml:space="preserve"> </w:t>
      </w:r>
      <w:r>
        <w:t>279</w:t>
      </w:r>
      <w:r w:rsidRPr="00D0246D">
        <w:t>.)</w:t>
      </w:r>
      <w:r>
        <w:t xml:space="preserve">  We know of no authority for estopping a party from denying the very </w:t>
      </w:r>
      <w:r>
        <w:rPr>
          <w:i/>
        </w:rPr>
        <w:t xml:space="preserve">opposite </w:t>
      </w:r>
      <w:r>
        <w:t>of its purportedly actionable representation.</w:t>
      </w:r>
    </w:p>
  </w:footnote>
  <w:footnote w:id="22">
    <w:p w14:paraId="5A71B900" w14:textId="5A87DBFA" w:rsidR="00E52C9D" w:rsidRPr="00D81D5A" w:rsidRDefault="00E52C9D" w:rsidP="00D81D5A">
      <w:pPr>
        <w:pStyle w:val="FootnoteText"/>
      </w:pPr>
      <w:r>
        <w:rPr>
          <w:rStyle w:val="FootnoteReference"/>
        </w:rPr>
        <w:footnoteRef/>
      </w:r>
      <w:r>
        <w:t xml:space="preserve"> </w:t>
      </w:r>
      <w:r>
        <w:tab/>
        <w:t xml:space="preserve">In reaching this conclusion, we do not mean to suggest that if such </w:t>
      </w:r>
      <w:r w:rsidR="00753384">
        <w:t xml:space="preserve">a </w:t>
      </w:r>
      <w:r>
        <w:t>representation had been made, t</w:t>
      </w:r>
      <w:r w:rsidR="00753384">
        <w:t>his</w:t>
      </w:r>
      <w:r>
        <w:t xml:space="preserve"> would, standing alone, justify imposing an estoppel on the county boards.  </w:t>
      </w:r>
      <w:r w:rsidR="00146197">
        <w:t>There are, a</w:t>
      </w:r>
      <w:r>
        <w:t xml:space="preserve">t a minimum, the further considerations of the </w:t>
      </w:r>
      <w:r w:rsidR="00753384">
        <w:t>board’s lack of legal authority to follow through on such a representation</w:t>
      </w:r>
      <w:r>
        <w:t xml:space="preserve"> and </w:t>
      </w:r>
      <w:r w:rsidR="00146197">
        <w:t xml:space="preserve">the application of </w:t>
      </w:r>
      <w:r>
        <w:t xml:space="preserve">the overriding test for estoppel of a public agency, articulated in </w:t>
      </w:r>
      <w:r>
        <w:rPr>
          <w:i/>
        </w:rPr>
        <w:t>Mansell</w:t>
      </w:r>
      <w:r>
        <w:t xml:space="preserve">, </w:t>
      </w:r>
      <w:r>
        <w:rPr>
          <w:i/>
        </w:rPr>
        <w:t>supra</w:t>
      </w:r>
      <w:r>
        <w:t xml:space="preserve">, </w:t>
      </w:r>
      <w:r>
        <w:rPr>
          <w:szCs w:val="26"/>
        </w:rPr>
        <w:t>3</w:t>
      </w:r>
      <w:r w:rsidR="00651217">
        <w:rPr>
          <w:szCs w:val="26"/>
        </w:rPr>
        <w:t> </w:t>
      </w:r>
      <w:r>
        <w:rPr>
          <w:szCs w:val="26"/>
        </w:rPr>
        <w:t>Cal.3d at p</w:t>
      </w:r>
      <w:r w:rsidR="003469C6">
        <w:rPr>
          <w:szCs w:val="26"/>
        </w:rPr>
        <w:t>ages</w:t>
      </w:r>
      <w:r w:rsidR="00E33818">
        <w:rPr>
          <w:szCs w:val="26"/>
        </w:rPr>
        <w:t> </w:t>
      </w:r>
      <w:r>
        <w:rPr>
          <w:szCs w:val="26"/>
        </w:rPr>
        <w:t>496-497, 501.  We merely hold that plaintiffs have failed to demonstrate an actionable representation, the threshold requirement for invocation of the doctrine of equitable estoppel.</w:t>
      </w:r>
      <w:r w:rsidR="00146197">
        <w:rPr>
          <w:szCs w:val="26"/>
        </w:rPr>
        <w:t xml:space="preserve">  </w:t>
      </w:r>
      <w:r w:rsidR="00146197">
        <w:rPr>
          <w:rStyle w:val="ssrfcpassagedeactivated"/>
          <w:szCs w:val="26"/>
          <w:bdr w:val="none" w:sz="0" w:space="0" w:color="auto" w:frame="1"/>
          <w:shd w:val="clear" w:color="auto" w:fill="FFFFFF"/>
        </w:rPr>
        <w:t>(</w:t>
      </w:r>
      <w:r w:rsidR="00146197">
        <w:rPr>
          <w:rStyle w:val="ssrfcpassagedeactivated"/>
          <w:i/>
          <w:szCs w:val="26"/>
          <w:bdr w:val="none" w:sz="0" w:space="0" w:color="auto" w:frame="1"/>
          <w:shd w:val="clear" w:color="auto" w:fill="FFFFFF"/>
        </w:rPr>
        <w:t>J.M.</w:t>
      </w:r>
      <w:r w:rsidR="00146197">
        <w:rPr>
          <w:rStyle w:val="ssrfcpassagedeactivated"/>
          <w:szCs w:val="26"/>
          <w:bdr w:val="none" w:sz="0" w:space="0" w:color="auto" w:frame="1"/>
          <w:shd w:val="clear" w:color="auto" w:fill="FFFFFF"/>
        </w:rPr>
        <w:t xml:space="preserve">, </w:t>
      </w:r>
      <w:r w:rsidR="00146197">
        <w:rPr>
          <w:rStyle w:val="ssrfcpassagedeactivated"/>
          <w:i/>
          <w:szCs w:val="26"/>
          <w:bdr w:val="none" w:sz="0" w:space="0" w:color="auto" w:frame="1"/>
          <w:shd w:val="clear" w:color="auto" w:fill="FFFFFF"/>
        </w:rPr>
        <w:t>supra</w:t>
      </w:r>
      <w:r w:rsidR="00146197">
        <w:rPr>
          <w:rStyle w:val="ssrfcpassagedeactivated"/>
          <w:szCs w:val="26"/>
          <w:bdr w:val="none" w:sz="0" w:space="0" w:color="auto" w:frame="1"/>
          <w:shd w:val="clear" w:color="auto" w:fill="FFFFFF"/>
        </w:rPr>
        <w:t>, 2</w:t>
      </w:r>
      <w:r w:rsidR="00E33818">
        <w:rPr>
          <w:rStyle w:val="ssrfcpassagedeactivated"/>
          <w:szCs w:val="26"/>
          <w:bdr w:val="none" w:sz="0" w:space="0" w:color="auto" w:frame="1"/>
          <w:shd w:val="clear" w:color="auto" w:fill="FFFFFF"/>
        </w:rPr>
        <w:t> </w:t>
      </w:r>
      <w:r w:rsidR="00146197">
        <w:rPr>
          <w:rStyle w:val="ssrfcpassagedeactivated"/>
          <w:szCs w:val="26"/>
          <w:bdr w:val="none" w:sz="0" w:space="0" w:color="auto" w:frame="1"/>
          <w:shd w:val="clear" w:color="auto" w:fill="FFFFFF"/>
        </w:rPr>
        <w:t>Cal.5th at p. 657</w:t>
      </w:r>
      <w:r w:rsidR="00146197">
        <w:rPr>
          <w:rStyle w:val="ssrfcpassagedeactivated"/>
          <w:i/>
          <w:szCs w:val="26"/>
          <w:bdr w:val="none" w:sz="0" w:space="0" w:color="auto" w:frame="1"/>
          <w:shd w:val="clear" w:color="auto" w:fill="FFFFFF"/>
        </w:rPr>
        <w:t>.</w:t>
      </w:r>
      <w:r w:rsidR="00146197">
        <w:rPr>
          <w:rStyle w:val="ssrfcpassagedeactivated"/>
          <w:szCs w:val="26"/>
          <w:bdr w:val="none" w:sz="0" w:space="0" w:color="auto" w:frame="1"/>
          <w:shd w:val="clear" w:color="auto" w:fill="FFFFFF"/>
        </w:rPr>
        <w:t>)</w:t>
      </w:r>
    </w:p>
  </w:footnote>
  <w:footnote w:id="23">
    <w:p w14:paraId="57D3271D" w14:textId="77777777" w:rsidR="002C6C3F" w:rsidRPr="009A7449" w:rsidRDefault="002C6C3F" w:rsidP="00D81D5A">
      <w:pPr>
        <w:pStyle w:val="FootnoteText"/>
      </w:pPr>
      <w:r>
        <w:rPr>
          <w:rStyle w:val="FootnoteReference"/>
        </w:rPr>
        <w:footnoteRef/>
      </w:r>
      <w:r>
        <w:t xml:space="preserve"> </w:t>
      </w:r>
      <w:r>
        <w:tab/>
        <w:t xml:space="preserve">Neither </w:t>
      </w:r>
      <w:r>
        <w:rPr>
          <w:i/>
        </w:rPr>
        <w:t xml:space="preserve">Allen I </w:t>
      </w:r>
      <w:r>
        <w:t>nor any of our subsequent pension decisions ha</w:t>
      </w:r>
      <w:r w:rsidR="00BF5CDE">
        <w:t>ve</w:t>
      </w:r>
      <w:r>
        <w:t xml:space="preserve"> addressed a situation in which all economic disadvantages of a pension modification were </w:t>
      </w:r>
      <w:r w:rsidR="005C46F5">
        <w:t>offset</w:t>
      </w:r>
      <w:r>
        <w:t xml:space="preserve"> by comparable</w:t>
      </w:r>
      <w:r w:rsidR="005C46F5">
        <w:t xml:space="preserve"> new</w:t>
      </w:r>
      <w:r>
        <w:t xml:space="preserve"> advantages.  Such an argument was made in </w:t>
      </w:r>
      <w:r>
        <w:rPr>
          <w:i/>
        </w:rPr>
        <w:t>Betts</w:t>
      </w:r>
      <w:r>
        <w:t xml:space="preserve">, </w:t>
      </w:r>
      <w:r>
        <w:rPr>
          <w:i/>
        </w:rPr>
        <w:t>supra</w:t>
      </w:r>
      <w:r>
        <w:t xml:space="preserve">, </w:t>
      </w:r>
      <w:r>
        <w:rPr>
          <w:rStyle w:val="ssrfcpassagedeactivated"/>
          <w:szCs w:val="26"/>
        </w:rPr>
        <w:t>21 Cal.3d at pages 864-865, but we found it inapplicable in the circumstances presented.  (</w:t>
      </w:r>
      <w:r>
        <w:rPr>
          <w:rStyle w:val="ssrfcpassagedeactivated"/>
          <w:i/>
          <w:szCs w:val="26"/>
        </w:rPr>
        <w:t>Id</w:t>
      </w:r>
      <w:r>
        <w:rPr>
          <w:rStyle w:val="ssrfcpassagedeactivated"/>
          <w:szCs w:val="26"/>
        </w:rPr>
        <w:t>. at p.</w:t>
      </w:r>
      <w:r w:rsidR="00E33818">
        <w:rPr>
          <w:rStyle w:val="ssrfcpassagedeactivated"/>
          <w:szCs w:val="26"/>
        </w:rPr>
        <w:t> </w:t>
      </w:r>
      <w:r>
        <w:rPr>
          <w:rStyle w:val="ssrfcpassagedeactivated"/>
          <w:szCs w:val="26"/>
        </w:rPr>
        <w:t xml:space="preserve">867.)  In </w:t>
      </w:r>
      <w:r>
        <w:rPr>
          <w:rStyle w:val="ssrfcpassagedeactivated"/>
          <w:i/>
          <w:szCs w:val="26"/>
        </w:rPr>
        <w:t>Packer</w:t>
      </w:r>
      <w:r>
        <w:rPr>
          <w:rStyle w:val="ssrfcpassagedeactivated"/>
          <w:szCs w:val="26"/>
        </w:rPr>
        <w:t xml:space="preserve">, which predated </w:t>
      </w:r>
      <w:r>
        <w:rPr>
          <w:rStyle w:val="ssrfcpassagedeactivated"/>
          <w:i/>
          <w:szCs w:val="26"/>
        </w:rPr>
        <w:t>Allen I</w:t>
      </w:r>
      <w:r>
        <w:rPr>
          <w:rStyle w:val="ssrfcpassagedeactivated"/>
          <w:szCs w:val="26"/>
        </w:rPr>
        <w:t xml:space="preserve">, we held that the contract clause was not violated upon finding that </w:t>
      </w:r>
      <w:r>
        <w:rPr>
          <w:szCs w:val="26"/>
        </w:rPr>
        <w:t>it was “difficult, if not impossible,” to determine whether the “total value” of an officer’s pension rights had been diminished by the challenged amendments.  (</w:t>
      </w:r>
      <w:r>
        <w:rPr>
          <w:i/>
          <w:szCs w:val="26"/>
        </w:rPr>
        <w:t>Packer</w:t>
      </w:r>
      <w:r>
        <w:rPr>
          <w:szCs w:val="26"/>
        </w:rPr>
        <w:t xml:space="preserve">, </w:t>
      </w:r>
      <w:r>
        <w:rPr>
          <w:i/>
          <w:szCs w:val="26"/>
        </w:rPr>
        <w:t>supra</w:t>
      </w:r>
      <w:r>
        <w:rPr>
          <w:szCs w:val="26"/>
        </w:rPr>
        <w:t>, 35 Cal.2d at p.</w:t>
      </w:r>
      <w:r w:rsidR="00E33818">
        <w:rPr>
          <w:szCs w:val="26"/>
        </w:rPr>
        <w:t> </w:t>
      </w:r>
      <w:r>
        <w:rPr>
          <w:szCs w:val="26"/>
        </w:rPr>
        <w:t xml:space="preserve">219.)  </w:t>
      </w:r>
      <w:r>
        <w:rPr>
          <w:i/>
          <w:szCs w:val="26"/>
        </w:rPr>
        <w:t>Packer</w:t>
      </w:r>
      <w:r>
        <w:rPr>
          <w:szCs w:val="26"/>
        </w:rPr>
        <w:t xml:space="preserve"> can therefore be interpreted as holding that no contract clause violation results when a pension plan modification provides fully compensating new advantages.  We note, however, </w:t>
      </w:r>
      <w:r>
        <w:rPr>
          <w:rStyle w:val="ssrfcpassagedeactivated"/>
          <w:szCs w:val="26"/>
        </w:rPr>
        <w:t>that the determination of disadvantages and comp</w:t>
      </w:r>
      <w:r w:rsidR="005C46F5">
        <w:rPr>
          <w:rStyle w:val="ssrfcpassagedeactivated"/>
          <w:szCs w:val="26"/>
        </w:rPr>
        <w:t>arable</w:t>
      </w:r>
      <w:r>
        <w:rPr>
          <w:rStyle w:val="ssrfcpassagedeactivated"/>
          <w:szCs w:val="26"/>
        </w:rPr>
        <w:t xml:space="preserve"> advantages was made collectively in </w:t>
      </w:r>
      <w:r>
        <w:rPr>
          <w:rStyle w:val="ssrfcpassagedeactivated"/>
          <w:i/>
          <w:szCs w:val="26"/>
        </w:rPr>
        <w:t>Packer</w:t>
      </w:r>
      <w:r>
        <w:rPr>
          <w:rStyle w:val="ssrfcpassagedeactivated"/>
          <w:szCs w:val="26"/>
        </w:rPr>
        <w:t xml:space="preserve">, rather than as to individual employees.  (See </w:t>
      </w:r>
      <w:r w:rsidR="00BF5CDE">
        <w:rPr>
          <w:rStyle w:val="ssrfcpassagedeactivated"/>
          <w:i/>
          <w:szCs w:val="26"/>
        </w:rPr>
        <w:t>Packer</w:t>
      </w:r>
      <w:r w:rsidR="00BF5CDE">
        <w:rPr>
          <w:rStyle w:val="ssrfcpassagedeactivated"/>
          <w:iCs/>
          <w:szCs w:val="26"/>
        </w:rPr>
        <w:t>,</w:t>
      </w:r>
      <w:r>
        <w:rPr>
          <w:rStyle w:val="ssrfcpassagedeactivated"/>
          <w:i/>
          <w:szCs w:val="26"/>
        </w:rPr>
        <w:t xml:space="preserve"> </w:t>
      </w:r>
      <w:r>
        <w:rPr>
          <w:rStyle w:val="ssrfcpassagedeactivated"/>
          <w:szCs w:val="26"/>
        </w:rPr>
        <w:t>at p.</w:t>
      </w:r>
      <w:r w:rsidR="00E33818">
        <w:rPr>
          <w:rStyle w:val="ssrfcpassagedeactivated"/>
          <w:szCs w:val="26"/>
        </w:rPr>
        <w:t> </w:t>
      </w:r>
      <w:r>
        <w:rPr>
          <w:rStyle w:val="ssrfcpassagedeactivated"/>
          <w:szCs w:val="26"/>
        </w:rPr>
        <w:t xml:space="preserve">218.)  This collective approach was effectively disavowed in </w:t>
      </w:r>
      <w:r>
        <w:rPr>
          <w:rStyle w:val="ssrfcpassagedeactivated"/>
          <w:i/>
          <w:szCs w:val="26"/>
        </w:rPr>
        <w:t>Abbott v. City of Los Angeles</w:t>
      </w:r>
      <w:r>
        <w:rPr>
          <w:rStyle w:val="ssrfcpassagedeactivated"/>
          <w:szCs w:val="26"/>
        </w:rPr>
        <w:t xml:space="preserve"> (1958) 50</w:t>
      </w:r>
      <w:r w:rsidR="009D1B95">
        <w:rPr>
          <w:rStyle w:val="ssrfcpassagedeactivated"/>
          <w:szCs w:val="26"/>
        </w:rPr>
        <w:t> </w:t>
      </w:r>
      <w:r>
        <w:rPr>
          <w:rStyle w:val="ssrfcpassagedeactivated"/>
          <w:szCs w:val="26"/>
        </w:rPr>
        <w:t>Cal.2d 438, 449 (</w:t>
      </w:r>
      <w:r>
        <w:rPr>
          <w:rStyle w:val="ssrfcpassagedeactivated"/>
          <w:i/>
          <w:szCs w:val="26"/>
        </w:rPr>
        <w:t>Abbott</w:t>
      </w:r>
      <w:r>
        <w:rPr>
          <w:rStyle w:val="ssrfcpassagedeactivated"/>
          <w:szCs w:val="26"/>
        </w:rPr>
        <w:t>).</w:t>
      </w:r>
    </w:p>
  </w:footnote>
  <w:footnote w:id="24">
    <w:p w14:paraId="5A9075E0" w14:textId="77777777" w:rsidR="004C2F98" w:rsidRPr="00D81D5A" w:rsidRDefault="004C2F98" w:rsidP="00D81D5A">
      <w:pPr>
        <w:pStyle w:val="FootnoteText"/>
      </w:pPr>
      <w:r>
        <w:rPr>
          <w:rStyle w:val="FootnoteReference"/>
        </w:rPr>
        <w:footnoteRef/>
      </w:r>
      <w:r>
        <w:t xml:space="preserve"> </w:t>
      </w:r>
      <w:r>
        <w:tab/>
        <w:t xml:space="preserve">Plaintiffs argue that, in </w:t>
      </w:r>
      <w:r w:rsidR="00BF5CDE">
        <w:rPr>
          <w:i/>
        </w:rPr>
        <w:t>Olson</w:t>
      </w:r>
      <w:r>
        <w:rPr>
          <w:i/>
        </w:rPr>
        <w:t xml:space="preserve"> v. </w:t>
      </w:r>
      <w:r w:rsidR="00BF5CDE">
        <w:rPr>
          <w:i/>
        </w:rPr>
        <w:t>Cory</w:t>
      </w:r>
      <w:r>
        <w:rPr>
          <w:i/>
        </w:rPr>
        <w:t xml:space="preserve"> </w:t>
      </w:r>
      <w:r>
        <w:t xml:space="preserve">(1980) 27 Cal.3d </w:t>
      </w:r>
      <w:r w:rsidR="007446E4">
        <w:t>532, we held that a modification of pension rights is “per se unreasonable” if it is permanent, rather than</w:t>
      </w:r>
      <w:r w:rsidR="00820183">
        <w:t xml:space="preserve"> temporary.  </w:t>
      </w:r>
      <w:r w:rsidR="00820183">
        <w:rPr>
          <w:i/>
        </w:rPr>
        <w:t xml:space="preserve">Olson </w:t>
      </w:r>
      <w:r w:rsidR="00820183">
        <w:t xml:space="preserve">rendered no such holding.  At the point in the decision cited by plaintiffs, </w:t>
      </w:r>
      <w:r w:rsidR="00820183">
        <w:rPr>
          <w:i/>
        </w:rPr>
        <w:t xml:space="preserve">Olson </w:t>
      </w:r>
      <w:r w:rsidR="00820183">
        <w:t>merely summariz</w:t>
      </w:r>
      <w:r w:rsidR="005A23A6">
        <w:t>ed</w:t>
      </w:r>
      <w:r w:rsidR="00820183">
        <w:t xml:space="preserve"> four factors </w:t>
      </w:r>
      <w:r w:rsidR="005A23A6">
        <w:t xml:space="preserve">considered </w:t>
      </w:r>
      <w:r w:rsidR="00820183">
        <w:t xml:space="preserve">by the Supreme Court in </w:t>
      </w:r>
      <w:r w:rsidR="00820183">
        <w:rPr>
          <w:i/>
        </w:rPr>
        <w:t>Blaisdell</w:t>
      </w:r>
      <w:r w:rsidR="00182F76">
        <w:rPr>
          <w:iCs/>
        </w:rPr>
        <w:t xml:space="preserve">, </w:t>
      </w:r>
      <w:r w:rsidR="00182F76">
        <w:rPr>
          <w:i/>
        </w:rPr>
        <w:t>supra</w:t>
      </w:r>
      <w:r w:rsidR="00182F76">
        <w:rPr>
          <w:iCs/>
        </w:rPr>
        <w:t>,</w:t>
      </w:r>
      <w:r w:rsidR="00820183">
        <w:rPr>
          <w:i/>
        </w:rPr>
        <w:t xml:space="preserve"> </w:t>
      </w:r>
      <w:r w:rsidR="00820183">
        <w:t>290 U.S. 398, in deciding whether a particular impairment of private contracts was unconstitutional</w:t>
      </w:r>
      <w:r w:rsidR="00900828">
        <w:t>.  O</w:t>
      </w:r>
      <w:r w:rsidR="005A23A6">
        <w:t>ne of</w:t>
      </w:r>
      <w:r w:rsidR="00900828">
        <w:t xml:space="preserve"> these</w:t>
      </w:r>
      <w:r w:rsidR="005A23A6">
        <w:t xml:space="preserve"> was whether the impairment was permanent or temporary</w:t>
      </w:r>
      <w:r w:rsidR="00820183">
        <w:t xml:space="preserve">.  </w:t>
      </w:r>
      <w:r w:rsidR="005A23A6">
        <w:t xml:space="preserve">Contrary to plaintiffs’ claim of “per se” unreasonableness, none of the factors was characterized as determinative </w:t>
      </w:r>
      <w:r w:rsidR="00182F76">
        <w:t>on its</w:t>
      </w:r>
      <w:r w:rsidR="005A23A6">
        <w:t xml:space="preserve"> o</w:t>
      </w:r>
      <w:r w:rsidR="00182F76">
        <w:t>wn</w:t>
      </w:r>
      <w:r w:rsidR="00820183">
        <w:t xml:space="preserve">.  </w:t>
      </w:r>
      <w:r w:rsidR="005A23A6">
        <w:t xml:space="preserve">(See </w:t>
      </w:r>
      <w:r w:rsidR="005A23A6">
        <w:rPr>
          <w:i/>
        </w:rPr>
        <w:t>Olson</w:t>
      </w:r>
      <w:r w:rsidR="005A23A6">
        <w:t xml:space="preserve"> at p. 539; </w:t>
      </w:r>
      <w:r w:rsidR="005A23A6">
        <w:rPr>
          <w:i/>
        </w:rPr>
        <w:t>Blaisdell</w:t>
      </w:r>
      <w:r w:rsidR="00BF5CDE">
        <w:rPr>
          <w:iCs/>
        </w:rPr>
        <w:t>,</w:t>
      </w:r>
      <w:r w:rsidR="005A23A6">
        <w:rPr>
          <w:i/>
        </w:rPr>
        <w:t xml:space="preserve"> </w:t>
      </w:r>
      <w:r w:rsidR="005A23A6">
        <w:t>at p. 441.)</w:t>
      </w:r>
      <w:r w:rsidR="005A23A6">
        <w:rPr>
          <w:i/>
        </w:rPr>
        <w:t xml:space="preserve">  </w:t>
      </w:r>
      <w:r w:rsidR="00820183">
        <w:t xml:space="preserve">Neither </w:t>
      </w:r>
      <w:r w:rsidR="005A23A6">
        <w:rPr>
          <w:i/>
        </w:rPr>
        <w:t xml:space="preserve">Olson </w:t>
      </w:r>
      <w:r w:rsidR="00820183">
        <w:t xml:space="preserve">nor </w:t>
      </w:r>
      <w:r w:rsidR="005A23A6">
        <w:t>any other decision of this court has</w:t>
      </w:r>
      <w:r w:rsidR="00820183">
        <w:t xml:space="preserve"> held that an impairment of contracts </w:t>
      </w:r>
      <w:r w:rsidR="005A23A6">
        <w:t xml:space="preserve">is </w:t>
      </w:r>
      <w:r w:rsidR="00820183">
        <w:t xml:space="preserve">unconstitutional </w:t>
      </w:r>
      <w:r w:rsidR="005A23A6">
        <w:t>solely b</w:t>
      </w:r>
      <w:r w:rsidR="00820183">
        <w:t xml:space="preserve">ecause it is </w:t>
      </w:r>
      <w:r w:rsidR="005A23A6">
        <w:t>permanent, rather than temporary.</w:t>
      </w:r>
    </w:p>
  </w:footnote>
  <w:footnote w:id="25">
    <w:p w14:paraId="7306F341" w14:textId="77777777" w:rsidR="002C6C3F" w:rsidRDefault="002C6C3F" w:rsidP="00D81D5A">
      <w:pPr>
        <w:spacing w:line="300" w:lineRule="exact"/>
      </w:pPr>
      <w:r>
        <w:rPr>
          <w:rStyle w:val="FootnoteReference"/>
        </w:rPr>
        <w:footnoteRef/>
      </w:r>
      <w:r>
        <w:t xml:space="preserve"> </w:t>
      </w:r>
      <w:r>
        <w:tab/>
        <w:t xml:space="preserve">When it is unclear whether the legislation actually effects a change in the governing law — that is, when neither the preexisting language of the statute nor </w:t>
      </w:r>
      <w:r w:rsidR="00CC6E78">
        <w:t xml:space="preserve">a </w:t>
      </w:r>
      <w:r>
        <w:t xml:space="preserve">judicial </w:t>
      </w:r>
      <w:r w:rsidR="00CC6E78">
        <w:t xml:space="preserve">decision </w:t>
      </w:r>
      <w:r>
        <w:t xml:space="preserve">resolves the issue addressed by the legislation — it cannot be said with equal confidence that the legislation impairs existing pension rights.  The State and the District argue that an amendment of </w:t>
      </w:r>
      <w:r w:rsidRPr="004171BB">
        <w:t>ambiguous</w:t>
      </w:r>
      <w:r>
        <w:t xml:space="preserve"> statutory language governing pension rights does not constitute a modification for purposes of the contract clause, so long as the </w:t>
      </w:r>
      <w:r w:rsidRPr="00C13ACB">
        <w:t xml:space="preserve">amendment qualifies as a clarification of the </w:t>
      </w:r>
      <w:r>
        <w:t xml:space="preserve">statute.  (See </w:t>
      </w:r>
      <w:r>
        <w:rPr>
          <w:i/>
        </w:rPr>
        <w:t xml:space="preserve">Protect our Benefits v. City and County of San Francisco </w:t>
      </w:r>
      <w:r>
        <w:t xml:space="preserve">(2015) 235 Cal.App.4th 619, 636-637 [considering whether a contract clause claim should be denied because a change in the governing ordinance was a clarification of an earlier ordinance]; </w:t>
      </w:r>
      <w:r w:rsidRPr="00C13ACB">
        <w:rPr>
          <w:i/>
        </w:rPr>
        <w:t xml:space="preserve">In re J.C. </w:t>
      </w:r>
      <w:r w:rsidRPr="00C13ACB">
        <w:t>(2016) 246</w:t>
      </w:r>
      <w:r w:rsidR="00E33818">
        <w:t> </w:t>
      </w:r>
      <w:r w:rsidRPr="00C13ACB">
        <w:t>Cal.App.4th 1462</w:t>
      </w:r>
      <w:r>
        <w:t xml:space="preserve">, 1479-1480 [in determining the retroactivity of a statutory amendment, an amendment that adopts a reasonable interpretation of a previously ambiguous statute is regarded as clarifying, rather than changing, the law].)  Given the very general language of section 31461, defendants argue that PEPRA’s amendments should be viewed as clarifying, rather than changing, the definition of compensation earnable.  </w:t>
      </w:r>
      <w:r w:rsidR="00BF6251">
        <w:t xml:space="preserve">In light of our conclusion, explained hereafter, that the PEPRA amendment of section 31461 is properly considered a change of the interpretation of section 31461 rendered in </w:t>
      </w:r>
      <w:r w:rsidR="00BF6251">
        <w:rPr>
          <w:i/>
          <w:iCs/>
        </w:rPr>
        <w:t>Ventura County</w:t>
      </w:r>
      <w:r w:rsidR="00BF6251">
        <w:t xml:space="preserve"> rather than a clarification of the statutory language, it is unnecessary for us to decide whether the Legislature’s clarification of ambiguous statutory language would avoid contract clause scrutiny.</w:t>
      </w:r>
    </w:p>
  </w:footnote>
  <w:footnote w:id="26">
    <w:p w14:paraId="6CAEFF7E" w14:textId="77777777" w:rsidR="002C6C3F" w:rsidRPr="007F342E" w:rsidRDefault="002C6C3F" w:rsidP="00D81D5A">
      <w:pPr>
        <w:pStyle w:val="FootnoteText"/>
      </w:pPr>
      <w:r>
        <w:rPr>
          <w:rStyle w:val="FootnoteReference"/>
        </w:rPr>
        <w:footnoteRef/>
      </w:r>
      <w:r>
        <w:t xml:space="preserve"> </w:t>
      </w:r>
      <w:r>
        <w:tab/>
        <w:t xml:space="preserve">The lawsuits in Alameda, Contra Costa, and Merced County that resulted in </w:t>
      </w:r>
      <w:r>
        <w:rPr>
          <w:szCs w:val="26"/>
        </w:rPr>
        <w:t xml:space="preserve">the settlement agreements addressed </w:t>
      </w:r>
      <w:r>
        <w:rPr>
          <w:i/>
          <w:szCs w:val="26"/>
        </w:rPr>
        <w:t>ante</w:t>
      </w:r>
      <w:r>
        <w:rPr>
          <w:szCs w:val="26"/>
        </w:rPr>
        <w:t>, part II.A of this decision</w:t>
      </w:r>
      <w:r w:rsidR="0081283F">
        <w:rPr>
          <w:szCs w:val="26"/>
        </w:rPr>
        <w:t>,</w:t>
      </w:r>
      <w:r>
        <w:t xml:space="preserve"> were </w:t>
      </w:r>
      <w:r w:rsidR="0081283F">
        <w:t xml:space="preserve">included in </w:t>
      </w:r>
      <w:r>
        <w:t>th</w:t>
      </w:r>
      <w:r w:rsidR="00BF6251">
        <w:t>e</w:t>
      </w:r>
      <w:r>
        <w:t xml:space="preserve"> consolidated proceeding</w:t>
      </w:r>
      <w:r w:rsidR="00BF6251">
        <w:t xml:space="preserve"> in </w:t>
      </w:r>
      <w:r w:rsidR="00BF6251">
        <w:rPr>
          <w:i/>
          <w:iCs/>
        </w:rPr>
        <w:t>Retirement Cases</w:t>
      </w:r>
      <w:r>
        <w:t>, but each was settled prior to the trial court’s entry of judgment</w:t>
      </w:r>
      <w:r w:rsidR="00BF6251">
        <w:t xml:space="preserve"> in the proceeding</w:t>
      </w:r>
      <w:r>
        <w:t>.</w:t>
      </w:r>
    </w:p>
  </w:footnote>
  <w:footnote w:id="27">
    <w:p w14:paraId="108C80C8" w14:textId="77777777" w:rsidR="002C6C3F" w:rsidRDefault="002C6C3F" w:rsidP="00D81D5A">
      <w:pPr>
        <w:pStyle w:val="FootnoteText"/>
      </w:pPr>
      <w:r>
        <w:rPr>
          <w:rStyle w:val="FootnoteReference"/>
        </w:rPr>
        <w:footnoteRef/>
      </w:r>
      <w:r>
        <w:t xml:space="preserve"> </w:t>
      </w:r>
      <w:r>
        <w:tab/>
        <w:t xml:space="preserve">Alternatively, it can be argued that </w:t>
      </w:r>
      <w:r w:rsidR="00B825BE">
        <w:t xml:space="preserve">section 31461, </w:t>
      </w:r>
      <w:r>
        <w:t>subdivision (b)(4), which governs “[p]</w:t>
      </w:r>
      <w:proofErr w:type="spellStart"/>
      <w:r>
        <w:t>ayments</w:t>
      </w:r>
      <w:proofErr w:type="spellEnd"/>
      <w:r>
        <w:t xml:space="preserve"> made at the termination of employment,” includes payments made in anticipation of an employee’s imminent retirement but received prior to termination.  Interpreted in this manner, subdivision (b)(4) would constitute a narrowing of the broad ruling of </w:t>
      </w:r>
      <w:r>
        <w:rPr>
          <w:i/>
        </w:rPr>
        <w:t>Ventura County</w:t>
      </w:r>
      <w:r>
        <w:t xml:space="preserve">.  In that case, however, subdivision (b)(4) would also be </w:t>
      </w:r>
      <w:r w:rsidR="009D7F91">
        <w:t xml:space="preserve">largely </w:t>
      </w:r>
      <w:r>
        <w:t>coextensive with subdivision (b)(2).  Because the interpretive issue is not material to our resolution of this matter, we do not address it further.</w:t>
      </w:r>
    </w:p>
  </w:footnote>
  <w:footnote w:id="28">
    <w:p w14:paraId="793543CE" w14:textId="77777777" w:rsidR="002C6C3F" w:rsidRDefault="002C6C3F" w:rsidP="00D81D5A">
      <w:pPr>
        <w:pStyle w:val="FootnoteText"/>
      </w:pPr>
      <w:r>
        <w:rPr>
          <w:rStyle w:val="FootnoteReference"/>
        </w:rPr>
        <w:footnoteRef/>
      </w:r>
      <w:r>
        <w:t xml:space="preserve"> </w:t>
      </w:r>
      <w:r>
        <w:tab/>
        <w:t>S</w:t>
      </w:r>
      <w:r>
        <w:rPr>
          <w:szCs w:val="26"/>
        </w:rPr>
        <w:t xml:space="preserve">ection 31461, subdivision (c) states that “[t]he terms of subdivision (b) are intended to be consistent with and not in conflict with the holdings” in </w:t>
      </w:r>
      <w:r>
        <w:rPr>
          <w:i/>
          <w:szCs w:val="26"/>
        </w:rPr>
        <w:t xml:space="preserve">Retirement Cases </w:t>
      </w:r>
      <w:r>
        <w:rPr>
          <w:szCs w:val="26"/>
        </w:rPr>
        <w:t xml:space="preserve">and </w:t>
      </w:r>
      <w:r>
        <w:rPr>
          <w:i/>
          <w:szCs w:val="26"/>
        </w:rPr>
        <w:t>Salus</w:t>
      </w:r>
      <w:r>
        <w:rPr>
          <w:szCs w:val="26"/>
        </w:rPr>
        <w:t>, but neither decision addresses a relevant issue other than termination pay.</w:t>
      </w:r>
    </w:p>
  </w:footnote>
  <w:footnote w:id="29">
    <w:p w14:paraId="0B773D29" w14:textId="77777777" w:rsidR="002C6C3F" w:rsidRDefault="002C6C3F" w:rsidP="00D81D5A">
      <w:pPr>
        <w:pStyle w:val="NormalIndent"/>
        <w:spacing w:line="300" w:lineRule="exact"/>
        <w:ind w:left="0"/>
      </w:pPr>
      <w:r>
        <w:rPr>
          <w:rStyle w:val="FootnoteReference"/>
        </w:rPr>
        <w:footnoteRef/>
      </w:r>
      <w:r>
        <w:tab/>
      </w:r>
      <w:r w:rsidRPr="0047489F">
        <w:t xml:space="preserve">Our conclusion might be different if the Legislature </w:t>
      </w:r>
      <w:r>
        <w:t xml:space="preserve">had timely </w:t>
      </w:r>
      <w:r w:rsidRPr="0047489F">
        <w:t>amend</w:t>
      </w:r>
      <w:r>
        <w:t>ed</w:t>
      </w:r>
      <w:r w:rsidRPr="0047489F">
        <w:t xml:space="preserve"> an ambiguous statute in </w:t>
      </w:r>
      <w:r>
        <w:t xml:space="preserve">a manner contrary to the interpretation adopted in </w:t>
      </w:r>
      <w:r w:rsidRPr="0047489F">
        <w:t>a judicial decision, s</w:t>
      </w:r>
      <w:r>
        <w:t>uggest</w:t>
      </w:r>
      <w:r w:rsidRPr="0047489F">
        <w:t xml:space="preserve">ing </w:t>
      </w:r>
      <w:r>
        <w:t>its disagreement with the court’s interpretation</w:t>
      </w:r>
      <w:r w:rsidRPr="0047489F">
        <w:t xml:space="preserve">, as occurred in </w:t>
      </w:r>
      <w:r w:rsidRPr="0047489F">
        <w:rPr>
          <w:i/>
        </w:rPr>
        <w:t>Gatewood</w:t>
      </w:r>
      <w:r>
        <w:t xml:space="preserve">, </w:t>
      </w:r>
      <w:r>
        <w:rPr>
          <w:i/>
        </w:rPr>
        <w:t>supra</w:t>
      </w:r>
      <w:r>
        <w:t xml:space="preserve">, </w:t>
      </w:r>
      <w:r w:rsidRPr="0047489F">
        <w:t xml:space="preserve">175 Cal.App.3d </w:t>
      </w:r>
      <w:r>
        <w:t>311</w:t>
      </w:r>
      <w:r w:rsidRPr="0047489F">
        <w:t>.</w:t>
      </w:r>
      <w:r>
        <w:t xml:space="preserve">  Because the Legislature did not amend CERL in response to </w:t>
      </w:r>
      <w:r>
        <w:rPr>
          <w:i/>
        </w:rPr>
        <w:t>Ventura County</w:t>
      </w:r>
      <w:r>
        <w:t xml:space="preserve">, that situation is not before us. </w:t>
      </w:r>
    </w:p>
  </w:footnote>
  <w:footnote w:id="30">
    <w:p w14:paraId="48F06814" w14:textId="28B4DEF3" w:rsidR="002C6C3F" w:rsidRDefault="002C6C3F" w:rsidP="00D81D5A">
      <w:pPr>
        <w:pStyle w:val="FootnoteText"/>
      </w:pPr>
      <w:r>
        <w:rPr>
          <w:rStyle w:val="FootnoteReference"/>
        </w:rPr>
        <w:footnoteRef/>
      </w:r>
      <w:r>
        <w:t xml:space="preserve"> </w:t>
      </w:r>
      <w:r>
        <w:tab/>
        <w:t>In making this observation, we do not mean to suggest that a change that is</w:t>
      </w:r>
      <w:r w:rsidR="002E09D6">
        <w:t xml:space="preserve"> </w:t>
      </w:r>
      <w:r>
        <w:t xml:space="preserve">prospective in practice would thereby be insulated from contract clause scrutiny under </w:t>
      </w:r>
      <w:r>
        <w:rPr>
          <w:i/>
        </w:rPr>
        <w:t>Allen I</w:t>
      </w:r>
      <w:r>
        <w:t xml:space="preserve">.  We intend merely to </w:t>
      </w:r>
      <w:r w:rsidR="006A488C">
        <w:t>illustrate</w:t>
      </w:r>
      <w:r>
        <w:t xml:space="preserve"> the type of amendment that, in the pension context, would be </w:t>
      </w:r>
      <w:r w:rsidR="002E09D6">
        <w:t xml:space="preserve">truly </w:t>
      </w:r>
      <w:r>
        <w:t>prospective in its impact.</w:t>
      </w:r>
    </w:p>
  </w:footnote>
  <w:footnote w:id="31">
    <w:p w14:paraId="49D5B0FD" w14:textId="77777777" w:rsidR="002C6C3F" w:rsidRDefault="002C6C3F" w:rsidP="00D81D5A">
      <w:pPr>
        <w:pStyle w:val="FootnoteText"/>
      </w:pPr>
      <w:r>
        <w:rPr>
          <w:rStyle w:val="FootnoteReference"/>
        </w:rPr>
        <w:footnoteRef/>
      </w:r>
      <w:r>
        <w:t xml:space="preserve"> </w:t>
      </w:r>
      <w:r>
        <w:tab/>
        <w:t xml:space="preserve">Because, as explained above, </w:t>
      </w:r>
      <w:r w:rsidR="00B7654D">
        <w:t xml:space="preserve">section 31461, </w:t>
      </w:r>
      <w:r>
        <w:t>subdivision (b)(4) did not change CERL for purposes of the contract clause, we need not evaluate that subdivision under the California Rule.  Our conclusion would not, however, be different if subdivision (b)(4) were included in the analysis.</w:t>
      </w:r>
    </w:p>
  </w:footnote>
  <w:footnote w:id="32">
    <w:p w14:paraId="25F3BF11" w14:textId="77777777" w:rsidR="002C6C3F" w:rsidRPr="00BD2F8A" w:rsidRDefault="002C6C3F" w:rsidP="00D81D5A">
      <w:pPr>
        <w:pStyle w:val="FootnoteText"/>
      </w:pPr>
      <w:r w:rsidRPr="00A200EE">
        <w:rPr>
          <w:rStyle w:val="FootnoteReference"/>
        </w:rPr>
        <w:footnoteRef/>
      </w:r>
      <w:r>
        <w:t xml:space="preserve"> </w:t>
      </w:r>
      <w:r>
        <w:tab/>
        <w:t xml:space="preserve">The Court of Appeal interpreted </w:t>
      </w:r>
      <w:r w:rsidR="00D2784A">
        <w:t xml:space="preserve">section 31461, </w:t>
      </w:r>
      <w:r>
        <w:t xml:space="preserve">subdivision (b)(2) to permit the inclusion of an unlimited amount of cashed out leave time in compensation earnable, regardless when accrued, by holding that the phrase “earned and payable” in subdivision (b)(2) modifies “leave cash-outs,” rather than the leave time itself.  </w:t>
      </w:r>
      <w:r>
        <w:rPr>
          <w:szCs w:val="26"/>
        </w:rPr>
        <w:t>It then concluded that the cash-out is earned when paid, rather than when the leave time is accrued.  (</w:t>
      </w:r>
      <w:r>
        <w:rPr>
          <w:i/>
        </w:rPr>
        <w:t>Alameda Sheriffs</w:t>
      </w:r>
      <w:r>
        <w:t xml:space="preserve">, </w:t>
      </w:r>
      <w:r>
        <w:rPr>
          <w:i/>
        </w:rPr>
        <w:t>supra</w:t>
      </w:r>
      <w:r>
        <w:t xml:space="preserve">, 19 Cal.App.5th at pp. 98-100.) </w:t>
      </w:r>
      <w:r>
        <w:rPr>
          <w:szCs w:val="26"/>
        </w:rPr>
        <w:t xml:space="preserve"> </w:t>
      </w:r>
      <w:r>
        <w:t>Although, in practice, an employee can accrue only a limited amount of leave time in a final compensation period, there is no</w:t>
      </w:r>
      <w:r w:rsidR="000A2E2A">
        <w:t xml:space="preserve"> </w:t>
      </w:r>
      <w:r>
        <w:t>similar</w:t>
      </w:r>
      <w:r w:rsidR="000A2E2A">
        <w:t xml:space="preserve"> practical</w:t>
      </w:r>
      <w:r>
        <w:t xml:space="preserve"> constraint on the amount of leave time that can be cashed out during that time.  The Court of Appeal’s interpretation therefore renders subdivision (b)(2) pointless, and an “i</w:t>
      </w:r>
      <w:r w:rsidRPr="00BD2F8A">
        <w:rPr>
          <w:rStyle w:val="sssh"/>
          <w:szCs w:val="26"/>
        </w:rPr>
        <w:t>nterpretation</w:t>
      </w:r>
      <w:r w:rsidRPr="009809A0">
        <w:rPr>
          <w:rStyle w:val="ssrfcpassagedeactivated"/>
          <w:szCs w:val="26"/>
        </w:rPr>
        <w:t xml:space="preserve"> of </w:t>
      </w:r>
      <w:r w:rsidRPr="009809A0">
        <w:rPr>
          <w:rStyle w:val="sssh"/>
          <w:szCs w:val="26"/>
        </w:rPr>
        <w:t>statutory</w:t>
      </w:r>
      <w:r w:rsidRPr="009809A0">
        <w:rPr>
          <w:rStyle w:val="ssrfcpassagedeactivated"/>
          <w:szCs w:val="26"/>
        </w:rPr>
        <w:t xml:space="preserve"> language that </w:t>
      </w:r>
      <w:r w:rsidRPr="009809A0">
        <w:rPr>
          <w:rStyle w:val="sssh"/>
          <w:szCs w:val="26"/>
        </w:rPr>
        <w:t>renders</w:t>
      </w:r>
      <w:r w:rsidRPr="009809A0">
        <w:rPr>
          <w:rStyle w:val="ssrfcpassagedeactivated"/>
          <w:szCs w:val="26"/>
        </w:rPr>
        <w:t xml:space="preserve"> the language useless</w:t>
      </w:r>
      <w:r>
        <w:rPr>
          <w:rStyle w:val="ssrfcpassagedeactivated"/>
          <w:szCs w:val="26"/>
        </w:rPr>
        <w:t>” is, of course, disfavored.  (</w:t>
      </w:r>
      <w:r>
        <w:rPr>
          <w:rStyle w:val="ssrfcpassagedeactivated"/>
          <w:i/>
          <w:szCs w:val="26"/>
        </w:rPr>
        <w:t xml:space="preserve">Williams v. Superior Court </w:t>
      </w:r>
      <w:r>
        <w:rPr>
          <w:rStyle w:val="ssrfcpassagedeactivated"/>
          <w:szCs w:val="26"/>
        </w:rPr>
        <w:t>(1993) 5 Cal.4th 337, 354.)  A</w:t>
      </w:r>
      <w:r w:rsidR="007F7629">
        <w:rPr>
          <w:rStyle w:val="ssrfcpassagedeactivated"/>
          <w:szCs w:val="26"/>
        </w:rPr>
        <w:t> </w:t>
      </w:r>
      <w:r w:rsidR="009F6A29">
        <w:rPr>
          <w:rStyle w:val="ssrfcpassagedeactivated"/>
          <w:szCs w:val="26"/>
        </w:rPr>
        <w:t>better reading</w:t>
      </w:r>
      <w:r>
        <w:rPr>
          <w:rStyle w:val="ssrfcpassagedeactivated"/>
          <w:szCs w:val="26"/>
        </w:rPr>
        <w:t xml:space="preserve"> requires “earned and payable” to refer to the amount of leave time that can be accrued during the final compensation period.</w:t>
      </w:r>
    </w:p>
  </w:footnote>
  <w:footnote w:id="33">
    <w:p w14:paraId="12F5AAE6" w14:textId="77777777" w:rsidR="002C6C3F" w:rsidRPr="00A200EE" w:rsidRDefault="002C6C3F" w:rsidP="00D81D5A">
      <w:pPr>
        <w:pStyle w:val="FootnoteText"/>
        <w:rPr>
          <w:szCs w:val="26"/>
        </w:rPr>
      </w:pPr>
      <w:r>
        <w:rPr>
          <w:rStyle w:val="FootnoteReference"/>
        </w:rPr>
        <w:footnoteRef/>
      </w:r>
      <w:r>
        <w:t xml:space="preserve"> </w:t>
      </w:r>
      <w:r>
        <w:tab/>
      </w:r>
      <w:r w:rsidRPr="00A200EE">
        <w:t xml:space="preserve">This </w:t>
      </w:r>
      <w:r>
        <w:t>understanding</w:t>
      </w:r>
      <w:r w:rsidRPr="00A200EE">
        <w:t xml:space="preserve"> is reinforced by the text of section 31461.6, which excludes “overtime premium pay”</w:t>
      </w:r>
      <w:r w:rsidRPr="00A200EE">
        <w:rPr>
          <w:szCs w:val="26"/>
        </w:rPr>
        <w:t xml:space="preserve"> unless the pay is received as compensation “</w:t>
      </w:r>
      <w:r w:rsidRPr="00A200EE">
        <w:rPr>
          <w:rStyle w:val="ssparacontent"/>
          <w:szCs w:val="26"/>
        </w:rPr>
        <w:t>for hours worked within the normally scheduled or regular working hours that are in excess of the statutory maximum workweek.”</w:t>
      </w:r>
      <w:r w:rsidR="009D7F91">
        <w:rPr>
          <w:rStyle w:val="ssparacontent"/>
          <w:szCs w:val="26"/>
        </w:rPr>
        <w:t xml:space="preserve">  (</w:t>
      </w:r>
      <w:r w:rsidR="009D7F91">
        <w:rPr>
          <w:rStyle w:val="ssparacontent"/>
          <w:i/>
          <w:iCs/>
          <w:szCs w:val="26"/>
        </w:rPr>
        <w:t>Id</w:t>
      </w:r>
      <w:r w:rsidR="009D7F91">
        <w:rPr>
          <w:rStyle w:val="ssparacontent"/>
          <w:szCs w:val="26"/>
        </w:rPr>
        <w:t xml:space="preserve">., </w:t>
      </w:r>
      <w:proofErr w:type="spellStart"/>
      <w:r w:rsidR="009D7F91">
        <w:rPr>
          <w:rStyle w:val="ssparacontent"/>
          <w:szCs w:val="26"/>
        </w:rPr>
        <w:t>subd</w:t>
      </w:r>
      <w:proofErr w:type="spellEnd"/>
      <w:r w:rsidR="009D7F91">
        <w:rPr>
          <w:rStyle w:val="ssparacontent"/>
          <w:szCs w:val="26"/>
        </w:rPr>
        <w:t>. (a).)</w:t>
      </w:r>
      <w:r w:rsidRPr="00A200EE">
        <w:rPr>
          <w:rStyle w:val="ssparacontent"/>
          <w:szCs w:val="26"/>
        </w:rPr>
        <w:t xml:space="preserve">  In other words, overtime pay is not excluded if it is earned by an employee as part of his or her “normally scheduled or regular working hours.”  </w:t>
      </w:r>
      <w:r w:rsidR="00D2784A">
        <w:rPr>
          <w:rStyle w:val="ssparacontent"/>
          <w:szCs w:val="26"/>
        </w:rPr>
        <w:t>(</w:t>
      </w:r>
      <w:r w:rsidR="00D2784A">
        <w:rPr>
          <w:rStyle w:val="ssparacontent"/>
          <w:i/>
          <w:iCs/>
          <w:szCs w:val="26"/>
        </w:rPr>
        <w:t>Ibid</w:t>
      </w:r>
      <w:r w:rsidR="00D2784A">
        <w:rPr>
          <w:rStyle w:val="ssparacontent"/>
          <w:szCs w:val="26"/>
        </w:rPr>
        <w:t>.)</w:t>
      </w:r>
      <w:r w:rsidR="00D2784A">
        <w:rPr>
          <w:rStyle w:val="ssparacontent"/>
          <w:i/>
          <w:iCs/>
          <w:szCs w:val="26"/>
        </w:rPr>
        <w:t xml:space="preserve">  </w:t>
      </w:r>
      <w:r w:rsidRPr="00A200EE">
        <w:rPr>
          <w:rStyle w:val="ssparacontent"/>
          <w:szCs w:val="26"/>
        </w:rPr>
        <w:t xml:space="preserve">Only </w:t>
      </w:r>
      <w:r>
        <w:rPr>
          <w:rStyle w:val="ssparacontent"/>
          <w:szCs w:val="26"/>
        </w:rPr>
        <w:t xml:space="preserve">payment for </w:t>
      </w:r>
      <w:r w:rsidRPr="00A200EE">
        <w:rPr>
          <w:rStyle w:val="ssparacontent"/>
          <w:szCs w:val="26"/>
        </w:rPr>
        <w:t xml:space="preserve">excess hours, as compared to the employee’s peers, </w:t>
      </w:r>
      <w:r>
        <w:rPr>
          <w:rStyle w:val="ssparacontent"/>
          <w:szCs w:val="26"/>
        </w:rPr>
        <w:t>is</w:t>
      </w:r>
      <w:r w:rsidRPr="00A200EE">
        <w:rPr>
          <w:rStyle w:val="ssparacontent"/>
          <w:szCs w:val="26"/>
        </w:rPr>
        <w:t xml:space="preserve"> excluded.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D4CA" w14:textId="77777777" w:rsidR="00D81D5A" w:rsidRDefault="00D81D5A" w:rsidP="009703EC">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0A21" w14:textId="71859E88" w:rsidR="009703EC" w:rsidRDefault="009703EC">
    <w:pPr>
      <w:pStyle w:val="Header"/>
    </w:pPr>
    <w:bookmarkStart w:id="56" w:name="_Hlk43185396"/>
    <w:r>
      <w:t>ALAMEDA COUNTY DEPUTY SHERIFF</w:t>
    </w:r>
    <w:r w:rsidR="008304A1">
      <w:t>’</w:t>
    </w:r>
    <w:r>
      <w:t>S ASSN</w:t>
    </w:r>
    <w:r w:rsidR="00D9625C">
      <w:t>.</w:t>
    </w:r>
    <w:r>
      <w:t xml:space="preserve"> v. </w:t>
    </w:r>
    <w:r>
      <w:br/>
      <w:t>ALAMEDA COUNTY EMPLOYEES’ RETIREMENT ASSN</w:t>
    </w:r>
    <w:r w:rsidR="00D9625C">
      <w:t>.</w:t>
    </w:r>
  </w:p>
  <w:p w14:paraId="172379DB" w14:textId="6B0D7038" w:rsidR="009703EC" w:rsidRDefault="009703EC">
    <w:pPr>
      <w:pStyle w:val="Header"/>
    </w:pPr>
    <w:r>
      <w:t>Opinion of the Court by Cantil-Sakauye, C. J.</w:t>
    </w:r>
    <w:bookmarkEnd w:id="56"/>
  </w:p>
  <w:p w14:paraId="47068AE5" w14:textId="77777777" w:rsidR="009703EC" w:rsidRDefault="00970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D912" w14:textId="77777777" w:rsidR="009703EC" w:rsidRDefault="009703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C540" w14:textId="1619C193" w:rsidR="006339C2" w:rsidRDefault="006339C2">
    <w:pPr>
      <w:pStyle w:val="Header"/>
    </w:pPr>
    <w:r>
      <w:t>ALAMEDA COUNTY DEPUTY SHERIFF</w:t>
    </w:r>
    <w:r w:rsidR="00BF02B0">
      <w:t>’</w:t>
    </w:r>
    <w:r>
      <w:t>S ASSN</w:t>
    </w:r>
    <w:r w:rsidR="005B6AA6">
      <w:t>.</w:t>
    </w:r>
    <w:r>
      <w:t xml:space="preserve"> v. </w:t>
    </w:r>
    <w:r>
      <w:br/>
      <w:t>ALAMEDA COUNTY EMPLOYEES’ RETIREMENT ASSN</w:t>
    </w:r>
    <w:r w:rsidR="005B6AA6">
      <w:t>.</w:t>
    </w:r>
  </w:p>
  <w:p w14:paraId="35140636" w14:textId="75C8DD55" w:rsidR="006339C2" w:rsidRDefault="00E74488">
    <w:pPr>
      <w:pStyle w:val="Header"/>
    </w:pPr>
    <w:r>
      <w:t>Cuéllar,</w:t>
    </w:r>
    <w:r w:rsidR="005D13D5">
      <w:t xml:space="preserve"> </w:t>
    </w:r>
    <w:r w:rsidR="006339C2">
      <w:t>J.</w:t>
    </w:r>
    <w:r>
      <w:t>, concurring</w:t>
    </w:r>
  </w:p>
  <w:p w14:paraId="5C3F16EA" w14:textId="77777777" w:rsidR="006339C2" w:rsidRDefault="006339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CEC0" w14:textId="77777777" w:rsidR="003D6F79" w:rsidRDefault="003D6F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0AC4" w14:textId="77777777" w:rsidR="006446AC" w:rsidRDefault="006446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F878" w14:textId="77777777" w:rsidR="005C63B4" w:rsidRDefault="005C6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F1949"/>
    <w:multiLevelType w:val="multilevel"/>
    <w:tmpl w:val="9100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C37A0"/>
    <w:multiLevelType w:val="multilevel"/>
    <w:tmpl w:val="8B2E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F1"/>
    <w:rsid w:val="00000469"/>
    <w:rsid w:val="000008F3"/>
    <w:rsid w:val="00000F65"/>
    <w:rsid w:val="000018F9"/>
    <w:rsid w:val="000021B2"/>
    <w:rsid w:val="00002386"/>
    <w:rsid w:val="0000287B"/>
    <w:rsid w:val="000040A0"/>
    <w:rsid w:val="00004CB5"/>
    <w:rsid w:val="00004CEB"/>
    <w:rsid w:val="000051F8"/>
    <w:rsid w:val="00006D0B"/>
    <w:rsid w:val="00007AA6"/>
    <w:rsid w:val="0001118D"/>
    <w:rsid w:val="00011C17"/>
    <w:rsid w:val="000134F2"/>
    <w:rsid w:val="00014624"/>
    <w:rsid w:val="000148CD"/>
    <w:rsid w:val="000149A3"/>
    <w:rsid w:val="00014A7A"/>
    <w:rsid w:val="000157FE"/>
    <w:rsid w:val="000162CB"/>
    <w:rsid w:val="000172B4"/>
    <w:rsid w:val="00020020"/>
    <w:rsid w:val="000214ED"/>
    <w:rsid w:val="00022019"/>
    <w:rsid w:val="000236E3"/>
    <w:rsid w:val="00023FC3"/>
    <w:rsid w:val="00024F96"/>
    <w:rsid w:val="00025CA4"/>
    <w:rsid w:val="00026EB4"/>
    <w:rsid w:val="00027664"/>
    <w:rsid w:val="00027E12"/>
    <w:rsid w:val="00027F8B"/>
    <w:rsid w:val="000311F2"/>
    <w:rsid w:val="00031DE6"/>
    <w:rsid w:val="00032738"/>
    <w:rsid w:val="00032CA3"/>
    <w:rsid w:val="0003352C"/>
    <w:rsid w:val="00034C75"/>
    <w:rsid w:val="00034C99"/>
    <w:rsid w:val="00035071"/>
    <w:rsid w:val="00035241"/>
    <w:rsid w:val="00035613"/>
    <w:rsid w:val="000370BE"/>
    <w:rsid w:val="000402C5"/>
    <w:rsid w:val="00041057"/>
    <w:rsid w:val="00041262"/>
    <w:rsid w:val="00041C60"/>
    <w:rsid w:val="000430A4"/>
    <w:rsid w:val="000431A2"/>
    <w:rsid w:val="00043C86"/>
    <w:rsid w:val="00043C9E"/>
    <w:rsid w:val="00045925"/>
    <w:rsid w:val="00045C1D"/>
    <w:rsid w:val="000465FB"/>
    <w:rsid w:val="00047779"/>
    <w:rsid w:val="00050931"/>
    <w:rsid w:val="00051409"/>
    <w:rsid w:val="0005204C"/>
    <w:rsid w:val="0005258B"/>
    <w:rsid w:val="000529FF"/>
    <w:rsid w:val="00052B6D"/>
    <w:rsid w:val="00053735"/>
    <w:rsid w:val="00053751"/>
    <w:rsid w:val="00053FAD"/>
    <w:rsid w:val="00054B81"/>
    <w:rsid w:val="00054B89"/>
    <w:rsid w:val="00054E3E"/>
    <w:rsid w:val="00057600"/>
    <w:rsid w:val="00057CF5"/>
    <w:rsid w:val="00057D65"/>
    <w:rsid w:val="000607C5"/>
    <w:rsid w:val="00060AC6"/>
    <w:rsid w:val="00060B37"/>
    <w:rsid w:val="00061F99"/>
    <w:rsid w:val="00063AC8"/>
    <w:rsid w:val="00063FD8"/>
    <w:rsid w:val="00064E4A"/>
    <w:rsid w:val="00065A3E"/>
    <w:rsid w:val="000679B0"/>
    <w:rsid w:val="00067A40"/>
    <w:rsid w:val="00067B13"/>
    <w:rsid w:val="00072707"/>
    <w:rsid w:val="0007292D"/>
    <w:rsid w:val="00072EC6"/>
    <w:rsid w:val="00073575"/>
    <w:rsid w:val="00073764"/>
    <w:rsid w:val="000737E1"/>
    <w:rsid w:val="00073C68"/>
    <w:rsid w:val="00073D00"/>
    <w:rsid w:val="000743F4"/>
    <w:rsid w:val="00077582"/>
    <w:rsid w:val="00081572"/>
    <w:rsid w:val="00081DDD"/>
    <w:rsid w:val="00082F0A"/>
    <w:rsid w:val="000839F6"/>
    <w:rsid w:val="0008412A"/>
    <w:rsid w:val="000849A1"/>
    <w:rsid w:val="000849DA"/>
    <w:rsid w:val="000851FF"/>
    <w:rsid w:val="00086174"/>
    <w:rsid w:val="00086F1F"/>
    <w:rsid w:val="00086FDC"/>
    <w:rsid w:val="0008722B"/>
    <w:rsid w:val="000879A5"/>
    <w:rsid w:val="00090C21"/>
    <w:rsid w:val="00091032"/>
    <w:rsid w:val="00091E52"/>
    <w:rsid w:val="00092CDF"/>
    <w:rsid w:val="0009334E"/>
    <w:rsid w:val="0009352C"/>
    <w:rsid w:val="00094AD9"/>
    <w:rsid w:val="00094E38"/>
    <w:rsid w:val="00097D37"/>
    <w:rsid w:val="000A192B"/>
    <w:rsid w:val="000A2E2A"/>
    <w:rsid w:val="000A45C7"/>
    <w:rsid w:val="000A731B"/>
    <w:rsid w:val="000A7EFA"/>
    <w:rsid w:val="000B037D"/>
    <w:rsid w:val="000B0BA0"/>
    <w:rsid w:val="000B2D06"/>
    <w:rsid w:val="000B34C4"/>
    <w:rsid w:val="000B3EE7"/>
    <w:rsid w:val="000B4224"/>
    <w:rsid w:val="000B45F6"/>
    <w:rsid w:val="000B6B8A"/>
    <w:rsid w:val="000C0612"/>
    <w:rsid w:val="000C06B2"/>
    <w:rsid w:val="000C0886"/>
    <w:rsid w:val="000C1111"/>
    <w:rsid w:val="000C230D"/>
    <w:rsid w:val="000C5E55"/>
    <w:rsid w:val="000C6CC3"/>
    <w:rsid w:val="000C705A"/>
    <w:rsid w:val="000C7120"/>
    <w:rsid w:val="000C7CE2"/>
    <w:rsid w:val="000D0AF1"/>
    <w:rsid w:val="000D0CA5"/>
    <w:rsid w:val="000D2B08"/>
    <w:rsid w:val="000D30FB"/>
    <w:rsid w:val="000D339E"/>
    <w:rsid w:val="000D3F11"/>
    <w:rsid w:val="000D4461"/>
    <w:rsid w:val="000D6EBA"/>
    <w:rsid w:val="000D7C3D"/>
    <w:rsid w:val="000D7EC5"/>
    <w:rsid w:val="000E0108"/>
    <w:rsid w:val="000E02E8"/>
    <w:rsid w:val="000E0A5A"/>
    <w:rsid w:val="000E1413"/>
    <w:rsid w:val="000E1634"/>
    <w:rsid w:val="000E2719"/>
    <w:rsid w:val="000E27B8"/>
    <w:rsid w:val="000E343E"/>
    <w:rsid w:val="000E3A3B"/>
    <w:rsid w:val="000E4CCB"/>
    <w:rsid w:val="000E5B33"/>
    <w:rsid w:val="000E5B97"/>
    <w:rsid w:val="000E6CD7"/>
    <w:rsid w:val="000E7976"/>
    <w:rsid w:val="000E7C10"/>
    <w:rsid w:val="000F08D7"/>
    <w:rsid w:val="000F1B60"/>
    <w:rsid w:val="000F2068"/>
    <w:rsid w:val="000F2956"/>
    <w:rsid w:val="000F29E5"/>
    <w:rsid w:val="000F29F1"/>
    <w:rsid w:val="000F482E"/>
    <w:rsid w:val="000F4B53"/>
    <w:rsid w:val="000F4F46"/>
    <w:rsid w:val="000F6F89"/>
    <w:rsid w:val="000F7955"/>
    <w:rsid w:val="000F7ACF"/>
    <w:rsid w:val="001002D4"/>
    <w:rsid w:val="0010090A"/>
    <w:rsid w:val="00100CB9"/>
    <w:rsid w:val="00101AA0"/>
    <w:rsid w:val="00101C13"/>
    <w:rsid w:val="00102071"/>
    <w:rsid w:val="0010248E"/>
    <w:rsid w:val="00104230"/>
    <w:rsid w:val="00104F25"/>
    <w:rsid w:val="00105045"/>
    <w:rsid w:val="0010537F"/>
    <w:rsid w:val="001058B8"/>
    <w:rsid w:val="00105C05"/>
    <w:rsid w:val="00105C30"/>
    <w:rsid w:val="00106EC2"/>
    <w:rsid w:val="00110564"/>
    <w:rsid w:val="00112B01"/>
    <w:rsid w:val="0011508B"/>
    <w:rsid w:val="001157A1"/>
    <w:rsid w:val="00116A9E"/>
    <w:rsid w:val="00116D3D"/>
    <w:rsid w:val="0011774D"/>
    <w:rsid w:val="001209DF"/>
    <w:rsid w:val="00121207"/>
    <w:rsid w:val="00122930"/>
    <w:rsid w:val="00122A7F"/>
    <w:rsid w:val="0012323D"/>
    <w:rsid w:val="00123D62"/>
    <w:rsid w:val="00127350"/>
    <w:rsid w:val="00127976"/>
    <w:rsid w:val="0013104E"/>
    <w:rsid w:val="00131301"/>
    <w:rsid w:val="00133859"/>
    <w:rsid w:val="00134E41"/>
    <w:rsid w:val="0013505A"/>
    <w:rsid w:val="001350DA"/>
    <w:rsid w:val="00135C30"/>
    <w:rsid w:val="001376E3"/>
    <w:rsid w:val="0014056E"/>
    <w:rsid w:val="001405D6"/>
    <w:rsid w:val="00142C0B"/>
    <w:rsid w:val="0014321E"/>
    <w:rsid w:val="001438F8"/>
    <w:rsid w:val="001446F1"/>
    <w:rsid w:val="00144F11"/>
    <w:rsid w:val="00145E68"/>
    <w:rsid w:val="00146197"/>
    <w:rsid w:val="0014704E"/>
    <w:rsid w:val="00147814"/>
    <w:rsid w:val="00147D27"/>
    <w:rsid w:val="00150F33"/>
    <w:rsid w:val="00151C79"/>
    <w:rsid w:val="00153348"/>
    <w:rsid w:val="00153B11"/>
    <w:rsid w:val="00154232"/>
    <w:rsid w:val="00154A5F"/>
    <w:rsid w:val="00154ABA"/>
    <w:rsid w:val="00154DED"/>
    <w:rsid w:val="00155E3E"/>
    <w:rsid w:val="00155F22"/>
    <w:rsid w:val="00156CD6"/>
    <w:rsid w:val="00160220"/>
    <w:rsid w:val="001610B6"/>
    <w:rsid w:val="001619D7"/>
    <w:rsid w:val="00162388"/>
    <w:rsid w:val="00163AC4"/>
    <w:rsid w:val="00163E9C"/>
    <w:rsid w:val="001640DC"/>
    <w:rsid w:val="0016449A"/>
    <w:rsid w:val="001650F8"/>
    <w:rsid w:val="00165D17"/>
    <w:rsid w:val="001660E4"/>
    <w:rsid w:val="00170031"/>
    <w:rsid w:val="001704FB"/>
    <w:rsid w:val="001707E0"/>
    <w:rsid w:val="001719E7"/>
    <w:rsid w:val="00173DE5"/>
    <w:rsid w:val="001745EE"/>
    <w:rsid w:val="00174893"/>
    <w:rsid w:val="001754E2"/>
    <w:rsid w:val="001761CA"/>
    <w:rsid w:val="00176BE0"/>
    <w:rsid w:val="00177319"/>
    <w:rsid w:val="001824F1"/>
    <w:rsid w:val="00182F76"/>
    <w:rsid w:val="00183447"/>
    <w:rsid w:val="00183A84"/>
    <w:rsid w:val="00186CA5"/>
    <w:rsid w:val="0018706E"/>
    <w:rsid w:val="00187E31"/>
    <w:rsid w:val="00191235"/>
    <w:rsid w:val="0019524B"/>
    <w:rsid w:val="001959C6"/>
    <w:rsid w:val="00196AB3"/>
    <w:rsid w:val="00196CEA"/>
    <w:rsid w:val="001A0991"/>
    <w:rsid w:val="001A0DC1"/>
    <w:rsid w:val="001A1AD1"/>
    <w:rsid w:val="001A26A6"/>
    <w:rsid w:val="001A2718"/>
    <w:rsid w:val="001A2AF9"/>
    <w:rsid w:val="001A4717"/>
    <w:rsid w:val="001A5BCF"/>
    <w:rsid w:val="001A640E"/>
    <w:rsid w:val="001A6AA4"/>
    <w:rsid w:val="001A6B56"/>
    <w:rsid w:val="001A6F6B"/>
    <w:rsid w:val="001A71E7"/>
    <w:rsid w:val="001A76CA"/>
    <w:rsid w:val="001A79E4"/>
    <w:rsid w:val="001A7D43"/>
    <w:rsid w:val="001B0B7D"/>
    <w:rsid w:val="001B2665"/>
    <w:rsid w:val="001B2CBE"/>
    <w:rsid w:val="001B2DE3"/>
    <w:rsid w:val="001B3540"/>
    <w:rsid w:val="001B3B19"/>
    <w:rsid w:val="001B3B6F"/>
    <w:rsid w:val="001B48AE"/>
    <w:rsid w:val="001B7D8F"/>
    <w:rsid w:val="001C081B"/>
    <w:rsid w:val="001C359F"/>
    <w:rsid w:val="001C381A"/>
    <w:rsid w:val="001C50FA"/>
    <w:rsid w:val="001C75F6"/>
    <w:rsid w:val="001C78CC"/>
    <w:rsid w:val="001D0D21"/>
    <w:rsid w:val="001D104E"/>
    <w:rsid w:val="001D37DA"/>
    <w:rsid w:val="001D40E4"/>
    <w:rsid w:val="001D4B67"/>
    <w:rsid w:val="001D4D35"/>
    <w:rsid w:val="001D5298"/>
    <w:rsid w:val="001D5BC6"/>
    <w:rsid w:val="001D5FE3"/>
    <w:rsid w:val="001D624F"/>
    <w:rsid w:val="001D63F7"/>
    <w:rsid w:val="001D6B18"/>
    <w:rsid w:val="001D7081"/>
    <w:rsid w:val="001D7C9B"/>
    <w:rsid w:val="001E0DF4"/>
    <w:rsid w:val="001E1F26"/>
    <w:rsid w:val="001E2452"/>
    <w:rsid w:val="001E2477"/>
    <w:rsid w:val="001E267F"/>
    <w:rsid w:val="001E345E"/>
    <w:rsid w:val="001E46DC"/>
    <w:rsid w:val="001E489D"/>
    <w:rsid w:val="001E5A9F"/>
    <w:rsid w:val="001E5C10"/>
    <w:rsid w:val="001E6847"/>
    <w:rsid w:val="001E6AA2"/>
    <w:rsid w:val="001E7AF9"/>
    <w:rsid w:val="001F208A"/>
    <w:rsid w:val="001F4067"/>
    <w:rsid w:val="001F4B03"/>
    <w:rsid w:val="001F5138"/>
    <w:rsid w:val="001F522A"/>
    <w:rsid w:val="001F5478"/>
    <w:rsid w:val="001F6426"/>
    <w:rsid w:val="001F7403"/>
    <w:rsid w:val="00203109"/>
    <w:rsid w:val="002031CC"/>
    <w:rsid w:val="00203610"/>
    <w:rsid w:val="00203727"/>
    <w:rsid w:val="00203B96"/>
    <w:rsid w:val="00204DF8"/>
    <w:rsid w:val="0020580F"/>
    <w:rsid w:val="00205B7E"/>
    <w:rsid w:val="00206C2F"/>
    <w:rsid w:val="0020754B"/>
    <w:rsid w:val="00207CBB"/>
    <w:rsid w:val="00212C43"/>
    <w:rsid w:val="00213618"/>
    <w:rsid w:val="00213B5C"/>
    <w:rsid w:val="002145E4"/>
    <w:rsid w:val="00214F4B"/>
    <w:rsid w:val="00215CAC"/>
    <w:rsid w:val="002161AA"/>
    <w:rsid w:val="00216300"/>
    <w:rsid w:val="0021766C"/>
    <w:rsid w:val="00220796"/>
    <w:rsid w:val="00220DD4"/>
    <w:rsid w:val="00220FF6"/>
    <w:rsid w:val="00221CA1"/>
    <w:rsid w:val="00221F02"/>
    <w:rsid w:val="002222F3"/>
    <w:rsid w:val="0022334A"/>
    <w:rsid w:val="00224F5C"/>
    <w:rsid w:val="002256F2"/>
    <w:rsid w:val="00225DC3"/>
    <w:rsid w:val="00226B8C"/>
    <w:rsid w:val="00227C4A"/>
    <w:rsid w:val="00227E5C"/>
    <w:rsid w:val="00231928"/>
    <w:rsid w:val="00232342"/>
    <w:rsid w:val="00233311"/>
    <w:rsid w:val="002337A2"/>
    <w:rsid w:val="00233B79"/>
    <w:rsid w:val="00234EED"/>
    <w:rsid w:val="002352A1"/>
    <w:rsid w:val="00237DA6"/>
    <w:rsid w:val="0024033A"/>
    <w:rsid w:val="002403A4"/>
    <w:rsid w:val="00240844"/>
    <w:rsid w:val="002428E9"/>
    <w:rsid w:val="00243794"/>
    <w:rsid w:val="00243EC2"/>
    <w:rsid w:val="00245282"/>
    <w:rsid w:val="00247228"/>
    <w:rsid w:val="00247342"/>
    <w:rsid w:val="00247556"/>
    <w:rsid w:val="00254096"/>
    <w:rsid w:val="0025542E"/>
    <w:rsid w:val="0025603A"/>
    <w:rsid w:val="002560A7"/>
    <w:rsid w:val="00256104"/>
    <w:rsid w:val="00260D61"/>
    <w:rsid w:val="002610B6"/>
    <w:rsid w:val="00261CC1"/>
    <w:rsid w:val="002622BB"/>
    <w:rsid w:val="002625DA"/>
    <w:rsid w:val="00264C47"/>
    <w:rsid w:val="00264F75"/>
    <w:rsid w:val="00266026"/>
    <w:rsid w:val="0026747E"/>
    <w:rsid w:val="00267B0D"/>
    <w:rsid w:val="00270128"/>
    <w:rsid w:val="002704C5"/>
    <w:rsid w:val="00273545"/>
    <w:rsid w:val="00273AE1"/>
    <w:rsid w:val="00276372"/>
    <w:rsid w:val="002768A4"/>
    <w:rsid w:val="0028005B"/>
    <w:rsid w:val="0028188B"/>
    <w:rsid w:val="00282B76"/>
    <w:rsid w:val="00284355"/>
    <w:rsid w:val="002843ED"/>
    <w:rsid w:val="00284A09"/>
    <w:rsid w:val="00285564"/>
    <w:rsid w:val="00286C66"/>
    <w:rsid w:val="002901D1"/>
    <w:rsid w:val="002902D3"/>
    <w:rsid w:val="00290547"/>
    <w:rsid w:val="002913E7"/>
    <w:rsid w:val="00291CD2"/>
    <w:rsid w:val="0029293B"/>
    <w:rsid w:val="00292DE9"/>
    <w:rsid w:val="002940AB"/>
    <w:rsid w:val="0029499D"/>
    <w:rsid w:val="00296C20"/>
    <w:rsid w:val="00297185"/>
    <w:rsid w:val="002978B3"/>
    <w:rsid w:val="00297A80"/>
    <w:rsid w:val="002A161D"/>
    <w:rsid w:val="002A1EF6"/>
    <w:rsid w:val="002A2616"/>
    <w:rsid w:val="002A2630"/>
    <w:rsid w:val="002A2A3C"/>
    <w:rsid w:val="002A3C79"/>
    <w:rsid w:val="002A414D"/>
    <w:rsid w:val="002A4EAF"/>
    <w:rsid w:val="002A7B6A"/>
    <w:rsid w:val="002B026D"/>
    <w:rsid w:val="002B0A19"/>
    <w:rsid w:val="002B0BE2"/>
    <w:rsid w:val="002B0F56"/>
    <w:rsid w:val="002B15A6"/>
    <w:rsid w:val="002B1B0E"/>
    <w:rsid w:val="002B27F4"/>
    <w:rsid w:val="002B361A"/>
    <w:rsid w:val="002B414C"/>
    <w:rsid w:val="002B57F7"/>
    <w:rsid w:val="002B67D5"/>
    <w:rsid w:val="002B6CD3"/>
    <w:rsid w:val="002B7807"/>
    <w:rsid w:val="002B7B32"/>
    <w:rsid w:val="002C000E"/>
    <w:rsid w:val="002C006A"/>
    <w:rsid w:val="002C0ACB"/>
    <w:rsid w:val="002C1204"/>
    <w:rsid w:val="002C1AC6"/>
    <w:rsid w:val="002C34DE"/>
    <w:rsid w:val="002C3A34"/>
    <w:rsid w:val="002C5353"/>
    <w:rsid w:val="002C6C3F"/>
    <w:rsid w:val="002D0877"/>
    <w:rsid w:val="002D1413"/>
    <w:rsid w:val="002D2513"/>
    <w:rsid w:val="002D3CE0"/>
    <w:rsid w:val="002D478C"/>
    <w:rsid w:val="002D7258"/>
    <w:rsid w:val="002E09D6"/>
    <w:rsid w:val="002E0F6A"/>
    <w:rsid w:val="002E244D"/>
    <w:rsid w:val="002E359D"/>
    <w:rsid w:val="002E48AB"/>
    <w:rsid w:val="002E4C0E"/>
    <w:rsid w:val="002E6CF7"/>
    <w:rsid w:val="002E6D5F"/>
    <w:rsid w:val="002E6F8B"/>
    <w:rsid w:val="002E7FBD"/>
    <w:rsid w:val="002F1961"/>
    <w:rsid w:val="002F1C8A"/>
    <w:rsid w:val="002F2807"/>
    <w:rsid w:val="002F38DF"/>
    <w:rsid w:val="002F43BB"/>
    <w:rsid w:val="002F4B01"/>
    <w:rsid w:val="002F65F6"/>
    <w:rsid w:val="002F6DE5"/>
    <w:rsid w:val="002F7BBB"/>
    <w:rsid w:val="002F7F5F"/>
    <w:rsid w:val="00300C63"/>
    <w:rsid w:val="00300CFE"/>
    <w:rsid w:val="0030249E"/>
    <w:rsid w:val="00303176"/>
    <w:rsid w:val="003031D1"/>
    <w:rsid w:val="003043DD"/>
    <w:rsid w:val="00306EE2"/>
    <w:rsid w:val="00310230"/>
    <w:rsid w:val="00310495"/>
    <w:rsid w:val="0031202A"/>
    <w:rsid w:val="00312954"/>
    <w:rsid w:val="00313E3C"/>
    <w:rsid w:val="00314612"/>
    <w:rsid w:val="00314D34"/>
    <w:rsid w:val="00315C1E"/>
    <w:rsid w:val="00316C73"/>
    <w:rsid w:val="003177DE"/>
    <w:rsid w:val="00317CF0"/>
    <w:rsid w:val="00317DB3"/>
    <w:rsid w:val="003214BE"/>
    <w:rsid w:val="0032280A"/>
    <w:rsid w:val="0032311B"/>
    <w:rsid w:val="00323E6B"/>
    <w:rsid w:val="00324128"/>
    <w:rsid w:val="003255DE"/>
    <w:rsid w:val="003256DC"/>
    <w:rsid w:val="003267A1"/>
    <w:rsid w:val="00326C54"/>
    <w:rsid w:val="00326FAD"/>
    <w:rsid w:val="003303B4"/>
    <w:rsid w:val="003306A7"/>
    <w:rsid w:val="003316C8"/>
    <w:rsid w:val="00331B63"/>
    <w:rsid w:val="00331F37"/>
    <w:rsid w:val="00332B93"/>
    <w:rsid w:val="00333DA4"/>
    <w:rsid w:val="00334854"/>
    <w:rsid w:val="00335E7A"/>
    <w:rsid w:val="00340825"/>
    <w:rsid w:val="00340C47"/>
    <w:rsid w:val="00341392"/>
    <w:rsid w:val="00342459"/>
    <w:rsid w:val="003426CF"/>
    <w:rsid w:val="003427BD"/>
    <w:rsid w:val="0034295C"/>
    <w:rsid w:val="00343602"/>
    <w:rsid w:val="00344517"/>
    <w:rsid w:val="00344CF3"/>
    <w:rsid w:val="00345457"/>
    <w:rsid w:val="00345510"/>
    <w:rsid w:val="003469C6"/>
    <w:rsid w:val="003469D0"/>
    <w:rsid w:val="00346CCE"/>
    <w:rsid w:val="00347CBC"/>
    <w:rsid w:val="00347E54"/>
    <w:rsid w:val="0035094B"/>
    <w:rsid w:val="00350D67"/>
    <w:rsid w:val="00351E69"/>
    <w:rsid w:val="00354504"/>
    <w:rsid w:val="003555DD"/>
    <w:rsid w:val="003572C5"/>
    <w:rsid w:val="00362CA5"/>
    <w:rsid w:val="00362D13"/>
    <w:rsid w:val="00366654"/>
    <w:rsid w:val="00371925"/>
    <w:rsid w:val="00371CB4"/>
    <w:rsid w:val="00371E24"/>
    <w:rsid w:val="00373577"/>
    <w:rsid w:val="003741F3"/>
    <w:rsid w:val="003742B8"/>
    <w:rsid w:val="003750E3"/>
    <w:rsid w:val="00377008"/>
    <w:rsid w:val="003800CB"/>
    <w:rsid w:val="0038027A"/>
    <w:rsid w:val="00380EAA"/>
    <w:rsid w:val="00381E43"/>
    <w:rsid w:val="00383D30"/>
    <w:rsid w:val="00383FB5"/>
    <w:rsid w:val="00384361"/>
    <w:rsid w:val="00384BA6"/>
    <w:rsid w:val="00384FB1"/>
    <w:rsid w:val="00386637"/>
    <w:rsid w:val="0038716D"/>
    <w:rsid w:val="00391A3B"/>
    <w:rsid w:val="00392221"/>
    <w:rsid w:val="0039275B"/>
    <w:rsid w:val="00392C5C"/>
    <w:rsid w:val="003931CC"/>
    <w:rsid w:val="00393268"/>
    <w:rsid w:val="0039359D"/>
    <w:rsid w:val="003A0378"/>
    <w:rsid w:val="003A16C5"/>
    <w:rsid w:val="003A1CD5"/>
    <w:rsid w:val="003A2967"/>
    <w:rsid w:val="003A32E7"/>
    <w:rsid w:val="003A56BF"/>
    <w:rsid w:val="003A56F0"/>
    <w:rsid w:val="003A6371"/>
    <w:rsid w:val="003A790C"/>
    <w:rsid w:val="003B00CF"/>
    <w:rsid w:val="003B01E2"/>
    <w:rsid w:val="003B1134"/>
    <w:rsid w:val="003B17C7"/>
    <w:rsid w:val="003B2EB7"/>
    <w:rsid w:val="003B4273"/>
    <w:rsid w:val="003B465F"/>
    <w:rsid w:val="003B5262"/>
    <w:rsid w:val="003B56B7"/>
    <w:rsid w:val="003B5700"/>
    <w:rsid w:val="003C0147"/>
    <w:rsid w:val="003C0E62"/>
    <w:rsid w:val="003C14AE"/>
    <w:rsid w:val="003C2DC0"/>
    <w:rsid w:val="003C3B15"/>
    <w:rsid w:val="003C4369"/>
    <w:rsid w:val="003C50F4"/>
    <w:rsid w:val="003C54E8"/>
    <w:rsid w:val="003C5924"/>
    <w:rsid w:val="003C5B25"/>
    <w:rsid w:val="003C75F8"/>
    <w:rsid w:val="003C776D"/>
    <w:rsid w:val="003D1DBC"/>
    <w:rsid w:val="003D1F9C"/>
    <w:rsid w:val="003D21D1"/>
    <w:rsid w:val="003D32E1"/>
    <w:rsid w:val="003D3327"/>
    <w:rsid w:val="003D33DB"/>
    <w:rsid w:val="003D349B"/>
    <w:rsid w:val="003D3E2C"/>
    <w:rsid w:val="003D3F29"/>
    <w:rsid w:val="003D412A"/>
    <w:rsid w:val="003D49C8"/>
    <w:rsid w:val="003D5A13"/>
    <w:rsid w:val="003D6F79"/>
    <w:rsid w:val="003D7C54"/>
    <w:rsid w:val="003E0301"/>
    <w:rsid w:val="003E043E"/>
    <w:rsid w:val="003E0CE0"/>
    <w:rsid w:val="003E12F5"/>
    <w:rsid w:val="003E1429"/>
    <w:rsid w:val="003E1BB2"/>
    <w:rsid w:val="003E1C16"/>
    <w:rsid w:val="003E29AE"/>
    <w:rsid w:val="003E47A4"/>
    <w:rsid w:val="003E4C07"/>
    <w:rsid w:val="003E53A2"/>
    <w:rsid w:val="003E5FD5"/>
    <w:rsid w:val="003E7C2B"/>
    <w:rsid w:val="003F1CA7"/>
    <w:rsid w:val="003F20F0"/>
    <w:rsid w:val="003F270C"/>
    <w:rsid w:val="003F28F0"/>
    <w:rsid w:val="003F2936"/>
    <w:rsid w:val="003F2EEF"/>
    <w:rsid w:val="003F3693"/>
    <w:rsid w:val="003F5294"/>
    <w:rsid w:val="003F54DA"/>
    <w:rsid w:val="003F72D7"/>
    <w:rsid w:val="003F74C1"/>
    <w:rsid w:val="003F759D"/>
    <w:rsid w:val="00400A91"/>
    <w:rsid w:val="00400E0D"/>
    <w:rsid w:val="00400F13"/>
    <w:rsid w:val="004019C0"/>
    <w:rsid w:val="0040224B"/>
    <w:rsid w:val="0040312D"/>
    <w:rsid w:val="004039FB"/>
    <w:rsid w:val="00405821"/>
    <w:rsid w:val="00405F26"/>
    <w:rsid w:val="00406E5F"/>
    <w:rsid w:val="0040734B"/>
    <w:rsid w:val="00412258"/>
    <w:rsid w:val="0041244E"/>
    <w:rsid w:val="00414F6F"/>
    <w:rsid w:val="004155F7"/>
    <w:rsid w:val="00415665"/>
    <w:rsid w:val="004157D3"/>
    <w:rsid w:val="00416AE9"/>
    <w:rsid w:val="004171BB"/>
    <w:rsid w:val="00417E11"/>
    <w:rsid w:val="004203E1"/>
    <w:rsid w:val="00420653"/>
    <w:rsid w:val="00420D0D"/>
    <w:rsid w:val="00420D92"/>
    <w:rsid w:val="00422C73"/>
    <w:rsid w:val="00423228"/>
    <w:rsid w:val="00423652"/>
    <w:rsid w:val="004237FD"/>
    <w:rsid w:val="00423C78"/>
    <w:rsid w:val="00423D3E"/>
    <w:rsid w:val="004243D3"/>
    <w:rsid w:val="004254F8"/>
    <w:rsid w:val="00425784"/>
    <w:rsid w:val="00425B02"/>
    <w:rsid w:val="00425DCB"/>
    <w:rsid w:val="004263B9"/>
    <w:rsid w:val="00427AF8"/>
    <w:rsid w:val="00431639"/>
    <w:rsid w:val="00432612"/>
    <w:rsid w:val="004346B5"/>
    <w:rsid w:val="00435187"/>
    <w:rsid w:val="00436172"/>
    <w:rsid w:val="00436207"/>
    <w:rsid w:val="00436488"/>
    <w:rsid w:val="0043684E"/>
    <w:rsid w:val="00437A80"/>
    <w:rsid w:val="00437C41"/>
    <w:rsid w:val="00441878"/>
    <w:rsid w:val="00443244"/>
    <w:rsid w:val="00445211"/>
    <w:rsid w:val="004456B8"/>
    <w:rsid w:val="0044775C"/>
    <w:rsid w:val="00447AFC"/>
    <w:rsid w:val="00450888"/>
    <w:rsid w:val="00450AF0"/>
    <w:rsid w:val="004525EB"/>
    <w:rsid w:val="00452720"/>
    <w:rsid w:val="0045399C"/>
    <w:rsid w:val="00455456"/>
    <w:rsid w:val="004558EF"/>
    <w:rsid w:val="00455CC0"/>
    <w:rsid w:val="00456BC8"/>
    <w:rsid w:val="00457A50"/>
    <w:rsid w:val="00457DF2"/>
    <w:rsid w:val="004619F8"/>
    <w:rsid w:val="004637A9"/>
    <w:rsid w:val="004661E3"/>
    <w:rsid w:val="00467000"/>
    <w:rsid w:val="00470E2F"/>
    <w:rsid w:val="00471775"/>
    <w:rsid w:val="00473BBE"/>
    <w:rsid w:val="004748FE"/>
    <w:rsid w:val="00475F7D"/>
    <w:rsid w:val="0047605C"/>
    <w:rsid w:val="00476920"/>
    <w:rsid w:val="00480638"/>
    <w:rsid w:val="0048270E"/>
    <w:rsid w:val="00482A59"/>
    <w:rsid w:val="004838A9"/>
    <w:rsid w:val="00484B72"/>
    <w:rsid w:val="00485F3C"/>
    <w:rsid w:val="00486526"/>
    <w:rsid w:val="00487CC0"/>
    <w:rsid w:val="00487D94"/>
    <w:rsid w:val="004916CD"/>
    <w:rsid w:val="00493E7D"/>
    <w:rsid w:val="00493F40"/>
    <w:rsid w:val="00496C42"/>
    <w:rsid w:val="00497019"/>
    <w:rsid w:val="0049746A"/>
    <w:rsid w:val="00497D27"/>
    <w:rsid w:val="004A09B0"/>
    <w:rsid w:val="004A1244"/>
    <w:rsid w:val="004A25EA"/>
    <w:rsid w:val="004A342F"/>
    <w:rsid w:val="004A3F2C"/>
    <w:rsid w:val="004A6F1D"/>
    <w:rsid w:val="004B1654"/>
    <w:rsid w:val="004B18B3"/>
    <w:rsid w:val="004B2A02"/>
    <w:rsid w:val="004B38F0"/>
    <w:rsid w:val="004B4B5F"/>
    <w:rsid w:val="004B520F"/>
    <w:rsid w:val="004B6D6B"/>
    <w:rsid w:val="004B6EFF"/>
    <w:rsid w:val="004C004F"/>
    <w:rsid w:val="004C2F98"/>
    <w:rsid w:val="004C4919"/>
    <w:rsid w:val="004C522A"/>
    <w:rsid w:val="004C6C65"/>
    <w:rsid w:val="004D095D"/>
    <w:rsid w:val="004D125A"/>
    <w:rsid w:val="004D24FB"/>
    <w:rsid w:val="004D27FB"/>
    <w:rsid w:val="004D2CB3"/>
    <w:rsid w:val="004D2DBF"/>
    <w:rsid w:val="004D4652"/>
    <w:rsid w:val="004D5262"/>
    <w:rsid w:val="004D54F9"/>
    <w:rsid w:val="004D5876"/>
    <w:rsid w:val="004D64F5"/>
    <w:rsid w:val="004D6F40"/>
    <w:rsid w:val="004D6F6A"/>
    <w:rsid w:val="004E0025"/>
    <w:rsid w:val="004E0B61"/>
    <w:rsid w:val="004E2008"/>
    <w:rsid w:val="004E2610"/>
    <w:rsid w:val="004E2B53"/>
    <w:rsid w:val="004E324B"/>
    <w:rsid w:val="004E3DF6"/>
    <w:rsid w:val="004E4431"/>
    <w:rsid w:val="004E47D3"/>
    <w:rsid w:val="004E54DA"/>
    <w:rsid w:val="004E557B"/>
    <w:rsid w:val="004F020B"/>
    <w:rsid w:val="004F026E"/>
    <w:rsid w:val="004F0E51"/>
    <w:rsid w:val="004F10E2"/>
    <w:rsid w:val="004F1867"/>
    <w:rsid w:val="004F1E23"/>
    <w:rsid w:val="004F268E"/>
    <w:rsid w:val="004F27D7"/>
    <w:rsid w:val="004F3255"/>
    <w:rsid w:val="004F5EC4"/>
    <w:rsid w:val="004F63DC"/>
    <w:rsid w:val="004F6A6B"/>
    <w:rsid w:val="004F7594"/>
    <w:rsid w:val="004F7EDA"/>
    <w:rsid w:val="00500B19"/>
    <w:rsid w:val="005047ED"/>
    <w:rsid w:val="005050F1"/>
    <w:rsid w:val="005063DE"/>
    <w:rsid w:val="005066A4"/>
    <w:rsid w:val="00506931"/>
    <w:rsid w:val="00507B80"/>
    <w:rsid w:val="00510431"/>
    <w:rsid w:val="00510C1B"/>
    <w:rsid w:val="005111D7"/>
    <w:rsid w:val="00511600"/>
    <w:rsid w:val="00511890"/>
    <w:rsid w:val="00513F79"/>
    <w:rsid w:val="00514573"/>
    <w:rsid w:val="00516311"/>
    <w:rsid w:val="00516493"/>
    <w:rsid w:val="0051771A"/>
    <w:rsid w:val="005231F4"/>
    <w:rsid w:val="00523E22"/>
    <w:rsid w:val="005249C8"/>
    <w:rsid w:val="005251F6"/>
    <w:rsid w:val="0052699D"/>
    <w:rsid w:val="00526C0F"/>
    <w:rsid w:val="00526EE9"/>
    <w:rsid w:val="005301EF"/>
    <w:rsid w:val="00530942"/>
    <w:rsid w:val="00530E9E"/>
    <w:rsid w:val="0053193D"/>
    <w:rsid w:val="00531ACB"/>
    <w:rsid w:val="0053293C"/>
    <w:rsid w:val="00532DCD"/>
    <w:rsid w:val="00534321"/>
    <w:rsid w:val="00534AF7"/>
    <w:rsid w:val="00534EF6"/>
    <w:rsid w:val="00540E1C"/>
    <w:rsid w:val="00540F28"/>
    <w:rsid w:val="005413A4"/>
    <w:rsid w:val="005419BA"/>
    <w:rsid w:val="0054225F"/>
    <w:rsid w:val="00542964"/>
    <w:rsid w:val="00544B2F"/>
    <w:rsid w:val="00544B9B"/>
    <w:rsid w:val="005454CF"/>
    <w:rsid w:val="00546110"/>
    <w:rsid w:val="00546B11"/>
    <w:rsid w:val="0054764D"/>
    <w:rsid w:val="005476FA"/>
    <w:rsid w:val="00550ECA"/>
    <w:rsid w:val="00551910"/>
    <w:rsid w:val="005527C8"/>
    <w:rsid w:val="00553A06"/>
    <w:rsid w:val="00554DDC"/>
    <w:rsid w:val="00555DA3"/>
    <w:rsid w:val="00557A27"/>
    <w:rsid w:val="00561741"/>
    <w:rsid w:val="005627CA"/>
    <w:rsid w:val="005627D9"/>
    <w:rsid w:val="005628A4"/>
    <w:rsid w:val="00562B11"/>
    <w:rsid w:val="00563508"/>
    <w:rsid w:val="00563C7D"/>
    <w:rsid w:val="00563E31"/>
    <w:rsid w:val="0056666F"/>
    <w:rsid w:val="0056682F"/>
    <w:rsid w:val="0056723A"/>
    <w:rsid w:val="005675C4"/>
    <w:rsid w:val="005708C2"/>
    <w:rsid w:val="0057323E"/>
    <w:rsid w:val="00573247"/>
    <w:rsid w:val="005749E6"/>
    <w:rsid w:val="005764EB"/>
    <w:rsid w:val="00580180"/>
    <w:rsid w:val="005808F0"/>
    <w:rsid w:val="0058091A"/>
    <w:rsid w:val="00580E0D"/>
    <w:rsid w:val="005815BF"/>
    <w:rsid w:val="00581660"/>
    <w:rsid w:val="00581BB6"/>
    <w:rsid w:val="00581EC9"/>
    <w:rsid w:val="00582880"/>
    <w:rsid w:val="00583080"/>
    <w:rsid w:val="00583A3A"/>
    <w:rsid w:val="00584708"/>
    <w:rsid w:val="00587FE6"/>
    <w:rsid w:val="005906FC"/>
    <w:rsid w:val="005912B6"/>
    <w:rsid w:val="00591C05"/>
    <w:rsid w:val="005947CA"/>
    <w:rsid w:val="00594DAF"/>
    <w:rsid w:val="0059541E"/>
    <w:rsid w:val="00595933"/>
    <w:rsid w:val="0059674D"/>
    <w:rsid w:val="0059698E"/>
    <w:rsid w:val="00596A5E"/>
    <w:rsid w:val="005A058D"/>
    <w:rsid w:val="005A14FC"/>
    <w:rsid w:val="005A17AF"/>
    <w:rsid w:val="005A23A6"/>
    <w:rsid w:val="005A3FDB"/>
    <w:rsid w:val="005A533A"/>
    <w:rsid w:val="005A56BC"/>
    <w:rsid w:val="005A57F9"/>
    <w:rsid w:val="005A5F9C"/>
    <w:rsid w:val="005A74EF"/>
    <w:rsid w:val="005B0E5C"/>
    <w:rsid w:val="005B1EF8"/>
    <w:rsid w:val="005B28C8"/>
    <w:rsid w:val="005B306F"/>
    <w:rsid w:val="005B31D5"/>
    <w:rsid w:val="005B4007"/>
    <w:rsid w:val="005B6AA6"/>
    <w:rsid w:val="005B6E3D"/>
    <w:rsid w:val="005B75F9"/>
    <w:rsid w:val="005B7A58"/>
    <w:rsid w:val="005B7AF5"/>
    <w:rsid w:val="005C0FFD"/>
    <w:rsid w:val="005C2664"/>
    <w:rsid w:val="005C46F5"/>
    <w:rsid w:val="005C63B4"/>
    <w:rsid w:val="005C641C"/>
    <w:rsid w:val="005D13D5"/>
    <w:rsid w:val="005D160A"/>
    <w:rsid w:val="005D2BDE"/>
    <w:rsid w:val="005D2F0A"/>
    <w:rsid w:val="005D3A25"/>
    <w:rsid w:val="005D3C45"/>
    <w:rsid w:val="005D433E"/>
    <w:rsid w:val="005D6D24"/>
    <w:rsid w:val="005E0416"/>
    <w:rsid w:val="005E12EC"/>
    <w:rsid w:val="005E1467"/>
    <w:rsid w:val="005E1578"/>
    <w:rsid w:val="005E31DF"/>
    <w:rsid w:val="005E34E4"/>
    <w:rsid w:val="005E3754"/>
    <w:rsid w:val="005E3EA1"/>
    <w:rsid w:val="005E3F54"/>
    <w:rsid w:val="005E4996"/>
    <w:rsid w:val="005E6382"/>
    <w:rsid w:val="005E6ADF"/>
    <w:rsid w:val="005E6F48"/>
    <w:rsid w:val="005F0052"/>
    <w:rsid w:val="005F27B8"/>
    <w:rsid w:val="005F299A"/>
    <w:rsid w:val="005F2E2F"/>
    <w:rsid w:val="005F4769"/>
    <w:rsid w:val="005F4C04"/>
    <w:rsid w:val="005F55B0"/>
    <w:rsid w:val="005F71A1"/>
    <w:rsid w:val="0060014D"/>
    <w:rsid w:val="0060242C"/>
    <w:rsid w:val="006101ED"/>
    <w:rsid w:val="00610357"/>
    <w:rsid w:val="006135B4"/>
    <w:rsid w:val="006136BC"/>
    <w:rsid w:val="006138C2"/>
    <w:rsid w:val="006142AD"/>
    <w:rsid w:val="006158B0"/>
    <w:rsid w:val="00616A0E"/>
    <w:rsid w:val="00617FB3"/>
    <w:rsid w:val="006238FF"/>
    <w:rsid w:val="0062419A"/>
    <w:rsid w:val="00625954"/>
    <w:rsid w:val="00626601"/>
    <w:rsid w:val="006302AD"/>
    <w:rsid w:val="006319FB"/>
    <w:rsid w:val="00631A66"/>
    <w:rsid w:val="00633243"/>
    <w:rsid w:val="00633888"/>
    <w:rsid w:val="006339C2"/>
    <w:rsid w:val="00633B62"/>
    <w:rsid w:val="00633C54"/>
    <w:rsid w:val="00633CAE"/>
    <w:rsid w:val="006345D5"/>
    <w:rsid w:val="00635A84"/>
    <w:rsid w:val="00636503"/>
    <w:rsid w:val="00636EA2"/>
    <w:rsid w:val="006446AC"/>
    <w:rsid w:val="00646681"/>
    <w:rsid w:val="006474A5"/>
    <w:rsid w:val="006500E4"/>
    <w:rsid w:val="006500FE"/>
    <w:rsid w:val="00650B09"/>
    <w:rsid w:val="00650B32"/>
    <w:rsid w:val="00650F1E"/>
    <w:rsid w:val="00651217"/>
    <w:rsid w:val="00651F2D"/>
    <w:rsid w:val="00652542"/>
    <w:rsid w:val="0065354F"/>
    <w:rsid w:val="006536B8"/>
    <w:rsid w:val="006545AF"/>
    <w:rsid w:val="00654B4F"/>
    <w:rsid w:val="00654F8B"/>
    <w:rsid w:val="0065503C"/>
    <w:rsid w:val="006624D4"/>
    <w:rsid w:val="00662AA6"/>
    <w:rsid w:val="00663151"/>
    <w:rsid w:val="00663899"/>
    <w:rsid w:val="00664FDB"/>
    <w:rsid w:val="0066509A"/>
    <w:rsid w:val="00665BA6"/>
    <w:rsid w:val="00671129"/>
    <w:rsid w:val="0067205B"/>
    <w:rsid w:val="006736B8"/>
    <w:rsid w:val="006738C2"/>
    <w:rsid w:val="00673E79"/>
    <w:rsid w:val="00674AAE"/>
    <w:rsid w:val="00674DC3"/>
    <w:rsid w:val="006752DC"/>
    <w:rsid w:val="0067545D"/>
    <w:rsid w:val="0067616F"/>
    <w:rsid w:val="00676794"/>
    <w:rsid w:val="00676814"/>
    <w:rsid w:val="00677084"/>
    <w:rsid w:val="0067765A"/>
    <w:rsid w:val="00677F16"/>
    <w:rsid w:val="006804EC"/>
    <w:rsid w:val="00680A94"/>
    <w:rsid w:val="00681038"/>
    <w:rsid w:val="006823B2"/>
    <w:rsid w:val="00682401"/>
    <w:rsid w:val="00682E79"/>
    <w:rsid w:val="006838D5"/>
    <w:rsid w:val="00684A0A"/>
    <w:rsid w:val="00686102"/>
    <w:rsid w:val="006910C9"/>
    <w:rsid w:val="006912A1"/>
    <w:rsid w:val="00694BF3"/>
    <w:rsid w:val="00695678"/>
    <w:rsid w:val="00697790"/>
    <w:rsid w:val="00697D80"/>
    <w:rsid w:val="006A0564"/>
    <w:rsid w:val="006A0A8A"/>
    <w:rsid w:val="006A3051"/>
    <w:rsid w:val="006A3149"/>
    <w:rsid w:val="006A35D3"/>
    <w:rsid w:val="006A3C7D"/>
    <w:rsid w:val="006A488C"/>
    <w:rsid w:val="006A4CEA"/>
    <w:rsid w:val="006A574C"/>
    <w:rsid w:val="006A5EAD"/>
    <w:rsid w:val="006A5ECD"/>
    <w:rsid w:val="006A7B65"/>
    <w:rsid w:val="006B0B9C"/>
    <w:rsid w:val="006B0C01"/>
    <w:rsid w:val="006B0D98"/>
    <w:rsid w:val="006B1098"/>
    <w:rsid w:val="006B22B3"/>
    <w:rsid w:val="006B2597"/>
    <w:rsid w:val="006B2A09"/>
    <w:rsid w:val="006B2CCD"/>
    <w:rsid w:val="006B417D"/>
    <w:rsid w:val="006B6132"/>
    <w:rsid w:val="006B636F"/>
    <w:rsid w:val="006C0025"/>
    <w:rsid w:val="006C019A"/>
    <w:rsid w:val="006C09E9"/>
    <w:rsid w:val="006C33F5"/>
    <w:rsid w:val="006C598F"/>
    <w:rsid w:val="006C59E9"/>
    <w:rsid w:val="006C7BEA"/>
    <w:rsid w:val="006C7DB7"/>
    <w:rsid w:val="006D0256"/>
    <w:rsid w:val="006D09F1"/>
    <w:rsid w:val="006D1208"/>
    <w:rsid w:val="006D14B9"/>
    <w:rsid w:val="006D2026"/>
    <w:rsid w:val="006D27E4"/>
    <w:rsid w:val="006D2BB7"/>
    <w:rsid w:val="006D3578"/>
    <w:rsid w:val="006D5959"/>
    <w:rsid w:val="006D5EF7"/>
    <w:rsid w:val="006D6F85"/>
    <w:rsid w:val="006D7A15"/>
    <w:rsid w:val="006E0AE7"/>
    <w:rsid w:val="006E230A"/>
    <w:rsid w:val="006E2537"/>
    <w:rsid w:val="006E2543"/>
    <w:rsid w:val="006E2E66"/>
    <w:rsid w:val="006E4710"/>
    <w:rsid w:val="006E5466"/>
    <w:rsid w:val="006E6145"/>
    <w:rsid w:val="006E7911"/>
    <w:rsid w:val="006F0DC9"/>
    <w:rsid w:val="006F1CA1"/>
    <w:rsid w:val="006F23DE"/>
    <w:rsid w:val="006F2AFC"/>
    <w:rsid w:val="006F355E"/>
    <w:rsid w:val="006F3721"/>
    <w:rsid w:val="006F3743"/>
    <w:rsid w:val="006F6491"/>
    <w:rsid w:val="006F7081"/>
    <w:rsid w:val="006F7221"/>
    <w:rsid w:val="007030F0"/>
    <w:rsid w:val="0070416D"/>
    <w:rsid w:val="007042AB"/>
    <w:rsid w:val="007050FC"/>
    <w:rsid w:val="0070608F"/>
    <w:rsid w:val="0071138E"/>
    <w:rsid w:val="00711AED"/>
    <w:rsid w:val="00711D01"/>
    <w:rsid w:val="00713007"/>
    <w:rsid w:val="007131DC"/>
    <w:rsid w:val="007150AB"/>
    <w:rsid w:val="007164CB"/>
    <w:rsid w:val="00716EE1"/>
    <w:rsid w:val="00717384"/>
    <w:rsid w:val="00720265"/>
    <w:rsid w:val="00720E70"/>
    <w:rsid w:val="007253C7"/>
    <w:rsid w:val="00725AFA"/>
    <w:rsid w:val="00725FBA"/>
    <w:rsid w:val="007266A8"/>
    <w:rsid w:val="00727190"/>
    <w:rsid w:val="00727E7B"/>
    <w:rsid w:val="00730A50"/>
    <w:rsid w:val="00733290"/>
    <w:rsid w:val="00733A5B"/>
    <w:rsid w:val="00734B42"/>
    <w:rsid w:val="007360FE"/>
    <w:rsid w:val="007363CF"/>
    <w:rsid w:val="00736553"/>
    <w:rsid w:val="0073671C"/>
    <w:rsid w:val="0074190E"/>
    <w:rsid w:val="00741E99"/>
    <w:rsid w:val="00741FAE"/>
    <w:rsid w:val="00742802"/>
    <w:rsid w:val="00742D14"/>
    <w:rsid w:val="007444B2"/>
    <w:rsid w:val="007446E4"/>
    <w:rsid w:val="00745AF2"/>
    <w:rsid w:val="00745E3C"/>
    <w:rsid w:val="0074610C"/>
    <w:rsid w:val="00746813"/>
    <w:rsid w:val="00746E45"/>
    <w:rsid w:val="0074728B"/>
    <w:rsid w:val="00750394"/>
    <w:rsid w:val="0075157D"/>
    <w:rsid w:val="00751713"/>
    <w:rsid w:val="00751DE0"/>
    <w:rsid w:val="007527DD"/>
    <w:rsid w:val="00753384"/>
    <w:rsid w:val="00757350"/>
    <w:rsid w:val="0076012A"/>
    <w:rsid w:val="00762139"/>
    <w:rsid w:val="00762DB5"/>
    <w:rsid w:val="007634C9"/>
    <w:rsid w:val="00763C06"/>
    <w:rsid w:val="0076448F"/>
    <w:rsid w:val="00764834"/>
    <w:rsid w:val="00764F46"/>
    <w:rsid w:val="00765918"/>
    <w:rsid w:val="00766D20"/>
    <w:rsid w:val="00770AEF"/>
    <w:rsid w:val="007726F6"/>
    <w:rsid w:val="007734C0"/>
    <w:rsid w:val="0077423E"/>
    <w:rsid w:val="007744A0"/>
    <w:rsid w:val="007748C7"/>
    <w:rsid w:val="0077639A"/>
    <w:rsid w:val="007763E5"/>
    <w:rsid w:val="0078382A"/>
    <w:rsid w:val="0078404C"/>
    <w:rsid w:val="00785520"/>
    <w:rsid w:val="00785B07"/>
    <w:rsid w:val="00785D64"/>
    <w:rsid w:val="007865E7"/>
    <w:rsid w:val="00786D49"/>
    <w:rsid w:val="00790686"/>
    <w:rsid w:val="00793856"/>
    <w:rsid w:val="00793D1F"/>
    <w:rsid w:val="00794D1E"/>
    <w:rsid w:val="00794D3B"/>
    <w:rsid w:val="00794E1F"/>
    <w:rsid w:val="00795679"/>
    <w:rsid w:val="00796A37"/>
    <w:rsid w:val="007974FA"/>
    <w:rsid w:val="00797B90"/>
    <w:rsid w:val="00797DEA"/>
    <w:rsid w:val="007A18B5"/>
    <w:rsid w:val="007A3715"/>
    <w:rsid w:val="007A687D"/>
    <w:rsid w:val="007B0CF8"/>
    <w:rsid w:val="007B0F04"/>
    <w:rsid w:val="007B1798"/>
    <w:rsid w:val="007B22BA"/>
    <w:rsid w:val="007B2343"/>
    <w:rsid w:val="007B4639"/>
    <w:rsid w:val="007B4B09"/>
    <w:rsid w:val="007B4E84"/>
    <w:rsid w:val="007B71B7"/>
    <w:rsid w:val="007C04B1"/>
    <w:rsid w:val="007C091D"/>
    <w:rsid w:val="007C0F1D"/>
    <w:rsid w:val="007C222A"/>
    <w:rsid w:val="007C37DC"/>
    <w:rsid w:val="007C3DF6"/>
    <w:rsid w:val="007C61E0"/>
    <w:rsid w:val="007C6CFB"/>
    <w:rsid w:val="007C6F15"/>
    <w:rsid w:val="007D05AE"/>
    <w:rsid w:val="007D0C97"/>
    <w:rsid w:val="007D0E0C"/>
    <w:rsid w:val="007D14D7"/>
    <w:rsid w:val="007D26E8"/>
    <w:rsid w:val="007D4FFC"/>
    <w:rsid w:val="007D593E"/>
    <w:rsid w:val="007D5EDE"/>
    <w:rsid w:val="007D6124"/>
    <w:rsid w:val="007D73C2"/>
    <w:rsid w:val="007E1F7A"/>
    <w:rsid w:val="007E20CB"/>
    <w:rsid w:val="007E2BF3"/>
    <w:rsid w:val="007E3493"/>
    <w:rsid w:val="007E3656"/>
    <w:rsid w:val="007E41C5"/>
    <w:rsid w:val="007E4258"/>
    <w:rsid w:val="007E42F9"/>
    <w:rsid w:val="007E602B"/>
    <w:rsid w:val="007E7282"/>
    <w:rsid w:val="007E7D37"/>
    <w:rsid w:val="007F1B8E"/>
    <w:rsid w:val="007F263F"/>
    <w:rsid w:val="007F342E"/>
    <w:rsid w:val="007F5BA8"/>
    <w:rsid w:val="007F61AA"/>
    <w:rsid w:val="007F68A1"/>
    <w:rsid w:val="007F690D"/>
    <w:rsid w:val="007F7629"/>
    <w:rsid w:val="008000A0"/>
    <w:rsid w:val="008014FF"/>
    <w:rsid w:val="00802CD8"/>
    <w:rsid w:val="00804295"/>
    <w:rsid w:val="008049F0"/>
    <w:rsid w:val="00805455"/>
    <w:rsid w:val="00807684"/>
    <w:rsid w:val="0080782F"/>
    <w:rsid w:val="008102A8"/>
    <w:rsid w:val="008115B4"/>
    <w:rsid w:val="00812125"/>
    <w:rsid w:val="0081283F"/>
    <w:rsid w:val="00812A6B"/>
    <w:rsid w:val="008133A1"/>
    <w:rsid w:val="00813A03"/>
    <w:rsid w:val="00816866"/>
    <w:rsid w:val="00820183"/>
    <w:rsid w:val="008203B8"/>
    <w:rsid w:val="0082085C"/>
    <w:rsid w:val="00820F0C"/>
    <w:rsid w:val="0082115D"/>
    <w:rsid w:val="00824AE9"/>
    <w:rsid w:val="008258A8"/>
    <w:rsid w:val="00827238"/>
    <w:rsid w:val="00827ED9"/>
    <w:rsid w:val="008304A1"/>
    <w:rsid w:val="00830BCC"/>
    <w:rsid w:val="00832280"/>
    <w:rsid w:val="00832A58"/>
    <w:rsid w:val="00833863"/>
    <w:rsid w:val="00833B70"/>
    <w:rsid w:val="0083438F"/>
    <w:rsid w:val="008344CB"/>
    <w:rsid w:val="00834653"/>
    <w:rsid w:val="00836137"/>
    <w:rsid w:val="00836AB4"/>
    <w:rsid w:val="0083753D"/>
    <w:rsid w:val="008403B6"/>
    <w:rsid w:val="00842C86"/>
    <w:rsid w:val="0084317E"/>
    <w:rsid w:val="00843326"/>
    <w:rsid w:val="00843870"/>
    <w:rsid w:val="0084494A"/>
    <w:rsid w:val="00845C68"/>
    <w:rsid w:val="008470DE"/>
    <w:rsid w:val="008471B2"/>
    <w:rsid w:val="0085151E"/>
    <w:rsid w:val="00853099"/>
    <w:rsid w:val="00853774"/>
    <w:rsid w:val="008537C5"/>
    <w:rsid w:val="00853B72"/>
    <w:rsid w:val="00853CD2"/>
    <w:rsid w:val="0085446D"/>
    <w:rsid w:val="00854B2F"/>
    <w:rsid w:val="00854FF0"/>
    <w:rsid w:val="008550A2"/>
    <w:rsid w:val="00855596"/>
    <w:rsid w:val="0085631D"/>
    <w:rsid w:val="00861B65"/>
    <w:rsid w:val="00861DA3"/>
    <w:rsid w:val="00863563"/>
    <w:rsid w:val="008649B1"/>
    <w:rsid w:val="00864BD2"/>
    <w:rsid w:val="00864E08"/>
    <w:rsid w:val="008669F3"/>
    <w:rsid w:val="00866AA2"/>
    <w:rsid w:val="00867B3B"/>
    <w:rsid w:val="008726EA"/>
    <w:rsid w:val="0087432E"/>
    <w:rsid w:val="00875F2C"/>
    <w:rsid w:val="0087602C"/>
    <w:rsid w:val="00880D2B"/>
    <w:rsid w:val="0088184F"/>
    <w:rsid w:val="00881BD9"/>
    <w:rsid w:val="00881E7F"/>
    <w:rsid w:val="00884A6B"/>
    <w:rsid w:val="00885490"/>
    <w:rsid w:val="00885EFE"/>
    <w:rsid w:val="0088685C"/>
    <w:rsid w:val="00886DBD"/>
    <w:rsid w:val="00887025"/>
    <w:rsid w:val="00887CB4"/>
    <w:rsid w:val="00890AE5"/>
    <w:rsid w:val="00890C7B"/>
    <w:rsid w:val="0089126E"/>
    <w:rsid w:val="00892B20"/>
    <w:rsid w:val="008943A4"/>
    <w:rsid w:val="00894401"/>
    <w:rsid w:val="00894F4F"/>
    <w:rsid w:val="00896122"/>
    <w:rsid w:val="00896F9D"/>
    <w:rsid w:val="008A0074"/>
    <w:rsid w:val="008A0C70"/>
    <w:rsid w:val="008A20C7"/>
    <w:rsid w:val="008A230D"/>
    <w:rsid w:val="008A24B0"/>
    <w:rsid w:val="008A28C0"/>
    <w:rsid w:val="008A2B1C"/>
    <w:rsid w:val="008A2DCB"/>
    <w:rsid w:val="008A38E3"/>
    <w:rsid w:val="008A3B93"/>
    <w:rsid w:val="008A41D4"/>
    <w:rsid w:val="008A4672"/>
    <w:rsid w:val="008A5104"/>
    <w:rsid w:val="008A544F"/>
    <w:rsid w:val="008A5FFF"/>
    <w:rsid w:val="008A60FB"/>
    <w:rsid w:val="008A7089"/>
    <w:rsid w:val="008A7568"/>
    <w:rsid w:val="008A7621"/>
    <w:rsid w:val="008A7B4A"/>
    <w:rsid w:val="008B01F4"/>
    <w:rsid w:val="008B048C"/>
    <w:rsid w:val="008B1160"/>
    <w:rsid w:val="008B1849"/>
    <w:rsid w:val="008B2508"/>
    <w:rsid w:val="008B3A18"/>
    <w:rsid w:val="008B5A34"/>
    <w:rsid w:val="008B61BC"/>
    <w:rsid w:val="008B649D"/>
    <w:rsid w:val="008C012B"/>
    <w:rsid w:val="008C024A"/>
    <w:rsid w:val="008C0752"/>
    <w:rsid w:val="008C12CF"/>
    <w:rsid w:val="008C1635"/>
    <w:rsid w:val="008C35FD"/>
    <w:rsid w:val="008C4AD4"/>
    <w:rsid w:val="008D0576"/>
    <w:rsid w:val="008D1155"/>
    <w:rsid w:val="008D2633"/>
    <w:rsid w:val="008D396F"/>
    <w:rsid w:val="008D4298"/>
    <w:rsid w:val="008D45CF"/>
    <w:rsid w:val="008D47E8"/>
    <w:rsid w:val="008D4C20"/>
    <w:rsid w:val="008D5146"/>
    <w:rsid w:val="008D7702"/>
    <w:rsid w:val="008E2884"/>
    <w:rsid w:val="008E291D"/>
    <w:rsid w:val="008E548D"/>
    <w:rsid w:val="008E672F"/>
    <w:rsid w:val="008E71CC"/>
    <w:rsid w:val="008F1CD3"/>
    <w:rsid w:val="008F2C94"/>
    <w:rsid w:val="008F4B77"/>
    <w:rsid w:val="008F4BE1"/>
    <w:rsid w:val="008F5668"/>
    <w:rsid w:val="008F691A"/>
    <w:rsid w:val="008F7039"/>
    <w:rsid w:val="008F7443"/>
    <w:rsid w:val="008F78ED"/>
    <w:rsid w:val="0090040F"/>
    <w:rsid w:val="00900828"/>
    <w:rsid w:val="00901906"/>
    <w:rsid w:val="009049B9"/>
    <w:rsid w:val="009055FA"/>
    <w:rsid w:val="009059FC"/>
    <w:rsid w:val="009069B1"/>
    <w:rsid w:val="0090771E"/>
    <w:rsid w:val="0091117C"/>
    <w:rsid w:val="009126AF"/>
    <w:rsid w:val="00912990"/>
    <w:rsid w:val="00912ABF"/>
    <w:rsid w:val="0091408E"/>
    <w:rsid w:val="009173DF"/>
    <w:rsid w:val="00920287"/>
    <w:rsid w:val="00922008"/>
    <w:rsid w:val="00923FD1"/>
    <w:rsid w:val="009240BE"/>
    <w:rsid w:val="00925419"/>
    <w:rsid w:val="00925773"/>
    <w:rsid w:val="0092601B"/>
    <w:rsid w:val="00930740"/>
    <w:rsid w:val="00930D5B"/>
    <w:rsid w:val="00930F73"/>
    <w:rsid w:val="00931153"/>
    <w:rsid w:val="009315A5"/>
    <w:rsid w:val="009324EF"/>
    <w:rsid w:val="00932586"/>
    <w:rsid w:val="00932F45"/>
    <w:rsid w:val="00934CA8"/>
    <w:rsid w:val="00934F41"/>
    <w:rsid w:val="0093556A"/>
    <w:rsid w:val="009372B4"/>
    <w:rsid w:val="00937423"/>
    <w:rsid w:val="009377DB"/>
    <w:rsid w:val="00943558"/>
    <w:rsid w:val="00944803"/>
    <w:rsid w:val="00944D85"/>
    <w:rsid w:val="00945C5C"/>
    <w:rsid w:val="00952F3C"/>
    <w:rsid w:val="009551A0"/>
    <w:rsid w:val="009564D8"/>
    <w:rsid w:val="00956579"/>
    <w:rsid w:val="0096009B"/>
    <w:rsid w:val="009604FB"/>
    <w:rsid w:val="00960C8B"/>
    <w:rsid w:val="0096160D"/>
    <w:rsid w:val="0096331C"/>
    <w:rsid w:val="00964DE3"/>
    <w:rsid w:val="009659D9"/>
    <w:rsid w:val="009662DF"/>
    <w:rsid w:val="00970379"/>
    <w:rsid w:val="009703EC"/>
    <w:rsid w:val="009706D8"/>
    <w:rsid w:val="00975DFC"/>
    <w:rsid w:val="009763A0"/>
    <w:rsid w:val="00976737"/>
    <w:rsid w:val="009809A0"/>
    <w:rsid w:val="00980B2E"/>
    <w:rsid w:val="00980DD8"/>
    <w:rsid w:val="00982016"/>
    <w:rsid w:val="00983000"/>
    <w:rsid w:val="009842D0"/>
    <w:rsid w:val="00985F72"/>
    <w:rsid w:val="00986642"/>
    <w:rsid w:val="00986B03"/>
    <w:rsid w:val="00986FA6"/>
    <w:rsid w:val="0098767E"/>
    <w:rsid w:val="00987A12"/>
    <w:rsid w:val="009918BC"/>
    <w:rsid w:val="00991F14"/>
    <w:rsid w:val="009923C4"/>
    <w:rsid w:val="0099240D"/>
    <w:rsid w:val="0099253B"/>
    <w:rsid w:val="009925DF"/>
    <w:rsid w:val="00993334"/>
    <w:rsid w:val="009942CB"/>
    <w:rsid w:val="009943E9"/>
    <w:rsid w:val="00994F8E"/>
    <w:rsid w:val="00995101"/>
    <w:rsid w:val="009952F2"/>
    <w:rsid w:val="009953FD"/>
    <w:rsid w:val="009969FF"/>
    <w:rsid w:val="00997296"/>
    <w:rsid w:val="009A0821"/>
    <w:rsid w:val="009A4395"/>
    <w:rsid w:val="009A6915"/>
    <w:rsid w:val="009A7449"/>
    <w:rsid w:val="009B0E3D"/>
    <w:rsid w:val="009B1D29"/>
    <w:rsid w:val="009B2420"/>
    <w:rsid w:val="009B2A43"/>
    <w:rsid w:val="009B2E30"/>
    <w:rsid w:val="009B31E8"/>
    <w:rsid w:val="009B380D"/>
    <w:rsid w:val="009B3B2C"/>
    <w:rsid w:val="009B47D6"/>
    <w:rsid w:val="009B4C0B"/>
    <w:rsid w:val="009B5123"/>
    <w:rsid w:val="009B6882"/>
    <w:rsid w:val="009B6CC4"/>
    <w:rsid w:val="009B6F10"/>
    <w:rsid w:val="009B7777"/>
    <w:rsid w:val="009B7D9A"/>
    <w:rsid w:val="009C166E"/>
    <w:rsid w:val="009C2420"/>
    <w:rsid w:val="009C25AB"/>
    <w:rsid w:val="009C3B7C"/>
    <w:rsid w:val="009C3C05"/>
    <w:rsid w:val="009C3D70"/>
    <w:rsid w:val="009C3EFB"/>
    <w:rsid w:val="009C42B7"/>
    <w:rsid w:val="009C43F0"/>
    <w:rsid w:val="009C4475"/>
    <w:rsid w:val="009C5680"/>
    <w:rsid w:val="009C5FFA"/>
    <w:rsid w:val="009C6D62"/>
    <w:rsid w:val="009C78F4"/>
    <w:rsid w:val="009C798D"/>
    <w:rsid w:val="009D05F6"/>
    <w:rsid w:val="009D1B95"/>
    <w:rsid w:val="009D233C"/>
    <w:rsid w:val="009D3CCA"/>
    <w:rsid w:val="009D6547"/>
    <w:rsid w:val="009D695E"/>
    <w:rsid w:val="009D6A25"/>
    <w:rsid w:val="009D7388"/>
    <w:rsid w:val="009D77CF"/>
    <w:rsid w:val="009D7F91"/>
    <w:rsid w:val="009E0368"/>
    <w:rsid w:val="009E352A"/>
    <w:rsid w:val="009E35BA"/>
    <w:rsid w:val="009E3FBC"/>
    <w:rsid w:val="009E44C5"/>
    <w:rsid w:val="009E4522"/>
    <w:rsid w:val="009E55AB"/>
    <w:rsid w:val="009E626B"/>
    <w:rsid w:val="009E7137"/>
    <w:rsid w:val="009E7753"/>
    <w:rsid w:val="009F0C3E"/>
    <w:rsid w:val="009F133A"/>
    <w:rsid w:val="009F1F69"/>
    <w:rsid w:val="009F2414"/>
    <w:rsid w:val="009F37B2"/>
    <w:rsid w:val="009F4AD5"/>
    <w:rsid w:val="009F594A"/>
    <w:rsid w:val="009F6A29"/>
    <w:rsid w:val="009F73B4"/>
    <w:rsid w:val="00A00274"/>
    <w:rsid w:val="00A008F9"/>
    <w:rsid w:val="00A009A3"/>
    <w:rsid w:val="00A0199E"/>
    <w:rsid w:val="00A021EB"/>
    <w:rsid w:val="00A02FC0"/>
    <w:rsid w:val="00A03C72"/>
    <w:rsid w:val="00A05C52"/>
    <w:rsid w:val="00A05F64"/>
    <w:rsid w:val="00A06357"/>
    <w:rsid w:val="00A06924"/>
    <w:rsid w:val="00A06E93"/>
    <w:rsid w:val="00A0757A"/>
    <w:rsid w:val="00A10ACB"/>
    <w:rsid w:val="00A110C7"/>
    <w:rsid w:val="00A12BA1"/>
    <w:rsid w:val="00A12BB5"/>
    <w:rsid w:val="00A138FC"/>
    <w:rsid w:val="00A13B69"/>
    <w:rsid w:val="00A160B6"/>
    <w:rsid w:val="00A17801"/>
    <w:rsid w:val="00A17806"/>
    <w:rsid w:val="00A17A55"/>
    <w:rsid w:val="00A200EE"/>
    <w:rsid w:val="00A20891"/>
    <w:rsid w:val="00A20993"/>
    <w:rsid w:val="00A215CF"/>
    <w:rsid w:val="00A21B82"/>
    <w:rsid w:val="00A22511"/>
    <w:rsid w:val="00A227A9"/>
    <w:rsid w:val="00A227C7"/>
    <w:rsid w:val="00A239B8"/>
    <w:rsid w:val="00A23ADB"/>
    <w:rsid w:val="00A249C2"/>
    <w:rsid w:val="00A2514C"/>
    <w:rsid w:val="00A25659"/>
    <w:rsid w:val="00A264FA"/>
    <w:rsid w:val="00A26B2B"/>
    <w:rsid w:val="00A315E5"/>
    <w:rsid w:val="00A31800"/>
    <w:rsid w:val="00A31FDC"/>
    <w:rsid w:val="00A3483D"/>
    <w:rsid w:val="00A34DA7"/>
    <w:rsid w:val="00A353C8"/>
    <w:rsid w:val="00A35D15"/>
    <w:rsid w:val="00A36679"/>
    <w:rsid w:val="00A40475"/>
    <w:rsid w:val="00A41640"/>
    <w:rsid w:val="00A43128"/>
    <w:rsid w:val="00A4416D"/>
    <w:rsid w:val="00A44288"/>
    <w:rsid w:val="00A44340"/>
    <w:rsid w:val="00A44B19"/>
    <w:rsid w:val="00A52893"/>
    <w:rsid w:val="00A5530E"/>
    <w:rsid w:val="00A55CA2"/>
    <w:rsid w:val="00A5607A"/>
    <w:rsid w:val="00A560C4"/>
    <w:rsid w:val="00A564C9"/>
    <w:rsid w:val="00A56C47"/>
    <w:rsid w:val="00A577CD"/>
    <w:rsid w:val="00A57D12"/>
    <w:rsid w:val="00A57F2C"/>
    <w:rsid w:val="00A601D5"/>
    <w:rsid w:val="00A62FA6"/>
    <w:rsid w:val="00A638FD"/>
    <w:rsid w:val="00A645CB"/>
    <w:rsid w:val="00A649BA"/>
    <w:rsid w:val="00A700E4"/>
    <w:rsid w:val="00A70474"/>
    <w:rsid w:val="00A70D60"/>
    <w:rsid w:val="00A71EFE"/>
    <w:rsid w:val="00A730D3"/>
    <w:rsid w:val="00A7426A"/>
    <w:rsid w:val="00A74719"/>
    <w:rsid w:val="00A753B1"/>
    <w:rsid w:val="00A753EA"/>
    <w:rsid w:val="00A75413"/>
    <w:rsid w:val="00A75873"/>
    <w:rsid w:val="00A771EA"/>
    <w:rsid w:val="00A77E00"/>
    <w:rsid w:val="00A80467"/>
    <w:rsid w:val="00A807F8"/>
    <w:rsid w:val="00A81A8C"/>
    <w:rsid w:val="00A81FF5"/>
    <w:rsid w:val="00A81FF7"/>
    <w:rsid w:val="00A82707"/>
    <w:rsid w:val="00A82C1E"/>
    <w:rsid w:val="00A837E8"/>
    <w:rsid w:val="00A83979"/>
    <w:rsid w:val="00A857CF"/>
    <w:rsid w:val="00A85C62"/>
    <w:rsid w:val="00A866AE"/>
    <w:rsid w:val="00A8680A"/>
    <w:rsid w:val="00A873B1"/>
    <w:rsid w:val="00A8766A"/>
    <w:rsid w:val="00A87A45"/>
    <w:rsid w:val="00A9039A"/>
    <w:rsid w:val="00A9078B"/>
    <w:rsid w:val="00A91A11"/>
    <w:rsid w:val="00A9229D"/>
    <w:rsid w:val="00A946FA"/>
    <w:rsid w:val="00A95B6A"/>
    <w:rsid w:val="00A96015"/>
    <w:rsid w:val="00A96710"/>
    <w:rsid w:val="00A9784B"/>
    <w:rsid w:val="00AA3694"/>
    <w:rsid w:val="00AA5370"/>
    <w:rsid w:val="00AA57D8"/>
    <w:rsid w:val="00AA5CC9"/>
    <w:rsid w:val="00AA6F22"/>
    <w:rsid w:val="00AA722A"/>
    <w:rsid w:val="00AA76C5"/>
    <w:rsid w:val="00AB0AA2"/>
    <w:rsid w:val="00AB13F2"/>
    <w:rsid w:val="00AB20C7"/>
    <w:rsid w:val="00AB22C2"/>
    <w:rsid w:val="00AB2815"/>
    <w:rsid w:val="00AB38FD"/>
    <w:rsid w:val="00AB3F6B"/>
    <w:rsid w:val="00AB4A18"/>
    <w:rsid w:val="00AB4FF5"/>
    <w:rsid w:val="00AB563D"/>
    <w:rsid w:val="00AC09C4"/>
    <w:rsid w:val="00AC0A54"/>
    <w:rsid w:val="00AC0DB3"/>
    <w:rsid w:val="00AC2BF4"/>
    <w:rsid w:val="00AC31FC"/>
    <w:rsid w:val="00AC3C93"/>
    <w:rsid w:val="00AC4592"/>
    <w:rsid w:val="00AC4F5F"/>
    <w:rsid w:val="00AC5ED2"/>
    <w:rsid w:val="00AC69C6"/>
    <w:rsid w:val="00AC750F"/>
    <w:rsid w:val="00AD01ED"/>
    <w:rsid w:val="00AD06B2"/>
    <w:rsid w:val="00AD0EAB"/>
    <w:rsid w:val="00AD1286"/>
    <w:rsid w:val="00AD1401"/>
    <w:rsid w:val="00AD166E"/>
    <w:rsid w:val="00AD3185"/>
    <w:rsid w:val="00AD5D51"/>
    <w:rsid w:val="00AD6BBC"/>
    <w:rsid w:val="00AE0C02"/>
    <w:rsid w:val="00AE1BF7"/>
    <w:rsid w:val="00AE1C01"/>
    <w:rsid w:val="00AE2A31"/>
    <w:rsid w:val="00AE6344"/>
    <w:rsid w:val="00AE639D"/>
    <w:rsid w:val="00AF18D3"/>
    <w:rsid w:val="00AF1BBD"/>
    <w:rsid w:val="00AF2D9E"/>
    <w:rsid w:val="00AF45AB"/>
    <w:rsid w:val="00AF6533"/>
    <w:rsid w:val="00AF653B"/>
    <w:rsid w:val="00B007A6"/>
    <w:rsid w:val="00B02A50"/>
    <w:rsid w:val="00B03A68"/>
    <w:rsid w:val="00B06717"/>
    <w:rsid w:val="00B06C6F"/>
    <w:rsid w:val="00B071E9"/>
    <w:rsid w:val="00B07D50"/>
    <w:rsid w:val="00B11277"/>
    <w:rsid w:val="00B11ABA"/>
    <w:rsid w:val="00B1253C"/>
    <w:rsid w:val="00B12CBE"/>
    <w:rsid w:val="00B13BF3"/>
    <w:rsid w:val="00B141F2"/>
    <w:rsid w:val="00B143FD"/>
    <w:rsid w:val="00B148C1"/>
    <w:rsid w:val="00B17E4C"/>
    <w:rsid w:val="00B206AB"/>
    <w:rsid w:val="00B215EC"/>
    <w:rsid w:val="00B219DB"/>
    <w:rsid w:val="00B219EF"/>
    <w:rsid w:val="00B21F43"/>
    <w:rsid w:val="00B23C21"/>
    <w:rsid w:val="00B2446C"/>
    <w:rsid w:val="00B246D3"/>
    <w:rsid w:val="00B25838"/>
    <w:rsid w:val="00B275A4"/>
    <w:rsid w:val="00B276A3"/>
    <w:rsid w:val="00B30956"/>
    <w:rsid w:val="00B31DBD"/>
    <w:rsid w:val="00B320F9"/>
    <w:rsid w:val="00B325B4"/>
    <w:rsid w:val="00B35262"/>
    <w:rsid w:val="00B362A6"/>
    <w:rsid w:val="00B36B58"/>
    <w:rsid w:val="00B3722A"/>
    <w:rsid w:val="00B374FB"/>
    <w:rsid w:val="00B4070E"/>
    <w:rsid w:val="00B433A6"/>
    <w:rsid w:val="00B44750"/>
    <w:rsid w:val="00B451D0"/>
    <w:rsid w:val="00B50010"/>
    <w:rsid w:val="00B50ADA"/>
    <w:rsid w:val="00B520BF"/>
    <w:rsid w:val="00B52286"/>
    <w:rsid w:val="00B55441"/>
    <w:rsid w:val="00B56850"/>
    <w:rsid w:val="00B568A0"/>
    <w:rsid w:val="00B57A27"/>
    <w:rsid w:val="00B62B18"/>
    <w:rsid w:val="00B64608"/>
    <w:rsid w:val="00B64943"/>
    <w:rsid w:val="00B649AD"/>
    <w:rsid w:val="00B64FE4"/>
    <w:rsid w:val="00B662B2"/>
    <w:rsid w:val="00B6768D"/>
    <w:rsid w:val="00B703F6"/>
    <w:rsid w:val="00B727DA"/>
    <w:rsid w:val="00B72B3C"/>
    <w:rsid w:val="00B72BFB"/>
    <w:rsid w:val="00B73A55"/>
    <w:rsid w:val="00B73B8C"/>
    <w:rsid w:val="00B74506"/>
    <w:rsid w:val="00B74DEB"/>
    <w:rsid w:val="00B74EF8"/>
    <w:rsid w:val="00B7654D"/>
    <w:rsid w:val="00B772B9"/>
    <w:rsid w:val="00B77A1A"/>
    <w:rsid w:val="00B8046E"/>
    <w:rsid w:val="00B81330"/>
    <w:rsid w:val="00B8137B"/>
    <w:rsid w:val="00B81524"/>
    <w:rsid w:val="00B825BE"/>
    <w:rsid w:val="00B82F42"/>
    <w:rsid w:val="00B85C7F"/>
    <w:rsid w:val="00B90FB4"/>
    <w:rsid w:val="00B9365F"/>
    <w:rsid w:val="00B94A65"/>
    <w:rsid w:val="00B94DC2"/>
    <w:rsid w:val="00B96411"/>
    <w:rsid w:val="00B9732C"/>
    <w:rsid w:val="00B97749"/>
    <w:rsid w:val="00B97BAE"/>
    <w:rsid w:val="00BA0E28"/>
    <w:rsid w:val="00BA29C9"/>
    <w:rsid w:val="00BA353B"/>
    <w:rsid w:val="00BA39A1"/>
    <w:rsid w:val="00BA39F6"/>
    <w:rsid w:val="00BA3E72"/>
    <w:rsid w:val="00BA446F"/>
    <w:rsid w:val="00BA5467"/>
    <w:rsid w:val="00BA6201"/>
    <w:rsid w:val="00BA69E6"/>
    <w:rsid w:val="00BA6EA5"/>
    <w:rsid w:val="00BA6FBD"/>
    <w:rsid w:val="00BA7405"/>
    <w:rsid w:val="00BA75CE"/>
    <w:rsid w:val="00BA7F7A"/>
    <w:rsid w:val="00BB0402"/>
    <w:rsid w:val="00BB09DD"/>
    <w:rsid w:val="00BB2C34"/>
    <w:rsid w:val="00BB4D98"/>
    <w:rsid w:val="00BB4F3A"/>
    <w:rsid w:val="00BB5322"/>
    <w:rsid w:val="00BB628A"/>
    <w:rsid w:val="00BB634A"/>
    <w:rsid w:val="00BB7518"/>
    <w:rsid w:val="00BB79B2"/>
    <w:rsid w:val="00BC09A5"/>
    <w:rsid w:val="00BC153D"/>
    <w:rsid w:val="00BC1BC9"/>
    <w:rsid w:val="00BC1E1D"/>
    <w:rsid w:val="00BC26FC"/>
    <w:rsid w:val="00BC5B54"/>
    <w:rsid w:val="00BC5FC0"/>
    <w:rsid w:val="00BD004F"/>
    <w:rsid w:val="00BD0DF4"/>
    <w:rsid w:val="00BD1412"/>
    <w:rsid w:val="00BD1557"/>
    <w:rsid w:val="00BD2774"/>
    <w:rsid w:val="00BD2F8A"/>
    <w:rsid w:val="00BD477A"/>
    <w:rsid w:val="00BD4F16"/>
    <w:rsid w:val="00BD5FA9"/>
    <w:rsid w:val="00BD6FFB"/>
    <w:rsid w:val="00BE0031"/>
    <w:rsid w:val="00BE0D4C"/>
    <w:rsid w:val="00BE0EDE"/>
    <w:rsid w:val="00BE190E"/>
    <w:rsid w:val="00BE19A0"/>
    <w:rsid w:val="00BE30BD"/>
    <w:rsid w:val="00BE34F6"/>
    <w:rsid w:val="00BE4129"/>
    <w:rsid w:val="00BE612E"/>
    <w:rsid w:val="00BE708A"/>
    <w:rsid w:val="00BF02B0"/>
    <w:rsid w:val="00BF07E1"/>
    <w:rsid w:val="00BF0DB7"/>
    <w:rsid w:val="00BF14AD"/>
    <w:rsid w:val="00BF2867"/>
    <w:rsid w:val="00BF31DE"/>
    <w:rsid w:val="00BF445F"/>
    <w:rsid w:val="00BF4F8D"/>
    <w:rsid w:val="00BF553D"/>
    <w:rsid w:val="00BF5CDE"/>
    <w:rsid w:val="00BF6251"/>
    <w:rsid w:val="00C00579"/>
    <w:rsid w:val="00C013AF"/>
    <w:rsid w:val="00C0286B"/>
    <w:rsid w:val="00C035DB"/>
    <w:rsid w:val="00C03CC5"/>
    <w:rsid w:val="00C06242"/>
    <w:rsid w:val="00C063E2"/>
    <w:rsid w:val="00C073EC"/>
    <w:rsid w:val="00C07CCF"/>
    <w:rsid w:val="00C1038E"/>
    <w:rsid w:val="00C110DF"/>
    <w:rsid w:val="00C114B7"/>
    <w:rsid w:val="00C114DA"/>
    <w:rsid w:val="00C13ACB"/>
    <w:rsid w:val="00C14F3B"/>
    <w:rsid w:val="00C163D9"/>
    <w:rsid w:val="00C16510"/>
    <w:rsid w:val="00C1690A"/>
    <w:rsid w:val="00C17100"/>
    <w:rsid w:val="00C20666"/>
    <w:rsid w:val="00C23023"/>
    <w:rsid w:val="00C24F03"/>
    <w:rsid w:val="00C2628C"/>
    <w:rsid w:val="00C265E1"/>
    <w:rsid w:val="00C2664D"/>
    <w:rsid w:val="00C267D7"/>
    <w:rsid w:val="00C269EF"/>
    <w:rsid w:val="00C27938"/>
    <w:rsid w:val="00C31D75"/>
    <w:rsid w:val="00C33119"/>
    <w:rsid w:val="00C33157"/>
    <w:rsid w:val="00C33874"/>
    <w:rsid w:val="00C33C03"/>
    <w:rsid w:val="00C33D1E"/>
    <w:rsid w:val="00C35847"/>
    <w:rsid w:val="00C3634E"/>
    <w:rsid w:val="00C408FC"/>
    <w:rsid w:val="00C40C61"/>
    <w:rsid w:val="00C41C32"/>
    <w:rsid w:val="00C433B1"/>
    <w:rsid w:val="00C43B74"/>
    <w:rsid w:val="00C442B1"/>
    <w:rsid w:val="00C4459D"/>
    <w:rsid w:val="00C46501"/>
    <w:rsid w:val="00C50825"/>
    <w:rsid w:val="00C50FC8"/>
    <w:rsid w:val="00C516D5"/>
    <w:rsid w:val="00C517C9"/>
    <w:rsid w:val="00C51E03"/>
    <w:rsid w:val="00C52BF5"/>
    <w:rsid w:val="00C52D02"/>
    <w:rsid w:val="00C54528"/>
    <w:rsid w:val="00C555D0"/>
    <w:rsid w:val="00C56186"/>
    <w:rsid w:val="00C57359"/>
    <w:rsid w:val="00C57DE4"/>
    <w:rsid w:val="00C60333"/>
    <w:rsid w:val="00C60DB6"/>
    <w:rsid w:val="00C6215A"/>
    <w:rsid w:val="00C622B2"/>
    <w:rsid w:val="00C62430"/>
    <w:rsid w:val="00C63481"/>
    <w:rsid w:val="00C634D7"/>
    <w:rsid w:val="00C63633"/>
    <w:rsid w:val="00C63DC0"/>
    <w:rsid w:val="00C6542E"/>
    <w:rsid w:val="00C65CBA"/>
    <w:rsid w:val="00C660A3"/>
    <w:rsid w:val="00C66816"/>
    <w:rsid w:val="00C70E23"/>
    <w:rsid w:val="00C735CC"/>
    <w:rsid w:val="00C75AC9"/>
    <w:rsid w:val="00C7742C"/>
    <w:rsid w:val="00C775FA"/>
    <w:rsid w:val="00C80371"/>
    <w:rsid w:val="00C8124B"/>
    <w:rsid w:val="00C8187B"/>
    <w:rsid w:val="00C82E14"/>
    <w:rsid w:val="00C84194"/>
    <w:rsid w:val="00C849E6"/>
    <w:rsid w:val="00C85B83"/>
    <w:rsid w:val="00C860E9"/>
    <w:rsid w:val="00C86F1A"/>
    <w:rsid w:val="00C87293"/>
    <w:rsid w:val="00C87537"/>
    <w:rsid w:val="00C91810"/>
    <w:rsid w:val="00C92D76"/>
    <w:rsid w:val="00C93D00"/>
    <w:rsid w:val="00C94118"/>
    <w:rsid w:val="00C94711"/>
    <w:rsid w:val="00C94E66"/>
    <w:rsid w:val="00C95C14"/>
    <w:rsid w:val="00C96F0C"/>
    <w:rsid w:val="00C97BD8"/>
    <w:rsid w:val="00CA0153"/>
    <w:rsid w:val="00CA2576"/>
    <w:rsid w:val="00CA2F53"/>
    <w:rsid w:val="00CA3FDE"/>
    <w:rsid w:val="00CA4846"/>
    <w:rsid w:val="00CA57E6"/>
    <w:rsid w:val="00CA5E02"/>
    <w:rsid w:val="00CB0537"/>
    <w:rsid w:val="00CB33C5"/>
    <w:rsid w:val="00CB37FD"/>
    <w:rsid w:val="00CB4A05"/>
    <w:rsid w:val="00CB60B6"/>
    <w:rsid w:val="00CB6539"/>
    <w:rsid w:val="00CB6C40"/>
    <w:rsid w:val="00CB720D"/>
    <w:rsid w:val="00CB7346"/>
    <w:rsid w:val="00CC0455"/>
    <w:rsid w:val="00CC05B3"/>
    <w:rsid w:val="00CC2FCE"/>
    <w:rsid w:val="00CC369E"/>
    <w:rsid w:val="00CC3E8C"/>
    <w:rsid w:val="00CC4A8E"/>
    <w:rsid w:val="00CC6028"/>
    <w:rsid w:val="00CC62FE"/>
    <w:rsid w:val="00CC6E78"/>
    <w:rsid w:val="00CD0730"/>
    <w:rsid w:val="00CD2DD6"/>
    <w:rsid w:val="00CD431F"/>
    <w:rsid w:val="00CD5409"/>
    <w:rsid w:val="00CD686B"/>
    <w:rsid w:val="00CD6978"/>
    <w:rsid w:val="00CD6D13"/>
    <w:rsid w:val="00CD731A"/>
    <w:rsid w:val="00CE0280"/>
    <w:rsid w:val="00CE05B5"/>
    <w:rsid w:val="00CE12E5"/>
    <w:rsid w:val="00CE1353"/>
    <w:rsid w:val="00CE15E0"/>
    <w:rsid w:val="00CE163E"/>
    <w:rsid w:val="00CE1FE9"/>
    <w:rsid w:val="00CE2449"/>
    <w:rsid w:val="00CE4C9D"/>
    <w:rsid w:val="00CE4F14"/>
    <w:rsid w:val="00CE5BDB"/>
    <w:rsid w:val="00CE60D9"/>
    <w:rsid w:val="00CE6A73"/>
    <w:rsid w:val="00CE7041"/>
    <w:rsid w:val="00CE725C"/>
    <w:rsid w:val="00CE7581"/>
    <w:rsid w:val="00CF0151"/>
    <w:rsid w:val="00CF0A07"/>
    <w:rsid w:val="00CF21F0"/>
    <w:rsid w:val="00CF3403"/>
    <w:rsid w:val="00CF3494"/>
    <w:rsid w:val="00CF6029"/>
    <w:rsid w:val="00CF6298"/>
    <w:rsid w:val="00CF6424"/>
    <w:rsid w:val="00CF6564"/>
    <w:rsid w:val="00CF6840"/>
    <w:rsid w:val="00D01DD1"/>
    <w:rsid w:val="00D01F99"/>
    <w:rsid w:val="00D0204C"/>
    <w:rsid w:val="00D02279"/>
    <w:rsid w:val="00D0246D"/>
    <w:rsid w:val="00D0472E"/>
    <w:rsid w:val="00D04792"/>
    <w:rsid w:val="00D04E00"/>
    <w:rsid w:val="00D05A9B"/>
    <w:rsid w:val="00D06080"/>
    <w:rsid w:val="00D066E6"/>
    <w:rsid w:val="00D06C7A"/>
    <w:rsid w:val="00D102D1"/>
    <w:rsid w:val="00D10A57"/>
    <w:rsid w:val="00D12267"/>
    <w:rsid w:val="00D12720"/>
    <w:rsid w:val="00D13D59"/>
    <w:rsid w:val="00D15A23"/>
    <w:rsid w:val="00D162AE"/>
    <w:rsid w:val="00D166FB"/>
    <w:rsid w:val="00D2082E"/>
    <w:rsid w:val="00D209ED"/>
    <w:rsid w:val="00D209FD"/>
    <w:rsid w:val="00D22F90"/>
    <w:rsid w:val="00D23EC3"/>
    <w:rsid w:val="00D23EF6"/>
    <w:rsid w:val="00D24836"/>
    <w:rsid w:val="00D24CFE"/>
    <w:rsid w:val="00D25863"/>
    <w:rsid w:val="00D2684B"/>
    <w:rsid w:val="00D26AEF"/>
    <w:rsid w:val="00D2784A"/>
    <w:rsid w:val="00D27CEC"/>
    <w:rsid w:val="00D30560"/>
    <w:rsid w:val="00D30BFD"/>
    <w:rsid w:val="00D3490C"/>
    <w:rsid w:val="00D34B0F"/>
    <w:rsid w:val="00D35BD4"/>
    <w:rsid w:val="00D3631E"/>
    <w:rsid w:val="00D400C8"/>
    <w:rsid w:val="00D409CF"/>
    <w:rsid w:val="00D40F9D"/>
    <w:rsid w:val="00D427AD"/>
    <w:rsid w:val="00D4354A"/>
    <w:rsid w:val="00D4378C"/>
    <w:rsid w:val="00D45067"/>
    <w:rsid w:val="00D45709"/>
    <w:rsid w:val="00D4643C"/>
    <w:rsid w:val="00D46585"/>
    <w:rsid w:val="00D46B25"/>
    <w:rsid w:val="00D47773"/>
    <w:rsid w:val="00D47801"/>
    <w:rsid w:val="00D47807"/>
    <w:rsid w:val="00D47C63"/>
    <w:rsid w:val="00D5043B"/>
    <w:rsid w:val="00D50657"/>
    <w:rsid w:val="00D50F5B"/>
    <w:rsid w:val="00D519AF"/>
    <w:rsid w:val="00D51BC2"/>
    <w:rsid w:val="00D51F7E"/>
    <w:rsid w:val="00D53096"/>
    <w:rsid w:val="00D53413"/>
    <w:rsid w:val="00D53874"/>
    <w:rsid w:val="00D53978"/>
    <w:rsid w:val="00D540B3"/>
    <w:rsid w:val="00D55365"/>
    <w:rsid w:val="00D55A17"/>
    <w:rsid w:val="00D56014"/>
    <w:rsid w:val="00D56285"/>
    <w:rsid w:val="00D565BD"/>
    <w:rsid w:val="00D575F0"/>
    <w:rsid w:val="00D57959"/>
    <w:rsid w:val="00D600EB"/>
    <w:rsid w:val="00D60C2F"/>
    <w:rsid w:val="00D613FF"/>
    <w:rsid w:val="00D61486"/>
    <w:rsid w:val="00D616F9"/>
    <w:rsid w:val="00D6212E"/>
    <w:rsid w:val="00D6272F"/>
    <w:rsid w:val="00D63393"/>
    <w:rsid w:val="00D649FC"/>
    <w:rsid w:val="00D64F43"/>
    <w:rsid w:val="00D65B3A"/>
    <w:rsid w:val="00D65C49"/>
    <w:rsid w:val="00D66490"/>
    <w:rsid w:val="00D721AD"/>
    <w:rsid w:val="00D73750"/>
    <w:rsid w:val="00D73FB1"/>
    <w:rsid w:val="00D7459B"/>
    <w:rsid w:val="00D75F5C"/>
    <w:rsid w:val="00D766BC"/>
    <w:rsid w:val="00D77515"/>
    <w:rsid w:val="00D8009D"/>
    <w:rsid w:val="00D80B3B"/>
    <w:rsid w:val="00D8148C"/>
    <w:rsid w:val="00D8185F"/>
    <w:rsid w:val="00D8191A"/>
    <w:rsid w:val="00D81D5A"/>
    <w:rsid w:val="00D82869"/>
    <w:rsid w:val="00D82F48"/>
    <w:rsid w:val="00D82F4F"/>
    <w:rsid w:val="00D83BE0"/>
    <w:rsid w:val="00D85428"/>
    <w:rsid w:val="00D85C09"/>
    <w:rsid w:val="00D8710D"/>
    <w:rsid w:val="00D9025B"/>
    <w:rsid w:val="00D9076B"/>
    <w:rsid w:val="00D90D2A"/>
    <w:rsid w:val="00D913D0"/>
    <w:rsid w:val="00D9223A"/>
    <w:rsid w:val="00D93D48"/>
    <w:rsid w:val="00D94350"/>
    <w:rsid w:val="00D945E1"/>
    <w:rsid w:val="00D9460E"/>
    <w:rsid w:val="00D9470B"/>
    <w:rsid w:val="00D94CFC"/>
    <w:rsid w:val="00D94EC7"/>
    <w:rsid w:val="00D9563B"/>
    <w:rsid w:val="00D95C56"/>
    <w:rsid w:val="00D9625C"/>
    <w:rsid w:val="00D96348"/>
    <w:rsid w:val="00D96E57"/>
    <w:rsid w:val="00D972A7"/>
    <w:rsid w:val="00D97F71"/>
    <w:rsid w:val="00DA0167"/>
    <w:rsid w:val="00DA0A67"/>
    <w:rsid w:val="00DA11BE"/>
    <w:rsid w:val="00DA15A5"/>
    <w:rsid w:val="00DA2912"/>
    <w:rsid w:val="00DA2B6B"/>
    <w:rsid w:val="00DA2DDB"/>
    <w:rsid w:val="00DA3C3A"/>
    <w:rsid w:val="00DA6BD0"/>
    <w:rsid w:val="00DA6D40"/>
    <w:rsid w:val="00DA74B2"/>
    <w:rsid w:val="00DA7A93"/>
    <w:rsid w:val="00DA7DE5"/>
    <w:rsid w:val="00DB08F4"/>
    <w:rsid w:val="00DB0962"/>
    <w:rsid w:val="00DB09CC"/>
    <w:rsid w:val="00DB0FCB"/>
    <w:rsid w:val="00DB10EB"/>
    <w:rsid w:val="00DB188B"/>
    <w:rsid w:val="00DB1F5C"/>
    <w:rsid w:val="00DB1FEF"/>
    <w:rsid w:val="00DB4841"/>
    <w:rsid w:val="00DB4EF4"/>
    <w:rsid w:val="00DB54E1"/>
    <w:rsid w:val="00DB5C5E"/>
    <w:rsid w:val="00DB649C"/>
    <w:rsid w:val="00DB724D"/>
    <w:rsid w:val="00DB772B"/>
    <w:rsid w:val="00DC0696"/>
    <w:rsid w:val="00DC138C"/>
    <w:rsid w:val="00DC1798"/>
    <w:rsid w:val="00DC1BAA"/>
    <w:rsid w:val="00DC1C73"/>
    <w:rsid w:val="00DC23CB"/>
    <w:rsid w:val="00DC24CB"/>
    <w:rsid w:val="00DC27E6"/>
    <w:rsid w:val="00DC2D7A"/>
    <w:rsid w:val="00DC3A31"/>
    <w:rsid w:val="00DC45BE"/>
    <w:rsid w:val="00DC4B37"/>
    <w:rsid w:val="00DC4E22"/>
    <w:rsid w:val="00DC5BC2"/>
    <w:rsid w:val="00DC5CCD"/>
    <w:rsid w:val="00DC5EA3"/>
    <w:rsid w:val="00DC64F5"/>
    <w:rsid w:val="00DC65FC"/>
    <w:rsid w:val="00DC6BC3"/>
    <w:rsid w:val="00DC7C06"/>
    <w:rsid w:val="00DC7EA7"/>
    <w:rsid w:val="00DD0174"/>
    <w:rsid w:val="00DD0FC7"/>
    <w:rsid w:val="00DD171C"/>
    <w:rsid w:val="00DD1B7E"/>
    <w:rsid w:val="00DD2A0B"/>
    <w:rsid w:val="00DD2C56"/>
    <w:rsid w:val="00DD3154"/>
    <w:rsid w:val="00DD3181"/>
    <w:rsid w:val="00DD370D"/>
    <w:rsid w:val="00DD40B9"/>
    <w:rsid w:val="00DD4274"/>
    <w:rsid w:val="00DD49D0"/>
    <w:rsid w:val="00DD5720"/>
    <w:rsid w:val="00DD717D"/>
    <w:rsid w:val="00DD72A6"/>
    <w:rsid w:val="00DD77CB"/>
    <w:rsid w:val="00DE0900"/>
    <w:rsid w:val="00DE0E52"/>
    <w:rsid w:val="00DE26C2"/>
    <w:rsid w:val="00DE2973"/>
    <w:rsid w:val="00DE2AA3"/>
    <w:rsid w:val="00DE3B67"/>
    <w:rsid w:val="00DE4268"/>
    <w:rsid w:val="00DE472D"/>
    <w:rsid w:val="00DE4CE5"/>
    <w:rsid w:val="00DE7376"/>
    <w:rsid w:val="00DE7C49"/>
    <w:rsid w:val="00DF0C2C"/>
    <w:rsid w:val="00DF3297"/>
    <w:rsid w:val="00DF32EF"/>
    <w:rsid w:val="00DF339F"/>
    <w:rsid w:val="00DF3899"/>
    <w:rsid w:val="00DF398B"/>
    <w:rsid w:val="00DF3E97"/>
    <w:rsid w:val="00DF3ECA"/>
    <w:rsid w:val="00DF41B6"/>
    <w:rsid w:val="00DF4461"/>
    <w:rsid w:val="00DF44FD"/>
    <w:rsid w:val="00DF4B41"/>
    <w:rsid w:val="00DF4E30"/>
    <w:rsid w:val="00DF62BD"/>
    <w:rsid w:val="00DF68E3"/>
    <w:rsid w:val="00E005B6"/>
    <w:rsid w:val="00E024CD"/>
    <w:rsid w:val="00E034CC"/>
    <w:rsid w:val="00E042C9"/>
    <w:rsid w:val="00E04DF3"/>
    <w:rsid w:val="00E05207"/>
    <w:rsid w:val="00E0615C"/>
    <w:rsid w:val="00E06DE2"/>
    <w:rsid w:val="00E076CA"/>
    <w:rsid w:val="00E07A5C"/>
    <w:rsid w:val="00E10465"/>
    <w:rsid w:val="00E10814"/>
    <w:rsid w:val="00E11507"/>
    <w:rsid w:val="00E11B9A"/>
    <w:rsid w:val="00E12A8B"/>
    <w:rsid w:val="00E12C4C"/>
    <w:rsid w:val="00E12D55"/>
    <w:rsid w:val="00E1317C"/>
    <w:rsid w:val="00E16571"/>
    <w:rsid w:val="00E16C3B"/>
    <w:rsid w:val="00E172B0"/>
    <w:rsid w:val="00E2320E"/>
    <w:rsid w:val="00E2434E"/>
    <w:rsid w:val="00E24D53"/>
    <w:rsid w:val="00E257F6"/>
    <w:rsid w:val="00E2741A"/>
    <w:rsid w:val="00E274D8"/>
    <w:rsid w:val="00E274DD"/>
    <w:rsid w:val="00E31B0F"/>
    <w:rsid w:val="00E31EC4"/>
    <w:rsid w:val="00E324CF"/>
    <w:rsid w:val="00E32E8F"/>
    <w:rsid w:val="00E32F87"/>
    <w:rsid w:val="00E33818"/>
    <w:rsid w:val="00E34258"/>
    <w:rsid w:val="00E3491B"/>
    <w:rsid w:val="00E3572D"/>
    <w:rsid w:val="00E35F56"/>
    <w:rsid w:val="00E373BA"/>
    <w:rsid w:val="00E37B96"/>
    <w:rsid w:val="00E37D37"/>
    <w:rsid w:val="00E41AD9"/>
    <w:rsid w:val="00E41E24"/>
    <w:rsid w:val="00E4212B"/>
    <w:rsid w:val="00E423EC"/>
    <w:rsid w:val="00E4298C"/>
    <w:rsid w:val="00E43ADF"/>
    <w:rsid w:val="00E43E19"/>
    <w:rsid w:val="00E44D29"/>
    <w:rsid w:val="00E45800"/>
    <w:rsid w:val="00E45F3E"/>
    <w:rsid w:val="00E47910"/>
    <w:rsid w:val="00E4796B"/>
    <w:rsid w:val="00E50ACF"/>
    <w:rsid w:val="00E50B09"/>
    <w:rsid w:val="00E51442"/>
    <w:rsid w:val="00E51A4C"/>
    <w:rsid w:val="00E52656"/>
    <w:rsid w:val="00E52C9D"/>
    <w:rsid w:val="00E530FA"/>
    <w:rsid w:val="00E548D9"/>
    <w:rsid w:val="00E5580D"/>
    <w:rsid w:val="00E56F16"/>
    <w:rsid w:val="00E572F3"/>
    <w:rsid w:val="00E605BC"/>
    <w:rsid w:val="00E61B70"/>
    <w:rsid w:val="00E624D5"/>
    <w:rsid w:val="00E63578"/>
    <w:rsid w:val="00E63945"/>
    <w:rsid w:val="00E6398E"/>
    <w:rsid w:val="00E64751"/>
    <w:rsid w:val="00E655E4"/>
    <w:rsid w:val="00E66136"/>
    <w:rsid w:val="00E66CA1"/>
    <w:rsid w:val="00E6775B"/>
    <w:rsid w:val="00E70341"/>
    <w:rsid w:val="00E70C6A"/>
    <w:rsid w:val="00E71A2B"/>
    <w:rsid w:val="00E72A9F"/>
    <w:rsid w:val="00E738E7"/>
    <w:rsid w:val="00E742B1"/>
    <w:rsid w:val="00E74488"/>
    <w:rsid w:val="00E749B7"/>
    <w:rsid w:val="00E74F64"/>
    <w:rsid w:val="00E75584"/>
    <w:rsid w:val="00E7658F"/>
    <w:rsid w:val="00E77A0C"/>
    <w:rsid w:val="00E801F4"/>
    <w:rsid w:val="00E82102"/>
    <w:rsid w:val="00E8585C"/>
    <w:rsid w:val="00E860CF"/>
    <w:rsid w:val="00E867DB"/>
    <w:rsid w:val="00E86BB6"/>
    <w:rsid w:val="00E87101"/>
    <w:rsid w:val="00E877D5"/>
    <w:rsid w:val="00E90952"/>
    <w:rsid w:val="00E90D1A"/>
    <w:rsid w:val="00E90FA6"/>
    <w:rsid w:val="00E9153F"/>
    <w:rsid w:val="00E92B00"/>
    <w:rsid w:val="00E92BEE"/>
    <w:rsid w:val="00E93392"/>
    <w:rsid w:val="00E94174"/>
    <w:rsid w:val="00E94A6F"/>
    <w:rsid w:val="00E97287"/>
    <w:rsid w:val="00EA0E6A"/>
    <w:rsid w:val="00EA18DB"/>
    <w:rsid w:val="00EA2AE2"/>
    <w:rsid w:val="00EA3B63"/>
    <w:rsid w:val="00EA3C41"/>
    <w:rsid w:val="00EA435C"/>
    <w:rsid w:val="00EA4B42"/>
    <w:rsid w:val="00EA5365"/>
    <w:rsid w:val="00EA5E33"/>
    <w:rsid w:val="00EB0997"/>
    <w:rsid w:val="00EB0FD4"/>
    <w:rsid w:val="00EB198A"/>
    <w:rsid w:val="00EB284B"/>
    <w:rsid w:val="00EB2C5A"/>
    <w:rsid w:val="00EB36F5"/>
    <w:rsid w:val="00EB6144"/>
    <w:rsid w:val="00EB73AD"/>
    <w:rsid w:val="00EB7BEA"/>
    <w:rsid w:val="00EC25E4"/>
    <w:rsid w:val="00EC26A7"/>
    <w:rsid w:val="00EC2FE3"/>
    <w:rsid w:val="00EC48A9"/>
    <w:rsid w:val="00EC7452"/>
    <w:rsid w:val="00EC7E65"/>
    <w:rsid w:val="00ED048F"/>
    <w:rsid w:val="00ED11C9"/>
    <w:rsid w:val="00ED1E72"/>
    <w:rsid w:val="00ED3548"/>
    <w:rsid w:val="00ED3855"/>
    <w:rsid w:val="00ED51B3"/>
    <w:rsid w:val="00ED5303"/>
    <w:rsid w:val="00ED65B4"/>
    <w:rsid w:val="00EE0A1F"/>
    <w:rsid w:val="00EE1E1F"/>
    <w:rsid w:val="00EE1EE5"/>
    <w:rsid w:val="00EE26ED"/>
    <w:rsid w:val="00EE2E71"/>
    <w:rsid w:val="00EE315E"/>
    <w:rsid w:val="00EE3990"/>
    <w:rsid w:val="00EE3BB6"/>
    <w:rsid w:val="00EE49FD"/>
    <w:rsid w:val="00EE4D32"/>
    <w:rsid w:val="00EE51A4"/>
    <w:rsid w:val="00EE5E3B"/>
    <w:rsid w:val="00EE775B"/>
    <w:rsid w:val="00EF1117"/>
    <w:rsid w:val="00EF2874"/>
    <w:rsid w:val="00EF3F10"/>
    <w:rsid w:val="00EF463D"/>
    <w:rsid w:val="00EF4EDC"/>
    <w:rsid w:val="00EF5184"/>
    <w:rsid w:val="00EF58E6"/>
    <w:rsid w:val="00EF59F3"/>
    <w:rsid w:val="00EF63FF"/>
    <w:rsid w:val="00EF77FF"/>
    <w:rsid w:val="00F0003E"/>
    <w:rsid w:val="00F0214B"/>
    <w:rsid w:val="00F023E4"/>
    <w:rsid w:val="00F03862"/>
    <w:rsid w:val="00F03F43"/>
    <w:rsid w:val="00F040FC"/>
    <w:rsid w:val="00F05B91"/>
    <w:rsid w:val="00F05E77"/>
    <w:rsid w:val="00F069D7"/>
    <w:rsid w:val="00F0723C"/>
    <w:rsid w:val="00F0785C"/>
    <w:rsid w:val="00F10E9B"/>
    <w:rsid w:val="00F10FF8"/>
    <w:rsid w:val="00F11C35"/>
    <w:rsid w:val="00F130AC"/>
    <w:rsid w:val="00F13852"/>
    <w:rsid w:val="00F14220"/>
    <w:rsid w:val="00F149AB"/>
    <w:rsid w:val="00F16000"/>
    <w:rsid w:val="00F171F4"/>
    <w:rsid w:val="00F175EC"/>
    <w:rsid w:val="00F17DC5"/>
    <w:rsid w:val="00F17E52"/>
    <w:rsid w:val="00F21664"/>
    <w:rsid w:val="00F21B01"/>
    <w:rsid w:val="00F225C7"/>
    <w:rsid w:val="00F22B7F"/>
    <w:rsid w:val="00F2403D"/>
    <w:rsid w:val="00F24896"/>
    <w:rsid w:val="00F24CBE"/>
    <w:rsid w:val="00F254B4"/>
    <w:rsid w:val="00F25BA3"/>
    <w:rsid w:val="00F2629A"/>
    <w:rsid w:val="00F316A3"/>
    <w:rsid w:val="00F348E3"/>
    <w:rsid w:val="00F358C9"/>
    <w:rsid w:val="00F373F8"/>
    <w:rsid w:val="00F4154F"/>
    <w:rsid w:val="00F42E9B"/>
    <w:rsid w:val="00F44799"/>
    <w:rsid w:val="00F45DAF"/>
    <w:rsid w:val="00F45F84"/>
    <w:rsid w:val="00F461A1"/>
    <w:rsid w:val="00F47381"/>
    <w:rsid w:val="00F47CFC"/>
    <w:rsid w:val="00F50A6F"/>
    <w:rsid w:val="00F512FD"/>
    <w:rsid w:val="00F515BC"/>
    <w:rsid w:val="00F550E4"/>
    <w:rsid w:val="00F560C6"/>
    <w:rsid w:val="00F5630C"/>
    <w:rsid w:val="00F57781"/>
    <w:rsid w:val="00F6188F"/>
    <w:rsid w:val="00F61D67"/>
    <w:rsid w:val="00F62C55"/>
    <w:rsid w:val="00F62C76"/>
    <w:rsid w:val="00F62CCF"/>
    <w:rsid w:val="00F62DD1"/>
    <w:rsid w:val="00F62F8B"/>
    <w:rsid w:val="00F640E3"/>
    <w:rsid w:val="00F646D1"/>
    <w:rsid w:val="00F65A23"/>
    <w:rsid w:val="00F66BBA"/>
    <w:rsid w:val="00F676ED"/>
    <w:rsid w:val="00F678D1"/>
    <w:rsid w:val="00F67B81"/>
    <w:rsid w:val="00F70D5D"/>
    <w:rsid w:val="00F71ED5"/>
    <w:rsid w:val="00F72E87"/>
    <w:rsid w:val="00F73226"/>
    <w:rsid w:val="00F73345"/>
    <w:rsid w:val="00F73880"/>
    <w:rsid w:val="00F7493C"/>
    <w:rsid w:val="00F7544A"/>
    <w:rsid w:val="00F76C80"/>
    <w:rsid w:val="00F81611"/>
    <w:rsid w:val="00F81874"/>
    <w:rsid w:val="00F81ADE"/>
    <w:rsid w:val="00F81BB0"/>
    <w:rsid w:val="00F81E8E"/>
    <w:rsid w:val="00F827AD"/>
    <w:rsid w:val="00F8315E"/>
    <w:rsid w:val="00F832C2"/>
    <w:rsid w:val="00F832F3"/>
    <w:rsid w:val="00F83AB7"/>
    <w:rsid w:val="00F83DB4"/>
    <w:rsid w:val="00F83E2E"/>
    <w:rsid w:val="00F84E4E"/>
    <w:rsid w:val="00F85143"/>
    <w:rsid w:val="00F851CE"/>
    <w:rsid w:val="00F855B6"/>
    <w:rsid w:val="00F85D7B"/>
    <w:rsid w:val="00F867A7"/>
    <w:rsid w:val="00F900DB"/>
    <w:rsid w:val="00F90B3E"/>
    <w:rsid w:val="00F90D90"/>
    <w:rsid w:val="00F90E91"/>
    <w:rsid w:val="00F91A41"/>
    <w:rsid w:val="00F93993"/>
    <w:rsid w:val="00F9489F"/>
    <w:rsid w:val="00F952FA"/>
    <w:rsid w:val="00F962C2"/>
    <w:rsid w:val="00F96638"/>
    <w:rsid w:val="00F970A7"/>
    <w:rsid w:val="00FA1A1F"/>
    <w:rsid w:val="00FA1AF4"/>
    <w:rsid w:val="00FA2F67"/>
    <w:rsid w:val="00FA531A"/>
    <w:rsid w:val="00FA6B61"/>
    <w:rsid w:val="00FB00A9"/>
    <w:rsid w:val="00FB1A7D"/>
    <w:rsid w:val="00FB24B7"/>
    <w:rsid w:val="00FB4369"/>
    <w:rsid w:val="00FB5ACB"/>
    <w:rsid w:val="00FB5E45"/>
    <w:rsid w:val="00FB5E4C"/>
    <w:rsid w:val="00FB6E02"/>
    <w:rsid w:val="00FB7A61"/>
    <w:rsid w:val="00FC0D02"/>
    <w:rsid w:val="00FC2102"/>
    <w:rsid w:val="00FC3242"/>
    <w:rsid w:val="00FC751B"/>
    <w:rsid w:val="00FD08E7"/>
    <w:rsid w:val="00FD0C41"/>
    <w:rsid w:val="00FD0E3E"/>
    <w:rsid w:val="00FD1887"/>
    <w:rsid w:val="00FD1DBB"/>
    <w:rsid w:val="00FD344B"/>
    <w:rsid w:val="00FD5864"/>
    <w:rsid w:val="00FD58D6"/>
    <w:rsid w:val="00FD5E04"/>
    <w:rsid w:val="00FD6BFC"/>
    <w:rsid w:val="00FD7529"/>
    <w:rsid w:val="00FD781E"/>
    <w:rsid w:val="00FE4AEF"/>
    <w:rsid w:val="00FE4C46"/>
    <w:rsid w:val="00FE4E4F"/>
    <w:rsid w:val="00FE5016"/>
    <w:rsid w:val="00FE5839"/>
    <w:rsid w:val="00FE5C03"/>
    <w:rsid w:val="00FE639B"/>
    <w:rsid w:val="00FE72C1"/>
    <w:rsid w:val="00FE7A91"/>
    <w:rsid w:val="00FF1B50"/>
    <w:rsid w:val="00FF3CDC"/>
    <w:rsid w:val="00FF419C"/>
    <w:rsid w:val="00FF5ECE"/>
    <w:rsid w:val="00FF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7B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D5A"/>
    <w:pPr>
      <w:spacing w:after="100" w:line="400" w:lineRule="exact"/>
      <w:jc w:val="both"/>
    </w:pPr>
    <w:rPr>
      <w:rFonts w:ascii="Century Schoolbook" w:hAnsi="Century Schoolbook"/>
      <w:sz w:val="27"/>
    </w:rPr>
  </w:style>
  <w:style w:type="paragraph" w:styleId="Heading1">
    <w:name w:val="heading 1"/>
    <w:basedOn w:val="Normal"/>
    <w:next w:val="Normal"/>
    <w:qFormat/>
    <w:rsid w:val="00D81D5A"/>
    <w:pPr>
      <w:keepNext/>
      <w:spacing w:before="140" w:line="240" w:lineRule="atLeast"/>
      <w:jc w:val="center"/>
      <w:outlineLvl w:val="0"/>
    </w:pPr>
    <w:rPr>
      <w:b/>
      <w:smallCaps/>
    </w:rPr>
  </w:style>
  <w:style w:type="paragraph" w:styleId="Heading2">
    <w:name w:val="heading 2"/>
    <w:basedOn w:val="Normal"/>
    <w:next w:val="Normal"/>
    <w:qFormat/>
    <w:rsid w:val="00D81D5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81D5A"/>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D81D5A"/>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D81D5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D81D5A"/>
    <w:pPr>
      <w:tabs>
        <w:tab w:val="center" w:pos="3960"/>
        <w:tab w:val="right" w:pos="10080"/>
      </w:tabs>
      <w:spacing w:after="0" w:line="240" w:lineRule="auto"/>
      <w:jc w:val="center"/>
    </w:pPr>
    <w:rPr>
      <w:sz w:val="22"/>
    </w:rPr>
  </w:style>
  <w:style w:type="character" w:styleId="FootnoteReference">
    <w:name w:val="footnote reference"/>
    <w:uiPriority w:val="99"/>
    <w:rsid w:val="00D81D5A"/>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D81D5A"/>
    <w:pPr>
      <w:spacing w:line="300" w:lineRule="exact"/>
    </w:pPr>
  </w:style>
  <w:style w:type="paragraph" w:styleId="Date">
    <w:name w:val="Date"/>
    <w:basedOn w:val="Normal"/>
    <w:semiHidden/>
    <w:rsid w:val="00D81D5A"/>
    <w:pPr>
      <w:jc w:val="right"/>
    </w:pPr>
  </w:style>
  <w:style w:type="paragraph" w:styleId="Header">
    <w:name w:val="header"/>
    <w:basedOn w:val="Normal"/>
    <w:qFormat/>
    <w:rsid w:val="00D81D5A"/>
    <w:pPr>
      <w:tabs>
        <w:tab w:val="center" w:pos="3960"/>
        <w:tab w:val="right" w:pos="10080"/>
      </w:tabs>
      <w:spacing w:after="80" w:line="240" w:lineRule="auto"/>
      <w:jc w:val="center"/>
    </w:pPr>
    <w:rPr>
      <w:sz w:val="22"/>
    </w:rPr>
  </w:style>
  <w:style w:type="paragraph" w:styleId="NormalIndent">
    <w:name w:val="Normal Indent"/>
    <w:basedOn w:val="Normal"/>
    <w:semiHidden/>
    <w:rsid w:val="00D81D5A"/>
    <w:pPr>
      <w:ind w:left="720"/>
    </w:pPr>
  </w:style>
  <w:style w:type="character" w:styleId="PageNumber">
    <w:name w:val="page number"/>
    <w:rsid w:val="00D81D5A"/>
  </w:style>
  <w:style w:type="paragraph" w:customStyle="1" w:styleId="Recommend">
    <w:name w:val="Recommend"/>
    <w:basedOn w:val="Normal"/>
    <w:rsid w:val="00D81D5A"/>
  </w:style>
  <w:style w:type="paragraph" w:customStyle="1" w:styleId="subject">
    <w:name w:val="subject"/>
    <w:basedOn w:val="Normal"/>
    <w:rsid w:val="00D81D5A"/>
    <w:pPr>
      <w:tabs>
        <w:tab w:val="left" w:pos="1008"/>
      </w:tabs>
      <w:ind w:left="990" w:hanging="990"/>
    </w:pPr>
    <w:rPr>
      <w:b/>
    </w:rPr>
  </w:style>
  <w:style w:type="paragraph" w:customStyle="1" w:styleId="Summary">
    <w:name w:val="Summary"/>
    <w:basedOn w:val="Normal"/>
    <w:rsid w:val="00D81D5A"/>
    <w:pPr>
      <w:ind w:left="2160" w:hanging="2160"/>
    </w:pPr>
  </w:style>
  <w:style w:type="paragraph" w:customStyle="1" w:styleId="Text">
    <w:name w:val="Text"/>
    <w:basedOn w:val="Normal"/>
    <w:rsid w:val="00D81D5A"/>
    <w:pPr>
      <w:tabs>
        <w:tab w:val="left" w:pos="720"/>
        <w:tab w:val="left" w:pos="1440"/>
        <w:tab w:val="left" w:pos="2160"/>
        <w:tab w:val="center" w:pos="4320"/>
      </w:tabs>
      <w:spacing w:line="480" w:lineRule="atLeast"/>
      <w:ind w:firstLine="540"/>
    </w:pPr>
  </w:style>
  <w:style w:type="paragraph" w:customStyle="1" w:styleId="Title1">
    <w:name w:val="Title1"/>
    <w:basedOn w:val="Normal"/>
    <w:rsid w:val="00D81D5A"/>
    <w:pPr>
      <w:tabs>
        <w:tab w:val="left" w:pos="5760"/>
        <w:tab w:val="left" w:pos="6480"/>
      </w:tabs>
      <w:spacing w:line="240" w:lineRule="atLeast"/>
    </w:pPr>
  </w:style>
  <w:style w:type="paragraph" w:customStyle="1" w:styleId="Titles">
    <w:name w:val="Titles"/>
    <w:basedOn w:val="Normal"/>
    <w:rsid w:val="00D81D5A"/>
    <w:pPr>
      <w:tabs>
        <w:tab w:val="left" w:pos="2160"/>
      </w:tabs>
      <w:ind w:left="2160" w:hanging="2160"/>
    </w:pPr>
    <w:rPr>
      <w:b/>
    </w:rPr>
  </w:style>
  <w:style w:type="paragraph" w:styleId="TOAHeading">
    <w:name w:val="toa heading"/>
    <w:basedOn w:val="Normal"/>
    <w:next w:val="Normal"/>
    <w:semiHidden/>
    <w:rsid w:val="00D81D5A"/>
    <w:pPr>
      <w:spacing w:before="120"/>
    </w:pPr>
    <w:rPr>
      <w:b/>
    </w:rPr>
  </w:style>
  <w:style w:type="paragraph" w:styleId="TOC1">
    <w:name w:val="toc 1"/>
    <w:basedOn w:val="Normal"/>
    <w:next w:val="Normal"/>
    <w:autoRedefine/>
    <w:semiHidden/>
    <w:rsid w:val="00D81D5A"/>
  </w:style>
  <w:style w:type="paragraph" w:styleId="TOC2">
    <w:name w:val="toc 2"/>
    <w:basedOn w:val="Normal"/>
    <w:next w:val="Normal"/>
    <w:autoRedefine/>
    <w:semiHidden/>
    <w:rsid w:val="00D81D5A"/>
    <w:pPr>
      <w:ind w:left="259"/>
    </w:pPr>
  </w:style>
  <w:style w:type="paragraph" w:styleId="TOC3">
    <w:name w:val="toc 3"/>
    <w:basedOn w:val="Normal"/>
    <w:next w:val="Normal"/>
    <w:autoRedefine/>
    <w:semiHidden/>
    <w:rsid w:val="00D81D5A"/>
    <w:pPr>
      <w:ind w:left="520"/>
    </w:pPr>
  </w:style>
  <w:style w:type="paragraph" w:styleId="TOC4">
    <w:name w:val="toc 4"/>
    <w:basedOn w:val="Normal"/>
    <w:next w:val="Normal"/>
    <w:autoRedefine/>
    <w:semiHidden/>
    <w:rsid w:val="00D81D5A"/>
    <w:pPr>
      <w:ind w:left="780"/>
    </w:pPr>
  </w:style>
  <w:style w:type="paragraph" w:styleId="TOC5">
    <w:name w:val="toc 5"/>
    <w:basedOn w:val="Normal"/>
    <w:next w:val="Normal"/>
    <w:autoRedefine/>
    <w:semiHidden/>
    <w:rsid w:val="00D81D5A"/>
    <w:pPr>
      <w:ind w:left="1040"/>
    </w:pPr>
  </w:style>
  <w:style w:type="paragraph" w:styleId="TOC6">
    <w:name w:val="toc 6"/>
    <w:basedOn w:val="Normal"/>
    <w:next w:val="Normal"/>
    <w:autoRedefine/>
    <w:semiHidden/>
    <w:rsid w:val="00D81D5A"/>
    <w:pPr>
      <w:ind w:left="1300"/>
    </w:pPr>
  </w:style>
  <w:style w:type="paragraph" w:styleId="TOC7">
    <w:name w:val="toc 7"/>
    <w:basedOn w:val="Normal"/>
    <w:next w:val="Normal"/>
    <w:autoRedefine/>
    <w:semiHidden/>
    <w:rsid w:val="00D81D5A"/>
    <w:pPr>
      <w:ind w:left="1560"/>
    </w:pPr>
  </w:style>
  <w:style w:type="paragraph" w:styleId="TOC8">
    <w:name w:val="toc 8"/>
    <w:basedOn w:val="Normal"/>
    <w:next w:val="Normal"/>
    <w:autoRedefine/>
    <w:semiHidden/>
    <w:rsid w:val="00D81D5A"/>
    <w:pPr>
      <w:ind w:left="1820"/>
    </w:pPr>
  </w:style>
  <w:style w:type="paragraph" w:styleId="TOC9">
    <w:name w:val="toc 9"/>
    <w:basedOn w:val="Normal"/>
    <w:next w:val="Normal"/>
    <w:autoRedefine/>
    <w:semiHidden/>
    <w:rsid w:val="00D81D5A"/>
    <w:pPr>
      <w:ind w:left="2080"/>
    </w:pPr>
  </w:style>
  <w:style w:type="paragraph" w:customStyle="1" w:styleId="Contents">
    <w:name w:val="Contents"/>
    <w:basedOn w:val="Normal"/>
    <w:rsid w:val="00D81D5A"/>
    <w:pPr>
      <w:jc w:val="center"/>
    </w:pPr>
    <w:rPr>
      <w:b/>
      <w:spacing w:val="100"/>
    </w:rPr>
  </w:style>
  <w:style w:type="character" w:customStyle="1" w:styleId="ssrfcpassagedeactivated">
    <w:name w:val="ss_rfcpassage_deactivated"/>
    <w:basedOn w:val="DefaultParagraphFont"/>
    <w:rsid w:val="009E7137"/>
  </w:style>
  <w:style w:type="character" w:styleId="Hyperlink">
    <w:name w:val="Hyperlink"/>
    <w:uiPriority w:val="99"/>
    <w:unhideWhenUsed/>
    <w:rsid w:val="009E7137"/>
    <w:rPr>
      <w:color w:val="0000FF"/>
      <w:u w:val="single"/>
    </w:rPr>
  </w:style>
  <w:style w:type="character" w:customStyle="1" w:styleId="ssit">
    <w:name w:val="ss_it"/>
    <w:basedOn w:val="DefaultParagraphFont"/>
    <w:rsid w:val="009E7137"/>
  </w:style>
  <w:style w:type="character" w:customStyle="1" w:styleId="sscrbhighlight">
    <w:name w:val="ss_crbhighlight"/>
    <w:basedOn w:val="DefaultParagraphFont"/>
    <w:rsid w:val="001824F1"/>
  </w:style>
  <w:style w:type="character" w:customStyle="1" w:styleId="ssib">
    <w:name w:val="ss_ib"/>
    <w:basedOn w:val="DefaultParagraphFont"/>
    <w:rsid w:val="001824F1"/>
  </w:style>
  <w:style w:type="character" w:customStyle="1" w:styleId="ssbf">
    <w:name w:val="ss_bf"/>
    <w:basedOn w:val="DefaultParagraphFont"/>
    <w:rsid w:val="001824F1"/>
  </w:style>
  <w:style w:type="character" w:styleId="FollowedHyperlink">
    <w:name w:val="FollowedHyperlink"/>
    <w:uiPriority w:val="99"/>
    <w:semiHidden/>
    <w:unhideWhenUsed/>
    <w:rsid w:val="001824F1"/>
    <w:rPr>
      <w:color w:val="800080"/>
      <w:u w:val="single"/>
    </w:rPr>
  </w:style>
  <w:style w:type="character" w:customStyle="1" w:styleId="sssh">
    <w:name w:val="ss_sh"/>
    <w:basedOn w:val="DefaultParagraphFont"/>
    <w:rsid w:val="00DF44FD"/>
  </w:style>
  <w:style w:type="paragraph" w:styleId="NormalWeb">
    <w:name w:val="Normal (Web)"/>
    <w:basedOn w:val="Normal"/>
    <w:uiPriority w:val="99"/>
    <w:semiHidden/>
    <w:unhideWhenUsed/>
    <w:rsid w:val="00863563"/>
    <w:pPr>
      <w:spacing w:before="100" w:beforeAutospacing="1" w:afterAutospacing="1"/>
    </w:pPr>
    <w:rPr>
      <w:sz w:val="24"/>
      <w:szCs w:val="24"/>
    </w:rPr>
  </w:style>
  <w:style w:type="character" w:customStyle="1" w:styleId="FootnoteTextChar">
    <w:name w:val="Footnote Text Char"/>
    <w:link w:val="FootnoteText"/>
    <w:uiPriority w:val="99"/>
    <w:rsid w:val="00BA7405"/>
    <w:rPr>
      <w:rFonts w:ascii="Century Schoolbook" w:hAnsi="Century Schoolbook"/>
      <w:sz w:val="27"/>
    </w:rPr>
  </w:style>
  <w:style w:type="character" w:customStyle="1" w:styleId="ssparalabel">
    <w:name w:val="ss_paralabel"/>
    <w:basedOn w:val="DefaultParagraphFont"/>
    <w:rsid w:val="00C03CC5"/>
  </w:style>
  <w:style w:type="character" w:customStyle="1" w:styleId="ssparacontent">
    <w:name w:val="ss_paracontent"/>
    <w:basedOn w:val="DefaultParagraphFont"/>
    <w:rsid w:val="00C03CC5"/>
  </w:style>
  <w:style w:type="character" w:customStyle="1" w:styleId="ssit2">
    <w:name w:val="ss_it2"/>
    <w:rsid w:val="00FB6E02"/>
    <w:rPr>
      <w:i/>
      <w:iCs/>
    </w:rPr>
  </w:style>
  <w:style w:type="character" w:customStyle="1" w:styleId="ssib2">
    <w:name w:val="ss_ib2"/>
    <w:rsid w:val="00E82102"/>
    <w:rPr>
      <w:b/>
      <w:bCs/>
      <w:i/>
      <w:iCs/>
    </w:rPr>
  </w:style>
  <w:style w:type="character" w:customStyle="1" w:styleId="ssbf1">
    <w:name w:val="ss_bf1"/>
    <w:rsid w:val="005E3EA1"/>
    <w:rPr>
      <w:b/>
      <w:bCs/>
      <w:color w:val="373739"/>
    </w:rPr>
  </w:style>
  <w:style w:type="character" w:styleId="UnresolvedMention">
    <w:name w:val="Unresolved Mention"/>
    <w:uiPriority w:val="99"/>
    <w:semiHidden/>
    <w:unhideWhenUsed/>
    <w:rsid w:val="00254096"/>
    <w:rPr>
      <w:color w:val="605E5C"/>
      <w:shd w:val="clear" w:color="auto" w:fill="E1DFDD"/>
    </w:rPr>
  </w:style>
  <w:style w:type="character" w:customStyle="1" w:styleId="Heading4Char">
    <w:name w:val="Heading 4 Char"/>
    <w:link w:val="Heading4"/>
    <w:rsid w:val="00A200EE"/>
    <w:rPr>
      <w:rFonts w:ascii="Century Schoolbook" w:hAnsi="Century Schoolbook"/>
      <w:i/>
      <w:sz w:val="27"/>
    </w:rPr>
  </w:style>
  <w:style w:type="paragraph" w:styleId="CommentText">
    <w:name w:val="annotation text"/>
    <w:basedOn w:val="Normal"/>
    <w:link w:val="CommentTextChar"/>
    <w:uiPriority w:val="99"/>
    <w:unhideWhenUsed/>
    <w:rsid w:val="00F81E8E"/>
    <w:rPr>
      <w:sz w:val="20"/>
    </w:rPr>
  </w:style>
  <w:style w:type="character" w:customStyle="1" w:styleId="CommentTextChar">
    <w:name w:val="Comment Text Char"/>
    <w:basedOn w:val="DefaultParagraphFont"/>
    <w:link w:val="CommentText"/>
    <w:uiPriority w:val="99"/>
    <w:rsid w:val="00F81E8E"/>
  </w:style>
  <w:style w:type="paragraph" w:styleId="BalloonText">
    <w:name w:val="Balloon Text"/>
    <w:basedOn w:val="Normal"/>
    <w:link w:val="BalloonTextChar"/>
    <w:uiPriority w:val="99"/>
    <w:semiHidden/>
    <w:unhideWhenUsed/>
    <w:rsid w:val="00F81BB0"/>
    <w:rPr>
      <w:rFonts w:ascii="Segoe UI" w:hAnsi="Segoe UI" w:cs="Segoe UI"/>
      <w:sz w:val="18"/>
      <w:szCs w:val="18"/>
    </w:rPr>
  </w:style>
  <w:style w:type="character" w:customStyle="1" w:styleId="BalloonTextChar">
    <w:name w:val="Balloon Text Char"/>
    <w:link w:val="BalloonText"/>
    <w:uiPriority w:val="99"/>
    <w:semiHidden/>
    <w:rsid w:val="00F81BB0"/>
    <w:rPr>
      <w:rFonts w:ascii="Segoe UI" w:hAnsi="Segoe UI" w:cs="Segoe UI"/>
      <w:sz w:val="18"/>
      <w:szCs w:val="18"/>
    </w:rPr>
  </w:style>
  <w:style w:type="character" w:customStyle="1" w:styleId="Heading5Char">
    <w:name w:val="Heading 5 Char"/>
    <w:link w:val="Heading5"/>
    <w:rsid w:val="0000287B"/>
    <w:rPr>
      <w:rFonts w:ascii="Century Schoolbook" w:hAnsi="Century Schoolbook"/>
      <w:i/>
      <w:sz w:val="27"/>
    </w:rPr>
  </w:style>
  <w:style w:type="paragraph" w:styleId="BodyText">
    <w:name w:val="Body Text"/>
    <w:basedOn w:val="Normal"/>
    <w:link w:val="BodyTextChar"/>
    <w:qFormat/>
    <w:rsid w:val="00D81D5A"/>
  </w:style>
  <w:style w:type="character" w:customStyle="1" w:styleId="BodyTextChar">
    <w:name w:val="Body Text Char"/>
    <w:link w:val="BodyText"/>
    <w:rsid w:val="00D81D5A"/>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0863">
      <w:bodyDiv w:val="1"/>
      <w:marLeft w:val="0"/>
      <w:marRight w:val="0"/>
      <w:marTop w:val="0"/>
      <w:marBottom w:val="0"/>
      <w:divBdr>
        <w:top w:val="none" w:sz="0" w:space="0" w:color="auto"/>
        <w:left w:val="none" w:sz="0" w:space="0" w:color="auto"/>
        <w:bottom w:val="none" w:sz="0" w:space="0" w:color="auto"/>
        <w:right w:val="none" w:sz="0" w:space="0" w:color="auto"/>
      </w:divBdr>
    </w:div>
    <w:div w:id="456140850">
      <w:bodyDiv w:val="1"/>
      <w:marLeft w:val="0"/>
      <w:marRight w:val="0"/>
      <w:marTop w:val="0"/>
      <w:marBottom w:val="0"/>
      <w:divBdr>
        <w:top w:val="none" w:sz="0" w:space="0" w:color="auto"/>
        <w:left w:val="none" w:sz="0" w:space="0" w:color="auto"/>
        <w:bottom w:val="none" w:sz="0" w:space="0" w:color="auto"/>
        <w:right w:val="none" w:sz="0" w:space="0" w:color="auto"/>
      </w:divBdr>
      <w:divsChild>
        <w:div w:id="858277567">
          <w:marLeft w:val="480"/>
          <w:marRight w:val="0"/>
          <w:marTop w:val="0"/>
          <w:marBottom w:val="0"/>
          <w:divBdr>
            <w:top w:val="none" w:sz="0" w:space="0" w:color="auto"/>
            <w:left w:val="none" w:sz="0" w:space="0" w:color="auto"/>
            <w:bottom w:val="none" w:sz="0" w:space="0" w:color="auto"/>
            <w:right w:val="none" w:sz="0" w:space="0" w:color="auto"/>
          </w:divBdr>
          <w:divsChild>
            <w:div w:id="48192906">
              <w:marLeft w:val="480"/>
              <w:marRight w:val="0"/>
              <w:marTop w:val="0"/>
              <w:marBottom w:val="0"/>
              <w:divBdr>
                <w:top w:val="none" w:sz="0" w:space="0" w:color="auto"/>
                <w:left w:val="none" w:sz="0" w:space="0" w:color="auto"/>
                <w:bottom w:val="none" w:sz="0" w:space="0" w:color="auto"/>
                <w:right w:val="none" w:sz="0" w:space="0" w:color="auto"/>
              </w:divBdr>
            </w:div>
            <w:div w:id="366562771">
              <w:marLeft w:val="480"/>
              <w:marRight w:val="0"/>
              <w:marTop w:val="0"/>
              <w:marBottom w:val="0"/>
              <w:divBdr>
                <w:top w:val="none" w:sz="0" w:space="0" w:color="auto"/>
                <w:left w:val="none" w:sz="0" w:space="0" w:color="auto"/>
                <w:bottom w:val="none" w:sz="0" w:space="0" w:color="auto"/>
                <w:right w:val="none" w:sz="0" w:space="0" w:color="auto"/>
              </w:divBdr>
            </w:div>
            <w:div w:id="1191449955">
              <w:marLeft w:val="480"/>
              <w:marRight w:val="0"/>
              <w:marTop w:val="0"/>
              <w:marBottom w:val="0"/>
              <w:divBdr>
                <w:top w:val="none" w:sz="0" w:space="0" w:color="auto"/>
                <w:left w:val="none" w:sz="0" w:space="0" w:color="auto"/>
                <w:bottom w:val="none" w:sz="0" w:space="0" w:color="auto"/>
                <w:right w:val="none" w:sz="0" w:space="0" w:color="auto"/>
              </w:divBdr>
            </w:div>
          </w:divsChild>
        </w:div>
        <w:div w:id="955335004">
          <w:marLeft w:val="480"/>
          <w:marRight w:val="0"/>
          <w:marTop w:val="0"/>
          <w:marBottom w:val="0"/>
          <w:divBdr>
            <w:top w:val="none" w:sz="0" w:space="0" w:color="auto"/>
            <w:left w:val="none" w:sz="0" w:space="0" w:color="auto"/>
            <w:bottom w:val="none" w:sz="0" w:space="0" w:color="auto"/>
            <w:right w:val="none" w:sz="0" w:space="0" w:color="auto"/>
          </w:divBdr>
        </w:div>
        <w:div w:id="1759323823">
          <w:marLeft w:val="480"/>
          <w:marRight w:val="0"/>
          <w:marTop w:val="0"/>
          <w:marBottom w:val="0"/>
          <w:divBdr>
            <w:top w:val="none" w:sz="0" w:space="0" w:color="auto"/>
            <w:left w:val="none" w:sz="0" w:space="0" w:color="auto"/>
            <w:bottom w:val="none" w:sz="0" w:space="0" w:color="auto"/>
            <w:right w:val="none" w:sz="0" w:space="0" w:color="auto"/>
          </w:divBdr>
        </w:div>
        <w:div w:id="1907645903">
          <w:marLeft w:val="480"/>
          <w:marRight w:val="0"/>
          <w:marTop w:val="0"/>
          <w:marBottom w:val="0"/>
          <w:divBdr>
            <w:top w:val="none" w:sz="0" w:space="0" w:color="auto"/>
            <w:left w:val="none" w:sz="0" w:space="0" w:color="auto"/>
            <w:bottom w:val="none" w:sz="0" w:space="0" w:color="auto"/>
            <w:right w:val="none" w:sz="0" w:space="0" w:color="auto"/>
          </w:divBdr>
        </w:div>
      </w:divsChild>
    </w:div>
    <w:div w:id="490096747">
      <w:bodyDiv w:val="1"/>
      <w:marLeft w:val="0"/>
      <w:marRight w:val="0"/>
      <w:marTop w:val="0"/>
      <w:marBottom w:val="0"/>
      <w:divBdr>
        <w:top w:val="none" w:sz="0" w:space="0" w:color="auto"/>
        <w:left w:val="none" w:sz="0" w:space="0" w:color="auto"/>
        <w:bottom w:val="none" w:sz="0" w:space="0" w:color="auto"/>
        <w:right w:val="none" w:sz="0" w:space="0" w:color="auto"/>
      </w:divBdr>
      <w:divsChild>
        <w:div w:id="770514193">
          <w:marLeft w:val="480"/>
          <w:marRight w:val="0"/>
          <w:marTop w:val="0"/>
          <w:marBottom w:val="0"/>
          <w:divBdr>
            <w:top w:val="none" w:sz="0" w:space="0" w:color="auto"/>
            <w:left w:val="none" w:sz="0" w:space="0" w:color="auto"/>
            <w:bottom w:val="none" w:sz="0" w:space="0" w:color="auto"/>
            <w:right w:val="none" w:sz="0" w:space="0" w:color="auto"/>
          </w:divBdr>
        </w:div>
        <w:div w:id="852375216">
          <w:marLeft w:val="480"/>
          <w:marRight w:val="0"/>
          <w:marTop w:val="0"/>
          <w:marBottom w:val="0"/>
          <w:divBdr>
            <w:top w:val="none" w:sz="0" w:space="0" w:color="auto"/>
            <w:left w:val="none" w:sz="0" w:space="0" w:color="auto"/>
            <w:bottom w:val="none" w:sz="0" w:space="0" w:color="auto"/>
            <w:right w:val="none" w:sz="0" w:space="0" w:color="auto"/>
          </w:divBdr>
        </w:div>
      </w:divsChild>
    </w:div>
    <w:div w:id="631248997">
      <w:bodyDiv w:val="1"/>
      <w:marLeft w:val="0"/>
      <w:marRight w:val="0"/>
      <w:marTop w:val="0"/>
      <w:marBottom w:val="0"/>
      <w:divBdr>
        <w:top w:val="none" w:sz="0" w:space="0" w:color="auto"/>
        <w:left w:val="none" w:sz="0" w:space="0" w:color="auto"/>
        <w:bottom w:val="none" w:sz="0" w:space="0" w:color="auto"/>
        <w:right w:val="none" w:sz="0" w:space="0" w:color="auto"/>
      </w:divBdr>
    </w:div>
    <w:div w:id="755981972">
      <w:bodyDiv w:val="1"/>
      <w:marLeft w:val="0"/>
      <w:marRight w:val="0"/>
      <w:marTop w:val="0"/>
      <w:marBottom w:val="0"/>
      <w:divBdr>
        <w:top w:val="none" w:sz="0" w:space="0" w:color="auto"/>
        <w:left w:val="none" w:sz="0" w:space="0" w:color="auto"/>
        <w:bottom w:val="none" w:sz="0" w:space="0" w:color="auto"/>
        <w:right w:val="none" w:sz="0" w:space="0" w:color="auto"/>
      </w:divBdr>
    </w:div>
    <w:div w:id="949627788">
      <w:bodyDiv w:val="1"/>
      <w:marLeft w:val="0"/>
      <w:marRight w:val="0"/>
      <w:marTop w:val="0"/>
      <w:marBottom w:val="0"/>
      <w:divBdr>
        <w:top w:val="none" w:sz="0" w:space="0" w:color="auto"/>
        <w:left w:val="none" w:sz="0" w:space="0" w:color="auto"/>
        <w:bottom w:val="none" w:sz="0" w:space="0" w:color="auto"/>
        <w:right w:val="none" w:sz="0" w:space="0" w:color="auto"/>
      </w:divBdr>
      <w:divsChild>
        <w:div w:id="339816566">
          <w:marLeft w:val="480"/>
          <w:marRight w:val="0"/>
          <w:marTop w:val="0"/>
          <w:marBottom w:val="0"/>
          <w:divBdr>
            <w:top w:val="none" w:sz="0" w:space="0" w:color="auto"/>
            <w:left w:val="none" w:sz="0" w:space="0" w:color="auto"/>
            <w:bottom w:val="none" w:sz="0" w:space="0" w:color="auto"/>
            <w:right w:val="none" w:sz="0" w:space="0" w:color="auto"/>
          </w:divBdr>
        </w:div>
        <w:div w:id="1414161082">
          <w:marLeft w:val="480"/>
          <w:marRight w:val="0"/>
          <w:marTop w:val="0"/>
          <w:marBottom w:val="0"/>
          <w:divBdr>
            <w:top w:val="none" w:sz="0" w:space="0" w:color="auto"/>
            <w:left w:val="none" w:sz="0" w:space="0" w:color="auto"/>
            <w:bottom w:val="none" w:sz="0" w:space="0" w:color="auto"/>
            <w:right w:val="none" w:sz="0" w:space="0" w:color="auto"/>
          </w:divBdr>
        </w:div>
      </w:divsChild>
    </w:div>
    <w:div w:id="1791587333">
      <w:bodyDiv w:val="1"/>
      <w:marLeft w:val="0"/>
      <w:marRight w:val="0"/>
      <w:marTop w:val="0"/>
      <w:marBottom w:val="0"/>
      <w:divBdr>
        <w:top w:val="none" w:sz="0" w:space="0" w:color="auto"/>
        <w:left w:val="none" w:sz="0" w:space="0" w:color="auto"/>
        <w:bottom w:val="none" w:sz="0" w:space="0" w:color="auto"/>
        <w:right w:val="none" w:sz="0" w:space="0" w:color="auto"/>
      </w:divBdr>
    </w:div>
    <w:div w:id="1794473566">
      <w:bodyDiv w:val="1"/>
      <w:marLeft w:val="0"/>
      <w:marRight w:val="0"/>
      <w:marTop w:val="0"/>
      <w:marBottom w:val="0"/>
      <w:divBdr>
        <w:top w:val="none" w:sz="0" w:space="0" w:color="auto"/>
        <w:left w:val="none" w:sz="0" w:space="0" w:color="auto"/>
        <w:bottom w:val="none" w:sz="0" w:space="0" w:color="auto"/>
        <w:right w:val="none" w:sz="0" w:space="0" w:color="auto"/>
      </w:divBdr>
      <w:divsChild>
        <w:div w:id="171377143">
          <w:marLeft w:val="0"/>
          <w:marRight w:val="0"/>
          <w:marTop w:val="0"/>
          <w:marBottom w:val="0"/>
          <w:divBdr>
            <w:top w:val="none" w:sz="0" w:space="0" w:color="auto"/>
            <w:left w:val="none" w:sz="0" w:space="0" w:color="auto"/>
            <w:bottom w:val="none" w:sz="0" w:space="0" w:color="auto"/>
            <w:right w:val="none" w:sz="0" w:space="0" w:color="auto"/>
          </w:divBdr>
          <w:divsChild>
            <w:div w:id="1803617894">
              <w:marLeft w:val="0"/>
              <w:marRight w:val="0"/>
              <w:marTop w:val="0"/>
              <w:marBottom w:val="0"/>
              <w:divBdr>
                <w:top w:val="none" w:sz="0" w:space="0" w:color="auto"/>
                <w:left w:val="none" w:sz="0" w:space="0" w:color="auto"/>
                <w:bottom w:val="none" w:sz="0" w:space="0" w:color="auto"/>
                <w:right w:val="none" w:sz="0" w:space="0" w:color="auto"/>
              </w:divBdr>
              <w:divsChild>
                <w:div w:id="1023550683">
                  <w:marLeft w:val="0"/>
                  <w:marRight w:val="0"/>
                  <w:marTop w:val="0"/>
                  <w:marBottom w:val="0"/>
                  <w:divBdr>
                    <w:top w:val="none" w:sz="0" w:space="0" w:color="auto"/>
                    <w:left w:val="none" w:sz="0" w:space="0" w:color="auto"/>
                    <w:bottom w:val="none" w:sz="0" w:space="0" w:color="auto"/>
                    <w:right w:val="none" w:sz="0" w:space="0" w:color="auto"/>
                  </w:divBdr>
                  <w:divsChild>
                    <w:div w:id="1546520771">
                      <w:marLeft w:val="0"/>
                      <w:marRight w:val="300"/>
                      <w:marTop w:val="0"/>
                      <w:marBottom w:val="0"/>
                      <w:divBdr>
                        <w:top w:val="none" w:sz="0" w:space="0" w:color="auto"/>
                        <w:left w:val="none" w:sz="0" w:space="0" w:color="auto"/>
                        <w:bottom w:val="none" w:sz="0" w:space="0" w:color="auto"/>
                        <w:right w:val="none" w:sz="0" w:space="0" w:color="auto"/>
                      </w:divBdr>
                      <w:divsChild>
                        <w:div w:id="726533703">
                          <w:marLeft w:val="0"/>
                          <w:marRight w:val="300"/>
                          <w:marTop w:val="0"/>
                          <w:marBottom w:val="0"/>
                          <w:divBdr>
                            <w:top w:val="none" w:sz="0" w:space="0" w:color="auto"/>
                            <w:left w:val="none" w:sz="0" w:space="0" w:color="auto"/>
                            <w:bottom w:val="none" w:sz="0" w:space="0" w:color="auto"/>
                            <w:right w:val="none" w:sz="0" w:space="0" w:color="auto"/>
                          </w:divBdr>
                          <w:divsChild>
                            <w:div w:id="1147090258">
                              <w:marLeft w:val="0"/>
                              <w:marRight w:val="0"/>
                              <w:marTop w:val="0"/>
                              <w:marBottom w:val="0"/>
                              <w:divBdr>
                                <w:top w:val="none" w:sz="0" w:space="0" w:color="auto"/>
                                <w:left w:val="none" w:sz="0" w:space="0" w:color="auto"/>
                                <w:bottom w:val="none" w:sz="0" w:space="0" w:color="auto"/>
                                <w:right w:val="none" w:sz="0" w:space="0" w:color="auto"/>
                              </w:divBdr>
                              <w:divsChild>
                                <w:div w:id="960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D6D73-030A-41A1-A5BC-BAD84814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21860</Words>
  <Characters>124606</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146174</CharactersWithSpaces>
  <SharedDoc>false</SharedDoc>
  <HLinks>
    <vt:vector size="18" baseType="variant">
      <vt:variant>
        <vt:i4>7077992</vt:i4>
      </vt:variant>
      <vt:variant>
        <vt:i4>6</vt:i4>
      </vt:variant>
      <vt:variant>
        <vt:i4>0</vt:i4>
      </vt:variant>
      <vt:variant>
        <vt:i4>5</vt:i4>
      </vt:variant>
      <vt:variant>
        <vt:lpwstr>https://www.ca.gov/archives/gov39/wp-content/uploads/2017/09/Twelve_Point_Pension_Reform_10.27.11.pdf</vt:lpwstr>
      </vt:variant>
      <vt:variant>
        <vt:lpwstr/>
      </vt:variant>
      <vt:variant>
        <vt:i4>2490467</vt:i4>
      </vt:variant>
      <vt:variant>
        <vt:i4>3</vt:i4>
      </vt:variant>
      <vt:variant>
        <vt:i4>0</vt:i4>
      </vt:variant>
      <vt:variant>
        <vt:i4>5</vt:i4>
      </vt:variant>
      <vt:variant>
        <vt:lpwstr>http://www.courts.ca.gov/38324.htm</vt:lpwstr>
      </vt:variant>
      <vt:variant>
        <vt:lpwstr/>
      </vt:variant>
      <vt:variant>
        <vt:i4>7864445</vt:i4>
      </vt:variant>
      <vt:variant>
        <vt:i4>0</vt:i4>
      </vt:variant>
      <vt:variant>
        <vt:i4>0</vt:i4>
      </vt:variant>
      <vt:variant>
        <vt:i4>5</vt:i4>
      </vt:variant>
      <vt:variant>
        <vt:lpwstr>https://www.ocers.org/sites/_x000b_main/files/file-attachments/compensationearnablepolicy_1.pdf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2020-07-29T20:26:00Z</dcterms:created>
  <dcterms:modified xsi:type="dcterms:W3CDTF">2020-07-30T16:40:00Z</dcterms:modified>
</cp:coreProperties>
</file>