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6F5799" w:rsidP="006673F2">
      <w:pPr>
        <w:tabs>
          <w:tab w:val="left" w:pos="1440"/>
          <w:tab w:val="left" w:pos="4680"/>
          <w:tab w:val="center" w:pos="7200"/>
        </w:tabs>
        <w:spacing w:after="0"/>
        <w:jc w:val="center"/>
        <w:rPr>
          <w:sz w:val="36"/>
        </w:rPr>
      </w:pPr>
      <w:bookmarkStart w:id="0" w:name="_Hlk77062811"/>
      <w:r>
        <w:rPr>
          <w:b/>
          <w:sz w:val="36"/>
        </w:rPr>
        <w:t>IN THE SUPREME COURT OF CALIFORNIA</w:t>
      </w:r>
    </w:p>
    <w:p w:rsidR="00EF6018" w:rsidP="006673F2">
      <w:pPr>
        <w:tabs>
          <w:tab w:val="left" w:pos="1440"/>
          <w:tab w:val="left" w:pos="4680"/>
          <w:tab w:val="center" w:pos="7200"/>
        </w:tabs>
        <w:spacing w:after="0"/>
        <w:jc w:val="center"/>
      </w:pPr>
    </w:p>
    <w:p w:rsidR="00EF6018" w:rsidP="007725ED">
      <w:pPr>
        <w:tabs>
          <w:tab w:val="left" w:pos="1440"/>
          <w:tab w:val="left" w:pos="4680"/>
          <w:tab w:val="center" w:pos="7200"/>
        </w:tabs>
        <w:spacing w:after="0"/>
        <w:jc w:val="center"/>
      </w:pPr>
      <w:bookmarkStart w:id="1" w:name="plaintiff"/>
      <w:bookmarkEnd w:id="1"/>
      <w:r>
        <w:t>LUIS GONZALEZ,</w:t>
      </w:r>
    </w:p>
    <w:p w:rsidR="00EF6018" w:rsidP="007725ED">
      <w:pPr>
        <w:tabs>
          <w:tab w:val="left" w:pos="1440"/>
          <w:tab w:val="left" w:pos="4680"/>
          <w:tab w:val="center" w:pos="7200"/>
        </w:tabs>
        <w:spacing w:after="0"/>
        <w:jc w:val="center"/>
      </w:pPr>
      <w:bookmarkStart w:id="2" w:name="LD"/>
      <w:bookmarkEnd w:id="2"/>
      <w:r>
        <w:t>Plaintiff and Appellant,</w:t>
      </w:r>
    </w:p>
    <w:p w:rsidR="00EF6018" w:rsidP="007725ED">
      <w:pPr>
        <w:tabs>
          <w:tab w:val="left" w:pos="1440"/>
          <w:tab w:val="left" w:pos="4680"/>
          <w:tab w:val="center" w:pos="7200"/>
        </w:tabs>
        <w:spacing w:after="0"/>
        <w:jc w:val="center"/>
      </w:pPr>
      <w:r>
        <w:t>v.</w:t>
      </w:r>
    </w:p>
    <w:p w:rsidR="00EF6018" w:rsidP="007725ED">
      <w:pPr>
        <w:tabs>
          <w:tab w:val="left" w:pos="1440"/>
          <w:tab w:val="left" w:pos="4680"/>
          <w:tab w:val="center" w:pos="7200"/>
        </w:tabs>
        <w:spacing w:after="0"/>
        <w:jc w:val="center"/>
      </w:pPr>
      <w:bookmarkStart w:id="3" w:name="defendant"/>
      <w:bookmarkEnd w:id="3"/>
      <w:r>
        <w:t>JOHN R. MATHIS et al.,</w:t>
      </w:r>
    </w:p>
    <w:p w:rsidR="00EF6018" w:rsidP="00EF6018">
      <w:pPr>
        <w:tabs>
          <w:tab w:val="left" w:pos="1440"/>
          <w:tab w:val="left" w:pos="4680"/>
          <w:tab w:val="center" w:pos="7200"/>
        </w:tabs>
        <w:spacing w:after="0"/>
        <w:jc w:val="center"/>
      </w:pPr>
      <w:bookmarkStart w:id="4" w:name="VD"/>
      <w:bookmarkEnd w:id="4"/>
      <w:r>
        <w:t>Defendants and Respondents.</w:t>
      </w:r>
    </w:p>
    <w:p w:rsidR="00EF6018" w:rsidP="00EF6018">
      <w:pPr>
        <w:tabs>
          <w:tab w:val="left" w:pos="1440"/>
          <w:tab w:val="left" w:pos="4680"/>
          <w:tab w:val="center" w:pos="7200"/>
        </w:tabs>
        <w:spacing w:after="0"/>
        <w:jc w:val="center"/>
      </w:pPr>
    </w:p>
    <w:p w:rsidR="00EF6018" w:rsidP="006673F2">
      <w:pPr>
        <w:tabs>
          <w:tab w:val="left" w:pos="1440"/>
          <w:tab w:val="left" w:pos="4680"/>
          <w:tab w:val="center" w:pos="7200"/>
        </w:tabs>
        <w:spacing w:after="0"/>
        <w:jc w:val="center"/>
      </w:pPr>
      <w:r>
        <w:t>S247677</w:t>
      </w:r>
    </w:p>
    <w:p w:rsidR="00EF6018" w:rsidP="00EF6018">
      <w:pPr>
        <w:tabs>
          <w:tab w:val="left" w:pos="1440"/>
          <w:tab w:val="left" w:pos="4680"/>
          <w:tab w:val="center" w:pos="7200"/>
        </w:tabs>
        <w:spacing w:after="0"/>
        <w:jc w:val="center"/>
      </w:pPr>
    </w:p>
    <w:p w:rsidR="00EF6018" w:rsidP="00EF6018">
      <w:pPr>
        <w:tabs>
          <w:tab w:val="left" w:pos="1440"/>
          <w:tab w:val="left" w:pos="4680"/>
          <w:tab w:val="center" w:pos="7200"/>
        </w:tabs>
        <w:spacing w:after="0"/>
        <w:jc w:val="center"/>
      </w:pPr>
      <w:r>
        <w:t>Second Appellate District, Division Seven</w:t>
      </w:r>
    </w:p>
    <w:p w:rsidR="00EF6018" w:rsidP="006673F2">
      <w:pPr>
        <w:tabs>
          <w:tab w:val="left" w:pos="1440"/>
          <w:tab w:val="left" w:pos="4680"/>
          <w:tab w:val="center" w:pos="7200"/>
        </w:tabs>
        <w:spacing w:after="0"/>
        <w:jc w:val="center"/>
      </w:pPr>
      <w:r>
        <w:t>B272344</w:t>
      </w:r>
    </w:p>
    <w:p w:rsidR="00EF6018" w:rsidP="00EF6018">
      <w:pPr>
        <w:tabs>
          <w:tab w:val="left" w:pos="1440"/>
          <w:tab w:val="left" w:pos="4680"/>
          <w:tab w:val="center" w:pos="7200"/>
        </w:tabs>
        <w:spacing w:after="0"/>
        <w:jc w:val="center"/>
      </w:pPr>
    </w:p>
    <w:p w:rsidR="00EF6018" w:rsidP="00EF6018">
      <w:pPr>
        <w:tabs>
          <w:tab w:val="left" w:pos="1440"/>
          <w:tab w:val="left" w:pos="4680"/>
          <w:tab w:val="center" w:pos="7200"/>
        </w:tabs>
        <w:spacing w:after="0"/>
        <w:jc w:val="center"/>
      </w:pPr>
      <w:r>
        <w:t>Los Angeles County</w:t>
      </w:r>
      <w:r w:rsidR="00566088">
        <w:t xml:space="preserve"> Superior Court</w:t>
      </w:r>
    </w:p>
    <w:p w:rsidR="00EF6018" w:rsidP="006673F2">
      <w:pPr>
        <w:tabs>
          <w:tab w:val="left" w:pos="1440"/>
          <w:tab w:val="left" w:pos="4680"/>
          <w:tab w:val="center" w:pos="7200"/>
        </w:tabs>
        <w:spacing w:after="0"/>
        <w:jc w:val="center"/>
      </w:pPr>
      <w:r>
        <w:t>BC542498</w:t>
      </w:r>
    </w:p>
    <w:p w:rsidR="00EF6018" w:rsidP="00EF6018">
      <w:pPr>
        <w:pBdr>
          <w:bottom w:val="single" w:sz="4" w:space="1" w:color="auto"/>
        </w:pBdr>
        <w:tabs>
          <w:tab w:val="left" w:pos="1440"/>
          <w:tab w:val="left" w:pos="4680"/>
          <w:tab w:val="center" w:pos="7200"/>
        </w:tabs>
        <w:spacing w:after="0"/>
        <w:jc w:val="center"/>
      </w:pPr>
    </w:p>
    <w:p w:rsidR="00EF6018" w:rsidP="00EF6018">
      <w:pPr>
        <w:tabs>
          <w:tab w:val="left" w:pos="1440"/>
          <w:tab w:val="left" w:pos="4680"/>
          <w:tab w:val="center" w:pos="7200"/>
        </w:tabs>
        <w:spacing w:after="0"/>
        <w:jc w:val="center"/>
      </w:pPr>
    </w:p>
    <w:p w:rsidR="00EF6018" w:rsidP="00EF6018">
      <w:pPr>
        <w:tabs>
          <w:tab w:val="left" w:pos="1440"/>
          <w:tab w:val="left" w:pos="4680"/>
          <w:tab w:val="center" w:pos="7200"/>
        </w:tabs>
        <w:spacing w:after="0"/>
        <w:jc w:val="center"/>
      </w:pPr>
      <w:r>
        <w:t>August 19</w:t>
      </w:r>
      <w:r>
        <w:t>, 2021</w:t>
      </w:r>
    </w:p>
    <w:p w:rsidR="00EF6018" w:rsidP="00EF6018">
      <w:pPr>
        <w:tabs>
          <w:tab w:val="left" w:pos="1440"/>
          <w:tab w:val="left" w:pos="4680"/>
          <w:tab w:val="center" w:pos="7200"/>
        </w:tabs>
        <w:spacing w:after="0"/>
        <w:jc w:val="center"/>
      </w:pPr>
    </w:p>
    <w:p w:rsidR="00566088" w:rsidP="00566088">
      <w:pPr>
        <w:tabs>
          <w:tab w:val="left" w:pos="1440"/>
          <w:tab w:val="left" w:pos="4680"/>
          <w:tab w:val="center" w:pos="7200"/>
        </w:tabs>
        <w:spacing w:after="0"/>
        <w:jc w:val="left"/>
      </w:pPr>
      <w:r>
        <w:t>Justice Groban authored the opinion of the Court, in which</w:t>
      </w:r>
      <w:r w:rsidR="00001682">
        <w:t xml:space="preserve"> </w:t>
      </w:r>
      <w:r w:rsidR="00001682">
        <w:rPr>
          <w:szCs w:val="26"/>
        </w:rPr>
        <w:t>Chief Justice Cantil-Sakauye and Justices Corrigan, Liu, Cuéllar, Kruger</w:t>
      </w:r>
      <w:r w:rsidR="00FE5457">
        <w:rPr>
          <w:szCs w:val="26"/>
        </w:rPr>
        <w:t>,</w:t>
      </w:r>
      <w:r w:rsidR="00001682">
        <w:rPr>
          <w:szCs w:val="26"/>
        </w:rPr>
        <w:t xml:space="preserve"> and Jenkins</w:t>
      </w:r>
      <w:r w:rsidR="00001682">
        <w:t xml:space="preserve"> concurred.</w:t>
      </w:r>
      <w:r>
        <w:t xml:space="preserve"> </w:t>
      </w:r>
    </w:p>
    <w:p w:rsidR="00EF6018" w:rsidP="00EF6018">
      <w:pPr>
        <w:pBdr>
          <w:bottom w:val="single" w:sz="4" w:space="1" w:color="auto"/>
        </w:pBdr>
        <w:tabs>
          <w:tab w:val="left" w:pos="1440"/>
          <w:tab w:val="left" w:pos="4680"/>
          <w:tab w:val="center" w:pos="7200"/>
        </w:tabs>
        <w:spacing w:after="0"/>
        <w:jc w:val="left"/>
      </w:pPr>
    </w:p>
    <w:p w:rsidR="00EF6018">
      <w:pPr>
        <w:tabs>
          <w:tab w:val="left" w:pos="1440"/>
          <w:tab w:val="left" w:pos="4680"/>
          <w:tab w:val="center" w:pos="7200"/>
        </w:tabs>
        <w:spacing w:line="480" w:lineRule="atLeast"/>
        <w:sectPr w:rsidSect="00EF6018">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cols w:space="720"/>
          <w:titlePg/>
          <w:docGrid w:linePitch="367"/>
        </w:sectPr>
      </w:pPr>
      <w:bookmarkStart w:id="5" w:name="Return"/>
      <w:bookmarkEnd w:id="5"/>
    </w:p>
    <w:p w:rsidR="00EF6018" w:rsidP="00EF6018">
      <w:pPr>
        <w:tabs>
          <w:tab w:val="left" w:pos="1440"/>
          <w:tab w:val="left" w:pos="4680"/>
          <w:tab w:val="center" w:pos="7200"/>
        </w:tabs>
        <w:jc w:val="center"/>
      </w:pPr>
      <w:r>
        <w:t>GONZALEZ v. MATHIS</w:t>
      </w:r>
    </w:p>
    <w:p w:rsidR="00EF6018" w:rsidP="00EF6018">
      <w:pPr>
        <w:tabs>
          <w:tab w:val="left" w:pos="1440"/>
          <w:tab w:val="left" w:pos="4680"/>
          <w:tab w:val="center" w:pos="7200"/>
        </w:tabs>
        <w:jc w:val="center"/>
      </w:pPr>
      <w:r>
        <w:t>S247677</w:t>
      </w:r>
    </w:p>
    <w:p w:rsidR="00EF6018" w:rsidP="00EF6018">
      <w:pPr>
        <w:tabs>
          <w:tab w:val="left" w:pos="1440"/>
          <w:tab w:val="left" w:pos="4680"/>
          <w:tab w:val="center" w:pos="7200"/>
        </w:tabs>
        <w:jc w:val="center"/>
      </w:pPr>
    </w:p>
    <w:p w:rsidR="00EF6018" w:rsidP="00EF6018">
      <w:pPr>
        <w:tabs>
          <w:tab w:val="left" w:pos="1440"/>
          <w:tab w:val="left" w:pos="4680"/>
          <w:tab w:val="center" w:pos="7200"/>
        </w:tabs>
        <w:jc w:val="center"/>
      </w:pPr>
      <w:r>
        <w:t>Opinion of the Court by Groban, J.</w:t>
      </w:r>
    </w:p>
    <w:p w:rsidR="00EF6018" w:rsidRPr="006673F2" w:rsidP="006673F2">
      <w:pPr>
        <w:tabs>
          <w:tab w:val="left" w:pos="1440"/>
          <w:tab w:val="left" w:pos="4680"/>
          <w:tab w:val="center" w:pos="7200"/>
        </w:tabs>
        <w:jc w:val="center"/>
      </w:pPr>
    </w:p>
    <w:p w:rsidR="00447B82" w:rsidRPr="00EF6018" w:rsidP="006673F2">
      <w:pPr>
        <w:tabs>
          <w:tab w:val="left" w:pos="1440"/>
        </w:tabs>
        <w:ind w:firstLine="720"/>
      </w:pPr>
      <w:bookmarkStart w:id="6" w:name="mainstory"/>
      <w:bookmarkEnd w:id="6"/>
      <w:r w:rsidRPr="00EF6018">
        <w:t>There is</w:t>
      </w:r>
      <w:r w:rsidRPr="00EF6018">
        <w:t xml:space="preserve"> a strong presumption</w:t>
      </w:r>
      <w:r w:rsidRPr="00EF6018">
        <w:t xml:space="preserve"> under California law</w:t>
      </w:r>
      <w:r w:rsidRPr="00EF6018">
        <w:t xml:space="preserve"> that a hirer of an independent contractor delegates to the</w:t>
      </w:r>
      <w:r w:rsidRPr="00EF6018" w:rsidR="00C37500">
        <w:t xml:space="preserve"> </w:t>
      </w:r>
      <w:r w:rsidRPr="00EF6018">
        <w:t>contractor all responsibility for</w:t>
      </w:r>
      <w:r w:rsidRPr="00EF6018" w:rsidR="001F7B87">
        <w:t xml:space="preserve"> workplace</w:t>
      </w:r>
      <w:r w:rsidRPr="00EF6018">
        <w:t xml:space="preserve"> safety</w:t>
      </w:r>
      <w:r w:rsidRPr="00EF6018" w:rsidR="00382CD5">
        <w:t>.</w:t>
      </w:r>
      <w:r w:rsidRPr="00EF6018" w:rsidR="006D12D4">
        <w:t xml:space="preserve">  (</w:t>
      </w:r>
      <w:r w:rsidRPr="00EF6018" w:rsidR="009B637D">
        <w:t xml:space="preserve">See generally </w:t>
      </w:r>
      <w:bookmarkStart w:id="7" w:name="_Hlk77064746"/>
      <w:r w:rsidRPr="00EF6018" w:rsidR="009B637D">
        <w:rPr>
          <w:i/>
          <w:iCs/>
        </w:rPr>
        <w:t>Privette v. Superior Court</w:t>
      </w:r>
      <w:r w:rsidRPr="00EF6018" w:rsidR="009B637D">
        <w:t xml:space="preserve"> (1993) 5 Cal.4th 689 (</w:t>
      </w:r>
      <w:r w:rsidRPr="00EF6018" w:rsidR="009B637D">
        <w:rPr>
          <w:i/>
          <w:iCs/>
        </w:rPr>
        <w:t>Privette</w:t>
      </w:r>
      <w:r w:rsidRPr="00EF6018" w:rsidR="009B637D">
        <w:t xml:space="preserve">); </w:t>
      </w:r>
      <w:bookmarkStart w:id="8" w:name="_Hlk77064847"/>
      <w:bookmarkEnd w:id="7"/>
      <w:r w:rsidRPr="00EF6018" w:rsidR="009B637D">
        <w:rPr>
          <w:i/>
          <w:iCs/>
        </w:rPr>
        <w:t>SeaBright Ins. Co. v. US Airways, Inc</w:t>
      </w:r>
      <w:r w:rsidRPr="00EF6018" w:rsidR="009B637D">
        <w:t>. (2011) 52 Cal.4th 590 (</w:t>
      </w:r>
      <w:r w:rsidRPr="00EF6018" w:rsidR="009B637D">
        <w:rPr>
          <w:i/>
          <w:iCs/>
        </w:rPr>
        <w:t>SeaBright</w:t>
      </w:r>
      <w:r w:rsidRPr="00EF6018" w:rsidR="009B637D">
        <w:t xml:space="preserve">).)  </w:t>
      </w:r>
      <w:bookmarkEnd w:id="8"/>
      <w:r w:rsidRPr="00EF6018" w:rsidR="00382CD5">
        <w:t>This means</w:t>
      </w:r>
      <w:r w:rsidRPr="00EF6018">
        <w:t xml:space="preserve"> that </w:t>
      </w:r>
      <w:r w:rsidRPr="00EF6018" w:rsidR="00382CD5">
        <w:t xml:space="preserve">a </w:t>
      </w:r>
      <w:r w:rsidRPr="00EF6018">
        <w:t xml:space="preserve">hirer is </w:t>
      </w:r>
      <w:r w:rsidRPr="00EF6018" w:rsidR="004F7C5F">
        <w:t>typically</w:t>
      </w:r>
      <w:r w:rsidRPr="00EF6018" w:rsidR="00382CD5">
        <w:t xml:space="preserve"> </w:t>
      </w:r>
      <w:r w:rsidRPr="00EF6018">
        <w:t xml:space="preserve">not liable for injuries sustained by </w:t>
      </w:r>
      <w:r w:rsidRPr="00EF6018" w:rsidR="005224A1">
        <w:t>an</w:t>
      </w:r>
      <w:r w:rsidRPr="00EF6018">
        <w:t xml:space="preserve"> </w:t>
      </w:r>
      <w:r w:rsidRPr="00EF6018" w:rsidR="001F7B87">
        <w:t>independent contractor or its</w:t>
      </w:r>
      <w:r w:rsidRPr="00EF6018">
        <w:t xml:space="preserve"> workers while on the job.  </w:t>
      </w:r>
      <w:r w:rsidRPr="00EF6018" w:rsidR="00C37500">
        <w:t xml:space="preserve">Commonly referred to as the </w:t>
      </w:r>
      <w:r w:rsidRPr="00EF6018" w:rsidR="00C37500">
        <w:rPr>
          <w:i/>
          <w:iCs/>
        </w:rPr>
        <w:t xml:space="preserve">Privette </w:t>
      </w:r>
      <w:r w:rsidRPr="00EF6018" w:rsidR="00C37500">
        <w:t>doctrine, t</w:t>
      </w:r>
      <w:r w:rsidRPr="00EF6018">
        <w:t>h</w:t>
      </w:r>
      <w:r w:rsidRPr="00EF6018" w:rsidR="00C37500">
        <w:t>e</w:t>
      </w:r>
      <w:r w:rsidRPr="00EF6018">
        <w:t xml:space="preserve"> presumption </w:t>
      </w:r>
      <w:r w:rsidRPr="00EF6018" w:rsidR="008C020B">
        <w:t xml:space="preserve">originally </w:t>
      </w:r>
      <w:r w:rsidRPr="00EF6018">
        <w:t>stem</w:t>
      </w:r>
      <w:r w:rsidRPr="00EF6018" w:rsidR="008C020B">
        <w:t>med</w:t>
      </w:r>
      <w:r w:rsidRPr="00EF6018">
        <w:t xml:space="preserve"> from</w:t>
      </w:r>
      <w:r w:rsidRPr="00EF6018" w:rsidR="004472FF">
        <w:t xml:space="preserve"> the following</w:t>
      </w:r>
      <w:r w:rsidRPr="00EF6018" w:rsidR="00CC03DC">
        <w:t xml:space="preserve"> rationales:</w:t>
      </w:r>
      <w:r w:rsidRPr="00EF6018" w:rsidR="00DD23F1">
        <w:t xml:space="preserve">  First,</w:t>
      </w:r>
      <w:r w:rsidRPr="00EF6018" w:rsidR="006C22CF">
        <w:t xml:space="preserve"> </w:t>
      </w:r>
      <w:r w:rsidRPr="00EF6018">
        <w:t xml:space="preserve">hirers usually have no right to control </w:t>
      </w:r>
      <w:r w:rsidRPr="00EF6018" w:rsidR="005224A1">
        <w:t>an</w:t>
      </w:r>
      <w:r w:rsidRPr="00EF6018">
        <w:t xml:space="preserve"> independent contractor’s work</w:t>
      </w:r>
      <w:r w:rsidRPr="00EF6018" w:rsidR="00DD23F1">
        <w:t xml:space="preserve">.  </w:t>
      </w:r>
      <w:r w:rsidRPr="00EF6018" w:rsidR="006C22CF">
        <w:t>(</w:t>
      </w:r>
      <w:r w:rsidRPr="00EF6018" w:rsidR="006C22CF">
        <w:rPr>
          <w:i/>
          <w:iCs/>
        </w:rPr>
        <w:t>Privette</w:t>
      </w:r>
      <w:r w:rsidRPr="00EF6018" w:rsidR="006C22CF">
        <w:t xml:space="preserve">, at p. 693.)  </w:t>
      </w:r>
      <w:r w:rsidRPr="00EF6018" w:rsidR="00DD23F1">
        <w:t>Second,</w:t>
      </w:r>
      <w:r w:rsidRPr="00EF6018" w:rsidR="00CC03DC">
        <w:t xml:space="preserve"> </w:t>
      </w:r>
      <w:r w:rsidRPr="00EF6018" w:rsidR="00A12F02">
        <w:t xml:space="preserve">contractors can factor in “the cost of safety precautions and insurance </w:t>
      </w:r>
      <w:r w:rsidRPr="00EF6018" w:rsidR="006659B8">
        <w:t xml:space="preserve">coverage </w:t>
      </w:r>
      <w:r w:rsidRPr="00EF6018" w:rsidR="00A12F02">
        <w:t>in the contract price.”  (</w:t>
      </w:r>
      <w:r w:rsidRPr="00EF6018" w:rsidR="00A12F02">
        <w:rPr>
          <w:i/>
          <w:iCs/>
        </w:rPr>
        <w:t>Ibid</w:t>
      </w:r>
      <w:r w:rsidRPr="00EF6018" w:rsidR="00A12F02">
        <w:t xml:space="preserve">.)  Third, contractors </w:t>
      </w:r>
      <w:r w:rsidRPr="00EF6018" w:rsidR="005224A1">
        <w:t>are able to</w:t>
      </w:r>
      <w:r w:rsidRPr="00EF6018" w:rsidR="00A12F02">
        <w:t xml:space="preserve"> obtain workers’ compensation to cover any on-the-job injuries.  (</w:t>
      </w:r>
      <w:r w:rsidRPr="00EF6018" w:rsidR="00A12F02">
        <w:rPr>
          <w:i/>
        </w:rPr>
        <w:t xml:space="preserve">Id. </w:t>
      </w:r>
      <w:r w:rsidRPr="00EF6018" w:rsidR="00A12F02">
        <w:t xml:space="preserve">at pp. 698–700.)  Finally, </w:t>
      </w:r>
      <w:r w:rsidRPr="00EF6018" w:rsidR="00642C0E">
        <w:t>contractors are typically hired for their expertise</w:t>
      </w:r>
      <w:r w:rsidR="000110BA">
        <w:t>,</w:t>
      </w:r>
      <w:r w:rsidRPr="00EF6018" w:rsidR="00642C0E">
        <w:t xml:space="preserve"> </w:t>
      </w:r>
      <w:r w:rsidRPr="00EF6018" w:rsidR="001F7B87">
        <w:t>which</w:t>
      </w:r>
      <w:r w:rsidRPr="00EF6018">
        <w:t xml:space="preserve"> enables them to perform the contracted-for work safely and successfully</w:t>
      </w:r>
      <w:r w:rsidRPr="00EF6018" w:rsidR="00DD23F1">
        <w:t xml:space="preserve">.  </w:t>
      </w:r>
      <w:r w:rsidRPr="00EF6018" w:rsidR="00EA0D4C">
        <w:t>(</w:t>
      </w:r>
      <w:r w:rsidRPr="00EF6018" w:rsidR="00EA0D4C">
        <w:rPr>
          <w:i/>
          <w:iCs/>
        </w:rPr>
        <w:t>See id.</w:t>
      </w:r>
      <w:r w:rsidRPr="00EF6018" w:rsidR="00EA0D4C">
        <w:rPr>
          <w:i/>
        </w:rPr>
        <w:t xml:space="preserve"> </w:t>
      </w:r>
      <w:r w:rsidRPr="00EF6018" w:rsidR="00EA0D4C">
        <w:t>at p. 700</w:t>
      </w:r>
      <w:r w:rsidRPr="00EF6018" w:rsidR="00A12F02">
        <w:t>; Rest.3d Torts, Liability for Physical and Emotional Harm, § 5</w:t>
      </w:r>
      <w:r w:rsidRPr="00EF6018" w:rsidR="006659B8">
        <w:t>7</w:t>
      </w:r>
      <w:r w:rsidRPr="00EF6018" w:rsidR="00A12F02">
        <w:t>, c</w:t>
      </w:r>
      <w:r w:rsidRPr="00EF6018" w:rsidR="006659B8">
        <w:t>om</w:t>
      </w:r>
      <w:r w:rsidRPr="00EF6018" w:rsidR="00A12F02">
        <w:t>. c</w:t>
      </w:r>
      <w:r w:rsidR="00E43538">
        <w:t>, p.</w:t>
      </w:r>
      <w:r w:rsidR="007209DA">
        <w:t xml:space="preserve"> 402</w:t>
      </w:r>
      <w:r w:rsidRPr="00EF6018" w:rsidR="00A12F02">
        <w:t>.)</w:t>
      </w:r>
      <w:r w:rsidRPr="00EF6018" w:rsidR="008C020B">
        <w:t xml:space="preserve">  </w:t>
      </w:r>
    </w:p>
    <w:p w:rsidR="00447B82" w:rsidRPr="00EF6018" w:rsidP="006673F2">
      <w:pPr>
        <w:tabs>
          <w:tab w:val="left" w:pos="1440"/>
        </w:tabs>
        <w:ind w:firstLine="720"/>
      </w:pPr>
      <w:r w:rsidRPr="00EF6018">
        <w:t xml:space="preserve">We have nevertheless identified two </w:t>
      </w:r>
      <w:r w:rsidRPr="00EF6018" w:rsidR="00F6596C">
        <w:t xml:space="preserve">limited </w:t>
      </w:r>
      <w:r w:rsidRPr="00EF6018">
        <w:t xml:space="preserve">circumstances </w:t>
      </w:r>
      <w:r w:rsidR="00AA2AD9">
        <w:t xml:space="preserve">in </w:t>
      </w:r>
      <w:r w:rsidRPr="00EF6018">
        <w:t xml:space="preserve">which </w:t>
      </w:r>
      <w:r w:rsidRPr="00EF6018" w:rsidR="001F7B87">
        <w:t>th</w:t>
      </w:r>
      <w:r w:rsidRPr="00EF6018" w:rsidR="00F767C1">
        <w:t>e</w:t>
      </w:r>
      <w:r w:rsidRPr="00EF6018" w:rsidR="006D12D4">
        <w:t xml:space="preserve"> </w:t>
      </w:r>
      <w:r w:rsidRPr="00EF6018">
        <w:t xml:space="preserve">presumption is overcome.  </w:t>
      </w:r>
      <w:bookmarkStart w:id="9" w:name="_Hlk79505530"/>
      <w:r w:rsidRPr="00EF6018">
        <w:t xml:space="preserve">First, in </w:t>
      </w:r>
      <w:bookmarkStart w:id="10" w:name="_Hlk77065331"/>
      <w:r w:rsidRPr="00EF6018">
        <w:rPr>
          <w:i/>
          <w:iCs/>
        </w:rPr>
        <w:t>Hooker v. Department of Transportation</w:t>
      </w:r>
      <w:r w:rsidRPr="00EF6018">
        <w:t xml:space="preserve"> (2002) 27 Cal.4th 198 (</w:t>
      </w:r>
      <w:r w:rsidRPr="00EF6018">
        <w:rPr>
          <w:i/>
          <w:iCs/>
        </w:rPr>
        <w:t>Hooker</w:t>
      </w:r>
      <w:r w:rsidRPr="00EF6018">
        <w:t>)</w:t>
      </w:r>
      <w:bookmarkEnd w:id="10"/>
      <w:r w:rsidRPr="00EF6018">
        <w:t xml:space="preserve">, </w:t>
      </w:r>
      <w:r w:rsidRPr="00CD3276">
        <w:t xml:space="preserve">we held that a hirer may be liable </w:t>
      </w:r>
      <w:bookmarkStart w:id="11" w:name="_Hlk79740662"/>
      <w:r w:rsidR="00AA1830">
        <w:t>when it</w:t>
      </w:r>
      <w:r w:rsidRPr="00CD3276" w:rsidR="00A72106">
        <w:t xml:space="preserve"> retain</w:t>
      </w:r>
      <w:r w:rsidR="00AA1830">
        <w:t>s</w:t>
      </w:r>
      <w:r w:rsidRPr="00CD3276" w:rsidR="00A72106">
        <w:t xml:space="preserve"> control</w:t>
      </w:r>
      <w:r w:rsidRPr="00CD3276">
        <w:t xml:space="preserve"> </w:t>
      </w:r>
      <w:bookmarkEnd w:id="11"/>
      <w:r w:rsidRPr="00CD3276">
        <w:t xml:space="preserve">over </w:t>
      </w:r>
      <w:r w:rsidR="00370DBC">
        <w:t xml:space="preserve">any part of </w:t>
      </w:r>
      <w:r w:rsidRPr="00CD3276" w:rsidR="00EE1F23">
        <w:t xml:space="preserve">the </w:t>
      </w:r>
      <w:r w:rsidR="00904C7A">
        <w:t xml:space="preserve">independent </w:t>
      </w:r>
      <w:r w:rsidRPr="00CD3276" w:rsidR="00EE1F23">
        <w:t>contractor’s work</w:t>
      </w:r>
      <w:r w:rsidR="002537DE">
        <w:t xml:space="preserve"> </w:t>
      </w:r>
      <w:r w:rsidRPr="00CD3276" w:rsidR="00A72106">
        <w:t xml:space="preserve">and </w:t>
      </w:r>
      <w:r w:rsidR="002F193C">
        <w:t xml:space="preserve">negligently </w:t>
      </w:r>
      <w:r w:rsidRPr="00CD3276" w:rsidR="00A72106">
        <w:t xml:space="preserve">exercises that retained control in a manner that </w:t>
      </w:r>
      <w:r w:rsidRPr="00CD3276">
        <w:t>affirmatively contributes to the worker’s injur</w:t>
      </w:r>
      <w:r w:rsidR="00CA3B1D">
        <w:t>y</w:t>
      </w:r>
      <w:r w:rsidRPr="00EF6018">
        <w:t>.  (</w:t>
      </w:r>
      <w:r w:rsidRPr="00EF6018">
        <w:rPr>
          <w:i/>
          <w:iCs/>
        </w:rPr>
        <w:t>Id</w:t>
      </w:r>
      <w:r w:rsidRPr="00EF6018">
        <w:t>. at p. 202.)</w:t>
      </w:r>
      <w:r w:rsidR="00D032E8">
        <w:t xml:space="preserve">  </w:t>
      </w:r>
      <w:bookmarkEnd w:id="9"/>
      <w:r w:rsidRPr="00EF6018">
        <w:t xml:space="preserve">Second, in </w:t>
      </w:r>
      <w:bookmarkStart w:id="12" w:name="_Hlk77065343"/>
      <w:r w:rsidRPr="00EF6018">
        <w:rPr>
          <w:i/>
          <w:iCs/>
        </w:rPr>
        <w:t>Kinsman v. Unocal Corp</w:t>
      </w:r>
      <w:r w:rsidRPr="00EF6018">
        <w:t>. (2005) 37 Cal.4th 659 (</w:t>
      </w:r>
      <w:r w:rsidRPr="00EF6018">
        <w:rPr>
          <w:i/>
          <w:iCs/>
        </w:rPr>
        <w:t>Kinsman</w:t>
      </w:r>
      <w:r w:rsidRPr="00EF6018">
        <w:t xml:space="preserve">), </w:t>
      </w:r>
      <w:bookmarkEnd w:id="12"/>
      <w:r w:rsidRPr="00EF6018">
        <w:t xml:space="preserve">we held that a landowner who hires an independent contractor may be liable if the landowner knew, or should have known, of </w:t>
      </w:r>
      <w:r w:rsidRPr="00EF6018" w:rsidR="004F2380">
        <w:t>a</w:t>
      </w:r>
      <w:r w:rsidRPr="00EF6018">
        <w:t xml:space="preserve"> </w:t>
      </w:r>
      <w:r w:rsidRPr="00EF6018" w:rsidR="008F1F6E">
        <w:t xml:space="preserve">concealed hazard </w:t>
      </w:r>
      <w:r w:rsidRPr="00EF6018">
        <w:t xml:space="preserve">on the property </w:t>
      </w:r>
      <w:r w:rsidR="000110BA">
        <w:t>that</w:t>
      </w:r>
      <w:r w:rsidRPr="00EF6018">
        <w:t xml:space="preserve"> the contractor </w:t>
      </w:r>
      <w:r w:rsidRPr="00EF6018" w:rsidR="00324FE3">
        <w:t xml:space="preserve">did not know of and </w:t>
      </w:r>
      <w:r w:rsidRPr="00EF6018">
        <w:t xml:space="preserve">could not have reasonably discovered, and the landowner failed to warn the contractor </w:t>
      </w:r>
      <w:r w:rsidRPr="00EF6018" w:rsidR="008F1F6E">
        <w:t>of the hazard</w:t>
      </w:r>
      <w:r w:rsidRPr="00EF6018">
        <w:t>.  (</w:t>
      </w:r>
      <w:r w:rsidRPr="00EF6018">
        <w:rPr>
          <w:i/>
          <w:iCs/>
        </w:rPr>
        <w:t>Id.</w:t>
      </w:r>
      <w:r w:rsidRPr="00EF6018">
        <w:t xml:space="preserve"> at p. 664.)  </w:t>
      </w:r>
    </w:p>
    <w:p w:rsidR="0025249B" w:rsidRPr="00EF6018" w:rsidP="006673F2">
      <w:pPr>
        <w:tabs>
          <w:tab w:val="left" w:pos="1440"/>
        </w:tabs>
        <w:ind w:firstLine="720"/>
      </w:pPr>
      <w:r w:rsidRPr="00EF6018">
        <w:t xml:space="preserve">We granted review in this case to decide whether a landowner may </w:t>
      </w:r>
      <w:r w:rsidRPr="00EF6018" w:rsidR="00203FBF">
        <w:t xml:space="preserve">also </w:t>
      </w:r>
      <w:r w:rsidRPr="00EF6018">
        <w:t>be liable for injuries to an independent contractor</w:t>
      </w:r>
      <w:r w:rsidRPr="00EF6018" w:rsidR="00276C6A">
        <w:t xml:space="preserve"> or its</w:t>
      </w:r>
      <w:r w:rsidRPr="00EF6018">
        <w:t xml:space="preserve"> workers </w:t>
      </w:r>
      <w:r w:rsidRPr="00EF6018" w:rsidR="004F2380">
        <w:t xml:space="preserve">that result from a </w:t>
      </w:r>
      <w:r w:rsidRPr="00EF6018" w:rsidR="008F1F6E">
        <w:t xml:space="preserve">known </w:t>
      </w:r>
      <w:r w:rsidRPr="00EF6018" w:rsidR="004F2380">
        <w:t>hazard on the premises</w:t>
      </w:r>
      <w:r w:rsidRPr="00EF6018" w:rsidR="00F6596C">
        <w:t xml:space="preserve"> where there were no reasonable safety precautions </w:t>
      </w:r>
      <w:r w:rsidR="00E15F16">
        <w:t>it</w:t>
      </w:r>
      <w:r w:rsidRPr="00EF6018" w:rsidR="00F6596C">
        <w:t xml:space="preserve"> could have adopted to avoid or minimize the hazard.</w:t>
      </w:r>
      <w:r w:rsidRPr="00EF6018" w:rsidR="00276C6A">
        <w:t xml:space="preserve">  </w:t>
      </w:r>
      <w:r w:rsidR="0093093A">
        <w:t>We</w:t>
      </w:r>
      <w:r w:rsidRPr="00EF6018" w:rsidR="00F6596C">
        <w:t xml:space="preserve"> conclude that p</w:t>
      </w:r>
      <w:r w:rsidRPr="00EF6018" w:rsidR="00EF6BD8">
        <w:t xml:space="preserve">ermitting liability </w:t>
      </w:r>
      <w:r w:rsidRPr="00EF6018" w:rsidR="00EF42CE">
        <w:t>under such circumstances</w:t>
      </w:r>
      <w:r w:rsidRPr="00EF6018" w:rsidR="00851E31">
        <w:t xml:space="preserve">, </w:t>
      </w:r>
      <w:r w:rsidRPr="00EF6018" w:rsidR="00605560">
        <w:t xml:space="preserve">thereby creating a </w:t>
      </w:r>
      <w:r w:rsidR="00A16C6D">
        <w:t xml:space="preserve">broad </w:t>
      </w:r>
      <w:r w:rsidRPr="00EF6018" w:rsidR="00605560">
        <w:t xml:space="preserve">third exception to the </w:t>
      </w:r>
      <w:r w:rsidRPr="00EF6018" w:rsidR="00605560">
        <w:rPr>
          <w:i/>
          <w:iCs/>
        </w:rPr>
        <w:t>Privette</w:t>
      </w:r>
      <w:r w:rsidRPr="00EF6018" w:rsidR="00605560">
        <w:t xml:space="preserve"> doctrine</w:t>
      </w:r>
      <w:r w:rsidRPr="00EF6018" w:rsidR="00851E31">
        <w:t>,</w:t>
      </w:r>
      <w:r w:rsidRPr="00EF6018" w:rsidR="001060AF">
        <w:t xml:space="preserve"> </w:t>
      </w:r>
      <w:r w:rsidRPr="00EF6018" w:rsidR="00EF6BD8">
        <w:t xml:space="preserve">would </w:t>
      </w:r>
      <w:r w:rsidRPr="00EF6018" w:rsidR="00851E31">
        <w:t>be fundamentally inconsistent</w:t>
      </w:r>
      <w:r w:rsidRPr="00EF6018" w:rsidR="00300F58">
        <w:t xml:space="preserve"> with </w:t>
      </w:r>
      <w:r w:rsidRPr="00EF6018" w:rsidR="00F6596C">
        <w:t>the doctrine.</w:t>
      </w:r>
      <w:r w:rsidRPr="00EF6018" w:rsidR="00A51039">
        <w:t xml:space="preserve"> </w:t>
      </w:r>
      <w:r w:rsidRPr="00EF6018" w:rsidR="00F6596C">
        <w:t xml:space="preserve"> </w:t>
      </w:r>
      <w:r w:rsidR="0093093A">
        <w:t>W</w:t>
      </w:r>
      <w:r w:rsidRPr="00EF6018">
        <w:t>he</w:t>
      </w:r>
      <w:r w:rsidRPr="00EF6018" w:rsidR="00087EA1">
        <w:t>n</w:t>
      </w:r>
      <w:r w:rsidRPr="00EF6018">
        <w:t xml:space="preserve"> a landowner hires an independent contractor to perform a task on the landowner’s property, the landowner </w:t>
      </w:r>
      <w:r w:rsidR="00343370">
        <w:t xml:space="preserve">presumptively </w:t>
      </w:r>
      <w:r w:rsidRPr="00EF6018">
        <w:t>delegates</w:t>
      </w:r>
      <w:r w:rsidRPr="00EF6018" w:rsidR="00AA30D7">
        <w:t xml:space="preserve"> to the contractor</w:t>
      </w:r>
      <w:r w:rsidRPr="00EF6018">
        <w:t xml:space="preserve"> </w:t>
      </w:r>
      <w:r w:rsidR="00AC7B79">
        <w:t>a</w:t>
      </w:r>
      <w:r w:rsidRPr="00EF6018">
        <w:t xml:space="preserve"> duty to ensure the safety of its workers</w:t>
      </w:r>
      <w:r w:rsidR="0093093A">
        <w:t xml:space="preserve">.  This encompasses </w:t>
      </w:r>
      <w:r w:rsidR="00AC7B79">
        <w:t>a</w:t>
      </w:r>
      <w:r w:rsidR="0093093A">
        <w:t xml:space="preserve"> duty to </w:t>
      </w:r>
      <w:r w:rsidRPr="00EF6018">
        <w:t xml:space="preserve">determine whether the work can be performed safely despite </w:t>
      </w:r>
      <w:r w:rsidRPr="00EF6018" w:rsidR="00F767C1">
        <w:t>a known</w:t>
      </w:r>
      <w:r w:rsidRPr="00EF6018">
        <w:t xml:space="preserve"> hazard</w:t>
      </w:r>
      <w:r w:rsidRPr="00EF6018" w:rsidR="00276C6A">
        <w:t xml:space="preserve"> on the worksite</w:t>
      </w:r>
      <w:r w:rsidRPr="00EF6018">
        <w:t>.</w:t>
      </w:r>
      <w:r w:rsidRPr="00EF6018" w:rsidR="00150EEB">
        <w:t xml:space="preserve">  </w:t>
      </w:r>
      <w:r w:rsidR="002218E6">
        <w:t xml:space="preserve">As between a landowner and an independent contractor, the </w:t>
      </w:r>
      <w:r w:rsidR="00A16C6D">
        <w:t xml:space="preserve">law assumes </w:t>
      </w:r>
      <w:r w:rsidR="00AA2AD9">
        <w:t xml:space="preserve">that </w:t>
      </w:r>
      <w:r w:rsidR="00A16C6D">
        <w:t xml:space="preserve">the </w:t>
      </w:r>
      <w:r w:rsidR="002218E6">
        <w:t xml:space="preserve">independent contractor is </w:t>
      </w:r>
      <w:r w:rsidR="00DF5184">
        <w:t xml:space="preserve">typically </w:t>
      </w:r>
      <w:r w:rsidR="002218E6">
        <w:t xml:space="preserve">better positioned to determine whether </w:t>
      </w:r>
      <w:r w:rsidR="00E15F16">
        <w:t>and</w:t>
      </w:r>
      <w:r w:rsidR="002218E6">
        <w:t xml:space="preserve"> how</w:t>
      </w:r>
      <w:r w:rsidR="00E15F16">
        <w:t xml:space="preserve"> open and obvious safety hazards on the worksite</w:t>
      </w:r>
      <w:r w:rsidR="002218E6">
        <w:t xml:space="preserve"> might be addressed</w:t>
      </w:r>
      <w:r w:rsidR="00E15F16">
        <w:t xml:space="preserve"> in performing the work</w:t>
      </w:r>
      <w:r w:rsidR="002218E6">
        <w:t xml:space="preserve">.  </w:t>
      </w:r>
      <w:r w:rsidR="007E0F5D">
        <w:t xml:space="preserve">Our case law makes clear that, </w:t>
      </w:r>
      <w:r w:rsidR="00A16C6D">
        <w:t xml:space="preserve">where the hirer has effectively delegated its duties, </w:t>
      </w:r>
      <w:r w:rsidR="007E0F5D">
        <w:t xml:space="preserve">there is no affirmative obligation </w:t>
      </w:r>
      <w:r w:rsidR="00E15F16">
        <w:t xml:space="preserve">on the hirer’s part </w:t>
      </w:r>
      <w:r w:rsidR="007E0F5D">
        <w:t xml:space="preserve">to independently assess </w:t>
      </w:r>
      <w:r w:rsidR="00E15F16">
        <w:t xml:space="preserve">workplace safety.  </w:t>
      </w:r>
      <w:r w:rsidRPr="00EF6018" w:rsidR="000A23D2">
        <w:t>Thus</w:t>
      </w:r>
      <w:r w:rsidRPr="00EF6018" w:rsidR="00150EEB">
        <w:t xml:space="preserve">, unless </w:t>
      </w:r>
      <w:r w:rsidRPr="00EF6018" w:rsidR="00B23A20">
        <w:t>a</w:t>
      </w:r>
      <w:r w:rsidRPr="00EF6018" w:rsidR="00150EEB">
        <w:t xml:space="preserve"> landowner </w:t>
      </w:r>
      <w:r w:rsidR="003522BD">
        <w:t>retains</w:t>
      </w:r>
      <w:r w:rsidRPr="00EF6018" w:rsidR="00150EEB">
        <w:t xml:space="preserve"> control </w:t>
      </w:r>
      <w:r w:rsidRPr="00EF6018" w:rsidR="000A23D2">
        <w:t xml:space="preserve">over </w:t>
      </w:r>
      <w:r w:rsidR="00295791">
        <w:t xml:space="preserve">any part of </w:t>
      </w:r>
      <w:r w:rsidRPr="00EF6018" w:rsidR="000A23D2">
        <w:t xml:space="preserve">the </w:t>
      </w:r>
      <w:r w:rsidR="00AF32E4">
        <w:t xml:space="preserve">contractor’s </w:t>
      </w:r>
      <w:r w:rsidR="00CA3B1D">
        <w:t>work</w:t>
      </w:r>
      <w:r w:rsidRPr="00EF6018" w:rsidR="000A23D2">
        <w:t xml:space="preserve"> </w:t>
      </w:r>
      <w:r w:rsidR="003522BD">
        <w:t xml:space="preserve">and </w:t>
      </w:r>
      <w:r w:rsidR="002F193C">
        <w:t xml:space="preserve">negligently </w:t>
      </w:r>
      <w:r w:rsidR="003522BD">
        <w:t xml:space="preserve">exercises that retained control </w:t>
      </w:r>
      <w:r w:rsidRPr="00EF6018" w:rsidR="000A23D2">
        <w:t>in a manner that affirmatively contribute</w:t>
      </w:r>
      <w:r w:rsidRPr="00EF6018" w:rsidR="00B23A20">
        <w:t>s</w:t>
      </w:r>
      <w:r w:rsidRPr="00EF6018" w:rsidR="000A23D2">
        <w:t xml:space="preserve"> to the injur</w:t>
      </w:r>
      <w:r w:rsidRPr="00EF6018" w:rsidR="002F2250">
        <w:t>y</w:t>
      </w:r>
      <w:r w:rsidRPr="00EF6018" w:rsidR="00257086">
        <w:t xml:space="preserve"> (</w:t>
      </w:r>
      <w:r w:rsidRPr="00EF6018" w:rsidR="00257086">
        <w:rPr>
          <w:i/>
          <w:iCs/>
        </w:rPr>
        <w:t>Hooker</w:t>
      </w:r>
      <w:r w:rsidRPr="00EF6018" w:rsidR="00257086">
        <w:t xml:space="preserve">, </w:t>
      </w:r>
      <w:r w:rsidRPr="00EF6018" w:rsidR="00257086">
        <w:rPr>
          <w:i/>
          <w:iCs/>
        </w:rPr>
        <w:t>supra</w:t>
      </w:r>
      <w:r w:rsidRPr="00EF6018" w:rsidR="00257086">
        <w:t>, 27 Cal.4th at p. 202)</w:t>
      </w:r>
      <w:r w:rsidRPr="00EF6018" w:rsidR="000A23D2">
        <w:t>,</w:t>
      </w:r>
      <w:r w:rsidRPr="00EF6018" w:rsidR="00150EEB">
        <w:t xml:space="preserve"> </w:t>
      </w:r>
      <w:r w:rsidRPr="00EF6018" w:rsidR="00B23A20">
        <w:t>it</w:t>
      </w:r>
      <w:r w:rsidRPr="00EF6018" w:rsidR="00150EEB">
        <w:t xml:space="preserve"> </w:t>
      </w:r>
      <w:r w:rsidRPr="00EF6018" w:rsidR="000A23D2">
        <w:t>will not be</w:t>
      </w:r>
      <w:r w:rsidRPr="00EF6018" w:rsidR="00150EEB">
        <w:t xml:space="preserve"> liable</w:t>
      </w:r>
      <w:r w:rsidRPr="00EF6018" w:rsidR="00DB13CD">
        <w:t xml:space="preserve"> to an independent contractor or its workers for </w:t>
      </w:r>
      <w:r w:rsidRPr="00EF6018" w:rsidR="002F2250">
        <w:t xml:space="preserve">an </w:t>
      </w:r>
      <w:r w:rsidRPr="00EF6018" w:rsidR="00DB13CD">
        <w:t>injur</w:t>
      </w:r>
      <w:r w:rsidRPr="00EF6018" w:rsidR="002F2250">
        <w:t>y</w:t>
      </w:r>
      <w:r w:rsidRPr="00EF6018" w:rsidR="00DB13CD">
        <w:t xml:space="preserve"> resulting from a known hazard on the premises</w:t>
      </w:r>
      <w:r w:rsidRPr="00EF6018" w:rsidR="00150EEB">
        <w:t>.</w:t>
      </w:r>
      <w:r w:rsidRPr="00EF6018" w:rsidR="000A23D2">
        <w:t xml:space="preserve">  </w:t>
      </w:r>
      <w:r w:rsidRPr="00EF6018" w:rsidR="00DB13CD">
        <w:t>Because the Court of Appeal held otherwise,</w:t>
      </w:r>
      <w:r w:rsidRPr="00EF6018" w:rsidR="00F6596C">
        <w:t xml:space="preserve"> we</w:t>
      </w:r>
      <w:r w:rsidRPr="00EF6018" w:rsidR="00290B10">
        <w:t xml:space="preserve"> </w:t>
      </w:r>
      <w:r w:rsidRPr="00EF6018">
        <w:t>revers</w:t>
      </w:r>
      <w:r w:rsidRPr="00EF6018" w:rsidR="00F6596C">
        <w:t>e</w:t>
      </w:r>
      <w:r w:rsidRPr="00EF6018">
        <w:t xml:space="preserve"> the </w:t>
      </w:r>
      <w:r w:rsidRPr="00EF6018" w:rsidR="00324FE3">
        <w:t>judgment</w:t>
      </w:r>
      <w:r w:rsidRPr="00EF6018">
        <w:t>.</w:t>
      </w:r>
    </w:p>
    <w:p w:rsidR="001F28B7" w:rsidRPr="00EF6018" w:rsidP="00EF6018">
      <w:pPr>
        <w:pStyle w:val="Heading1"/>
      </w:pPr>
      <w:r w:rsidRPr="00EF6018">
        <w:t>I.  Background</w:t>
      </w:r>
    </w:p>
    <w:p w:rsidR="001F28B7" w:rsidRPr="00EF6018" w:rsidP="006673F2">
      <w:pPr>
        <w:tabs>
          <w:tab w:val="left" w:pos="1440"/>
        </w:tabs>
        <w:ind w:firstLine="720"/>
      </w:pPr>
      <w:r w:rsidRPr="00EF6018">
        <w:t>T</w:t>
      </w:r>
      <w:r w:rsidRPr="00EF6018">
        <w:t>his case comes before us after the trial court granted a motion for summary judgment</w:t>
      </w:r>
      <w:r w:rsidRPr="00EF6018">
        <w:t>.  We therefore “</w:t>
      </w:r>
      <w:r w:rsidRPr="00EF6018">
        <w:t>take the facts from the record that was before the trial court when it ruled on that motion.  [Citation.]  ‘</w:t>
      </w:r>
      <w:r w:rsidR="00F7312E">
        <w:t> </w:t>
      </w:r>
      <w:r w:rsidRPr="00EF6018">
        <w:t>“We review the trial court’s decision de novo, considering all the evidence set forth in the moving and opposing papers except that to which objections were made and sustained.”</w:t>
      </w:r>
      <w:r w:rsidR="00F7312E">
        <w:t> </w:t>
      </w:r>
      <w:r w:rsidRPr="00EF6018">
        <w:t>’  [Citation.]  We liberally construe the evidence in support of the party opposing summary judgment and resolve doubts concerning the evidence in favor of that party.  [Citation.]”  (</w:t>
      </w:r>
      <w:r w:rsidRPr="00EF6018">
        <w:rPr>
          <w:i/>
          <w:iCs/>
        </w:rPr>
        <w:t>Yanowitz v. L’Oreal USA, Inc.</w:t>
      </w:r>
      <w:r w:rsidRPr="00EF6018">
        <w:t xml:space="preserve"> (2005) 36 Cal.4th 1028, 1037.)</w:t>
      </w:r>
    </w:p>
    <w:p w:rsidR="001F28B7" w:rsidRPr="00EF6018" w:rsidP="006673F2">
      <w:pPr>
        <w:tabs>
          <w:tab w:val="left" w:pos="1440"/>
        </w:tabs>
        <w:ind w:firstLine="720"/>
      </w:pPr>
      <w:r w:rsidRPr="00EF6018">
        <w:t xml:space="preserve">Defendant John </w:t>
      </w:r>
      <w:r w:rsidR="000110BA">
        <w:t xml:space="preserve">R. </w:t>
      </w:r>
      <w:r w:rsidRPr="00EF6018">
        <w:t>Mathis lives in a one-story house with a flat, sand-and-gravel roof.</w:t>
      </w:r>
      <w:r w:rsidR="00D032E8">
        <w:t xml:space="preserve">  </w:t>
      </w:r>
      <w:r w:rsidRPr="00EF6018" w:rsidR="002A694C">
        <w:t>The roof contains a</w:t>
      </w:r>
      <w:r w:rsidRPr="00EF6018" w:rsidR="00D41DD8">
        <w:t xml:space="preserve"> large skylight covering an indoor pool.</w:t>
      </w:r>
      <w:r w:rsidR="00D032E8">
        <w:t xml:space="preserve">  </w:t>
      </w:r>
      <w:r w:rsidRPr="00EF6018">
        <w:t>Plaintiff Luis Gonzalez is a professional window washer who first started cleaning Mathis’s skylight in the 1990s as an employee of Beverly Hills Window Cleaning</w:t>
      </w:r>
      <w:r w:rsidR="00D032E8">
        <w:t xml:space="preserve">.  </w:t>
      </w:r>
      <w:r w:rsidRPr="00EF6018">
        <w:t xml:space="preserve">In the mid-2000s, Gonzalez started his own </w:t>
      </w:r>
      <w:r w:rsidRPr="00EF6018" w:rsidR="00087EA1">
        <w:t>professional window washing</w:t>
      </w:r>
      <w:r w:rsidRPr="00EF6018">
        <w:t xml:space="preserve"> </w:t>
      </w:r>
      <w:r w:rsidRPr="00EF6018" w:rsidR="00276C6A">
        <w:t>company</w:t>
      </w:r>
      <w:r w:rsidRPr="00EF6018">
        <w:t>.  Gonzalez advertised his business as specializing in hard to reach windows and skylights.</w:t>
      </w:r>
      <w:r w:rsidR="00D032E8">
        <w:t xml:space="preserve">  </w:t>
      </w:r>
      <w:r w:rsidRPr="00EF6018">
        <w:t>His marketing materials state</w:t>
      </w:r>
      <w:r w:rsidRPr="00EF6018" w:rsidR="00144420">
        <w:t>d</w:t>
      </w:r>
      <w:r w:rsidRPr="00EF6018">
        <w:t xml:space="preserve"> that </w:t>
      </w:r>
      <w:r w:rsidRPr="00EF6018" w:rsidR="00086438">
        <w:t>he</w:t>
      </w:r>
      <w:r w:rsidRPr="00EF6018">
        <w:t xml:space="preserve"> “trains his employees to take extra care . . . with their own safety when cleaning windows.”  </w:t>
      </w:r>
      <w:r w:rsidR="00D032E8">
        <w:t xml:space="preserve"> </w:t>
      </w:r>
      <w:r w:rsidRPr="00EF6018">
        <w:t xml:space="preserve">    </w:t>
      </w:r>
    </w:p>
    <w:p w:rsidR="001F28B7" w:rsidRPr="00EF6018" w:rsidP="006673F2">
      <w:pPr>
        <w:tabs>
          <w:tab w:val="left" w:pos="1440"/>
        </w:tabs>
        <w:ind w:firstLine="720"/>
      </w:pPr>
      <w:r w:rsidRPr="00EF6018">
        <w:t>In or around 2007, Mathis began regularly hiring Gonzalez’s company to clean the skylight.  Gonzalez would climb a ladder affixed to the house to access the roof.  Directly to the right of the top of the ladder, a three-foot-high parapet wall runs parallel to the skylight.  Mathis constructed the parapet wall for the aesthetic purpose of obscuring air conditioning ducts and pipes from view.</w:t>
      </w:r>
      <w:r w:rsidR="00D032E8">
        <w:t xml:space="preserve">  </w:t>
      </w:r>
      <w:r w:rsidRPr="00EF6018">
        <w:t xml:space="preserve">The path between the edge of the roof and the parapet wall is approximately 20 inches wide.  Gonzalez would walk between the parapet wall and </w:t>
      </w:r>
      <w:r w:rsidR="00AC7B79">
        <w:t xml:space="preserve">the </w:t>
      </w:r>
      <w:r w:rsidRPr="00EF6018">
        <w:t>edge of the roof and use a</w:t>
      </w:r>
      <w:r w:rsidRPr="00EF6018" w:rsidR="0036654C">
        <w:t xml:space="preserve"> long, water-fed pol</w:t>
      </w:r>
      <w:r w:rsidRPr="00EF6018" w:rsidR="00257086">
        <w:t>e</w:t>
      </w:r>
      <w:r w:rsidRPr="00EF6018">
        <w:t xml:space="preserve"> to clean the skylight.  Gonzalez </w:t>
      </w:r>
      <w:r w:rsidRPr="00EF6018" w:rsidR="0036654C">
        <w:t xml:space="preserve">testified that he </w:t>
      </w:r>
      <w:r w:rsidRPr="00EF6018">
        <w:t xml:space="preserve">did not walk </w:t>
      </w:r>
      <w:r w:rsidRPr="00EF6018" w:rsidR="00963FDA">
        <w:t>on the other side of the parapet wall</w:t>
      </w:r>
      <w:r w:rsidR="006018AD">
        <w:t> </w:t>
      </w:r>
      <w:r w:rsidRPr="00EF6018" w:rsidR="0036654C">
        <w:t xml:space="preserve">— </w:t>
      </w:r>
      <w:r w:rsidRPr="00EF6018" w:rsidR="00963FDA">
        <w:t xml:space="preserve">i.e., </w:t>
      </w:r>
      <w:r w:rsidRPr="00EF6018">
        <w:t>between the parapet wall and the skylight</w:t>
      </w:r>
      <w:r w:rsidR="006018AD">
        <w:t> </w:t>
      </w:r>
      <w:r w:rsidRPr="00EF6018" w:rsidR="0036654C">
        <w:t>—</w:t>
      </w:r>
      <w:r w:rsidR="00455878">
        <w:t xml:space="preserve"> </w:t>
      </w:r>
      <w:r w:rsidRPr="00EF6018">
        <w:t xml:space="preserve">because air conditioning ducts, pipes, and other permanent fixtures made the space too tight for him to </w:t>
      </w:r>
      <w:r w:rsidRPr="00EF6018" w:rsidR="001F1615">
        <w:t>navigate</w:t>
      </w:r>
      <w:r w:rsidRPr="00EF6018">
        <w:t>.</w:t>
      </w:r>
      <w:r w:rsidRPr="00EF6018" w:rsidR="00865E95">
        <w:rPr>
          <w:szCs w:val="26"/>
        </w:rPr>
        <w:t xml:space="preserve"> </w:t>
      </w:r>
      <w:r w:rsidRPr="00EF6018">
        <w:t xml:space="preserve"> </w:t>
      </w:r>
    </w:p>
    <w:p w:rsidR="001F28B7" w:rsidRPr="00EF6018" w:rsidP="006673F2">
      <w:pPr>
        <w:tabs>
          <w:tab w:val="left" w:pos="1440"/>
        </w:tabs>
        <w:ind w:firstLine="720"/>
      </w:pPr>
      <w:r w:rsidRPr="00EF6018">
        <w:t xml:space="preserve">On August 1, 2012, at the direction of Mathis’s housekeeper, </w:t>
      </w:r>
      <w:r w:rsidRPr="00EF6018" w:rsidR="00276C6A">
        <w:t xml:space="preserve">Gonzalez </w:t>
      </w:r>
      <w:r w:rsidR="00717809">
        <w:t>went up on to the roof</w:t>
      </w:r>
      <w:r w:rsidRPr="00EF6018">
        <w:t xml:space="preserve"> to tell his employees to use less water while cleaning the skylight because water was leaking </w:t>
      </w:r>
      <w:r w:rsidRPr="00EF6018" w:rsidR="00257086">
        <w:t>into the house</w:t>
      </w:r>
      <w:r w:rsidRPr="00EF6018">
        <w:t xml:space="preserve">.  While Gonzalez was walking between the parapet wall and the edge of the roof on his way back to </w:t>
      </w:r>
      <w:r w:rsidRPr="00EF6018" w:rsidR="00324FE3">
        <w:t xml:space="preserve">the </w:t>
      </w:r>
      <w:r w:rsidRPr="00EF6018">
        <w:t>ladder, he slipped and fell to the ground</w:t>
      </w:r>
      <w:r w:rsidRPr="00EF6018" w:rsidR="00015CEA">
        <w:t>, sustaining serious injuries</w:t>
      </w:r>
      <w:r w:rsidRPr="00EF6018">
        <w:t>.</w:t>
      </w:r>
      <w:r w:rsidRPr="00EF6018" w:rsidR="00936B58">
        <w:t xml:space="preserve">  </w:t>
      </w:r>
      <w:r w:rsidRPr="00EF6018">
        <w:t xml:space="preserve">Gonzalez did not </w:t>
      </w:r>
      <w:r w:rsidRPr="00EF6018" w:rsidR="00015CEA">
        <w:t>have</w:t>
      </w:r>
      <w:r w:rsidRPr="00EF6018">
        <w:t xml:space="preserve"> workers</w:t>
      </w:r>
      <w:r w:rsidRPr="00EF6018" w:rsidR="0044151E">
        <w:t>’</w:t>
      </w:r>
      <w:r w:rsidRPr="00EF6018">
        <w:t xml:space="preserve"> compensation insurance.  </w:t>
      </w:r>
      <w:r w:rsidR="00276FE7">
        <w:t xml:space="preserve"> </w:t>
      </w:r>
    </w:p>
    <w:p w:rsidR="001F28B7" w:rsidRPr="00EF6018" w:rsidP="006673F2">
      <w:pPr>
        <w:tabs>
          <w:tab w:val="left" w:pos="1440"/>
        </w:tabs>
        <w:ind w:firstLine="720"/>
      </w:pPr>
      <w:r w:rsidRPr="00EF6018">
        <w:t xml:space="preserve">Gonzalez contends that his accident was caused by the following dangerous conditions on Mathis’s roof: </w:t>
      </w:r>
      <w:r w:rsidRPr="00EF6018" w:rsidR="00F14C50">
        <w:t xml:space="preserve"> </w:t>
      </w:r>
      <w:r w:rsidRPr="00EF6018">
        <w:t xml:space="preserve">(1) </w:t>
      </w:r>
      <w:r w:rsidRPr="00EF6018" w:rsidR="0051561F">
        <w:t xml:space="preserve">Mathis’s </w:t>
      </w:r>
      <w:r w:rsidRPr="00EF6018">
        <w:t>lack of maintenance caused the roof to have a very slippery surface made up of “loose rocks, pebbles, and sand”; (2) the roof contained no tie-off points from which to attach</w:t>
      </w:r>
      <w:r w:rsidRPr="00EF6018" w:rsidR="00086438">
        <w:t xml:space="preserve"> a</w:t>
      </w:r>
      <w:r w:rsidRPr="00EF6018">
        <w:t xml:space="preserve"> safety harness; (3) the roof’s edge did not contain a guardrail or safety wall; and (4) the path between the parapet wall and the roof’s edge was unreasonably narrow</w:t>
      </w:r>
      <w:r w:rsidRPr="00EF6018" w:rsidR="000C37E9">
        <w:t xml:space="preserve"> and </w:t>
      </w:r>
      <w:r w:rsidR="00AC7B79">
        <w:t>Gonzalez</w:t>
      </w:r>
      <w:r w:rsidRPr="00EF6018" w:rsidR="000C37E9">
        <w:t xml:space="preserve"> could not fit between the parapet wall and the skylight due to obstructing fixtures</w:t>
      </w:r>
      <w:r w:rsidRPr="00EF6018">
        <w:t xml:space="preserve">.  Gonzalez </w:t>
      </w:r>
      <w:r w:rsidRPr="00EF6018" w:rsidR="001C4441">
        <w:t>testified</w:t>
      </w:r>
      <w:r w:rsidRPr="00EF6018" w:rsidR="001F1615">
        <w:t xml:space="preserve"> that he </w:t>
      </w:r>
      <w:r w:rsidRPr="00EF6018">
        <w:t xml:space="preserve">knew of these conditions since he first started cleaning Mathis’s skylight, although the roof’s condition </w:t>
      </w:r>
      <w:r w:rsidRPr="00EF6018" w:rsidR="00015CEA">
        <w:t>became progressively worse and m</w:t>
      </w:r>
      <w:r w:rsidRPr="00EF6018">
        <w:t>ore slippery over time.</w:t>
      </w:r>
      <w:r w:rsidRPr="00EF6018" w:rsidR="0051561F">
        <w:t xml:space="preserve"> </w:t>
      </w:r>
      <w:r w:rsidRPr="00EF6018">
        <w:t xml:space="preserve"> </w:t>
      </w:r>
      <w:bookmarkStart w:id="13" w:name="_Hlk79676973"/>
      <w:bookmarkStart w:id="14" w:name="_Hlk79688465"/>
      <w:r w:rsidRPr="00EF6018">
        <w:t xml:space="preserve">Gonzalez </w:t>
      </w:r>
      <w:r w:rsidRPr="00EF6018" w:rsidR="001C4441">
        <w:t>also testified</w:t>
      </w:r>
      <w:r w:rsidRPr="00EF6018" w:rsidR="001F1615">
        <w:t xml:space="preserve"> that he </w:t>
      </w:r>
      <w:r w:rsidRPr="00EF6018">
        <w:t xml:space="preserve">told Mathis’s housekeeper </w:t>
      </w:r>
      <w:r w:rsidRPr="00EF6018" w:rsidR="00015CEA">
        <w:t xml:space="preserve">and accountant </w:t>
      </w:r>
      <w:r w:rsidRPr="00EF6018">
        <w:t>“months before the accident” that the roof was in a dangerous condition and needed to be repaired</w:t>
      </w:r>
      <w:r w:rsidR="003C0584">
        <w:t xml:space="preserve">, though Gonzalez did not indicate that </w:t>
      </w:r>
      <w:r w:rsidR="000F3370">
        <w:t>his</w:t>
      </w:r>
      <w:r w:rsidR="00142453">
        <w:t xml:space="preserve"> work</w:t>
      </w:r>
      <w:r w:rsidR="000F3370">
        <w:t xml:space="preserve"> of cleaning the skylight</w:t>
      </w:r>
      <w:r w:rsidR="00142453">
        <w:t xml:space="preserve"> could not be performed safely</w:t>
      </w:r>
      <w:r w:rsidR="003C0584">
        <w:t xml:space="preserve"> absent the roof’s repair</w:t>
      </w:r>
      <w:r w:rsidRPr="00EF6018">
        <w:t xml:space="preserve">.  </w:t>
      </w:r>
      <w:r w:rsidR="00276FE7">
        <w:t xml:space="preserve"> </w:t>
      </w:r>
      <w:bookmarkEnd w:id="13"/>
    </w:p>
    <w:p w:rsidR="001F28B7" w:rsidRPr="00EF6018" w:rsidP="006673F2">
      <w:pPr>
        <w:tabs>
          <w:tab w:val="left" w:pos="1440"/>
        </w:tabs>
        <w:ind w:firstLine="720"/>
      </w:pPr>
      <w:bookmarkEnd w:id="14"/>
      <w:r w:rsidRPr="00EF6018">
        <w:t xml:space="preserve">The trial court granted Mathis’s motion for summary judgment, finding that Mathis owed no duty to Gonzalez pursuant to the </w:t>
      </w:r>
      <w:r w:rsidRPr="00EF6018">
        <w:rPr>
          <w:i/>
          <w:iCs/>
        </w:rPr>
        <w:t>Privette</w:t>
      </w:r>
      <w:r w:rsidRPr="00EF6018">
        <w:t xml:space="preserve"> </w:t>
      </w:r>
      <w:r w:rsidRPr="00EF6018" w:rsidR="00015CEA">
        <w:t>doctrine</w:t>
      </w:r>
      <w:r w:rsidRPr="00EF6018">
        <w:t>.</w:t>
      </w:r>
      <w:r w:rsidRPr="00EF6018" w:rsidR="00327CC9">
        <w:t xml:space="preserve">  </w:t>
      </w:r>
      <w:r w:rsidRPr="00EF6018">
        <w:t>The Court of Appeal reversed.</w:t>
      </w:r>
      <w:r w:rsidRPr="00EF6018" w:rsidR="004544F4">
        <w:t xml:space="preserve">  </w:t>
      </w:r>
      <w:r w:rsidR="007E0F5D">
        <w:t xml:space="preserve">It held that a landowner may be liable to an independent contractor or its workers for injuries resulting from known hazards in certain circumstances.  </w:t>
      </w:r>
      <w:bookmarkStart w:id="15" w:name="_Hlk77065921"/>
      <w:r w:rsidRPr="00EF6018" w:rsidR="00AB3339">
        <w:t>(</w:t>
      </w:r>
      <w:r w:rsidRPr="00EF6018" w:rsidR="00AB3339">
        <w:rPr>
          <w:i/>
          <w:iCs/>
        </w:rPr>
        <w:t>Gonzalez v. Mathis</w:t>
      </w:r>
      <w:r w:rsidRPr="00EF6018" w:rsidR="00AB3339">
        <w:t xml:space="preserve"> (2018) 20 Cal.App.5th 257, 272–273</w:t>
      </w:r>
      <w:r w:rsidR="00AB3339">
        <w:t xml:space="preserve"> (</w:t>
      </w:r>
      <w:r w:rsidR="00AB3339">
        <w:rPr>
          <w:i/>
          <w:iCs/>
        </w:rPr>
        <w:t>Gonzalez</w:t>
      </w:r>
      <w:r w:rsidR="00AB3339">
        <w:t>)</w:t>
      </w:r>
      <w:r w:rsidRPr="00EF6018" w:rsidR="00AB3339">
        <w:t>.)</w:t>
      </w:r>
      <w:bookmarkEnd w:id="15"/>
      <w:r w:rsidR="007E0F5D">
        <w:t xml:space="preserve">  More specifically, the Court of Appeal relied on </w:t>
      </w:r>
      <w:r w:rsidRPr="00D401BE" w:rsidR="007E0F5D">
        <w:t>dicta</w:t>
      </w:r>
      <w:r w:rsidR="007E0F5D">
        <w:t xml:space="preserve"> in </w:t>
      </w:r>
      <w:r w:rsidRPr="0097066C" w:rsidR="007E0F5D">
        <w:rPr>
          <w:i/>
          <w:iCs/>
        </w:rPr>
        <w:t>Kinsman</w:t>
      </w:r>
      <w:r w:rsidR="005E08F3">
        <w:t xml:space="preserve"> </w:t>
      </w:r>
      <w:r w:rsidR="00D401BE">
        <w:t xml:space="preserve">providing </w:t>
      </w:r>
      <w:r w:rsidR="007E0F5D">
        <w:t>that</w:t>
      </w:r>
      <w:r w:rsidR="005E08F3">
        <w:t>,</w:t>
      </w:r>
      <w:r w:rsidRPr="00EF6018" w:rsidR="0035742D">
        <w:t xml:space="preserve"> </w:t>
      </w:r>
      <w:r w:rsidRPr="00EF6018" w:rsidR="00854156">
        <w:t>“</w:t>
      </w:r>
      <w:r w:rsidR="00531D22">
        <w:t> </w:t>
      </w:r>
      <w:r w:rsidRPr="00EF6018" w:rsidR="00854156">
        <w:t>‘when there is a known safety hazard on a hirer’s premises that can be addressed through reasonable safety precautions on the part of the independent contractor, . . . the hirer generally delegates the responsibility to take such precautions to the contractor’</w:t>
      </w:r>
      <w:r w:rsidR="00F7312E">
        <w:t> </w:t>
      </w:r>
      <w:r w:rsidRPr="00EF6018" w:rsidR="00854156">
        <w:t xml:space="preserve">” </w:t>
      </w:r>
      <w:r w:rsidR="0097066C">
        <w:t>(</w:t>
      </w:r>
      <w:r w:rsidR="0097066C">
        <w:rPr>
          <w:i/>
          <w:iCs/>
        </w:rPr>
        <w:t>Gonzalez</w:t>
      </w:r>
      <w:r w:rsidR="0097066C">
        <w:t>, at p. 268)</w:t>
      </w:r>
      <w:r w:rsidR="0097066C">
        <w:rPr>
          <w:i/>
          <w:iCs/>
        </w:rPr>
        <w:t xml:space="preserve"> </w:t>
      </w:r>
      <w:r w:rsidRPr="00EF6018" w:rsidR="00854156">
        <w:t>to hold that, “[a]s a corollary, the hirer can be held liable when he or she exposes a contractor (or its employees) to a known ha</w:t>
      </w:r>
      <w:r w:rsidRPr="00EF6018" w:rsidR="00224076">
        <w:t>zard</w:t>
      </w:r>
      <w:r w:rsidRPr="00EF6018" w:rsidR="00854156">
        <w:t xml:space="preserve"> that cannot be remedied through reasonable safety precautions”</w:t>
      </w:r>
      <w:r w:rsidRPr="00EF6018" w:rsidR="00A85C49">
        <w:t xml:space="preserve"> (</w:t>
      </w:r>
      <w:r w:rsidR="00FF6933">
        <w:rPr>
          <w:i/>
          <w:iCs/>
        </w:rPr>
        <w:t>i</w:t>
      </w:r>
      <w:r w:rsidRPr="00AB3339" w:rsidR="00AB3339">
        <w:rPr>
          <w:i/>
          <w:iCs/>
        </w:rPr>
        <w:t>d</w:t>
      </w:r>
      <w:r w:rsidR="00AB3339">
        <w:t>.</w:t>
      </w:r>
      <w:r w:rsidR="0097066C">
        <w:t xml:space="preserve"> at pp. </w:t>
      </w:r>
      <w:r w:rsidRPr="00EF6018" w:rsidR="0097066C">
        <w:t>272–273</w:t>
      </w:r>
      <w:r w:rsidR="00AB3339">
        <w:t>)</w:t>
      </w:r>
      <w:r w:rsidR="0097066C">
        <w:t>.</w:t>
      </w:r>
      <w:r w:rsidR="00AB3339">
        <w:t xml:space="preserve">  </w:t>
      </w:r>
      <w:r w:rsidRPr="00EF6018" w:rsidR="00224076">
        <w:t>The Court of Appeal</w:t>
      </w:r>
      <w:r w:rsidRPr="00EF6018">
        <w:t xml:space="preserve"> </w:t>
      </w:r>
      <w:r w:rsidRPr="00EF6018" w:rsidR="0042392C">
        <w:t>additionally</w:t>
      </w:r>
      <w:r w:rsidRPr="00EF6018" w:rsidR="0051561F">
        <w:t xml:space="preserve"> </w:t>
      </w:r>
      <w:r w:rsidRPr="00EF6018" w:rsidR="0042392C">
        <w:t>held</w:t>
      </w:r>
      <w:r w:rsidRPr="00EF6018" w:rsidR="0051561F">
        <w:t xml:space="preserve"> that </w:t>
      </w:r>
      <w:r w:rsidRPr="00EF6018">
        <w:t>disputed issues of material fact existed as to whether Gonzalez could have taken reasonable safety precautions to avoid the danger</w:t>
      </w:r>
      <w:r w:rsidRPr="00EF6018" w:rsidR="002C6263">
        <w:t>, precluding summary judgment</w:t>
      </w:r>
      <w:r w:rsidRPr="00EF6018">
        <w:t>.  (</w:t>
      </w:r>
      <w:r w:rsidRPr="00EF6018" w:rsidR="00015CEA">
        <w:rPr>
          <w:i/>
          <w:iCs/>
        </w:rPr>
        <w:t>Id</w:t>
      </w:r>
      <w:r w:rsidRPr="00EF6018" w:rsidR="00015CEA">
        <w:t>.</w:t>
      </w:r>
      <w:r w:rsidRPr="00EF6018">
        <w:t xml:space="preserve"> at pp. 273–274.)    </w:t>
      </w:r>
    </w:p>
    <w:p w:rsidR="001F28B7" w:rsidRPr="00EF6018" w:rsidP="006673F2">
      <w:pPr>
        <w:tabs>
          <w:tab w:val="left" w:pos="1440"/>
        </w:tabs>
        <w:ind w:firstLine="720"/>
      </w:pPr>
      <w:r w:rsidRPr="00EF6018">
        <w:t>We granted review.</w:t>
      </w:r>
    </w:p>
    <w:p w:rsidR="004D4D19" w:rsidRPr="00EF6018" w:rsidP="00EF6018">
      <w:pPr>
        <w:pStyle w:val="Heading1"/>
      </w:pPr>
      <w:r w:rsidRPr="00EF6018">
        <w:t>II.  Discussion</w:t>
      </w:r>
    </w:p>
    <w:p w:rsidR="001159EE" w:rsidRPr="00EF6018" w:rsidP="005E08F3">
      <w:pPr>
        <w:tabs>
          <w:tab w:val="left" w:pos="1440"/>
        </w:tabs>
        <w:ind w:firstLine="720"/>
      </w:pPr>
      <w:r w:rsidRPr="00EF6018">
        <w:t xml:space="preserve">The </w:t>
      </w:r>
      <w:r w:rsidRPr="00EF6018">
        <w:rPr>
          <w:i/>
          <w:iCs/>
        </w:rPr>
        <w:t>Privette</w:t>
      </w:r>
      <w:r w:rsidRPr="00EF6018">
        <w:t xml:space="preserve"> </w:t>
      </w:r>
      <w:r w:rsidRPr="00EF6018" w:rsidR="00015CEA">
        <w:t>doctrine</w:t>
      </w:r>
      <w:r w:rsidRPr="00EF6018">
        <w:t xml:space="preserve"> hold</w:t>
      </w:r>
      <w:r w:rsidRPr="00EF6018" w:rsidR="00015CEA">
        <w:t>s</w:t>
      </w:r>
      <w:r w:rsidRPr="00EF6018">
        <w:t xml:space="preserve"> that a hirer</w:t>
      </w:r>
      <w:r w:rsidR="00377634">
        <w:t xml:space="preserve"> generally</w:t>
      </w:r>
      <w:r w:rsidRPr="00EF6018">
        <w:t xml:space="preserve"> </w:t>
      </w:r>
      <w:r w:rsidRPr="00EF6018" w:rsidR="00FC23F0">
        <w:t xml:space="preserve">delegates to an independent contractor all responsibility for workplace safety and </w:t>
      </w:r>
      <w:r w:rsidRPr="00EF6018">
        <w:t xml:space="preserve">is not liable for injuries sustained by </w:t>
      </w:r>
      <w:r w:rsidRPr="00EF6018" w:rsidR="003154B1">
        <w:t>the</w:t>
      </w:r>
      <w:r w:rsidRPr="00EF6018">
        <w:t xml:space="preserve"> contractor or its </w:t>
      </w:r>
      <w:r w:rsidRPr="00EF6018" w:rsidR="00B9465A">
        <w:t>workers</w:t>
      </w:r>
      <w:r w:rsidRPr="00EF6018">
        <w:t xml:space="preserve"> while on the job.  </w:t>
      </w:r>
      <w:r w:rsidRPr="00EF6018" w:rsidR="00160D10">
        <w:t xml:space="preserve">We are asked to determine whether, despite the </w:t>
      </w:r>
      <w:r w:rsidRPr="00EF6018" w:rsidR="00160D10">
        <w:rPr>
          <w:i/>
          <w:iCs/>
        </w:rPr>
        <w:t>Privette</w:t>
      </w:r>
      <w:r w:rsidRPr="00EF6018" w:rsidR="00160D10">
        <w:rPr>
          <w:i/>
        </w:rPr>
        <w:t xml:space="preserve"> </w:t>
      </w:r>
      <w:r w:rsidRPr="00EF6018" w:rsidR="00160D10">
        <w:t>doctrine, a landowner may be liable for injuries stemming from a known</w:t>
      </w:r>
      <w:r w:rsidRPr="00EF6018" w:rsidR="001C398E">
        <w:t xml:space="preserve"> </w:t>
      </w:r>
      <w:r w:rsidRPr="00EF6018" w:rsidR="00160D10">
        <w:t xml:space="preserve">hazard on the premises that neither the contractor nor its workers could have avoided through the adoption of reasonable safety precautions.  </w:t>
      </w:r>
      <w:r w:rsidRPr="00EF6018">
        <w:t xml:space="preserve">To resolve this, it is helpful to </w:t>
      </w:r>
      <w:r w:rsidRPr="00EF6018">
        <w:t>provide an overview of the principles underl</w:t>
      </w:r>
      <w:r w:rsidRPr="00EF6018" w:rsidR="00203B19">
        <w:t>y</w:t>
      </w:r>
      <w:r w:rsidRPr="00EF6018">
        <w:t xml:space="preserve">ing </w:t>
      </w:r>
      <w:r w:rsidRPr="00EF6018">
        <w:rPr>
          <w:i/>
          <w:iCs/>
        </w:rPr>
        <w:t xml:space="preserve">Privette </w:t>
      </w:r>
      <w:r w:rsidRPr="00EF6018">
        <w:t>and its progeny</w:t>
      </w:r>
      <w:r w:rsidRPr="00EF6018">
        <w:t>.</w:t>
      </w:r>
      <w:r w:rsidRPr="00EF6018">
        <w:t xml:space="preserve">  We then </w:t>
      </w:r>
      <w:r w:rsidRPr="00EF6018" w:rsidR="004472FF">
        <w:t>discuss the general premises liability rules</w:t>
      </w:r>
      <w:r w:rsidRPr="00EF6018" w:rsidR="00086438">
        <w:t xml:space="preserve"> that apply to known hazards on</w:t>
      </w:r>
      <w:r w:rsidR="00664166">
        <w:t xml:space="preserve"> the landowner’s</w:t>
      </w:r>
      <w:r w:rsidRPr="00EF6018" w:rsidR="00086438">
        <w:t xml:space="preserve"> property.  </w:t>
      </w:r>
      <w:r w:rsidRPr="00EF6018" w:rsidR="004472FF">
        <w:t xml:space="preserve">Finally, we discuss </w:t>
      </w:r>
      <w:r w:rsidRPr="00EF6018" w:rsidR="000A23EB">
        <w:t>whether</w:t>
      </w:r>
      <w:r w:rsidRPr="00EF6018" w:rsidR="00086438">
        <w:t xml:space="preserve">, under </w:t>
      </w:r>
      <w:r w:rsidRPr="00EF6018" w:rsidR="00086438">
        <w:rPr>
          <w:i/>
          <w:iCs/>
        </w:rPr>
        <w:t>Privette</w:t>
      </w:r>
      <w:r w:rsidRPr="00EF6018" w:rsidR="00086438">
        <w:t xml:space="preserve">, </w:t>
      </w:r>
      <w:r w:rsidRPr="00EF6018">
        <w:t>a landowner delegate</w:t>
      </w:r>
      <w:r w:rsidRPr="00EF6018" w:rsidR="000A23EB">
        <w:t>s</w:t>
      </w:r>
      <w:r w:rsidRPr="00EF6018">
        <w:t xml:space="preserve"> </w:t>
      </w:r>
      <w:bookmarkStart w:id="16" w:name="_Hlk60759238"/>
      <w:r w:rsidRPr="00EF6018" w:rsidR="00663F71">
        <w:t xml:space="preserve">to an independent contractor </w:t>
      </w:r>
      <w:r w:rsidRPr="00EF6018" w:rsidR="00086438">
        <w:t>any</w:t>
      </w:r>
      <w:r w:rsidRPr="00EF6018" w:rsidR="004472FF">
        <w:t xml:space="preserve"> duty </w:t>
      </w:r>
      <w:r w:rsidRPr="00EF6018" w:rsidR="00086438">
        <w:t>it might otherwise owe</w:t>
      </w:r>
      <w:r w:rsidRPr="00EF6018" w:rsidR="00173CF7">
        <w:t xml:space="preserve"> under the usual premises liability rules to protect </w:t>
      </w:r>
      <w:r w:rsidRPr="00EF6018" w:rsidR="003154B1">
        <w:t>the</w:t>
      </w:r>
      <w:r w:rsidRPr="00EF6018" w:rsidR="00173CF7">
        <w:t xml:space="preserve"> contractor or its workers from known</w:t>
      </w:r>
      <w:r w:rsidRPr="00EF6018" w:rsidR="001C398E">
        <w:t xml:space="preserve"> </w:t>
      </w:r>
      <w:r w:rsidRPr="00EF6018" w:rsidR="00B9465A">
        <w:t>hazards</w:t>
      </w:r>
      <w:r w:rsidRPr="00EF6018" w:rsidR="00663F71">
        <w:t xml:space="preserve"> on </w:t>
      </w:r>
      <w:r w:rsidRPr="00EF6018" w:rsidR="004472FF">
        <w:t>the</w:t>
      </w:r>
      <w:r w:rsidRPr="00EF6018" w:rsidR="00663F71">
        <w:t xml:space="preserve"> property</w:t>
      </w:r>
      <w:r w:rsidRPr="00EF6018">
        <w:t xml:space="preserve">.   </w:t>
      </w:r>
      <w:bookmarkEnd w:id="16"/>
    </w:p>
    <w:p w:rsidR="001159EE" w:rsidRPr="00EF6018" w:rsidP="008A264F">
      <w:pPr>
        <w:pStyle w:val="Heading2"/>
        <w:numPr>
          <w:ilvl w:val="0"/>
          <w:numId w:val="1"/>
        </w:numPr>
        <w:ind w:left="1109" w:hanging="389"/>
        <w:contextualSpacing/>
      </w:pPr>
      <w:r w:rsidRPr="00EF6018">
        <w:t xml:space="preserve">The </w:t>
      </w:r>
      <w:r w:rsidRPr="00EF6018">
        <w:rPr>
          <w:i/>
          <w:iCs/>
        </w:rPr>
        <w:t xml:space="preserve">Privette </w:t>
      </w:r>
      <w:r w:rsidRPr="00EF6018">
        <w:t>Doctrine</w:t>
      </w:r>
    </w:p>
    <w:p w:rsidR="007D6DA4" w:rsidRPr="00EF6018" w:rsidP="008D0BFE">
      <w:pPr>
        <w:tabs>
          <w:tab w:val="left" w:pos="1440"/>
        </w:tabs>
        <w:ind w:firstLine="720"/>
      </w:pPr>
      <w:r w:rsidRPr="00EF6018">
        <w:t xml:space="preserve">In </w:t>
      </w:r>
      <w:r w:rsidRPr="00EF6018">
        <w:rPr>
          <w:i/>
          <w:iCs/>
        </w:rPr>
        <w:t>Privette</w:t>
      </w:r>
      <w:r w:rsidRPr="00EF6018">
        <w:t>, we considered whether a landowner could be liable for injuries sustained when an independent contractor’s employee fell of</w:t>
      </w:r>
      <w:r w:rsidRPr="00EF6018" w:rsidR="00AC14B3">
        <w:t>f</w:t>
      </w:r>
      <w:r w:rsidRPr="00EF6018">
        <w:t xml:space="preserve"> a ladder while carrying hot tar </w:t>
      </w:r>
      <w:r w:rsidRPr="00EF6018" w:rsidR="00682C55">
        <w:t xml:space="preserve">up to a roof </w:t>
      </w:r>
      <w:r w:rsidRPr="00EF6018">
        <w:t>during a roof installation.  (</w:t>
      </w:r>
      <w:r w:rsidRPr="00EF6018">
        <w:rPr>
          <w:i/>
          <w:iCs/>
        </w:rPr>
        <w:t>Privette</w:t>
      </w:r>
      <w:r w:rsidRPr="00EF6018">
        <w:t xml:space="preserve">, </w:t>
      </w:r>
      <w:r w:rsidRPr="00EF6018">
        <w:rPr>
          <w:i/>
          <w:iCs/>
        </w:rPr>
        <w:t>supra</w:t>
      </w:r>
      <w:r w:rsidRPr="00EF6018">
        <w:t>, 5 Cal.4th at pp. 691–692.)  We held that the doctrine of peculiar risk</w:t>
      </w:r>
      <w:r w:rsidR="006018AD">
        <w:t> </w:t>
      </w:r>
      <w:r w:rsidRPr="00EF6018" w:rsidR="001C398E">
        <w:t xml:space="preserve">— </w:t>
      </w:r>
      <w:r w:rsidRPr="00EF6018">
        <w:t xml:space="preserve">which provides that landowners are </w:t>
      </w:r>
      <w:r w:rsidR="00215EEC">
        <w:t xml:space="preserve">vicariously </w:t>
      </w:r>
      <w:r w:rsidRPr="00EF6018">
        <w:t>liable for injuries to third parties resulting from the negligence of independent contractors in performing inherently dangerous work on the landowners’ property</w:t>
      </w:r>
      <w:r w:rsidR="006018AD">
        <w:t> </w:t>
      </w:r>
      <w:r w:rsidRPr="00EF6018" w:rsidR="001C398E">
        <w:t>—</w:t>
      </w:r>
      <w:r w:rsidRPr="00EF6018">
        <w:t xml:space="preserve"> does not apply to injuries sustained by the contractor’s own employees.  (</w:t>
      </w:r>
      <w:r w:rsidRPr="00EF6018">
        <w:rPr>
          <w:i/>
          <w:iCs/>
        </w:rPr>
        <w:t>Ibid</w:t>
      </w:r>
      <w:r w:rsidRPr="00EF6018">
        <w:t>.)  We explained that the doctrine was meant to ensure that third parties received compensation from the person who benefitted from the work (</w:t>
      </w:r>
      <w:r w:rsidRPr="00EF6018" w:rsidR="001C398E">
        <w:t xml:space="preserve">i.e., </w:t>
      </w:r>
      <w:r w:rsidRPr="00EF6018">
        <w:t>the landowner) in the event the contractor was insolvent.  (</w:t>
      </w:r>
      <w:r w:rsidRPr="00EF6018">
        <w:rPr>
          <w:i/>
          <w:iCs/>
        </w:rPr>
        <w:t>Id.</w:t>
      </w:r>
      <w:r w:rsidRPr="00EF6018">
        <w:t xml:space="preserve"> at p. 701.)</w:t>
      </w:r>
      <w:r w:rsidRPr="00EF6018" w:rsidR="005E5882">
        <w:t xml:space="preserve">  T</w:t>
      </w:r>
      <w:r w:rsidRPr="00EF6018">
        <w:t>he availability of workers’ compensation</w:t>
      </w:r>
      <w:r w:rsidRPr="00EF6018" w:rsidR="005E5882">
        <w:t>, however,</w:t>
      </w:r>
      <w:r w:rsidRPr="00EF6018">
        <w:t xml:space="preserve"> eliminates this concern as to </w:t>
      </w:r>
      <w:r w:rsidRPr="00EF6018" w:rsidR="00682C55">
        <w:t>the</w:t>
      </w:r>
      <w:r w:rsidRPr="00EF6018">
        <w:t xml:space="preserve"> contractor’s </w:t>
      </w:r>
      <w:r w:rsidRPr="00EF6018" w:rsidR="00663F71">
        <w:t xml:space="preserve">own </w:t>
      </w:r>
      <w:r w:rsidRPr="00EF6018">
        <w:t>employees</w:t>
      </w:r>
      <w:r w:rsidR="00215EEC">
        <w:t xml:space="preserve"> by ensuring that the employees will receive some compensation for their injuries</w:t>
      </w:r>
      <w:r w:rsidRPr="00EF6018">
        <w:t>.  (</w:t>
      </w:r>
      <w:r w:rsidRPr="00EF6018">
        <w:rPr>
          <w:i/>
          <w:iCs/>
        </w:rPr>
        <w:t>Id</w:t>
      </w:r>
      <w:r w:rsidRPr="00EF6018">
        <w:t>.</w:t>
      </w:r>
      <w:r w:rsidR="00215EEC">
        <w:t xml:space="preserve"> at pp. 701–702.</w:t>
      </w:r>
      <w:r w:rsidRPr="00EF6018">
        <w:t xml:space="preserve">)  We also noted that allowing a contractor’s employees to sue the hirer would lead to the anomalous result where the “nonnegligent person’s liability for an injury is greater than that of the person whose negligence actually caused the injury” </w:t>
      </w:r>
      <w:r w:rsidRPr="00EF6018" w:rsidR="005E5882">
        <w:t>because the contractor’s exposure would be limited to workers’ compensation while the hirer would be subject to tort damages.  (</w:t>
      </w:r>
      <w:r w:rsidRPr="00EF6018" w:rsidR="005E5882">
        <w:rPr>
          <w:i/>
          <w:iCs/>
        </w:rPr>
        <w:t>Id.</w:t>
      </w:r>
      <w:r w:rsidRPr="00EF6018" w:rsidR="005E5882">
        <w:rPr>
          <w:i/>
        </w:rPr>
        <w:t xml:space="preserve"> </w:t>
      </w:r>
      <w:r w:rsidRPr="00EF6018" w:rsidR="005E5882">
        <w:t xml:space="preserve">at p. 698.)  </w:t>
      </w:r>
      <w:r w:rsidRPr="00EF6018" w:rsidR="002311C3">
        <w:t>We further observed that imposing tort liability on hirers</w:t>
      </w:r>
      <w:r w:rsidRPr="00EF6018">
        <w:t xml:space="preserve"> “would penalize those individuals who hire experts to perform dangerous work rather than assigning such activity to their own inexperienced employees.”  (</w:t>
      </w:r>
      <w:r w:rsidRPr="00EF6018">
        <w:rPr>
          <w:i/>
          <w:iCs/>
        </w:rPr>
        <w:t>Id</w:t>
      </w:r>
      <w:r w:rsidRPr="00EF6018">
        <w:rPr>
          <w:i/>
        </w:rPr>
        <w:t>.</w:t>
      </w:r>
      <w:r w:rsidRPr="00EF6018">
        <w:t xml:space="preserve"> at p</w:t>
      </w:r>
      <w:r w:rsidRPr="00EF6018" w:rsidR="002311C3">
        <w:t xml:space="preserve">. </w:t>
      </w:r>
      <w:r w:rsidRPr="00EF6018">
        <w:t xml:space="preserve">700.)  </w:t>
      </w:r>
    </w:p>
    <w:p w:rsidR="00AD0076" w:rsidRPr="008D0BFE" w:rsidP="008D0BFE">
      <w:pPr>
        <w:tabs>
          <w:tab w:val="left" w:pos="1440"/>
        </w:tabs>
        <w:ind w:firstLine="720"/>
      </w:pPr>
      <w:r w:rsidRPr="00EF6018">
        <w:t>Over</w:t>
      </w:r>
      <w:r w:rsidRPr="00EF6018" w:rsidR="0043068C">
        <w:t xml:space="preserve"> the</w:t>
      </w:r>
      <w:r w:rsidRPr="00EF6018">
        <w:t xml:space="preserve"> nearly three decades since we decided </w:t>
      </w:r>
      <w:r w:rsidRPr="00EF6018">
        <w:rPr>
          <w:i/>
          <w:iCs/>
        </w:rPr>
        <w:t>Privette</w:t>
      </w:r>
      <w:r w:rsidRPr="00EF6018">
        <w:t xml:space="preserve">, </w:t>
      </w:r>
      <w:r w:rsidRPr="00EF6018" w:rsidR="0043068C">
        <w:t>we have repeatedly reaffirmed</w:t>
      </w:r>
      <w:r w:rsidRPr="00EF6018" w:rsidR="002D7D72">
        <w:t xml:space="preserve"> the</w:t>
      </w:r>
      <w:r w:rsidRPr="00EF6018" w:rsidR="0043068C">
        <w:t xml:space="preserve"> basic </w:t>
      </w:r>
      <w:r w:rsidRPr="00EF6018" w:rsidR="008C020B">
        <w:t>rule</w:t>
      </w:r>
      <w:r w:rsidRPr="00EF6018" w:rsidR="0043068C">
        <w:t xml:space="preserve"> </w:t>
      </w:r>
      <w:r w:rsidRPr="00EF6018">
        <w:t>that a hirer is typically not liable for injuries sustained by an independent contractor</w:t>
      </w:r>
      <w:r w:rsidRPr="00EF6018" w:rsidR="00706084">
        <w:t xml:space="preserve"> or its</w:t>
      </w:r>
      <w:r w:rsidRPr="00EF6018">
        <w:t xml:space="preserve"> workers while on the job.</w:t>
      </w:r>
      <w:r w:rsidRPr="00EF6018" w:rsidR="00F931C4">
        <w:t xml:space="preserve">  </w:t>
      </w:r>
      <w:r w:rsidRPr="00EF6018" w:rsidR="008F1F6E">
        <w:t xml:space="preserve">Our more recent cases emphasize delegation as the key principle underlying this rule:  Because the hirer </w:t>
      </w:r>
      <w:r w:rsidR="00215EEC">
        <w:t xml:space="preserve">presumptively </w:t>
      </w:r>
      <w:r w:rsidRPr="00EF6018" w:rsidR="008F1F6E">
        <w:t>delegates to the independent contractor the authority to determine the manner in which the work is to be performed, the contractor also assumes the responsibility to ensure that the worksite is safe</w:t>
      </w:r>
      <w:r w:rsidR="006018AD">
        <w:t>,</w:t>
      </w:r>
      <w:r w:rsidRPr="00EF6018" w:rsidR="008F1F6E">
        <w:t xml:space="preserve"> and the work is performed safely.  (</w:t>
      </w:r>
      <w:r w:rsidRPr="00EF6018" w:rsidR="008F1F6E">
        <w:rPr>
          <w:i/>
          <w:iCs/>
        </w:rPr>
        <w:t>SeaBright</w:t>
      </w:r>
      <w:r w:rsidRPr="00EF6018" w:rsidR="008F1F6E">
        <w:t xml:space="preserve">, </w:t>
      </w:r>
      <w:r w:rsidRPr="00EF6018" w:rsidR="00F14C50">
        <w:rPr>
          <w:i/>
          <w:iCs/>
        </w:rPr>
        <w:t>supra</w:t>
      </w:r>
      <w:r w:rsidRPr="00EF6018" w:rsidR="00F14C50">
        <w:t>,</w:t>
      </w:r>
      <w:r w:rsidRPr="00EF6018" w:rsidR="00F14C50">
        <w:rPr>
          <w:i/>
          <w:iCs/>
        </w:rPr>
        <w:t xml:space="preserve"> </w:t>
      </w:r>
      <w:r w:rsidRPr="00EF6018" w:rsidR="00F14C50">
        <w:t xml:space="preserve">52 Cal.4th </w:t>
      </w:r>
      <w:r w:rsidRPr="00EF6018" w:rsidR="008F1F6E">
        <w:t xml:space="preserve">at p. 600.)  </w:t>
      </w:r>
      <w:r w:rsidRPr="00EF6018" w:rsidR="003E3079">
        <w:t xml:space="preserve">This </w:t>
      </w:r>
      <w:r w:rsidRPr="00EF6018" w:rsidR="008C020B">
        <w:t>rule</w:t>
      </w:r>
      <w:r w:rsidRPr="00EF6018" w:rsidR="00F86498">
        <w:t xml:space="preserve"> applies</w:t>
      </w:r>
      <w:r w:rsidRPr="00EF6018" w:rsidR="003E3079">
        <w:t xml:space="preserve"> even where </w:t>
      </w:r>
      <w:r w:rsidRPr="00EF6018" w:rsidR="00706084">
        <w:t xml:space="preserve">the hirer was at least partially to blame due to </w:t>
      </w:r>
      <w:r w:rsidRPr="00EF6018" w:rsidR="008668F3">
        <w:t xml:space="preserve">its </w:t>
      </w:r>
      <w:r w:rsidRPr="00EF6018" w:rsidR="00706084">
        <w:t>negligent hiring (</w:t>
      </w:r>
      <w:r w:rsidRPr="00EF6018" w:rsidR="00706084">
        <w:rPr>
          <w:i/>
          <w:iCs/>
        </w:rPr>
        <w:t>Camargo v. Tjaarda Dairy</w:t>
      </w:r>
      <w:r w:rsidRPr="00EF6018" w:rsidR="00706084">
        <w:t xml:space="preserve"> (2001) 25 Cal.4th 1235, 12</w:t>
      </w:r>
      <w:r w:rsidRPr="00EF6018" w:rsidR="00281239">
        <w:t>38</w:t>
      </w:r>
      <w:r w:rsidRPr="00EF6018" w:rsidR="00706084">
        <w:t xml:space="preserve">) </w:t>
      </w:r>
      <w:r w:rsidRPr="00EF6018" w:rsidR="008668F3">
        <w:t xml:space="preserve">or its failure to comply with </w:t>
      </w:r>
      <w:r w:rsidRPr="00EF6018" w:rsidR="003210DE">
        <w:t xml:space="preserve">preexisting </w:t>
      </w:r>
      <w:r w:rsidRPr="00EF6018" w:rsidR="008668F3">
        <w:t xml:space="preserve">statutory or regulatory </w:t>
      </w:r>
      <w:r w:rsidRPr="00EF6018" w:rsidR="00F37D9C">
        <w:t xml:space="preserve">workplace </w:t>
      </w:r>
      <w:r w:rsidRPr="00EF6018" w:rsidR="008668F3">
        <w:t>safety requirements</w:t>
      </w:r>
      <w:r w:rsidRPr="00EF6018" w:rsidR="00706084">
        <w:t xml:space="preserve"> (</w:t>
      </w:r>
      <w:r w:rsidRPr="00EF6018" w:rsidR="003210DE">
        <w:rPr>
          <w:i/>
          <w:iCs/>
        </w:rPr>
        <w:t>SeaBright</w:t>
      </w:r>
      <w:r w:rsidRPr="00EF6018" w:rsidR="00EF371F">
        <w:t>,</w:t>
      </w:r>
      <w:r w:rsidRPr="00EF6018" w:rsidR="003210DE">
        <w:t xml:space="preserve"> </w:t>
      </w:r>
      <w:r w:rsidRPr="00EF6018" w:rsidR="00EF371F">
        <w:t>at p.</w:t>
      </w:r>
      <w:r w:rsidRPr="00EF6018" w:rsidR="003210DE">
        <w:t xml:space="preserve"> </w:t>
      </w:r>
      <w:r w:rsidRPr="00EF6018" w:rsidR="00F37D9C">
        <w:t>594</w:t>
      </w:r>
      <w:r w:rsidRPr="00EF6018" w:rsidR="00706084">
        <w:t>)</w:t>
      </w:r>
      <w:r w:rsidRPr="00EF6018" w:rsidR="003210DE">
        <w:t>.</w:t>
      </w:r>
      <w:r w:rsidRPr="00EF6018" w:rsidR="00706084">
        <w:t xml:space="preserve">  </w:t>
      </w:r>
      <w:r w:rsidRPr="00EF6018" w:rsidR="001C398E">
        <w:t>It also applies</w:t>
      </w:r>
      <w:r w:rsidRPr="00EF6018" w:rsidR="00706084">
        <w:t xml:space="preserve"> </w:t>
      </w:r>
      <w:r w:rsidRPr="00EF6018" w:rsidR="006661F4">
        <w:t xml:space="preserve">to a </w:t>
      </w:r>
      <w:r w:rsidRPr="006C5470" w:rsidR="006661F4">
        <w:t>solo independent contractor</w:t>
      </w:r>
      <w:r w:rsidRPr="00EF6018" w:rsidR="006661F4">
        <w:t xml:space="preserve"> who has no employees and who has</w:t>
      </w:r>
      <w:r w:rsidRPr="00EF6018" w:rsidR="00706084">
        <w:t xml:space="preserve"> declined to obtain workers’ compensation</w:t>
      </w:r>
      <w:r w:rsidRPr="00EF6018" w:rsidR="00A50B02">
        <w:t xml:space="preserve"> </w:t>
      </w:r>
      <w:r w:rsidRPr="00EF6018" w:rsidR="00FE71A2">
        <w:t xml:space="preserve">insurance, </w:t>
      </w:r>
      <w:r w:rsidRPr="00EF6018" w:rsidR="006661F4">
        <w:t>such that</w:t>
      </w:r>
      <w:r w:rsidRPr="00EF6018" w:rsidR="00F14E58">
        <w:t xml:space="preserve"> </w:t>
      </w:r>
      <w:r w:rsidRPr="00EF6018" w:rsidR="006661F4">
        <w:t>the contractor</w:t>
      </w:r>
      <w:r w:rsidRPr="00EF6018" w:rsidR="00A50B02">
        <w:t xml:space="preserve"> will receive no coverage for </w:t>
      </w:r>
      <w:r w:rsidR="00D47FD5">
        <w:t>his or her</w:t>
      </w:r>
      <w:r w:rsidRPr="00EF6018" w:rsidR="00D47FD5">
        <w:t xml:space="preserve"> </w:t>
      </w:r>
      <w:r w:rsidRPr="00EF6018" w:rsidR="00A50B02">
        <w:t xml:space="preserve">injuries.  </w:t>
      </w:r>
      <w:r w:rsidRPr="00EF6018" w:rsidR="001B396E">
        <w:t>(</w:t>
      </w:r>
      <w:r w:rsidRPr="00EF6018" w:rsidR="00A50B02">
        <w:rPr>
          <w:i/>
          <w:iCs/>
        </w:rPr>
        <w:t>Tverberg v. Fillner Construction, Inc</w:t>
      </w:r>
      <w:r w:rsidRPr="00EF6018" w:rsidR="00A50B02">
        <w:t>. (2010) 49 Cal.4th 518, 521 (</w:t>
      </w:r>
      <w:r w:rsidRPr="00EF6018" w:rsidR="00A50B02">
        <w:rPr>
          <w:i/>
        </w:rPr>
        <w:t>Tverberg</w:t>
      </w:r>
      <w:r w:rsidRPr="00EF6018" w:rsidR="00A50B02">
        <w:t>)</w:t>
      </w:r>
      <w:r w:rsidRPr="00EF6018" w:rsidR="001B396E">
        <w:t xml:space="preserve">.)  </w:t>
      </w:r>
    </w:p>
    <w:p w:rsidR="0044151E" w:rsidRPr="00EF6018" w:rsidP="008D0BFE">
      <w:pPr>
        <w:tabs>
          <w:tab w:val="left" w:pos="1440"/>
        </w:tabs>
        <w:ind w:firstLine="720"/>
      </w:pPr>
      <w:r w:rsidRPr="00EF6018">
        <w:t>We</w:t>
      </w:r>
      <w:r w:rsidRPr="00EF6018">
        <w:t xml:space="preserve"> have</w:t>
      </w:r>
      <w:r w:rsidRPr="00EF6018" w:rsidR="00BF7B2C">
        <w:t xml:space="preserve"> </w:t>
      </w:r>
      <w:r w:rsidRPr="00EF6018" w:rsidR="0004074D">
        <w:t xml:space="preserve">nonetheless </w:t>
      </w:r>
      <w:r w:rsidR="00343370">
        <w:t>identified</w:t>
      </w:r>
      <w:r w:rsidRPr="00EF6018" w:rsidR="00BF7B2C">
        <w:t xml:space="preserve"> two </w:t>
      </w:r>
      <w:r w:rsidRPr="00EF6018" w:rsidR="002461EC">
        <w:t>situations in which a hirer has</w:t>
      </w:r>
      <w:r w:rsidR="00103298">
        <w:t xml:space="preserve"> </w:t>
      </w:r>
      <w:r w:rsidRPr="00EF6018" w:rsidR="00FE71A2">
        <w:t>failed</w:t>
      </w:r>
      <w:r w:rsidRPr="00EF6018" w:rsidR="002461EC">
        <w:t xml:space="preserve"> to </w:t>
      </w:r>
      <w:r w:rsidR="00247EB5">
        <w:t>effectively</w:t>
      </w:r>
      <w:r w:rsidRPr="00EF6018" w:rsidR="002461EC">
        <w:t xml:space="preserve"> delegate all responsibility for workplace safety to the independent contractor.  </w:t>
      </w:r>
      <w:r w:rsidRPr="0070232F" w:rsidR="00C26A6F">
        <w:t>First</w:t>
      </w:r>
      <w:r w:rsidRPr="00EF6018" w:rsidR="00C26A6F">
        <w:t>, i</w:t>
      </w:r>
      <w:r w:rsidRPr="00EF6018" w:rsidR="007D6DA4">
        <w:t xml:space="preserve">n </w:t>
      </w:r>
      <w:r w:rsidRPr="00EF6018" w:rsidR="007D6DA4">
        <w:rPr>
          <w:i/>
          <w:iCs/>
        </w:rPr>
        <w:t>Hooker</w:t>
      </w:r>
      <w:r w:rsidRPr="00EF6018" w:rsidR="007D6DA4">
        <w:t xml:space="preserve">, we held that a hirer </w:t>
      </w:r>
      <w:r w:rsidRPr="00EF6018" w:rsidR="00682C55">
        <w:t>will be liable where it</w:t>
      </w:r>
      <w:r w:rsidR="003522BD">
        <w:t xml:space="preserve"> exercises retained control</w:t>
      </w:r>
      <w:r w:rsidRPr="00EF6018" w:rsidR="007D6DA4">
        <w:t xml:space="preserve"> over </w:t>
      </w:r>
      <w:r w:rsidR="00295791">
        <w:t xml:space="preserve">any part of </w:t>
      </w:r>
      <w:r w:rsidRPr="00EF6018" w:rsidR="007D6DA4">
        <w:t>the</w:t>
      </w:r>
      <w:r w:rsidR="00CA3B1D">
        <w:t xml:space="preserve"> </w:t>
      </w:r>
      <w:r w:rsidR="00AF32E4">
        <w:t xml:space="preserve">contractor’s </w:t>
      </w:r>
      <w:r w:rsidR="00CA3B1D">
        <w:t>work</w:t>
      </w:r>
      <w:r w:rsidRPr="00EF6018" w:rsidR="007D6DA4">
        <w:t xml:space="preserve"> </w:t>
      </w:r>
      <w:r w:rsidRPr="00EF6018" w:rsidR="00682C55">
        <w:t>in a manner that</w:t>
      </w:r>
      <w:r w:rsidRPr="00EF6018" w:rsidR="007D6DA4">
        <w:t xml:space="preserve"> affirmatively contributes to the </w:t>
      </w:r>
      <w:r w:rsidRPr="00EF6018" w:rsidR="0004074D">
        <w:t>worker</w:t>
      </w:r>
      <w:r w:rsidRPr="00EF6018" w:rsidR="007D6DA4">
        <w:t>’s injuries.  (</w:t>
      </w:r>
      <w:r w:rsidRPr="00EF6018" w:rsidR="007D6DA4">
        <w:rPr>
          <w:i/>
          <w:iCs/>
        </w:rPr>
        <w:t>Hooker</w:t>
      </w:r>
      <w:r w:rsidRPr="00EF6018" w:rsidR="007D6DA4">
        <w:t xml:space="preserve">, </w:t>
      </w:r>
      <w:r w:rsidRPr="00EF6018" w:rsidR="007D6DA4">
        <w:rPr>
          <w:i/>
          <w:iCs/>
        </w:rPr>
        <w:t>supra</w:t>
      </w:r>
      <w:r w:rsidRPr="00EF6018" w:rsidR="007D6DA4">
        <w:t xml:space="preserve">, 27 Cal.4th at p. 202.)  </w:t>
      </w:r>
      <w:r w:rsidR="00E568F1">
        <w:t xml:space="preserve">The hirer in </w:t>
      </w:r>
      <w:r w:rsidR="00E568F1">
        <w:rPr>
          <w:i/>
          <w:iCs/>
        </w:rPr>
        <w:t xml:space="preserve">Hooker </w:t>
      </w:r>
      <w:r w:rsidR="00AF32E4">
        <w:t xml:space="preserve">had </w:t>
      </w:r>
      <w:r w:rsidR="00405C80">
        <w:t xml:space="preserve">contractually </w:t>
      </w:r>
      <w:r w:rsidR="00E568F1">
        <w:t>retained the right to</w:t>
      </w:r>
      <w:r w:rsidR="00295791">
        <w:t xml:space="preserve"> correct certain dangerous conditions on the worksite that were created by the contractor’s work.</w:t>
      </w:r>
      <w:r w:rsidR="00E568F1">
        <w:t xml:space="preserve">  </w:t>
      </w:r>
      <w:r w:rsidR="00AC1979">
        <w:t>(</w:t>
      </w:r>
      <w:r w:rsidRPr="00AC1979" w:rsidR="00AC1979">
        <w:rPr>
          <w:i/>
          <w:iCs/>
        </w:rPr>
        <w:t>Ibid</w:t>
      </w:r>
      <w:r w:rsidR="00AC1979">
        <w:t xml:space="preserve">.)  </w:t>
      </w:r>
      <w:r w:rsidRPr="00AC1979" w:rsidR="00041DF3">
        <w:t>W</w:t>
      </w:r>
      <w:r w:rsidRPr="00AC1979" w:rsidR="007D6DA4">
        <w:t>e</w:t>
      </w:r>
      <w:r w:rsidRPr="00EF6018" w:rsidR="007D6DA4">
        <w:t xml:space="preserve"> </w:t>
      </w:r>
      <w:r w:rsidR="00405C80">
        <w:t xml:space="preserve">nevertheless </w:t>
      </w:r>
      <w:r w:rsidRPr="00EF6018" w:rsidR="007D6DA4">
        <w:t xml:space="preserve">rejected the plaintiff’s argument that </w:t>
      </w:r>
      <w:r w:rsidR="00E568F1">
        <w:t xml:space="preserve">such </w:t>
      </w:r>
      <w:r w:rsidRPr="00EF6018" w:rsidR="00041DF3">
        <w:t xml:space="preserve">retained control over the safety conditions </w:t>
      </w:r>
      <w:r w:rsidR="00E568F1">
        <w:t>o</w:t>
      </w:r>
      <w:r w:rsidR="00295791">
        <w:t>f</w:t>
      </w:r>
      <w:r w:rsidR="00E568F1">
        <w:t xml:space="preserve"> the</w:t>
      </w:r>
      <w:r w:rsidRPr="00EF6018" w:rsidR="00041DF3">
        <w:t xml:space="preserve"> worksite, in and of itself, </w:t>
      </w:r>
      <w:r w:rsidR="00AF32E4">
        <w:t>was</w:t>
      </w:r>
      <w:r w:rsidRPr="00EF6018" w:rsidR="00041DF3">
        <w:t xml:space="preserve"> sufficient to establish liability.</w:t>
      </w:r>
      <w:r w:rsidRPr="00EF6018" w:rsidR="007D6DA4">
        <w:t xml:space="preserve"> </w:t>
      </w:r>
      <w:r w:rsidRPr="00EF6018" w:rsidR="00041DF3">
        <w:t xml:space="preserve"> </w:t>
      </w:r>
      <w:r w:rsidRPr="00EF6018" w:rsidR="007D6DA4">
        <w:t>(</w:t>
      </w:r>
      <w:r w:rsidRPr="00EF6018" w:rsidR="00C26A6F">
        <w:rPr>
          <w:i/>
          <w:iCs/>
        </w:rPr>
        <w:t>Id</w:t>
      </w:r>
      <w:r w:rsidRPr="00EF6018" w:rsidR="00C26A6F">
        <w:t>.</w:t>
      </w:r>
      <w:r w:rsidRPr="00EF6018" w:rsidR="007D6DA4">
        <w:t xml:space="preserve"> at pp. 210–211.)  We reasoned “it would be unfair to impose tort liability on the hirer of the contractor merely because the hirer retained the ability to exercise control over safety at the worksite” since “the person primarily responsible for the worker’s on-the-job injuries[] is limited to providing workers’ compensation coverage.”  (</w:t>
      </w:r>
      <w:r w:rsidRPr="00EF6018" w:rsidR="007D6DA4">
        <w:rPr>
          <w:i/>
          <w:iCs/>
        </w:rPr>
        <w:t>Id.</w:t>
      </w:r>
      <w:r w:rsidRPr="00EF6018" w:rsidR="007D6DA4">
        <w:t xml:space="preserve"> at p. 210.)</w:t>
      </w:r>
      <w:r w:rsidRPr="00EF6018">
        <w:t xml:space="preserve">  </w:t>
      </w:r>
      <w:r w:rsidRPr="00EF6018" w:rsidR="00682C55">
        <w:t xml:space="preserve">But if the hirer </w:t>
      </w:r>
      <w:r w:rsidR="00CF3246">
        <w:t xml:space="preserve">negligently </w:t>
      </w:r>
      <w:r w:rsidRPr="00EF6018" w:rsidR="00682C55">
        <w:t>exercises its retained control “</w:t>
      </w:r>
      <w:r w:rsidRPr="00EF6018" w:rsidR="007D6DA4">
        <w:t>in a manner that affirmatively contributes to an employee’s injuries, it is only fair to impose liability on the hirer.”  (</w:t>
      </w:r>
      <w:r w:rsidRPr="00EF6018" w:rsidR="007D6DA4">
        <w:rPr>
          <w:i/>
          <w:iCs/>
        </w:rPr>
        <w:t>Id.</w:t>
      </w:r>
      <w:r w:rsidRPr="00EF6018" w:rsidR="007D6DA4">
        <w:t xml:space="preserve"> at p. 213.)</w:t>
      </w:r>
      <w:r w:rsidRPr="00EF6018">
        <w:t xml:space="preserve">  </w:t>
      </w:r>
      <w:r w:rsidRPr="00EF6018" w:rsidR="00865E95">
        <w:t>We</w:t>
      </w:r>
      <w:r w:rsidRPr="00EF6018" w:rsidR="00682C55">
        <w:t xml:space="preserve"> </w:t>
      </w:r>
      <w:r w:rsidRPr="00EF6018" w:rsidR="0004074D">
        <w:t xml:space="preserve">also </w:t>
      </w:r>
      <w:r w:rsidRPr="00EF6018" w:rsidR="00865E95">
        <w:t xml:space="preserve">made clear in </w:t>
      </w:r>
      <w:r w:rsidRPr="00EF6018" w:rsidR="00865E95">
        <w:rPr>
          <w:i/>
          <w:iCs/>
        </w:rPr>
        <w:t>Hooker</w:t>
      </w:r>
      <w:r w:rsidRPr="00EF6018" w:rsidR="00682C55">
        <w:t xml:space="preserve"> </w:t>
      </w:r>
      <w:r w:rsidRPr="00EF6018" w:rsidR="00865E95">
        <w:t xml:space="preserve">that </w:t>
      </w:r>
      <w:r w:rsidR="00092FA2">
        <w:t xml:space="preserve">this exception to </w:t>
      </w:r>
      <w:r w:rsidR="00092FA2">
        <w:rPr>
          <w:i/>
          <w:iCs/>
        </w:rPr>
        <w:t xml:space="preserve">Privette </w:t>
      </w:r>
      <w:r w:rsidRPr="00EF6018" w:rsidR="00865E95">
        <w:t>is not met</w:t>
      </w:r>
      <w:r w:rsidRPr="00EF6018" w:rsidR="008075A4">
        <w:t xml:space="preserve"> </w:t>
      </w:r>
      <w:r w:rsidRPr="00EF6018" w:rsidR="00682C55">
        <w:t>solely because</w:t>
      </w:r>
      <w:r w:rsidRPr="00EF6018" w:rsidR="008075A4">
        <w:t xml:space="preserve"> a hirer is aware </w:t>
      </w:r>
      <w:r w:rsidRPr="00EF6018" w:rsidR="00682C55">
        <w:t xml:space="preserve">that there is an unsafe condition on the worksite or </w:t>
      </w:r>
      <w:r w:rsidRPr="00EF6018" w:rsidR="00F35B87">
        <w:t xml:space="preserve">knows </w:t>
      </w:r>
      <w:r w:rsidRPr="00EF6018" w:rsidR="00682C55">
        <w:t>that the contractor is engaging in an unsafe work practice.</w:t>
      </w:r>
      <w:r w:rsidRPr="00EF6018" w:rsidR="00E550CD">
        <w:t xml:space="preserve">  </w:t>
      </w:r>
      <w:r w:rsidRPr="00EF6018">
        <w:t xml:space="preserve">(See </w:t>
      </w:r>
      <w:r w:rsidRPr="00EF6018">
        <w:rPr>
          <w:i/>
          <w:iCs/>
        </w:rPr>
        <w:t xml:space="preserve">id. </w:t>
      </w:r>
      <w:r w:rsidRPr="00EF6018">
        <w:t>at pp. 214–215.)</w:t>
      </w:r>
      <w:r w:rsidRPr="00EF6018" w:rsidR="00550504">
        <w:t xml:space="preserve">  Something more is required, such as</w:t>
      </w:r>
      <w:r w:rsidRPr="00EF6018" w:rsidR="001C0D55">
        <w:t xml:space="preserve"> </w:t>
      </w:r>
      <w:r w:rsidRPr="00EF6018" w:rsidR="00550504">
        <w:t>“</w:t>
      </w:r>
      <w:r w:rsidR="00F7312E">
        <w:t> </w:t>
      </w:r>
      <w:r w:rsidRPr="00EF6018" w:rsidR="00550504">
        <w:t>‘</w:t>
      </w:r>
      <w:r w:rsidRPr="00EF6018" w:rsidR="001C0D55">
        <w:t xml:space="preserve">inducing </w:t>
      </w:r>
      <w:r w:rsidRPr="00EF6018" w:rsidR="00550504">
        <w:t>injurious action or inaction through actual direction</w:t>
      </w:r>
      <w:r w:rsidRPr="00EF6018" w:rsidR="001C0D55">
        <w:t>’</w:t>
      </w:r>
      <w:r w:rsidR="00F7312E">
        <w:t> </w:t>
      </w:r>
      <w:r w:rsidRPr="00EF6018" w:rsidR="001C0D55">
        <w:t>”</w:t>
      </w:r>
      <w:r w:rsidRPr="00EF6018" w:rsidR="00550504">
        <w:t xml:space="preserve"> (</w:t>
      </w:r>
      <w:r w:rsidRPr="00EF6018" w:rsidR="001C0D55">
        <w:rPr>
          <w:i/>
          <w:iCs/>
        </w:rPr>
        <w:t>i</w:t>
      </w:r>
      <w:r w:rsidRPr="00EF6018" w:rsidR="00550504">
        <w:rPr>
          <w:i/>
          <w:iCs/>
        </w:rPr>
        <w:t xml:space="preserve">d. </w:t>
      </w:r>
      <w:r w:rsidRPr="00EF6018" w:rsidR="00550504">
        <w:t>at p. 211)</w:t>
      </w:r>
      <w:r w:rsidRPr="00EF6018" w:rsidR="001C0D55">
        <w:t xml:space="preserve">; </w:t>
      </w:r>
      <w:r w:rsidR="001938DE">
        <w:t>directing</w:t>
      </w:r>
      <w:r w:rsidRPr="00EF6018" w:rsidR="001C0D55">
        <w:t xml:space="preserve"> “</w:t>
      </w:r>
      <w:r w:rsidR="00527C0C">
        <w:t> </w:t>
      </w:r>
      <w:r w:rsidRPr="00EF6018" w:rsidR="001C0D55">
        <w:t>‘the contracted work be done by use of a certain mode’</w:t>
      </w:r>
      <w:r w:rsidR="00527C0C">
        <w:t> </w:t>
      </w:r>
      <w:r w:rsidRPr="00EF6018" w:rsidR="001C0D55">
        <w:t>” (</w:t>
      </w:r>
      <w:r w:rsidRPr="00EF6018" w:rsidR="001C0D55">
        <w:rPr>
          <w:i/>
          <w:iCs/>
        </w:rPr>
        <w:t>id.</w:t>
      </w:r>
      <w:r w:rsidRPr="00EF6018" w:rsidR="001C0D55">
        <w:rPr>
          <w:i/>
        </w:rPr>
        <w:t xml:space="preserve"> </w:t>
      </w:r>
      <w:r w:rsidRPr="00EF6018" w:rsidR="001C0D55">
        <w:t>at p. 215); or interfering with “ ‘the means and methods by which the work is to be accomplished’</w:t>
      </w:r>
      <w:r w:rsidR="00F7312E">
        <w:t> </w:t>
      </w:r>
      <w:r w:rsidRPr="00EF6018" w:rsidR="001C0D55">
        <w:t>” (</w:t>
      </w:r>
      <w:r w:rsidRPr="00EF6018" w:rsidR="001C0D55">
        <w:rPr>
          <w:i/>
          <w:iCs/>
        </w:rPr>
        <w:t>ibi</w:t>
      </w:r>
      <w:r w:rsidRPr="00EF6018" w:rsidR="00E46804">
        <w:rPr>
          <w:i/>
          <w:iCs/>
        </w:rPr>
        <w:t>d</w:t>
      </w:r>
      <w:r w:rsidRPr="00EF6018" w:rsidR="00E46804">
        <w:t>.</w:t>
      </w:r>
      <w:r w:rsidRPr="00EF6018" w:rsidR="001C0D55">
        <w:t>).</w:t>
      </w:r>
      <w:r w:rsidRPr="00EF6018" w:rsidR="00506440">
        <w:t xml:space="preserve">  </w:t>
      </w:r>
      <w:bookmarkStart w:id="17" w:name="_Hlk79686359"/>
      <w:bookmarkStart w:id="18" w:name="_Hlk79681188"/>
      <w:r w:rsidRPr="00EF6018" w:rsidR="00506440">
        <w:t xml:space="preserve">Thus, </w:t>
      </w:r>
      <w:bookmarkStart w:id="19" w:name="_Hlk66475574"/>
      <w:r w:rsidRPr="00EF6018" w:rsidR="0033084A">
        <w:t xml:space="preserve">we found that the hirer in </w:t>
      </w:r>
      <w:r w:rsidRPr="00EF6018" w:rsidR="0033084A">
        <w:rPr>
          <w:i/>
          <w:iCs/>
        </w:rPr>
        <w:t xml:space="preserve">Hooker </w:t>
      </w:r>
      <w:r w:rsidRPr="00EF6018" w:rsidR="0033084A">
        <w:t xml:space="preserve">did not </w:t>
      </w:r>
      <w:r w:rsidR="00092FA2">
        <w:t xml:space="preserve">exercise its retained control in a manner that </w:t>
      </w:r>
      <w:r w:rsidRPr="00EF6018" w:rsidR="0033084A">
        <w:t>affirmatively contribute</w:t>
      </w:r>
      <w:r w:rsidR="00092FA2">
        <w:t>d</w:t>
      </w:r>
      <w:r w:rsidRPr="00EF6018" w:rsidR="0033084A">
        <w:t xml:space="preserve"> to the injury </w:t>
      </w:r>
      <w:r w:rsidRPr="00EF6018" w:rsidR="00506440">
        <w:t xml:space="preserve">where </w:t>
      </w:r>
      <w:r w:rsidRPr="00EF6018" w:rsidR="0033084A">
        <w:t xml:space="preserve">it </w:t>
      </w:r>
      <w:bookmarkEnd w:id="19"/>
      <w:r w:rsidRPr="00EF6018" w:rsidR="00506440">
        <w:t xml:space="preserve">merely permitted </w:t>
      </w:r>
      <w:r w:rsidR="006A565B">
        <w:t>vehicles to use the overpass</w:t>
      </w:r>
      <w:r w:rsidR="00517EA3">
        <w:t xml:space="preserve"> and</w:t>
      </w:r>
      <w:r w:rsidR="004E2D8C">
        <w:t xml:space="preserve"> knew</w:t>
      </w:r>
      <w:r w:rsidR="00517EA3">
        <w:t xml:space="preserve"> </w:t>
      </w:r>
      <w:r w:rsidR="00151A8D">
        <w:t xml:space="preserve">that, in order to allow vehicles to pass through, </w:t>
      </w:r>
      <w:r w:rsidR="00517EA3">
        <w:t>the</w:t>
      </w:r>
      <w:r w:rsidR="006A565B">
        <w:t xml:space="preserve"> contractor’s</w:t>
      </w:r>
      <w:r w:rsidRPr="00EF6018" w:rsidR="00506440">
        <w:t xml:space="preserve"> crane operator </w:t>
      </w:r>
      <w:r w:rsidR="004E2D8C">
        <w:t xml:space="preserve">was </w:t>
      </w:r>
      <w:r w:rsidR="00517EA3">
        <w:t>required</w:t>
      </w:r>
      <w:r w:rsidR="004E2D8C">
        <w:t xml:space="preserve"> </w:t>
      </w:r>
      <w:r w:rsidRPr="00EF6018" w:rsidR="00506440">
        <w:t>to engage in the unsafe practice of retracting the crane’s stabilizing outrigger</w:t>
      </w:r>
      <w:r w:rsidR="003C3C23">
        <w:t>s</w:t>
      </w:r>
      <w:bookmarkEnd w:id="17"/>
      <w:r w:rsidR="00517EA3">
        <w:t xml:space="preserve">. </w:t>
      </w:r>
      <w:r w:rsidRPr="00EF6018" w:rsidR="00506440">
        <w:t xml:space="preserve"> (</w:t>
      </w:r>
      <w:r w:rsidR="00517EA3">
        <w:rPr>
          <w:i/>
          <w:iCs/>
        </w:rPr>
        <w:t>I</w:t>
      </w:r>
      <w:r w:rsidRPr="00EF6018" w:rsidR="00506440">
        <w:rPr>
          <w:i/>
          <w:iCs/>
        </w:rPr>
        <w:t>d.</w:t>
      </w:r>
      <w:r w:rsidRPr="00EF6018" w:rsidR="00506440">
        <w:t xml:space="preserve"> at pp. 214–215</w:t>
      </w:r>
      <w:r w:rsidR="00517EA3">
        <w:t>.</w:t>
      </w:r>
      <w:r w:rsidRPr="00EF6018" w:rsidR="00506440">
        <w:t>)</w:t>
      </w:r>
      <w:bookmarkEnd w:id="18"/>
      <w:r w:rsidR="00517EA3">
        <w:t xml:space="preserve">  B</w:t>
      </w:r>
      <w:r w:rsidRPr="00EF6018" w:rsidR="00506440">
        <w:t xml:space="preserve">ut we did find </w:t>
      </w:r>
      <w:r w:rsidR="00A856AF">
        <w:t>that the hirer in</w:t>
      </w:r>
      <w:r w:rsidRPr="00EF6018" w:rsidR="00506440">
        <w:t xml:space="preserve"> </w:t>
      </w:r>
      <w:r w:rsidRPr="00EF6018" w:rsidR="00506440">
        <w:rPr>
          <w:i/>
          <w:iCs/>
        </w:rPr>
        <w:t>Hooker</w:t>
      </w:r>
      <w:r w:rsidRPr="00EF6018" w:rsidR="00506440">
        <w:t xml:space="preserve">’s companion case, </w:t>
      </w:r>
      <w:bookmarkStart w:id="20" w:name="_Hlk77078245"/>
      <w:r w:rsidRPr="00EF6018" w:rsidR="00506440">
        <w:rPr>
          <w:i/>
          <w:iCs/>
        </w:rPr>
        <w:t>McKown v. Wal-Mart Stores</w:t>
      </w:r>
      <w:r w:rsidRPr="00EF6018" w:rsidR="00C36F7A">
        <w:t>,</w:t>
      </w:r>
      <w:r w:rsidRPr="00EF6018" w:rsidR="00506440">
        <w:rPr>
          <w:i/>
          <w:iCs/>
        </w:rPr>
        <w:t xml:space="preserve"> Inc.</w:t>
      </w:r>
      <w:r w:rsidRPr="00EF6018" w:rsidR="00506440">
        <w:t xml:space="preserve"> (2002) 27 Cal.4th 219</w:t>
      </w:r>
      <w:r w:rsidRPr="00EF6018" w:rsidR="000F0244">
        <w:t xml:space="preserve"> </w:t>
      </w:r>
      <w:r w:rsidRPr="00EF6018" w:rsidR="00506440">
        <w:t>(</w:t>
      </w:r>
      <w:r w:rsidRPr="00EF6018" w:rsidR="00506440">
        <w:rPr>
          <w:i/>
          <w:iCs/>
        </w:rPr>
        <w:t>McKown</w:t>
      </w:r>
      <w:r w:rsidRPr="00EF6018" w:rsidR="00506440">
        <w:t>)</w:t>
      </w:r>
      <w:bookmarkEnd w:id="20"/>
      <w:r w:rsidRPr="00EF6018" w:rsidR="00506440">
        <w:t xml:space="preserve">, </w:t>
      </w:r>
      <w:r w:rsidR="00A856AF">
        <w:t>exercised its retained control in a manner that affirmatively contributed to the injury where it</w:t>
      </w:r>
      <w:r w:rsidR="00F041F1">
        <w:t xml:space="preserve"> requested </w:t>
      </w:r>
      <w:r w:rsidR="00A856AF">
        <w:t xml:space="preserve">the independent contractor to </w:t>
      </w:r>
      <w:r w:rsidR="00F041F1">
        <w:t>use</w:t>
      </w:r>
      <w:r w:rsidR="006B77D3">
        <w:t xml:space="preserve"> the hirer’s own</w:t>
      </w:r>
      <w:r w:rsidR="00F041F1">
        <w:t xml:space="preserve"> defective equipment</w:t>
      </w:r>
      <w:r w:rsidR="00A856AF">
        <w:t xml:space="preserve"> in performing the work</w:t>
      </w:r>
      <w:r w:rsidR="00517EA3">
        <w:t xml:space="preserve">. </w:t>
      </w:r>
      <w:r w:rsidR="00F041F1">
        <w:t xml:space="preserve"> </w:t>
      </w:r>
      <w:r w:rsidRPr="00EF6018" w:rsidR="00506440">
        <w:t>(</w:t>
      </w:r>
      <w:r w:rsidR="00517EA3">
        <w:rPr>
          <w:i/>
          <w:iCs/>
        </w:rPr>
        <w:t>I</w:t>
      </w:r>
      <w:r w:rsidRPr="00EF6018" w:rsidR="00506440">
        <w:rPr>
          <w:i/>
          <w:iCs/>
        </w:rPr>
        <w:t>d</w:t>
      </w:r>
      <w:r w:rsidRPr="00EF6018" w:rsidR="00506440">
        <w:t>. at p. 225</w:t>
      </w:r>
      <w:r w:rsidR="000E3AFF">
        <w:t>.</w:t>
      </w:r>
      <w:r w:rsidRPr="00EF6018" w:rsidR="00506440">
        <w:t xml:space="preserve">)  </w:t>
      </w:r>
    </w:p>
    <w:p w:rsidR="00A539DD" w:rsidRPr="00EF6018" w:rsidP="008D0BFE">
      <w:pPr>
        <w:tabs>
          <w:tab w:val="left" w:pos="1440"/>
        </w:tabs>
        <w:ind w:firstLine="720"/>
      </w:pPr>
      <w:r w:rsidRPr="00EF6018">
        <w:t>Second, i</w:t>
      </w:r>
      <w:r w:rsidRPr="00EF6018" w:rsidR="007D6DA4">
        <w:t xml:space="preserve">n </w:t>
      </w:r>
      <w:r w:rsidRPr="00EF6018" w:rsidR="007D6DA4">
        <w:rPr>
          <w:i/>
          <w:iCs/>
        </w:rPr>
        <w:t>Kinsman</w:t>
      </w:r>
      <w:r w:rsidRPr="00EF6018" w:rsidR="007D6DA4">
        <w:t xml:space="preserve">, we </w:t>
      </w:r>
      <w:r w:rsidRPr="00EF6018" w:rsidR="00A3058D">
        <w:t xml:space="preserve">addressed whether a landowner may be liable </w:t>
      </w:r>
      <w:r w:rsidRPr="00EF6018" w:rsidR="007D6DA4">
        <w:t>for injuries sustained by an independent contractor’s employee</w:t>
      </w:r>
      <w:r w:rsidRPr="00EF6018" w:rsidR="00B26E7E">
        <w:t xml:space="preserve"> that were </w:t>
      </w:r>
      <w:r w:rsidRPr="00EF6018" w:rsidR="00A3058D">
        <w:t>caused by a concealed hazard</w:t>
      </w:r>
      <w:r w:rsidRPr="00EF6018" w:rsidR="00B26E7E">
        <w:t>;</w:t>
      </w:r>
      <w:r w:rsidRPr="00EF6018" w:rsidR="00A3058D">
        <w:t xml:space="preserve"> specifically</w:t>
      </w:r>
      <w:r w:rsidRPr="00EF6018" w:rsidR="00B26E7E">
        <w:t>,</w:t>
      </w:r>
      <w:r w:rsidRPr="00EF6018" w:rsidR="00E32D5F">
        <w:t xml:space="preserve"> hidden asbestos dust and debris</w:t>
      </w:r>
      <w:r w:rsidRPr="00EF6018" w:rsidR="00A3058D">
        <w:t xml:space="preserve"> at a worksite.  We held that</w:t>
      </w:r>
      <w:r w:rsidRPr="00EF6018" w:rsidR="007D6DA4">
        <w:t xml:space="preserve"> </w:t>
      </w:r>
      <w:r w:rsidRPr="00EF6018" w:rsidR="009D3DA2">
        <w:t xml:space="preserve">the landowner could be liable </w:t>
      </w:r>
      <w:r w:rsidRPr="00EF6018" w:rsidR="007D6DA4">
        <w:t>if</w:t>
      </w:r>
      <w:r w:rsidRPr="00EF6018" w:rsidR="001F3319">
        <w:t xml:space="preserve"> </w:t>
      </w:r>
      <w:r w:rsidRPr="00EF6018" w:rsidR="007D6DA4">
        <w:t>“the landowner knew, or should have known, of a latent or concealed preexisting hazardous condition on its property, the contractor did not know and could not have reasonably discovered this hazardous condition, and the landowner failed to warn the contractor about this condition.”  (</w:t>
      </w:r>
      <w:r w:rsidRPr="00EF6018" w:rsidR="007D6DA4">
        <w:rPr>
          <w:i/>
          <w:iCs/>
        </w:rPr>
        <w:t>Kinsman</w:t>
      </w:r>
      <w:r w:rsidRPr="00EF6018" w:rsidR="007D6DA4">
        <w:t xml:space="preserve">, </w:t>
      </w:r>
      <w:r w:rsidRPr="00EF6018" w:rsidR="007D6DA4">
        <w:rPr>
          <w:i/>
          <w:iCs/>
        </w:rPr>
        <w:t>supra</w:t>
      </w:r>
      <w:r w:rsidRPr="00EF6018" w:rsidR="007D6DA4">
        <w:t>, 37 Cal.4th at p. 664</w:t>
      </w:r>
      <w:r w:rsidR="00E43538">
        <w:t>, fn. omitted</w:t>
      </w:r>
      <w:r w:rsidRPr="00EF6018" w:rsidR="007D6DA4">
        <w:t xml:space="preserve">.)  </w:t>
      </w:r>
      <w:r w:rsidRPr="00EF6018" w:rsidR="000A7761">
        <w:t>We based our holding on the premises liability rule that a landowner has a duty to warn a visitor of a dangerous condition on the property</w:t>
      </w:r>
      <w:r w:rsidRPr="00EF6018" w:rsidR="007D6DA4">
        <w:t xml:space="preserve"> </w:t>
      </w:r>
      <w:r w:rsidRPr="00EF6018" w:rsidR="000A7761">
        <w:t>“</w:t>
      </w:r>
      <w:r w:rsidR="00D47FD5">
        <w:t> ‘</w:t>
      </w:r>
      <w:r w:rsidRPr="00EF6018" w:rsidR="007D6DA4">
        <w:t xml:space="preserve">so that </w:t>
      </w:r>
      <w:r w:rsidR="00717809">
        <w:t>[the visitor]</w:t>
      </w:r>
      <w:r w:rsidRPr="00EF6018" w:rsidR="007D6DA4">
        <w:t xml:space="preserve">, like the host, will be in a position to take special precautions when </w:t>
      </w:r>
      <w:r w:rsidR="00717809">
        <w:t>[the visitor]</w:t>
      </w:r>
      <w:r w:rsidRPr="00EF6018" w:rsidR="007D6DA4">
        <w:t xml:space="preserve"> comes in contact with it.’</w:t>
      </w:r>
      <w:r w:rsidR="00D47FD5">
        <w:t> </w:t>
      </w:r>
      <w:r w:rsidRPr="00EF6018" w:rsidR="007D6DA4">
        <w:t>”  (</w:t>
      </w:r>
      <w:r w:rsidRPr="00EF6018" w:rsidR="007D6DA4">
        <w:rPr>
          <w:i/>
          <w:iCs/>
        </w:rPr>
        <w:t>Kinsman</w:t>
      </w:r>
      <w:r w:rsidRPr="00EF6018" w:rsidR="007D6DA4">
        <w:t xml:space="preserve">, at p. 673, quoting </w:t>
      </w:r>
      <w:r w:rsidRPr="00EF6018" w:rsidR="007D6DA4">
        <w:rPr>
          <w:i/>
          <w:iCs/>
        </w:rPr>
        <w:t>Rowland</w:t>
      </w:r>
      <w:r w:rsidRPr="00EF6018" w:rsidR="000A7761">
        <w:rPr>
          <w:i/>
          <w:iCs/>
        </w:rPr>
        <w:t xml:space="preserve"> v. Christian </w:t>
      </w:r>
      <w:r w:rsidRPr="00EF6018" w:rsidR="000A7761">
        <w:t>(1968) 69 Cal.2d 108,</w:t>
      </w:r>
      <w:r w:rsidRPr="00EF6018" w:rsidR="007D6DA4">
        <w:t xml:space="preserve"> 119</w:t>
      </w:r>
      <w:r w:rsidRPr="00EF6018" w:rsidR="000A7761">
        <w:t xml:space="preserve">; see also </w:t>
      </w:r>
      <w:bookmarkStart w:id="21" w:name="_Hlk64985534"/>
      <w:r w:rsidRPr="00EF6018" w:rsidR="008D1DC3">
        <w:t>Rest.2d Torts, §</w:t>
      </w:r>
      <w:r w:rsidR="0083245E">
        <w:t> </w:t>
      </w:r>
      <w:r w:rsidRPr="00EF6018" w:rsidR="008D1DC3">
        <w:t>343</w:t>
      </w:r>
      <w:bookmarkEnd w:id="21"/>
      <w:r w:rsidRPr="00EF6018" w:rsidR="007D6DA4">
        <w:t>.)</w:t>
      </w:r>
      <w:r w:rsidRPr="00EF6018" w:rsidR="00E37B2B">
        <w:t xml:space="preserve">  Our holding was also grounded in </w:t>
      </w:r>
      <w:r w:rsidRPr="00EF6018" w:rsidR="00E37B2B">
        <w:rPr>
          <w:i/>
          <w:iCs/>
        </w:rPr>
        <w:t>Privette</w:t>
      </w:r>
      <w:r w:rsidRPr="00EF6018" w:rsidR="00E37B2B">
        <w:t xml:space="preserve">’s strong presumption in favor of delegation.  We explained that, while a landowner delegates to an independent contractor </w:t>
      </w:r>
      <w:r w:rsidRPr="00EF6018" w:rsidR="00F32F09">
        <w:t xml:space="preserve">the duty </w:t>
      </w:r>
      <w:r w:rsidRPr="00EF6018" w:rsidR="00E37B2B">
        <w:t xml:space="preserve">to protect its workers against hazards </w:t>
      </w:r>
      <w:r w:rsidR="00A85AC5">
        <w:t>o</w:t>
      </w:r>
      <w:r w:rsidRPr="00EF6018" w:rsidR="00E37B2B">
        <w:t>n the work</w:t>
      </w:r>
      <w:r w:rsidR="00A85AC5">
        <w:t>site</w:t>
      </w:r>
      <w:r w:rsidRPr="00EF6018" w:rsidR="00E37B2B">
        <w:t>, such delegation “is ineffective when the hirer, as landowner, fails to provide the contractor with the information</w:t>
      </w:r>
      <w:r w:rsidR="006018AD">
        <w:t> </w:t>
      </w:r>
      <w:r w:rsidRPr="00EF6018" w:rsidR="00E37B2B">
        <w:t>— the existence of a latent hazard</w:t>
      </w:r>
      <w:r w:rsidR="006018AD">
        <w:t> </w:t>
      </w:r>
      <w:r w:rsidRPr="00EF6018" w:rsidR="00E37B2B">
        <w:t>— necessary to fulfill that responsibility.”  (</w:t>
      </w:r>
      <w:r w:rsidRPr="00EF6018" w:rsidR="00E37B2B">
        <w:rPr>
          <w:i/>
        </w:rPr>
        <w:t>Kinsman</w:t>
      </w:r>
      <w:r w:rsidRPr="00EF6018" w:rsidR="00E37B2B">
        <w:t>, at p. 679</w:t>
      </w:r>
      <w:r w:rsidRPr="00EF6018" w:rsidR="009A2687">
        <w:t xml:space="preserve">; see also </w:t>
      </w:r>
      <w:r w:rsidRPr="00EF6018" w:rsidR="009A2687">
        <w:rPr>
          <w:i/>
          <w:iCs/>
        </w:rPr>
        <w:t>id</w:t>
      </w:r>
      <w:r w:rsidRPr="00EF6018" w:rsidR="009A2687">
        <w:t xml:space="preserve">. at p. </w:t>
      </w:r>
      <w:r w:rsidRPr="00EF6018" w:rsidR="000C142D">
        <w:t>673</w:t>
      </w:r>
      <w:r w:rsidRPr="00EF6018" w:rsidR="00E37B2B">
        <w:t xml:space="preserve">.)     </w:t>
      </w:r>
      <w:r w:rsidRPr="00EF6018" w:rsidR="007D6DA4">
        <w:t xml:space="preserve">  </w:t>
      </w:r>
    </w:p>
    <w:p w:rsidR="00220203" w:rsidRPr="00EF6018" w:rsidP="008A264F">
      <w:pPr>
        <w:pStyle w:val="ListParagraph"/>
        <w:numPr>
          <w:ilvl w:val="0"/>
          <w:numId w:val="1"/>
        </w:numPr>
        <w:tabs>
          <w:tab w:val="left" w:pos="1152"/>
        </w:tabs>
        <w:ind w:left="1109" w:hanging="389"/>
        <w:rPr>
          <w:b/>
        </w:rPr>
      </w:pPr>
      <w:r w:rsidRPr="00EF6018">
        <w:rPr>
          <w:b/>
        </w:rPr>
        <w:t xml:space="preserve">Premises Liability Rules </w:t>
      </w:r>
      <w:r w:rsidRPr="00EF6018" w:rsidR="001C2E99">
        <w:rPr>
          <w:b/>
        </w:rPr>
        <w:t>Applicable to</w:t>
      </w:r>
      <w:r w:rsidRPr="00EF6018">
        <w:rPr>
          <w:b/>
        </w:rPr>
        <w:t xml:space="preserve"> Known Hazards   </w:t>
      </w:r>
    </w:p>
    <w:p w:rsidR="00041ABC" w:rsidRPr="00EF6018" w:rsidP="00FA6B42">
      <w:pPr>
        <w:tabs>
          <w:tab w:val="left" w:pos="1440"/>
        </w:tabs>
        <w:ind w:firstLine="720"/>
      </w:pPr>
      <w:r w:rsidRPr="00EF6018">
        <w:t xml:space="preserve">As described above, </w:t>
      </w:r>
      <w:r w:rsidRPr="00EF6018">
        <w:rPr>
          <w:i/>
          <w:iCs/>
        </w:rPr>
        <w:t>Kinsman</w:t>
      </w:r>
      <w:r w:rsidRPr="00EF6018">
        <w:t xml:space="preserve"> involved a concealed hazard</w:t>
      </w:r>
      <w:r w:rsidRPr="00EF6018" w:rsidR="009B00B0">
        <w:t>, which is not at issue here</w:t>
      </w:r>
      <w:r w:rsidRPr="00EF6018">
        <w:t xml:space="preserve">.  Nonetheless, </w:t>
      </w:r>
      <w:r w:rsidRPr="00EF6018" w:rsidR="00220203">
        <w:t>we discussed</w:t>
      </w:r>
      <w:r w:rsidRPr="00EF6018" w:rsidR="00797A24">
        <w:t xml:space="preserve"> in </w:t>
      </w:r>
      <w:r w:rsidRPr="00EF6018" w:rsidR="00797A24">
        <w:rPr>
          <w:i/>
          <w:iCs/>
        </w:rPr>
        <w:t>Kinsman</w:t>
      </w:r>
      <w:r w:rsidRPr="00EF6018" w:rsidR="00220203">
        <w:t xml:space="preserve"> the usual landowner liability rule</w:t>
      </w:r>
      <w:r w:rsidRPr="00EF6018" w:rsidR="00CC5D6F">
        <w:t xml:space="preserve"> regarding</w:t>
      </w:r>
      <w:r w:rsidRPr="00EF6018" w:rsidR="0004074D">
        <w:t xml:space="preserve"> an</w:t>
      </w:r>
      <w:r w:rsidRPr="00EF6018" w:rsidR="00CC5D6F">
        <w:t xml:space="preserve"> obvious hazard</w:t>
      </w:r>
      <w:r w:rsidRPr="00EF6018" w:rsidR="00220203">
        <w:t xml:space="preserve"> that appl</w:t>
      </w:r>
      <w:r w:rsidRPr="00EF6018" w:rsidR="0004074D">
        <w:t>ies</w:t>
      </w:r>
      <w:r w:rsidRPr="00EF6018" w:rsidR="00220203">
        <w:t xml:space="preserve"> to persons who visit the premises.  (</w:t>
      </w:r>
      <w:r w:rsidRPr="00EF6018" w:rsidR="00220203">
        <w:rPr>
          <w:i/>
        </w:rPr>
        <w:t>Kinsman</w:t>
      </w:r>
      <w:r w:rsidRPr="00EF6018" w:rsidR="00220203">
        <w:t xml:space="preserve">, </w:t>
      </w:r>
      <w:r w:rsidRPr="00EF6018" w:rsidR="00220203">
        <w:rPr>
          <w:i/>
        </w:rPr>
        <w:t>supra</w:t>
      </w:r>
      <w:r w:rsidRPr="00EF6018" w:rsidR="00220203">
        <w:t>, 37 Cal.4th at pp. 672–674.)  We explained that, typically, “</w:t>
      </w:r>
      <w:r w:rsidR="00F7312E">
        <w:t> </w:t>
      </w:r>
      <w:r w:rsidRPr="00EF6018" w:rsidR="00220203">
        <w:t>‘if a danger is so obvious that a person could reasonably be expected to see it, the condition itself serves as a warning, and the landowner is under no further duty to remedy or warn of the condition.’</w:t>
      </w:r>
      <w:r w:rsidR="00F7312E">
        <w:t> </w:t>
      </w:r>
      <w:r w:rsidRPr="00EF6018" w:rsidR="00220203">
        <w:t xml:space="preserve">”  </w:t>
      </w:r>
      <w:bookmarkStart w:id="22" w:name="_Hlk63190924"/>
      <w:r w:rsidRPr="00EF6018" w:rsidR="00220203">
        <w:t>(</w:t>
      </w:r>
      <w:r w:rsidRPr="00EF6018" w:rsidR="00220203">
        <w:rPr>
          <w:i/>
        </w:rPr>
        <w:t>Id</w:t>
      </w:r>
      <w:r w:rsidRPr="00EF6018" w:rsidR="00220203">
        <w:t>. at p. 67</w:t>
      </w:r>
      <w:bookmarkEnd w:id="22"/>
      <w:r w:rsidRPr="00EF6018" w:rsidR="00220203">
        <w:t xml:space="preserve">3.) </w:t>
      </w:r>
      <w:r w:rsidRPr="00EF6018" w:rsidR="00582C31">
        <w:t xml:space="preserve"> </w:t>
      </w:r>
      <w:bookmarkStart w:id="23" w:name="_Hlk73465176"/>
      <w:r w:rsidRPr="00EF6018" w:rsidR="00582C31">
        <w:t xml:space="preserve">Still, </w:t>
      </w:r>
      <w:r w:rsidRPr="00EF6018" w:rsidR="002809F3">
        <w:t xml:space="preserve">we observed </w:t>
      </w:r>
      <w:r w:rsidRPr="00EF6018" w:rsidR="005857EA">
        <w:t>that</w:t>
      </w:r>
      <w:r w:rsidRPr="00EF6018" w:rsidR="00582C31">
        <w:t xml:space="preserve"> landowners</w:t>
      </w:r>
      <w:r w:rsidRPr="00EF6018" w:rsidR="005857EA">
        <w:t xml:space="preserve"> may</w:t>
      </w:r>
      <w:r w:rsidR="00A85AC5">
        <w:t xml:space="preserve"> be</w:t>
      </w:r>
      <w:r w:rsidRPr="00EF6018" w:rsidR="00582C31">
        <w:t xml:space="preserve"> liable for</w:t>
      </w:r>
      <w:r w:rsidRPr="00EF6018" w:rsidR="00220203">
        <w:t xml:space="preserve"> injuries </w:t>
      </w:r>
      <w:r w:rsidR="001B250C">
        <w:t xml:space="preserve">to persons </w:t>
      </w:r>
      <w:r w:rsidRPr="00EF6018" w:rsidR="00220203">
        <w:t xml:space="preserve">resulting from </w:t>
      </w:r>
      <w:r w:rsidRPr="00EF6018" w:rsidR="0004074D">
        <w:t>an obvious hazard</w:t>
      </w:r>
      <w:r w:rsidRPr="00EF6018" w:rsidR="00220203">
        <w:t xml:space="preserve"> where “</w:t>
      </w:r>
      <w:r w:rsidRPr="00EF6018" w:rsidR="005857EA">
        <w:t> </w:t>
      </w:r>
      <w:r w:rsidRPr="00EF6018" w:rsidR="00220203">
        <w:t>‘</w:t>
      </w:r>
      <w:r w:rsidRPr="00EF6018" w:rsidR="0097141B">
        <w:t> “</w:t>
      </w:r>
      <w:r w:rsidRPr="00EF6018" w:rsidR="00220203">
        <w:t>the practical necessity of encountering the danger, when weighed against the apparent risk involved, is such that under the circumstances, a person might choose to encounter the danger.</w:t>
      </w:r>
      <w:r w:rsidRPr="00EF6018" w:rsidR="0097141B">
        <w:t>”</w:t>
      </w:r>
      <w:r w:rsidR="00F7312E">
        <w:t> </w:t>
      </w:r>
      <w:r w:rsidRPr="00EF6018" w:rsidR="00220203">
        <w:t>’</w:t>
      </w:r>
      <w:r w:rsidR="00F7312E">
        <w:t> </w:t>
      </w:r>
      <w:r w:rsidRPr="00EF6018" w:rsidR="00220203">
        <w:t xml:space="preserve">” </w:t>
      </w:r>
      <w:r w:rsidRPr="00EF6018" w:rsidR="00F76E7B">
        <w:t xml:space="preserve"> </w:t>
      </w:r>
      <w:bookmarkEnd w:id="23"/>
      <w:r w:rsidRPr="00EF6018" w:rsidR="00220203">
        <w:t>(</w:t>
      </w:r>
      <w:r w:rsidRPr="00EF6018" w:rsidR="007F7C37">
        <w:rPr>
          <w:i/>
          <w:iCs/>
        </w:rPr>
        <w:t>Ibid</w:t>
      </w:r>
      <w:r w:rsidRPr="00EF6018" w:rsidR="007F7C37">
        <w:t>.</w:t>
      </w:r>
      <w:r w:rsidRPr="00EF6018" w:rsidR="005857EA">
        <w:t xml:space="preserve">, </w:t>
      </w:r>
      <w:r w:rsidR="00160E0C">
        <w:t>quoting</w:t>
      </w:r>
      <w:r w:rsidRPr="00EF6018" w:rsidR="00160E0C">
        <w:t xml:space="preserve"> </w:t>
      </w:r>
      <w:r w:rsidRPr="00EF6018" w:rsidR="005857EA">
        <w:rPr>
          <w:i/>
          <w:iCs/>
        </w:rPr>
        <w:t>Krongos v. Pacific Gas &amp; Electric Co</w:t>
      </w:r>
      <w:r w:rsidRPr="00EF6018" w:rsidR="005857EA">
        <w:t xml:space="preserve">. (1992) 7 Cal.App.4th 387, 391, 394 [owner of </w:t>
      </w:r>
      <w:r w:rsidRPr="00EF6018" w:rsidR="00A539DD">
        <w:t xml:space="preserve">a </w:t>
      </w:r>
      <w:r w:rsidRPr="00EF6018" w:rsidR="005857EA">
        <w:t xml:space="preserve">construction yard </w:t>
      </w:r>
      <w:r w:rsidRPr="00EF6018" w:rsidR="00A539DD">
        <w:t>could</w:t>
      </w:r>
      <w:r w:rsidRPr="00EF6018" w:rsidR="005857EA">
        <w:t xml:space="preserve"> be liable to an employee of the yard’s lessor for injuries resulting from </w:t>
      </w:r>
      <w:r w:rsidRPr="00EF6018" w:rsidR="007F7C37">
        <w:t>an</w:t>
      </w:r>
      <w:r w:rsidRPr="00EF6018" w:rsidR="005857EA">
        <w:t xml:space="preserve"> obvious hazardous power line]</w:t>
      </w:r>
      <w:r w:rsidRPr="00EF6018" w:rsidR="009F7B35">
        <w:t>.</w:t>
      </w:r>
      <w:r w:rsidRPr="00EF6018" w:rsidR="00CC5D6F">
        <w:t>)</w:t>
      </w:r>
      <w:r w:rsidRPr="00EF6018" w:rsidR="002809F3">
        <w:t xml:space="preserve">  </w:t>
      </w:r>
      <w:r w:rsidRPr="00EF6018" w:rsidR="00F76E7B">
        <w:t>This</w:t>
      </w:r>
      <w:r w:rsidRPr="00EF6018" w:rsidR="002809F3">
        <w:t xml:space="preserve"> rule</w:t>
      </w:r>
      <w:r w:rsidRPr="00EF6018" w:rsidR="00F76E7B">
        <w:t xml:space="preserve"> is consistent with the </w:t>
      </w:r>
      <w:r w:rsidR="00816552">
        <w:t xml:space="preserve">Restatement </w:t>
      </w:r>
      <w:r w:rsidRPr="00EF6018" w:rsidR="00F76E7B">
        <w:t xml:space="preserve">Second and </w:t>
      </w:r>
      <w:r w:rsidR="00816552">
        <w:t>Restatement Third of Torts</w:t>
      </w:r>
      <w:r w:rsidRPr="00EF6018" w:rsidR="00F76E7B">
        <w:t>.</w:t>
      </w:r>
      <w:r w:rsidRPr="00EF6018" w:rsidR="009F7B35">
        <w:t xml:space="preserve"> </w:t>
      </w:r>
      <w:r w:rsidRPr="00EF6018" w:rsidR="00F76E7B">
        <w:t xml:space="preserve"> (</w:t>
      </w:r>
      <w:r w:rsidRPr="00EF6018" w:rsidR="009F7B35">
        <w:t>Rest.2d Torts, §</w:t>
      </w:r>
      <w:r w:rsidRPr="00EF6018" w:rsidR="002809F3">
        <w:t> </w:t>
      </w:r>
      <w:r w:rsidRPr="00EF6018" w:rsidR="009F7B35">
        <w:t xml:space="preserve">343A [a landowner is generally not liable for injuries resulting from a “known or obvious” hazard, “unless the [landowner] should anticipate the harm despite such knowledge or obviousness”]; </w:t>
      </w:r>
      <w:r w:rsidRPr="00EF6018" w:rsidR="00F76E7B">
        <w:t>Rest.3d Torts, Liability for Physical and Emotional Harm, §</w:t>
      </w:r>
      <w:r w:rsidRPr="00EF6018" w:rsidR="002A78FC">
        <w:t> </w:t>
      </w:r>
      <w:r w:rsidRPr="00EF6018" w:rsidR="00F76E7B">
        <w:t>51, c</w:t>
      </w:r>
      <w:r w:rsidRPr="00EF6018" w:rsidR="007B0A4D">
        <w:t>om</w:t>
      </w:r>
      <w:r w:rsidRPr="00EF6018" w:rsidR="00F76E7B">
        <w:t xml:space="preserve">. </w:t>
      </w:r>
      <w:r w:rsidRPr="00EF6018" w:rsidR="00991D82">
        <w:t>k</w:t>
      </w:r>
      <w:r w:rsidR="000110BA">
        <w:t>, p.</w:t>
      </w:r>
      <w:r w:rsidR="0002120F">
        <w:t xml:space="preserve"> 251</w:t>
      </w:r>
      <w:r w:rsidRPr="00EF6018" w:rsidR="009F7B35">
        <w:t xml:space="preserve"> </w:t>
      </w:r>
      <w:r w:rsidR="000110BA">
        <w:t>[</w:t>
      </w:r>
      <w:r w:rsidRPr="00EF6018" w:rsidR="009F7B35">
        <w:t>same</w:t>
      </w:r>
      <w:r w:rsidR="000110BA">
        <w:t>]</w:t>
      </w:r>
      <w:r w:rsidRPr="00EF6018" w:rsidR="00F76E7B">
        <w:t>.)</w:t>
      </w:r>
      <w:r w:rsidRPr="00EF6018" w:rsidR="00ED5418">
        <w:t xml:space="preserve">  </w:t>
      </w:r>
    </w:p>
    <w:p w:rsidR="00F807CA" w:rsidRPr="00EF6018" w:rsidP="00FA6B42">
      <w:pPr>
        <w:tabs>
          <w:tab w:val="left" w:pos="1440"/>
        </w:tabs>
        <w:ind w:firstLine="720"/>
      </w:pPr>
      <w:r w:rsidRPr="00EF6018">
        <w:t>W</w:t>
      </w:r>
      <w:r w:rsidRPr="00EF6018" w:rsidR="00116ED1">
        <w:t>e</w:t>
      </w:r>
      <w:r w:rsidRPr="00EF6018" w:rsidR="002809F3">
        <w:t xml:space="preserve"> did </w:t>
      </w:r>
      <w:r w:rsidRPr="00EF6018" w:rsidR="00116ED1">
        <w:t>not</w:t>
      </w:r>
      <w:r w:rsidRPr="00EF6018" w:rsidR="00283EF5">
        <w:t xml:space="preserve"> determine in </w:t>
      </w:r>
      <w:r w:rsidRPr="00EF6018" w:rsidR="00283EF5">
        <w:rPr>
          <w:i/>
          <w:iCs/>
        </w:rPr>
        <w:t xml:space="preserve">Kinsman </w:t>
      </w:r>
      <w:r w:rsidRPr="00EF6018" w:rsidR="00283EF5">
        <w:t xml:space="preserve">whether </w:t>
      </w:r>
      <w:r w:rsidR="00717809">
        <w:t>or</w:t>
      </w:r>
      <w:r w:rsidRPr="00EF6018" w:rsidR="00283EF5">
        <w:t xml:space="preserve"> under what circumstances </w:t>
      </w:r>
      <w:r w:rsidRPr="00EF6018" w:rsidR="000F0244">
        <w:t>th</w:t>
      </w:r>
      <w:r w:rsidRPr="00EF6018">
        <w:t>e above</w:t>
      </w:r>
      <w:r w:rsidRPr="00EF6018" w:rsidR="000F0244">
        <w:t xml:space="preserve"> rule</w:t>
      </w:r>
      <w:r w:rsidR="006018AD">
        <w:t> </w:t>
      </w:r>
      <w:r w:rsidRPr="00EF6018" w:rsidR="000F0244">
        <w:t xml:space="preserve">— </w:t>
      </w:r>
      <w:r w:rsidRPr="00EF6018" w:rsidR="00745E2F">
        <w:t>which is</w:t>
      </w:r>
      <w:r w:rsidRPr="00EF6018" w:rsidR="000F0244">
        <w:t xml:space="preserve"> set forth in </w:t>
      </w:r>
      <w:r w:rsidRPr="00EF6018" w:rsidR="001B5BCB">
        <w:t xml:space="preserve">section 343A of </w:t>
      </w:r>
      <w:r w:rsidRPr="00EF6018" w:rsidR="000F0244">
        <w:t>the Restatement Second of Torts</w:t>
      </w:r>
      <w:r w:rsidRPr="00EF6018" w:rsidR="00E85572">
        <w:t xml:space="preserve"> </w:t>
      </w:r>
      <w:r w:rsidRPr="00EF6018" w:rsidR="002809F3">
        <w:t>(</w:t>
      </w:r>
      <w:r w:rsidRPr="00EF6018" w:rsidR="000F0244">
        <w:t>titled</w:t>
      </w:r>
      <w:r w:rsidRPr="00EF6018" w:rsidR="008C14D6">
        <w:t xml:space="preserve"> “Known or Obvious Dangers”</w:t>
      </w:r>
      <w:r w:rsidRPr="00EF6018" w:rsidR="002809F3">
        <w:t>)</w:t>
      </w:r>
      <w:r w:rsidR="006018AD">
        <w:t> </w:t>
      </w:r>
      <w:r w:rsidRPr="00EF6018" w:rsidR="000F0244">
        <w:t xml:space="preserve">— </w:t>
      </w:r>
      <w:r w:rsidRPr="00EF6018" w:rsidR="00283EF5">
        <w:t xml:space="preserve">might apply to independent contractors.  </w:t>
      </w:r>
      <w:r w:rsidRPr="00EF6018" w:rsidR="0008024C">
        <w:t xml:space="preserve">Instead, our rule in </w:t>
      </w:r>
      <w:r w:rsidRPr="00EF6018" w:rsidR="0008024C">
        <w:rPr>
          <w:i/>
          <w:iCs/>
        </w:rPr>
        <w:t xml:space="preserve">Kinsman </w:t>
      </w:r>
      <w:r w:rsidRPr="00EF6018" w:rsidR="0008024C">
        <w:t>applies only to situations in which an independent contractor could not be reasonably expected to ascertain or discover a hidden danger</w:t>
      </w:r>
      <w:r w:rsidRPr="00EF6018" w:rsidR="0003109D">
        <w:t>, a circumstance not at issue here</w:t>
      </w:r>
      <w:r w:rsidRPr="00EF6018" w:rsidR="0008024C">
        <w:t>.  (</w:t>
      </w:r>
      <w:r w:rsidRPr="00EF6018" w:rsidR="0008024C">
        <w:rPr>
          <w:i/>
          <w:iCs/>
        </w:rPr>
        <w:t>Kinsman</w:t>
      </w:r>
      <w:r w:rsidRPr="00EF6018" w:rsidR="0008024C">
        <w:t xml:space="preserve">, </w:t>
      </w:r>
      <w:r w:rsidRPr="00EF6018" w:rsidR="0008024C">
        <w:rPr>
          <w:i/>
          <w:iCs/>
        </w:rPr>
        <w:t>supra</w:t>
      </w:r>
      <w:r w:rsidRPr="00EF6018" w:rsidR="0008024C">
        <w:t xml:space="preserve">, 37 Cal.4th at p. 673.)  </w:t>
      </w:r>
      <w:r w:rsidRPr="00EF6018" w:rsidR="00283EF5">
        <w:t>We did</w:t>
      </w:r>
      <w:r w:rsidRPr="00EF6018" w:rsidR="00E82D1D">
        <w:t xml:space="preserve">, however, </w:t>
      </w:r>
      <w:r w:rsidR="006B77D3">
        <w:t xml:space="preserve">squarely </w:t>
      </w:r>
      <w:r w:rsidRPr="00EF6018" w:rsidR="00E82D1D">
        <w:t xml:space="preserve">address </w:t>
      </w:r>
      <w:r w:rsidRPr="00EF6018">
        <w:t xml:space="preserve">the related </w:t>
      </w:r>
      <w:r w:rsidRPr="00EF6018" w:rsidR="00E82D1D">
        <w:t>section 343</w:t>
      </w:r>
      <w:r w:rsidRPr="00EF6018">
        <w:t xml:space="preserve"> of the Restatement Second of Torts</w:t>
      </w:r>
      <w:r w:rsidRPr="00EF6018" w:rsidR="00E85572">
        <w:t xml:space="preserve"> </w:t>
      </w:r>
      <w:r w:rsidRPr="00EF6018" w:rsidR="002809F3">
        <w:t>(</w:t>
      </w:r>
      <w:r w:rsidRPr="00EF6018">
        <w:t xml:space="preserve">titled </w:t>
      </w:r>
      <w:r w:rsidRPr="00EF6018" w:rsidR="00715427">
        <w:t>“Dangerous Conditions Known to or Discoverable by Possessor”</w:t>
      </w:r>
      <w:r w:rsidRPr="00EF6018" w:rsidR="002809F3">
        <w:t>).</w:t>
      </w:r>
      <w:r w:rsidRPr="00EF6018" w:rsidR="00745E2F">
        <w:t xml:space="preserve">  We</w:t>
      </w:r>
      <w:r w:rsidRPr="00EF6018">
        <w:t xml:space="preserve"> </w:t>
      </w:r>
      <w:r w:rsidR="007C5E53">
        <w:t>observed</w:t>
      </w:r>
      <w:r w:rsidRPr="00EF6018">
        <w:t xml:space="preserve"> that this section “</w:t>
      </w:r>
      <w:r w:rsidRPr="00EF6018" w:rsidR="00283EF5">
        <w:t xml:space="preserve">must be modified, after </w:t>
      </w:r>
      <w:r w:rsidRPr="00EF6018" w:rsidR="00283EF5">
        <w:rPr>
          <w:i/>
          <w:iCs/>
        </w:rPr>
        <w:t>Privette</w:t>
      </w:r>
      <w:r w:rsidRPr="00EF6018">
        <w:t>” as applied “</w:t>
      </w:r>
      <w:r w:rsidRPr="00EF6018" w:rsidR="00283EF5">
        <w:t xml:space="preserve">to </w:t>
      </w:r>
      <w:r w:rsidRPr="00EF6018" w:rsidR="00745E2F">
        <w:t xml:space="preserve">a </w:t>
      </w:r>
      <w:r w:rsidRPr="00EF6018" w:rsidR="00283EF5">
        <w:t>hirer’s duty to the employees of independent contractors.”  (</w:t>
      </w:r>
      <w:r w:rsidRPr="00EF6018" w:rsidR="00BF3DBF">
        <w:rPr>
          <w:i/>
          <w:iCs/>
        </w:rPr>
        <w:t>Kinsman</w:t>
      </w:r>
      <w:r w:rsidRPr="00EF6018" w:rsidR="00BF3DBF">
        <w:t>,</w:t>
      </w:r>
      <w:r w:rsidRPr="00EF6018" w:rsidR="00283EF5">
        <w:t xml:space="preserve"> at p. 674.)  </w:t>
      </w:r>
      <w:r w:rsidRPr="00EF6018" w:rsidR="001363D5">
        <w:t>S</w:t>
      </w:r>
      <w:r w:rsidRPr="00EF6018">
        <w:t xml:space="preserve">ection </w:t>
      </w:r>
      <w:r w:rsidRPr="00EF6018" w:rsidR="001363D5">
        <w:t xml:space="preserve">343 </w:t>
      </w:r>
      <w:r w:rsidRPr="00EF6018">
        <w:t>provid</w:t>
      </w:r>
      <w:r w:rsidRPr="00EF6018" w:rsidR="00BB1462">
        <w:t xml:space="preserve">es that a landowner is liable for a hazard </w:t>
      </w:r>
      <w:r w:rsidRPr="00EF6018" w:rsidR="00F40FA9">
        <w:t xml:space="preserve">on the premises </w:t>
      </w:r>
      <w:r w:rsidRPr="00EF6018" w:rsidR="00BB1462">
        <w:t>when it “</w:t>
      </w:r>
      <w:r w:rsidR="00F7312E">
        <w:t> </w:t>
      </w:r>
      <w:r w:rsidRPr="00EF6018" w:rsidR="00BB1462">
        <w:t xml:space="preserve">‘(a) knows or by the exercise of reasonable care would discover the condition, and should realize that it involves an unreasonable risk of harm to such invitees, and [¶] (b) should expect that they will not discover or realize the danger, </w:t>
      </w:r>
      <w:r w:rsidRPr="00EF6018" w:rsidR="00BB1462">
        <w:rPr>
          <w:i/>
          <w:iCs/>
        </w:rPr>
        <w:t xml:space="preserve">or will </w:t>
      </w:r>
      <w:r w:rsidRPr="00EF6018" w:rsidR="00BB1462">
        <w:rPr>
          <w:i/>
        </w:rPr>
        <w:t>fail to protect themselves against</w:t>
      </w:r>
      <w:r w:rsidRPr="00EF6018" w:rsidR="00BB1462">
        <w:rPr>
          <w:i/>
          <w:iCs/>
        </w:rPr>
        <w:t xml:space="preserve"> it</w:t>
      </w:r>
      <w:r w:rsidRPr="00EF6018" w:rsidR="00BB1462">
        <w:t>.’</w:t>
      </w:r>
      <w:r w:rsidRPr="00EF6018" w:rsidR="00F40FA9">
        <w:t> </w:t>
      </w:r>
      <w:r w:rsidRPr="00EF6018" w:rsidR="00BB1462">
        <w:t>”  (</w:t>
      </w:r>
      <w:r w:rsidRPr="00EF6018" w:rsidR="00BB1462">
        <w:rPr>
          <w:i/>
          <w:iCs/>
        </w:rPr>
        <w:t>Kinsman</w:t>
      </w:r>
      <w:r w:rsidRPr="00EF6018" w:rsidR="00BB1462">
        <w:t>, at p. 674, quoting Rest.2d Torts, § 343, ital</w:t>
      </w:r>
      <w:r w:rsidRPr="00EF6018" w:rsidR="0098005A">
        <w:t>ics</w:t>
      </w:r>
      <w:r w:rsidRPr="00EF6018" w:rsidR="00BB1462">
        <w:t xml:space="preserve"> added </w:t>
      </w:r>
      <w:r w:rsidR="000110BA">
        <w:t>by</w:t>
      </w:r>
      <w:r w:rsidRPr="00EF6018" w:rsidR="00BB1462">
        <w:t xml:space="preserve"> </w:t>
      </w:r>
      <w:r w:rsidRPr="00EF6018" w:rsidR="00BB1462">
        <w:rPr>
          <w:i/>
          <w:iCs/>
        </w:rPr>
        <w:t>Kinsman</w:t>
      </w:r>
      <w:r w:rsidRPr="00EF6018" w:rsidR="00BB1462">
        <w:t>.)  We explained that the italicized phrase does not apply to independent contractors</w:t>
      </w:r>
      <w:r w:rsidRPr="00EF6018" w:rsidR="001363D5">
        <w:t xml:space="preserve"> because, once the contractor becomes aware of a concealed hazard’s existence, it becomes the contractor’s responsibility to take whatever precautions are necessary to protect its</w:t>
      </w:r>
      <w:r w:rsidRPr="00EF6018" w:rsidR="00E85572">
        <w:t>elf and its</w:t>
      </w:r>
      <w:r w:rsidRPr="00EF6018" w:rsidR="001363D5">
        <w:t xml:space="preserve"> workers from the hazard.  </w:t>
      </w:r>
      <w:r w:rsidRPr="00EF6018" w:rsidR="00BB1462">
        <w:t>(</w:t>
      </w:r>
      <w:r w:rsidRPr="00EF6018" w:rsidR="00BB1462">
        <w:rPr>
          <w:i/>
          <w:iCs/>
        </w:rPr>
        <w:t>Kinsman</w:t>
      </w:r>
      <w:r w:rsidRPr="00EF6018" w:rsidR="00BB1462">
        <w:t xml:space="preserve">, at p. 674.)  </w:t>
      </w:r>
      <w:r w:rsidRPr="00EF6018">
        <w:t xml:space="preserve"> </w:t>
      </w:r>
    </w:p>
    <w:p w:rsidR="009F7B35" w:rsidRPr="00F273B4" w:rsidP="007923A1">
      <w:pPr>
        <w:tabs>
          <w:tab w:val="left" w:pos="1440"/>
        </w:tabs>
        <w:ind w:firstLine="720"/>
      </w:pPr>
      <w:r w:rsidRPr="00EF6018">
        <w:t>Despite th</w:t>
      </w:r>
      <w:r w:rsidRPr="00EF6018" w:rsidR="00F807CA">
        <w:t>e above</w:t>
      </w:r>
      <w:r w:rsidRPr="00EF6018">
        <w:t xml:space="preserve"> </w:t>
      </w:r>
      <w:r w:rsidR="007C5E53">
        <w:t>reasoning</w:t>
      </w:r>
      <w:r w:rsidRPr="00EF6018">
        <w:t xml:space="preserve">, we speculated in dicta </w:t>
      </w:r>
      <w:r w:rsidRPr="00EF6018" w:rsidR="00F807CA">
        <w:t xml:space="preserve">in </w:t>
      </w:r>
      <w:r w:rsidRPr="00EF6018" w:rsidR="00F807CA">
        <w:rPr>
          <w:i/>
          <w:iCs/>
        </w:rPr>
        <w:t>Kinsman</w:t>
      </w:r>
      <w:r w:rsidRPr="00EF6018" w:rsidR="00F807CA">
        <w:rPr>
          <w:i/>
        </w:rPr>
        <w:t xml:space="preserve"> </w:t>
      </w:r>
      <w:r w:rsidRPr="00EF6018">
        <w:t>that, even as to independent contractors, “[t]here may be situations . . . in which an obvious hazard, for which no warning is necessary, nonetheless gives rise to a duty on a landowner’s part to remedy the hazard because knowledge of the hazard is inadequate to prevent injury.”  (</w:t>
      </w:r>
      <w:r w:rsidRPr="00EF6018" w:rsidR="00BF3DBF">
        <w:rPr>
          <w:i/>
          <w:iCs/>
        </w:rPr>
        <w:t>Kinsman</w:t>
      </w:r>
      <w:r w:rsidRPr="00EF6018" w:rsidR="00BF3DBF">
        <w:t xml:space="preserve">, </w:t>
      </w:r>
      <w:r w:rsidRPr="00EF6018" w:rsidR="00BF3DBF">
        <w:rPr>
          <w:i/>
          <w:iCs/>
        </w:rPr>
        <w:t>supra</w:t>
      </w:r>
      <w:r w:rsidRPr="00EF6018" w:rsidR="00BF3DBF">
        <w:t>, 37 Cal.4th</w:t>
      </w:r>
      <w:r w:rsidRPr="00EF6018">
        <w:t xml:space="preserve"> at p. 673.)  We further observed that, “when there is a known safety hazard on a hirer’s premises that can be addressed through reasonable safety precautions on the part of the independent contractor, a corollary of </w:t>
      </w:r>
      <w:r w:rsidRPr="00EF6018">
        <w:rPr>
          <w:i/>
          <w:iCs/>
        </w:rPr>
        <w:t>Privette</w:t>
      </w:r>
      <w:r w:rsidRPr="00EF6018">
        <w:t xml:space="preserve"> and its progeny is that the hirer generally delegates the responsibility to take such precautions to the contractor</w:t>
      </w:r>
      <w:r w:rsidR="00827E5D">
        <w:t> . . . </w:t>
      </w:r>
      <w:r w:rsidRPr="00EF6018">
        <w:t>.”  (</w:t>
      </w:r>
      <w:r w:rsidRPr="00EF6018">
        <w:rPr>
          <w:i/>
          <w:iCs/>
        </w:rPr>
        <w:t>Kinsman</w:t>
      </w:r>
      <w:r w:rsidRPr="00EF6018">
        <w:t xml:space="preserve">, at p. 673.)  </w:t>
      </w:r>
      <w:r w:rsidR="00822B35">
        <w:t xml:space="preserve">The Court of Appeal relied on this discussion to create a third exception to the </w:t>
      </w:r>
      <w:r w:rsidR="00822B35">
        <w:rPr>
          <w:i/>
          <w:iCs/>
        </w:rPr>
        <w:t xml:space="preserve">Privette </w:t>
      </w:r>
      <w:r w:rsidR="00822B35">
        <w:t xml:space="preserve">doctrine:  Where there were no reasonable safety precautions </w:t>
      </w:r>
      <w:r w:rsidR="00E309BE">
        <w:t>the independent contractor</w:t>
      </w:r>
      <w:r w:rsidR="00822B35">
        <w:t xml:space="preserve"> could have taken to avoid or protect against a known hazard, the landowner may be liable.  (</w:t>
      </w:r>
      <w:r w:rsidRPr="009F7B35" w:rsidR="00822B35">
        <w:rPr>
          <w:i/>
          <w:iCs/>
        </w:rPr>
        <w:t>Gonzalez</w:t>
      </w:r>
      <w:r w:rsidR="00822B35">
        <w:t xml:space="preserve">, </w:t>
      </w:r>
      <w:r w:rsidRPr="009F7B35" w:rsidR="00822B35">
        <w:rPr>
          <w:i/>
          <w:iCs/>
        </w:rPr>
        <w:t>supra</w:t>
      </w:r>
      <w:r w:rsidR="00822B35">
        <w:t>, 20 Cal.App.5th at pp. 272–273.)</w:t>
      </w:r>
      <w:r w:rsidR="007B457C">
        <w:t xml:space="preserve">  </w:t>
      </w:r>
      <w:r w:rsidRPr="007B457C" w:rsidR="007B457C">
        <w:t xml:space="preserve">But, as the Court of Appeal acknowledged, we did not set out to resolve in </w:t>
      </w:r>
      <w:r w:rsidRPr="00F273B4" w:rsidR="007B457C">
        <w:rPr>
          <w:i/>
          <w:iCs/>
        </w:rPr>
        <w:t>Kinsman</w:t>
      </w:r>
      <w:r w:rsidRPr="007B457C" w:rsidR="007B457C">
        <w:t xml:space="preserve"> whether </w:t>
      </w:r>
      <w:r w:rsidR="003E7C94">
        <w:t>or</w:t>
      </w:r>
      <w:r w:rsidRPr="007B457C" w:rsidR="007B457C">
        <w:t xml:space="preserve"> under what circumstances a landowner may be liable to an independent contractor or its workers for injuries resulting from known hazards on a premises; instead, we resolved only whether a landowner may be liable for concealed hazards on a premises.  (</w:t>
      </w:r>
      <w:r w:rsidRPr="00F273B4" w:rsidR="007B457C">
        <w:rPr>
          <w:i/>
          <w:iCs/>
        </w:rPr>
        <w:t>Kinsman</w:t>
      </w:r>
      <w:r w:rsidRPr="007B457C" w:rsidR="007B457C">
        <w:t xml:space="preserve">, </w:t>
      </w:r>
      <w:r w:rsidRPr="00F273B4" w:rsidR="007B457C">
        <w:rPr>
          <w:i/>
          <w:iCs/>
        </w:rPr>
        <w:t>supra</w:t>
      </w:r>
      <w:r w:rsidRPr="007B457C" w:rsidR="007B457C">
        <w:t xml:space="preserve">, 37 Cal.4th at p. 664; see also </w:t>
      </w:r>
      <w:r w:rsidRPr="00F273B4" w:rsidR="007B457C">
        <w:rPr>
          <w:i/>
          <w:iCs/>
        </w:rPr>
        <w:t>Gonzalez</w:t>
      </w:r>
      <w:r w:rsidRPr="007B457C" w:rsidR="007B457C">
        <w:t>, at p. 272, fn. 1.)</w:t>
      </w:r>
      <w:r w:rsidR="007B457C">
        <w:t xml:space="preserve">  And, </w:t>
      </w:r>
      <w:r w:rsidR="00822B35">
        <w:rPr>
          <w:rFonts w:asciiTheme="minorHAnsi" w:hAnsiTheme="minorHAnsi" w:cstheme="minorBidi"/>
          <w:sz w:val="22"/>
        </w:rPr>
        <w:t xml:space="preserve"> </w:t>
      </w:r>
      <w:r w:rsidRPr="00EF6018" w:rsidR="00C4414D">
        <w:t>we</w:t>
      </w:r>
      <w:r w:rsidRPr="00EF6018" w:rsidR="00A03C9D">
        <w:t xml:space="preserve"> had no need to determine whether a landowner could be liable where </w:t>
      </w:r>
      <w:r w:rsidRPr="00EF6018" w:rsidR="00A03C9D">
        <w:rPr>
          <w:i/>
          <w:iCs/>
        </w:rPr>
        <w:t>no</w:t>
      </w:r>
      <w:r w:rsidRPr="00EF6018" w:rsidR="00A03C9D">
        <w:t xml:space="preserve"> reasonable safety precautions exist</w:t>
      </w:r>
      <w:r w:rsidRPr="00EF6018" w:rsidR="004F7AAB">
        <w:t xml:space="preserve"> that would</w:t>
      </w:r>
      <w:r w:rsidRPr="00EF6018" w:rsidR="00A03C9D">
        <w:t xml:space="preserve"> protect an independent contractor or its workers from a known hazard on the premises</w:t>
      </w:r>
      <w:r w:rsidR="00B76E77">
        <w:t>,</w:t>
      </w:r>
      <w:r w:rsidRPr="00EF6018" w:rsidR="00A03C9D">
        <w:t xml:space="preserve"> since the plaintiff</w:t>
      </w:r>
      <w:r w:rsidRPr="00EF6018" w:rsidR="0004074D">
        <w:t xml:space="preserve"> in </w:t>
      </w:r>
      <w:r w:rsidRPr="00EF6018" w:rsidR="0004074D">
        <w:rPr>
          <w:i/>
          <w:iCs/>
        </w:rPr>
        <w:t>Kinsman</w:t>
      </w:r>
      <w:r w:rsidRPr="00EF6018" w:rsidR="00A03C9D">
        <w:t xml:space="preserve"> </w:t>
      </w:r>
      <w:r w:rsidRPr="00EF6018" w:rsidR="00C4414D">
        <w:t xml:space="preserve">acknowledged that “reasonable safety precautions against the hazard </w:t>
      </w:r>
      <w:r w:rsidRPr="00EF6018" w:rsidR="002C52C9">
        <w:t>. . .</w:t>
      </w:r>
      <w:r w:rsidRPr="00EF6018" w:rsidR="00C4414D">
        <w:t xml:space="preserve"> were readily available</w:t>
      </w:r>
      <w:r w:rsidR="00827E5D">
        <w:t> . . . </w:t>
      </w:r>
      <w:r w:rsidRPr="00EF6018" w:rsidR="00C4414D">
        <w:t>.”  (</w:t>
      </w:r>
      <w:r w:rsidRPr="007B457C" w:rsidR="007B457C">
        <w:rPr>
          <w:i/>
          <w:iCs/>
        </w:rPr>
        <w:t>Kinsman</w:t>
      </w:r>
      <w:r w:rsidR="007B457C">
        <w:t>, at p. 664</w:t>
      </w:r>
      <w:r w:rsidR="00B76E77">
        <w:t xml:space="preserve">; see also </w:t>
      </w:r>
      <w:r w:rsidRPr="00EF6018" w:rsidR="00B76E77">
        <w:rPr>
          <w:i/>
          <w:iCs/>
        </w:rPr>
        <w:t>B.B. v. County of Los Angeles</w:t>
      </w:r>
      <w:r w:rsidRPr="00EF6018" w:rsidR="00B76E77">
        <w:t xml:space="preserve"> (2020) 10 Cal.5th 1, 11</w:t>
      </w:r>
      <w:r w:rsidR="00B76E77">
        <w:t xml:space="preserve"> [</w:t>
      </w:r>
      <w:r w:rsidRPr="00EF6018" w:rsidR="00B76E77">
        <w:t>“</w:t>
      </w:r>
      <w:r w:rsidR="00460E90">
        <w:t> </w:t>
      </w:r>
      <w:r w:rsidRPr="00EF6018" w:rsidR="00B76E77">
        <w:t>‘</w:t>
      </w:r>
      <w:r w:rsidR="00460E90">
        <w:t> </w:t>
      </w:r>
      <w:r w:rsidRPr="00EF6018" w:rsidR="00B76E77">
        <w:t>“</w:t>
      </w:r>
      <w:r w:rsidR="00B76E77">
        <w:t>[C]</w:t>
      </w:r>
      <w:r w:rsidRPr="00EF6018" w:rsidR="00B76E77">
        <w:t>ases are not authority for propositions not considered”</w:t>
      </w:r>
      <w:r w:rsidR="00460E90">
        <w:t> </w:t>
      </w:r>
      <w:r w:rsidRPr="00EF6018" w:rsidR="00B76E77">
        <w:t>’</w:t>
      </w:r>
      <w:r w:rsidR="00460E90">
        <w:t> </w:t>
      </w:r>
      <w:r w:rsidRPr="00EF6018" w:rsidR="00B76E77">
        <w:t>”</w:t>
      </w:r>
      <w:r w:rsidR="00B76E77">
        <w:t>].</w:t>
      </w:r>
      <w:r w:rsidR="007B457C">
        <w:t>)</w:t>
      </w:r>
      <w:bookmarkStart w:id="24" w:name="_Hlk61098769"/>
      <w:r w:rsidRPr="00EF6018" w:rsidR="00F3143E">
        <w:t xml:space="preserve">  We </w:t>
      </w:r>
      <w:r w:rsidRPr="00EF6018" w:rsidR="00381D5C">
        <w:t>resolve</w:t>
      </w:r>
      <w:r w:rsidRPr="00EF6018" w:rsidR="00F3143E">
        <w:t xml:space="preserve"> this question below.</w:t>
      </w:r>
    </w:p>
    <w:p w:rsidR="00F3092E" w:rsidRPr="00EF6018" w:rsidP="00EF6018">
      <w:pPr>
        <w:pStyle w:val="ListParagraph"/>
        <w:numPr>
          <w:ilvl w:val="0"/>
          <w:numId w:val="1"/>
        </w:numPr>
        <w:tabs>
          <w:tab w:val="left" w:pos="1440"/>
        </w:tabs>
        <w:ind w:left="1109" w:hanging="389"/>
      </w:pPr>
      <w:r w:rsidRPr="00EF6018">
        <w:rPr>
          <w:b/>
          <w:bCs/>
        </w:rPr>
        <w:t>Delegation of a Land</w:t>
      </w:r>
      <w:r w:rsidRPr="00EF6018" w:rsidR="004D5A24">
        <w:rPr>
          <w:b/>
          <w:bCs/>
        </w:rPr>
        <w:t>owner</w:t>
      </w:r>
      <w:r w:rsidRPr="00EF6018">
        <w:rPr>
          <w:b/>
          <w:bCs/>
        </w:rPr>
        <w:t xml:space="preserve">’s Duties Regarding </w:t>
      </w:r>
      <w:r w:rsidRPr="00EF6018" w:rsidR="00F76F81">
        <w:rPr>
          <w:b/>
          <w:bCs/>
        </w:rPr>
        <w:t>Known</w:t>
      </w:r>
      <w:r w:rsidRPr="00EF6018">
        <w:rPr>
          <w:b/>
          <w:bCs/>
        </w:rPr>
        <w:t xml:space="preserve"> Hazards</w:t>
      </w:r>
      <w:r w:rsidRPr="00EF6018" w:rsidR="001D43E3">
        <w:rPr>
          <w:b/>
          <w:bCs/>
        </w:rPr>
        <w:t xml:space="preserve"> under </w:t>
      </w:r>
      <w:r w:rsidRPr="00EF6018" w:rsidR="001D43E3">
        <w:rPr>
          <w:b/>
          <w:bCs/>
          <w:i/>
          <w:iCs/>
        </w:rPr>
        <w:t xml:space="preserve">Privette </w:t>
      </w:r>
      <w:r w:rsidRPr="00EF6018">
        <w:rPr>
          <w:b/>
          <w:i/>
        </w:rPr>
        <w:t xml:space="preserve"> </w:t>
      </w:r>
      <w:r w:rsidRPr="00EF6018">
        <w:rPr>
          <w:b/>
          <w:bCs/>
        </w:rPr>
        <w:t xml:space="preserve"> </w:t>
      </w:r>
    </w:p>
    <w:p w:rsidR="00D43D8F" w:rsidP="00F273B4">
      <w:pPr>
        <w:tabs>
          <w:tab w:val="left" w:pos="1440"/>
        </w:tabs>
        <w:ind w:firstLine="720"/>
      </w:pPr>
      <w:bookmarkEnd w:id="24"/>
      <w:r w:rsidRPr="00EF6018">
        <w:t xml:space="preserve">This case compels us to </w:t>
      </w:r>
      <w:r w:rsidRPr="00EF6018" w:rsidR="00381D5C">
        <w:t>answer</w:t>
      </w:r>
      <w:r w:rsidRPr="00EF6018">
        <w:t xml:space="preserve"> a simple but important question: </w:t>
      </w:r>
      <w:r w:rsidRPr="00EF6018" w:rsidR="001720EF">
        <w:t xml:space="preserve"> I</w:t>
      </w:r>
      <w:r w:rsidRPr="00EF6018">
        <w:t xml:space="preserve">f there is a </w:t>
      </w:r>
      <w:r w:rsidRPr="00EF6018" w:rsidR="00242121">
        <w:t xml:space="preserve">known </w:t>
      </w:r>
      <w:r w:rsidRPr="00EF6018">
        <w:t xml:space="preserve">hazard on a property that </w:t>
      </w:r>
      <w:r w:rsidRPr="00EF6018" w:rsidR="0004074D">
        <w:t>the</w:t>
      </w:r>
      <w:r w:rsidRPr="00EF6018" w:rsidR="00242121">
        <w:t xml:space="preserve"> </w:t>
      </w:r>
      <w:r w:rsidRPr="00EF6018" w:rsidR="0004074D">
        <w:t xml:space="preserve">independent </w:t>
      </w:r>
      <w:r w:rsidRPr="00EF6018" w:rsidR="00242121">
        <w:t xml:space="preserve">contractor </w:t>
      </w:r>
      <w:r w:rsidRPr="00EF6018">
        <w:t>cannot remed</w:t>
      </w:r>
      <w:r w:rsidRPr="00EF6018" w:rsidR="00242121">
        <w:t xml:space="preserve">y or </w:t>
      </w:r>
      <w:r w:rsidRPr="00EF6018" w:rsidR="00015A57">
        <w:t>protect against</w:t>
      </w:r>
      <w:r w:rsidRPr="00EF6018" w:rsidR="00242121">
        <w:t xml:space="preserve"> through the adoption of reasonable safety precautions,</w:t>
      </w:r>
      <w:r w:rsidRPr="00EF6018">
        <w:t xml:space="preserve"> </w:t>
      </w:r>
      <w:r w:rsidRPr="00EF6018" w:rsidR="00D65895">
        <w:t>and</w:t>
      </w:r>
      <w:r w:rsidRPr="00EF6018">
        <w:t xml:space="preserve"> the contractor </w:t>
      </w:r>
      <w:r w:rsidRPr="00EF6018" w:rsidR="004F7AAB">
        <w:t xml:space="preserve">or one of its workers </w:t>
      </w:r>
      <w:r w:rsidRPr="00EF6018" w:rsidR="00242121">
        <w:t xml:space="preserve">is injured after </w:t>
      </w:r>
      <w:r w:rsidRPr="00EF6018">
        <w:t>proceed</w:t>
      </w:r>
      <w:r w:rsidRPr="00EF6018" w:rsidR="00242121">
        <w:t>ing</w:t>
      </w:r>
      <w:r w:rsidRPr="00EF6018">
        <w:t xml:space="preserve"> to do the work anyway, </w:t>
      </w:r>
      <w:r w:rsidRPr="00EF6018" w:rsidR="00381D5C">
        <w:t>is</w:t>
      </w:r>
      <w:r w:rsidRPr="00EF6018">
        <w:t xml:space="preserve"> the landowner</w:t>
      </w:r>
      <w:r w:rsidRPr="00EF6018" w:rsidR="00381D5C">
        <w:t xml:space="preserve"> </w:t>
      </w:r>
      <w:r w:rsidRPr="00EF6018">
        <w:t>liable</w:t>
      </w:r>
      <w:r w:rsidRPr="00EF6018" w:rsidR="00242121">
        <w:t xml:space="preserve"> to the contractor in tort</w:t>
      </w:r>
      <w:r w:rsidRPr="00EF6018">
        <w:t xml:space="preserve">?  </w:t>
      </w:r>
      <w:r w:rsidR="00DB3D7E">
        <w:t>We</w:t>
      </w:r>
      <w:r w:rsidRPr="00EF6018" w:rsidR="00A01349">
        <w:t xml:space="preserve"> conclude that</w:t>
      </w:r>
      <w:r w:rsidRPr="00EF6018" w:rsidR="00B01B1B">
        <w:t>,</w:t>
      </w:r>
      <w:r w:rsidRPr="00EF6018" w:rsidR="00E87081">
        <w:t xml:space="preserve"> </w:t>
      </w:r>
      <w:r w:rsidRPr="00EF6018" w:rsidR="009565AA">
        <w:t>pursuant to</w:t>
      </w:r>
      <w:r w:rsidRPr="00EF6018" w:rsidR="00B01B1B">
        <w:t xml:space="preserve"> </w:t>
      </w:r>
      <w:r w:rsidRPr="00EF6018" w:rsidR="00B01B1B">
        <w:rPr>
          <w:i/>
          <w:iCs/>
        </w:rPr>
        <w:t>Privette</w:t>
      </w:r>
      <w:r w:rsidRPr="00EF6018" w:rsidR="00B01B1B">
        <w:t>’s</w:t>
      </w:r>
      <w:r w:rsidRPr="00EF6018" w:rsidR="0067299B">
        <w:t xml:space="preserve"> strong presumption that a hirer delegates to an independent contractor all responsibility for </w:t>
      </w:r>
      <w:r w:rsidRPr="00EF6018" w:rsidR="00A6760C">
        <w:t>workplace safety</w:t>
      </w:r>
      <w:r w:rsidRPr="00EF6018" w:rsidR="00B01B1B">
        <w:t>, a landowner owe</w:t>
      </w:r>
      <w:r w:rsidRPr="00EF6018" w:rsidR="0067299B">
        <w:t>s</w:t>
      </w:r>
      <w:r w:rsidRPr="00EF6018" w:rsidR="00B01B1B">
        <w:t xml:space="preserve"> no duty to </w:t>
      </w:r>
      <w:r w:rsidRPr="00EF6018" w:rsidR="00901396">
        <w:t>the</w:t>
      </w:r>
      <w:r w:rsidRPr="00EF6018" w:rsidR="00B01B1B">
        <w:t xml:space="preserve"> contractor or its workers to remedy </w:t>
      </w:r>
      <w:r w:rsidRPr="00EF6018" w:rsidR="004F7AAB">
        <w:t>a known</w:t>
      </w:r>
      <w:r w:rsidRPr="00EF6018" w:rsidR="00381D5C">
        <w:t xml:space="preserve"> hazard </w:t>
      </w:r>
      <w:r w:rsidRPr="00EF6018" w:rsidR="004F7AAB">
        <w:t xml:space="preserve">on the premises </w:t>
      </w:r>
      <w:r w:rsidRPr="00EF6018" w:rsidR="004C3683">
        <w:t>or</w:t>
      </w:r>
      <w:r w:rsidRPr="00EF6018" w:rsidR="00381D5C">
        <w:t xml:space="preserve"> take other measures that might </w:t>
      </w:r>
      <w:r w:rsidRPr="00EF6018" w:rsidR="004C3683">
        <w:t xml:space="preserve">provide protection against </w:t>
      </w:r>
      <w:r w:rsidRPr="00EF6018" w:rsidR="004F7AAB">
        <w:t>the hazard</w:t>
      </w:r>
      <w:r w:rsidRPr="00EF6018" w:rsidR="00B01B1B">
        <w:t>.</w:t>
      </w:r>
      <w:r w:rsidRPr="00EF6018" w:rsidR="00AE2BA2">
        <w:t xml:space="preserve">  </w:t>
      </w:r>
      <w:r w:rsidRPr="00EF6018" w:rsidR="002972C4">
        <w:rPr>
          <w:i/>
          <w:iCs/>
        </w:rPr>
        <w:t>Privette</w:t>
      </w:r>
      <w:r w:rsidRPr="00EF6018" w:rsidR="002972C4">
        <w:t xml:space="preserve">’s </w:t>
      </w:r>
      <w:r w:rsidRPr="00EF6018" w:rsidR="00023CCD">
        <w:t>“</w:t>
      </w:r>
      <w:r w:rsidRPr="00EF6018" w:rsidR="00AE2BA2">
        <w:t>no duty</w:t>
      </w:r>
      <w:r w:rsidRPr="00EF6018" w:rsidR="00023CCD">
        <w:t>”</w:t>
      </w:r>
      <w:r w:rsidRPr="00EF6018" w:rsidR="00AE2BA2">
        <w:t xml:space="preserve"> rule applies even where </w:t>
      </w:r>
      <w:r w:rsidRPr="00EF6018" w:rsidR="002972C4">
        <w:t>the contractor is unable to minimize or avoid the danger through the adoption of reasonable safety precautions.</w:t>
      </w:r>
      <w:r w:rsidRPr="00EF6018" w:rsidR="007D5915">
        <w:t xml:space="preserve">  A landowner does not fail to delegate responsibility to the contractor for workplace safety simply because there exists a known hazard on the premises</w:t>
      </w:r>
      <w:r w:rsidRPr="00EF6018" w:rsidR="00015A57">
        <w:t xml:space="preserve"> that cannot be readily addressed by the contractor</w:t>
      </w:r>
      <w:r w:rsidRPr="00EF6018" w:rsidR="007D5915">
        <w:t xml:space="preserve">.  </w:t>
      </w:r>
      <w:r w:rsidR="00F273B4">
        <w:t>W</w:t>
      </w:r>
      <w:r w:rsidR="00460E90">
        <w:t xml:space="preserve">ere </w:t>
      </w:r>
      <w:r w:rsidR="00F273B4">
        <w:t xml:space="preserve">we </w:t>
      </w:r>
      <w:r w:rsidR="00460E90">
        <w:t>t</w:t>
      </w:r>
      <w:r w:rsidR="006720B5">
        <w:t>o hold otherwise</w:t>
      </w:r>
      <w:r w:rsidR="00460E90">
        <w:t>, we</w:t>
      </w:r>
      <w:r w:rsidR="006720B5">
        <w:t xml:space="preserve"> would </w:t>
      </w:r>
      <w:r w:rsidR="002F0669">
        <w:t>vastly</w:t>
      </w:r>
      <w:r w:rsidR="00F665FF">
        <w:t xml:space="preserve"> expand hirer liability </w:t>
      </w:r>
      <w:r w:rsidR="006720B5">
        <w:t>and</w:t>
      </w:r>
      <w:r w:rsidR="00F665FF">
        <w:t xml:space="preserve"> create </w:t>
      </w:r>
      <w:r w:rsidR="00F273B4">
        <w:t>considerable</w:t>
      </w:r>
      <w:r w:rsidR="002F0669">
        <w:t xml:space="preserve"> </w:t>
      </w:r>
      <w:r w:rsidR="00F665FF">
        <w:t>tension with</w:t>
      </w:r>
      <w:r w:rsidR="00F3143E">
        <w:t xml:space="preserve"> decades of case law establishing that a hirer is not liable where it is merely aware of a</w:t>
      </w:r>
      <w:r w:rsidR="00D65895">
        <w:t xml:space="preserve"> hazard</w:t>
      </w:r>
      <w:r w:rsidR="00F665FF">
        <w:t>ous condition or practice</w:t>
      </w:r>
      <w:r w:rsidR="00015A57">
        <w:t xml:space="preserve"> on the worksite</w:t>
      </w:r>
      <w:r w:rsidR="00D65895">
        <w:t xml:space="preserve">.  </w:t>
      </w:r>
      <w:r w:rsidR="00F665FF">
        <w:t xml:space="preserve"> </w:t>
      </w:r>
      <w:r w:rsidR="00F3143E">
        <w:t xml:space="preserve">  </w:t>
      </w:r>
    </w:p>
    <w:p w:rsidR="00A52BD1" w:rsidP="00E048E7">
      <w:pPr>
        <w:tabs>
          <w:tab w:val="left" w:pos="1440"/>
        </w:tabs>
        <w:ind w:firstLine="720"/>
      </w:pPr>
      <w:r>
        <w:t xml:space="preserve">Further analysis of our </w:t>
      </w:r>
      <w:r w:rsidR="009C26BB">
        <w:t>reasoning</w:t>
      </w:r>
      <w:r>
        <w:t xml:space="preserve"> in </w:t>
      </w:r>
      <w:r w:rsidRPr="00F3143E" w:rsidR="00F3143E">
        <w:rPr>
          <w:i/>
          <w:iCs/>
        </w:rPr>
        <w:t>Kinsman</w:t>
      </w:r>
      <w:r w:rsidR="00F3143E">
        <w:t xml:space="preserve">, </w:t>
      </w:r>
      <w:r w:rsidRPr="00F3143E" w:rsidR="00F3143E">
        <w:rPr>
          <w:i/>
          <w:iCs/>
        </w:rPr>
        <w:t>Hooker</w:t>
      </w:r>
      <w:r w:rsidR="00F3143E">
        <w:t xml:space="preserve">, and </w:t>
      </w:r>
      <w:r w:rsidRPr="00F3143E" w:rsidR="00F3143E">
        <w:rPr>
          <w:i/>
          <w:iCs/>
        </w:rPr>
        <w:t>SeaBright</w:t>
      </w:r>
      <w:r>
        <w:rPr>
          <w:i/>
          <w:iCs/>
        </w:rPr>
        <w:t xml:space="preserve"> </w:t>
      </w:r>
      <w:r>
        <w:t>make this conclusion cl</w:t>
      </w:r>
      <w:r w:rsidR="00DB56FB">
        <w:t>e</w:t>
      </w:r>
      <w:r>
        <w:t>ar</w:t>
      </w:r>
      <w:bookmarkStart w:id="25" w:name="_Hlk75865579"/>
      <w:r w:rsidR="00F3143E">
        <w:t>.</w:t>
      </w:r>
      <w:bookmarkEnd w:id="25"/>
      <w:r w:rsidR="00460E90">
        <w:t xml:space="preserve">  </w:t>
      </w:r>
      <w:r w:rsidR="009C26BB">
        <w:t>As</w:t>
      </w:r>
      <w:r w:rsidRPr="00EF6018" w:rsidR="007658A1">
        <w:t xml:space="preserve"> we recognized in </w:t>
      </w:r>
      <w:r w:rsidRPr="00EF6018" w:rsidR="007658A1">
        <w:rPr>
          <w:i/>
          <w:iCs/>
        </w:rPr>
        <w:t>Kinsman</w:t>
      </w:r>
      <w:r w:rsidR="009C26BB">
        <w:t>, applying</w:t>
      </w:r>
      <w:r w:rsidRPr="00EF6018" w:rsidR="007658A1">
        <w:t xml:space="preserve"> </w:t>
      </w:r>
      <w:r w:rsidR="009C26BB">
        <w:t xml:space="preserve">to independent contractors </w:t>
      </w:r>
      <w:r w:rsidRPr="00EF6018" w:rsidR="007658A1">
        <w:t xml:space="preserve">the </w:t>
      </w:r>
      <w:bookmarkStart w:id="26" w:name="_Hlk66024454"/>
      <w:r w:rsidRPr="00EF6018" w:rsidR="007658A1">
        <w:t>Restatement’s rule that a landowner may be liable where it “</w:t>
      </w:r>
      <w:r w:rsidR="00F6457A">
        <w:t> </w:t>
      </w:r>
      <w:r w:rsidRPr="00EF6018" w:rsidR="007658A1">
        <w:t>‘should expect’</w:t>
      </w:r>
      <w:r w:rsidR="00F6457A">
        <w:t> </w:t>
      </w:r>
      <w:r w:rsidRPr="00EF6018" w:rsidR="007658A1">
        <w:t xml:space="preserve">” that a visitor “ ‘will fail to protect themselves against’ ” a known hazard on the premises </w:t>
      </w:r>
      <w:r w:rsidR="009C26BB">
        <w:t xml:space="preserve">would be inconsistent with </w:t>
      </w:r>
      <w:r w:rsidRPr="009C26BB" w:rsidR="009C26BB">
        <w:rPr>
          <w:i/>
          <w:iCs/>
        </w:rPr>
        <w:t>Privette</w:t>
      </w:r>
      <w:r w:rsidR="009C26BB">
        <w:t xml:space="preserve">’s presumption of delegation.  </w:t>
      </w:r>
      <w:r w:rsidRPr="00EF6018" w:rsidR="007658A1">
        <w:t>(</w:t>
      </w:r>
      <w:r w:rsidRPr="00EF6018" w:rsidR="007658A1">
        <w:rPr>
          <w:i/>
          <w:iCs/>
        </w:rPr>
        <w:t>Kinsman</w:t>
      </w:r>
      <w:r w:rsidRPr="00EF6018" w:rsidR="007658A1">
        <w:t xml:space="preserve">, </w:t>
      </w:r>
      <w:r w:rsidRPr="00F273B4" w:rsidR="006B77D3">
        <w:rPr>
          <w:i/>
          <w:iCs/>
        </w:rPr>
        <w:t>supra</w:t>
      </w:r>
      <w:r w:rsidRPr="007B457C" w:rsidR="006B77D3">
        <w:t xml:space="preserve">, 37 Cal.4th </w:t>
      </w:r>
      <w:r w:rsidRPr="00EF6018" w:rsidR="007658A1">
        <w:t xml:space="preserve">at p. 674, quoting Rest.2d Torts, § 343.)  </w:t>
      </w:r>
      <w:bookmarkEnd w:id="26"/>
      <w:r w:rsidR="002A41CF">
        <w:t>O</w:t>
      </w:r>
      <w:r w:rsidRPr="00EF6018" w:rsidR="007658A1">
        <w:t>nce an independent contractor becomes aware of a hazard on the premises, “the landowner/hirer delegates the responsibility of employee safety to the contractor” and “a hirer has no duty to act to protect the employee when the contractor fails in that task</w:t>
      </w:r>
      <w:r w:rsidR="00827E5D">
        <w:t> . . . </w:t>
      </w:r>
      <w:r w:rsidRPr="00EF6018" w:rsidR="007658A1">
        <w:t>.”  (</w:t>
      </w:r>
      <w:r w:rsidRPr="00EF6018" w:rsidR="007658A1">
        <w:rPr>
          <w:i/>
          <w:iCs/>
        </w:rPr>
        <w:t>Kinsman</w:t>
      </w:r>
      <w:r w:rsidRPr="00EF6018" w:rsidR="007658A1">
        <w:t>, at p. 674.)</w:t>
      </w:r>
      <w:r w:rsidR="007D2B8C">
        <w:t xml:space="preserve">  </w:t>
      </w:r>
      <w:r w:rsidR="004C3F45">
        <w:t xml:space="preserve">A rule </w:t>
      </w:r>
      <w:r w:rsidR="001A21EA">
        <w:t>establishing</w:t>
      </w:r>
      <w:r w:rsidR="004C3F45">
        <w:t xml:space="preserve"> landowner </w:t>
      </w:r>
      <w:r w:rsidR="001A21EA">
        <w:t xml:space="preserve">liability for a known hazard </w:t>
      </w:r>
      <w:r w:rsidR="004C3F45">
        <w:t xml:space="preserve">where there were no reasonable safety precautions </w:t>
      </w:r>
      <w:r w:rsidR="007D52EB">
        <w:t>the contractor</w:t>
      </w:r>
      <w:r w:rsidR="004C3F45">
        <w:t xml:space="preserve"> could have adopted to protect against the</w:t>
      </w:r>
      <w:r w:rsidR="001A21EA">
        <w:t xml:space="preserve"> hazard</w:t>
      </w:r>
      <w:r w:rsidR="004C3F45">
        <w:t xml:space="preserve"> </w:t>
      </w:r>
      <w:r w:rsidR="006944A0">
        <w:t xml:space="preserve">would </w:t>
      </w:r>
      <w:r w:rsidR="00F059F8">
        <w:t xml:space="preserve">turn </w:t>
      </w:r>
      <w:r w:rsidR="00F059F8">
        <w:rPr>
          <w:i/>
          <w:iCs/>
        </w:rPr>
        <w:t>Privette</w:t>
      </w:r>
      <w:r w:rsidRPr="00F273B4" w:rsidR="00F059F8">
        <w:t>’s</w:t>
      </w:r>
      <w:r w:rsidR="00F059F8">
        <w:rPr>
          <w:i/>
          <w:iCs/>
        </w:rPr>
        <w:t xml:space="preserve"> </w:t>
      </w:r>
      <w:r w:rsidR="00F059F8">
        <w:t>presumption of delegation on its head by</w:t>
      </w:r>
      <w:r w:rsidR="006944A0">
        <w:t xml:space="preserve"> requir</w:t>
      </w:r>
      <w:r w:rsidR="00F059F8">
        <w:t>ing</w:t>
      </w:r>
      <w:r w:rsidR="006944A0">
        <w:t xml:space="preserve"> the landowner to affirmatively assess</w:t>
      </w:r>
      <w:r w:rsidR="004C3F45">
        <w:t xml:space="preserve"> workplace safety.  </w:t>
      </w:r>
      <w:r w:rsidR="00953FB6">
        <w:t>T</w:t>
      </w:r>
      <w:r w:rsidR="004C3F45">
        <w:t>he landowner would need to determine</w:t>
      </w:r>
      <w:r w:rsidR="006944A0">
        <w:t xml:space="preserve"> whether </w:t>
      </w:r>
      <w:r w:rsidR="004C3F45">
        <w:t>the</w:t>
      </w:r>
      <w:r w:rsidR="00010755">
        <w:t xml:space="preserve"> contractor is able to adopt </w:t>
      </w:r>
      <w:r w:rsidR="009102F8">
        <w:t>reasonable</w:t>
      </w:r>
      <w:r w:rsidR="006944A0">
        <w:t xml:space="preserve"> safety precautions to protect against</w:t>
      </w:r>
      <w:r w:rsidR="001A21EA">
        <w:t xml:space="preserve"> the known hazard</w:t>
      </w:r>
      <w:r w:rsidR="00010755">
        <w:t xml:space="preserve"> and, if</w:t>
      </w:r>
      <w:r w:rsidR="009102F8">
        <w:t xml:space="preserve"> </w:t>
      </w:r>
      <w:r w:rsidR="00010755">
        <w:t>no</w:t>
      </w:r>
      <w:r w:rsidR="004C3F45">
        <w:t>t</w:t>
      </w:r>
      <w:r w:rsidR="00010755">
        <w:t>,</w:t>
      </w:r>
      <w:r w:rsidR="00A0601F">
        <w:t xml:space="preserve"> to</w:t>
      </w:r>
      <w:r w:rsidR="00010755">
        <w:t xml:space="preserve"> remedy the hazard</w:t>
      </w:r>
      <w:r w:rsidR="006944A0">
        <w:t xml:space="preserve">.  This makes little sense </w:t>
      </w:r>
      <w:r w:rsidR="006544F9">
        <w:t>given that</w:t>
      </w:r>
      <w:r w:rsidR="006944A0">
        <w:t xml:space="preserve"> a landowner typically hires an independent contractor precisely because of </w:t>
      </w:r>
      <w:r w:rsidR="00A0601F">
        <w:t>the contractor’s</w:t>
      </w:r>
      <w:r w:rsidR="006944A0">
        <w:t xml:space="preserve"> expertise </w:t>
      </w:r>
      <w:r w:rsidR="00010755">
        <w:t>in the contracted-for work</w:t>
      </w:r>
      <w:r w:rsidR="005D0CD6">
        <w:t xml:space="preserve"> and the hirer usually has no right to interfere with the contractor’s decisions regarding safety or otherwise control the contractor’s work.</w:t>
      </w:r>
      <w:r w:rsidR="006944A0">
        <w:t xml:space="preserve">  (</w:t>
      </w:r>
      <w:r w:rsidRPr="00010755" w:rsidR="00010755">
        <w:rPr>
          <w:i/>
          <w:iCs/>
        </w:rPr>
        <w:t>Privette</w:t>
      </w:r>
      <w:r w:rsidR="00010755">
        <w:t xml:space="preserve">, </w:t>
      </w:r>
      <w:r w:rsidRPr="00010755" w:rsidR="00010755">
        <w:rPr>
          <w:i/>
          <w:iCs/>
        </w:rPr>
        <w:t>supra</w:t>
      </w:r>
      <w:r w:rsidR="00010755">
        <w:t>, 5 Cal.4th at p</w:t>
      </w:r>
      <w:r w:rsidR="006544F9">
        <w:t>p</w:t>
      </w:r>
      <w:r w:rsidR="00010755">
        <w:t xml:space="preserve">. </w:t>
      </w:r>
      <w:r w:rsidR="006544F9">
        <w:t>693, 700</w:t>
      </w:r>
      <w:r w:rsidR="009100AA">
        <w:t xml:space="preserve">; see also </w:t>
      </w:r>
      <w:r w:rsidRPr="00F273B4" w:rsidR="0008112E">
        <w:rPr>
          <w:i/>
          <w:iCs/>
        </w:rPr>
        <w:t>Torres v. Reardon</w:t>
      </w:r>
      <w:r w:rsidRPr="0008112E" w:rsidR="0008112E">
        <w:t xml:space="preserve"> (1992) 3 Cal.App.4th 831, 840</w:t>
      </w:r>
      <w:r w:rsidR="0008112E">
        <w:t xml:space="preserve"> [As between the hirer and the contractor, </w:t>
      </w:r>
      <w:r w:rsidRPr="0008112E" w:rsidR="0008112E">
        <w:t>“the contractor better understands the nature of the work and is better able to recognize risks peculiar to it”</w:t>
      </w:r>
      <w:r w:rsidR="0008112E">
        <w:t>];</w:t>
      </w:r>
      <w:r w:rsidRPr="0008112E" w:rsidR="0008112E">
        <w:t xml:space="preserve"> </w:t>
      </w:r>
      <w:r w:rsidRPr="00EF6018" w:rsidR="009100AA">
        <w:t xml:space="preserve">Rest.3d Torts, Physical </w:t>
      </w:r>
      <w:r w:rsidR="00827E5D">
        <w:t>and</w:t>
      </w:r>
      <w:r w:rsidRPr="00EF6018" w:rsidR="009100AA">
        <w:t xml:space="preserve"> Emotional Harm, § 57, com. c</w:t>
      </w:r>
      <w:r w:rsidR="000110BA">
        <w:t>, p.</w:t>
      </w:r>
      <w:r w:rsidR="0002120F">
        <w:t xml:space="preserve"> 402</w:t>
      </w:r>
      <w:r w:rsidRPr="00EF6018" w:rsidR="009100AA">
        <w:t xml:space="preserve"> [“[H]irers of independent contractors have less knowledge than employers about the safety-related details and methods of the work”]</w:t>
      </w:r>
      <w:r w:rsidR="006944A0">
        <w:t>.)</w:t>
      </w:r>
      <w:r w:rsidR="00E048E7">
        <w:t xml:space="preserve"> </w:t>
      </w:r>
      <w:r w:rsidR="007D2B8C">
        <w:t xml:space="preserve"> </w:t>
      </w:r>
      <w:r w:rsidRPr="00EF6018" w:rsidR="007658A1">
        <w:t>Our</w:t>
      </w:r>
      <w:r w:rsidR="007658A1">
        <w:t xml:space="preserve"> conclusion</w:t>
      </w:r>
      <w:r w:rsidRPr="00EF6018" w:rsidR="007658A1">
        <w:t xml:space="preserve"> in </w:t>
      </w:r>
      <w:r w:rsidRPr="00EF6018" w:rsidR="007658A1">
        <w:rPr>
          <w:i/>
          <w:iCs/>
        </w:rPr>
        <w:t>Kinsman</w:t>
      </w:r>
      <w:r w:rsidRPr="00EF6018" w:rsidR="007658A1">
        <w:rPr>
          <w:i/>
        </w:rPr>
        <w:t xml:space="preserve"> </w:t>
      </w:r>
      <w:r w:rsidRPr="00EF6018" w:rsidR="007658A1">
        <w:t>that a landowner delegates all responsibility to independent contractors to “</w:t>
      </w:r>
      <w:r w:rsidR="00827E5D">
        <w:t> ‘</w:t>
      </w:r>
      <w:r w:rsidRPr="00EF6018" w:rsidR="007658A1">
        <w:t>protect themselves against</w:t>
      </w:r>
      <w:r w:rsidR="00827E5D">
        <w:t>’ </w:t>
      </w:r>
      <w:r w:rsidRPr="00EF6018" w:rsidR="007658A1">
        <w:t>” a known hazard (</w:t>
      </w:r>
      <w:r w:rsidRPr="00EF6018" w:rsidR="007658A1">
        <w:rPr>
          <w:i/>
          <w:iCs/>
        </w:rPr>
        <w:t>Kinsman</w:t>
      </w:r>
      <w:r w:rsidRPr="00EF6018" w:rsidR="007658A1">
        <w:t>, at p. 674</w:t>
      </w:r>
      <w:r w:rsidR="00827E5D">
        <w:t>, italics omitted</w:t>
      </w:r>
      <w:r w:rsidRPr="00EF6018" w:rsidR="007658A1">
        <w:t xml:space="preserve">), coupled with the </w:t>
      </w:r>
      <w:r w:rsidRPr="007D2B8C" w:rsidR="007658A1">
        <w:t>principle</w:t>
      </w:r>
      <w:r w:rsidR="007D2B8C">
        <w:t>s</w:t>
      </w:r>
      <w:r w:rsidRPr="00EF6018" w:rsidR="007658A1">
        <w:t xml:space="preserve"> </w:t>
      </w:r>
      <w:r w:rsidR="007D2B8C">
        <w:t>underlying</w:t>
      </w:r>
      <w:r w:rsidRPr="00EF6018" w:rsidR="007658A1">
        <w:t xml:space="preserve"> </w:t>
      </w:r>
      <w:r w:rsidRPr="00EF6018" w:rsidR="007658A1">
        <w:rPr>
          <w:i/>
          <w:iCs/>
        </w:rPr>
        <w:t>Privette</w:t>
      </w:r>
      <w:r w:rsidRPr="00375B4B" w:rsidR="008042A8">
        <w:t>’s</w:t>
      </w:r>
      <w:r w:rsidR="00347E20">
        <w:rPr>
          <w:i/>
          <w:iCs/>
        </w:rPr>
        <w:t xml:space="preserve"> </w:t>
      </w:r>
      <w:r w:rsidR="007D2B8C">
        <w:t>straightforward rule</w:t>
      </w:r>
      <w:r w:rsidRPr="00EF6018" w:rsidR="007658A1">
        <w:t xml:space="preserve"> that a hirer of an independent contractor</w:t>
      </w:r>
      <w:r w:rsidR="007D2B8C">
        <w:t xml:space="preserve"> </w:t>
      </w:r>
      <w:r w:rsidRPr="00EF6018" w:rsidR="007658A1">
        <w:t xml:space="preserve">delegates to the contractor all responsibility for workplace safety (see </w:t>
      </w:r>
      <w:r w:rsidRPr="00EF6018" w:rsidR="007658A1">
        <w:rPr>
          <w:i/>
          <w:iCs/>
        </w:rPr>
        <w:t>Privette</w:t>
      </w:r>
      <w:r w:rsidRPr="00EF6018" w:rsidR="007658A1">
        <w:t xml:space="preserve">, at p. 693; </w:t>
      </w:r>
      <w:r w:rsidRPr="00EF6018" w:rsidR="007658A1">
        <w:rPr>
          <w:i/>
          <w:iCs/>
        </w:rPr>
        <w:t>SeaBright</w:t>
      </w:r>
      <w:r w:rsidRPr="00EF6018" w:rsidR="007658A1">
        <w:t xml:space="preserve">, </w:t>
      </w:r>
      <w:r w:rsidRPr="00EF6018" w:rsidR="007658A1">
        <w:rPr>
          <w:i/>
          <w:iCs/>
        </w:rPr>
        <w:t>supra</w:t>
      </w:r>
      <w:r w:rsidRPr="00EF6018" w:rsidR="007658A1">
        <w:t xml:space="preserve">, 52 Cal.4th at p. 597), </w:t>
      </w:r>
      <w:r w:rsidR="009C26BB">
        <w:t xml:space="preserve">leads </w:t>
      </w:r>
      <w:r w:rsidRPr="00EF6018" w:rsidR="007658A1">
        <w:t>us to reject a</w:t>
      </w:r>
      <w:r w:rsidR="00871C2D">
        <w:t xml:space="preserve"> rule</w:t>
      </w:r>
      <w:r w:rsidRPr="00EF6018" w:rsidR="007658A1">
        <w:rPr>
          <w:i/>
        </w:rPr>
        <w:t xml:space="preserve"> </w:t>
      </w:r>
      <w:r w:rsidRPr="00EF6018" w:rsidR="007658A1">
        <w:t xml:space="preserve">that would allow a contractor to recover in tort so long as it proves it was unable to adopt reasonable safety precautions in the face of </w:t>
      </w:r>
      <w:r w:rsidR="007D2B8C">
        <w:t>a</w:t>
      </w:r>
      <w:r w:rsidRPr="00EF6018" w:rsidR="007658A1">
        <w:t xml:space="preserve"> known hazard.  </w:t>
      </w:r>
    </w:p>
    <w:p w:rsidR="009A0D02" w:rsidP="0086167E">
      <w:pPr>
        <w:tabs>
          <w:tab w:val="left" w:pos="1440"/>
        </w:tabs>
        <w:ind w:firstLine="720"/>
      </w:pPr>
      <w:r w:rsidRPr="001A21EA">
        <w:t>In addition</w:t>
      </w:r>
      <w:r w:rsidR="00010755">
        <w:t>,</w:t>
      </w:r>
      <w:r w:rsidR="00653E8A">
        <w:t xml:space="preserve"> </w:t>
      </w:r>
      <w:r w:rsidR="002E42C3">
        <w:t>a</w:t>
      </w:r>
      <w:r w:rsidRPr="00AA1C0F" w:rsidR="002E42C3">
        <w:t xml:space="preserve"> rule</w:t>
      </w:r>
      <w:r w:rsidRPr="008728AB" w:rsidR="002E42C3">
        <w:t xml:space="preserve"> </w:t>
      </w:r>
      <w:r w:rsidR="00B45711">
        <w:t xml:space="preserve">that would expose </w:t>
      </w:r>
      <w:r w:rsidRPr="008728AB" w:rsidR="002E42C3">
        <w:t>a landowner</w:t>
      </w:r>
      <w:r w:rsidR="00B45711">
        <w:t xml:space="preserve"> to </w:t>
      </w:r>
      <w:r w:rsidRPr="008728AB" w:rsidR="002E42C3">
        <w:t xml:space="preserve">tort liability whenever an independent contractor </w:t>
      </w:r>
      <w:r w:rsidR="00E309BE">
        <w:t>i</w:t>
      </w:r>
      <w:r w:rsidR="002E42C3">
        <w:t xml:space="preserve">s unable to adopt reasonable safety precautions to protect against a known danger </w:t>
      </w:r>
      <w:r w:rsidRPr="008728AB" w:rsidR="002E42C3">
        <w:t>would</w:t>
      </w:r>
      <w:r w:rsidR="00131908">
        <w:t xml:space="preserve"> </w:t>
      </w:r>
      <w:r w:rsidR="00AD515B">
        <w:t>create</w:t>
      </w:r>
      <w:r w:rsidR="00131908">
        <w:t xml:space="preserve"> tension </w:t>
      </w:r>
      <w:r w:rsidR="00C13A24">
        <w:t xml:space="preserve">with our holding in </w:t>
      </w:r>
      <w:r w:rsidR="00C13A24">
        <w:rPr>
          <w:i/>
          <w:iCs/>
        </w:rPr>
        <w:t xml:space="preserve">Hooker </w:t>
      </w:r>
      <w:r w:rsidR="00C13A24">
        <w:t xml:space="preserve">by providing an avenue for liability premised upon a hirer’s failure to </w:t>
      </w:r>
      <w:r w:rsidR="005A3121">
        <w:t>correct an unsafe work condition</w:t>
      </w:r>
      <w:r w:rsidR="00C13A24">
        <w:t>.</w:t>
      </w:r>
      <w:r w:rsidRPr="008728AB" w:rsidR="002E42C3">
        <w:t xml:space="preserve"> </w:t>
      </w:r>
      <w:bookmarkStart w:id="27" w:name="_Hlk75175681"/>
      <w:bookmarkStart w:id="28" w:name="_Hlk75176916"/>
      <w:r w:rsidR="00131908">
        <w:t xml:space="preserve"> </w:t>
      </w:r>
      <w:r w:rsidR="00C91CF0">
        <w:t>I</w:t>
      </w:r>
      <w:r w:rsidRPr="00953FB6" w:rsidR="00953FB6">
        <w:t xml:space="preserve">n </w:t>
      </w:r>
      <w:r w:rsidRPr="00131908" w:rsidR="00953FB6">
        <w:rPr>
          <w:i/>
          <w:iCs/>
        </w:rPr>
        <w:t>Hooker</w:t>
      </w:r>
      <w:r w:rsidR="00C91CF0">
        <w:t>, we held</w:t>
      </w:r>
      <w:r w:rsidRPr="00953FB6" w:rsidR="00953FB6">
        <w:t xml:space="preserve"> that </w:t>
      </w:r>
      <w:r w:rsidRPr="00953FB6" w:rsidR="00953FB6">
        <w:t xml:space="preserve">a hirer is not liable under </w:t>
      </w:r>
      <w:r w:rsidRPr="00953FB6" w:rsidR="00953FB6">
        <w:rPr>
          <w:i/>
          <w:iCs/>
        </w:rPr>
        <w:t>Privette</w:t>
      </w:r>
      <w:r w:rsidRPr="00953FB6" w:rsidR="00953FB6">
        <w:t xml:space="preserve"> where it merely permits a</w:t>
      </w:r>
      <w:r w:rsidR="005A3121">
        <w:t xml:space="preserve"> dangerous </w:t>
      </w:r>
      <w:r w:rsidRPr="00953FB6" w:rsidR="00953FB6">
        <w:t>work condition or practice to exist.</w:t>
      </w:r>
      <w:r w:rsidRPr="00953FB6" w:rsidR="00953FB6">
        <w:rPr>
          <w:i/>
          <w:iCs/>
        </w:rPr>
        <w:t xml:space="preserve"> </w:t>
      </w:r>
      <w:r w:rsidRPr="00953FB6" w:rsidR="00953FB6">
        <w:t xml:space="preserve"> (</w:t>
      </w:r>
      <w:r w:rsidRPr="00953FB6" w:rsidR="00953FB6">
        <w:rPr>
          <w:i/>
          <w:iCs/>
        </w:rPr>
        <w:t>Hooker</w:t>
      </w:r>
      <w:r w:rsidRPr="00953FB6" w:rsidR="00953FB6">
        <w:t>,</w:t>
      </w:r>
      <w:r w:rsidRPr="00953FB6" w:rsidR="00953FB6">
        <w:rPr>
          <w:i/>
          <w:iCs/>
        </w:rPr>
        <w:t xml:space="preserve"> supra</w:t>
      </w:r>
      <w:r w:rsidRPr="00953FB6" w:rsidR="00953FB6">
        <w:t>,</w:t>
      </w:r>
      <w:r w:rsidRPr="00953FB6" w:rsidR="00953FB6">
        <w:rPr>
          <w:i/>
          <w:iCs/>
        </w:rPr>
        <w:t xml:space="preserve"> </w:t>
      </w:r>
      <w:r w:rsidRPr="00953FB6" w:rsidR="00953FB6">
        <w:t>27 Cal.4th at pp. 215</w:t>
      </w:r>
      <w:r w:rsidR="00953FB6">
        <w:t xml:space="preserve">.) </w:t>
      </w:r>
      <w:r w:rsidR="00953FB6">
        <w:t xml:space="preserve"> </w:t>
      </w:r>
      <w:bookmarkEnd w:id="27"/>
      <w:r w:rsidR="00C91CF0">
        <w:t xml:space="preserve">This is true even where the hirer knows of the danger and has the authority and ability to remedy it.  The facts of </w:t>
      </w:r>
      <w:r w:rsidR="00C91CF0">
        <w:rPr>
          <w:i/>
          <w:iCs/>
        </w:rPr>
        <w:t xml:space="preserve">Hooker </w:t>
      </w:r>
      <w:r w:rsidR="00C91CF0">
        <w:t xml:space="preserve">make this clear:  </w:t>
      </w:r>
      <w:r w:rsidR="00E46DF2">
        <w:t>The hirer i</w:t>
      </w:r>
      <w:r w:rsidR="00384F7E">
        <w:t>n</w:t>
      </w:r>
      <w:r w:rsidR="00A82DE5">
        <w:t xml:space="preserve"> </w:t>
      </w:r>
      <w:r w:rsidR="00A82DE5">
        <w:rPr>
          <w:i/>
          <w:iCs/>
        </w:rPr>
        <w:t>Hooker</w:t>
      </w:r>
      <w:r w:rsidR="00E46DF2">
        <w:t xml:space="preserve"> </w:t>
      </w:r>
      <w:r w:rsidR="003C3C23">
        <w:t>had the authority to prevent</w:t>
      </w:r>
      <w:r w:rsidR="00A82DE5">
        <w:t xml:space="preserve"> traffic on an overpass the independent contractor was constructing.</w:t>
      </w:r>
      <w:r>
        <w:t xml:space="preserve">  (</w:t>
      </w:r>
      <w:r>
        <w:rPr>
          <w:i/>
          <w:iCs/>
        </w:rPr>
        <w:t xml:space="preserve">Id. </w:t>
      </w:r>
      <w:r>
        <w:t xml:space="preserve">at p. 214.)  </w:t>
      </w:r>
      <w:r w:rsidR="003C3C23">
        <w:t xml:space="preserve">The hirer also knew that, to allow traffic to pass through, the contractor’s </w:t>
      </w:r>
      <w:r w:rsidR="00A82DE5">
        <w:t>crane operato</w:t>
      </w:r>
      <w:r w:rsidR="003C3C23">
        <w:t>r</w:t>
      </w:r>
      <w:r w:rsidR="000C65B7">
        <w:t xml:space="preserve"> </w:t>
      </w:r>
      <w:r w:rsidR="00384F7E">
        <w:t xml:space="preserve">was </w:t>
      </w:r>
      <w:r w:rsidR="00384F7E">
        <w:rPr>
          <w:i/>
          <w:iCs/>
        </w:rPr>
        <w:t>require</w:t>
      </w:r>
      <w:r w:rsidR="000C65B7">
        <w:rPr>
          <w:i/>
          <w:iCs/>
        </w:rPr>
        <w:t xml:space="preserve">d </w:t>
      </w:r>
      <w:r w:rsidR="000C65B7">
        <w:t xml:space="preserve">to </w:t>
      </w:r>
      <w:r w:rsidR="005F1912">
        <w:t xml:space="preserve">(i.e., had no other option other than to) </w:t>
      </w:r>
      <w:r w:rsidR="00384F7E">
        <w:t xml:space="preserve">engage in the unsafe practice of retracting the crane’s </w:t>
      </w:r>
      <w:r w:rsidR="00E46DF2">
        <w:t xml:space="preserve">stabilizing </w:t>
      </w:r>
      <w:r w:rsidR="00384F7E">
        <w:t>outriggers</w:t>
      </w:r>
      <w:r w:rsidR="005F1912">
        <w:t>.</w:t>
      </w:r>
      <w:r w:rsidR="00A82DE5">
        <w:t xml:space="preserve">  </w:t>
      </w:r>
      <w:r>
        <w:t>(</w:t>
      </w:r>
      <w:r>
        <w:rPr>
          <w:i/>
          <w:iCs/>
        </w:rPr>
        <w:t>Ibid</w:t>
      </w:r>
      <w:r>
        <w:t xml:space="preserve">.)  </w:t>
      </w:r>
      <w:r w:rsidR="00A82DE5">
        <w:t>Despite the hirer’s knowledge of the unsafe practice, we held that the hirer was not liable for failing to</w:t>
      </w:r>
      <w:r w:rsidR="00221E64">
        <w:t xml:space="preserve"> take</w:t>
      </w:r>
      <w:r>
        <w:t xml:space="preserve"> affirmative steps within its authority to </w:t>
      </w:r>
      <w:r w:rsidR="00E46DF2">
        <w:t>remedy</w:t>
      </w:r>
      <w:r>
        <w:t xml:space="preserve"> </w:t>
      </w:r>
      <w:r w:rsidR="00E46DF2">
        <w:t>it</w:t>
      </w:r>
      <w:r w:rsidR="00A82DE5">
        <w:t>.</w:t>
      </w:r>
      <w:r>
        <w:t xml:space="preserve">  (</w:t>
      </w:r>
      <w:r>
        <w:rPr>
          <w:i/>
          <w:iCs/>
        </w:rPr>
        <w:t xml:space="preserve">Id. </w:t>
      </w:r>
      <w:r>
        <w:t xml:space="preserve">at pp. 214–215.)  </w:t>
      </w:r>
    </w:p>
    <w:p w:rsidR="006B45D3" w:rsidP="000A4536">
      <w:pPr>
        <w:tabs>
          <w:tab w:val="left" w:pos="1440"/>
        </w:tabs>
        <w:ind w:firstLine="720"/>
      </w:pPr>
      <w:bookmarkEnd w:id="28"/>
      <w:r>
        <w:t xml:space="preserve">In the nearly two decades following our opinion in </w:t>
      </w:r>
      <w:r w:rsidRPr="009A0D02">
        <w:rPr>
          <w:i/>
          <w:iCs/>
        </w:rPr>
        <w:t>Hooker</w:t>
      </w:r>
      <w:r>
        <w:t>, c</w:t>
      </w:r>
      <w:r w:rsidR="00200D37">
        <w:t>ourts</w:t>
      </w:r>
      <w:r>
        <w:t xml:space="preserve"> have consistently </w:t>
      </w:r>
      <w:r w:rsidR="00A85349">
        <w:t>reaffirmed</w:t>
      </w:r>
      <w:r>
        <w:t xml:space="preserve"> that “[a]</w:t>
      </w:r>
      <w:r w:rsidRPr="00EF6018">
        <w:t xml:space="preserve"> hirer’s failure to correct an unsafe condition</w:t>
      </w:r>
      <w:r>
        <w:t>” is insufficient</w:t>
      </w:r>
      <w:r w:rsidRPr="00EF6018">
        <w:t xml:space="preserve">, by itself, </w:t>
      </w:r>
      <w:r>
        <w:t>to</w:t>
      </w:r>
      <w:r w:rsidRPr="00EF6018">
        <w:t xml:space="preserve"> establish </w:t>
      </w:r>
      <w:r>
        <w:t xml:space="preserve">liability under </w:t>
      </w:r>
      <w:r w:rsidRPr="009A0D02">
        <w:rPr>
          <w:i/>
          <w:iCs/>
        </w:rPr>
        <w:t>Hooker</w:t>
      </w:r>
      <w:r>
        <w:t xml:space="preserve">’s exception to the </w:t>
      </w:r>
      <w:r>
        <w:rPr>
          <w:i/>
          <w:iCs/>
        </w:rPr>
        <w:t xml:space="preserve">Privette </w:t>
      </w:r>
      <w:r>
        <w:t>doctrine.  (</w:t>
      </w:r>
      <w:r w:rsidRPr="00EF6018" w:rsidR="004A19BD">
        <w:rPr>
          <w:i/>
          <w:iCs/>
        </w:rPr>
        <w:t>Khosh v. Staples Construction Co., Inc</w:t>
      </w:r>
      <w:r w:rsidRPr="00EF6018" w:rsidR="004A19BD">
        <w:t>. (2016) 4 Cal.App.5th 712, 718;</w:t>
      </w:r>
      <w:r>
        <w:t xml:space="preserve"> see also</w:t>
      </w:r>
      <w:r w:rsidRPr="00EF6018" w:rsidR="004A19BD">
        <w:t xml:space="preserve"> </w:t>
      </w:r>
      <w:bookmarkStart w:id="29" w:name="_Hlk77078940"/>
      <w:r w:rsidRPr="00EF6018" w:rsidR="004A19BD">
        <w:rPr>
          <w:i/>
          <w:iCs/>
        </w:rPr>
        <w:t>Tverberg v. Fillner Constr</w:t>
      </w:r>
      <w:r w:rsidR="00E43538">
        <w:rPr>
          <w:i/>
          <w:iCs/>
        </w:rPr>
        <w:t>uction, Inc</w:t>
      </w:r>
      <w:r w:rsidRPr="00EF6018" w:rsidR="004A19BD">
        <w:t>. (2012) 202 Cal.App.4th 1439, 1446 (</w:t>
      </w:r>
      <w:r w:rsidRPr="00EF6018" w:rsidR="004A19BD">
        <w:rPr>
          <w:i/>
          <w:iCs/>
        </w:rPr>
        <w:t>Tverberg II</w:t>
      </w:r>
      <w:r w:rsidRPr="00EF6018" w:rsidR="004A19BD">
        <w:t>)</w:t>
      </w:r>
      <w:bookmarkEnd w:id="29"/>
      <w:r w:rsidRPr="00EF6018" w:rsidR="004A19BD">
        <w:t xml:space="preserve"> [“[P]assively permitting an unsafe condition to occur . . . does not constitute affirmative contribution”].)  </w:t>
      </w:r>
      <w:r w:rsidRPr="00B918A6" w:rsidR="004A19BD">
        <w:t>To be liable, a hirer must instead exercise its retained control o</w:t>
      </w:r>
      <w:r w:rsidRPr="00B918A6" w:rsidR="00A856AF">
        <w:t xml:space="preserve">ver </w:t>
      </w:r>
      <w:r w:rsidRPr="00B918A6" w:rsidR="005F26B1">
        <w:t xml:space="preserve">any part of </w:t>
      </w:r>
      <w:r w:rsidRPr="00B918A6" w:rsidR="00A856AF">
        <w:t>the contract</w:t>
      </w:r>
      <w:r w:rsidRPr="00B918A6" w:rsidR="00EB55CF">
        <w:t>ed-for</w:t>
      </w:r>
      <w:r w:rsidRPr="00B918A6" w:rsidR="006849EE">
        <w:t xml:space="preserve"> work</w:t>
      </w:r>
      <w:r w:rsidR="00133AB2">
        <w:t> </w:t>
      </w:r>
      <w:r w:rsidRPr="00B918A6" w:rsidR="00B918A6">
        <w:t>— such as by directing the manner or methods in which the contractor performs the work; interfering with the contractor’s decisions regarding the appropriate safety measures to adopt; requesting the contractor to use the hirer’s own defective equipment in performing the work; contractually prohibiting the contractor from implementing a necessary safety precaution; or reneging on a promise to remedy a known hazard</w:t>
      </w:r>
      <w:r w:rsidR="00133AB2">
        <w:t> </w:t>
      </w:r>
      <w:r w:rsidRPr="00B918A6" w:rsidR="00B918A6">
        <w:t xml:space="preserve">— </w:t>
      </w:r>
      <w:r w:rsidRPr="00B918A6" w:rsidR="004A19BD">
        <w:t>in a manner that affirmatively contributes to the injury.</w:t>
      </w:r>
      <w:r w:rsidRPr="00EF6018" w:rsidR="004A19BD">
        <w:t xml:space="preserve">  (See </w:t>
      </w:r>
      <w:r w:rsidRPr="00EF6018" w:rsidR="004A19BD">
        <w:rPr>
          <w:i/>
        </w:rPr>
        <w:t>Hooker</w:t>
      </w:r>
      <w:r w:rsidRPr="00EF6018" w:rsidR="004A19BD">
        <w:rPr>
          <w:iCs/>
        </w:rPr>
        <w:t xml:space="preserve">, at pp. </w:t>
      </w:r>
      <w:r w:rsidRPr="00EF6018" w:rsidR="004A19BD">
        <w:t xml:space="preserve">212, fn. 3, 215; </w:t>
      </w:r>
      <w:r w:rsidRPr="00EF6018" w:rsidR="004A19BD">
        <w:rPr>
          <w:i/>
          <w:iCs/>
        </w:rPr>
        <w:t>McKown</w:t>
      </w:r>
      <w:r w:rsidRPr="00EF6018" w:rsidR="004A19BD">
        <w:t xml:space="preserve">, </w:t>
      </w:r>
      <w:r w:rsidRPr="00EF6018" w:rsidR="004A19BD">
        <w:rPr>
          <w:i/>
          <w:iCs/>
        </w:rPr>
        <w:t>supra</w:t>
      </w:r>
      <w:r w:rsidRPr="00EF6018" w:rsidR="004A19BD">
        <w:t xml:space="preserve">, 27 Cal.4th at p. 225; </w:t>
      </w:r>
      <w:r w:rsidRPr="00EF6018" w:rsidR="004A19BD">
        <w:rPr>
          <w:i/>
          <w:iCs/>
        </w:rPr>
        <w:t>Tverberg II</w:t>
      </w:r>
      <w:r w:rsidRPr="00EF6018" w:rsidR="004A19BD">
        <w:t xml:space="preserve">, at pp. 1446–1448; </w:t>
      </w:r>
      <w:r w:rsidRPr="00EF6018" w:rsidR="004A19BD">
        <w:rPr>
          <w:i/>
          <w:iCs/>
        </w:rPr>
        <w:t>Ruiz v. Herman Weissker, Inc.</w:t>
      </w:r>
      <w:r w:rsidRPr="00EF6018" w:rsidR="004A19BD">
        <w:t xml:space="preserve"> (2005) 130 Cal.App.4th 52, 65–66; </w:t>
      </w:r>
      <w:bookmarkStart w:id="30" w:name="_Hlk77079084"/>
      <w:r w:rsidRPr="00EF6018" w:rsidR="004A19BD">
        <w:rPr>
          <w:i/>
          <w:iCs/>
        </w:rPr>
        <w:t>Ray v. Silverado Constructors</w:t>
      </w:r>
      <w:r w:rsidRPr="00EF6018" w:rsidR="004A19BD">
        <w:t xml:space="preserve"> (2002) 98 Cal.App.4th 1132–1134 (</w:t>
      </w:r>
      <w:r w:rsidRPr="00EF6018" w:rsidR="004A19BD">
        <w:rPr>
          <w:i/>
          <w:iCs/>
        </w:rPr>
        <w:t>Ray</w:t>
      </w:r>
      <w:r w:rsidRPr="00EF6018" w:rsidR="004A19BD">
        <w:t xml:space="preserve">).) </w:t>
      </w:r>
      <w:r w:rsidR="00524B9D">
        <w:t xml:space="preserve"> </w:t>
      </w:r>
      <w:bookmarkEnd w:id="30"/>
    </w:p>
    <w:p w:rsidR="00524B9D" w:rsidP="00C84231">
      <w:pPr>
        <w:tabs>
          <w:tab w:val="left" w:pos="1440"/>
        </w:tabs>
        <w:ind w:firstLine="720"/>
      </w:pPr>
      <w:bookmarkStart w:id="31" w:name="_Hlk79667984"/>
      <w:r>
        <w:t>We recognize</w:t>
      </w:r>
      <w:r w:rsidR="006B45D3">
        <w:t xml:space="preserve"> that </w:t>
      </w:r>
      <w:r w:rsidR="006B45D3">
        <w:rPr>
          <w:i/>
          <w:iCs/>
        </w:rPr>
        <w:t xml:space="preserve">Hooker </w:t>
      </w:r>
      <w:r w:rsidR="006B45D3">
        <w:t xml:space="preserve">was based upon a retained control theory of </w:t>
      </w:r>
      <w:r w:rsidR="008D2B0A">
        <w:t>liability</w:t>
      </w:r>
      <w:r w:rsidR="009B5E7B">
        <w:t xml:space="preserve"> (which applies to all hirers)</w:t>
      </w:r>
      <w:r w:rsidR="006B45D3">
        <w:t xml:space="preserve">, whereas </w:t>
      </w:r>
      <w:r w:rsidR="007574CB">
        <w:t>this action is based upon a premises liability theory</w:t>
      </w:r>
      <w:r w:rsidR="009B5E7B">
        <w:t xml:space="preserve"> (which would apply to only landowner hirers)</w:t>
      </w:r>
      <w:r w:rsidR="007574CB">
        <w:t>.</w:t>
      </w:r>
      <w:r w:rsidR="006B45D3">
        <w:t xml:space="preserve">  </w:t>
      </w:r>
      <w:bookmarkEnd w:id="31"/>
      <w:r w:rsidR="006B45D3">
        <w:t>Nevertheless,</w:t>
      </w:r>
      <w:r w:rsidR="00584657">
        <w:t xml:space="preserve"> a rule that exposes a landowner to liability whenever there </w:t>
      </w:r>
      <w:r w:rsidR="00E309BE">
        <w:t>are</w:t>
      </w:r>
      <w:r w:rsidR="00584657">
        <w:t xml:space="preserve"> no safety precautions available to </w:t>
      </w:r>
      <w:r w:rsidR="00EC505E">
        <w:t xml:space="preserve">protect </w:t>
      </w:r>
      <w:r w:rsidR="00E309BE">
        <w:t xml:space="preserve">an independent contractor or its workers </w:t>
      </w:r>
      <w:r w:rsidR="00EC505E">
        <w:t>against a</w:t>
      </w:r>
      <w:r w:rsidR="00584657">
        <w:t xml:space="preserve"> known hazard </w:t>
      </w:r>
      <w:r w:rsidR="007574CB">
        <w:t>would</w:t>
      </w:r>
      <w:r w:rsidR="00E41386">
        <w:t>, in practice, swallow the rule</w:t>
      </w:r>
      <w:r>
        <w:t xml:space="preserve"> we</w:t>
      </w:r>
      <w:r w:rsidR="00E41386">
        <w:t xml:space="preserve"> set</w:t>
      </w:r>
      <w:r>
        <w:t xml:space="preserve"> forth</w:t>
      </w:r>
      <w:r w:rsidR="00E41386">
        <w:t xml:space="preserve"> in</w:t>
      </w:r>
      <w:r w:rsidR="00573F69">
        <w:t xml:space="preserve"> </w:t>
      </w:r>
      <w:r w:rsidR="00573F69">
        <w:rPr>
          <w:i/>
          <w:iCs/>
        </w:rPr>
        <w:t>Hooker</w:t>
      </w:r>
      <w:r>
        <w:t>, at least</w:t>
      </w:r>
      <w:r w:rsidR="00131908">
        <w:t xml:space="preserve"> as applied to landowners</w:t>
      </w:r>
      <w:r>
        <w:t>,</w:t>
      </w:r>
      <w:r w:rsidR="00131908">
        <w:t xml:space="preserve"> </w:t>
      </w:r>
      <w:r w:rsidR="007574CB">
        <w:t>because it</w:t>
      </w:r>
      <w:r w:rsidR="00584657">
        <w:t xml:space="preserve"> would </w:t>
      </w:r>
      <w:r w:rsidRPr="00EF6018" w:rsidR="00584657">
        <w:t xml:space="preserve">expose </w:t>
      </w:r>
      <w:r w:rsidR="00584657">
        <w:t>the</w:t>
      </w:r>
      <w:r w:rsidRPr="00EF6018" w:rsidR="00584657">
        <w:t xml:space="preserve"> landowner to liability even </w:t>
      </w:r>
      <w:r w:rsidR="00584657">
        <w:t xml:space="preserve">in situations </w:t>
      </w:r>
      <w:r w:rsidR="00E46DF2">
        <w:t>in which</w:t>
      </w:r>
      <w:r w:rsidRPr="00EF6018" w:rsidR="00584657">
        <w:t xml:space="preserve"> </w:t>
      </w:r>
      <w:r w:rsidR="00584657">
        <w:t>it</w:t>
      </w:r>
      <w:r w:rsidRPr="00EF6018" w:rsidR="00584657">
        <w:t xml:space="preserve"> did not </w:t>
      </w:r>
      <w:r w:rsidR="00584657">
        <w:t>interfere with</w:t>
      </w:r>
      <w:r w:rsidRPr="00EF6018" w:rsidR="00584657">
        <w:t xml:space="preserve"> or exert control over</w:t>
      </w:r>
      <w:r w:rsidR="00C52C3F">
        <w:t xml:space="preserve"> any part of</w:t>
      </w:r>
      <w:r w:rsidRPr="00EF6018" w:rsidR="00584657">
        <w:t xml:space="preserve"> the contractor’s work</w:t>
      </w:r>
      <w:r w:rsidR="00C52C3F">
        <w:t>, such as the contractor’s</w:t>
      </w:r>
      <w:r w:rsidR="00EC505E">
        <w:t xml:space="preserve"> </w:t>
      </w:r>
      <w:r w:rsidRPr="00EF6018" w:rsidR="00584657">
        <w:t xml:space="preserve">decisions regarding </w:t>
      </w:r>
      <w:r w:rsidR="00C52C3F">
        <w:t xml:space="preserve">workplace </w:t>
      </w:r>
      <w:r w:rsidRPr="00EF6018" w:rsidR="00584657">
        <w:t>safety</w:t>
      </w:r>
      <w:r w:rsidR="00584657">
        <w:t>.</w:t>
      </w:r>
      <w:r w:rsidR="00136778">
        <w:t xml:space="preserve">  </w:t>
      </w:r>
      <w:r w:rsidR="007C2E5E">
        <w:t>Indeed, it</w:t>
      </w:r>
      <w:r w:rsidR="00136778">
        <w:t xml:space="preserve"> would </w:t>
      </w:r>
      <w:r w:rsidR="00573F69">
        <w:t>give rise to</w:t>
      </w:r>
      <w:r w:rsidR="00136778">
        <w:t xml:space="preserve"> a </w:t>
      </w:r>
      <w:r w:rsidR="00827E5D">
        <w:t>“</w:t>
      </w:r>
      <w:r w:rsidR="00136778">
        <w:t>Catch-22</w:t>
      </w:r>
      <w:r w:rsidR="00827E5D">
        <w:t>”</w:t>
      </w:r>
      <w:r w:rsidR="00E43538">
        <w:t xml:space="preserve"> situation</w:t>
      </w:r>
      <w:r w:rsidR="00136778">
        <w:t xml:space="preserve">:  </w:t>
      </w:r>
      <w:r w:rsidRPr="00136778" w:rsidR="00584657">
        <w:rPr>
          <w:noProof/>
          <w:szCs w:val="26"/>
        </w:rPr>
        <w:t xml:space="preserve">A </w:t>
      </w:r>
      <w:r w:rsidR="00136778">
        <w:rPr>
          <w:noProof/>
          <w:szCs w:val="26"/>
        </w:rPr>
        <w:t>landowner</w:t>
      </w:r>
      <w:r w:rsidRPr="00136778" w:rsidR="00584657">
        <w:rPr>
          <w:noProof/>
          <w:szCs w:val="26"/>
        </w:rPr>
        <w:t xml:space="preserve"> could avoid liability under </w:t>
      </w:r>
      <w:r w:rsidRPr="00136778" w:rsidR="00584657">
        <w:rPr>
          <w:i/>
          <w:iCs/>
          <w:noProof/>
          <w:szCs w:val="26"/>
        </w:rPr>
        <w:t>Hooker</w:t>
      </w:r>
      <w:r w:rsidRPr="00136778" w:rsidR="00584657">
        <w:rPr>
          <w:noProof/>
          <w:szCs w:val="26"/>
        </w:rPr>
        <w:t xml:space="preserve"> by declining to</w:t>
      </w:r>
      <w:r w:rsidRPr="00136778" w:rsidR="00136778">
        <w:rPr>
          <w:noProof/>
          <w:szCs w:val="26"/>
        </w:rPr>
        <w:t xml:space="preserve"> interfere with the contractor’s decisions regarding </w:t>
      </w:r>
      <w:r w:rsidR="00E75D12">
        <w:rPr>
          <w:noProof/>
          <w:szCs w:val="26"/>
        </w:rPr>
        <w:t xml:space="preserve">whether or how it might safely perform the work in view of a hazard on the worksite, </w:t>
      </w:r>
      <w:r w:rsidRPr="00136778" w:rsidR="00584657">
        <w:rPr>
          <w:noProof/>
          <w:szCs w:val="26"/>
        </w:rPr>
        <w:t xml:space="preserve">only to be potentially liable </w:t>
      </w:r>
      <w:r w:rsidR="00EC505E">
        <w:rPr>
          <w:noProof/>
          <w:szCs w:val="26"/>
        </w:rPr>
        <w:t xml:space="preserve">under </w:t>
      </w:r>
      <w:r w:rsidR="009610B6">
        <w:rPr>
          <w:noProof/>
          <w:szCs w:val="26"/>
        </w:rPr>
        <w:t xml:space="preserve">the Court of Appeal’s </w:t>
      </w:r>
      <w:r w:rsidR="004A3DEB">
        <w:rPr>
          <w:noProof/>
          <w:szCs w:val="26"/>
        </w:rPr>
        <w:t xml:space="preserve">rule </w:t>
      </w:r>
      <w:r w:rsidRPr="00136778" w:rsidR="00584657">
        <w:rPr>
          <w:noProof/>
          <w:szCs w:val="26"/>
        </w:rPr>
        <w:t xml:space="preserve">for not </w:t>
      </w:r>
      <w:r w:rsidR="00E17080">
        <w:rPr>
          <w:noProof/>
          <w:szCs w:val="26"/>
        </w:rPr>
        <w:t>exercising control</w:t>
      </w:r>
      <w:r w:rsidR="003B73DF">
        <w:rPr>
          <w:noProof/>
          <w:szCs w:val="26"/>
        </w:rPr>
        <w:t xml:space="preserve"> over the </w:t>
      </w:r>
      <w:r w:rsidR="00C52C3F">
        <w:rPr>
          <w:noProof/>
          <w:szCs w:val="26"/>
        </w:rPr>
        <w:t>contractor’s work</w:t>
      </w:r>
      <w:r w:rsidR="00E17080">
        <w:rPr>
          <w:noProof/>
          <w:szCs w:val="26"/>
        </w:rPr>
        <w:t xml:space="preserve"> by </w:t>
      </w:r>
      <w:r w:rsidR="00E75D12">
        <w:rPr>
          <w:noProof/>
          <w:szCs w:val="26"/>
        </w:rPr>
        <w:t xml:space="preserve">attempting to remedy or provide protections against that hazard. </w:t>
      </w:r>
      <w:bookmarkStart w:id="32" w:name="_Hlk64966633"/>
      <w:r w:rsidR="00E75D12">
        <w:rPr>
          <w:noProof/>
          <w:szCs w:val="26"/>
        </w:rPr>
        <w:t xml:space="preserve"> </w:t>
      </w:r>
    </w:p>
    <w:p w:rsidR="00EA65F3" w:rsidP="00C84231">
      <w:pPr>
        <w:tabs>
          <w:tab w:val="left" w:pos="1440"/>
        </w:tabs>
        <w:ind w:firstLine="720"/>
      </w:pPr>
      <w:bookmarkStart w:id="33" w:name="_Hlk75185897"/>
      <w:bookmarkEnd w:id="32"/>
      <w:r w:rsidRPr="00E46DF2">
        <w:t>Finally</w:t>
      </w:r>
      <w:r w:rsidRPr="00E46DF2" w:rsidR="00653E8A">
        <w:t>,</w:t>
      </w:r>
      <w:r w:rsidRPr="00E46DF2">
        <w:t xml:space="preserve"> our</w:t>
      </w:r>
      <w:r>
        <w:t xml:space="preserve"> conclusion is consistent with our holding in </w:t>
      </w:r>
      <w:r>
        <w:rPr>
          <w:i/>
          <w:iCs/>
        </w:rPr>
        <w:t>SeaBright</w:t>
      </w:r>
      <w:r>
        <w:t xml:space="preserve">. </w:t>
      </w:r>
      <w:r w:rsidR="00653E8A">
        <w:t xml:space="preserve"> </w:t>
      </w:r>
      <w:r w:rsidRPr="00EF6018" w:rsidR="00524B9D">
        <w:t xml:space="preserve">In </w:t>
      </w:r>
      <w:r w:rsidRPr="00EF6018" w:rsidR="00524B9D">
        <w:rPr>
          <w:i/>
          <w:iCs/>
        </w:rPr>
        <w:t>SeaBright</w:t>
      </w:r>
      <w:r w:rsidRPr="00EF6018" w:rsidR="00524B9D">
        <w:t xml:space="preserve">, we </w:t>
      </w:r>
      <w:r w:rsidRPr="00EF6018" w:rsidR="004C52B6">
        <w:t>addressed whether a hirer could be liable where an employee of an independent contractor hired to maintain and repair a luggage conveyor belt was injured because the conveyor belt lacked the safety guards required by Cal-OSHA regulations.  (</w:t>
      </w:r>
      <w:r w:rsidRPr="00EF6018" w:rsidR="004C52B6">
        <w:rPr>
          <w:i/>
          <w:iCs/>
        </w:rPr>
        <w:t>SeaBright</w:t>
      </w:r>
      <w:r w:rsidRPr="00EF6018" w:rsidR="004C52B6">
        <w:t xml:space="preserve">, </w:t>
      </w:r>
      <w:r w:rsidRPr="00EF6018" w:rsidR="004C52B6">
        <w:rPr>
          <w:i/>
          <w:iCs/>
        </w:rPr>
        <w:t>supra</w:t>
      </w:r>
      <w:r w:rsidRPr="00EF6018" w:rsidR="004C52B6">
        <w:t>, 52 Cal.4th at pp. 594–595.)</w:t>
      </w:r>
      <w:r w:rsidR="007C2E5E">
        <w:t xml:space="preserve">  </w:t>
      </w:r>
      <w:r w:rsidR="00B46EFC">
        <w:t xml:space="preserve">In answering “no” to this question, we explained that even though the hirer’s </w:t>
      </w:r>
      <w:r w:rsidR="00F51FE5">
        <w:t xml:space="preserve">regulatory duty to install </w:t>
      </w:r>
      <w:r w:rsidR="003F2D22">
        <w:t>the safety guards</w:t>
      </w:r>
      <w:r w:rsidR="00B46EFC">
        <w:t xml:space="preserve"> preexisted the contract,</w:t>
      </w:r>
      <w:r w:rsidRPr="00EF6018" w:rsidR="00A5642E">
        <w:t xml:space="preserve"> the hirer delegated to the independent contractor “any tort law duty it owe[d] to the contractor’s employees</w:t>
      </w:r>
      <w:r w:rsidRPr="00EF6018" w:rsidR="00A5642E">
        <w:rPr>
          <w:i/>
          <w:iCs/>
        </w:rPr>
        <w:t xml:space="preserve"> </w:t>
      </w:r>
      <w:r w:rsidRPr="00EF6018" w:rsidR="00A5642E">
        <w:t>to ensure the safety of the specific workplace that is the subject of the contract</w:t>
      </w:r>
      <w:r>
        <w:t>.</w:t>
      </w:r>
      <w:r w:rsidRPr="00EF6018" w:rsidR="00A5642E">
        <w:t>”</w:t>
      </w:r>
      <w:r w:rsidRPr="00EA65F3">
        <w:t xml:space="preserve"> </w:t>
      </w:r>
      <w:r>
        <w:t xml:space="preserve"> </w:t>
      </w:r>
      <w:r w:rsidRPr="00EF6018">
        <w:t>(</w:t>
      </w:r>
      <w:r w:rsidRPr="00EF6018">
        <w:rPr>
          <w:i/>
          <w:iCs/>
        </w:rPr>
        <w:t>Id.</w:t>
      </w:r>
      <w:r w:rsidRPr="00EF6018">
        <w:rPr>
          <w:i/>
        </w:rPr>
        <w:t xml:space="preserve"> </w:t>
      </w:r>
      <w:r w:rsidRPr="00EF6018">
        <w:t xml:space="preserve">at p. 594, italics omitted; see also </w:t>
      </w:r>
      <w:r w:rsidRPr="00EF6018">
        <w:rPr>
          <w:i/>
          <w:iCs/>
        </w:rPr>
        <w:t xml:space="preserve">id. </w:t>
      </w:r>
      <w:r w:rsidRPr="00EF6018">
        <w:t>at pp. 601, 603.)</w:t>
      </w:r>
      <w:r w:rsidR="007C2E5E">
        <w:t xml:space="preserve">  </w:t>
      </w:r>
      <w:r w:rsidR="002F55D2">
        <w:t xml:space="preserve">The </w:t>
      </w:r>
      <w:r w:rsidR="00DB6F25">
        <w:t xml:space="preserve">Court of Appeal’s </w:t>
      </w:r>
      <w:r w:rsidR="009250E4">
        <w:t xml:space="preserve">proposed third exception to </w:t>
      </w:r>
      <w:r w:rsidR="009250E4">
        <w:rPr>
          <w:i/>
          <w:iCs/>
        </w:rPr>
        <w:t xml:space="preserve">Privette </w:t>
      </w:r>
      <w:r w:rsidR="002F55D2">
        <w:t>would</w:t>
      </w:r>
      <w:r w:rsidR="003C7C6E">
        <w:t xml:space="preserve"> </w:t>
      </w:r>
      <w:r w:rsidR="00554F53">
        <w:t>subject a</w:t>
      </w:r>
      <w:r w:rsidR="003C7C6E">
        <w:t xml:space="preserve"> landowner</w:t>
      </w:r>
      <w:r w:rsidR="00673189">
        <w:t xml:space="preserve"> </w:t>
      </w:r>
      <w:r w:rsidR="00554F53">
        <w:t>to liability</w:t>
      </w:r>
      <w:r w:rsidR="003C7C6E">
        <w:t xml:space="preserve"> for </w:t>
      </w:r>
      <w:r w:rsidR="00554F53">
        <w:t>failing to remedy</w:t>
      </w:r>
      <w:r w:rsidR="0077338A">
        <w:t xml:space="preserve"> </w:t>
      </w:r>
      <w:r w:rsidR="00E26A0A">
        <w:t xml:space="preserve">a known hazard on the premises, </w:t>
      </w:r>
      <w:r w:rsidR="003C7C6E">
        <w:t>even though a</w:t>
      </w:r>
      <w:r w:rsidR="00E26A0A">
        <w:t xml:space="preserve"> </w:t>
      </w:r>
      <w:r w:rsidR="003C7C6E">
        <w:t>hirer who fails to comply with clearly defined statutory and regulatory workplace safety requirements</w:t>
      </w:r>
      <w:r w:rsidR="006018AD">
        <w:t> </w:t>
      </w:r>
      <w:r w:rsidR="00673189">
        <w:t xml:space="preserve">— </w:t>
      </w:r>
      <w:r w:rsidR="002F55D2">
        <w:t xml:space="preserve">and </w:t>
      </w:r>
      <w:r w:rsidR="00653E8A">
        <w:t>thereby creat</w:t>
      </w:r>
      <w:r w:rsidR="002F55D2">
        <w:t>es</w:t>
      </w:r>
      <w:r w:rsidR="00653E8A">
        <w:t xml:space="preserve"> a</w:t>
      </w:r>
      <w:r w:rsidR="006018AD">
        <w:t>n</w:t>
      </w:r>
      <w:r w:rsidR="00653E8A">
        <w:t xml:space="preserve"> </w:t>
      </w:r>
      <w:r w:rsidR="006A7934">
        <w:t xml:space="preserve">unsafe condition </w:t>
      </w:r>
      <w:r w:rsidR="00653E8A">
        <w:t>on the worksite</w:t>
      </w:r>
      <w:r w:rsidR="006018AD">
        <w:t> </w:t>
      </w:r>
      <w:r w:rsidR="00673189">
        <w:t xml:space="preserve">— </w:t>
      </w:r>
      <w:r w:rsidR="004F5719">
        <w:t>is</w:t>
      </w:r>
      <w:r w:rsidR="003C7C6E">
        <w:t xml:space="preserve"> not</w:t>
      </w:r>
      <w:r w:rsidR="00E26A0A">
        <w:t xml:space="preserve"> </w:t>
      </w:r>
      <w:r w:rsidR="003C7C6E">
        <w:t>liable for such injuries</w:t>
      </w:r>
      <w:r w:rsidR="004F5719">
        <w:t xml:space="preserve"> under </w:t>
      </w:r>
      <w:r w:rsidR="004F5719">
        <w:rPr>
          <w:i/>
          <w:iCs/>
        </w:rPr>
        <w:t>SeaBright</w:t>
      </w:r>
      <w:r w:rsidR="003C7C6E">
        <w:t>.</w:t>
      </w:r>
      <w:r w:rsidR="00911C58">
        <w:t xml:space="preserve">   </w:t>
      </w:r>
    </w:p>
    <w:p w:rsidR="00957DA5" w:rsidRPr="00EF6018" w:rsidP="00C84231">
      <w:pPr>
        <w:tabs>
          <w:tab w:val="left" w:pos="1440"/>
        </w:tabs>
        <w:ind w:firstLine="720"/>
      </w:pPr>
      <w:bookmarkEnd w:id="33"/>
      <w:r>
        <w:t>Following</w:t>
      </w:r>
      <w:r w:rsidR="00ED15C9">
        <w:t xml:space="preserve"> our holdings</w:t>
      </w:r>
      <w:r w:rsidR="00911C58">
        <w:t xml:space="preserve"> in</w:t>
      </w:r>
      <w:r w:rsidRPr="00EF6018" w:rsidR="00ED15C9">
        <w:t xml:space="preserve"> </w:t>
      </w:r>
      <w:r w:rsidR="00ED15C9">
        <w:rPr>
          <w:i/>
          <w:iCs/>
        </w:rPr>
        <w:t xml:space="preserve">Hooker </w:t>
      </w:r>
      <w:r w:rsidRPr="00C84231">
        <w:t>and</w:t>
      </w:r>
      <w:r w:rsidR="00ED15C9">
        <w:t xml:space="preserve"> </w:t>
      </w:r>
      <w:r w:rsidR="00ED15C9">
        <w:rPr>
          <w:i/>
          <w:iCs/>
        </w:rPr>
        <w:t>SeaBright</w:t>
      </w:r>
      <w:r w:rsidR="00ED15C9">
        <w:t>, s</w:t>
      </w:r>
      <w:r w:rsidRPr="00ED15C9">
        <w:t>everal</w:t>
      </w:r>
      <w:r w:rsidRPr="00EF6018">
        <w:t xml:space="preserve"> </w:t>
      </w:r>
      <w:r w:rsidR="00827E5D">
        <w:t>C</w:t>
      </w:r>
      <w:r w:rsidRPr="00EF6018">
        <w:t xml:space="preserve">ourt of </w:t>
      </w:r>
      <w:r w:rsidR="00827E5D">
        <w:t>A</w:t>
      </w:r>
      <w:r w:rsidRPr="00EF6018">
        <w:t xml:space="preserve">ppeal decisions have found no hirer liability </w:t>
      </w:r>
      <w:r>
        <w:t xml:space="preserve">in circumstances </w:t>
      </w:r>
      <w:r w:rsidR="00A24AB9">
        <w:t>strikingly</w:t>
      </w:r>
      <w:r>
        <w:t xml:space="preserve"> similar to those presented here.  </w:t>
      </w:r>
      <w:r w:rsidRPr="00EF6018">
        <w:t xml:space="preserve">In </w:t>
      </w:r>
      <w:r w:rsidRPr="00EF6018">
        <w:rPr>
          <w:i/>
          <w:iCs/>
        </w:rPr>
        <w:t>Delgadillo v. Television Center, Inc.</w:t>
      </w:r>
      <w:r w:rsidRPr="00EF6018">
        <w:t xml:space="preserve"> (2018) 20 Cal.App.5th 1078, an employee of an independent contractor fell </w:t>
      </w:r>
      <w:r w:rsidR="00DE154E">
        <w:t xml:space="preserve">to his death </w:t>
      </w:r>
      <w:r w:rsidRPr="00EF6018">
        <w:t>while he was washing a commercial building’s windows when his descent apparatus detached from the roof.  (</w:t>
      </w:r>
      <w:r w:rsidRPr="00EF6018">
        <w:rPr>
          <w:i/>
          <w:iCs/>
        </w:rPr>
        <w:t>Id.</w:t>
      </w:r>
      <w:r w:rsidRPr="00EF6018">
        <w:t xml:space="preserve"> at p. 1081.)  The plaintiff</w:t>
      </w:r>
      <w:r w:rsidR="00DE154E">
        <w:t>s</w:t>
      </w:r>
      <w:r w:rsidRPr="00EF6018">
        <w:t xml:space="preserve"> submitted evidence that (1) the building’s owners had a statutory and regulatory duty to provide approved anchor points on the roof to support window washers; (2) the building contained no such anchor points; and (3) without the anchor points, there was no safe way to clean the windows.  (</w:t>
      </w:r>
      <w:r w:rsidRPr="00EF6018">
        <w:rPr>
          <w:i/>
          <w:iCs/>
        </w:rPr>
        <w:t>Id.</w:t>
      </w:r>
      <w:r w:rsidRPr="00EF6018">
        <w:t xml:space="preserve"> at pp. 1083–1084.)  The court nevertheless determined that the landowners owed no duty because, under our holding in </w:t>
      </w:r>
      <w:r w:rsidRPr="008B0DA1">
        <w:rPr>
          <w:i/>
          <w:iCs/>
        </w:rPr>
        <w:t>SeaBright</w:t>
      </w:r>
      <w:r w:rsidRPr="00EF6018">
        <w:t>, they delegated to the contractor the duty to comply with all statutory and regulatory requirements necessary to provide a safe workplace.  (</w:t>
      </w:r>
      <w:r w:rsidRPr="00EF6018" w:rsidR="000110BA">
        <w:rPr>
          <w:i/>
        </w:rPr>
        <w:t>Delgadillo</w:t>
      </w:r>
      <w:r w:rsidRPr="000110BA" w:rsidR="000110BA">
        <w:rPr>
          <w:iCs/>
        </w:rPr>
        <w:t>,</w:t>
      </w:r>
      <w:r w:rsidRPr="00EF6018">
        <w:t xml:space="preserve"> at p. 1091.)  The court also found that the owners did not</w:t>
      </w:r>
      <w:r w:rsidR="003522BD">
        <w:t xml:space="preserve"> exercise</w:t>
      </w:r>
      <w:r w:rsidRPr="00EF6018">
        <w:t xml:space="preserve"> retain</w:t>
      </w:r>
      <w:r w:rsidR="003522BD">
        <w:t>ed</w:t>
      </w:r>
      <w:r w:rsidRPr="00EF6018">
        <w:t xml:space="preserve"> control o</w:t>
      </w:r>
      <w:r w:rsidR="00405C80">
        <w:t>ver the</w:t>
      </w:r>
      <w:r w:rsidRPr="00EF6018">
        <w:t xml:space="preserve"> </w:t>
      </w:r>
      <w:r w:rsidR="005F26B1">
        <w:t xml:space="preserve">contractor’s </w:t>
      </w:r>
      <w:r w:rsidR="000A4536">
        <w:t>work</w:t>
      </w:r>
      <w:r w:rsidRPr="00EF6018">
        <w:t xml:space="preserve"> in a manner that affirmatively contributed to the injury because, while </w:t>
      </w:r>
      <w:r w:rsidR="00500B16">
        <w:t xml:space="preserve">the building </w:t>
      </w:r>
      <w:r w:rsidR="002A41CF">
        <w:t>had</w:t>
      </w:r>
      <w:r w:rsidR="00500B16">
        <w:t xml:space="preserve"> </w:t>
      </w:r>
      <w:r w:rsidR="002A41CF">
        <w:t>in</w:t>
      </w:r>
      <w:r w:rsidRPr="00EF6018">
        <w:t>adequate anchor points, the</w:t>
      </w:r>
      <w:r w:rsidR="00500B16">
        <w:t xml:space="preserve"> owners</w:t>
      </w:r>
      <w:r w:rsidRPr="00EF6018">
        <w:t xml:space="preserve"> did not “suggest or request” that the contractor use them in cleaning the windows.  (</w:t>
      </w:r>
      <w:r w:rsidRPr="00EF6018">
        <w:rPr>
          <w:i/>
          <w:iCs/>
        </w:rPr>
        <w:t>Id.</w:t>
      </w:r>
      <w:r w:rsidRPr="00EF6018">
        <w:t xml:space="preserve"> at p. 1093.)  Like </w:t>
      </w:r>
      <w:r w:rsidRPr="00EF6018">
        <w:rPr>
          <w:i/>
          <w:iCs/>
        </w:rPr>
        <w:t>SeaBright</w:t>
      </w:r>
      <w:r w:rsidRPr="00EF6018">
        <w:t xml:space="preserve">, </w:t>
      </w:r>
      <w:r w:rsidRPr="00EF6018">
        <w:rPr>
          <w:i/>
        </w:rPr>
        <w:t>Delgadillo</w:t>
      </w:r>
      <w:r w:rsidRPr="00EF6018">
        <w:t xml:space="preserve"> illustrates that even where an unsafe condition exists on the premises due to the landowner’s failure to comply with specific statutory and regulatory duties, the landowner is not liable because </w:t>
      </w:r>
      <w:r w:rsidR="00500B16">
        <w:t xml:space="preserve">it is </w:t>
      </w:r>
      <w:r w:rsidRPr="00EF6018">
        <w:t xml:space="preserve">the contractor </w:t>
      </w:r>
      <w:r w:rsidR="00500B16">
        <w:t xml:space="preserve">who </w:t>
      </w:r>
      <w:r w:rsidRPr="00EF6018">
        <w:t xml:space="preserve">is responsible for its own workers’ safety.      </w:t>
      </w:r>
    </w:p>
    <w:p w:rsidR="00957DA5" w:rsidRPr="00EF6018" w:rsidP="00C84231">
      <w:pPr>
        <w:tabs>
          <w:tab w:val="left" w:pos="1440"/>
        </w:tabs>
        <w:ind w:firstLine="720"/>
      </w:pPr>
      <w:r w:rsidRPr="00EF6018">
        <w:t xml:space="preserve">Similarly, in </w:t>
      </w:r>
      <w:r w:rsidRPr="00EF6018">
        <w:rPr>
          <w:i/>
          <w:iCs/>
        </w:rPr>
        <w:t>Madden v. Summit View, Inc</w:t>
      </w:r>
      <w:r w:rsidRPr="00EF6018">
        <w:t xml:space="preserve">. (2008) </w:t>
      </w:r>
      <w:bookmarkStart w:id="34" w:name="_Hlk63771033"/>
      <w:r w:rsidRPr="00EF6018">
        <w:t>165 Cal.App.4th 1267</w:t>
      </w:r>
      <w:bookmarkEnd w:id="34"/>
      <w:r w:rsidRPr="00EF6018">
        <w:t xml:space="preserve">, the court applied our holding in </w:t>
      </w:r>
      <w:r w:rsidRPr="00EF6018">
        <w:rPr>
          <w:i/>
          <w:iCs/>
        </w:rPr>
        <w:t>Hooker</w:t>
      </w:r>
      <w:r w:rsidRPr="00EF6018">
        <w:t xml:space="preserve"> to find that the hirer (a general contractor) was not liable for injuries suffered by an employee of an independent contractor who fell from a raised patio during construction of a residential home.  (</w:t>
      </w:r>
      <w:r w:rsidRPr="00EF6018">
        <w:rPr>
          <w:i/>
          <w:iCs/>
        </w:rPr>
        <w:t>Madden</w:t>
      </w:r>
      <w:r w:rsidRPr="00EF6018">
        <w:t>, at pp. 1271, 1276–1278.)  The plaintiff claimed the hirer was negligent for failing to install protective railing along the open side of the patio.  (</w:t>
      </w:r>
      <w:r w:rsidRPr="00EF6018">
        <w:rPr>
          <w:i/>
          <w:iCs/>
        </w:rPr>
        <w:t>Id.</w:t>
      </w:r>
      <w:r w:rsidRPr="00EF6018">
        <w:t xml:space="preserve"> at pp. 1270–1271.)  The court held that this was insufficient to amount to affirmative contribution.  (</w:t>
      </w:r>
      <w:r w:rsidRPr="00EF6018">
        <w:rPr>
          <w:i/>
          <w:iCs/>
        </w:rPr>
        <w:t xml:space="preserve">Id. </w:t>
      </w:r>
      <w:r w:rsidRPr="00EF6018">
        <w:t>at pp. 1276–1278.)  The court explained that, while the plaintiff alleged that its employer (the independent contractor) had no authority to install protective railing, there was no evidence that the hirer “participated in any discussion about placing a safety railing along the patio, became aware of any safety concern due to the lack of such a railing, or intervened in any way to prevent such a railing from being erected.”  (</w:t>
      </w:r>
      <w:r w:rsidRPr="00EF6018">
        <w:rPr>
          <w:i/>
          <w:iCs/>
        </w:rPr>
        <w:t>Id</w:t>
      </w:r>
      <w:r w:rsidRPr="00EF6018">
        <w:t>. at p. 1277.)  In other words, there was no evidence that the hirer “</w:t>
      </w:r>
      <w:r w:rsidRPr="00EF6018">
        <w:rPr>
          <w:i/>
          <w:iCs/>
        </w:rPr>
        <w:t>directed</w:t>
      </w:r>
      <w:r w:rsidRPr="00EF6018">
        <w:t xml:space="preserve"> that no guardrailing or other protection against falls be placed along the raised patio, or that it acted in any way to </w:t>
      </w:r>
      <w:r w:rsidRPr="00EF6018">
        <w:rPr>
          <w:i/>
          <w:iCs/>
        </w:rPr>
        <w:t>prevent</w:t>
      </w:r>
      <w:r w:rsidRPr="00EF6018">
        <w:t xml:space="preserve"> such a railing from being installed.”  (</w:t>
      </w:r>
      <w:r w:rsidRPr="00EF6018">
        <w:rPr>
          <w:i/>
          <w:iCs/>
        </w:rPr>
        <w:t xml:space="preserve">Id. </w:t>
      </w:r>
      <w:r w:rsidRPr="00EF6018">
        <w:t>at pp. 1276–1277.)</w:t>
      </w:r>
    </w:p>
    <w:p w:rsidR="00C84231" w:rsidP="00C84231">
      <w:pPr>
        <w:tabs>
          <w:tab w:val="left" w:pos="1440"/>
        </w:tabs>
        <w:ind w:firstLine="720"/>
      </w:pPr>
      <w:r w:rsidRPr="00EF6018">
        <w:t xml:space="preserve">Finally, in </w:t>
      </w:r>
      <w:bookmarkStart w:id="35" w:name="_Hlk63693493"/>
      <w:bookmarkStart w:id="36" w:name="_Hlk77079438"/>
      <w:r w:rsidRPr="00EF6018">
        <w:rPr>
          <w:i/>
          <w:iCs/>
        </w:rPr>
        <w:t>Brannan v. Lathrop Construction Associates, Inc.</w:t>
      </w:r>
      <w:r w:rsidRPr="00EF6018">
        <w:t xml:space="preserve"> (2012) 206 Cal.App.4th 1170</w:t>
      </w:r>
      <w:bookmarkEnd w:id="35"/>
      <w:r w:rsidRPr="00EF6018">
        <w:t xml:space="preserve"> (</w:t>
      </w:r>
      <w:r w:rsidRPr="00EF6018">
        <w:rPr>
          <w:i/>
          <w:iCs/>
        </w:rPr>
        <w:t>Brannan</w:t>
      </w:r>
      <w:r w:rsidRPr="00EF6018">
        <w:t xml:space="preserve">), </w:t>
      </w:r>
      <w:bookmarkEnd w:id="36"/>
      <w:r w:rsidRPr="00EF6018">
        <w:t>an employee of an independent contractor fell off a wet plastic scaffold that he believed was the only means of access to the area in which he was working.  (</w:t>
      </w:r>
      <w:r w:rsidRPr="00EF6018">
        <w:rPr>
          <w:i/>
          <w:iCs/>
        </w:rPr>
        <w:t>Id.</w:t>
      </w:r>
      <w:r w:rsidRPr="00EF6018">
        <w:t xml:space="preserve"> at p. 1174.)  </w:t>
      </w:r>
      <w:r w:rsidR="009C6829">
        <w:t xml:space="preserve">The contractor had the authority to stop the work due to a safety concern </w:t>
      </w:r>
      <w:r w:rsidR="00ED3FAC">
        <w:t>but did not have any authority to remove the scaffold.  (</w:t>
      </w:r>
      <w:r w:rsidR="00ED3FAC">
        <w:rPr>
          <w:i/>
          <w:iCs/>
        </w:rPr>
        <w:t>Id</w:t>
      </w:r>
      <w:r w:rsidR="00ED3FAC">
        <w:t>.</w:t>
      </w:r>
      <w:r w:rsidR="00ED3FAC">
        <w:rPr>
          <w:i/>
          <w:iCs/>
        </w:rPr>
        <w:t xml:space="preserve"> </w:t>
      </w:r>
      <w:r w:rsidR="00ED3FAC">
        <w:rPr>
          <w:iCs/>
        </w:rPr>
        <w:t xml:space="preserve">at pp. 1174, 1178.) </w:t>
      </w:r>
      <w:r w:rsidR="009C6829">
        <w:t xml:space="preserve"> </w:t>
      </w:r>
      <w:r w:rsidRPr="00EF6018">
        <w:t xml:space="preserve">The court held that the hirer was not liable </w:t>
      </w:r>
      <w:r w:rsidR="00613B49">
        <w:t xml:space="preserve">for the employee’s injuries </w:t>
      </w:r>
      <w:r w:rsidRPr="00EF6018">
        <w:t>because there was no indication that it</w:t>
      </w:r>
      <w:r w:rsidR="00DF5184">
        <w:t xml:space="preserve"> exercise</w:t>
      </w:r>
      <w:r w:rsidR="003522BD">
        <w:t>d</w:t>
      </w:r>
      <w:r w:rsidRPr="00EF6018">
        <w:t xml:space="preserve"> </w:t>
      </w:r>
      <w:r w:rsidR="00ED3FAC">
        <w:t xml:space="preserve">any </w:t>
      </w:r>
      <w:r w:rsidRPr="00EF6018">
        <w:t xml:space="preserve">retained control </w:t>
      </w:r>
      <w:r w:rsidR="00405C80">
        <w:t xml:space="preserve">over the </w:t>
      </w:r>
      <w:r w:rsidR="005F26B1">
        <w:t xml:space="preserve">contractor’s </w:t>
      </w:r>
      <w:r w:rsidR="00405C80">
        <w:t>work</w:t>
      </w:r>
      <w:r w:rsidRPr="00EF6018">
        <w:t xml:space="preserve"> in a manner that affirmatively contributed to the injury.  (</w:t>
      </w:r>
      <w:r w:rsidRPr="00EF6018">
        <w:rPr>
          <w:i/>
          <w:iCs/>
        </w:rPr>
        <w:t>Id</w:t>
      </w:r>
      <w:r w:rsidRPr="00EF6018">
        <w:rPr>
          <w:i/>
        </w:rPr>
        <w:t xml:space="preserve">. </w:t>
      </w:r>
      <w:r w:rsidRPr="00EF6018">
        <w:t xml:space="preserve">at pp. 1179–1180.)  The court </w:t>
      </w:r>
      <w:r w:rsidR="005643C1">
        <w:t xml:space="preserve">reasoned </w:t>
      </w:r>
      <w:r w:rsidRPr="00EF6018">
        <w:t xml:space="preserve">that even </w:t>
      </w:r>
      <w:r w:rsidR="005643C1">
        <w:t>if the presence of the scaffold required the plaintiff to climb over it to perform his work,</w:t>
      </w:r>
      <w:r w:rsidRPr="00EF6018">
        <w:t xml:space="preserve"> the hirer</w:t>
      </w:r>
      <w:r w:rsidR="005643C1">
        <w:t xml:space="preserve"> never directed the plaintiff to climb over the scaffold.</w:t>
      </w:r>
      <w:r w:rsidRPr="00EF6018">
        <w:t xml:space="preserve">  (</w:t>
      </w:r>
      <w:r w:rsidRPr="00EF6018">
        <w:rPr>
          <w:i/>
          <w:iCs/>
        </w:rPr>
        <w:t>Id.</w:t>
      </w:r>
      <w:r w:rsidRPr="00EF6018">
        <w:t xml:space="preserve"> at pp. 1178–1179.)  The court further noted that the contractor did not ask the hirer to remove the scaffolding for safety reasons, nor did the hirer promise to do so.  (</w:t>
      </w:r>
      <w:r w:rsidRPr="00EF6018">
        <w:rPr>
          <w:i/>
          <w:iCs/>
        </w:rPr>
        <w:t xml:space="preserve">Id. </w:t>
      </w:r>
      <w:r w:rsidRPr="00EF6018">
        <w:t>at p. 1180.)</w:t>
      </w:r>
    </w:p>
    <w:p w:rsidR="00351389" w:rsidP="00C84231">
      <w:pPr>
        <w:tabs>
          <w:tab w:val="left" w:pos="1440"/>
        </w:tabs>
        <w:ind w:firstLine="720"/>
      </w:pPr>
      <w:r>
        <w:t xml:space="preserve">The above cases illustrate how the </w:t>
      </w:r>
      <w:r w:rsidR="00C84231">
        <w:t xml:space="preserve">Court of Appeal’s </w:t>
      </w:r>
      <w:r>
        <w:t>rule</w:t>
      </w:r>
      <w:r w:rsidR="00A24AB9">
        <w:t xml:space="preserve"> </w:t>
      </w:r>
      <w:r>
        <w:t xml:space="preserve">would subject landowners, but not general contractors or other hirers, to potential tort liability under an identical set of factual circumstances.  </w:t>
      </w:r>
      <w:r w:rsidR="00A24AB9">
        <w:t xml:space="preserve">All </w:t>
      </w:r>
      <w:r>
        <w:t xml:space="preserve">of our </w:t>
      </w:r>
      <w:r w:rsidRPr="00C84231">
        <w:rPr>
          <w:i/>
          <w:iCs/>
        </w:rPr>
        <w:t>Privette</w:t>
      </w:r>
      <w:r>
        <w:t xml:space="preserve"> line of cases, aside from </w:t>
      </w:r>
      <w:r w:rsidRPr="00C84231">
        <w:rPr>
          <w:i/>
          <w:iCs/>
        </w:rPr>
        <w:t>Kinsman</w:t>
      </w:r>
      <w:r>
        <w:t>, considered “whether an employee of an independent contractor may sue the hirer of the contractor under tort theories covered in chapter 15 of the Restatement Second of Torts.”  (</w:t>
      </w:r>
      <w:r w:rsidRPr="00C84231">
        <w:rPr>
          <w:i/>
          <w:iCs/>
        </w:rPr>
        <w:t>Hooker</w:t>
      </w:r>
      <w:r>
        <w:t xml:space="preserve">, </w:t>
      </w:r>
      <w:r w:rsidRPr="00C84231">
        <w:rPr>
          <w:i/>
          <w:iCs/>
        </w:rPr>
        <w:t>supra</w:t>
      </w:r>
      <w:r>
        <w:t xml:space="preserve">, 27 Cal.4th at p. 200.)  That chapter covers the circumstances under which any hirer (whether a landowner or other hirer) may be liable for injuries sustained to third persons due to the work of an independent contractor.  </w:t>
      </w:r>
      <w:r w:rsidRPr="00C84231">
        <w:rPr>
          <w:i/>
          <w:iCs/>
        </w:rPr>
        <w:t>Kinsman</w:t>
      </w:r>
      <w:r>
        <w:t xml:space="preserve">, on the other hand, considered whether a landowner (but not a general contractor or subcontractor) may be liable </w:t>
      </w:r>
      <w:r w:rsidR="00587743">
        <w:t>for</w:t>
      </w:r>
      <w:r>
        <w:t xml:space="preserve"> injuries sustained by an independent contractor’s workers under the premises liability tort theories covered by chapter 13 of the Restatement Second of Torts.  (See </w:t>
      </w:r>
      <w:r w:rsidRPr="00C84231">
        <w:rPr>
          <w:i/>
          <w:iCs/>
        </w:rPr>
        <w:t>Kinsman</w:t>
      </w:r>
      <w:r>
        <w:t xml:space="preserve">, </w:t>
      </w:r>
      <w:r w:rsidRPr="00C84231">
        <w:rPr>
          <w:i/>
          <w:iCs/>
        </w:rPr>
        <w:t>supra</w:t>
      </w:r>
      <w:r>
        <w:t xml:space="preserve">, 37 Cal.4th at p. 673.)  Thus, the </w:t>
      </w:r>
      <w:r w:rsidRPr="00C84231">
        <w:rPr>
          <w:i/>
          <w:iCs/>
        </w:rPr>
        <w:t>Kinsman</w:t>
      </w:r>
      <w:r>
        <w:t xml:space="preserve"> rule applie</w:t>
      </w:r>
      <w:r w:rsidR="00536579">
        <w:t>d</w:t>
      </w:r>
      <w:r>
        <w:t xml:space="preserve"> only to landowners </w:t>
      </w:r>
      <w:r w:rsidR="009B5E7B">
        <w:t xml:space="preserve">(which we clarified in </w:t>
      </w:r>
      <w:r w:rsidR="009B5E7B">
        <w:rPr>
          <w:i/>
          <w:iCs/>
        </w:rPr>
        <w:t xml:space="preserve">Kinsman </w:t>
      </w:r>
      <w:r w:rsidR="009B5E7B">
        <w:t xml:space="preserve">also </w:t>
      </w:r>
      <w:r w:rsidR="00536579">
        <w:t>includes</w:t>
      </w:r>
      <w:r w:rsidR="009B5E7B">
        <w:t xml:space="preserve"> land possessors), </w:t>
      </w:r>
      <w:r>
        <w:t xml:space="preserve">and not to nonlandowner hirers. </w:t>
      </w:r>
    </w:p>
    <w:p w:rsidR="00366CC7" w:rsidP="00011957">
      <w:pPr>
        <w:tabs>
          <w:tab w:val="left" w:pos="1440"/>
        </w:tabs>
        <w:ind w:firstLine="720"/>
      </w:pPr>
      <w:r w:rsidRPr="0090577B">
        <w:t>If we were to</w:t>
      </w:r>
      <w:r>
        <w:t xml:space="preserve"> adopt the Court of Appeal’s</w:t>
      </w:r>
      <w:r w:rsidR="00871C2D">
        <w:t xml:space="preserve"> rule regarding known hazards, which is based on the premises liability rules discussed in </w:t>
      </w:r>
      <w:r w:rsidR="00871C2D">
        <w:rPr>
          <w:i/>
          <w:iCs/>
        </w:rPr>
        <w:t xml:space="preserve">Kinsman </w:t>
      </w:r>
      <w:r w:rsidR="00871C2D">
        <w:t xml:space="preserve">and thus </w:t>
      </w:r>
      <w:r>
        <w:t>applies exclusively to landowner</w:t>
      </w:r>
      <w:r w:rsidR="00871C2D">
        <w:t xml:space="preserve"> hirers</w:t>
      </w:r>
      <w:r>
        <w:t xml:space="preserve">, we would be holding landowners liable for known dangerous conditions on the worksite even though nonlandowner hirers would not be liable under the same circumstances.  To illustrate this discord, the landowners in </w:t>
      </w:r>
      <w:r w:rsidRPr="00C84231">
        <w:rPr>
          <w:i/>
          <w:iCs/>
        </w:rPr>
        <w:t>Delgadillo</w:t>
      </w:r>
      <w:r>
        <w:t xml:space="preserve"> would be liable because they owned a building that had an unsafe but known condition on the roof (i.e., the lack of statutorily required anchor points) and there were no reasonable safety precautions the window washers could have implemented in order to avoid the hazard and clean the windows safely.  This liability would attach even though the landowner did not </w:t>
      </w:r>
      <w:r w:rsidR="005F26B1">
        <w:t xml:space="preserve">exercise any </w:t>
      </w:r>
      <w:r>
        <w:t>retain</w:t>
      </w:r>
      <w:r w:rsidR="005F26B1">
        <w:t>ed</w:t>
      </w:r>
      <w:r>
        <w:t xml:space="preserve"> control </w:t>
      </w:r>
      <w:r w:rsidR="001E02D8">
        <w:t xml:space="preserve">over the </w:t>
      </w:r>
      <w:r w:rsidR="00EB55CF">
        <w:t>contracted-for</w:t>
      </w:r>
      <w:r w:rsidR="001E02D8">
        <w:t xml:space="preserve"> work </w:t>
      </w:r>
      <w:r>
        <w:t xml:space="preserve">in a manner that affirmatively contributed to the injury.  But the general contractors in </w:t>
      </w:r>
      <w:r w:rsidRPr="00B93FB6">
        <w:rPr>
          <w:i/>
          <w:iCs/>
        </w:rPr>
        <w:t>Brannon</w:t>
      </w:r>
      <w:r>
        <w:t xml:space="preserve"> and </w:t>
      </w:r>
      <w:r w:rsidRPr="00B93FB6">
        <w:rPr>
          <w:i/>
          <w:iCs/>
        </w:rPr>
        <w:t>Madden</w:t>
      </w:r>
      <w:r>
        <w:t xml:space="preserve"> would not be liable because they did not own the premises and</w:t>
      </w:r>
      <w:r w:rsidR="00C6070A">
        <w:t xml:space="preserve"> </w:t>
      </w:r>
      <w:r w:rsidR="005F26B1">
        <w:t xml:space="preserve">also </w:t>
      </w:r>
      <w:r>
        <w:t xml:space="preserve">did not </w:t>
      </w:r>
      <w:r w:rsidR="005F26B1">
        <w:t xml:space="preserve">exercise any </w:t>
      </w:r>
      <w:r>
        <w:t>retain</w:t>
      </w:r>
      <w:r w:rsidR="005F26B1">
        <w:t>ed</w:t>
      </w:r>
      <w:r>
        <w:t xml:space="preserve"> control </w:t>
      </w:r>
      <w:r w:rsidR="001E02D8">
        <w:t>over</w:t>
      </w:r>
      <w:r w:rsidR="005F26B1">
        <w:t xml:space="preserve"> the contracted-for</w:t>
      </w:r>
      <w:r w:rsidR="001E02D8">
        <w:t xml:space="preserve"> work</w:t>
      </w:r>
      <w:r>
        <w:t xml:space="preserve"> in a manner that affirmatively contributed to the injury.  </w:t>
      </w:r>
      <w:r w:rsidR="00C6070A">
        <w:t xml:space="preserve"> </w:t>
      </w:r>
      <w:r>
        <w:t xml:space="preserve">  </w:t>
      </w:r>
    </w:p>
    <w:p w:rsidR="00011957" w:rsidP="00B239BF">
      <w:pPr>
        <w:tabs>
          <w:tab w:val="left" w:pos="1440"/>
        </w:tabs>
        <w:ind w:firstLine="720"/>
      </w:pPr>
      <w:r>
        <w:t>T</w:t>
      </w:r>
      <w:r w:rsidR="00C6070A">
        <w:t xml:space="preserve">ort law </w:t>
      </w:r>
      <w:r w:rsidR="0046201F">
        <w:t>sometimes</w:t>
      </w:r>
      <w:r w:rsidR="00C6070A">
        <w:t xml:space="preserve"> imposes heightened duties on landowners, including a duty to remedy obvious hazards on their property in certain circumstances</w:t>
      </w:r>
      <w:r>
        <w:t>.  Nonetheless,</w:t>
      </w:r>
      <w:r w:rsidR="00C6070A">
        <w:t xml:space="preserve"> </w:t>
      </w:r>
      <w:r w:rsidRPr="00594563" w:rsidR="00C6070A">
        <w:t>we can think</w:t>
      </w:r>
      <w:r w:rsidRPr="00EF6018" w:rsidR="00C6070A">
        <w:t xml:space="preserve"> of no</w:t>
      </w:r>
      <w:r w:rsidR="00C6070A">
        <w:t xml:space="preserve"> compelling</w:t>
      </w:r>
      <w:r w:rsidRPr="00EF6018" w:rsidR="00C6070A">
        <w:t xml:space="preserve"> reason for</w:t>
      </w:r>
      <w:r w:rsidR="00C6070A">
        <w:t xml:space="preserve"> making the </w:t>
      </w:r>
      <w:r w:rsidR="00C6070A">
        <w:rPr>
          <w:i/>
          <w:iCs/>
        </w:rPr>
        <w:t xml:space="preserve">Privette </w:t>
      </w:r>
      <w:r w:rsidR="00C6070A">
        <w:t>doctrine largely inapplicable to landowner hirers such that they are unable to delegate the duty to maintain a safe workplace to an independent contractor.</w:t>
      </w:r>
      <w:r w:rsidR="007C6969">
        <w:t xml:space="preserve">  </w:t>
      </w:r>
      <w:r w:rsidR="00AB57FC">
        <w:t xml:space="preserve">Indeed, it would be contrary to </w:t>
      </w:r>
      <w:r w:rsidRPr="00D1304B" w:rsidR="00AB57FC">
        <w:rPr>
          <w:i/>
          <w:iCs/>
        </w:rPr>
        <w:t>Privette</w:t>
      </w:r>
      <w:r w:rsidR="00AB57FC">
        <w:t xml:space="preserve">’s strong presumption that </w:t>
      </w:r>
      <w:r w:rsidRPr="008107C6" w:rsidR="00AB57FC">
        <w:rPr>
          <w:i/>
          <w:iCs/>
        </w:rPr>
        <w:t>all</w:t>
      </w:r>
      <w:r w:rsidR="00AB57FC">
        <w:t xml:space="preserve"> hirers delegate responsibility for workplace safety to independent contractors </w:t>
      </w:r>
      <w:r w:rsidR="00827E5D">
        <w:t>if we</w:t>
      </w:r>
      <w:r w:rsidR="00AB57FC">
        <w:t xml:space="preserve"> create</w:t>
      </w:r>
      <w:r w:rsidR="00827E5D">
        <w:t>d</w:t>
      </w:r>
      <w:r w:rsidR="00AB57FC">
        <w:t xml:space="preserve"> two disparate rules under which landowners would be liable for known hazards on the worksite</w:t>
      </w:r>
      <w:r w:rsidR="008107C6">
        <w:t xml:space="preserve"> in </w:t>
      </w:r>
      <w:r w:rsidR="00F313FA">
        <w:t>certain circumstances</w:t>
      </w:r>
      <w:r w:rsidR="00AB57FC">
        <w:t xml:space="preserve"> while other nonlandowner hirers would not be liable for such hazards</w:t>
      </w:r>
      <w:r w:rsidR="00F313FA">
        <w:t xml:space="preserve"> under the same circumstances</w:t>
      </w:r>
      <w:r w:rsidR="00AB57FC">
        <w:t>.  If anything, a landowner</w:t>
      </w:r>
      <w:r w:rsidR="006018AD">
        <w:t> </w:t>
      </w:r>
      <w:r w:rsidR="00AB57FC">
        <w:t>— perhaps especially a residential homeowner</w:t>
      </w:r>
      <w:r w:rsidR="006018AD">
        <w:t> </w:t>
      </w:r>
      <w:r w:rsidR="00AB57FC">
        <w:t xml:space="preserve">— </w:t>
      </w:r>
      <w:r w:rsidR="00613B49">
        <w:t>will</w:t>
      </w:r>
      <w:r w:rsidR="00AB57FC">
        <w:t xml:space="preserve"> </w:t>
      </w:r>
      <w:r w:rsidR="00613B49">
        <w:t xml:space="preserve">normally be </w:t>
      </w:r>
      <w:r w:rsidR="00AB57FC">
        <w:t xml:space="preserve">less likely than </w:t>
      </w:r>
      <w:r w:rsidR="00613B49">
        <w:t xml:space="preserve">a </w:t>
      </w:r>
      <w:r w:rsidR="00AB57FC">
        <w:t xml:space="preserve">general contractor to have knowledge regarding the “methods used and requirements of the work being performed” by an independent contractor </w:t>
      </w:r>
      <w:bookmarkStart w:id="37" w:name="_Hlk77079508"/>
      <w:r w:rsidR="00AB57FC">
        <w:t>(</w:t>
      </w:r>
      <w:r w:rsidRPr="00A20ADA" w:rsidR="00AB57FC">
        <w:rPr>
          <w:i/>
          <w:iCs/>
        </w:rPr>
        <w:t>Toland</w:t>
      </w:r>
      <w:r w:rsidR="00027A25">
        <w:rPr>
          <w:i/>
          <w:iCs/>
        </w:rPr>
        <w:t xml:space="preserve"> </w:t>
      </w:r>
      <w:r w:rsidRPr="00D1304B" w:rsidR="00027A25">
        <w:rPr>
          <w:i/>
          <w:iCs/>
        </w:rPr>
        <w:t>v. Sunland Housing Group, Inc.</w:t>
      </w:r>
      <w:r w:rsidR="00027A25">
        <w:t xml:space="preserve"> (1998) 18 Cal.4th 253</w:t>
      </w:r>
      <w:r w:rsidR="00AB57FC">
        <w:t>,</w:t>
      </w:r>
      <w:r w:rsidR="00027A25">
        <w:t xml:space="preserve"> </w:t>
      </w:r>
      <w:r w:rsidR="00AB57FC">
        <w:t>268</w:t>
      </w:r>
      <w:r w:rsidR="00D1304B">
        <w:t xml:space="preserve"> </w:t>
      </w:r>
      <w:r w:rsidR="00027A25">
        <w:t>(</w:t>
      </w:r>
      <w:r w:rsidR="00027A25">
        <w:rPr>
          <w:i/>
          <w:iCs/>
        </w:rPr>
        <w:t>Toland</w:t>
      </w:r>
      <w:r w:rsidR="00027A25">
        <w:t>)</w:t>
      </w:r>
      <w:r w:rsidR="00AB57FC">
        <w:t>)</w:t>
      </w:r>
      <w:bookmarkEnd w:id="37"/>
      <w:r w:rsidR="00AB57FC">
        <w:t xml:space="preserve"> and is, therefore, less likely to understand whether and what safety precautions are available to protect the contractor’s workers from a known hazard on the premises.</w:t>
      </w:r>
      <w:r w:rsidR="00A20ADA">
        <w:t xml:space="preserve">  </w:t>
      </w:r>
      <w:bookmarkStart w:id="38" w:name="_Hlk79681838"/>
      <w:r w:rsidR="00F313FA">
        <w:t>It made sense for us to adopt a rule i</w:t>
      </w:r>
      <w:r w:rsidR="00C6070A">
        <w:t xml:space="preserve">n </w:t>
      </w:r>
      <w:r w:rsidRPr="009E5EB5" w:rsidR="00C6070A">
        <w:rPr>
          <w:i/>
          <w:iCs/>
        </w:rPr>
        <w:t>Kinsman</w:t>
      </w:r>
      <w:r w:rsidR="00C6070A">
        <w:t xml:space="preserve"> that holds landowners accountable for concealed hazard</w:t>
      </w:r>
      <w:r w:rsidR="0026224B">
        <w:t>s</w:t>
      </w:r>
      <w:r w:rsidR="00C6070A">
        <w:t xml:space="preserve"> on their property</w:t>
      </w:r>
      <w:r w:rsidR="0026224B">
        <w:t xml:space="preserve"> of which they should reasonably be aware and</w:t>
      </w:r>
      <w:r w:rsidR="00C6070A">
        <w:t xml:space="preserve"> the independent contractor is unlikely to discover because </w:t>
      </w:r>
      <w:r w:rsidRPr="00DB7BD0" w:rsidR="00C6070A">
        <w:t>the landowner</w:t>
      </w:r>
      <w:r w:rsidR="0026224B">
        <w:t xml:space="preserve"> is the only party with knowledge of the danger and cannot</w:t>
      </w:r>
      <w:r w:rsidR="003A5A5E">
        <w:t xml:space="preserve"> </w:t>
      </w:r>
      <w:r w:rsidR="000D0F8B">
        <w:t>effectively</w:t>
      </w:r>
      <w:r w:rsidR="0026224B">
        <w:t xml:space="preserve"> delegate responsibility for workplace safety without alerting the contractor to the danger</w:t>
      </w:r>
      <w:r w:rsidR="00A20ADA">
        <w:t>.</w:t>
      </w:r>
      <w:r w:rsidR="00B239BF">
        <w:t xml:space="preserve">  (</w:t>
      </w:r>
      <w:r w:rsidRPr="00B239BF" w:rsidR="00D1304B">
        <w:rPr>
          <w:i/>
          <w:iCs/>
        </w:rPr>
        <w:t>Kinsman</w:t>
      </w:r>
      <w:r w:rsidRPr="00B239BF" w:rsidR="00D1304B">
        <w:t xml:space="preserve">, </w:t>
      </w:r>
      <w:r w:rsidRPr="00B239BF" w:rsidR="00D1304B">
        <w:rPr>
          <w:i/>
          <w:iCs/>
        </w:rPr>
        <w:t>supra</w:t>
      </w:r>
      <w:r w:rsidRPr="00B239BF" w:rsidR="00D1304B">
        <w:t xml:space="preserve">, 37 Cal.4th at p. 677; see also </w:t>
      </w:r>
      <w:r w:rsidRPr="00B239BF" w:rsidR="00D1304B">
        <w:rPr>
          <w:i/>
          <w:iCs/>
        </w:rPr>
        <w:t>id</w:t>
      </w:r>
      <w:r w:rsidRPr="00B239BF" w:rsidR="00D1304B">
        <w:t xml:space="preserve">. at p. 679.)  </w:t>
      </w:r>
      <w:r w:rsidRPr="00144B71" w:rsidR="00D1304B">
        <w:t>This</w:t>
      </w:r>
      <w:r w:rsidR="00D1304B">
        <w:t xml:space="preserve"> rationale does not apply where the</w:t>
      </w:r>
      <w:r w:rsidRPr="0026224B" w:rsidR="00D1304B">
        <w:t xml:space="preserve"> hazard </w:t>
      </w:r>
      <w:r w:rsidR="00D1304B">
        <w:t>is</w:t>
      </w:r>
      <w:r w:rsidRPr="0026224B" w:rsidR="00D1304B">
        <w:t xml:space="preserve"> open and obvious, as in this case.</w:t>
      </w:r>
      <w:r w:rsidR="00D1304B">
        <w:t xml:space="preserve">  </w:t>
      </w:r>
      <w:bookmarkEnd w:id="38"/>
      <w:r w:rsidR="00D1304B">
        <w:t xml:space="preserve">Moreover, </w:t>
      </w:r>
      <w:r w:rsidRPr="00131908" w:rsidR="00D1304B">
        <w:t xml:space="preserve">we stopped short </w:t>
      </w:r>
      <w:r w:rsidRPr="00131908" w:rsidR="00E41386">
        <w:t xml:space="preserve">in </w:t>
      </w:r>
      <w:r w:rsidRPr="00131908" w:rsidR="00E41386">
        <w:rPr>
          <w:i/>
          <w:iCs/>
        </w:rPr>
        <w:t>Kinsman</w:t>
      </w:r>
      <w:r w:rsidRPr="00131908" w:rsidR="00E41386">
        <w:t xml:space="preserve"> </w:t>
      </w:r>
      <w:r w:rsidRPr="00131908" w:rsidR="00D1304B">
        <w:t xml:space="preserve">of imposing a duty on the landowner to remedy the concealed hazard or to provide the contractor with safety precautions that would protect it against the hazard, recognizing that it is the contractor’s duty to implement whatever precautions are necessary to protect its workers against the hazard once warned of it.  (See </w:t>
      </w:r>
      <w:r w:rsidRPr="00131908" w:rsidR="00D1304B">
        <w:rPr>
          <w:i/>
          <w:iCs/>
        </w:rPr>
        <w:t>id.</w:t>
      </w:r>
      <w:r w:rsidRPr="00131908" w:rsidR="00D1304B">
        <w:rPr>
          <w:i/>
        </w:rPr>
        <w:t xml:space="preserve"> </w:t>
      </w:r>
      <w:r w:rsidRPr="00131908" w:rsidR="00D1304B">
        <w:t>at pp. 673–674.)</w:t>
      </w:r>
      <w:r w:rsidRPr="009329D6" w:rsidR="009329D6">
        <w:t xml:space="preserve"> </w:t>
      </w:r>
      <w:r w:rsidR="009329D6">
        <w:t xml:space="preserve"> </w:t>
      </w:r>
      <w:r w:rsidRPr="007F673C" w:rsidR="009329D6">
        <w:t>Stated differently</w:t>
      </w:r>
      <w:r w:rsidR="009329D6">
        <w:t xml:space="preserve">, once the hazard is known to the contractor, the contractor has at its disposal all of the information necessary to determine whether </w:t>
      </w:r>
      <w:r w:rsidR="002E3244">
        <w:t>or</w:t>
      </w:r>
      <w:r w:rsidR="009329D6">
        <w:t xml:space="preserve"> how the work can be performed safely.  </w:t>
      </w:r>
      <w:r w:rsidR="0026224B">
        <w:t xml:space="preserve">We therefore decline to adopt a rule that subjects landowners to greater liability than other hirers for injuries stemming from known hazards.  </w:t>
      </w:r>
    </w:p>
    <w:p w:rsidR="00366CC7" w:rsidP="00351389">
      <w:pPr>
        <w:tabs>
          <w:tab w:val="left" w:pos="1440"/>
        </w:tabs>
        <w:ind w:firstLine="720"/>
      </w:pPr>
      <w:r>
        <w:t>Furthermore, i</w:t>
      </w:r>
      <w:r w:rsidR="00351389">
        <w:t>t would be difficult, if not impossible, for a landowner to ever obtain summary judgment were we to adopt a rule</w:t>
      </w:r>
      <w:r w:rsidR="005C7928">
        <w:t xml:space="preserve"> that subjects landowners to potential liability where </w:t>
      </w:r>
      <w:r w:rsidR="00E309BE">
        <w:t xml:space="preserve"> </w:t>
      </w:r>
      <w:r w:rsidR="005C7928">
        <w:t xml:space="preserve">there </w:t>
      </w:r>
      <w:r w:rsidR="00E309BE">
        <w:t>are</w:t>
      </w:r>
      <w:r w:rsidR="005C7928">
        <w:t xml:space="preserve"> no reasonable safety precautions </w:t>
      </w:r>
      <w:r w:rsidR="00E309BE">
        <w:t>available</w:t>
      </w:r>
      <w:r w:rsidR="005C7928">
        <w:t xml:space="preserve"> to protect against </w:t>
      </w:r>
      <w:r w:rsidR="00027A25">
        <w:t>a known</w:t>
      </w:r>
      <w:r w:rsidR="005C7928">
        <w:t xml:space="preserve"> danger</w:t>
      </w:r>
      <w:r w:rsidR="00351389">
        <w:t>.  (</w:t>
      </w:r>
      <w:r w:rsidR="00717809">
        <w:t>Cf.</w:t>
      </w:r>
      <w:r w:rsidR="00351389">
        <w:t xml:space="preserve"> </w:t>
      </w:r>
      <w:r w:rsidRPr="00B239BF" w:rsidR="00351389">
        <w:rPr>
          <w:i/>
          <w:iCs/>
        </w:rPr>
        <w:t>Toland</w:t>
      </w:r>
      <w:r w:rsidR="00027A25">
        <w:t xml:space="preserve">, </w:t>
      </w:r>
      <w:r w:rsidR="00027A25">
        <w:rPr>
          <w:i/>
          <w:iCs/>
        </w:rPr>
        <w:t>supra</w:t>
      </w:r>
      <w:r w:rsidR="00027A25">
        <w:t>,</w:t>
      </w:r>
      <w:r w:rsidR="00351389">
        <w:t xml:space="preserve"> 18 Cal.4th </w:t>
      </w:r>
      <w:r w:rsidR="00027A25">
        <w:t>at p.</w:t>
      </w:r>
      <w:r w:rsidR="00351389">
        <w:t xml:space="preserve"> 268 [rejecting a rule that would impose liability based on a hirer’s “</w:t>
      </w:r>
      <w:r w:rsidR="00827E5D">
        <w:t> ‘</w:t>
      </w:r>
      <w:r w:rsidR="00351389">
        <w:t>superior knowledge</w:t>
      </w:r>
      <w:r w:rsidR="00827E5D">
        <w:t>’ </w:t>
      </w:r>
      <w:r w:rsidR="00351389">
        <w:t>” of the “</w:t>
      </w:r>
      <w:r w:rsidR="00827E5D">
        <w:t> ‘</w:t>
      </w:r>
      <w:r w:rsidR="00351389">
        <w:t>risk</w:t>
      </w:r>
      <w:r w:rsidR="00827E5D">
        <w:t>[</w:t>
      </w:r>
      <w:r w:rsidR="00351389">
        <w:t>s</w:t>
      </w:r>
      <w:r w:rsidR="00827E5D">
        <w:t>]’ </w:t>
      </w:r>
      <w:r w:rsidR="00351389">
        <w:t xml:space="preserve">” of the work because </w:t>
      </w:r>
      <w:r w:rsidR="00E33787">
        <w:t>the</w:t>
      </w:r>
      <w:r w:rsidR="00351389">
        <w:t xml:space="preserve"> rule would not be amenable to summary judgment]; see </w:t>
      </w:r>
      <w:r w:rsidRPr="00027A25" w:rsidR="00351389">
        <w:t xml:space="preserve">also </w:t>
      </w:r>
      <w:r w:rsidRPr="00B239BF" w:rsidR="00351389">
        <w:rPr>
          <w:i/>
          <w:iCs/>
        </w:rPr>
        <w:t>id.</w:t>
      </w:r>
      <w:r w:rsidR="00351389">
        <w:t xml:space="preserve"> at pp. 275–276 (conc. &amp; dis. opn. of Werdegar, J.).)  </w:t>
      </w:r>
      <w:r w:rsidR="0045481A">
        <w:t>T</w:t>
      </w:r>
      <w:r w:rsidR="00351389">
        <w:t xml:space="preserve">he question of whether the independent contractor, in hindsight, could have adopted reasonable safety precautions to protect against a known hazard will almost always encompass disputed issues of material fact.  (See </w:t>
      </w:r>
      <w:r w:rsidRPr="00B239BF" w:rsidR="00351389">
        <w:rPr>
          <w:i/>
          <w:iCs/>
        </w:rPr>
        <w:t>Gonzalez</w:t>
      </w:r>
      <w:r w:rsidR="00351389">
        <w:t xml:space="preserve">, </w:t>
      </w:r>
      <w:r w:rsidRPr="00B239BF" w:rsidR="00351389">
        <w:rPr>
          <w:i/>
          <w:iCs/>
        </w:rPr>
        <w:t>supra</w:t>
      </w:r>
      <w:r w:rsidR="00351389">
        <w:t xml:space="preserve">, 20 Cal.App.5th at pp. 273–274 [recognizing that the reasonableness of a party’s actions in confronting a known hazard or taking precautions to protect against the hazard “is generally a question of fact for the jury to decide”].)  </w:t>
      </w:r>
      <w:r w:rsidR="00E33787">
        <w:t>If a plaintiff were able to survive summary judgment merely by alleging there were no reasonable safety pr</w:t>
      </w:r>
      <w:r w:rsidR="003A5A5E">
        <w:t>ecautions</w:t>
      </w:r>
      <w:r w:rsidR="00E33787">
        <w:t xml:space="preserve"> available, </w:t>
      </w:r>
      <w:r w:rsidR="00E33787">
        <w:rPr>
          <w:i/>
          <w:iCs/>
        </w:rPr>
        <w:t xml:space="preserve">Privette’s </w:t>
      </w:r>
      <w:r w:rsidR="00E33787">
        <w:t>presumption of delegation would be rebuttable in nearly all instances, which would effectively amount to no presumption at all.</w:t>
      </w:r>
      <w:r w:rsidRPr="00EF6018" w:rsidR="00E33787">
        <w:t xml:space="preserve">  </w:t>
      </w:r>
    </w:p>
    <w:p w:rsidR="00791FD8" w:rsidRPr="00EC345A" w:rsidP="003C4607">
      <w:pPr>
        <w:tabs>
          <w:tab w:val="left" w:pos="1440"/>
        </w:tabs>
        <w:ind w:firstLine="720"/>
      </w:pPr>
      <w:r w:rsidRPr="007E354E">
        <w:t>W</w:t>
      </w:r>
      <w:r w:rsidRPr="007E354E" w:rsidR="00A52BD1">
        <w:t xml:space="preserve">e </w:t>
      </w:r>
      <w:r w:rsidR="003274BF">
        <w:t>acknowledge</w:t>
      </w:r>
      <w:r w:rsidR="00A5209F">
        <w:t xml:space="preserve"> </w:t>
      </w:r>
      <w:r w:rsidRPr="007E354E" w:rsidR="00A52BD1">
        <w:t xml:space="preserve">that </w:t>
      </w:r>
      <w:r w:rsidR="001904F9">
        <w:t xml:space="preserve">there </w:t>
      </w:r>
      <w:r w:rsidR="00F6461D">
        <w:t>will sometimes</w:t>
      </w:r>
      <w:r w:rsidRPr="007E354E" w:rsidR="00A52BD1">
        <w:t xml:space="preserve"> </w:t>
      </w:r>
      <w:r w:rsidR="001904F9">
        <w:t xml:space="preserve">be </w:t>
      </w:r>
      <w:r w:rsidR="00C77AE4">
        <w:t>financial</w:t>
      </w:r>
      <w:r w:rsidR="001904F9">
        <w:t xml:space="preserve"> and other real world </w:t>
      </w:r>
      <w:r w:rsidR="007B1F7A">
        <w:t>factors</w:t>
      </w:r>
      <w:r w:rsidR="00A5209F">
        <w:t xml:space="preserve"> </w:t>
      </w:r>
      <w:r w:rsidR="001904F9">
        <w:t xml:space="preserve">that </w:t>
      </w:r>
      <w:r w:rsidR="00F6461D">
        <w:t>might</w:t>
      </w:r>
      <w:r w:rsidR="001904F9">
        <w:t xml:space="preserve"> make it difficult </w:t>
      </w:r>
      <w:r w:rsidRPr="007E354E" w:rsidR="00A52BD1">
        <w:t>for an independent contractor to</w:t>
      </w:r>
      <w:r w:rsidR="00892563">
        <w:t xml:space="preserve"> raise safety concerns with the hirer or </w:t>
      </w:r>
      <w:r w:rsidR="007D0F94">
        <w:t xml:space="preserve">to </w:t>
      </w:r>
      <w:r w:rsidR="00F6461D">
        <w:t xml:space="preserve">simply </w:t>
      </w:r>
      <w:r w:rsidRPr="007E354E" w:rsidR="00A52BD1">
        <w:t xml:space="preserve">walk away from </w:t>
      </w:r>
      <w:r w:rsidR="00F6461D">
        <w:t>a</w:t>
      </w:r>
      <w:r w:rsidRPr="007E354E" w:rsidR="00A52BD1">
        <w:t xml:space="preserve"> job</w:t>
      </w:r>
      <w:r w:rsidR="00F6461D">
        <w:t xml:space="preserve"> it has deemed to be unsafe.  </w:t>
      </w:r>
      <w:bookmarkStart w:id="39" w:name="_Hlk75194116"/>
      <w:r w:rsidR="00D85835">
        <w:t>But</w:t>
      </w:r>
      <w:r w:rsidR="00954C30">
        <w:t xml:space="preserve"> </w:t>
      </w:r>
      <w:bookmarkEnd w:id="39"/>
      <w:r w:rsidR="002208BD">
        <w:t xml:space="preserve">independent contractors can </w:t>
      </w:r>
      <w:r w:rsidR="00D85835">
        <w:t xml:space="preserve">typically </w:t>
      </w:r>
      <w:r w:rsidR="002208BD">
        <w:t>factor the cost of added safety precautions or any increased safety risks into the contract price.  (</w:t>
      </w:r>
      <w:r w:rsidRPr="00EC345A" w:rsidR="002208BD">
        <w:rPr>
          <w:i/>
          <w:iCs/>
        </w:rPr>
        <w:t>Privette</w:t>
      </w:r>
      <w:r w:rsidR="002208BD">
        <w:t xml:space="preserve">, </w:t>
      </w:r>
      <w:r w:rsidRPr="00EC345A" w:rsidR="002208BD">
        <w:rPr>
          <w:i/>
          <w:iCs/>
        </w:rPr>
        <w:t>supra</w:t>
      </w:r>
      <w:r w:rsidR="002208BD">
        <w:t>, 5 Cal.4th at p. 693.)  They can also</w:t>
      </w:r>
      <w:r w:rsidR="00713C0C">
        <w:t xml:space="preserve"> purchase workers’ compensation to cover any </w:t>
      </w:r>
      <w:r w:rsidR="00FB0D77">
        <w:t>injuries sustained while on the job.  (</w:t>
      </w:r>
      <w:r w:rsidRPr="00EF6018" w:rsidR="002208BD">
        <w:rPr>
          <w:i/>
        </w:rPr>
        <w:t>Id.</w:t>
      </w:r>
      <w:r w:rsidRPr="00131908" w:rsidR="002208BD">
        <w:rPr>
          <w:i/>
        </w:rPr>
        <w:t xml:space="preserve"> </w:t>
      </w:r>
      <w:r w:rsidRPr="00EF6018" w:rsidR="002208BD">
        <w:t>at pp. 698–700.)</w:t>
      </w:r>
      <w:r>
        <w:rPr>
          <w:rStyle w:val="FootnoteReference"/>
        </w:rPr>
        <w:footnoteReference w:id="3"/>
      </w:r>
      <w:r w:rsidR="003C4607">
        <w:t xml:space="preserve">  </w:t>
      </w:r>
      <w:r w:rsidR="003A5A5E">
        <w:t>Furthermore</w:t>
      </w:r>
      <w:r w:rsidR="00366CC7">
        <w:t>, o</w:t>
      </w:r>
      <w:r w:rsidR="000C3943">
        <w:t>ur</w:t>
      </w:r>
      <w:r w:rsidR="00BE029D">
        <w:t xml:space="preserve"> </w:t>
      </w:r>
      <w:r w:rsidR="00BC1E78">
        <w:t xml:space="preserve">holding </w:t>
      </w:r>
      <w:r w:rsidR="00BE029D">
        <w:t xml:space="preserve">avoids the unfair “tort damages windfall” that would result </w:t>
      </w:r>
      <w:r w:rsidR="00366CC7">
        <w:t>from adopting a rule that allows</w:t>
      </w:r>
      <w:r w:rsidRPr="00AD702E" w:rsidR="00AD702E">
        <w:t xml:space="preserve"> independent contractor</w:t>
      </w:r>
      <w:r w:rsidR="00366CC7">
        <w:t>s</w:t>
      </w:r>
      <w:r w:rsidRPr="00AD702E" w:rsidR="00AD702E">
        <w:t xml:space="preserve"> </w:t>
      </w:r>
      <w:r w:rsidR="00366CC7">
        <w:t>and</w:t>
      </w:r>
      <w:r w:rsidRPr="00AD702E" w:rsidR="00AD702E">
        <w:t xml:space="preserve"> </w:t>
      </w:r>
      <w:r w:rsidR="00366CC7">
        <w:t>their</w:t>
      </w:r>
      <w:r w:rsidR="00BE029D">
        <w:t xml:space="preserve"> workers</w:t>
      </w:r>
      <w:r w:rsidRPr="00AD702E" w:rsidR="00AD702E">
        <w:t xml:space="preserve"> to obtain tort damages from the landowner</w:t>
      </w:r>
      <w:r w:rsidR="00BE029D">
        <w:t xml:space="preserve"> while the landowner’s own employees </w:t>
      </w:r>
      <w:r w:rsidR="00366CC7">
        <w:t>are</w:t>
      </w:r>
      <w:r w:rsidR="00BE029D">
        <w:t xml:space="preserve"> limited to workers’ compensation.</w:t>
      </w:r>
      <w:r w:rsidRPr="00275552" w:rsidR="000424C8">
        <w:t xml:space="preserve">  (</w:t>
      </w:r>
      <w:r w:rsidRPr="00275552" w:rsidR="000424C8">
        <w:rPr>
          <w:i/>
          <w:iCs/>
        </w:rPr>
        <w:t>SeaBright</w:t>
      </w:r>
      <w:r w:rsidRPr="00275552" w:rsidR="000424C8">
        <w:t xml:space="preserve">, </w:t>
      </w:r>
      <w:r w:rsidRPr="00275552" w:rsidR="000424C8">
        <w:rPr>
          <w:i/>
          <w:iCs/>
        </w:rPr>
        <w:t>supra</w:t>
      </w:r>
      <w:r w:rsidRPr="00275552" w:rsidR="000424C8">
        <w:t xml:space="preserve">, 52 Cal.4th at p. </w:t>
      </w:r>
      <w:r w:rsidRPr="00AD702E" w:rsidR="00AD702E">
        <w:t>599</w:t>
      </w:r>
      <w:r w:rsidR="00583293">
        <w:t xml:space="preserve">; see also </w:t>
      </w:r>
      <w:r w:rsidR="00583293">
        <w:rPr>
          <w:i/>
          <w:iCs/>
        </w:rPr>
        <w:t>Privette</w:t>
      </w:r>
      <w:r w:rsidR="003A5A5E">
        <w:rPr>
          <w:i/>
          <w:iCs/>
        </w:rPr>
        <w:t>,</w:t>
      </w:r>
      <w:r w:rsidR="003A5A5E">
        <w:t xml:space="preserve"> </w:t>
      </w:r>
      <w:r w:rsidR="00583293">
        <w:t>at p. 700</w:t>
      </w:r>
      <w:r w:rsidRPr="00AD702E" w:rsidR="00AD702E">
        <w:t>.)</w:t>
      </w:r>
      <w:r w:rsidR="0014488F">
        <w:t xml:space="preserve">  </w:t>
      </w:r>
      <w:r w:rsidR="00181DAB">
        <w:t>Were we to adopt the Court of Appeal’s rule</w:t>
      </w:r>
      <w:r w:rsidR="006018AD">
        <w:t> </w:t>
      </w:r>
      <w:r w:rsidR="00BB2EDD">
        <w:t xml:space="preserve">— </w:t>
      </w:r>
      <w:r w:rsidR="00A61337">
        <w:t>which applies</w:t>
      </w:r>
      <w:r w:rsidR="007B6AB6">
        <w:t xml:space="preserve"> only to injuries suffered by independent contractors and their employees</w:t>
      </w:r>
      <w:r w:rsidR="006018AD">
        <w:t> </w:t>
      </w:r>
      <w:r w:rsidR="00BB2EDD">
        <w:t xml:space="preserve">— </w:t>
      </w:r>
      <w:r w:rsidR="007B6AB6">
        <w:t>we would allow contractors and their employees to obtain tort damages from the landowner</w:t>
      </w:r>
      <w:r w:rsidR="00A95998">
        <w:t xml:space="preserve"> </w:t>
      </w:r>
      <w:r w:rsidRPr="00903CBA" w:rsidR="00A95998">
        <w:t>when injured as a result of a known hazard on the premises.  Conversely</w:t>
      </w:r>
      <w:r w:rsidR="00A95998">
        <w:t>,</w:t>
      </w:r>
      <w:r w:rsidR="007B6AB6">
        <w:t xml:space="preserve"> those persons </w:t>
      </w:r>
      <w:r w:rsidR="00A91587">
        <w:t xml:space="preserve">who </w:t>
      </w:r>
      <w:r w:rsidR="007B6AB6">
        <w:t>were directly employed by the landowner would be limited to workers</w:t>
      </w:r>
      <w:r w:rsidR="00827E5D">
        <w:t>’</w:t>
      </w:r>
      <w:r w:rsidR="007B6AB6">
        <w:t xml:space="preserve"> compensation for any injuries sustained while on the premises.  </w:t>
      </w:r>
      <w:r w:rsidR="00F315C7">
        <w:t>T</w:t>
      </w:r>
      <w:r w:rsidRPr="000C3943" w:rsidR="00F315C7">
        <w:t>o</w:t>
      </w:r>
      <w:r w:rsidRPr="00EF6018" w:rsidR="00A8712F">
        <w:t xml:space="preserve"> impose tort liability “on a person who hires an independent contractor for specialized work would penalize those individuals who hire experts to perform dangerous work rather than assigning such activity to their own inexperienced employees</w:t>
      </w:r>
      <w:r w:rsidR="00583293">
        <w:t>.</w:t>
      </w:r>
      <w:r w:rsidR="00F315C7">
        <w:t xml:space="preserve">”  </w:t>
      </w:r>
      <w:r w:rsidR="000C3943">
        <w:t>(</w:t>
      </w:r>
      <w:r w:rsidR="000C3943">
        <w:rPr>
          <w:i/>
          <w:iCs/>
        </w:rPr>
        <w:t>Privette</w:t>
      </w:r>
      <w:r w:rsidR="000C3943">
        <w:t>, at p. 700.)</w:t>
      </w:r>
      <w:r w:rsidR="000C3943">
        <w:rPr>
          <w:i/>
          <w:iCs/>
        </w:rPr>
        <w:t xml:space="preserve"> </w:t>
      </w:r>
      <w:r w:rsidR="000C3943">
        <w:t xml:space="preserve"> </w:t>
      </w:r>
    </w:p>
    <w:p w:rsidR="005A3D08" w:rsidRPr="00EF6018" w:rsidP="0059232D">
      <w:pPr>
        <w:tabs>
          <w:tab w:val="left" w:pos="1440"/>
        </w:tabs>
        <w:ind w:firstLine="720"/>
      </w:pPr>
      <w:bookmarkStart w:id="40" w:name="_Hlk75201985"/>
      <w:r w:rsidRPr="00F6461D">
        <w:rPr>
          <w:iCs/>
        </w:rPr>
        <w:t>Gonzalez argues</w:t>
      </w:r>
      <w:r w:rsidRPr="00EF6018">
        <w:rPr>
          <w:iCs/>
        </w:rPr>
        <w:t xml:space="preserve"> that the </w:t>
      </w:r>
      <w:r w:rsidRPr="00EF6018">
        <w:rPr>
          <w:i/>
        </w:rPr>
        <w:t xml:space="preserve">Privette </w:t>
      </w:r>
      <w:r w:rsidRPr="00EF6018">
        <w:rPr>
          <w:iCs/>
        </w:rPr>
        <w:t>doctrine applies only where the independent contractor is specifically tasked with repair</w:t>
      </w:r>
      <w:r w:rsidRPr="00EF6018" w:rsidR="001772B1">
        <w:rPr>
          <w:iCs/>
        </w:rPr>
        <w:t>ing</w:t>
      </w:r>
      <w:r w:rsidRPr="00EF6018">
        <w:rPr>
          <w:iCs/>
        </w:rPr>
        <w:t xml:space="preserve"> the </w:t>
      </w:r>
      <w:r w:rsidRPr="00EF6018" w:rsidR="001772B1">
        <w:rPr>
          <w:iCs/>
        </w:rPr>
        <w:t>hazard</w:t>
      </w:r>
      <w:r w:rsidRPr="00EF6018">
        <w:rPr>
          <w:iCs/>
        </w:rPr>
        <w:t xml:space="preserve"> or where the </w:t>
      </w:r>
      <w:r w:rsidRPr="00EF6018" w:rsidR="001772B1">
        <w:rPr>
          <w:iCs/>
        </w:rPr>
        <w:t>hazard was</w:t>
      </w:r>
      <w:r w:rsidRPr="00EF6018">
        <w:rPr>
          <w:iCs/>
        </w:rPr>
        <w:t xml:space="preserve"> created by the work for which the contractor was retained.</w:t>
      </w:r>
      <w:r w:rsidR="00FB4441">
        <w:rPr>
          <w:iCs/>
        </w:rPr>
        <w:t xml:space="preserve">  </w:t>
      </w:r>
      <w:r w:rsidRPr="00EF6018" w:rsidR="0070090E">
        <w:rPr>
          <w:iCs/>
        </w:rPr>
        <w:t>Only then, in Gonzalez’s view, is the risk inherent to the wor</w:t>
      </w:r>
      <w:r w:rsidRPr="00EF6018" w:rsidR="00F671A6">
        <w:rPr>
          <w:iCs/>
        </w:rPr>
        <w:t>k</w:t>
      </w:r>
      <w:r w:rsidRPr="00EF6018" w:rsidR="0070090E">
        <w:rPr>
          <w:iCs/>
        </w:rPr>
        <w:t xml:space="preserve"> the contractor was hired to perform.</w:t>
      </w:r>
      <w:r w:rsidR="00FB4441">
        <w:rPr>
          <w:iCs/>
        </w:rPr>
        <w:t xml:space="preserve">  </w:t>
      </w:r>
      <w:r w:rsidR="00380D4C">
        <w:rPr>
          <w:iCs/>
        </w:rPr>
        <w:t xml:space="preserve">Gonzalez’s argument goes well beyond the rule adopted by the Court of Appeal and fails on </w:t>
      </w:r>
      <w:r w:rsidR="003A5A5E">
        <w:rPr>
          <w:iCs/>
        </w:rPr>
        <w:t>its</w:t>
      </w:r>
      <w:r w:rsidR="00380D4C">
        <w:rPr>
          <w:iCs/>
        </w:rPr>
        <w:t xml:space="preserve"> merits for at least two reasons.  </w:t>
      </w:r>
      <w:r w:rsidRPr="00EF6018" w:rsidR="00B0049A">
        <w:rPr>
          <w:iCs/>
        </w:rPr>
        <w:t xml:space="preserve">First, Gonzalez’s view of the risk inherent to his work is overly narrow:  It cannot be seriously disputed that cleaning a skylight will always entail at least some risk of falling off a roof.  Second, Gonzalez’s </w:t>
      </w:r>
      <w:r w:rsidR="00B84C6C">
        <w:rPr>
          <w:iCs/>
        </w:rPr>
        <w:t>position</w:t>
      </w:r>
      <w:r w:rsidRPr="00EF6018" w:rsidR="00B0049A">
        <w:rPr>
          <w:iCs/>
        </w:rPr>
        <w:t xml:space="preserve"> is contrary to our holdings in </w:t>
      </w:r>
      <w:r w:rsidRPr="00EF6018">
        <w:rPr>
          <w:i/>
        </w:rPr>
        <w:t>Tverberg</w:t>
      </w:r>
      <w:r w:rsidRPr="00EF6018">
        <w:rPr>
          <w:iCs/>
        </w:rPr>
        <w:t xml:space="preserve"> </w:t>
      </w:r>
      <w:r w:rsidRPr="00EF6018" w:rsidR="001772B1">
        <w:rPr>
          <w:iCs/>
        </w:rPr>
        <w:t xml:space="preserve">and </w:t>
      </w:r>
      <w:r w:rsidRPr="00EF6018" w:rsidR="001772B1">
        <w:rPr>
          <w:i/>
        </w:rPr>
        <w:t>Kinsman</w:t>
      </w:r>
      <w:r w:rsidRPr="00EF6018">
        <w:rPr>
          <w:iCs/>
        </w:rPr>
        <w:t xml:space="preserve">.  We recognized in </w:t>
      </w:r>
      <w:r w:rsidRPr="00EF6018">
        <w:rPr>
          <w:i/>
        </w:rPr>
        <w:t>Tverberg</w:t>
      </w:r>
      <w:r w:rsidRPr="00EF6018">
        <w:rPr>
          <w:iCs/>
        </w:rPr>
        <w:t xml:space="preserve"> that the bollard holes that caused the independent contractor’s injury </w:t>
      </w:r>
      <w:r w:rsidRPr="00EF6018" w:rsidR="00BB2507">
        <w:rPr>
          <w:iCs/>
        </w:rPr>
        <w:t>were wholly unrelated</w:t>
      </w:r>
      <w:r w:rsidRPr="00EF6018">
        <w:rPr>
          <w:iCs/>
        </w:rPr>
        <w:t xml:space="preserve"> to his task of constructing a metal canopy.  (</w:t>
      </w:r>
      <w:r w:rsidRPr="00EF6018">
        <w:rPr>
          <w:i/>
        </w:rPr>
        <w:t>Tverberg</w:t>
      </w:r>
      <w:r w:rsidRPr="00EF6018">
        <w:rPr>
          <w:iCs/>
        </w:rPr>
        <w:t xml:space="preserve">, </w:t>
      </w:r>
      <w:r w:rsidRPr="00EF6018">
        <w:rPr>
          <w:i/>
        </w:rPr>
        <w:t>supra</w:t>
      </w:r>
      <w:r w:rsidRPr="00EF6018">
        <w:rPr>
          <w:iCs/>
        </w:rPr>
        <w:t xml:space="preserve">, 49 Cal.4th at p. 523 [“The bollards had no connection to the building of the metal canopy, and [the independent contractor] had never before seen bollard holes at a canopy installation”].)  </w:t>
      </w:r>
      <w:r w:rsidRPr="00EF6018" w:rsidR="00BB2507">
        <w:rPr>
          <w:iCs/>
        </w:rPr>
        <w:t>The contract</w:t>
      </w:r>
      <w:r w:rsidRPr="00EF6018" w:rsidR="00C82658">
        <w:rPr>
          <w:iCs/>
        </w:rPr>
        <w:t>or</w:t>
      </w:r>
      <w:r w:rsidRPr="00EF6018" w:rsidR="00BB2507">
        <w:rPr>
          <w:iCs/>
        </w:rPr>
        <w:t xml:space="preserve"> also did not create the hazard; the holes were </w:t>
      </w:r>
      <w:r w:rsidRPr="00EF6018" w:rsidR="00C82658">
        <w:rPr>
          <w:iCs/>
        </w:rPr>
        <w:t xml:space="preserve">dug by a different subcontractor for </w:t>
      </w:r>
      <w:r w:rsidRPr="00EF6018" w:rsidR="00F85C42">
        <w:rPr>
          <w:iCs/>
        </w:rPr>
        <w:t xml:space="preserve">a </w:t>
      </w:r>
      <w:r w:rsidRPr="00EF6018" w:rsidR="00C82658">
        <w:rPr>
          <w:iCs/>
        </w:rPr>
        <w:t>different purpose.  (</w:t>
      </w:r>
      <w:r w:rsidRPr="00EF6018" w:rsidR="00C82658">
        <w:rPr>
          <w:i/>
        </w:rPr>
        <w:t>Id</w:t>
      </w:r>
      <w:r w:rsidRPr="00EF6018" w:rsidR="00C82658">
        <w:rPr>
          <w:iCs/>
        </w:rPr>
        <w:t>. at p. 522.)</w:t>
      </w:r>
      <w:r w:rsidRPr="00EF6018" w:rsidR="00BB2507">
        <w:rPr>
          <w:iCs/>
        </w:rPr>
        <w:t xml:space="preserve">  </w:t>
      </w:r>
      <w:r w:rsidRPr="00EF6018">
        <w:rPr>
          <w:iCs/>
        </w:rPr>
        <w:t>Nevertheless, we</w:t>
      </w:r>
      <w:r w:rsidR="00B63D69">
        <w:rPr>
          <w:iCs/>
        </w:rPr>
        <w:t xml:space="preserve"> determined that </w:t>
      </w:r>
      <w:r w:rsidRPr="00B63D69" w:rsidR="00B63D69">
        <w:rPr>
          <w:iCs/>
        </w:rPr>
        <w:t xml:space="preserve">the doctrine of peculiar risk does not apply </w:t>
      </w:r>
      <w:r w:rsidR="00B63D69">
        <w:rPr>
          <w:iCs/>
        </w:rPr>
        <w:t>when an independent contractor “</w:t>
      </w:r>
      <w:r w:rsidRPr="00B63D69" w:rsidR="00B63D69">
        <w:rPr>
          <w:iCs/>
        </w:rPr>
        <w:t xml:space="preserve">seeks to hold the general contractor vicariously liable for injuries arising from risks inherent in the nature </w:t>
      </w:r>
      <w:r w:rsidRPr="00B63D69" w:rsidR="00B63D69">
        <w:rPr>
          <w:i/>
        </w:rPr>
        <w:t>or the location</w:t>
      </w:r>
      <w:r w:rsidRPr="00B63D69" w:rsidR="00B63D69">
        <w:rPr>
          <w:iCs/>
        </w:rPr>
        <w:t xml:space="preserve"> of the hired work over which the independent contractor has, through the chain of delegation, been granted control.</w:t>
      </w:r>
      <w:r w:rsidR="00B63D69">
        <w:rPr>
          <w:iCs/>
        </w:rPr>
        <w:t>”  (</w:t>
      </w:r>
      <w:r w:rsidR="00B63D69">
        <w:rPr>
          <w:i/>
        </w:rPr>
        <w:t xml:space="preserve">Id. </w:t>
      </w:r>
      <w:r w:rsidR="00B63D69">
        <w:rPr>
          <w:iCs/>
        </w:rPr>
        <w:t>at pp. 528–529, italics added.)</w:t>
      </w:r>
      <w:r w:rsidRPr="00EF6018">
        <w:rPr>
          <w:iCs/>
        </w:rPr>
        <w:t xml:space="preserve"> </w:t>
      </w:r>
      <w:r w:rsidR="00B63D69">
        <w:rPr>
          <w:iCs/>
        </w:rPr>
        <w:t xml:space="preserve"> Since the proximity of the bollard holes </w:t>
      </w:r>
      <w:r w:rsidRPr="00EF6018">
        <w:rPr>
          <w:iCs/>
        </w:rPr>
        <w:t>to the location where the canopy was to be constructed made “the possibility of falling into one of those holes</w:t>
      </w:r>
      <w:r w:rsidRPr="00EF6018" w:rsidR="001C4CD5">
        <w:rPr>
          <w:iCs/>
        </w:rPr>
        <w:t xml:space="preserve"> . . .</w:t>
      </w:r>
      <w:r w:rsidRPr="00EF6018">
        <w:rPr>
          <w:iCs/>
        </w:rPr>
        <w:t xml:space="preserve"> an inherent risk of” the contractor’s work</w:t>
      </w:r>
      <w:r w:rsidRPr="00EF6018" w:rsidR="00BB49A9">
        <w:rPr>
          <w:iCs/>
        </w:rPr>
        <w:t>, the contractor</w:t>
      </w:r>
      <w:r w:rsidR="00133AB2">
        <w:rPr>
          <w:iCs/>
        </w:rPr>
        <w:t> </w:t>
      </w:r>
      <w:r w:rsidR="00DD1D13">
        <w:rPr>
          <w:iCs/>
        </w:rPr>
        <w:t>— and not the hirer</w:t>
      </w:r>
      <w:r w:rsidR="00133AB2">
        <w:rPr>
          <w:iCs/>
        </w:rPr>
        <w:t> </w:t>
      </w:r>
      <w:r w:rsidR="00DD1D13">
        <w:rPr>
          <w:iCs/>
        </w:rPr>
        <w:t>—</w:t>
      </w:r>
      <w:r w:rsidRPr="00EF6018" w:rsidR="00BB49A9">
        <w:rPr>
          <w:iCs/>
        </w:rPr>
        <w:t xml:space="preserve"> was responsible for protecting himself against that risk</w:t>
      </w:r>
      <w:r w:rsidR="00AB7C3E">
        <w:rPr>
          <w:iCs/>
        </w:rPr>
        <w:t>.</w:t>
      </w:r>
      <w:r w:rsidR="00241538">
        <w:rPr>
          <w:i/>
        </w:rPr>
        <w:t xml:space="preserve">  </w:t>
      </w:r>
      <w:r w:rsidRPr="00EF6018">
        <w:rPr>
          <w:iCs/>
        </w:rPr>
        <w:t>(</w:t>
      </w:r>
      <w:r w:rsidRPr="00EF6018" w:rsidR="00C82658">
        <w:rPr>
          <w:i/>
        </w:rPr>
        <w:t>Id</w:t>
      </w:r>
      <w:r w:rsidRPr="00EF6018" w:rsidR="00C82658">
        <w:rPr>
          <w:iCs/>
        </w:rPr>
        <w:t>.</w:t>
      </w:r>
      <w:r w:rsidRPr="00EF6018">
        <w:rPr>
          <w:iCs/>
        </w:rPr>
        <w:t xml:space="preserve"> at p. 529.)</w:t>
      </w:r>
      <w:r w:rsidR="00B63D69">
        <w:rPr>
          <w:iCs/>
        </w:rPr>
        <w:t xml:space="preserve">  </w:t>
      </w:r>
      <w:r w:rsidR="00167B1D">
        <w:rPr>
          <w:iCs/>
        </w:rPr>
        <w:t>Similarly</w:t>
      </w:r>
      <w:r w:rsidRPr="00EF6018" w:rsidR="00150005">
        <w:rPr>
          <w:iCs/>
        </w:rPr>
        <w:t>, in</w:t>
      </w:r>
      <w:r w:rsidRPr="00EF6018" w:rsidR="00A64E03">
        <w:rPr>
          <w:iCs/>
        </w:rPr>
        <w:t xml:space="preserve"> </w:t>
      </w:r>
      <w:r w:rsidRPr="00EF6018" w:rsidR="00A64E03">
        <w:rPr>
          <w:i/>
        </w:rPr>
        <w:t>Kinsman</w:t>
      </w:r>
      <w:r w:rsidRPr="00EF6018" w:rsidR="00A64E03">
        <w:rPr>
          <w:iCs/>
        </w:rPr>
        <w:t>,</w:t>
      </w:r>
      <w:r w:rsidRPr="00EF6018" w:rsidR="00150005">
        <w:rPr>
          <w:iCs/>
        </w:rPr>
        <w:t xml:space="preserve"> the independent contractor</w:t>
      </w:r>
      <w:r w:rsidRPr="00EF6018" w:rsidR="00A64E03">
        <w:rPr>
          <w:iCs/>
        </w:rPr>
        <w:t xml:space="preserve"> was </w:t>
      </w:r>
      <w:r w:rsidRPr="00EF6018" w:rsidR="00F742DA">
        <w:rPr>
          <w:iCs/>
        </w:rPr>
        <w:t xml:space="preserve">hired to </w:t>
      </w:r>
      <w:r w:rsidRPr="00EF6018" w:rsidR="004673E2">
        <w:rPr>
          <w:iCs/>
        </w:rPr>
        <w:t xml:space="preserve">install scaffolding </w:t>
      </w:r>
      <w:r w:rsidRPr="00EF6018" w:rsidR="00F742DA">
        <w:rPr>
          <w:iCs/>
        </w:rPr>
        <w:t xml:space="preserve">and not to remove </w:t>
      </w:r>
      <w:r w:rsidRPr="00EF6018" w:rsidR="009F21B5">
        <w:rPr>
          <w:iCs/>
        </w:rPr>
        <w:t xml:space="preserve">or remediate </w:t>
      </w:r>
      <w:r w:rsidRPr="00EF6018" w:rsidR="004673E2">
        <w:rPr>
          <w:iCs/>
        </w:rPr>
        <w:t>the</w:t>
      </w:r>
      <w:r w:rsidRPr="00EF6018" w:rsidR="00150005">
        <w:rPr>
          <w:iCs/>
        </w:rPr>
        <w:t xml:space="preserve"> </w:t>
      </w:r>
      <w:r w:rsidRPr="00EF6018" w:rsidR="004673E2">
        <w:rPr>
          <w:iCs/>
        </w:rPr>
        <w:t>asbestos hazard</w:t>
      </w:r>
      <w:r w:rsidRPr="00EF6018" w:rsidR="00150005">
        <w:rPr>
          <w:iCs/>
        </w:rPr>
        <w:t>.  (</w:t>
      </w:r>
      <w:r w:rsidRPr="00EF6018" w:rsidR="00150005">
        <w:rPr>
          <w:i/>
        </w:rPr>
        <w:t>Kinsman</w:t>
      </w:r>
      <w:r w:rsidRPr="00EF6018" w:rsidR="00150005">
        <w:rPr>
          <w:iCs/>
        </w:rPr>
        <w:t xml:space="preserve">, </w:t>
      </w:r>
      <w:r w:rsidRPr="00EF6018" w:rsidR="00150005">
        <w:rPr>
          <w:i/>
        </w:rPr>
        <w:t>supra</w:t>
      </w:r>
      <w:r w:rsidRPr="00EF6018" w:rsidR="00150005">
        <w:rPr>
          <w:iCs/>
        </w:rPr>
        <w:t xml:space="preserve">, 37 Cal.4th at p. 664.)  The </w:t>
      </w:r>
      <w:r w:rsidR="00AB7C3E">
        <w:rPr>
          <w:iCs/>
        </w:rPr>
        <w:t xml:space="preserve">plaintiff’s exposure to </w:t>
      </w:r>
      <w:r w:rsidRPr="00EF6018" w:rsidR="00B158E0">
        <w:rPr>
          <w:iCs/>
        </w:rPr>
        <w:t xml:space="preserve">asbestos was also not caused by </w:t>
      </w:r>
      <w:r w:rsidR="00AB7C3E">
        <w:rPr>
          <w:iCs/>
        </w:rPr>
        <w:t>his</w:t>
      </w:r>
      <w:r w:rsidRPr="00EF6018" w:rsidR="00B158E0">
        <w:rPr>
          <w:iCs/>
        </w:rPr>
        <w:t xml:space="preserve"> work; </w:t>
      </w:r>
      <w:r w:rsidRPr="00EF6018" w:rsidR="00B54A5B">
        <w:rPr>
          <w:iCs/>
        </w:rPr>
        <w:t xml:space="preserve">instead, </w:t>
      </w:r>
      <w:r w:rsidRPr="00EF6018" w:rsidR="00B158E0">
        <w:rPr>
          <w:iCs/>
        </w:rPr>
        <w:t>the work of other contractors generated asbestos dust and debris to which the plaintiff was exposed.</w:t>
      </w:r>
      <w:r w:rsidRPr="00EF6018" w:rsidR="00150005">
        <w:rPr>
          <w:iCs/>
        </w:rPr>
        <w:t xml:space="preserve">  (</w:t>
      </w:r>
      <w:r w:rsidRPr="00EF6018" w:rsidR="00150005">
        <w:rPr>
          <w:i/>
        </w:rPr>
        <w:t>Ibid.</w:t>
      </w:r>
      <w:r w:rsidRPr="00EF6018" w:rsidR="00150005">
        <w:rPr>
          <w:iCs/>
        </w:rPr>
        <w:t>)</w:t>
      </w:r>
      <w:r w:rsidRPr="00EF6018" w:rsidR="0070090E">
        <w:rPr>
          <w:iCs/>
        </w:rPr>
        <w:t xml:space="preserve">  </w:t>
      </w:r>
      <w:r w:rsidRPr="00EF6018" w:rsidR="00B54A5B">
        <w:rPr>
          <w:iCs/>
        </w:rPr>
        <w:t>W</w:t>
      </w:r>
      <w:r w:rsidRPr="00EF6018" w:rsidR="0070090E">
        <w:rPr>
          <w:iCs/>
        </w:rPr>
        <w:t xml:space="preserve">e </w:t>
      </w:r>
      <w:r w:rsidRPr="00EF6018" w:rsidR="00B54A5B">
        <w:rPr>
          <w:iCs/>
        </w:rPr>
        <w:t>did not hold</w:t>
      </w:r>
      <w:r w:rsidRPr="00EF6018" w:rsidR="00624396">
        <w:rPr>
          <w:iCs/>
        </w:rPr>
        <w:t xml:space="preserve"> that</w:t>
      </w:r>
      <w:r w:rsidRPr="00EF6018" w:rsidR="00B54A5B">
        <w:rPr>
          <w:iCs/>
        </w:rPr>
        <w:t xml:space="preserve"> the landowner </w:t>
      </w:r>
      <w:r w:rsidRPr="00EF6018" w:rsidR="00C91DAD">
        <w:rPr>
          <w:iCs/>
        </w:rPr>
        <w:t xml:space="preserve">in </w:t>
      </w:r>
      <w:r w:rsidRPr="00EF6018" w:rsidR="00C91DAD">
        <w:rPr>
          <w:i/>
        </w:rPr>
        <w:t xml:space="preserve">Kinsman </w:t>
      </w:r>
      <w:r w:rsidRPr="00EF6018" w:rsidR="00624396">
        <w:rPr>
          <w:iCs/>
        </w:rPr>
        <w:t>could be</w:t>
      </w:r>
      <w:r w:rsidRPr="00EF6018" w:rsidR="00B54A5B">
        <w:rPr>
          <w:iCs/>
        </w:rPr>
        <w:t xml:space="preserve"> liable because the hazard was not inherent to the contractor’s work.  </w:t>
      </w:r>
      <w:r w:rsidR="00167B1D">
        <w:rPr>
          <w:iCs/>
        </w:rPr>
        <w:t>Instead, w</w:t>
      </w:r>
      <w:r w:rsidRPr="00EF6018" w:rsidR="00B54A5B">
        <w:rPr>
          <w:iCs/>
        </w:rPr>
        <w:t>e</w:t>
      </w:r>
      <w:r w:rsidRPr="00EF6018" w:rsidR="00AE5D0E">
        <w:rPr>
          <w:iCs/>
        </w:rPr>
        <w:t xml:space="preserve"> </w:t>
      </w:r>
      <w:r w:rsidRPr="00EF6018" w:rsidR="00B54A5B">
        <w:rPr>
          <w:iCs/>
        </w:rPr>
        <w:t>held</w:t>
      </w:r>
      <w:r w:rsidRPr="00EF6018" w:rsidR="00624396">
        <w:rPr>
          <w:iCs/>
        </w:rPr>
        <w:t xml:space="preserve"> </w:t>
      </w:r>
      <w:r w:rsidRPr="00EF6018" w:rsidR="0070090E">
        <w:rPr>
          <w:iCs/>
        </w:rPr>
        <w:t>that the landowner could be liable if</w:t>
      </w:r>
      <w:r w:rsidRPr="00EF6018" w:rsidR="0073631D">
        <w:rPr>
          <w:iCs/>
        </w:rPr>
        <w:t xml:space="preserve"> </w:t>
      </w:r>
      <w:r w:rsidRPr="00EF6018" w:rsidR="00B8168A">
        <w:rPr>
          <w:iCs/>
        </w:rPr>
        <w:t xml:space="preserve">the asbestos hazard was unknown </w:t>
      </w:r>
      <w:r w:rsidR="003A5A5E">
        <w:rPr>
          <w:iCs/>
        </w:rPr>
        <w:t xml:space="preserve">to </w:t>
      </w:r>
      <w:r w:rsidRPr="00EF6018" w:rsidR="00B8168A">
        <w:rPr>
          <w:iCs/>
        </w:rPr>
        <w:t xml:space="preserve">and undiscoverable </w:t>
      </w:r>
      <w:r w:rsidR="003A5A5E">
        <w:rPr>
          <w:iCs/>
        </w:rPr>
        <w:t>by</w:t>
      </w:r>
      <w:r w:rsidRPr="00EF6018" w:rsidR="00B8168A">
        <w:rPr>
          <w:iCs/>
        </w:rPr>
        <w:t xml:space="preserve"> the contractor and the landowner failed to warn of it</w:t>
      </w:r>
      <w:r w:rsidRPr="00EF6018" w:rsidR="00B54A5B">
        <w:rPr>
          <w:iCs/>
        </w:rPr>
        <w:t>, irrespective of the fact that the contractor did not create the hazard and was not hired to remediate the hazard</w:t>
      </w:r>
      <w:r w:rsidRPr="00EF6018" w:rsidR="00B8168A">
        <w:rPr>
          <w:iCs/>
        </w:rPr>
        <w:t xml:space="preserve">.  </w:t>
      </w:r>
      <w:r w:rsidRPr="00EF6018" w:rsidR="0070090E">
        <w:rPr>
          <w:iCs/>
        </w:rPr>
        <w:t>(</w:t>
      </w:r>
      <w:r w:rsidRPr="00EF6018" w:rsidR="00B8168A">
        <w:rPr>
          <w:i/>
        </w:rPr>
        <w:t>Id.</w:t>
      </w:r>
      <w:r w:rsidRPr="00EF6018" w:rsidR="00B8168A">
        <w:rPr>
          <w:iCs/>
        </w:rPr>
        <w:t xml:space="preserve"> at pp. 675, 683</w:t>
      </w:r>
      <w:r w:rsidRPr="00EF6018" w:rsidR="0070090E">
        <w:rPr>
          <w:iCs/>
        </w:rPr>
        <w:t>.)</w:t>
      </w:r>
      <w:r w:rsidRPr="00EF6018" w:rsidR="00F671A6">
        <w:rPr>
          <w:iCs/>
        </w:rPr>
        <w:t xml:space="preserve">  </w:t>
      </w:r>
      <w:r w:rsidRPr="00EF6018" w:rsidR="0070090E">
        <w:rPr>
          <w:iCs/>
        </w:rPr>
        <w:t>As these</w:t>
      </w:r>
      <w:r w:rsidRPr="00EF6018" w:rsidR="00B158E0">
        <w:rPr>
          <w:iCs/>
        </w:rPr>
        <w:t xml:space="preserve"> and our other </w:t>
      </w:r>
      <w:r w:rsidRPr="00EF6018" w:rsidR="00B158E0">
        <w:rPr>
          <w:i/>
        </w:rPr>
        <w:t>Privette</w:t>
      </w:r>
      <w:r w:rsidRPr="00EF6018" w:rsidR="0070090E">
        <w:rPr>
          <w:iCs/>
        </w:rPr>
        <w:t xml:space="preserve"> cases make clear</w:t>
      </w:r>
      <w:r w:rsidRPr="00EF6018" w:rsidR="0073631D">
        <w:rPr>
          <w:iCs/>
        </w:rPr>
        <w:t>,</w:t>
      </w:r>
      <w:r w:rsidRPr="00EF6018" w:rsidR="00A10A3A">
        <w:rPr>
          <w:iCs/>
        </w:rPr>
        <w:t xml:space="preserve"> a hirer presumptively delegates to </w:t>
      </w:r>
      <w:r w:rsidRPr="00EF6018" w:rsidR="00E37142">
        <w:rPr>
          <w:iCs/>
        </w:rPr>
        <w:t>an</w:t>
      </w:r>
      <w:r w:rsidRPr="00EF6018" w:rsidR="00A10A3A">
        <w:rPr>
          <w:iCs/>
        </w:rPr>
        <w:t xml:space="preserve"> independent contractor all responsibility for</w:t>
      </w:r>
      <w:r w:rsidRPr="00EF6018" w:rsidR="00C91DAD">
        <w:rPr>
          <w:iCs/>
        </w:rPr>
        <w:t xml:space="preserve"> workplace safety, such that the </w:t>
      </w:r>
      <w:r w:rsidRPr="00EF6018" w:rsidR="00A10A3A">
        <w:rPr>
          <w:iCs/>
        </w:rPr>
        <w:t xml:space="preserve">hirer is not responsible for any injury </w:t>
      </w:r>
      <w:r w:rsidRPr="00EF6018" w:rsidR="00C91DAD">
        <w:rPr>
          <w:iCs/>
        </w:rPr>
        <w:t>resulting from a</w:t>
      </w:r>
      <w:r w:rsidR="00A85AC5">
        <w:rPr>
          <w:iCs/>
        </w:rPr>
        <w:t xml:space="preserve"> known</w:t>
      </w:r>
      <w:r w:rsidRPr="00EF6018" w:rsidR="00C91DAD">
        <w:rPr>
          <w:iCs/>
        </w:rPr>
        <w:t xml:space="preserve"> unsafe condition at the worksite</w:t>
      </w:r>
      <w:r w:rsidR="006018AD">
        <w:rPr>
          <w:iCs/>
        </w:rPr>
        <w:t> </w:t>
      </w:r>
      <w:r w:rsidRPr="00EF6018" w:rsidR="00A10A3A">
        <w:rPr>
          <w:iCs/>
        </w:rPr>
        <w:t xml:space="preserve">— regardless of whether </w:t>
      </w:r>
      <w:r w:rsidRPr="00EF6018" w:rsidR="00A51039">
        <w:rPr>
          <w:iCs/>
        </w:rPr>
        <w:t xml:space="preserve">the contractor was specifically tasked with repairing the </w:t>
      </w:r>
      <w:r w:rsidRPr="00EF6018" w:rsidR="00C91DAD">
        <w:rPr>
          <w:iCs/>
        </w:rPr>
        <w:t>unsafe condition</w:t>
      </w:r>
      <w:r w:rsidRPr="00EF6018" w:rsidR="00A51039">
        <w:rPr>
          <w:iCs/>
        </w:rPr>
        <w:t xml:space="preserve"> and regardless of whether the </w:t>
      </w:r>
      <w:r w:rsidRPr="00EF6018" w:rsidR="00C91DAD">
        <w:rPr>
          <w:iCs/>
        </w:rPr>
        <w:t>danger</w:t>
      </w:r>
      <w:r w:rsidRPr="00EF6018" w:rsidR="00A51039">
        <w:rPr>
          <w:iCs/>
        </w:rPr>
        <w:t xml:space="preserve"> was created by the work for which the contractor was retained.</w:t>
      </w:r>
      <w:r w:rsidRPr="00EF6018" w:rsidR="0070090E">
        <w:rPr>
          <w:iCs/>
        </w:rPr>
        <w:t xml:space="preserve"> </w:t>
      </w:r>
    </w:p>
    <w:p w:rsidR="00185134" w:rsidRPr="00EF6018" w:rsidP="0059232D">
      <w:pPr>
        <w:tabs>
          <w:tab w:val="left" w:pos="1440"/>
        </w:tabs>
        <w:ind w:firstLine="720"/>
        <w:rPr>
          <w:iCs/>
        </w:rPr>
      </w:pPr>
      <w:bookmarkEnd w:id="40"/>
      <w:r w:rsidRPr="00EF6018">
        <w:rPr>
          <w:iCs/>
        </w:rPr>
        <w:t xml:space="preserve">Gonzalez </w:t>
      </w:r>
      <w:r w:rsidRPr="00EF6018" w:rsidR="00BC1E78">
        <w:rPr>
          <w:iCs/>
        </w:rPr>
        <w:t xml:space="preserve">additionally </w:t>
      </w:r>
      <w:r w:rsidRPr="00EF6018" w:rsidR="00B8483C">
        <w:rPr>
          <w:iCs/>
        </w:rPr>
        <w:t>argue</w:t>
      </w:r>
      <w:r w:rsidRPr="00EF6018" w:rsidR="00BC1E78">
        <w:rPr>
          <w:iCs/>
        </w:rPr>
        <w:t xml:space="preserve">s </w:t>
      </w:r>
      <w:r w:rsidRPr="00EF6018" w:rsidR="00CB6B96">
        <w:rPr>
          <w:iCs/>
        </w:rPr>
        <w:t xml:space="preserve">that delegation under </w:t>
      </w:r>
      <w:r w:rsidRPr="00EF6018" w:rsidR="00CB6B96">
        <w:rPr>
          <w:i/>
        </w:rPr>
        <w:t xml:space="preserve">Privette </w:t>
      </w:r>
      <w:r w:rsidRPr="00EF6018" w:rsidR="00CB6B96">
        <w:rPr>
          <w:iCs/>
        </w:rPr>
        <w:t xml:space="preserve">“is essentially a form of primary assumption of risk” </w:t>
      </w:r>
      <w:r w:rsidRPr="00EF6018" w:rsidR="007D6D62">
        <w:rPr>
          <w:iCs/>
        </w:rPr>
        <w:t>and</w:t>
      </w:r>
      <w:r w:rsidRPr="00EF6018" w:rsidR="00CB6B96">
        <w:rPr>
          <w:iCs/>
        </w:rPr>
        <w:t xml:space="preserve"> that, pursuant to the principles governing the primary assumption of risk</w:t>
      </w:r>
      <w:r w:rsidRPr="00EF6018" w:rsidR="00CB6B96">
        <w:t xml:space="preserve"> </w:t>
      </w:r>
      <w:r w:rsidRPr="00EF6018" w:rsidR="00CB6B96">
        <w:rPr>
          <w:iCs/>
        </w:rPr>
        <w:t>doctrine, Mathis had “an affirmative duty to not increase the risk above the level inherent in the activity.”</w:t>
      </w:r>
      <w:r w:rsidR="00FB4441">
        <w:rPr>
          <w:iCs/>
        </w:rPr>
        <w:t xml:space="preserve">  </w:t>
      </w:r>
      <w:r w:rsidRPr="00EF6018" w:rsidR="00332DA6">
        <w:rPr>
          <w:iCs/>
        </w:rPr>
        <w:t>Relying on primary assumption of risk cases, Gonzalez argues that since</w:t>
      </w:r>
      <w:r w:rsidRPr="00EF6018" w:rsidR="00CB6B96">
        <w:rPr>
          <w:iCs/>
        </w:rPr>
        <w:t xml:space="preserve"> Mathis increased the risk that he would fall off the roof, Mathis </w:t>
      </w:r>
      <w:r w:rsidRPr="00EF6018" w:rsidR="00926CC6">
        <w:rPr>
          <w:iCs/>
        </w:rPr>
        <w:t>must</w:t>
      </w:r>
      <w:r w:rsidRPr="00EF6018" w:rsidR="00430DF6">
        <w:rPr>
          <w:iCs/>
        </w:rPr>
        <w:t xml:space="preserve"> be held liable</w:t>
      </w:r>
      <w:r w:rsidRPr="00EF6018" w:rsidR="00CB6B96">
        <w:rPr>
          <w:i/>
        </w:rPr>
        <w:t>.</w:t>
      </w:r>
      <w:r w:rsidRPr="00EF6018" w:rsidR="00CB6B96">
        <w:rPr>
          <w:iCs/>
        </w:rPr>
        <w:t xml:space="preserve"> </w:t>
      </w:r>
      <w:r w:rsidR="00FB4441">
        <w:rPr>
          <w:iCs/>
        </w:rPr>
        <w:t xml:space="preserve"> </w:t>
      </w:r>
      <w:r w:rsidRPr="00EF6018" w:rsidR="00926CC6">
        <w:rPr>
          <w:iCs/>
        </w:rPr>
        <w:t xml:space="preserve">Gonzalez is mistaken; </w:t>
      </w:r>
      <w:r w:rsidRPr="00EF6018" w:rsidR="00430DF6">
        <w:rPr>
          <w:iCs/>
        </w:rPr>
        <w:t>t</w:t>
      </w:r>
      <w:r w:rsidRPr="00EF6018" w:rsidR="00CB6B96">
        <w:rPr>
          <w:iCs/>
        </w:rPr>
        <w:t xml:space="preserve">he </w:t>
      </w:r>
      <w:r w:rsidRPr="00EF6018" w:rsidR="00926CC6">
        <w:rPr>
          <w:iCs/>
        </w:rPr>
        <w:t xml:space="preserve">primary </w:t>
      </w:r>
      <w:r w:rsidRPr="00EF6018" w:rsidR="00CB6B96">
        <w:rPr>
          <w:iCs/>
        </w:rPr>
        <w:t xml:space="preserve">assumption of risk and </w:t>
      </w:r>
      <w:r w:rsidRPr="00EF6018" w:rsidR="00CB6B96">
        <w:rPr>
          <w:i/>
        </w:rPr>
        <w:t xml:space="preserve">Privette </w:t>
      </w:r>
      <w:r w:rsidRPr="00EF6018" w:rsidR="00CB6B96">
        <w:rPr>
          <w:iCs/>
        </w:rPr>
        <w:t xml:space="preserve">doctrines </w:t>
      </w:r>
      <w:r w:rsidRPr="00EF6018">
        <w:rPr>
          <w:iCs/>
        </w:rPr>
        <w:t>“are distinct.”</w:t>
      </w:r>
      <w:r w:rsidRPr="00EF6018" w:rsidR="00926CC6">
        <w:rPr>
          <w:iCs/>
        </w:rPr>
        <w:t xml:space="preserve">  </w:t>
      </w:r>
      <w:r w:rsidRPr="00EF6018">
        <w:rPr>
          <w:iCs/>
        </w:rPr>
        <w:t>(</w:t>
      </w:r>
      <w:r w:rsidRPr="00EF6018">
        <w:rPr>
          <w:i/>
        </w:rPr>
        <w:t>Gordon v. ARC Manufacturing, Inc</w:t>
      </w:r>
      <w:r w:rsidRPr="00EF6018">
        <w:rPr>
          <w:iCs/>
        </w:rPr>
        <w:t xml:space="preserve">. (2019) 43 Cal.App.5th 705, 717.)  The </w:t>
      </w:r>
      <w:r w:rsidRPr="00EF6018">
        <w:rPr>
          <w:i/>
        </w:rPr>
        <w:t xml:space="preserve">Privette </w:t>
      </w:r>
      <w:r w:rsidRPr="00EF6018">
        <w:rPr>
          <w:iCs/>
        </w:rPr>
        <w:t xml:space="preserve">doctrine is concerned with </w:t>
      </w:r>
      <w:r w:rsidRPr="00EF6018">
        <w:rPr>
          <w:i/>
        </w:rPr>
        <w:t xml:space="preserve">who </w:t>
      </w:r>
      <w:r w:rsidRPr="00EF6018">
        <w:rPr>
          <w:iCs/>
        </w:rPr>
        <w:t xml:space="preserve">owes a duty of care </w:t>
      </w:r>
      <w:r w:rsidRPr="00EF6018" w:rsidR="00B8483C">
        <w:rPr>
          <w:iCs/>
        </w:rPr>
        <w:t>to ensure</w:t>
      </w:r>
      <w:r w:rsidRPr="00EF6018">
        <w:rPr>
          <w:iCs/>
        </w:rPr>
        <w:t xml:space="preserve"> workplace safety</w:t>
      </w:r>
      <w:r w:rsidR="006018AD">
        <w:rPr>
          <w:iCs/>
        </w:rPr>
        <w:t> </w:t>
      </w:r>
      <w:r w:rsidRPr="00EF6018">
        <w:rPr>
          <w:iCs/>
        </w:rPr>
        <w:t>— the hirer or the independent contractor</w:t>
      </w:r>
      <w:r w:rsidR="006018AD">
        <w:rPr>
          <w:iCs/>
        </w:rPr>
        <w:t> </w:t>
      </w:r>
      <w:r w:rsidRPr="00EF6018">
        <w:rPr>
          <w:iCs/>
        </w:rPr>
        <w:t>— under principles of delegation.  (</w:t>
      </w:r>
      <w:r w:rsidRPr="00EF6018" w:rsidR="00B54A5B">
        <w:rPr>
          <w:iCs/>
        </w:rPr>
        <w:t xml:space="preserve">See </w:t>
      </w:r>
      <w:r w:rsidRPr="00EF6018" w:rsidR="00B54A5B">
        <w:rPr>
          <w:i/>
        </w:rPr>
        <w:t>SeaBright</w:t>
      </w:r>
      <w:r w:rsidRPr="00EF6018">
        <w:rPr>
          <w:iCs/>
        </w:rPr>
        <w:t xml:space="preserve">, </w:t>
      </w:r>
      <w:r w:rsidRPr="00EF6018">
        <w:rPr>
          <w:i/>
        </w:rPr>
        <w:t>supra</w:t>
      </w:r>
      <w:r w:rsidRPr="00EF6018">
        <w:rPr>
          <w:iCs/>
        </w:rPr>
        <w:t xml:space="preserve">, </w:t>
      </w:r>
      <w:r w:rsidRPr="00EF6018" w:rsidR="00B54A5B">
        <w:rPr>
          <w:iCs/>
        </w:rPr>
        <w:t>52 Cal.4th</w:t>
      </w:r>
      <w:r w:rsidRPr="00EF6018">
        <w:rPr>
          <w:iCs/>
        </w:rPr>
        <w:t xml:space="preserve"> at p</w:t>
      </w:r>
      <w:r w:rsidRPr="00EF6018" w:rsidR="00B54A5B">
        <w:rPr>
          <w:iCs/>
        </w:rPr>
        <w:t>p</w:t>
      </w:r>
      <w:r w:rsidRPr="00EF6018">
        <w:rPr>
          <w:iCs/>
        </w:rPr>
        <w:t xml:space="preserve">. </w:t>
      </w:r>
      <w:r w:rsidRPr="00EF6018" w:rsidR="00B54A5B">
        <w:rPr>
          <w:iCs/>
        </w:rPr>
        <w:t>599–600</w:t>
      </w:r>
      <w:r w:rsidRPr="00EF6018">
        <w:rPr>
          <w:iCs/>
        </w:rPr>
        <w:t xml:space="preserve">.)  The assumption of risk doctrine asks </w:t>
      </w:r>
      <w:r w:rsidRPr="00EF6018">
        <w:rPr>
          <w:i/>
        </w:rPr>
        <w:t xml:space="preserve">whether </w:t>
      </w:r>
      <w:r w:rsidRPr="00EF6018">
        <w:rPr>
          <w:iCs/>
        </w:rPr>
        <w:t xml:space="preserve">a defendant owes a duty of care </w:t>
      </w:r>
      <w:r w:rsidRPr="00EF6018" w:rsidR="00B8483C">
        <w:rPr>
          <w:iCs/>
        </w:rPr>
        <w:t>where</w:t>
      </w:r>
      <w:r w:rsidRPr="00EF6018">
        <w:rPr>
          <w:iCs/>
        </w:rPr>
        <w:t xml:space="preserve"> the plaintiff voluntarily assumes the risks of a dangerous activity or occupation.  (See </w:t>
      </w:r>
      <w:r w:rsidRPr="00EF6018">
        <w:rPr>
          <w:i/>
        </w:rPr>
        <w:t>Kahn v. East Side Union High School Dist</w:t>
      </w:r>
      <w:r w:rsidRPr="00EF6018">
        <w:rPr>
          <w:iCs/>
        </w:rPr>
        <w:t xml:space="preserve">. (2003) 31 Cal.4th 990, 1003–1005.)  </w:t>
      </w:r>
    </w:p>
    <w:p w:rsidR="005A3D08" w:rsidRPr="00DB1ECE" w:rsidP="0059232D">
      <w:pPr>
        <w:tabs>
          <w:tab w:val="left" w:pos="1440"/>
        </w:tabs>
        <w:ind w:firstLine="720"/>
        <w:rPr>
          <w:iCs/>
        </w:rPr>
      </w:pPr>
      <w:r w:rsidRPr="00EF6018">
        <w:rPr>
          <w:iCs/>
        </w:rPr>
        <w:t>If</w:t>
      </w:r>
      <w:r w:rsidRPr="00EF6018">
        <w:rPr>
          <w:iCs/>
        </w:rPr>
        <w:t xml:space="preserve"> the risks are inherent to the activity or occupation and cannot be mitigated without fundamentally altering the nature of the activity or occupation, primary assumption of risk applies and the defendant owes no duty of care.  (See, e.g., </w:t>
      </w:r>
      <w:r w:rsidRPr="00EF6018">
        <w:rPr>
          <w:i/>
        </w:rPr>
        <w:t>Avila v. Citrus Community College Dist</w:t>
      </w:r>
      <w:r w:rsidRPr="00EF6018">
        <w:rPr>
          <w:iCs/>
        </w:rPr>
        <w:t xml:space="preserve">. (2006) 38 Cal.4th 148, 163 [defendant owed no duty because being hit by a pitch, whether intentionally or not, is an inherent risk of baseball]; </w:t>
      </w:r>
      <w:r w:rsidRPr="00EF6018">
        <w:rPr>
          <w:i/>
        </w:rPr>
        <w:t>Priebe v. Nelson</w:t>
      </w:r>
      <w:r w:rsidRPr="00EF6018">
        <w:rPr>
          <w:iCs/>
        </w:rPr>
        <w:t xml:space="preserve"> (2006) 39 Cal.4th 1112, 1132 [defendant owed no duty because kennel worker “assumed the risk of being bitten or otherwise injured by the dogs under her care and control”].)  Secondary assumption of risk is essentially a form of comparative negligence under which a defendant owes a duty of care to the plaintiff, but the plaintiff bears some fault for voluntarily encountering a known risk.  (</w:t>
      </w:r>
      <w:r w:rsidRPr="00EF6018">
        <w:rPr>
          <w:i/>
        </w:rPr>
        <w:t>Gregory v. Cott</w:t>
      </w:r>
      <w:r w:rsidRPr="00EF6018">
        <w:rPr>
          <w:iCs/>
        </w:rPr>
        <w:t xml:space="preserve"> (2014) 59 Cal.4th 996, 1001.)  If the strong presumption of delegation under </w:t>
      </w:r>
      <w:r w:rsidRPr="00EF6018">
        <w:rPr>
          <w:i/>
        </w:rPr>
        <w:t xml:space="preserve">Privette </w:t>
      </w:r>
      <w:r w:rsidRPr="00EF6018">
        <w:rPr>
          <w:iCs/>
        </w:rPr>
        <w:t xml:space="preserve">is </w:t>
      </w:r>
      <w:r w:rsidRPr="00EF6018" w:rsidR="00926CC6">
        <w:rPr>
          <w:iCs/>
        </w:rPr>
        <w:t>overcome</w:t>
      </w:r>
      <w:r w:rsidRPr="00EF6018">
        <w:rPr>
          <w:iCs/>
        </w:rPr>
        <w:t xml:space="preserve">, assumption of risk and comparative fault principles may become relevant.  (See </w:t>
      </w:r>
      <w:r w:rsidRPr="00EF6018">
        <w:rPr>
          <w:i/>
        </w:rPr>
        <w:t>McKown</w:t>
      </w:r>
      <w:r w:rsidRPr="00EF6018" w:rsidR="0045331D">
        <w:rPr>
          <w:iCs/>
        </w:rPr>
        <w:t xml:space="preserve">, </w:t>
      </w:r>
      <w:r w:rsidRPr="00EF6018" w:rsidR="0045331D">
        <w:rPr>
          <w:i/>
        </w:rPr>
        <w:t>supra</w:t>
      </w:r>
      <w:r w:rsidRPr="00EF6018" w:rsidR="0045331D">
        <w:rPr>
          <w:iCs/>
        </w:rPr>
        <w:t>, 27 Cal.4th at pp.</w:t>
      </w:r>
      <w:r w:rsidRPr="00EF6018">
        <w:rPr>
          <w:iCs/>
        </w:rPr>
        <w:t xml:space="preserve"> 223, 226 [</w:t>
      </w:r>
      <w:r w:rsidRPr="00EF6018" w:rsidR="00B54A5B">
        <w:rPr>
          <w:iCs/>
        </w:rPr>
        <w:t>although the hirer was liable for</w:t>
      </w:r>
      <w:r w:rsidRPr="00EF6018" w:rsidR="009F521A">
        <w:rPr>
          <w:iCs/>
        </w:rPr>
        <w:t xml:space="preserve"> affirmatively contribut</w:t>
      </w:r>
      <w:r w:rsidRPr="00EF6018" w:rsidR="00B54A5B">
        <w:rPr>
          <w:iCs/>
        </w:rPr>
        <w:t>ing</w:t>
      </w:r>
      <w:r w:rsidRPr="00EF6018" w:rsidR="009F521A">
        <w:rPr>
          <w:iCs/>
        </w:rPr>
        <w:t xml:space="preserve"> to the injury</w:t>
      </w:r>
      <w:r w:rsidRPr="00EF6018" w:rsidR="00B54A5B">
        <w:rPr>
          <w:iCs/>
        </w:rPr>
        <w:t>, the jury allocated 55 percent of the fault to the independent contractor under comparative negligence principles</w:t>
      </w:r>
      <w:r w:rsidRPr="00EF6018">
        <w:rPr>
          <w:iCs/>
        </w:rPr>
        <w:t xml:space="preserve">].)  But these principles have no bearing on whether, in the first instance, Mathis delegated to Gonzalez a duty to ensure </w:t>
      </w:r>
      <w:r w:rsidRPr="00EF6018" w:rsidR="00BC1E78">
        <w:rPr>
          <w:iCs/>
        </w:rPr>
        <w:t xml:space="preserve">workplace safety </w:t>
      </w:r>
      <w:r w:rsidRPr="00EF6018">
        <w:rPr>
          <w:iCs/>
        </w:rPr>
        <w:t xml:space="preserve">under </w:t>
      </w:r>
      <w:r w:rsidRPr="00EF6018">
        <w:rPr>
          <w:i/>
        </w:rPr>
        <w:t>Privette</w:t>
      </w:r>
      <w:r w:rsidRPr="00EF6018">
        <w:rPr>
          <w:iCs/>
        </w:rPr>
        <w:t>.</w:t>
      </w:r>
      <w:r w:rsidRPr="00EF6018" w:rsidR="00647F74">
        <w:rPr>
          <w:iCs/>
        </w:rPr>
        <w:t xml:space="preserve">  </w:t>
      </w:r>
      <w:r w:rsidRPr="00EF6018" w:rsidR="00B54A5B">
        <w:rPr>
          <w:iCs/>
        </w:rPr>
        <w:t xml:space="preserve">If </w:t>
      </w:r>
      <w:r w:rsidRPr="00EF6018" w:rsidR="00647F74">
        <w:rPr>
          <w:iCs/>
        </w:rPr>
        <w:t>Gonzalez</w:t>
      </w:r>
      <w:r w:rsidRPr="00EF6018" w:rsidR="00B54A5B">
        <w:rPr>
          <w:iCs/>
        </w:rPr>
        <w:t>’s view were</w:t>
      </w:r>
      <w:r w:rsidRPr="00EF6018" w:rsidR="00647F74">
        <w:rPr>
          <w:iCs/>
        </w:rPr>
        <w:t xml:space="preserve"> correct, </w:t>
      </w:r>
      <w:r w:rsidRPr="00EF6018" w:rsidR="00B54A5B">
        <w:rPr>
          <w:iCs/>
        </w:rPr>
        <w:t xml:space="preserve">then </w:t>
      </w:r>
      <w:r w:rsidRPr="00EF6018" w:rsidR="00647F74">
        <w:rPr>
          <w:iCs/>
        </w:rPr>
        <w:t xml:space="preserve">there would have been no need for us to articulate in </w:t>
      </w:r>
      <w:r w:rsidRPr="00EF6018" w:rsidR="00647F74">
        <w:rPr>
          <w:i/>
        </w:rPr>
        <w:t xml:space="preserve">Hooker </w:t>
      </w:r>
      <w:r w:rsidRPr="00EF6018" w:rsidR="00647F74">
        <w:rPr>
          <w:iCs/>
        </w:rPr>
        <w:t>that a hirer is liable only where it</w:t>
      </w:r>
      <w:r w:rsidR="005F26B1">
        <w:rPr>
          <w:iCs/>
        </w:rPr>
        <w:t xml:space="preserve"> exercises</w:t>
      </w:r>
      <w:r w:rsidRPr="00EF6018" w:rsidR="00647F74">
        <w:rPr>
          <w:iCs/>
        </w:rPr>
        <w:t xml:space="preserve"> retain</w:t>
      </w:r>
      <w:r w:rsidR="00DB1ECE">
        <w:rPr>
          <w:iCs/>
        </w:rPr>
        <w:t>ed</w:t>
      </w:r>
      <w:r w:rsidRPr="00EF6018" w:rsidR="00647F74">
        <w:rPr>
          <w:iCs/>
        </w:rPr>
        <w:t xml:space="preserve"> control </w:t>
      </w:r>
      <w:r w:rsidR="00904C7A">
        <w:rPr>
          <w:iCs/>
        </w:rPr>
        <w:t xml:space="preserve">over </w:t>
      </w:r>
      <w:r w:rsidR="005F26B1">
        <w:rPr>
          <w:iCs/>
        </w:rPr>
        <w:t xml:space="preserve">any part of </w:t>
      </w:r>
      <w:r w:rsidR="00904C7A">
        <w:rPr>
          <w:iCs/>
        </w:rPr>
        <w:t>the independent contractor’s work</w:t>
      </w:r>
      <w:r w:rsidRPr="00EF6018" w:rsidR="00647F74">
        <w:rPr>
          <w:iCs/>
        </w:rPr>
        <w:t xml:space="preserve"> in a manner that affirmatively contributes to the injury</w:t>
      </w:r>
      <w:r w:rsidRPr="00EF6018" w:rsidR="00B54A5B">
        <w:rPr>
          <w:iCs/>
        </w:rPr>
        <w:t>.  I</w:t>
      </w:r>
      <w:r w:rsidRPr="00EF6018" w:rsidR="00647F74">
        <w:rPr>
          <w:iCs/>
        </w:rPr>
        <w:t xml:space="preserve">nstead, we would have </w:t>
      </w:r>
      <w:r w:rsidRPr="00EF6018" w:rsidR="00B54A5B">
        <w:rPr>
          <w:iCs/>
        </w:rPr>
        <w:t>simply held</w:t>
      </w:r>
      <w:r w:rsidRPr="00EF6018" w:rsidR="00647F74">
        <w:rPr>
          <w:iCs/>
        </w:rPr>
        <w:t xml:space="preserve"> that a hirer is liable whenever it increases the risk of injury.</w:t>
      </w:r>
      <w:r w:rsidR="00DB1ECE">
        <w:rPr>
          <w:iCs/>
        </w:rPr>
        <w:t xml:space="preserve">  </w:t>
      </w:r>
    </w:p>
    <w:p w:rsidR="00E37142" w:rsidRPr="00EF6018" w:rsidP="0059232D">
      <w:pPr>
        <w:tabs>
          <w:tab w:val="left" w:pos="1440"/>
        </w:tabs>
        <w:ind w:firstLine="720"/>
      </w:pPr>
      <w:r w:rsidRPr="00EF6018">
        <w:t>For these reasons, w</w:t>
      </w:r>
      <w:r w:rsidRPr="00EF6018" w:rsidR="00116177">
        <w:t xml:space="preserve">e conclude that a landowner </w:t>
      </w:r>
      <w:r w:rsidRPr="00EF6018" w:rsidR="00046BCE">
        <w:t xml:space="preserve">will </w:t>
      </w:r>
      <w:r w:rsidRPr="00EF6018">
        <w:t xml:space="preserve">generally </w:t>
      </w:r>
      <w:r w:rsidRPr="00EF6018" w:rsidR="00046BCE">
        <w:t>not be liable</w:t>
      </w:r>
      <w:r w:rsidR="00F7312E">
        <w:t> </w:t>
      </w:r>
      <w:r w:rsidR="00277091">
        <w:t xml:space="preserve">for an injury to </w:t>
      </w:r>
      <w:r w:rsidRPr="00EF6018" w:rsidR="00046BCE">
        <w:t xml:space="preserve">an independent contractor or its workers resulting from a known </w:t>
      </w:r>
      <w:r w:rsidRPr="00EF6018" w:rsidR="007D6D62">
        <w:t>hazard</w:t>
      </w:r>
      <w:r w:rsidRPr="00EF6018" w:rsidR="00046BCE">
        <w:t xml:space="preserve"> on the property</w:t>
      </w:r>
      <w:r w:rsidRPr="00EF6018" w:rsidR="00B8483C">
        <w:t xml:space="preserve">.  </w:t>
      </w:r>
      <w:r w:rsidR="00277091">
        <w:t xml:space="preserve">Of course, if there is evidence that the landowner exercised any retained control over any part of the contractor’s work in a manner that affirmatively contributed to the injury, the landowner’s actions would fall within the established </w:t>
      </w:r>
      <w:r w:rsidR="00277091">
        <w:rPr>
          <w:i/>
          <w:iCs/>
        </w:rPr>
        <w:t xml:space="preserve">Hooker </w:t>
      </w:r>
      <w:r w:rsidR="00277091">
        <w:t xml:space="preserve">exception to the </w:t>
      </w:r>
      <w:r w:rsidR="00277091">
        <w:rPr>
          <w:i/>
          <w:iCs/>
        </w:rPr>
        <w:t xml:space="preserve">Privette </w:t>
      </w:r>
      <w:r w:rsidR="00277091">
        <w:t>doctrine.  But w</w:t>
      </w:r>
      <w:r w:rsidRPr="00EF6018">
        <w:t xml:space="preserve">e decline to find a </w:t>
      </w:r>
      <w:r w:rsidR="00277091">
        <w:t xml:space="preserve">broad </w:t>
      </w:r>
      <w:r w:rsidRPr="00EF6018">
        <w:t xml:space="preserve">third exception to the </w:t>
      </w:r>
      <w:r w:rsidRPr="00EF6018">
        <w:rPr>
          <w:i/>
          <w:iCs/>
        </w:rPr>
        <w:t xml:space="preserve">Privette </w:t>
      </w:r>
      <w:r w:rsidRPr="00EF6018">
        <w:t>doctrine that would</w:t>
      </w:r>
      <w:r w:rsidR="00BC5415">
        <w:t xml:space="preserve"> expose</w:t>
      </w:r>
      <w:r w:rsidRPr="00EF6018">
        <w:t xml:space="preserve"> a landowner to liability for known hazards on the </w:t>
      </w:r>
      <w:r w:rsidR="00BC5415">
        <w:t>worksite</w:t>
      </w:r>
      <w:r w:rsidRPr="00EF6018">
        <w:t xml:space="preserve"> </w:t>
      </w:r>
      <w:r w:rsidR="00F851E2">
        <w:t xml:space="preserve">where the </w:t>
      </w:r>
      <w:r w:rsidR="00BC5415">
        <w:t xml:space="preserve">independent </w:t>
      </w:r>
      <w:r w:rsidR="00F851E2">
        <w:t>contractor</w:t>
      </w:r>
      <w:r w:rsidR="00BC5415">
        <w:t xml:space="preserve"> </w:t>
      </w:r>
      <w:r w:rsidR="00F851E2">
        <w:t xml:space="preserve">is </w:t>
      </w:r>
      <w:r w:rsidRPr="00EF6018">
        <w:t>unable to adopt</w:t>
      </w:r>
      <w:r w:rsidR="002E3244">
        <w:t xml:space="preserve"> </w:t>
      </w:r>
      <w:r w:rsidRPr="00EF6018">
        <w:t xml:space="preserve">reasonable safety precautions to </w:t>
      </w:r>
      <w:r w:rsidRPr="00EF6018" w:rsidR="00753924">
        <w:t>protect against</w:t>
      </w:r>
      <w:r w:rsidRPr="00EF6018">
        <w:t xml:space="preserve"> the hazard.  Such a rule</w:t>
      </w:r>
      <w:r w:rsidRPr="00EF6018" w:rsidR="00046BCE">
        <w:t xml:space="preserve"> would be inconsistent with the strong presumption under </w:t>
      </w:r>
      <w:r w:rsidRPr="00EF6018" w:rsidR="00046BCE">
        <w:rPr>
          <w:i/>
          <w:iCs/>
        </w:rPr>
        <w:t xml:space="preserve">Privette </w:t>
      </w:r>
      <w:r w:rsidRPr="00EF6018" w:rsidR="00046BCE">
        <w:t xml:space="preserve">that a landowner delegates all responsibility for workplace safety to the independent contractor.    </w:t>
      </w:r>
    </w:p>
    <w:p w:rsidR="000C5B69" w:rsidRPr="00EF6018" w:rsidP="0059232D">
      <w:pPr>
        <w:pStyle w:val="ListParagraph"/>
        <w:numPr>
          <w:ilvl w:val="0"/>
          <w:numId w:val="1"/>
        </w:numPr>
        <w:contextualSpacing w:val="0"/>
        <w:rPr>
          <w:b/>
          <w:bCs/>
        </w:rPr>
      </w:pPr>
      <w:r w:rsidRPr="00EF6018">
        <w:rPr>
          <w:b/>
          <w:bCs/>
        </w:rPr>
        <w:t>Appl</w:t>
      </w:r>
      <w:r w:rsidRPr="00EF6018" w:rsidR="00817BAD">
        <w:rPr>
          <w:b/>
          <w:bCs/>
        </w:rPr>
        <w:t>ication</w:t>
      </w:r>
      <w:r w:rsidRPr="00EF6018" w:rsidR="00781430">
        <w:rPr>
          <w:b/>
          <w:bCs/>
        </w:rPr>
        <w:t xml:space="preserve"> to the Present Case </w:t>
      </w:r>
    </w:p>
    <w:p w:rsidR="00C34237" w:rsidRPr="00F25ECC" w:rsidP="00CF6B5C">
      <w:pPr>
        <w:tabs>
          <w:tab w:val="left" w:pos="1440"/>
        </w:tabs>
        <w:ind w:firstLine="720"/>
      </w:pPr>
      <w:r w:rsidRPr="00EF6018">
        <w:t xml:space="preserve">We now apply our </w:t>
      </w:r>
      <w:r w:rsidRPr="00EF6018" w:rsidR="00102FED">
        <w:t>holding</w:t>
      </w:r>
      <w:r w:rsidRPr="00EF6018">
        <w:t xml:space="preserve"> to</w:t>
      </w:r>
      <w:r w:rsidRPr="00EF6018" w:rsidR="005C325E">
        <w:t xml:space="preserve"> the facts of</w:t>
      </w:r>
      <w:r w:rsidRPr="00EF6018" w:rsidR="00102FED">
        <w:t xml:space="preserve"> </w:t>
      </w:r>
      <w:r w:rsidRPr="00EF6018">
        <w:t xml:space="preserve">this case. </w:t>
      </w:r>
      <w:r w:rsidRPr="00EF6018" w:rsidR="00C34708">
        <w:t xml:space="preserve"> Gonzalez </w:t>
      </w:r>
      <w:r w:rsidRPr="00EF6018" w:rsidR="003E5E42">
        <w:t>contends</w:t>
      </w:r>
      <w:r w:rsidRPr="00EF6018" w:rsidR="000C37E9">
        <w:t xml:space="preserve"> that </w:t>
      </w:r>
      <w:r w:rsidRPr="00EF6018" w:rsidR="005C325E">
        <w:t>Mathis’s</w:t>
      </w:r>
      <w:r w:rsidRPr="00EF6018" w:rsidR="000C37E9">
        <w:t xml:space="preserve"> roof was hazardous</w:t>
      </w:r>
      <w:r w:rsidRPr="00EF6018" w:rsidR="00102FED">
        <w:t xml:space="preserve"> because the</w:t>
      </w:r>
      <w:r w:rsidRPr="00EF6018" w:rsidR="005C325E">
        <w:t xml:space="preserve"> skylight could only be </w:t>
      </w:r>
      <w:r w:rsidRPr="00EF6018" w:rsidR="00475C95">
        <w:t xml:space="preserve">cleaned while walking along </w:t>
      </w:r>
      <w:r w:rsidRPr="00EF6018" w:rsidR="00102FED">
        <w:t>an unreasonably narrow path between the parapet wall and the roof’s</w:t>
      </w:r>
      <w:r w:rsidRPr="00EF6018" w:rsidR="00A17E9F">
        <w:t xml:space="preserve"> exposed</w:t>
      </w:r>
      <w:r w:rsidRPr="00EF6018" w:rsidR="00102FED">
        <w:t xml:space="preserve"> edge and, due to Mathis’s years-long failure to maintain the roof, this path was </w:t>
      </w:r>
      <w:r w:rsidRPr="00EF6018" w:rsidR="0049171D">
        <w:t>slippery and</w:t>
      </w:r>
      <w:r w:rsidRPr="00EF6018" w:rsidR="00102FED">
        <w:t xml:space="preserve"> </w:t>
      </w:r>
      <w:r w:rsidRPr="00EF6018" w:rsidR="0049171D">
        <w:t>covered in</w:t>
      </w:r>
      <w:r w:rsidRPr="00EF6018" w:rsidR="00102FED">
        <w:t xml:space="preserve"> loose sand, gravel, and rocks.</w:t>
      </w:r>
      <w:r w:rsidR="00FB4441">
        <w:t xml:space="preserve">  </w:t>
      </w:r>
      <w:r w:rsidRPr="00EF6018" w:rsidR="005E272C">
        <w:t xml:space="preserve">Gonzalez </w:t>
      </w:r>
      <w:r w:rsidRPr="00EF6018" w:rsidR="00C90B33">
        <w:t>additionally</w:t>
      </w:r>
      <w:r w:rsidRPr="00EF6018" w:rsidR="005E272C">
        <w:t xml:space="preserve"> argues that</w:t>
      </w:r>
      <w:r w:rsidRPr="00EF6018" w:rsidR="004F1581">
        <w:t xml:space="preserve"> he was not hired to and lacked the expertise necessary to repair the roof or change the permanent fixtures on the roof such that he</w:t>
      </w:r>
      <w:r w:rsidRPr="00EF6018" w:rsidR="005C325E">
        <w:t xml:space="preserve"> and his workers</w:t>
      </w:r>
      <w:r w:rsidRPr="00EF6018" w:rsidR="004F1581">
        <w:t xml:space="preserve"> could clean the skylight safely</w:t>
      </w:r>
      <w:r w:rsidRPr="00EF6018" w:rsidR="00A17E9F">
        <w:t>.</w:t>
      </w:r>
      <w:r w:rsidR="00FB4441">
        <w:t xml:space="preserve">  </w:t>
      </w:r>
      <w:r w:rsidRPr="00EF6018" w:rsidR="00A17E9F">
        <w:t>Thus, Gonzalez conclude</w:t>
      </w:r>
      <w:r w:rsidRPr="00EF6018" w:rsidR="005E272C">
        <w:t>s, Mathis’s duty to maintain the roof in a reasonably safe condition was never delegated to him</w:t>
      </w:r>
      <w:r w:rsidRPr="00EF6018" w:rsidR="004F1581">
        <w:t>.</w:t>
      </w:r>
      <w:r w:rsidR="00FB4441">
        <w:t xml:space="preserve">  </w:t>
      </w:r>
      <w:r w:rsidRPr="00EF6018" w:rsidR="005E272C">
        <w:rPr>
          <w:iCs/>
        </w:rPr>
        <w:t xml:space="preserve">But </w:t>
      </w:r>
      <w:r w:rsidRPr="00EF6018" w:rsidR="005E272C">
        <w:t>w</w:t>
      </w:r>
      <w:r w:rsidRPr="00EF6018" w:rsidR="003E5E42">
        <w:t>hile</w:t>
      </w:r>
      <w:r w:rsidRPr="00EF6018" w:rsidR="00090B37">
        <w:t xml:space="preserve"> </w:t>
      </w:r>
      <w:r w:rsidRPr="00EF6018" w:rsidR="003E5E42">
        <w:t xml:space="preserve">Mathis may not have </w:t>
      </w:r>
      <w:r w:rsidRPr="00EF6018" w:rsidR="00090B37">
        <w:t>delegated any duty</w:t>
      </w:r>
      <w:r w:rsidRPr="00EF6018" w:rsidR="003E5E42">
        <w:t xml:space="preserve"> to repair the roof</w:t>
      </w:r>
      <w:r w:rsidRPr="00EF6018" w:rsidR="004F1581">
        <w:t xml:space="preserve"> or make other structural changes to it</w:t>
      </w:r>
      <w:r w:rsidRPr="00EF6018" w:rsidR="003E5E42">
        <w:t>,</w:t>
      </w:r>
      <w:r w:rsidRPr="00EF6018" w:rsidR="00090B37">
        <w:t xml:space="preserve"> </w:t>
      </w:r>
      <w:r w:rsidRPr="00EF6018" w:rsidR="004F1581">
        <w:t>Mathis</w:t>
      </w:r>
      <w:r w:rsidRPr="00EF6018" w:rsidR="00090B37">
        <w:t xml:space="preserve"> did delegate </w:t>
      </w:r>
      <w:r w:rsidRPr="00EF6018" w:rsidR="004F1581">
        <w:t xml:space="preserve">to Gonzalez </w:t>
      </w:r>
      <w:r w:rsidRPr="00EF6018" w:rsidR="00090B37">
        <w:t xml:space="preserve">a duty to </w:t>
      </w:r>
      <w:r w:rsidRPr="00EF6018" w:rsidR="00F1588F">
        <w:t>provide a safe work</w:t>
      </w:r>
      <w:r w:rsidRPr="00EF6018" w:rsidR="00363273">
        <w:t>place</w:t>
      </w:r>
      <w:r w:rsidRPr="00EF6018" w:rsidR="00F1588F">
        <w:t xml:space="preserve"> </w:t>
      </w:r>
      <w:r w:rsidRPr="00EF6018" w:rsidR="0049171D">
        <w:t xml:space="preserve">to his workers </w:t>
      </w:r>
      <w:r w:rsidRPr="00EF6018" w:rsidR="00F1588F">
        <w:t xml:space="preserve">and to perform the work </w:t>
      </w:r>
      <w:r w:rsidRPr="00EF6018" w:rsidR="0049171D">
        <w:t xml:space="preserve">for which he was retained </w:t>
      </w:r>
      <w:r w:rsidRPr="00EF6018" w:rsidR="003121D2">
        <w:t>in a safe manner</w:t>
      </w:r>
      <w:r w:rsidRPr="00EF6018" w:rsidR="00F1588F">
        <w:t>.  This</w:t>
      </w:r>
      <w:r w:rsidRPr="00EF6018" w:rsidR="00255EAC">
        <w:t xml:space="preserve"> </w:t>
      </w:r>
      <w:r w:rsidRPr="00EF6018" w:rsidR="00867EB7">
        <w:t>encompass</w:t>
      </w:r>
      <w:r w:rsidRPr="00EF6018" w:rsidR="00A17E9F">
        <w:t>ed</w:t>
      </w:r>
      <w:r w:rsidRPr="00EF6018" w:rsidR="00867EB7">
        <w:t xml:space="preserve"> a</w:t>
      </w:r>
      <w:r w:rsidRPr="00EF6018" w:rsidR="00255EAC">
        <w:t xml:space="preserve"> duty</w:t>
      </w:r>
      <w:r w:rsidRPr="00EF6018" w:rsidR="00A17E9F">
        <w:t xml:space="preserve"> on Gonzalez’s part</w:t>
      </w:r>
      <w:r w:rsidRPr="00EF6018" w:rsidR="00255EAC">
        <w:t xml:space="preserve"> to assess whether </w:t>
      </w:r>
      <w:r w:rsidRPr="00EF6018" w:rsidR="00867EB7">
        <w:t>he</w:t>
      </w:r>
      <w:r w:rsidRPr="00EF6018">
        <w:t xml:space="preserve"> and his workers</w:t>
      </w:r>
      <w:r w:rsidRPr="00EF6018" w:rsidR="00867EB7">
        <w:t xml:space="preserve"> could </w:t>
      </w:r>
      <w:r w:rsidRPr="00EF6018" w:rsidR="00EA2B04">
        <w:t>clean the skylight</w:t>
      </w:r>
      <w:r w:rsidRPr="00EF6018">
        <w:t xml:space="preserve"> safely despite the existence of</w:t>
      </w:r>
      <w:r w:rsidRPr="00EF6018" w:rsidR="00A62D0D">
        <w:t xml:space="preserve"> the</w:t>
      </w:r>
      <w:r w:rsidRPr="00EF6018">
        <w:t xml:space="preserve"> known hazardous conditions on the roof.  </w:t>
      </w:r>
      <w:r w:rsidRPr="00EF6018" w:rsidR="00FB4122">
        <w:t xml:space="preserve">It would be contrary to the principles underlying </w:t>
      </w:r>
      <w:r w:rsidRPr="00EF6018" w:rsidR="00FB4122">
        <w:rPr>
          <w:i/>
          <w:iCs/>
        </w:rPr>
        <w:t xml:space="preserve">Privette </w:t>
      </w:r>
      <w:r w:rsidRPr="00EF6018" w:rsidR="00FB4122">
        <w:t>to</w:t>
      </w:r>
      <w:r w:rsidR="00EC0E3C">
        <w:t xml:space="preserve"> hold that Mathis </w:t>
      </w:r>
      <w:r w:rsidR="00277091">
        <w:t xml:space="preserve">also </w:t>
      </w:r>
      <w:r w:rsidR="00EC0E3C">
        <w:t xml:space="preserve">had a duty to determine whether </w:t>
      </w:r>
      <w:r w:rsidR="00E43F8C">
        <w:t xml:space="preserve">the work could be performed safely absent remediation of a known hazard.  Landowners, like Mathis, hire independent contractors precisely because of their expertise in the contracted-for work.  This expertise puts contractors in a better position to determine whether they can protect their workers against a known hazard on the worksite and whether the work can be performed safely despite the hazard.        </w:t>
      </w:r>
    </w:p>
    <w:p w:rsidR="00A17648" w:rsidRPr="00EF6018" w:rsidP="00CF6B5C">
      <w:pPr>
        <w:tabs>
          <w:tab w:val="left" w:pos="1440"/>
        </w:tabs>
        <w:ind w:firstLine="720"/>
      </w:pPr>
      <w:r w:rsidRPr="00EF6018">
        <w:t xml:space="preserve">We emphasize that our holding applies only to hazards </w:t>
      </w:r>
      <w:r w:rsidRPr="00EF6018" w:rsidR="00CA4C71">
        <w:t xml:space="preserve">on the premises </w:t>
      </w:r>
      <w:r w:rsidRPr="00EF6018">
        <w:t xml:space="preserve">of which the independent contractor is aware or should reasonably detect.  (See </w:t>
      </w:r>
      <w:r w:rsidRPr="00EF6018">
        <w:rPr>
          <w:i/>
          <w:iCs/>
        </w:rPr>
        <w:t>Kinsman</w:t>
      </w:r>
      <w:r w:rsidRPr="00EF6018">
        <w:t xml:space="preserve">, </w:t>
      </w:r>
      <w:r w:rsidRPr="00EF6018">
        <w:rPr>
          <w:i/>
          <w:iCs/>
        </w:rPr>
        <w:t>supra</w:t>
      </w:r>
      <w:r w:rsidRPr="00EF6018">
        <w:t>, 37 Cal.4th at p. 675.)</w:t>
      </w:r>
      <w:r w:rsidR="00CF6B5C">
        <w:t xml:space="preserve">  Although we recognized in </w:t>
      </w:r>
      <w:r w:rsidR="00CF6B5C">
        <w:rPr>
          <w:i/>
          <w:iCs/>
        </w:rPr>
        <w:t xml:space="preserve">Kinsman </w:t>
      </w:r>
      <w:r w:rsidR="00CF6B5C">
        <w:t>that the delegation of responsibility for workplace safety to independent contractors may include a limited duty to inspect the premises (</w:t>
      </w:r>
      <w:r w:rsidR="00CF6B5C">
        <w:rPr>
          <w:i/>
          <w:iCs/>
        </w:rPr>
        <w:t xml:space="preserve">id. </w:t>
      </w:r>
      <w:r w:rsidR="00CF6B5C">
        <w:t>at p. 677),</w:t>
      </w:r>
      <w:r w:rsidR="00872939">
        <w:t xml:space="preserve"> </w:t>
      </w:r>
      <w:r w:rsidRPr="006769F5" w:rsidR="006769F5">
        <w:t>it would not be reasonable to expect Gonzalez to identify</w:t>
      </w:r>
      <w:r w:rsidR="006769F5">
        <w:t xml:space="preserve"> </w:t>
      </w:r>
      <w:r w:rsidRPr="00EF6018">
        <w:t xml:space="preserve">every </w:t>
      </w:r>
      <w:r w:rsidR="00255A72">
        <w:t xml:space="preserve">conceivable </w:t>
      </w:r>
      <w:r w:rsidRPr="00EF6018">
        <w:t>dangerous condition on the roof given that he is not a licensed roofer and was not hired to repair the roof</w:t>
      </w:r>
      <w:r w:rsidR="00CF6B5C">
        <w:t xml:space="preserve"> </w:t>
      </w:r>
      <w:r w:rsidRPr="00EF6018">
        <w:t>(</w:t>
      </w:r>
      <w:r w:rsidR="00CF6B5C">
        <w:t>s</w:t>
      </w:r>
      <w:r w:rsidRPr="00EF6018">
        <w:t xml:space="preserve">ee </w:t>
      </w:r>
      <w:r w:rsidRPr="00EF6018">
        <w:rPr>
          <w:i/>
          <w:iCs/>
        </w:rPr>
        <w:t>id</w:t>
      </w:r>
      <w:r w:rsidRPr="00EF6018">
        <w:t>. at pp. 677–678</w:t>
      </w:r>
      <w:bookmarkStart w:id="41" w:name="_Hlk61378841"/>
      <w:r w:rsidRPr="00EF6018" w:rsidR="001E2352">
        <w:t>)</w:t>
      </w:r>
      <w:r w:rsidR="00CF6B5C">
        <w:t>.</w:t>
      </w:r>
      <w:r w:rsidRPr="00EF6018">
        <w:t xml:space="preserve">  </w:t>
      </w:r>
      <w:bookmarkEnd w:id="41"/>
      <w:r w:rsidRPr="00EF6018">
        <w:t>Here, however, it is undisputed that Gonzalez was aware of the roof’s dangerous conditions</w:t>
      </w:r>
      <w:r w:rsidRPr="00EF6018" w:rsidR="002D5D2A">
        <w:t>.</w:t>
      </w:r>
      <w:r w:rsidR="006769F5">
        <w:t xml:space="preserve">  </w:t>
      </w:r>
      <w:r w:rsidRPr="00EF6018" w:rsidR="002D5D2A">
        <w:t>Consequent</w:t>
      </w:r>
      <w:r w:rsidR="009B2CAB">
        <w:t>ly</w:t>
      </w:r>
      <w:r w:rsidRPr="00EF6018">
        <w:t xml:space="preserve">, </w:t>
      </w:r>
      <w:r w:rsidRPr="00EF6018" w:rsidR="002D5D2A">
        <w:t>Gonzalez</w:t>
      </w:r>
      <w:r w:rsidRPr="00EF6018">
        <w:t xml:space="preserve"> had a duty to determine whether he and his workers would be able to clean the skylight safely despite the </w:t>
      </w:r>
      <w:r w:rsidRPr="00EF6018" w:rsidR="002D5D2A">
        <w:t xml:space="preserve">known </w:t>
      </w:r>
      <w:r w:rsidRPr="00EF6018">
        <w:t>dangerous conditions.</w:t>
      </w:r>
      <w:r w:rsidRPr="00EF6018" w:rsidR="000232FC">
        <w:t xml:space="preserve"> </w:t>
      </w:r>
      <w:r w:rsidRPr="00EF6018">
        <w:t xml:space="preserve">    </w:t>
      </w:r>
    </w:p>
    <w:p w:rsidR="00984EC9" w:rsidP="00CF6B5C">
      <w:pPr>
        <w:tabs>
          <w:tab w:val="left" w:pos="1440"/>
        </w:tabs>
        <w:ind w:firstLine="720"/>
      </w:pPr>
      <w:r w:rsidRPr="00EF6018">
        <w:t xml:space="preserve">We also do not address whether and under what circumstances a landowner might be liable to an independent contractor </w:t>
      </w:r>
      <w:r w:rsidRPr="00EF6018" w:rsidR="0049171D">
        <w:t xml:space="preserve">or its workers </w:t>
      </w:r>
      <w:r w:rsidRPr="00EF6018">
        <w:t xml:space="preserve">who </w:t>
      </w:r>
      <w:r w:rsidRPr="00EF6018" w:rsidR="0049171D">
        <w:t>are</w:t>
      </w:r>
      <w:r w:rsidRPr="00EF6018">
        <w:t xml:space="preserve"> injured as a result of a known hazard on the premises that is not located on or near the worksite.  (See </w:t>
      </w:r>
      <w:r w:rsidRPr="00EF6018">
        <w:rPr>
          <w:i/>
          <w:iCs/>
        </w:rPr>
        <w:t>Kinsman</w:t>
      </w:r>
      <w:r w:rsidRPr="00EF6018">
        <w:t>,</w:t>
      </w:r>
      <w:r w:rsidRPr="00EF6018" w:rsidR="002D5D2A">
        <w:t xml:space="preserve"> </w:t>
      </w:r>
      <w:r w:rsidRPr="00EF6018" w:rsidR="002D5D2A">
        <w:rPr>
          <w:i/>
          <w:iCs/>
        </w:rPr>
        <w:t>supra</w:t>
      </w:r>
      <w:r w:rsidRPr="00EF6018" w:rsidR="002D5D2A">
        <w:t>,</w:t>
      </w:r>
      <w:r w:rsidRPr="00EF6018">
        <w:rPr>
          <w:i/>
          <w:iCs/>
        </w:rPr>
        <w:t xml:space="preserve"> </w:t>
      </w:r>
      <w:r w:rsidRPr="00EF6018" w:rsidR="002D5D2A">
        <w:t>37 Cal.4th</w:t>
      </w:r>
      <w:r w:rsidRPr="00EF6018" w:rsidR="002D5D2A">
        <w:rPr>
          <w:i/>
          <w:iCs/>
        </w:rPr>
        <w:t xml:space="preserve"> </w:t>
      </w:r>
      <w:r w:rsidRPr="00EF6018">
        <w:t>at p. 674, fn. 2.)  Gonzalez argues that the path between the parapet wall and the edge of the roof was just a</w:t>
      </w:r>
      <w:r w:rsidRPr="00EF6018" w:rsidR="001E2352">
        <w:t xml:space="preserve"> means to access the worksite, as opposed to being a part of the worksite</w:t>
      </w:r>
      <w:r w:rsidRPr="00EF6018">
        <w:t xml:space="preserve">, </w:t>
      </w:r>
      <w:r w:rsidRPr="00EF6018" w:rsidR="008B563D">
        <w:t xml:space="preserve">but </w:t>
      </w:r>
      <w:r w:rsidRPr="00EF6018">
        <w:t xml:space="preserve">this is belied by the undisputed evidence in the record.  The path ran parallel to the skylight and Gonzalez testified that he utilized it </w:t>
      </w:r>
      <w:r w:rsidRPr="00EF6018">
        <w:rPr>
          <w:i/>
          <w:iCs/>
        </w:rPr>
        <w:t xml:space="preserve">while </w:t>
      </w:r>
      <w:r w:rsidRPr="00EF6018">
        <w:t xml:space="preserve">cleaning the skylight.  </w:t>
      </w:r>
      <w:r w:rsidRPr="00EF6018" w:rsidR="00E37142">
        <w:t>Moreover, e</w:t>
      </w:r>
      <w:r w:rsidRPr="00EF6018" w:rsidR="003121D2">
        <w:t>ven</w:t>
      </w:r>
      <w:r w:rsidRPr="00EF6018">
        <w:t xml:space="preserve"> if it were true that Gonzalez </w:t>
      </w:r>
      <w:r w:rsidR="00612F0B">
        <w:t>was required to traverse</w:t>
      </w:r>
      <w:r w:rsidRPr="00EF6018">
        <w:t xml:space="preserve"> the path </w:t>
      </w:r>
      <w:r w:rsidR="00612F0B">
        <w:t xml:space="preserve">just </w:t>
      </w:r>
      <w:r w:rsidRPr="00EF6018">
        <w:t xml:space="preserve">to get to the skylight, it still would have constituted an inherent risk in the job for which he was hired.  (See </w:t>
      </w:r>
      <w:r w:rsidRPr="00EF6018">
        <w:rPr>
          <w:i/>
          <w:iCs/>
        </w:rPr>
        <w:t>Tverberg</w:t>
      </w:r>
      <w:r w:rsidRPr="00EF6018">
        <w:t xml:space="preserve">, </w:t>
      </w:r>
      <w:r w:rsidRPr="00EF6018">
        <w:rPr>
          <w:i/>
          <w:iCs/>
        </w:rPr>
        <w:t>supra</w:t>
      </w:r>
      <w:r w:rsidRPr="00EF6018">
        <w:t xml:space="preserve">, 49 Cal.4th at p. 529 [“Because the bollard holes were located next to the area where Tverberg was to erect the metal canopy, the possibility of falling into one of those holes constituted an inherent risk of the canopy work”].)  </w:t>
      </w:r>
      <w:r w:rsidRPr="00EF6018" w:rsidR="006D28CF">
        <w:t xml:space="preserve">We do not </w:t>
      </w:r>
      <w:r w:rsidRPr="00EF6018" w:rsidR="00F13054">
        <w:t xml:space="preserve">resolve whether </w:t>
      </w:r>
      <w:r w:rsidRPr="00EF6018" w:rsidR="00700AEA">
        <w:t>Mathis</w:t>
      </w:r>
      <w:r w:rsidRPr="00EF6018" w:rsidR="00F13054">
        <w:t xml:space="preserve"> might </w:t>
      </w:r>
      <w:r w:rsidRPr="00EF6018" w:rsidR="00700AEA">
        <w:t xml:space="preserve">have </w:t>
      </w:r>
      <w:r w:rsidRPr="00EF6018" w:rsidR="00F13054">
        <w:t>be</w:t>
      </w:r>
      <w:r w:rsidRPr="00EF6018" w:rsidR="00700AEA">
        <w:t>en</w:t>
      </w:r>
      <w:r w:rsidRPr="00EF6018" w:rsidR="00F13054">
        <w:t xml:space="preserve"> liable under circumstances not presented </w:t>
      </w:r>
      <w:r w:rsidRPr="00EF6018" w:rsidR="006D28CF">
        <w:t>on these facts,</w:t>
      </w:r>
      <w:r w:rsidRPr="00EF6018">
        <w:t xml:space="preserve"> </w:t>
      </w:r>
      <w:r w:rsidRPr="00EF6018" w:rsidR="00F13054">
        <w:t xml:space="preserve">such as if the hazard had been located nowhere near the skylight and </w:t>
      </w:r>
      <w:r w:rsidRPr="00EF6018" w:rsidR="001F0823">
        <w:t>had been</w:t>
      </w:r>
      <w:r w:rsidRPr="00EF6018" w:rsidR="00F13054">
        <w:t xml:space="preserve"> wholly unconnected to Gonzalez’s work in cleaning the skylight.  </w:t>
      </w:r>
    </w:p>
    <w:p w:rsidR="004568A5" w:rsidP="005F26B1">
      <w:pPr>
        <w:tabs>
          <w:tab w:val="left" w:pos="1440"/>
        </w:tabs>
        <w:ind w:firstLine="720"/>
        <w:rPr>
          <w:iCs/>
        </w:rPr>
      </w:pPr>
      <w:r w:rsidRPr="00EF6018">
        <w:rPr>
          <w:iCs/>
        </w:rPr>
        <w:t>Gonzalez alternatively argue</w:t>
      </w:r>
      <w:r w:rsidRPr="00EF6018" w:rsidR="00C214CC">
        <w:rPr>
          <w:iCs/>
        </w:rPr>
        <w:t>s that, even i</w:t>
      </w:r>
      <w:r w:rsidR="00DF5184">
        <w:rPr>
          <w:iCs/>
        </w:rPr>
        <w:t>f we decline to adopt the Court of Appeal’s rule</w:t>
      </w:r>
      <w:r w:rsidRPr="00EF6018" w:rsidR="00C214CC">
        <w:rPr>
          <w:iCs/>
        </w:rPr>
        <w:t>,</w:t>
      </w:r>
      <w:r w:rsidRPr="00EF6018" w:rsidR="00033069">
        <w:rPr>
          <w:iCs/>
        </w:rPr>
        <w:t xml:space="preserve"> Mathis should still be held liable under</w:t>
      </w:r>
      <w:r w:rsidRPr="00EF6018" w:rsidR="00C214CC">
        <w:rPr>
          <w:iCs/>
        </w:rPr>
        <w:t xml:space="preserve"> the well-established </w:t>
      </w:r>
      <w:r w:rsidRPr="00EF6018" w:rsidR="00C214CC">
        <w:rPr>
          <w:i/>
        </w:rPr>
        <w:t>Hooker</w:t>
      </w:r>
      <w:r w:rsidRPr="00EF6018" w:rsidR="00C214CC">
        <w:rPr>
          <w:iCs/>
        </w:rPr>
        <w:t xml:space="preserve"> exception</w:t>
      </w:r>
      <w:r w:rsidRPr="00EF6018" w:rsidR="00033069">
        <w:rPr>
          <w:iCs/>
        </w:rPr>
        <w:t xml:space="preserve"> to </w:t>
      </w:r>
      <w:r w:rsidRPr="00EF6018" w:rsidR="00033069">
        <w:rPr>
          <w:i/>
        </w:rPr>
        <w:t>Privette</w:t>
      </w:r>
      <w:r w:rsidRPr="00EF6018" w:rsidR="00033069">
        <w:rPr>
          <w:iCs/>
        </w:rPr>
        <w:t>.</w:t>
      </w:r>
      <w:r w:rsidRPr="00EF6018">
        <w:rPr>
          <w:iCs/>
        </w:rPr>
        <w:t xml:space="preserve">  First, he claims that Mathis</w:t>
      </w:r>
      <w:r w:rsidRPr="00EF6018" w:rsidR="001B6477">
        <w:rPr>
          <w:iCs/>
        </w:rPr>
        <w:t xml:space="preserve"> retained sole authority to hire a professional roofer to repair the roof and </w:t>
      </w:r>
      <w:r w:rsidR="005F26B1">
        <w:rPr>
          <w:iCs/>
        </w:rPr>
        <w:t xml:space="preserve">exercised that </w:t>
      </w:r>
      <w:r w:rsidR="003522BD">
        <w:rPr>
          <w:iCs/>
        </w:rPr>
        <w:t>authority</w:t>
      </w:r>
      <w:r w:rsidR="005F26B1">
        <w:rPr>
          <w:iCs/>
        </w:rPr>
        <w:t xml:space="preserve"> in a manner that </w:t>
      </w:r>
      <w:r w:rsidRPr="00EF6018" w:rsidR="008473F8">
        <w:rPr>
          <w:iCs/>
        </w:rPr>
        <w:t xml:space="preserve">affirmatively </w:t>
      </w:r>
      <w:r w:rsidRPr="00EF6018">
        <w:rPr>
          <w:iCs/>
        </w:rPr>
        <w:t xml:space="preserve">contributed to his injury by failing to </w:t>
      </w:r>
      <w:r w:rsidRPr="00EF6018" w:rsidR="001B6477">
        <w:rPr>
          <w:iCs/>
        </w:rPr>
        <w:t>do so</w:t>
      </w:r>
      <w:r w:rsidRPr="00EF6018">
        <w:rPr>
          <w:iCs/>
        </w:rPr>
        <w:t>.</w:t>
      </w:r>
      <w:bookmarkStart w:id="42" w:name="_Hlk79675561"/>
      <w:r w:rsidR="003059EF">
        <w:rPr>
          <w:iCs/>
        </w:rPr>
        <w:t xml:space="preserve">  </w:t>
      </w:r>
      <w:r w:rsidR="00C818E1">
        <w:rPr>
          <w:iCs/>
        </w:rPr>
        <w:t>W</w:t>
      </w:r>
      <w:r w:rsidRPr="00EF6018">
        <w:rPr>
          <w:iCs/>
        </w:rPr>
        <w:t xml:space="preserve">e made clear in </w:t>
      </w:r>
      <w:r w:rsidRPr="00EF6018">
        <w:rPr>
          <w:i/>
        </w:rPr>
        <w:t>Hooker</w:t>
      </w:r>
      <w:r w:rsidR="003059EF">
        <w:rPr>
          <w:iCs/>
        </w:rPr>
        <w:t>, however,</w:t>
      </w:r>
      <w:r w:rsidRPr="00EF6018">
        <w:rPr>
          <w:iCs/>
        </w:rPr>
        <w:t xml:space="preserve"> that a hirer </w:t>
      </w:r>
      <w:r w:rsidR="00C818E1">
        <w:rPr>
          <w:iCs/>
        </w:rPr>
        <w:t xml:space="preserve">does not exercise </w:t>
      </w:r>
      <w:r w:rsidR="003059EF">
        <w:rPr>
          <w:iCs/>
        </w:rPr>
        <w:t>any</w:t>
      </w:r>
      <w:r w:rsidR="00C818E1">
        <w:rPr>
          <w:iCs/>
        </w:rPr>
        <w:t xml:space="preserve"> retained control</w:t>
      </w:r>
      <w:r w:rsidR="005F649A">
        <w:rPr>
          <w:iCs/>
        </w:rPr>
        <w:t xml:space="preserve"> </w:t>
      </w:r>
      <w:r w:rsidR="003059EF">
        <w:rPr>
          <w:iCs/>
        </w:rPr>
        <w:t xml:space="preserve">over the contractor’s work </w:t>
      </w:r>
      <w:r w:rsidR="00C818E1">
        <w:rPr>
          <w:iCs/>
        </w:rPr>
        <w:t>in a</w:t>
      </w:r>
      <w:r w:rsidR="005F649A">
        <w:rPr>
          <w:iCs/>
        </w:rPr>
        <w:t xml:space="preserve"> manner that</w:t>
      </w:r>
      <w:r w:rsidR="00C818E1">
        <w:rPr>
          <w:iCs/>
        </w:rPr>
        <w:t xml:space="preserve"> affirmatively contributes to </w:t>
      </w:r>
      <w:r w:rsidR="003059EF">
        <w:rPr>
          <w:iCs/>
        </w:rPr>
        <w:t>the</w:t>
      </w:r>
      <w:r w:rsidR="00C818E1">
        <w:rPr>
          <w:iCs/>
        </w:rPr>
        <w:t xml:space="preserve"> contractor’s injury by</w:t>
      </w:r>
      <w:r w:rsidR="005F26B1">
        <w:rPr>
          <w:iCs/>
        </w:rPr>
        <w:t xml:space="preserve"> merely </w:t>
      </w:r>
      <w:r w:rsidRPr="00EF6018">
        <w:rPr>
          <w:iCs/>
        </w:rPr>
        <w:t xml:space="preserve">permitting </w:t>
      </w:r>
      <w:r w:rsidR="002742FA">
        <w:rPr>
          <w:iCs/>
        </w:rPr>
        <w:t xml:space="preserve">or failing to correct </w:t>
      </w:r>
      <w:r w:rsidRPr="00EF6018">
        <w:rPr>
          <w:iCs/>
        </w:rPr>
        <w:t>a</w:t>
      </w:r>
      <w:r w:rsidRPr="00EF6018" w:rsidR="00CA4C71">
        <w:rPr>
          <w:iCs/>
        </w:rPr>
        <w:t>n</w:t>
      </w:r>
      <w:r w:rsidRPr="00EF6018">
        <w:rPr>
          <w:iCs/>
        </w:rPr>
        <w:t xml:space="preserve"> unsafe work </w:t>
      </w:r>
      <w:r w:rsidRPr="00EF6018" w:rsidR="008473F8">
        <w:rPr>
          <w:iCs/>
        </w:rPr>
        <w:t>condition</w:t>
      </w:r>
      <w:r w:rsidRPr="00EF6018">
        <w:rPr>
          <w:iCs/>
        </w:rPr>
        <w:t xml:space="preserve">.  </w:t>
      </w:r>
      <w:bookmarkEnd w:id="42"/>
      <w:r w:rsidRPr="00EF6018">
        <w:rPr>
          <w:iCs/>
        </w:rPr>
        <w:t>(</w:t>
      </w:r>
      <w:bookmarkStart w:id="43" w:name="_Hlk64893337"/>
      <w:r w:rsidRPr="00EF6018">
        <w:rPr>
          <w:i/>
        </w:rPr>
        <w:t>Hooker</w:t>
      </w:r>
      <w:r w:rsidRPr="00EF6018">
        <w:rPr>
          <w:iCs/>
        </w:rPr>
        <w:t xml:space="preserve">, </w:t>
      </w:r>
      <w:r w:rsidRPr="00EF6018">
        <w:rPr>
          <w:i/>
        </w:rPr>
        <w:t>supra</w:t>
      </w:r>
      <w:r w:rsidRPr="00EF6018">
        <w:rPr>
          <w:iCs/>
        </w:rPr>
        <w:t>, 27 Cal.4th at pp. 214–215</w:t>
      </w:r>
      <w:bookmarkEnd w:id="43"/>
      <w:r w:rsidR="004C3316">
        <w:rPr>
          <w:iCs/>
        </w:rPr>
        <w:t xml:space="preserve">; see also </w:t>
      </w:r>
      <w:r w:rsidRPr="004C3316" w:rsidR="004C3316">
        <w:rPr>
          <w:i/>
        </w:rPr>
        <w:t>Padilla v. Pomona College</w:t>
      </w:r>
      <w:r w:rsidRPr="004C3316" w:rsidR="004C3316">
        <w:rPr>
          <w:iCs/>
        </w:rPr>
        <w:t xml:space="preserve"> (2008) 166 Cal.App.4th 661, </w:t>
      </w:r>
      <w:r w:rsidR="000D0FFD">
        <w:rPr>
          <w:iCs/>
        </w:rPr>
        <w:t xml:space="preserve">667, </w:t>
      </w:r>
      <w:r w:rsidRPr="004C3316" w:rsidR="004C3316">
        <w:rPr>
          <w:iCs/>
        </w:rPr>
        <w:t>671 [</w:t>
      </w:r>
      <w:r w:rsidR="004C3316">
        <w:rPr>
          <w:iCs/>
        </w:rPr>
        <w:t xml:space="preserve">hirer’s sole ability to depressurize the pipes that caused the plaintiff’s injury did not amount to </w:t>
      </w:r>
      <w:r w:rsidR="004C3A43">
        <w:rPr>
          <w:iCs/>
        </w:rPr>
        <w:t xml:space="preserve">an exercise of </w:t>
      </w:r>
      <w:r w:rsidR="004C3316">
        <w:rPr>
          <w:iCs/>
        </w:rPr>
        <w:t xml:space="preserve">retained control </w:t>
      </w:r>
      <w:r w:rsidR="004C3A43">
        <w:rPr>
          <w:iCs/>
        </w:rPr>
        <w:t>in a manner that</w:t>
      </w:r>
      <w:r w:rsidR="00392DD8">
        <w:rPr>
          <w:iCs/>
        </w:rPr>
        <w:t xml:space="preserve"> </w:t>
      </w:r>
      <w:r w:rsidR="004C3316">
        <w:rPr>
          <w:iCs/>
        </w:rPr>
        <w:t>affirmative</w:t>
      </w:r>
      <w:r w:rsidR="004C3A43">
        <w:rPr>
          <w:iCs/>
        </w:rPr>
        <w:t>ly</w:t>
      </w:r>
      <w:r w:rsidR="004C3316">
        <w:rPr>
          <w:iCs/>
        </w:rPr>
        <w:t xml:space="preserve"> contribut</w:t>
      </w:r>
      <w:r w:rsidR="004C3A43">
        <w:rPr>
          <w:iCs/>
        </w:rPr>
        <w:t>ed to the injury</w:t>
      </w:r>
      <w:r w:rsidR="004C3316">
        <w:rPr>
          <w:iCs/>
        </w:rPr>
        <w:t>].</w:t>
      </w:r>
      <w:r>
        <w:rPr>
          <w:iCs/>
        </w:rPr>
        <w:t xml:space="preserve">)  </w:t>
      </w:r>
      <w:r w:rsidR="003C0584">
        <w:rPr>
          <w:iCs/>
        </w:rPr>
        <w:t>Although Gonzalez testified that he informed Mathis’s housekeeper and accountant that the roof was in poor condition and should be repaired, n</w:t>
      </w:r>
      <w:r>
        <w:rPr>
          <w:iCs/>
        </w:rPr>
        <w:t xml:space="preserve">either </w:t>
      </w:r>
      <w:r w:rsidRPr="00EF6018">
        <w:rPr>
          <w:iCs/>
        </w:rPr>
        <w:t>Mathis</w:t>
      </w:r>
      <w:r>
        <w:rPr>
          <w:iCs/>
        </w:rPr>
        <w:t xml:space="preserve"> nor any of his staff p</w:t>
      </w:r>
      <w:r w:rsidRPr="00EF6018">
        <w:rPr>
          <w:iCs/>
        </w:rPr>
        <w:t>romise</w:t>
      </w:r>
      <w:r>
        <w:rPr>
          <w:iCs/>
        </w:rPr>
        <w:t>d, expressly or implicitly,</w:t>
      </w:r>
      <w:r w:rsidRPr="00EF6018">
        <w:rPr>
          <w:iCs/>
        </w:rPr>
        <w:t xml:space="preserve"> to repair the roof.</w:t>
      </w:r>
      <w:r>
        <w:rPr>
          <w:iCs/>
        </w:rPr>
        <w:t xml:space="preserve">  </w:t>
      </w:r>
      <w:r w:rsidRPr="00EF6018">
        <w:rPr>
          <w:iCs/>
        </w:rPr>
        <w:t xml:space="preserve">(See </w:t>
      </w:r>
      <w:r w:rsidRPr="00EF6018">
        <w:rPr>
          <w:i/>
        </w:rPr>
        <w:t>Hooker</w:t>
      </w:r>
      <w:r w:rsidRPr="00EF6018">
        <w:rPr>
          <w:iCs/>
        </w:rPr>
        <w:t xml:space="preserve">, at p. 212, fn. 3 [“[I]f the hirer promises to undertake a particular safety measure, then the hirer’s negligent failure to do so should result in liability if such negligence leads to an employee injury”]; </w:t>
      </w:r>
      <w:r w:rsidRPr="00EF6018">
        <w:rPr>
          <w:i/>
        </w:rPr>
        <w:t>Tverberg II</w:t>
      </w:r>
      <w:r w:rsidRPr="00EF6018">
        <w:rPr>
          <w:iCs/>
        </w:rPr>
        <w:t xml:space="preserve">, </w:t>
      </w:r>
      <w:r w:rsidRPr="00EF6018">
        <w:rPr>
          <w:i/>
        </w:rPr>
        <w:t>supra</w:t>
      </w:r>
      <w:r w:rsidRPr="00EF6018">
        <w:rPr>
          <w:iCs/>
        </w:rPr>
        <w:t>, 202 Cal.App.4th at p. 1448 [</w:t>
      </w:r>
      <w:bookmarkStart w:id="44" w:name="_Hlk75251489"/>
      <w:r>
        <w:rPr>
          <w:iCs/>
        </w:rPr>
        <w:t>triable issue as to whether hirer’s statement that it did not currently have the materials needed to cover the bollard holes amounted to an implicit promise to cover the bollard holes once such materials were obtained]</w:t>
      </w:r>
      <w:bookmarkEnd w:id="44"/>
      <w:r w:rsidRPr="00EF6018">
        <w:rPr>
          <w:iCs/>
        </w:rPr>
        <w:t xml:space="preserve">; </w:t>
      </w:r>
      <w:r w:rsidRPr="00EF6018">
        <w:rPr>
          <w:i/>
        </w:rPr>
        <w:t>Brannan</w:t>
      </w:r>
      <w:r w:rsidRPr="00EF6018">
        <w:rPr>
          <w:iCs/>
        </w:rPr>
        <w:t xml:space="preserve">, </w:t>
      </w:r>
      <w:r w:rsidRPr="00EF6018">
        <w:rPr>
          <w:i/>
        </w:rPr>
        <w:t>supra</w:t>
      </w:r>
      <w:r w:rsidRPr="00EF6018">
        <w:rPr>
          <w:iCs/>
        </w:rPr>
        <w:t>, 206 Cal.App.4th at p. 1180 [case would have been decided differently had the hirer promised to remove the wet scaffolding]</w:t>
      </w:r>
      <w:r>
        <w:t>.</w:t>
      </w:r>
      <w:r w:rsidRPr="00EF6018">
        <w:rPr>
          <w:iCs/>
        </w:rPr>
        <w:t>)</w:t>
      </w:r>
      <w:r>
        <w:rPr>
          <w:iCs/>
        </w:rPr>
        <w:t xml:space="preserve">  They also did not </w:t>
      </w:r>
      <w:r w:rsidRPr="00EF6018">
        <w:rPr>
          <w:iCs/>
        </w:rPr>
        <w:t>prohibit</w:t>
      </w:r>
      <w:r>
        <w:rPr>
          <w:iCs/>
        </w:rPr>
        <w:t xml:space="preserve"> or dissuade Gonzalez from implementing any particular safety measure or from </w:t>
      </w:r>
      <w:bookmarkStart w:id="45" w:name="_Hlk73446334"/>
      <w:r>
        <w:rPr>
          <w:iCs/>
        </w:rPr>
        <w:t>requesting repairs as a condition of continuing the work</w:t>
      </w:r>
      <w:bookmarkEnd w:id="45"/>
      <w:r>
        <w:rPr>
          <w:iCs/>
        </w:rPr>
        <w:t xml:space="preserve">.  </w:t>
      </w:r>
      <w:r w:rsidRPr="00EF6018">
        <w:t xml:space="preserve">(See </w:t>
      </w:r>
      <w:r w:rsidRPr="00EF6018">
        <w:rPr>
          <w:i/>
          <w:iCs/>
        </w:rPr>
        <w:t>Ray</w:t>
      </w:r>
      <w:r w:rsidRPr="00EF6018">
        <w:t xml:space="preserve">, </w:t>
      </w:r>
      <w:r w:rsidRPr="00EF6018">
        <w:rPr>
          <w:i/>
          <w:iCs/>
        </w:rPr>
        <w:t>supra</w:t>
      </w:r>
      <w:r w:rsidRPr="00EF6018">
        <w:t>,</w:t>
      </w:r>
      <w:r w:rsidRPr="00EF6018">
        <w:rPr>
          <w:i/>
          <w:iCs/>
        </w:rPr>
        <w:t xml:space="preserve"> </w:t>
      </w:r>
      <w:r w:rsidRPr="00EF6018">
        <w:t xml:space="preserve">98 Cal.App.4th at </w:t>
      </w:r>
      <w:r>
        <w:t>p</w:t>
      </w:r>
      <w:r w:rsidRPr="00EF6018">
        <w:t>p. 1134, 1137 [hirer contractually prohibited independent contractor from implementing the one safety precaution that would have saved the worker’s life]</w:t>
      </w:r>
      <w:r>
        <w:t xml:space="preserve">.)  </w:t>
      </w:r>
    </w:p>
    <w:p w:rsidR="003C0584" w:rsidRPr="005F26B1" w:rsidP="003C0584">
      <w:pPr>
        <w:tabs>
          <w:tab w:val="left" w:pos="1440"/>
        </w:tabs>
        <w:ind w:firstLine="720"/>
        <w:rPr>
          <w:iCs/>
        </w:rPr>
      </w:pPr>
      <w:r w:rsidRPr="00142453">
        <w:t>We do not decide</w:t>
      </w:r>
      <w:r>
        <w:t xml:space="preserve"> whether there may be situations, not presented here, in which a hirer’s </w:t>
      </w:r>
      <w:r>
        <w:rPr>
          <w:i/>
          <w:iCs/>
        </w:rPr>
        <w:t xml:space="preserve">response </w:t>
      </w:r>
      <w:r>
        <w:t xml:space="preserve">to a contractor’s notification that the work cannot be performed safely due to hazardous conditions on the worksite might give rise to liability.  </w:t>
      </w:r>
      <w:r>
        <w:rPr>
          <w:iCs/>
        </w:rPr>
        <w:t>F</w:t>
      </w:r>
      <w:r>
        <w:t xml:space="preserve">or example, we do not decide whether a hirer’s conduct that unduly coerces or pressures a contractor to continue the work even after being notified that the work could not be performed safely due to a premises hazard would fall under the </w:t>
      </w:r>
      <w:r>
        <w:rPr>
          <w:i/>
          <w:iCs/>
        </w:rPr>
        <w:t xml:space="preserve">Hooker </w:t>
      </w:r>
      <w:r>
        <w:t xml:space="preserve">exception to </w:t>
      </w:r>
      <w:r w:rsidRPr="002D7CDB">
        <w:rPr>
          <w:i/>
          <w:iCs/>
        </w:rPr>
        <w:t>Privette</w:t>
      </w:r>
      <w:r>
        <w:t xml:space="preserve">.  </w:t>
      </w:r>
      <w:r>
        <w:rPr>
          <w:iCs/>
        </w:rPr>
        <w:t>We decide only that</w:t>
      </w:r>
      <w:r>
        <w:t xml:space="preserve"> neither Mathis nor any member of his staff exercised any retained control over </w:t>
      </w:r>
      <w:r w:rsidR="0049416F">
        <w:t>Gonzalez’s</w:t>
      </w:r>
      <w:r>
        <w:t xml:space="preserve"> work in a manner that affirmatively contributed to Gonzalez’s injury simply by being made aware that the roof was slippery and needed repair.         </w:t>
      </w:r>
    </w:p>
    <w:p w:rsidR="004568A5" w:rsidRPr="00831036" w:rsidP="004568A5">
      <w:pPr>
        <w:tabs>
          <w:tab w:val="left" w:pos="1440"/>
        </w:tabs>
        <w:ind w:firstLine="720"/>
      </w:pPr>
      <w:r w:rsidRPr="00EF6018">
        <w:rPr>
          <w:iCs/>
        </w:rPr>
        <w:t xml:space="preserve">Second, Gonzalez argues that Mathis </w:t>
      </w:r>
      <w:r>
        <w:rPr>
          <w:iCs/>
        </w:rPr>
        <w:t xml:space="preserve">exercised his retained control over the work in a manner that affirmatively contributed to Gonzalez’s injury </w:t>
      </w:r>
      <w:r w:rsidRPr="00EF6018">
        <w:rPr>
          <w:iCs/>
        </w:rPr>
        <w:t>when Mathis’s housekeeper directed</w:t>
      </w:r>
      <w:r>
        <w:rPr>
          <w:iCs/>
        </w:rPr>
        <w:t xml:space="preserve"> Gonzalez</w:t>
      </w:r>
      <w:r w:rsidRPr="00EF6018">
        <w:rPr>
          <w:iCs/>
        </w:rPr>
        <w:t xml:space="preserve"> to go </w:t>
      </w:r>
      <w:r>
        <w:rPr>
          <w:iCs/>
        </w:rPr>
        <w:t xml:space="preserve">on </w:t>
      </w:r>
      <w:r w:rsidRPr="00EF6018">
        <w:rPr>
          <w:iCs/>
        </w:rPr>
        <w:t>to the roof on the day of the accident to tell his workers to use less water in cleaning the skylight.</w:t>
      </w:r>
      <w:r>
        <w:rPr>
          <w:iCs/>
        </w:rPr>
        <w:t xml:space="preserve">  However, the general direction to “go on to the roof” did not interfere with or otherwise impact Gonzalez’s decisions regarding how to safely perform the work or provide a safe workplace for his employees.  Mathis’s housekeeper did not, for example, direct Gonzalez to walk between the parapet wall and the roof’s edge or otherwise influence his decisions regarding whether and how he might safely cross over the roof in order to reach his workers.  And, although Mathis’s housekeeper did exert some control over how Gonzalez conducted his work by directing him to “use less water,” </w:t>
      </w:r>
      <w:r w:rsidRPr="00C850D1">
        <w:rPr>
          <w:iCs/>
        </w:rPr>
        <w:t>Gonzalez</w:t>
      </w:r>
      <w:r w:rsidRPr="00EF6018">
        <w:rPr>
          <w:iCs/>
        </w:rPr>
        <w:t xml:space="preserve"> does not contend that the use of less water was in any way </w:t>
      </w:r>
      <w:r>
        <w:rPr>
          <w:iCs/>
        </w:rPr>
        <w:t xml:space="preserve">causally </w:t>
      </w:r>
      <w:r w:rsidRPr="00EF6018">
        <w:rPr>
          <w:iCs/>
        </w:rPr>
        <w:t xml:space="preserve">connected to his injury.  Gonzalez instead contends that he was injured because the configuration of the roof required him to walk between the parapet wall and the </w:t>
      </w:r>
      <w:r>
        <w:rPr>
          <w:iCs/>
        </w:rPr>
        <w:t xml:space="preserve">roof’s </w:t>
      </w:r>
      <w:r w:rsidRPr="00EF6018">
        <w:rPr>
          <w:iCs/>
        </w:rPr>
        <w:t>exposed edge</w:t>
      </w:r>
      <w:r>
        <w:rPr>
          <w:iCs/>
        </w:rPr>
        <w:t>,</w:t>
      </w:r>
      <w:r w:rsidRPr="00EF6018">
        <w:rPr>
          <w:iCs/>
        </w:rPr>
        <w:t xml:space="preserve"> and the roof’s dilapidated condition made </w:t>
      </w:r>
      <w:r>
        <w:rPr>
          <w:iCs/>
        </w:rPr>
        <w:t>its</w:t>
      </w:r>
      <w:r w:rsidRPr="00EF6018">
        <w:rPr>
          <w:iCs/>
        </w:rPr>
        <w:t xml:space="preserve"> surface very slippery.</w:t>
      </w:r>
      <w:r>
        <w:rPr>
          <w:iCs/>
        </w:rPr>
        <w:t xml:space="preserve">  </w:t>
      </w:r>
      <w:r w:rsidRPr="00EF6018">
        <w:rPr>
          <w:iCs/>
        </w:rPr>
        <w:t xml:space="preserve">Thus, the housekeeper’s instruction did not </w:t>
      </w:r>
      <w:r>
        <w:rPr>
          <w:iCs/>
        </w:rPr>
        <w:t xml:space="preserve">amount to an exercise of retained control over any part of the work in a manner that </w:t>
      </w:r>
      <w:r w:rsidRPr="00EF6018">
        <w:rPr>
          <w:iCs/>
        </w:rPr>
        <w:t>affirmatively contribute</w:t>
      </w:r>
      <w:r>
        <w:rPr>
          <w:iCs/>
        </w:rPr>
        <w:t>d</w:t>
      </w:r>
      <w:r w:rsidRPr="00EF6018">
        <w:rPr>
          <w:iCs/>
        </w:rPr>
        <w:t xml:space="preserve"> to Gonzalez’s injury.   </w:t>
      </w:r>
    </w:p>
    <w:p w:rsidR="00817BAD" w:rsidRPr="00EF6018" w:rsidP="00F83074">
      <w:pPr>
        <w:tabs>
          <w:tab w:val="left" w:pos="1440"/>
        </w:tabs>
        <w:ind w:firstLine="720"/>
        <w:rPr>
          <w:iCs/>
        </w:rPr>
      </w:pPr>
      <w:r w:rsidRPr="00EF6018">
        <w:rPr>
          <w:iCs/>
        </w:rPr>
        <w:t>In sum,</w:t>
      </w:r>
      <w:r w:rsidRPr="00EF6018" w:rsidR="00064F04">
        <w:rPr>
          <w:iCs/>
        </w:rPr>
        <w:t xml:space="preserve"> </w:t>
      </w:r>
      <w:r w:rsidRPr="00EF6018" w:rsidR="00A7365F">
        <w:rPr>
          <w:iCs/>
        </w:rPr>
        <w:t xml:space="preserve">pursuant to </w:t>
      </w:r>
      <w:r w:rsidRPr="00EF6018" w:rsidR="00A7365F">
        <w:rPr>
          <w:i/>
        </w:rPr>
        <w:t>Privette</w:t>
      </w:r>
      <w:r w:rsidRPr="00EF6018" w:rsidR="00A7365F">
        <w:rPr>
          <w:iCs/>
        </w:rPr>
        <w:t>, Mathis delegated all responsibility for workplace safety</w:t>
      </w:r>
      <w:r w:rsidRPr="00EF6018" w:rsidR="00E923D6">
        <w:rPr>
          <w:iCs/>
        </w:rPr>
        <w:t xml:space="preserve"> to Gonzalez</w:t>
      </w:r>
      <w:r w:rsidRPr="00EF6018" w:rsidR="00A7365F">
        <w:rPr>
          <w:iCs/>
        </w:rPr>
        <w:t xml:space="preserve">.  This </w:t>
      </w:r>
      <w:r w:rsidRPr="00EF6018" w:rsidR="00E923D6">
        <w:rPr>
          <w:iCs/>
        </w:rPr>
        <w:t xml:space="preserve">delegation </w:t>
      </w:r>
      <w:r w:rsidRPr="00EF6018" w:rsidR="00A7365F">
        <w:rPr>
          <w:iCs/>
        </w:rPr>
        <w:t xml:space="preserve">included a responsibility on </w:t>
      </w:r>
      <w:r w:rsidRPr="00EF6018" w:rsidR="00E923D6">
        <w:rPr>
          <w:iCs/>
        </w:rPr>
        <w:t>Gonzalez’s</w:t>
      </w:r>
      <w:r w:rsidRPr="00EF6018" w:rsidR="00A7365F">
        <w:rPr>
          <w:iCs/>
        </w:rPr>
        <w:t xml:space="preserve"> part to ensure that </w:t>
      </w:r>
      <w:r w:rsidRPr="00EF6018" w:rsidR="00E923D6">
        <w:rPr>
          <w:iCs/>
        </w:rPr>
        <w:t xml:space="preserve">he and his workers would be able to clean </w:t>
      </w:r>
      <w:r w:rsidRPr="00EF6018" w:rsidR="00A7365F">
        <w:rPr>
          <w:iCs/>
        </w:rPr>
        <w:t xml:space="preserve">the skylight safely despite </w:t>
      </w:r>
      <w:r w:rsidRPr="00EF6018" w:rsidR="004E3A7A">
        <w:rPr>
          <w:iCs/>
        </w:rPr>
        <w:t xml:space="preserve">the </w:t>
      </w:r>
      <w:r w:rsidRPr="00EF6018" w:rsidR="00A7365F">
        <w:rPr>
          <w:iCs/>
        </w:rPr>
        <w:t xml:space="preserve">known dangerous conditions on the roof </w:t>
      </w:r>
      <w:r w:rsidRPr="00EF6018" w:rsidR="00E923D6">
        <w:rPr>
          <w:iCs/>
        </w:rPr>
        <w:t xml:space="preserve">which </w:t>
      </w:r>
      <w:r w:rsidRPr="00EF6018" w:rsidR="00A7365F">
        <w:rPr>
          <w:iCs/>
        </w:rPr>
        <w:t>increased the risk of falling.</w:t>
      </w:r>
      <w:r w:rsidR="00EF2388">
        <w:rPr>
          <w:iCs/>
        </w:rPr>
        <w:t xml:space="preserve">  </w:t>
      </w:r>
      <w:r w:rsidRPr="00EF6018" w:rsidR="002749C3">
        <w:rPr>
          <w:iCs/>
        </w:rPr>
        <w:t xml:space="preserve">Mathis is not liable under our </w:t>
      </w:r>
      <w:r w:rsidRPr="00EF6018" w:rsidR="00AF12EF">
        <w:rPr>
          <w:iCs/>
        </w:rPr>
        <w:t>well-established precedent</w:t>
      </w:r>
      <w:r w:rsidRPr="00EF6018" w:rsidR="002749C3">
        <w:rPr>
          <w:iCs/>
        </w:rPr>
        <w:t xml:space="preserve"> because he</w:t>
      </w:r>
      <w:r w:rsidRPr="00EF6018" w:rsidR="00AF12EF">
        <w:rPr>
          <w:iCs/>
        </w:rPr>
        <w:t xml:space="preserve"> </w:t>
      </w:r>
      <w:r w:rsidRPr="00EF6018" w:rsidR="00041775">
        <w:rPr>
          <w:iCs/>
        </w:rPr>
        <w:t>did not</w:t>
      </w:r>
      <w:r w:rsidRPr="00EF6018" w:rsidR="00AF12EF">
        <w:rPr>
          <w:iCs/>
        </w:rPr>
        <w:t xml:space="preserve"> </w:t>
      </w:r>
      <w:r w:rsidR="00EF2388">
        <w:rPr>
          <w:iCs/>
        </w:rPr>
        <w:t xml:space="preserve">exercise any </w:t>
      </w:r>
      <w:r w:rsidRPr="00EF6018" w:rsidR="00AF12EF">
        <w:rPr>
          <w:iCs/>
        </w:rPr>
        <w:t>retain</w:t>
      </w:r>
      <w:r w:rsidR="00EF2388">
        <w:rPr>
          <w:iCs/>
        </w:rPr>
        <w:t>ed</w:t>
      </w:r>
      <w:r w:rsidRPr="00EF6018" w:rsidR="00AF12EF">
        <w:rPr>
          <w:iCs/>
        </w:rPr>
        <w:t xml:space="preserve"> control</w:t>
      </w:r>
      <w:r w:rsidRPr="00EF6018" w:rsidR="00041775">
        <w:rPr>
          <w:iCs/>
        </w:rPr>
        <w:t xml:space="preserve"> </w:t>
      </w:r>
      <w:r w:rsidR="00904C7A">
        <w:rPr>
          <w:iCs/>
        </w:rPr>
        <w:t xml:space="preserve">over </w:t>
      </w:r>
      <w:r w:rsidR="00C818E1">
        <w:rPr>
          <w:iCs/>
        </w:rPr>
        <w:t xml:space="preserve">any part of </w:t>
      </w:r>
      <w:r w:rsidR="00904C7A">
        <w:rPr>
          <w:iCs/>
        </w:rPr>
        <w:t>Gonzalez’s work</w:t>
      </w:r>
      <w:r w:rsidR="00EF2388">
        <w:rPr>
          <w:iCs/>
        </w:rPr>
        <w:t xml:space="preserve"> in </w:t>
      </w:r>
      <w:r w:rsidRPr="00EF6018" w:rsidR="00041775">
        <w:rPr>
          <w:iCs/>
        </w:rPr>
        <w:t>a manner that</w:t>
      </w:r>
      <w:r w:rsidRPr="00EF6018" w:rsidR="00AF12EF">
        <w:rPr>
          <w:iCs/>
        </w:rPr>
        <w:t xml:space="preserve"> affirmatively contributed to </w:t>
      </w:r>
      <w:r w:rsidRPr="00EF6018" w:rsidR="00041775">
        <w:rPr>
          <w:iCs/>
        </w:rPr>
        <w:t>Gonzalez’s injury</w:t>
      </w:r>
      <w:r w:rsidRPr="00EF6018" w:rsidR="006D4870">
        <w:rPr>
          <w:iCs/>
        </w:rPr>
        <w:t xml:space="preserve">.    </w:t>
      </w:r>
    </w:p>
    <w:p w:rsidR="00817BAD" w:rsidRPr="00EF6018" w:rsidP="00EF6018">
      <w:pPr>
        <w:pStyle w:val="Heading1"/>
      </w:pPr>
      <w:r w:rsidRPr="00EF6018">
        <w:t xml:space="preserve">III.  </w:t>
      </w:r>
      <w:r w:rsidRPr="00EF6018" w:rsidR="00173F33">
        <w:t>Disposition</w:t>
      </w:r>
    </w:p>
    <w:p w:rsidR="006D4870" w:rsidRPr="00EF6018" w:rsidP="00F83074">
      <w:pPr>
        <w:tabs>
          <w:tab w:val="left" w:pos="1440"/>
        </w:tabs>
        <w:ind w:firstLine="720"/>
      </w:pPr>
      <w:r>
        <w:rPr>
          <w:iCs/>
        </w:rPr>
        <w:t>W</w:t>
      </w:r>
      <w:r w:rsidRPr="00EF6018" w:rsidR="0024218F">
        <w:rPr>
          <w:iCs/>
        </w:rPr>
        <w:t xml:space="preserve">e </w:t>
      </w:r>
      <w:r>
        <w:rPr>
          <w:iCs/>
        </w:rPr>
        <w:t>conclude</w:t>
      </w:r>
      <w:r w:rsidRPr="00EF6018" w:rsidR="0024218F">
        <w:rPr>
          <w:iCs/>
        </w:rPr>
        <w:t xml:space="preserve"> </w:t>
      </w:r>
      <w:r w:rsidRPr="00EF6018" w:rsidR="00943DBF">
        <w:t>that,</w:t>
      </w:r>
      <w:r w:rsidRPr="00EF6018" w:rsidR="0024218F">
        <w:t xml:space="preserve"> </w:t>
      </w:r>
      <w:r w:rsidRPr="00EF6018" w:rsidR="00DE3F23">
        <w:t>under</w:t>
      </w:r>
      <w:r w:rsidRPr="00EF6018" w:rsidR="00564621">
        <w:t xml:space="preserve"> </w:t>
      </w:r>
      <w:r w:rsidRPr="00EF6018" w:rsidR="00564621">
        <w:rPr>
          <w:i/>
          <w:iCs/>
        </w:rPr>
        <w:t>Privette</w:t>
      </w:r>
      <w:r w:rsidRPr="00EF6018" w:rsidR="00564621">
        <w:t>, a landowner</w:t>
      </w:r>
      <w:r w:rsidRPr="00EF6018" w:rsidR="00CC71AC">
        <w:t xml:space="preserve"> presumptively</w:t>
      </w:r>
      <w:r w:rsidRPr="00EF6018" w:rsidR="00D62531">
        <w:t xml:space="preserve"> </w:t>
      </w:r>
      <w:r w:rsidRPr="00EF6018" w:rsidR="00564621">
        <w:t>delegate</w:t>
      </w:r>
      <w:r w:rsidRPr="00EF6018" w:rsidR="00D62531">
        <w:t>s</w:t>
      </w:r>
      <w:r w:rsidRPr="00EF6018" w:rsidR="00564621">
        <w:t xml:space="preserve"> to an independent contractor all responsibility for workplace safety, including the responsibility to ensure that the work can be performed safely despite a known hazard </w:t>
      </w:r>
      <w:r w:rsidRPr="00EF6018" w:rsidR="002749C3">
        <w:t>on</w:t>
      </w:r>
      <w:r w:rsidRPr="00EF6018" w:rsidR="00C65B3A">
        <w:t xml:space="preserve"> the worksite</w:t>
      </w:r>
      <w:r w:rsidRPr="00EF6018" w:rsidR="00564621">
        <w:t xml:space="preserve">.  </w:t>
      </w:r>
      <w:r w:rsidRPr="00EF6018" w:rsidR="00DE3F23">
        <w:t xml:space="preserve">For this reason, </w:t>
      </w:r>
      <w:r w:rsidRPr="00EF6018" w:rsidR="00564621">
        <w:t>a landowner</w:t>
      </w:r>
      <w:r w:rsidRPr="00EF6018" w:rsidR="00D62531">
        <w:t xml:space="preserve"> </w:t>
      </w:r>
      <w:r w:rsidRPr="00EF6018" w:rsidR="00CC71AC">
        <w:t xml:space="preserve">will generally </w:t>
      </w:r>
      <w:r w:rsidRPr="00EF6018" w:rsidR="00564621">
        <w:t>owe</w:t>
      </w:r>
      <w:r w:rsidRPr="00EF6018" w:rsidR="00D62531">
        <w:t xml:space="preserve"> </w:t>
      </w:r>
      <w:r w:rsidRPr="00EF6018" w:rsidR="00564621">
        <w:t xml:space="preserve">no duty to an independent contractor or its workers to remedy </w:t>
      </w:r>
      <w:r w:rsidRPr="00EF6018" w:rsidR="00DE3F23">
        <w:t xml:space="preserve">or adopt other measures to protect them </w:t>
      </w:r>
      <w:r w:rsidRPr="00EF6018" w:rsidR="00564621">
        <w:t>a</w:t>
      </w:r>
      <w:r w:rsidRPr="00EF6018" w:rsidR="00DE3F23">
        <w:t>gainst</w:t>
      </w:r>
      <w:r w:rsidRPr="00EF6018" w:rsidR="00D62531">
        <w:t xml:space="preserve"> known hazards</w:t>
      </w:r>
      <w:r w:rsidRPr="00EF6018" w:rsidR="00C65B3A">
        <w:t xml:space="preserve"> on the premises</w:t>
      </w:r>
      <w:r w:rsidRPr="00EF6018" w:rsidR="00D62531">
        <w:t xml:space="preserve">.  </w:t>
      </w:r>
      <w:r w:rsidRPr="00EF6018" w:rsidR="00C65B3A">
        <w:t xml:space="preserve">Though a landowner may, nevertheless, be liable for a known hazard on the premises if it </w:t>
      </w:r>
      <w:r w:rsidR="00C818E1">
        <w:t xml:space="preserve">exercises its </w:t>
      </w:r>
      <w:r w:rsidRPr="00EF6018" w:rsidR="00C65B3A">
        <w:t>retain</w:t>
      </w:r>
      <w:r w:rsidR="00C818E1">
        <w:t>ed</w:t>
      </w:r>
      <w:r w:rsidRPr="00EF6018" w:rsidR="00C65B3A">
        <w:t xml:space="preserve"> control </w:t>
      </w:r>
      <w:r w:rsidRPr="00EF6018" w:rsidR="00CC71AC">
        <w:t>over</w:t>
      </w:r>
      <w:r w:rsidR="00C818E1">
        <w:t xml:space="preserve"> any part of</w:t>
      </w:r>
      <w:r w:rsidRPr="00EF6018" w:rsidR="00CC71AC">
        <w:t xml:space="preserve"> the </w:t>
      </w:r>
      <w:r w:rsidR="00904C7A">
        <w:t>independent contractor’s work</w:t>
      </w:r>
      <w:r w:rsidRPr="00EF6018" w:rsidR="00CC71AC">
        <w:t xml:space="preserve"> in a manner that affirmatively contribute</w:t>
      </w:r>
      <w:r w:rsidRPr="00EF6018" w:rsidR="002749C3">
        <w:t>s</w:t>
      </w:r>
      <w:r w:rsidRPr="00EF6018" w:rsidR="00CC71AC">
        <w:t xml:space="preserve"> to the injury</w:t>
      </w:r>
      <w:r w:rsidRPr="00EF6018" w:rsidR="00DE3F23">
        <w:t xml:space="preserve">, </w:t>
      </w:r>
      <w:r w:rsidRPr="00EF6018" w:rsidR="00C65B3A">
        <w:t>Gonzalez failed to present any evidence tending to show that such circumstances existed in this case.</w:t>
      </w:r>
      <w:r w:rsidRPr="00EF6018" w:rsidR="00DE3F23">
        <w:t xml:space="preserve"> </w:t>
      </w:r>
      <w:r w:rsidRPr="00EF6018" w:rsidR="00C65B3A">
        <w:t xml:space="preserve"> </w:t>
      </w:r>
      <w:r w:rsidR="009B58EE">
        <w:t>We</w:t>
      </w:r>
      <w:r w:rsidRPr="00EF6018" w:rsidR="00943DBF">
        <w:t xml:space="preserve"> </w:t>
      </w:r>
      <w:r w:rsidRPr="00EF6018" w:rsidR="00DE3F23">
        <w:t xml:space="preserve">therefore </w:t>
      </w:r>
      <w:r w:rsidRPr="00EF6018" w:rsidR="00943DBF">
        <w:t>reverse the judgment of the Court of Appeal</w:t>
      </w:r>
      <w:r w:rsidR="004E7A92">
        <w:t xml:space="preserve"> and remand to the Court of Appeal with instructions to affirm the trial court’s judgmen</w:t>
      </w:r>
      <w:r w:rsidR="009C2F0D">
        <w:t>t</w:t>
      </w:r>
      <w:r w:rsidR="004E7A92">
        <w:t xml:space="preserve">. </w:t>
      </w:r>
    </w:p>
    <w:p w:rsidR="00566088" w:rsidP="00F83074">
      <w:pPr>
        <w:tabs>
          <w:tab w:val="left" w:pos="1440"/>
        </w:tabs>
        <w:ind w:firstLine="720"/>
        <w:rPr>
          <w:b/>
          <w:szCs w:val="26"/>
        </w:rPr>
      </w:pPr>
      <w:r>
        <w:rPr>
          <w:b/>
          <w:szCs w:val="26"/>
        </w:rPr>
        <w:tab/>
      </w:r>
      <w:r>
        <w:rPr>
          <w:b/>
          <w:szCs w:val="26"/>
        </w:rPr>
        <w:tab/>
      </w:r>
      <w:r>
        <w:rPr>
          <w:b/>
          <w:szCs w:val="26"/>
        </w:rPr>
        <w:tab/>
      </w:r>
    </w:p>
    <w:p w:rsidR="006D4870" w:rsidRPr="00EF6018" w:rsidP="00F83074">
      <w:pPr>
        <w:tabs>
          <w:tab w:val="left" w:pos="1440"/>
        </w:tabs>
        <w:ind w:firstLine="720"/>
        <w:jc w:val="right"/>
        <w:rPr>
          <w:b/>
          <w:szCs w:val="26"/>
        </w:rPr>
      </w:pPr>
      <w:r w:rsidRPr="00EF6018">
        <w:rPr>
          <w:b/>
          <w:szCs w:val="26"/>
        </w:rPr>
        <w:t>GROBAN, J.</w:t>
      </w:r>
    </w:p>
    <w:p w:rsidR="00001682" w:rsidP="00001682">
      <w:pPr>
        <w:rPr>
          <w:b/>
          <w:szCs w:val="26"/>
        </w:rPr>
      </w:pPr>
    </w:p>
    <w:p w:rsidR="00001682" w:rsidP="00001682">
      <w:pPr>
        <w:rPr>
          <w:b/>
          <w:szCs w:val="26"/>
        </w:rPr>
      </w:pPr>
      <w:r>
        <w:rPr>
          <w:b/>
          <w:szCs w:val="26"/>
        </w:rPr>
        <w:t>We Concur:</w:t>
      </w:r>
    </w:p>
    <w:p w:rsidR="00001682" w:rsidP="00001682">
      <w:pPr>
        <w:spacing w:after="0" w:line="240" w:lineRule="auto"/>
        <w:jc w:val="left"/>
        <w:rPr>
          <w:b/>
          <w:bCs/>
        </w:rPr>
      </w:pPr>
      <w:r>
        <w:rPr>
          <w:b/>
          <w:bCs/>
        </w:rPr>
        <w:t>CANTIL-SAKAUYE, C. J.</w:t>
      </w:r>
    </w:p>
    <w:p w:rsidR="00001682" w:rsidP="00001682">
      <w:pPr>
        <w:spacing w:after="0" w:line="240" w:lineRule="auto"/>
        <w:jc w:val="left"/>
        <w:rPr>
          <w:b/>
          <w:bCs/>
        </w:rPr>
      </w:pPr>
      <w:r>
        <w:rPr>
          <w:b/>
          <w:bCs/>
        </w:rPr>
        <w:t>CORRIGAN, J.</w:t>
      </w:r>
      <w:r>
        <w:rPr>
          <w:b/>
          <w:bCs/>
        </w:rPr>
        <w:br/>
        <w:t>LIU, J.</w:t>
      </w:r>
    </w:p>
    <w:p w:rsidR="00001682" w:rsidP="00001682">
      <w:pPr>
        <w:spacing w:after="0" w:line="240" w:lineRule="auto"/>
        <w:jc w:val="left"/>
        <w:rPr>
          <w:b/>
          <w:bCs/>
        </w:rPr>
      </w:pPr>
      <w:r>
        <w:rPr>
          <w:b/>
          <w:bCs/>
        </w:rPr>
        <w:t>CU</w:t>
      </w:r>
      <w:r w:rsidRPr="00A33369">
        <w:rPr>
          <w:b/>
          <w:bCs/>
          <w:lang w:val="it-IT"/>
        </w:rPr>
        <w:t>É</w:t>
      </w:r>
      <w:r>
        <w:rPr>
          <w:b/>
          <w:bCs/>
        </w:rPr>
        <w:t>LLAR, J.</w:t>
      </w:r>
    </w:p>
    <w:p w:rsidR="00001682" w:rsidP="00001682">
      <w:pPr>
        <w:spacing w:after="0" w:line="240" w:lineRule="auto"/>
        <w:jc w:val="left"/>
        <w:rPr>
          <w:b/>
          <w:bCs/>
        </w:rPr>
      </w:pPr>
      <w:r>
        <w:rPr>
          <w:b/>
          <w:bCs/>
        </w:rPr>
        <w:t>KRUGER, J.</w:t>
      </w:r>
    </w:p>
    <w:p w:rsidR="00001682" w:rsidRPr="0081313F" w:rsidP="00001682">
      <w:pPr>
        <w:rPr>
          <w:b/>
          <w:szCs w:val="26"/>
        </w:rPr>
      </w:pPr>
      <w:r>
        <w:rPr>
          <w:b/>
          <w:szCs w:val="26"/>
        </w:rPr>
        <w:t>JENKINS, J.</w:t>
      </w:r>
    </w:p>
    <w:p w:rsidR="006D04B6" w:rsidRPr="00EF6018" w:rsidP="00566088">
      <w:pPr>
        <w:tabs>
          <w:tab w:val="left" w:pos="1440"/>
          <w:tab w:val="left" w:pos="5040"/>
        </w:tabs>
        <w:jc w:val="left"/>
      </w:pPr>
    </w:p>
    <w:p w:rsidR="006D04B6" w:rsidRPr="00EF6018" w:rsidP="00EF6018">
      <w:pPr>
        <w:tabs>
          <w:tab w:val="left" w:pos="1440"/>
          <w:tab w:val="left" w:pos="5040"/>
        </w:tabs>
        <w:ind w:firstLine="720"/>
      </w:pPr>
    </w:p>
    <w:p w:rsidR="00FE5457" w:rsidP="00F83074">
      <w:pPr>
        <w:tabs>
          <w:tab w:val="left" w:pos="1440"/>
        </w:tabs>
        <w:sectPr w:rsidSect="0072470D">
          <w:footerReference w:type="first" r:id="rId11"/>
          <w:pgSz w:w="12240" w:h="15840"/>
          <w:pgMar w:top="1800" w:right="2160" w:bottom="1440" w:left="2160" w:header="720" w:footer="720" w:gutter="0"/>
          <w:pgNumType w:start="1"/>
          <w:cols w:space="720"/>
          <w:titlePg/>
          <w:docGrid w:linePitch="367"/>
        </w:sectPr>
      </w:pPr>
      <w:bookmarkStart w:id="46" w:name="initials"/>
      <w:bookmarkEnd w:id="0"/>
      <w:bookmarkEnd w:id="46"/>
    </w:p>
    <w:p w:rsidR="004A78B7" w:rsidRPr="004A78B7" w:rsidP="004A78B7">
      <w:pPr>
        <w:spacing w:after="0" w:line="240" w:lineRule="auto"/>
        <w:jc w:val="left"/>
        <w:rPr>
          <w:i/>
          <w:sz w:val="24"/>
          <w:szCs w:val="24"/>
        </w:rPr>
      </w:pPr>
      <w:r w:rsidRPr="004A78B7">
        <w:rPr>
          <w:i/>
          <w:sz w:val="24"/>
          <w:szCs w:val="24"/>
        </w:rPr>
        <w:t>See next page for addresses and telephone numbers for counsel who argued in Supreme Court.</w:t>
      </w:r>
    </w:p>
    <w:p w:rsidR="004A78B7" w:rsidRPr="004A78B7" w:rsidP="004A78B7">
      <w:pPr>
        <w:spacing w:after="0" w:line="240" w:lineRule="auto"/>
        <w:jc w:val="left"/>
        <w:rPr>
          <w:i/>
          <w:sz w:val="24"/>
          <w:szCs w:val="24"/>
        </w:rPr>
      </w:pPr>
    </w:p>
    <w:p w:rsidR="004A78B7" w:rsidRPr="004A78B7" w:rsidP="004A78B7">
      <w:pPr>
        <w:spacing w:after="0" w:line="240" w:lineRule="auto"/>
        <w:jc w:val="left"/>
        <w:rPr>
          <w:bCs/>
          <w:sz w:val="24"/>
          <w:szCs w:val="24"/>
        </w:rPr>
      </w:pPr>
      <w:r w:rsidRPr="004A78B7">
        <w:rPr>
          <w:b/>
          <w:sz w:val="24"/>
          <w:szCs w:val="24"/>
        </w:rPr>
        <w:t xml:space="preserve">Name of Opinion </w:t>
      </w:r>
      <w:r w:rsidRPr="004A78B7">
        <w:rPr>
          <w:bCs/>
          <w:sz w:val="24"/>
          <w:szCs w:val="24"/>
        </w:rPr>
        <w:t>Gonzalez v. Mathis</w:t>
      </w:r>
    </w:p>
    <w:p w:rsidR="004A78B7" w:rsidRPr="004A78B7" w:rsidP="004A78B7">
      <w:pPr>
        <w:spacing w:after="0" w:line="240" w:lineRule="auto"/>
        <w:jc w:val="left"/>
        <w:rPr>
          <w:b/>
          <w:sz w:val="24"/>
          <w:szCs w:val="24"/>
        </w:rPr>
      </w:pPr>
      <w:r w:rsidRPr="004A78B7">
        <w:rPr>
          <w:b/>
          <w:sz w:val="24"/>
          <w:szCs w:val="24"/>
        </w:rPr>
        <w:t>__________________________________________________________</w:t>
      </w:r>
    </w:p>
    <w:p w:rsidR="004A78B7" w:rsidRPr="004A78B7" w:rsidP="004A78B7">
      <w:pPr>
        <w:spacing w:after="0" w:line="240" w:lineRule="auto"/>
        <w:jc w:val="left"/>
        <w:rPr>
          <w:b/>
          <w:sz w:val="24"/>
          <w:szCs w:val="24"/>
        </w:rPr>
      </w:pPr>
    </w:p>
    <w:p w:rsidR="004A78B7" w:rsidRPr="004A78B7" w:rsidP="004A78B7">
      <w:pPr>
        <w:spacing w:after="0" w:line="240" w:lineRule="auto"/>
        <w:jc w:val="left"/>
        <w:rPr>
          <w:sz w:val="24"/>
          <w:szCs w:val="24"/>
        </w:rPr>
      </w:pPr>
      <w:r w:rsidRPr="004A78B7">
        <w:rPr>
          <w:b/>
          <w:bCs/>
          <w:sz w:val="24"/>
          <w:szCs w:val="24"/>
          <w:u w:val="single"/>
        </w:rPr>
        <w:t>Procedural Posture</w:t>
      </w:r>
      <w:r w:rsidRPr="004A78B7">
        <w:rPr>
          <w:b/>
          <w:bCs/>
          <w:sz w:val="24"/>
          <w:szCs w:val="24"/>
        </w:rPr>
        <w:t xml:space="preserve"> </w:t>
      </w:r>
      <w:r w:rsidRPr="004A78B7">
        <w:rPr>
          <w:sz w:val="24"/>
          <w:szCs w:val="24"/>
        </w:rPr>
        <w:t>(see XX below)</w:t>
      </w:r>
    </w:p>
    <w:p w:rsidR="004A78B7" w:rsidRPr="004A78B7" w:rsidP="004A78B7">
      <w:pPr>
        <w:spacing w:after="0" w:line="240" w:lineRule="auto"/>
        <w:jc w:val="left"/>
        <w:rPr>
          <w:sz w:val="24"/>
          <w:szCs w:val="24"/>
        </w:rPr>
      </w:pPr>
      <w:r w:rsidRPr="004A78B7">
        <w:rPr>
          <w:b/>
          <w:bCs/>
          <w:sz w:val="24"/>
          <w:szCs w:val="24"/>
        </w:rPr>
        <w:t>Original Appeal</w:t>
      </w:r>
      <w:r w:rsidRPr="004A78B7">
        <w:rPr>
          <w:sz w:val="24"/>
          <w:szCs w:val="24"/>
        </w:rPr>
        <w:t xml:space="preserve"> </w:t>
      </w:r>
    </w:p>
    <w:p w:rsidR="004A78B7" w:rsidRPr="004A78B7" w:rsidP="004A78B7">
      <w:pPr>
        <w:spacing w:after="0" w:line="240" w:lineRule="auto"/>
        <w:jc w:val="left"/>
        <w:rPr>
          <w:b/>
          <w:bCs/>
          <w:sz w:val="24"/>
          <w:szCs w:val="24"/>
        </w:rPr>
      </w:pPr>
      <w:r w:rsidRPr="004A78B7">
        <w:rPr>
          <w:b/>
          <w:bCs/>
          <w:sz w:val="24"/>
          <w:szCs w:val="24"/>
        </w:rPr>
        <w:t>Original Proceeding</w:t>
      </w:r>
    </w:p>
    <w:p w:rsidR="004A78B7" w:rsidRPr="004A78B7" w:rsidP="004A78B7">
      <w:pPr>
        <w:spacing w:after="0" w:line="240" w:lineRule="auto"/>
        <w:jc w:val="left"/>
        <w:rPr>
          <w:sz w:val="24"/>
          <w:szCs w:val="24"/>
        </w:rPr>
      </w:pPr>
      <w:r w:rsidRPr="004A78B7">
        <w:rPr>
          <w:b/>
          <w:bCs/>
          <w:sz w:val="24"/>
          <w:szCs w:val="24"/>
        </w:rPr>
        <w:t>Review Granted</w:t>
      </w:r>
      <w:r w:rsidRPr="004A78B7">
        <w:rPr>
          <w:sz w:val="24"/>
          <w:szCs w:val="24"/>
        </w:rPr>
        <w:t xml:space="preserve"> </w:t>
      </w:r>
      <w:r w:rsidRPr="004A78B7">
        <w:rPr>
          <w:b/>
          <w:bCs/>
          <w:sz w:val="24"/>
          <w:szCs w:val="24"/>
        </w:rPr>
        <w:t xml:space="preserve">(published) </w:t>
      </w:r>
      <w:r w:rsidRPr="004A78B7">
        <w:rPr>
          <w:sz w:val="24"/>
          <w:szCs w:val="24"/>
        </w:rPr>
        <w:t>XX 20 Cal.App.5th 257</w:t>
      </w:r>
    </w:p>
    <w:p w:rsidR="004A78B7" w:rsidRPr="004A78B7" w:rsidP="004A78B7">
      <w:pPr>
        <w:spacing w:after="0" w:line="240" w:lineRule="auto"/>
        <w:jc w:val="left"/>
        <w:rPr>
          <w:sz w:val="24"/>
          <w:szCs w:val="24"/>
        </w:rPr>
      </w:pPr>
      <w:r w:rsidRPr="004A78B7">
        <w:rPr>
          <w:b/>
          <w:bCs/>
          <w:sz w:val="24"/>
          <w:szCs w:val="24"/>
        </w:rPr>
        <w:t xml:space="preserve">Review Granted (unpublished) </w:t>
      </w:r>
    </w:p>
    <w:p w:rsidR="004A78B7" w:rsidRPr="004A78B7" w:rsidP="004A78B7">
      <w:pPr>
        <w:spacing w:after="0" w:line="240" w:lineRule="auto"/>
        <w:jc w:val="left"/>
        <w:rPr>
          <w:b/>
          <w:bCs/>
          <w:sz w:val="24"/>
          <w:szCs w:val="24"/>
        </w:rPr>
      </w:pPr>
      <w:r w:rsidRPr="004A78B7">
        <w:rPr>
          <w:b/>
          <w:bCs/>
          <w:sz w:val="24"/>
          <w:szCs w:val="24"/>
        </w:rPr>
        <w:t>Rehearing Granted</w:t>
      </w:r>
    </w:p>
    <w:p w:rsidR="004A78B7" w:rsidRPr="004A78B7" w:rsidP="004A78B7">
      <w:pPr>
        <w:spacing w:after="0" w:line="240" w:lineRule="auto"/>
        <w:jc w:val="left"/>
        <w:rPr>
          <w:b/>
          <w:sz w:val="24"/>
          <w:szCs w:val="24"/>
        </w:rPr>
      </w:pPr>
    </w:p>
    <w:p w:rsidR="004A78B7" w:rsidRPr="004A78B7" w:rsidP="004A78B7">
      <w:pPr>
        <w:spacing w:after="0" w:line="240" w:lineRule="auto"/>
        <w:jc w:val="left"/>
        <w:rPr>
          <w:b/>
          <w:sz w:val="24"/>
          <w:szCs w:val="24"/>
        </w:rPr>
      </w:pPr>
      <w:r w:rsidRPr="004A78B7">
        <w:rPr>
          <w:b/>
          <w:sz w:val="24"/>
          <w:szCs w:val="24"/>
        </w:rPr>
        <w:t xml:space="preserve">__________________________________________________________ </w:t>
      </w:r>
    </w:p>
    <w:p w:rsidR="004A78B7" w:rsidRPr="004A78B7" w:rsidP="004A78B7">
      <w:pPr>
        <w:spacing w:after="0" w:line="240" w:lineRule="auto"/>
        <w:jc w:val="left"/>
        <w:rPr>
          <w:b/>
          <w:sz w:val="24"/>
          <w:szCs w:val="24"/>
        </w:rPr>
      </w:pPr>
    </w:p>
    <w:p w:rsidR="004A78B7" w:rsidRPr="004A78B7" w:rsidP="004A78B7">
      <w:pPr>
        <w:spacing w:after="0" w:line="240" w:lineRule="auto"/>
        <w:jc w:val="left"/>
        <w:rPr>
          <w:bCs/>
          <w:sz w:val="24"/>
          <w:szCs w:val="24"/>
        </w:rPr>
      </w:pPr>
      <w:r w:rsidRPr="004A78B7">
        <w:rPr>
          <w:b/>
          <w:sz w:val="24"/>
          <w:szCs w:val="24"/>
        </w:rPr>
        <w:t>Opinion No.</w:t>
      </w:r>
      <w:r w:rsidRPr="004A78B7">
        <w:rPr>
          <w:sz w:val="24"/>
          <w:szCs w:val="24"/>
        </w:rPr>
        <w:t xml:space="preserve"> S247677</w:t>
      </w:r>
    </w:p>
    <w:p w:rsidR="004A78B7" w:rsidRPr="004A78B7" w:rsidP="004A78B7">
      <w:pPr>
        <w:spacing w:after="0" w:line="240" w:lineRule="auto"/>
        <w:jc w:val="left"/>
        <w:rPr>
          <w:bCs/>
          <w:sz w:val="24"/>
          <w:szCs w:val="24"/>
        </w:rPr>
      </w:pPr>
      <w:r w:rsidRPr="004A78B7">
        <w:rPr>
          <w:b/>
          <w:sz w:val="24"/>
          <w:szCs w:val="24"/>
        </w:rPr>
        <w:t>Date Filed:</w:t>
      </w:r>
      <w:r w:rsidRPr="004A78B7">
        <w:rPr>
          <w:sz w:val="24"/>
          <w:szCs w:val="24"/>
        </w:rPr>
        <w:t xml:space="preserve"> August 19, 2021</w:t>
      </w:r>
    </w:p>
    <w:p w:rsidR="004A78B7" w:rsidRPr="004A78B7" w:rsidP="004A78B7">
      <w:pPr>
        <w:spacing w:after="0" w:line="240" w:lineRule="auto"/>
        <w:jc w:val="left"/>
        <w:rPr>
          <w:b/>
          <w:sz w:val="24"/>
          <w:szCs w:val="24"/>
        </w:rPr>
      </w:pPr>
      <w:r w:rsidRPr="004A78B7">
        <w:rPr>
          <w:b/>
          <w:sz w:val="24"/>
          <w:szCs w:val="24"/>
        </w:rPr>
        <w:t xml:space="preserve">__________________________________________________________ </w:t>
      </w:r>
    </w:p>
    <w:p w:rsidR="004A78B7" w:rsidRPr="004A78B7" w:rsidP="004A78B7">
      <w:pPr>
        <w:spacing w:after="0" w:line="240" w:lineRule="auto"/>
        <w:jc w:val="left"/>
        <w:rPr>
          <w:b/>
          <w:sz w:val="24"/>
          <w:szCs w:val="24"/>
        </w:rPr>
      </w:pPr>
    </w:p>
    <w:p w:rsidR="004A78B7" w:rsidRPr="004A78B7" w:rsidP="004A78B7">
      <w:pPr>
        <w:spacing w:after="0" w:line="240" w:lineRule="auto"/>
        <w:jc w:val="left"/>
        <w:rPr>
          <w:bCs/>
          <w:sz w:val="24"/>
          <w:szCs w:val="24"/>
        </w:rPr>
      </w:pPr>
      <w:r w:rsidRPr="004A78B7">
        <w:rPr>
          <w:b/>
          <w:sz w:val="24"/>
          <w:szCs w:val="24"/>
        </w:rPr>
        <w:t xml:space="preserve">Court:  </w:t>
      </w:r>
      <w:r w:rsidRPr="004A78B7">
        <w:rPr>
          <w:bCs/>
          <w:sz w:val="24"/>
          <w:szCs w:val="24"/>
        </w:rPr>
        <w:t>Superior</w:t>
      </w:r>
      <w:r w:rsidRPr="004A78B7">
        <w:rPr>
          <w:b/>
          <w:sz w:val="24"/>
          <w:szCs w:val="24"/>
        </w:rPr>
        <w:t xml:space="preserve"> </w:t>
      </w:r>
    </w:p>
    <w:p w:rsidR="004A78B7" w:rsidRPr="004A78B7" w:rsidP="004A78B7">
      <w:pPr>
        <w:spacing w:after="0" w:line="240" w:lineRule="auto"/>
        <w:jc w:val="left"/>
        <w:rPr>
          <w:bCs/>
          <w:sz w:val="24"/>
          <w:szCs w:val="24"/>
        </w:rPr>
      </w:pPr>
      <w:r w:rsidRPr="004A78B7">
        <w:rPr>
          <w:b/>
          <w:sz w:val="24"/>
          <w:szCs w:val="24"/>
        </w:rPr>
        <w:t xml:space="preserve">County: </w:t>
      </w:r>
      <w:r w:rsidRPr="004A78B7">
        <w:rPr>
          <w:bCs/>
          <w:sz w:val="24"/>
          <w:szCs w:val="24"/>
        </w:rPr>
        <w:t>Los Angeles</w:t>
      </w:r>
    </w:p>
    <w:p w:rsidR="004A78B7" w:rsidRPr="004A78B7" w:rsidP="004A78B7">
      <w:pPr>
        <w:spacing w:after="0" w:line="240" w:lineRule="auto"/>
        <w:ind w:left="720" w:hanging="720"/>
        <w:jc w:val="left"/>
        <w:rPr>
          <w:bCs/>
          <w:sz w:val="24"/>
          <w:szCs w:val="24"/>
        </w:rPr>
      </w:pPr>
      <w:r w:rsidRPr="004A78B7">
        <w:rPr>
          <w:b/>
          <w:sz w:val="24"/>
          <w:szCs w:val="24"/>
        </w:rPr>
        <w:t xml:space="preserve">Judge: </w:t>
      </w:r>
      <w:r w:rsidRPr="004A78B7">
        <w:rPr>
          <w:bCs/>
          <w:sz w:val="24"/>
          <w:szCs w:val="24"/>
        </w:rPr>
        <w:t>Gerald Rosenberg</w:t>
      </w:r>
      <w:r w:rsidRPr="004A78B7">
        <w:rPr>
          <w:b/>
          <w:sz w:val="24"/>
          <w:szCs w:val="24"/>
        </w:rPr>
        <w:t xml:space="preserve"> </w:t>
      </w:r>
    </w:p>
    <w:p w:rsidR="004A78B7" w:rsidRPr="004A78B7" w:rsidP="004A78B7">
      <w:pPr>
        <w:spacing w:after="0" w:line="240" w:lineRule="auto"/>
        <w:jc w:val="left"/>
        <w:rPr>
          <w:b/>
          <w:sz w:val="24"/>
          <w:szCs w:val="24"/>
        </w:rPr>
      </w:pPr>
    </w:p>
    <w:p w:rsidR="004A78B7" w:rsidRPr="004A78B7" w:rsidP="004A78B7">
      <w:pPr>
        <w:spacing w:after="0" w:line="240" w:lineRule="auto"/>
        <w:jc w:val="left"/>
        <w:rPr>
          <w:b/>
          <w:sz w:val="24"/>
          <w:szCs w:val="24"/>
        </w:rPr>
      </w:pPr>
      <w:r w:rsidRPr="004A78B7">
        <w:rPr>
          <w:b/>
          <w:sz w:val="24"/>
          <w:szCs w:val="24"/>
        </w:rPr>
        <w:t xml:space="preserve">__________________________________________________________  </w:t>
      </w:r>
    </w:p>
    <w:p w:rsidR="004A78B7" w:rsidRPr="004A78B7" w:rsidP="004A78B7">
      <w:pPr>
        <w:spacing w:after="0" w:line="240" w:lineRule="auto"/>
        <w:jc w:val="left"/>
        <w:rPr>
          <w:b/>
          <w:sz w:val="24"/>
          <w:szCs w:val="24"/>
        </w:rPr>
      </w:pPr>
    </w:p>
    <w:p w:rsidR="004A78B7" w:rsidRPr="004A78B7" w:rsidP="004A78B7">
      <w:pPr>
        <w:spacing w:after="0" w:line="240" w:lineRule="auto"/>
        <w:jc w:val="left"/>
        <w:rPr>
          <w:b/>
          <w:sz w:val="24"/>
          <w:szCs w:val="24"/>
        </w:rPr>
      </w:pPr>
      <w:r w:rsidRPr="004A78B7">
        <w:rPr>
          <w:b/>
          <w:sz w:val="24"/>
          <w:szCs w:val="24"/>
        </w:rPr>
        <w:t>Counsel:</w:t>
      </w:r>
    </w:p>
    <w:p w:rsidR="004A78B7" w:rsidRPr="004A78B7" w:rsidP="004A78B7">
      <w:pPr>
        <w:spacing w:after="0" w:line="240" w:lineRule="auto"/>
        <w:jc w:val="left"/>
        <w:rPr>
          <w:b/>
          <w:sz w:val="24"/>
          <w:szCs w:val="24"/>
        </w:rPr>
      </w:pPr>
    </w:p>
    <w:p w:rsidR="004A78B7" w:rsidRPr="004A78B7" w:rsidP="004A78B7">
      <w:pPr>
        <w:spacing w:after="0" w:line="240" w:lineRule="auto"/>
        <w:jc w:val="left"/>
        <w:rPr>
          <w:sz w:val="24"/>
          <w:szCs w:val="24"/>
          <w:bdr w:val="none" w:sz="0" w:space="0" w:color="auto" w:frame="1"/>
        </w:rPr>
      </w:pPr>
      <w:r w:rsidRPr="004A78B7">
        <w:rPr>
          <w:sz w:val="24"/>
          <w:szCs w:val="24"/>
          <w:bdr w:val="none" w:sz="0" w:space="0" w:color="auto" w:frame="1"/>
        </w:rPr>
        <w:t>Evan D. Marshall; Law Offices of Wayne McClean, Wayne McClean; Panish Shea &amp; Boyle, Brian J. Panish and Spencer R. Lucas for Plaintiff and Appellant.</w:t>
      </w:r>
    </w:p>
    <w:p w:rsidR="004A78B7" w:rsidRPr="004A78B7" w:rsidP="004A78B7">
      <w:pPr>
        <w:spacing w:after="0" w:line="240" w:lineRule="auto"/>
        <w:jc w:val="left"/>
        <w:rPr>
          <w:sz w:val="24"/>
          <w:szCs w:val="24"/>
          <w:bdr w:val="none" w:sz="0" w:space="0" w:color="auto" w:frame="1"/>
        </w:rPr>
      </w:pPr>
    </w:p>
    <w:p w:rsidR="004A78B7" w:rsidRPr="004A78B7" w:rsidP="004A78B7">
      <w:pPr>
        <w:spacing w:after="0" w:line="240" w:lineRule="auto"/>
        <w:jc w:val="left"/>
        <w:rPr>
          <w:sz w:val="24"/>
          <w:szCs w:val="24"/>
          <w:bdr w:val="none" w:sz="0" w:space="0" w:color="auto" w:frame="1"/>
        </w:rPr>
      </w:pPr>
      <w:r w:rsidRPr="004A78B7">
        <w:rPr>
          <w:sz w:val="24"/>
          <w:szCs w:val="24"/>
          <w:bdr w:val="none" w:sz="0" w:space="0" w:color="auto" w:frame="1"/>
        </w:rPr>
        <w:t>Arbogast Law, David M. Arbogast; The Bronson Firm and Steven M. Bronson for Consumer Attorneys of California as Amicus Curiae on behalf of Plaintiff and Appellant.</w:t>
      </w:r>
    </w:p>
    <w:p w:rsidR="004A78B7" w:rsidRPr="004A78B7" w:rsidP="004A78B7">
      <w:pPr>
        <w:spacing w:after="0" w:line="240" w:lineRule="auto"/>
        <w:jc w:val="left"/>
        <w:rPr>
          <w:sz w:val="24"/>
          <w:szCs w:val="24"/>
          <w:bdr w:val="none" w:sz="0" w:space="0" w:color="auto" w:frame="1"/>
        </w:rPr>
      </w:pPr>
    </w:p>
    <w:p w:rsidR="004A78B7" w:rsidRPr="004A78B7" w:rsidP="004A78B7">
      <w:pPr>
        <w:spacing w:after="0" w:line="240" w:lineRule="auto"/>
        <w:jc w:val="left"/>
        <w:rPr>
          <w:sz w:val="24"/>
          <w:szCs w:val="24"/>
          <w:bdr w:val="none" w:sz="0" w:space="0" w:color="auto" w:frame="1"/>
        </w:rPr>
      </w:pPr>
      <w:r w:rsidRPr="004A78B7">
        <w:rPr>
          <w:sz w:val="24"/>
          <w:szCs w:val="24"/>
          <w:bdr w:val="none" w:sz="0" w:space="0" w:color="auto" w:frame="1"/>
        </w:rPr>
        <w:t>Latham &amp; Watkins, Marvin S. Putnam, Jessica Stebbins, Robert J. Ellison and Michael E. Bern for Defendants and Respondents.</w:t>
      </w:r>
    </w:p>
    <w:p w:rsidR="004A78B7" w:rsidRPr="004A78B7" w:rsidP="004A78B7">
      <w:pPr>
        <w:spacing w:after="0" w:line="240" w:lineRule="auto"/>
        <w:jc w:val="left"/>
        <w:rPr>
          <w:sz w:val="24"/>
          <w:szCs w:val="24"/>
          <w:bdr w:val="none" w:sz="0" w:space="0" w:color="auto" w:frame="1"/>
        </w:rPr>
      </w:pPr>
    </w:p>
    <w:p w:rsidR="004A78B7" w:rsidRPr="004A78B7" w:rsidP="004A78B7">
      <w:pPr>
        <w:spacing w:after="0" w:line="240" w:lineRule="auto"/>
        <w:jc w:val="left"/>
        <w:rPr>
          <w:sz w:val="24"/>
          <w:szCs w:val="24"/>
          <w:bdr w:val="none" w:sz="0" w:space="0" w:color="auto" w:frame="1"/>
        </w:rPr>
      </w:pPr>
      <w:r w:rsidRPr="004A78B7">
        <w:rPr>
          <w:sz w:val="24"/>
          <w:szCs w:val="24"/>
          <w:bdr w:val="none" w:sz="0" w:space="0" w:color="auto" w:frame="1"/>
        </w:rPr>
        <w:t>Fred J. Hiestand for the Civil Justice Association of California as Amicus Curiae on behalf of Defendants and Respondents.</w:t>
      </w:r>
    </w:p>
    <w:p w:rsidR="004A78B7" w:rsidRPr="004A78B7" w:rsidP="004A78B7">
      <w:pPr>
        <w:spacing w:after="0" w:line="240" w:lineRule="auto"/>
        <w:jc w:val="left"/>
        <w:rPr>
          <w:sz w:val="24"/>
          <w:szCs w:val="24"/>
          <w:bdr w:val="none" w:sz="0" w:space="0" w:color="auto" w:frame="1"/>
        </w:rPr>
      </w:pPr>
    </w:p>
    <w:p w:rsidR="004A78B7" w:rsidRPr="004A78B7" w:rsidP="004A78B7">
      <w:pPr>
        <w:spacing w:after="0" w:line="240" w:lineRule="auto"/>
        <w:jc w:val="left"/>
        <w:rPr>
          <w:sz w:val="24"/>
          <w:szCs w:val="24"/>
          <w:bdr w:val="none" w:sz="0" w:space="0" w:color="auto" w:frame="1"/>
        </w:rPr>
      </w:pPr>
      <w:r w:rsidRPr="004A78B7">
        <w:rPr>
          <w:sz w:val="24"/>
          <w:szCs w:val="24"/>
          <w:bdr w:val="none" w:sz="0" w:space="0" w:color="auto" w:frame="1"/>
        </w:rPr>
        <w:t>June Babiracki Barlow and Neil Kalin for California Association of Realtors as Amicus Curiae on behalf of Defendants and Respondents.</w:t>
      </w:r>
    </w:p>
    <w:p w:rsidR="004A78B7" w:rsidRPr="004A78B7" w:rsidP="004A78B7">
      <w:pPr>
        <w:spacing w:after="0" w:line="240" w:lineRule="auto"/>
        <w:jc w:val="left"/>
        <w:rPr>
          <w:sz w:val="24"/>
          <w:szCs w:val="24"/>
          <w:bdr w:val="none" w:sz="0" w:space="0" w:color="auto" w:frame="1"/>
        </w:rPr>
      </w:pPr>
    </w:p>
    <w:p w:rsidR="004A78B7" w:rsidRPr="004A78B7" w:rsidP="004A78B7">
      <w:pPr>
        <w:spacing w:after="0" w:line="240" w:lineRule="auto"/>
        <w:jc w:val="left"/>
        <w:rPr>
          <w:sz w:val="24"/>
          <w:szCs w:val="24"/>
          <w:bdr w:val="none" w:sz="0" w:space="0" w:color="auto" w:frame="1"/>
        </w:rPr>
      </w:pPr>
      <w:r w:rsidRPr="004A78B7">
        <w:rPr>
          <w:sz w:val="24"/>
          <w:szCs w:val="24"/>
          <w:bdr w:val="none" w:sz="0" w:space="0" w:color="auto" w:frame="1"/>
        </w:rPr>
        <w:t>Newmeyer &amp; Dillion, Alan H. Packer and Jack R. Rubin for California Building Industry Association as Amicus Curiae on behalf of Defendants and Respondents.</w:t>
      </w:r>
    </w:p>
    <w:p w:rsidR="004A78B7" w:rsidRPr="004A78B7" w:rsidP="004A78B7">
      <w:pPr>
        <w:spacing w:after="0" w:line="240" w:lineRule="auto"/>
        <w:jc w:val="left"/>
        <w:rPr>
          <w:sz w:val="24"/>
          <w:szCs w:val="24"/>
          <w:bdr w:val="none" w:sz="0" w:space="0" w:color="auto" w:frame="1"/>
        </w:rPr>
      </w:pPr>
    </w:p>
    <w:p w:rsidR="004A78B7" w:rsidRPr="004A78B7" w:rsidP="004A78B7">
      <w:pPr>
        <w:spacing w:after="0" w:line="240" w:lineRule="auto"/>
        <w:jc w:val="left"/>
        <w:rPr>
          <w:sz w:val="24"/>
          <w:szCs w:val="24"/>
          <w:bdr w:val="none" w:sz="0" w:space="0" w:color="auto" w:frame="1"/>
        </w:rPr>
      </w:pPr>
      <w:r w:rsidRPr="004A78B7">
        <w:rPr>
          <w:sz w:val="24"/>
          <w:szCs w:val="24"/>
          <w:bdr w:val="none" w:sz="0" w:space="0" w:color="auto" w:frame="1"/>
        </w:rPr>
        <w:t>Greines, Martin, Stein &amp; Richland, Edward L. Xanders and Eleanor S. Ruth for Association of Southern California Defense Counsel as Amicus Curiae on behalf of Defendants and Respondents.</w:t>
      </w:r>
    </w:p>
    <w:p w:rsidR="004A78B7" w:rsidRPr="004A78B7" w:rsidP="004A78B7">
      <w:pPr>
        <w:spacing w:after="0" w:line="240" w:lineRule="auto"/>
        <w:jc w:val="left"/>
        <w:rPr>
          <w:sz w:val="24"/>
          <w:szCs w:val="24"/>
          <w:bdr w:val="none" w:sz="0" w:space="0" w:color="auto" w:frame="1"/>
        </w:rPr>
      </w:pPr>
    </w:p>
    <w:p w:rsidR="004A78B7" w:rsidRPr="004A78B7" w:rsidP="004A78B7">
      <w:pPr>
        <w:spacing w:after="0" w:line="240" w:lineRule="auto"/>
        <w:jc w:val="left"/>
        <w:rPr>
          <w:sz w:val="24"/>
          <w:szCs w:val="24"/>
          <w:bdr w:val="none" w:sz="0" w:space="0" w:color="auto" w:frame="1"/>
        </w:rPr>
      </w:pPr>
      <w:r w:rsidRPr="004A78B7">
        <w:rPr>
          <w:sz w:val="24"/>
          <w:szCs w:val="24"/>
          <w:bdr w:val="none" w:sz="0" w:space="0" w:color="auto" w:frame="1"/>
        </w:rPr>
        <w:t>LeClairRyan and William A. Bogdan for Associated General Contractors of California as Amicus Curiae on behalf of Defendants and Respondents.</w:t>
      </w:r>
    </w:p>
    <w:p w:rsidR="004A78B7" w:rsidRPr="004A78B7" w:rsidP="004A78B7">
      <w:pPr>
        <w:spacing w:after="0" w:line="240" w:lineRule="auto"/>
        <w:jc w:val="left"/>
        <w:rPr>
          <w:sz w:val="24"/>
          <w:szCs w:val="24"/>
          <w:bdr w:val="none" w:sz="0" w:space="0" w:color="auto" w:frame="1"/>
        </w:rPr>
      </w:pPr>
    </w:p>
    <w:p w:rsidR="004A78B7" w:rsidRPr="004A78B7" w:rsidP="004A78B7">
      <w:pPr>
        <w:spacing w:after="0" w:line="240" w:lineRule="auto"/>
        <w:jc w:val="left"/>
        <w:rPr>
          <w:b/>
          <w:sz w:val="24"/>
          <w:szCs w:val="24"/>
        </w:rPr>
      </w:pPr>
      <w:r w:rsidRPr="004A78B7">
        <w:rPr>
          <w:sz w:val="24"/>
          <w:szCs w:val="24"/>
          <w:bdr w:val="none" w:sz="0" w:space="0" w:color="auto" w:frame="1"/>
        </w:rPr>
        <w:t>Horvitz &amp; Levy, Stephen E. Norris and Joshua C. McDaniel for American Property Casualty Insurance Association and Chamber of Commerce of the United States of America as Amici Curiae on behalf of Defendants and Respondents.</w:t>
      </w:r>
    </w:p>
    <w:p w:rsidR="004A78B7" w:rsidRPr="004A78B7" w:rsidP="004A78B7">
      <w:pPr>
        <w:spacing w:after="0" w:line="240" w:lineRule="auto"/>
        <w:jc w:val="left"/>
        <w:rPr>
          <w:b/>
          <w:sz w:val="24"/>
          <w:szCs w:val="24"/>
        </w:rPr>
      </w:pPr>
      <w:r w:rsidRPr="004A78B7">
        <w:rPr>
          <w:color w:val="212121"/>
          <w:sz w:val="24"/>
          <w:szCs w:val="24"/>
          <w:shd w:val="clear" w:color="auto" w:fill="FFFFFF"/>
        </w:rPr>
        <w:br w:type="page"/>
      </w:r>
      <w:r w:rsidRPr="004A78B7">
        <w:rPr>
          <w:b/>
          <w:sz w:val="24"/>
          <w:szCs w:val="24"/>
        </w:rPr>
        <w:t>Counsel who argued in Supreme Court (not intended for publication with opinion):</w:t>
      </w:r>
    </w:p>
    <w:p w:rsidR="004A78B7" w:rsidRPr="004A78B7" w:rsidP="004A78B7">
      <w:pPr>
        <w:spacing w:after="0" w:line="240" w:lineRule="auto"/>
        <w:jc w:val="left"/>
        <w:rPr>
          <w:b/>
          <w:sz w:val="24"/>
          <w:szCs w:val="24"/>
        </w:rPr>
      </w:pPr>
    </w:p>
    <w:p w:rsidR="004A78B7" w:rsidRPr="004A78B7" w:rsidP="004A78B7">
      <w:pPr>
        <w:spacing w:after="0" w:line="240" w:lineRule="auto"/>
        <w:jc w:val="left"/>
        <w:rPr>
          <w:bCs/>
          <w:sz w:val="24"/>
          <w:szCs w:val="24"/>
        </w:rPr>
      </w:pPr>
      <w:r w:rsidRPr="004A78B7">
        <w:rPr>
          <w:sz w:val="24"/>
          <w:szCs w:val="24"/>
          <w:bdr w:val="none" w:sz="0" w:space="0" w:color="auto" w:frame="1"/>
        </w:rPr>
        <w:t>Evan D. Marshall</w:t>
      </w:r>
    </w:p>
    <w:p w:rsidR="004A78B7" w:rsidRPr="004A78B7" w:rsidP="004A78B7">
      <w:pPr>
        <w:spacing w:after="0" w:line="240" w:lineRule="auto"/>
        <w:jc w:val="left"/>
        <w:rPr>
          <w:sz w:val="24"/>
          <w:szCs w:val="24"/>
        </w:rPr>
      </w:pPr>
      <w:r w:rsidRPr="004A78B7">
        <w:rPr>
          <w:sz w:val="24"/>
          <w:szCs w:val="24"/>
        </w:rPr>
        <w:t>11400 West Olympic Boulevard, Suite 1150</w:t>
      </w:r>
    </w:p>
    <w:p w:rsidR="004A78B7" w:rsidRPr="004A78B7" w:rsidP="004A78B7">
      <w:pPr>
        <w:spacing w:after="0" w:line="240" w:lineRule="auto"/>
        <w:jc w:val="left"/>
        <w:rPr>
          <w:sz w:val="24"/>
          <w:szCs w:val="24"/>
        </w:rPr>
      </w:pPr>
      <w:r w:rsidRPr="004A78B7">
        <w:rPr>
          <w:sz w:val="24"/>
          <w:szCs w:val="24"/>
        </w:rPr>
        <w:t>Los Angeles, CA 90064</w:t>
      </w:r>
    </w:p>
    <w:p w:rsidR="004A78B7" w:rsidRPr="004A78B7" w:rsidP="004A78B7">
      <w:pPr>
        <w:spacing w:after="0" w:line="240" w:lineRule="auto"/>
        <w:jc w:val="left"/>
        <w:rPr>
          <w:sz w:val="24"/>
          <w:szCs w:val="24"/>
        </w:rPr>
      </w:pPr>
      <w:r w:rsidRPr="004A78B7">
        <w:rPr>
          <w:sz w:val="24"/>
          <w:szCs w:val="24"/>
        </w:rPr>
        <w:t>(310) 458-6660</w:t>
      </w:r>
    </w:p>
    <w:p w:rsidR="004A78B7" w:rsidRPr="004A78B7" w:rsidP="004A78B7">
      <w:pPr>
        <w:spacing w:after="0" w:line="240" w:lineRule="auto"/>
        <w:jc w:val="left"/>
        <w:rPr>
          <w:sz w:val="24"/>
          <w:szCs w:val="24"/>
        </w:rPr>
      </w:pPr>
    </w:p>
    <w:p w:rsidR="004A78B7" w:rsidRPr="004A78B7" w:rsidP="004A78B7">
      <w:pPr>
        <w:spacing w:after="0" w:line="240" w:lineRule="auto"/>
        <w:jc w:val="left"/>
        <w:rPr>
          <w:sz w:val="24"/>
          <w:szCs w:val="24"/>
        </w:rPr>
      </w:pPr>
      <w:r w:rsidRPr="004A78B7">
        <w:rPr>
          <w:sz w:val="24"/>
          <w:szCs w:val="24"/>
        </w:rPr>
        <w:t>Michael E. Bern</w:t>
      </w:r>
    </w:p>
    <w:p w:rsidR="004A78B7" w:rsidRPr="004A78B7" w:rsidP="004A78B7">
      <w:pPr>
        <w:spacing w:after="0" w:line="240" w:lineRule="auto"/>
        <w:jc w:val="left"/>
        <w:rPr>
          <w:sz w:val="24"/>
          <w:szCs w:val="24"/>
        </w:rPr>
      </w:pPr>
      <w:r w:rsidRPr="004A78B7">
        <w:rPr>
          <w:sz w:val="24"/>
          <w:szCs w:val="24"/>
        </w:rPr>
        <w:t>Latham &amp; Watkins LLP</w:t>
      </w:r>
    </w:p>
    <w:p w:rsidR="004A78B7" w:rsidRPr="004A78B7" w:rsidP="004A78B7">
      <w:pPr>
        <w:spacing w:after="0" w:line="240" w:lineRule="auto"/>
        <w:jc w:val="left"/>
        <w:rPr>
          <w:sz w:val="24"/>
          <w:szCs w:val="24"/>
        </w:rPr>
      </w:pPr>
      <w:r w:rsidRPr="004A78B7">
        <w:rPr>
          <w:sz w:val="24"/>
          <w:szCs w:val="24"/>
        </w:rPr>
        <w:t>555 11th Street NW</w:t>
      </w:r>
    </w:p>
    <w:p w:rsidR="004A78B7" w:rsidRPr="004A78B7" w:rsidP="004A78B7">
      <w:pPr>
        <w:spacing w:after="0" w:line="240" w:lineRule="auto"/>
        <w:jc w:val="left"/>
        <w:rPr>
          <w:sz w:val="24"/>
          <w:szCs w:val="24"/>
        </w:rPr>
      </w:pPr>
      <w:r w:rsidRPr="004A78B7">
        <w:rPr>
          <w:sz w:val="24"/>
          <w:szCs w:val="24"/>
        </w:rPr>
        <w:t>Washington, DC 20004</w:t>
      </w:r>
    </w:p>
    <w:p w:rsidR="004A78B7" w:rsidRPr="004A78B7" w:rsidP="004A78B7">
      <w:pPr>
        <w:spacing w:after="0" w:line="240" w:lineRule="auto"/>
        <w:jc w:val="left"/>
        <w:rPr>
          <w:sz w:val="24"/>
          <w:szCs w:val="24"/>
        </w:rPr>
      </w:pPr>
      <w:r w:rsidRPr="004A78B7">
        <w:rPr>
          <w:sz w:val="24"/>
          <w:szCs w:val="24"/>
        </w:rPr>
        <w:t>(202) 637-1021</w:t>
      </w:r>
    </w:p>
    <w:p w:rsidR="004A78B7" w:rsidRPr="004A78B7" w:rsidP="004A78B7">
      <w:pPr>
        <w:spacing w:after="0" w:line="240" w:lineRule="auto"/>
        <w:jc w:val="left"/>
        <w:rPr>
          <w:sz w:val="24"/>
          <w:szCs w:val="24"/>
        </w:rPr>
      </w:pPr>
    </w:p>
    <w:p w:rsidR="004A78B7" w:rsidRPr="004A78B7" w:rsidP="004A78B7">
      <w:pPr>
        <w:spacing w:after="0" w:line="240" w:lineRule="auto"/>
        <w:jc w:val="left"/>
        <w:rPr>
          <w:sz w:val="24"/>
          <w:szCs w:val="24"/>
        </w:rPr>
      </w:pPr>
    </w:p>
    <w:p w:rsidR="004A78B7" w:rsidRPr="004A78B7" w:rsidP="004A78B7">
      <w:pPr>
        <w:spacing w:after="0" w:line="240" w:lineRule="auto"/>
        <w:jc w:val="left"/>
        <w:rPr>
          <w:sz w:val="24"/>
          <w:szCs w:val="24"/>
        </w:rPr>
      </w:pPr>
    </w:p>
    <w:p w:rsidR="004A78B7" w:rsidRPr="004A78B7" w:rsidP="004A78B7">
      <w:pPr>
        <w:spacing w:after="0" w:line="240" w:lineRule="auto"/>
        <w:jc w:val="left"/>
        <w:rPr>
          <w:sz w:val="24"/>
          <w:szCs w:val="24"/>
        </w:rPr>
      </w:pPr>
      <w:r w:rsidRPr="004A78B7">
        <w:rPr>
          <w:sz w:val="24"/>
          <w:szCs w:val="24"/>
        </w:rPr>
        <w:t xml:space="preserve"> </w:t>
      </w:r>
    </w:p>
    <w:p w:rsidR="000C5B69" w:rsidRPr="00EF6018" w:rsidP="00F83074">
      <w:pPr>
        <w:tabs>
          <w:tab w:val="left" w:pos="1440"/>
        </w:tabs>
      </w:pPr>
    </w:p>
    <w:sectPr w:rsidSect="00EC2BB8">
      <w:headerReference w:type="even" r:id="rId12"/>
      <w:headerReference w:type="default" r:id="rId13"/>
      <w:footerReference w:type="even" r:id="rId14"/>
      <w:footerReference w:type="default" r:id="rId15"/>
      <w:headerReference w:type="first" r:id="rId16"/>
      <w:footerReference w:type="first" r:id="rId17"/>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47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070A">
    <w:pPr>
      <w:pStyle w:val="Footer"/>
    </w:pPr>
    <w:r>
      <w:fldChar w:fldCharType="begin"/>
    </w:r>
    <w:r>
      <w:instrText>PAGE</w:instrText>
    </w:r>
    <w:r>
      <w:fldChar w:fldCharType="separate"/>
    </w:r>
    <w:r>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47D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75834148"/>
      <w:docPartObj>
        <w:docPartGallery w:val="Page Numbers (Bottom of Page)"/>
        <w:docPartUnique/>
      </w:docPartObj>
    </w:sdtPr>
    <w:sdtEndPr>
      <w:rPr>
        <w:noProof/>
      </w:rPr>
    </w:sdtEndPr>
    <w:sdtContent>
      <w:p w:rsidR="0072470D">
        <w:pPr>
          <w:pStyle w:val="Footer"/>
        </w:pPr>
        <w:r>
          <w:fldChar w:fldCharType="begin"/>
        </w:r>
        <w:r>
          <w:instrText xml:space="preserve"> PAGE   \* MERGEFORMAT </w:instrText>
        </w:r>
        <w:r>
          <w:fldChar w:fldCharType="separate"/>
        </w:r>
        <w:r>
          <w:rPr>
            <w:noProof/>
          </w:rPr>
          <w:t>2</w:t>
        </w:r>
        <w:r>
          <w:rPr>
            <w:noProof/>
          </w:rPr>
          <w:fldChar w:fldCharType="end"/>
        </w:r>
      </w:p>
    </w:sdtContent>
  </w:sdt>
  <w:p w:rsidR="00C6070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683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683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68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C4C9C">
      <w:r>
        <w:separator/>
      </w:r>
    </w:p>
  </w:footnote>
  <w:footnote w:type="continuationSeparator" w:id="1">
    <w:p w:rsidR="005C4C9C">
      <w:pPr>
        <w:rPr>
          <w:sz w:val="22"/>
        </w:rPr>
      </w:pPr>
      <w:r w:rsidRPr="00F83074">
        <w:continuationSeparator/>
      </w:r>
    </w:p>
  </w:footnote>
  <w:footnote w:type="continuationNotice" w:id="2">
    <w:p w:rsidR="005C4C9C">
      <w:pPr>
        <w:jc w:val="right"/>
        <w:rPr>
          <w:i/>
          <w:sz w:val="20"/>
        </w:rPr>
      </w:pPr>
    </w:p>
  </w:footnote>
  <w:footnote w:id="3">
    <w:p w:rsidR="00C6070A" w:rsidP="000424C8">
      <w:pPr>
        <w:pStyle w:val="FootnoteText"/>
      </w:pPr>
      <w:r>
        <w:rPr>
          <w:rStyle w:val="FootnoteReference"/>
        </w:rPr>
        <w:footnoteRef/>
      </w:r>
      <w:r>
        <w:t xml:space="preserve"> </w:t>
      </w:r>
      <w:r>
        <w:tab/>
      </w:r>
      <w:r w:rsidRPr="00AD702E">
        <w:t xml:space="preserve">That Gonzalez himself did not have workers’ compensation </w:t>
      </w:r>
      <w:r>
        <w:t>insurance</w:t>
      </w:r>
      <w:r w:rsidRPr="00AD702E">
        <w:t xml:space="preserve"> does not change our analysis.  Gonzalez was legally required to obtain workers’ compensation coverage for his employees (Lab</w:t>
      </w:r>
      <w:r w:rsidR="00E43538">
        <w:t>.</w:t>
      </w:r>
      <w:r w:rsidRPr="00AD702E">
        <w:t xml:space="preserve"> Code, § 3700) and he had the option of obtaining coverage for himself (Ins. Code, § 11846). </w:t>
      </w:r>
      <w:r>
        <w:t xml:space="preserve"> Moreover, the “</w:t>
      </w:r>
      <w:r w:rsidRPr="00AD702E">
        <w:t>presence or absence of workers</w:t>
      </w:r>
      <w:r>
        <w:t>’</w:t>
      </w:r>
      <w:r w:rsidRPr="00AD702E">
        <w:t xml:space="preserve"> compensation coverage</w:t>
      </w:r>
      <w:r>
        <w:t>”</w:t>
      </w:r>
      <w:r w:rsidRPr="00AD702E">
        <w:t xml:space="preserve"> is not key to determining whether </w:t>
      </w:r>
      <w:r w:rsidRPr="00AD702E">
        <w:rPr>
          <w:i/>
          <w:iCs/>
        </w:rPr>
        <w:t>Privette</w:t>
      </w:r>
      <w:r w:rsidRPr="00AD702E">
        <w:t xml:space="preserve"> should apply.  (</w:t>
      </w:r>
      <w:r w:rsidRPr="00AD702E">
        <w:rPr>
          <w:i/>
          <w:iCs/>
        </w:rPr>
        <w:t>Tverberg</w:t>
      </w:r>
      <w:r w:rsidRPr="00AD702E">
        <w:t xml:space="preserve">, </w:t>
      </w:r>
      <w:r w:rsidRPr="00295B96">
        <w:rPr>
          <w:i/>
          <w:iCs/>
        </w:rPr>
        <w:t>supra</w:t>
      </w:r>
      <w:r w:rsidRPr="00AD702E">
        <w:t>, 49 Cal.4th at p. 52</w:t>
      </w:r>
      <w:r w:rsidR="00827E5D">
        <w:t>2</w:t>
      </w:r>
      <w:r w:rsidRPr="00AD702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47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070A">
    <w:pPr>
      <w:pStyle w:val="Header"/>
    </w:pPr>
    <w:r>
      <w:t>GONZALEZ v. MATHIS</w:t>
    </w:r>
  </w:p>
  <w:p w:rsidR="00C6070A">
    <w:pPr>
      <w:pStyle w:val="Header"/>
    </w:pPr>
    <w:r>
      <w:t>Opinion of the Court by Groban, J.</w:t>
    </w:r>
  </w:p>
  <w:p w:rsidR="00C607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47D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683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683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68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3CF7FC2"/>
    <w:multiLevelType w:val="hybridMultilevel"/>
    <w:tmpl w:val="B0A064D8"/>
    <w:lvl w:ilvl="0">
      <w:start w:val="1"/>
      <w:numFmt w:val="upperLetter"/>
      <w:lvlText w:val="%1."/>
      <w:lvlJc w:val="left"/>
      <w:pPr>
        <w:ind w:left="1103" w:hanging="383"/>
      </w:pPr>
      <w:rPr>
        <w:rFonts w:hint="default"/>
        <w:b/>
        <w:b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29457C0B"/>
    <w:multiLevelType w:val="hybridMultilevel"/>
    <w:tmpl w:val="474EF4B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5237"/>
    <w:pPr>
      <w:spacing w:after="100" w:line="400" w:lineRule="exact"/>
      <w:jc w:val="both"/>
    </w:pPr>
    <w:rPr>
      <w:rFonts w:ascii="Century Schoolbook" w:hAnsi="Century Schoolbook"/>
      <w:sz w:val="27"/>
    </w:rPr>
  </w:style>
  <w:style w:type="paragraph" w:styleId="Heading1">
    <w:name w:val="heading 1"/>
    <w:basedOn w:val="Normal"/>
    <w:next w:val="Normal"/>
    <w:link w:val="Heading1Char"/>
    <w:qFormat/>
    <w:rsid w:val="00795237"/>
    <w:pPr>
      <w:keepNext/>
      <w:spacing w:before="140" w:line="240" w:lineRule="atLeast"/>
      <w:jc w:val="center"/>
      <w:outlineLvl w:val="0"/>
    </w:pPr>
    <w:rPr>
      <w:b/>
      <w:smallCaps/>
    </w:rPr>
  </w:style>
  <w:style w:type="paragraph" w:styleId="Heading2">
    <w:name w:val="heading 2"/>
    <w:basedOn w:val="Normal"/>
    <w:next w:val="Normal"/>
    <w:qFormat/>
    <w:rsid w:val="00795237"/>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795237"/>
    <w:pPr>
      <w:keepNext/>
      <w:tabs>
        <w:tab w:val="left" w:pos="1584"/>
      </w:tabs>
      <w:spacing w:before="140" w:line="240" w:lineRule="atLeast"/>
      <w:ind w:left="1584" w:hanging="432"/>
      <w:jc w:val="left"/>
      <w:outlineLvl w:val="2"/>
    </w:pPr>
    <w:rPr>
      <w:i/>
    </w:rPr>
  </w:style>
  <w:style w:type="paragraph" w:styleId="Heading4">
    <w:name w:val="heading 4"/>
    <w:basedOn w:val="Normal"/>
    <w:qFormat/>
    <w:rsid w:val="00795237"/>
    <w:pPr>
      <w:keepNext/>
      <w:tabs>
        <w:tab w:val="left" w:pos="2016"/>
      </w:tabs>
      <w:spacing w:before="140" w:line="240" w:lineRule="atLeast"/>
      <w:ind w:left="2016" w:hanging="432"/>
      <w:jc w:val="left"/>
      <w:outlineLvl w:val="3"/>
    </w:pPr>
    <w:rPr>
      <w:i/>
    </w:rPr>
  </w:style>
  <w:style w:type="paragraph" w:styleId="Heading5">
    <w:name w:val="heading 5"/>
    <w:basedOn w:val="Normal"/>
    <w:qFormat/>
    <w:rsid w:val="00795237"/>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EF6018"/>
    <w:pPr>
      <w:ind w:left="720"/>
    </w:pPr>
  </w:style>
  <w:style w:type="paragraph" w:styleId="Footer">
    <w:name w:val="footer"/>
    <w:basedOn w:val="Normal"/>
    <w:link w:val="FooterChar"/>
    <w:uiPriority w:val="99"/>
    <w:qFormat/>
    <w:rsid w:val="00795237"/>
    <w:pPr>
      <w:tabs>
        <w:tab w:val="center" w:pos="3960"/>
        <w:tab w:val="right" w:pos="10080"/>
      </w:tabs>
      <w:spacing w:after="0" w:line="240" w:lineRule="auto"/>
      <w:jc w:val="center"/>
    </w:pPr>
    <w:rPr>
      <w:sz w:val="22"/>
    </w:rPr>
  </w:style>
  <w:style w:type="paragraph" w:styleId="Header">
    <w:name w:val="header"/>
    <w:basedOn w:val="Normal"/>
    <w:qFormat/>
    <w:rsid w:val="00795237"/>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795237"/>
    <w:rPr>
      <w:rFonts w:ascii="Century Schoolbook" w:hAnsi="Century Schoolbook"/>
      <w:b/>
      <w:i w:val="0"/>
      <w:position w:val="4"/>
      <w:sz w:val="27"/>
      <w:vertAlign w:val="superscript"/>
    </w:rPr>
  </w:style>
  <w:style w:type="paragraph" w:styleId="FootnoteText">
    <w:name w:val="footnote text"/>
    <w:basedOn w:val="Normal"/>
    <w:link w:val="FootnoteTextChar"/>
    <w:rsid w:val="00795237"/>
    <w:pPr>
      <w:spacing w:line="300" w:lineRule="exact"/>
    </w:pPr>
  </w:style>
  <w:style w:type="paragraph" w:customStyle="1" w:styleId="Title1">
    <w:name w:val="Title1"/>
    <w:basedOn w:val="Normal"/>
    <w:rsid w:val="00EF6018"/>
    <w:pPr>
      <w:tabs>
        <w:tab w:val="left" w:pos="5760"/>
        <w:tab w:val="left" w:pos="6480"/>
      </w:tabs>
      <w:spacing w:line="240" w:lineRule="atLeast"/>
    </w:pPr>
  </w:style>
  <w:style w:type="paragraph" w:customStyle="1" w:styleId="Recommend">
    <w:name w:val="Recommend"/>
    <w:basedOn w:val="Normal"/>
    <w:rsid w:val="00EF6018"/>
  </w:style>
  <w:style w:type="paragraph" w:customStyle="1" w:styleId="Summary">
    <w:name w:val="Summary"/>
    <w:basedOn w:val="Normal"/>
    <w:rsid w:val="00EF6018"/>
    <w:pPr>
      <w:ind w:left="2160" w:hanging="2160"/>
    </w:pPr>
  </w:style>
  <w:style w:type="paragraph" w:customStyle="1" w:styleId="Text">
    <w:name w:val="Text"/>
    <w:basedOn w:val="Normal"/>
    <w:rsid w:val="00EF6018"/>
    <w:pPr>
      <w:tabs>
        <w:tab w:val="left" w:pos="720"/>
        <w:tab w:val="left" w:pos="1440"/>
        <w:tab w:val="left" w:pos="2160"/>
        <w:tab w:val="center" w:pos="4320"/>
      </w:tabs>
      <w:spacing w:line="480" w:lineRule="atLeast"/>
      <w:ind w:firstLine="540"/>
    </w:pPr>
  </w:style>
  <w:style w:type="paragraph" w:styleId="Date">
    <w:name w:val="Date"/>
    <w:basedOn w:val="Normal"/>
    <w:semiHidden/>
    <w:rsid w:val="00EF6018"/>
    <w:pPr>
      <w:jc w:val="right"/>
    </w:pPr>
  </w:style>
  <w:style w:type="character" w:styleId="PageNumber">
    <w:name w:val="page number"/>
    <w:basedOn w:val="DefaultParagraphFont"/>
    <w:semiHidden/>
    <w:rsid w:val="00EF6018"/>
  </w:style>
  <w:style w:type="paragraph" w:customStyle="1" w:styleId="subject">
    <w:name w:val="subject"/>
    <w:basedOn w:val="Normal"/>
    <w:rsid w:val="00EF6018"/>
    <w:pPr>
      <w:tabs>
        <w:tab w:val="left" w:pos="1008"/>
      </w:tabs>
      <w:ind w:left="990" w:hanging="990"/>
    </w:pPr>
    <w:rPr>
      <w:b/>
    </w:rPr>
  </w:style>
  <w:style w:type="paragraph" w:customStyle="1" w:styleId="Titles">
    <w:name w:val="Titles"/>
    <w:basedOn w:val="Normal"/>
    <w:rsid w:val="00EF6018"/>
    <w:pPr>
      <w:tabs>
        <w:tab w:val="left" w:pos="2160"/>
      </w:tabs>
      <w:ind w:left="2160" w:hanging="2160"/>
    </w:pPr>
    <w:rPr>
      <w:b/>
    </w:rPr>
  </w:style>
  <w:style w:type="paragraph" w:styleId="TOAHeading">
    <w:name w:val="toa heading"/>
    <w:basedOn w:val="Normal"/>
    <w:next w:val="Normal"/>
    <w:semiHidden/>
    <w:rsid w:val="00EF6018"/>
    <w:pPr>
      <w:spacing w:before="120"/>
    </w:pPr>
    <w:rPr>
      <w:b/>
    </w:rPr>
  </w:style>
  <w:style w:type="paragraph" w:styleId="TOC1">
    <w:name w:val="toc 1"/>
    <w:basedOn w:val="Normal"/>
    <w:next w:val="Normal"/>
    <w:autoRedefine/>
    <w:semiHidden/>
    <w:rsid w:val="00EF6018"/>
  </w:style>
  <w:style w:type="paragraph" w:styleId="TOC2">
    <w:name w:val="toc 2"/>
    <w:basedOn w:val="Normal"/>
    <w:next w:val="Normal"/>
    <w:autoRedefine/>
    <w:semiHidden/>
    <w:rsid w:val="00EF6018"/>
    <w:pPr>
      <w:ind w:left="259"/>
    </w:pPr>
  </w:style>
  <w:style w:type="paragraph" w:styleId="TOC3">
    <w:name w:val="toc 3"/>
    <w:basedOn w:val="Normal"/>
    <w:next w:val="Normal"/>
    <w:autoRedefine/>
    <w:semiHidden/>
    <w:rsid w:val="00EF6018"/>
    <w:pPr>
      <w:ind w:left="520"/>
    </w:pPr>
  </w:style>
  <w:style w:type="paragraph" w:styleId="TOC4">
    <w:name w:val="toc 4"/>
    <w:basedOn w:val="Normal"/>
    <w:next w:val="Normal"/>
    <w:autoRedefine/>
    <w:semiHidden/>
    <w:rsid w:val="00EF6018"/>
    <w:pPr>
      <w:ind w:left="780"/>
    </w:pPr>
  </w:style>
  <w:style w:type="paragraph" w:styleId="TOC5">
    <w:name w:val="toc 5"/>
    <w:basedOn w:val="Normal"/>
    <w:next w:val="Normal"/>
    <w:autoRedefine/>
    <w:semiHidden/>
    <w:rsid w:val="00EF6018"/>
    <w:pPr>
      <w:ind w:left="1040"/>
    </w:pPr>
  </w:style>
  <w:style w:type="paragraph" w:styleId="TOC6">
    <w:name w:val="toc 6"/>
    <w:basedOn w:val="Normal"/>
    <w:next w:val="Normal"/>
    <w:autoRedefine/>
    <w:semiHidden/>
    <w:rsid w:val="00EF6018"/>
    <w:pPr>
      <w:ind w:left="1300"/>
    </w:pPr>
  </w:style>
  <w:style w:type="paragraph" w:styleId="TOC7">
    <w:name w:val="toc 7"/>
    <w:basedOn w:val="Normal"/>
    <w:next w:val="Normal"/>
    <w:autoRedefine/>
    <w:semiHidden/>
    <w:rsid w:val="00EF6018"/>
    <w:pPr>
      <w:ind w:left="1560"/>
    </w:pPr>
  </w:style>
  <w:style w:type="paragraph" w:styleId="TOC8">
    <w:name w:val="toc 8"/>
    <w:basedOn w:val="Normal"/>
    <w:next w:val="Normal"/>
    <w:autoRedefine/>
    <w:semiHidden/>
    <w:rsid w:val="00EF6018"/>
    <w:pPr>
      <w:ind w:left="1820"/>
    </w:pPr>
  </w:style>
  <w:style w:type="paragraph" w:styleId="TOC9">
    <w:name w:val="toc 9"/>
    <w:basedOn w:val="Normal"/>
    <w:next w:val="Normal"/>
    <w:autoRedefine/>
    <w:semiHidden/>
    <w:rsid w:val="00EF6018"/>
    <w:pPr>
      <w:ind w:left="2080"/>
    </w:pPr>
  </w:style>
  <w:style w:type="paragraph" w:customStyle="1" w:styleId="Contents">
    <w:name w:val="Contents"/>
    <w:basedOn w:val="Normal"/>
    <w:rsid w:val="00EF6018"/>
    <w:pPr>
      <w:jc w:val="center"/>
    </w:pPr>
    <w:rPr>
      <w:b/>
      <w:spacing w:val="100"/>
    </w:rPr>
  </w:style>
  <w:style w:type="character" w:customStyle="1" w:styleId="Heading1Char">
    <w:name w:val="Heading 1 Char"/>
    <w:basedOn w:val="DefaultParagraphFont"/>
    <w:link w:val="Heading1"/>
    <w:rsid w:val="001F28B7"/>
    <w:rPr>
      <w:rFonts w:ascii="Century Schoolbook" w:hAnsi="Century Schoolbook"/>
      <w:b/>
      <w:smallCaps/>
      <w:sz w:val="27"/>
    </w:rPr>
  </w:style>
  <w:style w:type="character" w:styleId="CommentReference">
    <w:name w:val="annotation reference"/>
    <w:basedOn w:val="DefaultParagraphFont"/>
    <w:uiPriority w:val="99"/>
    <w:semiHidden/>
    <w:unhideWhenUsed/>
    <w:rsid w:val="00FE4996"/>
    <w:rPr>
      <w:sz w:val="16"/>
      <w:szCs w:val="16"/>
    </w:rPr>
  </w:style>
  <w:style w:type="paragraph" w:styleId="CommentText">
    <w:name w:val="annotation text"/>
    <w:basedOn w:val="Normal"/>
    <w:link w:val="CommentTextChar"/>
    <w:uiPriority w:val="99"/>
    <w:unhideWhenUsed/>
    <w:rsid w:val="00FE4996"/>
    <w:rPr>
      <w:sz w:val="20"/>
    </w:rPr>
  </w:style>
  <w:style w:type="character" w:customStyle="1" w:styleId="CommentTextChar">
    <w:name w:val="Comment Text Char"/>
    <w:basedOn w:val="DefaultParagraphFont"/>
    <w:link w:val="CommentText"/>
    <w:uiPriority w:val="99"/>
    <w:rsid w:val="00FE4996"/>
  </w:style>
  <w:style w:type="paragraph" w:styleId="CommentSubject">
    <w:name w:val="annotation subject"/>
    <w:basedOn w:val="CommentText"/>
    <w:next w:val="CommentText"/>
    <w:link w:val="CommentSubjectChar"/>
    <w:uiPriority w:val="99"/>
    <w:semiHidden/>
    <w:unhideWhenUsed/>
    <w:rsid w:val="00FE4996"/>
    <w:rPr>
      <w:b/>
      <w:bCs/>
    </w:rPr>
  </w:style>
  <w:style w:type="character" w:customStyle="1" w:styleId="CommentSubjectChar">
    <w:name w:val="Comment Subject Char"/>
    <w:basedOn w:val="CommentTextChar"/>
    <w:link w:val="CommentSubject"/>
    <w:uiPriority w:val="99"/>
    <w:semiHidden/>
    <w:rsid w:val="00FE4996"/>
    <w:rPr>
      <w:b/>
      <w:bCs/>
    </w:rPr>
  </w:style>
  <w:style w:type="paragraph" w:styleId="Revision">
    <w:name w:val="Revision"/>
    <w:hidden/>
    <w:uiPriority w:val="99"/>
    <w:semiHidden/>
    <w:rsid w:val="00FE4996"/>
    <w:rPr>
      <w:sz w:val="26"/>
    </w:rPr>
  </w:style>
  <w:style w:type="paragraph" w:styleId="BalloonText">
    <w:name w:val="Balloon Text"/>
    <w:basedOn w:val="Normal"/>
    <w:link w:val="BalloonTextChar"/>
    <w:uiPriority w:val="99"/>
    <w:semiHidden/>
    <w:unhideWhenUsed/>
    <w:rsid w:val="00FE49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996"/>
    <w:rPr>
      <w:rFonts w:ascii="Segoe UI" w:hAnsi="Segoe UI" w:cs="Segoe UI"/>
      <w:sz w:val="18"/>
      <w:szCs w:val="18"/>
    </w:rPr>
  </w:style>
  <w:style w:type="paragraph" w:styleId="ListParagraph">
    <w:name w:val="List Paragraph"/>
    <w:basedOn w:val="Normal"/>
    <w:uiPriority w:val="34"/>
    <w:qFormat/>
    <w:rsid w:val="008B19A5"/>
    <w:pPr>
      <w:ind w:left="720"/>
      <w:contextualSpacing/>
    </w:pPr>
  </w:style>
  <w:style w:type="character" w:customStyle="1" w:styleId="FootnoteTextChar">
    <w:name w:val="Footnote Text Char"/>
    <w:basedOn w:val="DefaultParagraphFont"/>
    <w:link w:val="FootnoteText"/>
    <w:rsid w:val="00865E95"/>
    <w:rPr>
      <w:rFonts w:ascii="Century Schoolbook" w:hAnsi="Century Schoolbook"/>
      <w:sz w:val="27"/>
    </w:rPr>
  </w:style>
  <w:style w:type="character" w:styleId="Hyperlink">
    <w:name w:val="Hyperlink"/>
    <w:basedOn w:val="DefaultParagraphFont"/>
    <w:uiPriority w:val="99"/>
    <w:semiHidden/>
    <w:unhideWhenUsed/>
    <w:rsid w:val="00764671"/>
    <w:rPr>
      <w:color w:val="0563C1"/>
      <w:u w:val="single"/>
    </w:rPr>
  </w:style>
  <w:style w:type="character" w:styleId="Emphasis">
    <w:name w:val="Emphasis"/>
    <w:basedOn w:val="DefaultParagraphFont"/>
    <w:uiPriority w:val="20"/>
    <w:qFormat/>
    <w:rsid w:val="00533B0D"/>
    <w:rPr>
      <w:i/>
      <w:iCs/>
    </w:rPr>
  </w:style>
  <w:style w:type="character" w:styleId="Strong">
    <w:name w:val="Strong"/>
    <w:basedOn w:val="DefaultParagraphFont"/>
    <w:uiPriority w:val="22"/>
    <w:qFormat/>
    <w:rsid w:val="009B00B0"/>
    <w:rPr>
      <w:b/>
      <w:bCs/>
    </w:rPr>
  </w:style>
  <w:style w:type="paragraph" w:styleId="BodyText">
    <w:name w:val="Body Text"/>
    <w:basedOn w:val="Normal"/>
    <w:link w:val="BodyTextChar"/>
    <w:qFormat/>
    <w:rsid w:val="00EF6018"/>
  </w:style>
  <w:style w:type="character" w:customStyle="1" w:styleId="BodyTextChar">
    <w:name w:val="Body Text Char"/>
    <w:basedOn w:val="DefaultParagraphFont"/>
    <w:link w:val="BodyText"/>
    <w:rsid w:val="00EF6018"/>
    <w:rPr>
      <w:rFonts w:ascii="Century Schoolbook" w:hAnsi="Century Schoolbook"/>
      <w:sz w:val="27"/>
    </w:rPr>
  </w:style>
  <w:style w:type="paragraph" w:customStyle="1" w:styleId="Default">
    <w:name w:val="Default"/>
    <w:rsid w:val="00160E0C"/>
    <w:pPr>
      <w:autoSpaceDE w:val="0"/>
      <w:autoSpaceDN w:val="0"/>
      <w:adjustRightInd w:val="0"/>
    </w:pPr>
    <w:rPr>
      <w:rFonts w:ascii="Century Schoolbook" w:hAnsi="Century Schoolbook" w:eastAsiaTheme="minorHAnsi" w:cs="Century Schoolbook"/>
      <w:color w:val="000000"/>
      <w:sz w:val="24"/>
      <w:szCs w:val="24"/>
    </w:rPr>
  </w:style>
  <w:style w:type="character" w:customStyle="1" w:styleId="FooterChar">
    <w:name w:val="Footer Char"/>
    <w:basedOn w:val="DefaultParagraphFont"/>
    <w:link w:val="Footer"/>
    <w:uiPriority w:val="99"/>
    <w:rsid w:val="00E07E00"/>
    <w:rPr>
      <w:rFonts w:ascii="Century Schoolbook" w:hAnsi="Century School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header" Target="header6.xml" /><Relationship Id="rId17" Type="http://schemas.openxmlformats.org/officeDocument/2006/relationships/footer" Target="footer7.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9234</Words>
  <Characters>52639</Characters>
  <Application>Microsoft Office Word</Application>
  <DocSecurity>0</DocSecurity>
  <Lines>438</Lines>
  <Paragraphs>123</Paragraphs>
  <ScaleCrop>false</ScaleCrop>
  <Company/>
  <LinksUpToDate>false</LinksUpToDate>
  <CharactersWithSpaces>61750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2021-08-19T16:02:04Z</dcterms:created>
  <dcterms:modified xsi:type="dcterms:W3CDTF">2021-08-19T16:02:04Z</dcterms:modified>
</cp:coreProperties>
</file>