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243CF0" w:rsidP="002F0419">
      <w:pPr>
        <w:tabs>
          <w:tab w:val="left" w:pos="1440"/>
        </w:tabs>
        <w:spacing w:after="0"/>
        <w:jc w:val="center"/>
        <w:rPr>
          <w:sz w:val="36"/>
        </w:rPr>
      </w:pPr>
      <w:bookmarkStart w:id="0" w:name="_GoBack"/>
      <w:bookmarkEnd w:id="0"/>
      <w:r>
        <w:rPr>
          <w:b/>
          <w:sz w:val="36"/>
        </w:rPr>
        <w:t>IN THE SUPREME COURT OF CALIFORNIA</w:t>
      </w:r>
    </w:p>
    <w:p w:rsidR="00243CF0" w:rsidP="002F0419">
      <w:pPr>
        <w:tabs>
          <w:tab w:val="left" w:pos="1440"/>
        </w:tabs>
        <w:spacing w:after="0"/>
        <w:jc w:val="center"/>
      </w:pPr>
    </w:p>
    <w:p w:rsidR="00243CF0" w:rsidP="002F0419">
      <w:pPr>
        <w:tabs>
          <w:tab w:val="left" w:pos="1440"/>
        </w:tabs>
        <w:spacing w:after="0"/>
        <w:jc w:val="center"/>
      </w:pPr>
      <w:bookmarkStart w:id="1" w:name="plaintiff"/>
      <w:bookmarkEnd w:id="1"/>
      <w:r>
        <w:t>THE PEOPLE</w:t>
      </w:r>
      <w:r w:rsidR="00FD239D">
        <w:t>,</w:t>
      </w:r>
    </w:p>
    <w:p w:rsidR="00243CF0" w:rsidP="002F0419">
      <w:pPr>
        <w:tabs>
          <w:tab w:val="left" w:pos="1440"/>
        </w:tabs>
        <w:spacing w:after="0"/>
        <w:jc w:val="center"/>
      </w:pPr>
      <w:bookmarkStart w:id="2" w:name="LD"/>
      <w:bookmarkEnd w:id="2"/>
      <w:r>
        <w:t>Plaintiff and Respondent</w:t>
      </w:r>
      <w:r w:rsidR="00FD239D">
        <w:t>,</w:t>
      </w:r>
    </w:p>
    <w:p w:rsidR="00243CF0" w:rsidP="002F0419">
      <w:pPr>
        <w:tabs>
          <w:tab w:val="left" w:pos="1440"/>
        </w:tabs>
        <w:spacing w:after="0"/>
        <w:jc w:val="center"/>
      </w:pPr>
      <w:r>
        <w:t>v.</w:t>
      </w:r>
    </w:p>
    <w:p w:rsidR="00243CF0" w:rsidP="002F0419">
      <w:pPr>
        <w:tabs>
          <w:tab w:val="left" w:pos="1440"/>
        </w:tabs>
        <w:spacing w:after="0"/>
        <w:jc w:val="center"/>
      </w:pPr>
      <w:bookmarkStart w:id="3" w:name="defendant"/>
      <w:bookmarkEnd w:id="3"/>
      <w:r>
        <w:t xml:space="preserve">JEREMY </w:t>
      </w:r>
      <w:r w:rsidR="00FD239D">
        <w:t xml:space="preserve">JOHN </w:t>
      </w:r>
      <w:r>
        <w:t>FOSTER</w:t>
      </w:r>
      <w:r w:rsidR="00FD239D">
        <w:t>,</w:t>
      </w:r>
    </w:p>
    <w:p w:rsidR="00243CF0" w:rsidP="00243CF0">
      <w:pPr>
        <w:tabs>
          <w:tab w:val="left" w:pos="1440"/>
        </w:tabs>
        <w:spacing w:after="0"/>
        <w:jc w:val="center"/>
      </w:pPr>
      <w:bookmarkStart w:id="4" w:name="county"/>
      <w:bookmarkStart w:id="5" w:name="VD"/>
      <w:bookmarkEnd w:id="4"/>
      <w:bookmarkEnd w:id="5"/>
      <w:r>
        <w:t>Defendant and Appellant</w:t>
      </w:r>
      <w:r w:rsidR="00C13FCF">
        <w:t>.</w:t>
      </w:r>
    </w:p>
    <w:p w:rsidR="00243CF0" w:rsidP="00243CF0">
      <w:pPr>
        <w:tabs>
          <w:tab w:val="left" w:pos="1440"/>
        </w:tabs>
        <w:spacing w:after="0"/>
        <w:jc w:val="center"/>
      </w:pPr>
    </w:p>
    <w:p w:rsidR="00243CF0" w:rsidP="002F0419">
      <w:pPr>
        <w:tabs>
          <w:tab w:val="left" w:pos="1440"/>
        </w:tabs>
        <w:spacing w:after="0"/>
        <w:jc w:val="center"/>
      </w:pPr>
      <w:r>
        <w:t>S248046</w:t>
      </w:r>
    </w:p>
    <w:p w:rsidR="00243CF0" w:rsidP="00243CF0">
      <w:pPr>
        <w:tabs>
          <w:tab w:val="left" w:pos="1440"/>
        </w:tabs>
        <w:spacing w:after="0"/>
        <w:jc w:val="center"/>
      </w:pPr>
    </w:p>
    <w:p w:rsidR="00243CF0" w:rsidP="00243CF0">
      <w:pPr>
        <w:tabs>
          <w:tab w:val="left" w:pos="1440"/>
        </w:tabs>
        <w:spacing w:after="0"/>
        <w:jc w:val="center"/>
      </w:pPr>
      <w:r>
        <w:t>Fourth Appellate District, Division One</w:t>
      </w:r>
    </w:p>
    <w:p w:rsidR="00243CF0" w:rsidP="002F0419">
      <w:pPr>
        <w:tabs>
          <w:tab w:val="left" w:pos="1440"/>
        </w:tabs>
        <w:spacing w:after="0"/>
        <w:jc w:val="center"/>
      </w:pPr>
      <w:r>
        <w:t>D071733</w:t>
      </w:r>
    </w:p>
    <w:p w:rsidR="00243CF0" w:rsidP="00243CF0">
      <w:pPr>
        <w:tabs>
          <w:tab w:val="left" w:pos="1440"/>
        </w:tabs>
        <w:spacing w:after="0"/>
        <w:jc w:val="center"/>
      </w:pPr>
    </w:p>
    <w:p w:rsidR="00243CF0" w:rsidP="002F0419">
      <w:pPr>
        <w:tabs>
          <w:tab w:val="left" w:pos="1440"/>
        </w:tabs>
        <w:spacing w:after="0"/>
        <w:jc w:val="center"/>
      </w:pPr>
      <w:r>
        <w:t>San Diego County</w:t>
      </w:r>
      <w:r w:rsidR="00FD239D">
        <w:t xml:space="preserve"> Superior Court</w:t>
      </w:r>
    </w:p>
    <w:p w:rsidR="00243CF0" w:rsidP="002F0419">
      <w:pPr>
        <w:tabs>
          <w:tab w:val="left" w:pos="1440"/>
        </w:tabs>
        <w:spacing w:after="0"/>
        <w:jc w:val="center"/>
      </w:pPr>
      <w:r>
        <w:t>SCD204096</w:t>
      </w:r>
    </w:p>
    <w:p w:rsidR="00243CF0" w:rsidP="00243CF0">
      <w:pPr>
        <w:pBdr>
          <w:bottom w:val="single" w:sz="4" w:space="1" w:color="auto"/>
        </w:pBdr>
        <w:tabs>
          <w:tab w:val="left" w:pos="1440"/>
        </w:tabs>
        <w:spacing w:after="0"/>
        <w:jc w:val="center"/>
      </w:pPr>
    </w:p>
    <w:p w:rsidR="00243CF0" w:rsidP="00243CF0">
      <w:pPr>
        <w:tabs>
          <w:tab w:val="left" w:pos="1440"/>
        </w:tabs>
        <w:spacing w:after="0"/>
        <w:jc w:val="center"/>
      </w:pPr>
    </w:p>
    <w:p w:rsidR="00243CF0" w:rsidP="00243CF0">
      <w:pPr>
        <w:tabs>
          <w:tab w:val="left" w:pos="1440"/>
        </w:tabs>
        <w:spacing w:after="0"/>
        <w:jc w:val="center"/>
      </w:pPr>
      <w:r>
        <w:t>August 22</w:t>
      </w:r>
      <w:r>
        <w:t>, 2019</w:t>
      </w:r>
    </w:p>
    <w:p w:rsidR="00243CF0" w:rsidP="00243CF0">
      <w:pPr>
        <w:tabs>
          <w:tab w:val="left" w:pos="1440"/>
        </w:tabs>
        <w:spacing w:after="0"/>
        <w:jc w:val="center"/>
      </w:pPr>
    </w:p>
    <w:p w:rsidR="00243CF0" w:rsidP="00243CF0">
      <w:pPr>
        <w:tabs>
          <w:tab w:val="left" w:pos="1440"/>
        </w:tabs>
        <w:spacing w:after="0"/>
        <w:jc w:val="left"/>
      </w:pPr>
      <w:r>
        <w:t xml:space="preserve">Justice Liu authored the opinion of the </w:t>
      </w:r>
      <w:r w:rsidR="00FD239D">
        <w:t>C</w:t>
      </w:r>
      <w:r>
        <w:t xml:space="preserve">ourt, in which </w:t>
      </w:r>
      <w:r w:rsidR="00C13FCF">
        <w:t>Chief Justice Cantil-Sakauye and Justices Chin, Corrigan, Cuéllar, Kruger, and Groban</w:t>
      </w:r>
      <w:r w:rsidR="004F42F6">
        <w:t xml:space="preserve"> </w:t>
      </w:r>
      <w:r>
        <w:t>concurred</w:t>
      </w:r>
    </w:p>
    <w:p w:rsidR="00243CF0" w:rsidRPr="0079169B" w:rsidP="00243CF0">
      <w:pPr>
        <w:pBdr>
          <w:bottom w:val="single" w:sz="4" w:space="1" w:color="auto"/>
        </w:pBdr>
        <w:tabs>
          <w:tab w:val="left" w:pos="1440"/>
        </w:tabs>
        <w:spacing w:line="480" w:lineRule="atLeast"/>
        <w:jc w:val="left"/>
      </w:pPr>
      <w:bookmarkStart w:id="6" w:name="Return"/>
      <w:bookmarkEnd w:id="6"/>
    </w:p>
    <w:p w:rsidR="00243CF0" w:rsidP="00243CF0">
      <w:pPr>
        <w:tabs>
          <w:tab w:val="left" w:pos="1440"/>
        </w:tabs>
        <w:spacing w:line="480" w:lineRule="atLeast"/>
        <w:ind w:firstLine="720"/>
        <w:sectPr w:rsidSect="0079169B">
          <w:headerReference w:type="even" r:id="rId4"/>
          <w:headerReference w:type="default" r:id="rId5"/>
          <w:footerReference w:type="even" r:id="rId6"/>
          <w:footerReference w:type="default" r:id="rId7"/>
          <w:headerReference w:type="first" r:id="rId8"/>
          <w:footerReference w:type="first" r:id="rId9"/>
          <w:pgSz w:w="12240" w:h="15840"/>
          <w:pgMar w:top="1800" w:right="2160" w:bottom="1440" w:left="2160" w:header="720" w:footer="720" w:gutter="0"/>
          <w:cols w:space="720"/>
          <w:titlePg/>
          <w:docGrid w:linePitch="367"/>
        </w:sectPr>
      </w:pPr>
    </w:p>
    <w:p w:rsidR="00243CF0" w:rsidP="00243CF0">
      <w:pPr>
        <w:tabs>
          <w:tab w:val="left" w:pos="1440"/>
        </w:tabs>
        <w:ind w:firstLine="720"/>
        <w:jc w:val="center"/>
      </w:pPr>
      <w:r>
        <w:t>PEOPLE v. FOSTER</w:t>
      </w:r>
    </w:p>
    <w:p w:rsidR="00243CF0" w:rsidP="00243CF0">
      <w:pPr>
        <w:tabs>
          <w:tab w:val="left" w:pos="1440"/>
        </w:tabs>
        <w:ind w:firstLine="720"/>
        <w:jc w:val="center"/>
      </w:pPr>
      <w:r>
        <w:t>S248046</w:t>
      </w:r>
    </w:p>
    <w:p w:rsidR="00243CF0" w:rsidP="00243CF0">
      <w:pPr>
        <w:tabs>
          <w:tab w:val="left" w:pos="1440"/>
        </w:tabs>
        <w:ind w:firstLine="720"/>
        <w:jc w:val="center"/>
      </w:pPr>
    </w:p>
    <w:p w:rsidR="00243CF0" w:rsidP="00243CF0">
      <w:pPr>
        <w:tabs>
          <w:tab w:val="left" w:pos="1440"/>
        </w:tabs>
        <w:ind w:firstLine="720"/>
        <w:jc w:val="center"/>
      </w:pPr>
      <w:r>
        <w:t>Opinion of the Court by</w:t>
      </w:r>
      <w:r w:rsidRPr="002F0419">
        <w:t xml:space="preserve"> </w:t>
      </w:r>
      <w:bookmarkStart w:id="7" w:name="justice"/>
      <w:bookmarkEnd w:id="7"/>
      <w:r w:rsidRPr="002F0419">
        <w:t>L</w:t>
      </w:r>
      <w:r w:rsidR="00FD239D">
        <w:t>iu</w:t>
      </w:r>
      <w:r w:rsidRPr="002F0419">
        <w:t>, J.</w:t>
      </w:r>
    </w:p>
    <w:p w:rsidR="00FC4B89" w:rsidRPr="004A73D5" w:rsidP="002F0419">
      <w:pPr>
        <w:tabs>
          <w:tab w:val="left" w:pos="1440"/>
        </w:tabs>
        <w:rPr>
          <w:b/>
          <w:caps/>
        </w:rPr>
      </w:pPr>
    </w:p>
    <w:p w:rsidR="007907EF" w:rsidRPr="004A73D5" w:rsidP="002F0419">
      <w:pPr>
        <w:tabs>
          <w:tab w:val="left" w:pos="1440"/>
        </w:tabs>
        <w:ind w:firstLine="720"/>
      </w:pPr>
      <w:r w:rsidRPr="004A73D5">
        <w:t>The Mentally Disordered Offender Act</w:t>
      </w:r>
      <w:r w:rsidR="00FD239D">
        <w:t xml:space="preserve"> (Pen. Code, § 2960 et seq.)</w:t>
      </w:r>
      <w:r w:rsidRPr="004A73D5" w:rsidR="00265585">
        <w:t xml:space="preserve"> </w:t>
      </w:r>
      <w:r w:rsidRPr="004A73D5" w:rsidR="00D11CDE">
        <w:t xml:space="preserve">authorizes </w:t>
      </w:r>
      <w:r w:rsidRPr="004A73D5" w:rsidR="001B305F">
        <w:t xml:space="preserve">the </w:t>
      </w:r>
      <w:r w:rsidRPr="004A73D5" w:rsidR="00200CCD">
        <w:t>Board of Parole Hearings</w:t>
      </w:r>
      <w:r w:rsidRPr="004A73D5" w:rsidR="001B305F">
        <w:t xml:space="preserve"> to </w:t>
      </w:r>
      <w:r w:rsidRPr="004A73D5" w:rsidR="007A3037">
        <w:t>involuntarily commit</w:t>
      </w:r>
      <w:r w:rsidRPr="004A73D5" w:rsidR="008479F9">
        <w:t xml:space="preserve"> </w:t>
      </w:r>
      <w:r w:rsidRPr="004A73D5" w:rsidR="007A3037">
        <w:t>individual</w:t>
      </w:r>
      <w:r w:rsidRPr="004A73D5" w:rsidR="00DF12C3">
        <w:t xml:space="preserve">s </w:t>
      </w:r>
      <w:r w:rsidRPr="004A73D5" w:rsidR="0060480A">
        <w:t xml:space="preserve">convicted of certain felony offenses </w:t>
      </w:r>
      <w:r w:rsidRPr="004A73D5" w:rsidR="00670822">
        <w:t>for</w:t>
      </w:r>
      <w:r w:rsidRPr="004A73D5" w:rsidR="00200CCD">
        <w:t xml:space="preserve"> </w:t>
      </w:r>
      <w:r w:rsidRPr="004A73D5" w:rsidR="00670822">
        <w:t>mental health treatment</w:t>
      </w:r>
      <w:r w:rsidRPr="004A73D5" w:rsidR="00200CCD">
        <w:t xml:space="preserve"> as a condition of parole. </w:t>
      </w:r>
      <w:r w:rsidRPr="004A73D5" w:rsidR="00C40B9E">
        <w:t xml:space="preserve"> (Pen. Code</w:t>
      </w:r>
      <w:r w:rsidR="00316845">
        <w:t>,</w:t>
      </w:r>
      <w:r w:rsidRPr="004A73D5" w:rsidR="00C40B9E">
        <w:t xml:space="preserve"> § 2962; all undesignated statutory references are to </w:t>
      </w:r>
      <w:r w:rsidRPr="004A73D5" w:rsidR="008C5324">
        <w:t>this c</w:t>
      </w:r>
      <w:r w:rsidRPr="004A73D5" w:rsidR="00C40B9E">
        <w:t xml:space="preserve">ode.) </w:t>
      </w:r>
      <w:r w:rsidRPr="004A73D5" w:rsidR="00200CCD">
        <w:t xml:space="preserve"> </w:t>
      </w:r>
      <w:r w:rsidRPr="004A73D5" w:rsidR="00B84C37">
        <w:t>Commitment as a</w:t>
      </w:r>
      <w:r w:rsidR="00FD239D">
        <w:t xml:space="preserve"> mentally disordered offender (MDO) </w:t>
      </w:r>
      <w:r w:rsidRPr="004A73D5" w:rsidR="00200CCD">
        <w:t xml:space="preserve">may continue even after </w:t>
      </w:r>
      <w:r w:rsidRPr="004A73D5" w:rsidR="003A4181">
        <w:t xml:space="preserve">an offender’s parole term has expired, </w:t>
      </w:r>
      <w:r w:rsidRPr="004A73D5" w:rsidR="00B84C37">
        <w:t>so</w:t>
      </w:r>
      <w:r w:rsidRPr="004A73D5" w:rsidR="003A4181">
        <w:t xml:space="preserve"> long as the district attorney makes</w:t>
      </w:r>
      <w:r w:rsidRPr="004A73D5" w:rsidR="00B84C37">
        <w:t xml:space="preserve"> a showing that </w:t>
      </w:r>
      <w:r w:rsidRPr="004A73D5" w:rsidR="006A49EA">
        <w:t xml:space="preserve">the MDO’s </w:t>
      </w:r>
      <w:r w:rsidRPr="004A73D5" w:rsidR="009E6770">
        <w:t>mental disorder is not in remission</w:t>
      </w:r>
      <w:r w:rsidRPr="004A73D5" w:rsidR="00FC61B9">
        <w:t xml:space="preserve"> </w:t>
      </w:r>
      <w:r w:rsidRPr="004A73D5" w:rsidR="009E6770">
        <w:t xml:space="preserve">and </w:t>
      </w:r>
      <w:r w:rsidRPr="004A73D5" w:rsidR="006C3705">
        <w:t xml:space="preserve">that </w:t>
      </w:r>
      <w:r w:rsidRPr="004A73D5" w:rsidR="008C5324">
        <w:t>t</w:t>
      </w:r>
      <w:r w:rsidRPr="004A73D5" w:rsidR="00FC61B9">
        <w:t>he</w:t>
      </w:r>
      <w:r w:rsidRPr="004A73D5" w:rsidR="008C5324">
        <w:t xml:space="preserve"> MDO</w:t>
      </w:r>
      <w:r w:rsidRPr="004A73D5" w:rsidR="00766103">
        <w:t>, because of the disorder,</w:t>
      </w:r>
      <w:r w:rsidRPr="004A73D5" w:rsidR="00FC61B9">
        <w:t xml:space="preserve"> </w:t>
      </w:r>
      <w:r w:rsidRPr="004A73D5" w:rsidR="00135F83">
        <w:t xml:space="preserve">represents a substantial danger of physical harm. </w:t>
      </w:r>
      <w:r w:rsidRPr="004A73D5" w:rsidR="00670822">
        <w:t xml:space="preserve"> </w:t>
      </w:r>
      <w:r w:rsidRPr="004A73D5" w:rsidR="00135F83">
        <w:t>(§</w:t>
      </w:r>
      <w:r w:rsidRPr="004A73D5" w:rsidR="00BA1370">
        <w:t>§</w:t>
      </w:r>
      <w:r w:rsidRPr="004A73D5" w:rsidR="00135F83">
        <w:t> 2970</w:t>
      </w:r>
      <w:r w:rsidRPr="004A73D5" w:rsidR="00BA1370">
        <w:t>, 2972</w:t>
      </w:r>
      <w:r w:rsidRPr="004A73D5" w:rsidR="00135F83">
        <w:t>.)</w:t>
      </w:r>
    </w:p>
    <w:p w:rsidR="008C5B11" w:rsidRPr="004A73D5" w:rsidP="002F0419">
      <w:pPr>
        <w:tabs>
          <w:tab w:val="left" w:pos="1440"/>
        </w:tabs>
        <w:ind w:firstLine="720"/>
      </w:pPr>
      <w:r w:rsidRPr="004A73D5">
        <w:t xml:space="preserve">In November 2014, California voters enacted Proposition 47, </w:t>
      </w:r>
      <w:r w:rsidRPr="004A73D5" w:rsidR="00EE3092">
        <w:t>which</w:t>
      </w:r>
      <w:r w:rsidRPr="004A73D5" w:rsidR="00C379E9">
        <w:t xml:space="preserve"> </w:t>
      </w:r>
      <w:r w:rsidRPr="004A73D5" w:rsidR="00A1302B">
        <w:t>reclassified</w:t>
      </w:r>
      <w:r w:rsidRPr="004A73D5">
        <w:t xml:space="preserve"> certain drug and theft-related offenses from felonies </w:t>
      </w:r>
      <w:r w:rsidRPr="004A73D5" w:rsidR="004D6EF5">
        <w:t xml:space="preserve">(or wobblers) </w:t>
      </w:r>
      <w:r w:rsidRPr="004A73D5">
        <w:t xml:space="preserve">to misdemeanors. </w:t>
      </w:r>
      <w:r w:rsidRPr="004A73D5" w:rsidR="00077D3D">
        <w:t xml:space="preserve"> </w:t>
      </w:r>
      <w:r w:rsidRPr="004A73D5" w:rsidR="00E913C7">
        <w:t>(</w:t>
      </w:r>
      <w:r w:rsidRPr="004A73D5" w:rsidR="00E913C7">
        <w:rPr>
          <w:i/>
        </w:rPr>
        <w:t>People v. Valencia</w:t>
      </w:r>
      <w:r w:rsidRPr="004A73D5" w:rsidR="00E913C7">
        <w:t xml:space="preserve"> (2017) 3 Cal.5th 347, 355.)</w:t>
      </w:r>
      <w:r w:rsidRPr="004A73D5" w:rsidR="00A20019">
        <w:t xml:space="preserve">  </w:t>
      </w:r>
      <w:r w:rsidRPr="004A73D5">
        <w:t xml:space="preserve">The initiative also authorizes </w:t>
      </w:r>
      <w:r w:rsidRPr="004A73D5" w:rsidR="00077D3D">
        <w:t xml:space="preserve">individuals </w:t>
      </w:r>
      <w:r w:rsidRPr="004A73D5" w:rsidR="00A20019">
        <w:t xml:space="preserve">who </w:t>
      </w:r>
      <w:r w:rsidRPr="004A73D5" w:rsidR="0021184A">
        <w:t>have</w:t>
      </w:r>
      <w:r w:rsidRPr="004A73D5" w:rsidR="00A20019">
        <w:t xml:space="preserve"> completed felony sentences </w:t>
      </w:r>
      <w:r w:rsidRPr="004A73D5" w:rsidR="00B56240">
        <w:t xml:space="preserve">affected by Proposition 47 to petition to </w:t>
      </w:r>
      <w:r w:rsidRPr="004A73D5" w:rsidR="00CC725D">
        <w:t>redesignate</w:t>
      </w:r>
      <w:r w:rsidRPr="004A73D5" w:rsidR="00B56240">
        <w:t xml:space="preserve"> the felony as a misdemeanor. </w:t>
      </w:r>
      <w:r w:rsidRPr="004A73D5" w:rsidR="00B10A10">
        <w:t xml:space="preserve"> (§ 1170.18, subd. (f).)</w:t>
      </w:r>
      <w:r w:rsidRPr="004A73D5">
        <w:t xml:space="preserve">  </w:t>
      </w:r>
      <w:r w:rsidRPr="004A73D5" w:rsidR="004E02D7">
        <w:t>Proposition 47</w:t>
      </w:r>
      <w:r w:rsidRPr="004A73D5" w:rsidR="006B1AC4">
        <w:t xml:space="preserve"> </w:t>
      </w:r>
      <w:r w:rsidRPr="004A73D5" w:rsidR="00F303E0">
        <w:t>mandates</w:t>
      </w:r>
      <w:r w:rsidRPr="004A73D5" w:rsidR="006B1AC4">
        <w:t xml:space="preserve"> that, with the exception of </w:t>
      </w:r>
      <w:r w:rsidRPr="004A73D5" w:rsidR="00735FBA">
        <w:t xml:space="preserve">firearms </w:t>
      </w:r>
      <w:r w:rsidRPr="004A73D5" w:rsidR="00CC016C">
        <w:t>restrictions</w:t>
      </w:r>
      <w:r w:rsidRPr="004A73D5" w:rsidR="001D56FE">
        <w:t xml:space="preserve">, </w:t>
      </w:r>
      <w:r w:rsidRPr="004A73D5" w:rsidR="008B271C">
        <w:t>a</w:t>
      </w:r>
      <w:r w:rsidRPr="004A73D5">
        <w:t xml:space="preserve"> </w:t>
      </w:r>
      <w:r w:rsidRPr="004A73D5" w:rsidR="006B1AC4">
        <w:t xml:space="preserve">redesignated conviction </w:t>
      </w:r>
      <w:r w:rsidRPr="004A73D5" w:rsidR="00675B2C">
        <w:t>“</w:t>
      </w:r>
      <w:r w:rsidRPr="004A73D5">
        <w:t>shall be considered a misdemeanor for all purposes</w:t>
      </w:r>
      <w:r w:rsidRPr="004A73D5" w:rsidR="00675B2C">
        <w:t xml:space="preserve">.” </w:t>
      </w:r>
      <w:r w:rsidRPr="004A73D5">
        <w:t xml:space="preserve"> (§</w:t>
      </w:r>
      <w:r w:rsidRPr="004A73D5" w:rsidR="001D56FE">
        <w:t> </w:t>
      </w:r>
      <w:r w:rsidRPr="004A73D5">
        <w:t>1170.18, subd. (k)</w:t>
      </w:r>
      <w:r w:rsidRPr="004A73D5" w:rsidR="006238CF">
        <w:t xml:space="preserve"> (</w:t>
      </w:r>
      <w:r w:rsidR="00FD239D">
        <w:t>section</w:t>
      </w:r>
      <w:r w:rsidRPr="004A73D5" w:rsidR="006238CF">
        <w:t> 1170.18(k))</w:t>
      </w:r>
      <w:r w:rsidRPr="004A73D5" w:rsidR="008C5324">
        <w:t>.</w:t>
      </w:r>
      <w:r w:rsidRPr="004A73D5">
        <w:t>)</w:t>
      </w:r>
    </w:p>
    <w:p w:rsidR="004116A9" w:rsidP="004A73D5">
      <w:pPr>
        <w:tabs>
          <w:tab w:val="left" w:pos="1440"/>
        </w:tabs>
        <w:ind w:firstLine="720"/>
      </w:pPr>
      <w:r w:rsidRPr="004A73D5">
        <w:t xml:space="preserve">In </w:t>
      </w:r>
      <w:r w:rsidRPr="004A73D5" w:rsidR="00B52251">
        <w:t>2016, d</w:t>
      </w:r>
      <w:r w:rsidRPr="004A73D5" w:rsidR="002B4A39">
        <w:t xml:space="preserve">efendant Jeremy </w:t>
      </w:r>
      <w:r w:rsidR="00FD239D">
        <w:t xml:space="preserve">John </w:t>
      </w:r>
      <w:r w:rsidRPr="004A73D5" w:rsidR="002B4A39">
        <w:t xml:space="preserve">Foster </w:t>
      </w:r>
      <w:r w:rsidRPr="004A73D5" w:rsidR="00947F3D">
        <w:t>successfully</w:t>
      </w:r>
      <w:r w:rsidRPr="004A73D5" w:rsidR="002B4A39">
        <w:t xml:space="preserve"> </w:t>
      </w:r>
      <w:r w:rsidRPr="004A73D5" w:rsidR="00947F3D">
        <w:t xml:space="preserve">petitioned </w:t>
      </w:r>
      <w:r w:rsidRPr="004A73D5" w:rsidR="008C5324">
        <w:t xml:space="preserve">to </w:t>
      </w:r>
      <w:r w:rsidRPr="004A73D5" w:rsidR="00BD64B9">
        <w:t xml:space="preserve">have </w:t>
      </w:r>
      <w:r w:rsidRPr="004A73D5" w:rsidR="008C5324">
        <w:t xml:space="preserve">a </w:t>
      </w:r>
      <w:r w:rsidRPr="004A73D5" w:rsidR="00BD64B9">
        <w:t>felony grand theft conviction</w:t>
      </w:r>
      <w:r w:rsidRPr="004A73D5" w:rsidR="00947F3D">
        <w:t xml:space="preserve"> </w:t>
      </w:r>
      <w:r w:rsidRPr="004A73D5" w:rsidR="00A17CF8">
        <w:t>redesignated as a misdemeanor</w:t>
      </w:r>
      <w:r w:rsidRPr="004A73D5" w:rsidR="00E35C0F">
        <w:t xml:space="preserve">.  </w:t>
      </w:r>
      <w:r w:rsidRPr="004A73D5" w:rsidR="00FA46E3">
        <w:t xml:space="preserve">Foster now argues that </w:t>
      </w:r>
      <w:r w:rsidRPr="004A73D5" w:rsidR="003415C6">
        <w:t>his commitment</w:t>
      </w:r>
      <w:r w:rsidRPr="004A73D5" w:rsidR="0037530D">
        <w:t xml:space="preserve"> or </w:t>
      </w:r>
      <w:r w:rsidRPr="004A73D5" w:rsidR="0037530D">
        <w:t>recommitment as an MDO must be vacated</w:t>
      </w:r>
      <w:r w:rsidRPr="004A73D5" w:rsidR="00B52251">
        <w:t xml:space="preserve"> because of the absence of a foundational felony.  </w:t>
      </w:r>
    </w:p>
    <w:p w:rsidR="00CB7855" w:rsidRPr="004A73D5" w:rsidP="002F0419">
      <w:pPr>
        <w:tabs>
          <w:tab w:val="left" w:pos="1440"/>
        </w:tabs>
        <w:ind w:firstLine="720"/>
      </w:pPr>
      <w:r>
        <w:t>We</w:t>
      </w:r>
      <w:r w:rsidRPr="004A73D5">
        <w:t xml:space="preserve"> conclude that </w:t>
      </w:r>
      <w:r w:rsidR="00B84C40">
        <w:t xml:space="preserve">the applicable statutes do not afford </w:t>
      </w:r>
      <w:r w:rsidRPr="004A73D5" w:rsidR="00876AC2">
        <w:t>Foster</w:t>
      </w:r>
      <w:r w:rsidR="00B84C40">
        <w:t xml:space="preserve"> the relief he seeks</w:t>
      </w:r>
      <w:r w:rsidR="004116A9">
        <w:t xml:space="preserve">.  </w:t>
      </w:r>
      <w:r w:rsidR="003F1FE1">
        <w:t>Under t</w:t>
      </w:r>
      <w:r w:rsidRPr="004A73D5" w:rsidR="00876AC2">
        <w:t>he MDO statute (§§ 2970, 2972)</w:t>
      </w:r>
      <w:r w:rsidR="003F1FE1">
        <w:t>,</w:t>
      </w:r>
      <w:r w:rsidRPr="004A73D5" w:rsidR="00776EF2">
        <w:t xml:space="preserve"> the redesignation of Foster’s felony as a misdemeanor </w:t>
      </w:r>
      <w:r w:rsidR="00F828BD">
        <w:t xml:space="preserve">does not undermine the validity of his initial </w:t>
      </w:r>
      <w:r w:rsidR="00794068">
        <w:t xml:space="preserve">civil </w:t>
      </w:r>
      <w:r w:rsidR="00F828BD">
        <w:t>commitment, which was legally sound at the time</w:t>
      </w:r>
      <w:r w:rsidR="00794068">
        <w:t xml:space="preserve"> the determination was made</w:t>
      </w:r>
      <w:r w:rsidR="00F828BD">
        <w:t xml:space="preserve">.  Nor </w:t>
      </w:r>
      <w:r w:rsidR="00752F80">
        <w:t xml:space="preserve">does </w:t>
      </w:r>
      <w:r w:rsidR="00F828BD">
        <w:t>the redesignation</w:t>
      </w:r>
      <w:r w:rsidR="00752F80">
        <w:t xml:space="preserve"> </w:t>
      </w:r>
      <w:r w:rsidR="005C3712">
        <w:t>alter</w:t>
      </w:r>
      <w:r w:rsidR="00D15F87">
        <w:t xml:space="preserve"> the </w:t>
      </w:r>
      <w:r w:rsidR="00AB0196">
        <w:t xml:space="preserve">criteria </w:t>
      </w:r>
      <w:r w:rsidR="005C3712">
        <w:t>governing</w:t>
      </w:r>
      <w:r w:rsidR="00AB0196">
        <w:t xml:space="preserve"> </w:t>
      </w:r>
      <w:r w:rsidR="004B1B84">
        <w:t>Foster’s</w:t>
      </w:r>
      <w:r w:rsidR="00C13C71">
        <w:t xml:space="preserve"> </w:t>
      </w:r>
      <w:r w:rsidR="00AB0196">
        <w:t xml:space="preserve">eligibility for </w:t>
      </w:r>
      <w:r w:rsidRPr="004A73D5" w:rsidR="00876AC2">
        <w:t xml:space="preserve">recommitment as an MDO.  </w:t>
      </w:r>
      <w:r w:rsidRPr="004A73D5" w:rsidR="00730A30">
        <w:t>E</w:t>
      </w:r>
      <w:r w:rsidRPr="004A73D5" w:rsidR="00B26F92">
        <w:t xml:space="preserve">qual protection </w:t>
      </w:r>
      <w:r w:rsidRPr="004A73D5" w:rsidR="00730A30">
        <w:t xml:space="preserve">principles do </w:t>
      </w:r>
      <w:r w:rsidRPr="004A73D5" w:rsidR="00B26F92">
        <w:t xml:space="preserve">not </w:t>
      </w:r>
      <w:r w:rsidRPr="004A73D5" w:rsidR="00C40B9E">
        <w:t>compel a different result.</w:t>
      </w:r>
      <w:r w:rsidR="002643F9">
        <w:t xml:space="preserve">  </w:t>
      </w:r>
      <w:r w:rsidRPr="004A73D5">
        <w:t xml:space="preserve">Accordingly, we </w:t>
      </w:r>
      <w:r w:rsidRPr="004A73D5" w:rsidR="00106BE6">
        <w:t>affirm</w:t>
      </w:r>
      <w:r w:rsidRPr="004A73D5">
        <w:t xml:space="preserve"> the Court of Appeal’s judgment.</w:t>
      </w:r>
    </w:p>
    <w:p w:rsidR="00766103" w:rsidRPr="004A73D5" w:rsidP="002F0419">
      <w:pPr>
        <w:contextualSpacing/>
        <w:jc w:val="center"/>
        <w:rPr>
          <w:b/>
        </w:rPr>
      </w:pPr>
      <w:r w:rsidRPr="004A73D5">
        <w:rPr>
          <w:b/>
        </w:rPr>
        <w:t>I.</w:t>
      </w:r>
    </w:p>
    <w:p w:rsidR="00BD4378" w:rsidRPr="004A73D5" w:rsidP="002F0419">
      <w:pPr>
        <w:tabs>
          <w:tab w:val="left" w:pos="1440"/>
        </w:tabs>
        <w:ind w:firstLine="720"/>
      </w:pPr>
      <w:r w:rsidRPr="004A73D5">
        <w:t>On January 17, 2007, Foster entered a convenience store</w:t>
      </w:r>
      <w:r w:rsidRPr="004A73D5" w:rsidR="00740ABC">
        <w:t xml:space="preserve"> and grabbed </w:t>
      </w:r>
      <w:r w:rsidRPr="004A73D5" w:rsidR="000B1F40">
        <w:t>merchandise from behind the counter</w:t>
      </w:r>
      <w:r w:rsidRPr="004A73D5">
        <w:t xml:space="preserve">.  </w:t>
      </w:r>
      <w:r w:rsidRPr="004A73D5" w:rsidR="00740ABC">
        <w:t xml:space="preserve">Foster falsely </w:t>
      </w:r>
      <w:r w:rsidRPr="004A73D5">
        <w:t xml:space="preserve">told the store clerk </w:t>
      </w:r>
      <w:r w:rsidRPr="004A73D5" w:rsidR="001113DC">
        <w:t xml:space="preserve">that </w:t>
      </w:r>
      <w:r w:rsidRPr="004A73D5">
        <w:t>he was</w:t>
      </w:r>
      <w:r w:rsidRPr="004A73D5" w:rsidR="00740ABC">
        <w:t xml:space="preserve"> a police officer</w:t>
      </w:r>
      <w:r w:rsidRPr="004A73D5">
        <w:t xml:space="preserve"> </w:t>
      </w:r>
      <w:r w:rsidRPr="004A73D5" w:rsidR="002E4DEB">
        <w:t>and that</w:t>
      </w:r>
      <w:r w:rsidRPr="004A73D5">
        <w:t xml:space="preserve"> he “</w:t>
      </w:r>
      <w:r w:rsidRPr="004A73D5" w:rsidR="00740ABC">
        <w:t>can do what he wants</w:t>
      </w:r>
      <w:r w:rsidRPr="004A73D5" w:rsidR="002E4DEB">
        <w:t>.</w:t>
      </w:r>
      <w:r w:rsidRPr="004A73D5">
        <w:t xml:space="preserve">”  </w:t>
      </w:r>
      <w:r w:rsidRPr="004A73D5" w:rsidR="003502D6">
        <w:t>The</w:t>
      </w:r>
      <w:r w:rsidRPr="004A73D5" w:rsidR="00740ABC">
        <w:t xml:space="preserve"> clerk</w:t>
      </w:r>
      <w:r w:rsidRPr="004A73D5" w:rsidR="003502D6">
        <w:t xml:space="preserve"> attempted to physically stop Foster; Foster pushed the clerk away</w:t>
      </w:r>
      <w:r w:rsidRPr="004A73D5">
        <w:t xml:space="preserve"> and fled.  </w:t>
      </w:r>
      <w:r w:rsidRPr="004A73D5" w:rsidR="00740ABC">
        <w:t>Foster was arrested</w:t>
      </w:r>
      <w:r w:rsidR="00316845">
        <w:t>,</w:t>
      </w:r>
      <w:r w:rsidRPr="004A73D5" w:rsidR="00740ABC">
        <w:t xml:space="preserve"> and the merchandise was recovered at the scene.</w:t>
      </w:r>
    </w:p>
    <w:p w:rsidR="00537C4F" w:rsidRPr="004A73D5" w:rsidP="002F0419">
      <w:pPr>
        <w:tabs>
          <w:tab w:val="left" w:pos="1440"/>
        </w:tabs>
        <w:ind w:firstLine="720"/>
      </w:pPr>
      <w:r w:rsidRPr="004A73D5">
        <w:t xml:space="preserve">Foster </w:t>
      </w:r>
      <w:r w:rsidRPr="004A73D5" w:rsidR="002E4DEB">
        <w:t>pleaded</w:t>
      </w:r>
      <w:r w:rsidRPr="004A73D5">
        <w:t xml:space="preserve"> guilty to </w:t>
      </w:r>
      <w:r w:rsidRPr="004A73D5" w:rsidR="00BD4378">
        <w:t>one</w:t>
      </w:r>
      <w:r w:rsidRPr="004A73D5">
        <w:t xml:space="preserve"> </w:t>
      </w:r>
      <w:r w:rsidRPr="004A73D5" w:rsidR="00BD4378">
        <w:t>count of felony grand theft.  (§ 487, subd. (c).)</w:t>
      </w:r>
      <w:r w:rsidRPr="004A73D5">
        <w:t xml:space="preserve">  The court sentenced Foster to 16 months in prison.</w:t>
      </w:r>
      <w:r w:rsidRPr="004A73D5" w:rsidR="002E4DEB">
        <w:t xml:space="preserve">  </w:t>
      </w:r>
      <w:r w:rsidRPr="004A73D5" w:rsidR="00A62479">
        <w:t>On September 14, 2010, a</w:t>
      </w:r>
      <w:r w:rsidRPr="004A73D5" w:rsidR="00635F7D">
        <w:t xml:space="preserve">fter </w:t>
      </w:r>
      <w:r w:rsidRPr="004A73D5" w:rsidR="00A62479">
        <w:t>Foster had completed</w:t>
      </w:r>
      <w:r w:rsidRPr="004A73D5" w:rsidR="00635F7D">
        <w:t xml:space="preserve"> his sentence, </w:t>
      </w:r>
      <w:r w:rsidRPr="004A73D5" w:rsidR="00A62479">
        <w:t>he was admitted</w:t>
      </w:r>
      <w:r w:rsidRPr="004A73D5" w:rsidR="00635F7D">
        <w:t xml:space="preserve"> to a state hospital as a</w:t>
      </w:r>
      <w:r w:rsidR="00FD239D">
        <w:t xml:space="preserve">n MDO </w:t>
      </w:r>
      <w:r w:rsidRPr="004A73D5" w:rsidR="00635F7D">
        <w:t xml:space="preserve">as a parole </w:t>
      </w:r>
      <w:r w:rsidRPr="004A73D5" w:rsidR="00A62479">
        <w:t xml:space="preserve">condition </w:t>
      </w:r>
      <w:r w:rsidRPr="004A73D5" w:rsidR="00635F7D">
        <w:t>under section 2962.</w:t>
      </w:r>
      <w:r w:rsidR="009B3BC9">
        <w:t xml:space="preserve">  </w:t>
      </w:r>
      <w:r w:rsidRPr="004A73D5">
        <w:t>Foster</w:t>
      </w:r>
      <w:r w:rsidRPr="004A73D5" w:rsidR="00635F7D">
        <w:t xml:space="preserve">’s commitment was </w:t>
      </w:r>
      <w:r w:rsidRPr="004A73D5" w:rsidR="00A62479">
        <w:t>extended several</w:t>
      </w:r>
      <w:r w:rsidRPr="004A73D5">
        <w:t xml:space="preserve"> </w:t>
      </w:r>
      <w:r w:rsidRPr="004A73D5" w:rsidR="003718A0">
        <w:t>times</w:t>
      </w:r>
      <w:r w:rsidRPr="004A73D5" w:rsidR="0081340D">
        <w:t xml:space="preserve">, and </w:t>
      </w:r>
      <w:r w:rsidRPr="004A73D5" w:rsidR="00A62479">
        <w:t xml:space="preserve">he was released to an outpatient conditional release program </w:t>
      </w:r>
      <w:r w:rsidRPr="004A73D5" w:rsidR="0081340D">
        <w:t xml:space="preserve">for further treatment </w:t>
      </w:r>
      <w:r w:rsidRPr="004A73D5" w:rsidR="00A62479">
        <w:t xml:space="preserve">on October 10, 2014. </w:t>
      </w:r>
      <w:r w:rsidR="006A67C4">
        <w:t xml:space="preserve"> </w:t>
      </w:r>
      <w:r w:rsidRPr="004A73D5">
        <w:t xml:space="preserve">Since </w:t>
      </w:r>
      <w:r w:rsidRPr="004A73D5" w:rsidR="003718A0">
        <w:t xml:space="preserve">his </w:t>
      </w:r>
      <w:r w:rsidRPr="004A73D5">
        <w:t xml:space="preserve">initial commitment, </w:t>
      </w:r>
      <w:r w:rsidRPr="004A73D5" w:rsidR="000A4703">
        <w:t xml:space="preserve">Foster </w:t>
      </w:r>
      <w:r w:rsidRPr="004A73D5" w:rsidR="00CC465D">
        <w:t>has been recommitted as an</w:t>
      </w:r>
      <w:r w:rsidRPr="004A73D5">
        <w:t xml:space="preserve"> MDO annually</w:t>
      </w:r>
      <w:r w:rsidRPr="004A73D5" w:rsidR="00CC465D">
        <w:t xml:space="preserve"> under section </w:t>
      </w:r>
      <w:r w:rsidRPr="004A73D5" w:rsidR="000A4703">
        <w:t>2966, subdivision (c)</w:t>
      </w:r>
      <w:r w:rsidRPr="004A73D5" w:rsidR="00766103">
        <w:t xml:space="preserve"> and under sections </w:t>
      </w:r>
      <w:r w:rsidRPr="004A73D5" w:rsidR="00CC465D">
        <w:t>2970 and 2972</w:t>
      </w:r>
      <w:r w:rsidRPr="004A73D5">
        <w:t>.</w:t>
      </w:r>
    </w:p>
    <w:p w:rsidR="0092493B" w:rsidRPr="004A73D5" w:rsidP="002F0419">
      <w:pPr>
        <w:tabs>
          <w:tab w:val="left" w:pos="1440"/>
        </w:tabs>
        <w:ind w:firstLine="720"/>
      </w:pPr>
      <w:r w:rsidRPr="004A73D5">
        <w:t xml:space="preserve">In 2016, after the voters approved Proposition 47, Foster successfully petitioned to have his felony conviction </w:t>
      </w:r>
      <w:r w:rsidRPr="004A73D5" w:rsidR="00CC465D">
        <w:t>redesignated</w:t>
      </w:r>
      <w:r w:rsidRPr="004A73D5">
        <w:t xml:space="preserve"> as a misdemeanor.  Foster then moved to dismiss his recommitment as an MDO on the basis that the redesignation of his theft offense meant he no longer had a qualifying offense for his MDO recommitment.  The trial court denied the motion</w:t>
      </w:r>
      <w:r w:rsidRPr="004A73D5">
        <w:t>.</w:t>
      </w:r>
      <w:r w:rsidRPr="004A73D5">
        <w:t xml:space="preserve"> </w:t>
      </w:r>
    </w:p>
    <w:p w:rsidR="00FC3DBB" w:rsidRPr="004A73D5" w:rsidP="002F0419">
      <w:pPr>
        <w:tabs>
          <w:tab w:val="left" w:pos="1440"/>
        </w:tabs>
        <w:ind w:firstLine="720"/>
        <w:contextualSpacing/>
      </w:pPr>
      <w:r w:rsidRPr="004A73D5">
        <w:t>T</w:t>
      </w:r>
      <w:r w:rsidRPr="004A73D5" w:rsidR="00537C4F">
        <w:t xml:space="preserve">he Court of Appeal affirmed.  </w:t>
      </w:r>
      <w:r w:rsidRPr="004A73D5" w:rsidR="00BA308A">
        <w:t>The court</w:t>
      </w:r>
      <w:r w:rsidRPr="004A73D5">
        <w:t xml:space="preserve"> </w:t>
      </w:r>
      <w:r w:rsidRPr="004A73D5" w:rsidR="00537C4F">
        <w:t xml:space="preserve">adopted the reasoning it set out in </w:t>
      </w:r>
      <w:r w:rsidRPr="004A73D5" w:rsidR="00537C4F">
        <w:rPr>
          <w:i/>
        </w:rPr>
        <w:t>People v. Goodrich</w:t>
      </w:r>
      <w:r w:rsidRPr="004A73D5" w:rsidR="00537C4F">
        <w:t xml:space="preserve"> (2017) 7 Cal.App.5th 699</w:t>
      </w:r>
      <w:r w:rsidRPr="004A73D5" w:rsidR="00265585">
        <w:t>, 709–711</w:t>
      </w:r>
      <w:r w:rsidRPr="004A73D5" w:rsidR="00537C4F">
        <w:t xml:space="preserve">, which rejected an identical argument.  In </w:t>
      </w:r>
      <w:r w:rsidRPr="004A73D5" w:rsidR="00537C4F">
        <w:rPr>
          <w:i/>
        </w:rPr>
        <w:t>Goodrich</w:t>
      </w:r>
      <w:r w:rsidRPr="004A73D5" w:rsidR="00537C4F">
        <w:t xml:space="preserve">, the </w:t>
      </w:r>
      <w:r w:rsidRPr="004A73D5">
        <w:t>Court of Appeal</w:t>
      </w:r>
      <w:r w:rsidRPr="004A73D5" w:rsidR="00FA40B7">
        <w:t xml:space="preserve"> </w:t>
      </w:r>
      <w:r w:rsidRPr="004A73D5" w:rsidR="00CC465D">
        <w:t xml:space="preserve">concluded that </w:t>
      </w:r>
      <w:r w:rsidRPr="004A73D5" w:rsidR="00FA40B7">
        <w:t xml:space="preserve">Proposition 47 does not apply to </w:t>
      </w:r>
      <w:r w:rsidRPr="004A73D5" w:rsidR="000A4703">
        <w:t xml:space="preserve">retroactively </w:t>
      </w:r>
      <w:r w:rsidRPr="004A73D5" w:rsidR="00FA40B7">
        <w:t>invalidate a properly imposed MDO commitment or</w:t>
      </w:r>
      <w:r w:rsidRPr="004A73D5" w:rsidR="000A4703">
        <w:t xml:space="preserve"> to invalidate</w:t>
      </w:r>
      <w:r w:rsidRPr="004A73D5" w:rsidR="000435D2">
        <w:t xml:space="preserve"> </w:t>
      </w:r>
      <w:r w:rsidRPr="004A73D5" w:rsidR="00FA40B7">
        <w:t>subsequent recommitment</w:t>
      </w:r>
      <w:r w:rsidRPr="004A73D5" w:rsidR="000A4703">
        <w:t>s</w:t>
      </w:r>
      <w:r w:rsidRPr="004A73D5" w:rsidR="00FA40B7">
        <w:t xml:space="preserve">.  The </w:t>
      </w:r>
      <w:r w:rsidRPr="004A73D5" w:rsidR="00FA40B7">
        <w:rPr>
          <w:i/>
        </w:rPr>
        <w:t xml:space="preserve">Goodrich </w:t>
      </w:r>
      <w:r w:rsidRPr="004A73D5" w:rsidR="00FA40B7">
        <w:t xml:space="preserve">court, interpreting the criteria </w:t>
      </w:r>
      <w:r w:rsidRPr="004A73D5" w:rsidR="000435D2">
        <w:t xml:space="preserve">for recommitment set forth in </w:t>
      </w:r>
      <w:r w:rsidRPr="004A73D5" w:rsidR="00FA40B7">
        <w:t xml:space="preserve">section 2972, subdivision (c), reasoned that recommitment </w:t>
      </w:r>
      <w:r w:rsidRPr="004A73D5">
        <w:t>“</w:t>
      </w:r>
      <w:r w:rsidRPr="004A73D5" w:rsidR="00537C4F">
        <w:t xml:space="preserve">is not predicated upon </w:t>
      </w:r>
      <w:r w:rsidRPr="004A73D5" w:rsidR="00CC465D">
        <w:t>[an individual’s]</w:t>
      </w:r>
      <w:r w:rsidRPr="004A73D5" w:rsidR="00537C4F">
        <w:t xml:space="preserve"> felony conviction; rather, it is predicated on his current mental state and dangerousness.</w:t>
      </w:r>
      <w:r w:rsidRPr="004A73D5" w:rsidR="00FA40B7">
        <w:t>”</w:t>
      </w:r>
      <w:r w:rsidRPr="004A73D5" w:rsidR="00537C4F">
        <w:t xml:space="preserve"> </w:t>
      </w:r>
      <w:r w:rsidRPr="004A73D5" w:rsidR="00CC465D">
        <w:t xml:space="preserve"> </w:t>
      </w:r>
      <w:r w:rsidRPr="004A73D5" w:rsidR="00537C4F">
        <w:t>(</w:t>
      </w:r>
      <w:r w:rsidRPr="004A73D5" w:rsidR="003718A0">
        <w:rPr>
          <w:i/>
        </w:rPr>
        <w:t>Goodrich</w:t>
      </w:r>
      <w:r w:rsidRPr="004A73D5" w:rsidR="003718A0">
        <w:t>,</w:t>
      </w:r>
      <w:r w:rsidRPr="004A73D5" w:rsidR="00537C4F">
        <w:t xml:space="preserve"> at p. 711.)  </w:t>
      </w:r>
      <w:r w:rsidRPr="004A73D5" w:rsidR="00CC465D">
        <w:t>The</w:t>
      </w:r>
      <w:r w:rsidRPr="004A73D5" w:rsidR="00537C4F">
        <w:t xml:space="preserve"> </w:t>
      </w:r>
      <w:r w:rsidRPr="004A73D5" w:rsidR="00FA40B7">
        <w:rPr>
          <w:i/>
        </w:rPr>
        <w:t xml:space="preserve">Goodrich </w:t>
      </w:r>
      <w:r w:rsidRPr="004A73D5" w:rsidR="00537C4F">
        <w:t xml:space="preserve">court </w:t>
      </w:r>
      <w:r w:rsidRPr="004A73D5" w:rsidR="00CC465D">
        <w:t xml:space="preserve">further </w:t>
      </w:r>
      <w:r w:rsidRPr="004A73D5" w:rsidR="00FA40B7">
        <w:t>concluded that</w:t>
      </w:r>
      <w:r w:rsidRPr="004A73D5" w:rsidR="00537C4F">
        <w:t xml:space="preserve"> </w:t>
      </w:r>
      <w:r w:rsidRPr="004A73D5" w:rsidR="00CC465D">
        <w:t>a</w:t>
      </w:r>
      <w:r w:rsidRPr="004A73D5" w:rsidR="00537C4F">
        <w:t xml:space="preserve"> challenge to an individual</w:t>
      </w:r>
      <w:r w:rsidRPr="004A73D5" w:rsidR="003718A0">
        <w:t>’</w:t>
      </w:r>
      <w:r w:rsidRPr="004A73D5" w:rsidR="00537C4F">
        <w:t xml:space="preserve">s initial commitment as an MDO through </w:t>
      </w:r>
      <w:r w:rsidRPr="004A73D5" w:rsidR="00CC465D">
        <w:t>Proposition 47</w:t>
      </w:r>
      <w:r w:rsidRPr="004A73D5" w:rsidR="00537C4F">
        <w:t xml:space="preserve"> would amount to </w:t>
      </w:r>
      <w:r w:rsidR="00283F76">
        <w:t xml:space="preserve">inappropriate retroactive </w:t>
      </w:r>
      <w:r w:rsidRPr="004A73D5" w:rsidR="00537C4F">
        <w:t xml:space="preserve">relief </w:t>
      </w:r>
      <w:r w:rsidRPr="004A73D5" w:rsidR="00CC465D">
        <w:t>“</w:t>
      </w:r>
      <w:r w:rsidRPr="00283F76" w:rsidR="00283F76">
        <w:t>for the collateral purpose of invalidating an initial MDO commitment long after it was properly imposed</w:t>
      </w:r>
      <w:r w:rsidRPr="004A73D5" w:rsidR="00537C4F">
        <w:t>.</w:t>
      </w:r>
      <w:r w:rsidRPr="004A73D5" w:rsidR="00CC465D">
        <w:t>”</w:t>
      </w:r>
      <w:r w:rsidRPr="004A73D5" w:rsidR="00537C4F">
        <w:t xml:space="preserve">  (</w:t>
      </w:r>
      <w:r w:rsidRPr="004A73D5" w:rsidR="003718A0">
        <w:rPr>
          <w:i/>
        </w:rPr>
        <w:t>Goodrich</w:t>
      </w:r>
      <w:r w:rsidRPr="004A73D5" w:rsidR="003718A0">
        <w:t>, at p. 711.</w:t>
      </w:r>
      <w:r w:rsidRPr="004A73D5" w:rsidR="00537C4F">
        <w:t xml:space="preserve">)  </w:t>
      </w:r>
      <w:r w:rsidRPr="004A73D5" w:rsidR="003718A0">
        <w:t>Here, t</w:t>
      </w:r>
      <w:r w:rsidRPr="004A73D5">
        <w:t xml:space="preserve">he Court of Appeal also rejected an equal protection </w:t>
      </w:r>
      <w:r w:rsidRPr="004A73D5" w:rsidR="003718A0">
        <w:t xml:space="preserve">claim </w:t>
      </w:r>
      <w:r w:rsidRPr="004A73D5">
        <w:t>premise</w:t>
      </w:r>
      <w:r w:rsidRPr="004A73D5" w:rsidR="003718A0">
        <w:t xml:space="preserve">d on Foster’s asserted similarity </w:t>
      </w:r>
      <w:r w:rsidRPr="004A73D5">
        <w:t>to individuals committed under the Sexually Violent Predators Act</w:t>
      </w:r>
      <w:r w:rsidR="00FD239D">
        <w:t xml:space="preserve"> (SVP Act; Welf. &amp; Inst. Code, § 6600 et seq.)</w:t>
      </w:r>
      <w:r w:rsidRPr="004A73D5">
        <w:t xml:space="preserve">.  </w:t>
      </w:r>
    </w:p>
    <w:p w:rsidR="00766103" w:rsidRPr="004A73D5" w:rsidP="002F0419">
      <w:pPr>
        <w:tabs>
          <w:tab w:val="left" w:pos="1440"/>
        </w:tabs>
        <w:ind w:firstLine="720"/>
        <w:contextualSpacing/>
      </w:pPr>
      <w:r w:rsidRPr="004A73D5">
        <w:t>We granted review.</w:t>
      </w:r>
    </w:p>
    <w:p w:rsidR="003718A0" w:rsidRPr="004A73D5" w:rsidP="002F0419">
      <w:pPr>
        <w:contextualSpacing/>
        <w:jc w:val="center"/>
      </w:pPr>
      <w:r w:rsidRPr="004A73D5">
        <w:rPr>
          <w:b/>
        </w:rPr>
        <w:t>II.</w:t>
      </w:r>
    </w:p>
    <w:p w:rsidR="0092493B" w:rsidRPr="004A73D5" w:rsidP="002F0419">
      <w:pPr>
        <w:contextualSpacing/>
      </w:pPr>
      <w:r w:rsidRPr="004A73D5">
        <w:tab/>
      </w:r>
      <w:r w:rsidRPr="004A73D5" w:rsidR="00FA40B7">
        <w:t xml:space="preserve">“Enacted in 1985, the MDO Act requires that an offender who has been convicted of a specified felony related to a severe mental disorder and who continues to pose a danger to society receive appropriate treatment until the disorder can be kept in </w:t>
      </w:r>
      <w:r w:rsidRPr="004A73D5" w:rsidR="00FA40B7">
        <w:t>remission.”  (</w:t>
      </w:r>
      <w:r w:rsidRPr="004A73D5" w:rsidR="00FA40B7">
        <w:rPr>
          <w:i/>
        </w:rPr>
        <w:t>People v. Harrison</w:t>
      </w:r>
      <w:r w:rsidRPr="004A73D5" w:rsidR="00FA40B7">
        <w:t xml:space="preserve"> (2013) 57 Cal.4th 1211, 1218 (</w:t>
      </w:r>
      <w:r w:rsidRPr="004A73D5" w:rsidR="00FA40B7">
        <w:rPr>
          <w:i/>
        </w:rPr>
        <w:t>Harrison</w:t>
      </w:r>
      <w:r w:rsidRPr="004A73D5" w:rsidR="00FA40B7">
        <w:t>).)</w:t>
      </w:r>
      <w:r w:rsidRPr="004A73D5" w:rsidR="000A428F">
        <w:t xml:space="preserve"> </w:t>
      </w:r>
      <w:r w:rsidRPr="004A73D5" w:rsidR="006F20C9">
        <w:t xml:space="preserve"> </w:t>
      </w:r>
      <w:r w:rsidRPr="004A73D5" w:rsidR="005B040D">
        <w:t xml:space="preserve">The </w:t>
      </w:r>
      <w:r w:rsidRPr="004A73D5" w:rsidR="00DE75F4">
        <w:t xml:space="preserve">MDO </w:t>
      </w:r>
      <w:r w:rsidRPr="004A73D5" w:rsidR="006F20C9">
        <w:t>Act provides for treatment at three stages of commitment:</w:t>
      </w:r>
      <w:r w:rsidRPr="004A73D5" w:rsidR="000A428F">
        <w:t xml:space="preserve"> </w:t>
      </w:r>
      <w:r w:rsidRPr="004A73D5" w:rsidR="00B72E90">
        <w:t>as a condition of parole</w:t>
      </w:r>
      <w:r w:rsidRPr="004A73D5" w:rsidR="00053604">
        <w:t xml:space="preserve"> (§</w:t>
      </w:r>
      <w:r w:rsidRPr="004A73D5" w:rsidR="00894D1A">
        <w:t> </w:t>
      </w:r>
      <w:r w:rsidRPr="004A73D5" w:rsidR="00053604">
        <w:t>2962)</w:t>
      </w:r>
      <w:r w:rsidRPr="004A73D5" w:rsidR="00B72E90">
        <w:t>, in conjunction with the extension of parole</w:t>
      </w:r>
      <w:r w:rsidRPr="004A73D5" w:rsidR="00053604">
        <w:t xml:space="preserve"> (</w:t>
      </w:r>
      <w:r w:rsidRPr="004A73D5" w:rsidR="00D6747B">
        <w:t>§</w:t>
      </w:r>
      <w:r w:rsidRPr="004A73D5" w:rsidR="00894D1A">
        <w:t> </w:t>
      </w:r>
      <w:r w:rsidRPr="004A73D5" w:rsidR="00D6747B">
        <w:t>2966, subd. (c))</w:t>
      </w:r>
      <w:r w:rsidRPr="004A73D5" w:rsidR="00B72E90">
        <w:t>, and following release from parole</w:t>
      </w:r>
      <w:r w:rsidRPr="004A73D5" w:rsidR="00D6747B">
        <w:t xml:space="preserve"> (§§ </w:t>
      </w:r>
      <w:r w:rsidRPr="004A73D5" w:rsidR="00894D1A">
        <w:t>2970, 2972)</w:t>
      </w:r>
      <w:r w:rsidRPr="004A73D5" w:rsidR="00B72E90">
        <w:t xml:space="preserve">.  </w:t>
      </w:r>
      <w:r w:rsidRPr="004A73D5" w:rsidR="00025754">
        <w:t>(</w:t>
      </w:r>
      <w:r w:rsidRPr="004A73D5" w:rsidR="00025754">
        <w:rPr>
          <w:i/>
        </w:rPr>
        <w:t>Lopez v. Superior Court</w:t>
      </w:r>
      <w:r w:rsidRPr="004A73D5" w:rsidR="00025754">
        <w:t xml:space="preserve"> (2010) 50 Cal.4th 1055</w:t>
      </w:r>
      <w:r w:rsidRPr="004A73D5" w:rsidR="005B040D">
        <w:t>, 106</w:t>
      </w:r>
      <w:r w:rsidRPr="004A73D5" w:rsidR="00D83074">
        <w:t>1–1062</w:t>
      </w:r>
      <w:r w:rsidRPr="004A73D5" w:rsidR="00AC583B">
        <w:t xml:space="preserve"> (</w:t>
      </w:r>
      <w:r w:rsidRPr="004A73D5" w:rsidR="00AC583B">
        <w:rPr>
          <w:i/>
        </w:rPr>
        <w:t>Lopez</w:t>
      </w:r>
      <w:r w:rsidRPr="004A73D5" w:rsidR="00AC583B">
        <w:t>)</w:t>
      </w:r>
      <w:r w:rsidRPr="004A73D5" w:rsidR="00025754">
        <w:t>.)</w:t>
      </w:r>
    </w:p>
    <w:p w:rsidR="003A14B7" w:rsidRPr="004A73D5" w:rsidP="002F0419">
      <w:pPr>
        <w:rPr>
          <w:szCs w:val="26"/>
        </w:rPr>
      </w:pPr>
      <w:r w:rsidRPr="004A73D5">
        <w:tab/>
        <w:t xml:space="preserve">Section 2962 </w:t>
      </w:r>
      <w:r w:rsidRPr="004A73D5" w:rsidR="005B040D">
        <w:t>enumerates six criteria</w:t>
      </w:r>
      <w:r w:rsidRPr="004A73D5">
        <w:t xml:space="preserve"> that </w:t>
      </w:r>
      <w:r w:rsidRPr="004A73D5" w:rsidR="001B71F3">
        <w:t xml:space="preserve">must be </w:t>
      </w:r>
      <w:r w:rsidRPr="004A73D5" w:rsidR="003718A0">
        <w:t xml:space="preserve">met </w:t>
      </w:r>
      <w:r w:rsidRPr="004A73D5" w:rsidR="001B71F3">
        <w:t xml:space="preserve">at the time of </w:t>
      </w:r>
      <w:r w:rsidRPr="004A73D5" w:rsidR="000D4986">
        <w:t>an offender’s initial commitment as an MDO</w:t>
      </w:r>
      <w:r w:rsidRPr="004A73D5" w:rsidR="00AC583B">
        <w:t>:</w:t>
      </w:r>
      <w:r w:rsidRPr="004A73D5" w:rsidR="00265585">
        <w:t xml:space="preserve"> </w:t>
      </w:r>
      <w:r w:rsidRPr="004A73D5">
        <w:t xml:space="preserve">(1) the offender has a severe mental disorder; (2) the disorder is not </w:t>
      </w:r>
      <w:r w:rsidRPr="004A73D5" w:rsidR="003502D6">
        <w:t xml:space="preserve">or cannot be kept </w:t>
      </w:r>
      <w:r w:rsidRPr="004A73D5">
        <w:t>in remission without treatment; (3) by reason of the disorder</w:t>
      </w:r>
      <w:r w:rsidRPr="004A73D5" w:rsidR="003502D6">
        <w:t>,</w:t>
      </w:r>
      <w:r w:rsidRPr="004A73D5">
        <w:t xml:space="preserve"> the offender represents a substantial danger of physical harm to others; (4) the disorder was a cause or </w:t>
      </w:r>
      <w:r w:rsidRPr="004A73D5">
        <w:rPr>
          <w:szCs w:val="26"/>
        </w:rPr>
        <w:t xml:space="preserve">aggravating factor </w:t>
      </w:r>
      <w:r w:rsidRPr="004A73D5" w:rsidR="003502D6">
        <w:rPr>
          <w:szCs w:val="26"/>
        </w:rPr>
        <w:t xml:space="preserve">in the underlying crime; (5) the offender was treated for the disorder for at least 90 days prior to his or her release; and (6) the </w:t>
      </w:r>
      <w:r w:rsidRPr="004A73D5" w:rsidR="00CB7855">
        <w:rPr>
          <w:szCs w:val="26"/>
        </w:rPr>
        <w:t xml:space="preserve">underlying crime was </w:t>
      </w:r>
      <w:r w:rsidR="00924298">
        <w:rPr>
          <w:szCs w:val="26"/>
        </w:rPr>
        <w:t xml:space="preserve">either </w:t>
      </w:r>
      <w:r w:rsidRPr="004A73D5" w:rsidR="00EE5AA4">
        <w:rPr>
          <w:szCs w:val="26"/>
        </w:rPr>
        <w:t>an enumerated felony</w:t>
      </w:r>
      <w:r w:rsidRPr="004A73D5" w:rsidR="00CB7855">
        <w:rPr>
          <w:szCs w:val="26"/>
        </w:rPr>
        <w:t xml:space="preserve"> </w:t>
      </w:r>
      <w:r w:rsidR="00657BA6">
        <w:rPr>
          <w:szCs w:val="26"/>
        </w:rPr>
        <w:t>or an unenumerated crime “in which the prisoner used force or violence, or caused serious</w:t>
      </w:r>
      <w:r w:rsidRPr="004A73D5" w:rsidR="003502D6">
        <w:rPr>
          <w:szCs w:val="26"/>
        </w:rPr>
        <w:t xml:space="preserve"> bodily injury</w:t>
      </w:r>
      <w:r w:rsidR="00657BA6">
        <w:rPr>
          <w:szCs w:val="26"/>
        </w:rPr>
        <w:t>” or “expressly or impliedly threatened another with the use of force or violence likely to produce substantial physical harm.”</w:t>
      </w:r>
      <w:r w:rsidRPr="004A73D5" w:rsidR="00CB7855">
        <w:rPr>
          <w:szCs w:val="26"/>
        </w:rPr>
        <w:t xml:space="preserve">  (</w:t>
      </w:r>
      <w:r w:rsidRPr="004A73D5" w:rsidR="00E01E87">
        <w:rPr>
          <w:szCs w:val="26"/>
        </w:rPr>
        <w:t>§ 2962</w:t>
      </w:r>
      <w:r w:rsidRPr="004A73D5" w:rsidR="00BC4ED3">
        <w:rPr>
          <w:szCs w:val="26"/>
        </w:rPr>
        <w:t>, subds.</w:t>
      </w:r>
      <w:r w:rsidR="00316845">
        <w:rPr>
          <w:szCs w:val="26"/>
        </w:rPr>
        <w:t> </w:t>
      </w:r>
      <w:r w:rsidRPr="004A73D5" w:rsidR="00BC4ED3">
        <w:rPr>
          <w:szCs w:val="26"/>
        </w:rPr>
        <w:t>(a)–(</w:t>
      </w:r>
      <w:r w:rsidR="00657BA6">
        <w:rPr>
          <w:szCs w:val="26"/>
        </w:rPr>
        <w:t>e</w:t>
      </w:r>
      <w:r w:rsidRPr="004A73D5" w:rsidR="00BC4ED3">
        <w:rPr>
          <w:szCs w:val="26"/>
        </w:rPr>
        <w:t xml:space="preserve">); </w:t>
      </w:r>
      <w:r w:rsidRPr="004A73D5">
        <w:rPr>
          <w:i/>
          <w:szCs w:val="26"/>
        </w:rPr>
        <w:t>Harrison</w:t>
      </w:r>
      <w:r w:rsidRPr="004A73D5" w:rsidR="00CB7855">
        <w:rPr>
          <w:szCs w:val="26"/>
        </w:rPr>
        <w:t>,</w:t>
      </w:r>
      <w:r w:rsidRPr="004A73D5" w:rsidR="003718A0">
        <w:rPr>
          <w:szCs w:val="26"/>
        </w:rPr>
        <w:t xml:space="preserve"> </w:t>
      </w:r>
      <w:r w:rsidRPr="004A73D5" w:rsidR="003718A0">
        <w:rPr>
          <w:i/>
          <w:szCs w:val="26"/>
        </w:rPr>
        <w:t>supra</w:t>
      </w:r>
      <w:r w:rsidRPr="004A73D5" w:rsidR="003718A0">
        <w:rPr>
          <w:szCs w:val="26"/>
        </w:rPr>
        <w:t>,</w:t>
      </w:r>
      <w:r w:rsidRPr="004A73D5" w:rsidR="00CB7855">
        <w:rPr>
          <w:szCs w:val="26"/>
        </w:rPr>
        <w:t xml:space="preserve"> 57 Cal.</w:t>
      </w:r>
      <w:r w:rsidRPr="004A73D5" w:rsidR="003718A0">
        <w:rPr>
          <w:szCs w:val="26"/>
        </w:rPr>
        <w:t>4th</w:t>
      </w:r>
      <w:r w:rsidRPr="004A73D5" w:rsidR="00CB7855">
        <w:rPr>
          <w:szCs w:val="26"/>
        </w:rPr>
        <w:t xml:space="preserve"> at pp.</w:t>
      </w:r>
      <w:r w:rsidRPr="004A73D5" w:rsidR="003718A0">
        <w:rPr>
          <w:szCs w:val="26"/>
        </w:rPr>
        <w:t> </w:t>
      </w:r>
      <w:r w:rsidRPr="004A73D5" w:rsidR="00CB7855">
        <w:rPr>
          <w:szCs w:val="26"/>
        </w:rPr>
        <w:t xml:space="preserve">1229–1230.)  </w:t>
      </w:r>
      <w:r w:rsidRPr="004A73D5" w:rsidR="00272CC7">
        <w:rPr>
          <w:szCs w:val="26"/>
        </w:rPr>
        <w:t xml:space="preserve">In </w:t>
      </w:r>
      <w:r w:rsidRPr="004A73D5" w:rsidR="00272CC7">
        <w:rPr>
          <w:i/>
          <w:szCs w:val="26"/>
        </w:rPr>
        <w:t>Lopez</w:t>
      </w:r>
      <w:r w:rsidRPr="004A73D5" w:rsidR="00272CC7">
        <w:rPr>
          <w:szCs w:val="26"/>
        </w:rPr>
        <w:t>, we characterized the latter three factors as “</w:t>
      </w:r>
      <w:r w:rsidRPr="004A73D5" w:rsidR="003718A0">
        <w:rPr>
          <w:szCs w:val="26"/>
        </w:rPr>
        <w:t> </w:t>
      </w:r>
      <w:r w:rsidRPr="004A73D5" w:rsidR="00272CC7">
        <w:rPr>
          <w:szCs w:val="26"/>
        </w:rPr>
        <w:t>‘static’ or ‘foundational’ factors in that they ‘concern past events that once established, are incapable of change.’</w:t>
      </w:r>
      <w:r w:rsidRPr="004A73D5" w:rsidR="003718A0">
        <w:rPr>
          <w:szCs w:val="26"/>
        </w:rPr>
        <w:t> </w:t>
      </w:r>
      <w:r w:rsidRPr="004A73D5" w:rsidR="00272CC7">
        <w:rPr>
          <w:szCs w:val="26"/>
        </w:rPr>
        <w:t>”  (</w:t>
      </w:r>
      <w:r w:rsidRPr="004A73D5" w:rsidR="00272CC7">
        <w:rPr>
          <w:i/>
          <w:szCs w:val="26"/>
        </w:rPr>
        <w:t>Lopez</w:t>
      </w:r>
      <w:r w:rsidRPr="004A73D5" w:rsidR="00272CC7">
        <w:rPr>
          <w:szCs w:val="26"/>
        </w:rPr>
        <w:t>,</w:t>
      </w:r>
      <w:r w:rsidRPr="004A73D5" w:rsidR="003718A0">
        <w:rPr>
          <w:szCs w:val="26"/>
        </w:rPr>
        <w:t xml:space="preserve"> </w:t>
      </w:r>
      <w:r w:rsidRPr="004A73D5" w:rsidR="003718A0">
        <w:rPr>
          <w:i/>
          <w:szCs w:val="26"/>
        </w:rPr>
        <w:t>supra</w:t>
      </w:r>
      <w:r w:rsidRPr="004A73D5" w:rsidR="003718A0">
        <w:rPr>
          <w:szCs w:val="26"/>
        </w:rPr>
        <w:t>,</w:t>
      </w:r>
      <w:r w:rsidRPr="004A73D5" w:rsidR="00272CC7">
        <w:rPr>
          <w:szCs w:val="26"/>
        </w:rPr>
        <w:t xml:space="preserve"> 50 Cal.4th at p.</w:t>
      </w:r>
      <w:r w:rsidRPr="004A73D5" w:rsidR="003718A0">
        <w:rPr>
          <w:szCs w:val="26"/>
        </w:rPr>
        <w:t> </w:t>
      </w:r>
      <w:r w:rsidRPr="004A73D5" w:rsidR="00272CC7">
        <w:rPr>
          <w:szCs w:val="26"/>
        </w:rPr>
        <w:t xml:space="preserve">1062.)  </w:t>
      </w:r>
      <w:r w:rsidR="005C3712">
        <w:rPr>
          <w:szCs w:val="26"/>
        </w:rPr>
        <w:t>And we</w:t>
      </w:r>
      <w:r w:rsidRPr="004A73D5" w:rsidR="00272CC7">
        <w:rPr>
          <w:szCs w:val="26"/>
        </w:rPr>
        <w:t xml:space="preserve"> characterized the first three factors as</w:t>
      </w:r>
      <w:r w:rsidRPr="004A73D5" w:rsidR="00DC57DC">
        <w:rPr>
          <w:szCs w:val="26"/>
        </w:rPr>
        <w:t xml:space="preserve"> “dynamic” or</w:t>
      </w:r>
      <w:r w:rsidRPr="004A73D5" w:rsidR="00272CC7">
        <w:rPr>
          <w:szCs w:val="26"/>
        </w:rPr>
        <w:t xml:space="preserve"> </w:t>
      </w:r>
      <w:r w:rsidRPr="004A73D5" w:rsidR="000435D2">
        <w:rPr>
          <w:szCs w:val="26"/>
        </w:rPr>
        <w:t>“</w:t>
      </w:r>
      <w:r w:rsidRPr="004A73D5" w:rsidR="00272CC7">
        <w:rPr>
          <w:szCs w:val="26"/>
        </w:rPr>
        <w:t xml:space="preserve">capable of change over time” </w:t>
      </w:r>
      <w:r w:rsidRPr="004A73D5" w:rsidR="003718A0">
        <w:rPr>
          <w:szCs w:val="26"/>
        </w:rPr>
        <w:t>and observed that they</w:t>
      </w:r>
      <w:r w:rsidRPr="004A73D5" w:rsidR="00272CC7">
        <w:rPr>
          <w:szCs w:val="26"/>
        </w:rPr>
        <w:t xml:space="preserve"> “must be established at each annual review of the commitment.”  (</w:t>
      </w:r>
      <w:r w:rsidRPr="004A73D5" w:rsidR="00272CC7">
        <w:rPr>
          <w:i/>
          <w:szCs w:val="26"/>
        </w:rPr>
        <w:t>Ibid</w:t>
      </w:r>
      <w:r w:rsidRPr="004A73D5" w:rsidR="00272CC7">
        <w:rPr>
          <w:szCs w:val="26"/>
        </w:rPr>
        <w:t>.)</w:t>
      </w:r>
    </w:p>
    <w:p w:rsidR="00EA6B80" w:rsidRPr="004A73D5" w:rsidP="002F0419">
      <w:pPr>
        <w:rPr>
          <w:szCs w:val="26"/>
        </w:rPr>
      </w:pPr>
      <w:r w:rsidRPr="004A73D5">
        <w:rPr>
          <w:szCs w:val="26"/>
        </w:rPr>
        <w:tab/>
      </w:r>
      <w:r w:rsidRPr="004A73D5" w:rsidR="007A2E72">
        <w:rPr>
          <w:szCs w:val="26"/>
        </w:rPr>
        <w:t xml:space="preserve">Section 2966, subdivision (c) </w:t>
      </w:r>
      <w:r w:rsidRPr="004A73D5" w:rsidR="005A6632">
        <w:rPr>
          <w:szCs w:val="26"/>
        </w:rPr>
        <w:t xml:space="preserve">governs the second phase of an offender’s MDO commitment. </w:t>
      </w:r>
      <w:r w:rsidRPr="004A73D5" w:rsidR="00D83BBB">
        <w:rPr>
          <w:szCs w:val="26"/>
        </w:rPr>
        <w:t xml:space="preserve"> </w:t>
      </w:r>
      <w:r w:rsidRPr="004A73D5" w:rsidR="005A4353">
        <w:rPr>
          <w:szCs w:val="26"/>
        </w:rPr>
        <w:t>If an offender’s parole is continued</w:t>
      </w:r>
      <w:r w:rsidRPr="004A73D5" w:rsidR="00A0738E">
        <w:rPr>
          <w:szCs w:val="26"/>
        </w:rPr>
        <w:t xml:space="preserve"> for a one</w:t>
      </w:r>
      <w:r w:rsidRPr="004A73D5" w:rsidR="00143484">
        <w:rPr>
          <w:szCs w:val="26"/>
        </w:rPr>
        <w:t>-</w:t>
      </w:r>
      <w:r w:rsidRPr="004A73D5" w:rsidR="00A0738E">
        <w:rPr>
          <w:szCs w:val="26"/>
        </w:rPr>
        <w:t>year period</w:t>
      </w:r>
      <w:r w:rsidRPr="004A73D5" w:rsidR="005A4353">
        <w:rPr>
          <w:szCs w:val="26"/>
        </w:rPr>
        <w:t xml:space="preserve"> under section 3001, </w:t>
      </w:r>
      <w:r w:rsidRPr="004A73D5" w:rsidR="00DC57DC">
        <w:rPr>
          <w:szCs w:val="26"/>
        </w:rPr>
        <w:t>the statute</w:t>
      </w:r>
      <w:r w:rsidRPr="004A73D5" w:rsidR="001F3E34">
        <w:rPr>
          <w:szCs w:val="26"/>
        </w:rPr>
        <w:t xml:space="preserve"> authorizes the Board of </w:t>
      </w:r>
      <w:r w:rsidRPr="004A73D5" w:rsidR="00F04F01">
        <w:rPr>
          <w:szCs w:val="26"/>
        </w:rPr>
        <w:t>Parole Hearings</w:t>
      </w:r>
      <w:r w:rsidRPr="004A73D5" w:rsidR="001F3E34">
        <w:rPr>
          <w:szCs w:val="26"/>
        </w:rPr>
        <w:t xml:space="preserve"> to</w:t>
      </w:r>
      <w:r w:rsidRPr="004A73D5" w:rsidR="00950387">
        <w:rPr>
          <w:szCs w:val="26"/>
        </w:rPr>
        <w:t xml:space="preserve"> </w:t>
      </w:r>
      <w:r w:rsidRPr="004A73D5" w:rsidR="001F3E34">
        <w:rPr>
          <w:szCs w:val="26"/>
        </w:rPr>
        <w:t xml:space="preserve">continue </w:t>
      </w:r>
      <w:r w:rsidRPr="004A73D5" w:rsidR="00143484">
        <w:rPr>
          <w:szCs w:val="26"/>
        </w:rPr>
        <w:t>the</w:t>
      </w:r>
      <w:r w:rsidRPr="004A73D5" w:rsidR="001F3E34">
        <w:rPr>
          <w:szCs w:val="26"/>
        </w:rPr>
        <w:t xml:space="preserve"> offender’s treatment as an MDO</w:t>
      </w:r>
      <w:r w:rsidRPr="004A73D5" w:rsidR="00D83BBB">
        <w:rPr>
          <w:szCs w:val="26"/>
        </w:rPr>
        <w:t>.</w:t>
      </w:r>
      <w:r w:rsidRPr="004A73D5" w:rsidR="0023729B">
        <w:rPr>
          <w:szCs w:val="26"/>
        </w:rPr>
        <w:t xml:space="preserve">  Section 2966</w:t>
      </w:r>
      <w:r w:rsidRPr="004A73D5" w:rsidR="00CE4BB0">
        <w:rPr>
          <w:szCs w:val="26"/>
        </w:rPr>
        <w:t>, subdivision (c)</w:t>
      </w:r>
      <w:r w:rsidRPr="004A73D5" w:rsidR="00DC57DC">
        <w:rPr>
          <w:szCs w:val="26"/>
        </w:rPr>
        <w:t xml:space="preserve"> also</w:t>
      </w:r>
      <w:r w:rsidRPr="004A73D5" w:rsidR="00CE4BB0">
        <w:rPr>
          <w:szCs w:val="26"/>
        </w:rPr>
        <w:t xml:space="preserve"> </w:t>
      </w:r>
      <w:r w:rsidRPr="004A73D5" w:rsidR="00136A2B">
        <w:rPr>
          <w:szCs w:val="26"/>
        </w:rPr>
        <w:t xml:space="preserve">authorizes procedures for an offender to challenge </w:t>
      </w:r>
      <w:r w:rsidRPr="004A73D5" w:rsidR="00DC57DC">
        <w:rPr>
          <w:szCs w:val="26"/>
        </w:rPr>
        <w:t>his</w:t>
      </w:r>
      <w:r w:rsidRPr="004A73D5" w:rsidR="00136A2B">
        <w:rPr>
          <w:szCs w:val="26"/>
        </w:rPr>
        <w:t xml:space="preserve"> </w:t>
      </w:r>
      <w:r w:rsidR="00054CFD">
        <w:rPr>
          <w:szCs w:val="26"/>
        </w:rPr>
        <w:t xml:space="preserve">or her </w:t>
      </w:r>
      <w:r w:rsidRPr="004A73D5" w:rsidR="00CE2CDA">
        <w:rPr>
          <w:szCs w:val="26"/>
        </w:rPr>
        <w:t>recommitment as an MDO, but</w:t>
      </w:r>
      <w:r w:rsidRPr="004A73D5" w:rsidR="00B06627">
        <w:rPr>
          <w:szCs w:val="26"/>
        </w:rPr>
        <w:t xml:space="preserve"> it explicitly</w:t>
      </w:r>
      <w:r w:rsidRPr="004A73D5" w:rsidR="00CE2CDA">
        <w:rPr>
          <w:szCs w:val="26"/>
        </w:rPr>
        <w:t xml:space="preserve"> </w:t>
      </w:r>
      <w:r w:rsidRPr="004A73D5" w:rsidR="00272CC7">
        <w:rPr>
          <w:szCs w:val="26"/>
        </w:rPr>
        <w:t xml:space="preserve">limits that challenge </w:t>
      </w:r>
      <w:r w:rsidRPr="004A73D5" w:rsidR="00B06627">
        <w:rPr>
          <w:szCs w:val="26"/>
        </w:rPr>
        <w:t xml:space="preserve">to the </w:t>
      </w:r>
      <w:r w:rsidRPr="004A73D5" w:rsidR="00950387">
        <w:rPr>
          <w:szCs w:val="26"/>
        </w:rPr>
        <w:t xml:space="preserve">three </w:t>
      </w:r>
      <w:r w:rsidRPr="004A73D5" w:rsidR="00DC57DC">
        <w:rPr>
          <w:szCs w:val="26"/>
        </w:rPr>
        <w:t>dynamic</w:t>
      </w:r>
      <w:r w:rsidRPr="004A73D5" w:rsidR="00B06627">
        <w:rPr>
          <w:szCs w:val="26"/>
        </w:rPr>
        <w:t xml:space="preserve"> MDO criteria</w:t>
      </w:r>
      <w:r w:rsidRPr="004A73D5" w:rsidR="00CB3EB5">
        <w:rPr>
          <w:szCs w:val="26"/>
        </w:rPr>
        <w:t xml:space="preserve">.  </w:t>
      </w:r>
      <w:r w:rsidRPr="004A73D5" w:rsidR="00F957FC">
        <w:rPr>
          <w:szCs w:val="26"/>
        </w:rPr>
        <w:t>(§ 2966, subd. (c)</w:t>
      </w:r>
      <w:r w:rsidRPr="004A73D5" w:rsidR="005C5929">
        <w:rPr>
          <w:szCs w:val="26"/>
        </w:rPr>
        <w:t xml:space="preserve"> [“[T]he procedures of this section shall only be applicable for the purpose of determining if the parolee </w:t>
      </w:r>
      <w:r w:rsidRPr="004A73D5" w:rsidR="00C67506">
        <w:rPr>
          <w:szCs w:val="26"/>
        </w:rPr>
        <w:t xml:space="preserve">[1] </w:t>
      </w:r>
      <w:r w:rsidRPr="004A73D5" w:rsidR="005C5929">
        <w:rPr>
          <w:szCs w:val="26"/>
        </w:rPr>
        <w:t xml:space="preserve">has a severe mental disorder, </w:t>
      </w:r>
      <w:r w:rsidRPr="004A73D5" w:rsidR="00C67506">
        <w:rPr>
          <w:szCs w:val="26"/>
        </w:rPr>
        <w:t xml:space="preserve">[2] </w:t>
      </w:r>
      <w:r w:rsidRPr="004A73D5" w:rsidR="005C5929">
        <w:rPr>
          <w:szCs w:val="26"/>
        </w:rPr>
        <w:t>whether the parolee</w:t>
      </w:r>
      <w:r w:rsidR="00316845">
        <w:rPr>
          <w:szCs w:val="26"/>
        </w:rPr>
        <w:t>’</w:t>
      </w:r>
      <w:r w:rsidRPr="004A73D5" w:rsidR="005C5929">
        <w:rPr>
          <w:szCs w:val="26"/>
        </w:rPr>
        <w:t xml:space="preserve">s severe mental disorder is not in remission or cannot be kept in remission without treatment, and </w:t>
      </w:r>
      <w:r w:rsidRPr="004A73D5" w:rsidR="00C67506">
        <w:rPr>
          <w:szCs w:val="26"/>
        </w:rPr>
        <w:t xml:space="preserve">[3] </w:t>
      </w:r>
      <w:r w:rsidRPr="004A73D5" w:rsidR="005C5929">
        <w:rPr>
          <w:szCs w:val="26"/>
        </w:rPr>
        <w:t>whether by reason of his or her severe mental disorder, the parolee represents a substantial danger of physical harm to others.”]</w:t>
      </w:r>
      <w:r w:rsidRPr="004A73D5" w:rsidR="00F957FC">
        <w:rPr>
          <w:szCs w:val="26"/>
        </w:rPr>
        <w:t xml:space="preserve">; </w:t>
      </w:r>
      <w:r w:rsidRPr="004A73D5" w:rsidR="00DC57DC">
        <w:rPr>
          <w:szCs w:val="26"/>
        </w:rPr>
        <w:t xml:space="preserve">see </w:t>
      </w:r>
      <w:r w:rsidRPr="004A73D5" w:rsidR="00F957FC">
        <w:rPr>
          <w:i/>
          <w:szCs w:val="26"/>
        </w:rPr>
        <w:t>Lopez</w:t>
      </w:r>
      <w:r w:rsidRPr="004A73D5" w:rsidR="00F957FC">
        <w:rPr>
          <w:szCs w:val="26"/>
        </w:rPr>
        <w:t>,</w:t>
      </w:r>
      <w:r w:rsidRPr="004A73D5" w:rsidR="00DC57DC">
        <w:rPr>
          <w:szCs w:val="26"/>
        </w:rPr>
        <w:t xml:space="preserve"> </w:t>
      </w:r>
      <w:r w:rsidRPr="004A73D5" w:rsidR="00DC57DC">
        <w:rPr>
          <w:i/>
          <w:szCs w:val="26"/>
        </w:rPr>
        <w:t>supra</w:t>
      </w:r>
      <w:r w:rsidRPr="004A73D5" w:rsidR="00DC57DC">
        <w:rPr>
          <w:szCs w:val="26"/>
        </w:rPr>
        <w:t>, 50 Cal.4th</w:t>
      </w:r>
      <w:r w:rsidRPr="004A73D5" w:rsidR="00F957FC">
        <w:rPr>
          <w:szCs w:val="26"/>
        </w:rPr>
        <w:t xml:space="preserve"> </w:t>
      </w:r>
      <w:r w:rsidRPr="004A73D5" w:rsidR="009D33BD">
        <w:rPr>
          <w:szCs w:val="26"/>
        </w:rPr>
        <w:t>at pp.</w:t>
      </w:r>
      <w:r w:rsidRPr="004A73D5" w:rsidR="00DC57DC">
        <w:rPr>
          <w:szCs w:val="26"/>
        </w:rPr>
        <w:t> </w:t>
      </w:r>
      <w:r w:rsidRPr="004A73D5" w:rsidR="009D33BD">
        <w:rPr>
          <w:szCs w:val="26"/>
        </w:rPr>
        <w:t>1062–1063.)</w:t>
      </w:r>
    </w:p>
    <w:p w:rsidR="00674425" w:rsidRPr="004A73D5" w:rsidP="002F0419">
      <w:pPr>
        <w:contextualSpacing/>
        <w:rPr>
          <w:szCs w:val="26"/>
        </w:rPr>
      </w:pPr>
      <w:r w:rsidRPr="004A73D5">
        <w:rPr>
          <w:szCs w:val="26"/>
        </w:rPr>
        <w:tab/>
        <w:t xml:space="preserve">Sections </w:t>
      </w:r>
      <w:r w:rsidRPr="004A73D5" w:rsidR="00AB4F9F">
        <w:rPr>
          <w:szCs w:val="26"/>
        </w:rPr>
        <w:t>2970 and 2972 govern t</w:t>
      </w:r>
      <w:r w:rsidRPr="004A73D5">
        <w:rPr>
          <w:szCs w:val="26"/>
        </w:rPr>
        <w:t>he third and final</w:t>
      </w:r>
      <w:r w:rsidRPr="004A73D5" w:rsidR="00AB4F9F">
        <w:rPr>
          <w:szCs w:val="26"/>
        </w:rPr>
        <w:t xml:space="preserve"> phase of MDO commitment, which </w:t>
      </w:r>
      <w:r w:rsidRPr="004A73D5" w:rsidR="00AD07BA">
        <w:rPr>
          <w:szCs w:val="26"/>
        </w:rPr>
        <w:t xml:space="preserve">begins once the offender’s parole term has expired.  Section 2970 permits </w:t>
      </w:r>
      <w:r w:rsidRPr="004A73D5" w:rsidR="002A06AD">
        <w:rPr>
          <w:szCs w:val="26"/>
        </w:rPr>
        <w:t>a district attorney</w:t>
      </w:r>
      <w:r w:rsidRPr="004A73D5" w:rsidR="009E3254">
        <w:rPr>
          <w:szCs w:val="26"/>
        </w:rPr>
        <w:t>, on the recommendation of medical professionals,</w:t>
      </w:r>
      <w:r w:rsidRPr="004A73D5" w:rsidR="002A06AD">
        <w:rPr>
          <w:szCs w:val="26"/>
        </w:rPr>
        <w:t xml:space="preserve"> to petition to recommit an offender as an MDO for an additional one-year term</w:t>
      </w:r>
      <w:r w:rsidRPr="004A73D5" w:rsidR="002E70B8">
        <w:rPr>
          <w:szCs w:val="26"/>
        </w:rPr>
        <w:t>.</w:t>
      </w:r>
      <w:r w:rsidRPr="004A73D5" w:rsidR="005D4A56">
        <w:rPr>
          <w:szCs w:val="26"/>
        </w:rPr>
        <w:t xml:space="preserve">  </w:t>
      </w:r>
      <w:r w:rsidRPr="004A73D5" w:rsidR="001E43A3">
        <w:rPr>
          <w:szCs w:val="26"/>
        </w:rPr>
        <w:t xml:space="preserve">An offender will be recommitted </w:t>
      </w:r>
      <w:r w:rsidRPr="004A73D5" w:rsidR="00C42613">
        <w:rPr>
          <w:szCs w:val="26"/>
        </w:rPr>
        <w:t>if “the court or jury finds [1] that the patient has a severe mental disorder, [2] that the patient</w:t>
      </w:r>
      <w:r w:rsidR="00316845">
        <w:rPr>
          <w:szCs w:val="26"/>
        </w:rPr>
        <w:t>’</w:t>
      </w:r>
      <w:r w:rsidRPr="004A73D5" w:rsidR="00C42613">
        <w:rPr>
          <w:szCs w:val="26"/>
        </w:rPr>
        <w:t xml:space="preserve">s severe mental disorder is not in remission or cannot be kept in remission without treatment, and [3] that by reason of his or her severe mental disorder, the patient represents a substantial danger of physical harm to others.”  </w:t>
      </w:r>
      <w:r w:rsidRPr="004A73D5" w:rsidR="00950387">
        <w:rPr>
          <w:szCs w:val="26"/>
        </w:rPr>
        <w:t>(§ </w:t>
      </w:r>
      <w:r w:rsidRPr="004A73D5" w:rsidR="00C42613">
        <w:rPr>
          <w:szCs w:val="26"/>
        </w:rPr>
        <w:t>2972</w:t>
      </w:r>
      <w:r w:rsidRPr="004A73D5" w:rsidR="00B52DCB">
        <w:rPr>
          <w:szCs w:val="26"/>
        </w:rPr>
        <w:t>, subd.</w:t>
      </w:r>
      <w:r w:rsidR="00316845">
        <w:rPr>
          <w:szCs w:val="26"/>
        </w:rPr>
        <w:t> </w:t>
      </w:r>
      <w:r w:rsidRPr="004A73D5" w:rsidR="00B52DCB">
        <w:rPr>
          <w:szCs w:val="26"/>
        </w:rPr>
        <w:t>(c)</w:t>
      </w:r>
      <w:r w:rsidRPr="004A73D5" w:rsidR="005D4A56">
        <w:rPr>
          <w:szCs w:val="26"/>
        </w:rPr>
        <w:t>.)</w:t>
      </w:r>
      <w:r w:rsidRPr="004A73D5" w:rsidR="005C52E3">
        <w:rPr>
          <w:szCs w:val="26"/>
        </w:rPr>
        <w:t xml:space="preserve">  An MDO may also </w:t>
      </w:r>
      <w:r w:rsidRPr="004A73D5" w:rsidR="00CF4EE6">
        <w:rPr>
          <w:szCs w:val="26"/>
        </w:rPr>
        <w:t xml:space="preserve">be released on outpatient status during this third phase if the committing court finds such treatment can be provided </w:t>
      </w:r>
      <w:r w:rsidRPr="004A73D5" w:rsidR="00950387">
        <w:rPr>
          <w:szCs w:val="26"/>
        </w:rPr>
        <w:t>“</w:t>
      </w:r>
      <w:r w:rsidRPr="004A73D5" w:rsidR="00CF4EE6">
        <w:rPr>
          <w:szCs w:val="26"/>
        </w:rPr>
        <w:t>safely and effectively.</w:t>
      </w:r>
      <w:r w:rsidRPr="004A73D5" w:rsidR="00950387">
        <w:rPr>
          <w:szCs w:val="26"/>
        </w:rPr>
        <w:t>”</w:t>
      </w:r>
      <w:r w:rsidRPr="004A73D5" w:rsidR="00CF4EE6">
        <w:rPr>
          <w:szCs w:val="26"/>
        </w:rPr>
        <w:t xml:space="preserve">  (§ 2972, subd. (d).)</w:t>
      </w:r>
    </w:p>
    <w:p w:rsidR="000435D2" w:rsidRPr="004A73D5" w:rsidP="002F0419">
      <w:pPr>
        <w:ind w:firstLine="720"/>
        <w:contextualSpacing/>
        <w:rPr>
          <w:szCs w:val="26"/>
        </w:rPr>
      </w:pPr>
      <w:r w:rsidRPr="004A73D5">
        <w:rPr>
          <w:szCs w:val="26"/>
        </w:rPr>
        <w:t xml:space="preserve">Foster argues that he is no longer eligible for commitment as an MDO because </w:t>
      </w:r>
      <w:r w:rsidRPr="004A73D5" w:rsidR="00DC57DC">
        <w:rPr>
          <w:szCs w:val="26"/>
        </w:rPr>
        <w:t xml:space="preserve">the felony conviction that </w:t>
      </w:r>
      <w:r w:rsidRPr="004A73D5" w:rsidR="006559C9">
        <w:rPr>
          <w:szCs w:val="26"/>
        </w:rPr>
        <w:t xml:space="preserve">initially </w:t>
      </w:r>
      <w:r w:rsidRPr="004A73D5" w:rsidR="00DC57DC">
        <w:rPr>
          <w:szCs w:val="26"/>
        </w:rPr>
        <w:t xml:space="preserve">qualified him for commitment has been redesignated a misdemeanor.  (§ 1170.18, subds. (f), (g).)  </w:t>
      </w:r>
      <w:r w:rsidRPr="004A73D5" w:rsidR="00B27E5F">
        <w:rPr>
          <w:szCs w:val="26"/>
        </w:rPr>
        <w:t xml:space="preserve">Specifically, Foster points to the provision of </w:t>
      </w:r>
      <w:r w:rsidR="00054CFD">
        <w:rPr>
          <w:szCs w:val="26"/>
        </w:rPr>
        <w:t xml:space="preserve">section 1170.18 added by </w:t>
      </w:r>
      <w:r w:rsidRPr="004A73D5">
        <w:rPr>
          <w:szCs w:val="26"/>
        </w:rPr>
        <w:t xml:space="preserve">Proposition 47 </w:t>
      </w:r>
      <w:r w:rsidRPr="004A73D5" w:rsidR="00B27E5F">
        <w:rPr>
          <w:szCs w:val="26"/>
        </w:rPr>
        <w:t xml:space="preserve">providing </w:t>
      </w:r>
      <w:r w:rsidRPr="004A73D5">
        <w:rPr>
          <w:szCs w:val="26"/>
        </w:rPr>
        <w:t>that “</w:t>
      </w:r>
      <w:r w:rsidRPr="004A73D5" w:rsidR="00950387">
        <w:rPr>
          <w:szCs w:val="26"/>
        </w:rPr>
        <w:t xml:space="preserve">[a] </w:t>
      </w:r>
      <w:r w:rsidRPr="004A73D5">
        <w:rPr>
          <w:szCs w:val="26"/>
        </w:rPr>
        <w:t xml:space="preserve">felony conviction that is </w:t>
      </w:r>
      <w:r w:rsidRPr="004A73D5" w:rsidR="00DC57DC">
        <w:rPr>
          <w:szCs w:val="26"/>
        </w:rPr>
        <w:t>. . .</w:t>
      </w:r>
      <w:r w:rsidRPr="004A73D5">
        <w:rPr>
          <w:szCs w:val="26"/>
        </w:rPr>
        <w:t xml:space="preserve"> designated as a misdemeanor under subdivision (g) shall be considered a misdemeanor for all purposes . . . .”  (§</w:t>
      </w:r>
      <w:r w:rsidRPr="004A73D5" w:rsidR="00B27E5F">
        <w:rPr>
          <w:szCs w:val="26"/>
        </w:rPr>
        <w:t> </w:t>
      </w:r>
      <w:r w:rsidRPr="004A73D5">
        <w:rPr>
          <w:szCs w:val="26"/>
        </w:rPr>
        <w:t xml:space="preserve">1170.18(k).)  </w:t>
      </w:r>
      <w:r w:rsidRPr="004A73D5" w:rsidR="00DC57DC">
        <w:rPr>
          <w:szCs w:val="26"/>
        </w:rPr>
        <w:t xml:space="preserve">The term </w:t>
      </w:r>
      <w:r w:rsidRPr="004A73D5" w:rsidR="00B27E5F">
        <w:rPr>
          <w:szCs w:val="26"/>
        </w:rPr>
        <w:t>“</w:t>
      </w:r>
      <w:r w:rsidRPr="004A73D5" w:rsidR="00DC57DC">
        <w:rPr>
          <w:szCs w:val="26"/>
        </w:rPr>
        <w:t>f</w:t>
      </w:r>
      <w:r w:rsidRPr="004A73D5" w:rsidR="00B27E5F">
        <w:rPr>
          <w:szCs w:val="26"/>
        </w:rPr>
        <w:t xml:space="preserve">or all purposes,” Foster </w:t>
      </w:r>
      <w:r w:rsidRPr="004A73D5" w:rsidR="00DC57DC">
        <w:rPr>
          <w:szCs w:val="26"/>
        </w:rPr>
        <w:t>contends</w:t>
      </w:r>
      <w:r w:rsidRPr="004A73D5" w:rsidR="00B27E5F">
        <w:rPr>
          <w:szCs w:val="26"/>
        </w:rPr>
        <w:t xml:space="preserve">, necessarily includes </w:t>
      </w:r>
      <w:r w:rsidRPr="004A73D5" w:rsidR="006559C9">
        <w:rPr>
          <w:szCs w:val="26"/>
        </w:rPr>
        <w:t xml:space="preserve">the determination of his </w:t>
      </w:r>
      <w:r w:rsidRPr="004A73D5" w:rsidR="00B27E5F">
        <w:rPr>
          <w:szCs w:val="26"/>
        </w:rPr>
        <w:t>eligibility for commitment or recommitment as an MDO.</w:t>
      </w:r>
    </w:p>
    <w:p w:rsidR="00DC74B6" w:rsidP="002F0419">
      <w:pPr>
        <w:ind w:firstLine="720"/>
        <w:contextualSpacing/>
        <w:rPr>
          <w:szCs w:val="26"/>
        </w:rPr>
      </w:pPr>
      <w:r w:rsidRPr="004A73D5">
        <w:rPr>
          <w:szCs w:val="26"/>
        </w:rPr>
        <w:t xml:space="preserve">As to </w:t>
      </w:r>
      <w:r w:rsidRPr="004A73D5" w:rsidR="00987C51">
        <w:rPr>
          <w:szCs w:val="26"/>
        </w:rPr>
        <w:t xml:space="preserve">Foster’s recommitment, the </w:t>
      </w:r>
      <w:r w:rsidRPr="004A73D5" w:rsidR="004B2DCA">
        <w:rPr>
          <w:szCs w:val="26"/>
        </w:rPr>
        <w:t xml:space="preserve">MDO Act indicates that </w:t>
      </w:r>
      <w:r w:rsidRPr="004A73D5" w:rsidR="00987C51">
        <w:rPr>
          <w:szCs w:val="26"/>
        </w:rPr>
        <w:t>the criteria for recomm</w:t>
      </w:r>
      <w:r w:rsidRPr="004A73D5" w:rsidR="00316BFD">
        <w:rPr>
          <w:szCs w:val="26"/>
        </w:rPr>
        <w:t xml:space="preserve">itment are solely comprised of </w:t>
      </w:r>
      <w:r w:rsidR="00C459A0">
        <w:rPr>
          <w:szCs w:val="26"/>
        </w:rPr>
        <w:t xml:space="preserve">the three factors </w:t>
      </w:r>
      <w:r w:rsidR="0012252E">
        <w:rPr>
          <w:i/>
          <w:iCs/>
          <w:szCs w:val="26"/>
        </w:rPr>
        <w:t>Lopez</w:t>
      </w:r>
      <w:r w:rsidR="00C459A0">
        <w:rPr>
          <w:szCs w:val="26"/>
        </w:rPr>
        <w:t xml:space="preserve"> characterized as “</w:t>
      </w:r>
      <w:r w:rsidRPr="004A73D5" w:rsidR="00316BFD">
        <w:rPr>
          <w:szCs w:val="26"/>
        </w:rPr>
        <w:t>dynamic</w:t>
      </w:r>
      <w:r w:rsidR="00A07146">
        <w:rPr>
          <w:szCs w:val="26"/>
        </w:rPr>
        <w:t>.</w:t>
      </w:r>
      <w:r w:rsidR="0012252E">
        <w:rPr>
          <w:szCs w:val="26"/>
        </w:rPr>
        <w:t xml:space="preserve">” </w:t>
      </w:r>
      <w:r w:rsidR="00A07146">
        <w:rPr>
          <w:szCs w:val="26"/>
        </w:rPr>
        <w:t xml:space="preserve"> </w:t>
      </w:r>
      <w:r w:rsidR="00AD1648">
        <w:rPr>
          <w:szCs w:val="26"/>
        </w:rPr>
        <w:t>S</w:t>
      </w:r>
      <w:r w:rsidRPr="004A73D5" w:rsidR="00316BFD">
        <w:rPr>
          <w:szCs w:val="26"/>
        </w:rPr>
        <w:t>ection 2972, subdivision (c)</w:t>
      </w:r>
      <w:r w:rsidR="00AD1648">
        <w:rPr>
          <w:szCs w:val="26"/>
        </w:rPr>
        <w:t>, quoted above,</w:t>
      </w:r>
      <w:r w:rsidRPr="004A73D5" w:rsidR="00316BFD">
        <w:rPr>
          <w:szCs w:val="26"/>
        </w:rPr>
        <w:t xml:space="preserve"> sets forth the criteria for recommitment, and those criteria focus on the continued existence of the </w:t>
      </w:r>
      <w:r w:rsidRPr="004A73D5" w:rsidR="00936418">
        <w:rPr>
          <w:szCs w:val="26"/>
        </w:rPr>
        <w:t>individual</w:t>
      </w:r>
      <w:r w:rsidRPr="004A73D5" w:rsidR="00316BFD">
        <w:rPr>
          <w:szCs w:val="26"/>
        </w:rPr>
        <w:t xml:space="preserve">’s mental disorder and </w:t>
      </w:r>
      <w:r w:rsidRPr="004A73D5" w:rsidR="00936418">
        <w:rPr>
          <w:szCs w:val="26"/>
        </w:rPr>
        <w:t xml:space="preserve">dangerousness to others.  (See also § 2966, subd. (c) [same </w:t>
      </w:r>
      <w:r w:rsidR="00A64B3F">
        <w:rPr>
          <w:szCs w:val="26"/>
        </w:rPr>
        <w:t>“</w:t>
      </w:r>
      <w:r w:rsidRPr="004A73D5" w:rsidR="00936418">
        <w:rPr>
          <w:szCs w:val="26"/>
        </w:rPr>
        <w:t>dynamic</w:t>
      </w:r>
      <w:r w:rsidR="00A64B3F">
        <w:rPr>
          <w:szCs w:val="26"/>
        </w:rPr>
        <w:t>”</w:t>
      </w:r>
      <w:r w:rsidRPr="004A73D5" w:rsidR="00936418">
        <w:rPr>
          <w:szCs w:val="26"/>
        </w:rPr>
        <w:t xml:space="preserve"> criteria for continued commitment during a one-year continuation of parole]</w:t>
      </w:r>
      <w:r w:rsidR="00DA1A8A">
        <w:rPr>
          <w:szCs w:val="26"/>
        </w:rPr>
        <w:t xml:space="preserve">; </w:t>
      </w:r>
      <w:r w:rsidRPr="004A73D5" w:rsidR="00DA1A8A">
        <w:rPr>
          <w:i/>
          <w:color w:val="000000"/>
          <w:szCs w:val="26"/>
          <w:shd w:val="clear" w:color="auto" w:fill="FFFFFF"/>
        </w:rPr>
        <w:t>Lopez</w:t>
      </w:r>
      <w:r w:rsidRPr="004A73D5" w:rsidR="00DA1A8A">
        <w:rPr>
          <w:color w:val="000000"/>
          <w:szCs w:val="26"/>
          <w:shd w:val="clear" w:color="auto" w:fill="FFFFFF"/>
        </w:rPr>
        <w:t xml:space="preserve">, </w:t>
      </w:r>
      <w:r w:rsidRPr="004A73D5" w:rsidR="00DA1A8A">
        <w:rPr>
          <w:i/>
          <w:color w:val="000000"/>
          <w:szCs w:val="26"/>
          <w:shd w:val="clear" w:color="auto" w:fill="FFFFFF"/>
        </w:rPr>
        <w:t>supra</w:t>
      </w:r>
      <w:r w:rsidRPr="004A73D5" w:rsidR="00DA1A8A">
        <w:rPr>
          <w:color w:val="000000"/>
          <w:szCs w:val="26"/>
          <w:shd w:val="clear" w:color="auto" w:fill="FFFFFF"/>
        </w:rPr>
        <w:t>, 50 Cal.4th at p. 1065</w:t>
      </w:r>
      <w:r w:rsidR="00DA1A8A">
        <w:rPr>
          <w:color w:val="000000"/>
          <w:szCs w:val="26"/>
          <w:shd w:val="clear" w:color="auto" w:fill="FFFFFF"/>
        </w:rPr>
        <w:t xml:space="preserve"> [</w:t>
      </w:r>
      <w:r w:rsidR="00A17316">
        <w:rPr>
          <w:color w:val="000000"/>
          <w:szCs w:val="26"/>
          <w:shd w:val="clear" w:color="auto" w:fill="FFFFFF"/>
        </w:rPr>
        <w:t>“</w:t>
      </w:r>
      <w:r w:rsidR="00FE6ACC">
        <w:rPr>
          <w:color w:val="000000"/>
          <w:szCs w:val="26"/>
          <w:shd w:val="clear" w:color="auto" w:fill="FFFFFF"/>
        </w:rPr>
        <w:t xml:space="preserve">[O]nce that [initial one-year] period </w:t>
      </w:r>
      <w:r w:rsidR="00197521">
        <w:rPr>
          <w:color w:val="000000"/>
          <w:szCs w:val="26"/>
          <w:shd w:val="clear" w:color="auto" w:fill="FFFFFF"/>
        </w:rPr>
        <w:t xml:space="preserve">ends, </w:t>
      </w:r>
      <w:r w:rsidRPr="004A73D5" w:rsidR="00936418">
        <w:rPr>
          <w:color w:val="000000"/>
          <w:szCs w:val="26"/>
          <w:shd w:val="clear" w:color="auto" w:fill="FFFFFF"/>
        </w:rPr>
        <w:t>the statutory language contemplates a challenge based only upon the dynamic factors justifying continued treatment.”</w:t>
      </w:r>
      <w:r w:rsidR="00197521">
        <w:rPr>
          <w:color w:val="000000"/>
          <w:szCs w:val="26"/>
          <w:shd w:val="clear" w:color="auto" w:fill="FFFFFF"/>
        </w:rPr>
        <w:t>].)</w:t>
      </w:r>
      <w:r w:rsidRPr="004A73D5" w:rsidR="00936418">
        <w:rPr>
          <w:color w:val="000000"/>
          <w:szCs w:val="26"/>
          <w:shd w:val="clear" w:color="auto" w:fill="FFFFFF"/>
        </w:rPr>
        <w:t xml:space="preserve"> </w:t>
      </w:r>
      <w:r w:rsidR="00FA0FBF">
        <w:rPr>
          <w:color w:val="000000"/>
          <w:szCs w:val="26"/>
          <w:shd w:val="clear" w:color="auto" w:fill="FFFFFF"/>
        </w:rPr>
        <w:t xml:space="preserve"> </w:t>
      </w:r>
      <w:r w:rsidR="00FA0FBF">
        <w:rPr>
          <w:szCs w:val="26"/>
        </w:rPr>
        <w:t>The statute offers no indication that the</w:t>
      </w:r>
      <w:r w:rsidRPr="004A73D5" w:rsidR="00FA0FBF">
        <w:rPr>
          <w:szCs w:val="26"/>
        </w:rPr>
        <w:t xml:space="preserve"> felony or misdemeanor character of the MDO’s underlying offense </w:t>
      </w:r>
      <w:r w:rsidR="00FA0FBF">
        <w:rPr>
          <w:szCs w:val="26"/>
        </w:rPr>
        <w:t>bears</w:t>
      </w:r>
      <w:r w:rsidRPr="004A73D5" w:rsidR="00FA0FBF">
        <w:rPr>
          <w:szCs w:val="26"/>
        </w:rPr>
        <w:t xml:space="preserve"> on the recommitment determination.  </w:t>
      </w:r>
      <w:r w:rsidR="00FA0FBF">
        <w:rPr>
          <w:color w:val="000000"/>
          <w:szCs w:val="26"/>
          <w:shd w:val="clear" w:color="auto" w:fill="FFFFFF"/>
        </w:rPr>
        <w:t xml:space="preserve">Legislative history instead suggests that the Legislature added the requirement that a qualifying offense be one “for which the prisoner was sentenced to prison” to describe the category of individuals subject to initial commitment.  </w:t>
      </w:r>
      <w:r w:rsidR="00FA0FBF">
        <w:rPr>
          <w:szCs w:val="26"/>
        </w:rPr>
        <w:t>(</w:t>
      </w:r>
      <w:r w:rsidRPr="00754A1B" w:rsidR="00FA0FBF">
        <w:t>See Assem. Off. of Research, 3d reading analysis of Sen. Bill No. 1296 (1985</w:t>
      </w:r>
      <w:r w:rsidR="00D307CA">
        <w:t>–</w:t>
      </w:r>
      <w:r w:rsidRPr="00754A1B" w:rsidR="00FA0FBF">
        <w:t>1986 Reg. Sess.) as amended Aug. 30, 1985, p.</w:t>
      </w:r>
      <w:r w:rsidR="00A64B3F">
        <w:t> </w:t>
      </w:r>
      <w:r w:rsidRPr="00754A1B" w:rsidR="00FA0FBF">
        <w:t xml:space="preserve">2 [“Purpose. </w:t>
      </w:r>
      <w:r w:rsidR="00D307CA">
        <w:t xml:space="preserve"> </w:t>
      </w:r>
      <w:r w:rsidRPr="00754A1B" w:rsidR="00FA0FBF">
        <w:t>According to the author’s office, ‘there is no useful procedure for assuring mental health treatment for prisoners when their mental disorder was a factor in their committing a violent crime following their determinate sentence.’ ”]</w:t>
      </w:r>
      <w:r w:rsidR="00FA0FBF">
        <w:t>.)</w:t>
      </w:r>
      <w:r w:rsidR="00FA0FBF">
        <w:rPr>
          <w:szCs w:val="26"/>
        </w:rPr>
        <w:t xml:space="preserve">  </w:t>
      </w:r>
    </w:p>
    <w:p w:rsidR="004D0213" w:rsidRPr="004A73D5" w:rsidP="002F0419">
      <w:pPr>
        <w:ind w:firstLine="720"/>
        <w:contextualSpacing/>
        <w:rPr>
          <w:color w:val="000000"/>
          <w:szCs w:val="26"/>
          <w:shd w:val="clear" w:color="auto" w:fill="FFFFFF"/>
        </w:rPr>
      </w:pPr>
      <w:r w:rsidRPr="004A73D5">
        <w:rPr>
          <w:szCs w:val="26"/>
        </w:rPr>
        <w:t xml:space="preserve">It is true that Foster, if he had committed his theft offense today, would not </w:t>
      </w:r>
      <w:r w:rsidRPr="004A73D5" w:rsidR="004B2DCA">
        <w:rPr>
          <w:szCs w:val="26"/>
        </w:rPr>
        <w:t>be eligible</w:t>
      </w:r>
      <w:r w:rsidRPr="004A73D5">
        <w:rPr>
          <w:szCs w:val="26"/>
        </w:rPr>
        <w:t xml:space="preserve"> for initial commitment as an MDO.  (§ 29</w:t>
      </w:r>
      <w:r w:rsidRPr="004A73D5" w:rsidR="007718D5">
        <w:rPr>
          <w:szCs w:val="26"/>
        </w:rPr>
        <w:t xml:space="preserve">62, subds. (b), (e).)  But </w:t>
      </w:r>
      <w:r w:rsidR="0012252E">
        <w:rPr>
          <w:szCs w:val="26"/>
        </w:rPr>
        <w:t xml:space="preserve">Foster’s present </w:t>
      </w:r>
      <w:r w:rsidR="0047256B">
        <w:rPr>
          <w:szCs w:val="26"/>
        </w:rPr>
        <w:t>in</w:t>
      </w:r>
      <w:r w:rsidR="0012252E">
        <w:rPr>
          <w:szCs w:val="26"/>
        </w:rPr>
        <w:t xml:space="preserve">eligibility for </w:t>
      </w:r>
      <w:r w:rsidR="0039410F">
        <w:rPr>
          <w:szCs w:val="26"/>
        </w:rPr>
        <w:t xml:space="preserve">an initial </w:t>
      </w:r>
      <w:r w:rsidR="0012252E">
        <w:rPr>
          <w:szCs w:val="26"/>
        </w:rPr>
        <w:t xml:space="preserve">commitment </w:t>
      </w:r>
      <w:r w:rsidR="00FC1A10">
        <w:rPr>
          <w:szCs w:val="26"/>
        </w:rPr>
        <w:t xml:space="preserve">is not determinative of </w:t>
      </w:r>
      <w:r w:rsidR="0039410F">
        <w:rPr>
          <w:szCs w:val="26"/>
        </w:rPr>
        <w:t xml:space="preserve">his eligibility for </w:t>
      </w:r>
      <w:r w:rsidRPr="004A73D5" w:rsidR="007718D5">
        <w:rPr>
          <w:szCs w:val="26"/>
        </w:rPr>
        <w:t>recommitment</w:t>
      </w:r>
      <w:r w:rsidRPr="004A73D5" w:rsidR="004B2DCA">
        <w:rPr>
          <w:szCs w:val="26"/>
        </w:rPr>
        <w:t xml:space="preserve">.  On this point, </w:t>
      </w:r>
      <w:r w:rsidRPr="004A73D5" w:rsidR="007718D5">
        <w:rPr>
          <w:i/>
          <w:szCs w:val="26"/>
        </w:rPr>
        <w:t>In re C.B.</w:t>
      </w:r>
      <w:r w:rsidRPr="004A73D5" w:rsidR="007718D5">
        <w:rPr>
          <w:szCs w:val="26"/>
        </w:rPr>
        <w:t xml:space="preserve"> (2018) 6 Cal.5th 118 is instructive</w:t>
      </w:r>
      <w:r w:rsidRPr="004A73D5" w:rsidR="004B2DCA">
        <w:rPr>
          <w:szCs w:val="26"/>
        </w:rPr>
        <w:t>:</w:t>
      </w:r>
      <w:r w:rsidRPr="004A73D5" w:rsidR="007718D5">
        <w:rPr>
          <w:szCs w:val="26"/>
        </w:rPr>
        <w:t xml:space="preserve"> </w:t>
      </w:r>
      <w:r w:rsidRPr="004A73D5" w:rsidR="004B2DCA">
        <w:rPr>
          <w:szCs w:val="26"/>
        </w:rPr>
        <w:t xml:space="preserve"> </w:t>
      </w:r>
      <w:r w:rsidR="00283F76">
        <w:rPr>
          <w:szCs w:val="26"/>
        </w:rPr>
        <w:t>T</w:t>
      </w:r>
      <w:r w:rsidRPr="004A73D5" w:rsidR="007718D5">
        <w:rPr>
          <w:szCs w:val="26"/>
        </w:rPr>
        <w:t xml:space="preserve">wo juveniles who </w:t>
      </w:r>
      <w:r w:rsidRPr="004A73D5" w:rsidR="00084BBD">
        <w:rPr>
          <w:szCs w:val="26"/>
        </w:rPr>
        <w:t xml:space="preserve">had </w:t>
      </w:r>
      <w:r w:rsidRPr="004A73D5" w:rsidR="007718D5">
        <w:rPr>
          <w:szCs w:val="26"/>
        </w:rPr>
        <w:t xml:space="preserve">successfully petitioned for redesignation of certain felony convictions as misdemeanors </w:t>
      </w:r>
      <w:r w:rsidRPr="00986196" w:rsidR="007718D5">
        <w:rPr>
          <w:szCs w:val="26"/>
        </w:rPr>
        <w:t>under Proposition 47 argued that they were entitled to expungement of their DNA samples and pro</w:t>
      </w:r>
      <w:r w:rsidRPr="00986196" w:rsidR="00084BBD">
        <w:rPr>
          <w:szCs w:val="26"/>
        </w:rPr>
        <w:t>files from the state</w:t>
      </w:r>
      <w:r w:rsidR="00054CFD">
        <w:rPr>
          <w:szCs w:val="26"/>
        </w:rPr>
        <w:t>’s DNA</w:t>
      </w:r>
      <w:r w:rsidRPr="00986196" w:rsidR="00084BBD">
        <w:rPr>
          <w:szCs w:val="26"/>
        </w:rPr>
        <w:t xml:space="preserve"> databank because their obligation to submit DNA was based on the felony violations now reduced to misdemeanors.  (</w:t>
      </w:r>
      <w:r w:rsidRPr="00986196" w:rsidR="00084BBD">
        <w:rPr>
          <w:i/>
          <w:szCs w:val="26"/>
        </w:rPr>
        <w:t>In re C.B.</w:t>
      </w:r>
      <w:r w:rsidRPr="00986196" w:rsidR="00084BBD">
        <w:rPr>
          <w:szCs w:val="26"/>
        </w:rPr>
        <w:t>, at pp. 122–123, citing §§ 296, 296.1 [requiring felony offenders to provide DNA sample].)  We rejected the argument on the ground that “</w:t>
      </w:r>
      <w:r w:rsidRPr="002F0419" w:rsidR="00084BBD">
        <w:rPr>
          <w:shd w:val="clear" w:color="auto" w:fill="FFFFFF"/>
        </w:rPr>
        <w:t>submission</w:t>
      </w:r>
      <w:r w:rsidR="00283F76">
        <w:rPr>
          <w:shd w:val="clear" w:color="auto" w:fill="FFFFFF"/>
        </w:rPr>
        <w:t xml:space="preserve"> </w:t>
      </w:r>
      <w:r w:rsidRPr="002F0419" w:rsidR="00084BBD">
        <w:rPr>
          <w:shd w:val="clear" w:color="auto" w:fill="FFFFFF"/>
        </w:rPr>
        <w:t>and removal of samples have been governed by different standards.”  (</w:t>
      </w:r>
      <w:r w:rsidRPr="002F0419" w:rsidR="00084BBD">
        <w:rPr>
          <w:i/>
          <w:shd w:val="clear" w:color="auto" w:fill="FFFFFF"/>
        </w:rPr>
        <w:t>In re C.B.</w:t>
      </w:r>
      <w:r w:rsidRPr="002F0419" w:rsidR="00084BBD">
        <w:rPr>
          <w:shd w:val="clear" w:color="auto" w:fill="FFFFFF"/>
        </w:rPr>
        <w:t xml:space="preserve">, at p. 126.)  </w:t>
      </w:r>
      <w:r w:rsidRPr="002F0419">
        <w:rPr>
          <w:shd w:val="clear" w:color="auto" w:fill="FFFFFF"/>
        </w:rPr>
        <w:t xml:space="preserve">By statute, eligibility for expungement is confined to circumstances involving </w:t>
      </w:r>
      <w:r w:rsidRPr="002F0419">
        <w:rPr>
          <w:szCs w:val="27"/>
          <w:shd w:val="clear" w:color="auto" w:fill="FFFFFF"/>
        </w:rPr>
        <w:t>“lack of charges, acquittal, appellate reversal, or a finding of factual innocence</w:t>
      </w:r>
      <w:r w:rsidRPr="00A94316">
        <w:rPr>
          <w:color w:val="000000"/>
          <w:szCs w:val="27"/>
          <w:shd w:val="clear" w:color="auto" w:fill="FFFFFF"/>
        </w:rPr>
        <w:t>”</w:t>
      </w:r>
      <w:r w:rsidRPr="004A73D5">
        <w:rPr>
          <w:color w:val="000000"/>
          <w:szCs w:val="26"/>
          <w:shd w:val="clear" w:color="auto" w:fill="FFFFFF"/>
        </w:rPr>
        <w:t xml:space="preserve"> (</w:t>
      </w:r>
      <w:r w:rsidRPr="004A73D5">
        <w:rPr>
          <w:i/>
          <w:color w:val="000000"/>
          <w:szCs w:val="26"/>
          <w:shd w:val="clear" w:color="auto" w:fill="FFFFFF"/>
        </w:rPr>
        <w:t>id.</w:t>
      </w:r>
      <w:r w:rsidRPr="004A73D5">
        <w:rPr>
          <w:color w:val="000000"/>
          <w:szCs w:val="26"/>
          <w:shd w:val="clear" w:color="auto" w:fill="FFFFFF"/>
        </w:rPr>
        <w:t xml:space="preserve"> at p. 128, citing § 299, subd. (b)) and is not authorized “on the ground that conduct previously deemed a felony is now punished only as a misdemeanor” (</w:t>
      </w:r>
      <w:r w:rsidRPr="004A73D5">
        <w:rPr>
          <w:i/>
          <w:color w:val="000000"/>
          <w:szCs w:val="26"/>
          <w:shd w:val="clear" w:color="auto" w:fill="FFFFFF"/>
        </w:rPr>
        <w:t>In re C.B.</w:t>
      </w:r>
      <w:r w:rsidRPr="004A73D5">
        <w:rPr>
          <w:color w:val="000000"/>
          <w:szCs w:val="26"/>
          <w:shd w:val="clear" w:color="auto" w:fill="FFFFFF"/>
        </w:rPr>
        <w:t xml:space="preserve">, at p. 128).  We held that </w:t>
      </w:r>
      <w:r w:rsidRPr="004A73D5">
        <w:rPr>
          <w:szCs w:val="26"/>
        </w:rPr>
        <w:t>“</w:t>
      </w:r>
      <w:r w:rsidRPr="004A73D5">
        <w:rPr>
          <w:color w:val="000000"/>
          <w:szCs w:val="26"/>
          <w:shd w:val="clear" w:color="auto" w:fill="FFFFFF"/>
        </w:rPr>
        <w:t>a showing of changed circumstances eliminating a duty to </w:t>
      </w:r>
      <w:r w:rsidRPr="004A73D5">
        <w:rPr>
          <w:i/>
          <w:iCs/>
          <w:color w:val="000000"/>
          <w:szCs w:val="26"/>
          <w:bdr w:val="none" w:sz="0" w:space="0" w:color="auto" w:frame="1"/>
        </w:rPr>
        <w:t>submit</w:t>
      </w:r>
      <w:r w:rsidRPr="004A73D5">
        <w:rPr>
          <w:color w:val="000000"/>
          <w:szCs w:val="26"/>
          <w:shd w:val="clear" w:color="auto" w:fill="FFFFFF"/>
        </w:rPr>
        <w:t> a sample is an insufficient basis for </w:t>
      </w:r>
      <w:r w:rsidRPr="004A73D5">
        <w:rPr>
          <w:i/>
          <w:iCs/>
          <w:color w:val="000000"/>
          <w:szCs w:val="26"/>
          <w:bdr w:val="none" w:sz="0" w:space="0" w:color="auto" w:frame="1"/>
        </w:rPr>
        <w:t>expungement</w:t>
      </w:r>
      <w:r w:rsidRPr="004A73D5">
        <w:rPr>
          <w:color w:val="000000"/>
          <w:szCs w:val="26"/>
          <w:shd w:val="clear" w:color="auto" w:fill="FFFFFF"/>
        </w:rPr>
        <w:t> of a sample already submitted.”  (</w:t>
      </w:r>
      <w:r w:rsidRPr="004A73D5">
        <w:rPr>
          <w:i/>
          <w:color w:val="000000"/>
          <w:szCs w:val="26"/>
          <w:shd w:val="clear" w:color="auto" w:fill="FFFFFF"/>
        </w:rPr>
        <w:t>Ibid.</w:t>
      </w:r>
      <w:r w:rsidRPr="004A73D5">
        <w:rPr>
          <w:color w:val="000000"/>
          <w:szCs w:val="26"/>
          <w:shd w:val="clear" w:color="auto" w:fill="FFFFFF"/>
        </w:rPr>
        <w:t xml:space="preserve">)  Similarly here, </w:t>
      </w:r>
      <w:r w:rsidRPr="004A73D5" w:rsidR="004B2DCA">
        <w:rPr>
          <w:color w:val="000000"/>
          <w:szCs w:val="26"/>
          <w:shd w:val="clear" w:color="auto" w:fill="FFFFFF"/>
        </w:rPr>
        <w:t>initial commitment and recommitment are “governed by different standards” (</w:t>
      </w:r>
      <w:r w:rsidRPr="004A73D5" w:rsidR="004B2DCA">
        <w:rPr>
          <w:i/>
          <w:color w:val="000000"/>
          <w:szCs w:val="26"/>
          <w:shd w:val="clear" w:color="auto" w:fill="FFFFFF"/>
        </w:rPr>
        <w:t>id.</w:t>
      </w:r>
      <w:r w:rsidRPr="004A73D5" w:rsidR="004B2DCA">
        <w:rPr>
          <w:color w:val="000000"/>
          <w:szCs w:val="26"/>
          <w:shd w:val="clear" w:color="auto" w:fill="FFFFFF"/>
        </w:rPr>
        <w:t xml:space="preserve"> at p. 126), and “</w:t>
      </w:r>
      <w:r w:rsidRPr="004A73D5">
        <w:rPr>
          <w:color w:val="000000"/>
          <w:szCs w:val="26"/>
          <w:shd w:val="clear" w:color="auto" w:fill="FFFFFF"/>
        </w:rPr>
        <w:t>a showing of changed circumstances</w:t>
      </w:r>
      <w:r w:rsidRPr="004A73D5" w:rsidR="004B2DCA">
        <w:rPr>
          <w:color w:val="000000"/>
          <w:szCs w:val="26"/>
          <w:shd w:val="clear" w:color="auto" w:fill="FFFFFF"/>
        </w:rPr>
        <w:t>”</w:t>
      </w:r>
      <w:r w:rsidRPr="004A73D5">
        <w:rPr>
          <w:color w:val="000000"/>
          <w:szCs w:val="26"/>
          <w:shd w:val="clear" w:color="auto" w:fill="FFFFFF"/>
        </w:rPr>
        <w:t xml:space="preserve"> eliminating eligibility for initial commitment </w:t>
      </w:r>
      <w:r w:rsidRPr="004A73D5" w:rsidR="004B2DCA">
        <w:rPr>
          <w:color w:val="000000"/>
          <w:szCs w:val="26"/>
          <w:shd w:val="clear" w:color="auto" w:fill="FFFFFF"/>
        </w:rPr>
        <w:t>“</w:t>
      </w:r>
      <w:r w:rsidRPr="004A73D5">
        <w:rPr>
          <w:color w:val="000000"/>
          <w:szCs w:val="26"/>
          <w:shd w:val="clear" w:color="auto" w:fill="FFFFFF"/>
        </w:rPr>
        <w:t>is an insufficient basis</w:t>
      </w:r>
      <w:r w:rsidRPr="004A73D5" w:rsidR="004B2DCA">
        <w:rPr>
          <w:color w:val="000000"/>
          <w:szCs w:val="26"/>
          <w:shd w:val="clear" w:color="auto" w:fill="FFFFFF"/>
        </w:rPr>
        <w:t>”</w:t>
      </w:r>
      <w:r w:rsidRPr="004A73D5">
        <w:rPr>
          <w:color w:val="000000"/>
          <w:szCs w:val="26"/>
          <w:shd w:val="clear" w:color="auto" w:fill="FFFFFF"/>
        </w:rPr>
        <w:t xml:space="preserve"> for precluding recommitment of an individual </w:t>
      </w:r>
      <w:r w:rsidRPr="004A73D5" w:rsidR="004B2DCA">
        <w:rPr>
          <w:color w:val="000000"/>
          <w:szCs w:val="26"/>
          <w:shd w:val="clear" w:color="auto" w:fill="FFFFFF"/>
        </w:rPr>
        <w:t>who has already completed his initial commitment (</w:t>
      </w:r>
      <w:r w:rsidRPr="004A73D5" w:rsidR="004B2DCA">
        <w:rPr>
          <w:i/>
          <w:color w:val="000000"/>
          <w:szCs w:val="26"/>
          <w:shd w:val="clear" w:color="auto" w:fill="FFFFFF"/>
        </w:rPr>
        <w:t>id.</w:t>
      </w:r>
      <w:r w:rsidRPr="004A73D5" w:rsidR="004B2DCA">
        <w:rPr>
          <w:color w:val="000000"/>
          <w:szCs w:val="26"/>
          <w:shd w:val="clear" w:color="auto" w:fill="FFFFFF"/>
        </w:rPr>
        <w:t xml:space="preserve"> at p. 128).</w:t>
      </w:r>
    </w:p>
    <w:p w:rsidR="006238CF" w:rsidRPr="004A73D5" w:rsidP="002F0419">
      <w:pPr>
        <w:ind w:firstLine="720"/>
        <w:contextualSpacing/>
        <w:rPr>
          <w:szCs w:val="26"/>
        </w:rPr>
      </w:pPr>
      <w:r>
        <w:rPr>
          <w:szCs w:val="26"/>
        </w:rPr>
        <w:t>Foster points to</w:t>
      </w:r>
      <w:r w:rsidR="00251474">
        <w:rPr>
          <w:szCs w:val="26"/>
        </w:rPr>
        <w:t xml:space="preserve"> section 1170.18(k)’s directive that a redesignated felony “shall be considered a misdemeanor for all purposes</w:t>
      </w:r>
      <w:r>
        <w:rPr>
          <w:szCs w:val="26"/>
        </w:rPr>
        <w:t>.</w:t>
      </w:r>
      <w:r w:rsidR="00251474">
        <w:rPr>
          <w:szCs w:val="26"/>
        </w:rPr>
        <w:t xml:space="preserve">” </w:t>
      </w:r>
      <w:r w:rsidR="00A94316">
        <w:rPr>
          <w:szCs w:val="26"/>
        </w:rPr>
        <w:t xml:space="preserve"> </w:t>
      </w:r>
      <w:r w:rsidRPr="004A73D5" w:rsidR="002F769A">
        <w:rPr>
          <w:szCs w:val="26"/>
        </w:rPr>
        <w:t xml:space="preserve">(Cf. </w:t>
      </w:r>
      <w:r w:rsidRPr="004A73D5" w:rsidR="002F769A">
        <w:rPr>
          <w:i/>
          <w:szCs w:val="26"/>
        </w:rPr>
        <w:t>People v. J.S.</w:t>
      </w:r>
      <w:r w:rsidRPr="004A73D5" w:rsidR="002F769A">
        <w:rPr>
          <w:szCs w:val="26"/>
        </w:rPr>
        <w:t xml:space="preserve"> (2014) 229 Cal.App.4th 163, 171 [“</w:t>
      </w:r>
      <w:r w:rsidRPr="004A73D5" w:rsidR="00302E49">
        <w:rPr>
          <w:szCs w:val="26"/>
        </w:rPr>
        <w:t xml:space="preserve">Even after the expiration of the initial commitment, . . . the initial determination of </w:t>
      </w:r>
      <w:r w:rsidRPr="004A73D5" w:rsidR="00302E49">
        <w:rPr>
          <w:szCs w:val="26"/>
          <w:shd w:val="clear" w:color="auto" w:fill="FFFFFF"/>
        </w:rPr>
        <w:t>whether an offender qualifies as an MDO continues to have practical effects. . . .</w:t>
      </w:r>
      <w:r w:rsidRPr="004A73D5" w:rsidR="00302E49">
        <w:rPr>
          <w:szCs w:val="26"/>
        </w:rPr>
        <w:t xml:space="preserve">  </w:t>
      </w:r>
      <w:r w:rsidRPr="004A73D5" w:rsidR="002F769A">
        <w:rPr>
          <w:szCs w:val="26"/>
        </w:rPr>
        <w:t>Obviously, if an offender’s initial commitment is improper, any extended commitment would also be improper</w:t>
      </w:r>
      <w:r w:rsidRPr="004A73D5" w:rsidR="00302E49">
        <w:rPr>
          <w:szCs w:val="26"/>
        </w:rPr>
        <w:t>.</w:t>
      </w:r>
      <w:r w:rsidRPr="004A73D5" w:rsidR="002F769A">
        <w:rPr>
          <w:szCs w:val="26"/>
        </w:rPr>
        <w:t>”].)</w:t>
      </w:r>
      <w:r w:rsidR="00A94316">
        <w:rPr>
          <w:szCs w:val="26"/>
        </w:rPr>
        <w:t xml:space="preserve">  </w:t>
      </w:r>
      <w:r w:rsidRPr="00302E49" w:rsidR="00023AF3">
        <w:rPr>
          <w:szCs w:val="26"/>
        </w:rPr>
        <w:t xml:space="preserve">But </w:t>
      </w:r>
      <w:r w:rsidRPr="00302E49" w:rsidR="00092EE2">
        <w:rPr>
          <w:szCs w:val="26"/>
        </w:rPr>
        <w:t>the</w:t>
      </w:r>
      <w:r w:rsidRPr="00302E49" w:rsidR="006B57E5">
        <w:rPr>
          <w:szCs w:val="26"/>
        </w:rPr>
        <w:t xml:space="preserve"> </w:t>
      </w:r>
      <w:r w:rsidRPr="00302E49" w:rsidR="00092EE2">
        <w:rPr>
          <w:szCs w:val="26"/>
        </w:rPr>
        <w:t xml:space="preserve">redesignation of </w:t>
      </w:r>
      <w:r w:rsidR="00054CFD">
        <w:rPr>
          <w:szCs w:val="26"/>
        </w:rPr>
        <w:t>Foster’s</w:t>
      </w:r>
      <w:r w:rsidRPr="00302E49" w:rsidR="00054CFD">
        <w:rPr>
          <w:szCs w:val="26"/>
        </w:rPr>
        <w:t xml:space="preserve"> </w:t>
      </w:r>
      <w:r w:rsidRPr="00302E49" w:rsidR="00092EE2">
        <w:rPr>
          <w:szCs w:val="26"/>
        </w:rPr>
        <w:t xml:space="preserve">underlying felony as a misdemeanor does not </w:t>
      </w:r>
      <w:r w:rsidRPr="00302E49" w:rsidR="007C4D4E">
        <w:rPr>
          <w:szCs w:val="26"/>
        </w:rPr>
        <w:t>undermine</w:t>
      </w:r>
      <w:r w:rsidRPr="00302E49" w:rsidR="00092EE2">
        <w:rPr>
          <w:szCs w:val="26"/>
        </w:rPr>
        <w:t xml:space="preserve"> the validity of his initial commitment as an MDO</w:t>
      </w:r>
      <w:r w:rsidRPr="00302E49" w:rsidR="00A05CC7">
        <w:rPr>
          <w:szCs w:val="26"/>
        </w:rPr>
        <w:t>.</w:t>
      </w:r>
      <w:r w:rsidRPr="004A73D5" w:rsidR="00023AF3">
        <w:rPr>
          <w:szCs w:val="26"/>
        </w:rPr>
        <w:t xml:space="preserve">  </w:t>
      </w:r>
      <w:r w:rsidRPr="004A73D5" w:rsidR="001265E9">
        <w:rPr>
          <w:szCs w:val="26"/>
        </w:rPr>
        <w:t>Foster successfully petitioned for redesignation of his felony offense as a misdemeanor</w:t>
      </w:r>
      <w:r w:rsidRPr="004A73D5" w:rsidR="00D74790">
        <w:rPr>
          <w:szCs w:val="26"/>
        </w:rPr>
        <w:t xml:space="preserve"> in 2016, six years after he was initially committed as an MDO</w:t>
      </w:r>
      <w:r w:rsidRPr="004A73D5" w:rsidR="001265E9">
        <w:rPr>
          <w:szCs w:val="26"/>
        </w:rPr>
        <w:t xml:space="preserve">.  </w:t>
      </w:r>
      <w:r w:rsidRPr="004A73D5" w:rsidR="00092EE2">
        <w:rPr>
          <w:szCs w:val="26"/>
        </w:rPr>
        <w:t xml:space="preserve">In </w:t>
      </w:r>
      <w:r w:rsidRPr="004A73D5" w:rsidR="00092EE2">
        <w:rPr>
          <w:i/>
          <w:szCs w:val="26"/>
        </w:rPr>
        <w:t>People v. Buycks</w:t>
      </w:r>
      <w:r w:rsidRPr="004A73D5" w:rsidR="00092EE2">
        <w:rPr>
          <w:szCs w:val="26"/>
        </w:rPr>
        <w:t xml:space="preserve"> (2018) </w:t>
      </w:r>
      <w:r w:rsidRPr="004A73D5" w:rsidR="00023AF3">
        <w:rPr>
          <w:szCs w:val="26"/>
        </w:rPr>
        <w:t>5 Cal.5th 857 (</w:t>
      </w:r>
      <w:r w:rsidRPr="004A73D5" w:rsidR="00023AF3">
        <w:rPr>
          <w:i/>
          <w:szCs w:val="26"/>
        </w:rPr>
        <w:t>Buycks</w:t>
      </w:r>
      <w:r w:rsidRPr="004A73D5" w:rsidR="00023AF3">
        <w:rPr>
          <w:szCs w:val="26"/>
        </w:rPr>
        <w:t xml:space="preserve">), we </w:t>
      </w:r>
      <w:r w:rsidRPr="004A73D5">
        <w:rPr>
          <w:szCs w:val="26"/>
        </w:rPr>
        <w:t xml:space="preserve">examined </w:t>
      </w:r>
      <w:r w:rsidRPr="004A73D5" w:rsidR="006B57E5">
        <w:rPr>
          <w:szCs w:val="26"/>
        </w:rPr>
        <w:t xml:space="preserve">the extent to which </w:t>
      </w:r>
      <w:r w:rsidRPr="004A73D5" w:rsidR="00D74790">
        <w:rPr>
          <w:szCs w:val="26"/>
        </w:rPr>
        <w:t>section 1170.18(k)</w:t>
      </w:r>
      <w:r w:rsidRPr="004A73D5" w:rsidR="006B57E5">
        <w:rPr>
          <w:szCs w:val="26"/>
        </w:rPr>
        <w:t xml:space="preserve"> operated retroactively by applying</w:t>
      </w:r>
      <w:r w:rsidRPr="004A73D5" w:rsidR="00644749">
        <w:rPr>
          <w:szCs w:val="26"/>
        </w:rPr>
        <w:t xml:space="preserve"> “</w:t>
      </w:r>
      <w:r w:rsidRPr="004A73D5" w:rsidR="00644749">
        <w:rPr>
          <w:color w:val="000000"/>
          <w:szCs w:val="26"/>
          <w:shd w:val="clear" w:color="auto" w:fill="FFFFFF"/>
        </w:rPr>
        <w:t> ‘</w:t>
      </w:r>
      <w:r w:rsidRPr="004A73D5" w:rsidR="00023AF3">
        <w:rPr>
          <w:color w:val="000000"/>
          <w:szCs w:val="26"/>
          <w:shd w:val="clear" w:color="auto" w:fill="FFFFFF"/>
        </w:rPr>
        <w:t>the principle</w:t>
      </w:r>
      <w:r w:rsidRPr="004A73D5" w:rsidR="00644749">
        <w:rPr>
          <w:color w:val="000000"/>
          <w:szCs w:val="26"/>
          <w:shd w:val="clear" w:color="auto" w:fill="FFFFFF"/>
        </w:rPr>
        <w:t xml:space="preserve"> [codified in Penal Code section 3]</w:t>
      </w:r>
      <w:r w:rsidRPr="004A73D5" w:rsidR="00023AF3">
        <w:rPr>
          <w:color w:val="000000"/>
          <w:szCs w:val="26"/>
          <w:shd w:val="clear" w:color="auto" w:fill="FFFFFF"/>
        </w:rPr>
        <w:t xml:space="preserve"> that, “in the absence of an express retroactivity provision, a statute will not be applied retroactively unless it is very clear from extrinsic sources that the [lawmakers] . . . must have intended a retroactive application</w:t>
      </w:r>
      <w:r w:rsidRPr="004A73D5" w:rsidR="006B57E5">
        <w:rPr>
          <w:color w:val="000000"/>
          <w:szCs w:val="26"/>
          <w:shd w:val="clear" w:color="auto" w:fill="FFFFFF"/>
        </w:rPr>
        <w:t>.</w:t>
      </w:r>
      <w:r w:rsidRPr="004A73D5" w:rsidR="00023AF3">
        <w:rPr>
          <w:color w:val="000000"/>
          <w:szCs w:val="26"/>
          <w:shd w:val="clear" w:color="auto" w:fill="FFFFFF"/>
        </w:rPr>
        <w:t>”</w:t>
      </w:r>
      <w:r w:rsidRPr="004A73D5" w:rsidR="00644749">
        <w:rPr>
          <w:color w:val="000000"/>
          <w:szCs w:val="26"/>
          <w:shd w:val="clear" w:color="auto" w:fill="FFFFFF"/>
        </w:rPr>
        <w:t xml:space="preserve"> ’ ” </w:t>
      </w:r>
      <w:r w:rsidRPr="004A73D5" w:rsidR="006B57E5">
        <w:rPr>
          <w:color w:val="000000"/>
          <w:szCs w:val="26"/>
          <w:shd w:val="clear" w:color="auto" w:fill="FFFFFF"/>
        </w:rPr>
        <w:t xml:space="preserve"> </w:t>
      </w:r>
      <w:r w:rsidRPr="004A73D5" w:rsidR="00644749">
        <w:rPr>
          <w:color w:val="000000"/>
          <w:szCs w:val="26"/>
          <w:shd w:val="clear" w:color="auto" w:fill="FFFFFF"/>
        </w:rPr>
        <w:t>(</w:t>
      </w:r>
      <w:r w:rsidRPr="004A73D5" w:rsidR="00BF159B">
        <w:rPr>
          <w:i/>
          <w:color w:val="000000"/>
          <w:szCs w:val="26"/>
          <w:shd w:val="clear" w:color="auto" w:fill="FFFFFF"/>
        </w:rPr>
        <w:t>Buycks</w:t>
      </w:r>
      <w:r w:rsidRPr="004A73D5" w:rsidR="00BF159B">
        <w:rPr>
          <w:color w:val="000000"/>
          <w:szCs w:val="26"/>
          <w:shd w:val="clear" w:color="auto" w:fill="FFFFFF"/>
        </w:rPr>
        <w:t>,</w:t>
      </w:r>
      <w:r w:rsidRPr="004A73D5" w:rsidR="00644749">
        <w:rPr>
          <w:color w:val="000000"/>
          <w:szCs w:val="26"/>
          <w:shd w:val="clear" w:color="auto" w:fill="FFFFFF"/>
        </w:rPr>
        <w:t xml:space="preserve"> at p. 880</w:t>
      </w:r>
      <w:r w:rsidRPr="004A73D5" w:rsidR="006B57E5">
        <w:rPr>
          <w:color w:val="000000"/>
          <w:szCs w:val="26"/>
          <w:shd w:val="clear" w:color="auto" w:fill="FFFFFF"/>
        </w:rPr>
        <w:t>.</w:t>
      </w:r>
      <w:r w:rsidRPr="004A73D5" w:rsidR="00644749">
        <w:rPr>
          <w:color w:val="000000"/>
          <w:szCs w:val="26"/>
          <w:shd w:val="clear" w:color="auto" w:fill="FFFFFF"/>
        </w:rPr>
        <w:t>)</w:t>
      </w:r>
      <w:r w:rsidRPr="004A73D5" w:rsidR="006B57E5">
        <w:rPr>
          <w:color w:val="000000"/>
          <w:szCs w:val="26"/>
          <w:shd w:val="clear" w:color="auto" w:fill="FFFFFF"/>
        </w:rPr>
        <w:t xml:space="preserve">  W</w:t>
      </w:r>
      <w:r w:rsidRPr="004A73D5" w:rsidR="00644749">
        <w:rPr>
          <w:color w:val="000000"/>
          <w:szCs w:val="26"/>
          <w:shd w:val="clear" w:color="auto" w:fill="FFFFFF"/>
        </w:rPr>
        <w:t>e found it “significant” that “subdivisions (a) and (f) of section 1170.18 both clearly reflect an intent to have full retroactive application, whereas subdivision (k) uses no similar language</w:t>
      </w:r>
      <w:r w:rsidRPr="004A73D5" w:rsidR="006B57E5">
        <w:rPr>
          <w:color w:val="000000"/>
          <w:szCs w:val="26"/>
          <w:shd w:val="clear" w:color="auto" w:fill="FFFFFF"/>
        </w:rPr>
        <w:t>.</w:t>
      </w:r>
      <w:r w:rsidRPr="004A73D5" w:rsidR="00644749">
        <w:rPr>
          <w:color w:val="000000"/>
          <w:szCs w:val="26"/>
          <w:shd w:val="clear" w:color="auto" w:fill="FFFFFF"/>
        </w:rPr>
        <w:t xml:space="preserve">” </w:t>
      </w:r>
      <w:r w:rsidRPr="004A73D5" w:rsidR="006B57E5">
        <w:rPr>
          <w:color w:val="000000"/>
          <w:szCs w:val="26"/>
          <w:shd w:val="clear" w:color="auto" w:fill="FFFFFF"/>
        </w:rPr>
        <w:t xml:space="preserve"> </w:t>
      </w:r>
      <w:r w:rsidRPr="004A73D5" w:rsidR="00644749">
        <w:rPr>
          <w:color w:val="000000"/>
          <w:szCs w:val="26"/>
          <w:shd w:val="clear" w:color="auto" w:fill="FFFFFF"/>
        </w:rPr>
        <w:t>(</w:t>
      </w:r>
      <w:r w:rsidRPr="004A73D5" w:rsidR="006B57E5">
        <w:rPr>
          <w:i/>
          <w:color w:val="000000"/>
          <w:szCs w:val="26"/>
          <w:shd w:val="clear" w:color="auto" w:fill="FFFFFF"/>
        </w:rPr>
        <w:t>I</w:t>
      </w:r>
      <w:r w:rsidRPr="004A73D5" w:rsidR="00644749">
        <w:rPr>
          <w:i/>
          <w:color w:val="000000"/>
          <w:szCs w:val="26"/>
          <w:shd w:val="clear" w:color="auto" w:fill="FFFFFF"/>
        </w:rPr>
        <w:t>d.</w:t>
      </w:r>
      <w:r w:rsidRPr="004A73D5" w:rsidR="00644749">
        <w:rPr>
          <w:color w:val="000000"/>
          <w:szCs w:val="26"/>
          <w:shd w:val="clear" w:color="auto" w:fill="FFFFFF"/>
        </w:rPr>
        <w:t xml:space="preserve"> at pp. 880, 881</w:t>
      </w:r>
      <w:r w:rsidRPr="004A73D5" w:rsidR="006B57E5">
        <w:rPr>
          <w:color w:val="000000"/>
          <w:szCs w:val="26"/>
          <w:shd w:val="clear" w:color="auto" w:fill="FFFFFF"/>
        </w:rPr>
        <w:t>.</w:t>
      </w:r>
      <w:r w:rsidRPr="004A73D5" w:rsidR="00644749">
        <w:rPr>
          <w:color w:val="000000"/>
          <w:szCs w:val="26"/>
          <w:shd w:val="clear" w:color="auto" w:fill="FFFFFF"/>
        </w:rPr>
        <w:t>)</w:t>
      </w:r>
      <w:r w:rsidRPr="004A73D5">
        <w:rPr>
          <w:color w:val="000000"/>
          <w:szCs w:val="26"/>
          <w:shd w:val="clear" w:color="auto" w:fill="FFFFFF"/>
        </w:rPr>
        <w:t xml:space="preserve">  This disparity</w:t>
      </w:r>
      <w:r w:rsidRPr="004A73D5" w:rsidR="00A46846">
        <w:rPr>
          <w:color w:val="000000"/>
          <w:szCs w:val="26"/>
          <w:shd w:val="clear" w:color="auto" w:fill="FFFFFF"/>
        </w:rPr>
        <w:t xml:space="preserve"> led us to conclude that </w:t>
      </w:r>
      <w:r w:rsidRPr="004A73D5" w:rsidR="00BF159B">
        <w:rPr>
          <w:color w:val="000000"/>
          <w:szCs w:val="26"/>
          <w:shd w:val="clear" w:color="auto" w:fill="FFFFFF"/>
        </w:rPr>
        <w:t>“the default presumption applies to [</w:t>
      </w:r>
      <w:r w:rsidRPr="004A73D5" w:rsidR="00BF159B">
        <w:rPr>
          <w:szCs w:val="26"/>
        </w:rPr>
        <w:t>section 1170.18(k)]</w:t>
      </w:r>
      <w:r w:rsidRPr="004A73D5" w:rsidR="00BF159B">
        <w:t xml:space="preserve"> </w:t>
      </w:r>
      <w:r w:rsidRPr="004A73D5" w:rsidR="00BF159B">
        <w:rPr>
          <w:color w:val="000000"/>
          <w:szCs w:val="26"/>
          <w:shd w:val="clear" w:color="auto" w:fill="FFFFFF"/>
        </w:rPr>
        <w:t>so that its effect operates only prospectively</w:t>
      </w:r>
      <w:r w:rsidRPr="004A73D5">
        <w:rPr>
          <w:szCs w:val="26"/>
        </w:rPr>
        <w:t>.”  (</w:t>
      </w:r>
      <w:r w:rsidRPr="004A73D5" w:rsidR="00BF159B">
        <w:rPr>
          <w:i/>
          <w:szCs w:val="26"/>
        </w:rPr>
        <w:t>Id.</w:t>
      </w:r>
      <w:r w:rsidRPr="004A73D5">
        <w:rPr>
          <w:szCs w:val="26"/>
        </w:rPr>
        <w:t xml:space="preserve"> at p. 881.)</w:t>
      </w:r>
    </w:p>
    <w:p w:rsidR="00023AF3" w:rsidRPr="004A73D5" w:rsidP="002F0419">
      <w:pPr>
        <w:ind w:firstLine="720"/>
        <w:contextualSpacing/>
        <w:rPr>
          <w:color w:val="000000"/>
          <w:szCs w:val="26"/>
        </w:rPr>
      </w:pPr>
      <w:r w:rsidRPr="004A73D5">
        <w:rPr>
          <w:color w:val="000000"/>
          <w:szCs w:val="26"/>
        </w:rPr>
        <w:t>We went on to recognize a limited exception based on</w:t>
      </w:r>
      <w:r w:rsidRPr="004A73D5">
        <w:rPr>
          <w:color w:val="000000"/>
          <w:szCs w:val="26"/>
          <w:bdr w:val="none" w:sz="0" w:space="0" w:color="auto" w:frame="1"/>
        </w:rPr>
        <w:t xml:space="preserve"> </w:t>
      </w:r>
      <w:r w:rsidRPr="004A73D5">
        <w:rPr>
          <w:i/>
          <w:color w:val="000000"/>
          <w:szCs w:val="26"/>
          <w:bdr w:val="none" w:sz="0" w:space="0" w:color="auto" w:frame="1"/>
        </w:rPr>
        <w:t>In re Estrada</w:t>
      </w:r>
      <w:r w:rsidRPr="004A73D5">
        <w:rPr>
          <w:color w:val="000000"/>
          <w:szCs w:val="26"/>
          <w:bdr w:val="none" w:sz="0" w:space="0" w:color="auto" w:frame="1"/>
        </w:rPr>
        <w:t xml:space="preserve"> (1965) 63 Cal.2d 740 (</w:t>
      </w:r>
      <w:r w:rsidRPr="004A73D5">
        <w:rPr>
          <w:i/>
          <w:color w:val="000000"/>
          <w:szCs w:val="26"/>
          <w:bdr w:val="none" w:sz="0" w:space="0" w:color="auto" w:frame="1"/>
        </w:rPr>
        <w:t>Estrada</w:t>
      </w:r>
      <w:r w:rsidRPr="004A73D5">
        <w:rPr>
          <w:color w:val="000000"/>
          <w:szCs w:val="26"/>
          <w:bdr w:val="none" w:sz="0" w:space="0" w:color="auto" w:frame="1"/>
        </w:rPr>
        <w:t>)</w:t>
      </w:r>
      <w:r w:rsidRPr="004A73D5">
        <w:rPr>
          <w:color w:val="000000"/>
          <w:szCs w:val="26"/>
          <w:bdr w:val="none" w:sz="0" w:space="0" w:color="auto" w:frame="1"/>
        </w:rPr>
        <w:t xml:space="preserve">. </w:t>
      </w:r>
      <w:r w:rsidRPr="004A73D5">
        <w:rPr>
          <w:color w:val="000000"/>
          <w:szCs w:val="26"/>
          <w:bdr w:val="none" w:sz="0" w:space="0" w:color="auto" w:frame="1"/>
        </w:rPr>
        <w:t xml:space="preserve"> “</w:t>
      </w:r>
      <w:r w:rsidRPr="004A73D5">
        <w:rPr>
          <w:color w:val="000000"/>
          <w:szCs w:val="26"/>
          <w:bdr w:val="none" w:sz="0" w:space="0" w:color="auto" w:frame="1"/>
        </w:rPr>
        <w:t xml:space="preserve">The </w:t>
      </w:r>
      <w:r w:rsidRPr="004A73D5">
        <w:rPr>
          <w:i/>
          <w:color w:val="000000"/>
          <w:szCs w:val="26"/>
          <w:bdr w:val="none" w:sz="0" w:space="0" w:color="auto" w:frame="1"/>
        </w:rPr>
        <w:t>Estrada</w:t>
      </w:r>
      <w:r w:rsidRPr="004A73D5">
        <w:rPr>
          <w:color w:val="000000"/>
          <w:szCs w:val="26"/>
          <w:bdr w:val="none" w:sz="0" w:space="0" w:color="auto" w:frame="1"/>
        </w:rPr>
        <w:t xml:space="preserve"> rule rests on the presumption that, </w:t>
      </w:r>
      <w:r w:rsidRPr="004A73D5">
        <w:rPr>
          <w:color w:val="000000"/>
          <w:szCs w:val="26"/>
          <w:shd w:val="clear" w:color="auto" w:fill="FFFFFF"/>
        </w:rPr>
        <w:t>i</w:t>
      </w:r>
      <w:r w:rsidRPr="004A73D5">
        <w:rPr>
          <w:color w:val="000000"/>
          <w:szCs w:val="26"/>
          <w:shd w:val="clear" w:color="auto" w:fill="FFFFFF"/>
        </w:rPr>
        <w:t>n the absence of a savings clause providing only prospective relief or other clear intention concerning any retroactive effect, ‘a legislative body ordinarily intends for ameliorative changes to the criminal law to extend as broadly as possible, distinguishing only as necessary between sentences that are final and sentences that are not.’ ”  (</w:t>
      </w:r>
      <w:r w:rsidRPr="004A73D5">
        <w:rPr>
          <w:i/>
          <w:color w:val="000000"/>
          <w:szCs w:val="26"/>
          <w:shd w:val="clear" w:color="auto" w:fill="FFFFFF"/>
        </w:rPr>
        <w:t>Buycks</w:t>
      </w:r>
      <w:r w:rsidRPr="004A73D5">
        <w:rPr>
          <w:color w:val="000000"/>
          <w:szCs w:val="26"/>
          <w:shd w:val="clear" w:color="auto" w:fill="FFFFFF"/>
        </w:rPr>
        <w:t xml:space="preserve">, </w:t>
      </w:r>
      <w:r w:rsidRPr="004A73D5">
        <w:rPr>
          <w:i/>
          <w:color w:val="000000"/>
          <w:szCs w:val="26"/>
          <w:shd w:val="clear" w:color="auto" w:fill="FFFFFF"/>
        </w:rPr>
        <w:t>supra</w:t>
      </w:r>
      <w:r w:rsidRPr="004A73D5">
        <w:rPr>
          <w:color w:val="000000"/>
          <w:szCs w:val="26"/>
          <w:shd w:val="clear" w:color="auto" w:fill="FFFFFF"/>
        </w:rPr>
        <w:t xml:space="preserve">, 5 Cal.5th at p. 881.)  </w:t>
      </w:r>
      <w:r w:rsidRPr="004A73D5">
        <w:rPr>
          <w:color w:val="000000"/>
          <w:szCs w:val="26"/>
          <w:shd w:val="clear" w:color="auto" w:fill="FFFFFF"/>
        </w:rPr>
        <w:t>Section 1170.18</w:t>
      </w:r>
      <w:r w:rsidRPr="004A73D5">
        <w:rPr>
          <w:color w:val="000000"/>
          <w:szCs w:val="26"/>
          <w:shd w:val="clear" w:color="auto" w:fill="FFFFFF"/>
        </w:rPr>
        <w:t>(k)</w:t>
      </w:r>
      <w:r w:rsidRPr="004A73D5">
        <w:rPr>
          <w:color w:val="000000"/>
          <w:szCs w:val="26"/>
          <w:shd w:val="clear" w:color="auto" w:fill="FFFFFF"/>
        </w:rPr>
        <w:t>, we observed,</w:t>
      </w:r>
      <w:r w:rsidRPr="004A73D5">
        <w:rPr>
          <w:color w:val="000000"/>
          <w:szCs w:val="26"/>
          <w:shd w:val="clear" w:color="auto" w:fill="FFFFFF"/>
        </w:rPr>
        <w:t xml:space="preserve"> “contains no savings clause indicating that it applies only prospectively, nor does it contain any language indicating that it otherwise limits or subsumes the ordinary presumption long established under the </w:t>
      </w:r>
      <w:r w:rsidRPr="004A73D5">
        <w:rPr>
          <w:i/>
          <w:iCs/>
          <w:color w:val="000000"/>
          <w:szCs w:val="26"/>
          <w:bdr w:val="none" w:sz="0" w:space="0" w:color="auto" w:frame="1"/>
        </w:rPr>
        <w:t>Estrada</w:t>
      </w:r>
      <w:r w:rsidRPr="004A73D5">
        <w:rPr>
          <w:color w:val="000000"/>
          <w:szCs w:val="26"/>
          <w:shd w:val="clear" w:color="auto" w:fill="FFFFFF"/>
        </w:rPr>
        <w:t xml:space="preserve"> rule</w:t>
      </w:r>
      <w:r w:rsidRPr="004A73D5">
        <w:rPr>
          <w:color w:val="000000"/>
          <w:szCs w:val="26"/>
          <w:shd w:val="clear" w:color="auto" w:fill="FFFFFF"/>
        </w:rPr>
        <w:t>.</w:t>
      </w:r>
      <w:r w:rsidRPr="004A73D5">
        <w:rPr>
          <w:color w:val="000000"/>
          <w:szCs w:val="26"/>
          <w:shd w:val="clear" w:color="auto" w:fill="FFFFFF"/>
        </w:rPr>
        <w:t>”</w:t>
      </w:r>
      <w:r w:rsidRPr="004A73D5">
        <w:rPr>
          <w:color w:val="000000"/>
          <w:szCs w:val="26"/>
          <w:shd w:val="clear" w:color="auto" w:fill="FFFFFF"/>
        </w:rPr>
        <w:t xml:space="preserve">  (</w:t>
      </w:r>
      <w:r w:rsidRPr="004A73D5">
        <w:rPr>
          <w:i/>
          <w:color w:val="000000"/>
          <w:szCs w:val="26"/>
          <w:shd w:val="clear" w:color="auto" w:fill="FFFFFF"/>
        </w:rPr>
        <w:t>Buycks</w:t>
      </w:r>
      <w:r w:rsidRPr="004A73D5">
        <w:rPr>
          <w:color w:val="000000"/>
          <w:szCs w:val="26"/>
          <w:shd w:val="clear" w:color="auto" w:fill="FFFFFF"/>
        </w:rPr>
        <w:t>, at pp. 882–883.)  We thus</w:t>
      </w:r>
      <w:r w:rsidRPr="004A73D5">
        <w:rPr>
          <w:color w:val="000000"/>
          <w:szCs w:val="26"/>
          <w:shd w:val="clear" w:color="auto" w:fill="FFFFFF"/>
        </w:rPr>
        <w:t xml:space="preserve"> concluded that “</w:t>
      </w:r>
      <w:r w:rsidRPr="004A73D5">
        <w:rPr>
          <w:color w:val="000000"/>
          <w:szCs w:val="26"/>
        </w:rPr>
        <w:t xml:space="preserve">the reduction of a felony conviction to a misdemeanor conviction under Proposition 47 exists as ‘a misdemeanor for all purposes’ prospectively, but, under the </w:t>
      </w:r>
      <w:r w:rsidRPr="004A73D5">
        <w:rPr>
          <w:i/>
          <w:color w:val="000000"/>
          <w:szCs w:val="26"/>
        </w:rPr>
        <w:t>Estrada</w:t>
      </w:r>
      <w:r w:rsidRPr="004A73D5">
        <w:rPr>
          <w:color w:val="000000"/>
          <w:szCs w:val="26"/>
        </w:rPr>
        <w:t xml:space="preserve"> rule, it can have retroactive collateral effect on judgments that were not final when the initiative took effect on November 5, 2014.  [Citation.]  This construction comports with [section 1170.18, subdivision (n)], which explicitly states that ‘[r]esentencing pursuant to this section does not diminish or abrogate the finality of judgments in any case that does not come within the purview of this section.’ ”  </w:t>
      </w:r>
      <w:r w:rsidRPr="004A73D5">
        <w:rPr>
          <w:color w:val="000000"/>
          <w:szCs w:val="26"/>
          <w:shd w:val="clear" w:color="auto" w:fill="FFFFFF"/>
        </w:rPr>
        <w:t>(</w:t>
      </w:r>
      <w:r w:rsidRPr="004A73D5">
        <w:rPr>
          <w:i/>
          <w:color w:val="000000"/>
          <w:szCs w:val="26"/>
        </w:rPr>
        <w:t>Id.</w:t>
      </w:r>
      <w:r w:rsidRPr="004A73D5">
        <w:rPr>
          <w:color w:val="000000"/>
          <w:szCs w:val="26"/>
        </w:rPr>
        <w:t xml:space="preserve"> at p. 883</w:t>
      </w:r>
      <w:r w:rsidR="00054CFD">
        <w:rPr>
          <w:color w:val="000000"/>
          <w:szCs w:val="26"/>
        </w:rPr>
        <w:t>, fn. omitted</w:t>
      </w:r>
      <w:r w:rsidRPr="004A73D5">
        <w:rPr>
          <w:color w:val="000000"/>
          <w:szCs w:val="26"/>
        </w:rPr>
        <w:t>.)</w:t>
      </w:r>
      <w:r w:rsidRPr="004A73D5" w:rsidR="006136DC">
        <w:rPr>
          <w:color w:val="000000"/>
          <w:szCs w:val="26"/>
        </w:rPr>
        <w:t xml:space="preserve">  We applied this rule in </w:t>
      </w:r>
      <w:r w:rsidRPr="004A73D5" w:rsidR="006136DC">
        <w:rPr>
          <w:i/>
          <w:color w:val="000000"/>
          <w:szCs w:val="26"/>
        </w:rPr>
        <w:t>Buycks</w:t>
      </w:r>
      <w:r w:rsidRPr="004A73D5" w:rsidR="006136DC">
        <w:rPr>
          <w:color w:val="000000"/>
          <w:szCs w:val="26"/>
        </w:rPr>
        <w:t xml:space="preserve"> to hold </w:t>
      </w:r>
      <w:r w:rsidRPr="004A73D5">
        <w:rPr>
          <w:color w:val="000000"/>
          <w:szCs w:val="26"/>
        </w:rPr>
        <w:t xml:space="preserve">that the </w:t>
      </w:r>
      <w:r w:rsidRPr="004A73D5" w:rsidR="006136DC">
        <w:rPr>
          <w:color w:val="000000"/>
          <w:szCs w:val="26"/>
        </w:rPr>
        <w:t>redesignation</w:t>
      </w:r>
      <w:r w:rsidRPr="004A73D5">
        <w:rPr>
          <w:color w:val="000000"/>
          <w:szCs w:val="26"/>
        </w:rPr>
        <w:t xml:space="preserve"> of a felony conviction to a misdemeanor under Proposition 47 operate</w:t>
      </w:r>
      <w:r w:rsidRPr="004A73D5" w:rsidR="006136DC">
        <w:rPr>
          <w:color w:val="000000"/>
          <w:szCs w:val="26"/>
        </w:rPr>
        <w:t>s</w:t>
      </w:r>
      <w:r w:rsidRPr="004A73D5">
        <w:rPr>
          <w:color w:val="000000"/>
          <w:szCs w:val="26"/>
        </w:rPr>
        <w:t xml:space="preserve"> retrospectively to ameliorate </w:t>
      </w:r>
      <w:r w:rsidRPr="004A73D5" w:rsidR="006136DC">
        <w:rPr>
          <w:color w:val="000000"/>
          <w:szCs w:val="26"/>
        </w:rPr>
        <w:t xml:space="preserve">a </w:t>
      </w:r>
      <w:r w:rsidRPr="004A73D5">
        <w:rPr>
          <w:color w:val="000000"/>
          <w:szCs w:val="26"/>
        </w:rPr>
        <w:t xml:space="preserve">sentence enhancement predicated on </w:t>
      </w:r>
      <w:r w:rsidRPr="004A73D5" w:rsidR="006136DC">
        <w:rPr>
          <w:color w:val="000000"/>
          <w:szCs w:val="26"/>
        </w:rPr>
        <w:t>that felony</w:t>
      </w:r>
      <w:r w:rsidRPr="004A73D5">
        <w:rPr>
          <w:color w:val="000000"/>
          <w:szCs w:val="26"/>
        </w:rPr>
        <w:t xml:space="preserve"> conviction</w:t>
      </w:r>
      <w:r w:rsidRPr="004A73D5" w:rsidR="006136DC">
        <w:rPr>
          <w:color w:val="000000"/>
          <w:szCs w:val="26"/>
        </w:rPr>
        <w:t xml:space="preserve">, so long as the judgment containing the sentence enhancement was </w:t>
      </w:r>
      <w:r w:rsidRPr="004A73D5">
        <w:rPr>
          <w:color w:val="000000"/>
          <w:szCs w:val="26"/>
        </w:rPr>
        <w:t xml:space="preserve">not final </w:t>
      </w:r>
      <w:r w:rsidRPr="004A73D5" w:rsidR="006136DC">
        <w:rPr>
          <w:color w:val="000000"/>
          <w:szCs w:val="26"/>
        </w:rPr>
        <w:t xml:space="preserve">when </w:t>
      </w:r>
      <w:r w:rsidRPr="004A73D5">
        <w:rPr>
          <w:color w:val="000000"/>
          <w:szCs w:val="26"/>
        </w:rPr>
        <w:t xml:space="preserve">Proposition 47 </w:t>
      </w:r>
      <w:r w:rsidRPr="004A73D5" w:rsidR="006136DC">
        <w:rPr>
          <w:color w:val="000000"/>
          <w:szCs w:val="26"/>
        </w:rPr>
        <w:t>took effect</w:t>
      </w:r>
      <w:r w:rsidRPr="004A73D5">
        <w:rPr>
          <w:color w:val="000000"/>
          <w:szCs w:val="26"/>
        </w:rPr>
        <w:t>.  (</w:t>
      </w:r>
      <w:r w:rsidRPr="004A73D5" w:rsidR="006136DC">
        <w:rPr>
          <w:i/>
          <w:color w:val="000000"/>
          <w:szCs w:val="26"/>
        </w:rPr>
        <w:t>Buycks</w:t>
      </w:r>
      <w:r w:rsidRPr="004A73D5" w:rsidR="006136DC">
        <w:rPr>
          <w:color w:val="000000"/>
          <w:szCs w:val="26"/>
        </w:rPr>
        <w:t>,</w:t>
      </w:r>
      <w:r w:rsidRPr="004A73D5">
        <w:rPr>
          <w:color w:val="000000"/>
          <w:szCs w:val="26"/>
        </w:rPr>
        <w:t xml:space="preserve"> at pp. 890–891.)</w:t>
      </w:r>
    </w:p>
    <w:p w:rsidR="00FA4DEA" w:rsidRPr="004A73D5" w:rsidP="002F0419">
      <w:pPr>
        <w:ind w:firstLine="720"/>
        <w:contextualSpacing/>
        <w:rPr>
          <w:color w:val="000000"/>
          <w:szCs w:val="26"/>
          <w:bdr w:val="none" w:sz="0" w:space="0" w:color="auto" w:frame="1"/>
        </w:rPr>
      </w:pPr>
      <w:r w:rsidRPr="004A73D5">
        <w:rPr>
          <w:color w:val="000000"/>
          <w:szCs w:val="26"/>
          <w:bdr w:val="none" w:sz="0" w:space="0" w:color="auto" w:frame="1"/>
        </w:rPr>
        <w:t xml:space="preserve">Section 1170.18(k), as construed in </w:t>
      </w:r>
      <w:r w:rsidRPr="004A73D5">
        <w:rPr>
          <w:i/>
          <w:color w:val="000000"/>
          <w:szCs w:val="26"/>
          <w:bdr w:val="none" w:sz="0" w:space="0" w:color="auto" w:frame="1"/>
        </w:rPr>
        <w:t>Buycks</w:t>
      </w:r>
      <w:r w:rsidRPr="004A73D5">
        <w:rPr>
          <w:color w:val="000000"/>
          <w:szCs w:val="26"/>
          <w:bdr w:val="none" w:sz="0" w:space="0" w:color="auto" w:frame="1"/>
        </w:rPr>
        <w:t>, does not aid Foster.  For one thing, it is not clear that an MDO commitment</w:t>
      </w:r>
      <w:r w:rsidRPr="004A73D5" w:rsidR="002314E1">
        <w:rPr>
          <w:color w:val="000000"/>
          <w:szCs w:val="26"/>
          <w:bdr w:val="none" w:sz="0" w:space="0" w:color="auto" w:frame="1"/>
        </w:rPr>
        <w:t>, which we have characterized as “not penal or punitive” (</w:t>
      </w:r>
      <w:r w:rsidRPr="004A73D5" w:rsidR="002314E1">
        <w:rPr>
          <w:i/>
          <w:color w:val="000000"/>
          <w:szCs w:val="26"/>
          <w:bdr w:val="none" w:sz="0" w:space="0" w:color="auto" w:frame="1"/>
        </w:rPr>
        <w:t>Lopez</w:t>
      </w:r>
      <w:r w:rsidRPr="004A73D5" w:rsidR="002314E1">
        <w:rPr>
          <w:color w:val="000000"/>
          <w:szCs w:val="26"/>
          <w:bdr w:val="none" w:sz="0" w:space="0" w:color="auto" w:frame="1"/>
        </w:rPr>
        <w:t xml:space="preserve">, </w:t>
      </w:r>
      <w:r w:rsidRPr="004A73D5" w:rsidR="002314E1">
        <w:rPr>
          <w:i/>
          <w:color w:val="000000"/>
          <w:szCs w:val="26"/>
          <w:bdr w:val="none" w:sz="0" w:space="0" w:color="auto" w:frame="1"/>
        </w:rPr>
        <w:t>supra</w:t>
      </w:r>
      <w:r w:rsidRPr="004A73D5" w:rsidR="002314E1">
        <w:rPr>
          <w:color w:val="000000"/>
          <w:szCs w:val="26"/>
          <w:bdr w:val="none" w:sz="0" w:space="0" w:color="auto" w:frame="1"/>
        </w:rPr>
        <w:t xml:space="preserve">, 50 Cal.4th at p. 1061), is a type of judgment covered by </w:t>
      </w:r>
      <w:r w:rsidRPr="004A73D5" w:rsidR="002314E1">
        <w:rPr>
          <w:i/>
          <w:color w:val="000000"/>
          <w:szCs w:val="26"/>
          <w:bdr w:val="none" w:sz="0" w:space="0" w:color="auto" w:frame="1"/>
        </w:rPr>
        <w:t>Estrada</w:t>
      </w:r>
      <w:r w:rsidRPr="004A73D5" w:rsidR="002314E1">
        <w:rPr>
          <w:color w:val="000000"/>
          <w:szCs w:val="26"/>
          <w:bdr w:val="none" w:sz="0" w:space="0" w:color="auto" w:frame="1"/>
        </w:rPr>
        <w:t>’s limited rule of retroactivity</w:t>
      </w:r>
      <w:r w:rsidRPr="004A73D5" w:rsidR="00DC7B98">
        <w:rPr>
          <w:color w:val="000000"/>
          <w:szCs w:val="26"/>
          <w:bdr w:val="none" w:sz="0" w:space="0" w:color="auto" w:frame="1"/>
        </w:rPr>
        <w:t xml:space="preserve"> as applied to section 1170.18(k)</w:t>
      </w:r>
      <w:r w:rsidRPr="004A73D5" w:rsidR="002314E1">
        <w:rPr>
          <w:color w:val="000000"/>
          <w:szCs w:val="26"/>
          <w:bdr w:val="none" w:sz="0" w:space="0" w:color="auto" w:frame="1"/>
        </w:rPr>
        <w:t>.</w:t>
      </w:r>
      <w:r w:rsidRPr="004A73D5" w:rsidR="00DC7B98">
        <w:rPr>
          <w:color w:val="000000"/>
          <w:szCs w:val="26"/>
          <w:bdr w:val="none" w:sz="0" w:space="0" w:color="auto" w:frame="1"/>
        </w:rPr>
        <w:t xml:space="preserve">  (</w:t>
      </w:r>
      <w:r w:rsidRPr="004A73D5" w:rsidR="00C67E12">
        <w:rPr>
          <w:color w:val="000000"/>
          <w:szCs w:val="26"/>
          <w:bdr w:val="none" w:sz="0" w:space="0" w:color="auto" w:frame="1"/>
        </w:rPr>
        <w:t>Cf.</w:t>
      </w:r>
      <w:r w:rsidRPr="004A73D5" w:rsidR="00DC7B98">
        <w:rPr>
          <w:color w:val="000000"/>
          <w:szCs w:val="26"/>
          <w:bdr w:val="none" w:sz="0" w:space="0" w:color="auto" w:frame="1"/>
        </w:rPr>
        <w:t xml:space="preserve"> </w:t>
      </w:r>
      <w:r w:rsidRPr="004A73D5" w:rsidR="00DC7B98">
        <w:rPr>
          <w:i/>
          <w:color w:val="000000"/>
          <w:szCs w:val="26"/>
          <w:bdr w:val="none" w:sz="0" w:space="0" w:color="auto" w:frame="1"/>
        </w:rPr>
        <w:t>In re C.B.</w:t>
      </w:r>
      <w:r w:rsidRPr="004A73D5" w:rsidR="00DC7B98">
        <w:rPr>
          <w:color w:val="000000"/>
          <w:szCs w:val="26"/>
          <w:bdr w:val="none" w:sz="0" w:space="0" w:color="auto" w:frame="1"/>
        </w:rPr>
        <w:t xml:space="preserve">, </w:t>
      </w:r>
      <w:r w:rsidRPr="004A73D5" w:rsidR="00DC7B98">
        <w:rPr>
          <w:i/>
          <w:color w:val="000000"/>
          <w:szCs w:val="26"/>
          <w:bdr w:val="none" w:sz="0" w:space="0" w:color="auto" w:frame="1"/>
        </w:rPr>
        <w:t>supra</w:t>
      </w:r>
      <w:r w:rsidRPr="004A73D5" w:rsidR="00DC7B98">
        <w:rPr>
          <w:color w:val="000000"/>
          <w:szCs w:val="26"/>
          <w:bdr w:val="none" w:sz="0" w:space="0" w:color="auto" w:frame="1"/>
        </w:rPr>
        <w:t xml:space="preserve">, </w:t>
      </w:r>
      <w:r w:rsidRPr="004A73D5" w:rsidR="009551BA">
        <w:rPr>
          <w:color w:val="000000"/>
          <w:szCs w:val="26"/>
          <w:bdr w:val="none" w:sz="0" w:space="0" w:color="auto" w:frame="1"/>
        </w:rPr>
        <w:t>6 Cal.5th at p. 131.)</w:t>
      </w:r>
      <w:r w:rsidRPr="004A73D5" w:rsidR="002314E1">
        <w:rPr>
          <w:color w:val="000000"/>
          <w:szCs w:val="26"/>
          <w:bdr w:val="none" w:sz="0" w:space="0" w:color="auto" w:frame="1"/>
        </w:rPr>
        <w:t xml:space="preserve">  In any event, the </w:t>
      </w:r>
      <w:r w:rsidRPr="004A73D5" w:rsidR="002314E1">
        <w:rPr>
          <w:i/>
          <w:color w:val="000000"/>
          <w:szCs w:val="26"/>
          <w:bdr w:val="none" w:sz="0" w:space="0" w:color="auto" w:frame="1"/>
        </w:rPr>
        <w:t>Estrada</w:t>
      </w:r>
      <w:r w:rsidRPr="004A73D5" w:rsidR="002314E1">
        <w:rPr>
          <w:color w:val="000000"/>
          <w:szCs w:val="26"/>
          <w:bdr w:val="none" w:sz="0" w:space="0" w:color="auto" w:frame="1"/>
        </w:rPr>
        <w:t xml:space="preserve"> rule has no applicability </w:t>
      </w:r>
      <w:r w:rsidRPr="004A73D5" w:rsidR="00725DBC">
        <w:rPr>
          <w:color w:val="000000"/>
          <w:szCs w:val="26"/>
          <w:bdr w:val="none" w:sz="0" w:space="0" w:color="auto" w:frame="1"/>
        </w:rPr>
        <w:t xml:space="preserve">to the circumstances here.  In </w:t>
      </w:r>
      <w:r w:rsidRPr="004A73D5" w:rsidR="00725DBC">
        <w:rPr>
          <w:i/>
          <w:color w:val="000000"/>
          <w:szCs w:val="26"/>
          <w:bdr w:val="none" w:sz="0" w:space="0" w:color="auto" w:frame="1"/>
        </w:rPr>
        <w:t>Lopez</w:t>
      </w:r>
      <w:r w:rsidRPr="004A73D5" w:rsidR="00725DBC">
        <w:rPr>
          <w:color w:val="000000"/>
          <w:szCs w:val="26"/>
          <w:bdr w:val="none" w:sz="0" w:space="0" w:color="auto" w:frame="1"/>
        </w:rPr>
        <w:t>, we explained that “t</w:t>
      </w:r>
      <w:r w:rsidRPr="004A73D5" w:rsidR="00725DBC">
        <w:rPr>
          <w:color w:val="000000"/>
          <w:szCs w:val="26"/>
          <w:shd w:val="clear" w:color="auto" w:fill="FFFFFF"/>
        </w:rPr>
        <w:t>he Legislature intended an MDO to be permitted to challenge the static factors justifying his or her commitment only during the initial one-year period of treatment.”  (</w:t>
      </w:r>
      <w:r w:rsidRPr="004A73D5" w:rsidR="00725DBC">
        <w:rPr>
          <w:i/>
          <w:color w:val="000000"/>
          <w:szCs w:val="26"/>
          <w:shd w:val="clear" w:color="auto" w:fill="FFFFFF"/>
        </w:rPr>
        <w:t>Lopez</w:t>
      </w:r>
      <w:r w:rsidRPr="004A73D5" w:rsidR="00725DBC">
        <w:rPr>
          <w:color w:val="000000"/>
          <w:szCs w:val="26"/>
          <w:shd w:val="clear" w:color="auto" w:fill="FFFFFF"/>
        </w:rPr>
        <w:t xml:space="preserve">, at p. 1065.)  Foster completed his initial year of treatment in 2011, well before the enactment of Proposition 47.  </w:t>
      </w:r>
      <w:r w:rsidRPr="004A73D5" w:rsidR="008A28CB">
        <w:rPr>
          <w:color w:val="000000"/>
          <w:szCs w:val="26"/>
          <w:bdr w:val="none" w:sz="0" w:space="0" w:color="auto" w:frame="1"/>
        </w:rPr>
        <w:t xml:space="preserve">It is true that </w:t>
      </w:r>
      <w:r w:rsidRPr="004A73D5" w:rsidR="00C67E12">
        <w:rPr>
          <w:color w:val="000000"/>
          <w:szCs w:val="26"/>
          <w:bdr w:val="none" w:sz="0" w:space="0" w:color="auto" w:frame="1"/>
        </w:rPr>
        <w:t xml:space="preserve">Foster, unlike the </w:t>
      </w:r>
      <w:r w:rsidRPr="004A73D5" w:rsidR="00BF159B">
        <w:rPr>
          <w:color w:val="000000"/>
          <w:szCs w:val="26"/>
          <w:bdr w:val="none" w:sz="0" w:space="0" w:color="auto" w:frame="1"/>
        </w:rPr>
        <w:t xml:space="preserve">petitioner </w:t>
      </w:r>
      <w:r w:rsidRPr="004A73D5" w:rsidR="00C67E12">
        <w:rPr>
          <w:color w:val="000000"/>
          <w:szCs w:val="26"/>
          <w:bdr w:val="none" w:sz="0" w:space="0" w:color="auto" w:frame="1"/>
        </w:rPr>
        <w:t xml:space="preserve">in </w:t>
      </w:r>
      <w:r w:rsidRPr="004A73D5" w:rsidR="00C67E12">
        <w:rPr>
          <w:i/>
          <w:color w:val="000000"/>
          <w:szCs w:val="26"/>
          <w:bdr w:val="none" w:sz="0" w:space="0" w:color="auto" w:frame="1"/>
        </w:rPr>
        <w:t>Lopez</w:t>
      </w:r>
      <w:r w:rsidRPr="004A73D5" w:rsidR="00C67E12">
        <w:rPr>
          <w:color w:val="000000"/>
          <w:szCs w:val="26"/>
          <w:bdr w:val="none" w:sz="0" w:space="0" w:color="auto" w:frame="1"/>
        </w:rPr>
        <w:t xml:space="preserve">, </w:t>
      </w:r>
      <w:r w:rsidRPr="004A73D5" w:rsidR="007C4D4E">
        <w:rPr>
          <w:color w:val="000000"/>
          <w:szCs w:val="26"/>
          <w:bdr w:val="none" w:sz="0" w:space="0" w:color="auto" w:frame="1"/>
        </w:rPr>
        <w:t xml:space="preserve">is </w:t>
      </w:r>
      <w:r w:rsidRPr="004A73D5" w:rsidR="00C67E12">
        <w:rPr>
          <w:color w:val="000000"/>
          <w:szCs w:val="26"/>
          <w:bdr w:val="none" w:sz="0" w:space="0" w:color="auto" w:frame="1"/>
        </w:rPr>
        <w:t>challeng</w:t>
      </w:r>
      <w:r w:rsidRPr="004A73D5" w:rsidR="007C4D4E">
        <w:rPr>
          <w:color w:val="000000"/>
          <w:szCs w:val="26"/>
          <w:bdr w:val="none" w:sz="0" w:space="0" w:color="auto" w:frame="1"/>
        </w:rPr>
        <w:t xml:space="preserve">ing the validity of his initial commitment on a ground (i.e., redesignation of his qualifying felony as a misdemeanor) </w:t>
      </w:r>
      <w:r w:rsidRPr="004A73D5" w:rsidR="00C67E12">
        <w:rPr>
          <w:color w:val="000000"/>
          <w:szCs w:val="26"/>
          <w:bdr w:val="none" w:sz="0" w:space="0" w:color="auto" w:frame="1"/>
        </w:rPr>
        <w:t xml:space="preserve">that could </w:t>
      </w:r>
      <w:r w:rsidRPr="004A73D5" w:rsidR="007C4D4E">
        <w:rPr>
          <w:color w:val="000000"/>
          <w:szCs w:val="26"/>
          <w:bdr w:val="none" w:sz="0" w:space="0" w:color="auto" w:frame="1"/>
        </w:rPr>
        <w:t xml:space="preserve">not </w:t>
      </w:r>
      <w:r w:rsidRPr="004A73D5" w:rsidR="00C67E12">
        <w:rPr>
          <w:color w:val="000000"/>
          <w:szCs w:val="26"/>
          <w:bdr w:val="none" w:sz="0" w:space="0" w:color="auto" w:frame="1"/>
        </w:rPr>
        <w:t>have been raised during the one-year period of his initial commitment</w:t>
      </w:r>
      <w:r w:rsidRPr="004A73D5" w:rsidR="007C4D4E">
        <w:rPr>
          <w:color w:val="000000"/>
          <w:szCs w:val="26"/>
          <w:bdr w:val="none" w:sz="0" w:space="0" w:color="auto" w:frame="1"/>
        </w:rPr>
        <w:t xml:space="preserve">. </w:t>
      </w:r>
      <w:r w:rsidRPr="004A73D5" w:rsidR="00C67E12">
        <w:rPr>
          <w:color w:val="000000"/>
          <w:szCs w:val="26"/>
          <w:bdr w:val="none" w:sz="0" w:space="0" w:color="auto" w:frame="1"/>
        </w:rPr>
        <w:t xml:space="preserve"> (</w:t>
      </w:r>
      <w:r w:rsidRPr="004A73D5" w:rsidR="007C4D4E">
        <w:rPr>
          <w:color w:val="000000"/>
          <w:szCs w:val="26"/>
          <w:bdr w:val="none" w:sz="0" w:space="0" w:color="auto" w:frame="1"/>
        </w:rPr>
        <w:t>S</w:t>
      </w:r>
      <w:r w:rsidRPr="004A73D5" w:rsidR="00C67E12">
        <w:rPr>
          <w:color w:val="000000"/>
          <w:szCs w:val="26"/>
          <w:bdr w:val="none" w:sz="0" w:space="0" w:color="auto" w:frame="1"/>
        </w:rPr>
        <w:t xml:space="preserve">ee </w:t>
      </w:r>
      <w:r w:rsidRPr="004A73D5" w:rsidR="00C67E12">
        <w:rPr>
          <w:i/>
          <w:color w:val="000000"/>
          <w:szCs w:val="26"/>
          <w:bdr w:val="none" w:sz="0" w:space="0" w:color="auto" w:frame="1"/>
        </w:rPr>
        <w:t>Lopez</w:t>
      </w:r>
      <w:r w:rsidRPr="004A73D5" w:rsidR="00C67E12">
        <w:rPr>
          <w:color w:val="000000"/>
          <w:szCs w:val="26"/>
          <w:bdr w:val="none" w:sz="0" w:space="0" w:color="auto" w:frame="1"/>
        </w:rPr>
        <w:t xml:space="preserve">, at </w:t>
      </w:r>
      <w:r w:rsidRPr="004A73D5" w:rsidR="007C4D4E">
        <w:rPr>
          <w:color w:val="000000"/>
          <w:szCs w:val="26"/>
          <w:bdr w:val="none" w:sz="0" w:space="0" w:color="auto" w:frame="1"/>
        </w:rPr>
        <w:t xml:space="preserve">pp. 1060–1061, 1066–1067.)  </w:t>
      </w:r>
      <w:r w:rsidRPr="004A73D5" w:rsidR="008A28CB">
        <w:rPr>
          <w:color w:val="000000"/>
          <w:szCs w:val="26"/>
          <w:bdr w:val="none" w:sz="0" w:space="0" w:color="auto" w:frame="1"/>
        </w:rPr>
        <w:t>But</w:t>
      </w:r>
      <w:r w:rsidRPr="004A73D5" w:rsidR="009569E0">
        <w:rPr>
          <w:color w:val="000000"/>
          <w:szCs w:val="26"/>
          <w:bdr w:val="none" w:sz="0" w:space="0" w:color="auto" w:frame="1"/>
        </w:rPr>
        <w:t xml:space="preserve"> in this respect, Foster is no different than any defendant seeking to apply a felony redesignation to </w:t>
      </w:r>
      <w:r w:rsidRPr="004A73D5" w:rsidR="008A28CB">
        <w:rPr>
          <w:color w:val="000000"/>
          <w:szCs w:val="26"/>
          <w:bdr w:val="none" w:sz="0" w:space="0" w:color="auto" w:frame="1"/>
        </w:rPr>
        <w:t xml:space="preserve">ameliorate a </w:t>
      </w:r>
      <w:r w:rsidRPr="004A73D5" w:rsidR="009569E0">
        <w:rPr>
          <w:color w:val="000000"/>
          <w:szCs w:val="26"/>
          <w:bdr w:val="none" w:sz="0" w:space="0" w:color="auto" w:frame="1"/>
        </w:rPr>
        <w:t>collateral consequence</w:t>
      </w:r>
      <w:r w:rsidRPr="004A73D5" w:rsidR="008A28CB">
        <w:rPr>
          <w:color w:val="000000"/>
          <w:szCs w:val="26"/>
          <w:bdr w:val="none" w:sz="0" w:space="0" w:color="auto" w:frame="1"/>
        </w:rPr>
        <w:t xml:space="preserve"> that </w:t>
      </w:r>
      <w:r w:rsidRPr="004A73D5" w:rsidR="009569E0">
        <w:rPr>
          <w:color w:val="000000"/>
          <w:szCs w:val="26"/>
          <w:bdr w:val="none" w:sz="0" w:space="0" w:color="auto" w:frame="1"/>
        </w:rPr>
        <w:t xml:space="preserve">already </w:t>
      </w:r>
      <w:r w:rsidRPr="004A73D5" w:rsidR="008A28CB">
        <w:rPr>
          <w:color w:val="000000"/>
          <w:szCs w:val="26"/>
          <w:bdr w:val="none" w:sz="0" w:space="0" w:color="auto" w:frame="1"/>
        </w:rPr>
        <w:t>became final before Proposition 47 took effect</w:t>
      </w:r>
      <w:r w:rsidRPr="004A73D5" w:rsidR="009569E0">
        <w:rPr>
          <w:color w:val="000000"/>
          <w:szCs w:val="26"/>
          <w:bdr w:val="none" w:sz="0" w:space="0" w:color="auto" w:frame="1"/>
        </w:rPr>
        <w:t xml:space="preserve">.  </w:t>
      </w:r>
      <w:r w:rsidRPr="004A73D5" w:rsidR="008A28CB">
        <w:rPr>
          <w:i/>
          <w:color w:val="000000"/>
          <w:szCs w:val="26"/>
          <w:bdr w:val="none" w:sz="0" w:space="0" w:color="auto" w:frame="1"/>
        </w:rPr>
        <w:t>Buycks</w:t>
      </w:r>
      <w:r w:rsidRPr="004A73D5" w:rsidR="008A28CB">
        <w:rPr>
          <w:color w:val="000000"/>
          <w:szCs w:val="26"/>
          <w:bdr w:val="none" w:sz="0" w:space="0" w:color="auto" w:frame="1"/>
        </w:rPr>
        <w:t xml:space="preserve"> made clear that the </w:t>
      </w:r>
      <w:r w:rsidRPr="004A73D5" w:rsidR="009569E0">
        <w:rPr>
          <w:color w:val="000000"/>
          <w:szCs w:val="26"/>
          <w:bdr w:val="none" w:sz="0" w:space="0" w:color="auto" w:frame="1"/>
        </w:rPr>
        <w:t xml:space="preserve">limited retroactivity of section 1170.18(k) based on </w:t>
      </w:r>
      <w:r w:rsidRPr="004A73D5" w:rsidR="009569E0">
        <w:rPr>
          <w:i/>
          <w:color w:val="000000"/>
          <w:szCs w:val="26"/>
          <w:bdr w:val="none" w:sz="0" w:space="0" w:color="auto" w:frame="1"/>
        </w:rPr>
        <w:t>Estrada</w:t>
      </w:r>
      <w:r w:rsidRPr="004A73D5" w:rsidR="009569E0">
        <w:rPr>
          <w:color w:val="000000"/>
          <w:szCs w:val="26"/>
          <w:bdr w:val="none" w:sz="0" w:space="0" w:color="auto" w:frame="1"/>
        </w:rPr>
        <w:t xml:space="preserve"> </w:t>
      </w:r>
      <w:r w:rsidRPr="004A73D5" w:rsidR="008A28CB">
        <w:rPr>
          <w:color w:val="000000"/>
          <w:szCs w:val="26"/>
          <w:bdr w:val="none" w:sz="0" w:space="0" w:color="auto" w:frame="1"/>
        </w:rPr>
        <w:t>does no</w:t>
      </w:r>
      <w:r w:rsidRPr="004A73D5" w:rsidR="009569E0">
        <w:rPr>
          <w:color w:val="000000"/>
          <w:szCs w:val="26"/>
          <w:bdr w:val="none" w:sz="0" w:space="0" w:color="auto" w:frame="1"/>
        </w:rPr>
        <w:t xml:space="preserve">t extend </w:t>
      </w:r>
      <w:r w:rsidRPr="004A73D5" w:rsidR="00DB6AF8">
        <w:rPr>
          <w:color w:val="000000"/>
          <w:szCs w:val="26"/>
          <w:bdr w:val="none" w:sz="0" w:space="0" w:color="auto" w:frame="1"/>
        </w:rPr>
        <w:t>that far</w:t>
      </w:r>
      <w:r w:rsidRPr="004A73D5" w:rsidR="009569E0">
        <w:rPr>
          <w:color w:val="000000"/>
          <w:szCs w:val="26"/>
          <w:bdr w:val="none" w:sz="0" w:space="0" w:color="auto" w:frame="1"/>
        </w:rPr>
        <w:t>.</w:t>
      </w:r>
    </w:p>
    <w:p w:rsidR="00803E10" w:rsidP="002F0419">
      <w:pPr>
        <w:ind w:firstLine="720"/>
        <w:contextualSpacing/>
        <w:rPr>
          <w:szCs w:val="26"/>
        </w:rPr>
      </w:pPr>
      <w:r w:rsidRPr="004A73D5">
        <w:rPr>
          <w:color w:val="000000"/>
          <w:szCs w:val="26"/>
          <w:bdr w:val="none" w:sz="0" w:space="0" w:color="auto" w:frame="1"/>
        </w:rPr>
        <w:t xml:space="preserve">In sum, </w:t>
      </w:r>
      <w:r w:rsidRPr="004A73D5" w:rsidR="00023AF3">
        <w:rPr>
          <w:szCs w:val="26"/>
        </w:rPr>
        <w:t xml:space="preserve">the redesignation of Foster’s </w:t>
      </w:r>
      <w:r w:rsidRPr="004A73D5">
        <w:rPr>
          <w:szCs w:val="26"/>
        </w:rPr>
        <w:t xml:space="preserve">theft </w:t>
      </w:r>
      <w:r w:rsidRPr="004A73D5" w:rsidR="00023AF3">
        <w:rPr>
          <w:szCs w:val="26"/>
        </w:rPr>
        <w:t xml:space="preserve">offense </w:t>
      </w:r>
      <w:r w:rsidRPr="004A73D5">
        <w:rPr>
          <w:szCs w:val="26"/>
        </w:rPr>
        <w:t xml:space="preserve">as </w:t>
      </w:r>
      <w:r w:rsidRPr="004A73D5" w:rsidR="00023AF3">
        <w:rPr>
          <w:szCs w:val="26"/>
        </w:rPr>
        <w:t xml:space="preserve">a misdemeanor does not </w:t>
      </w:r>
      <w:r w:rsidRPr="004A73D5">
        <w:rPr>
          <w:szCs w:val="26"/>
        </w:rPr>
        <w:t xml:space="preserve">undermine the </w:t>
      </w:r>
      <w:r w:rsidR="0098055A">
        <w:rPr>
          <w:szCs w:val="26"/>
        </w:rPr>
        <w:t xml:space="preserve">continued </w:t>
      </w:r>
      <w:r w:rsidRPr="004A73D5">
        <w:rPr>
          <w:szCs w:val="26"/>
        </w:rPr>
        <w:t xml:space="preserve">validity of his initial commitment </w:t>
      </w:r>
      <w:r w:rsidRPr="004A73D5" w:rsidR="00DB6AF8">
        <w:rPr>
          <w:szCs w:val="26"/>
        </w:rPr>
        <w:t xml:space="preserve">or </w:t>
      </w:r>
      <w:r w:rsidRPr="004A73D5" w:rsidR="00023AF3">
        <w:rPr>
          <w:szCs w:val="26"/>
        </w:rPr>
        <w:t xml:space="preserve">preclude </w:t>
      </w:r>
      <w:r>
        <w:rPr>
          <w:szCs w:val="26"/>
        </w:rPr>
        <w:t>Foster’s</w:t>
      </w:r>
      <w:r w:rsidRPr="004A73D5" w:rsidR="00023AF3">
        <w:rPr>
          <w:szCs w:val="26"/>
        </w:rPr>
        <w:t xml:space="preserve"> continued recommitment</w:t>
      </w:r>
      <w:r w:rsidRPr="004A73D5">
        <w:rPr>
          <w:szCs w:val="26"/>
        </w:rPr>
        <w:t xml:space="preserve"> as an MDO</w:t>
      </w:r>
      <w:r w:rsidRPr="004A73D5" w:rsidR="00023AF3">
        <w:rPr>
          <w:szCs w:val="26"/>
        </w:rPr>
        <w:t>.</w:t>
      </w:r>
    </w:p>
    <w:p w:rsidR="00766103" w:rsidRPr="004A73D5" w:rsidP="002F0419">
      <w:pPr>
        <w:contextualSpacing/>
        <w:jc w:val="center"/>
        <w:rPr>
          <w:b/>
        </w:rPr>
      </w:pPr>
      <w:r w:rsidRPr="004A73D5">
        <w:rPr>
          <w:b/>
        </w:rPr>
        <w:t>III.</w:t>
      </w:r>
    </w:p>
    <w:p w:rsidR="00B31BDE" w:rsidP="002F0419">
      <w:pPr>
        <w:ind w:firstLine="720"/>
        <w:contextualSpacing/>
        <w:rPr>
          <w:szCs w:val="26"/>
        </w:rPr>
      </w:pPr>
      <w:r w:rsidRPr="004A73D5">
        <w:rPr>
          <w:szCs w:val="26"/>
        </w:rPr>
        <w:t xml:space="preserve">Foster </w:t>
      </w:r>
      <w:r w:rsidRPr="004A73D5" w:rsidR="00BF159B">
        <w:rPr>
          <w:szCs w:val="26"/>
        </w:rPr>
        <w:t xml:space="preserve">further </w:t>
      </w:r>
      <w:r w:rsidRPr="004A73D5" w:rsidR="007C4D4E">
        <w:rPr>
          <w:szCs w:val="26"/>
        </w:rPr>
        <w:t>contends</w:t>
      </w:r>
      <w:r w:rsidRPr="004A73D5" w:rsidR="0085636C">
        <w:rPr>
          <w:szCs w:val="26"/>
        </w:rPr>
        <w:t xml:space="preserve"> </w:t>
      </w:r>
      <w:r w:rsidRPr="004A73D5" w:rsidR="00CF367C">
        <w:rPr>
          <w:szCs w:val="26"/>
        </w:rPr>
        <w:t xml:space="preserve">that </w:t>
      </w:r>
      <w:r w:rsidRPr="004A73D5" w:rsidR="00C171E8">
        <w:rPr>
          <w:szCs w:val="26"/>
        </w:rPr>
        <w:t xml:space="preserve">under </w:t>
      </w:r>
      <w:r w:rsidRPr="004A73D5" w:rsidR="004C62FC">
        <w:rPr>
          <w:szCs w:val="26"/>
        </w:rPr>
        <w:t xml:space="preserve">the logic of </w:t>
      </w:r>
      <w:r w:rsidRPr="004A73D5" w:rsidR="0083259F">
        <w:rPr>
          <w:i/>
          <w:szCs w:val="26"/>
        </w:rPr>
        <w:t>In re S</w:t>
      </w:r>
      <w:r w:rsidRPr="004A73D5" w:rsidR="00CF367C">
        <w:rPr>
          <w:i/>
          <w:szCs w:val="26"/>
        </w:rPr>
        <w:t>mith</w:t>
      </w:r>
      <w:r w:rsidRPr="004A73D5" w:rsidR="0083259F">
        <w:rPr>
          <w:szCs w:val="26"/>
        </w:rPr>
        <w:t xml:space="preserve"> (2004) 42 Cal.4th 1251 (</w:t>
      </w:r>
      <w:r w:rsidRPr="004A73D5" w:rsidR="0083259F">
        <w:rPr>
          <w:i/>
          <w:szCs w:val="26"/>
        </w:rPr>
        <w:t>Smith</w:t>
      </w:r>
      <w:r w:rsidRPr="004A73D5" w:rsidR="0083259F">
        <w:rPr>
          <w:szCs w:val="26"/>
        </w:rPr>
        <w:t>)</w:t>
      </w:r>
      <w:r w:rsidRPr="004A73D5" w:rsidR="007C4D4E">
        <w:rPr>
          <w:szCs w:val="26"/>
        </w:rPr>
        <w:t>,</w:t>
      </w:r>
      <w:r w:rsidRPr="004A73D5" w:rsidR="00CF367C">
        <w:rPr>
          <w:szCs w:val="26"/>
        </w:rPr>
        <w:t xml:space="preserve"> </w:t>
      </w:r>
      <w:r w:rsidRPr="004A73D5" w:rsidR="004C62FC">
        <w:rPr>
          <w:szCs w:val="26"/>
        </w:rPr>
        <w:t xml:space="preserve">the </w:t>
      </w:r>
      <w:r w:rsidRPr="004A73D5" w:rsidR="007C4D4E">
        <w:rPr>
          <w:szCs w:val="26"/>
        </w:rPr>
        <w:t xml:space="preserve">redesignation </w:t>
      </w:r>
      <w:r w:rsidRPr="004A73D5" w:rsidR="004C62FC">
        <w:rPr>
          <w:szCs w:val="26"/>
        </w:rPr>
        <w:t xml:space="preserve">of his </w:t>
      </w:r>
      <w:r w:rsidRPr="004A73D5" w:rsidR="007C4D4E">
        <w:rPr>
          <w:szCs w:val="26"/>
        </w:rPr>
        <w:t xml:space="preserve">qualifying </w:t>
      </w:r>
      <w:r w:rsidRPr="004A73D5" w:rsidR="004C62FC">
        <w:rPr>
          <w:szCs w:val="26"/>
        </w:rPr>
        <w:t xml:space="preserve">felony </w:t>
      </w:r>
      <w:r w:rsidRPr="004A73D5" w:rsidR="007C4D4E">
        <w:rPr>
          <w:szCs w:val="26"/>
        </w:rPr>
        <w:t xml:space="preserve">as </w:t>
      </w:r>
      <w:r w:rsidRPr="004A73D5" w:rsidR="009B34A9">
        <w:rPr>
          <w:szCs w:val="26"/>
        </w:rPr>
        <w:t xml:space="preserve">a misdemeanor eliminates the basis for his </w:t>
      </w:r>
      <w:r w:rsidRPr="004A73D5">
        <w:rPr>
          <w:szCs w:val="26"/>
        </w:rPr>
        <w:t xml:space="preserve">continued </w:t>
      </w:r>
      <w:r w:rsidRPr="004A73D5" w:rsidR="00C416C3">
        <w:rPr>
          <w:szCs w:val="26"/>
        </w:rPr>
        <w:t>commitment</w:t>
      </w:r>
      <w:r w:rsidRPr="004A73D5" w:rsidR="007C4D4E">
        <w:rPr>
          <w:szCs w:val="26"/>
        </w:rPr>
        <w:t xml:space="preserve"> and that a failure to so hold would violate equal protection</w:t>
      </w:r>
      <w:r w:rsidR="00803E10">
        <w:rPr>
          <w:szCs w:val="26"/>
        </w:rPr>
        <w:t xml:space="preserve"> principles</w:t>
      </w:r>
      <w:r w:rsidRPr="004A73D5" w:rsidR="00C416C3">
        <w:rPr>
          <w:szCs w:val="26"/>
        </w:rPr>
        <w:t xml:space="preserve">.  In </w:t>
      </w:r>
      <w:r w:rsidRPr="004A73D5" w:rsidR="00C416C3">
        <w:rPr>
          <w:i/>
          <w:szCs w:val="26"/>
        </w:rPr>
        <w:t>Smith</w:t>
      </w:r>
      <w:r w:rsidRPr="004A73D5" w:rsidR="00C416C3">
        <w:rPr>
          <w:szCs w:val="26"/>
        </w:rPr>
        <w:t xml:space="preserve">, </w:t>
      </w:r>
      <w:r w:rsidRPr="004A73D5" w:rsidR="009B56C2">
        <w:rPr>
          <w:szCs w:val="26"/>
        </w:rPr>
        <w:t xml:space="preserve">we </w:t>
      </w:r>
      <w:r w:rsidRPr="004A73D5" w:rsidR="007C4D4E">
        <w:rPr>
          <w:szCs w:val="26"/>
        </w:rPr>
        <w:t>construed</w:t>
      </w:r>
      <w:r w:rsidRPr="004A73D5" w:rsidR="00023EC0">
        <w:rPr>
          <w:szCs w:val="26"/>
        </w:rPr>
        <w:t xml:space="preserve"> </w:t>
      </w:r>
      <w:r w:rsidRPr="004A73D5" w:rsidR="009B56C2">
        <w:rPr>
          <w:szCs w:val="26"/>
        </w:rPr>
        <w:t xml:space="preserve">the </w:t>
      </w:r>
      <w:r w:rsidR="00114B1C">
        <w:rPr>
          <w:szCs w:val="26"/>
        </w:rPr>
        <w:t xml:space="preserve">SVP </w:t>
      </w:r>
      <w:r w:rsidRPr="004A73D5" w:rsidR="009B56C2">
        <w:rPr>
          <w:szCs w:val="26"/>
        </w:rPr>
        <w:t>Act</w:t>
      </w:r>
      <w:r w:rsidRPr="004A73D5" w:rsidR="00EC6863">
        <w:rPr>
          <w:szCs w:val="26"/>
        </w:rPr>
        <w:t>,</w:t>
      </w:r>
      <w:r w:rsidRPr="004A73D5" w:rsidR="00F16E35">
        <w:rPr>
          <w:szCs w:val="26"/>
        </w:rPr>
        <w:t xml:space="preserve"> which requires a qualifying felony offense to support civil commitment</w:t>
      </w:r>
      <w:r w:rsidR="00054CFD">
        <w:rPr>
          <w:szCs w:val="26"/>
        </w:rPr>
        <w:t xml:space="preserve"> of an offender determined to be a sexually violent predator</w:t>
      </w:r>
      <w:r w:rsidRPr="004A73D5" w:rsidR="007C4D4E">
        <w:rPr>
          <w:szCs w:val="26"/>
        </w:rPr>
        <w:t>.  (</w:t>
      </w:r>
      <w:r w:rsidRPr="004A73D5" w:rsidR="007C4D4E">
        <w:rPr>
          <w:i/>
          <w:szCs w:val="26"/>
        </w:rPr>
        <w:t>Smith</w:t>
      </w:r>
      <w:r w:rsidRPr="004A73D5" w:rsidR="007C4D4E">
        <w:rPr>
          <w:szCs w:val="26"/>
        </w:rPr>
        <w:t>, at p. 1257.)  We held that</w:t>
      </w:r>
      <w:r w:rsidRPr="004A73D5" w:rsidR="00EC6863">
        <w:rPr>
          <w:szCs w:val="26"/>
        </w:rPr>
        <w:t xml:space="preserve"> </w:t>
      </w:r>
      <w:r w:rsidRPr="004A73D5" w:rsidR="00023EC0">
        <w:rPr>
          <w:szCs w:val="26"/>
        </w:rPr>
        <w:t>“if the People seek to continue SVP proceedings against someone whose present conviction has been reversed, it must retry and reconvict him.”  (</w:t>
      </w:r>
      <w:r w:rsidRPr="004A73D5">
        <w:rPr>
          <w:i/>
          <w:szCs w:val="26"/>
        </w:rPr>
        <w:t>Id.</w:t>
      </w:r>
      <w:r w:rsidRPr="004A73D5" w:rsidR="00023EC0">
        <w:rPr>
          <w:szCs w:val="26"/>
        </w:rPr>
        <w:t xml:space="preserve"> at p. 1270</w:t>
      </w:r>
      <w:r w:rsidRPr="004A73D5" w:rsidR="009D3725">
        <w:rPr>
          <w:szCs w:val="26"/>
        </w:rPr>
        <w:t>.</w:t>
      </w:r>
      <w:r w:rsidRPr="004A73D5" w:rsidR="00023EC0">
        <w:rPr>
          <w:szCs w:val="26"/>
        </w:rPr>
        <w:t>)</w:t>
      </w:r>
      <w:r w:rsidRPr="004A73D5" w:rsidR="00CA275E">
        <w:rPr>
          <w:szCs w:val="26"/>
        </w:rPr>
        <w:t xml:space="preserve">  </w:t>
      </w:r>
      <w:r w:rsidRPr="004A73D5" w:rsidR="00851BE0">
        <w:rPr>
          <w:szCs w:val="26"/>
        </w:rPr>
        <w:t xml:space="preserve">Foster </w:t>
      </w:r>
      <w:r w:rsidRPr="004A73D5">
        <w:rPr>
          <w:szCs w:val="26"/>
        </w:rPr>
        <w:t xml:space="preserve">also argues that he is similarly situated to the defendants in </w:t>
      </w:r>
      <w:r w:rsidRPr="004A73D5">
        <w:rPr>
          <w:i/>
          <w:szCs w:val="26"/>
        </w:rPr>
        <w:t>In re Bevill</w:t>
      </w:r>
      <w:r w:rsidRPr="004A73D5">
        <w:rPr>
          <w:szCs w:val="26"/>
        </w:rPr>
        <w:t xml:space="preserve"> (1968) 68 Cal.2d 854 (</w:t>
      </w:r>
      <w:r w:rsidRPr="004A73D5">
        <w:rPr>
          <w:i/>
          <w:szCs w:val="26"/>
        </w:rPr>
        <w:t>Bevill</w:t>
      </w:r>
      <w:r w:rsidRPr="004A73D5">
        <w:rPr>
          <w:szCs w:val="26"/>
        </w:rPr>
        <w:t xml:space="preserve">) and </w:t>
      </w:r>
      <w:r w:rsidRPr="004A73D5">
        <w:rPr>
          <w:i/>
          <w:szCs w:val="26"/>
        </w:rPr>
        <w:t>In re Franklin</w:t>
      </w:r>
      <w:r w:rsidRPr="004A73D5">
        <w:rPr>
          <w:szCs w:val="26"/>
        </w:rPr>
        <w:t xml:space="preserve"> (2008) 169 Cal.App.4th 386 (</w:t>
      </w:r>
      <w:r w:rsidRPr="004A73D5">
        <w:rPr>
          <w:i/>
          <w:szCs w:val="26"/>
        </w:rPr>
        <w:t>Franklin</w:t>
      </w:r>
      <w:r w:rsidRPr="004A73D5">
        <w:rPr>
          <w:szCs w:val="26"/>
        </w:rPr>
        <w:t xml:space="preserve">).  In </w:t>
      </w:r>
      <w:r w:rsidRPr="004A73D5">
        <w:rPr>
          <w:i/>
          <w:szCs w:val="26"/>
        </w:rPr>
        <w:t>Bevill</w:t>
      </w:r>
      <w:r w:rsidRPr="004A73D5">
        <w:rPr>
          <w:szCs w:val="26"/>
        </w:rPr>
        <w:t xml:space="preserve">, we held that a “mentally disordered sex offender” (now called an SVP) </w:t>
      </w:r>
      <w:r w:rsidR="008A37A5">
        <w:rPr>
          <w:szCs w:val="26"/>
        </w:rPr>
        <w:t>could no</w:t>
      </w:r>
      <w:r w:rsidRPr="004A73D5" w:rsidR="008A37A5">
        <w:rPr>
          <w:szCs w:val="26"/>
        </w:rPr>
        <w:t xml:space="preserve"> </w:t>
      </w:r>
      <w:r w:rsidR="008A37A5">
        <w:rPr>
          <w:szCs w:val="26"/>
        </w:rPr>
        <w:t>longer be</w:t>
      </w:r>
      <w:r w:rsidRPr="004A73D5" w:rsidR="008A37A5">
        <w:rPr>
          <w:szCs w:val="26"/>
        </w:rPr>
        <w:t xml:space="preserve"> involuntar</w:t>
      </w:r>
      <w:r w:rsidR="008A37A5">
        <w:rPr>
          <w:szCs w:val="26"/>
        </w:rPr>
        <w:t>ily</w:t>
      </w:r>
      <w:r w:rsidRPr="004A73D5" w:rsidR="008A37A5">
        <w:rPr>
          <w:szCs w:val="26"/>
        </w:rPr>
        <w:t xml:space="preserve"> </w:t>
      </w:r>
      <w:r w:rsidR="008A37A5">
        <w:rPr>
          <w:szCs w:val="26"/>
        </w:rPr>
        <w:t>committed</w:t>
      </w:r>
      <w:r w:rsidRPr="004A73D5" w:rsidR="008A37A5">
        <w:rPr>
          <w:szCs w:val="26"/>
        </w:rPr>
        <w:t xml:space="preserve"> </w:t>
      </w:r>
      <w:r w:rsidR="008A37A5">
        <w:rPr>
          <w:szCs w:val="26"/>
        </w:rPr>
        <w:t>because he</w:t>
      </w:r>
      <w:r w:rsidR="00D00B19">
        <w:rPr>
          <w:szCs w:val="26"/>
        </w:rPr>
        <w:t xml:space="preserve"> was convicted under a portion of a statute that</w:t>
      </w:r>
      <w:r w:rsidR="00CB6892">
        <w:rPr>
          <w:szCs w:val="26"/>
        </w:rPr>
        <w:t xml:space="preserve"> did not prohibit his conduct</w:t>
      </w:r>
      <w:r w:rsidRPr="004A73D5">
        <w:rPr>
          <w:szCs w:val="26"/>
        </w:rPr>
        <w:t>.  (</w:t>
      </w:r>
      <w:r w:rsidRPr="004A73D5">
        <w:rPr>
          <w:i/>
          <w:szCs w:val="26"/>
        </w:rPr>
        <w:t>Bevill</w:t>
      </w:r>
      <w:r w:rsidRPr="004A73D5">
        <w:rPr>
          <w:szCs w:val="26"/>
        </w:rPr>
        <w:t>, at p</w:t>
      </w:r>
      <w:r w:rsidR="00054CFD">
        <w:rPr>
          <w:szCs w:val="26"/>
        </w:rPr>
        <w:t>p</w:t>
      </w:r>
      <w:r w:rsidRPr="004A73D5">
        <w:rPr>
          <w:szCs w:val="26"/>
        </w:rPr>
        <w:t>. </w:t>
      </w:r>
      <w:r w:rsidR="00CB6892">
        <w:rPr>
          <w:szCs w:val="26"/>
        </w:rPr>
        <w:t>862–</w:t>
      </w:r>
      <w:r w:rsidRPr="004A73D5">
        <w:rPr>
          <w:szCs w:val="26"/>
        </w:rPr>
        <w:t>863</w:t>
      </w:r>
      <w:r w:rsidR="00054CFD">
        <w:rPr>
          <w:szCs w:val="26"/>
        </w:rPr>
        <w:t>, 856</w:t>
      </w:r>
      <w:r w:rsidRPr="004A73D5">
        <w:rPr>
          <w:szCs w:val="26"/>
        </w:rPr>
        <w:t xml:space="preserve">.)  In </w:t>
      </w:r>
      <w:r w:rsidRPr="004A73D5">
        <w:rPr>
          <w:i/>
          <w:szCs w:val="26"/>
        </w:rPr>
        <w:t>Franklin</w:t>
      </w:r>
      <w:r w:rsidRPr="004A73D5">
        <w:rPr>
          <w:szCs w:val="26"/>
        </w:rPr>
        <w:t>, the Court of Appeal held that an SVP petition was “fatal[ly] flaw[ed]” where the petition was filed after the reversal of the petitioner’s felony conviction and his resentencing as a misdemeanant.  (</w:t>
      </w:r>
      <w:r w:rsidRPr="004A73D5">
        <w:rPr>
          <w:i/>
          <w:szCs w:val="26"/>
        </w:rPr>
        <w:t>Franklin</w:t>
      </w:r>
      <w:r w:rsidRPr="004A73D5">
        <w:rPr>
          <w:szCs w:val="26"/>
        </w:rPr>
        <w:t>, at p. 392.)</w:t>
      </w:r>
    </w:p>
    <w:p w:rsidR="005105EF" w:rsidRPr="004A73D5" w:rsidP="0089080F">
      <w:pPr>
        <w:ind w:firstLine="720"/>
        <w:contextualSpacing/>
        <w:rPr>
          <w:szCs w:val="26"/>
        </w:rPr>
      </w:pPr>
      <w:bookmarkStart w:id="8" w:name="_Hlk12009632"/>
      <w:r w:rsidRPr="00046A4D">
        <w:rPr>
          <w:szCs w:val="26"/>
        </w:rPr>
        <w:t>“</w:t>
      </w:r>
      <w:r>
        <w:rPr>
          <w:szCs w:val="26"/>
        </w:rPr>
        <w:t> </w:t>
      </w:r>
      <w:r w:rsidR="00A53E51">
        <w:rPr>
          <w:szCs w:val="26"/>
        </w:rPr>
        <w:t>‘ “</w:t>
      </w:r>
      <w:r w:rsidRPr="00046A4D">
        <w:rPr>
          <w:szCs w:val="26"/>
        </w:rPr>
        <w:t xml:space="preserve">The first prerequisite to a meritorious claim under the equal protection clause is a showing that the state has adopted a classification that affects two or more </w:t>
      </w:r>
      <w:r w:rsidRPr="00D8419F">
        <w:rPr>
          <w:i/>
          <w:iCs/>
          <w:szCs w:val="26"/>
        </w:rPr>
        <w:t>similarly situated</w:t>
      </w:r>
      <w:r w:rsidRPr="00046A4D">
        <w:rPr>
          <w:szCs w:val="26"/>
        </w:rPr>
        <w:t xml:space="preserve"> groups in an unequal manner.</w:t>
      </w:r>
      <w:r w:rsidR="004A154B">
        <w:rPr>
          <w:szCs w:val="26"/>
        </w:rPr>
        <w:t>”</w:t>
      </w:r>
      <w:bookmarkEnd w:id="8"/>
      <w:r w:rsidRPr="00046A4D">
        <w:rPr>
          <w:szCs w:val="26"/>
        </w:rPr>
        <w:t xml:space="preserve"> </w:t>
      </w:r>
      <w:r w:rsidR="00D13FD5">
        <w:rPr>
          <w:szCs w:val="26"/>
        </w:rPr>
        <w:t xml:space="preserve"> </w:t>
      </w:r>
      <w:r w:rsidRPr="00046A4D">
        <w:rPr>
          <w:szCs w:val="26"/>
        </w:rPr>
        <w:t xml:space="preserve">[Citations.] </w:t>
      </w:r>
      <w:r w:rsidR="00D13FD5">
        <w:rPr>
          <w:szCs w:val="26"/>
        </w:rPr>
        <w:t xml:space="preserve"> </w:t>
      </w:r>
      <w:r w:rsidRPr="00046A4D">
        <w:rPr>
          <w:szCs w:val="26"/>
        </w:rPr>
        <w:t xml:space="preserve">This initial inquiry is not whether persons are similarly situated for all purposes, but </w:t>
      </w:r>
      <w:r w:rsidR="00A53E51">
        <w:rPr>
          <w:szCs w:val="26"/>
        </w:rPr>
        <w:t>“</w:t>
      </w:r>
      <w:r w:rsidRPr="00046A4D">
        <w:rPr>
          <w:szCs w:val="26"/>
        </w:rPr>
        <w:t>whether they are similarly situated for purposes of the law challenged.”</w:t>
      </w:r>
      <w:r w:rsidR="00A53E51">
        <w:rPr>
          <w:szCs w:val="26"/>
        </w:rPr>
        <w:t> ’</w:t>
      </w:r>
      <w:r w:rsidR="00D8419F">
        <w:rPr>
          <w:szCs w:val="26"/>
        </w:rPr>
        <w:t xml:space="preserve">  [Citation.] </w:t>
      </w:r>
      <w:r w:rsidRPr="00046A4D">
        <w:rPr>
          <w:szCs w:val="26"/>
        </w:rPr>
        <w:t xml:space="preserve"> In other words, we ask at the threshold whether two classes that are different in some respects are sufficiently similar with respect to the laws in question to require the government to justify its differential treatment of these classes under those laws.</w:t>
      </w:r>
      <w:r w:rsidR="0089080F">
        <w:rPr>
          <w:szCs w:val="26"/>
        </w:rPr>
        <w:t>”  (</w:t>
      </w:r>
      <w:r w:rsidRPr="0089080F">
        <w:rPr>
          <w:i/>
          <w:iCs/>
          <w:szCs w:val="26"/>
        </w:rPr>
        <w:t>People v. McKee</w:t>
      </w:r>
      <w:r w:rsidRPr="00046A4D">
        <w:rPr>
          <w:szCs w:val="26"/>
        </w:rPr>
        <w:t xml:space="preserve"> (2010) 47 Cal.4th 1172, 1202</w:t>
      </w:r>
      <w:r w:rsidR="0089080F">
        <w:rPr>
          <w:szCs w:val="26"/>
        </w:rPr>
        <w:t>.)</w:t>
      </w:r>
    </w:p>
    <w:p w:rsidR="00C71E10" w:rsidRPr="004A73D5" w:rsidP="002F0419">
      <w:pPr>
        <w:ind w:firstLine="720"/>
        <w:rPr>
          <w:i/>
        </w:rPr>
      </w:pPr>
      <w:r>
        <w:rPr>
          <w:szCs w:val="26"/>
        </w:rPr>
        <w:t>Even assuming</w:t>
      </w:r>
      <w:r w:rsidR="00FE6202">
        <w:rPr>
          <w:szCs w:val="26"/>
        </w:rPr>
        <w:t xml:space="preserve"> that SVPs and MDOs </w:t>
      </w:r>
      <w:r>
        <w:rPr>
          <w:szCs w:val="26"/>
        </w:rPr>
        <w:t>are</w:t>
      </w:r>
      <w:r w:rsidR="00FE6202">
        <w:rPr>
          <w:szCs w:val="26"/>
        </w:rPr>
        <w:t xml:space="preserve"> similarly sit</w:t>
      </w:r>
      <w:r w:rsidR="009C6740">
        <w:rPr>
          <w:szCs w:val="26"/>
        </w:rPr>
        <w:t xml:space="preserve">uated </w:t>
      </w:r>
      <w:r>
        <w:rPr>
          <w:szCs w:val="26"/>
        </w:rPr>
        <w:t xml:space="preserve">for </w:t>
      </w:r>
      <w:r w:rsidR="00C2541D">
        <w:rPr>
          <w:szCs w:val="26"/>
        </w:rPr>
        <w:t xml:space="preserve">present </w:t>
      </w:r>
      <w:r>
        <w:rPr>
          <w:szCs w:val="26"/>
        </w:rPr>
        <w:t xml:space="preserve">purposes, the cases </w:t>
      </w:r>
      <w:r w:rsidR="00853807">
        <w:rPr>
          <w:szCs w:val="26"/>
        </w:rPr>
        <w:t>Foster</w:t>
      </w:r>
      <w:r>
        <w:rPr>
          <w:szCs w:val="26"/>
        </w:rPr>
        <w:t xml:space="preserve"> cites</w:t>
      </w:r>
      <w:r w:rsidR="009C6740">
        <w:rPr>
          <w:szCs w:val="26"/>
        </w:rPr>
        <w:t xml:space="preserve"> </w:t>
      </w:r>
      <w:r>
        <w:rPr>
          <w:szCs w:val="26"/>
        </w:rPr>
        <w:t>do not establish differential treatment of the two classes of civil committees</w:t>
      </w:r>
      <w:r w:rsidRPr="004A73D5" w:rsidR="00B31BDE">
        <w:rPr>
          <w:szCs w:val="26"/>
        </w:rPr>
        <w:t xml:space="preserve">.  </w:t>
      </w:r>
      <w:r w:rsidRPr="004A73D5" w:rsidR="00590B66">
        <w:rPr>
          <w:szCs w:val="26"/>
        </w:rPr>
        <w:t xml:space="preserve">In </w:t>
      </w:r>
      <w:r w:rsidRPr="004A73D5">
        <w:rPr>
          <w:i/>
          <w:szCs w:val="26"/>
        </w:rPr>
        <w:t>Smith</w:t>
      </w:r>
      <w:r w:rsidRPr="004A73D5" w:rsidR="00590B66">
        <w:rPr>
          <w:szCs w:val="26"/>
        </w:rPr>
        <w:t xml:space="preserve">, the </w:t>
      </w:r>
      <w:r w:rsidRPr="004A73D5" w:rsidR="0009577F">
        <w:rPr>
          <w:szCs w:val="26"/>
        </w:rPr>
        <w:t xml:space="preserve">reversal of the defendant’s felony conviction occurred while the SVP petition was “pending”; the defendant challenged his eligibility for SVP commitment </w:t>
      </w:r>
      <w:r w:rsidRPr="004A73D5">
        <w:rPr>
          <w:szCs w:val="26"/>
        </w:rPr>
        <w:t>“</w:t>
      </w:r>
      <w:r w:rsidRPr="004A73D5">
        <w:rPr>
          <w:color w:val="000000"/>
          <w:szCs w:val="26"/>
          <w:shd w:val="clear" w:color="auto" w:fill="FFFFFF"/>
        </w:rPr>
        <w:t xml:space="preserve">[a]fter his conviction was reversed, and before the SVP commitment proceedings progressed any </w:t>
      </w:r>
      <w:r w:rsidRPr="004A73D5" w:rsidR="0009577F">
        <w:rPr>
          <w:color w:val="000000"/>
          <w:szCs w:val="26"/>
          <w:shd w:val="clear" w:color="auto" w:fill="FFFFFF"/>
        </w:rPr>
        <w:t>further.</w:t>
      </w:r>
      <w:r w:rsidRPr="004A73D5">
        <w:rPr>
          <w:color w:val="000000"/>
          <w:szCs w:val="26"/>
          <w:shd w:val="clear" w:color="auto" w:fill="FFFFFF"/>
        </w:rPr>
        <w:t xml:space="preserve">” </w:t>
      </w:r>
      <w:r w:rsidRPr="004A73D5" w:rsidR="0009577F">
        <w:rPr>
          <w:color w:val="000000"/>
          <w:szCs w:val="26"/>
          <w:shd w:val="clear" w:color="auto" w:fill="FFFFFF"/>
        </w:rPr>
        <w:t xml:space="preserve"> </w:t>
      </w:r>
      <w:r w:rsidRPr="004A73D5">
        <w:rPr>
          <w:szCs w:val="26"/>
        </w:rPr>
        <w:t>(</w:t>
      </w:r>
      <w:r w:rsidRPr="00A53E51">
        <w:rPr>
          <w:i/>
          <w:color w:val="000000"/>
          <w:szCs w:val="26"/>
          <w:bdr w:val="none" w:sz="0" w:space="0" w:color="auto" w:frame="1"/>
        </w:rPr>
        <w:t>Smith</w:t>
      </w:r>
      <w:r w:rsidRPr="00A53E51">
        <w:rPr>
          <w:color w:val="000000"/>
          <w:szCs w:val="26"/>
        </w:rPr>
        <w:t xml:space="preserve">, </w:t>
      </w:r>
      <w:r w:rsidRPr="00A53E51">
        <w:rPr>
          <w:i/>
          <w:color w:val="000000"/>
          <w:szCs w:val="26"/>
        </w:rPr>
        <w:t>supra</w:t>
      </w:r>
      <w:r w:rsidRPr="00A53E51">
        <w:rPr>
          <w:color w:val="000000"/>
          <w:szCs w:val="26"/>
        </w:rPr>
        <w:t>, 42 Cal.4th at p. 1256</w:t>
      </w:r>
      <w:r w:rsidRPr="004A73D5">
        <w:rPr>
          <w:color w:val="000000"/>
          <w:szCs w:val="26"/>
        </w:rPr>
        <w:t xml:space="preserve">.)  </w:t>
      </w:r>
      <w:r w:rsidRPr="004A73D5" w:rsidR="0009577F">
        <w:rPr>
          <w:color w:val="000000"/>
          <w:szCs w:val="26"/>
        </w:rPr>
        <w:t xml:space="preserve">It was in that context that we found the defendant </w:t>
      </w:r>
      <w:r w:rsidRPr="004A73D5" w:rsidR="0009577F">
        <w:rPr>
          <w:szCs w:val="26"/>
        </w:rPr>
        <w:t xml:space="preserve">ineligible for commitment due to the absence of a qualifying conviction.  </w:t>
      </w:r>
      <w:r w:rsidRPr="004A73D5">
        <w:rPr>
          <w:color w:val="000000"/>
          <w:szCs w:val="26"/>
        </w:rPr>
        <w:t xml:space="preserve">Here, by contrast, the initial commitment determination occurred years ago, and there is no dispute that Foster had been validly convicted of a qualifying felony at the time </w:t>
      </w:r>
      <w:r w:rsidRPr="004A73D5" w:rsidR="0009577F">
        <w:rPr>
          <w:color w:val="000000"/>
          <w:szCs w:val="26"/>
        </w:rPr>
        <w:t xml:space="preserve">that </w:t>
      </w:r>
      <w:r w:rsidRPr="004A73D5">
        <w:rPr>
          <w:color w:val="000000"/>
          <w:szCs w:val="26"/>
        </w:rPr>
        <w:t>determination was made.</w:t>
      </w:r>
      <w:r w:rsidRPr="004A73D5" w:rsidR="00590B66">
        <w:rPr>
          <w:color w:val="000000"/>
          <w:szCs w:val="26"/>
        </w:rPr>
        <w:t xml:space="preserve">  </w:t>
      </w:r>
    </w:p>
    <w:p w:rsidR="00CB3D7D" w:rsidRPr="00731625" w:rsidP="002E7D6B">
      <w:pPr>
        <w:ind w:firstLine="720"/>
      </w:pPr>
      <w:r>
        <w:rPr>
          <w:szCs w:val="26"/>
        </w:rPr>
        <w:t>In</w:t>
      </w:r>
      <w:r w:rsidRPr="004A73D5" w:rsidR="00C71E10">
        <w:rPr>
          <w:szCs w:val="26"/>
        </w:rPr>
        <w:t xml:space="preserve"> </w:t>
      </w:r>
      <w:r w:rsidRPr="004A73D5" w:rsidR="00C71E10">
        <w:rPr>
          <w:i/>
          <w:szCs w:val="26"/>
        </w:rPr>
        <w:t>Bevill</w:t>
      </w:r>
      <w:r>
        <w:rPr>
          <w:szCs w:val="26"/>
        </w:rPr>
        <w:t xml:space="preserve">, we held </w:t>
      </w:r>
      <w:r w:rsidRPr="004A73D5" w:rsidR="00C71E10">
        <w:rPr>
          <w:szCs w:val="26"/>
        </w:rPr>
        <w:t xml:space="preserve">that because of the </w:t>
      </w:r>
      <w:r w:rsidR="00070212">
        <w:rPr>
          <w:szCs w:val="26"/>
        </w:rPr>
        <w:t>invalidity</w:t>
      </w:r>
      <w:r w:rsidRPr="004A73D5" w:rsidR="00070212">
        <w:rPr>
          <w:szCs w:val="26"/>
        </w:rPr>
        <w:t xml:space="preserve"> </w:t>
      </w:r>
      <w:r w:rsidRPr="004A73D5" w:rsidR="00C71E10">
        <w:rPr>
          <w:szCs w:val="26"/>
        </w:rPr>
        <w:t xml:space="preserve">of the petitioner’s conviction, his </w:t>
      </w:r>
      <w:r w:rsidR="00B3075A">
        <w:rPr>
          <w:szCs w:val="26"/>
        </w:rPr>
        <w:t xml:space="preserve">continued </w:t>
      </w:r>
      <w:r w:rsidRPr="004A73D5" w:rsidR="00C71E10">
        <w:rPr>
          <w:szCs w:val="26"/>
        </w:rPr>
        <w:t xml:space="preserve">commitment as an SVP was </w:t>
      </w:r>
      <w:r w:rsidR="00070212">
        <w:rPr>
          <w:szCs w:val="26"/>
        </w:rPr>
        <w:t xml:space="preserve">also </w:t>
      </w:r>
      <w:r w:rsidRPr="004A73D5" w:rsidR="00C71E10">
        <w:rPr>
          <w:szCs w:val="26"/>
        </w:rPr>
        <w:t>invalid.  (</w:t>
      </w:r>
      <w:r w:rsidRPr="004A73D5" w:rsidR="00C71E10">
        <w:rPr>
          <w:i/>
          <w:szCs w:val="26"/>
        </w:rPr>
        <w:t>Bevill</w:t>
      </w:r>
      <w:r w:rsidRPr="004A73D5" w:rsidR="00C71E10">
        <w:rPr>
          <w:szCs w:val="26"/>
        </w:rPr>
        <w:t xml:space="preserve">, </w:t>
      </w:r>
      <w:r w:rsidRPr="004A73D5" w:rsidR="00C71E10">
        <w:rPr>
          <w:i/>
          <w:szCs w:val="26"/>
        </w:rPr>
        <w:t>supra</w:t>
      </w:r>
      <w:r w:rsidRPr="004A73D5" w:rsidR="00C71E10">
        <w:rPr>
          <w:szCs w:val="26"/>
        </w:rPr>
        <w:t xml:space="preserve">, 68 Cal.2d at p. 862 [“[A] valid commitment must be based on a valid </w:t>
      </w:r>
      <w:r w:rsidR="00BD4D65">
        <w:rPr>
          <w:szCs w:val="26"/>
        </w:rPr>
        <w:t>conviction</w:t>
      </w:r>
      <w:r w:rsidRPr="004A73D5" w:rsidR="00C71E10">
        <w:rPr>
          <w:szCs w:val="26"/>
        </w:rPr>
        <w:t>.”]</w:t>
      </w:r>
      <w:r w:rsidRPr="004A73D5" w:rsidR="00773FD9">
        <w:rPr>
          <w:szCs w:val="26"/>
        </w:rPr>
        <w:t>.</w:t>
      </w:r>
      <w:r w:rsidRPr="004A73D5" w:rsidR="00C71E10">
        <w:rPr>
          <w:szCs w:val="26"/>
        </w:rPr>
        <w:t xml:space="preserve">)  </w:t>
      </w:r>
      <w:r>
        <w:rPr>
          <w:szCs w:val="26"/>
        </w:rPr>
        <w:t xml:space="preserve">But that holding flowed </w:t>
      </w:r>
      <w:r w:rsidR="00853807">
        <w:rPr>
          <w:szCs w:val="26"/>
        </w:rPr>
        <w:t>f</w:t>
      </w:r>
      <w:r w:rsidR="00C2541D">
        <w:rPr>
          <w:szCs w:val="26"/>
        </w:rPr>
        <w:t>rom</w:t>
      </w:r>
      <w:r>
        <w:rPr>
          <w:szCs w:val="26"/>
        </w:rPr>
        <w:t xml:space="preserve"> the </w:t>
      </w:r>
      <w:r w:rsidR="00760BBC">
        <w:rPr>
          <w:szCs w:val="26"/>
        </w:rPr>
        <w:t xml:space="preserve">structure of the </w:t>
      </w:r>
      <w:r w:rsidR="005E7228">
        <w:rPr>
          <w:szCs w:val="26"/>
        </w:rPr>
        <w:t xml:space="preserve">statute governing commitment as a “mentally disordered sex offender,” </w:t>
      </w:r>
      <w:r w:rsidR="00DF15C7">
        <w:rPr>
          <w:szCs w:val="26"/>
        </w:rPr>
        <w:t xml:space="preserve">under which a criminal </w:t>
      </w:r>
      <w:r w:rsidR="00316F9F">
        <w:rPr>
          <w:szCs w:val="26"/>
        </w:rPr>
        <w:t>proceeding</w:t>
      </w:r>
      <w:r w:rsidR="00DF15C7">
        <w:rPr>
          <w:szCs w:val="26"/>
        </w:rPr>
        <w:t xml:space="preserve"> was “</w:t>
      </w:r>
      <w:r w:rsidR="004F6CDB">
        <w:rPr>
          <w:szCs w:val="26"/>
        </w:rPr>
        <w:t>suspended</w:t>
      </w:r>
      <w:r w:rsidR="00DF15C7">
        <w:rPr>
          <w:szCs w:val="26"/>
        </w:rPr>
        <w:t>” for the duration of a civil commitment.  (</w:t>
      </w:r>
      <w:r w:rsidR="0059477F">
        <w:rPr>
          <w:i/>
          <w:iCs/>
          <w:szCs w:val="26"/>
        </w:rPr>
        <w:t>Id.</w:t>
      </w:r>
      <w:r w:rsidR="0059477F">
        <w:rPr>
          <w:szCs w:val="26"/>
        </w:rPr>
        <w:t xml:space="preserve"> at p. </w:t>
      </w:r>
      <w:r w:rsidR="00A53E51">
        <w:rPr>
          <w:szCs w:val="26"/>
        </w:rPr>
        <w:t xml:space="preserve">858; see </w:t>
      </w:r>
      <w:r w:rsidR="00350F9B">
        <w:t xml:space="preserve">Welf. &amp; Inst. Code, former § 6302.)  </w:t>
      </w:r>
      <w:r w:rsidR="00A53E51">
        <w:t xml:space="preserve">We held that under </w:t>
      </w:r>
      <w:r w:rsidR="00B81AD0">
        <w:t xml:space="preserve">that statute, “[w]hen the proceedings relating to commitment as a mentally disordered sex offender have run their course, the criminal case may be resumed and sentence imposed.” </w:t>
      </w:r>
      <w:r w:rsidR="00853807">
        <w:t xml:space="preserve"> </w:t>
      </w:r>
      <w:r w:rsidR="00B81AD0">
        <w:t>(</w:t>
      </w:r>
      <w:r w:rsidR="00B81AD0">
        <w:rPr>
          <w:i/>
          <w:iCs/>
        </w:rPr>
        <w:t>Id.</w:t>
      </w:r>
      <w:r w:rsidR="00634FDE">
        <w:t xml:space="preserve"> at p.</w:t>
      </w:r>
      <w:r w:rsidR="00C2541D">
        <w:t> </w:t>
      </w:r>
      <w:r w:rsidR="00B81AD0">
        <w:t>858</w:t>
      </w:r>
      <w:r w:rsidR="00634FDE">
        <w:t>.)</w:t>
      </w:r>
      <w:r w:rsidR="004E0D28">
        <w:t xml:space="preserve">  Because </w:t>
      </w:r>
      <w:r w:rsidR="002E7D6B">
        <w:t>“</w:t>
      </w:r>
      <w:r w:rsidR="00A53E51">
        <w:t>[</w:t>
      </w:r>
      <w:r w:rsidR="002E7D6B">
        <w:t>t</w:t>
      </w:r>
      <w:r w:rsidR="00A53E51">
        <w:t>]</w:t>
      </w:r>
      <w:r w:rsidR="004E0D28">
        <w:t>he structure of the statute itself manifest</w:t>
      </w:r>
      <w:r w:rsidR="002E7D6B">
        <w:t>[ed]</w:t>
      </w:r>
      <w:r w:rsidR="004E0D28">
        <w:t xml:space="preserve"> the integral and continuing relation foreseen to exist between commitment and conviction</w:t>
      </w:r>
      <w:r w:rsidR="002E7D6B">
        <w:t xml:space="preserve">” </w:t>
      </w:r>
      <w:r w:rsidR="00A53E51">
        <w:t>(</w:t>
      </w:r>
      <w:r w:rsidR="00A53E51">
        <w:rPr>
          <w:i/>
          <w:iCs/>
        </w:rPr>
        <w:t>id.</w:t>
      </w:r>
      <w:r w:rsidR="00A53E51">
        <w:t xml:space="preserve"> at p. 861), </w:t>
      </w:r>
      <w:r w:rsidR="002E7D6B">
        <w:t xml:space="preserve">we held that </w:t>
      </w:r>
      <w:r w:rsidR="00967A73">
        <w:t xml:space="preserve">the invalidation of the </w:t>
      </w:r>
      <w:r w:rsidR="00853807">
        <w:t xml:space="preserve">petitioner’s </w:t>
      </w:r>
      <w:r w:rsidR="00967A73">
        <w:t>conviction</w:t>
      </w:r>
      <w:r w:rsidR="002E7D6B">
        <w:t xml:space="preserve"> </w:t>
      </w:r>
      <w:r w:rsidR="00EF6F52">
        <w:t xml:space="preserve">eliminates a court’s </w:t>
      </w:r>
      <w:r w:rsidRPr="00967A73" w:rsidR="00967A73">
        <w:t>“jurisdiction to continue the criminal proceedings</w:t>
      </w:r>
      <w:r w:rsidR="006E01F9">
        <w:t xml:space="preserve"> </w:t>
      </w:r>
      <w:r w:rsidR="00EF6F52">
        <w:t>.</w:t>
      </w:r>
      <w:r w:rsidR="00C2541D">
        <w:t> </w:t>
      </w:r>
      <w:r w:rsidR="00EF6F52">
        <w:t>.</w:t>
      </w:r>
      <w:r w:rsidR="00C2541D">
        <w:t> </w:t>
      </w:r>
      <w:r w:rsidR="00EF6F52">
        <w:t>.</w:t>
      </w:r>
      <w:r w:rsidR="00C2541D">
        <w:t> </w:t>
      </w:r>
      <w:r w:rsidRPr="00967A73" w:rsidR="00967A73">
        <w:t xml:space="preserve">, and the entire statutory edifice would become a shambles of meaningless alternatives” </w:t>
      </w:r>
      <w:r w:rsidR="006E01F9">
        <w:t xml:space="preserve">if </w:t>
      </w:r>
      <w:r w:rsidR="00731625">
        <w:t>commitment proceedings were allowed to continue</w:t>
      </w:r>
      <w:r w:rsidRPr="00967A73" w:rsidR="00967A73">
        <w:t xml:space="preserve"> (</w:t>
      </w:r>
      <w:r w:rsidR="00A53E51">
        <w:rPr>
          <w:i/>
        </w:rPr>
        <w:t>i</w:t>
      </w:r>
      <w:r w:rsidRPr="002F0419" w:rsidR="00967A73">
        <w:rPr>
          <w:i/>
        </w:rPr>
        <w:t>d.</w:t>
      </w:r>
      <w:r w:rsidRPr="00967A73" w:rsidR="00967A73">
        <w:t xml:space="preserve"> at p</w:t>
      </w:r>
      <w:r w:rsidR="00C2541D">
        <w:t>p</w:t>
      </w:r>
      <w:r w:rsidRPr="00967A73" w:rsidR="00967A73">
        <w:t>.</w:t>
      </w:r>
      <w:r w:rsidR="00C2541D">
        <w:t> </w:t>
      </w:r>
      <w:r w:rsidR="00EF6F52">
        <w:t>861–</w:t>
      </w:r>
      <w:r w:rsidRPr="00967A73" w:rsidR="00967A73">
        <w:t>862)</w:t>
      </w:r>
      <w:r w:rsidR="00A53E51">
        <w:t>.</w:t>
      </w:r>
      <w:r w:rsidR="00731625">
        <w:t xml:space="preserve">  </w:t>
      </w:r>
      <w:r w:rsidR="00C2541D">
        <w:t>The distinctive</w:t>
      </w:r>
      <w:r w:rsidR="00984446">
        <w:t xml:space="preserve"> structure of the commitment statute at issue </w:t>
      </w:r>
      <w:r w:rsidR="00EF6F52">
        <w:t>in</w:t>
      </w:r>
      <w:r w:rsidR="00984446">
        <w:t xml:space="preserve"> </w:t>
      </w:r>
      <w:r w:rsidR="00A339D3">
        <w:rPr>
          <w:i/>
          <w:iCs/>
        </w:rPr>
        <w:t>Bevill</w:t>
      </w:r>
      <w:r w:rsidR="00C2541D">
        <w:t xml:space="preserve"> has no parallel here</w:t>
      </w:r>
      <w:r w:rsidR="003E7361">
        <w:t>,</w:t>
      </w:r>
      <w:r w:rsidR="00EF6F52">
        <w:t xml:space="preserve"> </w:t>
      </w:r>
      <w:r w:rsidR="00C2541D">
        <w:t xml:space="preserve">and </w:t>
      </w:r>
      <w:r w:rsidR="00EF6F52">
        <w:t>that case</w:t>
      </w:r>
      <w:r w:rsidR="00A339D3">
        <w:t xml:space="preserve"> </w:t>
      </w:r>
      <w:r w:rsidR="00C2541D">
        <w:t xml:space="preserve">did not establish a rule </w:t>
      </w:r>
      <w:r w:rsidR="00A339D3">
        <w:t xml:space="preserve">applicable </w:t>
      </w:r>
      <w:r w:rsidR="00F609AB">
        <w:t>in</w:t>
      </w:r>
      <w:r w:rsidR="00411ACF">
        <w:t xml:space="preserve"> Foster’s </w:t>
      </w:r>
      <w:r w:rsidR="00AC5C9E">
        <w:t>case</w:t>
      </w:r>
      <w:r w:rsidR="00411ACF">
        <w:t>.</w:t>
      </w:r>
      <w:r w:rsidR="004C7B95">
        <w:t xml:space="preserve"> </w:t>
      </w:r>
      <w:r w:rsidRPr="004A73D5" w:rsidR="00773FD9">
        <w:rPr>
          <w:szCs w:val="26"/>
        </w:rPr>
        <w:t xml:space="preserve"> </w:t>
      </w:r>
    </w:p>
    <w:p w:rsidR="00350F9B" w:rsidRPr="004A73D5" w:rsidP="002F0419">
      <w:pPr>
        <w:ind w:firstLine="720"/>
        <w:rPr>
          <w:szCs w:val="26"/>
        </w:rPr>
      </w:pPr>
      <w:r w:rsidRPr="004A73D5">
        <w:rPr>
          <w:i/>
          <w:szCs w:val="26"/>
        </w:rPr>
        <w:t xml:space="preserve">Franklin </w:t>
      </w:r>
      <w:r w:rsidRPr="004A73D5">
        <w:rPr>
          <w:szCs w:val="26"/>
        </w:rPr>
        <w:t>comes closer to Foster’s circumstances insofar as it involved the reduction of a felony conviction to a misdemeanor instead of an outright reversal.  (</w:t>
      </w:r>
      <w:r w:rsidRPr="004A73D5">
        <w:rPr>
          <w:i/>
          <w:szCs w:val="26"/>
        </w:rPr>
        <w:t>Franklin</w:t>
      </w:r>
      <w:r w:rsidRPr="004A73D5">
        <w:rPr>
          <w:szCs w:val="26"/>
        </w:rPr>
        <w:t xml:space="preserve">, </w:t>
      </w:r>
      <w:r w:rsidRPr="004A73D5">
        <w:rPr>
          <w:i/>
          <w:szCs w:val="26"/>
        </w:rPr>
        <w:t>supra</w:t>
      </w:r>
      <w:r w:rsidRPr="004A73D5">
        <w:rPr>
          <w:szCs w:val="26"/>
        </w:rPr>
        <w:t xml:space="preserve">, 169 Cal.App.4th at p. 393.)  However, the reduction of the felony in </w:t>
      </w:r>
      <w:r w:rsidRPr="004A73D5">
        <w:rPr>
          <w:i/>
          <w:szCs w:val="26"/>
        </w:rPr>
        <w:t>Franklin</w:t>
      </w:r>
      <w:r w:rsidRPr="004A73D5">
        <w:t xml:space="preserve"> became</w:t>
      </w:r>
      <w:r w:rsidRPr="004A73D5">
        <w:rPr>
          <w:szCs w:val="26"/>
        </w:rPr>
        <w:t xml:space="preserve"> final before the district attorney filed an SVP petition against the petitioner; in other words, there was no valid qualifying felony to support the SVP proceeding from the outset.  (</w:t>
      </w:r>
      <w:r w:rsidRPr="004A73D5">
        <w:rPr>
          <w:i/>
          <w:szCs w:val="26"/>
        </w:rPr>
        <w:t>Ibid.</w:t>
      </w:r>
      <w:r w:rsidRPr="004A73D5">
        <w:rPr>
          <w:szCs w:val="26"/>
        </w:rPr>
        <w:t>)</w:t>
      </w:r>
    </w:p>
    <w:p w:rsidR="00923F60" w:rsidRPr="004A73D5" w:rsidP="002F0419">
      <w:pPr>
        <w:ind w:firstLine="720"/>
        <w:rPr>
          <w:szCs w:val="26"/>
        </w:rPr>
      </w:pPr>
      <w:r w:rsidRPr="004A73D5">
        <w:rPr>
          <w:szCs w:val="26"/>
        </w:rPr>
        <w:t xml:space="preserve">In sum, </w:t>
      </w:r>
      <w:r w:rsidRPr="004A73D5" w:rsidR="00CB3D7D">
        <w:rPr>
          <w:szCs w:val="26"/>
        </w:rPr>
        <w:t xml:space="preserve">we reject </w:t>
      </w:r>
      <w:r w:rsidRPr="004A73D5">
        <w:rPr>
          <w:szCs w:val="26"/>
        </w:rPr>
        <w:t>Foster</w:t>
      </w:r>
      <w:r w:rsidRPr="004A73D5" w:rsidR="00CB3D7D">
        <w:rPr>
          <w:szCs w:val="26"/>
        </w:rPr>
        <w:t xml:space="preserve">’s equal protection claim because </w:t>
      </w:r>
      <w:r w:rsidR="00D7522D">
        <w:rPr>
          <w:szCs w:val="26"/>
        </w:rPr>
        <w:t xml:space="preserve">we find no </w:t>
      </w:r>
      <w:r w:rsidR="00DA391C">
        <w:rPr>
          <w:szCs w:val="26"/>
        </w:rPr>
        <w:t>differential treatment in the commitment regimes governing SVPs and MDOs</w:t>
      </w:r>
      <w:r w:rsidR="00D7522D">
        <w:rPr>
          <w:szCs w:val="26"/>
        </w:rPr>
        <w:t xml:space="preserve"> in light of </w:t>
      </w:r>
      <w:r w:rsidR="00D7522D">
        <w:rPr>
          <w:i/>
          <w:szCs w:val="26"/>
        </w:rPr>
        <w:t>Smith</w:t>
      </w:r>
      <w:r w:rsidR="00D7522D">
        <w:rPr>
          <w:szCs w:val="26"/>
        </w:rPr>
        <w:t xml:space="preserve">, </w:t>
      </w:r>
      <w:r w:rsidR="00D7522D">
        <w:rPr>
          <w:i/>
          <w:szCs w:val="26"/>
        </w:rPr>
        <w:t>Bevill</w:t>
      </w:r>
      <w:r w:rsidR="00D7522D">
        <w:rPr>
          <w:szCs w:val="26"/>
        </w:rPr>
        <w:t xml:space="preserve">, or </w:t>
      </w:r>
      <w:r w:rsidR="00D7522D">
        <w:rPr>
          <w:i/>
          <w:szCs w:val="26"/>
        </w:rPr>
        <w:t>Franklin</w:t>
      </w:r>
      <w:r w:rsidRPr="004A73D5" w:rsidR="00CB3D7D">
        <w:rPr>
          <w:szCs w:val="26"/>
        </w:rPr>
        <w:t>.</w:t>
      </w:r>
      <w:r w:rsidRPr="004A73D5" w:rsidR="0083259F">
        <w:rPr>
          <w:szCs w:val="26"/>
        </w:rPr>
        <w:t xml:space="preserve">  (</w:t>
      </w:r>
      <w:r w:rsidR="00CD01A6">
        <w:rPr>
          <w:szCs w:val="26"/>
        </w:rPr>
        <w:t xml:space="preserve">See </w:t>
      </w:r>
      <w:r w:rsidRPr="004A73D5" w:rsidR="0083259F">
        <w:rPr>
          <w:i/>
          <w:szCs w:val="26"/>
        </w:rPr>
        <w:t>People v. Pipkin</w:t>
      </w:r>
      <w:r w:rsidRPr="004A73D5" w:rsidR="0083259F">
        <w:rPr>
          <w:szCs w:val="26"/>
        </w:rPr>
        <w:t xml:space="preserve"> (2018) 27 Cal.App.5th 1146, 1151 [discussing </w:t>
      </w:r>
      <w:r w:rsidRPr="004A73D5" w:rsidR="0083259F">
        <w:rPr>
          <w:i/>
          <w:szCs w:val="26"/>
        </w:rPr>
        <w:t>Smith</w:t>
      </w:r>
      <w:r w:rsidRPr="004A73D5" w:rsidR="0083259F">
        <w:rPr>
          <w:szCs w:val="26"/>
        </w:rPr>
        <w:t xml:space="preserve"> and </w:t>
      </w:r>
      <w:r w:rsidRPr="004A73D5" w:rsidR="0083259F">
        <w:rPr>
          <w:i/>
          <w:szCs w:val="26"/>
        </w:rPr>
        <w:t>Bevill</w:t>
      </w:r>
      <w:r w:rsidRPr="004A73D5" w:rsidR="0083259F">
        <w:rPr>
          <w:szCs w:val="26"/>
        </w:rPr>
        <w:t xml:space="preserve">, and observing that “the distinguishing factor in . . . these cases is that the initial commitment was found to be legally improper </w:t>
      </w:r>
      <w:r w:rsidRPr="004A73D5" w:rsidR="0083259F">
        <w:rPr>
          <w:i/>
          <w:szCs w:val="26"/>
        </w:rPr>
        <w:t>from the outset</w:t>
      </w:r>
      <w:r w:rsidRPr="004A73D5" w:rsidR="0083259F">
        <w:rPr>
          <w:szCs w:val="26"/>
        </w:rPr>
        <w:t>” and thus “could not be viewed as supplying the requisite foundation for subsequent recommitments”].)</w:t>
      </w:r>
      <w:r w:rsidRPr="004A73D5">
        <w:rPr>
          <w:szCs w:val="26"/>
        </w:rPr>
        <w:t xml:space="preserve">  </w:t>
      </w:r>
      <w:r w:rsidRPr="004A73D5" w:rsidR="00FA4DEA">
        <w:rPr>
          <w:szCs w:val="26"/>
        </w:rPr>
        <w:t xml:space="preserve">In so holding, we express no view on whether a different analysis </w:t>
      </w:r>
      <w:r w:rsidRPr="004A73D5" w:rsidR="0007324A">
        <w:rPr>
          <w:szCs w:val="26"/>
        </w:rPr>
        <w:t xml:space="preserve">or result </w:t>
      </w:r>
      <w:r w:rsidRPr="004A73D5" w:rsidR="00FA4DEA">
        <w:rPr>
          <w:szCs w:val="26"/>
        </w:rPr>
        <w:t>would be required</w:t>
      </w:r>
      <w:r w:rsidRPr="004A73D5" w:rsidR="00900230">
        <w:rPr>
          <w:szCs w:val="26"/>
        </w:rPr>
        <w:t xml:space="preserve"> </w:t>
      </w:r>
      <w:r w:rsidRPr="004A73D5" w:rsidR="00FA4DEA">
        <w:rPr>
          <w:szCs w:val="26"/>
        </w:rPr>
        <w:t>if an MDO’s qualifying offense</w:t>
      </w:r>
      <w:r w:rsidRPr="004A73D5" w:rsidR="0083677C">
        <w:rPr>
          <w:szCs w:val="26"/>
        </w:rPr>
        <w:t xml:space="preserve"> </w:t>
      </w:r>
      <w:r w:rsidRPr="004A73D5" w:rsidR="00F52082">
        <w:rPr>
          <w:szCs w:val="26"/>
        </w:rPr>
        <w:t xml:space="preserve">were </w:t>
      </w:r>
      <w:r w:rsidRPr="004A73D5" w:rsidR="0083677C">
        <w:rPr>
          <w:szCs w:val="26"/>
        </w:rPr>
        <w:t>reversed on appeal</w:t>
      </w:r>
      <w:r w:rsidRPr="004A73D5" w:rsidR="00FA4DEA">
        <w:rPr>
          <w:szCs w:val="26"/>
        </w:rPr>
        <w:t xml:space="preserve"> after </w:t>
      </w:r>
      <w:r w:rsidRPr="004A73D5" w:rsidR="0005272E">
        <w:rPr>
          <w:szCs w:val="26"/>
        </w:rPr>
        <w:t>his</w:t>
      </w:r>
      <w:r w:rsidRPr="004A73D5" w:rsidR="00FA4DEA">
        <w:rPr>
          <w:szCs w:val="26"/>
        </w:rPr>
        <w:t xml:space="preserve"> one-year period of initial commitment had run. </w:t>
      </w:r>
      <w:r w:rsidRPr="004A73D5" w:rsidR="00900230">
        <w:rPr>
          <w:szCs w:val="26"/>
        </w:rPr>
        <w:t xml:space="preserve"> </w:t>
      </w:r>
      <w:r w:rsidRPr="004A73D5" w:rsidR="00F52082">
        <w:rPr>
          <w:szCs w:val="26"/>
        </w:rPr>
        <w:t>W</w:t>
      </w:r>
      <w:r w:rsidRPr="004A73D5" w:rsidR="00FA4DEA">
        <w:rPr>
          <w:szCs w:val="26"/>
        </w:rPr>
        <w:t xml:space="preserve">hether </w:t>
      </w:r>
      <w:r w:rsidRPr="004A73D5" w:rsidR="0007324A">
        <w:rPr>
          <w:szCs w:val="26"/>
        </w:rPr>
        <w:t xml:space="preserve">such an individual could be </w:t>
      </w:r>
      <w:r w:rsidRPr="004A73D5">
        <w:rPr>
          <w:szCs w:val="26"/>
        </w:rPr>
        <w:t xml:space="preserve">validly </w:t>
      </w:r>
      <w:r w:rsidRPr="004A73D5" w:rsidR="00FA4DEA">
        <w:rPr>
          <w:szCs w:val="26"/>
        </w:rPr>
        <w:t>recommi</w:t>
      </w:r>
      <w:r w:rsidRPr="004A73D5" w:rsidR="0007324A">
        <w:rPr>
          <w:szCs w:val="26"/>
        </w:rPr>
        <w:t xml:space="preserve">tted </w:t>
      </w:r>
      <w:r w:rsidRPr="004A73D5">
        <w:rPr>
          <w:szCs w:val="26"/>
        </w:rPr>
        <w:t>under the criteria set forth in section 2966 or section 2972</w:t>
      </w:r>
      <w:r w:rsidRPr="004A73D5" w:rsidR="00F52082">
        <w:rPr>
          <w:szCs w:val="26"/>
        </w:rPr>
        <w:t xml:space="preserve"> is a question not presented by this case</w:t>
      </w:r>
      <w:r w:rsidRPr="004A73D5" w:rsidR="0007324A">
        <w:rPr>
          <w:szCs w:val="26"/>
        </w:rPr>
        <w:t>.</w:t>
      </w:r>
      <w:r w:rsidRPr="004A73D5" w:rsidR="00F52082">
        <w:rPr>
          <w:szCs w:val="26"/>
        </w:rPr>
        <w:t xml:space="preserve">  Nor are we confronted here with a felony redesignation </w:t>
      </w:r>
      <w:r w:rsidRPr="004A73D5" w:rsidR="00302E49">
        <w:rPr>
          <w:szCs w:val="26"/>
        </w:rPr>
        <w:t xml:space="preserve">that </w:t>
      </w:r>
      <w:r w:rsidRPr="004A73D5" w:rsidR="00F52082">
        <w:rPr>
          <w:szCs w:val="26"/>
        </w:rPr>
        <w:t xml:space="preserve">occurred during the pendency of an initial commitment proceeding or during an initial one-year commitment period.  </w:t>
      </w:r>
    </w:p>
    <w:p w:rsidR="001C4539" w:rsidRPr="004A73D5" w:rsidP="002F0419">
      <w:pPr>
        <w:ind w:firstLine="720"/>
        <w:rPr>
          <w:szCs w:val="26"/>
        </w:rPr>
      </w:pPr>
      <w:r w:rsidRPr="004A73D5">
        <w:rPr>
          <w:szCs w:val="26"/>
        </w:rPr>
        <w:t xml:space="preserve">Finally, Foster argues that his continued commitment </w:t>
      </w:r>
      <w:r w:rsidRPr="004A73D5" w:rsidR="00923F60">
        <w:rPr>
          <w:szCs w:val="26"/>
        </w:rPr>
        <w:t xml:space="preserve">despite </w:t>
      </w:r>
      <w:r w:rsidRPr="004A73D5" w:rsidR="00DE6E0F">
        <w:rPr>
          <w:szCs w:val="26"/>
        </w:rPr>
        <w:t xml:space="preserve">the </w:t>
      </w:r>
      <w:r w:rsidRPr="004A73D5" w:rsidR="00923F60">
        <w:rPr>
          <w:szCs w:val="26"/>
        </w:rPr>
        <w:t xml:space="preserve">reduction of </w:t>
      </w:r>
      <w:r w:rsidRPr="004A73D5" w:rsidR="00DE6E0F">
        <w:rPr>
          <w:szCs w:val="26"/>
        </w:rPr>
        <w:t xml:space="preserve">his felony </w:t>
      </w:r>
      <w:r w:rsidRPr="004A73D5" w:rsidR="00923F60">
        <w:rPr>
          <w:szCs w:val="26"/>
        </w:rPr>
        <w:t xml:space="preserve">conviction </w:t>
      </w:r>
      <w:r w:rsidRPr="004A73D5" w:rsidR="00DE6E0F">
        <w:rPr>
          <w:szCs w:val="26"/>
        </w:rPr>
        <w:t xml:space="preserve">to a misdemeanor </w:t>
      </w:r>
      <w:r w:rsidRPr="004A73D5" w:rsidR="00923F60">
        <w:rPr>
          <w:szCs w:val="26"/>
        </w:rPr>
        <w:t xml:space="preserve">violates due process of law insofar as it </w:t>
      </w:r>
      <w:r w:rsidRPr="004A73D5" w:rsidR="00413672">
        <w:rPr>
          <w:szCs w:val="26"/>
        </w:rPr>
        <w:t xml:space="preserve">amounts to a commitment based </w:t>
      </w:r>
      <w:r w:rsidRPr="004A73D5" w:rsidR="00990EC6">
        <w:rPr>
          <w:szCs w:val="26"/>
        </w:rPr>
        <w:t xml:space="preserve">solely </w:t>
      </w:r>
      <w:r w:rsidRPr="004A73D5" w:rsidR="00413672">
        <w:rPr>
          <w:szCs w:val="26"/>
        </w:rPr>
        <w:t>on a diagnosis of mental illness and a prediction of dangerousness</w:t>
      </w:r>
      <w:r w:rsidRPr="004A73D5" w:rsidR="0015575A">
        <w:rPr>
          <w:szCs w:val="26"/>
        </w:rPr>
        <w:t xml:space="preserve">. </w:t>
      </w:r>
      <w:r w:rsidRPr="004A73D5" w:rsidR="00F74D34">
        <w:rPr>
          <w:szCs w:val="26"/>
        </w:rPr>
        <w:t xml:space="preserve"> </w:t>
      </w:r>
      <w:r w:rsidRPr="004A73D5" w:rsidR="00923F60">
        <w:rPr>
          <w:szCs w:val="26"/>
        </w:rPr>
        <w:t>A</w:t>
      </w:r>
      <w:r w:rsidRPr="004A73D5">
        <w:rPr>
          <w:szCs w:val="26"/>
        </w:rPr>
        <w:t>s</w:t>
      </w:r>
      <w:r w:rsidRPr="004A73D5" w:rsidR="00DE6E0F">
        <w:rPr>
          <w:szCs w:val="26"/>
        </w:rPr>
        <w:t xml:space="preserve"> discussed,</w:t>
      </w:r>
      <w:r w:rsidRPr="004A73D5" w:rsidR="00923F60">
        <w:rPr>
          <w:szCs w:val="26"/>
        </w:rPr>
        <w:t xml:space="preserve"> </w:t>
      </w:r>
      <w:r w:rsidRPr="004A73D5" w:rsidR="00DE6E0F">
        <w:rPr>
          <w:szCs w:val="26"/>
        </w:rPr>
        <w:t xml:space="preserve">the </w:t>
      </w:r>
      <w:r w:rsidRPr="004A73D5" w:rsidR="00923F60">
        <w:rPr>
          <w:szCs w:val="26"/>
        </w:rPr>
        <w:t xml:space="preserve">redesignation </w:t>
      </w:r>
      <w:r w:rsidRPr="004A73D5" w:rsidR="00DE6E0F">
        <w:rPr>
          <w:szCs w:val="26"/>
        </w:rPr>
        <w:t xml:space="preserve">of Foster’s felony </w:t>
      </w:r>
      <w:r w:rsidRPr="004A73D5" w:rsidR="00923F60">
        <w:rPr>
          <w:szCs w:val="26"/>
        </w:rPr>
        <w:t xml:space="preserve">conviction </w:t>
      </w:r>
      <w:r w:rsidRPr="004A73D5" w:rsidR="00DE6E0F">
        <w:rPr>
          <w:szCs w:val="26"/>
        </w:rPr>
        <w:t xml:space="preserve">does </w:t>
      </w:r>
      <w:r w:rsidRPr="004A73D5" w:rsidR="00923F60">
        <w:rPr>
          <w:szCs w:val="26"/>
        </w:rPr>
        <w:t>not undermine</w:t>
      </w:r>
      <w:r w:rsidRPr="004A73D5" w:rsidR="001C7FFB">
        <w:rPr>
          <w:szCs w:val="26"/>
        </w:rPr>
        <w:t xml:space="preserve"> the </w:t>
      </w:r>
      <w:r w:rsidRPr="004A73D5" w:rsidR="00990EC6">
        <w:rPr>
          <w:szCs w:val="26"/>
        </w:rPr>
        <w:t xml:space="preserve">continuing </w:t>
      </w:r>
      <w:r w:rsidRPr="004A73D5" w:rsidR="001C7FFB">
        <w:rPr>
          <w:szCs w:val="26"/>
        </w:rPr>
        <w:t xml:space="preserve">validity of his initial commitment.  </w:t>
      </w:r>
      <w:r w:rsidRPr="004A73D5" w:rsidR="00990EC6">
        <w:rPr>
          <w:szCs w:val="26"/>
        </w:rPr>
        <w:t xml:space="preserve">Foster makes no argument that </w:t>
      </w:r>
      <w:r w:rsidRPr="004A73D5" w:rsidR="001C7FFB">
        <w:rPr>
          <w:szCs w:val="26"/>
        </w:rPr>
        <w:t>recommitment</w:t>
      </w:r>
      <w:r w:rsidRPr="004A73D5" w:rsidR="00990EC6">
        <w:rPr>
          <w:szCs w:val="26"/>
        </w:rPr>
        <w:t xml:space="preserve"> based on present findings of mental illness and dangerous</w:t>
      </w:r>
      <w:r w:rsidR="00A53E51">
        <w:rPr>
          <w:szCs w:val="26"/>
        </w:rPr>
        <w:t>ness</w:t>
      </w:r>
      <w:r w:rsidRPr="004A73D5" w:rsidR="00D32E55">
        <w:rPr>
          <w:szCs w:val="26"/>
        </w:rPr>
        <w:t xml:space="preserve">, </w:t>
      </w:r>
      <w:r w:rsidRPr="004A73D5" w:rsidR="00990EC6">
        <w:rPr>
          <w:szCs w:val="26"/>
        </w:rPr>
        <w:t>following upon</w:t>
      </w:r>
      <w:r w:rsidRPr="004A73D5" w:rsidR="001C7FFB">
        <w:rPr>
          <w:szCs w:val="26"/>
        </w:rPr>
        <w:t xml:space="preserve"> </w:t>
      </w:r>
      <w:r w:rsidRPr="004A73D5" w:rsidR="00990EC6">
        <w:rPr>
          <w:szCs w:val="26"/>
        </w:rPr>
        <w:t xml:space="preserve">a </w:t>
      </w:r>
      <w:r w:rsidRPr="004A73D5" w:rsidR="001C7FFB">
        <w:rPr>
          <w:szCs w:val="26"/>
        </w:rPr>
        <w:t>valid initial commitment</w:t>
      </w:r>
      <w:r w:rsidRPr="004A73D5" w:rsidR="00D32E55">
        <w:rPr>
          <w:szCs w:val="26"/>
        </w:rPr>
        <w:t>, violate</w:t>
      </w:r>
      <w:r w:rsidRPr="004A73D5" w:rsidR="00990EC6">
        <w:rPr>
          <w:szCs w:val="26"/>
        </w:rPr>
        <w:t>s</w:t>
      </w:r>
      <w:r w:rsidRPr="004A73D5" w:rsidR="00D32E55">
        <w:rPr>
          <w:szCs w:val="26"/>
        </w:rPr>
        <w:t xml:space="preserve"> due process</w:t>
      </w:r>
      <w:r w:rsidRPr="004A73D5" w:rsidR="00990EC6">
        <w:rPr>
          <w:szCs w:val="26"/>
        </w:rPr>
        <w:t xml:space="preserve"> of law.</w:t>
      </w:r>
    </w:p>
    <w:p w:rsidR="00990EC6" w:rsidRPr="004A73D5" w:rsidP="002F0419">
      <w:pPr>
        <w:jc w:val="center"/>
        <w:rPr>
          <w:b/>
          <w:szCs w:val="26"/>
        </w:rPr>
      </w:pPr>
      <w:r w:rsidRPr="004A73D5">
        <w:rPr>
          <w:b/>
          <w:szCs w:val="26"/>
        </w:rPr>
        <w:t>CONCLUSION</w:t>
      </w:r>
    </w:p>
    <w:p w:rsidR="000A282D" w:rsidP="00853807">
      <w:pPr>
        <w:ind w:firstLine="720"/>
      </w:pPr>
      <w:r>
        <w:t>We</w:t>
      </w:r>
      <w:r w:rsidRPr="004A73D5" w:rsidR="001D4856">
        <w:t xml:space="preserve"> affirm the judgment of the Court of Appeal.</w:t>
      </w:r>
    </w:p>
    <w:p w:rsidR="00853807" w:rsidRPr="004A73D5" w:rsidP="00853807">
      <w:pPr>
        <w:ind w:firstLine="720"/>
      </w:pPr>
    </w:p>
    <w:p w:rsidR="00C13FCF" w:rsidP="00C13FCF">
      <w:pPr>
        <w:spacing w:line="240" w:lineRule="auto"/>
        <w:ind w:left="4320" w:firstLine="720"/>
        <w:rPr>
          <w:b/>
        </w:rPr>
      </w:pPr>
      <w:r w:rsidRPr="00E9547D">
        <w:rPr>
          <w:b/>
        </w:rPr>
        <w:t>LIU, J.</w:t>
      </w:r>
    </w:p>
    <w:p w:rsidR="00C13FCF" w:rsidP="00C13FCF">
      <w:pPr>
        <w:spacing w:line="240" w:lineRule="auto"/>
        <w:ind w:left="4320" w:firstLine="720"/>
        <w:rPr>
          <w:b/>
        </w:rPr>
      </w:pPr>
    </w:p>
    <w:p w:rsidR="00C13FCF" w:rsidP="00C13FCF">
      <w:pPr>
        <w:spacing w:line="240" w:lineRule="auto"/>
        <w:rPr>
          <w:b/>
        </w:rPr>
      </w:pPr>
      <w:r>
        <w:rPr>
          <w:b/>
        </w:rPr>
        <w:t>We Concur:</w:t>
      </w:r>
    </w:p>
    <w:p w:rsidR="00C13FCF" w:rsidRPr="00146FD3" w:rsidP="00C13FCF">
      <w:pPr>
        <w:spacing w:after="0" w:line="240" w:lineRule="auto"/>
        <w:rPr>
          <w:rFonts w:ascii="Calibri" w:hAnsi="Calibri"/>
          <w:b/>
          <w:sz w:val="22"/>
          <w:lang w:val="it-IT"/>
        </w:rPr>
      </w:pPr>
      <w:r w:rsidRPr="00146FD3">
        <w:rPr>
          <w:b/>
          <w:lang w:val="it-IT"/>
        </w:rPr>
        <w:t>CANTIL-SAKAUYE, C.J.</w:t>
      </w:r>
    </w:p>
    <w:p w:rsidR="00C13FCF" w:rsidRPr="00146FD3" w:rsidP="00C13FCF">
      <w:pPr>
        <w:spacing w:after="0" w:line="240" w:lineRule="auto"/>
        <w:rPr>
          <w:b/>
          <w:lang w:val="it-IT"/>
        </w:rPr>
      </w:pPr>
      <w:r w:rsidRPr="00146FD3">
        <w:rPr>
          <w:b/>
          <w:lang w:val="it-IT"/>
        </w:rPr>
        <w:t>CHIN, J.</w:t>
      </w:r>
    </w:p>
    <w:p w:rsidR="00C13FCF" w:rsidRPr="00146FD3" w:rsidP="00C13FCF">
      <w:pPr>
        <w:spacing w:after="0" w:line="240" w:lineRule="auto"/>
        <w:rPr>
          <w:b/>
          <w:lang w:val="it-IT"/>
        </w:rPr>
      </w:pPr>
      <w:r w:rsidRPr="00146FD3">
        <w:rPr>
          <w:b/>
          <w:lang w:val="it-IT"/>
        </w:rPr>
        <w:t>CORRIGAN, J.</w:t>
      </w:r>
    </w:p>
    <w:p w:rsidR="00C13FCF" w:rsidRPr="00146FD3" w:rsidP="00C13FCF">
      <w:pPr>
        <w:spacing w:after="0" w:line="240" w:lineRule="auto"/>
        <w:rPr>
          <w:b/>
          <w:lang w:val="it-IT"/>
        </w:rPr>
      </w:pPr>
      <w:r w:rsidRPr="00146FD3">
        <w:rPr>
          <w:b/>
          <w:lang w:val="it-IT"/>
        </w:rPr>
        <w:t>CUÉLLAR, J.</w:t>
      </w:r>
    </w:p>
    <w:p w:rsidR="00C13FCF" w:rsidP="00C13FCF">
      <w:pPr>
        <w:spacing w:after="0" w:line="240" w:lineRule="auto"/>
        <w:jc w:val="left"/>
        <w:rPr>
          <w:b/>
          <w:lang w:val="it-IT"/>
        </w:rPr>
      </w:pPr>
      <w:r w:rsidRPr="00146FD3">
        <w:rPr>
          <w:b/>
          <w:lang w:val="it-IT"/>
        </w:rPr>
        <w:t>KRUGER, J.</w:t>
      </w:r>
    </w:p>
    <w:p w:rsidR="00C13FCF" w:rsidP="00C13FCF">
      <w:pPr>
        <w:spacing w:after="0" w:line="240" w:lineRule="auto"/>
        <w:jc w:val="left"/>
        <w:rPr>
          <w:b/>
        </w:rPr>
      </w:pPr>
      <w:r>
        <w:rPr>
          <w:b/>
        </w:rPr>
        <w:t>GROBAN, J.</w:t>
      </w:r>
    </w:p>
    <w:p w:rsidR="009A55EA">
      <w:pPr>
        <w:spacing w:after="0" w:line="240" w:lineRule="auto"/>
        <w:jc w:val="left"/>
        <w:rPr>
          <w:b/>
          <w:bCs/>
        </w:rPr>
        <w:sectPr w:rsidSect="002F0419">
          <w:footerReference w:type="first" r:id="rId10"/>
          <w:pgSz w:w="12240" w:h="15840" w:code="1"/>
          <w:pgMar w:top="1800" w:right="2160" w:bottom="1440" w:left="2160" w:header="720" w:footer="720" w:gutter="0"/>
          <w:pgNumType w:start="1"/>
          <w:cols w:space="720"/>
          <w:titlePg/>
          <w:docGrid w:linePitch="367"/>
        </w:sectPr>
      </w:pPr>
    </w:p>
    <w:p w:rsidR="009A55EA" w:rsidRPr="009A55EA" w:rsidP="009A55EA">
      <w:pPr>
        <w:spacing w:after="0" w:line="240" w:lineRule="auto"/>
        <w:jc w:val="left"/>
        <w:rPr>
          <w:rFonts w:ascii="Times New Roman" w:hAnsi="Times New Roman"/>
          <w:i/>
          <w:sz w:val="20"/>
        </w:rPr>
      </w:pPr>
      <w:r w:rsidRPr="009A55EA">
        <w:rPr>
          <w:rFonts w:ascii="Times New Roman" w:hAnsi="Times New Roman"/>
          <w:i/>
          <w:sz w:val="20"/>
        </w:rPr>
        <w:t>See next page for addresses and telephone numbers for counsel who argued in Supreme Court.</w:t>
      </w:r>
    </w:p>
    <w:p w:rsidR="009A55EA" w:rsidRPr="009A55EA" w:rsidP="009A55EA">
      <w:pPr>
        <w:spacing w:after="0" w:line="240" w:lineRule="auto"/>
        <w:jc w:val="left"/>
        <w:rPr>
          <w:rFonts w:ascii="Times New Roman" w:hAnsi="Times New Roman"/>
          <w:i/>
          <w:sz w:val="20"/>
        </w:rPr>
      </w:pPr>
    </w:p>
    <w:p w:rsidR="009A55EA" w:rsidRPr="009A55EA" w:rsidP="009A55EA">
      <w:pPr>
        <w:spacing w:after="0" w:line="240" w:lineRule="auto"/>
        <w:jc w:val="left"/>
        <w:rPr>
          <w:rFonts w:ascii="Times New Roman" w:hAnsi="Times New Roman"/>
          <w:bCs/>
          <w:i/>
          <w:sz w:val="20"/>
        </w:rPr>
      </w:pPr>
      <w:r w:rsidRPr="009A55EA">
        <w:rPr>
          <w:rFonts w:ascii="Times New Roman" w:hAnsi="Times New Roman"/>
          <w:b/>
          <w:sz w:val="20"/>
        </w:rPr>
        <w:t>Name of Opinion</w:t>
      </w:r>
      <w:r w:rsidRPr="009A55EA">
        <w:rPr>
          <w:rFonts w:ascii="Times New Roman" w:hAnsi="Times New Roman"/>
          <w:sz w:val="20"/>
        </w:rPr>
        <w:t xml:space="preserve"> People v. Foster</w:t>
      </w:r>
    </w:p>
    <w:p w:rsidR="009A55EA" w:rsidRPr="009A55EA" w:rsidP="009A55EA">
      <w:pPr>
        <w:spacing w:after="0" w:line="240" w:lineRule="auto"/>
        <w:jc w:val="left"/>
        <w:rPr>
          <w:rFonts w:ascii="Times New Roman" w:hAnsi="Times New Roman"/>
          <w:b/>
          <w:sz w:val="20"/>
        </w:rPr>
      </w:pPr>
      <w:r w:rsidRPr="009A55EA">
        <w:rPr>
          <w:rFonts w:ascii="Times New Roman" w:hAnsi="Times New Roman"/>
          <w:b/>
          <w:sz w:val="20"/>
        </w:rPr>
        <w:t>__________________________________________________________________________________</w:t>
      </w:r>
    </w:p>
    <w:p w:rsidR="009A55EA" w:rsidRPr="009A55EA" w:rsidP="009A55EA">
      <w:pPr>
        <w:spacing w:after="0" w:line="240" w:lineRule="auto"/>
        <w:jc w:val="left"/>
        <w:rPr>
          <w:rFonts w:ascii="Times New Roman" w:hAnsi="Times New Roman"/>
          <w:b/>
          <w:sz w:val="20"/>
        </w:rPr>
      </w:pPr>
    </w:p>
    <w:p w:rsidR="009A55EA" w:rsidRPr="009A55EA" w:rsidP="009A55EA">
      <w:pPr>
        <w:spacing w:after="0" w:line="240" w:lineRule="auto"/>
        <w:jc w:val="left"/>
        <w:rPr>
          <w:rFonts w:ascii="Times New Roman" w:hAnsi="Times New Roman"/>
          <w:bCs/>
          <w:sz w:val="20"/>
        </w:rPr>
      </w:pPr>
      <w:r w:rsidRPr="009A55EA">
        <w:rPr>
          <w:rFonts w:ascii="Times New Roman" w:hAnsi="Times New Roman"/>
          <w:b/>
          <w:sz w:val="20"/>
        </w:rPr>
        <w:t>Unpublished Opinion</w:t>
      </w:r>
      <w:r w:rsidRPr="009A55EA">
        <w:rPr>
          <w:rFonts w:ascii="Times New Roman" w:hAnsi="Times New Roman"/>
          <w:sz w:val="20"/>
        </w:rPr>
        <w:t xml:space="preserve"> XXX NP opn. filed 2/27/18 – 4th Dist., Div. 1</w:t>
      </w:r>
    </w:p>
    <w:p w:rsidR="009A55EA" w:rsidRPr="009A55EA" w:rsidP="009A55EA">
      <w:pPr>
        <w:spacing w:after="0" w:line="240" w:lineRule="auto"/>
        <w:jc w:val="left"/>
        <w:rPr>
          <w:rFonts w:ascii="Times New Roman" w:hAnsi="Times New Roman"/>
          <w:sz w:val="20"/>
        </w:rPr>
      </w:pPr>
      <w:r w:rsidRPr="009A55EA">
        <w:rPr>
          <w:rFonts w:ascii="Times New Roman" w:hAnsi="Times New Roman"/>
          <w:b/>
          <w:sz w:val="20"/>
        </w:rPr>
        <w:t>Original Appeal</w:t>
      </w:r>
    </w:p>
    <w:p w:rsidR="009A55EA" w:rsidRPr="009A55EA" w:rsidP="009A55EA">
      <w:pPr>
        <w:spacing w:after="0" w:line="240" w:lineRule="auto"/>
        <w:jc w:val="left"/>
        <w:rPr>
          <w:rFonts w:ascii="Times New Roman" w:hAnsi="Times New Roman"/>
          <w:b/>
          <w:sz w:val="20"/>
        </w:rPr>
      </w:pPr>
      <w:r w:rsidRPr="009A55EA">
        <w:rPr>
          <w:rFonts w:ascii="Times New Roman" w:hAnsi="Times New Roman"/>
          <w:b/>
          <w:sz w:val="20"/>
        </w:rPr>
        <w:t>Original Proceeding</w:t>
      </w:r>
    </w:p>
    <w:p w:rsidR="009A55EA" w:rsidRPr="009A55EA" w:rsidP="009A55EA">
      <w:pPr>
        <w:spacing w:after="0" w:line="240" w:lineRule="auto"/>
        <w:jc w:val="left"/>
        <w:rPr>
          <w:rFonts w:ascii="Times New Roman" w:hAnsi="Times New Roman"/>
          <w:sz w:val="20"/>
        </w:rPr>
      </w:pPr>
      <w:r w:rsidRPr="009A55EA">
        <w:rPr>
          <w:rFonts w:ascii="Times New Roman" w:hAnsi="Times New Roman"/>
          <w:b/>
          <w:sz w:val="20"/>
        </w:rPr>
        <w:t>Review Granted</w:t>
      </w:r>
    </w:p>
    <w:p w:rsidR="009A55EA" w:rsidRPr="009A55EA" w:rsidP="009A55EA">
      <w:pPr>
        <w:spacing w:after="0" w:line="240" w:lineRule="auto"/>
        <w:jc w:val="left"/>
        <w:rPr>
          <w:rFonts w:ascii="Times New Roman" w:hAnsi="Times New Roman"/>
          <w:b/>
          <w:sz w:val="20"/>
        </w:rPr>
      </w:pPr>
      <w:r w:rsidRPr="009A55EA">
        <w:rPr>
          <w:rFonts w:ascii="Times New Roman" w:hAnsi="Times New Roman"/>
          <w:b/>
          <w:sz w:val="20"/>
        </w:rPr>
        <w:t>Rehearing Granted</w:t>
      </w:r>
    </w:p>
    <w:p w:rsidR="009A55EA" w:rsidRPr="009A55EA" w:rsidP="009A55EA">
      <w:pPr>
        <w:spacing w:after="0" w:line="240" w:lineRule="auto"/>
        <w:jc w:val="left"/>
        <w:rPr>
          <w:rFonts w:ascii="Times New Roman" w:hAnsi="Times New Roman"/>
          <w:b/>
          <w:sz w:val="20"/>
        </w:rPr>
      </w:pPr>
    </w:p>
    <w:p w:rsidR="009A55EA" w:rsidRPr="009A55EA" w:rsidP="009A55EA">
      <w:pPr>
        <w:spacing w:after="0" w:line="240" w:lineRule="auto"/>
        <w:jc w:val="left"/>
        <w:rPr>
          <w:rFonts w:ascii="Times New Roman" w:hAnsi="Times New Roman"/>
          <w:b/>
          <w:sz w:val="20"/>
        </w:rPr>
      </w:pPr>
      <w:r w:rsidRPr="009A55EA">
        <w:rPr>
          <w:rFonts w:ascii="Times New Roman" w:hAnsi="Times New Roman"/>
          <w:b/>
          <w:sz w:val="20"/>
        </w:rPr>
        <w:t>__________________________________________________________________________________</w:t>
      </w:r>
    </w:p>
    <w:p w:rsidR="009A55EA" w:rsidRPr="009A55EA" w:rsidP="009A55EA">
      <w:pPr>
        <w:spacing w:after="0" w:line="240" w:lineRule="auto"/>
        <w:jc w:val="left"/>
        <w:rPr>
          <w:rFonts w:ascii="Times New Roman" w:hAnsi="Times New Roman"/>
          <w:b/>
          <w:sz w:val="20"/>
        </w:rPr>
      </w:pPr>
    </w:p>
    <w:p w:rsidR="009A55EA" w:rsidRPr="009A55EA" w:rsidP="009A55EA">
      <w:pPr>
        <w:spacing w:after="0" w:line="240" w:lineRule="auto"/>
        <w:jc w:val="left"/>
        <w:rPr>
          <w:rFonts w:ascii="Times New Roman" w:hAnsi="Times New Roman"/>
          <w:bCs/>
          <w:sz w:val="20"/>
        </w:rPr>
      </w:pPr>
      <w:r w:rsidRPr="009A55EA">
        <w:rPr>
          <w:rFonts w:ascii="Times New Roman" w:hAnsi="Times New Roman"/>
          <w:b/>
          <w:sz w:val="20"/>
        </w:rPr>
        <w:t>Opinion No.</w:t>
      </w:r>
      <w:r w:rsidRPr="009A55EA">
        <w:rPr>
          <w:rFonts w:ascii="Times New Roman" w:hAnsi="Times New Roman"/>
          <w:sz w:val="20"/>
        </w:rPr>
        <w:t xml:space="preserve"> S248046</w:t>
      </w:r>
    </w:p>
    <w:p w:rsidR="009A55EA" w:rsidRPr="009A55EA" w:rsidP="009A55EA">
      <w:pPr>
        <w:spacing w:after="0" w:line="240" w:lineRule="auto"/>
        <w:jc w:val="left"/>
        <w:rPr>
          <w:rFonts w:ascii="Times New Roman" w:hAnsi="Times New Roman"/>
          <w:bCs/>
          <w:sz w:val="20"/>
        </w:rPr>
      </w:pPr>
      <w:r w:rsidRPr="009A55EA">
        <w:rPr>
          <w:rFonts w:ascii="Times New Roman" w:hAnsi="Times New Roman"/>
          <w:b/>
          <w:sz w:val="20"/>
        </w:rPr>
        <w:t>Date Filed:</w:t>
      </w:r>
      <w:r w:rsidRPr="009A55EA">
        <w:rPr>
          <w:rFonts w:ascii="Times New Roman" w:hAnsi="Times New Roman"/>
          <w:sz w:val="20"/>
        </w:rPr>
        <w:t xml:space="preserve"> August 22, 2019</w:t>
      </w:r>
    </w:p>
    <w:p w:rsidR="009A55EA" w:rsidRPr="009A55EA" w:rsidP="009A55EA">
      <w:pPr>
        <w:spacing w:after="0" w:line="240" w:lineRule="auto"/>
        <w:jc w:val="left"/>
        <w:rPr>
          <w:rFonts w:ascii="Times New Roman" w:hAnsi="Times New Roman"/>
          <w:b/>
          <w:sz w:val="20"/>
        </w:rPr>
      </w:pPr>
      <w:r w:rsidRPr="009A55EA">
        <w:rPr>
          <w:rFonts w:ascii="Times New Roman" w:hAnsi="Times New Roman"/>
          <w:b/>
          <w:sz w:val="20"/>
        </w:rPr>
        <w:t>__________________________________________________________________________________</w:t>
      </w:r>
    </w:p>
    <w:p w:rsidR="009A55EA" w:rsidRPr="009A55EA" w:rsidP="009A55EA">
      <w:pPr>
        <w:spacing w:after="0" w:line="240" w:lineRule="auto"/>
        <w:jc w:val="left"/>
        <w:rPr>
          <w:rFonts w:ascii="Times New Roman" w:hAnsi="Times New Roman"/>
          <w:b/>
          <w:sz w:val="20"/>
        </w:rPr>
      </w:pPr>
    </w:p>
    <w:p w:rsidR="009A55EA" w:rsidRPr="009A55EA" w:rsidP="009A55EA">
      <w:pPr>
        <w:spacing w:after="0" w:line="240" w:lineRule="auto"/>
        <w:jc w:val="left"/>
        <w:rPr>
          <w:rFonts w:ascii="Times New Roman" w:hAnsi="Times New Roman"/>
          <w:bCs/>
          <w:sz w:val="20"/>
        </w:rPr>
      </w:pPr>
      <w:r w:rsidRPr="009A55EA">
        <w:rPr>
          <w:rFonts w:ascii="Times New Roman" w:hAnsi="Times New Roman"/>
          <w:b/>
          <w:sz w:val="20"/>
        </w:rPr>
        <w:t>Court:</w:t>
      </w:r>
      <w:r w:rsidRPr="009A55EA">
        <w:rPr>
          <w:rFonts w:ascii="Times New Roman" w:hAnsi="Times New Roman"/>
          <w:sz w:val="20"/>
        </w:rPr>
        <w:t xml:space="preserve"> Superior</w:t>
      </w:r>
    </w:p>
    <w:p w:rsidR="009A55EA" w:rsidRPr="009A55EA" w:rsidP="009A55EA">
      <w:pPr>
        <w:spacing w:after="0" w:line="240" w:lineRule="auto"/>
        <w:jc w:val="left"/>
        <w:rPr>
          <w:rFonts w:ascii="Times New Roman" w:hAnsi="Times New Roman"/>
          <w:bCs/>
          <w:sz w:val="20"/>
        </w:rPr>
      </w:pPr>
      <w:r w:rsidRPr="009A55EA">
        <w:rPr>
          <w:rFonts w:ascii="Times New Roman" w:hAnsi="Times New Roman"/>
          <w:b/>
          <w:sz w:val="20"/>
        </w:rPr>
        <w:t>County:</w:t>
      </w:r>
      <w:r w:rsidRPr="009A55EA">
        <w:rPr>
          <w:rFonts w:ascii="Times New Roman" w:hAnsi="Times New Roman"/>
          <w:sz w:val="20"/>
        </w:rPr>
        <w:t xml:space="preserve"> San Diego</w:t>
      </w:r>
    </w:p>
    <w:p w:rsidR="009A55EA" w:rsidRPr="009A55EA" w:rsidP="009A55EA">
      <w:pPr>
        <w:spacing w:after="0" w:line="240" w:lineRule="auto"/>
        <w:ind w:left="720" w:hanging="720"/>
        <w:jc w:val="left"/>
        <w:rPr>
          <w:rFonts w:ascii="Times New Roman" w:hAnsi="Times New Roman"/>
          <w:bCs/>
          <w:sz w:val="20"/>
        </w:rPr>
      </w:pPr>
      <w:r w:rsidRPr="009A55EA">
        <w:rPr>
          <w:rFonts w:ascii="Times New Roman" w:hAnsi="Times New Roman"/>
          <w:b/>
          <w:sz w:val="20"/>
        </w:rPr>
        <w:t>Judge:</w:t>
      </w:r>
      <w:r w:rsidRPr="009A55EA">
        <w:rPr>
          <w:rFonts w:ascii="Times New Roman" w:hAnsi="Times New Roman"/>
          <w:sz w:val="20"/>
        </w:rPr>
        <w:t xml:space="preserve"> David J. Danielsen</w:t>
      </w:r>
    </w:p>
    <w:p w:rsidR="009A55EA" w:rsidRPr="009A55EA" w:rsidP="009A55EA">
      <w:pPr>
        <w:spacing w:after="0" w:line="240" w:lineRule="auto"/>
        <w:jc w:val="left"/>
        <w:rPr>
          <w:rFonts w:ascii="Times New Roman" w:hAnsi="Times New Roman"/>
          <w:b/>
          <w:sz w:val="20"/>
        </w:rPr>
      </w:pPr>
    </w:p>
    <w:p w:rsidR="009A55EA" w:rsidRPr="009A55EA" w:rsidP="009A55EA">
      <w:pPr>
        <w:spacing w:after="0" w:line="240" w:lineRule="auto"/>
        <w:jc w:val="left"/>
        <w:rPr>
          <w:rFonts w:ascii="Times New Roman" w:hAnsi="Times New Roman"/>
          <w:b/>
          <w:sz w:val="20"/>
        </w:rPr>
      </w:pPr>
      <w:r w:rsidRPr="009A55EA">
        <w:rPr>
          <w:rFonts w:ascii="Times New Roman" w:hAnsi="Times New Roman"/>
          <w:b/>
          <w:sz w:val="20"/>
        </w:rPr>
        <w:t>__________________________________________________________________________________</w:t>
      </w:r>
    </w:p>
    <w:p w:rsidR="009A55EA" w:rsidRPr="009A55EA" w:rsidP="009A55EA">
      <w:pPr>
        <w:spacing w:after="0" w:line="240" w:lineRule="auto"/>
        <w:jc w:val="left"/>
        <w:rPr>
          <w:rFonts w:ascii="Times New Roman" w:hAnsi="Times New Roman"/>
          <w:b/>
          <w:sz w:val="20"/>
        </w:rPr>
      </w:pPr>
    </w:p>
    <w:p w:rsidR="009A55EA" w:rsidRPr="009A55EA" w:rsidP="009A55EA">
      <w:pPr>
        <w:spacing w:after="0" w:line="240" w:lineRule="auto"/>
        <w:jc w:val="left"/>
        <w:rPr>
          <w:rFonts w:ascii="Times New Roman" w:hAnsi="Times New Roman"/>
          <w:b/>
          <w:sz w:val="20"/>
        </w:rPr>
      </w:pPr>
      <w:r w:rsidRPr="009A55EA">
        <w:rPr>
          <w:rFonts w:ascii="Times New Roman" w:hAnsi="Times New Roman"/>
          <w:b/>
          <w:sz w:val="20"/>
        </w:rPr>
        <w:t>Counsel:</w:t>
      </w:r>
    </w:p>
    <w:p w:rsidR="009A55EA" w:rsidRPr="009A55EA" w:rsidP="009A55EA">
      <w:pPr>
        <w:spacing w:after="0" w:line="240" w:lineRule="auto"/>
        <w:jc w:val="left"/>
        <w:rPr>
          <w:rFonts w:ascii="Times New Roman" w:hAnsi="Times New Roman"/>
          <w:b/>
          <w:sz w:val="20"/>
        </w:rPr>
      </w:pPr>
    </w:p>
    <w:p w:rsidR="009A55EA" w:rsidRPr="009A55EA" w:rsidP="009A55EA">
      <w:pPr>
        <w:spacing w:after="0" w:line="240" w:lineRule="auto"/>
        <w:jc w:val="left"/>
        <w:rPr>
          <w:rFonts w:ascii="Times New Roman" w:hAnsi="Times New Roman"/>
          <w:sz w:val="20"/>
        </w:rPr>
      </w:pPr>
      <w:r w:rsidRPr="009A55EA">
        <w:rPr>
          <w:rFonts w:ascii="Times New Roman" w:hAnsi="Times New Roman"/>
          <w:sz w:val="20"/>
        </w:rPr>
        <w:t>Michelle D. Peña, under appointment by the Supreme Court, for Defendant and Appellant.</w:t>
      </w:r>
    </w:p>
    <w:p w:rsidR="009A55EA" w:rsidRPr="009A55EA" w:rsidP="009A55EA">
      <w:pPr>
        <w:spacing w:after="0" w:line="240" w:lineRule="auto"/>
        <w:jc w:val="left"/>
        <w:rPr>
          <w:rFonts w:ascii="Times New Roman" w:hAnsi="Times New Roman"/>
          <w:sz w:val="20"/>
        </w:rPr>
      </w:pPr>
    </w:p>
    <w:p w:rsidR="009A55EA" w:rsidRPr="009A55EA" w:rsidP="009A55EA">
      <w:pPr>
        <w:spacing w:after="0" w:line="240" w:lineRule="auto"/>
        <w:jc w:val="left"/>
        <w:rPr>
          <w:rFonts w:ascii="Times New Roman" w:hAnsi="Times New Roman"/>
          <w:sz w:val="20"/>
        </w:rPr>
      </w:pPr>
      <w:r w:rsidRPr="009A55EA">
        <w:rPr>
          <w:rFonts w:ascii="Times New Roman" w:hAnsi="Times New Roman"/>
          <w:sz w:val="20"/>
        </w:rPr>
        <w:t>Xavier Becerra, Attorney General, Gerald A. Engler, Chief Assistant Attorney General, Julie L. Garland, Assistant Attorney General, Arlene A. Sevidal, Randall Einhorn, Stacy Tyler, Michael Pulos and Joy Utomi, Deputy Attorneys General, for Plaintiff and Respondent.</w:t>
      </w:r>
    </w:p>
    <w:p w:rsidR="009A55EA" w:rsidRPr="009A55EA" w:rsidP="009A55EA">
      <w:pPr>
        <w:spacing w:after="0" w:line="240" w:lineRule="auto"/>
        <w:jc w:val="left"/>
        <w:rPr>
          <w:rFonts w:ascii="Times New Roman" w:hAnsi="Times New Roman"/>
          <w:b/>
          <w:sz w:val="20"/>
        </w:rPr>
      </w:pPr>
    </w:p>
    <w:p w:rsidR="009A55EA" w:rsidRPr="009A55EA" w:rsidP="009A55EA">
      <w:pPr>
        <w:spacing w:after="0" w:line="240" w:lineRule="auto"/>
        <w:jc w:val="left"/>
        <w:rPr>
          <w:rFonts w:ascii="Times New Roman" w:hAnsi="Times New Roman"/>
          <w:b/>
          <w:sz w:val="20"/>
        </w:rPr>
      </w:pPr>
    </w:p>
    <w:p w:rsidR="009A55EA" w:rsidRPr="009A55EA" w:rsidP="009A55EA">
      <w:pPr>
        <w:spacing w:after="0" w:line="240" w:lineRule="auto"/>
        <w:jc w:val="left"/>
        <w:rPr>
          <w:rFonts w:ascii="Times New Roman" w:hAnsi="Times New Roman"/>
          <w:b/>
          <w:sz w:val="20"/>
        </w:rPr>
      </w:pPr>
    </w:p>
    <w:p w:rsidR="009A55EA" w:rsidRPr="009A55EA" w:rsidP="009A55EA">
      <w:pPr>
        <w:spacing w:after="0" w:line="240" w:lineRule="auto"/>
        <w:jc w:val="left"/>
        <w:rPr>
          <w:rFonts w:ascii="Times New Roman" w:hAnsi="Times New Roman"/>
          <w:b/>
          <w:sz w:val="20"/>
        </w:rPr>
      </w:pPr>
    </w:p>
    <w:p w:rsidR="009A55EA" w:rsidRPr="009A55EA" w:rsidP="009A55EA">
      <w:pPr>
        <w:spacing w:after="0" w:line="240" w:lineRule="auto"/>
        <w:jc w:val="left"/>
        <w:rPr>
          <w:rFonts w:ascii="Times New Roman" w:hAnsi="Times New Roman"/>
          <w:b/>
          <w:sz w:val="20"/>
        </w:rPr>
      </w:pPr>
      <w:r w:rsidRPr="009A55EA">
        <w:rPr>
          <w:rFonts w:ascii="Times New Roman" w:hAnsi="Times New Roman"/>
          <w:b/>
          <w:sz w:val="20"/>
        </w:rPr>
        <w:br w:type="page"/>
      </w:r>
    </w:p>
    <w:p w:rsidR="009A55EA" w:rsidRPr="009A55EA" w:rsidP="009A55EA">
      <w:pPr>
        <w:spacing w:after="0" w:line="240" w:lineRule="auto"/>
        <w:jc w:val="left"/>
        <w:rPr>
          <w:rFonts w:ascii="Times New Roman" w:hAnsi="Times New Roman"/>
          <w:b/>
          <w:sz w:val="20"/>
        </w:rPr>
      </w:pPr>
    </w:p>
    <w:p w:rsidR="009A55EA" w:rsidRPr="009A55EA" w:rsidP="009A55EA">
      <w:pPr>
        <w:spacing w:after="0" w:line="240" w:lineRule="auto"/>
        <w:jc w:val="left"/>
        <w:rPr>
          <w:rFonts w:ascii="Times New Roman" w:hAnsi="Times New Roman"/>
          <w:b/>
          <w:sz w:val="20"/>
        </w:rPr>
      </w:pPr>
    </w:p>
    <w:p w:rsidR="009A55EA" w:rsidRPr="009A55EA" w:rsidP="009A55EA">
      <w:pPr>
        <w:spacing w:after="0" w:line="240" w:lineRule="auto"/>
        <w:jc w:val="left"/>
        <w:rPr>
          <w:rFonts w:ascii="Times New Roman" w:hAnsi="Times New Roman"/>
          <w:b/>
          <w:sz w:val="20"/>
        </w:rPr>
      </w:pPr>
    </w:p>
    <w:p w:rsidR="009A55EA" w:rsidRPr="009A55EA" w:rsidP="009A55EA">
      <w:pPr>
        <w:spacing w:after="0" w:line="240" w:lineRule="auto"/>
        <w:jc w:val="left"/>
        <w:rPr>
          <w:rFonts w:ascii="Times New Roman" w:hAnsi="Times New Roman"/>
          <w:b/>
          <w:sz w:val="20"/>
        </w:rPr>
      </w:pPr>
      <w:r w:rsidRPr="009A55EA">
        <w:rPr>
          <w:rFonts w:ascii="Times New Roman" w:hAnsi="Times New Roman"/>
          <w:b/>
          <w:sz w:val="20"/>
        </w:rPr>
        <w:t>Counsel who argued in Supreme Court (not intended for publication with opinion):</w:t>
      </w:r>
    </w:p>
    <w:p w:rsidR="009A55EA" w:rsidRPr="009A55EA" w:rsidP="009A55EA">
      <w:pPr>
        <w:spacing w:after="0" w:line="240" w:lineRule="auto"/>
        <w:jc w:val="left"/>
        <w:rPr>
          <w:rFonts w:ascii="Times New Roman" w:hAnsi="Times New Roman"/>
          <w:b/>
          <w:sz w:val="20"/>
        </w:rPr>
      </w:pPr>
    </w:p>
    <w:p w:rsidR="009A55EA" w:rsidRPr="009A55EA" w:rsidP="009A55EA">
      <w:pPr>
        <w:spacing w:after="0" w:line="240" w:lineRule="auto"/>
        <w:jc w:val="left"/>
        <w:rPr>
          <w:rFonts w:ascii="Times New Roman" w:hAnsi="Times New Roman"/>
          <w:sz w:val="20"/>
        </w:rPr>
      </w:pPr>
      <w:r w:rsidRPr="009A55EA">
        <w:rPr>
          <w:rFonts w:ascii="Times New Roman" w:hAnsi="Times New Roman"/>
          <w:sz w:val="20"/>
        </w:rPr>
        <w:t>Michelle D. Peña</w:t>
      </w:r>
    </w:p>
    <w:p w:rsidR="009A55EA" w:rsidRPr="009A55EA" w:rsidP="009A55EA">
      <w:pPr>
        <w:spacing w:after="0" w:line="240" w:lineRule="auto"/>
        <w:jc w:val="left"/>
        <w:rPr>
          <w:rFonts w:ascii="Times New Roman" w:hAnsi="Times New Roman"/>
          <w:sz w:val="20"/>
        </w:rPr>
      </w:pPr>
      <w:r w:rsidRPr="009A55EA">
        <w:rPr>
          <w:rFonts w:ascii="Times New Roman" w:hAnsi="Times New Roman"/>
          <w:sz w:val="20"/>
        </w:rPr>
        <w:t>3830 Valley Centre Drive, Suite 705, PMB 706</w:t>
      </w:r>
    </w:p>
    <w:p w:rsidR="009A55EA" w:rsidRPr="009A55EA" w:rsidP="009A55EA">
      <w:pPr>
        <w:spacing w:after="0" w:line="240" w:lineRule="auto"/>
        <w:jc w:val="left"/>
        <w:rPr>
          <w:rFonts w:ascii="Times New Roman" w:hAnsi="Times New Roman"/>
          <w:sz w:val="20"/>
        </w:rPr>
      </w:pPr>
      <w:r w:rsidRPr="009A55EA">
        <w:rPr>
          <w:rFonts w:ascii="Times New Roman" w:hAnsi="Times New Roman"/>
          <w:sz w:val="20"/>
        </w:rPr>
        <w:t>San Diego, CA  92130</w:t>
      </w:r>
    </w:p>
    <w:p w:rsidR="009A55EA" w:rsidRPr="009A55EA" w:rsidP="009A55EA">
      <w:pPr>
        <w:spacing w:after="0" w:line="240" w:lineRule="auto"/>
        <w:jc w:val="left"/>
        <w:rPr>
          <w:rFonts w:ascii="Times New Roman" w:hAnsi="Times New Roman"/>
          <w:sz w:val="20"/>
        </w:rPr>
      </w:pPr>
      <w:r w:rsidRPr="009A55EA">
        <w:rPr>
          <w:rFonts w:ascii="Times New Roman" w:hAnsi="Times New Roman"/>
          <w:sz w:val="20"/>
        </w:rPr>
        <w:t>(858) 275-3822</w:t>
      </w:r>
    </w:p>
    <w:p w:rsidR="009A55EA" w:rsidRPr="009A55EA" w:rsidP="009A55EA">
      <w:pPr>
        <w:spacing w:after="0" w:line="240" w:lineRule="auto"/>
        <w:jc w:val="left"/>
        <w:rPr>
          <w:rFonts w:ascii="Times New Roman" w:hAnsi="Times New Roman"/>
          <w:sz w:val="20"/>
        </w:rPr>
      </w:pPr>
    </w:p>
    <w:p w:rsidR="009A55EA" w:rsidRPr="009A55EA" w:rsidP="009A55EA">
      <w:pPr>
        <w:spacing w:after="0" w:line="240" w:lineRule="auto"/>
        <w:jc w:val="left"/>
        <w:rPr>
          <w:rFonts w:ascii="Times New Roman" w:hAnsi="Times New Roman"/>
          <w:sz w:val="20"/>
        </w:rPr>
      </w:pPr>
      <w:r w:rsidRPr="009A55EA">
        <w:rPr>
          <w:rFonts w:ascii="Times New Roman" w:hAnsi="Times New Roman"/>
          <w:sz w:val="20"/>
        </w:rPr>
        <w:t>Joy Utomi</w:t>
      </w:r>
    </w:p>
    <w:p w:rsidR="009A55EA" w:rsidRPr="009A55EA" w:rsidP="009A55EA">
      <w:pPr>
        <w:spacing w:after="0" w:line="240" w:lineRule="auto"/>
        <w:jc w:val="left"/>
        <w:rPr>
          <w:rFonts w:ascii="Times New Roman" w:hAnsi="Times New Roman"/>
          <w:sz w:val="20"/>
        </w:rPr>
      </w:pPr>
      <w:r w:rsidRPr="009A55EA">
        <w:rPr>
          <w:rFonts w:ascii="Times New Roman" w:hAnsi="Times New Roman"/>
          <w:sz w:val="20"/>
        </w:rPr>
        <w:t>Deputy Attorney General</w:t>
      </w:r>
    </w:p>
    <w:p w:rsidR="009A55EA" w:rsidRPr="009A55EA" w:rsidP="009A55EA">
      <w:pPr>
        <w:spacing w:after="0" w:line="240" w:lineRule="auto"/>
        <w:jc w:val="left"/>
        <w:rPr>
          <w:rFonts w:ascii="Times New Roman" w:hAnsi="Times New Roman"/>
          <w:sz w:val="20"/>
        </w:rPr>
      </w:pPr>
      <w:r w:rsidRPr="009A55EA">
        <w:rPr>
          <w:rFonts w:ascii="Times New Roman" w:hAnsi="Times New Roman"/>
          <w:sz w:val="20"/>
        </w:rPr>
        <w:t>600 West Broadway, Suite 1800</w:t>
      </w:r>
    </w:p>
    <w:p w:rsidR="009A55EA" w:rsidRPr="009A55EA" w:rsidP="009A55EA">
      <w:pPr>
        <w:spacing w:after="0" w:line="240" w:lineRule="auto"/>
        <w:jc w:val="left"/>
        <w:rPr>
          <w:rFonts w:ascii="Times New Roman" w:hAnsi="Times New Roman"/>
          <w:sz w:val="20"/>
        </w:rPr>
      </w:pPr>
      <w:r w:rsidRPr="009A55EA">
        <w:rPr>
          <w:rFonts w:ascii="Times New Roman" w:hAnsi="Times New Roman"/>
          <w:sz w:val="20"/>
        </w:rPr>
        <w:t>San Diego, CA  92101</w:t>
      </w:r>
    </w:p>
    <w:p w:rsidR="009A55EA" w:rsidRPr="009A55EA" w:rsidP="009A55EA">
      <w:pPr>
        <w:spacing w:after="0" w:line="240" w:lineRule="auto"/>
        <w:jc w:val="left"/>
        <w:rPr>
          <w:rFonts w:ascii="Times New Roman" w:hAnsi="Times New Roman"/>
          <w:sz w:val="20"/>
        </w:rPr>
      </w:pPr>
      <w:r w:rsidRPr="009A55EA">
        <w:rPr>
          <w:rFonts w:ascii="Times New Roman" w:hAnsi="Times New Roman"/>
          <w:sz w:val="20"/>
        </w:rPr>
        <w:t>(619) 738-9117</w:t>
      </w:r>
    </w:p>
    <w:p w:rsidR="009A55EA" w:rsidRPr="009A55EA" w:rsidP="009A55EA">
      <w:pPr>
        <w:spacing w:after="0" w:line="240" w:lineRule="auto"/>
        <w:jc w:val="left"/>
        <w:rPr>
          <w:rFonts w:ascii="Times New Roman" w:hAnsi="Times New Roman"/>
          <w:sz w:val="20"/>
        </w:rPr>
      </w:pPr>
    </w:p>
    <w:p w:rsidR="009045D4">
      <w:pPr>
        <w:spacing w:after="0" w:line="240" w:lineRule="auto"/>
        <w:jc w:val="left"/>
        <w:rPr>
          <w:b/>
          <w:bCs/>
        </w:rPr>
      </w:pPr>
    </w:p>
    <w:sectPr>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7E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43CF0">
    <w:pPr>
      <w:pStyle w:val="Footer"/>
    </w:pPr>
    <w:r>
      <w:rPr>
        <w:noProof/>
      </w:rPr>
      <w:fldChar w:fldCharType="begin"/>
    </w:r>
    <w:r>
      <w:rPr>
        <w:noProof/>
      </w:rPr>
      <w:instrText>PAGE</w:instrText>
    </w:r>
    <w:r>
      <w:rPr>
        <w:noProof/>
      </w:rPr>
      <w:fldChar w:fldCharType="separate"/>
    </w:r>
    <w:r>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7E1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A73D5">
    <w:pPr>
      <w:pStyle w:val="Footer"/>
    </w:pPr>
    <w:r>
      <w:t>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5AD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5ADA">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5ADA">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7E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43CF0">
    <w:pPr>
      <w:pStyle w:val="Header"/>
    </w:pPr>
    <w:r>
      <w:t>PEOPLE v. FOSTER</w:t>
    </w:r>
  </w:p>
  <w:p w:rsidR="00243CF0">
    <w:pPr>
      <w:pStyle w:val="Header"/>
    </w:pPr>
    <w:r>
      <w:t>Opinion of the Court by L</w:t>
    </w:r>
    <w:r w:rsidR="00FD239D">
      <w:t>iu</w:t>
    </w:r>
    <w:r>
      <w:t>, J.</w:t>
    </w:r>
  </w:p>
  <w:p w:rsidR="00243C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7E1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5AD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5AD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5A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F501E9F"/>
    <w:multiLevelType w:val="hybridMultilevel"/>
    <w:tmpl w:val="F4B21AB4"/>
    <w:lvl w:ilvl="0">
      <w:start w:val="1"/>
      <w:numFmt w:val="upp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2AA82EB1"/>
    <w:multiLevelType w:val="hybridMultilevel"/>
    <w:tmpl w:val="EECCC28C"/>
    <w:lvl w:ilvl="0">
      <w:start w:val="1"/>
      <w:numFmt w:val="upperRoman"/>
      <w:lvlText w:val="%1."/>
      <w:lvlJc w:val="right"/>
      <w:pPr>
        <w:ind w:left="72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30270EF9"/>
    <w:multiLevelType w:val="hybridMultilevel"/>
    <w:tmpl w:val="1BD40EDA"/>
    <w:lvl w:ilvl="0">
      <w:start w:val="1"/>
      <w:numFmt w:val="upp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
    <w:nsid w:val="388C23F1"/>
    <w:multiLevelType w:val="hybridMultilevel"/>
    <w:tmpl w:val="FD9C1642"/>
    <w:lvl w:ilvl="0">
      <w:start w:val="1"/>
      <w:numFmt w:val="upp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
    <w:nsid w:val="38EA1CC1"/>
    <w:multiLevelType w:val="hybridMultilevel"/>
    <w:tmpl w:val="78689AA2"/>
    <w:lvl w:ilvl="0">
      <w:start w:val="1"/>
      <w:numFmt w:val="upp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48E96464"/>
    <w:multiLevelType w:val="hybridMultilevel"/>
    <w:tmpl w:val="5D26E6DA"/>
    <w:lvl w:ilvl="0">
      <w:start w:val="1"/>
      <w:numFmt w:val="upp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B5E1BE8"/>
    <w:multiLevelType w:val="hybridMultilevel"/>
    <w:tmpl w:val="EDF2F512"/>
    <w:lvl w:ilvl="0">
      <w:start w:val="1"/>
      <w:numFmt w:val="upp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5567279B"/>
    <w:multiLevelType w:val="hybridMultilevel"/>
    <w:tmpl w:val="41D87A70"/>
    <w:lvl w:ilvl="0">
      <w:start w:val="1"/>
      <w:numFmt w:val="upp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66384B95"/>
    <w:multiLevelType w:val="hybridMultilevel"/>
    <w:tmpl w:val="B32C305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C455BA8"/>
    <w:multiLevelType w:val="hybridMultilevel"/>
    <w:tmpl w:val="2B803410"/>
    <w:lvl w:ilvl="0">
      <w:start w:val="1"/>
      <w:numFmt w:val="upperLetter"/>
      <w:lvlText w:val="%1."/>
      <w:lvlJc w:val="left"/>
      <w:pPr>
        <w:ind w:left="360" w:hanging="360"/>
      </w:pPr>
      <w:rPr>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nsid w:val="7EDF1008"/>
    <w:multiLevelType w:val="hybridMultilevel"/>
    <w:tmpl w:val="1FF082A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0"/>
  </w:num>
  <w:num w:numId="3">
    <w:abstractNumId w:val="10"/>
  </w:num>
  <w:num w:numId="4">
    <w:abstractNumId w:val="9"/>
  </w:num>
  <w:num w:numId="5">
    <w:abstractNumId w:val="4"/>
  </w:num>
  <w:num w:numId="6">
    <w:abstractNumId w:val="8"/>
  </w:num>
  <w:num w:numId="7">
    <w:abstractNumId w:val="2"/>
  </w:num>
  <w:num w:numId="8">
    <w:abstractNumId w:val="3"/>
  </w:num>
  <w:num w:numId="9">
    <w:abstractNumId w:val="6"/>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printFractionalCharacterWidth/>
  <w:defaultTabStop w:val="72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3515"/>
    <w:pPr>
      <w:spacing w:after="100" w:line="400" w:lineRule="exact"/>
      <w:jc w:val="both"/>
    </w:pPr>
    <w:rPr>
      <w:rFonts w:ascii="Century Schoolbook" w:hAnsi="Century Schoolbook"/>
      <w:sz w:val="27"/>
    </w:rPr>
  </w:style>
  <w:style w:type="paragraph" w:styleId="Heading1">
    <w:name w:val="heading 1"/>
    <w:basedOn w:val="Normal"/>
    <w:next w:val="Normal"/>
    <w:qFormat/>
    <w:rsid w:val="009C3515"/>
    <w:pPr>
      <w:keepNext/>
      <w:spacing w:before="140" w:line="240" w:lineRule="atLeast"/>
      <w:jc w:val="center"/>
      <w:outlineLvl w:val="0"/>
    </w:pPr>
    <w:rPr>
      <w:b/>
      <w:smallCaps/>
    </w:rPr>
  </w:style>
  <w:style w:type="paragraph" w:styleId="Heading2">
    <w:name w:val="heading 2"/>
    <w:basedOn w:val="Normal"/>
    <w:next w:val="Normal"/>
    <w:qFormat/>
    <w:rsid w:val="009C3515"/>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9C3515"/>
    <w:pPr>
      <w:keepNext/>
      <w:tabs>
        <w:tab w:val="left" w:pos="1584"/>
      </w:tabs>
      <w:spacing w:before="140" w:line="240" w:lineRule="atLeast"/>
      <w:ind w:left="1584" w:hanging="432"/>
      <w:jc w:val="left"/>
      <w:outlineLvl w:val="2"/>
    </w:pPr>
    <w:rPr>
      <w:i/>
    </w:rPr>
  </w:style>
  <w:style w:type="paragraph" w:styleId="Heading4">
    <w:name w:val="heading 4"/>
    <w:basedOn w:val="Normal"/>
    <w:qFormat/>
    <w:rsid w:val="009C3515"/>
    <w:pPr>
      <w:keepNext/>
      <w:tabs>
        <w:tab w:val="left" w:pos="2016"/>
      </w:tabs>
      <w:spacing w:before="140" w:line="240" w:lineRule="atLeast"/>
      <w:ind w:left="2016" w:hanging="432"/>
      <w:jc w:val="left"/>
      <w:outlineLvl w:val="3"/>
    </w:pPr>
    <w:rPr>
      <w:i/>
    </w:rPr>
  </w:style>
  <w:style w:type="paragraph" w:styleId="Heading5">
    <w:name w:val="heading 5"/>
    <w:basedOn w:val="Normal"/>
    <w:qFormat/>
    <w:rsid w:val="009C3515"/>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4A73D5"/>
    <w:pPr>
      <w:ind w:left="720"/>
    </w:pPr>
  </w:style>
  <w:style w:type="paragraph" w:styleId="Footer">
    <w:name w:val="footer"/>
    <w:basedOn w:val="Normal"/>
    <w:qFormat/>
    <w:rsid w:val="009C3515"/>
    <w:pPr>
      <w:tabs>
        <w:tab w:val="center" w:pos="3960"/>
        <w:tab w:val="right" w:pos="10080"/>
      </w:tabs>
      <w:spacing w:after="0" w:line="240" w:lineRule="auto"/>
      <w:jc w:val="center"/>
    </w:pPr>
    <w:rPr>
      <w:sz w:val="22"/>
    </w:rPr>
  </w:style>
  <w:style w:type="paragraph" w:styleId="Header">
    <w:name w:val="header"/>
    <w:basedOn w:val="Normal"/>
    <w:qFormat/>
    <w:rsid w:val="009C3515"/>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9C3515"/>
    <w:rPr>
      <w:rFonts w:ascii="Century Schoolbook" w:hAnsi="Century Schoolbook"/>
      <w:b/>
      <w:i w:val="0"/>
      <w:position w:val="4"/>
      <w:sz w:val="27"/>
      <w:vertAlign w:val="superscript"/>
    </w:rPr>
  </w:style>
  <w:style w:type="paragraph" w:styleId="FootnoteText">
    <w:name w:val="footnote text"/>
    <w:basedOn w:val="Normal"/>
    <w:link w:val="FootnoteTextChar"/>
    <w:rsid w:val="009C3515"/>
    <w:pPr>
      <w:spacing w:line="300" w:lineRule="exact"/>
    </w:pPr>
  </w:style>
  <w:style w:type="paragraph" w:customStyle="1" w:styleId="Title1">
    <w:name w:val="Title1"/>
    <w:basedOn w:val="Normal"/>
    <w:rsid w:val="004A73D5"/>
    <w:pPr>
      <w:tabs>
        <w:tab w:val="left" w:pos="5760"/>
        <w:tab w:val="left" w:pos="6480"/>
      </w:tabs>
      <w:spacing w:line="240" w:lineRule="atLeast"/>
    </w:pPr>
  </w:style>
  <w:style w:type="paragraph" w:customStyle="1" w:styleId="Recommend">
    <w:name w:val="Recommend"/>
    <w:basedOn w:val="Normal"/>
    <w:rsid w:val="004A73D5"/>
  </w:style>
  <w:style w:type="paragraph" w:customStyle="1" w:styleId="Summary">
    <w:name w:val="Summary"/>
    <w:basedOn w:val="Normal"/>
    <w:rsid w:val="004A73D5"/>
    <w:pPr>
      <w:ind w:left="2160" w:hanging="2160"/>
    </w:pPr>
  </w:style>
  <w:style w:type="paragraph" w:customStyle="1" w:styleId="Text">
    <w:name w:val="Text"/>
    <w:basedOn w:val="Normal"/>
    <w:rsid w:val="004A73D5"/>
    <w:pPr>
      <w:tabs>
        <w:tab w:val="left" w:pos="720"/>
        <w:tab w:val="left" w:pos="1440"/>
        <w:tab w:val="left" w:pos="2160"/>
        <w:tab w:val="center" w:pos="4320"/>
      </w:tabs>
      <w:spacing w:line="480" w:lineRule="atLeast"/>
      <w:ind w:firstLine="540"/>
    </w:pPr>
  </w:style>
  <w:style w:type="paragraph" w:styleId="Date">
    <w:name w:val="Date"/>
    <w:basedOn w:val="Normal"/>
    <w:semiHidden/>
    <w:rsid w:val="004A73D5"/>
    <w:pPr>
      <w:jc w:val="right"/>
    </w:pPr>
  </w:style>
  <w:style w:type="character" w:styleId="PageNumber">
    <w:name w:val="page number"/>
    <w:basedOn w:val="DefaultParagraphFont"/>
    <w:rsid w:val="004A73D5"/>
  </w:style>
  <w:style w:type="paragraph" w:customStyle="1" w:styleId="subject">
    <w:name w:val="subject"/>
    <w:basedOn w:val="Normal"/>
    <w:rsid w:val="004A73D5"/>
    <w:pPr>
      <w:tabs>
        <w:tab w:val="left" w:pos="1008"/>
      </w:tabs>
      <w:ind w:left="990" w:hanging="990"/>
    </w:pPr>
    <w:rPr>
      <w:b/>
    </w:rPr>
  </w:style>
  <w:style w:type="paragraph" w:customStyle="1" w:styleId="Titles">
    <w:name w:val="Titles"/>
    <w:basedOn w:val="Normal"/>
    <w:rsid w:val="004A73D5"/>
    <w:pPr>
      <w:tabs>
        <w:tab w:val="left" w:pos="2160"/>
      </w:tabs>
      <w:ind w:left="2160" w:hanging="2160"/>
    </w:pPr>
    <w:rPr>
      <w:b/>
    </w:rPr>
  </w:style>
  <w:style w:type="paragraph" w:styleId="TOAHeading">
    <w:name w:val="toa heading"/>
    <w:basedOn w:val="Normal"/>
    <w:next w:val="Normal"/>
    <w:semiHidden/>
    <w:rsid w:val="004A73D5"/>
    <w:pPr>
      <w:spacing w:before="120"/>
    </w:pPr>
    <w:rPr>
      <w:b/>
    </w:rPr>
  </w:style>
  <w:style w:type="paragraph" w:styleId="TOC1">
    <w:name w:val="toc 1"/>
    <w:basedOn w:val="Normal"/>
    <w:next w:val="Normal"/>
    <w:autoRedefine/>
    <w:semiHidden/>
    <w:rsid w:val="004A73D5"/>
  </w:style>
  <w:style w:type="paragraph" w:styleId="TOC2">
    <w:name w:val="toc 2"/>
    <w:basedOn w:val="Normal"/>
    <w:next w:val="Normal"/>
    <w:autoRedefine/>
    <w:semiHidden/>
    <w:rsid w:val="004A73D5"/>
    <w:pPr>
      <w:ind w:left="259"/>
    </w:pPr>
  </w:style>
  <w:style w:type="paragraph" w:styleId="TOC3">
    <w:name w:val="toc 3"/>
    <w:basedOn w:val="Normal"/>
    <w:next w:val="Normal"/>
    <w:autoRedefine/>
    <w:semiHidden/>
    <w:rsid w:val="004A73D5"/>
    <w:pPr>
      <w:ind w:left="520"/>
    </w:pPr>
  </w:style>
  <w:style w:type="paragraph" w:styleId="TOC4">
    <w:name w:val="toc 4"/>
    <w:basedOn w:val="Normal"/>
    <w:next w:val="Normal"/>
    <w:autoRedefine/>
    <w:semiHidden/>
    <w:rsid w:val="004A73D5"/>
    <w:pPr>
      <w:ind w:left="780"/>
    </w:pPr>
  </w:style>
  <w:style w:type="paragraph" w:styleId="TOC5">
    <w:name w:val="toc 5"/>
    <w:basedOn w:val="Normal"/>
    <w:next w:val="Normal"/>
    <w:autoRedefine/>
    <w:semiHidden/>
    <w:rsid w:val="004A73D5"/>
    <w:pPr>
      <w:ind w:left="1040"/>
    </w:pPr>
  </w:style>
  <w:style w:type="paragraph" w:styleId="TOC6">
    <w:name w:val="toc 6"/>
    <w:basedOn w:val="Normal"/>
    <w:next w:val="Normal"/>
    <w:autoRedefine/>
    <w:semiHidden/>
    <w:rsid w:val="004A73D5"/>
    <w:pPr>
      <w:ind w:left="1300"/>
    </w:pPr>
  </w:style>
  <w:style w:type="paragraph" w:styleId="TOC7">
    <w:name w:val="toc 7"/>
    <w:basedOn w:val="Normal"/>
    <w:next w:val="Normal"/>
    <w:autoRedefine/>
    <w:semiHidden/>
    <w:rsid w:val="004A73D5"/>
    <w:pPr>
      <w:ind w:left="1560"/>
    </w:pPr>
  </w:style>
  <w:style w:type="paragraph" w:styleId="TOC8">
    <w:name w:val="toc 8"/>
    <w:basedOn w:val="Normal"/>
    <w:next w:val="Normal"/>
    <w:autoRedefine/>
    <w:semiHidden/>
    <w:rsid w:val="004A73D5"/>
    <w:pPr>
      <w:ind w:left="1820"/>
    </w:pPr>
  </w:style>
  <w:style w:type="paragraph" w:styleId="TOC9">
    <w:name w:val="toc 9"/>
    <w:basedOn w:val="Normal"/>
    <w:next w:val="Normal"/>
    <w:autoRedefine/>
    <w:semiHidden/>
    <w:rsid w:val="004A73D5"/>
    <w:pPr>
      <w:ind w:left="2080"/>
    </w:pPr>
  </w:style>
  <w:style w:type="paragraph" w:customStyle="1" w:styleId="Contents">
    <w:name w:val="Contents"/>
    <w:basedOn w:val="Normal"/>
    <w:rsid w:val="004A73D5"/>
    <w:pPr>
      <w:jc w:val="center"/>
    </w:pPr>
    <w:rPr>
      <w:b/>
      <w:spacing w:val="100"/>
    </w:rPr>
  </w:style>
  <w:style w:type="paragraph" w:styleId="ListParagraph">
    <w:name w:val="List Paragraph"/>
    <w:basedOn w:val="Normal"/>
    <w:uiPriority w:val="34"/>
    <w:qFormat/>
    <w:rsid w:val="003A14B7"/>
    <w:pPr>
      <w:ind w:left="720"/>
      <w:contextualSpacing/>
    </w:pPr>
  </w:style>
  <w:style w:type="character" w:styleId="Emphasis">
    <w:name w:val="Emphasis"/>
    <w:basedOn w:val="DefaultParagraphFont"/>
    <w:uiPriority w:val="20"/>
    <w:qFormat/>
    <w:rsid w:val="00905F54"/>
    <w:rPr>
      <w:i/>
      <w:iCs/>
    </w:rPr>
  </w:style>
  <w:style w:type="character" w:customStyle="1" w:styleId="costarpage">
    <w:name w:val="co_starpage"/>
    <w:basedOn w:val="DefaultParagraphFont"/>
    <w:rsid w:val="00905F54"/>
  </w:style>
  <w:style w:type="paragraph" w:styleId="BalloonText">
    <w:name w:val="Balloon Text"/>
    <w:basedOn w:val="Normal"/>
    <w:link w:val="BalloonTextChar"/>
    <w:uiPriority w:val="99"/>
    <w:semiHidden/>
    <w:unhideWhenUsed/>
    <w:rsid w:val="00FE29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969"/>
    <w:rPr>
      <w:rFonts w:ascii="Segoe UI" w:hAnsi="Segoe UI" w:cs="Segoe UI"/>
      <w:sz w:val="18"/>
      <w:szCs w:val="18"/>
    </w:rPr>
  </w:style>
  <w:style w:type="character" w:styleId="CommentReference">
    <w:name w:val="annotation reference"/>
    <w:basedOn w:val="DefaultParagraphFont"/>
    <w:uiPriority w:val="99"/>
    <w:semiHidden/>
    <w:unhideWhenUsed/>
    <w:rsid w:val="00FE2969"/>
    <w:rPr>
      <w:sz w:val="16"/>
      <w:szCs w:val="16"/>
    </w:rPr>
  </w:style>
  <w:style w:type="paragraph" w:styleId="CommentText">
    <w:name w:val="annotation text"/>
    <w:basedOn w:val="Normal"/>
    <w:link w:val="CommentTextChar"/>
    <w:uiPriority w:val="99"/>
    <w:semiHidden/>
    <w:unhideWhenUsed/>
    <w:rsid w:val="00FE2969"/>
    <w:rPr>
      <w:sz w:val="20"/>
    </w:rPr>
  </w:style>
  <w:style w:type="character" w:customStyle="1" w:styleId="CommentTextChar">
    <w:name w:val="Comment Text Char"/>
    <w:basedOn w:val="DefaultParagraphFont"/>
    <w:link w:val="CommentText"/>
    <w:uiPriority w:val="99"/>
    <w:semiHidden/>
    <w:rsid w:val="00FE2969"/>
  </w:style>
  <w:style w:type="paragraph" w:styleId="CommentSubject">
    <w:name w:val="annotation subject"/>
    <w:basedOn w:val="CommentText"/>
    <w:next w:val="CommentText"/>
    <w:link w:val="CommentSubjectChar"/>
    <w:uiPriority w:val="99"/>
    <w:semiHidden/>
    <w:unhideWhenUsed/>
    <w:rsid w:val="00FE2969"/>
    <w:rPr>
      <w:b/>
      <w:bCs/>
    </w:rPr>
  </w:style>
  <w:style w:type="character" w:customStyle="1" w:styleId="CommentSubjectChar">
    <w:name w:val="Comment Subject Char"/>
    <w:basedOn w:val="CommentTextChar"/>
    <w:link w:val="CommentSubject"/>
    <w:uiPriority w:val="99"/>
    <w:semiHidden/>
    <w:rsid w:val="00FE2969"/>
    <w:rPr>
      <w:b/>
      <w:bCs/>
    </w:rPr>
  </w:style>
  <w:style w:type="character" w:customStyle="1" w:styleId="FootnoteTextChar">
    <w:name w:val="Footnote Text Char"/>
    <w:basedOn w:val="DefaultParagraphFont"/>
    <w:link w:val="FootnoteText"/>
    <w:rsid w:val="003A493A"/>
    <w:rPr>
      <w:rFonts w:ascii="Century Schoolbook" w:hAnsi="Century Schoolbook"/>
      <w:sz w:val="27"/>
    </w:rPr>
  </w:style>
  <w:style w:type="character" w:customStyle="1" w:styleId="normaltextrun">
    <w:name w:val="normaltextrun"/>
    <w:basedOn w:val="DefaultParagraphFont"/>
    <w:rsid w:val="00304310"/>
  </w:style>
  <w:style w:type="character" w:customStyle="1" w:styleId="findhit">
    <w:name w:val="findhit"/>
    <w:basedOn w:val="DefaultParagraphFont"/>
    <w:rsid w:val="00304310"/>
  </w:style>
  <w:style w:type="character" w:customStyle="1" w:styleId="spellingerror">
    <w:name w:val="spellingerror"/>
    <w:basedOn w:val="DefaultParagraphFont"/>
    <w:rsid w:val="00304310"/>
  </w:style>
  <w:style w:type="character" w:customStyle="1" w:styleId="eop">
    <w:name w:val="eop"/>
    <w:basedOn w:val="DefaultParagraphFont"/>
    <w:rsid w:val="00304310"/>
  </w:style>
  <w:style w:type="paragraph" w:styleId="BodyText">
    <w:name w:val="Body Text"/>
    <w:basedOn w:val="Normal"/>
    <w:link w:val="BodyTextChar"/>
    <w:qFormat/>
    <w:rsid w:val="004A73D5"/>
  </w:style>
  <w:style w:type="character" w:customStyle="1" w:styleId="BodyTextChar">
    <w:name w:val="Body Text Char"/>
    <w:basedOn w:val="DefaultParagraphFont"/>
    <w:link w:val="BodyText"/>
    <w:rsid w:val="004A73D5"/>
    <w:rPr>
      <w:rFonts w:ascii="Century Schoolbook" w:hAnsi="Century Schoolbook"/>
      <w:sz w:val="27"/>
    </w:rPr>
  </w:style>
  <w:style w:type="paragraph" w:styleId="Revision">
    <w:name w:val="Revision"/>
    <w:hidden/>
    <w:uiPriority w:val="99"/>
    <w:semiHidden/>
    <w:rsid w:val="002643F9"/>
    <w:rPr>
      <w:rFonts w:ascii="Century Schoolbook" w:hAnsi="Century Schoolbook"/>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4.xml" /><Relationship Id="rId11" Type="http://schemas.openxmlformats.org/officeDocument/2006/relationships/header" Target="header4.xml" /><Relationship Id="rId12" Type="http://schemas.openxmlformats.org/officeDocument/2006/relationships/header" Target="header5.xml" /><Relationship Id="rId13" Type="http://schemas.openxmlformats.org/officeDocument/2006/relationships/footer" Target="footer5.xml" /><Relationship Id="rId14" Type="http://schemas.openxmlformats.org/officeDocument/2006/relationships/footer" Target="footer6.xml" /><Relationship Id="rId15" Type="http://schemas.openxmlformats.org/officeDocument/2006/relationships/header" Target="header6.xml" /><Relationship Id="rId16" Type="http://schemas.openxmlformats.org/officeDocument/2006/relationships/footer" Target="footer7.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3784</Words>
  <Characters>21574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2019-08-22T15:47:12Z</dcterms:created>
  <dcterms:modified xsi:type="dcterms:W3CDTF">2019-08-22T15:47:12Z</dcterms:modified>
</cp:coreProperties>
</file>