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96E25" w:rsidRPr="008C0627" w:rsidP="00BA2301">
      <w:pPr>
        <w:tabs>
          <w:tab w:val="left" w:pos="1440"/>
          <w:tab w:val="left" w:pos="4680"/>
          <w:tab w:val="center" w:pos="7200"/>
        </w:tabs>
        <w:spacing w:after="0"/>
        <w:jc w:val="center"/>
        <w:rPr>
          <w:sz w:val="36"/>
        </w:rPr>
      </w:pPr>
      <w:bookmarkStart w:id="0" w:name="_GoBack"/>
      <w:bookmarkEnd w:id="0"/>
      <w:r w:rsidRPr="008C0627">
        <w:rPr>
          <w:b/>
          <w:sz w:val="36"/>
        </w:rPr>
        <w:t>IN THE SUPREME COURT OF CALIFORNIA</w:t>
      </w:r>
    </w:p>
    <w:p w:rsidR="009C5ADD" w:rsidRPr="008C0627" w:rsidP="00BA2301">
      <w:pPr>
        <w:tabs>
          <w:tab w:val="left" w:pos="1440"/>
          <w:tab w:val="left" w:pos="4680"/>
          <w:tab w:val="center" w:pos="7200"/>
        </w:tabs>
        <w:spacing w:after="0"/>
        <w:jc w:val="center"/>
      </w:pPr>
    </w:p>
    <w:p w:rsidR="009C5ADD" w:rsidRPr="008C0627" w:rsidP="00BA2301">
      <w:pPr>
        <w:tabs>
          <w:tab w:val="left" w:pos="1440"/>
          <w:tab w:val="left" w:pos="4680"/>
          <w:tab w:val="center" w:pos="7200"/>
        </w:tabs>
        <w:spacing w:after="0"/>
        <w:jc w:val="center"/>
      </w:pPr>
      <w:bookmarkStart w:id="1" w:name="plaintiff"/>
      <w:bookmarkEnd w:id="1"/>
      <w:r w:rsidRPr="008C0627">
        <w:t>EVAN WEISS</w:t>
      </w:r>
      <w:r w:rsidRPr="008C0627">
        <w:t xml:space="preserve"> et al.,</w:t>
      </w:r>
    </w:p>
    <w:p w:rsidR="009C5ADD" w:rsidRPr="008C0627" w:rsidP="00BA2301">
      <w:pPr>
        <w:tabs>
          <w:tab w:val="left" w:pos="1440"/>
          <w:tab w:val="left" w:pos="4680"/>
          <w:tab w:val="center" w:pos="7200"/>
        </w:tabs>
        <w:spacing w:after="0"/>
        <w:jc w:val="center"/>
      </w:pPr>
      <w:bookmarkStart w:id="2" w:name="LD"/>
      <w:bookmarkEnd w:id="2"/>
      <w:r w:rsidRPr="008C0627">
        <w:t>Plaintiffs and Appellants,</w:t>
      </w:r>
    </w:p>
    <w:p w:rsidR="009C5ADD" w:rsidRPr="008C0627" w:rsidP="00BA2301">
      <w:pPr>
        <w:tabs>
          <w:tab w:val="left" w:pos="1440"/>
          <w:tab w:val="left" w:pos="4680"/>
          <w:tab w:val="center" w:pos="7200"/>
        </w:tabs>
        <w:spacing w:after="0"/>
        <w:jc w:val="center"/>
      </w:pPr>
      <w:bookmarkStart w:id="3" w:name="casenum"/>
      <w:bookmarkEnd w:id="3"/>
      <w:r w:rsidRPr="008C0627">
        <w:t>v.</w:t>
      </w:r>
    </w:p>
    <w:p w:rsidR="009C5ADD" w:rsidRPr="008C0627" w:rsidP="00BA2301">
      <w:pPr>
        <w:tabs>
          <w:tab w:val="left" w:pos="1440"/>
          <w:tab w:val="left" w:pos="4680"/>
          <w:tab w:val="center" w:pos="7200"/>
        </w:tabs>
        <w:spacing w:after="0"/>
        <w:jc w:val="center"/>
      </w:pPr>
      <w:r w:rsidRPr="008C0627">
        <w:t>THE PEOPLE</w:t>
      </w:r>
      <w:bookmarkStart w:id="4" w:name="appealnum"/>
      <w:bookmarkStart w:id="5" w:name="defendant"/>
      <w:bookmarkEnd w:id="4"/>
      <w:bookmarkEnd w:id="5"/>
      <w:r w:rsidRPr="008C0627">
        <w:t xml:space="preserve"> </w:t>
      </w:r>
      <w:r w:rsidRPr="008C0627">
        <w:t xml:space="preserve">ex rel. </w:t>
      </w:r>
      <w:r w:rsidRPr="008C0627">
        <w:t xml:space="preserve">DEPARTMENT OF TRANSPORTATION </w:t>
      </w:r>
      <w:r w:rsidRPr="008C0627">
        <w:t xml:space="preserve">et al.,                           </w:t>
      </w:r>
    </w:p>
    <w:p w:rsidR="009C5ADD" w:rsidRPr="008C0627" w:rsidP="009C5ADD">
      <w:pPr>
        <w:tabs>
          <w:tab w:val="left" w:pos="1440"/>
          <w:tab w:val="left" w:pos="4680"/>
          <w:tab w:val="center" w:pos="7200"/>
        </w:tabs>
        <w:spacing w:after="0"/>
        <w:jc w:val="center"/>
      </w:pPr>
      <w:bookmarkStart w:id="6" w:name="county"/>
      <w:bookmarkStart w:id="7" w:name="VD"/>
      <w:bookmarkEnd w:id="6"/>
      <w:bookmarkEnd w:id="7"/>
      <w:r w:rsidRPr="008C0627">
        <w:t>Defendants and Respondents.</w:t>
      </w:r>
    </w:p>
    <w:p w:rsidR="009C5ADD" w:rsidRPr="008C0627" w:rsidP="009C5ADD">
      <w:pPr>
        <w:tabs>
          <w:tab w:val="left" w:pos="1440"/>
          <w:tab w:val="left" w:pos="4680"/>
          <w:tab w:val="center" w:pos="7200"/>
        </w:tabs>
        <w:spacing w:after="0"/>
        <w:jc w:val="center"/>
      </w:pPr>
    </w:p>
    <w:p w:rsidR="009C5ADD" w:rsidRPr="008C0627" w:rsidP="009C5ADD">
      <w:pPr>
        <w:tabs>
          <w:tab w:val="left" w:pos="1440"/>
          <w:tab w:val="left" w:pos="4680"/>
          <w:tab w:val="center" w:pos="7200"/>
        </w:tabs>
        <w:spacing w:after="0"/>
        <w:jc w:val="center"/>
      </w:pPr>
      <w:r w:rsidRPr="008C0627">
        <w:t>S248141</w:t>
      </w:r>
    </w:p>
    <w:p w:rsidR="009C5ADD" w:rsidRPr="008C0627" w:rsidP="009C5ADD">
      <w:pPr>
        <w:tabs>
          <w:tab w:val="left" w:pos="1440"/>
          <w:tab w:val="left" w:pos="4680"/>
          <w:tab w:val="center" w:pos="7200"/>
        </w:tabs>
        <w:spacing w:after="0"/>
        <w:jc w:val="center"/>
      </w:pPr>
    </w:p>
    <w:p w:rsidR="009C5ADD" w:rsidRPr="008C0627" w:rsidP="009C5ADD">
      <w:pPr>
        <w:tabs>
          <w:tab w:val="left" w:pos="1440"/>
          <w:tab w:val="left" w:pos="4680"/>
          <w:tab w:val="center" w:pos="7200"/>
        </w:tabs>
        <w:spacing w:after="0"/>
        <w:jc w:val="center"/>
      </w:pPr>
      <w:r w:rsidRPr="008C0627">
        <w:t>Fourth Appellate District, Division Three</w:t>
      </w:r>
    </w:p>
    <w:p w:rsidR="009C5ADD" w:rsidRPr="008C0627" w:rsidP="00BA2301">
      <w:pPr>
        <w:tabs>
          <w:tab w:val="left" w:pos="1440"/>
          <w:tab w:val="left" w:pos="4680"/>
          <w:tab w:val="center" w:pos="7200"/>
        </w:tabs>
        <w:spacing w:after="0"/>
        <w:jc w:val="center"/>
      </w:pPr>
      <w:r w:rsidRPr="008C0627">
        <w:t>G052735</w:t>
      </w:r>
    </w:p>
    <w:p w:rsidR="009C5ADD" w:rsidRPr="008C0627" w:rsidP="009C5ADD">
      <w:pPr>
        <w:tabs>
          <w:tab w:val="left" w:pos="1440"/>
          <w:tab w:val="left" w:pos="4680"/>
          <w:tab w:val="center" w:pos="7200"/>
        </w:tabs>
        <w:spacing w:after="0"/>
        <w:jc w:val="center"/>
      </w:pPr>
      <w:bookmarkStart w:id="8" w:name="supernum"/>
      <w:bookmarkEnd w:id="8"/>
    </w:p>
    <w:p w:rsidR="009C5ADD" w:rsidRPr="008C0627" w:rsidP="009C5ADD">
      <w:pPr>
        <w:tabs>
          <w:tab w:val="left" w:pos="1440"/>
          <w:tab w:val="left" w:pos="4680"/>
          <w:tab w:val="center" w:pos="7200"/>
        </w:tabs>
        <w:spacing w:after="0"/>
        <w:jc w:val="center"/>
      </w:pPr>
      <w:r w:rsidRPr="008C0627">
        <w:t>Orange County Superior Court</w:t>
      </w:r>
    </w:p>
    <w:p w:rsidR="009C5ADD" w:rsidRPr="008C0627" w:rsidP="00BA2301">
      <w:pPr>
        <w:tabs>
          <w:tab w:val="left" w:pos="1440"/>
          <w:tab w:val="left" w:pos="4680"/>
          <w:tab w:val="center" w:pos="7200"/>
        </w:tabs>
        <w:spacing w:after="0"/>
        <w:jc w:val="center"/>
      </w:pPr>
      <w:r w:rsidRPr="008C0627">
        <w:t xml:space="preserve">30-2012-00605637 </w:t>
      </w:r>
    </w:p>
    <w:p w:rsidR="009C5ADD" w:rsidRPr="008C0627" w:rsidP="009C5ADD">
      <w:pPr>
        <w:pBdr>
          <w:bottom w:val="single" w:sz="4" w:space="1" w:color="auto"/>
        </w:pBdr>
        <w:tabs>
          <w:tab w:val="left" w:pos="1440"/>
          <w:tab w:val="left" w:pos="4680"/>
          <w:tab w:val="center" w:pos="7200"/>
        </w:tabs>
        <w:spacing w:after="0"/>
        <w:jc w:val="center"/>
      </w:pPr>
    </w:p>
    <w:p w:rsidR="009C5ADD" w:rsidRPr="008C0627" w:rsidP="009C5ADD">
      <w:pPr>
        <w:tabs>
          <w:tab w:val="left" w:pos="1440"/>
          <w:tab w:val="left" w:pos="4680"/>
          <w:tab w:val="center" w:pos="7200"/>
        </w:tabs>
        <w:spacing w:after="0"/>
        <w:jc w:val="center"/>
      </w:pPr>
    </w:p>
    <w:p w:rsidR="009C5ADD" w:rsidRPr="008C0627" w:rsidP="009C5ADD">
      <w:pPr>
        <w:tabs>
          <w:tab w:val="left" w:pos="1440"/>
          <w:tab w:val="left" w:pos="4680"/>
          <w:tab w:val="center" w:pos="7200"/>
        </w:tabs>
        <w:spacing w:after="0"/>
        <w:jc w:val="center"/>
      </w:pPr>
      <w:r>
        <w:t>July 16</w:t>
      </w:r>
      <w:r w:rsidRPr="008C0627">
        <w:t>, 2020</w:t>
      </w:r>
    </w:p>
    <w:p w:rsidR="009C5ADD" w:rsidRPr="008C0627" w:rsidP="009C5ADD">
      <w:pPr>
        <w:tabs>
          <w:tab w:val="left" w:pos="1440"/>
          <w:tab w:val="left" w:pos="4680"/>
          <w:tab w:val="center" w:pos="7200"/>
        </w:tabs>
        <w:spacing w:after="0"/>
        <w:jc w:val="center"/>
      </w:pPr>
    </w:p>
    <w:p w:rsidR="00CC3692" w:rsidP="00CC3692">
      <w:pPr>
        <w:tabs>
          <w:tab w:val="left" w:pos="1440"/>
          <w:tab w:val="left" w:pos="4680"/>
          <w:tab w:val="center" w:pos="7200"/>
        </w:tabs>
        <w:spacing w:after="0"/>
        <w:jc w:val="left"/>
        <w:rPr>
          <w:szCs w:val="26"/>
        </w:rPr>
      </w:pPr>
      <w:r w:rsidRPr="003E5A8A">
        <w:t>Justice Groban authored the opinion of the Court,</w:t>
      </w:r>
      <w:r>
        <w:t xml:space="preserve"> </w:t>
      </w:r>
      <w:r>
        <w:rPr>
          <w:szCs w:val="26"/>
        </w:rPr>
        <w:t>in which Chief Justice Cantil-Sakauye and Justices Chin, Corrigan, Liu, Cuéllar, and Kruger concurred.</w:t>
      </w:r>
    </w:p>
    <w:p w:rsidR="009C5ADD" w:rsidRPr="008C0627" w:rsidP="009C5ADD">
      <w:pPr>
        <w:pBdr>
          <w:bottom w:val="single" w:sz="4" w:space="1" w:color="auto"/>
        </w:pBdr>
        <w:tabs>
          <w:tab w:val="left" w:pos="1440"/>
          <w:tab w:val="left" w:pos="4680"/>
          <w:tab w:val="center" w:pos="7200"/>
        </w:tabs>
        <w:spacing w:line="480" w:lineRule="atLeast"/>
        <w:jc w:val="left"/>
      </w:pPr>
      <w:bookmarkStart w:id="9" w:name="Return"/>
      <w:bookmarkEnd w:id="9"/>
    </w:p>
    <w:p w:rsidR="009C5ADD" w:rsidRPr="008C0627">
      <w:pPr>
        <w:tabs>
          <w:tab w:val="left" w:pos="1440"/>
          <w:tab w:val="left" w:pos="4680"/>
          <w:tab w:val="center" w:pos="7200"/>
        </w:tabs>
        <w:spacing w:line="480" w:lineRule="atLeast"/>
        <w:sectPr w:rsidSect="0002710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9C5ADD" w:rsidRPr="008C0627" w:rsidP="006170A4">
      <w:pPr>
        <w:tabs>
          <w:tab w:val="left" w:pos="1440"/>
          <w:tab w:val="left" w:pos="4680"/>
          <w:tab w:val="center" w:pos="7200"/>
        </w:tabs>
        <w:jc w:val="center"/>
      </w:pPr>
      <w:r w:rsidRPr="008C0627">
        <w:t>WEISS</w:t>
      </w:r>
      <w:r w:rsidRPr="008C0627">
        <w:t xml:space="preserve"> v. </w:t>
      </w:r>
      <w:r w:rsidRPr="008C0627">
        <w:t xml:space="preserve">PEOPLE </w:t>
      </w:r>
      <w:r w:rsidRPr="008C0627">
        <w:t xml:space="preserve">ex rel. </w:t>
      </w:r>
      <w:r w:rsidRPr="008C0627">
        <w:t>DEPARTMENT OF TRANSPORTATION</w:t>
      </w:r>
      <w:r w:rsidRPr="008C0627">
        <w:t xml:space="preserve">                           </w:t>
      </w:r>
    </w:p>
    <w:p w:rsidR="009C5ADD" w:rsidRPr="008C0627" w:rsidP="00BA2301">
      <w:pPr>
        <w:tabs>
          <w:tab w:val="left" w:pos="1440"/>
          <w:tab w:val="left" w:pos="4680"/>
          <w:tab w:val="center" w:pos="7200"/>
        </w:tabs>
        <w:jc w:val="center"/>
        <w:rPr>
          <w:rFonts w:ascii="Times New Roman" w:hAnsi="Times New Roman"/>
          <w:sz w:val="26"/>
        </w:rPr>
      </w:pPr>
      <w:r w:rsidRPr="008C0627">
        <w:t>S248141</w:t>
      </w:r>
    </w:p>
    <w:p w:rsidR="009C5ADD" w:rsidRPr="008C0627" w:rsidP="00BA2301">
      <w:pPr>
        <w:tabs>
          <w:tab w:val="left" w:pos="1440"/>
          <w:tab w:val="left" w:pos="4680"/>
          <w:tab w:val="center" w:pos="7200"/>
        </w:tabs>
        <w:jc w:val="center"/>
      </w:pPr>
    </w:p>
    <w:p w:rsidR="009C5ADD" w:rsidRPr="008C0627" w:rsidP="009C5ADD">
      <w:pPr>
        <w:tabs>
          <w:tab w:val="left" w:pos="1440"/>
          <w:tab w:val="left" w:pos="4680"/>
          <w:tab w:val="center" w:pos="7200"/>
        </w:tabs>
        <w:jc w:val="center"/>
      </w:pPr>
      <w:bookmarkStart w:id="10" w:name="justice"/>
      <w:bookmarkEnd w:id="10"/>
      <w:r w:rsidRPr="008C0627">
        <w:t>Opinion of the Court by Groban</w:t>
      </w:r>
      <w:r w:rsidRPr="008C0627" w:rsidR="00327ED8">
        <w:t>, J.</w:t>
      </w:r>
    </w:p>
    <w:p w:rsidR="009C5ADD" w:rsidRPr="008C0627" w:rsidP="00BA2301">
      <w:pPr>
        <w:tabs>
          <w:tab w:val="left" w:pos="1440"/>
          <w:tab w:val="left" w:pos="4680"/>
          <w:tab w:val="center" w:pos="7200"/>
        </w:tabs>
        <w:jc w:val="center"/>
      </w:pPr>
      <w:bookmarkStart w:id="11" w:name="mainstory"/>
      <w:bookmarkEnd w:id="11"/>
    </w:p>
    <w:p w:rsidR="00032AF5" w:rsidRPr="008C0627" w:rsidP="006D49F8">
      <w:pPr>
        <w:tabs>
          <w:tab w:val="left" w:pos="1440"/>
        </w:tabs>
        <w:ind w:firstLine="720"/>
      </w:pPr>
      <w:bookmarkStart w:id="12" w:name="Psych_Cite_1"/>
      <w:r w:rsidRPr="008C0627">
        <w:t>Code of Civil Procedure section 1260.040</w:t>
      </w:r>
      <w:r>
        <w:rPr>
          <w:rStyle w:val="FootnoteReference"/>
        </w:rPr>
        <w:footnoteReference w:id="3"/>
      </w:r>
      <w:bookmarkEnd w:id="12"/>
      <w:r w:rsidRPr="008C0627" w:rsidR="00A40D55">
        <w:t xml:space="preserve"> </w:t>
      </w:r>
      <w:r w:rsidRPr="008C0627">
        <w:t xml:space="preserve">authorizes a pretrial motion </w:t>
      </w:r>
      <w:r w:rsidRPr="008C0627" w:rsidR="00BA38B7">
        <w:t>for</w:t>
      </w:r>
      <w:r w:rsidRPr="008C0627">
        <w:t xml:space="preserve"> a ruling on “an evidentiary or other legal issue affecting the determination of compensation</w:t>
      </w:r>
      <w:r w:rsidRPr="008C0627" w:rsidR="00BB6BCA">
        <w:t>.</w:t>
      </w:r>
      <w:r w:rsidRPr="008C0627">
        <w:t>”  (</w:t>
      </w:r>
      <w:bookmarkStart w:id="13" w:name="Psych_Cite_2"/>
      <w:r w:rsidRPr="008C0627">
        <w:rPr>
          <w:i/>
        </w:rPr>
        <w:t>Id</w:t>
      </w:r>
      <w:r w:rsidRPr="008C0627">
        <w:t>.</w:t>
      </w:r>
      <w:r w:rsidR="00E736BA">
        <w:t>,</w:t>
      </w:r>
      <w:r w:rsidRPr="008C0627">
        <w:t xml:space="preserve"> subd</w:t>
      </w:r>
      <w:bookmarkEnd w:id="13"/>
      <w:r w:rsidRPr="008C0627">
        <w:t>. (a)</w:t>
      </w:r>
      <w:r w:rsidRPr="008C0627" w:rsidR="0065620C">
        <w:t>.</w:t>
      </w:r>
      <w:r w:rsidRPr="008C0627">
        <w:t>)</w:t>
      </w:r>
      <w:r w:rsidRPr="008C0627" w:rsidR="00023F71">
        <w:t xml:space="preserve">  </w:t>
      </w:r>
      <w:r w:rsidRPr="008C0627" w:rsidR="00147865">
        <w:t>This motion is one of the special</w:t>
      </w:r>
      <w:r w:rsidRPr="008C0627" w:rsidR="005A5555">
        <w:t xml:space="preserve"> procedures </w:t>
      </w:r>
      <w:r w:rsidRPr="008C0627" w:rsidR="004F5A23">
        <w:t>set out in the Eminent Domain Law</w:t>
      </w:r>
      <w:r w:rsidRPr="008C0627" w:rsidR="00B700CC">
        <w:t xml:space="preserve">. </w:t>
      </w:r>
      <w:r w:rsidRPr="008C0627" w:rsidR="004F5A23">
        <w:t xml:space="preserve"> (</w:t>
      </w:r>
      <w:bookmarkStart w:id="14" w:name="Psych_Cite_4"/>
      <w:r w:rsidRPr="008C0627" w:rsidR="004F5A23">
        <w:t>§§</w:t>
      </w:r>
      <w:r w:rsidR="00987E47">
        <w:t> </w:t>
      </w:r>
      <w:r w:rsidRPr="008C0627" w:rsidR="004F5A23">
        <w:t>1230.010–1273.050</w:t>
      </w:r>
      <w:bookmarkEnd w:id="14"/>
      <w:r w:rsidRPr="008C0627" w:rsidR="000949D1">
        <w:t>.</w:t>
      </w:r>
      <w:r w:rsidRPr="008C0627" w:rsidR="004F5A23">
        <w:t>)</w:t>
      </w:r>
      <w:r w:rsidRPr="008C0627" w:rsidR="005A5555">
        <w:t xml:space="preserve">  </w:t>
      </w:r>
      <w:r w:rsidRPr="008C0627" w:rsidR="002A48D6">
        <w:t xml:space="preserve">The public </w:t>
      </w:r>
      <w:r w:rsidRPr="008C0627" w:rsidR="000E1390">
        <w:t>entity</w:t>
      </w:r>
      <w:r>
        <w:rPr>
          <w:rStyle w:val="FootnoteReference"/>
        </w:rPr>
        <w:footnoteReference w:id="4"/>
      </w:r>
      <w:r w:rsidRPr="008C0627" w:rsidR="002A48D6">
        <w:t xml:space="preserve"> defendants </w:t>
      </w:r>
      <w:r w:rsidR="005B47AF">
        <w:t>in this inverse condemnation action</w:t>
      </w:r>
      <w:r w:rsidRPr="008C0627" w:rsidR="002A48D6">
        <w:t xml:space="preserve"> ask us</w:t>
      </w:r>
      <w:r w:rsidRPr="008C0627" w:rsidR="0017033F">
        <w:t xml:space="preserve"> </w:t>
      </w:r>
      <w:r w:rsidRPr="008C0627" w:rsidR="00846342">
        <w:t>to “</w:t>
      </w:r>
      <w:r w:rsidRPr="008C0627" w:rsidR="00BA3606">
        <w:t>judicially import”</w:t>
      </w:r>
      <w:r w:rsidRPr="008C0627" w:rsidR="00846342">
        <w:t xml:space="preserve"> </w:t>
      </w:r>
      <w:bookmarkStart w:id="15" w:name="Psych_Cite_5"/>
      <w:r w:rsidRPr="008C0627" w:rsidR="00846342">
        <w:t>section</w:t>
      </w:r>
      <w:r w:rsidRPr="008C0627" w:rsidR="008601D9">
        <w:t xml:space="preserve"> 1260.040</w:t>
      </w:r>
      <w:r w:rsidR="005B47AF">
        <w:t xml:space="preserve"> </w:t>
      </w:r>
      <w:bookmarkEnd w:id="15"/>
      <w:r w:rsidRPr="008C0627" w:rsidR="00042925">
        <w:t>in</w:t>
      </w:r>
      <w:r w:rsidRPr="008C0627" w:rsidR="00AB2FE0">
        <w:t>to</w:t>
      </w:r>
      <w:r w:rsidRPr="008C0627" w:rsidR="00042925">
        <w:t xml:space="preserve"> </w:t>
      </w:r>
      <w:r w:rsidRPr="008C0627" w:rsidR="00846342">
        <w:t xml:space="preserve">inverse condemnation </w:t>
      </w:r>
      <w:r w:rsidRPr="008C0627" w:rsidR="00147865">
        <w:t>procedure</w:t>
      </w:r>
      <w:r w:rsidRPr="008C0627" w:rsidR="002E16A5">
        <w:t>.</w:t>
      </w:r>
      <w:r w:rsidR="006D49F8">
        <w:t xml:space="preserve">  </w:t>
      </w:r>
      <w:r w:rsidRPr="008C0627" w:rsidR="0022359E">
        <w:t>W</w:t>
      </w:r>
      <w:r w:rsidRPr="008C0627" w:rsidR="00DC71C7">
        <w:t xml:space="preserve">e deny this request.  </w:t>
      </w:r>
      <w:r w:rsidR="005B47AF">
        <w:t>T</w:t>
      </w:r>
      <w:r w:rsidRPr="008C0627" w:rsidR="008E307E">
        <w:t xml:space="preserve">he special </w:t>
      </w:r>
      <w:r w:rsidRPr="008C0627" w:rsidR="0017033F">
        <w:t>statutory procedures</w:t>
      </w:r>
      <w:r w:rsidRPr="008C0627" w:rsidR="0087738F">
        <w:t xml:space="preserve"> </w:t>
      </w:r>
      <w:r w:rsidRPr="008C0627" w:rsidR="00C73CED">
        <w:t>that govern</w:t>
      </w:r>
      <w:r w:rsidRPr="008C0627" w:rsidR="008E307E">
        <w:t xml:space="preserve"> </w:t>
      </w:r>
      <w:r w:rsidRPr="008C0627" w:rsidR="000E1390">
        <w:t xml:space="preserve">a public entity’s exercise of </w:t>
      </w:r>
      <w:r w:rsidRPr="008C0627" w:rsidR="000949D1">
        <w:t xml:space="preserve">the power of eminent domain </w:t>
      </w:r>
      <w:r w:rsidRPr="008C0627" w:rsidR="00DC71C7">
        <w:t>are inapplicable in</w:t>
      </w:r>
      <w:r w:rsidRPr="008C0627" w:rsidR="001E1EF0">
        <w:t xml:space="preserve"> inverse condemnation actions</w:t>
      </w:r>
      <w:r w:rsidRPr="008C0627" w:rsidR="00BA3606">
        <w:t xml:space="preserve">, which instead proceed by the rules governing ordinary civil </w:t>
      </w:r>
      <w:r w:rsidRPr="008C0627" w:rsidR="00807BF3">
        <w:t>actions</w:t>
      </w:r>
      <w:r w:rsidRPr="008C0627" w:rsidR="00BA3606">
        <w:t xml:space="preserve">.  </w:t>
      </w:r>
      <w:r w:rsidRPr="008C0627" w:rsidR="00353411">
        <w:t>W</w:t>
      </w:r>
      <w:r w:rsidRPr="008C0627" w:rsidR="00BA3606">
        <w:t xml:space="preserve">e </w:t>
      </w:r>
      <w:r w:rsidRPr="008C0627" w:rsidR="00DC71C7">
        <w:t>usually</w:t>
      </w:r>
      <w:r w:rsidRPr="008C0627" w:rsidR="00BA3606">
        <w:t xml:space="preserve"> leave the adoption </w:t>
      </w:r>
      <w:r w:rsidRPr="008C0627" w:rsidR="002A48D6">
        <w:t>and amendment of</w:t>
      </w:r>
      <w:r w:rsidRPr="008C0627" w:rsidR="00C268B2">
        <w:t xml:space="preserve"> </w:t>
      </w:r>
      <w:r w:rsidRPr="008C0627" w:rsidR="00807BF3">
        <w:t>statewide</w:t>
      </w:r>
      <w:r w:rsidRPr="008C0627" w:rsidR="008B5A83">
        <w:t xml:space="preserve"> </w:t>
      </w:r>
      <w:r w:rsidRPr="008C0627" w:rsidR="00BA3606">
        <w:t xml:space="preserve">rules </w:t>
      </w:r>
      <w:r w:rsidRPr="008C0627" w:rsidR="008B5A83">
        <w:t xml:space="preserve">governing the conduct of trial court proceedings </w:t>
      </w:r>
      <w:r w:rsidRPr="008C0627" w:rsidR="00BA3606">
        <w:t>to the Legislature or the Judicial Council</w:t>
      </w:r>
      <w:r w:rsidRPr="008C0627" w:rsidR="0052020F">
        <w:t>,</w:t>
      </w:r>
      <w:r w:rsidRPr="008C0627" w:rsidR="00BA3606">
        <w:t xml:space="preserve"> and</w:t>
      </w:r>
      <w:r w:rsidRPr="008C0627" w:rsidR="0052020F">
        <w:t xml:space="preserve"> we</w:t>
      </w:r>
      <w:r w:rsidRPr="008C0627" w:rsidR="00BA3606">
        <w:t xml:space="preserve"> see no reason to depart from our usual practice in this context.</w:t>
      </w:r>
    </w:p>
    <w:p w:rsidR="003117C0" w:rsidRPr="008C0627" w:rsidP="00BA2301">
      <w:pPr>
        <w:tabs>
          <w:tab w:val="left" w:pos="1440"/>
        </w:tabs>
        <w:ind w:firstLine="720"/>
      </w:pPr>
      <w:r w:rsidRPr="008C0627">
        <w:t>A t</w:t>
      </w:r>
      <w:r w:rsidRPr="008C0627" w:rsidR="00195AD5">
        <w:t>rial court may</w:t>
      </w:r>
      <w:r w:rsidRPr="008C0627" w:rsidR="008041AE">
        <w:t xml:space="preserve">, </w:t>
      </w:r>
      <w:r w:rsidRPr="008C0627" w:rsidR="00B40C84">
        <w:t>in certain circumstances</w:t>
      </w:r>
      <w:r w:rsidRPr="008C0627" w:rsidR="008041AE">
        <w:t>,</w:t>
      </w:r>
      <w:r w:rsidRPr="008C0627" w:rsidR="00195AD5">
        <w:t xml:space="preserve"> </w:t>
      </w:r>
      <w:r w:rsidRPr="008C0627" w:rsidR="00B700CC">
        <w:t>devise</w:t>
      </w:r>
      <w:r w:rsidRPr="008C0627" w:rsidR="00195AD5">
        <w:t xml:space="preserve"> or borrow </w:t>
      </w:r>
      <w:r w:rsidRPr="008C0627">
        <w:t xml:space="preserve">a </w:t>
      </w:r>
      <w:r w:rsidRPr="008C0627" w:rsidR="00195AD5">
        <w:t xml:space="preserve">procedure </w:t>
      </w:r>
      <w:r w:rsidRPr="008C0627">
        <w:t>appropriate to the specific litigation before it</w:t>
      </w:r>
      <w:r w:rsidRPr="008C0627" w:rsidR="000949D1">
        <w:t>.  B</w:t>
      </w:r>
      <w:r w:rsidRPr="008C0627" w:rsidR="00195AD5">
        <w:t xml:space="preserve">ut </w:t>
      </w:r>
      <w:r w:rsidRPr="008C0627" w:rsidR="008041AE">
        <w:t xml:space="preserve">it may not do so </w:t>
      </w:r>
      <w:r w:rsidRPr="008C0627" w:rsidR="00195AD5">
        <w:t xml:space="preserve">when an applicable procedure is </w:t>
      </w:r>
      <w:r w:rsidRPr="008C0627" w:rsidR="00195AD5">
        <w:t xml:space="preserve">provided by </w:t>
      </w:r>
      <w:r w:rsidR="005237B4">
        <w:t xml:space="preserve">a </w:t>
      </w:r>
      <w:r w:rsidRPr="008C0627" w:rsidR="00195AD5">
        <w:t xml:space="preserve">statute or </w:t>
      </w:r>
      <w:r w:rsidR="00E736BA">
        <w:t>r</w:t>
      </w:r>
      <w:r w:rsidRPr="008C0627" w:rsidR="00E736BA">
        <w:t xml:space="preserve">ule </w:t>
      </w:r>
      <w:r w:rsidRPr="008C0627" w:rsidR="00195AD5">
        <w:t xml:space="preserve">of </w:t>
      </w:r>
      <w:r w:rsidR="00E736BA">
        <w:t>c</w:t>
      </w:r>
      <w:r w:rsidRPr="008C0627" w:rsidR="00E736BA">
        <w:t>ourt</w:t>
      </w:r>
      <w:r w:rsidRPr="008C0627" w:rsidR="00195AD5">
        <w:t>.  In th</w:t>
      </w:r>
      <w:r w:rsidRPr="008C0627" w:rsidR="008041AE">
        <w:t>is action</w:t>
      </w:r>
      <w:r w:rsidRPr="008C0627" w:rsidR="00195AD5">
        <w:t xml:space="preserve">, the </w:t>
      </w:r>
      <w:r w:rsidRPr="008C0627" w:rsidR="00231441">
        <w:t xml:space="preserve">public entities borrowed </w:t>
      </w:r>
      <w:bookmarkStart w:id="16" w:name="Psych_Cite_6"/>
      <w:r w:rsidRPr="008C0627" w:rsidR="00231441">
        <w:t>section 1260.040</w:t>
      </w:r>
      <w:bookmarkEnd w:id="16"/>
      <w:r w:rsidRPr="008C0627" w:rsidR="00231441">
        <w:t xml:space="preserve"> from the Eminent Domain Law </w:t>
      </w:r>
      <w:r w:rsidR="00D86705">
        <w:t xml:space="preserve">and used it </w:t>
      </w:r>
      <w:r w:rsidRPr="008C0627" w:rsidR="00231441">
        <w:t xml:space="preserve">to request </w:t>
      </w:r>
      <w:r w:rsidRPr="008C0627" w:rsidR="00195AD5">
        <w:t>a dispositive pretrial ruling on inverse condemnation liability.  We conclude t</w:t>
      </w:r>
      <w:r w:rsidRPr="008C0627" w:rsidR="00E120E3">
        <w:t>he</w:t>
      </w:r>
      <w:r w:rsidRPr="008C0627" w:rsidR="0052020F">
        <w:t xml:space="preserve"> trial court erred i</w:t>
      </w:r>
      <w:r w:rsidRPr="008C0627" w:rsidR="008B28A9">
        <w:t xml:space="preserve">n </w:t>
      </w:r>
      <w:r w:rsidR="006D49F8">
        <w:t xml:space="preserve">using </w:t>
      </w:r>
      <w:r w:rsidR="004C4ED1">
        <w:t>this procedure</w:t>
      </w:r>
      <w:r w:rsidRPr="008C0627" w:rsidR="00231441">
        <w:t xml:space="preserve"> </w:t>
      </w:r>
      <w:r w:rsidR="00533EF3">
        <w:t>because</w:t>
      </w:r>
      <w:r w:rsidRPr="008C0627" w:rsidR="00533EF3">
        <w:t xml:space="preserve"> </w:t>
      </w:r>
      <w:r w:rsidRPr="008C0627" w:rsidR="00231441">
        <w:t xml:space="preserve">the summary judgment statute </w:t>
      </w:r>
      <w:r w:rsidRPr="008C0627" w:rsidR="00E120E3">
        <w:t>was available</w:t>
      </w:r>
      <w:r w:rsidRPr="008C0627" w:rsidR="00293DE9">
        <w:t xml:space="preserve"> </w:t>
      </w:r>
      <w:r w:rsidRPr="008C0627" w:rsidR="00195AD5">
        <w:t>for that purpose</w:t>
      </w:r>
      <w:r w:rsidRPr="008C0627" w:rsidR="00BB6B1C">
        <w:t xml:space="preserve"> </w:t>
      </w:r>
      <w:r w:rsidRPr="008C0627" w:rsidR="00EB7C7A">
        <w:t xml:space="preserve">and </w:t>
      </w:r>
      <w:r w:rsidRPr="008C0627" w:rsidR="00353411">
        <w:t xml:space="preserve">any </w:t>
      </w:r>
      <w:r w:rsidRPr="008C0627" w:rsidR="00EB7C7A">
        <w:t xml:space="preserve">disputes of material fact could have been resolved in a </w:t>
      </w:r>
      <w:r w:rsidRPr="008C0627" w:rsidR="00BB6B1C">
        <w:t>bench trial</w:t>
      </w:r>
      <w:r w:rsidRPr="008C0627" w:rsidR="00125C8A">
        <w:t xml:space="preserve">.  </w:t>
      </w:r>
      <w:r w:rsidRPr="008C0627" w:rsidR="001C2C07">
        <w:t xml:space="preserve">The Court of Appeal reached a similar conclusion and reversed the trial </w:t>
      </w:r>
      <w:r w:rsidRPr="008C0627" w:rsidR="00B20ED1">
        <w:t>c</w:t>
      </w:r>
      <w:r w:rsidRPr="008C0627" w:rsidR="001C2C07">
        <w:t xml:space="preserve">ourt’s </w:t>
      </w:r>
      <w:r w:rsidRPr="008C0627" w:rsidR="00B20ED1">
        <w:t>j</w:t>
      </w:r>
      <w:r w:rsidRPr="008C0627" w:rsidR="001C2C07">
        <w:t>udgment.</w:t>
      </w:r>
      <w:r w:rsidRPr="008C0627">
        <w:t xml:space="preserve">  </w:t>
      </w:r>
      <w:r w:rsidRPr="008C0627" w:rsidR="00947C7B">
        <w:t>W</w:t>
      </w:r>
      <w:r w:rsidRPr="008C0627" w:rsidR="00A975CA">
        <w:t xml:space="preserve">e </w:t>
      </w:r>
      <w:r w:rsidRPr="008C0627" w:rsidR="00947C7B">
        <w:t>affirm</w:t>
      </w:r>
      <w:r w:rsidRPr="008C0627" w:rsidR="00A975CA">
        <w:t>.</w:t>
      </w:r>
    </w:p>
    <w:p w:rsidR="001E20B3" w:rsidRPr="008C0627" w:rsidP="00BA2301">
      <w:pPr>
        <w:tabs>
          <w:tab w:val="left" w:pos="1440"/>
        </w:tabs>
        <w:jc w:val="center"/>
        <w:rPr>
          <w:b/>
          <w:caps/>
        </w:rPr>
      </w:pPr>
      <w:r w:rsidRPr="008C0627">
        <w:rPr>
          <w:b/>
        </w:rPr>
        <w:t>I</w:t>
      </w:r>
      <w:r w:rsidRPr="008C0627" w:rsidR="0093799C">
        <w:rPr>
          <w:b/>
        </w:rPr>
        <w:t>.</w:t>
      </w:r>
      <w:r w:rsidRPr="008C0627" w:rsidR="007A45AA">
        <w:rPr>
          <w:b/>
        </w:rPr>
        <w:t xml:space="preserve"> </w:t>
      </w:r>
      <w:r w:rsidRPr="008C0627" w:rsidR="007B7CAA">
        <w:rPr>
          <w:b/>
        </w:rPr>
        <w:t xml:space="preserve"> </w:t>
      </w:r>
      <w:r w:rsidRPr="008C0627" w:rsidR="007A45AA">
        <w:rPr>
          <w:b/>
          <w:caps/>
        </w:rPr>
        <w:t>Background</w:t>
      </w:r>
    </w:p>
    <w:p w:rsidR="00B5553A" w:rsidRPr="008C0627" w:rsidP="009C5ADD">
      <w:pPr>
        <w:pStyle w:val="Heading2"/>
      </w:pPr>
      <w:r w:rsidRPr="008C0627">
        <w:t>A</w:t>
      </w:r>
      <w:r w:rsidRPr="008C0627" w:rsidR="00EE5B60">
        <w:t xml:space="preserve">. </w:t>
      </w:r>
      <w:r w:rsidRPr="008C0627">
        <w:t>Trial Court Proceedings</w:t>
      </w:r>
    </w:p>
    <w:p w:rsidR="001635BF" w:rsidRPr="008C0627" w:rsidP="00BA2301">
      <w:pPr>
        <w:tabs>
          <w:tab w:val="left" w:pos="1440"/>
        </w:tabs>
        <w:ind w:firstLine="720"/>
      </w:pPr>
      <w:r w:rsidRPr="008C0627">
        <w:t xml:space="preserve">This case began when </w:t>
      </w:r>
      <w:r w:rsidRPr="008C0627" w:rsidR="009A5884">
        <w:t xml:space="preserve">the owners of </w:t>
      </w:r>
      <w:r w:rsidRPr="008C0627" w:rsidR="0030691F">
        <w:t xml:space="preserve">three single-family </w:t>
      </w:r>
      <w:r w:rsidRPr="008C0627" w:rsidR="009A5884">
        <w:t>homes and a small hotel</w:t>
      </w:r>
      <w:r w:rsidRPr="008C0627" w:rsidR="006E2F98">
        <w:t xml:space="preserve"> </w:t>
      </w:r>
      <w:r w:rsidRPr="008C0627">
        <w:t xml:space="preserve">located </w:t>
      </w:r>
      <w:r w:rsidRPr="008C0627" w:rsidR="0037769B">
        <w:t xml:space="preserve">just to the east of </w:t>
      </w:r>
      <w:r w:rsidRPr="008C0627">
        <w:t xml:space="preserve">the Interstate 5 </w:t>
      </w:r>
      <w:r w:rsidRPr="008C0627">
        <w:t>fre</w:t>
      </w:r>
      <w:r w:rsidRPr="008C0627">
        <w:t>eway</w:t>
      </w:r>
      <w:r w:rsidRPr="008C0627" w:rsidR="006E2F98">
        <w:t xml:space="preserve"> </w:t>
      </w:r>
      <w:r w:rsidRPr="008C0627" w:rsidR="00BA3606">
        <w:t xml:space="preserve">(the Property Owners) </w:t>
      </w:r>
      <w:r w:rsidRPr="008C0627" w:rsidR="006E2F98">
        <w:t xml:space="preserve">filed suit against </w:t>
      </w:r>
      <w:r w:rsidRPr="008C0627">
        <w:t>the Department of Transportation and the Orange County Transportation Authority</w:t>
      </w:r>
      <w:r w:rsidRPr="008C0627" w:rsidR="00BA3606">
        <w:t xml:space="preserve"> (the Agencies)</w:t>
      </w:r>
      <w:r w:rsidRPr="008C0627" w:rsidR="00FE728D">
        <w:t>.  The Agencies</w:t>
      </w:r>
      <w:r w:rsidRPr="008C0627">
        <w:t xml:space="preserve"> had constr</w:t>
      </w:r>
      <w:r w:rsidRPr="008C0627" w:rsidR="00D859D3">
        <w:t>u</w:t>
      </w:r>
      <w:r w:rsidRPr="008C0627">
        <w:t xml:space="preserve">cted </w:t>
      </w:r>
      <w:r w:rsidRPr="008C0627" w:rsidR="006C3418">
        <w:t xml:space="preserve">two </w:t>
      </w:r>
      <w:r w:rsidRPr="008C0627">
        <w:t>wall</w:t>
      </w:r>
      <w:r w:rsidRPr="008C0627" w:rsidR="006C3418">
        <w:t>s</w:t>
      </w:r>
      <w:r w:rsidRPr="008C0627">
        <w:t xml:space="preserve"> on the </w:t>
      </w:r>
      <w:r w:rsidRPr="008C0627" w:rsidR="0037769B">
        <w:t>west side</w:t>
      </w:r>
      <w:r w:rsidRPr="008C0627">
        <w:t xml:space="preserve"> of the </w:t>
      </w:r>
      <w:r w:rsidRPr="008C0627" w:rsidR="00503383">
        <w:t>freeway</w:t>
      </w:r>
      <w:r w:rsidRPr="008C0627" w:rsidR="00D57D3C">
        <w:t>—</w:t>
      </w:r>
      <w:r w:rsidRPr="008C0627" w:rsidR="0037769B">
        <w:t>the side opposite</w:t>
      </w:r>
      <w:r w:rsidRPr="008C0627">
        <w:t xml:space="preserve"> the</w:t>
      </w:r>
      <w:r w:rsidRPr="008C0627" w:rsidR="00FE728D">
        <w:t xml:space="preserve"> Property Owners’</w:t>
      </w:r>
      <w:r w:rsidRPr="008C0627">
        <w:t xml:space="preserve"> properties</w:t>
      </w:r>
      <w:r w:rsidRPr="008C0627">
        <w:t xml:space="preserve">.  </w:t>
      </w:r>
      <w:r w:rsidRPr="008C0627" w:rsidR="00FE728D">
        <w:t>Designed as</w:t>
      </w:r>
      <w:r w:rsidRPr="008C0627" w:rsidR="0030691F">
        <w:t xml:space="preserve"> </w:t>
      </w:r>
      <w:r w:rsidRPr="008C0627">
        <w:t>sound barrier</w:t>
      </w:r>
      <w:r w:rsidRPr="008C0627" w:rsidR="006C3418">
        <w:t>s</w:t>
      </w:r>
      <w:r w:rsidRPr="008C0627" w:rsidR="0030691F">
        <w:t xml:space="preserve">, </w:t>
      </w:r>
      <w:r w:rsidRPr="008C0627" w:rsidR="00FE728D">
        <w:t>the</w:t>
      </w:r>
      <w:r w:rsidRPr="008C0627" w:rsidR="006B7DF8">
        <w:t>se</w:t>
      </w:r>
      <w:r w:rsidRPr="008C0627" w:rsidR="00FE728D">
        <w:t xml:space="preserve"> </w:t>
      </w:r>
      <w:r w:rsidRPr="008C0627" w:rsidR="001431F1">
        <w:t>walls were intended</w:t>
      </w:r>
      <w:r w:rsidRPr="008C0627">
        <w:t xml:space="preserve"> t</w:t>
      </w:r>
      <w:r w:rsidRPr="008C0627">
        <w:t>o</w:t>
      </w:r>
      <w:r w:rsidRPr="008C0627">
        <w:t xml:space="preserve"> reduce the </w:t>
      </w:r>
      <w:r w:rsidRPr="008C0627">
        <w:t xml:space="preserve">level of </w:t>
      </w:r>
      <w:r w:rsidRPr="008C0627" w:rsidR="0030691F">
        <w:t>freeway</w:t>
      </w:r>
      <w:r w:rsidR="004054EF">
        <w:t xml:space="preserve"> </w:t>
      </w:r>
      <w:r w:rsidRPr="008C0627" w:rsidR="00503383">
        <w:t xml:space="preserve">traffic </w:t>
      </w:r>
      <w:r w:rsidRPr="008C0627">
        <w:t>noise audible</w:t>
      </w:r>
      <w:r w:rsidRPr="008C0627">
        <w:t xml:space="preserve"> on </w:t>
      </w:r>
      <w:r w:rsidRPr="008C0627" w:rsidR="0037769B">
        <w:t>the west side of the freeway.</w:t>
      </w:r>
      <w:r w:rsidRPr="008C0627">
        <w:t xml:space="preserve">  </w:t>
      </w:r>
      <w:r w:rsidRPr="008C0627" w:rsidR="003A5106">
        <w:t>In their complaint, t</w:t>
      </w:r>
      <w:r w:rsidRPr="008C0627">
        <w:t>he Property Owners</w:t>
      </w:r>
      <w:r w:rsidRPr="008C0627">
        <w:t xml:space="preserve"> allege</w:t>
      </w:r>
      <w:r w:rsidRPr="008C0627" w:rsidR="003A5106">
        <w:t>d</w:t>
      </w:r>
      <w:r w:rsidRPr="008C0627">
        <w:t xml:space="preserve"> the sound barrier</w:t>
      </w:r>
      <w:r w:rsidRPr="008C0627" w:rsidR="006C3418">
        <w:t>s</w:t>
      </w:r>
      <w:r w:rsidRPr="008C0627">
        <w:t xml:space="preserve"> </w:t>
      </w:r>
      <w:r w:rsidRPr="008C0627" w:rsidR="0027490E">
        <w:t>d</w:t>
      </w:r>
      <w:r w:rsidRPr="008C0627" w:rsidR="000B0210">
        <w:t>eflected</w:t>
      </w:r>
      <w:r w:rsidRPr="008C0627">
        <w:t xml:space="preserve"> noise, vibration</w:t>
      </w:r>
      <w:r w:rsidRPr="008C0627" w:rsidR="000B0210">
        <w:t>s</w:t>
      </w:r>
      <w:r w:rsidRPr="008C0627">
        <w:t>, dust</w:t>
      </w:r>
      <w:r w:rsidRPr="008C0627" w:rsidR="000B0210">
        <w:t>, and nighttime glare</w:t>
      </w:r>
      <w:r w:rsidRPr="008C0627">
        <w:t xml:space="preserve"> on</w:t>
      </w:r>
      <w:r w:rsidRPr="008C0627" w:rsidR="0027490E">
        <w:t>to</w:t>
      </w:r>
      <w:r w:rsidRPr="008C0627">
        <w:t xml:space="preserve"> their properties</w:t>
      </w:r>
      <w:r w:rsidRPr="008C0627" w:rsidR="00D859D3">
        <w:t xml:space="preserve">.  </w:t>
      </w:r>
      <w:r w:rsidRPr="008C0627" w:rsidR="000A0575">
        <w:t>On this basis, they claimed</w:t>
      </w:r>
      <w:r w:rsidRPr="008C0627" w:rsidR="000A7CC2">
        <w:t xml:space="preserve"> the Agencies are</w:t>
      </w:r>
      <w:r w:rsidRPr="008C0627" w:rsidR="000A0575">
        <w:t xml:space="preserve"> </w:t>
      </w:r>
      <w:r w:rsidRPr="008C0627" w:rsidR="000A7CC2">
        <w:t>liable to them in inverse condemnation</w:t>
      </w:r>
      <w:r w:rsidRPr="008C0627">
        <w:t xml:space="preserve">.  </w:t>
      </w:r>
      <w:r w:rsidRPr="008C0627" w:rsidR="00E126DB">
        <w:t xml:space="preserve">They also pled </w:t>
      </w:r>
      <w:r w:rsidRPr="008C0627" w:rsidR="00E94EE0">
        <w:t>trespass and nuisance</w:t>
      </w:r>
      <w:r w:rsidRPr="008C0627" w:rsidR="00E126DB">
        <w:t xml:space="preserve"> claims</w:t>
      </w:r>
      <w:r w:rsidRPr="008C0627" w:rsidR="00FB1478">
        <w:t>.</w:t>
      </w:r>
    </w:p>
    <w:p w:rsidR="00500033" w:rsidRPr="008C0627" w:rsidP="00BA2301">
      <w:pPr>
        <w:tabs>
          <w:tab w:val="left" w:pos="1440"/>
        </w:tabs>
        <w:ind w:firstLine="720"/>
      </w:pPr>
      <w:r w:rsidRPr="008C0627">
        <w:t xml:space="preserve">The </w:t>
      </w:r>
      <w:r w:rsidRPr="008C0627" w:rsidR="00E94EE0">
        <w:t xml:space="preserve">Agencies demurred, and the trial court sustained the demurrer to the trespass claim but overruled </w:t>
      </w:r>
      <w:r w:rsidRPr="008C0627" w:rsidR="00503383">
        <w:t>the demurrers</w:t>
      </w:r>
      <w:r w:rsidRPr="008C0627" w:rsidR="00E94EE0">
        <w:t xml:space="preserve"> to the inverse condemnation and nuisance claims.  In its demurrer to the inverse condemnation claim, </w:t>
      </w:r>
      <w:r w:rsidR="004054EF">
        <w:t>d</w:t>
      </w:r>
      <w:r w:rsidRPr="008C0627" w:rsidR="004054EF">
        <w:t xml:space="preserve">efendant </w:t>
      </w:r>
      <w:r w:rsidRPr="008C0627" w:rsidR="00E94EE0">
        <w:t xml:space="preserve">Orange County Transportation Authority argued the </w:t>
      </w:r>
      <w:r w:rsidRPr="008C0627" w:rsidR="00CB2E6D">
        <w:t>Property Owners</w:t>
      </w:r>
      <w:r w:rsidRPr="008C0627" w:rsidR="00E94EE0">
        <w:t xml:space="preserve"> had failed to allege the sound barrier</w:t>
      </w:r>
      <w:r w:rsidRPr="008C0627" w:rsidR="006C3418">
        <w:t>s</w:t>
      </w:r>
      <w:r w:rsidRPr="008C0627" w:rsidR="00E94EE0">
        <w:t xml:space="preserve"> caused </w:t>
      </w:r>
      <w:r w:rsidRPr="008C0627" w:rsidR="00E278E1">
        <w:t>damage</w:t>
      </w:r>
      <w:r w:rsidRPr="008C0627" w:rsidR="00E94EE0">
        <w:t xml:space="preserve"> to their properties </w:t>
      </w:r>
      <w:r w:rsidRPr="008C0627" w:rsidR="00502D08">
        <w:t>that was different</w:t>
      </w:r>
      <w:r w:rsidRPr="008C0627" w:rsidR="00E94EE0">
        <w:t xml:space="preserve"> from th</w:t>
      </w:r>
      <w:r w:rsidRPr="008C0627" w:rsidR="00E278E1">
        <w:t xml:space="preserve">e </w:t>
      </w:r>
      <w:r w:rsidRPr="008C0627" w:rsidR="00A25ABF">
        <w:t>d</w:t>
      </w:r>
      <w:r w:rsidRPr="008C0627" w:rsidR="000D50D6">
        <w:t xml:space="preserve">amage </w:t>
      </w:r>
      <w:r w:rsidRPr="008C0627" w:rsidR="00C76133">
        <w:t>caused to</w:t>
      </w:r>
      <w:r w:rsidRPr="008C0627" w:rsidR="00A25ABF">
        <w:t xml:space="preserve"> neighboring properties</w:t>
      </w:r>
      <w:r w:rsidRPr="008C0627" w:rsidR="00D136D5">
        <w:t xml:space="preserve">.  </w:t>
      </w:r>
      <w:r w:rsidRPr="008C0627" w:rsidR="009F4BD7">
        <w:t>I</w:t>
      </w:r>
      <w:r w:rsidRPr="008C0627" w:rsidR="00502D08">
        <w:t xml:space="preserve">t </w:t>
      </w:r>
      <w:r w:rsidRPr="008C0627" w:rsidR="006B7DF8">
        <w:t>contended</w:t>
      </w:r>
      <w:r w:rsidRPr="008C0627" w:rsidR="00502D08">
        <w:t xml:space="preserve"> </w:t>
      </w:r>
      <w:r w:rsidRPr="008C0627" w:rsidR="009F4BD7">
        <w:t xml:space="preserve">this showing </w:t>
      </w:r>
      <w:r w:rsidRPr="008C0627" w:rsidR="00502D08">
        <w:t xml:space="preserve">was </w:t>
      </w:r>
      <w:r w:rsidRPr="008C0627" w:rsidR="00E94EE0">
        <w:t xml:space="preserve">necessary to </w:t>
      </w:r>
      <w:r w:rsidRPr="008C0627" w:rsidR="00E012BA">
        <w:t xml:space="preserve">prove </w:t>
      </w:r>
      <w:r w:rsidRPr="008C0627" w:rsidR="00E94EE0">
        <w:t xml:space="preserve">an inverse condemnation claim based on </w:t>
      </w:r>
      <w:r w:rsidRPr="008C0627" w:rsidR="0052020F">
        <w:t>an</w:t>
      </w:r>
      <w:r w:rsidRPr="008C0627" w:rsidR="00E94EE0">
        <w:t xml:space="preserve"> </w:t>
      </w:r>
      <w:r w:rsidRPr="008C0627" w:rsidR="00502D08">
        <w:t>“</w:t>
      </w:r>
      <w:r w:rsidRPr="008C0627" w:rsidR="00E94EE0">
        <w:t>intangible intrusion</w:t>
      </w:r>
      <w:r w:rsidRPr="008C0627" w:rsidR="00502D08">
        <w:t>” onto a property</w:t>
      </w:r>
      <w:r w:rsidRPr="008C0627" w:rsidR="00E94EE0">
        <w:t xml:space="preserve">. </w:t>
      </w:r>
      <w:r w:rsidRPr="008C0627" w:rsidR="00B40C84">
        <w:t xml:space="preserve"> </w:t>
      </w:r>
      <w:r w:rsidRPr="008C0627" w:rsidR="00E94EE0">
        <w:t xml:space="preserve">In overruling </w:t>
      </w:r>
      <w:r w:rsidRPr="008C0627" w:rsidR="00B82823">
        <w:t xml:space="preserve">the </w:t>
      </w:r>
      <w:r w:rsidRPr="008C0627" w:rsidR="00E94EE0">
        <w:t xml:space="preserve">demurrer, the trial court </w:t>
      </w:r>
      <w:r w:rsidR="00EE34E7">
        <w:t>concluded</w:t>
      </w:r>
      <w:r w:rsidRPr="008C0627" w:rsidR="00EE34E7">
        <w:t xml:space="preserve"> </w:t>
      </w:r>
      <w:r w:rsidRPr="008C0627" w:rsidR="00E012BA">
        <w:t>that such a showing is not necessary</w:t>
      </w:r>
      <w:r w:rsidRPr="008C0627" w:rsidR="00C75F3C">
        <w:t>.</w:t>
      </w:r>
      <w:r w:rsidRPr="008C0627" w:rsidR="00E012BA">
        <w:t xml:space="preserve"> </w:t>
      </w:r>
      <w:r w:rsidRPr="008C0627" w:rsidR="00C75F3C">
        <w:t xml:space="preserve"> </w:t>
      </w:r>
      <w:r w:rsidRPr="008C0627" w:rsidR="00E94EE0">
        <w:t xml:space="preserve">The court </w:t>
      </w:r>
      <w:r w:rsidR="007E178B">
        <w:t>ruled</w:t>
      </w:r>
      <w:r w:rsidRPr="008C0627" w:rsidR="00E94EE0">
        <w:t xml:space="preserve"> that the </w:t>
      </w:r>
      <w:r w:rsidRPr="008C0627" w:rsidR="00CB2E6D">
        <w:t>Property Owners</w:t>
      </w:r>
      <w:r w:rsidRPr="008C0627" w:rsidR="00E94EE0">
        <w:t xml:space="preserve">’ allegations relating to the </w:t>
      </w:r>
      <w:r w:rsidRPr="008C0627" w:rsidR="00B95BE8">
        <w:t>d</w:t>
      </w:r>
      <w:r w:rsidRPr="008C0627" w:rsidR="00E94EE0">
        <w:t>eflection of noise, vibration</w:t>
      </w:r>
      <w:r w:rsidRPr="008C0627" w:rsidR="000B0210">
        <w:t>s</w:t>
      </w:r>
      <w:r w:rsidRPr="008C0627" w:rsidR="00E94EE0">
        <w:t xml:space="preserve">, dust, and nighttime glare onto their properties were sufficient to support their inverse condemnation claim.  </w:t>
      </w:r>
      <w:r w:rsidRPr="008C0627" w:rsidR="00FB6D43">
        <w:t xml:space="preserve">The Agencies </w:t>
      </w:r>
      <w:r w:rsidRPr="008C0627" w:rsidR="001635BF">
        <w:t>answered the complaint</w:t>
      </w:r>
      <w:r w:rsidR="004054EF">
        <w:t>,</w:t>
      </w:r>
      <w:r w:rsidRPr="008C0627" w:rsidR="001635BF">
        <w:t xml:space="preserve"> and </w:t>
      </w:r>
      <w:r w:rsidRPr="008C0627" w:rsidR="00497E20">
        <w:t xml:space="preserve">both sides conducted discovery.  </w:t>
      </w:r>
    </w:p>
    <w:p w:rsidR="004127EA" w:rsidRPr="008C0627" w:rsidP="00BA2301">
      <w:pPr>
        <w:tabs>
          <w:tab w:val="left" w:pos="1440"/>
        </w:tabs>
        <w:ind w:firstLine="720"/>
      </w:pPr>
      <w:r w:rsidRPr="008C0627">
        <w:t xml:space="preserve">Three months before the </w:t>
      </w:r>
      <w:r w:rsidRPr="008C0627" w:rsidR="001431F1">
        <w:t xml:space="preserve">jury </w:t>
      </w:r>
      <w:r w:rsidRPr="008C0627">
        <w:t>trial was set to begin</w:t>
      </w:r>
      <w:r w:rsidRPr="008C0627" w:rsidR="001635BF">
        <w:t xml:space="preserve">, </w:t>
      </w:r>
      <w:r w:rsidRPr="008C0627" w:rsidR="00497E20">
        <w:t xml:space="preserve">the Agencies </w:t>
      </w:r>
      <w:r w:rsidRPr="008C0627" w:rsidR="001635BF">
        <w:t>filed</w:t>
      </w:r>
      <w:r w:rsidRPr="008C0627" w:rsidR="00E94EE0">
        <w:t xml:space="preserve"> </w:t>
      </w:r>
      <w:r w:rsidRPr="008C0627" w:rsidR="001A54AA">
        <w:t>the motion at issue in this case</w:t>
      </w:r>
      <w:r w:rsidRPr="008C0627" w:rsidR="00500033">
        <w:t>.  Titled</w:t>
      </w:r>
      <w:r w:rsidRPr="008C0627" w:rsidR="001635BF">
        <w:t xml:space="preserve"> </w:t>
      </w:r>
      <w:r w:rsidRPr="00A615A2" w:rsidR="001635BF">
        <w:t xml:space="preserve">“Motion for Legal Determination of Liability </w:t>
      </w:r>
      <w:r w:rsidRPr="00A615A2" w:rsidR="00D86705">
        <w:t>re</w:t>
      </w:r>
      <w:r w:rsidRPr="00A615A2" w:rsidR="001635BF">
        <w:t xml:space="preserve"> Inverse Condemnation</w:t>
      </w:r>
      <w:r w:rsidRPr="00A615A2">
        <w:t xml:space="preserve"> Action</w:t>
      </w:r>
      <w:r w:rsidRPr="00A615A2" w:rsidR="001635BF">
        <w:t>,”</w:t>
      </w:r>
      <w:r w:rsidRPr="008C0627" w:rsidR="001635BF">
        <w:t xml:space="preserve"> </w:t>
      </w:r>
      <w:r w:rsidRPr="008C0627" w:rsidR="006746CE">
        <w:t>it</w:t>
      </w:r>
      <w:r w:rsidRPr="008C0627" w:rsidR="001A54AA">
        <w:t xml:space="preserve"> requested</w:t>
      </w:r>
      <w:r w:rsidRPr="008C0627" w:rsidR="00500033">
        <w:t xml:space="preserve"> judgment in the Agencies’ favor on the Property Owners’ inverse condemnation </w:t>
      </w:r>
      <w:r w:rsidRPr="008C0627" w:rsidR="009D7909">
        <w:t>claim</w:t>
      </w:r>
      <w:r w:rsidRPr="008C0627" w:rsidR="00500033">
        <w:t xml:space="preserve">.  </w:t>
      </w:r>
      <w:r w:rsidRPr="008C0627" w:rsidR="00512A8B">
        <w:t>T</w:t>
      </w:r>
      <w:r w:rsidRPr="008C0627" w:rsidR="00C143F2">
        <w:t xml:space="preserve">he Agencies </w:t>
      </w:r>
      <w:r w:rsidRPr="008C0627" w:rsidR="006B7DF8">
        <w:t>renewed their contention</w:t>
      </w:r>
      <w:r w:rsidRPr="008C0627" w:rsidR="00C143F2">
        <w:t xml:space="preserve"> that the Property Owners had to show they had </w:t>
      </w:r>
      <w:r w:rsidRPr="008C0627" w:rsidR="00E126DB">
        <w:t>experienced damage</w:t>
      </w:r>
      <w:r w:rsidRPr="008C0627" w:rsidR="00C143F2">
        <w:t xml:space="preserve"> to their properties that </w:t>
      </w:r>
      <w:r w:rsidRPr="008C0627" w:rsidR="00E126DB">
        <w:t>was</w:t>
      </w:r>
      <w:r w:rsidRPr="008C0627" w:rsidR="00C143F2">
        <w:t xml:space="preserve"> different from </w:t>
      </w:r>
      <w:r w:rsidRPr="008C0627" w:rsidR="00E126DB">
        <w:t>th</w:t>
      </w:r>
      <w:r w:rsidRPr="008C0627" w:rsidR="001431F1">
        <w:t xml:space="preserve">e damage </w:t>
      </w:r>
      <w:r w:rsidRPr="008C0627" w:rsidR="00E126DB">
        <w:t>experienced</w:t>
      </w:r>
      <w:r w:rsidRPr="008C0627" w:rsidR="00C143F2">
        <w:t xml:space="preserve"> by </w:t>
      </w:r>
      <w:r w:rsidRPr="008C0627" w:rsidR="0088177B">
        <w:t>neighboring property owners</w:t>
      </w:r>
      <w:r w:rsidRPr="008C0627" w:rsidR="006B386D">
        <w:t xml:space="preserve">—the </w:t>
      </w:r>
      <w:r w:rsidRPr="008C0627" w:rsidR="006B7DF8">
        <w:t>contentio</w:t>
      </w:r>
      <w:r w:rsidRPr="008C0627" w:rsidR="004519B8">
        <w:t>n</w:t>
      </w:r>
      <w:r w:rsidRPr="008C0627" w:rsidR="006B386D">
        <w:t xml:space="preserve"> the court had rejected on demurrer</w:t>
      </w:r>
      <w:r w:rsidRPr="008C0627" w:rsidR="00A25ABF">
        <w:t>.  T</w:t>
      </w:r>
      <w:r w:rsidRPr="008C0627" w:rsidR="00277F2B">
        <w:t>hey</w:t>
      </w:r>
      <w:r w:rsidRPr="008C0627" w:rsidR="00C143F2">
        <w:t xml:space="preserve"> </w:t>
      </w:r>
      <w:r w:rsidRPr="008C0627" w:rsidR="00A673D4">
        <w:t xml:space="preserve">further </w:t>
      </w:r>
      <w:r w:rsidRPr="008C0627" w:rsidR="00C143F2">
        <w:t xml:space="preserve">argued </w:t>
      </w:r>
      <w:r w:rsidRPr="008C0627" w:rsidR="00A673D4">
        <w:t xml:space="preserve">that, as a factual matter, </w:t>
      </w:r>
      <w:r w:rsidRPr="008C0627" w:rsidR="00C143F2">
        <w:t xml:space="preserve">the </w:t>
      </w:r>
      <w:r w:rsidRPr="008C0627" w:rsidR="00556FC2">
        <w:t>Property Owners could not make this showing</w:t>
      </w:r>
      <w:r w:rsidRPr="008C0627" w:rsidR="00C143F2">
        <w:t xml:space="preserve">.  </w:t>
      </w:r>
      <w:r w:rsidRPr="008C0627" w:rsidR="00522784">
        <w:t xml:space="preserve">The </w:t>
      </w:r>
      <w:r w:rsidRPr="008C0627" w:rsidR="00C143F2">
        <w:t>A</w:t>
      </w:r>
      <w:r w:rsidRPr="008C0627" w:rsidR="00522784">
        <w:t xml:space="preserve">gencies also filed a separate “Motion for Legal Determination of Liability re Nuisance Claim,” claiming immunity.  </w:t>
      </w:r>
      <w:r w:rsidRPr="008C0627" w:rsidR="00723EB7">
        <w:t xml:space="preserve">In support of both motions, the </w:t>
      </w:r>
      <w:r w:rsidRPr="008C0627" w:rsidR="00C143F2">
        <w:t>A</w:t>
      </w:r>
      <w:r w:rsidRPr="008C0627" w:rsidR="00723EB7">
        <w:t>gencies submitted declarations, deposition t</w:t>
      </w:r>
      <w:r w:rsidRPr="008C0627" w:rsidR="00A673D4">
        <w:t>ranscripts</w:t>
      </w:r>
      <w:r w:rsidRPr="008C0627" w:rsidR="00723EB7">
        <w:t>, responses to interrogatories, planning documents</w:t>
      </w:r>
      <w:r w:rsidRPr="008C0627" w:rsidR="004519B8">
        <w:t>, and documentation of complaints about the sound barrier</w:t>
      </w:r>
      <w:r w:rsidRPr="008C0627" w:rsidR="00723EB7">
        <w:t xml:space="preserve">.  </w:t>
      </w:r>
      <w:r w:rsidRPr="008C0627" w:rsidR="000F5469">
        <w:t xml:space="preserve">The Agencies </w:t>
      </w:r>
      <w:r w:rsidRPr="008C0627" w:rsidR="00843155">
        <w:t xml:space="preserve">cited </w:t>
      </w:r>
      <w:bookmarkStart w:id="17" w:name="Psych_Cite_7"/>
      <w:r w:rsidRPr="008C0627" w:rsidR="00843155">
        <w:t>section 1260.040</w:t>
      </w:r>
      <w:bookmarkEnd w:id="17"/>
      <w:r w:rsidRPr="008C0627" w:rsidR="00843155">
        <w:t xml:space="preserve"> as the basis of their authority to </w:t>
      </w:r>
      <w:r w:rsidRPr="008C0627" w:rsidR="00CD06E7">
        <w:t>request a</w:t>
      </w:r>
      <w:r w:rsidRPr="008C0627" w:rsidR="003A39FA">
        <w:t xml:space="preserve"> legal determination of liability on </w:t>
      </w:r>
      <w:r w:rsidRPr="008C0627" w:rsidR="00CD06E7">
        <w:t>both</w:t>
      </w:r>
      <w:r w:rsidRPr="008C0627" w:rsidR="003A39FA">
        <w:t xml:space="preserve"> claims.</w:t>
      </w:r>
      <w:r w:rsidRPr="008C0627" w:rsidR="00723EB7">
        <w:t xml:space="preserve">  </w:t>
      </w:r>
    </w:p>
    <w:p w:rsidR="006D5110" w:rsidRPr="008C0627" w:rsidP="00EE0D48">
      <w:pPr>
        <w:tabs>
          <w:tab w:val="left" w:pos="1440"/>
        </w:tabs>
        <w:ind w:firstLine="720"/>
      </w:pPr>
      <w:r w:rsidRPr="008C0627">
        <w:t xml:space="preserve">The </w:t>
      </w:r>
      <w:r w:rsidRPr="008C0627" w:rsidR="00CB2E6D">
        <w:t>Property Owners</w:t>
      </w:r>
      <w:r w:rsidRPr="008C0627">
        <w:t xml:space="preserve"> </w:t>
      </w:r>
      <w:r w:rsidRPr="008C0627" w:rsidR="001635BF">
        <w:t xml:space="preserve">opposed the </w:t>
      </w:r>
      <w:r w:rsidRPr="008C0627" w:rsidR="00D27F67">
        <w:t>Agencies’ motion</w:t>
      </w:r>
      <w:r w:rsidRPr="008C0627" w:rsidR="00502D08">
        <w:t xml:space="preserve"> </w:t>
      </w:r>
      <w:r w:rsidRPr="008C0627" w:rsidR="006B386D">
        <w:t xml:space="preserve">related to the inverse condemnation </w:t>
      </w:r>
      <w:r w:rsidRPr="008C0627" w:rsidR="000D6D69">
        <w:t>claim</w:t>
      </w:r>
      <w:r w:rsidRPr="008C0627" w:rsidR="00CD06E7">
        <w:t xml:space="preserve"> </w:t>
      </w:r>
      <w:r w:rsidRPr="008C0627" w:rsidR="00502D08">
        <w:t xml:space="preserve">on three </w:t>
      </w:r>
      <w:r w:rsidRPr="008C0627" w:rsidR="00E86069">
        <w:t xml:space="preserve">independent </w:t>
      </w:r>
      <w:r w:rsidRPr="008C0627" w:rsidR="00502D08">
        <w:t xml:space="preserve">grounds. </w:t>
      </w:r>
      <w:r w:rsidRPr="008C0627" w:rsidR="001635BF">
        <w:t xml:space="preserve"> </w:t>
      </w:r>
      <w:r w:rsidRPr="008C0627" w:rsidR="00502D08">
        <w:t>First, they argued</w:t>
      </w:r>
      <w:r w:rsidRPr="008C0627" w:rsidR="00E65085">
        <w:t xml:space="preserve"> </w:t>
      </w:r>
      <w:r w:rsidRPr="008C0627" w:rsidR="00CD06E7">
        <w:t xml:space="preserve">that </w:t>
      </w:r>
      <w:r w:rsidRPr="008C0627" w:rsidR="002D3C6C">
        <w:t xml:space="preserve">a </w:t>
      </w:r>
      <w:bookmarkStart w:id="18" w:name="Psych_Cite_8"/>
      <w:r w:rsidRPr="008C0627" w:rsidR="002D3C6C">
        <w:t>section</w:t>
      </w:r>
      <w:r w:rsidRPr="008C0627">
        <w:t xml:space="preserve"> 1260.040</w:t>
      </w:r>
      <w:bookmarkEnd w:id="18"/>
      <w:r w:rsidRPr="008C0627">
        <w:t xml:space="preserve"> motion </w:t>
      </w:r>
      <w:r w:rsidRPr="008C0627" w:rsidR="00CD06E7">
        <w:t>may only</w:t>
      </w:r>
      <w:r w:rsidRPr="008C0627" w:rsidR="006B386D">
        <w:t xml:space="preserve"> be brought </w:t>
      </w:r>
      <w:r w:rsidRPr="008C0627" w:rsidR="000D6D69">
        <w:t>in</w:t>
      </w:r>
      <w:r w:rsidRPr="008C0627" w:rsidR="006B386D">
        <w:t xml:space="preserve"> eminent domain actions</w:t>
      </w:r>
      <w:r w:rsidRPr="008C0627" w:rsidR="00E126DB">
        <w:t>.</w:t>
      </w:r>
      <w:r w:rsidRPr="008C0627">
        <w:t xml:space="preserve">  </w:t>
      </w:r>
      <w:r w:rsidRPr="008C0627" w:rsidR="00502D08">
        <w:t>Second, they</w:t>
      </w:r>
      <w:r w:rsidRPr="008C0627" w:rsidR="00E65085">
        <w:t xml:space="preserve"> argued</w:t>
      </w:r>
      <w:r w:rsidRPr="008C0627" w:rsidR="00707647">
        <w:t xml:space="preserve"> that</w:t>
      </w:r>
      <w:r w:rsidRPr="008C0627" w:rsidR="006F4585">
        <w:t xml:space="preserve"> even in </w:t>
      </w:r>
      <w:r w:rsidRPr="008C0627" w:rsidR="00282437">
        <w:t xml:space="preserve">an </w:t>
      </w:r>
      <w:r w:rsidRPr="008C0627" w:rsidR="006F4585">
        <w:t>eminent domain action,</w:t>
      </w:r>
      <w:r w:rsidRPr="008C0627" w:rsidR="00707647">
        <w:t xml:space="preserve"> </w:t>
      </w:r>
      <w:r w:rsidRPr="008C0627" w:rsidR="000D6D69">
        <w:t xml:space="preserve">a </w:t>
      </w:r>
      <w:bookmarkStart w:id="19" w:name="Psych_Cite_9"/>
      <w:r w:rsidRPr="008C0627" w:rsidR="00707647">
        <w:t>s</w:t>
      </w:r>
      <w:r w:rsidRPr="008C0627" w:rsidR="00D27F67">
        <w:t>ection 1260.040</w:t>
      </w:r>
      <w:bookmarkEnd w:id="19"/>
      <w:r w:rsidRPr="008C0627" w:rsidR="00E65085">
        <w:t xml:space="preserve"> </w:t>
      </w:r>
      <w:r w:rsidRPr="008C0627" w:rsidR="000D6D69">
        <w:t xml:space="preserve">motion </w:t>
      </w:r>
      <w:r w:rsidRPr="008C0627" w:rsidR="00387D90">
        <w:t xml:space="preserve">cannot be used to request a </w:t>
      </w:r>
      <w:r w:rsidRPr="008C0627" w:rsidR="00512A8B">
        <w:t xml:space="preserve">liability </w:t>
      </w:r>
      <w:r w:rsidRPr="008C0627" w:rsidR="00387D90">
        <w:t>determination</w:t>
      </w:r>
      <w:r w:rsidRPr="008C0627" w:rsidR="0029619A">
        <w:t xml:space="preserve">.  </w:t>
      </w:r>
      <w:r w:rsidRPr="008C0627" w:rsidR="00502D08">
        <w:t>Third</w:t>
      </w:r>
      <w:r w:rsidRPr="008C0627" w:rsidR="00707647">
        <w:t>, the</w:t>
      </w:r>
      <w:r w:rsidRPr="008C0627" w:rsidR="00874040">
        <w:t>y</w:t>
      </w:r>
      <w:r w:rsidRPr="008C0627" w:rsidR="00707647">
        <w:t xml:space="preserve"> argued </w:t>
      </w:r>
      <w:r w:rsidRPr="008C0627" w:rsidR="002B352D">
        <w:t xml:space="preserve">there was substantial evidence supporting a ruling in </w:t>
      </w:r>
      <w:r w:rsidRPr="008C0627" w:rsidR="00874040">
        <w:t>their</w:t>
      </w:r>
      <w:r w:rsidRPr="008C0627" w:rsidR="002B352D">
        <w:t xml:space="preserve"> favor</w:t>
      </w:r>
      <w:r w:rsidRPr="008C0627" w:rsidR="00874040">
        <w:t xml:space="preserve"> on liability</w:t>
      </w:r>
      <w:r w:rsidRPr="008C0627" w:rsidR="002B352D">
        <w:t>, such that they were entitled to a bench trial.</w:t>
      </w:r>
      <w:r w:rsidRPr="008C0627" w:rsidR="002A09E1">
        <w:t xml:space="preserve"> </w:t>
      </w:r>
      <w:r w:rsidRPr="008C0627" w:rsidR="002B352D">
        <w:t xml:space="preserve"> </w:t>
      </w:r>
      <w:r w:rsidRPr="008C0627" w:rsidR="00F3567F">
        <w:t xml:space="preserve">They contended that the law did not require them to show that </w:t>
      </w:r>
      <w:r w:rsidRPr="008C0627" w:rsidR="00CC39F2">
        <w:t xml:space="preserve">their properties were the only ones in the neighborhood that experienced </w:t>
      </w:r>
      <w:r w:rsidRPr="008C0627" w:rsidR="00282437">
        <w:t xml:space="preserve">an </w:t>
      </w:r>
      <w:r w:rsidRPr="008C0627" w:rsidR="00A912AA">
        <w:t>increase</w:t>
      </w:r>
      <w:r w:rsidRPr="008C0627" w:rsidR="00282437">
        <w:t xml:space="preserve"> in</w:t>
      </w:r>
      <w:r w:rsidRPr="008C0627" w:rsidR="00CC39F2">
        <w:t xml:space="preserve"> noise, vibrations,</w:t>
      </w:r>
      <w:r w:rsidRPr="008C0627" w:rsidR="00A912AA">
        <w:t xml:space="preserve"> dust, and glare,</w:t>
      </w:r>
      <w:r w:rsidRPr="008C0627" w:rsidR="00CC39F2">
        <w:t xml:space="preserve"> but </w:t>
      </w:r>
      <w:r w:rsidRPr="008C0627" w:rsidR="001F1D57">
        <w:t xml:space="preserve">instead </w:t>
      </w:r>
      <w:r w:rsidRPr="008C0627" w:rsidR="00CC39F2">
        <w:t>only</w:t>
      </w:r>
      <w:r w:rsidRPr="008C0627" w:rsidR="00874040">
        <w:t xml:space="preserve"> </w:t>
      </w:r>
      <w:r w:rsidRPr="008C0627" w:rsidR="00F3567F">
        <w:t xml:space="preserve">that their properties suffered damage beyond what was necessarily incident to their proximity to </w:t>
      </w:r>
      <w:r w:rsidRPr="008C0627" w:rsidR="006F4585">
        <w:t xml:space="preserve">the </w:t>
      </w:r>
      <w:r w:rsidRPr="008C0627" w:rsidR="00874040">
        <w:t>sound barriers</w:t>
      </w:r>
      <w:r w:rsidRPr="008C0627" w:rsidR="00F3567F">
        <w:t xml:space="preserve">. </w:t>
      </w:r>
      <w:r w:rsidRPr="008C0627" w:rsidR="00702F47">
        <w:t xml:space="preserve"> </w:t>
      </w:r>
      <w:r w:rsidRPr="008C0627" w:rsidR="00F3567F">
        <w:t xml:space="preserve">To </w:t>
      </w:r>
      <w:r w:rsidRPr="008C0627" w:rsidR="00282437">
        <w:t xml:space="preserve">demonstrate they could </w:t>
      </w:r>
      <w:r w:rsidRPr="008C0627" w:rsidR="006F4585">
        <w:t xml:space="preserve">make this </w:t>
      </w:r>
      <w:r w:rsidRPr="008C0627" w:rsidR="00F3567F">
        <w:t>show</w:t>
      </w:r>
      <w:r w:rsidRPr="008C0627" w:rsidR="006F4585">
        <w:t>ing</w:t>
      </w:r>
      <w:r w:rsidRPr="008C0627" w:rsidR="00F3567F">
        <w:t>, the</w:t>
      </w:r>
      <w:r w:rsidRPr="008C0627" w:rsidR="00EB37EB">
        <w:t>y</w:t>
      </w:r>
      <w:r w:rsidRPr="008C0627" w:rsidR="00F3567F">
        <w:t xml:space="preserve"> submitted </w:t>
      </w:r>
      <w:r w:rsidRPr="008C0627" w:rsidR="00522784">
        <w:t xml:space="preserve">declarations, photographs, Google Street View images, expert witness declarations, deposition </w:t>
      </w:r>
      <w:r w:rsidRPr="008C0627" w:rsidR="00CE64D4">
        <w:t>transcripts</w:t>
      </w:r>
      <w:r w:rsidRPr="008C0627" w:rsidR="00522784">
        <w:t xml:space="preserve">, </w:t>
      </w:r>
      <w:r w:rsidR="00533EF3">
        <w:t xml:space="preserve">sound measurements, and </w:t>
      </w:r>
      <w:r w:rsidR="004613BB">
        <w:t xml:space="preserve">government </w:t>
      </w:r>
      <w:r w:rsidRPr="008C0627" w:rsidR="00522784">
        <w:t xml:space="preserve">protocols for noise analysis.  </w:t>
      </w:r>
    </w:p>
    <w:p w:rsidR="001635BF" w:rsidRPr="008C0627" w:rsidP="00BA2301">
      <w:pPr>
        <w:tabs>
          <w:tab w:val="left" w:pos="1440"/>
        </w:tabs>
        <w:ind w:firstLine="720"/>
      </w:pPr>
      <w:r w:rsidRPr="008C0627">
        <w:t xml:space="preserve">On reply, the </w:t>
      </w:r>
      <w:r w:rsidRPr="008C0627" w:rsidR="006D5110">
        <w:t>A</w:t>
      </w:r>
      <w:r w:rsidRPr="008C0627">
        <w:t>gencies</w:t>
      </w:r>
      <w:r w:rsidRPr="008C0627" w:rsidR="003D6B2A">
        <w:t xml:space="preserve"> argu</w:t>
      </w:r>
      <w:r w:rsidRPr="008C0627">
        <w:t>ed</w:t>
      </w:r>
      <w:r w:rsidRPr="008C0627" w:rsidR="003D6B2A">
        <w:t xml:space="preserve"> </w:t>
      </w:r>
      <w:r w:rsidRPr="008C0627" w:rsidR="00CE64D4">
        <w:t xml:space="preserve">a bench </w:t>
      </w:r>
      <w:r w:rsidRPr="008C0627" w:rsidR="003D6B2A">
        <w:t>trial was not needed</w:t>
      </w:r>
      <w:r w:rsidRPr="008C0627" w:rsidR="002A09E1">
        <w:t xml:space="preserve">. </w:t>
      </w:r>
      <w:r w:rsidRPr="008C0627" w:rsidR="003D6B2A">
        <w:t xml:space="preserve"> </w:t>
      </w:r>
      <w:r w:rsidRPr="008C0627" w:rsidR="002A09E1">
        <w:t xml:space="preserve">They claimed </w:t>
      </w:r>
      <w:r w:rsidRPr="008C0627" w:rsidR="00417325">
        <w:t xml:space="preserve">that </w:t>
      </w:r>
      <w:bookmarkStart w:id="20" w:name="Psych_Cite_10"/>
      <w:r w:rsidRPr="008C0627" w:rsidR="003D6B2A">
        <w:t>section 1260.040</w:t>
      </w:r>
      <w:bookmarkEnd w:id="20"/>
      <w:r w:rsidRPr="008C0627" w:rsidR="003D6B2A">
        <w:t xml:space="preserve"> authorize</w:t>
      </w:r>
      <w:r w:rsidRPr="008C0627" w:rsidR="00183ED6">
        <w:t>s</w:t>
      </w:r>
      <w:r w:rsidRPr="008C0627" w:rsidR="003D6B2A">
        <w:t xml:space="preserve"> the </w:t>
      </w:r>
      <w:r w:rsidRPr="008C0627" w:rsidR="00183ED6">
        <w:t>c</w:t>
      </w:r>
      <w:r w:rsidRPr="008C0627" w:rsidR="003D6B2A">
        <w:t>ourt to weigh competing evidence and resolve issues of fact</w:t>
      </w:r>
      <w:r w:rsidRPr="008C0627" w:rsidR="002B352D">
        <w:t xml:space="preserve"> in inverse condemnation and </w:t>
      </w:r>
      <w:r w:rsidRPr="008C0627" w:rsidR="00EB37EB">
        <w:t>related tort actions</w:t>
      </w:r>
      <w:r w:rsidRPr="008C0627" w:rsidR="00E114FA">
        <w:t xml:space="preserve">. </w:t>
      </w:r>
      <w:r w:rsidRPr="008C0627" w:rsidR="00FB6D43">
        <w:t xml:space="preserve"> </w:t>
      </w:r>
      <w:r w:rsidRPr="008C0627" w:rsidR="00EB37EB">
        <w:t xml:space="preserve">They </w:t>
      </w:r>
      <w:r w:rsidR="00D86705">
        <w:t xml:space="preserve">asserted </w:t>
      </w:r>
      <w:r w:rsidRPr="008C0627" w:rsidR="0088177B">
        <w:t>the</w:t>
      </w:r>
      <w:r w:rsidRPr="008C0627" w:rsidR="00060FF0">
        <w:t xml:space="preserve"> </w:t>
      </w:r>
      <w:r w:rsidRPr="008C0627" w:rsidR="009408D3">
        <w:t xml:space="preserve">documents the </w:t>
      </w:r>
      <w:r w:rsidR="00F071D4">
        <w:t>parties</w:t>
      </w:r>
      <w:r w:rsidRPr="008C0627" w:rsidR="00F071D4">
        <w:t xml:space="preserve"> </w:t>
      </w:r>
      <w:r w:rsidRPr="008C0627" w:rsidR="009408D3">
        <w:t xml:space="preserve">had provided the court </w:t>
      </w:r>
      <w:r w:rsidRPr="008C0627" w:rsidR="00060FF0">
        <w:t xml:space="preserve">showed neighboring properties experienced similar damage from the sound </w:t>
      </w:r>
      <w:r w:rsidR="00100B7A">
        <w:t>barriers</w:t>
      </w:r>
      <w:r w:rsidRPr="008C0627">
        <w:t xml:space="preserve">. </w:t>
      </w:r>
      <w:r w:rsidRPr="008C0627" w:rsidR="00EE2CB0">
        <w:t xml:space="preserve"> </w:t>
      </w:r>
      <w:r w:rsidRPr="008C0627" w:rsidR="00BB79E2">
        <w:t xml:space="preserve">Accordingly, they argued, the Property Owners had not proved their inverse condemnation claim.  </w:t>
      </w:r>
    </w:p>
    <w:p w:rsidR="00B5553A" w:rsidRPr="008C0627" w:rsidP="00BA2301">
      <w:pPr>
        <w:tabs>
          <w:tab w:val="left" w:pos="1440"/>
        </w:tabs>
        <w:ind w:firstLine="720"/>
      </w:pPr>
      <w:r w:rsidRPr="008C0627">
        <w:t>The trial court granted the Agencies’ motions</w:t>
      </w:r>
      <w:r>
        <w:t xml:space="preserve">. </w:t>
      </w:r>
      <w:r w:rsidRPr="008C0627">
        <w:t xml:space="preserve"> </w:t>
      </w:r>
      <w:r>
        <w:t>E</w:t>
      </w:r>
      <w:r w:rsidRPr="008C0627">
        <w:t>nter</w:t>
      </w:r>
      <w:r>
        <w:t>ing</w:t>
      </w:r>
      <w:r w:rsidRPr="008C0627">
        <w:t xml:space="preserve"> judgment in the</w:t>
      </w:r>
      <w:r>
        <w:t xml:space="preserve"> Agencies’</w:t>
      </w:r>
      <w:r w:rsidRPr="008C0627">
        <w:t xml:space="preserve"> favor </w:t>
      </w:r>
      <w:r>
        <w:t xml:space="preserve">on the inverse condemnation claim, the court </w:t>
      </w:r>
      <w:r w:rsidRPr="008C0627">
        <w:t>rul</w:t>
      </w:r>
      <w:r>
        <w:t>ed</w:t>
      </w:r>
      <w:r w:rsidRPr="008C0627">
        <w:t xml:space="preserve"> that the Property Owners “cannot meet their burden </w:t>
      </w:r>
      <w:r>
        <w:t xml:space="preserve">[of] </w:t>
      </w:r>
      <w:r w:rsidRPr="008C0627">
        <w:t xml:space="preserve">showing the injuries suffered were ‘peculiar’ to their properties” because they “cannot show they suffered a unique and peculiar damage ‘not such as is common to all property in the neighborhood.’ ”  </w:t>
      </w:r>
      <w:r w:rsidRPr="008C0627" w:rsidR="00193E5C">
        <w:t>In support of this ruling, th</w:t>
      </w:r>
      <w:r w:rsidRPr="008C0627" w:rsidR="00432C58">
        <w:t>e</w:t>
      </w:r>
      <w:r w:rsidRPr="008C0627" w:rsidR="00193E5C">
        <w:t xml:space="preserve"> court pointed to </w:t>
      </w:r>
      <w:r w:rsidRPr="008C0627" w:rsidR="001D38A8">
        <w:t xml:space="preserve">deposition testimony and </w:t>
      </w:r>
      <w:r w:rsidRPr="008C0627" w:rsidR="00DF0457">
        <w:t>documents</w:t>
      </w:r>
      <w:r w:rsidRPr="008C0627" w:rsidR="001D64DA">
        <w:t xml:space="preserve"> </w:t>
      </w:r>
      <w:r w:rsidRPr="008C0627" w:rsidR="001D38A8">
        <w:t xml:space="preserve">tending to </w:t>
      </w:r>
      <w:r w:rsidRPr="008C0627" w:rsidR="001D64DA">
        <w:t>show</w:t>
      </w:r>
      <w:r w:rsidRPr="008C0627" w:rsidR="001D38A8">
        <w:t xml:space="preserve"> </w:t>
      </w:r>
      <w:r w:rsidRPr="008C0627" w:rsidR="00540808">
        <w:t>that neighboring</w:t>
      </w:r>
      <w:r w:rsidRPr="008C0627" w:rsidR="00193E5C">
        <w:t xml:space="preserve"> </w:t>
      </w:r>
      <w:r w:rsidRPr="008C0627" w:rsidR="003A39FA">
        <w:t xml:space="preserve">properties </w:t>
      </w:r>
      <w:r w:rsidRPr="008C0627" w:rsidR="001635BF">
        <w:t xml:space="preserve">had </w:t>
      </w:r>
      <w:r w:rsidRPr="008C0627" w:rsidR="009B535B">
        <w:t xml:space="preserve">experienced </w:t>
      </w:r>
      <w:r w:rsidRPr="008C0627" w:rsidR="003A39FA">
        <w:t xml:space="preserve">similar </w:t>
      </w:r>
      <w:r w:rsidRPr="008C0627" w:rsidR="009B535B">
        <w:t>damage</w:t>
      </w:r>
      <w:r w:rsidRPr="008C0627" w:rsidR="001D38A8">
        <w:t>.  These documents</w:t>
      </w:r>
      <w:r w:rsidRPr="008C0627" w:rsidR="00DF0457">
        <w:t xml:space="preserve"> </w:t>
      </w:r>
      <w:r w:rsidRPr="008C0627" w:rsidR="002708A0">
        <w:t xml:space="preserve">included </w:t>
      </w:r>
      <w:r w:rsidRPr="008C0627" w:rsidR="009B535B">
        <w:t xml:space="preserve">a map, </w:t>
      </w:r>
      <w:r w:rsidRPr="008C0627" w:rsidR="00CE64D4">
        <w:t>from</w:t>
      </w:r>
      <w:r w:rsidRPr="008C0627" w:rsidR="009B535B">
        <w:t xml:space="preserve"> which the court inferred that buildings not owned by the Property Owners but situated between their properties were “suffering damages from the [s]ound wall</w:t>
      </w:r>
      <w:r w:rsidRPr="008C0627" w:rsidR="004519B8">
        <w:t>,</w:t>
      </w:r>
      <w:r w:rsidRPr="008C0627" w:rsidR="009B535B">
        <w:t>”</w:t>
      </w:r>
      <w:r w:rsidRPr="008C0627" w:rsidR="004519B8">
        <w:t xml:space="preserve"> and </w:t>
      </w:r>
      <w:r w:rsidRPr="008C0627" w:rsidR="00F30AFE">
        <w:t xml:space="preserve">a </w:t>
      </w:r>
      <w:r w:rsidRPr="008C0627" w:rsidR="004519B8">
        <w:t>complaint in a separate lawsuit</w:t>
      </w:r>
      <w:r w:rsidRPr="008C0627" w:rsidR="00060FF0">
        <w:t xml:space="preserve"> filed by </w:t>
      </w:r>
      <w:r w:rsidRPr="008C0627" w:rsidR="00020A6E">
        <w:t>owners of nearby</w:t>
      </w:r>
      <w:r w:rsidRPr="008C0627" w:rsidR="00060FF0">
        <w:t xml:space="preserve"> propert</w:t>
      </w:r>
      <w:r w:rsidRPr="008C0627" w:rsidR="00020A6E">
        <w:t>ies</w:t>
      </w:r>
      <w:r w:rsidRPr="008C0627" w:rsidR="004519B8">
        <w:t>.</w:t>
      </w:r>
      <w:r w:rsidRPr="008C0627" w:rsidR="007E63AC">
        <w:t xml:space="preserve">  </w:t>
      </w:r>
      <w:r w:rsidRPr="008C0627" w:rsidR="00911C55">
        <w:t xml:space="preserve">The court also </w:t>
      </w:r>
      <w:r w:rsidR="006D49F8">
        <w:t>entered judgment against the Property Owners on</w:t>
      </w:r>
      <w:r w:rsidRPr="008C0627" w:rsidR="006D49F8">
        <w:t xml:space="preserve"> </w:t>
      </w:r>
      <w:r w:rsidRPr="008C0627" w:rsidR="00911C55">
        <w:t xml:space="preserve">the nuisance claim.  </w:t>
      </w:r>
      <w:r w:rsidRPr="008C0627" w:rsidR="006E6C4C">
        <w:t>T</w:t>
      </w:r>
      <w:r w:rsidRPr="008C0627" w:rsidR="003A15A0">
        <w:t xml:space="preserve">he court did not </w:t>
      </w:r>
      <w:r w:rsidRPr="008C0627" w:rsidR="00911C55">
        <w:t xml:space="preserve">address the Property Owners’ arguments about the scope of </w:t>
      </w:r>
      <w:bookmarkStart w:id="21" w:name="Psych_Cite_11"/>
      <w:r w:rsidRPr="008C0627" w:rsidR="00911C55">
        <w:t>section 1260.040</w:t>
      </w:r>
      <w:bookmarkEnd w:id="21"/>
      <w:r w:rsidRPr="008C0627" w:rsidR="00911C55">
        <w:t xml:space="preserve"> or </w:t>
      </w:r>
      <w:r w:rsidRPr="008C0627" w:rsidR="00100B7A">
        <w:t>s</w:t>
      </w:r>
      <w:r w:rsidR="00100B7A">
        <w:t>pecify</w:t>
      </w:r>
      <w:r w:rsidRPr="008C0627" w:rsidR="00100B7A">
        <w:t xml:space="preserve"> </w:t>
      </w:r>
      <w:r w:rsidRPr="008C0627" w:rsidR="00911C55">
        <w:t xml:space="preserve">whether it considered that section to be the source of its authority to </w:t>
      </w:r>
      <w:r w:rsidRPr="008C0627" w:rsidR="00060FF0">
        <w:t xml:space="preserve">consider </w:t>
      </w:r>
      <w:r w:rsidRPr="008C0627" w:rsidR="00911C55">
        <w:t xml:space="preserve">the </w:t>
      </w:r>
      <w:r w:rsidRPr="008C0627" w:rsidR="00282437">
        <w:t xml:space="preserve">Agencies’ </w:t>
      </w:r>
      <w:r w:rsidRPr="008C0627" w:rsidR="00911C55">
        <w:t>motions</w:t>
      </w:r>
      <w:r w:rsidRPr="008C0627" w:rsidR="003A15A0">
        <w:t>.</w:t>
      </w:r>
    </w:p>
    <w:p w:rsidR="003010B6" w:rsidRPr="008C0627" w:rsidP="009C5ADD">
      <w:pPr>
        <w:pStyle w:val="Heading2"/>
      </w:pPr>
      <w:r w:rsidRPr="00DD3A9A">
        <w:t>B</w:t>
      </w:r>
      <w:r w:rsidRPr="00DD3A9A">
        <w:t xml:space="preserve">. </w:t>
      </w:r>
      <w:r w:rsidRPr="00DD3A9A" w:rsidR="00EE5B60">
        <w:t xml:space="preserve"> </w:t>
      </w:r>
      <w:r w:rsidRPr="00DD3A9A">
        <w:t xml:space="preserve">The </w:t>
      </w:r>
      <w:r w:rsidRPr="00DD3A9A" w:rsidR="00CE64D4">
        <w:t>Court of Appeal</w:t>
      </w:r>
      <w:r w:rsidRPr="00DD3A9A">
        <w:t>’s Decision</w:t>
      </w:r>
    </w:p>
    <w:p w:rsidR="00006D9A" w:rsidRPr="008C0627" w:rsidP="00BA2301">
      <w:pPr>
        <w:tabs>
          <w:tab w:val="left" w:pos="1440"/>
        </w:tabs>
        <w:ind w:firstLine="720"/>
      </w:pPr>
      <w:r w:rsidRPr="008C0627">
        <w:t xml:space="preserve">On appeal, </w:t>
      </w:r>
      <w:r w:rsidRPr="008C0627" w:rsidR="00A10031">
        <w:t xml:space="preserve">the Property Owners </w:t>
      </w:r>
      <w:r w:rsidRPr="008C0627" w:rsidR="00087ED7">
        <w:t>argued</w:t>
      </w:r>
      <w:r w:rsidRPr="008C0627" w:rsidR="00A77EED">
        <w:t xml:space="preserve"> that </w:t>
      </w:r>
      <w:bookmarkStart w:id="22" w:name="Psych_Cite_13"/>
      <w:r w:rsidRPr="008C0627" w:rsidR="00A77EED">
        <w:t>section 1260.040</w:t>
      </w:r>
      <w:bookmarkEnd w:id="22"/>
      <w:r w:rsidRPr="008C0627" w:rsidR="00A77EED">
        <w:t xml:space="preserve"> does not authorize trial courts to make dispositive rulings on liability in inverse condemnation actions. </w:t>
      </w:r>
      <w:r w:rsidRPr="008C0627" w:rsidR="00702F47">
        <w:t xml:space="preserve"> </w:t>
      </w:r>
      <w:r w:rsidRPr="008C0627" w:rsidR="005138C8">
        <w:t>In response, t</w:t>
      </w:r>
      <w:r w:rsidRPr="008C0627">
        <w:t xml:space="preserve">he Agencies conceded </w:t>
      </w:r>
      <w:bookmarkStart w:id="23" w:name="Psych_Cite_14"/>
      <w:r w:rsidRPr="008C0627" w:rsidR="009F6286">
        <w:t>s</w:t>
      </w:r>
      <w:r w:rsidRPr="008C0627">
        <w:t>ection 1260.040</w:t>
      </w:r>
      <w:bookmarkEnd w:id="23"/>
      <w:r w:rsidRPr="008C0627">
        <w:t xml:space="preserve"> </w:t>
      </w:r>
      <w:r w:rsidRPr="008C0627" w:rsidR="00DB6F28">
        <w:t xml:space="preserve">does not apply “directly” in inverse condemnation actions. </w:t>
      </w:r>
      <w:r w:rsidRPr="008C0627" w:rsidR="009F6286">
        <w:t xml:space="preserve"> </w:t>
      </w:r>
      <w:r w:rsidRPr="008C0627" w:rsidR="006E6C4C">
        <w:t>However</w:t>
      </w:r>
      <w:r w:rsidRPr="008C0627">
        <w:t>, th</w:t>
      </w:r>
      <w:r w:rsidRPr="008C0627" w:rsidR="006E6C4C">
        <w:t xml:space="preserve">ey </w:t>
      </w:r>
      <w:r w:rsidRPr="008C0627" w:rsidR="00F22A3D">
        <w:t>asked</w:t>
      </w:r>
      <w:r w:rsidRPr="008C0627" w:rsidR="004460D7">
        <w:t xml:space="preserve"> </w:t>
      </w:r>
      <w:r w:rsidRPr="008C0627">
        <w:t xml:space="preserve">the Court of Appeal </w:t>
      </w:r>
      <w:r w:rsidRPr="008C0627" w:rsidR="001D64DA">
        <w:t>to</w:t>
      </w:r>
      <w:r w:rsidRPr="008C0627">
        <w:t xml:space="preserve"> “import” </w:t>
      </w:r>
      <w:bookmarkStart w:id="24" w:name="Psych_Cite_15"/>
      <w:r w:rsidRPr="008C0627" w:rsidR="00F22A3D">
        <w:t>section 1260.040</w:t>
      </w:r>
      <w:bookmarkEnd w:id="24"/>
      <w:r w:rsidRPr="008C0627" w:rsidR="00F22A3D">
        <w:t xml:space="preserve"> </w:t>
      </w:r>
      <w:r w:rsidRPr="008C0627">
        <w:t>into inverse condemnati</w:t>
      </w:r>
      <w:r w:rsidRPr="008C0627" w:rsidR="000A5D02">
        <w:t>on</w:t>
      </w:r>
      <w:r w:rsidRPr="008C0627" w:rsidR="00162D56">
        <w:t xml:space="preserve"> </w:t>
      </w:r>
      <w:r w:rsidRPr="008C0627" w:rsidR="000F2511">
        <w:t xml:space="preserve">procedure </w:t>
      </w:r>
      <w:r w:rsidRPr="008C0627" w:rsidR="007621FF">
        <w:t xml:space="preserve">and authorize </w:t>
      </w:r>
      <w:r w:rsidRPr="008C0627" w:rsidR="00F22A3D">
        <w:t>its use</w:t>
      </w:r>
      <w:r w:rsidRPr="008C0627" w:rsidR="007621FF">
        <w:t xml:space="preserve"> to request</w:t>
      </w:r>
      <w:r w:rsidRPr="008C0627" w:rsidR="005138C8">
        <w:t xml:space="preserve"> dispositive rulings on </w:t>
      </w:r>
      <w:r w:rsidRPr="008C0627" w:rsidR="007621FF">
        <w:t xml:space="preserve">inverse condemnation </w:t>
      </w:r>
      <w:r w:rsidRPr="008C0627" w:rsidR="005138C8">
        <w:t>liability</w:t>
      </w:r>
      <w:r w:rsidRPr="008C0627" w:rsidR="00203A50">
        <w:t xml:space="preserve">, a use the Court of Appeal previously had approved in </w:t>
      </w:r>
      <w:bookmarkStart w:id="25" w:name="Psych_Cite_12"/>
      <w:r w:rsidRPr="008C0627" w:rsidR="00203A50">
        <w:rPr>
          <w:i/>
        </w:rPr>
        <w:t>Dina v. People ex rel. Dept. of Transportation</w:t>
      </w:r>
      <w:r w:rsidRPr="008C0627" w:rsidR="00203A50">
        <w:t xml:space="preserve"> (2007) 151 Cal.App.4th 1029</w:t>
      </w:r>
      <w:r w:rsidRPr="008C0627" w:rsidR="008C26CA">
        <w:t xml:space="preserve"> (</w:t>
      </w:r>
      <w:r w:rsidRPr="008C0627" w:rsidR="008C26CA">
        <w:rPr>
          <w:i/>
        </w:rPr>
        <w:t>Dina</w:t>
      </w:r>
      <w:r w:rsidRPr="008C0627" w:rsidR="008C26CA">
        <w:t>)</w:t>
      </w:r>
      <w:bookmarkEnd w:id="25"/>
      <w:r w:rsidRPr="008C0627" w:rsidR="00203A50">
        <w:t xml:space="preserve">.  </w:t>
      </w:r>
      <w:r w:rsidRPr="008C0627">
        <w:t>The Agencies</w:t>
      </w:r>
      <w:r w:rsidRPr="008C0627" w:rsidR="001D64DA">
        <w:t xml:space="preserve"> </w:t>
      </w:r>
      <w:r w:rsidRPr="008C0627" w:rsidR="00DC55F7">
        <w:t xml:space="preserve">told </w:t>
      </w:r>
      <w:r w:rsidRPr="008C0627" w:rsidR="001D64DA">
        <w:t xml:space="preserve">the </w:t>
      </w:r>
      <w:r w:rsidRPr="008C0627">
        <w:t>C</w:t>
      </w:r>
      <w:r w:rsidRPr="008C0627" w:rsidR="001D64DA">
        <w:t xml:space="preserve">ourt </w:t>
      </w:r>
      <w:r w:rsidRPr="008C0627">
        <w:t xml:space="preserve">of Appeal </w:t>
      </w:r>
      <w:r w:rsidRPr="008C0627" w:rsidR="00DC55F7">
        <w:t xml:space="preserve">it </w:t>
      </w:r>
      <w:r w:rsidRPr="008C0627">
        <w:t xml:space="preserve">could </w:t>
      </w:r>
      <w:r w:rsidRPr="008C0627" w:rsidR="001D64DA">
        <w:t>do</w:t>
      </w:r>
      <w:r w:rsidRPr="008C0627">
        <w:t xml:space="preserve"> </w:t>
      </w:r>
      <w:r w:rsidRPr="008C0627" w:rsidR="003B3E7D">
        <w:t xml:space="preserve">this because </w:t>
      </w:r>
      <w:r w:rsidRPr="008C0627" w:rsidR="006F432C">
        <w:t>the Legislature left the law of inverse condemnation “</w:t>
      </w:r>
      <w:bookmarkStart w:id="26" w:name="QUOTE_BOOKMARK_IS_CONFIRMED_1"/>
      <w:r w:rsidR="00A847F5">
        <w:t xml:space="preserve"> </w:t>
      </w:r>
      <w:r w:rsidR="00BC5CA1">
        <w:t>‘for determination by judicial development’</w:t>
      </w:r>
      <w:bookmarkEnd w:id="26"/>
      <w:r w:rsidR="00A847F5">
        <w:t xml:space="preserve"> </w:t>
      </w:r>
      <w:r w:rsidRPr="008C0627" w:rsidR="006F432C">
        <w:t>”</w:t>
      </w:r>
      <w:r w:rsidRPr="008C0627" w:rsidR="00DC55F7">
        <w:t xml:space="preserve"> and </w:t>
      </w:r>
      <w:r w:rsidRPr="008C0627" w:rsidR="003B3E7D">
        <w:t>“</w:t>
      </w:r>
      <w:r w:rsidRPr="008C0627" w:rsidR="000A5D02">
        <w:t>cross-pollination” in the area of takings law “is the general rule.”</w:t>
      </w:r>
    </w:p>
    <w:p w:rsidR="00E0278F" w:rsidRPr="008C0627" w:rsidP="00BA2301">
      <w:pPr>
        <w:tabs>
          <w:tab w:val="left" w:pos="1440"/>
        </w:tabs>
        <w:ind w:firstLine="720"/>
      </w:pPr>
      <w:r w:rsidRPr="008C0627">
        <w:t xml:space="preserve">The Court of Appeal rejected </w:t>
      </w:r>
      <w:r w:rsidRPr="008C0627" w:rsidR="000A5D02">
        <w:t xml:space="preserve">the Agencies’ </w:t>
      </w:r>
      <w:r w:rsidRPr="008C0627" w:rsidR="00204D13">
        <w:t>request</w:t>
      </w:r>
      <w:r w:rsidRPr="008C0627" w:rsidR="00B86D60">
        <w:t>,</w:t>
      </w:r>
      <w:r w:rsidRPr="008C0627">
        <w:t xml:space="preserve"> </w:t>
      </w:r>
      <w:r w:rsidRPr="008C0627" w:rsidR="00B86D60">
        <w:t xml:space="preserve">disagreeing </w:t>
      </w:r>
      <w:r w:rsidRPr="008C0627">
        <w:t xml:space="preserve">with </w:t>
      </w:r>
      <w:bookmarkStart w:id="27" w:name="Psych_Cite_17"/>
      <w:r w:rsidRPr="008C0627">
        <w:rPr>
          <w:i/>
        </w:rPr>
        <w:t>Dina</w:t>
      </w:r>
      <w:r w:rsidRPr="008C0627" w:rsidR="00B86D60">
        <w:t>,</w:t>
      </w:r>
      <w:r w:rsidRPr="008C0627" w:rsidR="00B86D60">
        <w:rPr>
          <w:i/>
        </w:rPr>
        <w:t xml:space="preserve"> supra</w:t>
      </w:r>
      <w:r w:rsidRPr="008C0627" w:rsidR="00B86D60">
        <w:t>, 151 Cal.App.4th 1029</w:t>
      </w:r>
      <w:bookmarkEnd w:id="27"/>
      <w:r w:rsidRPr="008C0627" w:rsidR="00AD1E59">
        <w:t>,</w:t>
      </w:r>
      <w:r w:rsidRPr="008C0627" w:rsidR="00213A0E">
        <w:t xml:space="preserve"> to the extent </w:t>
      </w:r>
      <w:r w:rsidRPr="008C0627" w:rsidR="00876CE2">
        <w:t xml:space="preserve">the </w:t>
      </w:r>
      <w:r w:rsidRPr="008C0627" w:rsidR="00876CE2">
        <w:rPr>
          <w:i/>
        </w:rPr>
        <w:t>Dina</w:t>
      </w:r>
      <w:r w:rsidRPr="008C0627" w:rsidR="00876CE2">
        <w:t xml:space="preserve"> court</w:t>
      </w:r>
      <w:r w:rsidRPr="008C0627" w:rsidR="00C94C77">
        <w:t xml:space="preserve"> </w:t>
      </w:r>
      <w:r w:rsidRPr="008C0627" w:rsidR="00876CE2">
        <w:t xml:space="preserve">viewed </w:t>
      </w:r>
      <w:bookmarkStart w:id="28" w:name="Psych_Cite_20"/>
      <w:r w:rsidRPr="008C0627" w:rsidR="00C94C77">
        <w:t>section 1260.040</w:t>
      </w:r>
      <w:bookmarkEnd w:id="28"/>
      <w:r w:rsidRPr="008C0627" w:rsidR="00C94C77">
        <w:t xml:space="preserve"> as </w:t>
      </w:r>
      <w:r w:rsidRPr="008C0627" w:rsidR="00BD0FDF">
        <w:t>authorizing a</w:t>
      </w:r>
      <w:r w:rsidRPr="008C0627" w:rsidR="00213A0E">
        <w:t xml:space="preserve"> motion </w:t>
      </w:r>
      <w:r w:rsidRPr="008C0627" w:rsidR="00BB79E2">
        <w:t xml:space="preserve">procedure </w:t>
      </w:r>
      <w:r w:rsidRPr="008C0627" w:rsidR="005A79F7">
        <w:t xml:space="preserve">that </w:t>
      </w:r>
      <w:r w:rsidRPr="008C0627" w:rsidR="00BB79E2">
        <w:t xml:space="preserve">may </w:t>
      </w:r>
      <w:r w:rsidRPr="008C0627" w:rsidR="00213A0E">
        <w:t xml:space="preserve">be used to </w:t>
      </w:r>
      <w:r w:rsidRPr="008C0627" w:rsidR="00683B77">
        <w:t>decide</w:t>
      </w:r>
      <w:r w:rsidRPr="008C0627" w:rsidR="00CE1316">
        <w:t xml:space="preserve"> </w:t>
      </w:r>
      <w:r w:rsidRPr="008C0627" w:rsidR="00213A0E">
        <w:t>liability issues</w:t>
      </w:r>
      <w:r w:rsidRPr="008C0627" w:rsidR="005A79F7">
        <w:t xml:space="preserve"> in inverse condemnation actions</w:t>
      </w:r>
      <w:r w:rsidRPr="008C0627">
        <w:t xml:space="preserve">.  </w:t>
      </w:r>
      <w:r w:rsidRPr="008C0627" w:rsidR="00BB56D8">
        <w:t>(</w:t>
      </w:r>
      <w:bookmarkStart w:id="29" w:name="Psych_Cite_18"/>
      <w:r w:rsidRPr="008C0627" w:rsidR="00BB56D8">
        <w:rPr>
          <w:i/>
        </w:rPr>
        <w:t>Weiss</w:t>
      </w:r>
      <w:r w:rsidRPr="008C0627" w:rsidR="00F35AEE">
        <w:rPr>
          <w:i/>
        </w:rPr>
        <w:t xml:space="preserve"> v. People ex rel. Dept. of Transportation</w:t>
      </w:r>
      <w:r w:rsidRPr="008C0627" w:rsidR="00F35AEE">
        <w:t xml:space="preserve"> (2018)</w:t>
      </w:r>
      <w:r w:rsidRPr="008C0627" w:rsidR="00107DCD">
        <w:t xml:space="preserve"> </w:t>
      </w:r>
      <w:r w:rsidRPr="008C0627" w:rsidR="00F35AEE">
        <w:t>20 Cal.App.5th 1156,</w:t>
      </w:r>
      <w:r w:rsidRPr="008C0627" w:rsidR="00CE1316">
        <w:t xml:space="preserve"> </w:t>
      </w:r>
      <w:r w:rsidRPr="008C0627" w:rsidR="00BB56D8">
        <w:t>11</w:t>
      </w:r>
      <w:r w:rsidRPr="008C0627" w:rsidR="00E37A85">
        <w:t>61</w:t>
      </w:r>
      <w:r w:rsidRPr="008C0627" w:rsidR="009F6286">
        <w:t>–</w:t>
      </w:r>
      <w:r w:rsidRPr="008C0627" w:rsidR="00E37A85">
        <w:t>11</w:t>
      </w:r>
      <w:r w:rsidRPr="008C0627" w:rsidR="00BB56D8">
        <w:t>62</w:t>
      </w:r>
      <w:r w:rsidR="00DD3A9A">
        <w:t>,</w:t>
      </w:r>
      <w:r w:rsidRPr="008C0627" w:rsidR="0043188F">
        <w:t xml:space="preserve"> 1167</w:t>
      </w:r>
      <w:r w:rsidRPr="008C0627" w:rsidR="009F6286">
        <w:t>–1170</w:t>
      </w:r>
      <w:r w:rsidRPr="008C0627" w:rsidR="00F35AEE">
        <w:t xml:space="preserve"> (</w:t>
      </w:r>
      <w:r w:rsidRPr="008C0627" w:rsidR="00F35AEE">
        <w:rPr>
          <w:i/>
        </w:rPr>
        <w:t>Weiss</w:t>
      </w:r>
      <w:r w:rsidRPr="008C0627" w:rsidR="00F35AEE">
        <w:t>)</w:t>
      </w:r>
      <w:bookmarkEnd w:id="29"/>
      <w:r w:rsidRPr="008C0627" w:rsidR="00BB56D8">
        <w:t>.)</w:t>
      </w:r>
      <w:r>
        <w:rPr>
          <w:rStyle w:val="FootnoteReference"/>
        </w:rPr>
        <w:footnoteReference w:id="5"/>
      </w:r>
      <w:r w:rsidRPr="008C0627" w:rsidR="00BB56D8">
        <w:t xml:space="preserve"> </w:t>
      </w:r>
      <w:r w:rsidRPr="008C0627" w:rsidR="0043188F">
        <w:t xml:space="preserve"> </w:t>
      </w:r>
      <w:r w:rsidRPr="008C0627" w:rsidR="0007697F">
        <w:t>T</w:t>
      </w:r>
      <w:r w:rsidRPr="008C0627" w:rsidR="004D3DA7">
        <w:t xml:space="preserve">he </w:t>
      </w:r>
      <w:r w:rsidRPr="008C0627" w:rsidR="005A79F7">
        <w:t>Court of Appeal</w:t>
      </w:r>
      <w:r w:rsidRPr="008C0627" w:rsidR="004D3DA7">
        <w:t xml:space="preserve"> concluded there was no</w:t>
      </w:r>
      <w:r w:rsidRPr="008C0627" w:rsidR="00834781">
        <w:t xml:space="preserve"> </w:t>
      </w:r>
      <w:r w:rsidRPr="008C0627" w:rsidR="004D3DA7">
        <w:t xml:space="preserve">reason to judicially create </w:t>
      </w:r>
      <w:r w:rsidRPr="008C0627" w:rsidR="00834781">
        <w:t>“</w:t>
      </w:r>
      <w:bookmarkStart w:id="34" w:name="QUOTE_BOOKMARK_IS_CONFIRMED_3"/>
      <w:r w:rsidR="00BC5CA1">
        <w:t>a novel summary mechanism</w:t>
      </w:r>
      <w:bookmarkEnd w:id="34"/>
      <w:r w:rsidRPr="008C0627" w:rsidR="002F2DEF">
        <w:t>” for determining inverse condemnation</w:t>
      </w:r>
      <w:r w:rsidRPr="008C0627" w:rsidR="00D32EB7">
        <w:t xml:space="preserve"> liability</w:t>
      </w:r>
      <w:r w:rsidRPr="008C0627" w:rsidR="00F35AEE">
        <w:t>.</w:t>
      </w:r>
      <w:r w:rsidRPr="008C0627" w:rsidR="00897995">
        <w:t xml:space="preserve">  </w:t>
      </w:r>
      <w:r w:rsidRPr="008C0627" w:rsidR="00834781">
        <w:t>(</w:t>
      </w:r>
      <w:bookmarkStart w:id="35" w:name="Psych_Cite_16"/>
      <w:r w:rsidR="00DD3A9A">
        <w:rPr>
          <w:i/>
        </w:rPr>
        <w:t>We</w:t>
      </w:r>
      <w:bookmarkEnd w:id="35"/>
      <w:r w:rsidR="00DD3A9A">
        <w:rPr>
          <w:i/>
        </w:rPr>
        <w:t>iss,</w:t>
      </w:r>
      <w:r w:rsidRPr="008C0627" w:rsidR="00834781">
        <w:t xml:space="preserve"> at </w:t>
      </w:r>
      <w:r w:rsidRPr="008C0627" w:rsidR="00D4107E">
        <w:t>p. 1167.)</w:t>
      </w:r>
    </w:p>
    <w:p w:rsidR="00F94EB0" w:rsidRPr="008C0627" w:rsidP="00F1056A">
      <w:pPr>
        <w:tabs>
          <w:tab w:val="left" w:pos="1440"/>
        </w:tabs>
        <w:ind w:firstLine="720"/>
      </w:pPr>
      <w:r w:rsidRPr="008C0627">
        <w:t xml:space="preserve">Having rejected the Agencies’ invitation to </w:t>
      </w:r>
      <w:r w:rsidR="00F86251">
        <w:t>“</w:t>
      </w:r>
      <w:r w:rsidRPr="008C0627">
        <w:t>import</w:t>
      </w:r>
      <w:r w:rsidR="00F86251">
        <w:t>”</w:t>
      </w:r>
      <w:r w:rsidRPr="008C0627">
        <w:t xml:space="preserve"> </w:t>
      </w:r>
      <w:bookmarkStart w:id="36" w:name="Psych_Cite_24"/>
      <w:r w:rsidRPr="008C0627">
        <w:t>section 1260.040</w:t>
      </w:r>
      <w:bookmarkEnd w:id="36"/>
      <w:r w:rsidRPr="008C0627">
        <w:t xml:space="preserve"> into inverse condemnation </w:t>
      </w:r>
      <w:r w:rsidRPr="008C0627" w:rsidR="00DC2CDA">
        <w:t>procedure</w:t>
      </w:r>
      <w:r w:rsidRPr="008C0627">
        <w:t xml:space="preserve">, the Court of Appeal </w:t>
      </w:r>
      <w:r w:rsidRPr="008C0627" w:rsidR="000B2C43">
        <w:t xml:space="preserve">concluded </w:t>
      </w:r>
      <w:r w:rsidRPr="008C0627">
        <w:t xml:space="preserve">that reversal of the trial court’s </w:t>
      </w:r>
      <w:r w:rsidRPr="008C0627" w:rsidR="00851859">
        <w:t>judgment in the</w:t>
      </w:r>
      <w:r w:rsidRPr="008C0627" w:rsidR="00F35AEE">
        <w:t xml:space="preserve"> Agencies’ </w:t>
      </w:r>
      <w:r w:rsidRPr="008C0627" w:rsidR="00851859">
        <w:t>favor</w:t>
      </w:r>
      <w:r w:rsidRPr="008C0627">
        <w:t xml:space="preserve"> was necessary.  (</w:t>
      </w:r>
      <w:bookmarkStart w:id="37" w:name="Psych_Cite_23"/>
      <w:r w:rsidRPr="008C0627">
        <w:rPr>
          <w:i/>
        </w:rPr>
        <w:t>Weiss</w:t>
      </w:r>
      <w:r w:rsidRPr="008C0627">
        <w:t xml:space="preserve">, </w:t>
      </w:r>
      <w:r w:rsidRPr="008C0627">
        <w:rPr>
          <w:i/>
        </w:rPr>
        <w:t>supra</w:t>
      </w:r>
      <w:r w:rsidRPr="008C0627">
        <w:t xml:space="preserve">, </w:t>
      </w:r>
      <w:r w:rsidRPr="008C0627" w:rsidR="007B7C4D">
        <w:t xml:space="preserve">20 </w:t>
      </w:r>
      <w:r w:rsidRPr="008C0627" w:rsidR="00F35AEE">
        <w:t>Cal.App.</w:t>
      </w:r>
      <w:r w:rsidRPr="008C0627" w:rsidR="007B7C4D">
        <w:t>5</w:t>
      </w:r>
      <w:r w:rsidRPr="008C0627" w:rsidR="00F35AEE">
        <w:t xml:space="preserve">th </w:t>
      </w:r>
      <w:r w:rsidRPr="008C0627">
        <w:t>at p. 1176</w:t>
      </w:r>
      <w:bookmarkEnd w:id="37"/>
      <w:r w:rsidRPr="008C0627">
        <w:t>.)</w:t>
      </w:r>
      <w:r w:rsidRPr="008C0627" w:rsidR="002F2DEF">
        <w:t xml:space="preserve"> </w:t>
      </w:r>
      <w:r w:rsidRPr="008C0627">
        <w:t xml:space="preserve"> It </w:t>
      </w:r>
      <w:r w:rsidRPr="008C0627" w:rsidR="00851859">
        <w:t xml:space="preserve">characterized the trial court’s </w:t>
      </w:r>
      <w:r w:rsidR="006D49F8">
        <w:t>decision</w:t>
      </w:r>
      <w:r w:rsidRPr="008C0627" w:rsidR="006D49F8">
        <w:t xml:space="preserve"> </w:t>
      </w:r>
      <w:r w:rsidRPr="008C0627" w:rsidR="00851859">
        <w:t>as, in effect</w:t>
      </w:r>
      <w:r w:rsidRPr="008C0627" w:rsidR="000B2C43">
        <w:t>,</w:t>
      </w:r>
      <w:r w:rsidRPr="008C0627" w:rsidR="000A3AF9">
        <w:t xml:space="preserve"> </w:t>
      </w:r>
      <w:r w:rsidRPr="008C0627" w:rsidR="002F2DEF">
        <w:t>“an early summary judgment ruling</w:t>
      </w:r>
      <w:r w:rsidRPr="008C0627" w:rsidR="00F65805">
        <w:t>,</w:t>
      </w:r>
      <w:r w:rsidRPr="008C0627" w:rsidR="002F2DEF">
        <w:t>”</w:t>
      </w:r>
      <w:r w:rsidRPr="008C0627" w:rsidR="00F65805">
        <w:t xml:space="preserve"> entered without adherence to “the detailed statutory constraints governing summary judgment motions.”</w:t>
      </w:r>
      <w:r w:rsidRPr="008C0627" w:rsidR="002F2DEF">
        <w:t xml:space="preserve"> </w:t>
      </w:r>
      <w:r w:rsidRPr="008C0627" w:rsidR="00851859">
        <w:t xml:space="preserve"> </w:t>
      </w:r>
      <w:r w:rsidRPr="008C0627" w:rsidR="002F2DEF">
        <w:t>(</w:t>
      </w:r>
      <w:bookmarkStart w:id="38" w:name="Psych_Cite_21"/>
      <w:r w:rsidRPr="008C0627" w:rsidR="002F2DEF">
        <w:rPr>
          <w:i/>
        </w:rPr>
        <w:t>Id</w:t>
      </w:r>
      <w:r w:rsidRPr="008C0627" w:rsidR="002F2DEF">
        <w:t>. at p. 1175</w:t>
      </w:r>
      <w:bookmarkEnd w:id="38"/>
      <w:r w:rsidRPr="008C0627" w:rsidR="002F2DEF">
        <w:t>.)</w:t>
      </w:r>
      <w:r w:rsidRPr="008C0627" w:rsidR="00307F13">
        <w:t xml:space="preserve">  </w:t>
      </w:r>
      <w:r w:rsidRPr="008C0627" w:rsidR="00F65805">
        <w:t xml:space="preserve">It observed that this </w:t>
      </w:r>
      <w:r w:rsidRPr="008C0627" w:rsidR="000B2C43">
        <w:t xml:space="preserve">procedure </w:t>
      </w:r>
      <w:r w:rsidRPr="008C0627" w:rsidR="00DB24B5">
        <w:t xml:space="preserve">did not </w:t>
      </w:r>
      <w:r w:rsidRPr="008C0627" w:rsidR="00F65805">
        <w:t>“</w:t>
      </w:r>
      <w:bookmarkStart w:id="39" w:name="QUOTE_BOOKMARK_IS_CONFIRMED_4"/>
      <w:r w:rsidR="00BC5CA1">
        <w:t>meaningfully ‘supplement’ existing pretrial procedures governing a summary judgment motion</w:t>
      </w:r>
      <w:bookmarkEnd w:id="39"/>
      <w:r w:rsidRPr="008C0627" w:rsidR="00F65805">
        <w:t>”</w:t>
      </w:r>
      <w:r w:rsidR="00DC3E24">
        <w:t xml:space="preserve"> </w:t>
      </w:r>
      <w:r w:rsidRPr="008C0627" w:rsidR="00DB24B5">
        <w:t>but simply replaced them, thereby “short</w:t>
      </w:r>
      <w:r w:rsidR="00D02581">
        <w:t xml:space="preserve"> </w:t>
      </w:r>
      <w:r w:rsidRPr="008C0627" w:rsidR="00DB24B5">
        <w:t>circuit[ing] the case on liability grounds</w:t>
      </w:r>
      <w:r w:rsidR="00F86251">
        <w:t>.</w:t>
      </w:r>
      <w:r w:rsidRPr="008C0627" w:rsidR="00DB24B5">
        <w:t xml:space="preserve">” </w:t>
      </w:r>
      <w:r w:rsidR="00F86251">
        <w:t xml:space="preserve"> </w:t>
      </w:r>
      <w:r w:rsidRPr="008C0627" w:rsidR="00DB24B5">
        <w:t>(</w:t>
      </w:r>
      <w:r w:rsidR="00F86251">
        <w:rPr>
          <w:i/>
        </w:rPr>
        <w:t>I</w:t>
      </w:r>
      <w:r w:rsidRPr="008C0627" w:rsidR="00DB24B5">
        <w:rPr>
          <w:i/>
        </w:rPr>
        <w:t>d</w:t>
      </w:r>
      <w:r w:rsidRPr="008C0627" w:rsidR="00DB24B5">
        <w:t>. at pp. 1176–1177</w:t>
      </w:r>
      <w:r w:rsidR="00F86251">
        <w:t>.</w:t>
      </w:r>
      <w:r w:rsidRPr="008C0627" w:rsidR="00DB24B5">
        <w:t>)</w:t>
      </w:r>
      <w:r w:rsidR="00BE4FE9">
        <w:t xml:space="preserve">  </w:t>
      </w:r>
      <w:r w:rsidRPr="008C0627">
        <w:t xml:space="preserve">The Court of Appeal further rejected the Agencies’ reliance on </w:t>
      </w:r>
      <w:bookmarkStart w:id="40" w:name="Psych_Cite_25"/>
      <w:r w:rsidRPr="008C0627">
        <w:rPr>
          <w:i/>
        </w:rPr>
        <w:t>Dina</w:t>
      </w:r>
      <w:r w:rsidRPr="008C0627">
        <w:t xml:space="preserve">, </w:t>
      </w:r>
      <w:r w:rsidRPr="008C0627">
        <w:rPr>
          <w:i/>
        </w:rPr>
        <w:t>supra</w:t>
      </w:r>
      <w:r w:rsidRPr="008C0627">
        <w:t>, 151 Cal.App.4th 1029</w:t>
      </w:r>
      <w:bookmarkEnd w:id="40"/>
      <w:r w:rsidRPr="008C0627">
        <w:t xml:space="preserve"> as a basis for the trial court’s authority to resolve the nuisance claim on a </w:t>
      </w:r>
      <w:bookmarkStart w:id="41" w:name="Psych_Cite_27"/>
      <w:r w:rsidRPr="008C0627">
        <w:t>section 1260.040</w:t>
      </w:r>
      <w:bookmarkEnd w:id="41"/>
      <w:r w:rsidRPr="008C0627">
        <w:t xml:space="preserve"> motion, concluding that the Property Owners “were entitled to a jury trial absent a summary judgment motion or other statutorily authorized manner of case disposition.”  (</w:t>
      </w:r>
      <w:bookmarkStart w:id="42" w:name="Psych_Cite_26"/>
      <w:r w:rsidRPr="008C0627">
        <w:rPr>
          <w:i/>
        </w:rPr>
        <w:t>Weiss</w:t>
      </w:r>
      <w:r w:rsidRPr="008C0627">
        <w:t xml:space="preserve">, </w:t>
      </w:r>
      <w:r w:rsidRPr="008C0627">
        <w:rPr>
          <w:i/>
        </w:rPr>
        <w:t>supra</w:t>
      </w:r>
      <w:r w:rsidRPr="008C0627">
        <w:t>, 20 Cal.App.5th at p. 1162</w:t>
      </w:r>
      <w:bookmarkEnd w:id="42"/>
      <w:r w:rsidRPr="008C0627">
        <w:t>.)</w:t>
      </w:r>
    </w:p>
    <w:p w:rsidR="0069199F" w:rsidRPr="008C0627" w:rsidP="00BA2301">
      <w:pPr>
        <w:tabs>
          <w:tab w:val="left" w:pos="1440"/>
        </w:tabs>
        <w:ind w:firstLine="720"/>
      </w:pPr>
      <w:r w:rsidRPr="008C0627">
        <w:t>The Agencies petitioned for review of the Court of Appeal’s ruling on their inverse condemnation cause of action</w:t>
      </w:r>
      <w:r w:rsidRPr="008C0627" w:rsidR="00897995">
        <w:t xml:space="preserve"> only</w:t>
      </w:r>
      <w:r w:rsidRPr="008C0627" w:rsidR="0041434D">
        <w:t xml:space="preserve">, </w:t>
      </w:r>
      <w:r w:rsidRPr="008C0627" w:rsidR="00CD6ABF">
        <w:t xml:space="preserve">citing the Court of Appeal’s disagreement with </w:t>
      </w:r>
      <w:bookmarkStart w:id="43" w:name="Psych_Cite_28"/>
      <w:r w:rsidRPr="008C0627" w:rsidR="00CD6ABF">
        <w:rPr>
          <w:i/>
        </w:rPr>
        <w:t>Dina</w:t>
      </w:r>
      <w:r w:rsidRPr="008C0627" w:rsidR="00CE6B4A">
        <w:t xml:space="preserve">, </w:t>
      </w:r>
      <w:r w:rsidRPr="008C0627" w:rsidR="00CE6B4A">
        <w:rPr>
          <w:i/>
        </w:rPr>
        <w:t>supra</w:t>
      </w:r>
      <w:r w:rsidRPr="008C0627" w:rsidR="00CE6B4A">
        <w:t>, 151 Cal.App.4th 1029</w:t>
      </w:r>
      <w:bookmarkEnd w:id="43"/>
      <w:r w:rsidRPr="008C0627" w:rsidR="00AF395C">
        <w:t xml:space="preserve">.  We granted review. </w:t>
      </w:r>
    </w:p>
    <w:p w:rsidR="007621FF" w:rsidRPr="008C0627" w:rsidP="00BA2301">
      <w:pPr>
        <w:tabs>
          <w:tab w:val="left" w:pos="1440"/>
        </w:tabs>
        <w:jc w:val="center"/>
        <w:rPr>
          <w:b/>
          <w:caps/>
        </w:rPr>
      </w:pPr>
      <w:r w:rsidRPr="008C0627">
        <w:rPr>
          <w:b/>
        </w:rPr>
        <w:t>II</w:t>
      </w:r>
      <w:r w:rsidRPr="008C0627" w:rsidR="0093799C">
        <w:rPr>
          <w:b/>
        </w:rPr>
        <w:t>.</w:t>
      </w:r>
      <w:r w:rsidRPr="008C0627" w:rsidR="007E4EFE">
        <w:rPr>
          <w:b/>
        </w:rPr>
        <w:t xml:space="preserve"> </w:t>
      </w:r>
      <w:r w:rsidRPr="008C0627" w:rsidR="00B5553A">
        <w:rPr>
          <w:b/>
          <w:caps/>
        </w:rPr>
        <w:t>Discussion</w:t>
      </w:r>
      <w:bookmarkStart w:id="44" w:name="_Hlk13664772"/>
    </w:p>
    <w:p w:rsidR="00F6195D" w:rsidRPr="008C0627" w:rsidP="00BA2301">
      <w:pPr>
        <w:tabs>
          <w:tab w:val="left" w:pos="720"/>
        </w:tabs>
      </w:pPr>
      <w:r w:rsidRPr="008C0627">
        <w:tab/>
      </w:r>
      <w:r w:rsidRPr="008C0627">
        <w:t xml:space="preserve">The Agencies concede </w:t>
      </w:r>
      <w:r w:rsidRPr="008C0627" w:rsidR="00D32EB7">
        <w:t>here</w:t>
      </w:r>
      <w:r w:rsidRPr="008C0627">
        <w:t>, as they did in the Court of Appeal</w:t>
      </w:r>
      <w:r w:rsidRPr="008C0627">
        <w:t>,</w:t>
      </w:r>
      <w:r w:rsidRPr="008C0627">
        <w:t xml:space="preserve"> that </w:t>
      </w:r>
      <w:bookmarkStart w:id="45" w:name="Psych_Cite_29"/>
      <w:r w:rsidRPr="008C0627">
        <w:t>section 1260.040</w:t>
      </w:r>
      <w:bookmarkEnd w:id="45"/>
      <w:r w:rsidRPr="008C0627">
        <w:t xml:space="preserve"> applies in eminent domain actions</w:t>
      </w:r>
      <w:r w:rsidRPr="008C0627" w:rsidR="00D32EB7">
        <w:t xml:space="preserve"> only</w:t>
      </w:r>
      <w:r w:rsidRPr="008C0627" w:rsidR="00F94EB0">
        <w:t xml:space="preserve">. </w:t>
      </w:r>
      <w:r w:rsidRPr="008C0627">
        <w:t xml:space="preserve"> </w:t>
      </w:r>
      <w:r w:rsidRPr="008C0627" w:rsidR="00F94EB0">
        <w:t>They acknowledge</w:t>
      </w:r>
      <w:r w:rsidR="00EC65CC">
        <w:t xml:space="preserve"> that</w:t>
      </w:r>
      <w:r w:rsidRPr="008C0627">
        <w:t xml:space="preserve"> </w:t>
      </w:r>
      <w:r w:rsidRPr="008C0627" w:rsidR="000C5838">
        <w:t>“</w:t>
      </w:r>
      <w:r w:rsidRPr="008C0627">
        <w:t xml:space="preserve">the </w:t>
      </w:r>
      <w:r w:rsidRPr="008C0627" w:rsidR="000C5838">
        <w:t xml:space="preserve">statutory language and legislative history express no intent that </w:t>
      </w:r>
      <w:bookmarkStart w:id="46" w:name="Psych_Cite_30"/>
      <w:r w:rsidRPr="008C0627" w:rsidR="000C5838">
        <w:t>section 1260.040</w:t>
      </w:r>
      <w:bookmarkEnd w:id="46"/>
      <w:r w:rsidRPr="008C0627" w:rsidR="000C5838">
        <w:t xml:space="preserve"> should apply </w:t>
      </w:r>
      <w:r w:rsidRPr="008C0627">
        <w:t xml:space="preserve">in inverse condemnation </w:t>
      </w:r>
      <w:r w:rsidRPr="008C0627" w:rsidR="000C5838">
        <w:t>cases</w:t>
      </w:r>
      <w:r w:rsidRPr="008C0627">
        <w:t>.</w:t>
      </w:r>
      <w:r w:rsidRPr="008C0627" w:rsidR="000C5838">
        <w:t>”</w:t>
      </w:r>
      <w:r w:rsidRPr="008C0627">
        <w:t xml:space="preserve">  Nevertheless, the Agencies urge us, as they urged the Court of Appeal, to “import” </w:t>
      </w:r>
      <w:bookmarkStart w:id="47" w:name="Psych_Cite_31"/>
      <w:r w:rsidRPr="008C0627">
        <w:t>section 1260.040</w:t>
      </w:r>
      <w:bookmarkEnd w:id="47"/>
      <w:r w:rsidRPr="008C0627">
        <w:t xml:space="preserve"> into inverse condemnation procedure “</w:t>
      </w:r>
      <w:bookmarkStart w:id="48" w:name="QUOTE_BOOKMARK_IS_CONFIRMED_5"/>
      <w:r w:rsidR="00BC5CA1">
        <w:t>as a matter of judicial development</w:t>
      </w:r>
      <w:bookmarkEnd w:id="48"/>
      <w:r w:rsidRPr="008C0627">
        <w:t xml:space="preserve">” and to sanction </w:t>
      </w:r>
      <w:r w:rsidRPr="008C0627" w:rsidR="00EC32B1">
        <w:t xml:space="preserve">their </w:t>
      </w:r>
      <w:r w:rsidRPr="008C0627" w:rsidR="00846AC2">
        <w:t>reliance on it</w:t>
      </w:r>
      <w:r w:rsidRPr="008C0627" w:rsidR="00EC32B1">
        <w:t xml:space="preserve"> </w:t>
      </w:r>
      <w:r w:rsidRPr="008C0627">
        <w:t xml:space="preserve">to request </w:t>
      </w:r>
      <w:r w:rsidRPr="008C0627" w:rsidR="00064ED8">
        <w:t>entry of judgment</w:t>
      </w:r>
      <w:r w:rsidRPr="008C0627">
        <w:t xml:space="preserve"> </w:t>
      </w:r>
      <w:r w:rsidRPr="008C0627" w:rsidR="00064ED8">
        <w:t>on an</w:t>
      </w:r>
      <w:r w:rsidRPr="008C0627">
        <w:t xml:space="preserve"> inverse condemnation </w:t>
      </w:r>
      <w:r w:rsidRPr="008C0627" w:rsidR="00064ED8">
        <w:t>claim</w:t>
      </w:r>
      <w:r w:rsidRPr="008C0627">
        <w:t xml:space="preserve"> without a bench trial.  They </w:t>
      </w:r>
      <w:r w:rsidRPr="008C0627" w:rsidR="00AB2FE0">
        <w:t xml:space="preserve">contend </w:t>
      </w:r>
      <w:r w:rsidRPr="008C0627">
        <w:t xml:space="preserve">we can do this because the Legislature has left the development of inverse condemnation law to </w:t>
      </w:r>
      <w:r w:rsidRPr="008C0627">
        <w:t xml:space="preserve">the </w:t>
      </w:r>
      <w:r w:rsidRPr="008C0627">
        <w:t xml:space="preserve">judicial </w:t>
      </w:r>
      <w:r w:rsidRPr="008C0627">
        <w:t>branch</w:t>
      </w:r>
      <w:r w:rsidRPr="008C0627" w:rsidR="00DC2CDA">
        <w:t>.</w:t>
      </w:r>
      <w:r w:rsidRPr="008C0627">
        <w:t xml:space="preserve"> </w:t>
      </w:r>
      <w:r w:rsidRPr="008C0627" w:rsidR="00DC2CDA">
        <w:t xml:space="preserve"> A</w:t>
      </w:r>
      <w:r w:rsidRPr="008C0627">
        <w:t xml:space="preserve">nd they </w:t>
      </w:r>
      <w:r w:rsidRPr="008C0627" w:rsidR="00DC2CDA">
        <w:t xml:space="preserve">argue </w:t>
      </w:r>
      <w:r w:rsidRPr="008C0627">
        <w:t xml:space="preserve">we should do this because the use of the </w:t>
      </w:r>
      <w:bookmarkStart w:id="49" w:name="Psych_Cite_32"/>
      <w:r w:rsidRPr="008C0627">
        <w:t>section 1260.040</w:t>
      </w:r>
      <w:bookmarkEnd w:id="49"/>
      <w:r w:rsidRPr="008C0627">
        <w:t xml:space="preserve"> procedure in inverse condemnation </w:t>
      </w:r>
      <w:r w:rsidRPr="008C0627" w:rsidR="00D32EB7">
        <w:t xml:space="preserve">actions </w:t>
      </w:r>
      <w:r w:rsidRPr="008C0627">
        <w:t xml:space="preserve">would promote the same broad policy objective it does in </w:t>
      </w:r>
      <w:r w:rsidRPr="008C0627" w:rsidR="00D32EB7">
        <w:t xml:space="preserve">the </w:t>
      </w:r>
      <w:r w:rsidRPr="008C0627">
        <w:t>eminent domain </w:t>
      </w:r>
      <w:r w:rsidRPr="008C0627" w:rsidR="00D32EB7">
        <w:t>context</w:t>
      </w:r>
      <w:r w:rsidRPr="008C0627" w:rsidR="00740157">
        <w:t xml:space="preserve">: </w:t>
      </w:r>
      <w:r w:rsidR="005657AD">
        <w:t xml:space="preserve"> </w:t>
      </w:r>
      <w:r w:rsidRPr="008C0627" w:rsidR="00EA0C4D">
        <w:t>timely</w:t>
      </w:r>
      <w:r w:rsidRPr="008C0627" w:rsidR="00917B8F">
        <w:t xml:space="preserve"> resolution</w:t>
      </w:r>
      <w:r w:rsidRPr="008C0627">
        <w:t xml:space="preserve">.  For the reasons </w:t>
      </w:r>
      <w:r w:rsidRPr="008C0627" w:rsidR="003D3CCF">
        <w:t xml:space="preserve">discussed </w:t>
      </w:r>
      <w:r w:rsidRPr="008C0627">
        <w:t>below, we decline this request and affirm the judgment of the Court of Appeal.</w:t>
      </w:r>
    </w:p>
    <w:p w:rsidR="00E97452" w:rsidRPr="008C0627" w:rsidP="00BA2301">
      <w:pPr>
        <w:pStyle w:val="Heading2"/>
      </w:pPr>
      <w:r w:rsidRPr="008C0627">
        <w:t xml:space="preserve">A.  </w:t>
      </w:r>
      <w:bookmarkStart w:id="50" w:name="Psych_Cite_33"/>
      <w:r w:rsidRPr="008C0627" w:rsidR="00725B4E">
        <w:t>Section 1260.040</w:t>
      </w:r>
      <w:bookmarkEnd w:id="50"/>
      <w:r w:rsidRPr="008C0627" w:rsidR="00725B4E">
        <w:t xml:space="preserve"> </w:t>
      </w:r>
      <w:r w:rsidR="00F02642">
        <w:t xml:space="preserve">Was </w:t>
      </w:r>
      <w:r w:rsidRPr="008C0627" w:rsidR="00725B4E">
        <w:t xml:space="preserve">Not </w:t>
      </w:r>
      <w:r w:rsidR="00F02642">
        <w:t xml:space="preserve">Intended </w:t>
      </w:r>
      <w:r w:rsidR="00316925">
        <w:t>T</w:t>
      </w:r>
      <w:r w:rsidR="00F02642">
        <w:t xml:space="preserve">o </w:t>
      </w:r>
      <w:r w:rsidRPr="008C0627" w:rsidR="00725B4E">
        <w:t>Provide for a Case-</w:t>
      </w:r>
      <w:r w:rsidR="00514365">
        <w:t>d</w:t>
      </w:r>
      <w:r w:rsidRPr="008C0627" w:rsidR="00514365">
        <w:t xml:space="preserve">ispositive </w:t>
      </w:r>
      <w:r w:rsidRPr="008C0627" w:rsidR="00725B4E">
        <w:t xml:space="preserve">Motion in </w:t>
      </w:r>
      <w:r w:rsidRPr="008C0627">
        <w:t xml:space="preserve">Eminent Domain </w:t>
      </w:r>
      <w:r w:rsidRPr="008C0627" w:rsidR="00725B4E">
        <w:t>Actions</w:t>
      </w:r>
    </w:p>
    <w:p w:rsidR="00A27BAB" w:rsidRPr="008C0627" w:rsidP="00BA2301">
      <w:pPr>
        <w:ind w:firstLine="720"/>
      </w:pPr>
      <w:r w:rsidRPr="008C0627">
        <w:t xml:space="preserve">To frame our consideration of the Agencies’ request that we </w:t>
      </w:r>
      <w:r w:rsidR="00F071D4">
        <w:t>“</w:t>
      </w:r>
      <w:r w:rsidRPr="008C0627">
        <w:t>import</w:t>
      </w:r>
      <w:r w:rsidR="00F071D4">
        <w:t>”</w:t>
      </w:r>
      <w:r w:rsidRPr="008C0627">
        <w:t xml:space="preserve"> </w:t>
      </w:r>
      <w:bookmarkStart w:id="51" w:name="Psych_Cite_34"/>
      <w:r w:rsidRPr="008C0627">
        <w:t>section 1260.040</w:t>
      </w:r>
      <w:bookmarkEnd w:id="51"/>
      <w:r w:rsidRPr="008C0627">
        <w:t xml:space="preserve"> into inverse condemnation procedure, w</w:t>
      </w:r>
      <w:r w:rsidRPr="008C0627">
        <w:t>e begin with some background on the procedures governing liability and compensation determinations in eminent domain and inverse condemnation actions</w:t>
      </w:r>
      <w:r w:rsidRPr="008C0627" w:rsidR="005E0F66">
        <w:t>, with a</w:t>
      </w:r>
      <w:r w:rsidRPr="008C0627" w:rsidR="009308A0">
        <w:t xml:space="preserve"> </w:t>
      </w:r>
      <w:r w:rsidRPr="008C0627">
        <w:t xml:space="preserve">focus on the </w:t>
      </w:r>
      <w:r w:rsidRPr="008C0627" w:rsidR="00E82A0C">
        <w:t xml:space="preserve">specific </w:t>
      </w:r>
      <w:r w:rsidRPr="008C0627" w:rsidR="00DD498A">
        <w:t>purpose</w:t>
      </w:r>
      <w:r w:rsidRPr="008C0627">
        <w:t xml:space="preserve"> </w:t>
      </w:r>
      <w:bookmarkStart w:id="52" w:name="Psych_Cite_35"/>
      <w:r w:rsidRPr="008C0627">
        <w:t>section 1260.040</w:t>
      </w:r>
      <w:bookmarkEnd w:id="52"/>
      <w:r w:rsidRPr="008C0627" w:rsidR="00E82A0C">
        <w:t xml:space="preserve"> </w:t>
      </w:r>
      <w:r w:rsidRPr="008C0627" w:rsidR="00DD498A">
        <w:t>serve</w:t>
      </w:r>
      <w:r w:rsidRPr="008C0627" w:rsidR="00792C17">
        <w:t>s</w:t>
      </w:r>
      <w:r w:rsidRPr="008C0627">
        <w:t xml:space="preserve"> in eminent domain proceedings</w:t>
      </w:r>
      <w:r w:rsidRPr="008C0627" w:rsidR="009308A0">
        <w:t>.</w:t>
      </w:r>
      <w:r w:rsidRPr="008C0627">
        <w:t xml:space="preserve"> </w:t>
      </w:r>
    </w:p>
    <w:p w:rsidR="007621FF" w:rsidRPr="008C0627" w:rsidP="009C5ADD">
      <w:pPr>
        <w:pStyle w:val="Heading3"/>
      </w:pPr>
      <w:r w:rsidRPr="008C0627">
        <w:t xml:space="preserve">1.  </w:t>
      </w:r>
      <w:r w:rsidRPr="008C0627" w:rsidR="00CD6915">
        <w:tab/>
      </w:r>
      <w:r w:rsidRPr="008C0627">
        <w:t>Determining Just Compensation for a Taking</w:t>
      </w:r>
      <w:r w:rsidRPr="008C0627" w:rsidR="007A0966">
        <w:t xml:space="preserve"> </w:t>
      </w:r>
    </w:p>
    <w:p w:rsidR="007621FF" w:rsidRPr="008C0627" w:rsidP="00BA2301">
      <w:pPr>
        <w:tabs>
          <w:tab w:val="left" w:pos="1440"/>
        </w:tabs>
        <w:ind w:firstLine="720"/>
      </w:pPr>
      <w:r w:rsidRPr="008C0627">
        <w:t>The California Constitution guarantees “just compensation” whenever private property is “taken or damaged for a public use.”  (</w:t>
      </w:r>
      <w:bookmarkStart w:id="53" w:name="Psych_Cite_36"/>
      <w:r w:rsidRPr="008C0627">
        <w:t>Cal. Const.</w:t>
      </w:r>
      <w:r w:rsidRPr="008C0627" w:rsidR="006E601A">
        <w:t>,</w:t>
      </w:r>
      <w:r w:rsidRPr="008C0627">
        <w:t xml:space="preserve"> art. I, § 19, subd. (a)</w:t>
      </w:r>
      <w:bookmarkEnd w:id="53"/>
      <w:r w:rsidRPr="008C0627">
        <w:t>.)  Eminent domain and inverse condemnation are distinct proce</w:t>
      </w:r>
      <w:r w:rsidRPr="008C0627" w:rsidR="00E97452">
        <w:t>dures</w:t>
      </w:r>
      <w:r w:rsidRPr="008C0627">
        <w:t xml:space="preserve"> for ensuring that property owners receive just compensation whenever public entities take or damage their property.</w:t>
      </w:r>
    </w:p>
    <w:p w:rsidR="007621FF" w:rsidRPr="008C0627" w:rsidP="00BA2301">
      <w:pPr>
        <w:ind w:firstLine="720"/>
      </w:pPr>
      <w:r w:rsidRPr="008C0627">
        <w:t xml:space="preserve">Certain aspects of eminent domain law and procedure are codified in the Code of Civil Procedure.  These provisions—among them </w:t>
      </w:r>
      <w:bookmarkStart w:id="54" w:name="Psych_Cite_38"/>
      <w:r w:rsidRPr="008C0627">
        <w:t>section 1260.040—make</w:t>
      </w:r>
      <w:bookmarkEnd w:id="54"/>
      <w:r w:rsidRPr="008C0627">
        <w:t xml:space="preserve"> up </w:t>
      </w:r>
      <w:bookmarkStart w:id="55" w:name="QUOTE_BOOKMARK_IS_CONFIRMED_6"/>
      <w:r w:rsidR="00BC5CA1">
        <w:t>the Eminent Domain Law</w:t>
      </w:r>
      <w:bookmarkEnd w:id="55"/>
      <w:r w:rsidRPr="008C0627">
        <w:t>.  (</w:t>
      </w:r>
      <w:bookmarkStart w:id="56" w:name="Psych_Cite_39"/>
      <w:r w:rsidRPr="008C0627">
        <w:t>§</w:t>
      </w:r>
      <w:r w:rsidR="00BE4FE9">
        <w:t> </w:t>
      </w:r>
      <w:r w:rsidRPr="008C0627">
        <w:t>1230.010</w:t>
      </w:r>
      <w:bookmarkEnd w:id="56"/>
      <w:r w:rsidRPr="008C0627">
        <w:t>.)  By contrast, the Legislature generally has left inverse condemnation law “</w:t>
      </w:r>
      <w:bookmarkStart w:id="57" w:name="QUOTE_BOOKMARK_IS_CONFIRMED_7"/>
      <w:r w:rsidR="00A847F5">
        <w:t xml:space="preserve"> </w:t>
      </w:r>
      <w:r w:rsidR="00BC5CA1">
        <w:t>‘for determination by judicial development.’</w:t>
      </w:r>
      <w:bookmarkEnd w:id="57"/>
      <w:r w:rsidR="00A847F5">
        <w:t> </w:t>
      </w:r>
      <w:r w:rsidRPr="008C0627">
        <w:t>”  (</w:t>
      </w:r>
      <w:bookmarkStart w:id="58" w:name="Psych_Cite_37"/>
      <w:r w:rsidRPr="008C0627">
        <w:rPr>
          <w:i/>
        </w:rPr>
        <w:t>Regency Outdoor Advertising</w:t>
      </w:r>
      <w:r w:rsidRPr="008C0627">
        <w:t>,</w:t>
      </w:r>
      <w:r w:rsidRPr="008C0627">
        <w:rPr>
          <w:i/>
        </w:rPr>
        <w:t xml:space="preserve"> Inc. v. City of Los Angeles</w:t>
      </w:r>
      <w:r w:rsidRPr="008C0627">
        <w:t xml:space="preserve"> (2006) 39 Cal.4th 507, 530 (</w:t>
      </w:r>
      <w:r w:rsidRPr="008C0627">
        <w:rPr>
          <w:i/>
        </w:rPr>
        <w:t>Regency Outdoor Advertising</w:t>
      </w:r>
      <w:r w:rsidRPr="008C0627">
        <w:t>)</w:t>
      </w:r>
      <w:bookmarkEnd w:id="58"/>
      <w:r w:rsidRPr="008C0627">
        <w:t>.)  And the special procedures of the Eminent Domain Law</w:t>
      </w:r>
      <w:r w:rsidRPr="008C0627" w:rsidR="002C3E2C">
        <w:t xml:space="preserve"> do not apply to inverse condemnation actions</w:t>
      </w:r>
      <w:r w:rsidRPr="008C0627">
        <w:t>.</w:t>
      </w:r>
    </w:p>
    <w:p w:rsidR="003F3BF7" w:rsidRPr="008C0627" w:rsidP="00BA2301">
      <w:pPr>
        <w:ind w:firstLine="720"/>
      </w:pPr>
      <w:r w:rsidRPr="008C0627">
        <w:t>In an eminent domain action, a public entity exercises its authority to condemn private property.  This exercise of authority involves a “quite elaborate and lengthy process established by the Eminent Domain Law and related statutes.”  (</w:t>
      </w:r>
      <w:bookmarkStart w:id="59" w:name="Psych_Cite_41"/>
      <w:r w:rsidRPr="008C0627">
        <w:rPr>
          <w:i/>
        </w:rPr>
        <w:t>Property Reserve, Inc. v. Superior Court</w:t>
      </w:r>
      <w:r w:rsidRPr="008C0627">
        <w:t xml:space="preserve"> (2016) 1 Cal.5th 151, 188 (</w:t>
      </w:r>
      <w:r w:rsidRPr="008C0627">
        <w:rPr>
          <w:i/>
        </w:rPr>
        <w:t>Property Reserve</w:t>
      </w:r>
      <w:r w:rsidRPr="008C0627">
        <w:t>)</w:t>
      </w:r>
      <w:bookmarkEnd w:id="59"/>
      <w:r w:rsidRPr="008C0627">
        <w:t xml:space="preserve">.)  </w:t>
      </w:r>
      <w:r w:rsidRPr="008C0627" w:rsidR="00C349CD">
        <w:t>Before filing the complaint that initiates an eminent domain action, a public entity must have an appraisal performed</w:t>
      </w:r>
      <w:r w:rsidRPr="008C0627" w:rsidR="00100B7A">
        <w:t>,</w:t>
      </w:r>
      <w:r w:rsidRPr="008C0627" w:rsidR="00C349CD">
        <w:t xml:space="preserve"> make an offer to the property owner for the property’s fair market value as established by the appraisal, and adopt a resolution of necessity through a noticed hearing.  (</w:t>
      </w:r>
      <w:bookmarkStart w:id="60" w:name="Psych_Cite_42"/>
      <w:r w:rsidRPr="008C0627" w:rsidR="00C349CD">
        <w:t>§ 1245.220</w:t>
      </w:r>
      <w:bookmarkEnd w:id="60"/>
      <w:r w:rsidRPr="008C0627" w:rsidR="00C349CD">
        <w:t xml:space="preserve">; </w:t>
      </w:r>
      <w:bookmarkStart w:id="61" w:name="Psych_Cite_40"/>
      <w:r w:rsidRPr="008C0627" w:rsidR="00C349CD">
        <w:t>Gov. Code, § 7267.2</w:t>
      </w:r>
      <w:bookmarkEnd w:id="61"/>
      <w:r w:rsidRPr="008C0627" w:rsidR="00C349CD">
        <w:t xml:space="preserve">.)  To take possession </w:t>
      </w:r>
      <w:r w:rsidRPr="008C0627" w:rsidR="00036482">
        <w:t>of the property</w:t>
      </w:r>
      <w:r w:rsidR="006D49F8">
        <w:t xml:space="preserve"> before judgment</w:t>
      </w:r>
      <w:r w:rsidRPr="008C0627" w:rsidR="00C349CD">
        <w:t>, the public entity must make a motion for an order of possession and deposit probable compensation with the state treasury.  (</w:t>
      </w:r>
      <w:bookmarkStart w:id="62" w:name="Psych_Cite_43"/>
      <w:r w:rsidRPr="008C0627" w:rsidR="001714B0">
        <w:t xml:space="preserve">§§ </w:t>
      </w:r>
      <w:r w:rsidRPr="008C0627" w:rsidR="00C349CD">
        <w:t>1255.010, 1255.410</w:t>
      </w:r>
      <w:bookmarkEnd w:id="62"/>
      <w:r w:rsidRPr="008C0627" w:rsidR="00C349CD">
        <w:t xml:space="preserve">.)  </w:t>
      </w:r>
    </w:p>
    <w:p w:rsidR="00BF28A8" w:rsidRPr="008C0627" w:rsidP="00BA2301">
      <w:pPr>
        <w:ind w:firstLine="720"/>
      </w:pPr>
      <w:r w:rsidRPr="008C0627">
        <w:t xml:space="preserve">The public entity concedes liability at the outset of an eminent domain action, so </w:t>
      </w:r>
      <w:r w:rsidRPr="008C0627">
        <w:t xml:space="preserve">“there is ordinarily no question that </w:t>
      </w:r>
      <w:r w:rsidRPr="008C0627">
        <w:t>[the public entity]</w:t>
      </w:r>
      <w:r w:rsidRPr="008C0627">
        <w:t xml:space="preserve"> has ‘taken or damaged’</w:t>
      </w:r>
      <w:r w:rsidRPr="008C0627">
        <w:t> ”</w:t>
      </w:r>
      <w:r w:rsidRPr="008C0627">
        <w:t xml:space="preserve"> </w:t>
      </w:r>
      <w:r w:rsidRPr="008C0627">
        <w:t xml:space="preserve">the </w:t>
      </w:r>
      <w:r w:rsidRPr="008C0627">
        <w:t>property</w:t>
      </w:r>
      <w:r w:rsidRPr="008C0627">
        <w:t xml:space="preserve"> at issue.</w:t>
      </w:r>
      <w:r w:rsidRPr="008C0627">
        <w:t xml:space="preserve">  (</w:t>
      </w:r>
      <w:bookmarkStart w:id="63" w:name="Psych_Cite_44"/>
      <w:r w:rsidRPr="008C0627">
        <w:rPr>
          <w:i/>
        </w:rPr>
        <w:t>San Diego Gas &amp; Electric Co. v. Superior Court</w:t>
      </w:r>
      <w:r w:rsidRPr="008C0627">
        <w:t xml:space="preserve"> (1996) 13 Cal.4th 893, 939</w:t>
      </w:r>
      <w:r w:rsidRPr="008C0627" w:rsidR="0074604D">
        <w:t xml:space="preserve"> (</w:t>
      </w:r>
      <w:r w:rsidRPr="008C0627" w:rsidR="0074604D">
        <w:rPr>
          <w:i/>
        </w:rPr>
        <w:t>San Diego Gas</w:t>
      </w:r>
      <w:r w:rsidRPr="008C0627" w:rsidR="0074604D">
        <w:t>)</w:t>
      </w:r>
      <w:bookmarkEnd w:id="63"/>
      <w:r w:rsidRPr="008C0627">
        <w:t xml:space="preserve">.)  </w:t>
      </w:r>
      <w:r w:rsidRPr="008C0627">
        <w:t>For this reason</w:t>
      </w:r>
      <w:r w:rsidRPr="008C0627">
        <w:t>, “[e]minent domain actions typically focus on the amount of compensation owed the property owner.”  (</w:t>
      </w:r>
      <w:bookmarkStart w:id="64" w:name="Psych_Cite_45"/>
      <w:r w:rsidRPr="008C0627">
        <w:rPr>
          <w:i/>
        </w:rPr>
        <w:t>Regency Outdoor Advertising</w:t>
      </w:r>
      <w:r w:rsidRPr="00943497">
        <w:rPr>
          <w:iCs/>
        </w:rPr>
        <w:t xml:space="preserve">, </w:t>
      </w:r>
      <w:r w:rsidRPr="008C0627">
        <w:rPr>
          <w:i/>
        </w:rPr>
        <w:t>supra</w:t>
      </w:r>
      <w:r w:rsidRPr="00943497">
        <w:rPr>
          <w:iCs/>
        </w:rPr>
        <w:t>,</w:t>
      </w:r>
      <w:r w:rsidRPr="008C0627">
        <w:t xml:space="preserve"> 39 Cal.4th at p. 530</w:t>
      </w:r>
      <w:bookmarkEnd w:id="64"/>
      <w:r w:rsidRPr="008C0627">
        <w:t xml:space="preserve">; </w:t>
      </w:r>
      <w:bookmarkStart w:id="65" w:name="Psych_Cite_46"/>
      <w:r w:rsidRPr="008C0627">
        <w:t xml:space="preserve">see </w:t>
      </w:r>
      <w:r w:rsidRPr="008C0627">
        <w:rPr>
          <w:i/>
        </w:rPr>
        <w:t>People v. Ricciardi</w:t>
      </w:r>
      <w:r w:rsidRPr="008C0627">
        <w:t xml:space="preserve"> (1943) 23 Cal.2d 390, 400</w:t>
      </w:r>
      <w:bookmarkEnd w:id="65"/>
      <w:r w:rsidRPr="008C0627">
        <w:t>; 1 Matteoni, Condemnation Prac</w:t>
      </w:r>
      <w:r w:rsidR="005657AD">
        <w:t>tice</w:t>
      </w:r>
      <w:r w:rsidRPr="008C0627">
        <w:t xml:space="preserve"> in Cal. (Cont.Ed.Bar 3d ed. 2005) </w:t>
      </w:r>
      <w:bookmarkStart w:id="66" w:name="Psych_Cite_47"/>
      <w:r w:rsidRPr="008C0627">
        <w:t>§ 9.26 (rev. 9/17) (Matteoni)</w:t>
      </w:r>
      <w:bookmarkEnd w:id="66"/>
      <w:r w:rsidRPr="008C0627">
        <w:t>.)</w:t>
      </w:r>
    </w:p>
    <w:p w:rsidR="007621FF" w:rsidRPr="008C0627" w:rsidP="00EE0D48">
      <w:pPr>
        <w:tabs>
          <w:tab w:val="left" w:pos="1440"/>
        </w:tabs>
        <w:ind w:firstLine="720"/>
      </w:pPr>
      <w:r w:rsidRPr="008C0627">
        <w:t xml:space="preserve">By contrast, an inverse condemnation action </w:t>
      </w:r>
      <w:r w:rsidRPr="008C0627" w:rsidR="007A0966">
        <w:t>proceeds under the rules governing ordinary civil actions.  A property owner initiates an inverse condemnation action by</w:t>
      </w:r>
      <w:r w:rsidRPr="008C0627">
        <w:t xml:space="preserve"> fil</w:t>
      </w:r>
      <w:r w:rsidRPr="008C0627" w:rsidR="007A0966">
        <w:t>ing</w:t>
      </w:r>
      <w:r w:rsidRPr="008C0627">
        <w:t xml:space="preserve"> a complaint in the trial court after the alleged taking has already occurred.  (</w:t>
      </w:r>
      <w:bookmarkStart w:id="67" w:name="Psych_Cite_48"/>
      <w:r w:rsidRPr="008C0627">
        <w:rPr>
          <w:i/>
        </w:rPr>
        <w:t>Regency Outdoor Advertising</w:t>
      </w:r>
      <w:r w:rsidRPr="008C0627">
        <w:t>,</w:t>
      </w:r>
      <w:r w:rsidRPr="008C0627">
        <w:rPr>
          <w:i/>
        </w:rPr>
        <w:t xml:space="preserve"> supra</w:t>
      </w:r>
      <w:r w:rsidRPr="008C0627">
        <w:t>, 39 Cal.4th at p. 530</w:t>
      </w:r>
      <w:bookmarkEnd w:id="67"/>
      <w:r w:rsidRPr="008C0627">
        <w:t xml:space="preserve">.)  </w:t>
      </w:r>
      <w:r w:rsidRPr="008C0627" w:rsidR="007A0966">
        <w:t xml:space="preserve">As is true of the present </w:t>
      </w:r>
      <w:r w:rsidRPr="008C0627" w:rsidR="003F3BF7">
        <w:t>action</w:t>
      </w:r>
      <w:r w:rsidRPr="008C0627" w:rsidR="007A0966">
        <w:t>, m</w:t>
      </w:r>
      <w:r w:rsidRPr="008C0627">
        <w:t xml:space="preserve">ost inverse condemnation </w:t>
      </w:r>
      <w:r w:rsidRPr="008C0627" w:rsidR="00E6127B">
        <w:t>actions</w:t>
      </w:r>
      <w:r w:rsidRPr="008C0627">
        <w:t xml:space="preserve"> involve </w:t>
      </w:r>
      <w:r w:rsidRPr="008C0627" w:rsidR="00890FF6">
        <w:t xml:space="preserve">disputed </w:t>
      </w:r>
      <w:r w:rsidRPr="008C0627">
        <w:t>claims that the public entity has damaged or constructively taken, rather than directly taken, the property at issue.  (</w:t>
      </w:r>
      <w:bookmarkStart w:id="68" w:name="Psych_Cite_49"/>
      <w:r w:rsidRPr="008C0627">
        <w:rPr>
          <w:i/>
        </w:rPr>
        <w:t>Property Reserve</w:t>
      </w:r>
      <w:r w:rsidRPr="008C0627">
        <w:t>,</w:t>
      </w:r>
      <w:r w:rsidRPr="008C0627" w:rsidR="007B7C4D">
        <w:t xml:space="preserve"> </w:t>
      </w:r>
      <w:r w:rsidRPr="008C0627" w:rsidR="007B7C4D">
        <w:rPr>
          <w:i/>
        </w:rPr>
        <w:t>supra</w:t>
      </w:r>
      <w:r w:rsidRPr="008C0627" w:rsidR="007B7C4D">
        <w:t>,</w:t>
      </w:r>
      <w:r w:rsidRPr="008C0627" w:rsidR="007B7C4D">
        <w:rPr>
          <w:i/>
        </w:rPr>
        <w:t xml:space="preserve"> </w:t>
      </w:r>
      <w:r w:rsidRPr="008C0627">
        <w:t xml:space="preserve">1 Cal.5th </w:t>
      </w:r>
      <w:r w:rsidRPr="008C0627" w:rsidR="007B7C4D">
        <w:t>at pp.</w:t>
      </w:r>
      <w:r w:rsidRPr="008C0627">
        <w:t xml:space="preserve"> 189</w:t>
      </w:r>
      <w:r w:rsidRPr="008C0627" w:rsidR="0074604D">
        <w:t>–</w:t>
      </w:r>
      <w:r w:rsidRPr="008C0627">
        <w:t>190</w:t>
      </w:r>
      <w:bookmarkEnd w:id="68"/>
      <w:r w:rsidRPr="008C0627">
        <w:t xml:space="preserve">; Matteoni, </w:t>
      </w:r>
      <w:r w:rsidRPr="008C0627">
        <w:rPr>
          <w:i/>
        </w:rPr>
        <w:t>supra</w:t>
      </w:r>
      <w:r w:rsidRPr="008C0627">
        <w:t xml:space="preserve">, </w:t>
      </w:r>
      <w:bookmarkStart w:id="69" w:name="Psych_Cite_50"/>
      <w:r w:rsidRPr="008C0627">
        <w:t>§ 13.1</w:t>
      </w:r>
      <w:bookmarkEnd w:id="69"/>
      <w:r w:rsidRPr="008C0627">
        <w:t xml:space="preserve">.)  </w:t>
      </w:r>
      <w:r w:rsidRPr="008C0627" w:rsidR="00890FF6">
        <w:t>In such actions</w:t>
      </w:r>
      <w:r w:rsidRPr="008C0627">
        <w:t>, “</w:t>
      </w:r>
      <w:bookmarkStart w:id="70" w:name="QUOTE_BOOKMARK_IS_CONFIRMED_8"/>
      <w:r w:rsidR="00A847F5">
        <w:t> </w:t>
      </w:r>
      <w:r w:rsidR="00BC5CA1">
        <w:t>‘the property owner must first clear the hurdle of establishing that the public entity has, in fact, taken [or damaged] his or her property’</w:t>
      </w:r>
      <w:bookmarkEnd w:id="70"/>
      <w:r w:rsidR="00A847F5">
        <w:t> </w:t>
      </w:r>
      <w:r w:rsidRPr="008C0627">
        <w:t>”</w:t>
      </w:r>
      <w:r w:rsidRPr="008C0627" w:rsidR="00890FF6">
        <w:t xml:space="preserve"> before the issue of just compensation comes into play.</w:t>
      </w:r>
      <w:r w:rsidRPr="008C0627">
        <w:t xml:space="preserve">  (</w:t>
      </w:r>
      <w:bookmarkStart w:id="71" w:name="Psych_Cite_51"/>
      <w:r w:rsidRPr="008C0627">
        <w:rPr>
          <w:i/>
        </w:rPr>
        <w:t>San Diego Gas</w:t>
      </w:r>
      <w:r w:rsidRPr="00943497" w:rsidR="0074604D">
        <w:rPr>
          <w:iCs/>
        </w:rPr>
        <w:t>,</w:t>
      </w:r>
      <w:r w:rsidRPr="008C0627" w:rsidR="0074604D">
        <w:rPr>
          <w:i/>
        </w:rPr>
        <w:t xml:space="preserve"> supra</w:t>
      </w:r>
      <w:r w:rsidRPr="00943497" w:rsidR="0074604D">
        <w:rPr>
          <w:iCs/>
        </w:rPr>
        <w:t>,</w:t>
      </w:r>
      <w:r w:rsidRPr="008C0627" w:rsidR="0074604D">
        <w:rPr>
          <w:i/>
        </w:rPr>
        <w:t xml:space="preserve"> </w:t>
      </w:r>
      <w:r w:rsidRPr="008C0627">
        <w:t xml:space="preserve">13 Cal.4th </w:t>
      </w:r>
      <w:r w:rsidRPr="008C0627" w:rsidR="0074604D">
        <w:t>at p.</w:t>
      </w:r>
      <w:r w:rsidRPr="008C0627">
        <w:t xml:space="preserve"> 940</w:t>
      </w:r>
      <w:bookmarkEnd w:id="71"/>
      <w:r w:rsidRPr="008C0627">
        <w:t xml:space="preserve">.)  Issues of </w:t>
      </w:r>
      <w:r w:rsidRPr="008C0627" w:rsidR="00A30544">
        <w:t xml:space="preserve">inverse condemnation </w:t>
      </w:r>
      <w:r w:rsidRPr="008C0627">
        <w:t xml:space="preserve">liability may be addressed on demurrer, through a motion for summary judgment or summary adjudication, or at a bench trial.  (§§ 430.30, 437c; </w:t>
      </w:r>
      <w:bookmarkStart w:id="72" w:name="Psych_Cite_52"/>
      <w:r w:rsidRPr="008C0627">
        <w:rPr>
          <w:i/>
        </w:rPr>
        <w:t xml:space="preserve">Healing v. California Coastal Com. </w:t>
      </w:r>
      <w:r w:rsidRPr="008C0627">
        <w:t>(1994) 22 Cal.App.4th 1158, 1170 (</w:t>
      </w:r>
      <w:r w:rsidRPr="008C0627">
        <w:rPr>
          <w:i/>
        </w:rPr>
        <w:t>Healing</w:t>
      </w:r>
      <w:r w:rsidRPr="008C0627">
        <w:t>)</w:t>
      </w:r>
      <w:bookmarkEnd w:id="72"/>
      <w:r w:rsidRPr="008C0627">
        <w:t>.)</w:t>
      </w:r>
    </w:p>
    <w:p w:rsidR="007621FF" w:rsidRPr="008C0627" w:rsidP="00BA2301">
      <w:pPr>
        <w:tabs>
          <w:tab w:val="left" w:pos="1440"/>
        </w:tabs>
        <w:ind w:firstLine="720"/>
      </w:pPr>
      <w:r w:rsidRPr="008C0627">
        <w:t>The California Constitution gives property owners the right to have a jury determine the compensation they are owed when a public entity takes or damages their property.  (</w:t>
      </w:r>
      <w:bookmarkStart w:id="73" w:name="Psych_Cite_55"/>
      <w:r w:rsidRPr="008C0627">
        <w:t>Cal. Const.</w:t>
      </w:r>
      <w:r w:rsidRPr="008C0627" w:rsidR="00BB4952">
        <w:t>,</w:t>
      </w:r>
      <w:r w:rsidRPr="008C0627">
        <w:t xml:space="preserve"> art. I, § 19, subd. (a)</w:t>
      </w:r>
      <w:bookmarkEnd w:id="73"/>
      <w:r w:rsidRPr="008C0627">
        <w:t>.)  But “</w:t>
      </w:r>
      <w:bookmarkStart w:id="74" w:name="QUOTE_BOOKMARK_IS_CONFIRMED_9"/>
      <w:r w:rsidR="00BC5CA1">
        <w:t>[w]e have long held that this jury right applies only to determining the appropriate amount of compensation . . . .</w:t>
      </w:r>
      <w:bookmarkEnd w:id="74"/>
      <w:r w:rsidRPr="008C0627">
        <w:t>”  (</w:t>
      </w:r>
      <w:bookmarkStart w:id="75" w:name="Psych_Cite_53"/>
      <w:r w:rsidRPr="008C0627">
        <w:rPr>
          <w:i/>
        </w:rPr>
        <w:t>City of Perris v. Stamper</w:t>
      </w:r>
      <w:r w:rsidRPr="008C0627">
        <w:t xml:space="preserve"> (2016) 1 Cal.5th 576, 593 (</w:t>
      </w:r>
      <w:r w:rsidRPr="008C0627">
        <w:rPr>
          <w:i/>
        </w:rPr>
        <w:t>City of Perris</w:t>
      </w:r>
      <w:r w:rsidRPr="008C0627">
        <w:t>)</w:t>
      </w:r>
      <w:bookmarkEnd w:id="75"/>
      <w:r w:rsidRPr="008C0627">
        <w:t>.)  All other questions of fact or mixed questions of law and fact are decided by the court.  (</w:t>
      </w:r>
      <w:bookmarkStart w:id="76" w:name="Psych_Cite_54"/>
      <w:r w:rsidRPr="008C0627">
        <w:rPr>
          <w:i/>
        </w:rPr>
        <w:t>Metropolitan Water Dist. of So. California v. Campus Crusade for Christ, Inc</w:t>
      </w:r>
      <w:r w:rsidRPr="008C0627">
        <w:t>. (2007) 41 Cal.4th 954, 971 (</w:t>
      </w:r>
      <w:r w:rsidRPr="008C0627">
        <w:rPr>
          <w:i/>
        </w:rPr>
        <w:t>Metropolitan Water Dist</w:t>
      </w:r>
      <w:r w:rsidRPr="008C0627">
        <w:t>.)</w:t>
      </w:r>
      <w:bookmarkEnd w:id="76"/>
      <w:r w:rsidRPr="008C0627">
        <w:t>.)</w:t>
      </w:r>
    </w:p>
    <w:p w:rsidR="007621FF" w:rsidRPr="008C0627" w:rsidP="00BA2301">
      <w:pPr>
        <w:tabs>
          <w:tab w:val="left" w:pos="1440"/>
        </w:tabs>
        <w:ind w:firstLine="720"/>
      </w:pPr>
      <w:r w:rsidRPr="008C0627">
        <w:t>In both eminent domain actions and inverse condemnation actions, the key evidence in a jury trial is expert testimony concerning the valuation of the property at issue.  (</w:t>
      </w:r>
      <w:r w:rsidRPr="008C0627" w:rsidR="00356180">
        <w:t>Recommendation</w:t>
      </w:r>
      <w:r w:rsidR="005657AD">
        <w:t>:</w:t>
      </w:r>
      <w:r w:rsidRPr="008C0627">
        <w:t xml:space="preserve"> Early Disclosure of Valuation Data and Resolution of Issues in Eminent Domain</w:t>
      </w:r>
      <w:r w:rsidRPr="008C0627" w:rsidR="00356180">
        <w:t xml:space="preserve"> (Oct. 2000)</w:t>
      </w:r>
      <w:r w:rsidRPr="008C0627">
        <w:t xml:space="preserve"> 30 Cal. L</w:t>
      </w:r>
      <w:r w:rsidRPr="008C0627" w:rsidR="00356180">
        <w:t>aw</w:t>
      </w:r>
      <w:r w:rsidRPr="008C0627">
        <w:t xml:space="preserve"> Revision Com</w:t>
      </w:r>
      <w:r w:rsidRPr="008C0627" w:rsidR="00356180">
        <w:t>.</w:t>
      </w:r>
      <w:r w:rsidRPr="008C0627">
        <w:t xml:space="preserve"> Rep</w:t>
      </w:r>
      <w:r w:rsidRPr="008C0627" w:rsidR="00356180">
        <w:t xml:space="preserve">. </w:t>
      </w:r>
      <w:r w:rsidRPr="008C0627">
        <w:t>(2000) p. 573 (</w:t>
      </w:r>
      <w:r w:rsidRPr="00B86B09">
        <w:t>CLRC Valuation Recommendations</w:t>
      </w:r>
      <w:r w:rsidRPr="008C0627">
        <w:t xml:space="preserve">); Matteoni, </w:t>
      </w:r>
      <w:r w:rsidRPr="008C0627">
        <w:rPr>
          <w:i/>
        </w:rPr>
        <w:t>supra</w:t>
      </w:r>
      <w:r w:rsidRPr="008C0627">
        <w:t xml:space="preserve">, </w:t>
      </w:r>
      <w:bookmarkStart w:id="77" w:name="Psych_Cite_56"/>
      <w:r w:rsidRPr="008C0627">
        <w:t>§ 9.29</w:t>
      </w:r>
      <w:bookmarkEnd w:id="77"/>
      <w:r w:rsidRPr="008C0627">
        <w:t>.)  The Eminent Domain Law provides special pretrial procedures for the exchange of valuation data used by each side’s experts and the making of final offers and demands.  (</w:t>
      </w:r>
      <w:bookmarkStart w:id="78" w:name="Psych_Cite_58"/>
      <w:r w:rsidRPr="008C0627">
        <w:t>§§ 1258.210</w:t>
      </w:r>
      <w:r w:rsidRPr="008C0627" w:rsidR="006E601A">
        <w:t>–</w:t>
      </w:r>
      <w:r w:rsidRPr="008C0627">
        <w:t>1258.30</w:t>
      </w:r>
      <w:bookmarkEnd w:id="78"/>
      <w:r w:rsidRPr="008C0627">
        <w:t xml:space="preserve">0.)  If at the time of this exchange the trial court has not yet ruled on evidentiary and legal issues affecting </w:t>
      </w:r>
      <w:r w:rsidR="00E434CC">
        <w:t>the determination of compensation</w:t>
      </w:r>
      <w:r w:rsidRPr="008C0627">
        <w:t xml:space="preserve">, the experts’ </w:t>
      </w:r>
      <w:r w:rsidRPr="008C0627" w:rsidR="00BC6F95">
        <w:t xml:space="preserve">competing </w:t>
      </w:r>
      <w:r w:rsidRPr="008C0627">
        <w:t xml:space="preserve">valuations </w:t>
      </w:r>
      <w:r w:rsidRPr="008C0627" w:rsidR="00BC6F95">
        <w:t>of the condemned property will be further apart from each other</w:t>
      </w:r>
      <w:r w:rsidRPr="008C0627">
        <w:t xml:space="preserve"> and the case less likely to settle.  (</w:t>
      </w:r>
      <w:r w:rsidRPr="00B86B09">
        <w:t>CLRC Valuation Recommendations</w:t>
      </w:r>
      <w:r w:rsidRPr="008C0627">
        <w:t xml:space="preserve">, </w:t>
      </w:r>
      <w:r w:rsidRPr="008C0627">
        <w:rPr>
          <w:i/>
        </w:rPr>
        <w:t>supra</w:t>
      </w:r>
      <w:r w:rsidRPr="008C0627">
        <w:t>, at p</w:t>
      </w:r>
      <w:r w:rsidR="005657AD">
        <w:t>p</w:t>
      </w:r>
      <w:r w:rsidRPr="008C0627">
        <w:t>. 584</w:t>
      </w:r>
      <w:r w:rsidRPr="008C0627" w:rsidR="007A29CC">
        <w:softHyphen/>
      </w:r>
      <w:r w:rsidRPr="008C0627" w:rsidR="006E601A">
        <w:t>–</w:t>
      </w:r>
      <w:r w:rsidRPr="008C0627">
        <w:t>587.)</w:t>
      </w:r>
      <w:r w:rsidRPr="008C0627" w:rsidR="00D055BC">
        <w:t xml:space="preserve">  </w:t>
      </w:r>
      <w:r w:rsidR="00BE4FE9">
        <w:t>As with</w:t>
      </w:r>
      <w:r w:rsidRPr="008C0627" w:rsidR="00D055BC">
        <w:t xml:space="preserve"> other provisions of the Eminent Domain Law governing the unique course of eminent domain proceedings, the Legislature has not made these </w:t>
      </w:r>
      <w:r w:rsidRPr="008C0627" w:rsidR="007E2998">
        <w:t xml:space="preserve">exchange </w:t>
      </w:r>
      <w:r w:rsidRPr="008C0627" w:rsidR="00D055BC">
        <w:t xml:space="preserve">procedures applicable </w:t>
      </w:r>
      <w:r w:rsidRPr="008C0627" w:rsidR="000712AF">
        <w:t xml:space="preserve">in </w:t>
      </w:r>
      <w:r w:rsidRPr="008C0627" w:rsidR="00D055BC">
        <w:t>inverse condemnation actions.</w:t>
      </w:r>
    </w:p>
    <w:p w:rsidR="00E97452" w:rsidRPr="008C0627" w:rsidP="009C5ADD">
      <w:pPr>
        <w:pStyle w:val="Heading3"/>
      </w:pPr>
      <w:r w:rsidRPr="008C0627">
        <w:t>2</w:t>
      </w:r>
      <w:r w:rsidRPr="00833EEE">
        <w:t xml:space="preserve">.  </w:t>
      </w:r>
      <w:r w:rsidRPr="00833EEE" w:rsidR="00CD6915">
        <w:tab/>
      </w:r>
      <w:r w:rsidRPr="00833EEE">
        <w:t xml:space="preserve">Evidentiary and Legal Issues Affecting </w:t>
      </w:r>
      <w:r w:rsidR="00352F92">
        <w:t>t</w:t>
      </w:r>
      <w:r w:rsidR="001C02B9">
        <w:t xml:space="preserve">he </w:t>
      </w:r>
      <w:r w:rsidRPr="00833EEE">
        <w:t>Determination of Compensation</w:t>
      </w:r>
    </w:p>
    <w:p w:rsidR="00B74F5E" w:rsidRPr="008C0627" w:rsidP="00BA2301">
      <w:pPr>
        <w:tabs>
          <w:tab w:val="left" w:pos="1440"/>
        </w:tabs>
        <w:ind w:firstLine="720"/>
      </w:pPr>
      <w:r w:rsidRPr="008C0627">
        <w:t xml:space="preserve">Before the jury trial on compensation, legal issues and mixed questions of law and fact frequently arise concerning </w:t>
      </w:r>
      <w:r w:rsidRPr="008C0627" w:rsidR="005C40EC">
        <w:t xml:space="preserve">the proper measure of compensation </w:t>
      </w:r>
      <w:r w:rsidRPr="008C0627" w:rsidR="00962C86">
        <w:t xml:space="preserve">or </w:t>
      </w:r>
      <w:r w:rsidR="00BE2E8A">
        <w:t xml:space="preserve">concerning </w:t>
      </w:r>
      <w:r w:rsidRPr="008C0627">
        <w:t>whether the property owner is entitled to compensation</w:t>
      </w:r>
      <w:r w:rsidRPr="008C0627" w:rsidR="00962C86">
        <w:t xml:space="preserve"> </w:t>
      </w:r>
      <w:r w:rsidRPr="008C0627">
        <w:t xml:space="preserve">for a </w:t>
      </w:r>
      <w:r w:rsidRPr="008C0627" w:rsidR="00907EF8">
        <w:t xml:space="preserve">specific kind of </w:t>
      </w:r>
      <w:r w:rsidRPr="008C0627">
        <w:t>damage, loss, or injury.  (</w:t>
      </w:r>
      <w:bookmarkStart w:id="79" w:name="Psych_Cite_59"/>
      <w:r w:rsidRPr="008C0627">
        <w:rPr>
          <w:i/>
        </w:rPr>
        <w:t>City of Perris</w:t>
      </w:r>
      <w:r w:rsidRPr="008C0627">
        <w:t xml:space="preserve">, </w:t>
      </w:r>
      <w:r w:rsidRPr="008C0627">
        <w:rPr>
          <w:i/>
        </w:rPr>
        <w:t>supra</w:t>
      </w:r>
      <w:r w:rsidRPr="008C0627">
        <w:t>, 1 Cal.5th 576, 593</w:t>
      </w:r>
      <w:r w:rsidRPr="008C0627" w:rsidR="00D32EB7">
        <w:t>–</w:t>
      </w:r>
      <w:r w:rsidRPr="008C0627">
        <w:t>596</w:t>
      </w:r>
      <w:bookmarkEnd w:id="79"/>
      <w:r w:rsidRPr="008C0627">
        <w:t xml:space="preserve">; </w:t>
      </w:r>
      <w:bookmarkStart w:id="80" w:name="Psych_Cite_60"/>
      <w:r w:rsidRPr="008C0627">
        <w:rPr>
          <w:i/>
        </w:rPr>
        <w:t>Metropolitan Water Dist</w:t>
      </w:r>
      <w:r w:rsidRPr="008C0627">
        <w:t>.,</w:t>
      </w:r>
      <w:r w:rsidRPr="008C0627">
        <w:rPr>
          <w:i/>
        </w:rPr>
        <w:t xml:space="preserve"> supra,</w:t>
      </w:r>
      <w:r w:rsidRPr="008C0627">
        <w:t xml:space="preserve"> 41 Cal.4th at p. 971</w:t>
      </w:r>
      <w:bookmarkEnd w:id="80"/>
      <w:r w:rsidRPr="008C0627">
        <w:t>.)</w:t>
      </w:r>
      <w:r w:rsidRPr="008C0627" w:rsidR="000C6408">
        <w:t xml:space="preserve">  </w:t>
      </w:r>
      <w:r w:rsidRPr="008C0627">
        <w:t>In eminent domain</w:t>
      </w:r>
      <w:r w:rsidRPr="008C0627" w:rsidR="00BC6F95">
        <w:t xml:space="preserve"> cases</w:t>
      </w:r>
      <w:r w:rsidRPr="008C0627">
        <w:t>, these issues often relate to severance damages—compensation for damage to, or diminished value of, the remainder of a parcel of land when the public entity condemns only part of the parcel.  (</w:t>
      </w:r>
      <w:bookmarkStart w:id="81" w:name="Psych_Cite_61"/>
      <w:r w:rsidRPr="008C0627" w:rsidR="0074604D">
        <w:rPr>
          <w:i/>
        </w:rPr>
        <w:t>City of Perris,</w:t>
      </w:r>
      <w:r w:rsidRPr="008C0627">
        <w:t xml:space="preserve"> at pp. 593</w:t>
      </w:r>
      <w:r w:rsidRPr="008C0627" w:rsidR="007A29CC">
        <w:t>–</w:t>
      </w:r>
      <w:r w:rsidRPr="008C0627">
        <w:t>594</w:t>
      </w:r>
      <w:bookmarkEnd w:id="81"/>
      <w:r w:rsidRPr="008C0627">
        <w:t xml:space="preserve">; </w:t>
      </w:r>
      <w:bookmarkStart w:id="82" w:name="Psych_Cite_65"/>
      <w:r w:rsidRPr="008C0627">
        <w:t xml:space="preserve">Matteoni, </w:t>
      </w:r>
      <w:r w:rsidRPr="008C0627">
        <w:rPr>
          <w:i/>
        </w:rPr>
        <w:t>supra</w:t>
      </w:r>
      <w:bookmarkEnd w:id="82"/>
      <w:r w:rsidRPr="008C0627">
        <w:t xml:space="preserve">, </w:t>
      </w:r>
      <w:r w:rsidRPr="008C0627" w:rsidR="00066970">
        <w:t>§</w:t>
      </w:r>
      <w:r w:rsidR="00066970">
        <w:t xml:space="preserve"> 5.1</w:t>
      </w:r>
      <w:r w:rsidRPr="008C0627">
        <w:t>.)  For example, a court may decide whether compensation is due for interference with access to the remainder of the parcel, for temporary loss of use of the remainder, or for damage from noise, dust, fumes, or vibrations caused by the public use of the condemned portion of the parcel.  (</w:t>
      </w:r>
      <w:bookmarkStart w:id="83" w:name="Psych_Cite_62"/>
      <w:r w:rsidRPr="008C0627">
        <w:rPr>
          <w:i/>
        </w:rPr>
        <w:t xml:space="preserve">Metropolitan Water Dist., </w:t>
      </w:r>
      <w:r w:rsidRPr="008C0627">
        <w:t>at p. 971</w:t>
      </w:r>
      <w:bookmarkEnd w:id="83"/>
      <w:r w:rsidRPr="008C0627">
        <w:t xml:space="preserve">; Matteoni, </w:t>
      </w:r>
      <w:r w:rsidRPr="008C0627">
        <w:rPr>
          <w:i/>
        </w:rPr>
        <w:t>supra</w:t>
      </w:r>
      <w:r w:rsidRPr="008C0627">
        <w:t xml:space="preserve">, </w:t>
      </w:r>
      <w:bookmarkStart w:id="84" w:name="Psych_Cite_63"/>
      <w:r w:rsidRPr="008C0627">
        <w:t>§§ 5.21, 5.26, 5.28</w:t>
      </w:r>
      <w:bookmarkEnd w:id="84"/>
      <w:r w:rsidRPr="008C0627">
        <w:t>.)  Similar issues arise in the inverse condemnation context, such as whether compensation is due for impaired access to a parcel neighboring the condemned property, for unreasonable interference with neighboring property during construction of a public improvement, or</w:t>
      </w:r>
      <w:r w:rsidRPr="008C0627" w:rsidR="00890FF6">
        <w:t>—as in the present case—</w:t>
      </w:r>
      <w:r w:rsidRPr="008C0627">
        <w:t xml:space="preserve">for damage from noise, dust, fumes, or vibrations caused by the public use of nearby property.  (Matteoni, </w:t>
      </w:r>
      <w:r w:rsidRPr="008C0627">
        <w:rPr>
          <w:i/>
        </w:rPr>
        <w:t>supra</w:t>
      </w:r>
      <w:r w:rsidRPr="008C0627">
        <w:t xml:space="preserve">, </w:t>
      </w:r>
      <w:bookmarkStart w:id="85" w:name="Psych_Cite_64"/>
      <w:r w:rsidRPr="008C0627">
        <w:t>§§ 5.21, 13.4</w:t>
      </w:r>
      <w:bookmarkEnd w:id="85"/>
      <w:r w:rsidRPr="008C0627">
        <w:t xml:space="preserve">.) </w:t>
      </w:r>
    </w:p>
    <w:p w:rsidR="00E97452" w:rsidRPr="008C0627" w:rsidP="00BA2301">
      <w:pPr>
        <w:tabs>
          <w:tab w:val="left" w:pos="1440"/>
        </w:tabs>
        <w:ind w:firstLine="720"/>
      </w:pPr>
      <w:r w:rsidRPr="008C0627">
        <w:t xml:space="preserve">The court decides these issues in the </w:t>
      </w:r>
      <w:r w:rsidRPr="008C0627" w:rsidR="006E1863">
        <w:t>liability</w:t>
      </w:r>
      <w:r w:rsidRPr="008C0627">
        <w:t xml:space="preserve"> phase of an inverse condemnation action—on demurrer, at summary judgment, or in a bench trial held prior to any jury trial on compensation.  (</w:t>
      </w:r>
      <w:bookmarkStart w:id="86" w:name="Psych_Cite_68"/>
      <w:r w:rsidRPr="008C0627">
        <w:t>§§ 430.30, 437c</w:t>
      </w:r>
      <w:bookmarkEnd w:id="86"/>
      <w:r w:rsidRPr="008C0627">
        <w:t xml:space="preserve">; </w:t>
      </w:r>
      <w:bookmarkStart w:id="87" w:name="Psych_Cite_66"/>
      <w:r w:rsidRPr="008C0627">
        <w:rPr>
          <w:i/>
        </w:rPr>
        <w:t>Orpheum Bldg. Co. v. San Francisco Bay Area Rapid Transit Dist</w:t>
      </w:r>
      <w:r w:rsidRPr="008C0627">
        <w:t>. (1978) 80 Cal.App.3d 863, 868</w:t>
      </w:r>
      <w:bookmarkEnd w:id="87"/>
      <w:r w:rsidRPr="008C0627">
        <w:t>.)</w:t>
      </w:r>
      <w:r>
        <w:rPr>
          <w:rStyle w:val="FootnoteReference"/>
        </w:rPr>
        <w:footnoteReference w:id="6"/>
      </w:r>
      <w:r w:rsidRPr="008C0627">
        <w:t xml:space="preserve">  The resolution of </w:t>
      </w:r>
      <w:r w:rsidRPr="008C0627" w:rsidR="00F16A1E">
        <w:t xml:space="preserve">these </w:t>
      </w:r>
      <w:r w:rsidRPr="008C0627">
        <w:t>issues is often dispositive of inverse condemnation actions, in which claims of property damage or constructive taking frequently are the sole basis of liability.  (</w:t>
      </w:r>
      <w:bookmarkStart w:id="90" w:name="Psych_Cite_67"/>
      <w:r w:rsidRPr="008C0627">
        <w:rPr>
          <w:i/>
        </w:rPr>
        <w:t>San Diego Gas</w:t>
      </w:r>
      <w:r w:rsidRPr="008C0627">
        <w:t>,</w:t>
      </w:r>
      <w:r w:rsidRPr="008C0627">
        <w:rPr>
          <w:i/>
        </w:rPr>
        <w:t xml:space="preserve"> supra</w:t>
      </w:r>
      <w:r w:rsidRPr="008C0627">
        <w:t>, 13 Cal.4th at pp. 939–940</w:t>
      </w:r>
      <w:bookmarkEnd w:id="90"/>
      <w:r w:rsidRPr="008C0627">
        <w:t>.)</w:t>
      </w:r>
    </w:p>
    <w:p w:rsidR="00B74F5E" w:rsidRPr="008C0627" w:rsidP="00BA2301">
      <w:pPr>
        <w:tabs>
          <w:tab w:val="left" w:pos="1440"/>
        </w:tabs>
        <w:ind w:firstLine="720"/>
      </w:pPr>
      <w:r w:rsidRPr="008C0627">
        <w:t xml:space="preserve">In eminent domain actions, by contrast, where the public entity concedes at least partial liability at the outset of the case, a court’s ruling on </w:t>
      </w:r>
      <w:r w:rsidR="00B852C4">
        <w:t>an issue concerning entitlement to a particular category of compensation</w:t>
      </w:r>
      <w:r w:rsidRPr="008C0627">
        <w:t xml:space="preserve"> is seldom </w:t>
      </w:r>
      <w:r w:rsidRPr="008C0627" w:rsidR="00D32EB7">
        <w:t>case</w:t>
      </w:r>
      <w:r w:rsidR="00833EEE">
        <w:t xml:space="preserve"> </w:t>
      </w:r>
      <w:r w:rsidRPr="008C0627">
        <w:t>dispositive.  Instead, the ruling “affect[s] the landowner’s compensation by permitting the jury to consider or preventing it from considering certain types of recovery” and “frame[s] the ultimate factual inquiry into the amount of compensation owed.”  (</w:t>
      </w:r>
      <w:bookmarkStart w:id="91" w:name="Psych_Cite_69"/>
      <w:r w:rsidRPr="008C0627">
        <w:rPr>
          <w:i/>
        </w:rPr>
        <w:t>City of Perris</w:t>
      </w:r>
      <w:r w:rsidRPr="008C0627">
        <w:t xml:space="preserve">, </w:t>
      </w:r>
      <w:r w:rsidRPr="008C0627">
        <w:rPr>
          <w:i/>
        </w:rPr>
        <w:t>supra</w:t>
      </w:r>
      <w:r w:rsidRPr="008C0627">
        <w:t>, 1 Cal.5th at p. 596</w:t>
      </w:r>
      <w:bookmarkEnd w:id="91"/>
      <w:r w:rsidRPr="008C0627">
        <w:t xml:space="preserve">; </w:t>
      </w:r>
      <w:bookmarkStart w:id="92" w:name="Psych_Cite_70"/>
      <w:r w:rsidRPr="008C0627">
        <w:t xml:space="preserve">see, e.g., </w:t>
      </w:r>
      <w:r w:rsidRPr="008C0627">
        <w:rPr>
          <w:i/>
        </w:rPr>
        <w:t>People ex rel. Dept. of Transportation v. Hansen’s Truck Stop, Inc</w:t>
      </w:r>
      <w:r w:rsidRPr="008C0627">
        <w:t>. (2015) 236 Cal.App.4th 178, 182–183 [court determined property owners could pursue damages for impairment of access and loss of business goodwill, allowing question of amount of compensation due for these categories of harm to go to jury]</w:t>
      </w:r>
      <w:bookmarkEnd w:id="92"/>
      <w:r w:rsidRPr="008C0627">
        <w:t>.)</w:t>
      </w:r>
    </w:p>
    <w:p w:rsidR="007621FF" w:rsidRPr="008C0627" w:rsidP="00BA2301">
      <w:pPr>
        <w:tabs>
          <w:tab w:val="left" w:pos="1440"/>
        </w:tabs>
        <w:ind w:firstLine="720"/>
      </w:pPr>
      <w:r w:rsidRPr="008C0627">
        <w:t>B</w:t>
      </w:r>
      <w:r w:rsidRPr="008C0627">
        <w:t xml:space="preserve">efore </w:t>
      </w:r>
      <w:bookmarkStart w:id="93" w:name="Psych_Cite_74"/>
      <w:r w:rsidRPr="008C0627">
        <w:t>section 1260.040</w:t>
      </w:r>
      <w:bookmarkEnd w:id="93"/>
      <w:r w:rsidRPr="008C0627">
        <w:t xml:space="preserve"> was enacted, disputes about which categories of alleged damage, loss, or injury a jury should be allowed to consider in an eminent domain action were often resolved via motions in limine seeking the exclusion of certain expert testimony or in connection with disputes over the formulation of jury instructions.  (Van Alstyne, </w:t>
      </w:r>
      <w:r w:rsidRPr="008C0627">
        <w:rPr>
          <w:i/>
        </w:rPr>
        <w:t>Statutory Modification of Inverse Condemnation: The Scope of Legislative Power</w:t>
      </w:r>
      <w:r w:rsidRPr="008C0627">
        <w:t xml:space="preserve"> (1967) </w:t>
      </w:r>
      <w:bookmarkStart w:id="94" w:name="Psych_Cite_71"/>
      <w:r w:rsidRPr="008C0627">
        <w:t>19 Stan. L.Rev. 727, 748</w:t>
      </w:r>
      <w:bookmarkEnd w:id="94"/>
      <w:r w:rsidRPr="008C0627">
        <w:t xml:space="preserve">; </w:t>
      </w:r>
      <w:r w:rsidRPr="00B86B09">
        <w:t>CLRC Valuation Recommendations</w:t>
      </w:r>
      <w:r w:rsidRPr="008C0627">
        <w:t xml:space="preserve">, </w:t>
      </w:r>
      <w:r w:rsidRPr="008C0627">
        <w:rPr>
          <w:i/>
        </w:rPr>
        <w:t>supra</w:t>
      </w:r>
      <w:r w:rsidRPr="008C0627">
        <w:t xml:space="preserve">, at p. 585.)  This practice of resolving </w:t>
      </w:r>
      <w:r w:rsidRPr="008C0627">
        <w:t xml:space="preserve">evidentiary and </w:t>
      </w:r>
      <w:r w:rsidRPr="008C0627">
        <w:t>legal issues concerning the determination of compensation on the eve of trial, or sometimes even during trial, impeded early resolution of eminent domain actions.  (</w:t>
      </w:r>
      <w:r w:rsidRPr="00B86B09">
        <w:t>CLRC Valuation Recommendations</w:t>
      </w:r>
      <w:r w:rsidRPr="008C0627">
        <w:t>, at p. 585.)</w:t>
      </w:r>
      <w:r w:rsidRPr="008C0627" w:rsidR="006E1863">
        <w:t xml:space="preserve">  </w:t>
      </w:r>
      <w:bookmarkStart w:id="95" w:name="Psych_Cite_75"/>
      <w:r w:rsidRPr="008C0627" w:rsidR="006E1863">
        <w:t>Section 1260.040</w:t>
      </w:r>
      <w:bookmarkEnd w:id="95"/>
      <w:r w:rsidRPr="008C0627" w:rsidR="006E1863">
        <w:t xml:space="preserve"> addresses this problem.</w:t>
      </w:r>
    </w:p>
    <w:p w:rsidR="00E97452" w:rsidRPr="008C0627" w:rsidP="009C5ADD">
      <w:pPr>
        <w:pStyle w:val="Heading3"/>
      </w:pPr>
      <w:r w:rsidRPr="008C0627">
        <w:t xml:space="preserve">3. </w:t>
      </w:r>
      <w:r w:rsidRPr="008C0627" w:rsidR="00CD6915">
        <w:tab/>
      </w:r>
      <w:r w:rsidRPr="008C0627">
        <w:t xml:space="preserve">Code of Civil Procedure, </w:t>
      </w:r>
      <w:bookmarkStart w:id="96" w:name="Psych_Cite_76"/>
      <w:r w:rsidRPr="008C0627">
        <w:t>Section 1260.040</w:t>
      </w:r>
      <w:bookmarkEnd w:id="96"/>
    </w:p>
    <w:p w:rsidR="00D32EB7" w:rsidRPr="008C0627" w:rsidP="00BF2C0A">
      <w:pPr>
        <w:tabs>
          <w:tab w:val="left" w:pos="1440"/>
        </w:tabs>
        <w:ind w:firstLine="720"/>
      </w:pPr>
      <w:r w:rsidRPr="008C0627">
        <w:t xml:space="preserve">The Legislature enacted </w:t>
      </w:r>
      <w:bookmarkStart w:id="97" w:name="Psych_Cite_78"/>
      <w:r w:rsidRPr="008C0627">
        <w:t>section 1260.040</w:t>
      </w:r>
      <w:bookmarkEnd w:id="97"/>
      <w:r w:rsidRPr="008C0627">
        <w:t xml:space="preserve"> to promote earlier resolution of issues affecting the determination of compensation, </w:t>
      </w:r>
      <w:r w:rsidRPr="008C0627" w:rsidR="00846AC2">
        <w:t>thereby</w:t>
      </w:r>
      <w:r w:rsidRPr="008C0627" w:rsidR="00023DCF">
        <w:t xml:space="preserve"> </w:t>
      </w:r>
      <w:r w:rsidRPr="008C0627">
        <w:t xml:space="preserve">preventing these issues from improperly going to the jury and increasing the likelihood of pretrial settlement.  </w:t>
      </w:r>
      <w:r w:rsidRPr="00A615A2">
        <w:t>(Leg</w:t>
      </w:r>
      <w:r w:rsidRPr="00A615A2" w:rsidR="009208DF">
        <w:t>is</w:t>
      </w:r>
      <w:r w:rsidRPr="00A615A2">
        <w:t>. Counsel’s Dig., Assem. Bill No. 237 (2000</w:t>
      </w:r>
      <w:r w:rsidRPr="00A615A2" w:rsidR="009208DF">
        <w:t>–</w:t>
      </w:r>
      <w:r w:rsidRPr="00A615A2">
        <w:t>2001 Reg. Sess.) 428 Stats. 2001, Summary Dig., pp. 181</w:t>
      </w:r>
      <w:r w:rsidRPr="00A615A2" w:rsidR="009208DF">
        <w:t>–</w:t>
      </w:r>
      <w:r w:rsidRPr="00A615A2">
        <w:t>182; Cal. Law Revision Com. com., 19 West’s Ann. Code Civ. Proc. (200</w:t>
      </w:r>
      <w:r w:rsidRPr="00A615A2" w:rsidR="0007463D">
        <w:t>7</w:t>
      </w:r>
      <w:r w:rsidRPr="00A615A2">
        <w:t xml:space="preserve"> ed.) foll. </w:t>
      </w:r>
      <w:bookmarkStart w:id="98" w:name="Psych_Cite_79"/>
      <w:r w:rsidRPr="00A615A2">
        <w:t>§ 1260.040</w:t>
      </w:r>
      <w:bookmarkEnd w:id="98"/>
      <w:r w:rsidRPr="00A615A2">
        <w:t>, p. 623.)</w:t>
      </w:r>
      <w:r w:rsidRPr="008C0627">
        <w:t xml:space="preserve">  </w:t>
      </w:r>
      <w:bookmarkStart w:id="99" w:name="Psych_Cite_80"/>
      <w:r w:rsidRPr="008C0627">
        <w:t>Section 1260.040</w:t>
      </w:r>
      <w:bookmarkEnd w:id="99"/>
      <w:r w:rsidRPr="008C0627">
        <w:t xml:space="preserve"> authorizes a party to an eminent domain action to file a motion requesting a ruling on “an evidentiary or other legal issue affecting the determination of compensation” and provides that the trial court may postpone the deadlines for final settlement offers “for a period sufficient to enable the parties to engage in further proceedings before trial” after receiving the court’s ruling on the motion.  The section specifies that it “supplements, and does not replace any other pretrial or trial procedure otherwise available to resolve an evidentiary or other legal issue affecting the determination of compensation.”  (</w:t>
      </w:r>
      <w:bookmarkStart w:id="100" w:name="Psych_Cite_77"/>
      <w:r w:rsidRPr="008C0627">
        <w:rPr>
          <w:i/>
        </w:rPr>
        <w:t>Id</w:t>
      </w:r>
      <w:r w:rsidRPr="008C0627">
        <w:t>.</w:t>
      </w:r>
      <w:r w:rsidR="00344A91">
        <w:t>,</w:t>
      </w:r>
      <w:r w:rsidRPr="008C0627">
        <w:t xml:space="preserve"> sub</w:t>
      </w:r>
      <w:bookmarkEnd w:id="100"/>
      <w:r w:rsidRPr="008C0627">
        <w:t xml:space="preserve">d. (c).)  </w:t>
      </w:r>
    </w:p>
    <w:p w:rsidR="007B7CAA" w:rsidRPr="008C0627" w:rsidP="00BA2301">
      <w:pPr>
        <w:tabs>
          <w:tab w:val="left" w:pos="1440"/>
        </w:tabs>
        <w:ind w:firstLine="720"/>
      </w:pPr>
      <w:r w:rsidRPr="008C0627">
        <w:t xml:space="preserve">The California Law Revision Commission proposed </w:t>
      </w:r>
      <w:bookmarkStart w:id="101" w:name="Psych_Cite_85"/>
      <w:r w:rsidRPr="008C0627">
        <w:t>section 1260.040</w:t>
      </w:r>
      <w:bookmarkEnd w:id="101"/>
      <w:r w:rsidRPr="008C0627">
        <w:t xml:space="preserve"> as part of a package of reforms to the Eminent Domain Law designed to “facilitate resolution of eminent domain cases without the need for trial.”  (</w:t>
      </w:r>
      <w:r w:rsidRPr="00B86B09">
        <w:t>CLRC Valuation Recommendations</w:t>
      </w:r>
      <w:r w:rsidRPr="00B86B09">
        <w:rPr>
          <w:i/>
        </w:rPr>
        <w:t>,</w:t>
      </w:r>
      <w:r w:rsidR="00A118D6">
        <w:t xml:space="preserve"> </w:t>
      </w:r>
      <w:r w:rsidRPr="00316925" w:rsidR="00A118D6">
        <w:rPr>
          <w:i/>
          <w:iCs/>
        </w:rPr>
        <w:t>supra</w:t>
      </w:r>
      <w:r w:rsidR="00A118D6">
        <w:t>,</w:t>
      </w:r>
      <w:r w:rsidRPr="008C0627">
        <w:t xml:space="preserve"> at p. 571.)</w:t>
      </w:r>
      <w:r w:rsidRPr="008C0627" w:rsidR="00D32EB7">
        <w:t xml:space="preserve">  </w:t>
      </w:r>
      <w:r w:rsidRPr="008C0627">
        <w:t xml:space="preserve">Under the amended eminent domain procedures, valuation data and expert lists are exchanged 90 days before trial, and final offers </w:t>
      </w:r>
      <w:r w:rsidRPr="008C0627" w:rsidR="00272ABA">
        <w:t xml:space="preserve">of </w:t>
      </w:r>
      <w:r w:rsidRPr="008C0627">
        <w:t xml:space="preserve">and demands </w:t>
      </w:r>
      <w:r w:rsidRPr="008C0627" w:rsidR="00272ABA">
        <w:t xml:space="preserve">for compensation are </w:t>
      </w:r>
      <w:r w:rsidRPr="008C0627">
        <w:t>exchanged 20 days before trial.  (</w:t>
      </w:r>
      <w:bookmarkStart w:id="102" w:name="Psych_Cite_86"/>
      <w:r w:rsidRPr="008C0627">
        <w:t>§§</w:t>
      </w:r>
      <w:r w:rsidR="00F02642">
        <w:t> </w:t>
      </w:r>
      <w:r w:rsidRPr="008C0627">
        <w:t>1258.220, subd. (a), 1250.410</w:t>
      </w:r>
      <w:bookmarkEnd w:id="102"/>
      <w:r w:rsidRPr="008C0627">
        <w:t xml:space="preserve">.)  The </w:t>
      </w:r>
      <w:bookmarkStart w:id="103" w:name="Psych_Cite_87"/>
      <w:r w:rsidRPr="008C0627">
        <w:t>section 1260.040</w:t>
      </w:r>
      <w:bookmarkEnd w:id="103"/>
      <w:r w:rsidRPr="008C0627">
        <w:t xml:space="preserve"> motion—to be filed 60 days before trial—was intended to allow the isolation and decision of evidentiary and legal issues affecting the determination of compensation well before the eve of trial, and even before the parties exchange final offers and demands.  (§</w:t>
      </w:r>
      <w:r w:rsidRPr="008C0627" w:rsidR="003625BB">
        <w:t> </w:t>
      </w:r>
      <w:r w:rsidRPr="008C0627">
        <w:t xml:space="preserve">1260.040, subd. (c); </w:t>
      </w:r>
      <w:r w:rsidRPr="00B86B09">
        <w:t>CLRC Valuation Recommendations</w:t>
      </w:r>
      <w:r w:rsidRPr="008C0627">
        <w:t>, at pp. 584</w:t>
      </w:r>
      <w:r w:rsidRPr="008C0627" w:rsidR="00DA3FEE">
        <w:t>–</w:t>
      </w:r>
      <w:r w:rsidRPr="008C0627">
        <w:t>585, 573</w:t>
      </w:r>
      <w:r w:rsidRPr="008C0627" w:rsidR="00DA3FEE">
        <w:t>–</w:t>
      </w:r>
      <w:r w:rsidRPr="008C0627">
        <w:t>574; see Dept. Transportation, Enrolled Bill Rep</w:t>
      </w:r>
      <w:r w:rsidR="00A118D6">
        <w:t>. on</w:t>
      </w:r>
      <w:r w:rsidRPr="008C0627">
        <w:t xml:space="preserve"> Assem. Bill No. 237 (2001</w:t>
      </w:r>
      <w:r w:rsidRPr="008C0627" w:rsidR="00DA3FEE">
        <w:t>–</w:t>
      </w:r>
      <w:r w:rsidRPr="008C0627">
        <w:t xml:space="preserve">2002 Reg. Sess.) Oct. 2001, p. 3 [legislation would provide “[t]he ability to challenge by pretrial motion improper valuation methods used by appraisers </w:t>
      </w:r>
      <w:r w:rsidR="00A847F5">
        <w:t xml:space="preserve">. . . </w:t>
      </w:r>
      <w:r w:rsidRPr="008C0627">
        <w:t>that, under current practice, are often</w:t>
      </w:r>
      <w:r w:rsidR="00A847F5">
        <w:t xml:space="preserve"> improperly</w:t>
      </w:r>
      <w:r w:rsidRPr="008C0627">
        <w:t xml:space="preserve"> sent to juries”].)  </w:t>
      </w:r>
      <w:r w:rsidRPr="008C0627" w:rsidR="00C82111">
        <w:t xml:space="preserve">In recommending the Legislature adopt </w:t>
      </w:r>
      <w:bookmarkStart w:id="104" w:name="Psych_Cite_88"/>
      <w:r w:rsidRPr="008C0627" w:rsidR="00C82111">
        <w:t>section 1260.0</w:t>
      </w:r>
      <w:bookmarkEnd w:id="104"/>
      <w:r w:rsidRPr="008C0627" w:rsidR="00C82111">
        <w:t xml:space="preserve">40, the Law Revision Commission expressed its </w:t>
      </w:r>
      <w:r w:rsidRPr="008C0627" w:rsidR="00D32EB7">
        <w:t>hope that earlier decision of these issues would narrow the gap between competing expert valuations</w:t>
      </w:r>
      <w:r w:rsidRPr="008C0627" w:rsidR="00652399">
        <w:t>,</w:t>
      </w:r>
      <w:r w:rsidRPr="008C0627" w:rsidR="00D32EB7">
        <w:t xml:space="preserve"> </w:t>
      </w:r>
      <w:r w:rsidRPr="008C0627" w:rsidR="00FD1F22">
        <w:t xml:space="preserve">thereby </w:t>
      </w:r>
      <w:r w:rsidRPr="008C0627" w:rsidR="00D32EB7">
        <w:t>facilitat</w:t>
      </w:r>
      <w:r w:rsidRPr="008C0627" w:rsidR="00FD1F22">
        <w:t>ing</w:t>
      </w:r>
      <w:r w:rsidRPr="008C0627" w:rsidR="00D32EB7">
        <w:t xml:space="preserve"> settlement through alternative dispute resolution.  (</w:t>
      </w:r>
      <w:r w:rsidRPr="00B86B09" w:rsidR="00D32EB7">
        <w:t>CLRC Valuation Recommendations</w:t>
      </w:r>
      <w:r w:rsidRPr="008C0627" w:rsidR="00D32EB7">
        <w:t xml:space="preserve">, </w:t>
      </w:r>
      <w:r w:rsidRPr="008C0627" w:rsidR="00D32EB7">
        <w:rPr>
          <w:i/>
        </w:rPr>
        <w:t>supra</w:t>
      </w:r>
      <w:r w:rsidRPr="008C0627" w:rsidR="00D32EB7">
        <w:t>, at p</w:t>
      </w:r>
      <w:r w:rsidR="00DD090C">
        <w:t>p</w:t>
      </w:r>
      <w:r w:rsidRPr="008C0627" w:rsidR="00D32EB7">
        <w:t>. 584</w:t>
      </w:r>
      <w:r w:rsidRPr="008C0627" w:rsidR="00DA3FEE">
        <w:t>–</w:t>
      </w:r>
      <w:r w:rsidRPr="008C0627" w:rsidR="00D32EB7">
        <w:t>587.)</w:t>
      </w:r>
      <w:r w:rsidRPr="008C0627" w:rsidR="004821FF">
        <w:t xml:space="preserve">  Because the public entity’s liability is established at the outset of an eminent domain action, the Legislature did not contemplate that a </w:t>
      </w:r>
      <w:bookmarkStart w:id="105" w:name="Psych_Cite_89"/>
      <w:r w:rsidRPr="008C0627" w:rsidR="004821FF">
        <w:t>section 1260.0</w:t>
      </w:r>
      <w:bookmarkEnd w:id="105"/>
      <w:r w:rsidRPr="008C0627" w:rsidR="004821FF">
        <w:t>40 motion would be used to dispose of an eminent domain action in its entirety.</w:t>
      </w:r>
    </w:p>
    <w:p w:rsidR="003474D5" w:rsidRPr="008C0627" w:rsidP="009C5ADD">
      <w:pPr>
        <w:pStyle w:val="Heading2"/>
      </w:pPr>
      <w:r w:rsidRPr="008C0627">
        <w:t>B</w:t>
      </w:r>
      <w:r w:rsidRPr="008C0627" w:rsidR="00387158">
        <w:t xml:space="preserve">.  </w:t>
      </w:r>
      <w:r w:rsidRPr="008C0627" w:rsidR="00107DCD">
        <w:t xml:space="preserve">We Decline </w:t>
      </w:r>
      <w:r w:rsidR="00514365">
        <w:t>T</w:t>
      </w:r>
      <w:r w:rsidRPr="008C0627" w:rsidR="00514365">
        <w:t xml:space="preserve">o </w:t>
      </w:r>
      <w:r w:rsidRPr="008C0627" w:rsidR="00F848C3">
        <w:t xml:space="preserve">Import </w:t>
      </w:r>
      <w:bookmarkStart w:id="106" w:name="Psych_Cite_90"/>
      <w:r w:rsidRPr="008C0627">
        <w:t>S</w:t>
      </w:r>
      <w:r w:rsidRPr="008C0627" w:rsidR="00107DCD">
        <w:t>ection 1260.040</w:t>
      </w:r>
      <w:bookmarkEnd w:id="106"/>
      <w:r w:rsidRPr="008C0627" w:rsidR="00406388">
        <w:t xml:space="preserve"> </w:t>
      </w:r>
      <w:r w:rsidRPr="008C0627" w:rsidR="00387158">
        <w:t xml:space="preserve">into Inverse Condemnation </w:t>
      </w:r>
      <w:bookmarkEnd w:id="44"/>
      <w:r w:rsidRPr="008C0627" w:rsidR="00F848C3">
        <w:t>Procedure</w:t>
      </w:r>
    </w:p>
    <w:p w:rsidR="003474D5" w:rsidRPr="008C0627" w:rsidP="00BA2301">
      <w:pPr>
        <w:tabs>
          <w:tab w:val="left" w:pos="720"/>
        </w:tabs>
      </w:pPr>
      <w:r w:rsidRPr="008C0627">
        <w:tab/>
      </w:r>
      <w:r w:rsidRPr="008C0627" w:rsidR="00890FF6">
        <w:t xml:space="preserve">With this understanding of the purpose of </w:t>
      </w:r>
      <w:bookmarkStart w:id="107" w:name="Psych_Cite_97"/>
      <w:r w:rsidRPr="008C0627" w:rsidR="00890FF6">
        <w:t>section 1260.040</w:t>
      </w:r>
      <w:bookmarkEnd w:id="107"/>
      <w:r w:rsidRPr="008C0627" w:rsidR="00890FF6">
        <w:t xml:space="preserve"> in mind, w</w:t>
      </w:r>
      <w:r w:rsidRPr="008C0627" w:rsidR="00083243">
        <w:t xml:space="preserve">e </w:t>
      </w:r>
      <w:r w:rsidRPr="008C0627" w:rsidR="007A0966">
        <w:t xml:space="preserve">turn to the Agencies’ request that we “import” </w:t>
      </w:r>
      <w:bookmarkStart w:id="108" w:name="Psych_Cite_98"/>
      <w:r w:rsidRPr="008C0627" w:rsidR="007A0966">
        <w:t>section 1260.040</w:t>
      </w:r>
      <w:bookmarkEnd w:id="108"/>
      <w:r w:rsidRPr="008C0627" w:rsidR="007A0966">
        <w:t xml:space="preserve"> into inverse condemnation </w:t>
      </w:r>
      <w:r w:rsidRPr="008C0627" w:rsidR="00DD498A">
        <w:t>procedure</w:t>
      </w:r>
      <w:r w:rsidRPr="008C0627" w:rsidR="00083243">
        <w:t xml:space="preserve">. </w:t>
      </w:r>
      <w:r w:rsidRPr="008C0627" w:rsidR="0026285E">
        <w:t xml:space="preserve"> </w:t>
      </w:r>
      <w:r w:rsidRPr="008C0627" w:rsidR="00D055BC">
        <w:t>S</w:t>
      </w:r>
      <w:r w:rsidRPr="008C0627" w:rsidR="00272ABA">
        <w:t>ome general practices and principles</w:t>
      </w:r>
      <w:r w:rsidRPr="008C0627" w:rsidR="00D055BC">
        <w:t xml:space="preserve"> guide our consideration of this request</w:t>
      </w:r>
      <w:r w:rsidRPr="008C0627" w:rsidR="00272ABA">
        <w:t xml:space="preserve">. </w:t>
      </w:r>
      <w:r w:rsidRPr="008C0627" w:rsidR="00B148E1">
        <w:t xml:space="preserve"> </w:t>
      </w:r>
      <w:r w:rsidRPr="008C0627" w:rsidR="00141ECC">
        <w:t>To begin, a</w:t>
      </w:r>
      <w:r w:rsidRPr="008C0627" w:rsidR="00DF4C8C">
        <w:t>s a general practice</w:t>
      </w:r>
      <w:r w:rsidRPr="008C0627" w:rsidR="003F2D5C">
        <w:t>, w</w:t>
      </w:r>
      <w:r w:rsidRPr="008C0627" w:rsidR="005C015C">
        <w:t>e</w:t>
      </w:r>
      <w:r w:rsidRPr="008C0627" w:rsidR="003F2D5C">
        <w:t xml:space="preserve"> </w:t>
      </w:r>
      <w:r w:rsidRPr="008C0627" w:rsidR="005C015C">
        <w:t xml:space="preserve">leave </w:t>
      </w:r>
      <w:r w:rsidRPr="008C0627" w:rsidR="003A4D79">
        <w:t xml:space="preserve">to the Legislature </w:t>
      </w:r>
      <w:r w:rsidRPr="008C0627" w:rsidR="00085D87">
        <w:t>th</w:t>
      </w:r>
      <w:r w:rsidRPr="008C0627" w:rsidR="00DF4C8C">
        <w:t xml:space="preserve">e adoption and amendment of </w:t>
      </w:r>
      <w:r w:rsidRPr="008C0627" w:rsidR="003A4D79">
        <w:t>statewide rules governing trial court proceedings</w:t>
      </w:r>
      <w:r w:rsidRPr="008C0627" w:rsidR="005C015C">
        <w:t>.  (</w:t>
      </w:r>
      <w:bookmarkStart w:id="109" w:name="Psych_Cite_91"/>
      <w:r w:rsidRPr="008C0627" w:rsidR="005C015C">
        <w:t xml:space="preserve">See </w:t>
      </w:r>
      <w:r w:rsidRPr="008C0627" w:rsidR="005C015C">
        <w:rPr>
          <w:i/>
        </w:rPr>
        <w:t>In re Cook</w:t>
      </w:r>
      <w:r w:rsidRPr="008C0627" w:rsidR="005C015C">
        <w:t xml:space="preserve"> (2019) 7 Cal.5th 439, 459 </w:t>
      </w:r>
      <w:r w:rsidRPr="008C0627" w:rsidR="004229CB">
        <w:t>(</w:t>
      </w:r>
      <w:r w:rsidRPr="008C0627" w:rsidR="004229CB">
        <w:rPr>
          <w:i/>
        </w:rPr>
        <w:t>Cook</w:t>
      </w:r>
      <w:r w:rsidRPr="008C0627" w:rsidR="004229CB">
        <w:t xml:space="preserve">) </w:t>
      </w:r>
      <w:r w:rsidRPr="008C0627" w:rsidR="005C015C">
        <w:t>[“</w:t>
      </w:r>
      <w:bookmarkStart w:id="110" w:name="QUOTE_BOOKMARK_IS_CONFIRMED_10"/>
      <w:r w:rsidR="00BC5CA1">
        <w:t>[T]he Legislature is in a superior position to consider and implement rules of procedure in the first instanc</w:t>
      </w:r>
      <w:bookmarkEnd w:id="110"/>
      <w:r w:rsidRPr="008C0627" w:rsidR="005C015C">
        <w:t>e</w:t>
      </w:r>
      <w:r w:rsidR="008D6127">
        <w:t>.</w:t>
      </w:r>
      <w:r w:rsidRPr="008C0627" w:rsidR="005C015C">
        <w:t>”]</w:t>
      </w:r>
      <w:bookmarkEnd w:id="109"/>
      <w:r w:rsidRPr="008C0627" w:rsidR="00187C0A">
        <w:t>.</w:t>
      </w:r>
      <w:r w:rsidRPr="008C0627" w:rsidR="005C015C">
        <w:t xml:space="preserve">)  </w:t>
      </w:r>
      <w:r w:rsidRPr="008C0627" w:rsidR="00E42B82">
        <w:t>G</w:t>
      </w:r>
      <w:r w:rsidRPr="008C0627" w:rsidR="005C015C">
        <w:t xml:space="preserve">aps in </w:t>
      </w:r>
      <w:r w:rsidRPr="008C0627" w:rsidR="00085D87">
        <w:t>statutory</w:t>
      </w:r>
      <w:r w:rsidRPr="008C0627" w:rsidR="005C015C">
        <w:t xml:space="preserve"> rules may be filled by the Judicial Council, which </w:t>
      </w:r>
      <w:r w:rsidRPr="008C0627" w:rsidR="001636D2">
        <w:t xml:space="preserve">the California Constitution vests with the authority to </w:t>
      </w:r>
      <w:r w:rsidRPr="008C0627" w:rsidR="005C015C">
        <w:t xml:space="preserve">“adopt rules for court administration, practice and procedure” that are consistent with statutory procedures. </w:t>
      </w:r>
      <w:r w:rsidRPr="008C0627" w:rsidR="00FC63CC">
        <w:t xml:space="preserve"> </w:t>
      </w:r>
      <w:r w:rsidRPr="008C0627" w:rsidR="005C015C">
        <w:t>(</w:t>
      </w:r>
      <w:bookmarkStart w:id="111" w:name="Psych_Cite_95"/>
      <w:r w:rsidRPr="008C0627" w:rsidR="005C015C">
        <w:t>Cal. Const., art. VI, § 6, subd. (d)</w:t>
      </w:r>
      <w:bookmarkEnd w:id="111"/>
      <w:r w:rsidRPr="008C0627" w:rsidR="005C015C">
        <w:t xml:space="preserve">.)  </w:t>
      </w:r>
      <w:r w:rsidRPr="008C0627" w:rsidR="00B148E1">
        <w:t>C</w:t>
      </w:r>
      <w:r w:rsidRPr="008C0627" w:rsidR="00632CD7">
        <w:t>ourts</w:t>
      </w:r>
      <w:r w:rsidRPr="008C0627" w:rsidR="005C015C">
        <w:t xml:space="preserve"> </w:t>
      </w:r>
      <w:r w:rsidRPr="008C0627" w:rsidR="00114030">
        <w:t>also have</w:t>
      </w:r>
      <w:r w:rsidRPr="008C0627" w:rsidR="005C015C">
        <w:t xml:space="preserve"> the authority to adopt local rules</w:t>
      </w:r>
      <w:r w:rsidRPr="008C0627" w:rsidR="00EF0ADC">
        <w:t>, so long as those rules are consistent with statutory procedures adopted by the Legislature and the Rules of Court adopted by the Judicial Council.</w:t>
      </w:r>
      <w:r w:rsidRPr="008C0627" w:rsidR="00632CD7">
        <w:t xml:space="preserve">  (</w:t>
      </w:r>
      <w:bookmarkStart w:id="112" w:name="Psych_Cite_99"/>
      <w:r w:rsidRPr="008C0627" w:rsidR="00632CD7">
        <w:t>§ 575.1</w:t>
      </w:r>
      <w:bookmarkEnd w:id="112"/>
      <w:r w:rsidRPr="008C0627" w:rsidR="003C3598">
        <w:t xml:space="preserve">; </w:t>
      </w:r>
      <w:bookmarkStart w:id="113" w:name="Psych_Cite_92"/>
      <w:r w:rsidRPr="008C0627" w:rsidR="00632CD7">
        <w:rPr>
          <w:i/>
        </w:rPr>
        <w:t>Rutherford v. Owens-Illinois</w:t>
      </w:r>
      <w:r w:rsidRPr="008C0627" w:rsidR="00632CD7">
        <w:t>,</w:t>
      </w:r>
      <w:r w:rsidRPr="008C0627" w:rsidR="00632CD7">
        <w:rPr>
          <w:i/>
        </w:rPr>
        <w:t xml:space="preserve"> Inc</w:t>
      </w:r>
      <w:r w:rsidRPr="008C0627" w:rsidR="00632CD7">
        <w:t>. (1997) 16 Cal.4th 953, 967 (</w:t>
      </w:r>
      <w:r w:rsidRPr="008C0627" w:rsidR="00632CD7">
        <w:rPr>
          <w:i/>
        </w:rPr>
        <w:t>Rutherford</w:t>
      </w:r>
      <w:r w:rsidRPr="008C0627" w:rsidR="00632CD7">
        <w:t>)</w:t>
      </w:r>
      <w:bookmarkEnd w:id="113"/>
      <w:r w:rsidRPr="008C0627" w:rsidR="0026285E">
        <w:t xml:space="preserve">; </w:t>
      </w:r>
      <w:bookmarkStart w:id="114" w:name="Psych_Cite_96"/>
      <w:r w:rsidRPr="008C0627" w:rsidR="0026285E">
        <w:t xml:space="preserve">see Cal. Rules of Court, </w:t>
      </w:r>
      <w:r w:rsidR="00D86705">
        <w:t>r</w:t>
      </w:r>
      <w:r w:rsidRPr="008C0627" w:rsidR="0026285E">
        <w:t>ule 3.20 [preempting certain categories of local rules]</w:t>
      </w:r>
      <w:bookmarkEnd w:id="114"/>
      <w:r w:rsidRPr="008C0627" w:rsidR="00632CD7">
        <w:t xml:space="preserve">.)  </w:t>
      </w:r>
      <w:r w:rsidRPr="008C0627" w:rsidR="00DD498A">
        <w:t xml:space="preserve">And, as the Agencies point out, </w:t>
      </w:r>
      <w:r w:rsidRPr="008C0627" w:rsidR="0093788F">
        <w:t>w</w:t>
      </w:r>
      <w:r w:rsidRPr="008C0627" w:rsidR="00B51E80">
        <w:t xml:space="preserve">hen no procedure is specified by statute or rule, judges </w:t>
      </w:r>
      <w:r w:rsidRPr="008C0627" w:rsidR="0026285E">
        <w:t>may</w:t>
      </w:r>
      <w:r w:rsidRPr="008C0627" w:rsidR="00B51E80">
        <w:t xml:space="preserve"> </w:t>
      </w:r>
      <w:r w:rsidRPr="008C0627" w:rsidR="000A3768">
        <w:t xml:space="preserve">fashion nonstatutory </w:t>
      </w:r>
      <w:r w:rsidRPr="008C0627" w:rsidR="00B51E80">
        <w:t>procedures suitable to the specific case</w:t>
      </w:r>
      <w:r w:rsidR="00D67A67">
        <w:t>s</w:t>
      </w:r>
      <w:r w:rsidRPr="008C0627" w:rsidR="00B51E80">
        <w:t xml:space="preserve"> before them.  (</w:t>
      </w:r>
      <w:bookmarkStart w:id="115" w:name="Psych_Cite_93"/>
      <w:r w:rsidRPr="008C0627" w:rsidR="00B51E80">
        <w:rPr>
          <w:i/>
        </w:rPr>
        <w:t>Citizens Utilities Co. v. Superior Court</w:t>
      </w:r>
      <w:r w:rsidRPr="008C0627" w:rsidR="00B51E80">
        <w:t xml:space="preserve"> (1963) 59 Cal.2d 805, 812–813 (</w:t>
      </w:r>
      <w:r w:rsidRPr="008C0627" w:rsidR="00B51E80">
        <w:rPr>
          <w:i/>
        </w:rPr>
        <w:t>Citizens Utilities Co</w:t>
      </w:r>
      <w:r w:rsidRPr="008C0627" w:rsidR="00B51E80">
        <w:t>.)</w:t>
      </w:r>
      <w:bookmarkEnd w:id="115"/>
      <w:r w:rsidRPr="008C0627" w:rsidR="00B51E80">
        <w:t xml:space="preserve">.)  </w:t>
      </w:r>
      <w:r w:rsidRPr="008C0627" w:rsidR="003A4D79">
        <w:t>C</w:t>
      </w:r>
      <w:r w:rsidRPr="008C0627" w:rsidR="00B51E80">
        <w:t xml:space="preserve">ourts, however, </w:t>
      </w:r>
      <w:r w:rsidRPr="008C0627" w:rsidR="003A4D79">
        <w:t>do not have</w:t>
      </w:r>
      <w:r w:rsidRPr="008C0627" w:rsidR="00B51E80">
        <w:t xml:space="preserve"> the authority to </w:t>
      </w:r>
      <w:r w:rsidRPr="008C0627" w:rsidR="000A3768">
        <w:t>adopt</w:t>
      </w:r>
      <w:r w:rsidR="00D67A67">
        <w:t xml:space="preserve"> </w:t>
      </w:r>
      <w:r w:rsidRPr="008C0627" w:rsidR="00B51E80">
        <w:t>procedure</w:t>
      </w:r>
      <w:r w:rsidR="00D67A67">
        <w:t>s</w:t>
      </w:r>
      <w:r w:rsidRPr="008C0627" w:rsidR="00B51E80">
        <w:t xml:space="preserve"> or polic</w:t>
      </w:r>
      <w:r w:rsidR="00D67A67">
        <w:t>ies</w:t>
      </w:r>
      <w:r w:rsidRPr="008C0627" w:rsidR="00B51E80">
        <w:t xml:space="preserve"> that conflict with statutory law or the Rules of Court.  (</w:t>
      </w:r>
      <w:bookmarkStart w:id="116" w:name="Psych_Cite_94"/>
      <w:r w:rsidRPr="008C0627" w:rsidR="007B7AB6">
        <w:rPr>
          <w:i/>
        </w:rPr>
        <w:t>Jameson v. Desta</w:t>
      </w:r>
      <w:r w:rsidRPr="008C0627" w:rsidR="007B7AB6">
        <w:t xml:space="preserve"> (2018) 5 Cal.5th 594, 612</w:t>
      </w:r>
      <w:bookmarkEnd w:id="116"/>
      <w:r w:rsidRPr="008C0627" w:rsidR="00B51E80">
        <w:t>.)</w:t>
      </w:r>
    </w:p>
    <w:p w:rsidR="00E228A6" w:rsidRPr="008C0627" w:rsidP="00BA2301">
      <w:pPr>
        <w:tabs>
          <w:tab w:val="left" w:pos="720"/>
          <w:tab w:val="left" w:pos="1440"/>
        </w:tabs>
      </w:pPr>
      <w:r w:rsidRPr="008C0627">
        <w:tab/>
      </w:r>
      <w:r w:rsidR="00B852C4">
        <w:t>Considering</w:t>
      </w:r>
      <w:r w:rsidRPr="008C0627" w:rsidR="00897995">
        <w:t xml:space="preserve"> these</w:t>
      </w:r>
      <w:r w:rsidRPr="008C0627" w:rsidR="003474D5">
        <w:t xml:space="preserve"> general pr</w:t>
      </w:r>
      <w:r w:rsidRPr="008C0627" w:rsidR="00E01BFF">
        <w:t>actices and principles</w:t>
      </w:r>
      <w:r w:rsidRPr="008C0627" w:rsidR="003474D5">
        <w:t xml:space="preserve">, the Agencies’ request that we </w:t>
      </w:r>
      <w:r w:rsidRPr="008C0627" w:rsidR="00D055BC">
        <w:t>“</w:t>
      </w:r>
      <w:r w:rsidRPr="008C0627" w:rsidR="003474D5">
        <w:t>import</w:t>
      </w:r>
      <w:r w:rsidRPr="008C0627" w:rsidR="00D055BC">
        <w:t>”</w:t>
      </w:r>
      <w:r w:rsidRPr="008C0627" w:rsidR="003474D5">
        <w:t xml:space="preserve"> </w:t>
      </w:r>
      <w:bookmarkStart w:id="117" w:name="Psych_Cite_102"/>
      <w:r w:rsidRPr="008C0627" w:rsidR="003474D5">
        <w:t>section 1260.040</w:t>
      </w:r>
      <w:bookmarkEnd w:id="117"/>
      <w:r w:rsidRPr="008C0627" w:rsidR="003474D5">
        <w:t xml:space="preserve"> into inverse condemnation </w:t>
      </w:r>
      <w:r w:rsidRPr="008C0627" w:rsidR="00814D1E">
        <w:t>pr</w:t>
      </w:r>
      <w:r w:rsidRPr="008C0627" w:rsidR="0026285E">
        <w:t>ocedure</w:t>
      </w:r>
      <w:r w:rsidRPr="008C0627" w:rsidR="00897995">
        <w:t xml:space="preserve"> is</w:t>
      </w:r>
      <w:r w:rsidRPr="008C0627" w:rsidR="00857934">
        <w:t xml:space="preserve"> </w:t>
      </w:r>
      <w:r w:rsidRPr="008C0627" w:rsidR="00897995">
        <w:t>unusual</w:t>
      </w:r>
      <w:r w:rsidRPr="008C0627" w:rsidR="003474D5">
        <w:t>.</w:t>
      </w:r>
      <w:r w:rsidRPr="008C0627" w:rsidR="00164873">
        <w:t xml:space="preserve">  </w:t>
      </w:r>
      <w:r w:rsidRPr="008C0627" w:rsidR="00F26955">
        <w:t xml:space="preserve">As the Agencies have conceded, </w:t>
      </w:r>
      <w:r w:rsidRPr="008C0627" w:rsidR="005146A3">
        <w:t xml:space="preserve">nothing in </w:t>
      </w:r>
      <w:bookmarkStart w:id="118" w:name="Psych_Cite_103"/>
      <w:r w:rsidRPr="008C0627" w:rsidR="00F26955">
        <w:t>section 1260.040</w:t>
      </w:r>
      <w:bookmarkEnd w:id="118"/>
      <w:r w:rsidRPr="008C0627" w:rsidR="005146A3">
        <w:t xml:space="preserve">’s language or legislative history suggests that </w:t>
      </w:r>
      <w:r w:rsidRPr="008C0627" w:rsidR="009F097A">
        <w:t xml:space="preserve">the </w:t>
      </w:r>
      <w:r w:rsidRPr="008C0627" w:rsidR="005146A3">
        <w:t xml:space="preserve">Legislature intended </w:t>
      </w:r>
      <w:r w:rsidRPr="008C0627" w:rsidR="0093788F">
        <w:t>the motion procedure it authorizes</w:t>
      </w:r>
      <w:r w:rsidRPr="008C0627" w:rsidR="005146A3">
        <w:t xml:space="preserve"> to be used in</w:t>
      </w:r>
      <w:r w:rsidRPr="008C0627" w:rsidR="009D60C8">
        <w:t xml:space="preserve"> inverse condemnation </w:t>
      </w:r>
      <w:r w:rsidRPr="008C0627" w:rsidR="007F1E9C">
        <w:t>actions</w:t>
      </w:r>
      <w:r w:rsidRPr="008C0627" w:rsidR="009D60C8">
        <w:t xml:space="preserve">.  </w:t>
      </w:r>
      <w:r w:rsidRPr="008C0627" w:rsidR="005146A3">
        <w:t>And t</w:t>
      </w:r>
      <w:r w:rsidRPr="008C0627" w:rsidR="009D60C8">
        <w:t xml:space="preserve">he </w:t>
      </w:r>
      <w:r w:rsidRPr="008C0627" w:rsidR="008F01CD">
        <w:t>A</w:t>
      </w:r>
      <w:r w:rsidRPr="008C0627" w:rsidR="009D60C8">
        <w:t xml:space="preserve">gencies have not </w:t>
      </w:r>
      <w:r w:rsidRPr="008C0627" w:rsidR="00B148E1">
        <w:t>suggested that</w:t>
      </w:r>
      <w:r w:rsidRPr="008C0627" w:rsidR="009D60C8">
        <w:t xml:space="preserve"> any other statut</w:t>
      </w:r>
      <w:r w:rsidRPr="008C0627" w:rsidR="008A7B61">
        <w:t>ory or constitutional rule</w:t>
      </w:r>
      <w:r w:rsidRPr="008C0627" w:rsidR="009D60C8">
        <w:t xml:space="preserve"> </w:t>
      </w:r>
      <w:r w:rsidRPr="008C0627" w:rsidR="005146A3">
        <w:t>requires</w:t>
      </w:r>
      <w:r w:rsidRPr="008C0627" w:rsidR="009D60C8">
        <w:t xml:space="preserve"> </w:t>
      </w:r>
      <w:r w:rsidRPr="008C0627" w:rsidR="005146A3">
        <w:t xml:space="preserve">such a </w:t>
      </w:r>
      <w:r w:rsidRPr="008C0627" w:rsidR="009D60C8">
        <w:t>procedure</w:t>
      </w:r>
      <w:r w:rsidRPr="008C0627" w:rsidR="009F097A">
        <w:t xml:space="preserve"> </w:t>
      </w:r>
      <w:r w:rsidRPr="008C0627" w:rsidR="008B3823">
        <w:t xml:space="preserve">to exist </w:t>
      </w:r>
      <w:r w:rsidRPr="008C0627" w:rsidR="000A3768">
        <w:t>in</w:t>
      </w:r>
      <w:r w:rsidRPr="008C0627" w:rsidR="009D60C8">
        <w:t xml:space="preserve"> inverse condemnation </w:t>
      </w:r>
      <w:r w:rsidRPr="008C0627" w:rsidR="00680ACD">
        <w:t>practice</w:t>
      </w:r>
      <w:r w:rsidRPr="008C0627" w:rsidR="009D60C8">
        <w:t xml:space="preserve">.  </w:t>
      </w:r>
      <w:r w:rsidRPr="008C0627" w:rsidR="00B148E1">
        <w:t>(</w:t>
      </w:r>
      <w:bookmarkStart w:id="119" w:name="Psych_Cite_100"/>
      <w:r w:rsidRPr="008C0627" w:rsidR="00B148E1">
        <w:t xml:space="preserve">Cf. </w:t>
      </w:r>
      <w:r w:rsidRPr="008C0627" w:rsidR="00B148E1">
        <w:rPr>
          <w:i/>
        </w:rPr>
        <w:t>Cook</w:t>
      </w:r>
      <w:r w:rsidRPr="008C0627" w:rsidR="00B148E1">
        <w:t>,</w:t>
      </w:r>
      <w:r w:rsidRPr="008C0627" w:rsidR="00B148E1">
        <w:rPr>
          <w:i/>
        </w:rPr>
        <w:t xml:space="preserve"> supra</w:t>
      </w:r>
      <w:r w:rsidRPr="008C0627" w:rsidR="00B148E1">
        <w:t>, 7 Cal.5th at pp. 45</w:t>
      </w:r>
      <w:r w:rsidRPr="008C0627" w:rsidR="003D188B">
        <w:t>8</w:t>
      </w:r>
      <w:r w:rsidRPr="008C0627" w:rsidR="00B148E1">
        <w:t>–459 [</w:t>
      </w:r>
      <w:r w:rsidRPr="008C0627" w:rsidR="00D96D99">
        <w:t>adopting evidence</w:t>
      </w:r>
      <w:r w:rsidR="00E64A74">
        <w:t xml:space="preserve"> </w:t>
      </w:r>
      <w:r w:rsidRPr="008C0627" w:rsidR="00B148E1">
        <w:t xml:space="preserve">preservation </w:t>
      </w:r>
      <w:r w:rsidRPr="008C0627" w:rsidR="00C608D5">
        <w:t xml:space="preserve">procedure </w:t>
      </w:r>
      <w:r w:rsidRPr="008C0627" w:rsidR="00B148E1">
        <w:t xml:space="preserve">to give effect to right recognized in </w:t>
      </w:r>
      <w:r w:rsidRPr="008C0627" w:rsidR="00DB0441">
        <w:rPr>
          <w:i/>
        </w:rPr>
        <w:t>People v. Franklin</w:t>
      </w:r>
      <w:r w:rsidRPr="008C0627" w:rsidR="00DB0441">
        <w:t xml:space="preserve"> (2016) 63 Cal.4th 261</w:t>
      </w:r>
      <w:r w:rsidRPr="008C0627" w:rsidR="00B148E1">
        <w:t>]</w:t>
      </w:r>
      <w:bookmarkEnd w:id="119"/>
      <w:r w:rsidRPr="008C0627" w:rsidR="00B148E1">
        <w:t xml:space="preserve">.)  </w:t>
      </w:r>
      <w:r w:rsidRPr="008C0627" w:rsidR="009D60C8">
        <w:t>Instead, the</w:t>
      </w:r>
      <w:r w:rsidRPr="008C0627" w:rsidR="00897995">
        <w:t xml:space="preserve"> Agencies</w:t>
      </w:r>
      <w:r w:rsidRPr="008C0627" w:rsidR="009D60C8">
        <w:t xml:space="preserve"> </w:t>
      </w:r>
      <w:r w:rsidRPr="008C0627" w:rsidR="008F01CD">
        <w:t>suggest</w:t>
      </w:r>
      <w:r w:rsidRPr="008C0627" w:rsidR="009D60C8">
        <w:t xml:space="preserve"> that</w:t>
      </w:r>
      <w:r w:rsidRPr="008C0627" w:rsidR="006F4E57">
        <w:t xml:space="preserve"> </w:t>
      </w:r>
      <w:r w:rsidR="00E64A74">
        <w:t xml:space="preserve">by leaving </w:t>
      </w:r>
      <w:r w:rsidRPr="008C0627" w:rsidR="00E64A74">
        <w:t xml:space="preserve">inverse condemnation law “for determination by judicial development” </w:t>
      </w:r>
      <w:r w:rsidRPr="00A615A2" w:rsidR="00E64A74">
        <w:t>(Cal. Law Revision Com. com., 19A West’s Ann. Code Civ. Proc. (2019 ed.) foll. § 1263.010, p. 6)</w:t>
      </w:r>
      <w:r w:rsidR="00E64A74">
        <w:t xml:space="preserve">, </w:t>
      </w:r>
      <w:r w:rsidRPr="008C0627" w:rsidR="008D6127">
        <w:t xml:space="preserve">the Legislature authorized appellate courts to </w:t>
      </w:r>
      <w:r w:rsidR="008D6127">
        <w:t xml:space="preserve">“judicially </w:t>
      </w:r>
      <w:r w:rsidRPr="008C0627" w:rsidR="008D6127">
        <w:t>import</w:t>
      </w:r>
      <w:r w:rsidR="008D6127">
        <w:t>”</w:t>
      </w:r>
      <w:r w:rsidRPr="008C0627" w:rsidR="008D6127">
        <w:t xml:space="preserve"> the special procedural rules in the Eminent Domain Law into inverse condemnation procedure</w:t>
      </w:r>
      <w:r w:rsidR="00E64A74">
        <w:t>.</w:t>
      </w:r>
      <w:r w:rsidRPr="008C0627" w:rsidR="006F4E57">
        <w:t xml:space="preserve"> </w:t>
      </w:r>
      <w:r w:rsidRPr="008C0627" w:rsidR="00DC50FE">
        <w:t xml:space="preserve"> </w:t>
      </w:r>
      <w:r w:rsidRPr="008C0627" w:rsidR="009F097A">
        <w:t xml:space="preserve">The Agencies contend that, pursuant to this </w:t>
      </w:r>
      <w:r w:rsidRPr="008C0627" w:rsidR="002C6D27">
        <w:t xml:space="preserve">purported </w:t>
      </w:r>
      <w:r w:rsidRPr="008C0627" w:rsidR="009F097A">
        <w:t xml:space="preserve">authorization, </w:t>
      </w:r>
      <w:r w:rsidRPr="008C0627" w:rsidR="00C85786">
        <w:t>we</w:t>
      </w:r>
      <w:r w:rsidRPr="008C0627" w:rsidR="009F097A">
        <w:t xml:space="preserve"> may “import” a</w:t>
      </w:r>
      <w:r w:rsidR="00D67A67">
        <w:t>ny</w:t>
      </w:r>
      <w:r w:rsidRPr="008C0627" w:rsidR="009F097A">
        <w:t xml:space="preserve"> provision of the Eminent Domain Law into </w:t>
      </w:r>
      <w:r w:rsidRPr="008C0627" w:rsidR="00680ACD">
        <w:t xml:space="preserve">the </w:t>
      </w:r>
      <w:r w:rsidRPr="008C0627" w:rsidR="009F097A">
        <w:t xml:space="preserve">inverse condemnation </w:t>
      </w:r>
      <w:r w:rsidRPr="008C0627" w:rsidR="00680ACD">
        <w:t xml:space="preserve">context </w:t>
      </w:r>
      <w:r w:rsidRPr="008C0627" w:rsidR="009F097A">
        <w:t xml:space="preserve">unless the Legislature has created a specific obstacle to </w:t>
      </w:r>
      <w:r w:rsidRPr="008C0627" w:rsidR="008F7020">
        <w:t xml:space="preserve">our </w:t>
      </w:r>
      <w:r w:rsidRPr="008C0627" w:rsidR="009F097A">
        <w:t>doing so.</w:t>
      </w:r>
    </w:p>
    <w:p w:rsidR="00857934" w:rsidRPr="008C0627" w:rsidP="00BA2301">
      <w:pPr>
        <w:ind w:firstLine="720"/>
      </w:pPr>
      <w:r w:rsidRPr="008C0627">
        <w:t xml:space="preserve">We understand </w:t>
      </w:r>
      <w:r w:rsidRPr="008C0627" w:rsidR="006E4C26">
        <w:t xml:space="preserve">this statement of legislative intent </w:t>
      </w:r>
      <w:r w:rsidRPr="008C0627">
        <w:t>more narrowly</w:t>
      </w:r>
      <w:r w:rsidRPr="008C0627" w:rsidR="00897995">
        <w:t xml:space="preserve"> than the Agencies do</w:t>
      </w:r>
      <w:r w:rsidRPr="008C0627" w:rsidR="000A3768">
        <w:t xml:space="preserve">—namely, </w:t>
      </w:r>
      <w:r w:rsidRPr="008C0627" w:rsidR="006F4E57">
        <w:t xml:space="preserve">as </w:t>
      </w:r>
      <w:r w:rsidRPr="008C0627" w:rsidR="007E0A44">
        <w:t>a recognition</w:t>
      </w:r>
      <w:r w:rsidRPr="008C0627" w:rsidR="00F45159">
        <w:t xml:space="preserve"> that certain </w:t>
      </w:r>
      <w:r w:rsidRPr="008C0627" w:rsidR="006F4E57">
        <w:t xml:space="preserve">rules </w:t>
      </w:r>
      <w:r w:rsidRPr="008C0627" w:rsidR="000A602E">
        <w:t xml:space="preserve">must apply equally in </w:t>
      </w:r>
      <w:r w:rsidRPr="008C0627" w:rsidR="006F4E57">
        <w:t xml:space="preserve">eminent domain and </w:t>
      </w:r>
      <w:r w:rsidRPr="008C0627" w:rsidR="000A602E">
        <w:t>inverse condemnation</w:t>
      </w:r>
      <w:r w:rsidRPr="008C0627" w:rsidR="006F4E57">
        <w:t xml:space="preserve"> actions to ensure that </w:t>
      </w:r>
      <w:r w:rsidRPr="008C0627" w:rsidR="006E4C26">
        <w:t xml:space="preserve">any </w:t>
      </w:r>
      <w:r w:rsidRPr="008C0627" w:rsidR="00F45159">
        <w:t>differences</w:t>
      </w:r>
      <w:r w:rsidRPr="008C0627" w:rsidR="006F4E57">
        <w:t xml:space="preserve"> do</w:t>
      </w:r>
      <w:r w:rsidRPr="008C0627" w:rsidR="000A602E">
        <w:t xml:space="preserve"> “not yield different results in terms of compensation.”  (</w:t>
      </w:r>
      <w:bookmarkStart w:id="120" w:name="Psych_Cite_105"/>
      <w:r w:rsidRPr="008C0627" w:rsidR="00F45159">
        <w:rPr>
          <w:i/>
        </w:rPr>
        <w:t>Mt. San Jacinto Community College Dist. v. Superior Court</w:t>
      </w:r>
      <w:r w:rsidRPr="008C0627" w:rsidR="00F45159">
        <w:t xml:space="preserve"> (2004) 117 Cal.App.4th 98, 105 (</w:t>
      </w:r>
      <w:r w:rsidRPr="008C0627" w:rsidR="00F45159">
        <w:rPr>
          <w:i/>
        </w:rPr>
        <w:t>Mt. San Jacinto</w:t>
      </w:r>
      <w:r w:rsidRPr="008C0627" w:rsidR="00F45159">
        <w:t>)</w:t>
      </w:r>
      <w:bookmarkEnd w:id="120"/>
      <w:r w:rsidRPr="008C0627" w:rsidR="006F4E57">
        <w:t xml:space="preserve">.)  </w:t>
      </w:r>
      <w:r w:rsidRPr="008C0627" w:rsidR="008E58CC">
        <w:t>Because inverse condemnation</w:t>
      </w:r>
      <w:r w:rsidRPr="008C0627" w:rsidR="003E404E">
        <w:t xml:space="preserve"> </w:t>
      </w:r>
      <w:r w:rsidRPr="008C0627" w:rsidR="008E58CC">
        <w:t>and eminent domain actions both give effect to the</w:t>
      </w:r>
      <w:r w:rsidRPr="008C0627" w:rsidR="003E404E">
        <w:t xml:space="preserve"> same </w:t>
      </w:r>
      <w:r w:rsidRPr="008C0627" w:rsidR="008F7020">
        <w:t xml:space="preserve">underlying </w:t>
      </w:r>
      <w:r w:rsidRPr="008C0627" w:rsidR="003E404E">
        <w:t>right to compensation</w:t>
      </w:r>
      <w:r w:rsidRPr="008C0627" w:rsidR="00C85786">
        <w:t xml:space="preserve">, </w:t>
      </w:r>
      <w:r w:rsidRPr="008C0627" w:rsidR="00060441">
        <w:t xml:space="preserve">California </w:t>
      </w:r>
      <w:r w:rsidRPr="008C0627" w:rsidR="00AD18F5">
        <w:t xml:space="preserve">courts </w:t>
      </w:r>
      <w:r w:rsidRPr="008C0627" w:rsidR="00060441">
        <w:t>have long applied</w:t>
      </w:r>
      <w:r w:rsidRPr="008C0627" w:rsidR="00AD18F5">
        <w:t xml:space="preserve"> principles</w:t>
      </w:r>
      <w:r w:rsidRPr="008C0627" w:rsidR="000A3768">
        <w:t xml:space="preserve"> </w:t>
      </w:r>
      <w:r w:rsidRPr="008C0627" w:rsidR="00C85786">
        <w:t xml:space="preserve">affecting the amount of compensation due </w:t>
      </w:r>
      <w:r w:rsidRPr="008C0627" w:rsidR="0004079C">
        <w:t xml:space="preserve">to a property owner </w:t>
      </w:r>
      <w:r w:rsidRPr="008C0627" w:rsidR="00C85786">
        <w:t xml:space="preserve">equally in </w:t>
      </w:r>
      <w:r w:rsidRPr="008C0627" w:rsidR="00060441">
        <w:t xml:space="preserve">the </w:t>
      </w:r>
      <w:r w:rsidRPr="008C0627" w:rsidR="00C85786">
        <w:t>eminent domain and inverse condemnation</w:t>
      </w:r>
      <w:r w:rsidRPr="008C0627" w:rsidR="00060441">
        <w:t xml:space="preserve"> contexts</w:t>
      </w:r>
      <w:r w:rsidRPr="008C0627" w:rsidR="008E58CC">
        <w:t>.  (</w:t>
      </w:r>
      <w:bookmarkStart w:id="121" w:name="_Hlk33713852"/>
      <w:r w:rsidRPr="008C0627" w:rsidR="008E58CC">
        <w:t>Matteoni,</w:t>
      </w:r>
      <w:bookmarkEnd w:id="121"/>
      <w:r w:rsidRPr="008C0627" w:rsidR="009D790B">
        <w:rPr>
          <w:i/>
        </w:rPr>
        <w:t xml:space="preserve"> supra</w:t>
      </w:r>
      <w:r w:rsidRPr="008C0627" w:rsidR="009D790B">
        <w:t xml:space="preserve">, </w:t>
      </w:r>
      <w:bookmarkStart w:id="122" w:name="Psych_Cite_106"/>
      <w:r w:rsidRPr="008C0627" w:rsidR="009D790B">
        <w:t>§ 13.1</w:t>
      </w:r>
      <w:bookmarkEnd w:id="122"/>
      <w:r w:rsidRPr="008C0627" w:rsidR="008E58CC">
        <w:t xml:space="preserve">.)  </w:t>
      </w:r>
      <w:r w:rsidRPr="008C0627" w:rsidR="00793E53">
        <w:t>Indeed, b</w:t>
      </w:r>
      <w:r w:rsidRPr="008C0627" w:rsidR="00060441">
        <w:t>efore the Eminent Domain Law’s enactment, we applied in an inverse condemnation action a judicial rule developed in eminent domain cases for determining when impairment of right of access constitutes a compensable taking, reasoning</w:t>
      </w:r>
      <w:r w:rsidR="003D76FA">
        <w:t xml:space="preserve"> that</w:t>
      </w:r>
      <w:r w:rsidRPr="008C0627" w:rsidR="00060441">
        <w:t xml:space="preserve"> “</w:t>
      </w:r>
      <w:r w:rsidR="003D76FA">
        <w:t>[t]</w:t>
      </w:r>
      <w:r w:rsidRPr="008C0627" w:rsidR="00060441">
        <w:t>he principles which affect the parties’ rights in an inverse condemnation suit are the same as those in an eminent domain action.”  (</w:t>
      </w:r>
      <w:bookmarkStart w:id="123" w:name="Psych_Cite_107"/>
      <w:r w:rsidRPr="008C0627" w:rsidR="00060441">
        <w:rPr>
          <w:i/>
        </w:rPr>
        <w:t>Breidert v. Southern Pac. Co</w:t>
      </w:r>
      <w:r w:rsidRPr="008C0627" w:rsidR="00060441">
        <w:t>. (1964) 61 Cal.2d 659, 663, fn. 1</w:t>
      </w:r>
      <w:bookmarkEnd w:id="123"/>
      <w:r w:rsidRPr="008C0627" w:rsidR="00060441">
        <w:t>.)</w:t>
      </w:r>
      <w:r w:rsidRPr="008C0627" w:rsidR="00F45159">
        <w:t xml:space="preserve">  </w:t>
      </w:r>
    </w:p>
    <w:p w:rsidR="00085D87" w:rsidRPr="008C0627" w:rsidP="00BA2301">
      <w:pPr>
        <w:ind w:firstLine="720"/>
      </w:pPr>
      <w:r w:rsidRPr="008C0627">
        <w:t>The Law Revision Commission seems to have acknowledged this when</w:t>
      </w:r>
      <w:r w:rsidRPr="008C0627" w:rsidR="00F45159">
        <w:t>, in 1975,</w:t>
      </w:r>
      <w:r w:rsidRPr="008C0627">
        <w:t xml:space="preserve"> it noted that </w:t>
      </w:r>
      <w:r w:rsidRPr="008C0627" w:rsidR="00FD453F">
        <w:t xml:space="preserve">while </w:t>
      </w:r>
      <w:r w:rsidRPr="008C0627">
        <w:t>the “rules of compensation”</w:t>
      </w:r>
      <w:r w:rsidRPr="008C0627" w:rsidR="00060441">
        <w:t xml:space="preserve"> provided by </w:t>
      </w:r>
      <w:r w:rsidRPr="008C0627">
        <w:t xml:space="preserve">the new Eminent Domain Law </w:t>
      </w:r>
      <w:r w:rsidRPr="008C0627" w:rsidR="00FD453F">
        <w:t>we</w:t>
      </w:r>
      <w:r w:rsidRPr="008C0627">
        <w:t>re intended only “for eminent domain proceedings</w:t>
      </w:r>
      <w:r w:rsidRPr="008C0627" w:rsidR="00FD453F">
        <w:t xml:space="preserve">[,] </w:t>
      </w:r>
      <w:r w:rsidRPr="008C0627">
        <w:t xml:space="preserve">the law of inverse condemnation </w:t>
      </w:r>
      <w:r w:rsidRPr="008C0627" w:rsidR="00FD453F">
        <w:t>[was]</w:t>
      </w:r>
      <w:r w:rsidRPr="008C0627">
        <w:t xml:space="preserve"> left for determination by judicial development.”  (Cal. Law Revision Com. com., 19</w:t>
      </w:r>
      <w:r w:rsidR="0007463D">
        <w:t>A</w:t>
      </w:r>
      <w:r w:rsidRPr="008C0627">
        <w:t xml:space="preserve"> </w:t>
      </w:r>
      <w:bookmarkStart w:id="124" w:name="Psych_Cite_110"/>
      <w:r w:rsidRPr="008C0627">
        <w:t>West’s Ann. Code Civ. Proc.</w:t>
      </w:r>
      <w:r w:rsidR="0055106D">
        <w:rPr>
          <w:i/>
          <w:iCs/>
        </w:rPr>
        <w:t>, supra</w:t>
      </w:r>
      <w:r w:rsidR="0055106D">
        <w:t xml:space="preserve">, </w:t>
      </w:r>
      <w:bookmarkEnd w:id="124"/>
      <w:r w:rsidRPr="008C0627">
        <w:t xml:space="preserve">foll. </w:t>
      </w:r>
      <w:bookmarkStart w:id="125" w:name="Psych_Cite_109"/>
      <w:r w:rsidRPr="008C0627">
        <w:t>§ 1263.010</w:t>
      </w:r>
      <w:bookmarkEnd w:id="125"/>
      <w:r w:rsidRPr="008C0627">
        <w:t>, p.</w:t>
      </w:r>
      <w:r w:rsidR="00E64A74">
        <w:t> </w:t>
      </w:r>
      <w:r w:rsidR="0007463D">
        <w:t>6</w:t>
      </w:r>
      <w:r w:rsidRPr="008C0627">
        <w:t xml:space="preserve">.)  </w:t>
      </w:r>
      <w:r w:rsidRPr="008C0627" w:rsidR="00793E53">
        <w:t>Th</w:t>
      </w:r>
      <w:r w:rsidRPr="008C0627" w:rsidR="008F7020">
        <w:t>is</w:t>
      </w:r>
      <w:r w:rsidRPr="008C0627" w:rsidR="00793E53">
        <w:t xml:space="preserve"> comment suggests </w:t>
      </w:r>
      <w:r w:rsidRPr="008C0627" w:rsidR="008F7020">
        <w:t xml:space="preserve">the </w:t>
      </w:r>
      <w:r w:rsidR="0055106D">
        <w:t>c</w:t>
      </w:r>
      <w:r w:rsidRPr="008C0627" w:rsidR="0055106D">
        <w:t xml:space="preserve">ommission </w:t>
      </w:r>
      <w:r w:rsidRPr="008C0627" w:rsidR="00793E53">
        <w:t xml:space="preserve">contemplated </w:t>
      </w:r>
      <w:r w:rsidR="00B476E1">
        <w:t>that courts</w:t>
      </w:r>
      <w:r w:rsidR="00316925">
        <w:t xml:space="preserve"> </w:t>
      </w:r>
      <w:r w:rsidR="002F4CE6">
        <w:t xml:space="preserve">presiding over inverse condemnation actions </w:t>
      </w:r>
      <w:r w:rsidRPr="008C0627" w:rsidR="00793E53">
        <w:t>would continue to apply</w:t>
      </w:r>
      <w:r w:rsidR="0055106D">
        <w:t xml:space="preserve"> </w:t>
      </w:r>
      <w:r w:rsidRPr="008C0627" w:rsidR="0055106D">
        <w:t>rules of eminent domain law affecting the amount of compensation due</w:t>
      </w:r>
      <w:r w:rsidRPr="008C0627" w:rsidR="00793E53">
        <w:t xml:space="preserve">.  </w:t>
      </w:r>
      <w:r w:rsidRPr="008C0627" w:rsidR="00AD18F5">
        <w:t>However, nothing in the legislative history of the Eminent Domain Law</w:t>
      </w:r>
      <w:r w:rsidRPr="008C0627">
        <w:t xml:space="preserve">’s </w:t>
      </w:r>
      <w:r w:rsidRPr="008C0627" w:rsidR="00275BB0">
        <w:t>enactment</w:t>
      </w:r>
      <w:r w:rsidRPr="008C0627" w:rsidR="00AD18F5">
        <w:t xml:space="preserve"> suggests the Legislature intended to authorize </w:t>
      </w:r>
      <w:r w:rsidR="00D46BAA">
        <w:t xml:space="preserve">appellate </w:t>
      </w:r>
      <w:r w:rsidRPr="008C0627" w:rsidR="00AD18F5">
        <w:t xml:space="preserve">courts to </w:t>
      </w:r>
      <w:r w:rsidR="00F071D4">
        <w:t>“</w:t>
      </w:r>
      <w:r w:rsidRPr="008C0627" w:rsidR="00AD18F5">
        <w:t>import</w:t>
      </w:r>
      <w:r w:rsidR="00F071D4">
        <w:t>”</w:t>
      </w:r>
      <w:r w:rsidRPr="008C0627" w:rsidR="00AD18F5">
        <w:t xml:space="preserve"> into inverse condemnation </w:t>
      </w:r>
      <w:r w:rsidRPr="008C0627" w:rsidR="00F45159">
        <w:t>procedure</w:t>
      </w:r>
      <w:r w:rsidRPr="008C0627" w:rsidR="00AD18F5">
        <w:t xml:space="preserve"> the statutory rules setting out the special procedures unique to eminent domain actions.</w:t>
      </w:r>
    </w:p>
    <w:p w:rsidR="006F0B43" w:rsidRPr="008C0627" w:rsidP="00BA2301">
      <w:pPr>
        <w:tabs>
          <w:tab w:val="left" w:pos="720"/>
          <w:tab w:val="left" w:pos="1440"/>
        </w:tabs>
      </w:pPr>
      <w:r w:rsidRPr="008C0627">
        <w:tab/>
      </w:r>
      <w:r w:rsidRPr="008C0627" w:rsidR="00BE5687">
        <w:t xml:space="preserve">Decisions issued </w:t>
      </w:r>
      <w:r w:rsidRPr="008C0627" w:rsidR="00264CD4">
        <w:t xml:space="preserve">after </w:t>
      </w:r>
      <w:r w:rsidRPr="008C0627" w:rsidR="00BE5687">
        <w:t>the</w:t>
      </w:r>
      <w:r w:rsidRPr="008C0627" w:rsidR="00445244">
        <w:t xml:space="preserve"> Eminent Domain Law</w:t>
      </w:r>
      <w:r w:rsidRPr="008C0627" w:rsidR="00015954">
        <w:t>’s enactment</w:t>
      </w:r>
      <w:r w:rsidRPr="008C0627" w:rsidR="00F81B51">
        <w:t xml:space="preserve"> have</w:t>
      </w:r>
      <w:r w:rsidRPr="008C0627" w:rsidR="00BE5687">
        <w:t xml:space="preserve"> </w:t>
      </w:r>
      <w:r w:rsidRPr="008C0627" w:rsidR="00F45159">
        <w:t xml:space="preserve">likewise </w:t>
      </w:r>
      <w:r w:rsidRPr="008C0627" w:rsidR="00BE5687">
        <w:t>recognized that, while</w:t>
      </w:r>
      <w:r w:rsidRPr="008C0627" w:rsidR="0035056D">
        <w:t xml:space="preserve"> inverse condemnation actions </w:t>
      </w:r>
      <w:r w:rsidRPr="008C0627" w:rsidR="006229D5">
        <w:t>and eminent domain actions involve different procedures</w:t>
      </w:r>
      <w:r w:rsidRPr="008C0627" w:rsidR="007A77D2">
        <w:t xml:space="preserve">, certain rules </w:t>
      </w:r>
      <w:r w:rsidRPr="008C0627" w:rsidR="004245D8">
        <w:t>of</w:t>
      </w:r>
      <w:r w:rsidRPr="008C0627" w:rsidR="007A77D2">
        <w:t xml:space="preserve"> eminent domain </w:t>
      </w:r>
      <w:r w:rsidRPr="008C0627" w:rsidR="004245D8">
        <w:t>law</w:t>
      </w:r>
      <w:r w:rsidRPr="008C0627" w:rsidR="007A77D2">
        <w:t xml:space="preserve"> must apply in inverse condemnation actions </w:t>
      </w:r>
      <w:r w:rsidRPr="008C0627" w:rsidR="00F45159">
        <w:t xml:space="preserve">to give </w:t>
      </w:r>
      <w:r w:rsidRPr="008C0627">
        <w:t xml:space="preserve">equal </w:t>
      </w:r>
      <w:r w:rsidRPr="008C0627" w:rsidR="00F45159">
        <w:t>effect to the right to compensation.</w:t>
      </w:r>
      <w:r w:rsidRPr="008C0627" w:rsidR="00741965">
        <w:t xml:space="preserve">  (</w:t>
      </w:r>
      <w:bookmarkStart w:id="126" w:name="Psych_Cite_111"/>
      <w:r w:rsidRPr="008C0627" w:rsidR="00741965">
        <w:rPr>
          <w:i/>
        </w:rPr>
        <w:t>Mt. San Jacinto</w:t>
      </w:r>
      <w:r w:rsidRPr="008C0627" w:rsidR="00741965">
        <w:t xml:space="preserve">, </w:t>
      </w:r>
      <w:r w:rsidRPr="008C0627" w:rsidR="00741965">
        <w:rPr>
          <w:i/>
        </w:rPr>
        <w:t>supra</w:t>
      </w:r>
      <w:r w:rsidRPr="008C0627" w:rsidR="00741965">
        <w:t>, 117 Cal.App.4th at p. 105</w:t>
      </w:r>
      <w:bookmarkEnd w:id="126"/>
      <w:r w:rsidRPr="008C0627">
        <w:t>.)  For example, in</w:t>
      </w:r>
      <w:r w:rsidRPr="008C0627" w:rsidR="00384778">
        <w:t xml:space="preserve"> </w:t>
      </w:r>
      <w:bookmarkStart w:id="127" w:name="Psych_Cite_112"/>
      <w:r w:rsidRPr="008C0627" w:rsidR="00B91111">
        <w:rPr>
          <w:i/>
        </w:rPr>
        <w:t>Salton Bay Marina, Inc. v. Imperial Irrigation Dist</w:t>
      </w:r>
      <w:r w:rsidRPr="008C0627" w:rsidR="00B91111">
        <w:t>. (1985) 172 Cal.App.3d 914, 948</w:t>
      </w:r>
      <w:bookmarkEnd w:id="127"/>
      <w:r w:rsidRPr="008C0627">
        <w:t>, the Court of Appeal held that the “measure of damages in inverse condemnation, as in eminent domain actions, is ‘market value.’</w:t>
      </w:r>
      <w:r w:rsidR="00E64A74">
        <w:t> </w:t>
      </w:r>
      <w:r w:rsidRPr="008C0627">
        <w:t xml:space="preserve">”  And in </w:t>
      </w:r>
      <w:bookmarkStart w:id="128" w:name="Psych_Cite_113"/>
      <w:r w:rsidRPr="008C0627" w:rsidR="00B91111">
        <w:rPr>
          <w:i/>
        </w:rPr>
        <w:t>Jefferson Street Ventures, LLC v. City of Indio</w:t>
      </w:r>
      <w:r w:rsidRPr="008C0627" w:rsidR="00B91111">
        <w:t xml:space="preserve"> (2015) 236 Cal.App.4th 1175, 1198</w:t>
      </w:r>
      <w:bookmarkEnd w:id="128"/>
      <w:r w:rsidRPr="008C0627">
        <w:t xml:space="preserve">, the Court of Appeal </w:t>
      </w:r>
      <w:r w:rsidRPr="008C0627" w:rsidR="002E0B82">
        <w:t>appli</w:t>
      </w:r>
      <w:r w:rsidRPr="008C0627">
        <w:t>ed</w:t>
      </w:r>
      <w:r w:rsidRPr="008C0627" w:rsidR="002E0B82">
        <w:t xml:space="preserve"> </w:t>
      </w:r>
      <w:r w:rsidRPr="008C0627" w:rsidR="00B91111">
        <w:t xml:space="preserve">in </w:t>
      </w:r>
      <w:r w:rsidRPr="008C0627" w:rsidR="00384778">
        <w:t xml:space="preserve">an </w:t>
      </w:r>
      <w:r w:rsidRPr="008C0627" w:rsidR="00B91111">
        <w:t>inverse condemnation action a rule for determining when “de facto taking</w:t>
      </w:r>
      <w:r w:rsidRPr="008C0627" w:rsidR="00FB0A84">
        <w:t>”</w:t>
      </w:r>
      <w:r w:rsidRPr="008C0627" w:rsidR="00B91111">
        <w:t xml:space="preserve"> occur</w:t>
      </w:r>
      <w:r w:rsidRPr="008C0627" w:rsidR="00FB0A84">
        <w:t>s</w:t>
      </w:r>
      <w:r w:rsidRPr="008C0627" w:rsidR="00B91111">
        <w:t xml:space="preserve"> </w:t>
      </w:r>
      <w:r w:rsidRPr="008C0627">
        <w:t xml:space="preserve">that had been </w:t>
      </w:r>
      <w:r w:rsidRPr="008C0627" w:rsidR="00B91111">
        <w:t>developed in eminent domain cases</w:t>
      </w:r>
      <w:r w:rsidRPr="008C0627" w:rsidR="00384778">
        <w:t>.</w:t>
      </w:r>
      <w:r w:rsidRPr="008C0627" w:rsidR="002E0B82">
        <w:t xml:space="preserve">  </w:t>
      </w:r>
    </w:p>
    <w:p w:rsidR="006E5B9A" w:rsidP="0049372B">
      <w:pPr>
        <w:tabs>
          <w:tab w:val="left" w:pos="720"/>
          <w:tab w:val="left" w:pos="1440"/>
        </w:tabs>
      </w:pPr>
      <w:r w:rsidRPr="008C0627">
        <w:tab/>
      </w:r>
      <w:r w:rsidRPr="008C0627" w:rsidR="006D61AE">
        <w:t>The case on which the Agencies primarily rely</w:t>
      </w:r>
      <w:r w:rsidRPr="008C0627" w:rsidR="00EB7903">
        <w:t xml:space="preserve"> for the proposition that a</w:t>
      </w:r>
      <w:r w:rsidR="00D8602A">
        <w:t>n appellate</w:t>
      </w:r>
      <w:r w:rsidRPr="008C0627" w:rsidR="00EB7903">
        <w:t xml:space="preserve"> court can </w:t>
      </w:r>
      <w:r w:rsidRPr="008C0627" w:rsidR="00857934">
        <w:t>“</w:t>
      </w:r>
      <w:r w:rsidRPr="008C0627" w:rsidR="00EB7903">
        <w:t>import</w:t>
      </w:r>
      <w:r w:rsidRPr="008C0627" w:rsidR="00857934">
        <w:t>”</w:t>
      </w:r>
      <w:r w:rsidRPr="008C0627" w:rsidR="00EB7903">
        <w:t xml:space="preserve"> provisions of the Eminent Domain Law into inverse condemnation law</w:t>
      </w:r>
      <w:r w:rsidRPr="008C0627" w:rsidR="006D61AE">
        <w:t xml:space="preserve">, </w:t>
      </w:r>
      <w:bookmarkStart w:id="129" w:name="Psych_Cite_120"/>
      <w:r w:rsidRPr="008C0627" w:rsidR="006D61AE">
        <w:rPr>
          <w:i/>
        </w:rPr>
        <w:t>Chhour v. Community Redevelopment Agency</w:t>
      </w:r>
      <w:r w:rsidRPr="008C0627" w:rsidR="006D61AE">
        <w:t xml:space="preserve"> (1996) 46 Cal.App.4th 273</w:t>
      </w:r>
      <w:r w:rsidR="00724E53">
        <w:t xml:space="preserve"> (</w:t>
      </w:r>
      <w:r w:rsidR="00724E53">
        <w:rPr>
          <w:i/>
          <w:iCs/>
        </w:rPr>
        <w:t>Chhour</w:t>
      </w:r>
      <w:r w:rsidR="00724E53">
        <w:t>)</w:t>
      </w:r>
      <w:bookmarkEnd w:id="129"/>
      <w:r w:rsidRPr="008C0627" w:rsidR="006D61AE">
        <w:t xml:space="preserve">, is </w:t>
      </w:r>
      <w:r w:rsidRPr="008C0627" w:rsidR="00125C8A">
        <w:t>consistent</w:t>
      </w:r>
      <w:r w:rsidRPr="008C0627" w:rsidR="006D61AE">
        <w:t xml:space="preserve"> with these decisions</w:t>
      </w:r>
      <w:r w:rsidRPr="008C0627" w:rsidR="00A01D3E">
        <w:t xml:space="preserve">.  </w:t>
      </w:r>
      <w:r w:rsidRPr="008C0627" w:rsidR="00EF43C4">
        <w:t xml:space="preserve">The plaintiff in </w:t>
      </w:r>
      <w:r w:rsidRPr="008C0627" w:rsidR="006D61AE">
        <w:rPr>
          <w:i/>
        </w:rPr>
        <w:t>Chhour</w:t>
      </w:r>
      <w:r w:rsidRPr="008C0627" w:rsidR="00EF43C4">
        <w:t xml:space="preserve"> was</w:t>
      </w:r>
      <w:r w:rsidRPr="008C0627" w:rsidR="006D61AE">
        <w:t xml:space="preserve"> the owner of a seafood restaurant in a shopping center</w:t>
      </w:r>
      <w:r w:rsidRPr="008C0627" w:rsidR="003D188B">
        <w:t xml:space="preserve"> that had been condemned </w:t>
      </w:r>
      <w:r w:rsidRPr="008C0627" w:rsidR="00AC2BFD">
        <w:t>by a community redevelopment agency</w:t>
      </w:r>
      <w:r w:rsidRPr="008C0627" w:rsidR="00EF43C4">
        <w:t xml:space="preserve">. </w:t>
      </w:r>
      <w:r w:rsidRPr="008C0627" w:rsidR="006D61AE">
        <w:t xml:space="preserve"> </w:t>
      </w:r>
      <w:r w:rsidRPr="008C0627" w:rsidR="00EF43C4">
        <w:t>(</w:t>
      </w:r>
      <w:bookmarkStart w:id="130" w:name="Psych_Cite_114"/>
      <w:r w:rsidRPr="008C0627" w:rsidR="00EF43C4">
        <w:rPr>
          <w:i/>
        </w:rPr>
        <w:t>Id</w:t>
      </w:r>
      <w:r w:rsidRPr="008C0627" w:rsidR="00EF43C4">
        <w:t>. at p. 277</w:t>
      </w:r>
      <w:bookmarkEnd w:id="130"/>
      <w:r w:rsidRPr="008C0627" w:rsidR="00EF43C4">
        <w:t>.)  The owner filed suit a</w:t>
      </w:r>
      <w:r w:rsidRPr="008C0627" w:rsidR="006D61AE">
        <w:t xml:space="preserve">fter the agency refused to initiate eminent domain proceedings against the seafood restaurant or </w:t>
      </w:r>
      <w:r w:rsidRPr="008C0627" w:rsidR="00264CD4">
        <w:t xml:space="preserve">provide </w:t>
      </w:r>
      <w:r w:rsidRPr="008C0627" w:rsidR="006D61AE">
        <w:t>compensat</w:t>
      </w:r>
      <w:r w:rsidRPr="008C0627" w:rsidR="00264CD4">
        <w:t>ion</w:t>
      </w:r>
      <w:r w:rsidRPr="008C0627" w:rsidR="006D61AE">
        <w:t xml:space="preserve"> for injury</w:t>
      </w:r>
      <w:r w:rsidRPr="008C0627" w:rsidR="00264CD4">
        <w:t xml:space="preserve"> to</w:t>
      </w:r>
      <w:r w:rsidRPr="008C0627" w:rsidR="006D61AE">
        <w:t xml:space="preserve"> </w:t>
      </w:r>
      <w:r w:rsidRPr="008C0627" w:rsidR="00264CD4">
        <w:t xml:space="preserve">the restaurant’s </w:t>
      </w:r>
      <w:r w:rsidRPr="008C0627" w:rsidR="006D61AE">
        <w:t>business resulting from forced relocation.</w:t>
      </w:r>
      <w:r w:rsidRPr="008C0627" w:rsidR="00EF43C4">
        <w:t xml:space="preserve"> </w:t>
      </w:r>
      <w:r w:rsidRPr="008C0627" w:rsidR="006D61AE">
        <w:t xml:space="preserve"> (</w:t>
      </w:r>
      <w:bookmarkStart w:id="131" w:name="Psych_Cite_115"/>
      <w:r w:rsidRPr="008C0627" w:rsidR="006D61AE">
        <w:rPr>
          <w:i/>
        </w:rPr>
        <w:t>I</w:t>
      </w:r>
      <w:r w:rsidRPr="008C0627" w:rsidR="00EF43C4">
        <w:rPr>
          <w:i/>
        </w:rPr>
        <w:t>bi</w:t>
      </w:r>
      <w:r w:rsidRPr="008C0627" w:rsidR="006D61AE">
        <w:rPr>
          <w:i/>
        </w:rPr>
        <w:t>d</w:t>
      </w:r>
      <w:r w:rsidRPr="008C0627" w:rsidR="006D61AE">
        <w:t>.</w:t>
      </w:r>
      <w:bookmarkEnd w:id="131"/>
      <w:r w:rsidRPr="008C0627" w:rsidR="006D61AE">
        <w:t xml:space="preserve">)  The agency argued that it was not liable to the business owner for </w:t>
      </w:r>
      <w:r w:rsidRPr="008C0627" w:rsidR="00264CD4">
        <w:t>these damages</w:t>
      </w:r>
      <w:r w:rsidRPr="008C0627" w:rsidR="006D61AE">
        <w:t xml:space="preserve"> because the entitlement to compensation for loss of business goodwill was statutory, not constitutional, and the statute at issue</w:t>
      </w:r>
      <w:r w:rsidRPr="008C0627" w:rsidR="00EE09E9">
        <w:t>—part of the Eminent Domain Law—</w:t>
      </w:r>
      <w:r w:rsidRPr="008C0627" w:rsidR="006D61AE">
        <w:t>applied only to eminent domain proceedings.  (</w:t>
      </w:r>
      <w:bookmarkStart w:id="132" w:name="Psych_Cite_116"/>
      <w:r w:rsidRPr="008C0627" w:rsidR="006D61AE">
        <w:rPr>
          <w:i/>
        </w:rPr>
        <w:t>Id</w:t>
      </w:r>
      <w:r w:rsidRPr="008C0627" w:rsidR="006D61AE">
        <w:t>. at p</w:t>
      </w:r>
      <w:r w:rsidRPr="008C0627" w:rsidR="00EE09E9">
        <w:t>p</w:t>
      </w:r>
      <w:r w:rsidRPr="008C0627" w:rsidR="006D61AE">
        <w:t>. 278</w:t>
      </w:r>
      <w:r w:rsidRPr="008C0627" w:rsidR="00EE09E9">
        <w:t>–279</w:t>
      </w:r>
      <w:bookmarkEnd w:id="132"/>
      <w:r w:rsidRPr="008C0627" w:rsidR="006D61AE">
        <w:t>.)  The Court of Appeal disagreed, holding that loss of business goodwill is compensable in an inverse condemnation action to the same extent as it is compensable, by statute, in eminent domain</w:t>
      </w:r>
      <w:r w:rsidRPr="008C0627" w:rsidR="00805297">
        <w:t xml:space="preserve"> actions</w:t>
      </w:r>
      <w:r w:rsidRPr="008C0627" w:rsidR="006D61AE">
        <w:t>.  (</w:t>
      </w:r>
      <w:bookmarkStart w:id="133" w:name="Psych_Cite_117"/>
      <w:r w:rsidRPr="008C0627" w:rsidR="006D61AE">
        <w:rPr>
          <w:i/>
        </w:rPr>
        <w:t>Id</w:t>
      </w:r>
      <w:r w:rsidRPr="008C0627" w:rsidR="006D61AE">
        <w:t>. at p. 282</w:t>
      </w:r>
      <w:bookmarkEnd w:id="133"/>
      <w:r w:rsidRPr="008C0627" w:rsidR="006D61AE">
        <w:t xml:space="preserve">.)  It observed that the “only distinction” between the restaurant owner’s case and the case of a person whose property had been condemned in </w:t>
      </w:r>
      <w:r w:rsidRPr="008C0627" w:rsidR="00367C1D">
        <w:t xml:space="preserve">an </w:t>
      </w:r>
      <w:r w:rsidRPr="008C0627" w:rsidR="006D61AE">
        <w:t xml:space="preserve">eminent domain </w:t>
      </w:r>
      <w:r w:rsidRPr="008C0627" w:rsidR="00367C1D">
        <w:t xml:space="preserve">proceeding </w:t>
      </w:r>
      <w:r w:rsidRPr="008C0627" w:rsidR="006D61AE">
        <w:t>is that the restaurant owner “has been forced to initiate a legal proceeding to recover.”  (</w:t>
      </w:r>
      <w:bookmarkStart w:id="134" w:name="Psych_Cite_118"/>
      <w:r w:rsidRPr="008C0627" w:rsidR="006D61AE">
        <w:rPr>
          <w:i/>
        </w:rPr>
        <w:t>Id</w:t>
      </w:r>
      <w:r w:rsidRPr="008C0627" w:rsidR="006D61AE">
        <w:t>. at p. 279</w:t>
      </w:r>
      <w:bookmarkEnd w:id="134"/>
      <w:r w:rsidRPr="008C0627" w:rsidR="006D61AE">
        <w:t xml:space="preserve">.)  Because inverse condemnation and eminent domain </w:t>
      </w:r>
      <w:r w:rsidRPr="008C0627" w:rsidR="00367C1D">
        <w:t xml:space="preserve">procedures </w:t>
      </w:r>
      <w:r w:rsidRPr="008C0627" w:rsidR="006D61AE">
        <w:t>give effect to “</w:t>
      </w:r>
      <w:bookmarkStart w:id="135" w:name="QUOTE_BOOKMARK_IS_CONFIRMED_11"/>
      <w:r w:rsidR="000248C6">
        <w:t> </w:t>
      </w:r>
      <w:r w:rsidR="00BC5CA1">
        <w:t>‘the same limitation on governmental power’</w:t>
      </w:r>
      <w:bookmarkEnd w:id="135"/>
      <w:r w:rsidR="000248C6">
        <w:t> </w:t>
      </w:r>
      <w:r w:rsidRPr="008C0627" w:rsidR="006D61AE">
        <w:t>”</w:t>
      </w:r>
      <w:r w:rsidR="0055106D">
        <w:t xml:space="preserve"> (</w:t>
      </w:r>
      <w:bookmarkStart w:id="136" w:name="Psych_Cite_119"/>
      <w:r w:rsidR="0055106D">
        <w:rPr>
          <w:i/>
          <w:iCs/>
        </w:rPr>
        <w:t>id.</w:t>
      </w:r>
      <w:r w:rsidR="0055106D">
        <w:t xml:space="preserve"> at pp. 279</w:t>
      </w:r>
      <w:r w:rsidRPr="008C0627" w:rsidR="00A24842">
        <w:t>–</w:t>
      </w:r>
      <w:r w:rsidR="0055106D">
        <w:t>280</w:t>
      </w:r>
      <w:bookmarkEnd w:id="136"/>
      <w:r w:rsidR="0055106D">
        <w:t>),</w:t>
      </w:r>
      <w:r w:rsidRPr="008C0627" w:rsidR="006D61AE">
        <w:t xml:space="preserve"> the court reasoned, it makes sense for the judiciary and the Legislature to “cross-pollinate in this area” (</w:t>
      </w:r>
      <w:r w:rsidR="0055106D">
        <w:rPr>
          <w:i/>
        </w:rPr>
        <w:t>i</w:t>
      </w:r>
      <w:r w:rsidRPr="008C0627" w:rsidR="006D61AE">
        <w:rPr>
          <w:i/>
        </w:rPr>
        <w:t>d</w:t>
      </w:r>
      <w:r w:rsidRPr="008C0627" w:rsidR="006D61AE">
        <w:t>. at p. 279)</w:t>
      </w:r>
      <w:r w:rsidR="0055106D">
        <w:t>.</w:t>
      </w:r>
      <w:r>
        <w:t xml:space="preserve">  </w:t>
      </w:r>
      <w:r w:rsidRPr="008C0627" w:rsidR="006B5EF0">
        <w:rPr>
          <w:i/>
        </w:rPr>
        <w:t>Chhour</w:t>
      </w:r>
      <w:r>
        <w:rPr>
          <w:i/>
        </w:rPr>
        <w:t xml:space="preserve"> </w:t>
      </w:r>
      <w:r w:rsidRPr="008C0627" w:rsidR="00166D19">
        <w:t>is thus consistent with the proposition that the differences between eminent domain law and inverse condemnation law should not</w:t>
      </w:r>
      <w:r w:rsidRPr="008C0627" w:rsidR="00B86AC5">
        <w:t xml:space="preserve"> “yield different results in terms of compensation.”  (</w:t>
      </w:r>
      <w:bookmarkStart w:id="137" w:name="Psych_Cite_122"/>
      <w:r w:rsidRPr="008C0627" w:rsidR="00B86AC5">
        <w:rPr>
          <w:i/>
        </w:rPr>
        <w:t>Mt. San Jacinto</w:t>
      </w:r>
      <w:r w:rsidRPr="008C0627" w:rsidR="00B86AC5">
        <w:t xml:space="preserve">, </w:t>
      </w:r>
      <w:r w:rsidRPr="008C0627" w:rsidR="00B86AC5">
        <w:rPr>
          <w:i/>
        </w:rPr>
        <w:t>supra</w:t>
      </w:r>
      <w:r w:rsidRPr="008C0627" w:rsidR="00B86AC5">
        <w:t>, 117 Cal.App.4th at p. 105</w:t>
      </w:r>
      <w:bookmarkEnd w:id="137"/>
      <w:r w:rsidRPr="008C0627" w:rsidR="00B86AC5">
        <w:t>.)</w:t>
      </w:r>
      <w:r w:rsidRPr="008C0627" w:rsidR="00412FAC">
        <w:t xml:space="preserve"> </w:t>
      </w:r>
    </w:p>
    <w:p w:rsidR="00E8079B" w:rsidP="0049372B">
      <w:pPr>
        <w:tabs>
          <w:tab w:val="left" w:pos="720"/>
          <w:tab w:val="left" w:pos="1440"/>
        </w:tabs>
      </w:pPr>
      <w:r>
        <w:tab/>
        <w:t>W</w:t>
      </w:r>
      <w:r w:rsidRPr="008C0627" w:rsidR="00CE6B4A">
        <w:t xml:space="preserve">hile </w:t>
      </w:r>
      <w:r w:rsidRPr="008C0627" w:rsidR="00125C8A">
        <w:t xml:space="preserve">the </w:t>
      </w:r>
      <w:r w:rsidRPr="008C0627" w:rsidR="00CE6B4A">
        <w:t xml:space="preserve">“cross-pollination” </w:t>
      </w:r>
      <w:r w:rsidRPr="008C0627" w:rsidR="00125C8A">
        <w:t>embraced by</w:t>
      </w:r>
      <w:r w:rsidRPr="008C0627" w:rsidR="00CE6B4A">
        <w:t xml:space="preserve"> </w:t>
      </w:r>
      <w:bookmarkStart w:id="138" w:name="Psych_Cite_131"/>
      <w:r w:rsidRPr="008C0627" w:rsidR="00CE6B4A">
        <w:rPr>
          <w:i/>
        </w:rPr>
        <w:t>Chhour</w:t>
      </w:r>
      <w:r>
        <w:rPr>
          <w:iCs/>
        </w:rPr>
        <w:t>,</w:t>
      </w:r>
      <w:r>
        <w:rPr>
          <w:i/>
        </w:rPr>
        <w:t xml:space="preserve"> supra</w:t>
      </w:r>
      <w:r>
        <w:rPr>
          <w:iCs/>
        </w:rPr>
        <w:t>,</w:t>
      </w:r>
      <w:r>
        <w:rPr>
          <w:i/>
        </w:rPr>
        <w:t xml:space="preserve"> </w:t>
      </w:r>
      <w:bookmarkStart w:id="139" w:name="Psych_Cite_121"/>
      <w:r w:rsidRPr="008C0627">
        <w:t>46 Cal.App.4th 273</w:t>
      </w:r>
      <w:bookmarkEnd w:id="139"/>
      <w:r>
        <w:t>,</w:t>
      </w:r>
      <w:r w:rsidRPr="00B86B09" w:rsidR="00724E53">
        <w:rPr>
          <w:i/>
        </w:rPr>
        <w:t xml:space="preserve"> </w:t>
      </w:r>
      <w:bookmarkEnd w:id="138"/>
      <w:r w:rsidRPr="008C0627" w:rsidR="00CE6B4A">
        <w:t xml:space="preserve">may make sense with respect to provisions of the Eminent Domain Law that affect the amount of compensation due to a property owner, the special rules governing the </w:t>
      </w:r>
      <w:r w:rsidRPr="008C0627" w:rsidR="00A0746D">
        <w:t xml:space="preserve">procedure by which a public entity </w:t>
      </w:r>
      <w:r w:rsidRPr="008C0627" w:rsidR="00B51BA7">
        <w:t>exercises the eminent domain power</w:t>
      </w:r>
      <w:r w:rsidRPr="008C0627" w:rsidR="00A0746D">
        <w:t xml:space="preserve"> are another matter</w:t>
      </w:r>
      <w:r w:rsidRPr="008C0627" w:rsidR="00CE6B4A">
        <w:t>.</w:t>
      </w:r>
      <w:r w:rsidRPr="008C0627" w:rsidR="000049B5">
        <w:t xml:space="preserve">  </w:t>
      </w:r>
      <w:r w:rsidRPr="008C0627" w:rsidR="00DA7397">
        <w:t xml:space="preserve">As noted above, inverse condemnation actions proceed by the rules governing ordinary civil actions, not the special rules that apply to eminent domain proceedings.  </w:t>
      </w:r>
      <w:r w:rsidRPr="008C0627" w:rsidR="000049B5">
        <w:t>Indeed, much of the “elaborate and lengthy process established by the Eminent Domain Law and related statutes”</w:t>
      </w:r>
      <w:r w:rsidRPr="008C0627" w:rsidR="00960176">
        <w:t>—</w:t>
      </w:r>
      <w:r w:rsidRPr="008C0627" w:rsidR="000049B5">
        <w:t>would serve no purpose in an inverse condemnation action.  (</w:t>
      </w:r>
      <w:bookmarkStart w:id="140" w:name="Psych_Cite_132"/>
      <w:r w:rsidRPr="008C0627" w:rsidR="000049B5">
        <w:rPr>
          <w:i/>
        </w:rPr>
        <w:t>Property Reserve</w:t>
      </w:r>
      <w:r w:rsidRPr="008C0627" w:rsidR="000049B5">
        <w:t xml:space="preserve">, </w:t>
      </w:r>
      <w:r w:rsidRPr="008C0627" w:rsidR="000049B5">
        <w:rPr>
          <w:i/>
        </w:rPr>
        <w:t>supra</w:t>
      </w:r>
      <w:r w:rsidRPr="008C0627" w:rsidR="000049B5">
        <w:t>,</w:t>
      </w:r>
      <w:r w:rsidRPr="008C0627" w:rsidR="000049B5">
        <w:rPr>
          <w:i/>
        </w:rPr>
        <w:t xml:space="preserve"> </w:t>
      </w:r>
      <w:r w:rsidRPr="008C0627" w:rsidR="000049B5">
        <w:t>1 Cal.5th at p. 188</w:t>
      </w:r>
      <w:bookmarkEnd w:id="140"/>
      <w:r w:rsidRPr="008C0627" w:rsidR="00C82111">
        <w:t xml:space="preserve">; </w:t>
      </w:r>
      <w:bookmarkStart w:id="141" w:name="Psych_Cite_135"/>
      <w:r w:rsidRPr="008C0627" w:rsidR="00561647">
        <w:t>s</w:t>
      </w:r>
      <w:r w:rsidRPr="008C0627" w:rsidR="00C82111">
        <w:t>ee</w:t>
      </w:r>
      <w:r w:rsidRPr="008C0627" w:rsidR="00561647">
        <w:t>, e.g.,</w:t>
      </w:r>
      <w:r w:rsidRPr="008C0627" w:rsidR="00C82111">
        <w:t xml:space="preserve"> §§ 1245.220 [requiring resolution of necessity]</w:t>
      </w:r>
      <w:bookmarkEnd w:id="141"/>
      <w:r w:rsidRPr="008C0627" w:rsidR="00C82111">
        <w:t>, 1255.410 [authorizing motion for order of possession]</w:t>
      </w:r>
      <w:r w:rsidRPr="008C0627" w:rsidR="000049B5">
        <w:t>.)</w:t>
      </w:r>
      <w:r w:rsidR="000248C6">
        <w:t xml:space="preserve"> </w:t>
      </w:r>
      <w:r w:rsidRPr="00B86B09">
        <w:rPr>
          <w:i/>
        </w:rPr>
        <w:t xml:space="preserve"> </w:t>
      </w:r>
      <w:r w:rsidRPr="008C0627">
        <w:rPr>
          <w:i/>
        </w:rPr>
        <w:t>Chhour</w:t>
      </w:r>
      <w:r w:rsidRPr="008C0627">
        <w:t xml:space="preserve"> does not suggest that an appellate court may “import” into the inverse condemnation context provisions of the Eminent Domain Law that set out the special procedures applicable to eminent domain actions, such as section 1260.040</w:t>
      </w:r>
      <w:r>
        <w:t>.</w:t>
      </w:r>
      <w:r>
        <w:rPr>
          <w:rStyle w:val="FootnoteReference"/>
        </w:rPr>
        <w:footnoteReference w:id="7"/>
      </w:r>
      <w:r w:rsidRPr="008C0627" w:rsidR="00B75495">
        <w:t xml:space="preserve">  </w:t>
      </w:r>
      <w:r>
        <w:t xml:space="preserve">  </w:t>
      </w:r>
    </w:p>
    <w:p w:rsidR="00A517FC" w:rsidRPr="008C0627" w:rsidP="008C0627">
      <w:pPr>
        <w:ind w:firstLine="720"/>
      </w:pPr>
      <w:r w:rsidRPr="008C0627">
        <w:t xml:space="preserve">We recognized </w:t>
      </w:r>
      <w:r w:rsidRPr="008C0627" w:rsidR="00D67A67">
        <w:t>th</w:t>
      </w:r>
      <w:r w:rsidR="00D67A67">
        <w:t>e</w:t>
      </w:r>
      <w:r w:rsidRPr="008C0627" w:rsidR="00D67A67">
        <w:t xml:space="preserve"> </w:t>
      </w:r>
      <w:r w:rsidRPr="008C0627" w:rsidR="00166D19">
        <w:t xml:space="preserve">distinction between rules governing </w:t>
      </w:r>
      <w:r w:rsidRPr="008C0627" w:rsidR="0070125C">
        <w:t xml:space="preserve">the right to </w:t>
      </w:r>
      <w:r w:rsidRPr="008C0627" w:rsidR="00166D19">
        <w:t>compensation and rules governing the general course of proceedings</w:t>
      </w:r>
      <w:r w:rsidRPr="008C0627">
        <w:t xml:space="preserve"> in</w:t>
      </w:r>
      <w:r w:rsidRPr="008C0627" w:rsidR="00737D55">
        <w:t xml:space="preserve"> </w:t>
      </w:r>
      <w:bookmarkStart w:id="142" w:name="Psych_Cite_133"/>
      <w:r w:rsidRPr="008C0627" w:rsidR="00737D55">
        <w:rPr>
          <w:i/>
        </w:rPr>
        <w:t>Regency Outdoor Advertising</w:t>
      </w:r>
      <w:r w:rsidRPr="008C0627" w:rsidR="009B5FA4">
        <w:t xml:space="preserve">, </w:t>
      </w:r>
      <w:r w:rsidRPr="008C0627" w:rsidR="009B5FA4">
        <w:rPr>
          <w:i/>
        </w:rPr>
        <w:t>supra</w:t>
      </w:r>
      <w:r w:rsidRPr="008C0627" w:rsidR="009B5FA4">
        <w:t>, 39 Cal.4th 507</w:t>
      </w:r>
      <w:bookmarkEnd w:id="142"/>
      <w:r w:rsidRPr="008C0627" w:rsidR="009B5FA4">
        <w:t xml:space="preserve">, </w:t>
      </w:r>
      <w:r w:rsidRPr="008C0627">
        <w:t xml:space="preserve">where </w:t>
      </w:r>
      <w:r w:rsidRPr="008C0627" w:rsidR="009B5FA4">
        <w:t xml:space="preserve">we considered whether a statutory </w:t>
      </w:r>
      <w:r w:rsidRPr="008C0627" w:rsidR="00BB59D9">
        <w:t>carve</w:t>
      </w:r>
      <w:r w:rsidR="0055106D">
        <w:t>-</w:t>
      </w:r>
      <w:r w:rsidRPr="008C0627" w:rsidR="00BB59D9">
        <w:t xml:space="preserve">out for </w:t>
      </w:r>
      <w:r w:rsidRPr="008C0627" w:rsidR="009B5FA4">
        <w:t>eminent domain proceedings should be interpreted to encompass inverse condemnation proceedings as well.  (</w:t>
      </w:r>
      <w:bookmarkStart w:id="143" w:name="Psych_Cite_130"/>
      <w:r w:rsidRPr="008C0627" w:rsidR="009B5FA4">
        <w:rPr>
          <w:i/>
        </w:rPr>
        <w:t>Id</w:t>
      </w:r>
      <w:r w:rsidRPr="008C0627" w:rsidR="009B5FA4">
        <w:t>. at p. 529</w:t>
      </w:r>
      <w:bookmarkEnd w:id="143"/>
      <w:r w:rsidRPr="008C0627" w:rsidR="009B5FA4">
        <w:t xml:space="preserve">.)  </w:t>
      </w:r>
      <w:r w:rsidRPr="008C0627" w:rsidR="0043307F">
        <w:t xml:space="preserve">At issue in </w:t>
      </w:r>
      <w:r w:rsidRPr="008C0627" w:rsidR="0043307F">
        <w:rPr>
          <w:i/>
        </w:rPr>
        <w:t xml:space="preserve">Regency Outdoor Advertising </w:t>
      </w:r>
      <w:r w:rsidRPr="008C0627" w:rsidR="0043307F">
        <w:t xml:space="preserve">was whether a party to an inverse condemnation action was entitled to an award </w:t>
      </w:r>
      <w:r w:rsidRPr="008C0627" w:rsidR="006B2821">
        <w:t xml:space="preserve">of expert witness fees </w:t>
      </w:r>
      <w:r w:rsidRPr="008C0627" w:rsidR="0043307F">
        <w:t xml:space="preserve">under </w:t>
      </w:r>
      <w:bookmarkStart w:id="144" w:name="Psych_Cite_129"/>
      <w:r w:rsidRPr="008C0627" w:rsidR="0043307F">
        <w:t>section 998, subdivision (c)</w:t>
      </w:r>
      <w:bookmarkEnd w:id="144"/>
      <w:r w:rsidRPr="008C0627" w:rsidR="006E4939">
        <w:t>.</w:t>
      </w:r>
      <w:r w:rsidRPr="008C0627" w:rsidR="0043307F">
        <w:t xml:space="preserve"> </w:t>
      </w:r>
      <w:r w:rsidRPr="008C0627" w:rsidR="006E4939">
        <w:t xml:space="preserve"> That provision</w:t>
      </w:r>
      <w:r w:rsidRPr="008C0627" w:rsidR="006B2821">
        <w:t xml:space="preserve"> authorizes courts to award such fees</w:t>
      </w:r>
      <w:r w:rsidRPr="008C0627" w:rsidR="00B97D01">
        <w:t xml:space="preserve"> “in any action or proceeding other than an eminent domain action</w:t>
      </w:r>
      <w:r w:rsidRPr="008C0627" w:rsidR="00BB59D9">
        <w:t>.</w:t>
      </w:r>
      <w:r w:rsidRPr="008C0627" w:rsidR="00B97D01">
        <w:t>”</w:t>
      </w:r>
      <w:r w:rsidRPr="008C0627" w:rsidR="00BB59D9">
        <w:t xml:space="preserve"> </w:t>
      </w:r>
      <w:r w:rsidRPr="008C0627" w:rsidR="00B97D01">
        <w:t xml:space="preserve"> </w:t>
      </w:r>
      <w:r w:rsidRPr="008C0627" w:rsidR="006E4939">
        <w:t>(</w:t>
      </w:r>
      <w:bookmarkStart w:id="145" w:name="Psych_Cite_136"/>
      <w:r w:rsidRPr="008C0627" w:rsidR="006E4939">
        <w:t>§ 998, subd. (c)(1)</w:t>
      </w:r>
      <w:bookmarkEnd w:id="145"/>
      <w:r w:rsidRPr="008C0627" w:rsidR="006E4939">
        <w:t xml:space="preserve">.)  </w:t>
      </w:r>
      <w:r w:rsidRPr="008C0627" w:rsidR="0043307F">
        <w:t xml:space="preserve">We </w:t>
      </w:r>
      <w:r w:rsidRPr="008C0627" w:rsidR="006B2821">
        <w:t>concluded th</w:t>
      </w:r>
      <w:r w:rsidRPr="008C0627" w:rsidR="00A92821">
        <w:t>is</w:t>
      </w:r>
      <w:r w:rsidRPr="008C0627" w:rsidR="00B97D01">
        <w:t xml:space="preserve"> </w:t>
      </w:r>
      <w:r w:rsidRPr="008C0627" w:rsidR="00BB59D9">
        <w:t>carve</w:t>
      </w:r>
      <w:r w:rsidR="0055106D">
        <w:t>-</w:t>
      </w:r>
      <w:r w:rsidRPr="008C0627" w:rsidR="00BB59D9">
        <w:t>out</w:t>
      </w:r>
      <w:r w:rsidRPr="008C0627" w:rsidR="006B2821">
        <w:t xml:space="preserve"> </w:t>
      </w:r>
      <w:r w:rsidRPr="008C0627" w:rsidR="00B97D01">
        <w:t xml:space="preserve">for eminent domain </w:t>
      </w:r>
      <w:r w:rsidRPr="008C0627" w:rsidR="00B10B51">
        <w:t xml:space="preserve">actions </w:t>
      </w:r>
      <w:r w:rsidRPr="008C0627" w:rsidR="006B2821">
        <w:t xml:space="preserve">did not </w:t>
      </w:r>
      <w:r w:rsidRPr="008C0627" w:rsidR="00B10B51">
        <w:t>encompass</w:t>
      </w:r>
      <w:r w:rsidRPr="008C0627" w:rsidR="006B2821">
        <w:t xml:space="preserve"> inverse condemnation actions, </w:t>
      </w:r>
      <w:r w:rsidRPr="008C0627" w:rsidR="00A92821">
        <w:t>reasoning that</w:t>
      </w:r>
      <w:r w:rsidRPr="008C0627" w:rsidR="009B5FA4">
        <w:t xml:space="preserve"> “the Legislature perceives a difference between eminent domain and inverse condemnation</w:t>
      </w:r>
      <w:r w:rsidRPr="008C0627" w:rsidR="005C7A58">
        <w:t>,</w:t>
      </w:r>
      <w:r w:rsidRPr="008C0627" w:rsidR="0043307F">
        <w:t>”</w:t>
      </w:r>
      <w:r w:rsidRPr="008C0627" w:rsidR="005C7A58">
        <w:t xml:space="preserve"> based on the </w:t>
      </w:r>
      <w:r w:rsidRPr="008C0627" w:rsidR="00EE09E9">
        <w:t>special nature of</w:t>
      </w:r>
      <w:r w:rsidRPr="008C0627" w:rsidR="005C7A58">
        <w:t xml:space="preserve"> eminent domain proceedings. </w:t>
      </w:r>
      <w:r w:rsidRPr="008C0627" w:rsidR="0043307F">
        <w:t xml:space="preserve"> (</w:t>
      </w:r>
      <w:bookmarkStart w:id="146" w:name="Psych_Cite_134"/>
      <w:r w:rsidRPr="008C0627" w:rsidR="006B2821">
        <w:rPr>
          <w:i/>
        </w:rPr>
        <w:t>Regency Outdoor Advertising</w:t>
      </w:r>
      <w:r w:rsidRPr="008C0627" w:rsidR="0043307F">
        <w:t>, at p. 530</w:t>
      </w:r>
      <w:bookmarkEnd w:id="146"/>
      <w:r w:rsidRPr="008C0627" w:rsidR="00D14110">
        <w:t>.)</w:t>
      </w:r>
      <w:r w:rsidRPr="008C0627" w:rsidR="008F3DCC">
        <w:t xml:space="preserve">  </w:t>
      </w:r>
      <w:r w:rsidRPr="008C0627" w:rsidR="00990D4F">
        <w:t>With this difference in mind</w:t>
      </w:r>
      <w:r w:rsidRPr="008C0627" w:rsidR="00D51714">
        <w:t xml:space="preserve">, there is no reason to think the Legislature contemplated </w:t>
      </w:r>
      <w:r w:rsidR="00D46BAA">
        <w:t xml:space="preserve">that an appellate </w:t>
      </w:r>
      <w:r w:rsidRPr="008C0627" w:rsidR="00D51714">
        <w:t xml:space="preserve">court would </w:t>
      </w:r>
      <w:r w:rsidR="00BA1FF9">
        <w:t>“</w:t>
      </w:r>
      <w:r w:rsidRPr="008C0627" w:rsidR="00D51714">
        <w:t>import</w:t>
      </w:r>
      <w:r w:rsidR="00BA1FF9">
        <w:t>”</w:t>
      </w:r>
      <w:r w:rsidRPr="008C0627" w:rsidR="00D51714">
        <w:t xml:space="preserve"> </w:t>
      </w:r>
      <w:bookmarkStart w:id="147" w:name="Psych_Cite_137"/>
      <w:r w:rsidRPr="008C0627" w:rsidR="00D51714">
        <w:t>section 1260.040</w:t>
      </w:r>
      <w:bookmarkEnd w:id="147"/>
      <w:r w:rsidR="00E74255">
        <w:t xml:space="preserve"> </w:t>
      </w:r>
      <w:r w:rsidR="00D46BAA">
        <w:t xml:space="preserve">into </w:t>
      </w:r>
      <w:r w:rsidRPr="008C0627" w:rsidR="00E74255">
        <w:t>inverse condemnation procedure</w:t>
      </w:r>
      <w:r w:rsidRPr="008C0627" w:rsidR="00D51714">
        <w:t>.</w:t>
      </w:r>
      <w:r w:rsidRPr="008C0627" w:rsidR="000B1C89">
        <w:t xml:space="preserve"> </w:t>
      </w:r>
    </w:p>
    <w:p w:rsidR="00C53282" w:rsidRPr="008C0627" w:rsidP="00BA2301">
      <w:pPr>
        <w:tabs>
          <w:tab w:val="left" w:pos="1440"/>
        </w:tabs>
        <w:ind w:firstLine="720"/>
      </w:pPr>
      <w:r w:rsidRPr="008C0627">
        <w:t xml:space="preserve">Nevertheless, </w:t>
      </w:r>
      <w:r w:rsidRPr="008C0627" w:rsidR="00C208F8">
        <w:t>the</w:t>
      </w:r>
      <w:r w:rsidRPr="008C0627" w:rsidR="00A01D3E">
        <w:t xml:space="preserve"> Agencies</w:t>
      </w:r>
      <w:r w:rsidRPr="008C0627" w:rsidR="00C208F8">
        <w:t xml:space="preserve"> urge us to </w:t>
      </w:r>
      <w:r w:rsidR="00F071D4">
        <w:t>“</w:t>
      </w:r>
      <w:r w:rsidRPr="008C0627" w:rsidR="00690963">
        <w:t>import</w:t>
      </w:r>
      <w:r w:rsidR="00F071D4">
        <w:t>”</w:t>
      </w:r>
      <w:r w:rsidRPr="008C0627" w:rsidR="00690963">
        <w:t xml:space="preserve"> </w:t>
      </w:r>
      <w:bookmarkStart w:id="148" w:name="Psych_Cite_139"/>
      <w:r w:rsidRPr="008C0627" w:rsidR="00EB7903">
        <w:t>section 1260.040</w:t>
      </w:r>
      <w:bookmarkEnd w:id="148"/>
      <w:r w:rsidRPr="008C0627" w:rsidR="00690963">
        <w:t xml:space="preserve"> into inverse</w:t>
      </w:r>
      <w:r w:rsidRPr="008C0627" w:rsidR="00C208F8">
        <w:t xml:space="preserve"> condemnation </w:t>
      </w:r>
      <w:r w:rsidRPr="008C0627" w:rsidR="00F85BB7">
        <w:t xml:space="preserve">procedure </w:t>
      </w:r>
      <w:r w:rsidRPr="008C0627" w:rsidR="00A01D3E">
        <w:t xml:space="preserve">because, they contend, doing so would promote </w:t>
      </w:r>
      <w:r w:rsidRPr="008C0627" w:rsidR="00EA0C4D">
        <w:t>timely resolution</w:t>
      </w:r>
      <w:r w:rsidRPr="008C0627" w:rsidR="00D32E3C">
        <w:t>—</w:t>
      </w:r>
      <w:r w:rsidRPr="008C0627">
        <w:t xml:space="preserve">the same broad objective </w:t>
      </w:r>
      <w:r w:rsidRPr="008C0627" w:rsidR="00D32E3C">
        <w:t xml:space="preserve">the Legislature intended it to promote </w:t>
      </w:r>
      <w:r w:rsidRPr="008C0627">
        <w:t xml:space="preserve">in </w:t>
      </w:r>
      <w:r w:rsidRPr="008C0627" w:rsidR="00F85BB7">
        <w:t xml:space="preserve">the </w:t>
      </w:r>
      <w:r w:rsidRPr="008C0627">
        <w:t xml:space="preserve">eminent domain </w:t>
      </w:r>
      <w:r w:rsidRPr="008C0627" w:rsidR="00F85BB7">
        <w:t>context</w:t>
      </w:r>
      <w:r w:rsidRPr="008C0627" w:rsidR="00A21AAC">
        <w:t>.</w:t>
      </w:r>
      <w:r w:rsidRPr="008C0627" w:rsidR="00C208F8">
        <w:t xml:space="preserve"> </w:t>
      </w:r>
      <w:r w:rsidRPr="008C0627" w:rsidR="006E4939">
        <w:t xml:space="preserve"> </w:t>
      </w:r>
      <w:r w:rsidRPr="008C0627" w:rsidR="006D0A1F">
        <w:t xml:space="preserve">Relying on </w:t>
      </w:r>
      <w:bookmarkStart w:id="149" w:name="Psych_Cite_138"/>
      <w:r w:rsidRPr="008C0627" w:rsidR="006D0A1F">
        <w:rPr>
          <w:i/>
        </w:rPr>
        <w:t>Dina</w:t>
      </w:r>
      <w:r w:rsidRPr="008C0627" w:rsidR="006D0A1F">
        <w:t xml:space="preserve">, </w:t>
      </w:r>
      <w:r w:rsidRPr="008C0627" w:rsidR="006D0A1F">
        <w:rPr>
          <w:i/>
        </w:rPr>
        <w:t>supra</w:t>
      </w:r>
      <w:r w:rsidRPr="008C0627" w:rsidR="006D0A1F">
        <w:t xml:space="preserve">, 151 Cal.App.4th at </w:t>
      </w:r>
      <w:r w:rsidRPr="008C0627" w:rsidR="00B070E2">
        <w:t xml:space="preserve">pp. </w:t>
      </w:r>
      <w:r w:rsidRPr="008C0627" w:rsidR="006D0A1F">
        <w:t>1043–1045</w:t>
      </w:r>
      <w:bookmarkEnd w:id="149"/>
      <w:r w:rsidRPr="008C0627" w:rsidR="006D0A1F">
        <w:t xml:space="preserve">, they urge us to interpret </w:t>
      </w:r>
      <w:bookmarkStart w:id="150" w:name="Psych_Cite_140"/>
      <w:r w:rsidRPr="008C0627" w:rsidR="006D0A1F">
        <w:t>section 1260.040</w:t>
      </w:r>
      <w:bookmarkEnd w:id="150"/>
      <w:r w:rsidRPr="008C0627" w:rsidR="006D0A1F">
        <w:t>’s provision for a motion to decide “</w:t>
      </w:r>
      <w:bookmarkStart w:id="151" w:name="QUOTE_BOOKMARK_IS_CONFIRMED_12"/>
      <w:r w:rsidR="00BC5CA1">
        <w:t>other legal issues</w:t>
      </w:r>
      <w:bookmarkEnd w:id="151"/>
      <w:r w:rsidRPr="008C0627" w:rsidR="00F51C90">
        <w:t>”</w:t>
      </w:r>
      <w:r w:rsidRPr="008C0627" w:rsidR="006D0A1F">
        <w:t xml:space="preserve"> affecting the determination of compensation to encompass issues of liability that in inverse condemnation actions normally would be raised on demurrer, at summary judgment, or in a bench trial.  </w:t>
      </w:r>
      <w:r w:rsidRPr="008C0627">
        <w:t>The</w:t>
      </w:r>
      <w:r w:rsidRPr="008C0627" w:rsidR="006D0A1F">
        <w:t xml:space="preserve"> Agencies</w:t>
      </w:r>
      <w:r w:rsidRPr="008C0627">
        <w:t xml:space="preserve"> point out that liability determinations in inverse condemnation actions </w:t>
      </w:r>
      <w:r w:rsidR="00B852C4">
        <w:t>often</w:t>
      </w:r>
      <w:r w:rsidRPr="008C0627" w:rsidR="00B852C4">
        <w:t xml:space="preserve"> </w:t>
      </w:r>
      <w:r w:rsidRPr="008C0627">
        <w:t xml:space="preserve">involve </w:t>
      </w:r>
      <w:r w:rsidRPr="008C0627" w:rsidR="00D32E3C">
        <w:t>disputed factual questions</w:t>
      </w:r>
      <w:r w:rsidRPr="008C0627" w:rsidR="00B46172">
        <w:t xml:space="preserve"> </w:t>
      </w:r>
      <w:r w:rsidRPr="008C0627">
        <w:t xml:space="preserve">and so are not amenable to resolution on summary judgment.  </w:t>
      </w:r>
      <w:r w:rsidRPr="008C0627" w:rsidR="006D0A1F">
        <w:t xml:space="preserve">They </w:t>
      </w:r>
      <w:r w:rsidRPr="008C0627" w:rsidR="00970C7E">
        <w:t xml:space="preserve">explain </w:t>
      </w:r>
      <w:r w:rsidRPr="008C0627" w:rsidR="006D0A1F">
        <w:t xml:space="preserve">that </w:t>
      </w:r>
      <w:bookmarkStart w:id="152" w:name="Psych_Cite_141"/>
      <w:r w:rsidR="00E74255">
        <w:t xml:space="preserve">the use of </w:t>
      </w:r>
      <w:r w:rsidRPr="008C0627" w:rsidR="006D0A1F">
        <w:t>section 1260.040</w:t>
      </w:r>
      <w:bookmarkEnd w:id="152"/>
      <w:r w:rsidRPr="008C0627" w:rsidR="006D0A1F">
        <w:t xml:space="preserve"> </w:t>
      </w:r>
      <w:r w:rsidR="00E74255">
        <w:t>motion</w:t>
      </w:r>
      <w:r w:rsidR="00F957A2">
        <w:t>s</w:t>
      </w:r>
      <w:r w:rsidR="00E74255">
        <w:t xml:space="preserve"> in inverse condemnation proceedings would </w:t>
      </w:r>
      <w:r w:rsidRPr="008C0627" w:rsidR="006D0A1F">
        <w:t xml:space="preserve">promote </w:t>
      </w:r>
      <w:r w:rsidRPr="008C0627" w:rsidR="00EA0C4D">
        <w:t>timely</w:t>
      </w:r>
      <w:r w:rsidRPr="008C0627" w:rsidR="006D0A1F">
        <w:t xml:space="preserve"> resolution by providing a different and more expedient method of summary disposition than those provided for by statute, one that serves as a “substitute for a bench trial.”</w:t>
      </w:r>
      <w:r w:rsidRPr="008C0627" w:rsidR="005A79F7">
        <w:t xml:space="preserve">  </w:t>
      </w:r>
      <w:r w:rsidR="00733B9A">
        <w:t>T</w:t>
      </w:r>
      <w:r w:rsidRPr="008C0627">
        <w:t xml:space="preserve">hey </w:t>
      </w:r>
      <w:r w:rsidRPr="008C0627" w:rsidR="00970C7E">
        <w:t xml:space="preserve">assert </w:t>
      </w:r>
      <w:r w:rsidRPr="008C0627">
        <w:t xml:space="preserve">we should </w:t>
      </w:r>
      <w:r w:rsidR="00F071D4">
        <w:t>“</w:t>
      </w:r>
      <w:r w:rsidRPr="008C0627">
        <w:t>import</w:t>
      </w:r>
      <w:r w:rsidR="00F071D4">
        <w:t>”</w:t>
      </w:r>
      <w:r w:rsidRPr="008C0627">
        <w:t xml:space="preserve"> </w:t>
      </w:r>
      <w:bookmarkStart w:id="153" w:name="Psych_Cite_142"/>
      <w:r w:rsidRPr="008C0627">
        <w:t>section 1260.040</w:t>
      </w:r>
      <w:bookmarkEnd w:id="153"/>
      <w:r w:rsidRPr="008C0627">
        <w:t xml:space="preserve"> into inverse condemnation procedure because, in their view, summary judgment proceedings and bench trials are unduly </w:t>
      </w:r>
      <w:r w:rsidRPr="008C0627" w:rsidR="00435FAD">
        <w:t>“</w:t>
      </w:r>
      <w:r w:rsidRPr="008C0627">
        <w:t>cumbersome.</w:t>
      </w:r>
      <w:r w:rsidRPr="008C0627" w:rsidR="00435FAD">
        <w:t>”</w:t>
      </w:r>
    </w:p>
    <w:p w:rsidR="00A118F6" w:rsidRPr="008C0627" w:rsidP="00BA2301">
      <w:pPr>
        <w:tabs>
          <w:tab w:val="left" w:pos="1440"/>
        </w:tabs>
        <w:ind w:firstLine="720"/>
      </w:pPr>
      <w:r w:rsidRPr="008C0627">
        <w:t>To begin, w</w:t>
      </w:r>
      <w:r w:rsidRPr="008C0627" w:rsidR="00CE6B4A">
        <w:t>e note that although the same argument</w:t>
      </w:r>
      <w:r w:rsidRPr="008C0627" w:rsidR="00EA0C4D">
        <w:t>s</w:t>
      </w:r>
      <w:r w:rsidRPr="008C0627" w:rsidR="00CE6B4A">
        <w:t xml:space="preserve"> might be made for </w:t>
      </w:r>
      <w:r w:rsidR="00F957A2">
        <w:t>“</w:t>
      </w:r>
      <w:r w:rsidRPr="008C0627" w:rsidR="00CE6B4A">
        <w:t>importing</w:t>
      </w:r>
      <w:r w:rsidR="00F957A2">
        <w:t>”</w:t>
      </w:r>
      <w:r w:rsidRPr="008C0627" w:rsidR="00CE6B4A">
        <w:t xml:space="preserve"> </w:t>
      </w:r>
      <w:bookmarkStart w:id="154" w:name="Psych_Cite_145"/>
      <w:r w:rsidRPr="008C0627" w:rsidR="00CE6B4A">
        <w:t>section 1260.040</w:t>
      </w:r>
      <w:bookmarkEnd w:id="154"/>
      <w:r w:rsidRPr="008C0627" w:rsidR="00CE6B4A">
        <w:t xml:space="preserve"> into </w:t>
      </w:r>
      <w:r w:rsidRPr="008C0627" w:rsidR="00E913F3">
        <w:t xml:space="preserve">many </w:t>
      </w:r>
      <w:r w:rsidR="00E74255">
        <w:t>types</w:t>
      </w:r>
      <w:r w:rsidRPr="008C0627" w:rsidR="00E74255">
        <w:t xml:space="preserve"> </w:t>
      </w:r>
      <w:r w:rsidRPr="008C0627" w:rsidR="00CE6B4A">
        <w:t xml:space="preserve">of civil </w:t>
      </w:r>
      <w:r w:rsidR="00E74255">
        <w:t>actions</w:t>
      </w:r>
      <w:r w:rsidRPr="008C0627" w:rsidR="00CE6B4A">
        <w:t xml:space="preserve">, the Agencies do not argue </w:t>
      </w:r>
      <w:r w:rsidRPr="008C0627">
        <w:t>the provision</w:t>
      </w:r>
      <w:r w:rsidRPr="008C0627" w:rsidR="00CE6B4A">
        <w:t xml:space="preserve"> should </w:t>
      </w:r>
      <w:r w:rsidRPr="008C0627" w:rsidR="00AD5EB2">
        <w:t xml:space="preserve">be made </w:t>
      </w:r>
      <w:r w:rsidRPr="008C0627" w:rsidR="0060356A">
        <w:t xml:space="preserve">generally </w:t>
      </w:r>
      <w:r w:rsidRPr="008C0627" w:rsidR="00AD5EB2">
        <w:t xml:space="preserve">available </w:t>
      </w:r>
      <w:r w:rsidRPr="008C0627" w:rsidR="0060356A">
        <w:t>to civil litigants</w:t>
      </w:r>
      <w:r w:rsidRPr="008C0627" w:rsidR="00EA0C4D">
        <w:t>.</w:t>
      </w:r>
      <w:r w:rsidRPr="008C0627" w:rsidR="00CE6B4A">
        <w:t xml:space="preserve">  </w:t>
      </w:r>
      <w:r w:rsidRPr="008C0627" w:rsidR="00EA0C4D">
        <w:t>I</w:t>
      </w:r>
      <w:r w:rsidRPr="008C0627" w:rsidR="00CE6B4A">
        <w:t>ndeed</w:t>
      </w:r>
      <w:r w:rsidRPr="008C0627" w:rsidR="00EA0C4D">
        <w:t>, they</w:t>
      </w:r>
      <w:r w:rsidRPr="008C0627" w:rsidR="00CE6B4A">
        <w:t xml:space="preserve"> have </w:t>
      </w:r>
      <w:r w:rsidRPr="008C0627" w:rsidR="00F274DD">
        <w:t xml:space="preserve">now </w:t>
      </w:r>
      <w:r w:rsidRPr="008C0627" w:rsidR="00CE6B4A">
        <w:t>abandoned their contention that</w:t>
      </w:r>
      <w:r w:rsidRPr="008C0627" w:rsidR="00E913F3">
        <w:t xml:space="preserve"> it was proper for the trial court to use a </w:t>
      </w:r>
      <w:bookmarkStart w:id="155" w:name="Psych_Cite_146"/>
      <w:r w:rsidRPr="008C0627" w:rsidR="00E913F3">
        <w:t>section 1260.040</w:t>
      </w:r>
      <w:bookmarkEnd w:id="155"/>
      <w:r w:rsidRPr="008C0627" w:rsidR="00E913F3">
        <w:t xml:space="preserve"> proceeding to issue a dispositive ruling on </w:t>
      </w:r>
      <w:r w:rsidRPr="008C0627" w:rsidR="0043001C">
        <w:t xml:space="preserve">the Property Owners’ </w:t>
      </w:r>
      <w:r w:rsidRPr="008C0627" w:rsidR="00E913F3">
        <w:t>nuisance claim</w:t>
      </w:r>
      <w:r w:rsidRPr="008C0627" w:rsidR="00CE6B4A">
        <w:t xml:space="preserve">.  </w:t>
      </w:r>
      <w:r w:rsidRPr="008C0627" w:rsidR="003A4FE7">
        <w:t>(</w:t>
      </w:r>
      <w:bookmarkStart w:id="156" w:name="Psych_Cite_143"/>
      <w:r w:rsidRPr="008C0627" w:rsidR="008041AE">
        <w:t xml:space="preserve">See </w:t>
      </w:r>
      <w:r w:rsidRPr="008C0627" w:rsidR="003A4FE7">
        <w:rPr>
          <w:i/>
        </w:rPr>
        <w:t>Dina</w:t>
      </w:r>
      <w:r w:rsidRPr="008C0627" w:rsidR="003A4FE7">
        <w:t xml:space="preserve">, </w:t>
      </w:r>
      <w:r w:rsidRPr="008C0627" w:rsidR="003A4FE7">
        <w:rPr>
          <w:i/>
        </w:rPr>
        <w:t>supra</w:t>
      </w:r>
      <w:r w:rsidRPr="008C0627" w:rsidR="003A4FE7">
        <w:t>, 151 Cal.App.4th at pp. 1039, 1052–1054</w:t>
      </w:r>
      <w:r w:rsidRPr="008C0627" w:rsidR="008041AE">
        <w:t xml:space="preserve"> [concluding such a use was proper]</w:t>
      </w:r>
      <w:bookmarkEnd w:id="156"/>
      <w:r w:rsidRPr="008C0627" w:rsidR="003A4FE7">
        <w:t xml:space="preserve">.)  </w:t>
      </w:r>
      <w:r w:rsidRPr="008C0627">
        <w:t xml:space="preserve">As </w:t>
      </w:r>
      <w:r w:rsidR="00E74255">
        <w:t>is true of</w:t>
      </w:r>
      <w:r w:rsidRPr="008C0627" w:rsidR="00E74255">
        <w:t xml:space="preserve"> </w:t>
      </w:r>
      <w:r w:rsidRPr="008C0627">
        <w:t xml:space="preserve">other </w:t>
      </w:r>
      <w:r w:rsidR="00E74255">
        <w:t>types</w:t>
      </w:r>
      <w:r w:rsidRPr="008C0627" w:rsidR="00E74255">
        <w:t xml:space="preserve"> </w:t>
      </w:r>
      <w:r w:rsidRPr="008C0627">
        <w:t xml:space="preserve">of civil </w:t>
      </w:r>
      <w:r w:rsidR="00E74255">
        <w:t>actions</w:t>
      </w:r>
      <w:r w:rsidRPr="008C0627">
        <w:t>, t</w:t>
      </w:r>
      <w:r w:rsidRPr="008C0627" w:rsidR="000B67E9">
        <w:t xml:space="preserve">he Legislature’s </w:t>
      </w:r>
      <w:r w:rsidRPr="008C0627">
        <w:t xml:space="preserve">specific </w:t>
      </w:r>
      <w:r w:rsidRPr="008C0627" w:rsidR="000B67E9">
        <w:t xml:space="preserve">reasons for wanting to encourage prompt resolution of eminent domain actions do not necessarily </w:t>
      </w:r>
      <w:r w:rsidRPr="008C0627" w:rsidR="00B26AAC">
        <w:t>carry over</w:t>
      </w:r>
      <w:r w:rsidRPr="008C0627" w:rsidR="000B67E9">
        <w:t xml:space="preserve"> to </w:t>
      </w:r>
      <w:r w:rsidRPr="008C0627">
        <w:t xml:space="preserve">the </w:t>
      </w:r>
      <w:r w:rsidRPr="008C0627" w:rsidR="000B67E9">
        <w:t xml:space="preserve">inverse condemnation </w:t>
      </w:r>
      <w:r w:rsidRPr="008C0627">
        <w:t>context</w:t>
      </w:r>
      <w:r w:rsidRPr="008C0627" w:rsidR="000B67E9">
        <w:t>.  (</w:t>
      </w:r>
      <w:bookmarkStart w:id="157" w:name="Psych_Cite_144"/>
      <w:r w:rsidRPr="008C0627" w:rsidR="00110621">
        <w:rPr>
          <w:i/>
        </w:rPr>
        <w:t>Regency Outdoor Advertising</w:t>
      </w:r>
      <w:r w:rsidRPr="008C0627" w:rsidR="00110621">
        <w:t xml:space="preserve">, </w:t>
      </w:r>
      <w:r w:rsidRPr="008C0627" w:rsidR="00110621">
        <w:rPr>
          <w:i/>
        </w:rPr>
        <w:t>supra</w:t>
      </w:r>
      <w:r w:rsidRPr="008C0627" w:rsidR="00110621">
        <w:t>, 39 Cal.4th at p. 530</w:t>
      </w:r>
      <w:bookmarkEnd w:id="157"/>
      <w:r w:rsidRPr="008C0627" w:rsidR="000B67E9">
        <w:t xml:space="preserve">.)  When </w:t>
      </w:r>
      <w:r w:rsidRPr="008C0627" w:rsidR="00053BCD">
        <w:t>a public entity</w:t>
      </w:r>
      <w:r w:rsidRPr="008C0627" w:rsidR="000B67E9">
        <w:t xml:space="preserve"> condemns property, speedy </w:t>
      </w:r>
      <w:r w:rsidRPr="008C0627" w:rsidR="00F85BB7">
        <w:t>resolution</w:t>
      </w:r>
      <w:r w:rsidRPr="008C0627" w:rsidR="000B67E9">
        <w:t xml:space="preserve"> </w:t>
      </w:r>
      <w:r w:rsidRPr="008C0627" w:rsidR="003A4FE7">
        <w:t>allows</w:t>
      </w:r>
      <w:r w:rsidRPr="008C0627" w:rsidR="00100390">
        <w:t xml:space="preserve"> </w:t>
      </w:r>
      <w:r w:rsidRPr="008C0627" w:rsidR="003A4FE7">
        <w:t>the public entity</w:t>
      </w:r>
      <w:r w:rsidRPr="008C0627" w:rsidR="00100390">
        <w:t xml:space="preserve"> to expeditiously put the property to public use</w:t>
      </w:r>
      <w:r w:rsidRPr="008C0627" w:rsidR="001D38A8">
        <w:t xml:space="preserve"> </w:t>
      </w:r>
      <w:r w:rsidRPr="008C0627" w:rsidR="00947F04">
        <w:t xml:space="preserve">and </w:t>
      </w:r>
      <w:r w:rsidRPr="008C0627" w:rsidR="00EE2FE9">
        <w:t>facilitates</w:t>
      </w:r>
      <w:r w:rsidRPr="008C0627" w:rsidR="00947F04">
        <w:t xml:space="preserve"> </w:t>
      </w:r>
      <w:r w:rsidRPr="008C0627" w:rsidR="00EE2FE9">
        <w:t>prompt compensation of the property owner</w:t>
      </w:r>
      <w:r w:rsidRPr="008C0627" w:rsidR="00053BCD">
        <w:t>.</w:t>
      </w:r>
      <w:r w:rsidRPr="008C0627" w:rsidR="000B67E9">
        <w:t xml:space="preserve">  </w:t>
      </w:r>
      <w:r w:rsidRPr="008C0627" w:rsidR="001D38A8">
        <w:t>The</w:t>
      </w:r>
      <w:r w:rsidRPr="008C0627" w:rsidR="005804F1">
        <w:t xml:space="preserve"> </w:t>
      </w:r>
      <w:r w:rsidRPr="008C0627">
        <w:t xml:space="preserve">same </w:t>
      </w:r>
      <w:r w:rsidRPr="008C0627" w:rsidR="005804F1">
        <w:t xml:space="preserve">need for </w:t>
      </w:r>
      <w:r w:rsidRPr="008C0627" w:rsidR="0014731D">
        <w:t xml:space="preserve">speedy </w:t>
      </w:r>
      <w:r w:rsidRPr="008C0627" w:rsidR="005804F1">
        <w:t xml:space="preserve">resolution is not </w:t>
      </w:r>
      <w:r w:rsidRPr="008C0627">
        <w:t>present in</w:t>
      </w:r>
      <w:r w:rsidRPr="008C0627" w:rsidR="000B67E9">
        <w:t xml:space="preserve"> inverse condemnation actions, in which the government entity’s liability is contested</w:t>
      </w:r>
      <w:r w:rsidRPr="008C0627" w:rsidR="00100390">
        <w:t xml:space="preserve"> and the property owner typically claims entitlement to compensation for property damage or diminution in value resulting from </w:t>
      </w:r>
      <w:r w:rsidRPr="008C0627" w:rsidR="00F85BB7">
        <w:t>a taking or damage</w:t>
      </w:r>
      <w:r w:rsidRPr="008C0627" w:rsidR="00100390">
        <w:t xml:space="preserve"> that already has occurred</w:t>
      </w:r>
      <w:r w:rsidRPr="008C0627" w:rsidR="000B67E9">
        <w:t>.</w:t>
      </w:r>
      <w:r w:rsidRPr="008C0627" w:rsidR="0097642A">
        <w:t xml:space="preserve">  </w:t>
      </w:r>
      <w:r w:rsidRPr="008C0627" w:rsidR="005804F1">
        <w:t xml:space="preserve">Perhaps for this reason, the Legislature has chosen to give calendar preference to eminent domain actions but not inverse condemnation </w:t>
      </w:r>
      <w:r w:rsidRPr="008C0627" w:rsidR="008041AE">
        <w:t>actions</w:t>
      </w:r>
      <w:r w:rsidRPr="008C0627" w:rsidR="005804F1">
        <w:t>.  (</w:t>
      </w:r>
      <w:bookmarkStart w:id="158" w:name="Psych_Cite_147"/>
      <w:r w:rsidRPr="008C0627" w:rsidR="005804F1">
        <w:t>§ 1260.010</w:t>
      </w:r>
      <w:bookmarkEnd w:id="158"/>
      <w:r w:rsidRPr="008C0627" w:rsidR="005804F1">
        <w:t>.)</w:t>
      </w:r>
      <w:r w:rsidRPr="008C0627" w:rsidR="00413739">
        <w:t xml:space="preserve"> </w:t>
      </w:r>
      <w:r w:rsidRPr="008C0627" w:rsidR="00FF080B">
        <w:t xml:space="preserve"> </w:t>
      </w:r>
    </w:p>
    <w:p w:rsidR="00265D75" w:rsidRPr="008C0627" w:rsidP="00BA2301">
      <w:pPr>
        <w:tabs>
          <w:tab w:val="left" w:pos="720"/>
          <w:tab w:val="left" w:pos="1440"/>
        </w:tabs>
      </w:pPr>
      <w:r w:rsidRPr="008C0627">
        <w:tab/>
      </w:r>
      <w:r w:rsidRPr="008C0627" w:rsidR="00741E17">
        <w:t>Moreover, t</w:t>
      </w:r>
      <w:r w:rsidRPr="008C0627" w:rsidR="00C53282">
        <w:t>he Agencies’</w:t>
      </w:r>
      <w:r w:rsidRPr="008C0627" w:rsidR="00A118F6">
        <w:t xml:space="preserve"> arguments for importing </w:t>
      </w:r>
      <w:bookmarkStart w:id="159" w:name="Psych_Cite_151"/>
      <w:r w:rsidRPr="008C0627" w:rsidR="00A118F6">
        <w:t>section 1260.040</w:t>
      </w:r>
      <w:bookmarkEnd w:id="159"/>
      <w:r w:rsidRPr="008C0627" w:rsidR="00A118F6">
        <w:t xml:space="preserve"> into inverse condemnation procedure </w:t>
      </w:r>
      <w:r w:rsidRPr="008C0627" w:rsidR="00C754FC">
        <w:t xml:space="preserve">ignore the specific function </w:t>
      </w:r>
      <w:bookmarkStart w:id="160" w:name="Psych_Cite_152"/>
      <w:r w:rsidRPr="008C0627" w:rsidR="00C754FC">
        <w:t>section 1260.040</w:t>
      </w:r>
      <w:bookmarkEnd w:id="160"/>
      <w:r w:rsidRPr="008C0627" w:rsidR="00C754FC">
        <w:t xml:space="preserve"> was designed to serve</w:t>
      </w:r>
      <w:r w:rsidRPr="008C0627" w:rsidR="00D32E3C">
        <w:t xml:space="preserve"> </w:t>
      </w:r>
      <w:r w:rsidRPr="008C0627" w:rsidR="00C754FC">
        <w:t>in eminent domain</w:t>
      </w:r>
      <w:r w:rsidRPr="008C0627" w:rsidR="008D7059">
        <w:t xml:space="preserve"> proceedings</w:t>
      </w:r>
      <w:r w:rsidRPr="008C0627" w:rsidR="007B30D5">
        <w:t xml:space="preserve">:  to facilitate the </w:t>
      </w:r>
      <w:r w:rsidRPr="008C0627" w:rsidR="00A21AAC">
        <w:t>decision</w:t>
      </w:r>
      <w:r w:rsidRPr="008C0627" w:rsidR="007B30D5">
        <w:t xml:space="preserve"> of issues “affecting the determination of compensation”</w:t>
      </w:r>
      <w:r w:rsidR="0055106D">
        <w:t xml:space="preserve"> (</w:t>
      </w:r>
      <w:bookmarkStart w:id="161" w:name="Psych_Cite_153"/>
      <w:r w:rsidRPr="008C0627" w:rsidR="0055106D">
        <w:t>§ 1260.040</w:t>
      </w:r>
      <w:r w:rsidR="0055106D">
        <w:t>, subd. (a)</w:t>
      </w:r>
      <w:bookmarkEnd w:id="161"/>
      <w:r w:rsidR="0055106D">
        <w:t>)</w:t>
      </w:r>
      <w:r w:rsidRPr="008C0627" w:rsidR="0055106D">
        <w:t xml:space="preserve"> </w:t>
      </w:r>
      <w:r w:rsidRPr="008C0627" w:rsidR="00CD6F3D">
        <w:t>or otherwise put, “affecting valuation”</w:t>
      </w:r>
      <w:r w:rsidRPr="008C0627" w:rsidR="007B30D5">
        <w:t xml:space="preserve"> </w:t>
      </w:r>
      <w:r w:rsidR="0055106D">
        <w:t>(</w:t>
      </w:r>
      <w:r w:rsidRPr="008C0627" w:rsidR="005D25F5">
        <w:t xml:space="preserve">Cal. Law Revision Com. com., 19 </w:t>
      </w:r>
      <w:bookmarkStart w:id="162" w:name="Psych_Cite_159"/>
      <w:r w:rsidRPr="008C0627" w:rsidR="005D25F5">
        <w:t>West’s Ann. Code Civ. Proc.</w:t>
      </w:r>
      <w:r w:rsidR="0055106D">
        <w:rPr>
          <w:i/>
          <w:iCs/>
        </w:rPr>
        <w:t>, supra</w:t>
      </w:r>
      <w:r w:rsidR="0055106D">
        <w:t xml:space="preserve">, </w:t>
      </w:r>
      <w:bookmarkEnd w:id="162"/>
      <w:r w:rsidRPr="008C0627" w:rsidR="005D25F5">
        <w:t xml:space="preserve">foll. </w:t>
      </w:r>
      <w:r w:rsidRPr="00A615A2" w:rsidR="005D25F5">
        <w:t>§ 1260.040</w:t>
      </w:r>
      <w:r w:rsidRPr="00A615A2" w:rsidR="0055106D">
        <w:t xml:space="preserve">, p. </w:t>
      </w:r>
      <w:r w:rsidRPr="00A615A2" w:rsidR="0007463D">
        <w:t>623</w:t>
      </w:r>
      <w:r w:rsidRPr="00A615A2" w:rsidR="005D25F5">
        <w:t>)</w:t>
      </w:r>
      <w:r w:rsidRPr="00A615A2" w:rsidR="0055106D">
        <w:t>.</w:t>
      </w:r>
      <w:r w:rsidRPr="008C0627" w:rsidR="005D25F5">
        <w:t xml:space="preserve">  </w:t>
      </w:r>
      <w:r w:rsidRPr="008C0627" w:rsidR="00BE37C0">
        <w:t>A</w:t>
      </w:r>
      <w:r w:rsidRPr="008C0627" w:rsidR="00BD2F60">
        <w:t xml:space="preserve">s </w:t>
      </w:r>
      <w:r w:rsidRPr="008C0627" w:rsidR="004A550D">
        <w:t xml:space="preserve">described </w:t>
      </w:r>
      <w:r w:rsidRPr="008C0627" w:rsidR="00BD2F60">
        <w:t xml:space="preserve">above, the Legislature’s purpose in adopting </w:t>
      </w:r>
      <w:bookmarkStart w:id="163" w:name="Psych_Cite_155"/>
      <w:r w:rsidRPr="008C0627" w:rsidR="00BD2F60">
        <w:t>section 1260.0</w:t>
      </w:r>
      <w:bookmarkEnd w:id="163"/>
      <w:r w:rsidRPr="008C0627" w:rsidR="00BD2F60">
        <w:t>40 was to provide a mechanism to resolve</w:t>
      </w:r>
      <w:r w:rsidRPr="008C0627" w:rsidR="008D7059">
        <w:t xml:space="preserve"> </w:t>
      </w:r>
      <w:r w:rsidRPr="008C0627" w:rsidR="00D62261">
        <w:t>discre</w:t>
      </w:r>
      <w:r w:rsidRPr="008C0627" w:rsidR="006035EB">
        <w:t>te</w:t>
      </w:r>
      <w:r w:rsidRPr="008C0627" w:rsidR="00D62261">
        <w:t xml:space="preserve"> </w:t>
      </w:r>
      <w:r w:rsidRPr="008C0627" w:rsidR="00A92821">
        <w:t xml:space="preserve">evidentiary and legal </w:t>
      </w:r>
      <w:r w:rsidRPr="008C0627" w:rsidR="00D62261">
        <w:t>questions concerning the proper valuation</w:t>
      </w:r>
      <w:r w:rsidRPr="008C0627" w:rsidR="008D7059">
        <w:t xml:space="preserve"> of </w:t>
      </w:r>
      <w:r w:rsidRPr="008C0627" w:rsidR="00BD2F60">
        <w:t xml:space="preserve">condemned </w:t>
      </w:r>
      <w:r w:rsidRPr="008C0627" w:rsidR="008D7059">
        <w:t>propert</w:t>
      </w:r>
      <w:r w:rsidRPr="008C0627" w:rsidR="00C208F8">
        <w:t>y</w:t>
      </w:r>
      <w:r w:rsidRPr="008C0627" w:rsidR="00C53282">
        <w:t>—questions that, b</w:t>
      </w:r>
      <w:r w:rsidRPr="008C0627" w:rsidR="00A21AAC">
        <w:t xml:space="preserve">efore </w:t>
      </w:r>
      <w:bookmarkStart w:id="164" w:name="Psych_Cite_156"/>
      <w:r w:rsidRPr="008C0627" w:rsidR="00A21AAC">
        <w:t>section 1260.0</w:t>
      </w:r>
      <w:bookmarkEnd w:id="164"/>
      <w:r w:rsidRPr="008C0627" w:rsidR="00A21AAC">
        <w:t xml:space="preserve">40’s enactment, </w:t>
      </w:r>
      <w:r w:rsidRPr="008C0627" w:rsidR="00A71DA1">
        <w:t xml:space="preserve">parties </w:t>
      </w:r>
      <w:r w:rsidRPr="008C0627" w:rsidR="007B30D5">
        <w:t>had been presenting</w:t>
      </w:r>
      <w:r w:rsidRPr="008C0627" w:rsidR="00A71DA1">
        <w:t xml:space="preserve"> to the court in motions in limine </w:t>
      </w:r>
      <w:r w:rsidRPr="008C0627" w:rsidR="00DF5641">
        <w:t xml:space="preserve">seeking to limit testimony </w:t>
      </w:r>
      <w:r w:rsidRPr="008C0627" w:rsidR="00A71DA1">
        <w:t>or disputes about jury instructions.  (</w:t>
      </w:r>
      <w:r w:rsidRPr="00B86B09" w:rsidR="00A71DA1">
        <w:t>CLRC Valuation Recommendations</w:t>
      </w:r>
      <w:r w:rsidRPr="008C0627" w:rsidR="00A71DA1">
        <w:t xml:space="preserve">, </w:t>
      </w:r>
      <w:r w:rsidRPr="008C0627" w:rsidR="00A71DA1">
        <w:rPr>
          <w:i/>
        </w:rPr>
        <w:t>supra</w:t>
      </w:r>
      <w:r w:rsidRPr="008C0627" w:rsidR="00A71DA1">
        <w:t>, at p. 585.)</w:t>
      </w:r>
      <w:r w:rsidRPr="008C0627" w:rsidR="00DB2DC5">
        <w:t xml:space="preserve">  </w:t>
      </w:r>
      <w:r w:rsidRPr="008C0627" w:rsidR="00393D8B">
        <w:t>As we have explained, t</w:t>
      </w:r>
      <w:r w:rsidRPr="008C0627" w:rsidR="00DF5641">
        <w:t xml:space="preserve">he </w:t>
      </w:r>
      <w:bookmarkStart w:id="165" w:name="Psych_Cite_157"/>
      <w:r w:rsidRPr="008C0627" w:rsidR="00DF5641">
        <w:t>section 1260.0</w:t>
      </w:r>
      <w:bookmarkEnd w:id="165"/>
      <w:r w:rsidRPr="008C0627" w:rsidR="00DF5641">
        <w:t>40 proceeding</w:t>
      </w:r>
      <w:r w:rsidRPr="008C0627" w:rsidR="002C4798">
        <w:t xml:space="preserve"> was intended to</w:t>
      </w:r>
      <w:r w:rsidRPr="008C0627" w:rsidR="00137276">
        <w:t xml:space="preserve"> </w:t>
      </w:r>
      <w:r w:rsidRPr="008C0627" w:rsidR="007717BB">
        <w:t xml:space="preserve">facilitate </w:t>
      </w:r>
      <w:r w:rsidRPr="008C0627" w:rsidR="00B75495">
        <w:t>pr</w:t>
      </w:r>
      <w:r w:rsidR="00B75495">
        <w:t xml:space="preserve">ompt </w:t>
      </w:r>
      <w:r w:rsidRPr="008C0627" w:rsidR="00C14D65">
        <w:t xml:space="preserve">resolution </w:t>
      </w:r>
      <w:r w:rsidRPr="008C0627" w:rsidR="007C6F96">
        <w:t xml:space="preserve">by allowing </w:t>
      </w:r>
      <w:r w:rsidRPr="008C0627" w:rsidR="00D60739">
        <w:t>the parties</w:t>
      </w:r>
      <w:r w:rsidRPr="008C0627" w:rsidR="006C44D7">
        <w:t xml:space="preserve">, before </w:t>
      </w:r>
      <w:r w:rsidRPr="008C0627" w:rsidR="00C53282">
        <w:t xml:space="preserve">the compensation </w:t>
      </w:r>
      <w:r w:rsidRPr="008C0627" w:rsidR="006C44D7">
        <w:t>trial,</w:t>
      </w:r>
      <w:r w:rsidRPr="008C0627" w:rsidR="00D60739">
        <w:t xml:space="preserve"> to evaluate</w:t>
      </w:r>
      <w:r w:rsidRPr="008C0627" w:rsidR="007C6F96">
        <w:t xml:space="preserve"> competing expert</w:t>
      </w:r>
      <w:r w:rsidRPr="008C0627" w:rsidR="00137276">
        <w:t xml:space="preserve"> valuations </w:t>
      </w:r>
      <w:r w:rsidRPr="008C0627" w:rsidR="00D60739">
        <w:t xml:space="preserve">of the condemned property </w:t>
      </w:r>
      <w:r w:rsidRPr="008C0627" w:rsidR="00137276">
        <w:t xml:space="preserve">based on </w:t>
      </w:r>
      <w:r w:rsidRPr="008C0627" w:rsidR="007C6F96">
        <w:t>a shared understanding of which categories of alleged loss are</w:t>
      </w:r>
      <w:r w:rsidRPr="008C0627" w:rsidR="00137276">
        <w:t xml:space="preserve"> </w:t>
      </w:r>
      <w:r w:rsidRPr="008C0627" w:rsidR="007C6F96">
        <w:t>compensable</w:t>
      </w:r>
      <w:r w:rsidRPr="008C0627" w:rsidR="00D62261">
        <w:t>.</w:t>
      </w:r>
      <w:r w:rsidRPr="008C0627" w:rsidR="008D7059">
        <w:t xml:space="preserve">  (</w:t>
      </w:r>
      <w:r w:rsidRPr="00B86B09" w:rsidR="008D7059">
        <w:t>CLRC Valuation Recommendations</w:t>
      </w:r>
      <w:r w:rsidRPr="008C0627" w:rsidR="008D7059">
        <w:t xml:space="preserve">, </w:t>
      </w:r>
      <w:r w:rsidRPr="008C0627" w:rsidR="00393D8B">
        <w:rPr>
          <w:i/>
        </w:rPr>
        <w:t>supra</w:t>
      </w:r>
      <w:r w:rsidRPr="008C0627" w:rsidR="00393D8B">
        <w:t xml:space="preserve">, </w:t>
      </w:r>
      <w:r w:rsidRPr="008C0627" w:rsidR="008D7059">
        <w:t>at p. 584</w:t>
      </w:r>
      <w:r w:rsidRPr="008C0627" w:rsidR="00BD2F60">
        <w:t>.)</w:t>
      </w:r>
      <w:r>
        <w:rPr>
          <w:rStyle w:val="FootnoteReference"/>
        </w:rPr>
        <w:footnoteReference w:id="8"/>
      </w:r>
      <w:r w:rsidRPr="008C0627" w:rsidR="00DB2DC5">
        <w:t xml:space="preserve">  </w:t>
      </w:r>
      <w:bookmarkStart w:id="169" w:name="Psych_Cite_158"/>
      <w:r w:rsidRPr="008C0627" w:rsidR="00790FAD">
        <w:t>S</w:t>
      </w:r>
      <w:r w:rsidRPr="008C0627" w:rsidR="007F7A79">
        <w:t>ection 1260.0</w:t>
      </w:r>
      <w:bookmarkEnd w:id="169"/>
      <w:r w:rsidRPr="008C0627" w:rsidR="007F7A79">
        <w:t xml:space="preserve">40 </w:t>
      </w:r>
      <w:r w:rsidRPr="008C0627" w:rsidR="00C53282">
        <w:t xml:space="preserve">thus </w:t>
      </w:r>
      <w:r w:rsidRPr="008C0627" w:rsidR="007F7A79">
        <w:t xml:space="preserve">promotes </w:t>
      </w:r>
      <w:r w:rsidRPr="008C0627" w:rsidR="00A21AAC">
        <w:t>the early resolution of</w:t>
      </w:r>
      <w:r w:rsidRPr="008C0627" w:rsidR="007F7A79">
        <w:t xml:space="preserve"> eminent domain</w:t>
      </w:r>
      <w:r w:rsidRPr="008C0627" w:rsidR="00C12346">
        <w:t xml:space="preserve"> actions</w:t>
      </w:r>
      <w:r w:rsidRPr="008C0627" w:rsidR="00790FAD">
        <w:t xml:space="preserve"> </w:t>
      </w:r>
      <w:r w:rsidRPr="008C0627" w:rsidR="007F7A79">
        <w:t xml:space="preserve">not by providing </w:t>
      </w:r>
      <w:r w:rsidRPr="008C0627" w:rsidR="0059294B">
        <w:t>a procedure</w:t>
      </w:r>
      <w:r w:rsidRPr="008C0627" w:rsidR="007F7A79">
        <w:t xml:space="preserve"> for disposi</w:t>
      </w:r>
      <w:r w:rsidRPr="008C0627" w:rsidR="0059294B">
        <w:t>ng of a</w:t>
      </w:r>
      <w:r w:rsidRPr="008C0627" w:rsidR="006229D5">
        <w:t xml:space="preserve"> case</w:t>
      </w:r>
      <w:r w:rsidRPr="008C0627" w:rsidR="00A118F6">
        <w:t xml:space="preserve"> </w:t>
      </w:r>
      <w:r w:rsidRPr="008C0627" w:rsidR="00393D8B">
        <w:t xml:space="preserve">that </w:t>
      </w:r>
      <w:r w:rsidRPr="008C0627" w:rsidR="0059294B">
        <w:t>is less “cumbersome” than</w:t>
      </w:r>
      <w:r w:rsidRPr="008C0627" w:rsidR="00A118F6">
        <w:t xml:space="preserve"> a summary judgment proceeding or bench trial</w:t>
      </w:r>
      <w:r w:rsidRPr="008C0627" w:rsidR="007F7A79">
        <w:t>, but instead b</w:t>
      </w:r>
      <w:r w:rsidRPr="008C0627" w:rsidR="004821FF">
        <w:t xml:space="preserve">y </w:t>
      </w:r>
      <w:r w:rsidRPr="008C0627" w:rsidR="00C12346">
        <w:t xml:space="preserve">providing a </w:t>
      </w:r>
      <w:r w:rsidRPr="008C0627" w:rsidR="007F7A79">
        <w:t xml:space="preserve">procedural tool for trial courts to make evidentiary and legal </w:t>
      </w:r>
      <w:r w:rsidRPr="008C0627" w:rsidR="0040021C">
        <w:t xml:space="preserve">rulings on </w:t>
      </w:r>
      <w:r w:rsidRPr="008C0627" w:rsidR="002F607C">
        <w:t xml:space="preserve">questions </w:t>
      </w:r>
      <w:r w:rsidRPr="008C0627" w:rsidR="008B03C1">
        <w:t xml:space="preserve">related to </w:t>
      </w:r>
      <w:r w:rsidRPr="008C0627" w:rsidR="002F607C">
        <w:t>the</w:t>
      </w:r>
      <w:r w:rsidRPr="008C0627" w:rsidR="0040021C">
        <w:t xml:space="preserve"> </w:t>
      </w:r>
      <w:r w:rsidRPr="008C0627" w:rsidR="002F607C">
        <w:t xml:space="preserve">valuation of the condemned property </w:t>
      </w:r>
      <w:r w:rsidRPr="008C0627" w:rsidR="007F7A79">
        <w:t xml:space="preserve">before </w:t>
      </w:r>
      <w:r w:rsidRPr="008C0627" w:rsidR="00C12346">
        <w:t xml:space="preserve">the parties </w:t>
      </w:r>
      <w:r w:rsidRPr="008C0627" w:rsidR="002662E3">
        <w:t>engage in final</w:t>
      </w:r>
      <w:r w:rsidRPr="008C0627" w:rsidR="006229D5">
        <w:t xml:space="preserve"> pretrial</w:t>
      </w:r>
      <w:r w:rsidRPr="008C0627" w:rsidR="002662E3">
        <w:t xml:space="preserve"> settlement </w:t>
      </w:r>
      <w:r w:rsidRPr="008C0627" w:rsidR="00C74495">
        <w:t>efforts</w:t>
      </w:r>
      <w:r w:rsidRPr="008C0627" w:rsidR="00C12346">
        <w:t xml:space="preserve">.  </w:t>
      </w:r>
      <w:r w:rsidRPr="008C0627" w:rsidR="00C74495">
        <w:t xml:space="preserve">(See </w:t>
      </w:r>
      <w:r w:rsidRPr="008C0627" w:rsidR="00C12346">
        <w:t>§ 1250.430 [authorizing postponement of trial for alternative dispute resolution].)</w:t>
      </w:r>
      <w:r>
        <w:rPr>
          <w:rStyle w:val="FootnoteReference"/>
        </w:rPr>
        <w:footnoteReference w:id="9"/>
      </w:r>
    </w:p>
    <w:p w:rsidR="001E23DF" w:rsidRPr="008C0627" w:rsidP="00EE0D48">
      <w:pPr>
        <w:tabs>
          <w:tab w:val="left" w:pos="720"/>
        </w:tabs>
      </w:pPr>
      <w:r w:rsidRPr="008C0627">
        <w:tab/>
      </w:r>
      <w:r w:rsidR="008A2FF0">
        <w:t>Considering</w:t>
      </w:r>
      <w:r w:rsidRPr="008C0627" w:rsidR="001E7B66">
        <w:t xml:space="preserve"> this </w:t>
      </w:r>
      <w:r w:rsidRPr="008C0627" w:rsidR="00296FF3">
        <w:t>specific function</w:t>
      </w:r>
      <w:r w:rsidRPr="008C0627" w:rsidR="001E7B66">
        <w:t>, it is unsurprising that</w:t>
      </w:r>
      <w:r w:rsidRPr="008C0627" w:rsidR="00AD5EB2">
        <w:t xml:space="preserve"> the </w:t>
      </w:r>
      <w:r w:rsidRPr="008C0627" w:rsidR="00BC6065">
        <w:t>language of</w:t>
      </w:r>
      <w:r w:rsidRPr="008C0627" w:rsidR="00AD5EB2">
        <w:t xml:space="preserve"> </w:t>
      </w:r>
      <w:bookmarkStart w:id="178" w:name="Psych_Cite_163"/>
      <w:r w:rsidRPr="008C0627" w:rsidR="00AD5EB2">
        <w:t>section 1260.040</w:t>
      </w:r>
      <w:bookmarkEnd w:id="178"/>
      <w:r w:rsidRPr="008C0627" w:rsidR="00AD5EB2">
        <w:t xml:space="preserve"> </w:t>
      </w:r>
      <w:r w:rsidRPr="008C0627" w:rsidR="00BC6065">
        <w:t>does not appear to contemplate</w:t>
      </w:r>
      <w:r w:rsidR="0055106D">
        <w:t xml:space="preserve"> that</w:t>
      </w:r>
      <w:r w:rsidRPr="008C0627" w:rsidR="00BC6065">
        <w:t xml:space="preserve"> the procedure would be used </w:t>
      </w:r>
      <w:r w:rsidRPr="008C0627" w:rsidR="00AD5EB2">
        <w:t xml:space="preserve">to request </w:t>
      </w:r>
      <w:r w:rsidRPr="008C0627" w:rsidR="00DB2DC5">
        <w:t>entry of judgment</w:t>
      </w:r>
      <w:r w:rsidRPr="008C0627" w:rsidR="00AD5EB2">
        <w:t xml:space="preserve">.  Subdivision (b) of </w:t>
      </w:r>
      <w:bookmarkStart w:id="179" w:name="Psych_Cite_164"/>
      <w:r w:rsidRPr="008C0627" w:rsidR="00AD5EB2">
        <w:t>section 1260.040</w:t>
      </w:r>
      <w:bookmarkEnd w:id="179"/>
      <w:r w:rsidRPr="008C0627" w:rsidR="00AD5EB2">
        <w:t>, allowing courts to postpone trial “to enable the parties to engage in further proceedings before trial in response to [the trial court’s] ruling on the motion</w:t>
      </w:r>
      <w:r w:rsidR="00811069">
        <w:t>,</w:t>
      </w:r>
      <w:r w:rsidRPr="008C0627" w:rsidR="00AD5EB2">
        <w:t xml:space="preserve">” suggests that the Legislature thought eminent domain proceedings would generally continue after a decision on a </w:t>
      </w:r>
      <w:bookmarkStart w:id="180" w:name="Psych_Cite_165"/>
      <w:r w:rsidRPr="008C0627" w:rsidR="00AD5EB2">
        <w:t>section 1260.040</w:t>
      </w:r>
      <w:bookmarkEnd w:id="180"/>
      <w:r w:rsidRPr="008C0627" w:rsidR="00AD5EB2">
        <w:t xml:space="preserve"> motion.  </w:t>
      </w:r>
      <w:r w:rsidR="00B852C4">
        <w:t>T</w:t>
      </w:r>
      <w:r w:rsidRPr="008C0627" w:rsidR="00AD5EB2">
        <w:t xml:space="preserve">he absence of any language concerning entry of judgment in </w:t>
      </w:r>
      <w:bookmarkStart w:id="181" w:name="Psych_Cite_166"/>
      <w:r w:rsidRPr="008C0627" w:rsidR="00AD5EB2">
        <w:t>section 1260.040</w:t>
      </w:r>
      <w:bookmarkEnd w:id="181"/>
      <w:r w:rsidRPr="008C0627" w:rsidR="00AD5EB2">
        <w:t xml:space="preserve"> indicates the same.  </w:t>
      </w:r>
      <w:r w:rsidRPr="008C0627">
        <w:t>And perhaps most significantly</w:t>
      </w:r>
      <w:r w:rsidRPr="008C0627" w:rsidR="00AD5EB2">
        <w:t xml:space="preserve">, </w:t>
      </w:r>
      <w:bookmarkStart w:id="182" w:name="Psych_Cite_167"/>
      <w:r w:rsidRPr="008C0627" w:rsidR="00AD5EB2">
        <w:t>section 1260.040</w:t>
      </w:r>
      <w:bookmarkEnd w:id="182"/>
      <w:r w:rsidRPr="008C0627" w:rsidR="00AD5EB2">
        <w:t xml:space="preserve"> </w:t>
      </w:r>
      <w:r w:rsidRPr="008C0627">
        <w:t xml:space="preserve">states that it </w:t>
      </w:r>
      <w:r w:rsidRPr="008C0627" w:rsidR="00AD5EB2">
        <w:t>“supplements, and does not replace any other pretrial or trial procedure otherwise available to resolve an evidentiary or other legal issue affecting the determination of compensation.”  (</w:t>
      </w:r>
      <w:bookmarkStart w:id="183" w:name="Psych_Cite_168"/>
      <w:r w:rsidRPr="008C0627" w:rsidR="00AD5EB2">
        <w:t>§ 1260.040, subd. (c)</w:t>
      </w:r>
      <w:bookmarkEnd w:id="183"/>
      <w:r w:rsidRPr="008C0627" w:rsidR="00AD5EB2">
        <w:t xml:space="preserve">.)  </w:t>
      </w:r>
      <w:r w:rsidRPr="008C0627" w:rsidR="00E34000">
        <w:t>I</w:t>
      </w:r>
      <w:r w:rsidRPr="008C0627" w:rsidR="00497AE7">
        <w:t>n</w:t>
      </w:r>
      <w:r w:rsidRPr="008C0627" w:rsidR="00E34000">
        <w:t xml:space="preserve"> eminent domain actions—in which liability is established at the outset—there </w:t>
      </w:r>
      <w:r w:rsidRPr="008C0627" w:rsidR="00680D6C">
        <w:t xml:space="preserve">is little risk that </w:t>
      </w:r>
      <w:r w:rsidRPr="008C0627" w:rsidR="00E34000">
        <w:t xml:space="preserve">a </w:t>
      </w:r>
      <w:bookmarkStart w:id="184" w:name="Psych_Cite_169"/>
      <w:r w:rsidRPr="008C0627" w:rsidR="00E34000">
        <w:t>section 1260.040</w:t>
      </w:r>
      <w:bookmarkEnd w:id="184"/>
      <w:r w:rsidRPr="008C0627" w:rsidR="00E34000">
        <w:t xml:space="preserve"> motion would replace a dispositive motion</w:t>
      </w:r>
      <w:r w:rsidRPr="008C0627" w:rsidR="00435FAD">
        <w:t xml:space="preserve"> or a bench trial</w:t>
      </w:r>
      <w:r w:rsidRPr="008C0627" w:rsidR="00E34000">
        <w:t xml:space="preserve">.  </w:t>
      </w:r>
      <w:r w:rsidRPr="008C0627" w:rsidR="009346B4">
        <w:t>While a court</w:t>
      </w:r>
      <w:r w:rsidR="008A2FF0">
        <w:t xml:space="preserve"> </w:t>
      </w:r>
      <w:r w:rsidRPr="008C0627" w:rsidR="009346B4">
        <w:t>may determine that one of multiple property owner defendants is not entitled to compensation (</w:t>
      </w:r>
      <w:bookmarkStart w:id="185" w:name="Psych_Cite_160"/>
      <w:r w:rsidRPr="008C0627" w:rsidR="009346B4">
        <w:t xml:space="preserve">cf. </w:t>
      </w:r>
      <w:r w:rsidRPr="008C0627" w:rsidR="009346B4">
        <w:rPr>
          <w:i/>
        </w:rPr>
        <w:t>Pulgarin</w:t>
      </w:r>
      <w:r w:rsidR="00943497">
        <w:t>,</w:t>
      </w:r>
      <w:r w:rsidRPr="00EE0D48" w:rsidR="00680D6C">
        <w:rPr>
          <w:i/>
        </w:rPr>
        <w:t xml:space="preserve"> </w:t>
      </w:r>
      <w:r w:rsidRPr="008C0627" w:rsidR="00680D6C">
        <w:rPr>
          <w:i/>
        </w:rPr>
        <w:t>supra</w:t>
      </w:r>
      <w:r w:rsidR="00943497">
        <w:t>,</w:t>
      </w:r>
      <w:r w:rsidRPr="008C0627" w:rsidR="00680D6C">
        <w:t xml:space="preserve"> 175 Cal.App.4th </w:t>
      </w:r>
      <w:r w:rsidRPr="008C0627" w:rsidR="009346B4">
        <w:t xml:space="preserve">at p. </w:t>
      </w:r>
      <w:r w:rsidRPr="008C0627" w:rsidR="00680D6C">
        <w:t>104</w:t>
      </w:r>
      <w:bookmarkEnd w:id="185"/>
      <w:r w:rsidRPr="008C0627" w:rsidR="009346B4">
        <w:t xml:space="preserve">) or that a public entity is not liable for a particular type or category of damages </w:t>
      </w:r>
      <w:r w:rsidR="00811069">
        <w:t>the property owner</w:t>
      </w:r>
      <w:r w:rsidRPr="008C0627" w:rsidR="00811069">
        <w:t xml:space="preserve"> </w:t>
      </w:r>
      <w:r w:rsidRPr="008C0627" w:rsidR="005E3805">
        <w:t xml:space="preserve">has claimed </w:t>
      </w:r>
      <w:r w:rsidRPr="008C0627" w:rsidR="009346B4">
        <w:t>(</w:t>
      </w:r>
      <w:bookmarkStart w:id="186" w:name="Psych_Cite_161"/>
      <w:r w:rsidRPr="008C0627" w:rsidR="009346B4">
        <w:t xml:space="preserve">see </w:t>
      </w:r>
      <w:r w:rsidRPr="008C0627" w:rsidR="009346B4">
        <w:rPr>
          <w:i/>
        </w:rPr>
        <w:t>Gas</w:t>
      </w:r>
      <w:r w:rsidRPr="008C0627" w:rsidR="00497AE7">
        <w:rPr>
          <w:i/>
        </w:rPr>
        <w:t xml:space="preserve"> Storage</w:t>
      </w:r>
      <w:r w:rsidRPr="008C0627" w:rsidR="009346B4">
        <w:t>,</w:t>
      </w:r>
      <w:r w:rsidRPr="008C0627" w:rsidR="001E5CD1">
        <w:rPr>
          <w:i/>
        </w:rPr>
        <w:t xml:space="preserve"> supra,</w:t>
      </w:r>
      <w:r w:rsidRPr="008C0627" w:rsidR="009346B4">
        <w:t xml:space="preserve"> </w:t>
      </w:r>
      <w:r w:rsidRPr="008C0627" w:rsidR="00497AE7">
        <w:t xml:space="preserve">11 Cal.App.5th at </w:t>
      </w:r>
      <w:r w:rsidRPr="008C0627" w:rsidR="009346B4">
        <w:t>pp. 690–693</w:t>
      </w:r>
      <w:bookmarkEnd w:id="186"/>
      <w:r w:rsidRPr="008C0627" w:rsidR="009346B4">
        <w:t>)</w:t>
      </w:r>
      <w:r w:rsidRPr="008C0627" w:rsidR="005E3805">
        <w:t>,</w:t>
      </w:r>
      <w:r w:rsidRPr="008C0627" w:rsidR="009346B4">
        <w:t xml:space="preserve"> a ruling on a </w:t>
      </w:r>
      <w:bookmarkStart w:id="187" w:name="Psych_Cite_171"/>
      <w:r w:rsidRPr="008C0627" w:rsidR="009346B4">
        <w:t>section 1260.040</w:t>
      </w:r>
      <w:bookmarkEnd w:id="187"/>
      <w:r w:rsidRPr="008C0627" w:rsidR="009346B4">
        <w:t xml:space="preserve"> motion would rarely, if ever, be case</w:t>
      </w:r>
      <w:r w:rsidR="0055106D">
        <w:t xml:space="preserve"> </w:t>
      </w:r>
      <w:r w:rsidRPr="008C0627" w:rsidR="009346B4">
        <w:t>dispositive.</w:t>
      </w:r>
      <w:r>
        <w:rPr>
          <w:rStyle w:val="FootnoteReference"/>
        </w:rPr>
        <w:footnoteReference w:id="10"/>
      </w:r>
      <w:r w:rsidRPr="008C0627" w:rsidR="009346B4">
        <w:t xml:space="preserve">  </w:t>
      </w:r>
      <w:r w:rsidRPr="008C0627" w:rsidR="00E34000">
        <w:t xml:space="preserve">In </w:t>
      </w:r>
      <w:r w:rsidR="00D67A67">
        <w:t xml:space="preserve">the </w:t>
      </w:r>
      <w:r w:rsidRPr="008C0627" w:rsidR="00E34000">
        <w:t>inverse condemnation</w:t>
      </w:r>
      <w:r w:rsidR="00D67A67">
        <w:t xml:space="preserve"> context</w:t>
      </w:r>
      <w:r w:rsidRPr="008C0627" w:rsidR="00E34000">
        <w:t>, by contrast, in which the entire action may be based on an issue such as loss of business goodwill, impairment of access, or—as in this case—the intrusion of noise, dust, fumes</w:t>
      </w:r>
      <w:r w:rsidRPr="008C0627" w:rsidR="001E7B66">
        <w:t>, and vibrations</w:t>
      </w:r>
      <w:r w:rsidRPr="008C0627" w:rsidR="00E34000">
        <w:t xml:space="preserve"> onto private property, such issues frequently will be resolved by dispositive motion </w:t>
      </w:r>
      <w:r w:rsidRPr="008C0627" w:rsidR="0038116F">
        <w:t xml:space="preserve">or bench trial </w:t>
      </w:r>
      <w:r w:rsidRPr="008C0627" w:rsidR="00E34000">
        <w:t xml:space="preserve">before the jury trial on compensation.  Used for this purpose, a </w:t>
      </w:r>
      <w:bookmarkStart w:id="189" w:name="Psych_Cite_172"/>
      <w:r w:rsidRPr="008C0627" w:rsidR="00E34000">
        <w:t>section 1260.040</w:t>
      </w:r>
      <w:bookmarkEnd w:id="189"/>
      <w:r w:rsidRPr="008C0627" w:rsidR="00E34000">
        <w:t xml:space="preserve"> motion would</w:t>
      </w:r>
      <w:r w:rsidRPr="008C0627" w:rsidR="009C0A2D">
        <w:t>, as the Court of Appeal observed,</w:t>
      </w:r>
      <w:r w:rsidRPr="008C0627" w:rsidR="00E34000">
        <w:t xml:space="preserve"> replace</w:t>
      </w:r>
      <w:r w:rsidRPr="008C0627" w:rsidR="00435FAD">
        <w:t>, not supplement,</w:t>
      </w:r>
      <w:r w:rsidRPr="008C0627" w:rsidR="00E34000">
        <w:t xml:space="preserve"> </w:t>
      </w:r>
      <w:r w:rsidRPr="008C0627" w:rsidR="00435FAD">
        <w:t>existing procedures</w:t>
      </w:r>
      <w:r w:rsidRPr="008C0627" w:rsidR="00E34000">
        <w:t>.</w:t>
      </w:r>
      <w:r w:rsidRPr="008C0627" w:rsidR="004462F3">
        <w:t xml:space="preserve">  (</w:t>
      </w:r>
      <w:bookmarkStart w:id="190" w:name="Psych_Cite_162"/>
      <w:r w:rsidRPr="008C0627" w:rsidR="004462F3">
        <w:rPr>
          <w:i/>
        </w:rPr>
        <w:t>Weiss</w:t>
      </w:r>
      <w:r w:rsidRPr="008C0627" w:rsidR="004462F3">
        <w:t xml:space="preserve">, </w:t>
      </w:r>
      <w:r w:rsidRPr="008C0627" w:rsidR="004462F3">
        <w:rPr>
          <w:i/>
        </w:rPr>
        <w:t>supra</w:t>
      </w:r>
      <w:r w:rsidRPr="008C0627" w:rsidR="004462F3">
        <w:t>, 20 Cal.App.5th at p. 1176</w:t>
      </w:r>
      <w:bookmarkEnd w:id="190"/>
      <w:r w:rsidRPr="008C0627" w:rsidR="004462F3">
        <w:t>.)</w:t>
      </w:r>
      <w:r w:rsidRPr="008C0627" w:rsidR="00FF080B">
        <w:t xml:space="preserve">  </w:t>
      </w:r>
      <w:r w:rsidRPr="008C0627" w:rsidR="00BD76CE">
        <w:tab/>
      </w:r>
    </w:p>
    <w:p w:rsidR="00B32617" w:rsidRPr="008C0627" w:rsidP="009C5ADD">
      <w:pPr>
        <w:tabs>
          <w:tab w:val="left" w:pos="720"/>
        </w:tabs>
      </w:pPr>
      <w:r w:rsidRPr="008C0627">
        <w:tab/>
        <w:t xml:space="preserve">The Agencies </w:t>
      </w:r>
      <w:r w:rsidR="00D67A67">
        <w:t>complain</w:t>
      </w:r>
      <w:r w:rsidRPr="008C0627" w:rsidR="00D67A67">
        <w:t xml:space="preserve"> </w:t>
      </w:r>
      <w:r w:rsidRPr="008C0627">
        <w:t xml:space="preserve">that </w:t>
      </w:r>
      <w:r w:rsidR="00B852C4">
        <w:t>existing procedures are</w:t>
      </w:r>
      <w:r w:rsidRPr="008C0627" w:rsidR="00B852C4">
        <w:t xml:space="preserve"> </w:t>
      </w:r>
      <w:r w:rsidRPr="008C0627">
        <w:t xml:space="preserve">inadequate for their purposes because most inverse condemnation liability issues involve factual questions or mixed questions of law and fact of a sort that could not be resolved on summary judgment.  They observe that </w:t>
      </w:r>
      <w:bookmarkStart w:id="191" w:name="Psych_Cite_175"/>
      <w:r w:rsidRPr="008C0627">
        <w:t>section 1260.040</w:t>
      </w:r>
      <w:bookmarkEnd w:id="191"/>
      <w:r w:rsidRPr="008C0627">
        <w:t xml:space="preserve"> “does not require that the trial [court] make its ruling based solely on declarations and documents” and “[i]f the judge finds that witness testimony is required, the judge may set an early bench trial.”  But used in this way, a </w:t>
      </w:r>
      <w:bookmarkStart w:id="192" w:name="Psych_Cite_176"/>
      <w:r w:rsidRPr="008C0627">
        <w:t>section 1260.040</w:t>
      </w:r>
      <w:bookmarkEnd w:id="192"/>
      <w:r w:rsidRPr="008C0627">
        <w:t xml:space="preserve"> motion would take the place of the bench trial on liability to which an inverse condemnation plaintiff normally would be entitled.  (</w:t>
      </w:r>
      <w:bookmarkStart w:id="193" w:name="Psych_Cite_173"/>
      <w:r w:rsidRPr="008C0627">
        <w:t xml:space="preserve">Cf. </w:t>
      </w:r>
      <w:r w:rsidRPr="008C0627">
        <w:rPr>
          <w:i/>
        </w:rPr>
        <w:t>Skoumbas v. City of Orinda</w:t>
      </w:r>
      <w:r w:rsidRPr="008C0627">
        <w:t xml:space="preserve"> (2008) 165 Cal.App.4th 783 [reversing summary judgment on takings liability in inverse condemnation case]</w:t>
      </w:r>
      <w:bookmarkEnd w:id="193"/>
      <w:r w:rsidRPr="008C0627">
        <w:t xml:space="preserve">; </w:t>
      </w:r>
      <w:bookmarkStart w:id="194" w:name="Psych_Cite_174"/>
      <w:r w:rsidRPr="008C0627">
        <w:rPr>
          <w:i/>
        </w:rPr>
        <w:t>Odello Bros. v. County of Monterey</w:t>
      </w:r>
      <w:r w:rsidRPr="008C0627">
        <w:t xml:space="preserve"> (1998) 63 Cal.App.4th 778</w:t>
      </w:r>
      <w:bookmarkEnd w:id="194"/>
      <w:r w:rsidRPr="008C0627">
        <w:t xml:space="preserve"> [same].)  </w:t>
      </w:r>
    </w:p>
    <w:p w:rsidR="009A7918" w:rsidRPr="008C0627" w:rsidP="00BA2301">
      <w:pPr>
        <w:tabs>
          <w:tab w:val="left" w:pos="1440"/>
        </w:tabs>
        <w:ind w:firstLine="720"/>
      </w:pPr>
      <w:r w:rsidRPr="008C0627">
        <w:t xml:space="preserve">At bottom, the Agencies’ request is that we create a new, uncodified dispositive motion procedure specific to inverse condemnation actions that serves the same function as a motion for summary </w:t>
      </w:r>
      <w:r w:rsidR="00D67A67">
        <w:t>judgment</w:t>
      </w:r>
      <w:r w:rsidRPr="008C0627" w:rsidR="00D67A67">
        <w:t xml:space="preserve"> </w:t>
      </w:r>
      <w:r w:rsidRPr="008C0627">
        <w:t>or a bench trial</w:t>
      </w:r>
      <w:r w:rsidRPr="008C0627" w:rsidR="0012622A">
        <w:t xml:space="preserve"> but is less “cumbersome</w:t>
      </w:r>
      <w:r w:rsidRPr="008C0627">
        <w:t>.</w:t>
      </w:r>
      <w:r w:rsidRPr="008C0627" w:rsidR="0012622A">
        <w:t>”</w:t>
      </w:r>
      <w:r w:rsidRPr="008C0627">
        <w:t xml:space="preserve">  </w:t>
      </w:r>
      <w:r w:rsidRPr="008C0627">
        <w:t xml:space="preserve">Because </w:t>
      </w:r>
      <w:r w:rsidRPr="008C0627">
        <w:t>such a procedure</w:t>
      </w:r>
      <w:r w:rsidRPr="008C0627">
        <w:t xml:space="preserve"> would not give effect to </w:t>
      </w:r>
      <w:r w:rsidRPr="008C0627" w:rsidR="008E543F">
        <w:t xml:space="preserve">a property owner’s </w:t>
      </w:r>
      <w:r w:rsidRPr="008C0627" w:rsidR="00F23BFE">
        <w:t>right to compensation</w:t>
      </w:r>
      <w:r w:rsidRPr="008C0627">
        <w:t xml:space="preserve"> </w:t>
      </w:r>
      <w:r w:rsidRPr="008C0627" w:rsidR="00110621">
        <w:t xml:space="preserve">and </w:t>
      </w:r>
      <w:r w:rsidRPr="008C0627" w:rsidR="005149C1">
        <w:t>would simply supplant existing procedures</w:t>
      </w:r>
      <w:r w:rsidRPr="008C0627">
        <w:t xml:space="preserve">, we decline </w:t>
      </w:r>
      <w:r w:rsidRPr="008C0627">
        <w:t>this</w:t>
      </w:r>
      <w:r w:rsidRPr="008C0627">
        <w:t xml:space="preserve"> request.</w:t>
      </w:r>
    </w:p>
    <w:p w:rsidR="002A05C0" w:rsidRPr="008C0627" w:rsidP="008B4656">
      <w:pPr>
        <w:pStyle w:val="Heading2"/>
      </w:pPr>
      <w:r w:rsidRPr="008C0627">
        <w:t xml:space="preserve">C.  The </w:t>
      </w:r>
      <w:r w:rsidRPr="008C0627" w:rsidR="00345323">
        <w:t xml:space="preserve">Trial Court Erred in </w:t>
      </w:r>
      <w:r w:rsidRPr="008C0627" w:rsidR="00065304">
        <w:t>Entering Judgment in Response to the Agencies’ “Motion for Legal Determination of Liability”</w:t>
      </w:r>
      <w:r w:rsidRPr="008C0627" w:rsidR="00345323">
        <w:t xml:space="preserve"> </w:t>
      </w:r>
    </w:p>
    <w:p w:rsidR="00987771" w:rsidRPr="008C0627" w:rsidP="00EE0D48">
      <w:pPr>
        <w:tabs>
          <w:tab w:val="left" w:pos="720"/>
        </w:tabs>
        <w:ind w:firstLine="720"/>
      </w:pPr>
      <w:bookmarkStart w:id="195" w:name="_Hlk13664797"/>
      <w:r w:rsidRPr="008C0627">
        <w:t xml:space="preserve">Our decision to decline the Agencies’ request does not </w:t>
      </w:r>
      <w:r w:rsidRPr="008C0627" w:rsidR="008D4609">
        <w:t xml:space="preserve">necessarily </w:t>
      </w:r>
      <w:r w:rsidRPr="008C0627">
        <w:t xml:space="preserve">mean </w:t>
      </w:r>
      <w:r w:rsidRPr="008C0627" w:rsidR="008D4609">
        <w:t xml:space="preserve">it will always be error for a trial court to use a procedure modeled on </w:t>
      </w:r>
      <w:r w:rsidRPr="008C0627" w:rsidR="00516B68">
        <w:t>a provision of the Eminent Domain Law</w:t>
      </w:r>
      <w:r w:rsidRPr="008C0627" w:rsidR="008D4609">
        <w:t xml:space="preserve"> in the inverse condemnation context</w:t>
      </w:r>
      <w:r w:rsidRPr="008C0627">
        <w:t xml:space="preserve">.  </w:t>
      </w:r>
      <w:r w:rsidRPr="008C0627" w:rsidR="00ED66DD">
        <w:t>T</w:t>
      </w:r>
      <w:r w:rsidRPr="008C0627" w:rsidR="00A770B2">
        <w:t>rial courts have</w:t>
      </w:r>
      <w:r w:rsidRPr="008C0627" w:rsidR="00011CD3">
        <w:t xml:space="preserve"> </w:t>
      </w:r>
      <w:r w:rsidRPr="008C0627" w:rsidR="00A770B2">
        <w:t>inherent and statutory authority to devise and utilize procedures appropriate to the specific litigation before them.  (</w:t>
      </w:r>
      <w:r w:rsidRPr="008C0627" w:rsidR="006F7356">
        <w:t>§</w:t>
      </w:r>
      <w:r w:rsidRPr="008C0627" w:rsidR="00AD61E0">
        <w:t> </w:t>
      </w:r>
      <w:r w:rsidRPr="008C0627" w:rsidR="006F7356">
        <w:t xml:space="preserve">187; </w:t>
      </w:r>
      <w:bookmarkStart w:id="196" w:name="Psych_Cite_178"/>
      <w:r w:rsidRPr="008C0627" w:rsidR="00A770B2">
        <w:rPr>
          <w:i/>
        </w:rPr>
        <w:t>Rutherford</w:t>
      </w:r>
      <w:r w:rsidRPr="008C0627" w:rsidR="00A770B2">
        <w:t xml:space="preserve">, </w:t>
      </w:r>
      <w:r w:rsidRPr="008C0627" w:rsidR="00A770B2">
        <w:rPr>
          <w:i/>
        </w:rPr>
        <w:t>supra</w:t>
      </w:r>
      <w:r w:rsidRPr="008C0627" w:rsidR="00A770B2">
        <w:t>, 16 Cal.4th at p. 967</w:t>
      </w:r>
      <w:bookmarkEnd w:id="196"/>
      <w:r w:rsidRPr="008C0627" w:rsidR="00A770B2">
        <w:t xml:space="preserve">; </w:t>
      </w:r>
      <w:bookmarkStart w:id="197" w:name="Psych_Cite_179"/>
      <w:r w:rsidRPr="008C0627" w:rsidR="00892503">
        <w:rPr>
          <w:i/>
        </w:rPr>
        <w:t>Citizens Utilities Co</w:t>
      </w:r>
      <w:r w:rsidRPr="008C0627" w:rsidR="00892503">
        <w:t xml:space="preserve">., </w:t>
      </w:r>
      <w:r w:rsidRPr="008C0627" w:rsidR="00892503">
        <w:rPr>
          <w:i/>
        </w:rPr>
        <w:t>supra</w:t>
      </w:r>
      <w:r w:rsidRPr="008C0627" w:rsidR="00892503">
        <w:t xml:space="preserve">, 59 Cal.2d </w:t>
      </w:r>
      <w:r w:rsidRPr="008C0627" w:rsidR="00732E89">
        <w:t>at p</w:t>
      </w:r>
      <w:r w:rsidR="00B938DF">
        <w:t>p</w:t>
      </w:r>
      <w:r w:rsidRPr="008C0627" w:rsidR="00732E89">
        <w:t>.</w:t>
      </w:r>
      <w:r w:rsidRPr="008C0627" w:rsidR="00892503">
        <w:t xml:space="preserve"> 812–813</w:t>
      </w:r>
      <w:bookmarkEnd w:id="197"/>
      <w:r w:rsidRPr="008C0627" w:rsidR="00A770B2">
        <w:t xml:space="preserve">.)  </w:t>
      </w:r>
      <w:bookmarkStart w:id="198" w:name="_Hlk13664815"/>
      <w:bookmarkEnd w:id="195"/>
      <w:r w:rsidRPr="008C0627" w:rsidR="00B51E80">
        <w:t xml:space="preserve">This </w:t>
      </w:r>
      <w:r w:rsidRPr="008C0627" w:rsidR="008B2DB9">
        <w:t>authority</w:t>
      </w:r>
      <w:r w:rsidRPr="008C0627" w:rsidR="00F919F1">
        <w:t xml:space="preserve"> </w:t>
      </w:r>
      <w:r w:rsidRPr="008C0627" w:rsidR="00B51E80">
        <w:t>“</w:t>
      </w:r>
      <w:bookmarkStart w:id="199" w:name="QUOTE_BOOKMARK_IS_CONFIRMED_13"/>
      <w:r w:rsidR="00A847F5">
        <w:t> </w:t>
      </w:r>
      <w:r w:rsidR="00BC5CA1">
        <w:t>‘arises from necessity where, in the absence of any previously established procedural rule, rights would be lost or the court would be unable to function.’</w:t>
      </w:r>
      <w:bookmarkEnd w:id="199"/>
      <w:r w:rsidR="00A847F5">
        <w:t> </w:t>
      </w:r>
      <w:r w:rsidRPr="008C0627" w:rsidR="00B51E80">
        <w:t>”  (</w:t>
      </w:r>
      <w:bookmarkStart w:id="200" w:name="Psych_Cite_180"/>
      <w:r w:rsidRPr="008C0627" w:rsidR="00B51E80">
        <w:rPr>
          <w:i/>
        </w:rPr>
        <w:t>James H. v. Superior Court</w:t>
      </w:r>
      <w:r w:rsidRPr="008C0627" w:rsidR="00B51E80">
        <w:t xml:space="preserve"> (1978) 77 Cal.App.3d 169, 175</w:t>
      </w:r>
      <w:bookmarkEnd w:id="200"/>
      <w:r w:rsidRPr="008C0627" w:rsidR="00B51E80">
        <w:t xml:space="preserve">.)  </w:t>
      </w:r>
      <w:bookmarkEnd w:id="198"/>
      <w:r w:rsidRPr="008C0627" w:rsidR="00C45159">
        <w:t xml:space="preserve">In the inverse condemnation context, </w:t>
      </w:r>
      <w:r w:rsidRPr="008C0627" w:rsidR="00632497">
        <w:t xml:space="preserve">we have held that </w:t>
      </w:r>
      <w:r w:rsidRPr="008C0627" w:rsidR="00732E89">
        <w:t xml:space="preserve">trial courts have </w:t>
      </w:r>
      <w:r w:rsidR="00884A63">
        <w:t>the</w:t>
      </w:r>
      <w:r w:rsidRPr="008C0627" w:rsidR="00884A63">
        <w:t xml:space="preserve"> </w:t>
      </w:r>
      <w:r w:rsidRPr="008C0627" w:rsidR="0012387B">
        <w:t xml:space="preserve">authority </w:t>
      </w:r>
      <w:r w:rsidRPr="008C0627" w:rsidR="00732E89">
        <w:t>“</w:t>
      </w:r>
      <w:r w:rsidRPr="008C0627" w:rsidR="00C45159">
        <w:t>to provide for the assessment of just compensation in situations not within the purview of existing statutory provisions.”  (</w:t>
      </w:r>
      <w:bookmarkStart w:id="201" w:name="Psych_Cite_181"/>
      <w:r w:rsidRPr="008C0627" w:rsidR="00C45159">
        <w:rPr>
          <w:i/>
        </w:rPr>
        <w:t>Citizens Utilities Co</w:t>
      </w:r>
      <w:r w:rsidRPr="008C0627" w:rsidR="00C45159">
        <w:t>., at p.</w:t>
      </w:r>
      <w:r w:rsidRPr="008C0627" w:rsidR="00C45159">
        <w:rPr>
          <w:i/>
        </w:rPr>
        <w:t xml:space="preserve"> </w:t>
      </w:r>
      <w:r w:rsidRPr="008C0627" w:rsidR="00C45159">
        <w:t>812</w:t>
      </w:r>
      <w:bookmarkEnd w:id="201"/>
      <w:r w:rsidRPr="008C0627" w:rsidR="00C45159">
        <w:t xml:space="preserve">.)  In </w:t>
      </w:r>
      <w:r w:rsidRPr="008C0627" w:rsidR="00C45159">
        <w:rPr>
          <w:i/>
        </w:rPr>
        <w:t>Citizens Utilities</w:t>
      </w:r>
      <w:r w:rsidR="005149C1">
        <w:rPr>
          <w:i/>
        </w:rPr>
        <w:t xml:space="preserve"> Co</w:t>
      </w:r>
      <w:r w:rsidR="009E2569">
        <w:rPr>
          <w:i/>
        </w:rPr>
        <w:t>.</w:t>
      </w:r>
      <w:r w:rsidRPr="008C0627" w:rsidR="00C45159">
        <w:t>, we upheld a trial court</w:t>
      </w:r>
      <w:r w:rsidRPr="008C0627" w:rsidR="00EF2BB5">
        <w:t>’s use</w:t>
      </w:r>
      <w:r w:rsidRPr="008C0627" w:rsidR="00C45159">
        <w:t xml:space="preserve"> </w:t>
      </w:r>
      <w:r w:rsidRPr="008C0627" w:rsidR="00EF2BB5">
        <w:t xml:space="preserve">of </w:t>
      </w:r>
      <w:r w:rsidRPr="008C0627" w:rsidR="00C45159">
        <w:t xml:space="preserve">a </w:t>
      </w:r>
      <w:r w:rsidRPr="008C0627" w:rsidR="00EF2BB5">
        <w:t xml:space="preserve">novel </w:t>
      </w:r>
      <w:r w:rsidRPr="008C0627" w:rsidR="00C45159">
        <w:t xml:space="preserve">procedure for valuing a property owner’s water system, observing </w:t>
      </w:r>
      <w:r w:rsidRPr="008C0627" w:rsidR="00632497">
        <w:t>that since “</w:t>
      </w:r>
      <w:r w:rsidRPr="008C0627" w:rsidR="00C45159">
        <w:t>the Legislature has failed to provide a procedure to cover the contingency involved, pursuant to its inherent powers the court had the power to devise a proper procedure.”  (</w:t>
      </w:r>
      <w:bookmarkStart w:id="202" w:name="Psych_Cite_177"/>
      <w:r w:rsidRPr="008C0627" w:rsidR="00C45159">
        <w:rPr>
          <w:i/>
        </w:rPr>
        <w:t>Ibid</w:t>
      </w:r>
      <w:r w:rsidRPr="008C0627" w:rsidR="00C45159">
        <w:t>.</w:t>
      </w:r>
      <w:bookmarkEnd w:id="202"/>
      <w:r w:rsidRPr="008C0627" w:rsidR="00C45159">
        <w:t xml:space="preserve">)  </w:t>
      </w:r>
      <w:r w:rsidRPr="008C0627" w:rsidR="001E23DF">
        <w:t>A</w:t>
      </w:r>
      <w:r w:rsidRPr="008C0627" w:rsidR="00970C7E">
        <w:t>nd a</w:t>
      </w:r>
      <w:r w:rsidRPr="008C0627" w:rsidR="001E23DF">
        <w:t xml:space="preserve">s particularly relevant in this case, </w:t>
      </w:r>
      <w:r w:rsidRPr="008C0627" w:rsidR="00632497">
        <w:t xml:space="preserve">we have held that </w:t>
      </w:r>
      <w:r w:rsidRPr="008C0627" w:rsidR="001E23DF">
        <w:t>trial courts may, when necessary, “follow provisions of the Code of Civil Procedure which are harmonious with the objects and purposes of the proceeding although those provisions are not specifically made applicable by the statute which creates the proceeding.”  (</w:t>
      </w:r>
      <w:bookmarkStart w:id="203" w:name="Psych_Cite_182"/>
      <w:r w:rsidRPr="008C0627" w:rsidR="001E23DF">
        <w:rPr>
          <w:i/>
        </w:rPr>
        <w:t xml:space="preserve">Tide Water Associated Oil Co. v. Superior Court </w:t>
      </w:r>
      <w:r w:rsidRPr="008C0627" w:rsidR="001E23DF">
        <w:t>(1955) 43 Cal.2d 815, 825</w:t>
      </w:r>
      <w:bookmarkEnd w:id="203"/>
      <w:r w:rsidRPr="008C0627" w:rsidR="001E23DF">
        <w:t>.)</w:t>
      </w:r>
      <w:r w:rsidRPr="008C0627" w:rsidR="00CC6F3B">
        <w:t xml:space="preserve"> </w:t>
      </w:r>
      <w:r w:rsidRPr="008C0627" w:rsidR="00493320">
        <w:t xml:space="preserve"> </w:t>
      </w:r>
      <w:r w:rsidRPr="008C0627" w:rsidR="00BC0116">
        <w:t xml:space="preserve">However, when </w:t>
      </w:r>
      <w:r w:rsidR="002A62E1">
        <w:t xml:space="preserve">a statute or rule of court provides </w:t>
      </w:r>
      <w:r w:rsidRPr="008C0627" w:rsidR="00BC0116">
        <w:t>a</w:t>
      </w:r>
      <w:r w:rsidRPr="008C0627" w:rsidR="00ED7856">
        <w:t>n applicable</w:t>
      </w:r>
      <w:r w:rsidRPr="008C0627" w:rsidR="00BC0116">
        <w:t xml:space="preserve"> procedure, a trial court may neither substitute a procedure it has itself devised </w:t>
      </w:r>
      <w:r w:rsidR="005149C1">
        <w:t>n</w:t>
      </w:r>
      <w:r w:rsidRPr="008C0627" w:rsidR="00BC0116">
        <w:t>or adopt a</w:t>
      </w:r>
      <w:r w:rsidRPr="008C0627" w:rsidR="00EF2BB5">
        <w:t>n existing</w:t>
      </w:r>
      <w:r w:rsidRPr="008C0627" w:rsidR="00BC0116">
        <w:t xml:space="preserve"> procedur</w:t>
      </w:r>
      <w:r w:rsidRPr="008C0627" w:rsidR="00EF2BB5">
        <w:t>al provision</w:t>
      </w:r>
      <w:r w:rsidRPr="008C0627" w:rsidR="00BC0116">
        <w:t xml:space="preserve"> that is inapplicable to the case before it.  (</w:t>
      </w:r>
      <w:bookmarkStart w:id="204" w:name="Psych_Cite_183"/>
      <w:r w:rsidRPr="008C0627" w:rsidR="00BC0116">
        <w:rPr>
          <w:i/>
        </w:rPr>
        <w:t>Rutherford</w:t>
      </w:r>
      <w:r w:rsidRPr="008C0627" w:rsidR="00BC0116">
        <w:t xml:space="preserve">, </w:t>
      </w:r>
      <w:r w:rsidRPr="008C0627" w:rsidR="00BC0116">
        <w:rPr>
          <w:i/>
        </w:rPr>
        <w:t>supra</w:t>
      </w:r>
      <w:r w:rsidRPr="008C0627" w:rsidR="00BC0116">
        <w:t>, 16 Cal.4th at p. 9</w:t>
      </w:r>
      <w:bookmarkEnd w:id="204"/>
      <w:r w:rsidRPr="008C0627" w:rsidR="00BC0116">
        <w:t xml:space="preserve">67; </w:t>
      </w:r>
      <w:bookmarkStart w:id="205" w:name="Psych_Cite_184"/>
      <w:r w:rsidRPr="008C0627" w:rsidR="00BC0116">
        <w:t xml:space="preserve">see </w:t>
      </w:r>
      <w:r w:rsidRPr="008C0627" w:rsidR="00BC0116">
        <w:rPr>
          <w:i/>
        </w:rPr>
        <w:t>Hernandez v. Superior Court</w:t>
      </w:r>
      <w:r w:rsidRPr="008C0627" w:rsidR="00BC0116">
        <w:t xml:space="preserve"> (2003) 112 Cal.App.4th 285, 2</w:t>
      </w:r>
      <w:bookmarkEnd w:id="205"/>
      <w:r w:rsidRPr="008C0627" w:rsidR="00BC0116">
        <w:t>96 [trial court exceeded its authority by ordering nonsimultaneous exchange of expert witness information where statute required simultaneous exchange].)</w:t>
      </w:r>
      <w:r w:rsidRPr="008C0627" w:rsidR="00632497">
        <w:t xml:space="preserve">  </w:t>
      </w:r>
    </w:p>
    <w:p w:rsidR="004E5B83" w:rsidRPr="008C0627" w:rsidP="00BA2301">
      <w:pPr>
        <w:tabs>
          <w:tab w:val="left" w:pos="720"/>
        </w:tabs>
      </w:pPr>
      <w:r w:rsidRPr="008C0627">
        <w:tab/>
      </w:r>
      <w:r w:rsidRPr="008C0627" w:rsidR="00C7221D">
        <w:t xml:space="preserve">As </w:t>
      </w:r>
      <w:r w:rsidR="00884A63">
        <w:t>described</w:t>
      </w:r>
      <w:r w:rsidRPr="008C0627" w:rsidR="00884A63">
        <w:t xml:space="preserve"> </w:t>
      </w:r>
      <w:r w:rsidRPr="008C0627" w:rsidR="00C7221D">
        <w:t>above, t</w:t>
      </w:r>
      <w:r w:rsidRPr="008C0627" w:rsidR="0022491B">
        <w:t xml:space="preserve">his case comes to us on appeal from the trial court’s order granting the Agencies’ </w:t>
      </w:r>
      <w:r w:rsidRPr="00A615A2" w:rsidR="0022491B">
        <w:t>“Motion for Legal Determination of Liability re Inverse Condemnation Action”—</w:t>
      </w:r>
      <w:r w:rsidRPr="008C0627" w:rsidR="0022491B">
        <w:t xml:space="preserve">styled as a </w:t>
      </w:r>
      <w:bookmarkStart w:id="206" w:name="Psych_Cite_186"/>
      <w:r w:rsidRPr="008C0627" w:rsidR="0022491B">
        <w:t>section 1260.040</w:t>
      </w:r>
      <w:bookmarkEnd w:id="206"/>
      <w:r w:rsidRPr="008C0627" w:rsidR="0022491B">
        <w:t xml:space="preserve"> motion—and entering judgment on the Agencies’ behalf.  </w:t>
      </w:r>
      <w:r w:rsidRPr="008C0627" w:rsidR="00613CD0">
        <w:t>The Agencies asked</w:t>
      </w:r>
      <w:r w:rsidRPr="008C0627" w:rsidR="0022491B">
        <w:t xml:space="preserve"> the trial court to decide a mixed question of law and fact</w:t>
      </w:r>
      <w:r w:rsidRPr="008C0627" w:rsidR="00D67B80">
        <w:t>:</w:t>
      </w:r>
      <w:r w:rsidRPr="008C0627" w:rsidR="0022491B">
        <w:t xml:space="preserve"> </w:t>
      </w:r>
      <w:r w:rsidR="00213892">
        <w:t xml:space="preserve"> </w:t>
      </w:r>
      <w:r w:rsidRPr="008C0627" w:rsidR="0022491B">
        <w:t>whether the damage the Property Owners claimed was “peculiar” to their propertie</w:t>
      </w:r>
      <w:r w:rsidRPr="008C0627" w:rsidR="00412105">
        <w:t>s</w:t>
      </w:r>
      <w:r w:rsidR="00884A63">
        <w:t>,</w:t>
      </w:r>
      <w:r w:rsidRPr="008C0627" w:rsidR="00884A63">
        <w:t xml:space="preserve"> </w:t>
      </w:r>
      <w:r w:rsidR="00884A63">
        <w:t xml:space="preserve">making </w:t>
      </w:r>
      <w:r w:rsidR="00D67A67">
        <w:t>the damage</w:t>
      </w:r>
      <w:r w:rsidR="00884A63">
        <w:t xml:space="preserve"> compensable under </w:t>
      </w:r>
      <w:r w:rsidRPr="008C0627" w:rsidR="00412105">
        <w:t>our decision in</w:t>
      </w:r>
      <w:r w:rsidRPr="008C0627" w:rsidR="00613CD0">
        <w:t xml:space="preserve"> </w:t>
      </w:r>
      <w:bookmarkStart w:id="207" w:name="_Hlk34729473"/>
      <w:bookmarkStart w:id="208" w:name="Psych_Cite_185"/>
      <w:r w:rsidRPr="008C0627" w:rsidR="0022491B">
        <w:rPr>
          <w:i/>
        </w:rPr>
        <w:t>Varjabedian v. Madera</w:t>
      </w:r>
      <w:r w:rsidRPr="008C0627" w:rsidR="0022491B">
        <w:t xml:space="preserve"> (1977) 20 Cal.3d 285, 298</w:t>
      </w:r>
      <w:bookmarkEnd w:id="207"/>
      <w:r w:rsidRPr="008C0627" w:rsidR="00237CE9">
        <w:t xml:space="preserve"> (</w:t>
      </w:r>
      <w:r w:rsidRPr="008C0627" w:rsidR="00237CE9">
        <w:rPr>
          <w:i/>
        </w:rPr>
        <w:t>Varjabedian</w:t>
      </w:r>
      <w:r w:rsidRPr="008C0627" w:rsidR="00237CE9">
        <w:t>)</w:t>
      </w:r>
      <w:bookmarkEnd w:id="208"/>
      <w:r w:rsidRPr="008C0627" w:rsidR="00412105">
        <w:t>.</w:t>
      </w:r>
      <w:r w:rsidRPr="008C0627" w:rsidR="0022491B">
        <w:t xml:space="preserve">  </w:t>
      </w:r>
      <w:r w:rsidRPr="008C0627" w:rsidR="00613CD0">
        <w:t>The</w:t>
      </w:r>
      <w:r w:rsidR="002D3517">
        <w:t xml:space="preserve"> Agencies</w:t>
      </w:r>
      <w:r w:rsidRPr="008C0627" w:rsidR="00186AF5">
        <w:t xml:space="preserve"> supported their motion with extensive documentary evidence</w:t>
      </w:r>
      <w:r w:rsidRPr="008C0627" w:rsidR="00613CD0">
        <w:t xml:space="preserve"> and</w:t>
      </w:r>
      <w:r w:rsidRPr="008C0627" w:rsidR="00B74C6E">
        <w:t>,</w:t>
      </w:r>
      <w:r w:rsidRPr="008C0627" w:rsidR="00613CD0">
        <w:t xml:space="preserve"> </w:t>
      </w:r>
      <w:r w:rsidRPr="008C0627" w:rsidR="00186AF5">
        <w:t>in their briefing</w:t>
      </w:r>
      <w:r w:rsidRPr="008C0627" w:rsidR="00B74C6E">
        <w:t>,</w:t>
      </w:r>
      <w:r w:rsidRPr="008C0627" w:rsidR="00186AF5">
        <w:t xml:space="preserve"> </w:t>
      </w:r>
      <w:r w:rsidRPr="008C0627" w:rsidR="00613CD0">
        <w:t xml:space="preserve">urged the trial court to weigh their evidence against the </w:t>
      </w:r>
      <w:r w:rsidRPr="008C0627" w:rsidR="00B743BB">
        <w:t xml:space="preserve">competing </w:t>
      </w:r>
      <w:r w:rsidRPr="008C0627" w:rsidR="00613CD0">
        <w:t xml:space="preserve">evidence </w:t>
      </w:r>
      <w:r w:rsidRPr="008C0627" w:rsidR="00B743BB">
        <w:t>submitted by the Property Owners</w:t>
      </w:r>
      <w:r w:rsidRPr="008C0627" w:rsidR="00613CD0">
        <w:t>.</w:t>
      </w:r>
    </w:p>
    <w:p w:rsidR="00FC4CF7" w:rsidRPr="008C0627" w:rsidP="00BA2301">
      <w:pPr>
        <w:tabs>
          <w:tab w:val="left" w:pos="720"/>
        </w:tabs>
      </w:pPr>
      <w:r w:rsidRPr="008C0627">
        <w:tab/>
      </w:r>
      <w:r w:rsidRPr="008C0627" w:rsidR="00CC6F3B">
        <w:t xml:space="preserve">In ordinary civil actions such as this one, the procedure </w:t>
      </w:r>
      <w:r w:rsidRPr="008C0627" w:rsidR="0012387B">
        <w:t xml:space="preserve">by which </w:t>
      </w:r>
      <w:r w:rsidRPr="008C0627" w:rsidR="00814D83">
        <w:t>to request</w:t>
      </w:r>
      <w:r w:rsidRPr="008C0627" w:rsidR="0012387B">
        <w:t xml:space="preserve"> </w:t>
      </w:r>
      <w:r w:rsidR="002A62E1">
        <w:t xml:space="preserve">a pretrial </w:t>
      </w:r>
      <w:r w:rsidRPr="008C0627" w:rsidR="00814D83">
        <w:t xml:space="preserve">entry of judgment </w:t>
      </w:r>
      <w:r w:rsidRPr="008C0627" w:rsidR="00412105">
        <w:t>on the ground that</w:t>
      </w:r>
      <w:r w:rsidRPr="008C0627" w:rsidR="00814D83">
        <w:t xml:space="preserve"> there is no dispute of material fact</w:t>
      </w:r>
      <w:r w:rsidRPr="008C0627" w:rsidR="00CC6F3B">
        <w:t xml:space="preserve"> is summary judgment, or when the request is for a dispositive ruling on one of multiple claims within an action, summary adjudication.  (</w:t>
      </w:r>
      <w:bookmarkStart w:id="209" w:name="Psych_Cite_192"/>
      <w:r w:rsidRPr="008C0627" w:rsidR="00CC6F3B">
        <w:t>§ 437c</w:t>
      </w:r>
      <w:bookmarkEnd w:id="209"/>
      <w:r w:rsidRPr="008C0627" w:rsidR="00CC6F3B">
        <w:t xml:space="preserve">; </w:t>
      </w:r>
      <w:bookmarkStart w:id="210" w:name="Psych_Cite_191"/>
      <w:r w:rsidRPr="008C0627" w:rsidR="00CC6F3B">
        <w:t>Cal. Rules of Court, rule 3.1350</w:t>
      </w:r>
      <w:bookmarkEnd w:id="210"/>
      <w:r w:rsidRPr="008C0627" w:rsidR="00CC6F3B">
        <w:t>.)</w:t>
      </w:r>
      <w:r w:rsidRPr="008C0627">
        <w:t xml:space="preserve">  C</w:t>
      </w:r>
      <w:r w:rsidRPr="008C0627" w:rsidR="009E225B">
        <w:t xml:space="preserve">ourts deciding motions for summary judgment or summary adjudication may not weigh the evidence but must instead view </w:t>
      </w:r>
      <w:r w:rsidRPr="008C0627" w:rsidR="00412105">
        <w:t>it</w:t>
      </w:r>
      <w:r w:rsidRPr="008C0627" w:rsidR="009E225B">
        <w:t xml:space="preserve"> in the light most favorable to the opposing party and draw all reasonable inferences in favor of that party.  (</w:t>
      </w:r>
      <w:bookmarkStart w:id="211" w:name="Psych_Cite_193"/>
      <w:r w:rsidRPr="008C0627" w:rsidR="009E225B">
        <w:t>§ 437c, subd. (c)</w:t>
      </w:r>
      <w:bookmarkEnd w:id="211"/>
      <w:r w:rsidRPr="008C0627" w:rsidR="009E225B">
        <w:t xml:space="preserve">; </w:t>
      </w:r>
      <w:bookmarkStart w:id="212" w:name="Psych_Cite_188"/>
      <w:r w:rsidRPr="008C0627" w:rsidR="009E225B">
        <w:rPr>
          <w:i/>
        </w:rPr>
        <w:t>Aguilar v. Atlantic Richfield Co</w:t>
      </w:r>
      <w:r w:rsidRPr="008C0627" w:rsidR="009E225B">
        <w:t>. (2001) 25 Cal.4th 826, 843</w:t>
      </w:r>
      <w:bookmarkEnd w:id="212"/>
      <w:r w:rsidRPr="008C0627" w:rsidR="009E225B">
        <w:t xml:space="preserve">.)  </w:t>
      </w:r>
      <w:r w:rsidRPr="008C0627">
        <w:t>T</w:t>
      </w:r>
      <w:r w:rsidRPr="008C0627" w:rsidR="009E225B">
        <w:t>o ensure that the opposing party has notice of the factual issues in dispute and an opportunity to present the evidence needed to defeat the motion, the statute requires that the parties submit separate statements of undisputed facts.  (</w:t>
      </w:r>
      <w:bookmarkStart w:id="213" w:name="Psych_Cite_194"/>
      <w:r w:rsidRPr="008C0627" w:rsidR="009E225B">
        <w:t>§</w:t>
      </w:r>
      <w:r w:rsidR="002D3517">
        <w:t> </w:t>
      </w:r>
      <w:r w:rsidRPr="008C0627" w:rsidR="009E225B">
        <w:t>437c, subd. (c</w:t>
      </w:r>
      <w:bookmarkEnd w:id="213"/>
      <w:r w:rsidRPr="008C0627" w:rsidR="009E225B">
        <w:t xml:space="preserve">); </w:t>
      </w:r>
      <w:bookmarkStart w:id="214" w:name="Psych_Cite_189"/>
      <w:r w:rsidRPr="008C0627" w:rsidR="009E225B">
        <w:rPr>
          <w:i/>
        </w:rPr>
        <w:t>United Community Church v. Garcin</w:t>
      </w:r>
      <w:r w:rsidRPr="008C0627" w:rsidR="009E225B">
        <w:t xml:space="preserve"> (1991) 231 Cal.App.3d 327, 33</w:t>
      </w:r>
      <w:bookmarkEnd w:id="214"/>
      <w:r w:rsidRPr="008C0627" w:rsidR="009E225B">
        <w:t>5.)  The</w:t>
      </w:r>
      <w:r w:rsidR="00D67A67">
        <w:t>se</w:t>
      </w:r>
      <w:r w:rsidRPr="008C0627" w:rsidR="009E225B">
        <w:t xml:space="preserve"> separate statement</w:t>
      </w:r>
      <w:r w:rsidR="00884A63">
        <w:t>s</w:t>
      </w:r>
      <w:r w:rsidRPr="008C0627" w:rsidR="009E225B">
        <w:t xml:space="preserve"> </w:t>
      </w:r>
      <w:r w:rsidR="00B75495">
        <w:t xml:space="preserve">also </w:t>
      </w:r>
      <w:r w:rsidRPr="008C0627" w:rsidR="009E225B">
        <w:t xml:space="preserve">help the court isolate and identify </w:t>
      </w:r>
      <w:r w:rsidR="00D67A67">
        <w:t>the</w:t>
      </w:r>
      <w:r w:rsidRPr="008C0627" w:rsidR="00D67A67">
        <w:t xml:space="preserve"> </w:t>
      </w:r>
      <w:r w:rsidRPr="008C0627" w:rsidR="009E225B">
        <w:t xml:space="preserve">facts </w:t>
      </w:r>
      <w:r w:rsidR="00D67A67">
        <w:t xml:space="preserve">that </w:t>
      </w:r>
      <w:r w:rsidRPr="008C0627" w:rsidR="009E225B">
        <w:t xml:space="preserve">are in dispute, which facilitates the </w:t>
      </w:r>
      <w:r w:rsidRPr="008C0627" w:rsidR="00412105">
        <w:t xml:space="preserve">court’s </w:t>
      </w:r>
      <w:r w:rsidRPr="008C0627" w:rsidR="009E225B">
        <w:t>determination whether trial is necessary.  (</w:t>
      </w:r>
      <w:r w:rsidR="00213892">
        <w:rPr>
          <w:i/>
        </w:rPr>
        <w:t xml:space="preserve">United </w:t>
      </w:r>
      <w:bookmarkStart w:id="215" w:name="Psych_Cite_190"/>
      <w:r w:rsidR="00213892">
        <w:rPr>
          <w:i/>
        </w:rPr>
        <w:t>Community,</w:t>
      </w:r>
      <w:r w:rsidRPr="008C0627" w:rsidR="009E225B">
        <w:t xml:space="preserve"> at pp. 335–33</w:t>
      </w:r>
      <w:bookmarkEnd w:id="215"/>
      <w:r w:rsidRPr="008C0627" w:rsidR="009E225B">
        <w:t>7.)  When a court grants a motion for summary adjudication on the ground that there is no triable issue of material fact, the statute requires the court to “specify the reasons for its determination,” with reference to “the evidence proffered in support of and, if applicable, in opposition to the motion that indicates no triable issue exists.”  (</w:t>
      </w:r>
      <w:bookmarkStart w:id="216" w:name="Psych_Cite_195"/>
      <w:r w:rsidRPr="008C0627" w:rsidR="009E225B">
        <w:t>§ 437c, subd. (</w:t>
      </w:r>
      <w:bookmarkEnd w:id="216"/>
      <w:r w:rsidRPr="008C0627" w:rsidR="009E225B">
        <w:t xml:space="preserve">g).)  Adherence to these provisions safeguards the rights of the party opposing summary </w:t>
      </w:r>
      <w:r w:rsidR="00AD30ED">
        <w:t>adjudication</w:t>
      </w:r>
      <w:r w:rsidRPr="008C0627" w:rsidR="00AD30ED">
        <w:t xml:space="preserve"> </w:t>
      </w:r>
      <w:r w:rsidRPr="008C0627" w:rsidR="00C129C4">
        <w:t xml:space="preserve">and </w:t>
      </w:r>
      <w:r w:rsidRPr="008C0627" w:rsidR="009E225B">
        <w:t>allow</w:t>
      </w:r>
      <w:r w:rsidRPr="008C0627" w:rsidR="00C129C4">
        <w:t>s</w:t>
      </w:r>
      <w:r w:rsidRPr="008C0627" w:rsidR="009E225B">
        <w:t xml:space="preserve"> for meaningful appellate review.  </w:t>
      </w:r>
    </w:p>
    <w:p w:rsidR="00B24A60" w:rsidRPr="008C0627" w:rsidP="00BA2301">
      <w:pPr>
        <w:tabs>
          <w:tab w:val="left" w:pos="720"/>
        </w:tabs>
      </w:pPr>
      <w:r w:rsidRPr="008C0627">
        <w:tab/>
      </w:r>
      <w:r w:rsidRPr="008C0627" w:rsidR="0089039D">
        <w:t>T</w:t>
      </w:r>
      <w:r w:rsidRPr="008C0627" w:rsidR="006240E0">
        <w:t>he procedure the trial court employed in this case was improper because it supplanted a motion for summary adjudication</w:t>
      </w:r>
      <w:r w:rsidRPr="008C0627" w:rsidR="00412105">
        <w:t xml:space="preserve"> on the Property Owners’ inverse condemnation claim</w:t>
      </w:r>
      <w:r w:rsidR="0054326D">
        <w:t xml:space="preserve"> </w:t>
      </w:r>
      <w:r w:rsidRPr="008C0627" w:rsidR="006240E0">
        <w:t>or</w:t>
      </w:r>
      <w:r w:rsidR="002A62E1">
        <w:t xml:space="preserve">, </w:t>
      </w:r>
      <w:r w:rsidRPr="008C0627" w:rsidR="006240E0">
        <w:t>to the extent the trial court weighed the evidence</w:t>
      </w:r>
      <w:r w:rsidR="002A62E1">
        <w:t xml:space="preserve">, </w:t>
      </w:r>
      <w:r w:rsidRPr="008C0627" w:rsidR="006240E0">
        <w:t>a bench trial</w:t>
      </w:r>
      <w:r w:rsidRPr="008C0627" w:rsidR="00814D83">
        <w:t xml:space="preserve"> on liability</w:t>
      </w:r>
      <w:r w:rsidRPr="008C0627" w:rsidR="006240E0">
        <w:t>.</w:t>
      </w:r>
      <w:r>
        <w:rPr>
          <w:rStyle w:val="FootnoteReference"/>
        </w:rPr>
        <w:footnoteReference w:id="11"/>
      </w:r>
      <w:r w:rsidRPr="008C0627">
        <w:t xml:space="preserve">  </w:t>
      </w:r>
      <w:r w:rsidRPr="008C0627" w:rsidR="00412105">
        <w:t>Indeed, t</w:t>
      </w:r>
      <w:r w:rsidRPr="008C0627" w:rsidR="0073682A">
        <w:t xml:space="preserve">his case illustrates some of the hazards of using a nonstatutory motion to request entry of judgment.  </w:t>
      </w:r>
      <w:r w:rsidRPr="008C0627">
        <w:rPr>
          <w:sz w:val="26"/>
        </w:rPr>
        <w:t xml:space="preserve">The </w:t>
      </w:r>
      <w:r w:rsidRPr="008C0627" w:rsidR="0073682A">
        <w:rPr>
          <w:sz w:val="26"/>
        </w:rPr>
        <w:t>Agencies’ motion presented</w:t>
      </w:r>
      <w:r w:rsidRPr="008C0627">
        <w:rPr>
          <w:sz w:val="26"/>
        </w:rPr>
        <w:t xml:space="preserve"> a mixed question of law and fact concerning whether </w:t>
      </w:r>
      <w:r w:rsidRPr="008C0627">
        <w:t xml:space="preserve">the </w:t>
      </w:r>
      <w:r w:rsidR="003900BD">
        <w:t xml:space="preserve">damage was “peculiar” to the </w:t>
      </w:r>
      <w:r w:rsidRPr="008C0627">
        <w:t>Property Owners’ properties</w:t>
      </w:r>
      <w:r w:rsidR="003900BD">
        <w:t>, the answer to which turns on whether the properties</w:t>
      </w:r>
      <w:r w:rsidRPr="008C0627">
        <w:t xml:space="preserve"> were “ ‘singled out’ ” to suffer the detrimental effects of the sound </w:t>
      </w:r>
      <w:r w:rsidR="00D73F21">
        <w:t>barrier</w:t>
      </w:r>
      <w:r w:rsidRPr="008C0627" w:rsidR="00D73F21">
        <w:t>s</w:t>
      </w:r>
      <w:r w:rsidRPr="008C0627">
        <w:t>, making “the policy favoring distribution of the resulting loss” strong and “</w:t>
      </w:r>
      <w:bookmarkStart w:id="217" w:name="QUOTE_BOOKMARK_IS_CONFIRMED_14"/>
      <w:r w:rsidR="00BC5CA1">
        <w:t>the likelihood that compensation will impede necessary public construction [] . . . relatively slight.</w:t>
      </w:r>
      <w:bookmarkEnd w:id="217"/>
      <w:r w:rsidRPr="008C0627">
        <w:t>”  (</w:t>
      </w:r>
      <w:bookmarkStart w:id="218" w:name="Psych_Cite_196"/>
      <w:r w:rsidRPr="008C0627">
        <w:rPr>
          <w:i/>
        </w:rPr>
        <w:t>Varjabedian</w:t>
      </w:r>
      <w:r w:rsidRPr="008C0627">
        <w:t xml:space="preserve">, </w:t>
      </w:r>
      <w:r w:rsidRPr="008C0627">
        <w:rPr>
          <w:i/>
        </w:rPr>
        <w:t>supra</w:t>
      </w:r>
      <w:r w:rsidRPr="008C0627">
        <w:t>, 20 Cal.3d at p. 29</w:t>
      </w:r>
      <w:bookmarkEnd w:id="218"/>
      <w:r w:rsidRPr="008C0627">
        <w:t xml:space="preserve">8.)  On the face of the trial court’s decision, it is not clear whether it resolved factual disputes material to this determination in reaching its conclusion that the Property Owners “cannot meet their burden </w:t>
      </w:r>
      <w:r w:rsidR="00C01B22">
        <w:t xml:space="preserve">[of] </w:t>
      </w:r>
      <w:r w:rsidRPr="008C0627">
        <w:t>showing the injuries suffered were ‘peculiar’ to their properties.”</w:t>
      </w:r>
      <w:r>
        <w:rPr>
          <w:rStyle w:val="FootnoteReference"/>
        </w:rPr>
        <w:footnoteReference w:id="12"/>
      </w:r>
      <w:r w:rsidRPr="008C0627" w:rsidR="001C2E01">
        <w:t xml:space="preserve">  </w:t>
      </w:r>
      <w:r w:rsidRPr="008C0627" w:rsidR="0073682A">
        <w:t>Had the Agencies filed a motion for summary adjudication rather than a “</w:t>
      </w:r>
      <w:r w:rsidRPr="00A615A2" w:rsidR="0073682A">
        <w:t>Motion for Legal Determination</w:t>
      </w:r>
      <w:r w:rsidRPr="00A615A2" w:rsidR="00AD30ED">
        <w:t xml:space="preserve"> of </w:t>
      </w:r>
      <w:r w:rsidRPr="00A615A2" w:rsidR="0073682A">
        <w:t>Liability,”</w:t>
      </w:r>
      <w:r w:rsidRPr="008C0627" w:rsidR="0073682A">
        <w:t xml:space="preserve"> the parties would have been required to submit separate statements clarifying which facts were disputed and which were undisputed.  The trial court’s order would have employed the familiar summary judgment standard, specifying the reasons for its decision with reference to the evidence showing whether a triable issue of fact exists.  And the parties would have avoided all that has ensued on appeal.</w:t>
      </w:r>
    </w:p>
    <w:p w:rsidR="0092413F" w:rsidRPr="00D15AC7" w:rsidP="00D15AC7">
      <w:pPr>
        <w:tabs>
          <w:tab w:val="left" w:pos="720"/>
          <w:tab w:val="left" w:pos="1440"/>
        </w:tabs>
      </w:pPr>
      <w:r w:rsidRPr="008C0627">
        <w:tab/>
      </w:r>
      <w:r w:rsidRPr="008C0627" w:rsidR="00297B8C">
        <w:t xml:space="preserve">There may be cases </w:t>
      </w:r>
      <w:r w:rsidRPr="008C0627" w:rsidR="00FA0BA2">
        <w:t>in which</w:t>
      </w:r>
      <w:r w:rsidRPr="008C0627" w:rsidR="00297B8C">
        <w:t xml:space="preserve"> the use of a nonstatutory</w:t>
      </w:r>
      <w:r w:rsidRPr="008C0627" w:rsidR="00A50906">
        <w:t xml:space="preserve"> motion</w:t>
      </w:r>
      <w:r w:rsidRPr="008C0627" w:rsidR="00297B8C">
        <w:t xml:space="preserve"> procedure to dismiss a cause</w:t>
      </w:r>
      <w:r w:rsidRPr="008C0627" w:rsidR="00EA60CF">
        <w:t xml:space="preserve"> of </w:t>
      </w:r>
      <w:r w:rsidRPr="008C0627" w:rsidR="00297B8C">
        <w:t>action</w:t>
      </w:r>
      <w:r w:rsidRPr="008C0627" w:rsidR="00EA60CF">
        <w:t xml:space="preserve"> </w:t>
      </w:r>
      <w:r w:rsidRPr="008C0627" w:rsidR="00297B8C">
        <w:t>before trial</w:t>
      </w:r>
      <w:r w:rsidRPr="008C0627" w:rsidR="00FA0BA2">
        <w:t xml:space="preserve"> is called for</w:t>
      </w:r>
      <w:r w:rsidRPr="008C0627" w:rsidR="00297B8C">
        <w:t>, but courts should be wary of such requests.  As the Court of Appeal warned, the incautious use of such a procedure risks providing inadequate procedural protections, infringing on the jury trial right, and unnecessary reversal.  (</w:t>
      </w:r>
      <w:bookmarkStart w:id="219" w:name="Psych_Cite_197"/>
      <w:r w:rsidRPr="008C0627" w:rsidR="00297B8C">
        <w:rPr>
          <w:i/>
        </w:rPr>
        <w:t>Weiss</w:t>
      </w:r>
      <w:r w:rsidRPr="008C0627" w:rsidR="00297B8C">
        <w:t xml:space="preserve">, </w:t>
      </w:r>
      <w:r w:rsidRPr="008C0627" w:rsidR="00297B8C">
        <w:rPr>
          <w:i/>
        </w:rPr>
        <w:t>supra</w:t>
      </w:r>
      <w:r w:rsidRPr="008C0627" w:rsidR="00297B8C">
        <w:t xml:space="preserve">, 20 Cal.App.5th 1175, citing </w:t>
      </w:r>
      <w:r w:rsidRPr="008C0627" w:rsidR="00297B8C">
        <w:rPr>
          <w:i/>
        </w:rPr>
        <w:t>Amtower v. Photon Dynamics</w:t>
      </w:r>
      <w:r w:rsidRPr="008C0627" w:rsidR="00297B8C">
        <w:t xml:space="preserve">, </w:t>
      </w:r>
      <w:r w:rsidRPr="008C0627" w:rsidR="00297B8C">
        <w:rPr>
          <w:i/>
        </w:rPr>
        <w:t>Inc</w:t>
      </w:r>
      <w:r w:rsidRPr="008C0627" w:rsidR="00297B8C">
        <w:t>. (2008) 158 Cal.App.4th 1582, 1594</w:t>
      </w:r>
      <w:bookmarkEnd w:id="219"/>
      <w:r w:rsidRPr="008C0627" w:rsidR="00297B8C">
        <w:t xml:space="preserve">; </w:t>
      </w:r>
      <w:bookmarkStart w:id="220" w:name="Psych_Cite_199"/>
      <w:r w:rsidRPr="008C0627" w:rsidR="00297B8C">
        <w:rPr>
          <w:i/>
        </w:rPr>
        <w:t>Department of Forestry &amp; Fire Protection v. Howell</w:t>
      </w:r>
      <w:r w:rsidRPr="008C0627" w:rsidR="00297B8C">
        <w:t xml:space="preserve"> (2017) 18 Cal.App.5th 154, 170</w:t>
      </w:r>
      <w:r w:rsidRPr="008C0627" w:rsidR="00237CE9">
        <w:t>–</w:t>
      </w:r>
      <w:r w:rsidRPr="008C0627" w:rsidR="00297B8C">
        <w:t>173</w:t>
      </w:r>
      <w:bookmarkEnd w:id="220"/>
      <w:r w:rsidRPr="008C0627" w:rsidR="00297B8C">
        <w:t xml:space="preserve">.)  </w:t>
      </w:r>
      <w:r w:rsidR="00DF37C6">
        <w:t>C</w:t>
      </w:r>
      <w:r w:rsidRPr="008C0627" w:rsidR="00167ACF">
        <w:t>ourts should be careful not to prioritize e</w:t>
      </w:r>
      <w:r w:rsidRPr="008C0627" w:rsidR="00297B8C">
        <w:t>fficiency and conservation of judicial resources over access to justice and procedural fairness.  (</w:t>
      </w:r>
      <w:bookmarkStart w:id="221" w:name="Psych_Cite_200"/>
      <w:r w:rsidRPr="008C0627" w:rsidR="00297B8C">
        <w:rPr>
          <w:i/>
        </w:rPr>
        <w:t>Elkins v. Superior Court</w:t>
      </w:r>
      <w:r w:rsidRPr="008C0627" w:rsidR="00297B8C">
        <w:t xml:space="preserve"> (2007) 41 Cal.4th 1337, 1353</w:t>
      </w:r>
      <w:bookmarkEnd w:id="221"/>
      <w:r w:rsidRPr="008C0627" w:rsidR="00297B8C">
        <w:t xml:space="preserve">.)  </w:t>
      </w:r>
      <w:r w:rsidRPr="008C0627" w:rsidR="00671321">
        <w:t xml:space="preserve">Though limited use of nonstatutory </w:t>
      </w:r>
      <w:r w:rsidRPr="008C0627" w:rsidR="00A50906">
        <w:t xml:space="preserve">motion </w:t>
      </w:r>
      <w:r w:rsidRPr="008C0627" w:rsidR="00671321">
        <w:t>procedures may be appropriate</w:t>
      </w:r>
      <w:r w:rsidRPr="008C0627" w:rsidR="0014736D">
        <w:t xml:space="preserve"> in inverse condemnation actions</w:t>
      </w:r>
      <w:r w:rsidRPr="008C0627" w:rsidR="00671321">
        <w:t xml:space="preserve">, it is important </w:t>
      </w:r>
      <w:r w:rsidR="00AD30ED">
        <w:t xml:space="preserve">to </w:t>
      </w:r>
      <w:r w:rsidRPr="008C0627" w:rsidR="0014736D">
        <w:t>remember</w:t>
      </w:r>
      <w:r w:rsidRPr="008C0627" w:rsidR="00671321">
        <w:t xml:space="preserve"> that s</w:t>
      </w:r>
      <w:r w:rsidRPr="008C0627" w:rsidR="00191F6E">
        <w:t>ummary judgment,</w:t>
      </w:r>
      <w:r w:rsidRPr="008C0627" w:rsidR="00CD5A3D">
        <w:t xml:space="preserve"> </w:t>
      </w:r>
      <w:r w:rsidRPr="008C0627" w:rsidR="00191F6E">
        <w:t>summary adjudication</w:t>
      </w:r>
      <w:r w:rsidRPr="008C0627" w:rsidR="00167ACF">
        <w:t>,</w:t>
      </w:r>
      <w:r w:rsidRPr="008C0627" w:rsidR="00191F6E">
        <w:t xml:space="preserve"> and bench trials play a central role in our civil trial system.  </w:t>
      </w:r>
      <w:r w:rsidRPr="008C0627" w:rsidR="00554611">
        <w:t>T</w:t>
      </w:r>
      <w:r w:rsidRPr="008C0627" w:rsidR="00501C06">
        <w:t>rial c</w:t>
      </w:r>
      <w:r w:rsidRPr="008C0627" w:rsidR="00191F6E">
        <w:t xml:space="preserve">ourts should </w:t>
      </w:r>
      <w:r w:rsidRPr="008C0627" w:rsidR="00671321">
        <w:t>exercise caution</w:t>
      </w:r>
      <w:r w:rsidRPr="008C0627" w:rsidR="00CD5A3D">
        <w:t xml:space="preserve"> </w:t>
      </w:r>
      <w:r w:rsidRPr="008C0627" w:rsidR="00671321">
        <w:t>before dispensing with the</w:t>
      </w:r>
      <w:r w:rsidR="00DF37C6">
        <w:t>se procedures</w:t>
      </w:r>
      <w:r w:rsidRPr="008C0627" w:rsidR="00671321">
        <w:t>.</w:t>
      </w:r>
      <w:r w:rsidRPr="008C0627" w:rsidR="00191F6E">
        <w:t xml:space="preserve"> </w:t>
      </w:r>
    </w:p>
    <w:p w:rsidR="00140307" w:rsidRPr="008C0627" w:rsidP="00BA2301">
      <w:pPr>
        <w:tabs>
          <w:tab w:val="left" w:pos="1440"/>
        </w:tabs>
        <w:jc w:val="center"/>
        <w:rPr>
          <w:b/>
        </w:rPr>
      </w:pPr>
      <w:r w:rsidRPr="008C0627">
        <w:rPr>
          <w:b/>
        </w:rPr>
        <w:t>III</w:t>
      </w:r>
      <w:r w:rsidRPr="008C0627">
        <w:rPr>
          <w:b/>
        </w:rPr>
        <w:t>.</w:t>
      </w:r>
      <w:r w:rsidRPr="008C0627" w:rsidR="00F85EF7">
        <w:rPr>
          <w:b/>
        </w:rPr>
        <w:t xml:space="preserve">  CONCLUSION</w:t>
      </w:r>
    </w:p>
    <w:p w:rsidR="006821BD" w:rsidRPr="008C0627" w:rsidP="00BA2301">
      <w:pPr>
        <w:tabs>
          <w:tab w:val="left" w:pos="1440"/>
        </w:tabs>
        <w:ind w:firstLine="720"/>
      </w:pPr>
      <w:r w:rsidRPr="008C0627">
        <w:t>W</w:t>
      </w:r>
      <w:r w:rsidRPr="008C0627" w:rsidR="00810D7D">
        <w:t xml:space="preserve">e </w:t>
      </w:r>
      <w:r w:rsidRPr="008C0627" w:rsidR="00C957A2">
        <w:t>deny the Agencies’ request that we “</w:t>
      </w:r>
      <w:r w:rsidR="008C5B17">
        <w:t xml:space="preserve">judicially </w:t>
      </w:r>
      <w:r w:rsidRPr="008C0627" w:rsidR="00C957A2">
        <w:t xml:space="preserve">import” </w:t>
      </w:r>
      <w:bookmarkStart w:id="222" w:name="Psych_Cite_201"/>
      <w:r w:rsidRPr="008C0627" w:rsidR="00C957A2">
        <w:t>section 1260.040</w:t>
      </w:r>
      <w:bookmarkEnd w:id="222"/>
      <w:r w:rsidRPr="008C0627" w:rsidR="00C957A2">
        <w:t xml:space="preserve"> into inverse condemnation </w:t>
      </w:r>
      <w:r w:rsidR="002D3517">
        <w:t>procedure</w:t>
      </w:r>
      <w:r w:rsidRPr="008C0627" w:rsidR="00CD5A3D">
        <w:t>.</w:t>
      </w:r>
      <w:r w:rsidRPr="008C0627" w:rsidR="00225F2B">
        <w:t xml:space="preserve"> </w:t>
      </w:r>
      <w:r w:rsidRPr="008C0627" w:rsidR="00180175">
        <w:t xml:space="preserve"> </w:t>
      </w:r>
      <w:r w:rsidRPr="008C0627" w:rsidR="00EC3A8D">
        <w:t xml:space="preserve">Because the trial court erred in entering judgment on the Agencies’ “Motion for Legal Determination of Liability” rather than requiring them to file a motion for summary adjudication or proceed to </w:t>
      </w:r>
      <w:r w:rsidR="005A7EF5">
        <w:t xml:space="preserve">a </w:t>
      </w:r>
      <w:r w:rsidRPr="008C0627" w:rsidR="00EC3A8D">
        <w:t>bench trial, we affirm the judgment of the Court of Appeal.</w:t>
      </w:r>
    </w:p>
    <w:p w:rsidR="00CF1FC2" w:rsidRPr="008C0627" w:rsidP="00B86B09">
      <w:pPr>
        <w:tabs>
          <w:tab w:val="left" w:pos="720"/>
        </w:tabs>
      </w:pPr>
    </w:p>
    <w:p w:rsidR="00CF1FC2" w:rsidRPr="008C0627" w:rsidP="00BA2301">
      <w:pPr>
        <w:ind w:firstLine="720"/>
        <w:jc w:val="right"/>
        <w:rPr>
          <w:rFonts w:ascii="Times New Roman" w:hAnsi="Times New Roman"/>
          <w:b/>
          <w:sz w:val="26"/>
        </w:rPr>
      </w:pPr>
      <w:bookmarkStart w:id="223" w:name="author"/>
      <w:bookmarkEnd w:id="223"/>
      <w:r w:rsidRPr="008C0627">
        <w:rPr>
          <w:b/>
        </w:rPr>
        <w:t>GROBAN, J.</w:t>
      </w:r>
    </w:p>
    <w:p w:rsidR="00CF1FC2" w:rsidRPr="008C0627" w:rsidP="00BA2301"/>
    <w:p w:rsidR="007405C1" w:rsidP="00BA2301">
      <w:r w:rsidRPr="008C0627">
        <w:rPr>
          <w:b/>
          <w:szCs w:val="26"/>
        </w:rPr>
        <w:t>We Concur:</w:t>
      </w:r>
      <w:r w:rsidRPr="008C0627">
        <w:t xml:space="preserve"> </w:t>
      </w:r>
      <w:bookmarkStart w:id="224" w:name="calendar"/>
      <w:bookmarkStart w:id="225" w:name="initials"/>
      <w:bookmarkEnd w:id="224"/>
      <w:bookmarkEnd w:id="225"/>
    </w:p>
    <w:p w:rsidR="00046B99" w:rsidP="00046B99">
      <w:pPr>
        <w:spacing w:after="0" w:line="240" w:lineRule="auto"/>
        <w:rPr>
          <w:b/>
          <w:szCs w:val="26"/>
        </w:rPr>
      </w:pPr>
      <w:r>
        <w:rPr>
          <w:b/>
          <w:szCs w:val="26"/>
        </w:rPr>
        <w:t>CANTIL-SAKAUYE, C. J.</w:t>
      </w:r>
    </w:p>
    <w:p w:rsidR="00046B99" w:rsidP="00046B99">
      <w:pPr>
        <w:spacing w:after="0" w:line="240" w:lineRule="auto"/>
        <w:rPr>
          <w:b/>
          <w:szCs w:val="26"/>
        </w:rPr>
      </w:pPr>
      <w:r>
        <w:rPr>
          <w:b/>
          <w:szCs w:val="26"/>
        </w:rPr>
        <w:t>CHIN, J.</w:t>
      </w:r>
    </w:p>
    <w:p w:rsidR="00046B99" w:rsidP="00046B99">
      <w:pPr>
        <w:spacing w:after="0" w:line="240" w:lineRule="auto"/>
        <w:rPr>
          <w:b/>
          <w:szCs w:val="26"/>
        </w:rPr>
      </w:pPr>
      <w:r>
        <w:rPr>
          <w:b/>
          <w:szCs w:val="26"/>
        </w:rPr>
        <w:t>CORRIGAN, J.</w:t>
      </w:r>
    </w:p>
    <w:p w:rsidR="00046B99" w:rsidP="00046B99">
      <w:pPr>
        <w:spacing w:after="0" w:line="240" w:lineRule="auto"/>
        <w:rPr>
          <w:b/>
          <w:szCs w:val="26"/>
        </w:rPr>
      </w:pPr>
      <w:r>
        <w:rPr>
          <w:b/>
          <w:szCs w:val="26"/>
        </w:rPr>
        <w:t>LIU, J.</w:t>
      </w:r>
    </w:p>
    <w:p w:rsidR="00046B99" w:rsidP="00046B99">
      <w:pPr>
        <w:spacing w:after="0" w:line="240" w:lineRule="auto"/>
        <w:rPr>
          <w:b/>
          <w:szCs w:val="26"/>
        </w:rPr>
      </w:pPr>
      <w:r>
        <w:rPr>
          <w:b/>
          <w:szCs w:val="26"/>
        </w:rPr>
        <w:t>CUÉLLAR, J.</w:t>
      </w:r>
    </w:p>
    <w:p w:rsidR="00046B99" w:rsidP="00046B99">
      <w:pPr>
        <w:spacing w:after="0" w:line="240" w:lineRule="auto"/>
        <w:rPr>
          <w:b/>
          <w:szCs w:val="26"/>
        </w:rPr>
      </w:pPr>
      <w:r>
        <w:rPr>
          <w:b/>
          <w:szCs w:val="26"/>
        </w:rPr>
        <w:t>KRUGER, J.</w:t>
      </w:r>
    </w:p>
    <w:p w:rsidR="00CB265B" w:rsidP="00BA2301">
      <w:pPr>
        <w:rPr>
          <w:b/>
        </w:rPr>
        <w:sectPr w:rsidSect="00027109">
          <w:headerReference w:type="default" r:id="rId11"/>
          <w:footerReference w:type="default" r:id="rId12"/>
          <w:footerReference w:type="first" r:id="rId13"/>
          <w:pgSz w:w="12240" w:h="15840"/>
          <w:pgMar w:top="1800" w:right="2160" w:bottom="1440" w:left="2160" w:header="720" w:footer="720" w:gutter="0"/>
          <w:pgNumType w:start="1"/>
          <w:cols w:space="720"/>
          <w:titlePg/>
          <w:docGrid w:linePitch="367"/>
        </w:sectPr>
      </w:pPr>
    </w:p>
    <w:p w:rsidR="005F1503" w:rsidRPr="005F1503" w:rsidP="005F1503">
      <w:pPr>
        <w:spacing w:after="0" w:line="240" w:lineRule="auto"/>
        <w:jc w:val="left"/>
        <w:rPr>
          <w:rFonts w:ascii="Times New Roman" w:hAnsi="Times New Roman"/>
          <w:i/>
          <w:sz w:val="20"/>
        </w:rPr>
      </w:pPr>
      <w:r w:rsidRPr="005F1503">
        <w:rPr>
          <w:rFonts w:ascii="Times New Roman" w:hAnsi="Times New Roman"/>
          <w:i/>
          <w:sz w:val="20"/>
        </w:rPr>
        <w:t>See next page for addresses and telephone numbers for counsel who argued in Supreme Court.</w:t>
      </w:r>
    </w:p>
    <w:p w:rsidR="005F1503" w:rsidRPr="005F1503" w:rsidP="005F1503">
      <w:pPr>
        <w:spacing w:after="0" w:line="240" w:lineRule="auto"/>
        <w:jc w:val="left"/>
        <w:rPr>
          <w:rFonts w:ascii="Times New Roman" w:hAnsi="Times New Roman"/>
          <w:i/>
          <w:sz w:val="20"/>
        </w:rPr>
      </w:pP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 xml:space="preserve">Name of Opinion </w:t>
      </w:r>
      <w:r w:rsidRPr="005F1503">
        <w:rPr>
          <w:rFonts w:ascii="Times New Roman" w:hAnsi="Times New Roman"/>
          <w:bCs/>
          <w:sz w:val="20"/>
        </w:rPr>
        <w:t>Weiss v. People ex rel. Department of Transportation</w:t>
      </w:r>
      <w:r w:rsidRPr="005F1503">
        <w:rPr>
          <w:rFonts w:ascii="Times New Roman" w:hAnsi="Times New Roman"/>
          <w:b/>
          <w:sz w:val="20"/>
        </w:rPr>
        <w:t xml:space="preserve"> </w:t>
      </w:r>
      <w:r w:rsidRPr="005F1503">
        <w:rPr>
          <w:rFonts w:ascii="Times New Roman" w:hAnsi="Times New Roman"/>
          <w:bCs/>
          <w:sz w:val="20"/>
        </w:rPr>
        <w:t xml:space="preserve"> </w:t>
      </w:r>
      <w:r w:rsidRPr="005F1503">
        <w:rPr>
          <w:rFonts w:ascii="Times New Roman" w:hAnsi="Times New Roman"/>
          <w:sz w:val="20"/>
        </w:rPr>
        <w:t xml:space="preserve"> </w:t>
      </w:r>
      <w:r w:rsidRPr="005F1503">
        <w:rPr>
          <w:rFonts w:ascii="Times New Roman" w:hAnsi="Times New Roman"/>
          <w:b/>
          <w:sz w:val="20"/>
        </w:rPr>
        <w:t>__________________________________________________________________________________</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Cs/>
          <w:sz w:val="20"/>
        </w:rPr>
      </w:pPr>
      <w:r w:rsidRPr="005F1503">
        <w:rPr>
          <w:rFonts w:ascii="Times New Roman" w:hAnsi="Times New Roman"/>
          <w:b/>
          <w:sz w:val="20"/>
        </w:rPr>
        <w:t>Unpublished Opinion</w:t>
      </w:r>
    </w:p>
    <w:p w:rsidR="005F1503" w:rsidRPr="005F1503" w:rsidP="005F1503">
      <w:pPr>
        <w:spacing w:after="0" w:line="240" w:lineRule="auto"/>
        <w:jc w:val="left"/>
        <w:rPr>
          <w:rFonts w:ascii="Times New Roman" w:hAnsi="Times New Roman"/>
          <w:sz w:val="20"/>
        </w:rPr>
      </w:pPr>
      <w:r w:rsidRPr="005F1503">
        <w:rPr>
          <w:rFonts w:ascii="Times New Roman" w:hAnsi="Times New Roman"/>
          <w:b/>
          <w:sz w:val="20"/>
        </w:rPr>
        <w:t>Original Appeal</w:t>
      </w: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 xml:space="preserve">Original Proceeding </w:t>
      </w:r>
    </w:p>
    <w:p w:rsidR="005F1503" w:rsidRPr="005F1503" w:rsidP="005F1503">
      <w:pPr>
        <w:spacing w:after="0" w:line="240" w:lineRule="auto"/>
        <w:jc w:val="left"/>
        <w:rPr>
          <w:rFonts w:ascii="Times New Roman" w:hAnsi="Times New Roman"/>
          <w:bCs/>
          <w:sz w:val="20"/>
        </w:rPr>
      </w:pPr>
      <w:r w:rsidRPr="005F1503">
        <w:rPr>
          <w:rFonts w:ascii="Times New Roman" w:hAnsi="Times New Roman"/>
          <w:b/>
          <w:sz w:val="20"/>
        </w:rPr>
        <w:t xml:space="preserve">Review Granted </w:t>
      </w:r>
      <w:r w:rsidRPr="005F1503">
        <w:rPr>
          <w:rFonts w:ascii="Times New Roman" w:hAnsi="Times New Roman"/>
          <w:bCs/>
          <w:sz w:val="20"/>
        </w:rPr>
        <w:t>XX 20 Cal.App.5th 1156</w:t>
      </w: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Rehearing Granted</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__________________________________________________________________________________</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Cs/>
          <w:sz w:val="20"/>
        </w:rPr>
      </w:pPr>
      <w:r w:rsidRPr="005F1503">
        <w:rPr>
          <w:rFonts w:ascii="Times New Roman" w:hAnsi="Times New Roman"/>
          <w:b/>
          <w:sz w:val="20"/>
        </w:rPr>
        <w:t>Opinion No.</w:t>
      </w:r>
      <w:r w:rsidRPr="005F1503">
        <w:rPr>
          <w:rFonts w:ascii="Times New Roman" w:hAnsi="Times New Roman"/>
          <w:sz w:val="20"/>
        </w:rPr>
        <w:t xml:space="preserve"> S248141</w:t>
      </w:r>
    </w:p>
    <w:p w:rsidR="005F1503" w:rsidRPr="005F1503" w:rsidP="005F1503">
      <w:pPr>
        <w:spacing w:after="0" w:line="240" w:lineRule="auto"/>
        <w:jc w:val="left"/>
        <w:rPr>
          <w:rFonts w:ascii="Times New Roman" w:hAnsi="Times New Roman"/>
          <w:bCs/>
          <w:sz w:val="20"/>
        </w:rPr>
      </w:pPr>
      <w:r w:rsidRPr="005F1503">
        <w:rPr>
          <w:rFonts w:ascii="Times New Roman" w:hAnsi="Times New Roman"/>
          <w:b/>
          <w:sz w:val="20"/>
        </w:rPr>
        <w:t>Date Filed:</w:t>
      </w:r>
      <w:r w:rsidRPr="005F1503">
        <w:rPr>
          <w:rFonts w:ascii="Times New Roman" w:hAnsi="Times New Roman"/>
          <w:sz w:val="20"/>
        </w:rPr>
        <w:t xml:space="preserve"> July 16, 2020</w:t>
      </w: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__________________________________________________________________________________</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Cs/>
          <w:sz w:val="20"/>
        </w:rPr>
      </w:pPr>
      <w:r w:rsidRPr="005F1503">
        <w:rPr>
          <w:rFonts w:ascii="Times New Roman" w:hAnsi="Times New Roman"/>
          <w:b/>
          <w:sz w:val="20"/>
        </w:rPr>
        <w:t xml:space="preserve">Court:   </w:t>
      </w:r>
      <w:r w:rsidRPr="005F1503">
        <w:rPr>
          <w:rFonts w:ascii="Times New Roman" w:hAnsi="Times New Roman"/>
          <w:bCs/>
          <w:sz w:val="20"/>
        </w:rPr>
        <w:t>Superior</w:t>
      </w:r>
    </w:p>
    <w:p w:rsidR="005F1503" w:rsidRPr="005F1503" w:rsidP="005F1503">
      <w:pPr>
        <w:spacing w:after="0" w:line="240" w:lineRule="auto"/>
        <w:jc w:val="left"/>
        <w:rPr>
          <w:rFonts w:ascii="Times New Roman" w:hAnsi="Times New Roman"/>
          <w:bCs/>
          <w:sz w:val="20"/>
        </w:rPr>
      </w:pPr>
      <w:r w:rsidRPr="005F1503">
        <w:rPr>
          <w:rFonts w:ascii="Times New Roman" w:hAnsi="Times New Roman"/>
          <w:b/>
          <w:sz w:val="20"/>
        </w:rPr>
        <w:t xml:space="preserve">County:  </w:t>
      </w:r>
      <w:r w:rsidRPr="005F1503">
        <w:rPr>
          <w:rFonts w:ascii="Times New Roman" w:hAnsi="Times New Roman"/>
          <w:bCs/>
          <w:sz w:val="20"/>
        </w:rPr>
        <w:t>Orange</w:t>
      </w:r>
    </w:p>
    <w:p w:rsidR="005F1503" w:rsidRPr="005F1503" w:rsidP="005F1503">
      <w:pPr>
        <w:spacing w:after="0" w:line="240" w:lineRule="auto"/>
        <w:ind w:left="720" w:hanging="720"/>
        <w:jc w:val="left"/>
        <w:rPr>
          <w:rFonts w:ascii="Times New Roman" w:hAnsi="Times New Roman"/>
          <w:bCs/>
          <w:sz w:val="20"/>
        </w:rPr>
      </w:pPr>
      <w:r w:rsidRPr="005F1503">
        <w:rPr>
          <w:rFonts w:ascii="Times New Roman" w:hAnsi="Times New Roman"/>
          <w:b/>
          <w:sz w:val="20"/>
        </w:rPr>
        <w:t xml:space="preserve">Judge:  </w:t>
      </w:r>
      <w:r w:rsidRPr="005F1503">
        <w:rPr>
          <w:rFonts w:ascii="Times New Roman" w:hAnsi="Times New Roman"/>
          <w:bCs/>
          <w:sz w:val="20"/>
        </w:rPr>
        <w:t xml:space="preserve"> Kirk H. Nakamura</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__________________________________________________________________________________</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Counsel:</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sz w:val="20"/>
          <w:shd w:val="clear" w:color="auto" w:fill="FFFFFF"/>
        </w:rPr>
      </w:pPr>
      <w:bookmarkStart w:id="226" w:name="_Hlk45195762"/>
      <w:r w:rsidRPr="005F1503">
        <w:rPr>
          <w:rFonts w:ascii="Times New Roman" w:hAnsi="Times New Roman"/>
          <w:sz w:val="20"/>
          <w:bdr w:val="none" w:sz="0" w:space="0" w:color="auto" w:frame="1"/>
        </w:rPr>
        <w:t>Peterson Law Group</w:t>
      </w:r>
      <w:r w:rsidRPr="005F1503">
        <w:rPr>
          <w:rFonts w:ascii="Times New Roman" w:hAnsi="Times New Roman"/>
          <w:sz w:val="20"/>
          <w:shd w:val="clear" w:color="auto" w:fill="FFFFFF"/>
        </w:rPr>
        <w:t xml:space="preserve">, John S. Peterson, </w:t>
      </w:r>
      <w:r w:rsidRPr="005F1503">
        <w:rPr>
          <w:rFonts w:ascii="Times New Roman" w:hAnsi="Times New Roman"/>
          <w:sz w:val="20"/>
          <w:bdr w:val="none" w:sz="0" w:space="0" w:color="auto" w:frame="1"/>
        </w:rPr>
        <w:t>Joseph A. Schwar, Stacy W. Thomsen; Law Office of Martin N. Buchanan and Martin N. Buchanan</w:t>
      </w:r>
      <w:r w:rsidRPr="005F1503">
        <w:rPr>
          <w:rFonts w:ascii="Times New Roman" w:hAnsi="Times New Roman"/>
          <w:sz w:val="20"/>
          <w:shd w:val="clear" w:color="auto" w:fill="FFFFFF"/>
        </w:rPr>
        <w:t xml:space="preserve"> for Plaintiffs and Appellants.</w:t>
      </w:r>
    </w:p>
    <w:p w:rsidR="005F1503" w:rsidRPr="005F1503" w:rsidP="005F1503">
      <w:pPr>
        <w:spacing w:after="0" w:line="240" w:lineRule="auto"/>
        <w:jc w:val="left"/>
        <w:rPr>
          <w:rFonts w:ascii="Times New Roman" w:hAnsi="Times New Roman"/>
          <w:sz w:val="20"/>
          <w:shd w:val="clear" w:color="auto" w:fill="FFFFFF"/>
        </w:rPr>
      </w:pPr>
    </w:p>
    <w:p w:rsidR="005F1503" w:rsidRPr="005F1503" w:rsidP="005F1503">
      <w:pPr>
        <w:spacing w:after="0" w:line="240" w:lineRule="auto"/>
        <w:jc w:val="left"/>
        <w:rPr>
          <w:rFonts w:ascii="Times New Roman" w:hAnsi="Times New Roman"/>
          <w:sz w:val="20"/>
          <w:shd w:val="clear" w:color="auto" w:fill="FFFFFF"/>
        </w:rPr>
      </w:pPr>
      <w:r w:rsidRPr="005F1503">
        <w:rPr>
          <w:rFonts w:ascii="Times New Roman" w:hAnsi="Times New Roman"/>
          <w:sz w:val="20"/>
          <w:shd w:val="clear" w:color="auto" w:fill="FFFFFF"/>
        </w:rPr>
        <w:t>Matteoni, O’Laughlin &amp; Hechtman and Norman E. Matteoni as Amicus Curiae on behalf of Plaintiffs and Appellants.</w:t>
      </w:r>
      <w:r w:rsidRPr="005F1503">
        <w:rPr>
          <w:rFonts w:ascii="Times New Roman" w:hAnsi="Times New Roman"/>
          <w:sz w:val="20"/>
        </w:rPr>
        <w:br/>
      </w:r>
      <w:r w:rsidRPr="005F1503">
        <w:rPr>
          <w:rFonts w:ascii="Times New Roman" w:hAnsi="Times New Roman"/>
          <w:sz w:val="20"/>
        </w:rPr>
        <w:br/>
      </w:r>
      <w:r w:rsidRPr="005F1503">
        <w:rPr>
          <w:rFonts w:ascii="Times New Roman" w:hAnsi="Times New Roman"/>
          <w:sz w:val="20"/>
          <w:bdr w:val="none" w:sz="0" w:space="0" w:color="auto" w:frame="1"/>
        </w:rPr>
        <w:t>Woodruff, Spradlin &amp; Smart</w:t>
      </w:r>
      <w:r w:rsidRPr="005F1503">
        <w:rPr>
          <w:rFonts w:ascii="Times New Roman" w:hAnsi="Times New Roman"/>
          <w:sz w:val="20"/>
          <w:shd w:val="clear" w:color="auto" w:fill="FFFFFF"/>
        </w:rPr>
        <w:t xml:space="preserve">, </w:t>
      </w:r>
      <w:r w:rsidRPr="005F1503">
        <w:rPr>
          <w:rFonts w:ascii="Times New Roman" w:hAnsi="Times New Roman"/>
          <w:sz w:val="20"/>
          <w:bdr w:val="none" w:sz="0" w:space="0" w:color="auto" w:frame="1"/>
        </w:rPr>
        <w:t>Gary C. Weisberg</w:t>
      </w:r>
      <w:r w:rsidRPr="005F1503">
        <w:rPr>
          <w:rFonts w:ascii="Times New Roman" w:hAnsi="Times New Roman"/>
          <w:sz w:val="20"/>
          <w:shd w:val="clear" w:color="auto" w:fill="FFFFFF"/>
        </w:rPr>
        <w:t xml:space="preserve">, Laura A. Morgan and </w:t>
      </w:r>
      <w:r w:rsidRPr="005F1503">
        <w:rPr>
          <w:rFonts w:ascii="Times New Roman" w:hAnsi="Times New Roman"/>
          <w:sz w:val="20"/>
          <w:bdr w:val="none" w:sz="0" w:space="0" w:color="auto" w:frame="1"/>
        </w:rPr>
        <w:t>Esther P. Lin</w:t>
      </w:r>
      <w:r w:rsidRPr="005F1503">
        <w:rPr>
          <w:rFonts w:ascii="Times New Roman" w:hAnsi="Times New Roman"/>
          <w:sz w:val="20"/>
          <w:shd w:val="clear" w:color="auto" w:fill="FFFFFF"/>
        </w:rPr>
        <w:t xml:space="preserve"> for Defendants and Respondents Orange County Transportation Authority and Department of Transportation.</w:t>
      </w:r>
    </w:p>
    <w:p w:rsidR="005F1503" w:rsidRPr="005F1503" w:rsidP="005F1503">
      <w:pPr>
        <w:spacing w:after="0" w:line="240" w:lineRule="auto"/>
        <w:jc w:val="left"/>
        <w:rPr>
          <w:rFonts w:ascii="Times New Roman" w:hAnsi="Times New Roman"/>
          <w:sz w:val="20"/>
          <w:shd w:val="clear" w:color="auto" w:fill="FFFFFF"/>
        </w:rPr>
      </w:pPr>
    </w:p>
    <w:p w:rsidR="005F1503" w:rsidRPr="005F1503" w:rsidP="005F1503">
      <w:pPr>
        <w:spacing w:after="0" w:line="240" w:lineRule="auto"/>
        <w:jc w:val="left"/>
        <w:rPr>
          <w:rFonts w:ascii="Times New Roman" w:hAnsi="Times New Roman"/>
          <w:sz w:val="20"/>
          <w:shd w:val="clear" w:color="auto" w:fill="FFFFFF"/>
        </w:rPr>
      </w:pPr>
      <w:r w:rsidRPr="005F1503">
        <w:rPr>
          <w:rFonts w:ascii="Times New Roman" w:hAnsi="Times New Roman"/>
          <w:sz w:val="20"/>
          <w:bdr w:val="none" w:sz="0" w:space="0" w:color="auto" w:frame="1"/>
        </w:rPr>
        <w:t xml:space="preserve">Colantuono, Highsmith &amp; Whatley, Michael G. Colantuono, Jennifer L. Pancake and Andrew C. Rawcliffe </w:t>
      </w:r>
      <w:r w:rsidRPr="005F1503">
        <w:rPr>
          <w:rFonts w:ascii="Times New Roman" w:hAnsi="Times New Roman"/>
          <w:sz w:val="20"/>
          <w:shd w:val="clear" w:color="auto" w:fill="FFFFFF"/>
        </w:rPr>
        <w:t>for Defendant and Respondent Orange County Transportation Authority.</w:t>
      </w:r>
    </w:p>
    <w:p w:rsidR="005F1503" w:rsidRPr="005F1503" w:rsidP="005F1503">
      <w:pPr>
        <w:spacing w:after="0" w:line="240" w:lineRule="auto"/>
        <w:jc w:val="left"/>
        <w:rPr>
          <w:rFonts w:ascii="Times New Roman" w:hAnsi="Times New Roman"/>
          <w:sz w:val="20"/>
          <w:shd w:val="clear" w:color="auto" w:fill="FFFFFF"/>
        </w:rPr>
      </w:pPr>
    </w:p>
    <w:p w:rsidR="005F1503" w:rsidRPr="005F1503" w:rsidP="005F1503">
      <w:pPr>
        <w:spacing w:after="0" w:line="240" w:lineRule="auto"/>
        <w:jc w:val="left"/>
        <w:rPr>
          <w:rFonts w:ascii="Times New Roman" w:hAnsi="Times New Roman"/>
          <w:sz w:val="20"/>
          <w:shd w:val="clear" w:color="auto" w:fill="FFFFFF"/>
        </w:rPr>
      </w:pPr>
    </w:p>
    <w:p w:rsidR="005F1503" w:rsidRPr="005F1503" w:rsidP="005F1503">
      <w:pPr>
        <w:spacing w:after="0" w:line="240" w:lineRule="auto"/>
        <w:jc w:val="left"/>
        <w:rPr>
          <w:rFonts w:ascii="Times New Roman" w:hAnsi="Times New Roman"/>
          <w:sz w:val="20"/>
          <w:shd w:val="clear" w:color="auto" w:fill="FFFFFF"/>
        </w:rPr>
      </w:pPr>
    </w:p>
    <w:p w:rsidR="005F1503" w:rsidRPr="005F1503" w:rsidP="005F1503">
      <w:pPr>
        <w:spacing w:after="0" w:line="240" w:lineRule="auto"/>
        <w:jc w:val="left"/>
        <w:rPr>
          <w:rFonts w:ascii="Times New Roman" w:hAnsi="Times New Roman"/>
          <w:b/>
          <w:bCs/>
          <w:sz w:val="20"/>
          <w:shd w:val="clear" w:color="auto" w:fill="FFFFFF"/>
        </w:rPr>
      </w:pPr>
    </w:p>
    <w:p w:rsidR="005F1503" w:rsidRPr="005F1503" w:rsidP="005F1503">
      <w:pPr>
        <w:spacing w:after="0" w:line="240" w:lineRule="auto"/>
        <w:jc w:val="left"/>
        <w:rPr>
          <w:rFonts w:ascii="Times New Roman" w:hAnsi="Times New Roman"/>
          <w:sz w:val="20"/>
          <w:shd w:val="clear" w:color="auto" w:fill="FFFFFF"/>
        </w:rPr>
      </w:pPr>
      <w:bookmarkEnd w:id="226"/>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br w:type="page"/>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b/>
          <w:sz w:val="20"/>
        </w:rPr>
      </w:pPr>
      <w:r w:rsidRPr="005F1503">
        <w:rPr>
          <w:rFonts w:ascii="Times New Roman" w:hAnsi="Times New Roman"/>
          <w:b/>
          <w:sz w:val="20"/>
        </w:rPr>
        <w:t>Counsel who argued in Supreme Court (not intended for publication with opinion):</w:t>
      </w:r>
    </w:p>
    <w:p w:rsidR="005F1503" w:rsidRPr="005F1503" w:rsidP="005F1503">
      <w:pPr>
        <w:spacing w:after="0" w:line="240" w:lineRule="auto"/>
        <w:jc w:val="left"/>
        <w:rPr>
          <w:rFonts w:ascii="Times New Roman" w:hAnsi="Times New Roman"/>
          <w:b/>
          <w:sz w:val="20"/>
        </w:rPr>
      </w:pPr>
    </w:p>
    <w:p w:rsidR="005F1503" w:rsidRPr="005F1503" w:rsidP="005F1503">
      <w:pPr>
        <w:spacing w:after="0" w:line="240" w:lineRule="auto"/>
        <w:jc w:val="left"/>
        <w:rPr>
          <w:rFonts w:ascii="Times New Roman" w:hAnsi="Times New Roman"/>
          <w:sz w:val="20"/>
          <w:shd w:val="clear" w:color="auto" w:fill="FFFFFF"/>
        </w:rPr>
      </w:pPr>
      <w:r w:rsidRPr="005F1503">
        <w:rPr>
          <w:rFonts w:ascii="Times New Roman" w:hAnsi="Times New Roman"/>
          <w:sz w:val="20"/>
          <w:shd w:val="clear" w:color="auto" w:fill="FFFFFF"/>
        </w:rPr>
        <w:t>John S. Peterson</w:t>
      </w:r>
    </w:p>
    <w:p w:rsidR="005F1503" w:rsidRPr="005F1503" w:rsidP="005F1503">
      <w:pPr>
        <w:spacing w:after="0" w:line="240" w:lineRule="auto"/>
        <w:jc w:val="left"/>
        <w:rPr>
          <w:rFonts w:ascii="Times New Roman" w:hAnsi="Times New Roman"/>
          <w:sz w:val="20"/>
          <w:shd w:val="clear" w:color="auto" w:fill="FFFFFF"/>
        </w:rPr>
      </w:pPr>
      <w:r w:rsidRPr="005F1503">
        <w:rPr>
          <w:rFonts w:ascii="Times New Roman" w:hAnsi="Times New Roman"/>
          <w:sz w:val="20"/>
          <w:shd w:val="clear" w:color="auto" w:fill="FFFFFF"/>
        </w:rPr>
        <w:t>Peterson Law Group, PC</w:t>
      </w:r>
    </w:p>
    <w:p w:rsidR="005F1503" w:rsidRPr="005F1503" w:rsidP="005F1503">
      <w:pPr>
        <w:spacing w:after="0" w:line="240" w:lineRule="auto"/>
        <w:jc w:val="left"/>
        <w:rPr>
          <w:rFonts w:ascii="Times New Roman" w:hAnsi="Times New Roman"/>
          <w:sz w:val="20"/>
          <w:shd w:val="clear" w:color="auto" w:fill="FFFFFF"/>
        </w:rPr>
      </w:pPr>
      <w:r w:rsidRPr="005F1503">
        <w:rPr>
          <w:rFonts w:ascii="Times New Roman" w:hAnsi="Times New Roman"/>
          <w:sz w:val="20"/>
          <w:shd w:val="clear" w:color="auto" w:fill="FFFFFF"/>
        </w:rPr>
        <w:t>19800 MacArthur Blvd., Suite 290</w:t>
      </w:r>
    </w:p>
    <w:p w:rsidR="005F1503" w:rsidRPr="005F1503" w:rsidP="005F1503">
      <w:pPr>
        <w:spacing w:after="0" w:line="240" w:lineRule="auto"/>
        <w:jc w:val="left"/>
        <w:rPr>
          <w:rFonts w:ascii="Times New Roman" w:hAnsi="Times New Roman"/>
          <w:sz w:val="20"/>
          <w:shd w:val="clear" w:color="auto" w:fill="FFFFFF"/>
        </w:rPr>
      </w:pPr>
      <w:r w:rsidRPr="005F1503">
        <w:rPr>
          <w:rFonts w:ascii="Times New Roman" w:hAnsi="Times New Roman"/>
          <w:sz w:val="20"/>
          <w:shd w:val="clear" w:color="auto" w:fill="FFFFFF"/>
        </w:rPr>
        <w:t>Irvine, CA 92612</w:t>
      </w:r>
    </w:p>
    <w:p w:rsidR="005F1503" w:rsidRPr="005F1503" w:rsidP="005F1503">
      <w:pPr>
        <w:spacing w:after="0" w:line="240" w:lineRule="auto"/>
        <w:jc w:val="left"/>
        <w:rPr>
          <w:rFonts w:ascii="Times New Roman" w:hAnsi="Times New Roman"/>
          <w:sz w:val="20"/>
          <w:shd w:val="clear" w:color="auto" w:fill="FFFFFF"/>
        </w:rPr>
      </w:pPr>
      <w:r w:rsidRPr="005F1503">
        <w:rPr>
          <w:rFonts w:ascii="Times New Roman" w:hAnsi="Times New Roman"/>
          <w:sz w:val="20"/>
          <w:shd w:val="clear" w:color="auto" w:fill="FFFFFF"/>
        </w:rPr>
        <w:t>(949) 955-0127</w:t>
      </w:r>
    </w:p>
    <w:p w:rsidR="005F1503" w:rsidRPr="005F1503" w:rsidP="005F1503">
      <w:pPr>
        <w:spacing w:after="0" w:line="240" w:lineRule="auto"/>
        <w:jc w:val="left"/>
        <w:rPr>
          <w:rFonts w:ascii="Times New Roman" w:hAnsi="Times New Roman"/>
          <w:sz w:val="20"/>
          <w:shd w:val="clear" w:color="auto" w:fill="FFFFFF"/>
        </w:rPr>
      </w:pP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Michael G. Colantuono</w:t>
      </w: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Colantuono, Highsmith &amp; Whatley, PC</w:t>
      </w: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790 E. Colorado Blvd., Suite 850</w:t>
      </w: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Pasadena, CA 91101-2109</w:t>
      </w: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(213) 542-5700</w:t>
      </w:r>
    </w:p>
    <w:p w:rsidR="005F1503" w:rsidRPr="005F1503" w:rsidP="005F1503">
      <w:pPr>
        <w:spacing w:after="0" w:line="240" w:lineRule="auto"/>
        <w:jc w:val="left"/>
        <w:rPr>
          <w:rFonts w:ascii="Times New Roman" w:hAnsi="Times New Roman"/>
          <w:sz w:val="20"/>
          <w:bdr w:val="none" w:sz="0" w:space="0" w:color="auto" w:frame="1"/>
        </w:rPr>
      </w:pP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Gary C. Weisberg</w:t>
      </w: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Woodruff, Spradlin &amp; Smart, APC</w:t>
      </w: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555 Anton Blvd., Suite 1200</w:t>
      </w:r>
    </w:p>
    <w:p w:rsidR="005F1503" w:rsidRPr="005F1503" w:rsidP="005F1503">
      <w:pPr>
        <w:spacing w:after="0" w:line="240" w:lineRule="auto"/>
        <w:jc w:val="left"/>
        <w:rPr>
          <w:rFonts w:ascii="Times New Roman" w:hAnsi="Times New Roman"/>
          <w:sz w:val="20"/>
          <w:bdr w:val="none" w:sz="0" w:space="0" w:color="auto" w:frame="1"/>
        </w:rPr>
      </w:pPr>
      <w:r w:rsidRPr="005F1503">
        <w:rPr>
          <w:rFonts w:ascii="Times New Roman" w:hAnsi="Times New Roman"/>
          <w:sz w:val="20"/>
          <w:bdr w:val="none" w:sz="0" w:space="0" w:color="auto" w:frame="1"/>
        </w:rPr>
        <w:t>Costa Mesa, CA 92626-7670</w:t>
      </w:r>
    </w:p>
    <w:p w:rsidR="005F1503" w:rsidRPr="005F1503" w:rsidP="005F1503">
      <w:pPr>
        <w:spacing w:after="0" w:line="240" w:lineRule="auto"/>
        <w:jc w:val="left"/>
        <w:rPr>
          <w:rFonts w:ascii="Times New Roman" w:hAnsi="Times New Roman"/>
          <w:sz w:val="20"/>
        </w:rPr>
      </w:pPr>
      <w:r w:rsidRPr="005F1503">
        <w:rPr>
          <w:rFonts w:ascii="Times New Roman" w:hAnsi="Times New Roman"/>
          <w:sz w:val="20"/>
          <w:bdr w:val="none" w:sz="0" w:space="0" w:color="auto" w:frame="1"/>
        </w:rPr>
        <w:t>(714) 558-7000</w:t>
      </w:r>
    </w:p>
    <w:p w:rsidR="00046B99" w:rsidRPr="00BA2301" w:rsidP="00BA2301">
      <w:pPr>
        <w:rPr>
          <w:b/>
        </w:rPr>
      </w:pPr>
    </w:p>
    <w:sectPr>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56C">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0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56C">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56C">
    <w:pPr>
      <w:pStyle w:val="Footer"/>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1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19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54F3">
      <w:r>
        <w:separator/>
      </w:r>
    </w:p>
  </w:footnote>
  <w:footnote w:type="continuationSeparator" w:id="1">
    <w:p w:rsidR="001A54F3">
      <w:pPr>
        <w:rPr>
          <w:sz w:val="22"/>
        </w:rPr>
      </w:pPr>
      <w:r w:rsidRPr="00BA2301">
        <w:continuationSeparator/>
      </w:r>
    </w:p>
  </w:footnote>
  <w:footnote w:type="continuationNotice" w:id="2">
    <w:p w:rsidR="001A54F3">
      <w:pPr>
        <w:jc w:val="right"/>
        <w:rPr>
          <w:i/>
          <w:sz w:val="20"/>
        </w:rPr>
      </w:pPr>
    </w:p>
  </w:footnote>
  <w:footnote w:id="3">
    <w:p w:rsidR="008F356C" w:rsidRPr="008C0627" w:rsidP="00BA2301">
      <w:pPr>
        <w:pStyle w:val="FootnoteText"/>
      </w:pPr>
      <w:r w:rsidRPr="008C0627">
        <w:rPr>
          <w:rStyle w:val="FootnoteReference"/>
        </w:rPr>
        <w:footnoteRef/>
      </w:r>
      <w:r w:rsidRPr="008C0627">
        <w:tab/>
        <w:t>Unless otherwise noted, all further statutory references are to the Code of Civil Procedure.</w:t>
      </w:r>
    </w:p>
  </w:footnote>
  <w:footnote w:id="4">
    <w:p w:rsidR="004C4ED1" w:rsidRPr="008C0627" w:rsidP="004C4ED1">
      <w:pPr>
        <w:pStyle w:val="FootnoteText"/>
      </w:pPr>
      <w:r w:rsidRPr="008C0627">
        <w:rPr>
          <w:rStyle w:val="FootnoteReference"/>
        </w:rPr>
        <w:footnoteRef/>
      </w:r>
      <w:r w:rsidRPr="008C0627">
        <w:tab/>
        <w:t>We use “public entity” as shorthand:  Certain “quasi-public entities” are authorized by statute to utilize the eminent domain power as well.  (§§ 1240.040, 1245.320</w:t>
      </w:r>
      <w:r>
        <w:t>,</w:t>
      </w:r>
      <w:r w:rsidRPr="008C0627">
        <w:t xml:space="preserve"> 1245.326.)</w:t>
      </w:r>
    </w:p>
  </w:footnote>
  <w:footnote w:id="5">
    <w:p w:rsidR="008F356C" w:rsidRPr="008C0627" w:rsidP="005A79F7">
      <w:pPr>
        <w:pStyle w:val="FootnoteText"/>
      </w:pPr>
      <w:r w:rsidRPr="008C0627">
        <w:rPr>
          <w:rStyle w:val="FootnoteReference"/>
        </w:rPr>
        <w:footnoteRef/>
      </w:r>
      <w:r w:rsidRPr="008C0627">
        <w:tab/>
        <w:t xml:space="preserve">As the Court of Appeal recognized, the property owners in </w:t>
      </w:r>
      <w:bookmarkStart w:id="30" w:name="Psych_Cite_202"/>
      <w:r w:rsidRPr="008C0627">
        <w:rPr>
          <w:i/>
        </w:rPr>
        <w:t>Dina</w:t>
      </w:r>
      <w:r w:rsidR="00604AA4">
        <w:rPr>
          <w:i/>
        </w:rPr>
        <w:t>,</w:t>
      </w:r>
      <w:r w:rsidRPr="00604AA4" w:rsidR="00604AA4">
        <w:rPr>
          <w:i/>
        </w:rPr>
        <w:t xml:space="preserve"> </w:t>
      </w:r>
      <w:r w:rsidRPr="008C0627" w:rsidR="00604AA4">
        <w:rPr>
          <w:i/>
        </w:rPr>
        <w:t>supra</w:t>
      </w:r>
      <w:r w:rsidRPr="008C0627" w:rsidR="00604AA4">
        <w:t>, 151 Cal.App.4th 1029</w:t>
      </w:r>
      <w:bookmarkEnd w:id="30"/>
      <w:r w:rsidRPr="008C0627">
        <w:t xml:space="preserve"> did not object to the use of </w:t>
      </w:r>
      <w:bookmarkStart w:id="31" w:name="Psych_Cite_204"/>
      <w:r w:rsidRPr="008C0627">
        <w:t>section 1260.040</w:t>
      </w:r>
      <w:bookmarkEnd w:id="31"/>
      <w:r w:rsidRPr="008C0627">
        <w:t xml:space="preserve"> on the ground that the action “</w:t>
      </w:r>
      <w:bookmarkStart w:id="32" w:name="QUOTE_BOOKMARK_IS_CONFIRMED_2"/>
      <w:r w:rsidR="00A847F5">
        <w:t xml:space="preserve"> </w:t>
      </w:r>
      <w:r w:rsidR="00BC5CA1">
        <w:t>‘involved inverse condemnation rather than eminent domain.’</w:t>
      </w:r>
      <w:bookmarkEnd w:id="32"/>
      <w:r w:rsidR="00A847F5">
        <w:t xml:space="preserve"> </w:t>
      </w:r>
      <w:r w:rsidRPr="008C0627">
        <w:t>”  (</w:t>
      </w:r>
      <w:bookmarkStart w:id="33" w:name="Psych_Cite_203"/>
      <w:r w:rsidRPr="008C0627">
        <w:rPr>
          <w:i/>
        </w:rPr>
        <w:t>Weiss</w:t>
      </w:r>
      <w:r w:rsidRPr="008C0627">
        <w:t xml:space="preserve">, </w:t>
      </w:r>
      <w:r w:rsidRPr="008C0627">
        <w:rPr>
          <w:i/>
        </w:rPr>
        <w:t>supra</w:t>
      </w:r>
      <w:r w:rsidRPr="008C0627">
        <w:t>, 20 Cal.App.5th at p. 1170</w:t>
      </w:r>
      <w:bookmarkEnd w:id="33"/>
      <w:r w:rsidRPr="008C0627">
        <w:t>.)</w:t>
      </w:r>
    </w:p>
  </w:footnote>
  <w:footnote w:id="6">
    <w:p w:rsidR="008F356C" w:rsidRPr="008C0627" w:rsidP="00BA2301">
      <w:pPr>
        <w:tabs>
          <w:tab w:val="left" w:pos="720"/>
        </w:tabs>
        <w:spacing w:line="300" w:lineRule="exact"/>
      </w:pPr>
      <w:r w:rsidRPr="008C0627">
        <w:rPr>
          <w:rStyle w:val="FootnoteReference"/>
        </w:rPr>
        <w:footnoteRef/>
      </w:r>
      <w:r w:rsidRPr="008C0627">
        <w:tab/>
        <w:t xml:space="preserve">Because inverse condemnation actions usually involve issues of liability (on which there is no jury trial right) in addition to issues concerning the amount of compensation due (on which there is a right to a jury trial), trial courts often bifurcate inverse condemnation actions and decide them in two phases.  In the first phase, the court determines whether the public entity’s actions have resulted in compensable taking or damage via dispositive motions or, when necessary, a bench trial.  In the second phase, if there is one, a jury determines the amount of compensation due.  (Matteoni, </w:t>
      </w:r>
      <w:r w:rsidRPr="008C0627">
        <w:rPr>
          <w:i/>
        </w:rPr>
        <w:t>supra</w:t>
      </w:r>
      <w:r w:rsidRPr="008C0627">
        <w:t xml:space="preserve">, § </w:t>
      </w:r>
      <w:bookmarkStart w:id="88" w:name="Psych_Cite_205"/>
      <w:r w:rsidRPr="008C0627">
        <w:t>17.8</w:t>
      </w:r>
      <w:bookmarkEnd w:id="88"/>
      <w:r w:rsidRPr="008C0627">
        <w:t xml:space="preserve">; </w:t>
      </w:r>
      <w:r w:rsidRPr="008C0627">
        <w:rPr>
          <w:i/>
        </w:rPr>
        <w:t>He</w:t>
      </w:r>
      <w:bookmarkStart w:id="89" w:name="Psych_Cite_206"/>
      <w:r w:rsidRPr="008C0627">
        <w:rPr>
          <w:i/>
        </w:rPr>
        <w:t>aling</w:t>
      </w:r>
      <w:r w:rsidRPr="008C0627">
        <w:t>,</w:t>
      </w:r>
      <w:r w:rsidRPr="008C0627">
        <w:rPr>
          <w:i/>
        </w:rPr>
        <w:t xml:space="preserve"> supra</w:t>
      </w:r>
      <w:r w:rsidRPr="008C0627">
        <w:t>, 22 Cal.App.4th at p. 1170</w:t>
      </w:r>
      <w:bookmarkEnd w:id="89"/>
      <w:r w:rsidRPr="008C0627">
        <w:t>.)</w:t>
      </w:r>
    </w:p>
    <w:p w:rsidR="008F356C" w:rsidRPr="008C0627">
      <w:pPr>
        <w:pStyle w:val="FootnoteText"/>
        <w:spacing w:after="120"/>
      </w:pPr>
    </w:p>
  </w:footnote>
  <w:footnote w:id="7">
    <w:p w:rsidR="00B75495" w:rsidRPr="008C0627" w:rsidP="00B75495">
      <w:pPr>
        <w:pStyle w:val="FootnoteText"/>
      </w:pPr>
      <w:r w:rsidRPr="008C0627">
        <w:rPr>
          <w:rStyle w:val="FootnoteReference"/>
        </w:rPr>
        <w:footnoteRef/>
      </w:r>
      <w:r w:rsidRPr="008C0627">
        <w:tab/>
        <w:t xml:space="preserve">The Agencies also rely on </w:t>
      </w:r>
      <w:r w:rsidRPr="008C0627">
        <w:rPr>
          <w:i/>
        </w:rPr>
        <w:t>Dina</w:t>
      </w:r>
      <w:r>
        <w:rPr>
          <w:i/>
        </w:rPr>
        <w:t xml:space="preserve"> </w:t>
      </w:r>
      <w:r w:rsidRPr="008C0627">
        <w:rPr>
          <w:i/>
        </w:rPr>
        <w:t>v. People ex rel. Dept. of Transportation</w:t>
      </w:r>
      <w:r w:rsidRPr="005237B4">
        <w:rPr>
          <w:i/>
          <w:iCs/>
        </w:rPr>
        <w:t>,</w:t>
      </w:r>
      <w:r w:rsidRPr="008C0627">
        <w:t xml:space="preserve"> </w:t>
      </w:r>
      <w:r w:rsidRPr="008C0627">
        <w:rPr>
          <w:i/>
        </w:rPr>
        <w:t>supra</w:t>
      </w:r>
      <w:r w:rsidRPr="008C0627">
        <w:t>, 151 Cal.App.4th 1029,</w:t>
      </w:r>
      <w:r>
        <w:t xml:space="preserve"> </w:t>
      </w:r>
      <w:r w:rsidRPr="008C0627">
        <w:t xml:space="preserve">at pp. 1044–1045 in support of their argument that the authority to </w:t>
      </w:r>
      <w:r>
        <w:t xml:space="preserve">“judicially </w:t>
      </w:r>
      <w:r w:rsidRPr="008C0627">
        <w:t>import</w:t>
      </w:r>
      <w:r>
        <w:t>”</w:t>
      </w:r>
      <w:r w:rsidRPr="008C0627">
        <w:t xml:space="preserve"> provisions of the Eminent Domain Law into the inverse condemnation context extends to section 1260.040.  </w:t>
      </w:r>
      <w:r>
        <w:rPr>
          <w:szCs w:val="26"/>
        </w:rPr>
        <w:t>Although</w:t>
      </w:r>
      <w:r w:rsidRPr="008C0627">
        <w:rPr>
          <w:szCs w:val="26"/>
        </w:rPr>
        <w:t xml:space="preserve"> </w:t>
      </w:r>
      <w:r w:rsidRPr="008C0627">
        <w:rPr>
          <w:i/>
          <w:szCs w:val="26"/>
        </w:rPr>
        <w:t>Dina</w:t>
      </w:r>
      <w:r>
        <w:rPr>
          <w:i/>
          <w:szCs w:val="26"/>
        </w:rPr>
        <w:t xml:space="preserve"> </w:t>
      </w:r>
      <w:r>
        <w:rPr>
          <w:szCs w:val="26"/>
        </w:rPr>
        <w:t xml:space="preserve">may be correct </w:t>
      </w:r>
      <w:r w:rsidRPr="008C0627">
        <w:rPr>
          <w:szCs w:val="26"/>
        </w:rPr>
        <w:t>that “[n]othing in</w:t>
      </w:r>
      <w:r>
        <w:rPr>
          <w:szCs w:val="26"/>
        </w:rPr>
        <w:t xml:space="preserve"> the language of</w:t>
      </w:r>
      <w:r w:rsidRPr="008C0627">
        <w:rPr>
          <w:szCs w:val="26"/>
        </w:rPr>
        <w:t xml:space="preserve"> section 1260.040 or its legislative history bars a party from seeking an order on a legal issue that disposes of an inverse condemnation action”</w:t>
      </w:r>
      <w:r>
        <w:rPr>
          <w:szCs w:val="26"/>
        </w:rPr>
        <w:t xml:space="preserve"> (</w:t>
      </w:r>
      <w:r w:rsidRPr="0049372B">
        <w:rPr>
          <w:i/>
          <w:szCs w:val="26"/>
        </w:rPr>
        <w:t>id</w:t>
      </w:r>
      <w:r>
        <w:rPr>
          <w:szCs w:val="26"/>
        </w:rPr>
        <w:t xml:space="preserve">. at p. 1044), that does not mean we should “import” section 1260.040 into inverse condemnation procedure.  </w:t>
      </w:r>
      <w:r w:rsidRPr="008C0627">
        <w:t>As the Agencies acknowledge, nothing in the statutory language or legislative history suggests the Legislature intended section 1260.040 motions to be used in inverse condemnation proceedings.</w:t>
      </w:r>
      <w:r>
        <w:t xml:space="preserve"> </w:t>
      </w:r>
      <w:r w:rsidRPr="008C0627">
        <w:t xml:space="preserve">We disapprove </w:t>
      </w:r>
      <w:r w:rsidRPr="008C0627">
        <w:rPr>
          <w:i/>
        </w:rPr>
        <w:t>Dina</w:t>
      </w:r>
      <w:r w:rsidRPr="008C0627">
        <w:t xml:space="preserve"> to the extent it is inconsistent with </w:t>
      </w:r>
      <w:r>
        <w:t>our</w:t>
      </w:r>
      <w:r w:rsidRPr="008C0627">
        <w:t xml:space="preserve"> </w:t>
      </w:r>
      <w:r>
        <w:t>reasoning</w:t>
      </w:r>
      <w:r w:rsidRPr="008C0627">
        <w:t>.</w:t>
      </w:r>
    </w:p>
  </w:footnote>
  <w:footnote w:id="8">
    <w:p w:rsidR="008F356C" w:rsidRPr="008C0627">
      <w:pPr>
        <w:pStyle w:val="FootnoteText"/>
      </w:pPr>
      <w:r w:rsidRPr="008C0627">
        <w:rPr>
          <w:rStyle w:val="FootnoteReference"/>
        </w:rPr>
        <w:footnoteRef/>
      </w:r>
      <w:r w:rsidRPr="008C0627">
        <w:t xml:space="preserve"> </w:t>
      </w:r>
      <w:r w:rsidRPr="008C0627">
        <w:tab/>
        <w:t xml:space="preserve">The ways in which trial courts in eminent domain actions have used the </w:t>
      </w:r>
      <w:bookmarkStart w:id="166" w:name="Psych_Cite_210"/>
      <w:r w:rsidRPr="008C0627">
        <w:t>section 1260.040</w:t>
      </w:r>
      <w:bookmarkEnd w:id="166"/>
      <w:r w:rsidRPr="008C0627">
        <w:t xml:space="preserve"> motion procedure are consistent with this specific purpose.  For example, they have used the procedure to determine whether to exclude expert testimony based on a disputed valuation method and to determine whether a business owner is entitled to compensation for loss of business goodwill.  (</w:t>
      </w:r>
      <w:bookmarkStart w:id="167" w:name="Psych_Cite_208"/>
      <w:r w:rsidRPr="008C0627">
        <w:rPr>
          <w:i/>
        </w:rPr>
        <w:t>Central Valley Gas Storage, LLC v. Southam</w:t>
      </w:r>
      <w:r w:rsidRPr="008C0627">
        <w:t xml:space="preserve"> (2017) 11 Cal.App.5th 686, 689–691 (</w:t>
      </w:r>
      <w:r w:rsidRPr="008C0627">
        <w:rPr>
          <w:i/>
        </w:rPr>
        <w:t>Gas Storage</w:t>
      </w:r>
      <w:r w:rsidRPr="008C0627">
        <w:t xml:space="preserve">); </w:t>
      </w:r>
      <w:bookmarkEnd w:id="167"/>
      <w:r w:rsidRPr="008C0627">
        <w:rPr>
          <w:i/>
        </w:rPr>
        <w:t>L</w:t>
      </w:r>
      <w:bookmarkStart w:id="168" w:name="Psych_Cite_209"/>
      <w:r w:rsidRPr="008C0627">
        <w:rPr>
          <w:i/>
        </w:rPr>
        <w:t>os Angeles Unified School Dist. v. Pulgarin</w:t>
      </w:r>
      <w:r w:rsidRPr="008C0627">
        <w:t xml:space="preserve"> (2009) 175 Cal.App.4th 101, 104 (</w:t>
      </w:r>
      <w:r w:rsidRPr="008C0627">
        <w:rPr>
          <w:i/>
        </w:rPr>
        <w:t>Pulgarin</w:t>
      </w:r>
      <w:r w:rsidRPr="008C0627">
        <w:t>)</w:t>
      </w:r>
      <w:bookmarkEnd w:id="168"/>
      <w:r w:rsidRPr="008C0627">
        <w:t xml:space="preserve">.)  </w:t>
      </w:r>
    </w:p>
  </w:footnote>
  <w:footnote w:id="9">
    <w:p w:rsidR="008F356C" w:rsidRPr="008C0627" w:rsidP="00BA2301">
      <w:pPr>
        <w:pStyle w:val="FootnoteText"/>
      </w:pPr>
      <w:r w:rsidRPr="008C0627">
        <w:rPr>
          <w:rStyle w:val="FootnoteReference"/>
        </w:rPr>
        <w:footnoteRef/>
      </w:r>
      <w:r w:rsidRPr="008C0627">
        <w:tab/>
        <w:t xml:space="preserve">The Agencies argue that importing </w:t>
      </w:r>
      <w:bookmarkStart w:id="170" w:name="Psych_Cite_211"/>
      <w:r w:rsidRPr="008C0627">
        <w:t>section 1260.040</w:t>
      </w:r>
      <w:bookmarkEnd w:id="170"/>
      <w:r w:rsidRPr="008C0627">
        <w:t xml:space="preserve"> into inverse condemnation procedure would promote settlement because the prospect that public entities might be required to pay prevailing property owners’ litigation expenses under </w:t>
      </w:r>
      <w:bookmarkStart w:id="171" w:name="Psych_Cite_212"/>
      <w:r w:rsidRPr="008C0627">
        <w:t>section 1036</w:t>
      </w:r>
      <w:bookmarkEnd w:id="171"/>
      <w:r w:rsidRPr="008C0627">
        <w:t xml:space="preserve"> provides public entities an incentive to settle once liability is found.  This argument, too, ignores the specific way in which </w:t>
      </w:r>
      <w:bookmarkStart w:id="172" w:name="Psych_Cite_213"/>
      <w:r w:rsidRPr="008C0627">
        <w:t>section 1260.040</w:t>
      </w:r>
      <w:bookmarkEnd w:id="172"/>
      <w:r w:rsidRPr="008C0627">
        <w:t xml:space="preserve"> was intended to promote settlement of eminent domain actions, i.e., by clarifying the range of compensation a jury could award.  To the extent </w:t>
      </w:r>
      <w:bookmarkStart w:id="173" w:name="Psych_Cite_214"/>
      <w:r w:rsidRPr="008C0627">
        <w:t>section 1260.040</w:t>
      </w:r>
      <w:bookmarkEnd w:id="173"/>
      <w:r w:rsidRPr="008C0627">
        <w:t xml:space="preserve"> and </w:t>
      </w:r>
      <w:bookmarkStart w:id="174" w:name="Psych_Cite_215"/>
      <w:r w:rsidRPr="008C0627">
        <w:t>section 1036</w:t>
      </w:r>
      <w:bookmarkEnd w:id="174"/>
      <w:r w:rsidRPr="008C0627">
        <w:t xml:space="preserve"> would operate in conjunction to promote settlement of inverse condemnation actions, they would do so by making it clear before trial that a public entity will have to pay the property owner’s litigation expenses.  </w:t>
      </w:r>
      <w:bookmarkStart w:id="175" w:name="Psych_Cite_216"/>
      <w:r w:rsidRPr="008C0627">
        <w:t>Section 1260.040</w:t>
      </w:r>
      <w:bookmarkEnd w:id="175"/>
      <w:r w:rsidRPr="008C0627">
        <w:t xml:space="preserve"> does not serve that function in eminent domain proceedings</w:t>
      </w:r>
      <w:r w:rsidR="00D67A67">
        <w:t xml:space="preserve"> for two reasons</w:t>
      </w:r>
      <w:r w:rsidRPr="008C0627">
        <w:t xml:space="preserve">.  First, the public entity’s liability is established at the outset of an eminent domain action.  And second, </w:t>
      </w:r>
      <w:bookmarkStart w:id="176" w:name="Psych_Cite_217"/>
      <w:r w:rsidRPr="008C0627">
        <w:t>section 1036</w:t>
      </w:r>
      <w:bookmarkEnd w:id="176"/>
      <w:r w:rsidRPr="008C0627">
        <w:t xml:space="preserve"> does not apply in eminent domain proceedings</w:t>
      </w:r>
      <w:r w:rsidRPr="008C0627" w:rsidR="00561647">
        <w:t xml:space="preserve">, where </w:t>
      </w:r>
      <w:r w:rsidRPr="008C0627">
        <w:t xml:space="preserve">the award of litigation expenses </w:t>
      </w:r>
      <w:r w:rsidRPr="008C0627" w:rsidR="00561647">
        <w:t xml:space="preserve">is instead </w:t>
      </w:r>
      <w:r w:rsidRPr="008C0627">
        <w:t xml:space="preserve">governed by </w:t>
      </w:r>
      <w:bookmarkStart w:id="177" w:name="Psych_Cite_218"/>
      <w:r w:rsidRPr="008C0627">
        <w:t>section 1250.410</w:t>
      </w:r>
      <w:bookmarkEnd w:id="177"/>
      <w:r w:rsidRPr="008C0627" w:rsidR="00561647">
        <w:t>.</w:t>
      </w:r>
    </w:p>
  </w:footnote>
  <w:footnote w:id="10">
    <w:p w:rsidR="00B852C4" w:rsidRPr="008C0627" w:rsidP="00B852C4">
      <w:pPr>
        <w:pStyle w:val="FootnoteText"/>
      </w:pPr>
      <w:r w:rsidRPr="008C0627">
        <w:rPr>
          <w:rStyle w:val="FootnoteReference"/>
        </w:rPr>
        <w:footnoteRef/>
      </w:r>
      <w:r w:rsidRPr="008C0627">
        <w:t xml:space="preserve"> </w:t>
      </w:r>
      <w:r w:rsidRPr="008C0627">
        <w:tab/>
        <w:t xml:space="preserve">We offer no view on whether, in an eminent domain action, a </w:t>
      </w:r>
      <w:bookmarkStart w:id="188" w:name="Psych_Cite_219"/>
      <w:r w:rsidRPr="008C0627">
        <w:t>section 1260.040</w:t>
      </w:r>
      <w:bookmarkEnd w:id="188"/>
      <w:r w:rsidRPr="008C0627">
        <w:t xml:space="preserve"> proceeding may properly be used in the manner the Agencies have asserted it can be used in the instant inverse condemnation proceedings—to weigh evidence and resolve factual disputes material to liability issues without a bench trial. </w:t>
      </w:r>
    </w:p>
  </w:footnote>
  <w:footnote w:id="11">
    <w:p w:rsidR="008F356C" w:rsidRPr="008C0627">
      <w:pPr>
        <w:pStyle w:val="FootnoteText"/>
      </w:pPr>
      <w:r w:rsidRPr="008C0627">
        <w:rPr>
          <w:rStyle w:val="FootnoteReference"/>
        </w:rPr>
        <w:footnoteRef/>
      </w:r>
      <w:r w:rsidRPr="008C0627">
        <w:t xml:space="preserve"> </w:t>
      </w:r>
      <w:r w:rsidRPr="008C0627">
        <w:tab/>
      </w:r>
      <w:r w:rsidR="00AE4981">
        <w:t>The Agencies do not argue that</w:t>
      </w:r>
      <w:r w:rsidR="005D017F">
        <w:t>,</w:t>
      </w:r>
      <w:r w:rsidR="00AE4981">
        <w:t xml:space="preserve"> if the trial court erred in entering judgment in response to their </w:t>
      </w:r>
      <w:r w:rsidRPr="008C0627">
        <w:t xml:space="preserve">nonstatutory </w:t>
      </w:r>
      <w:r w:rsidR="00AE4981">
        <w:t>motion, that error was harmless</w:t>
      </w:r>
      <w:r w:rsidRPr="008C0627">
        <w:t xml:space="preserve">.  </w:t>
      </w:r>
      <w:r w:rsidR="00AE4981">
        <w:t>W</w:t>
      </w:r>
      <w:r w:rsidRPr="008C0627">
        <w:t xml:space="preserve">e </w:t>
      </w:r>
      <w:r w:rsidR="00AE4981">
        <w:t xml:space="preserve">therefore </w:t>
      </w:r>
      <w:r w:rsidRPr="008C0627">
        <w:t xml:space="preserve">do not </w:t>
      </w:r>
      <w:r w:rsidR="00316372">
        <w:t>consider</w:t>
      </w:r>
      <w:r w:rsidRPr="008C0627" w:rsidR="00316372">
        <w:t xml:space="preserve"> </w:t>
      </w:r>
      <w:r w:rsidRPr="008C0627">
        <w:t>th</w:t>
      </w:r>
      <w:r w:rsidR="00316372">
        <w:t>at</w:t>
      </w:r>
      <w:r w:rsidRPr="008C0627">
        <w:t xml:space="preserve"> question.</w:t>
      </w:r>
    </w:p>
  </w:footnote>
  <w:footnote w:id="12">
    <w:p w:rsidR="00687731" w:rsidP="00687731">
      <w:pPr>
        <w:pStyle w:val="FootnoteText"/>
      </w:pPr>
      <w:r w:rsidRPr="008C0627">
        <w:rPr>
          <w:rStyle w:val="FootnoteReference"/>
        </w:rPr>
        <w:footnoteRef/>
      </w:r>
      <w:r w:rsidRPr="008C0627">
        <w:rPr>
          <w:sz w:val="26"/>
        </w:rPr>
        <w:t xml:space="preserve"> </w:t>
      </w:r>
      <w:r w:rsidRPr="008C0627">
        <w:rPr>
          <w:sz w:val="26"/>
        </w:rPr>
        <w:tab/>
        <w:t xml:space="preserve">We note the Property Owners argued in the Court of Appeal that the trial court erred by requiring them to </w:t>
      </w:r>
      <w:r w:rsidRPr="008C0627">
        <w:t xml:space="preserve">show that their properties were the only ones in the neighborhood that experienced an increase in noise, vibrations, dust, and glare.  </w:t>
      </w:r>
      <w:r w:rsidRPr="008C0627" w:rsidR="007C45A3">
        <w:rPr>
          <w:sz w:val="26"/>
        </w:rPr>
        <w:t>This question is not before us and we</w:t>
      </w:r>
      <w:r w:rsidRPr="008C0627">
        <w:rPr>
          <w:sz w:val="26"/>
        </w:rPr>
        <w:t xml:space="preserve"> express no view on </w:t>
      </w:r>
      <w:r w:rsidRPr="008C0627" w:rsidR="007C45A3">
        <w:rPr>
          <w:sz w:val="26"/>
        </w:rPr>
        <w:t>it</w:t>
      </w:r>
      <w:r w:rsidRPr="008C0627">
        <w:rPr>
          <w:sz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56C">
    <w:pPr>
      <w:pStyle w:val="Header"/>
    </w:pPr>
    <w:r>
      <w:t xml:space="preserve">Evan Weiss, et al., v. The People ex rel. Department of Transportation et al.,                           </w:t>
    </w:r>
  </w:p>
  <w:p w:rsidR="008F356C">
    <w:pPr>
      <w:pStyle w:val="Header"/>
    </w:pPr>
    <w:r>
      <w:t>Opinion of the Court by J. Groban</w:t>
    </w:r>
  </w:p>
  <w:p w:rsidR="008F3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0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56C" w:rsidP="006170A4">
    <w:pPr>
      <w:pStyle w:val="Header"/>
    </w:pPr>
    <w:r>
      <w:t>WEISS</w:t>
    </w:r>
    <w:r w:rsidR="006170A4">
      <w:t xml:space="preserve"> </w:t>
    </w:r>
    <w:r>
      <w:t xml:space="preserve">v. PEOPLE ex rel. DEPARTMENT OF TRANSPORTATION </w:t>
    </w:r>
  </w:p>
  <w:p w:rsidR="008F356C">
    <w:pPr>
      <w:pStyle w:val="Header"/>
    </w:pPr>
    <w:r>
      <w:t>Opinion of the Court by Groban</w:t>
    </w:r>
    <w:r w:rsidR="006170A4">
      <w:t>, J.</w:t>
    </w:r>
  </w:p>
  <w:p w:rsidR="008F35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1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1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A2C64"/>
    <w:multiLevelType w:val="hybridMultilevel"/>
    <w:tmpl w:val="306ABB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B247119"/>
    <w:multiLevelType w:val="hybridMultilevel"/>
    <w:tmpl w:val="B836996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8BF591E"/>
    <w:multiLevelType w:val="hybridMultilevel"/>
    <w:tmpl w:val="FD0C73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9C79E5"/>
    <w:multiLevelType w:val="hybridMultilevel"/>
    <w:tmpl w:val="55760A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4945AFC"/>
    <w:multiLevelType w:val="hybridMultilevel"/>
    <w:tmpl w:val="9CA294A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69C"/>
    <w:pPr>
      <w:spacing w:after="100" w:line="400" w:lineRule="exact"/>
      <w:jc w:val="both"/>
    </w:pPr>
    <w:rPr>
      <w:rFonts w:ascii="Century Schoolbook" w:hAnsi="Century Schoolbook"/>
      <w:sz w:val="27"/>
    </w:rPr>
  </w:style>
  <w:style w:type="paragraph" w:styleId="Heading1">
    <w:name w:val="heading 1"/>
    <w:basedOn w:val="Normal"/>
    <w:next w:val="Normal"/>
    <w:qFormat/>
    <w:rsid w:val="00DD269C"/>
    <w:pPr>
      <w:keepNext/>
      <w:spacing w:before="140" w:line="240" w:lineRule="atLeast"/>
      <w:jc w:val="center"/>
      <w:outlineLvl w:val="0"/>
    </w:pPr>
    <w:rPr>
      <w:b/>
      <w:smallCaps/>
    </w:rPr>
  </w:style>
  <w:style w:type="paragraph" w:styleId="Heading2">
    <w:name w:val="heading 2"/>
    <w:basedOn w:val="Normal"/>
    <w:next w:val="Normal"/>
    <w:qFormat/>
    <w:rsid w:val="00DD269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D269C"/>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DD269C"/>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DD269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C5ADD"/>
    <w:pPr>
      <w:ind w:left="720"/>
    </w:pPr>
  </w:style>
  <w:style w:type="paragraph" w:styleId="Footer">
    <w:name w:val="footer"/>
    <w:basedOn w:val="Normal"/>
    <w:qFormat/>
    <w:rsid w:val="00DD269C"/>
    <w:pPr>
      <w:tabs>
        <w:tab w:val="center" w:pos="3960"/>
        <w:tab w:val="right" w:pos="10080"/>
      </w:tabs>
      <w:spacing w:after="0" w:line="240" w:lineRule="auto"/>
      <w:jc w:val="center"/>
    </w:pPr>
    <w:rPr>
      <w:sz w:val="22"/>
    </w:rPr>
  </w:style>
  <w:style w:type="paragraph" w:styleId="Header">
    <w:name w:val="header"/>
    <w:basedOn w:val="Normal"/>
    <w:qFormat/>
    <w:rsid w:val="00DD269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D269C"/>
    <w:rPr>
      <w:rFonts w:ascii="Century Schoolbook" w:hAnsi="Century Schoolbook"/>
      <w:b/>
      <w:i w:val="0"/>
      <w:position w:val="4"/>
      <w:sz w:val="27"/>
      <w:vertAlign w:val="superscript"/>
    </w:rPr>
  </w:style>
  <w:style w:type="paragraph" w:styleId="FootnoteText">
    <w:name w:val="footnote text"/>
    <w:basedOn w:val="Normal"/>
    <w:rsid w:val="00DD269C"/>
    <w:pPr>
      <w:spacing w:line="300" w:lineRule="exact"/>
    </w:pPr>
  </w:style>
  <w:style w:type="paragraph" w:customStyle="1" w:styleId="Title1">
    <w:name w:val="Title1"/>
    <w:basedOn w:val="Normal"/>
    <w:rsid w:val="009C5ADD"/>
    <w:pPr>
      <w:tabs>
        <w:tab w:val="left" w:pos="5760"/>
        <w:tab w:val="left" w:pos="6480"/>
      </w:tabs>
      <w:spacing w:line="240" w:lineRule="atLeast"/>
    </w:pPr>
  </w:style>
  <w:style w:type="paragraph" w:customStyle="1" w:styleId="Recommend">
    <w:name w:val="Recommend"/>
    <w:basedOn w:val="Normal"/>
    <w:rsid w:val="009C5ADD"/>
  </w:style>
  <w:style w:type="paragraph" w:customStyle="1" w:styleId="Summary">
    <w:name w:val="Summary"/>
    <w:basedOn w:val="Normal"/>
    <w:rsid w:val="009C5ADD"/>
    <w:pPr>
      <w:ind w:left="2160" w:hanging="2160"/>
    </w:pPr>
  </w:style>
  <w:style w:type="paragraph" w:customStyle="1" w:styleId="Text">
    <w:name w:val="Text"/>
    <w:basedOn w:val="Normal"/>
    <w:rsid w:val="009C5ADD"/>
    <w:pPr>
      <w:tabs>
        <w:tab w:val="left" w:pos="720"/>
        <w:tab w:val="left" w:pos="1440"/>
        <w:tab w:val="left" w:pos="2160"/>
        <w:tab w:val="center" w:pos="4320"/>
      </w:tabs>
      <w:spacing w:line="480" w:lineRule="atLeast"/>
      <w:ind w:firstLine="540"/>
    </w:pPr>
  </w:style>
  <w:style w:type="paragraph" w:styleId="Date">
    <w:name w:val="Date"/>
    <w:basedOn w:val="Normal"/>
    <w:semiHidden/>
    <w:rsid w:val="009C5ADD"/>
    <w:pPr>
      <w:jc w:val="right"/>
    </w:pPr>
  </w:style>
  <w:style w:type="character" w:styleId="PageNumber">
    <w:name w:val="page number"/>
    <w:basedOn w:val="DefaultParagraphFont"/>
    <w:rsid w:val="009C5ADD"/>
  </w:style>
  <w:style w:type="paragraph" w:customStyle="1" w:styleId="subject">
    <w:name w:val="subject"/>
    <w:basedOn w:val="Normal"/>
    <w:rsid w:val="009C5ADD"/>
    <w:pPr>
      <w:tabs>
        <w:tab w:val="left" w:pos="1008"/>
      </w:tabs>
      <w:ind w:left="990" w:hanging="990"/>
    </w:pPr>
    <w:rPr>
      <w:b/>
    </w:rPr>
  </w:style>
  <w:style w:type="paragraph" w:customStyle="1" w:styleId="Titles">
    <w:name w:val="Titles"/>
    <w:basedOn w:val="Normal"/>
    <w:rsid w:val="009C5ADD"/>
    <w:pPr>
      <w:tabs>
        <w:tab w:val="left" w:pos="2160"/>
      </w:tabs>
      <w:ind w:left="2160" w:hanging="2160"/>
    </w:pPr>
    <w:rPr>
      <w:b/>
    </w:rPr>
  </w:style>
  <w:style w:type="paragraph" w:styleId="TOAHeading">
    <w:name w:val="toa heading"/>
    <w:basedOn w:val="Normal"/>
    <w:next w:val="Normal"/>
    <w:semiHidden/>
    <w:rsid w:val="009C5ADD"/>
    <w:pPr>
      <w:spacing w:before="120"/>
    </w:pPr>
    <w:rPr>
      <w:b/>
    </w:rPr>
  </w:style>
  <w:style w:type="paragraph" w:styleId="TOC1">
    <w:name w:val="toc 1"/>
    <w:basedOn w:val="Normal"/>
    <w:next w:val="Normal"/>
    <w:autoRedefine/>
    <w:semiHidden/>
    <w:rsid w:val="009C5ADD"/>
  </w:style>
  <w:style w:type="paragraph" w:styleId="TOC2">
    <w:name w:val="toc 2"/>
    <w:basedOn w:val="Normal"/>
    <w:next w:val="Normal"/>
    <w:autoRedefine/>
    <w:semiHidden/>
    <w:rsid w:val="009C5ADD"/>
    <w:pPr>
      <w:ind w:left="259"/>
    </w:pPr>
  </w:style>
  <w:style w:type="paragraph" w:styleId="TOC3">
    <w:name w:val="toc 3"/>
    <w:basedOn w:val="Normal"/>
    <w:next w:val="Normal"/>
    <w:autoRedefine/>
    <w:semiHidden/>
    <w:rsid w:val="009C5ADD"/>
    <w:pPr>
      <w:ind w:left="520"/>
    </w:pPr>
  </w:style>
  <w:style w:type="paragraph" w:styleId="TOC4">
    <w:name w:val="toc 4"/>
    <w:basedOn w:val="Normal"/>
    <w:next w:val="Normal"/>
    <w:autoRedefine/>
    <w:semiHidden/>
    <w:rsid w:val="009C5ADD"/>
    <w:pPr>
      <w:ind w:left="780"/>
    </w:pPr>
  </w:style>
  <w:style w:type="paragraph" w:styleId="TOC5">
    <w:name w:val="toc 5"/>
    <w:basedOn w:val="Normal"/>
    <w:next w:val="Normal"/>
    <w:autoRedefine/>
    <w:semiHidden/>
    <w:rsid w:val="009C5ADD"/>
    <w:pPr>
      <w:ind w:left="1040"/>
    </w:pPr>
  </w:style>
  <w:style w:type="paragraph" w:styleId="TOC6">
    <w:name w:val="toc 6"/>
    <w:basedOn w:val="Normal"/>
    <w:next w:val="Normal"/>
    <w:autoRedefine/>
    <w:semiHidden/>
    <w:rsid w:val="009C5ADD"/>
    <w:pPr>
      <w:ind w:left="1300"/>
    </w:pPr>
  </w:style>
  <w:style w:type="paragraph" w:styleId="TOC7">
    <w:name w:val="toc 7"/>
    <w:basedOn w:val="Normal"/>
    <w:next w:val="Normal"/>
    <w:autoRedefine/>
    <w:semiHidden/>
    <w:rsid w:val="009C5ADD"/>
    <w:pPr>
      <w:ind w:left="1560"/>
    </w:pPr>
  </w:style>
  <w:style w:type="paragraph" w:styleId="TOC8">
    <w:name w:val="toc 8"/>
    <w:basedOn w:val="Normal"/>
    <w:next w:val="Normal"/>
    <w:autoRedefine/>
    <w:semiHidden/>
    <w:rsid w:val="009C5ADD"/>
    <w:pPr>
      <w:ind w:left="1820"/>
    </w:pPr>
  </w:style>
  <w:style w:type="paragraph" w:styleId="TOC9">
    <w:name w:val="toc 9"/>
    <w:basedOn w:val="Normal"/>
    <w:next w:val="Normal"/>
    <w:autoRedefine/>
    <w:semiHidden/>
    <w:rsid w:val="009C5ADD"/>
    <w:pPr>
      <w:ind w:left="2080"/>
    </w:pPr>
  </w:style>
  <w:style w:type="paragraph" w:customStyle="1" w:styleId="Contents">
    <w:name w:val="Contents"/>
    <w:basedOn w:val="Normal"/>
    <w:rsid w:val="009C5ADD"/>
    <w:pPr>
      <w:jc w:val="center"/>
    </w:pPr>
    <w:rPr>
      <w:b/>
      <w:spacing w:val="100"/>
    </w:rPr>
  </w:style>
  <w:style w:type="character" w:styleId="CommentReference">
    <w:name w:val="annotation reference"/>
    <w:basedOn w:val="DefaultParagraphFont"/>
    <w:uiPriority w:val="99"/>
    <w:semiHidden/>
    <w:unhideWhenUsed/>
    <w:rsid w:val="00860821"/>
    <w:rPr>
      <w:sz w:val="16"/>
      <w:szCs w:val="16"/>
    </w:rPr>
  </w:style>
  <w:style w:type="paragraph" w:styleId="CommentText">
    <w:name w:val="annotation text"/>
    <w:basedOn w:val="Normal"/>
    <w:link w:val="CommentTextChar"/>
    <w:uiPriority w:val="99"/>
    <w:unhideWhenUsed/>
    <w:rsid w:val="00DD269C"/>
    <w:rPr>
      <w:sz w:val="20"/>
    </w:rPr>
  </w:style>
  <w:style w:type="character" w:customStyle="1" w:styleId="CommentTextChar">
    <w:name w:val="Comment Text Char"/>
    <w:basedOn w:val="DefaultParagraphFont"/>
    <w:link w:val="CommentText"/>
    <w:uiPriority w:val="99"/>
    <w:rsid w:val="00860821"/>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860821"/>
    <w:rPr>
      <w:b/>
      <w:bCs/>
    </w:rPr>
  </w:style>
  <w:style w:type="character" w:customStyle="1" w:styleId="CommentSubjectChar">
    <w:name w:val="Comment Subject Char"/>
    <w:basedOn w:val="CommentTextChar"/>
    <w:link w:val="CommentSubject"/>
    <w:uiPriority w:val="99"/>
    <w:semiHidden/>
    <w:rsid w:val="00860821"/>
    <w:rPr>
      <w:rFonts w:ascii="Century Schoolbook" w:hAnsi="Century Schoolbook"/>
      <w:b/>
      <w:bCs/>
    </w:rPr>
  </w:style>
  <w:style w:type="paragraph" w:styleId="Revision">
    <w:name w:val="Revision"/>
    <w:hidden/>
    <w:uiPriority w:val="99"/>
    <w:semiHidden/>
    <w:rsid w:val="00860821"/>
    <w:rPr>
      <w:sz w:val="26"/>
    </w:rPr>
  </w:style>
  <w:style w:type="paragraph" w:styleId="BalloonText">
    <w:name w:val="Balloon Text"/>
    <w:basedOn w:val="Normal"/>
    <w:link w:val="BalloonTextChar"/>
    <w:uiPriority w:val="99"/>
    <w:semiHidden/>
    <w:unhideWhenUsed/>
    <w:rsid w:val="00860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21"/>
    <w:rPr>
      <w:rFonts w:ascii="Segoe UI" w:hAnsi="Segoe UI" w:cs="Segoe UI"/>
      <w:sz w:val="18"/>
      <w:szCs w:val="18"/>
    </w:rPr>
  </w:style>
  <w:style w:type="paragraph" w:styleId="ListParagraph">
    <w:name w:val="List Paragraph"/>
    <w:basedOn w:val="Normal"/>
    <w:uiPriority w:val="34"/>
    <w:qFormat/>
    <w:rsid w:val="0051498B"/>
    <w:pPr>
      <w:ind w:left="720"/>
      <w:contextualSpacing/>
    </w:pPr>
  </w:style>
  <w:style w:type="character" w:styleId="Hyperlink">
    <w:name w:val="Hyperlink"/>
    <w:basedOn w:val="DefaultParagraphFont"/>
    <w:uiPriority w:val="99"/>
    <w:unhideWhenUsed/>
    <w:rsid w:val="00730C63"/>
    <w:rPr>
      <w:color w:val="0000FF" w:themeColor="hyperlink"/>
      <w:u w:val="single"/>
    </w:rPr>
  </w:style>
  <w:style w:type="character" w:customStyle="1" w:styleId="UnresolvedMention">
    <w:name w:val="Unresolved Mention"/>
    <w:basedOn w:val="DefaultParagraphFont"/>
    <w:uiPriority w:val="99"/>
    <w:semiHidden/>
    <w:unhideWhenUsed/>
    <w:rsid w:val="00730C63"/>
    <w:rPr>
      <w:color w:val="605E5C"/>
      <w:shd w:val="clear" w:color="auto" w:fill="E1DFDD"/>
    </w:rPr>
  </w:style>
  <w:style w:type="character" w:styleId="FollowedHyperlink">
    <w:name w:val="FollowedHyperlink"/>
    <w:basedOn w:val="DefaultParagraphFont"/>
    <w:uiPriority w:val="99"/>
    <w:semiHidden/>
    <w:unhideWhenUsed/>
    <w:rsid w:val="00405A33"/>
    <w:rPr>
      <w:color w:val="800080" w:themeColor="followedHyperlink"/>
      <w:u w:val="single"/>
    </w:rPr>
  </w:style>
  <w:style w:type="paragraph" w:styleId="BodyText">
    <w:name w:val="Body Text"/>
    <w:basedOn w:val="Normal"/>
    <w:link w:val="BodyTextChar"/>
    <w:qFormat/>
    <w:rsid w:val="009C5ADD"/>
  </w:style>
  <w:style w:type="character" w:customStyle="1" w:styleId="BodyTextChar">
    <w:name w:val="Body Text Char"/>
    <w:basedOn w:val="DefaultParagraphFont"/>
    <w:link w:val="BodyText"/>
    <w:rsid w:val="009C5ADD"/>
    <w:rPr>
      <w:rFonts w:ascii="Century Schoolbook" w:hAnsi="Century Schoolbook"/>
      <w:sz w:val="27"/>
    </w:rPr>
  </w:style>
  <w:style w:type="paragraph" w:styleId="NormalWeb">
    <w:name w:val="Normal (Web)"/>
    <w:basedOn w:val="Normal"/>
    <w:uiPriority w:val="99"/>
    <w:unhideWhenUsed/>
    <w:rsid w:val="00AE4981"/>
    <w:pPr>
      <w:spacing w:before="100" w:beforeAutospacing="1" w:afterAutospacing="1" w:line="240" w:lineRule="auto"/>
      <w:jc w:val="left"/>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7724</Words>
  <Characters>44030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2020-07-16T16:38:01Z</dcterms:created>
  <dcterms:modified xsi:type="dcterms:W3CDTF">2020-07-16T16:38:01Z</dcterms:modified>
</cp:coreProperties>
</file>