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E731A" w:rsidP="00DE731A" w14:paraId="3A20D38D" w14:textId="77777777">
      <w:pPr>
        <w:tabs>
          <w:tab w:val="left" w:pos="4680"/>
          <w:tab w:val="center" w:pos="7200"/>
        </w:tabs>
        <w:spacing w:after="0"/>
        <w:jc w:val="center"/>
        <w:rPr>
          <w:sz w:val="36"/>
        </w:rPr>
      </w:pPr>
      <w:bookmarkStart w:id="0" w:name="_GoBack"/>
      <w:bookmarkEnd w:id="0"/>
      <w:r>
        <w:rPr>
          <w:b/>
          <w:sz w:val="36"/>
        </w:rPr>
        <w:t>IN THE SUPREME COURT OF CALIFORNIA</w:t>
      </w:r>
    </w:p>
    <w:p w:rsidR="00DE731A" w:rsidP="00DE731A" w14:paraId="186092B4" w14:textId="77777777">
      <w:pPr>
        <w:tabs>
          <w:tab w:val="left" w:pos="4680"/>
          <w:tab w:val="center" w:pos="7200"/>
        </w:tabs>
        <w:spacing w:after="0"/>
        <w:jc w:val="center"/>
      </w:pPr>
    </w:p>
    <w:p w:rsidR="00DE731A" w:rsidRPr="004845A3" w:rsidP="00DE731A" w14:paraId="60041B8F" w14:textId="513947D3">
      <w:pPr>
        <w:tabs>
          <w:tab w:val="left" w:pos="4680"/>
          <w:tab w:val="center" w:pos="7200"/>
        </w:tabs>
        <w:spacing w:after="0"/>
        <w:jc w:val="center"/>
        <w:rPr>
          <w:lang w:val="da-DK"/>
        </w:rPr>
      </w:pPr>
      <w:r w:rsidRPr="004845A3">
        <w:rPr>
          <w:lang w:val="da-DK"/>
        </w:rPr>
        <w:t>DEV ANAND OMAN et al.,</w:t>
      </w:r>
    </w:p>
    <w:p w:rsidR="00DE731A" w:rsidP="00DE731A" w14:paraId="18A2215B" w14:textId="77777777">
      <w:pPr>
        <w:tabs>
          <w:tab w:val="left" w:pos="4680"/>
          <w:tab w:val="center" w:pos="7200"/>
        </w:tabs>
        <w:spacing w:after="0"/>
        <w:jc w:val="center"/>
      </w:pPr>
      <w:r>
        <w:t>Plaintiffs and Appellants,</w:t>
      </w:r>
    </w:p>
    <w:p w:rsidR="00DE731A" w:rsidP="00DE731A" w14:paraId="1EE662D2" w14:textId="77777777">
      <w:pPr>
        <w:tabs>
          <w:tab w:val="left" w:pos="4680"/>
          <w:tab w:val="center" w:pos="7200"/>
        </w:tabs>
        <w:spacing w:after="0"/>
        <w:jc w:val="center"/>
      </w:pPr>
      <w:r>
        <w:t>v.</w:t>
      </w:r>
    </w:p>
    <w:p w:rsidR="00DE731A" w:rsidP="00DE731A" w14:paraId="0769E610" w14:textId="672E9BA5">
      <w:pPr>
        <w:tabs>
          <w:tab w:val="left" w:pos="4680"/>
          <w:tab w:val="center" w:pos="7200"/>
        </w:tabs>
        <w:spacing w:after="0"/>
        <w:jc w:val="center"/>
      </w:pPr>
      <w:r>
        <w:t>DELTA AIR LINES, INC.,</w:t>
      </w:r>
    </w:p>
    <w:p w:rsidR="00DE731A" w:rsidP="00DE731A" w14:paraId="04ABAA24" w14:textId="77777777">
      <w:pPr>
        <w:tabs>
          <w:tab w:val="left" w:pos="4680"/>
          <w:tab w:val="center" w:pos="7200"/>
        </w:tabs>
        <w:spacing w:after="0"/>
        <w:jc w:val="center"/>
      </w:pPr>
      <w:r>
        <w:t>Defendant and Respondent.</w:t>
      </w:r>
    </w:p>
    <w:p w:rsidR="00DE731A" w:rsidP="00DE731A" w14:paraId="48AACEA4" w14:textId="77777777">
      <w:pPr>
        <w:tabs>
          <w:tab w:val="left" w:pos="4680"/>
          <w:tab w:val="center" w:pos="7200"/>
        </w:tabs>
        <w:spacing w:after="0"/>
        <w:jc w:val="center"/>
      </w:pPr>
    </w:p>
    <w:p w:rsidR="00DE731A" w:rsidP="00DE731A" w14:paraId="5BC63FD2" w14:textId="771DC094">
      <w:pPr>
        <w:tabs>
          <w:tab w:val="left" w:pos="4680"/>
          <w:tab w:val="center" w:pos="7200"/>
        </w:tabs>
        <w:spacing w:after="0"/>
        <w:jc w:val="center"/>
      </w:pPr>
      <w:r>
        <w:t>S248726</w:t>
      </w:r>
    </w:p>
    <w:p w:rsidR="00DE731A" w:rsidP="00DE731A" w14:paraId="5F8B37C0" w14:textId="77777777">
      <w:pPr>
        <w:tabs>
          <w:tab w:val="left" w:pos="4680"/>
          <w:tab w:val="center" w:pos="7200"/>
        </w:tabs>
        <w:spacing w:after="0"/>
        <w:jc w:val="center"/>
      </w:pPr>
    </w:p>
    <w:p w:rsidR="00DE731A" w:rsidP="00DE731A" w14:paraId="7AE6A021" w14:textId="77777777">
      <w:pPr>
        <w:tabs>
          <w:tab w:val="left" w:pos="4680"/>
          <w:tab w:val="center" w:pos="7200"/>
        </w:tabs>
        <w:spacing w:after="0"/>
        <w:jc w:val="center"/>
      </w:pPr>
      <w:r>
        <w:t>Ninth Circuit</w:t>
      </w:r>
    </w:p>
    <w:p w:rsidR="00DE731A" w:rsidP="00DE731A" w14:paraId="7C9A1AF4" w14:textId="7E43F689">
      <w:pPr>
        <w:tabs>
          <w:tab w:val="left" w:pos="4680"/>
          <w:tab w:val="center" w:pos="7200"/>
        </w:tabs>
        <w:spacing w:after="0"/>
        <w:jc w:val="center"/>
      </w:pPr>
      <w:r>
        <w:t>17-15124</w:t>
      </w:r>
    </w:p>
    <w:p w:rsidR="00DE731A" w:rsidP="00DE731A" w14:paraId="3F090458" w14:textId="77777777">
      <w:pPr>
        <w:tabs>
          <w:tab w:val="left" w:pos="4680"/>
          <w:tab w:val="center" w:pos="7200"/>
        </w:tabs>
        <w:spacing w:after="0"/>
        <w:jc w:val="center"/>
      </w:pPr>
    </w:p>
    <w:p w:rsidR="00DE731A" w:rsidP="00DE731A" w14:paraId="57F867A1" w14:textId="0BFB190D">
      <w:pPr>
        <w:tabs>
          <w:tab w:val="left" w:pos="4680"/>
          <w:tab w:val="center" w:pos="7200"/>
        </w:tabs>
        <w:spacing w:after="0"/>
        <w:jc w:val="center"/>
      </w:pPr>
      <w:r>
        <w:t xml:space="preserve">Northern </w:t>
      </w:r>
      <w:r>
        <w:t xml:space="preserve">District of </w:t>
      </w:r>
      <w:r>
        <w:t>California</w:t>
      </w:r>
    </w:p>
    <w:p w:rsidR="00DE731A" w:rsidP="00DE731A" w14:paraId="6FAC6626" w14:textId="20170934">
      <w:pPr>
        <w:tabs>
          <w:tab w:val="left" w:pos="4680"/>
          <w:tab w:val="center" w:pos="7200"/>
        </w:tabs>
        <w:spacing w:after="0"/>
        <w:jc w:val="center"/>
      </w:pPr>
      <w:r>
        <w:t>3:15-cv-00131-WHO</w:t>
      </w:r>
    </w:p>
    <w:p w:rsidR="00DE731A" w:rsidP="00DE731A" w14:paraId="5AC4BB07" w14:textId="77777777">
      <w:pPr>
        <w:pBdr>
          <w:bottom w:val="single" w:sz="4" w:space="1" w:color="auto"/>
        </w:pBdr>
        <w:tabs>
          <w:tab w:val="left" w:pos="4680"/>
          <w:tab w:val="center" w:pos="7200"/>
        </w:tabs>
        <w:spacing w:after="0"/>
        <w:jc w:val="center"/>
      </w:pPr>
    </w:p>
    <w:p w:rsidR="00DE731A" w:rsidP="00DE731A" w14:paraId="4847DB14" w14:textId="77777777">
      <w:pPr>
        <w:tabs>
          <w:tab w:val="left" w:pos="4680"/>
          <w:tab w:val="center" w:pos="7200"/>
        </w:tabs>
        <w:spacing w:after="0"/>
        <w:jc w:val="center"/>
      </w:pPr>
    </w:p>
    <w:p w:rsidR="00DE731A" w:rsidP="00DE731A" w14:paraId="07AC5873" w14:textId="1395FC4F">
      <w:pPr>
        <w:tabs>
          <w:tab w:val="left" w:pos="4680"/>
          <w:tab w:val="center" w:pos="7200"/>
        </w:tabs>
        <w:spacing w:after="0"/>
        <w:jc w:val="center"/>
      </w:pPr>
      <w:r>
        <w:t>June 29</w:t>
      </w:r>
      <w:r>
        <w:t>, 2020</w:t>
      </w:r>
    </w:p>
    <w:p w:rsidR="00DE731A" w:rsidP="00DE731A" w14:paraId="79C9E082" w14:textId="18743F52">
      <w:pPr>
        <w:tabs>
          <w:tab w:val="left" w:pos="4680"/>
          <w:tab w:val="center" w:pos="7200"/>
        </w:tabs>
        <w:spacing w:after="0"/>
        <w:jc w:val="center"/>
      </w:pPr>
    </w:p>
    <w:p w:rsidR="00ED2726" w:rsidP="00ED2726" w14:paraId="2E988CDA" w14:textId="278D8386">
      <w:pPr>
        <w:tabs>
          <w:tab w:val="left" w:pos="1440"/>
          <w:tab w:val="left" w:pos="4680"/>
          <w:tab w:val="center" w:pos="7200"/>
        </w:tabs>
        <w:spacing w:after="0"/>
        <w:jc w:val="center"/>
      </w:pPr>
      <w:r>
        <w:t xml:space="preserve">This opinion follows companion case S248702, </w:t>
      </w:r>
    </w:p>
    <w:p w:rsidR="00ED2726" w:rsidP="00ED2726" w14:paraId="2D60551F" w14:textId="2E437406">
      <w:pPr>
        <w:tabs>
          <w:tab w:val="left" w:pos="1440"/>
          <w:tab w:val="left" w:pos="4680"/>
          <w:tab w:val="center" w:pos="7200"/>
        </w:tabs>
        <w:spacing w:after="0"/>
        <w:jc w:val="center"/>
      </w:pPr>
      <w:r>
        <w:t xml:space="preserve">also filed on </w:t>
      </w:r>
      <w:r w:rsidR="0061007A">
        <w:t>June 29</w:t>
      </w:r>
      <w:r>
        <w:t>, 2020.</w:t>
      </w:r>
    </w:p>
    <w:p w:rsidR="00ED2726" w:rsidP="00DE731A" w14:paraId="3EADDA32" w14:textId="77777777">
      <w:pPr>
        <w:tabs>
          <w:tab w:val="left" w:pos="4680"/>
          <w:tab w:val="center" w:pos="7200"/>
        </w:tabs>
        <w:spacing w:after="0"/>
        <w:jc w:val="center"/>
      </w:pPr>
    </w:p>
    <w:p w:rsidR="0061007A" w:rsidP="00DE731A" w14:paraId="273D9D40" w14:textId="3AB4ED9B">
      <w:pPr>
        <w:tabs>
          <w:tab w:val="left" w:pos="4680"/>
          <w:tab w:val="center" w:pos="7200"/>
        </w:tabs>
        <w:spacing w:after="0"/>
        <w:jc w:val="left"/>
      </w:pPr>
      <w:r>
        <w:t xml:space="preserve">Justice Kruger authored the opinion of the Court, in which </w:t>
      </w:r>
      <w:r>
        <w:t xml:space="preserve">Chief Justice Cantil-Sakauye and Justices Chin, Corrigan, </w:t>
      </w:r>
      <w:r w:rsidR="00FC1245">
        <w:t xml:space="preserve">Liu, </w:t>
      </w:r>
      <w:r>
        <w:t>Cuéllar, and Groban</w:t>
      </w:r>
      <w:r>
        <w:t xml:space="preserve"> concurred.</w:t>
      </w:r>
    </w:p>
    <w:p w:rsidR="006D0C78" w:rsidP="00DE731A" w14:paraId="4A0C250E" w14:textId="77777777">
      <w:pPr>
        <w:tabs>
          <w:tab w:val="left" w:pos="4680"/>
          <w:tab w:val="center" w:pos="7200"/>
        </w:tabs>
        <w:spacing w:after="0"/>
        <w:jc w:val="left"/>
      </w:pPr>
    </w:p>
    <w:p w:rsidR="0061007A" w:rsidP="00DE731A" w14:paraId="3504A483" w14:textId="612BA482">
      <w:pPr>
        <w:tabs>
          <w:tab w:val="left" w:pos="4680"/>
          <w:tab w:val="center" w:pos="7200"/>
        </w:tabs>
        <w:spacing w:after="0"/>
        <w:jc w:val="left"/>
      </w:pPr>
      <w:r>
        <w:t>Justice Liu filed a concurring opinion, in which Justice Cuéllar concurred.</w:t>
      </w:r>
      <w:bookmarkStart w:id="1" w:name="MarkDocLoc"/>
      <w:bookmarkEnd w:id="1"/>
    </w:p>
    <w:p w:rsidR="00DE731A" w:rsidP="00DE731A" w14:paraId="0ED3E1C1" w14:textId="77777777">
      <w:pPr>
        <w:pBdr>
          <w:bottom w:val="single" w:sz="4" w:space="1" w:color="auto"/>
        </w:pBdr>
        <w:tabs>
          <w:tab w:val="left" w:pos="4680"/>
          <w:tab w:val="center" w:pos="7200"/>
        </w:tabs>
        <w:spacing w:after="0"/>
        <w:jc w:val="center"/>
      </w:pPr>
    </w:p>
    <w:p w:rsidR="00BD41C1" w14:paraId="4AEF5BB3" w14:textId="7487D7FC">
      <w:pPr>
        <w:tabs>
          <w:tab w:val="left" w:pos="1440"/>
          <w:tab w:val="left" w:pos="4680"/>
          <w:tab w:val="center" w:pos="7200"/>
        </w:tabs>
        <w:spacing w:line="480" w:lineRule="atLeast"/>
        <w:rPr>
          <w:szCs w:val="26"/>
        </w:rPr>
      </w:pPr>
    </w:p>
    <w:p w:rsidR="00DE731A" w14:paraId="311D9B22" w14:textId="77777777">
      <w:pPr>
        <w:tabs>
          <w:tab w:val="left" w:pos="1440"/>
          <w:tab w:val="left" w:pos="4680"/>
          <w:tab w:val="center" w:pos="7200"/>
        </w:tabs>
        <w:spacing w:line="480" w:lineRule="atLeast"/>
        <w:rPr>
          <w:szCs w:val="26"/>
        </w:rPr>
        <w:sectPr w:rsidSect="00DE731A">
          <w:headerReference w:type="default" r:id="rId6"/>
          <w:footerReference w:type="default" r:id="rId7"/>
          <w:footnotePr>
            <w:numRestart w:val="eachSect"/>
          </w:footnotePr>
          <w:pgSz w:w="12240" w:h="15840" w:code="1"/>
          <w:pgMar w:top="1800" w:right="2160" w:bottom="1440" w:left="2160" w:header="720" w:footer="720" w:gutter="0"/>
          <w:cols w:space="720"/>
          <w:titlePg/>
          <w:docGrid w:linePitch="367"/>
        </w:sectPr>
      </w:pPr>
    </w:p>
    <w:p w:rsidR="00DE731A" w:rsidP="00DE731A" w14:paraId="1752CC6A" w14:textId="5CD37352">
      <w:pPr>
        <w:tabs>
          <w:tab w:val="left" w:pos="4680"/>
          <w:tab w:val="center" w:pos="7200"/>
        </w:tabs>
        <w:jc w:val="center"/>
      </w:pPr>
      <w:r>
        <w:t>OMAN v. DELTA AIR LINES, INC.</w:t>
      </w:r>
    </w:p>
    <w:p w:rsidR="00DE731A" w:rsidP="00DE731A" w14:paraId="5E78C7A3" w14:textId="4889BA04">
      <w:pPr>
        <w:tabs>
          <w:tab w:val="left" w:pos="4680"/>
          <w:tab w:val="center" w:pos="7200"/>
        </w:tabs>
        <w:jc w:val="center"/>
      </w:pPr>
      <w:r>
        <w:t>S248726</w:t>
      </w:r>
    </w:p>
    <w:p w:rsidR="00DE731A" w:rsidP="00DE731A" w14:paraId="5A8F9CD8" w14:textId="77777777">
      <w:pPr>
        <w:tabs>
          <w:tab w:val="left" w:pos="4680"/>
          <w:tab w:val="center" w:pos="7200"/>
        </w:tabs>
        <w:jc w:val="center"/>
      </w:pPr>
    </w:p>
    <w:p w:rsidR="00DE731A" w:rsidP="00DE731A" w14:paraId="5280E222" w14:textId="77777777">
      <w:pPr>
        <w:tabs>
          <w:tab w:val="left" w:pos="4680"/>
          <w:tab w:val="center" w:pos="7200"/>
        </w:tabs>
        <w:jc w:val="center"/>
      </w:pPr>
      <w:r>
        <w:t>Opinion of the Court by Kruger, J.</w:t>
      </w:r>
    </w:p>
    <w:p w:rsidR="00DE731A" w:rsidP="00DE731A" w14:paraId="3570201F" w14:textId="77777777">
      <w:pPr>
        <w:tabs>
          <w:tab w:val="left" w:pos="4680"/>
          <w:tab w:val="center" w:pos="7200"/>
        </w:tabs>
        <w:jc w:val="center"/>
      </w:pPr>
    </w:p>
    <w:p w:rsidR="00BD41C1" w:rsidRPr="00DE731A" w:rsidP="00DE731A" w14:paraId="4FD22793" w14:textId="0F123BA7">
      <w:pPr>
        <w:tabs>
          <w:tab w:val="left" w:pos="1440"/>
        </w:tabs>
        <w:ind w:firstLine="720"/>
        <w:rPr>
          <w:szCs w:val="26"/>
        </w:rPr>
      </w:pPr>
      <w:bookmarkStart w:id="2" w:name="mainstory"/>
      <w:bookmarkEnd w:id="2"/>
      <w:r w:rsidRPr="00DE731A">
        <w:rPr>
          <w:szCs w:val="26"/>
        </w:rPr>
        <w:t xml:space="preserve">In this </w:t>
      </w:r>
      <w:r w:rsidRPr="00DE731A" w:rsidR="001E4078">
        <w:rPr>
          <w:szCs w:val="26"/>
        </w:rPr>
        <w:t xml:space="preserve">case, as in </w:t>
      </w:r>
      <w:r w:rsidRPr="00DE731A">
        <w:rPr>
          <w:szCs w:val="26"/>
        </w:rPr>
        <w:t>the companion case</w:t>
      </w:r>
      <w:r w:rsidR="009E5C78">
        <w:rPr>
          <w:szCs w:val="26"/>
        </w:rPr>
        <w:t>s</w:t>
      </w:r>
      <w:r w:rsidRPr="00DE731A">
        <w:rPr>
          <w:szCs w:val="26"/>
        </w:rPr>
        <w:t xml:space="preserve"> </w:t>
      </w:r>
      <w:r w:rsidRPr="00DE731A">
        <w:rPr>
          <w:i/>
          <w:szCs w:val="26"/>
        </w:rPr>
        <w:t>Ward v. United Airlines, Inc.</w:t>
      </w:r>
      <w:r w:rsidRPr="00DE731A">
        <w:rPr>
          <w:szCs w:val="26"/>
        </w:rPr>
        <w:t xml:space="preserve">, </w:t>
      </w:r>
      <w:r w:rsidRPr="00DE731A" w:rsidR="00286C1A">
        <w:rPr>
          <w:szCs w:val="26"/>
        </w:rPr>
        <w:t xml:space="preserve">and </w:t>
      </w:r>
      <w:r w:rsidRPr="00DE731A" w:rsidR="00286C1A">
        <w:rPr>
          <w:i/>
          <w:szCs w:val="26"/>
        </w:rPr>
        <w:t>Vidrio v. United Airlines, Inc.</w:t>
      </w:r>
      <w:r w:rsidRPr="00DE731A" w:rsidR="00D50352">
        <w:rPr>
          <w:i/>
          <w:szCs w:val="26"/>
        </w:rPr>
        <w:t xml:space="preserve"> </w:t>
      </w:r>
      <w:r w:rsidRPr="00DE731A" w:rsidR="00E21D32">
        <w:rPr>
          <w:szCs w:val="26"/>
        </w:rPr>
        <w:t>(</w:t>
      </w:r>
      <w:r w:rsidR="00E21D32">
        <w:rPr>
          <w:szCs w:val="26"/>
        </w:rPr>
        <w:t>June 29</w:t>
      </w:r>
      <w:r w:rsidRPr="00DE731A" w:rsidR="00E21D32">
        <w:rPr>
          <w:szCs w:val="26"/>
        </w:rPr>
        <w:t xml:space="preserve">, </w:t>
      </w:r>
      <w:r w:rsidRPr="00DE731A" w:rsidR="0013516F">
        <w:rPr>
          <w:szCs w:val="26"/>
        </w:rPr>
        <w:t>2020</w:t>
      </w:r>
      <w:r w:rsidRPr="00DE731A" w:rsidR="00286C1A">
        <w:rPr>
          <w:szCs w:val="26"/>
        </w:rPr>
        <w:t xml:space="preserve">, </w:t>
      </w:r>
      <w:r w:rsidRPr="00DE731A">
        <w:rPr>
          <w:szCs w:val="26"/>
        </w:rPr>
        <w:t>S248702</w:t>
      </w:r>
      <w:r w:rsidRPr="00DE731A" w:rsidR="0013516F">
        <w:rPr>
          <w:szCs w:val="26"/>
        </w:rPr>
        <w:t>) _</w:t>
      </w:r>
      <w:r w:rsidR="003C6E54">
        <w:rPr>
          <w:szCs w:val="26"/>
        </w:rPr>
        <w:t>_</w:t>
      </w:r>
      <w:r w:rsidRPr="00DE731A" w:rsidR="0013516F">
        <w:rPr>
          <w:szCs w:val="26"/>
        </w:rPr>
        <w:t>_ Cal.5th __</w:t>
      </w:r>
      <w:r w:rsidRPr="00DE731A" w:rsidR="00C27CEE">
        <w:rPr>
          <w:szCs w:val="26"/>
        </w:rPr>
        <w:t>_</w:t>
      </w:r>
      <w:r w:rsidRPr="00DE731A">
        <w:rPr>
          <w:szCs w:val="26"/>
        </w:rPr>
        <w:t xml:space="preserve"> (</w:t>
      </w:r>
      <w:r w:rsidRPr="00DE731A">
        <w:rPr>
          <w:i/>
          <w:szCs w:val="26"/>
        </w:rPr>
        <w:t>Ward</w:t>
      </w:r>
      <w:r w:rsidRPr="00DE731A">
        <w:rPr>
          <w:szCs w:val="26"/>
        </w:rPr>
        <w:t xml:space="preserve">), we </w:t>
      </w:r>
      <w:r w:rsidRPr="00DE731A" w:rsidR="00303B1E">
        <w:rPr>
          <w:szCs w:val="26"/>
        </w:rPr>
        <w:t xml:space="preserve">confront a question about the application of </w:t>
      </w:r>
      <w:r w:rsidRPr="00DE731A" w:rsidR="00363CEE">
        <w:rPr>
          <w:szCs w:val="26"/>
        </w:rPr>
        <w:t xml:space="preserve">various </w:t>
      </w:r>
      <w:r w:rsidRPr="00DE731A" w:rsidR="00303B1E">
        <w:rPr>
          <w:szCs w:val="26"/>
        </w:rPr>
        <w:t xml:space="preserve">California wage and hour laws to </w:t>
      </w:r>
      <w:r w:rsidRPr="00DE731A" w:rsidR="007D5BCF">
        <w:rPr>
          <w:szCs w:val="26"/>
        </w:rPr>
        <w:t xml:space="preserve">flight </w:t>
      </w:r>
      <w:r w:rsidRPr="00DE731A" w:rsidR="008E0593">
        <w:rPr>
          <w:szCs w:val="26"/>
        </w:rPr>
        <w:t>attendants</w:t>
      </w:r>
      <w:r w:rsidRPr="00DE731A" w:rsidR="007D5BCF">
        <w:rPr>
          <w:szCs w:val="26"/>
        </w:rPr>
        <w:t xml:space="preserve"> </w:t>
      </w:r>
      <w:r w:rsidRPr="00DE731A" w:rsidR="005967B1">
        <w:rPr>
          <w:szCs w:val="26"/>
        </w:rPr>
        <w:t xml:space="preserve">who </w:t>
      </w:r>
      <w:r w:rsidRPr="00DE731A" w:rsidR="00E1001B">
        <w:rPr>
          <w:szCs w:val="26"/>
        </w:rPr>
        <w:t>work pr</w:t>
      </w:r>
      <w:r w:rsidRPr="00DE731A" w:rsidR="002A5412">
        <w:rPr>
          <w:szCs w:val="26"/>
        </w:rPr>
        <w:t>imari</w:t>
      </w:r>
      <w:r w:rsidRPr="00DE731A" w:rsidR="00E1001B">
        <w:rPr>
          <w:szCs w:val="26"/>
        </w:rPr>
        <w:t>ly outside California’s territorial jurisdiction.</w:t>
      </w:r>
      <w:r w:rsidRPr="00DE731A" w:rsidR="00320076">
        <w:rPr>
          <w:szCs w:val="26"/>
        </w:rPr>
        <w:t xml:space="preserve">  Consistent with our </w:t>
      </w:r>
      <w:r w:rsidRPr="00DE731A" w:rsidR="002A5412">
        <w:rPr>
          <w:szCs w:val="26"/>
        </w:rPr>
        <w:t>holding</w:t>
      </w:r>
      <w:r w:rsidRPr="00DE731A" w:rsidR="00320076">
        <w:rPr>
          <w:szCs w:val="26"/>
        </w:rPr>
        <w:t xml:space="preserve"> in those cases, </w:t>
      </w:r>
      <w:r w:rsidRPr="00DE731A" w:rsidR="00B56BE0">
        <w:rPr>
          <w:szCs w:val="26"/>
        </w:rPr>
        <w:t>we</w:t>
      </w:r>
      <w:r w:rsidRPr="00DE731A" w:rsidR="001C3A27">
        <w:rPr>
          <w:szCs w:val="26"/>
        </w:rPr>
        <w:t xml:space="preserve"> conclude that California’s wage statement laws </w:t>
      </w:r>
      <w:r w:rsidRPr="00DE731A" w:rsidR="002A5412">
        <w:rPr>
          <w:szCs w:val="26"/>
        </w:rPr>
        <w:t xml:space="preserve">apply only to </w:t>
      </w:r>
      <w:r w:rsidRPr="00DE731A" w:rsidR="008E0593">
        <w:rPr>
          <w:szCs w:val="26"/>
        </w:rPr>
        <w:t>flight attendants</w:t>
      </w:r>
      <w:r w:rsidRPr="00DE731A" w:rsidR="007D5BCF">
        <w:rPr>
          <w:szCs w:val="26"/>
        </w:rPr>
        <w:t xml:space="preserve"> </w:t>
      </w:r>
      <w:r w:rsidRPr="00DE731A" w:rsidR="002A5412">
        <w:rPr>
          <w:szCs w:val="26"/>
        </w:rPr>
        <w:t xml:space="preserve">who have </w:t>
      </w:r>
      <w:r w:rsidR="00F50C13">
        <w:rPr>
          <w:szCs w:val="26"/>
        </w:rPr>
        <w:t xml:space="preserve">their </w:t>
      </w:r>
      <w:r w:rsidRPr="00DE731A" w:rsidR="002A5412">
        <w:rPr>
          <w:szCs w:val="26"/>
        </w:rPr>
        <w:t>base of work operations in California, and that</w:t>
      </w:r>
      <w:r w:rsidRPr="00DE731A" w:rsidR="00DF5169">
        <w:rPr>
          <w:szCs w:val="26"/>
        </w:rPr>
        <w:t xml:space="preserve"> the same is true o</w:t>
      </w:r>
      <w:r w:rsidRPr="00DE731A" w:rsidR="009F556F">
        <w:rPr>
          <w:szCs w:val="26"/>
        </w:rPr>
        <w:t xml:space="preserve">f California laws governing the timing of wage payments.  </w:t>
      </w:r>
      <w:r w:rsidRPr="00DE731A" w:rsidR="00D57FA5">
        <w:rPr>
          <w:szCs w:val="26"/>
        </w:rPr>
        <w:t xml:space="preserve">Finally, </w:t>
      </w:r>
      <w:r w:rsidRPr="00DE731A" w:rsidR="00B56BE0">
        <w:rPr>
          <w:szCs w:val="26"/>
        </w:rPr>
        <w:t>we</w:t>
      </w:r>
      <w:r w:rsidRPr="00DE731A" w:rsidR="009E318C">
        <w:rPr>
          <w:szCs w:val="26"/>
        </w:rPr>
        <w:t xml:space="preserve"> </w:t>
      </w:r>
      <w:r w:rsidRPr="00DE731A" w:rsidR="002A5412">
        <w:rPr>
          <w:szCs w:val="26"/>
        </w:rPr>
        <w:t>hold</w:t>
      </w:r>
      <w:r w:rsidRPr="00DE731A" w:rsidR="00522BA3">
        <w:rPr>
          <w:szCs w:val="26"/>
        </w:rPr>
        <w:t xml:space="preserve"> that</w:t>
      </w:r>
      <w:r w:rsidRPr="00DE731A" w:rsidR="006935A9">
        <w:rPr>
          <w:szCs w:val="26"/>
        </w:rPr>
        <w:t>, whether or not California’s minimum wage laws apply to work</w:t>
      </w:r>
      <w:r w:rsidRPr="00DE731A" w:rsidR="001E7E85">
        <w:rPr>
          <w:szCs w:val="26"/>
        </w:rPr>
        <w:t xml:space="preserve"> performed </w:t>
      </w:r>
      <w:r w:rsidRPr="00DE731A" w:rsidR="00A556AA">
        <w:rPr>
          <w:szCs w:val="26"/>
        </w:rPr>
        <w:t xml:space="preserve">on the ground </w:t>
      </w:r>
      <w:r w:rsidRPr="00DE731A" w:rsidR="001E7E85">
        <w:rPr>
          <w:szCs w:val="26"/>
        </w:rPr>
        <w:t xml:space="preserve">during </w:t>
      </w:r>
      <w:r w:rsidRPr="00DE731A" w:rsidR="00B90087">
        <w:rPr>
          <w:szCs w:val="26"/>
        </w:rPr>
        <w:t xml:space="preserve">the </w:t>
      </w:r>
      <w:r w:rsidRPr="00DE731A" w:rsidR="008E0593">
        <w:rPr>
          <w:szCs w:val="26"/>
        </w:rPr>
        <w:t>flight attendants</w:t>
      </w:r>
      <w:r w:rsidRPr="00DE731A" w:rsidR="001E7E85">
        <w:rPr>
          <w:szCs w:val="26"/>
        </w:rPr>
        <w:t xml:space="preserve">’ brief and episodic </w:t>
      </w:r>
      <w:r w:rsidRPr="00DE731A" w:rsidR="00762283">
        <w:rPr>
          <w:szCs w:val="26"/>
        </w:rPr>
        <w:t>stops in California</w:t>
      </w:r>
      <w:r w:rsidRPr="00DE731A" w:rsidR="006935A9">
        <w:rPr>
          <w:szCs w:val="26"/>
        </w:rPr>
        <w:t>,</w:t>
      </w:r>
      <w:r w:rsidRPr="00DE731A" w:rsidR="00522BA3">
        <w:rPr>
          <w:szCs w:val="26"/>
        </w:rPr>
        <w:t xml:space="preserve"> the pay scheme challenged here compl</w:t>
      </w:r>
      <w:r w:rsidRPr="00DE731A" w:rsidR="0064761C">
        <w:rPr>
          <w:szCs w:val="26"/>
        </w:rPr>
        <w:t>ies</w:t>
      </w:r>
      <w:r w:rsidRPr="00DE731A" w:rsidR="00522BA3">
        <w:rPr>
          <w:szCs w:val="26"/>
        </w:rPr>
        <w:t xml:space="preserve"> with </w:t>
      </w:r>
      <w:r w:rsidRPr="00DE731A" w:rsidR="006935A9">
        <w:rPr>
          <w:szCs w:val="26"/>
        </w:rPr>
        <w:t xml:space="preserve">the </w:t>
      </w:r>
      <w:r w:rsidRPr="00DE731A" w:rsidR="00522BA3">
        <w:rPr>
          <w:szCs w:val="26"/>
        </w:rPr>
        <w:t xml:space="preserve">state requirement that employers </w:t>
      </w:r>
      <w:r w:rsidRPr="00DE731A" w:rsidR="0064761C">
        <w:rPr>
          <w:szCs w:val="26"/>
        </w:rPr>
        <w:t>pay</w:t>
      </w:r>
      <w:r w:rsidRPr="00DE731A" w:rsidR="00522BA3">
        <w:rPr>
          <w:szCs w:val="26"/>
        </w:rPr>
        <w:t xml:space="preserve"> their </w:t>
      </w:r>
      <w:r w:rsidRPr="00DE731A" w:rsidR="00C127A5">
        <w:rPr>
          <w:szCs w:val="26"/>
        </w:rPr>
        <w:t>employee</w:t>
      </w:r>
      <w:r w:rsidRPr="00DE731A" w:rsidR="00522BA3">
        <w:rPr>
          <w:szCs w:val="26"/>
        </w:rPr>
        <w:t xml:space="preserve">s </w:t>
      </w:r>
      <w:r w:rsidRPr="00DE731A" w:rsidR="0064761C">
        <w:rPr>
          <w:szCs w:val="26"/>
        </w:rPr>
        <w:t xml:space="preserve">at least the minimum wage </w:t>
      </w:r>
      <w:r w:rsidRPr="00DE731A" w:rsidR="00522BA3">
        <w:rPr>
          <w:szCs w:val="26"/>
        </w:rPr>
        <w:t xml:space="preserve">for all hours </w:t>
      </w:r>
      <w:r w:rsidRPr="00DE731A" w:rsidR="00C127A5">
        <w:rPr>
          <w:szCs w:val="26"/>
        </w:rPr>
        <w:t>worked.</w:t>
      </w:r>
    </w:p>
    <w:p w:rsidR="00C127A5" w:rsidRPr="00DE731A" w:rsidP="00DE731A" w14:paraId="4C451708" w14:textId="77777777">
      <w:pPr>
        <w:keepNext/>
        <w:tabs>
          <w:tab w:val="left" w:pos="1440"/>
        </w:tabs>
        <w:jc w:val="center"/>
        <w:rPr>
          <w:b/>
          <w:szCs w:val="26"/>
        </w:rPr>
      </w:pPr>
      <w:r w:rsidRPr="00DE731A">
        <w:rPr>
          <w:b/>
          <w:szCs w:val="26"/>
        </w:rPr>
        <w:t>I.</w:t>
      </w:r>
    </w:p>
    <w:p w:rsidR="00AD290B" w:rsidRPr="00DE731A" w:rsidP="00DE731A" w14:paraId="72039D48" w14:textId="63BA3CE0">
      <w:pPr>
        <w:tabs>
          <w:tab w:val="left" w:pos="1440"/>
        </w:tabs>
        <w:ind w:firstLine="720"/>
        <w:rPr>
          <w:szCs w:val="26"/>
        </w:rPr>
      </w:pPr>
      <w:r w:rsidRPr="00DE731A">
        <w:rPr>
          <w:szCs w:val="26"/>
        </w:rPr>
        <w:t>Defendant Delta Air Lines, Inc.</w:t>
      </w:r>
      <w:r w:rsidR="000C37A5">
        <w:rPr>
          <w:szCs w:val="26"/>
        </w:rPr>
        <w:t>,</w:t>
      </w:r>
      <w:r w:rsidRPr="00DE731A">
        <w:rPr>
          <w:szCs w:val="26"/>
        </w:rPr>
        <w:t xml:space="preserve"> is a national and international air carrier</w:t>
      </w:r>
      <w:r w:rsidRPr="00DE731A" w:rsidR="00EB2671">
        <w:rPr>
          <w:szCs w:val="26"/>
        </w:rPr>
        <w:t xml:space="preserve"> </w:t>
      </w:r>
      <w:r w:rsidRPr="00DE731A" w:rsidR="003F0164">
        <w:rPr>
          <w:szCs w:val="26"/>
        </w:rPr>
        <w:t>incorporate</w:t>
      </w:r>
      <w:r w:rsidRPr="00DE731A" w:rsidR="00336FCA">
        <w:rPr>
          <w:szCs w:val="26"/>
        </w:rPr>
        <w:t>d</w:t>
      </w:r>
      <w:r w:rsidRPr="00DE731A" w:rsidR="003F0164">
        <w:rPr>
          <w:szCs w:val="26"/>
        </w:rPr>
        <w:t xml:space="preserve"> in Delaware and </w:t>
      </w:r>
      <w:r w:rsidRPr="00DE731A" w:rsidR="00EB2671">
        <w:rPr>
          <w:szCs w:val="26"/>
        </w:rPr>
        <w:t xml:space="preserve">based in Georgia.  </w:t>
      </w:r>
      <w:r w:rsidRPr="00DE731A" w:rsidR="006753C5">
        <w:rPr>
          <w:szCs w:val="26"/>
        </w:rPr>
        <w:t xml:space="preserve">Delta </w:t>
      </w:r>
      <w:r w:rsidRPr="00DE731A" w:rsidR="00EB2671">
        <w:rPr>
          <w:szCs w:val="26"/>
        </w:rPr>
        <w:t xml:space="preserve">offers service in and out of roughly one dozen California airports, </w:t>
      </w:r>
      <w:r w:rsidRPr="00DE731A" w:rsidR="00464B44">
        <w:rPr>
          <w:szCs w:val="26"/>
        </w:rPr>
        <w:t>connecting</w:t>
      </w:r>
      <w:r w:rsidRPr="00DE731A" w:rsidR="00EB2671">
        <w:rPr>
          <w:szCs w:val="26"/>
        </w:rPr>
        <w:t xml:space="preserve"> cities as small as Palm Springs </w:t>
      </w:r>
      <w:r w:rsidRPr="00DE731A" w:rsidR="00464B44">
        <w:rPr>
          <w:szCs w:val="26"/>
        </w:rPr>
        <w:t>and</w:t>
      </w:r>
      <w:r w:rsidRPr="00DE731A" w:rsidR="00EB2671">
        <w:rPr>
          <w:szCs w:val="26"/>
        </w:rPr>
        <w:t xml:space="preserve"> as large as Los Angeles</w:t>
      </w:r>
      <w:r w:rsidRPr="00DE731A" w:rsidR="00464B44">
        <w:rPr>
          <w:szCs w:val="26"/>
        </w:rPr>
        <w:t xml:space="preserve"> to the rest of the country and the world.</w:t>
      </w:r>
    </w:p>
    <w:p w:rsidR="00EB2671" w:rsidRPr="00DE731A" w:rsidP="00DE731A" w14:paraId="435FEAFA" w14:textId="67760FB7">
      <w:pPr>
        <w:tabs>
          <w:tab w:val="left" w:pos="1440"/>
        </w:tabs>
        <w:ind w:firstLine="720"/>
        <w:rPr>
          <w:szCs w:val="26"/>
        </w:rPr>
      </w:pPr>
      <w:r w:rsidRPr="00DE731A">
        <w:rPr>
          <w:szCs w:val="26"/>
        </w:rPr>
        <w:t>Plaintiffs Dev Anand Oman, Todd Eichmann, Michael Lehr, and Albert Flores</w:t>
      </w:r>
      <w:r w:rsidRPr="00DE731A" w:rsidR="008D7959">
        <w:rPr>
          <w:szCs w:val="26"/>
        </w:rPr>
        <w:t xml:space="preserve"> are </w:t>
      </w:r>
      <w:r w:rsidRPr="00DE731A" w:rsidR="008732DD">
        <w:rPr>
          <w:szCs w:val="26"/>
        </w:rPr>
        <w:t xml:space="preserve">or were </w:t>
      </w:r>
      <w:r w:rsidRPr="00DE731A" w:rsidR="003F0164">
        <w:rPr>
          <w:szCs w:val="26"/>
        </w:rPr>
        <w:t>flight attendants</w:t>
      </w:r>
      <w:r w:rsidRPr="00DE731A" w:rsidR="008732DD">
        <w:rPr>
          <w:szCs w:val="26"/>
        </w:rPr>
        <w:t xml:space="preserve"> for Delta</w:t>
      </w:r>
      <w:r w:rsidRPr="00DE731A" w:rsidR="008D7959">
        <w:rPr>
          <w:szCs w:val="26"/>
        </w:rPr>
        <w:t>.</w:t>
      </w:r>
      <w:r w:rsidRPr="00DE731A" w:rsidR="008732DD">
        <w:rPr>
          <w:szCs w:val="26"/>
        </w:rPr>
        <w:t xml:space="preserve"> </w:t>
      </w:r>
      <w:r w:rsidRPr="00DE731A" w:rsidR="0064761C">
        <w:rPr>
          <w:szCs w:val="26"/>
        </w:rPr>
        <w:t xml:space="preserve"> </w:t>
      </w:r>
      <w:r w:rsidRPr="00DE731A" w:rsidR="008732DD">
        <w:rPr>
          <w:szCs w:val="26"/>
        </w:rPr>
        <w:t>Oman lived in New Yor</w:t>
      </w:r>
      <w:r w:rsidRPr="00DE731A" w:rsidR="00336FCA">
        <w:rPr>
          <w:szCs w:val="26"/>
        </w:rPr>
        <w:t>k</w:t>
      </w:r>
      <w:r w:rsidRPr="00DE731A" w:rsidR="00D5324D">
        <w:rPr>
          <w:szCs w:val="26"/>
        </w:rPr>
        <w:t xml:space="preserve"> and </w:t>
      </w:r>
      <w:r w:rsidRPr="00DE731A" w:rsidR="00F17C78">
        <w:rPr>
          <w:szCs w:val="26"/>
        </w:rPr>
        <w:t>had a New York airport as a home base</w:t>
      </w:r>
      <w:r w:rsidRPr="00DE731A" w:rsidR="00336FCA">
        <w:rPr>
          <w:szCs w:val="26"/>
        </w:rPr>
        <w:t>.</w:t>
      </w:r>
      <w:r w:rsidRPr="00DE731A" w:rsidR="008732DD">
        <w:rPr>
          <w:szCs w:val="26"/>
        </w:rPr>
        <w:t xml:space="preserve">  Lehr lives in Nevada but has a California airport as his home base.  Eichmann and Flores both live in California and have California airports as their home base</w:t>
      </w:r>
      <w:r w:rsidRPr="00DE731A" w:rsidR="0064761C">
        <w:rPr>
          <w:szCs w:val="26"/>
        </w:rPr>
        <w:t>s</w:t>
      </w:r>
      <w:r w:rsidRPr="00DE731A" w:rsidR="008732DD">
        <w:rPr>
          <w:szCs w:val="26"/>
        </w:rPr>
        <w:t>.</w:t>
      </w:r>
      <w:r w:rsidRPr="00DE731A" w:rsidR="00336FCA">
        <w:rPr>
          <w:szCs w:val="26"/>
        </w:rPr>
        <w:t xml:space="preserve">  </w:t>
      </w:r>
      <w:r w:rsidRPr="00DE731A" w:rsidR="006C3830">
        <w:rPr>
          <w:szCs w:val="26"/>
        </w:rPr>
        <w:t xml:space="preserve">All four employees </w:t>
      </w:r>
      <w:r w:rsidRPr="00DE731A" w:rsidR="0064761C">
        <w:rPr>
          <w:szCs w:val="26"/>
        </w:rPr>
        <w:t xml:space="preserve">have </w:t>
      </w:r>
      <w:r w:rsidRPr="00DE731A" w:rsidR="006C3830">
        <w:rPr>
          <w:szCs w:val="26"/>
        </w:rPr>
        <w:t>served</w:t>
      </w:r>
      <w:r w:rsidRPr="00DE731A" w:rsidR="0064761C">
        <w:rPr>
          <w:szCs w:val="26"/>
        </w:rPr>
        <w:t xml:space="preserve"> on</w:t>
      </w:r>
      <w:r w:rsidRPr="00DE731A" w:rsidR="006C3830">
        <w:rPr>
          <w:szCs w:val="26"/>
        </w:rPr>
        <w:t xml:space="preserve"> flights in and out of California airports, as well as airports outside the state.</w:t>
      </w:r>
    </w:p>
    <w:p w:rsidR="00336FCA" w:rsidRPr="00DE731A" w:rsidP="00DE731A" w14:paraId="4BC08FA2" w14:textId="6B47C31E">
      <w:pPr>
        <w:tabs>
          <w:tab w:val="left" w:pos="1440"/>
        </w:tabs>
        <w:ind w:firstLine="720"/>
        <w:rPr>
          <w:szCs w:val="26"/>
        </w:rPr>
      </w:pPr>
      <w:r w:rsidRPr="00DE731A">
        <w:rPr>
          <w:szCs w:val="26"/>
        </w:rPr>
        <w:t xml:space="preserve">In 2015, the named plaintiffs (collectively Oman) filed a putative class action in federal court, alleging </w:t>
      </w:r>
      <w:r w:rsidRPr="00DE731A" w:rsidR="001E1860">
        <w:rPr>
          <w:szCs w:val="26"/>
        </w:rPr>
        <w:t xml:space="preserve">that </w:t>
      </w:r>
      <w:r w:rsidRPr="00DE731A">
        <w:rPr>
          <w:szCs w:val="26"/>
        </w:rPr>
        <w:t xml:space="preserve">Delta </w:t>
      </w:r>
      <w:r w:rsidRPr="00DE731A" w:rsidR="00777BAF">
        <w:rPr>
          <w:szCs w:val="26"/>
        </w:rPr>
        <w:t xml:space="preserve">violates </w:t>
      </w:r>
      <w:r w:rsidRPr="00DE731A" w:rsidR="00B9654E">
        <w:rPr>
          <w:szCs w:val="26"/>
        </w:rPr>
        <w:t xml:space="preserve">California labor law by failing </w:t>
      </w:r>
      <w:r w:rsidRPr="00DE731A">
        <w:rPr>
          <w:szCs w:val="26"/>
        </w:rPr>
        <w:t xml:space="preserve">to pay its flight attendants at least the minimum wage for all hours worked.  According to the operative complaint, Delta’s published </w:t>
      </w:r>
      <w:r w:rsidR="000C37A5">
        <w:rPr>
          <w:szCs w:val="26"/>
        </w:rPr>
        <w:t>w</w:t>
      </w:r>
      <w:r w:rsidRPr="00DE731A">
        <w:rPr>
          <w:szCs w:val="26"/>
        </w:rPr>
        <w:t xml:space="preserve">ork </w:t>
      </w:r>
      <w:r w:rsidR="000C37A5">
        <w:rPr>
          <w:szCs w:val="26"/>
        </w:rPr>
        <w:t>r</w:t>
      </w:r>
      <w:r w:rsidRPr="00DE731A">
        <w:rPr>
          <w:szCs w:val="26"/>
        </w:rPr>
        <w:t xml:space="preserve">ules </w:t>
      </w:r>
      <w:r w:rsidR="000C37A5">
        <w:rPr>
          <w:szCs w:val="26"/>
        </w:rPr>
        <w:t xml:space="preserve">(hereafter Work Rules) </w:t>
      </w:r>
      <w:r w:rsidRPr="00DE731A">
        <w:rPr>
          <w:szCs w:val="26"/>
        </w:rPr>
        <w:t xml:space="preserve">pay </w:t>
      </w:r>
      <w:r w:rsidR="00F50C13">
        <w:rPr>
          <w:szCs w:val="26"/>
        </w:rPr>
        <w:t xml:space="preserve">flight </w:t>
      </w:r>
      <w:r w:rsidRPr="00DE731A">
        <w:rPr>
          <w:szCs w:val="26"/>
        </w:rPr>
        <w:t xml:space="preserve">attendants pursuant to </w:t>
      </w:r>
      <w:r w:rsidRPr="00DE731A" w:rsidR="003271B6">
        <w:rPr>
          <w:szCs w:val="26"/>
        </w:rPr>
        <w:t xml:space="preserve">formulas </w:t>
      </w:r>
      <w:r w:rsidRPr="00DE731A">
        <w:rPr>
          <w:szCs w:val="26"/>
        </w:rPr>
        <w:t xml:space="preserve">that compensate them on an hourly basis for certain hours worked but fail to provide any compensation at all for other working hours, in contravention of an obligation </w:t>
      </w:r>
      <w:r w:rsidRPr="00DE731A" w:rsidR="006C3830">
        <w:rPr>
          <w:szCs w:val="26"/>
        </w:rPr>
        <w:t xml:space="preserve">under California </w:t>
      </w:r>
      <w:r w:rsidRPr="00DE731A" w:rsidR="00E97AC8">
        <w:rPr>
          <w:szCs w:val="26"/>
        </w:rPr>
        <w:t xml:space="preserve">statutory and regulatory </w:t>
      </w:r>
      <w:r w:rsidRPr="00DE731A" w:rsidR="006C3830">
        <w:rPr>
          <w:szCs w:val="26"/>
        </w:rPr>
        <w:t xml:space="preserve">law </w:t>
      </w:r>
      <w:r w:rsidRPr="00DE731A">
        <w:rPr>
          <w:szCs w:val="26"/>
        </w:rPr>
        <w:t xml:space="preserve">to pay no less than the minimum wage for every hour worked.  </w:t>
      </w:r>
      <w:r w:rsidRPr="00DE731A" w:rsidR="0053710E">
        <w:rPr>
          <w:szCs w:val="26"/>
        </w:rPr>
        <w:t>(</w:t>
      </w:r>
      <w:r w:rsidRPr="00DE731A">
        <w:rPr>
          <w:szCs w:val="26"/>
        </w:rPr>
        <w:t xml:space="preserve">See Lab. Code, §§ 1182.12, 1194, 1194.2; </w:t>
      </w:r>
      <w:r w:rsidRPr="00DE731A" w:rsidR="0013516F">
        <w:rPr>
          <w:szCs w:val="26"/>
        </w:rPr>
        <w:t>Industrial Welfare Commission (</w:t>
      </w:r>
      <w:r w:rsidRPr="00DE731A">
        <w:rPr>
          <w:szCs w:val="26"/>
        </w:rPr>
        <w:t>IWC</w:t>
      </w:r>
      <w:r w:rsidRPr="00DE731A" w:rsidR="0013516F">
        <w:rPr>
          <w:szCs w:val="26"/>
        </w:rPr>
        <w:t>)</w:t>
      </w:r>
      <w:r w:rsidRPr="00DE731A">
        <w:rPr>
          <w:szCs w:val="26"/>
        </w:rPr>
        <w:t xml:space="preserve"> wage order No.</w:t>
      </w:r>
      <w:r w:rsidRPr="00DE731A" w:rsidR="0053710E">
        <w:rPr>
          <w:szCs w:val="26"/>
        </w:rPr>
        <w:t> </w:t>
      </w:r>
      <w:r w:rsidRPr="00DE731A">
        <w:rPr>
          <w:szCs w:val="26"/>
        </w:rPr>
        <w:t>9–2001</w:t>
      </w:r>
      <w:r w:rsidRPr="00DE731A" w:rsidR="006C3830">
        <w:rPr>
          <w:szCs w:val="26"/>
        </w:rPr>
        <w:t xml:space="preserve">, </w:t>
      </w:r>
      <w:r w:rsidRPr="00DE731A" w:rsidR="00084B3B">
        <w:rPr>
          <w:szCs w:val="26"/>
        </w:rPr>
        <w:t>§ </w:t>
      </w:r>
      <w:r w:rsidRPr="00DE731A" w:rsidR="006C3830">
        <w:rPr>
          <w:szCs w:val="26"/>
        </w:rPr>
        <w:t>4 (Wage Order No. 9)</w:t>
      </w:r>
      <w:r w:rsidRPr="00DE731A">
        <w:rPr>
          <w:szCs w:val="26"/>
        </w:rPr>
        <w:t>.</w:t>
      </w:r>
      <w:r w:rsidRPr="00DE731A" w:rsidR="006C3830">
        <w:rPr>
          <w:szCs w:val="26"/>
        </w:rPr>
        <w:t>)</w:t>
      </w:r>
      <w:r w:rsidRPr="00DE731A">
        <w:rPr>
          <w:szCs w:val="26"/>
        </w:rPr>
        <w:t xml:space="preserve">  Oman also alleged </w:t>
      </w:r>
      <w:r w:rsidRPr="00DE731A" w:rsidR="006C3830">
        <w:rPr>
          <w:szCs w:val="26"/>
        </w:rPr>
        <w:t>Delta fail</w:t>
      </w:r>
      <w:r w:rsidRPr="00DE731A" w:rsidR="0064761C">
        <w:rPr>
          <w:szCs w:val="26"/>
        </w:rPr>
        <w:t>s</w:t>
      </w:r>
      <w:r w:rsidRPr="00DE731A" w:rsidR="006C3830">
        <w:rPr>
          <w:szCs w:val="26"/>
        </w:rPr>
        <w:t xml:space="preserve"> to pay all wages in </w:t>
      </w:r>
      <w:r w:rsidRPr="00DE731A" w:rsidR="00027B73">
        <w:rPr>
          <w:szCs w:val="26"/>
        </w:rPr>
        <w:t xml:space="preserve">accordance with the </w:t>
      </w:r>
      <w:r w:rsidRPr="00DE731A" w:rsidR="00B9654E">
        <w:rPr>
          <w:szCs w:val="26"/>
        </w:rPr>
        <w:t xml:space="preserve">semimonthly </w:t>
      </w:r>
      <w:r w:rsidRPr="00DE731A" w:rsidR="00027B73">
        <w:rPr>
          <w:szCs w:val="26"/>
        </w:rPr>
        <w:t xml:space="preserve">timeframe </w:t>
      </w:r>
      <w:r w:rsidRPr="00DE731A" w:rsidR="00B9654E">
        <w:rPr>
          <w:szCs w:val="26"/>
        </w:rPr>
        <w:t xml:space="preserve">prescribed by </w:t>
      </w:r>
      <w:r w:rsidRPr="00DE731A" w:rsidR="00440A1F">
        <w:rPr>
          <w:szCs w:val="26"/>
        </w:rPr>
        <w:t xml:space="preserve">Labor Code section 204 </w:t>
      </w:r>
      <w:r w:rsidRPr="00DE731A" w:rsidR="006C3830">
        <w:rPr>
          <w:szCs w:val="26"/>
        </w:rPr>
        <w:t>(</w:t>
      </w:r>
      <w:r w:rsidRPr="00DE731A" w:rsidR="0013516F">
        <w:rPr>
          <w:szCs w:val="26"/>
        </w:rPr>
        <w:t>section</w:t>
      </w:r>
      <w:r w:rsidRPr="00DE731A" w:rsidR="006C3830">
        <w:rPr>
          <w:szCs w:val="26"/>
        </w:rPr>
        <w:t xml:space="preserve"> 204) and to provide comprehensive wage statements </w:t>
      </w:r>
      <w:r w:rsidRPr="00DE731A" w:rsidR="00C87DDF">
        <w:rPr>
          <w:szCs w:val="26"/>
        </w:rPr>
        <w:t xml:space="preserve">reporting hours worked and </w:t>
      </w:r>
      <w:r w:rsidRPr="00DE731A" w:rsidR="00734BFC">
        <w:rPr>
          <w:szCs w:val="26"/>
        </w:rPr>
        <w:t xml:space="preserve">applicable </w:t>
      </w:r>
      <w:r w:rsidRPr="00DE731A" w:rsidR="00C87DDF">
        <w:rPr>
          <w:szCs w:val="26"/>
        </w:rPr>
        <w:t>hourly pay rates, as</w:t>
      </w:r>
      <w:r w:rsidRPr="00DE731A" w:rsidR="006C3830">
        <w:rPr>
          <w:szCs w:val="26"/>
        </w:rPr>
        <w:t xml:space="preserve"> required by </w:t>
      </w:r>
      <w:r w:rsidRPr="00DE731A" w:rsidR="00D5324D">
        <w:rPr>
          <w:szCs w:val="26"/>
        </w:rPr>
        <w:t>California</w:t>
      </w:r>
      <w:r w:rsidRPr="00DE731A" w:rsidR="00D31D33">
        <w:rPr>
          <w:szCs w:val="26"/>
        </w:rPr>
        <w:t>’s wage statement statute, Labor Code section 226</w:t>
      </w:r>
      <w:r w:rsidRPr="00DE731A" w:rsidR="006C3830">
        <w:rPr>
          <w:szCs w:val="26"/>
        </w:rPr>
        <w:t xml:space="preserve"> (</w:t>
      </w:r>
      <w:r w:rsidRPr="00DE731A" w:rsidR="0013516F">
        <w:rPr>
          <w:szCs w:val="26"/>
        </w:rPr>
        <w:t>section</w:t>
      </w:r>
      <w:r w:rsidRPr="00DE731A" w:rsidR="006C3830">
        <w:rPr>
          <w:szCs w:val="26"/>
        </w:rPr>
        <w:t xml:space="preserve"> 226).  Oman sought relief under these statutes, as well as </w:t>
      </w:r>
      <w:r w:rsidRPr="00DE731A" w:rsidR="00D5324D">
        <w:rPr>
          <w:szCs w:val="26"/>
        </w:rPr>
        <w:t xml:space="preserve">civil </w:t>
      </w:r>
      <w:r w:rsidRPr="00DE731A" w:rsidR="006C3830">
        <w:rPr>
          <w:szCs w:val="26"/>
        </w:rPr>
        <w:t>penalties under the</w:t>
      </w:r>
      <w:r w:rsidRPr="00DE731A" w:rsidR="0013516F">
        <w:rPr>
          <w:szCs w:val="26"/>
        </w:rPr>
        <w:t xml:space="preserve"> Labor Code</w:t>
      </w:r>
      <w:r w:rsidRPr="00DE731A" w:rsidR="006C3830">
        <w:rPr>
          <w:szCs w:val="26"/>
        </w:rPr>
        <w:t xml:space="preserve"> Private Attorneys General Act of 2004 (</w:t>
      </w:r>
      <w:r w:rsidRPr="00DE731A" w:rsidR="00C00073">
        <w:rPr>
          <w:szCs w:val="26"/>
        </w:rPr>
        <w:t xml:space="preserve">Lab. Code, </w:t>
      </w:r>
      <w:r w:rsidRPr="00DE731A" w:rsidR="006C3830">
        <w:rPr>
          <w:szCs w:val="26"/>
        </w:rPr>
        <w:t xml:space="preserve">§ 2698 et seq.) and restitution </w:t>
      </w:r>
      <w:r w:rsidRPr="00DE731A" w:rsidR="00D5324D">
        <w:rPr>
          <w:szCs w:val="26"/>
        </w:rPr>
        <w:t xml:space="preserve">and injunctive relief </w:t>
      </w:r>
      <w:r w:rsidRPr="00DE731A" w:rsidR="006C3830">
        <w:rPr>
          <w:szCs w:val="26"/>
        </w:rPr>
        <w:t xml:space="preserve">under the </w:t>
      </w:r>
      <w:r w:rsidRPr="00DE731A" w:rsidR="00D5324D">
        <w:rPr>
          <w:szCs w:val="26"/>
        </w:rPr>
        <w:t>unfair competition law (Bus. &amp; Prof. Code, § 17200 et seq.).</w:t>
      </w:r>
    </w:p>
    <w:p w:rsidR="00BF0CA9" w:rsidRPr="00DE731A" w:rsidP="00DE731A" w14:paraId="77F343F7" w14:textId="7F646193">
      <w:pPr>
        <w:tabs>
          <w:tab w:val="left" w:pos="1440"/>
        </w:tabs>
        <w:ind w:firstLine="720"/>
        <w:rPr>
          <w:color w:val="000000" w:themeColor="text1"/>
          <w:szCs w:val="26"/>
        </w:rPr>
      </w:pPr>
      <w:r w:rsidRPr="00DE731A">
        <w:rPr>
          <w:szCs w:val="26"/>
        </w:rPr>
        <w:t>On cross</w:t>
      </w:r>
      <w:r w:rsidRPr="00DE731A" w:rsidR="0064761C">
        <w:rPr>
          <w:szCs w:val="26"/>
        </w:rPr>
        <w:t>-</w:t>
      </w:r>
      <w:r w:rsidRPr="00DE731A">
        <w:rPr>
          <w:szCs w:val="26"/>
        </w:rPr>
        <w:t xml:space="preserve">motions for summary judgment, the district court concluded Delta’s pay scheme </w:t>
      </w:r>
      <w:r w:rsidRPr="00DE731A" w:rsidR="003271B6">
        <w:rPr>
          <w:szCs w:val="26"/>
        </w:rPr>
        <w:t xml:space="preserve">does </w:t>
      </w:r>
      <w:r w:rsidRPr="00DE731A">
        <w:rPr>
          <w:szCs w:val="26"/>
        </w:rPr>
        <w:t xml:space="preserve">not </w:t>
      </w:r>
      <w:r w:rsidRPr="00DE731A" w:rsidR="000A1DFF">
        <w:rPr>
          <w:szCs w:val="26"/>
        </w:rPr>
        <w:t>violate California’s minimum wage requirements</w:t>
      </w:r>
      <w:r w:rsidRPr="00DE731A" w:rsidR="005E395D">
        <w:rPr>
          <w:szCs w:val="26"/>
        </w:rPr>
        <w:t>.  (</w:t>
      </w:r>
      <w:r w:rsidRPr="00DE731A" w:rsidR="005E395D">
        <w:rPr>
          <w:i/>
          <w:szCs w:val="26"/>
        </w:rPr>
        <w:t xml:space="preserve">Oman v. </w:t>
      </w:r>
      <w:r w:rsidRPr="00DE731A" w:rsidR="005E395D">
        <w:rPr>
          <w:i/>
          <w:color w:val="000000" w:themeColor="text1"/>
          <w:szCs w:val="26"/>
        </w:rPr>
        <w:t>Delta Air Lines, Inc.</w:t>
      </w:r>
      <w:r w:rsidRPr="00DE731A" w:rsidR="005E395D">
        <w:rPr>
          <w:color w:val="000000" w:themeColor="text1"/>
          <w:szCs w:val="26"/>
        </w:rPr>
        <w:t xml:space="preserve"> (N.D.Cal. 2015) 153 F.Supp.3d 1094, 109</w:t>
      </w:r>
      <w:r w:rsidRPr="00DE731A" w:rsidR="00EB1CCC">
        <w:rPr>
          <w:color w:val="000000" w:themeColor="text1"/>
          <w:szCs w:val="26"/>
        </w:rPr>
        <w:t>5</w:t>
      </w:r>
      <w:r w:rsidRPr="00DE731A" w:rsidR="005E395D">
        <w:rPr>
          <w:color w:val="000000" w:themeColor="text1"/>
          <w:szCs w:val="26"/>
        </w:rPr>
        <w:t>.)</w:t>
      </w:r>
      <w:r w:rsidRPr="00DE731A" w:rsidR="00B30148">
        <w:rPr>
          <w:color w:val="000000" w:themeColor="text1"/>
          <w:szCs w:val="26"/>
        </w:rPr>
        <w:t xml:space="preserve">  Oman argued that Delta </w:t>
      </w:r>
      <w:r w:rsidRPr="00DE731A" w:rsidR="003271B6">
        <w:rPr>
          <w:color w:val="000000" w:themeColor="text1"/>
          <w:szCs w:val="26"/>
        </w:rPr>
        <w:t xml:space="preserve">fails </w:t>
      </w:r>
      <w:r w:rsidRPr="00DE731A" w:rsidR="00B30148">
        <w:rPr>
          <w:color w:val="000000" w:themeColor="text1"/>
          <w:szCs w:val="26"/>
        </w:rPr>
        <w:t xml:space="preserve">to pay any compensation at all for certain hours worked in California and, under </w:t>
      </w:r>
      <w:r w:rsidRPr="00DE731A" w:rsidR="00AA60AB">
        <w:rPr>
          <w:i/>
          <w:iCs/>
          <w:szCs w:val="26"/>
        </w:rPr>
        <w:t>Gonzalez v. Downtown LA Motors, LP</w:t>
      </w:r>
      <w:r w:rsidRPr="00DE731A" w:rsidR="00AA60AB">
        <w:rPr>
          <w:szCs w:val="26"/>
        </w:rPr>
        <w:t xml:space="preserve"> (2013) 215 Cal.App.4th 36</w:t>
      </w:r>
      <w:r w:rsidRPr="00DE731A" w:rsidR="00932A0C">
        <w:rPr>
          <w:szCs w:val="26"/>
        </w:rPr>
        <w:t xml:space="preserve"> (</w:t>
      </w:r>
      <w:r w:rsidRPr="00DE731A" w:rsidR="00932A0C">
        <w:rPr>
          <w:i/>
          <w:szCs w:val="26"/>
        </w:rPr>
        <w:t>Gonzalez</w:t>
      </w:r>
      <w:r w:rsidRPr="00DE731A" w:rsidR="00932A0C">
        <w:rPr>
          <w:szCs w:val="26"/>
        </w:rPr>
        <w:t>)</w:t>
      </w:r>
      <w:r w:rsidRPr="00DE731A" w:rsidR="00E46977">
        <w:rPr>
          <w:color w:val="000000" w:themeColor="text1"/>
          <w:szCs w:val="26"/>
        </w:rPr>
        <w:t xml:space="preserve"> and </w:t>
      </w:r>
      <w:r w:rsidRPr="00DE731A" w:rsidR="00AA60AB">
        <w:rPr>
          <w:i/>
          <w:iCs/>
          <w:szCs w:val="26"/>
        </w:rPr>
        <w:t>Armenta v. Osmose, Inc.</w:t>
      </w:r>
      <w:r w:rsidRPr="00DE731A" w:rsidR="00AA60AB">
        <w:rPr>
          <w:szCs w:val="26"/>
        </w:rPr>
        <w:t xml:space="preserve"> (2005) 135 Cal.App.4th 314</w:t>
      </w:r>
      <w:r w:rsidRPr="00DE731A" w:rsidR="00932A0C">
        <w:rPr>
          <w:szCs w:val="26"/>
        </w:rPr>
        <w:t xml:space="preserve"> (</w:t>
      </w:r>
      <w:r w:rsidRPr="00DE731A" w:rsidR="00932A0C">
        <w:rPr>
          <w:i/>
          <w:szCs w:val="26"/>
        </w:rPr>
        <w:t>Armenta</w:t>
      </w:r>
      <w:r w:rsidRPr="00DE731A" w:rsidR="00932A0C">
        <w:rPr>
          <w:szCs w:val="26"/>
        </w:rPr>
        <w:t>)</w:t>
      </w:r>
      <w:r w:rsidRPr="00DE731A" w:rsidR="00E46977">
        <w:rPr>
          <w:szCs w:val="26"/>
        </w:rPr>
        <w:t xml:space="preserve">, </w:t>
      </w:r>
      <w:r w:rsidRPr="00DE731A" w:rsidR="00B30148">
        <w:rPr>
          <w:szCs w:val="26"/>
        </w:rPr>
        <w:t xml:space="preserve">Delta </w:t>
      </w:r>
      <w:r w:rsidRPr="00DE731A" w:rsidR="003271B6">
        <w:rPr>
          <w:szCs w:val="26"/>
        </w:rPr>
        <w:t xml:space="preserve">is </w:t>
      </w:r>
      <w:r w:rsidRPr="00DE731A" w:rsidR="00B30148">
        <w:rPr>
          <w:szCs w:val="26"/>
        </w:rPr>
        <w:t>prohibited from borrowing compensation due for other hours worked to make up for any shortfall.</w:t>
      </w:r>
      <w:r w:rsidRPr="00DE731A" w:rsidR="00B73F43">
        <w:rPr>
          <w:color w:val="000000" w:themeColor="text1"/>
          <w:szCs w:val="26"/>
        </w:rPr>
        <w:t xml:space="preserve"> </w:t>
      </w:r>
      <w:r w:rsidRPr="00DE731A" w:rsidR="00B30148">
        <w:rPr>
          <w:color w:val="000000" w:themeColor="text1"/>
          <w:szCs w:val="26"/>
        </w:rPr>
        <w:t xml:space="preserve"> </w:t>
      </w:r>
      <w:r w:rsidRPr="00DE731A" w:rsidR="00EB1CCC">
        <w:rPr>
          <w:color w:val="000000" w:themeColor="text1"/>
          <w:szCs w:val="26"/>
        </w:rPr>
        <w:t xml:space="preserve">The district court examined the pay formulas set out by Delta’s </w:t>
      </w:r>
      <w:r w:rsidRPr="00DE731A" w:rsidR="00C87DDF">
        <w:rPr>
          <w:color w:val="000000" w:themeColor="text1"/>
          <w:szCs w:val="26"/>
        </w:rPr>
        <w:t>Work Rules</w:t>
      </w:r>
      <w:r w:rsidRPr="00DE731A" w:rsidR="00EB1CCC">
        <w:rPr>
          <w:color w:val="000000" w:themeColor="text1"/>
          <w:szCs w:val="26"/>
        </w:rPr>
        <w:t xml:space="preserve"> and concluded they </w:t>
      </w:r>
      <w:r w:rsidRPr="00DE731A" w:rsidR="00AB7938">
        <w:rPr>
          <w:color w:val="000000" w:themeColor="text1"/>
          <w:szCs w:val="26"/>
        </w:rPr>
        <w:t xml:space="preserve">adequately </w:t>
      </w:r>
      <w:r w:rsidRPr="00DE731A" w:rsidR="00B30148">
        <w:rPr>
          <w:color w:val="000000" w:themeColor="text1"/>
          <w:szCs w:val="26"/>
        </w:rPr>
        <w:t xml:space="preserve">compensate flight attendants for all hours worked, without any impermissible borrowing or reduction in agreed-to contractual rates.  </w:t>
      </w:r>
      <w:r w:rsidRPr="00DE731A" w:rsidR="00EB1CCC">
        <w:rPr>
          <w:color w:val="000000" w:themeColor="text1"/>
          <w:szCs w:val="26"/>
        </w:rPr>
        <w:t>(</w:t>
      </w:r>
      <w:r w:rsidRPr="00DE731A" w:rsidR="00AA60AB">
        <w:rPr>
          <w:i/>
          <w:color w:val="000000" w:themeColor="text1"/>
          <w:szCs w:val="26"/>
        </w:rPr>
        <w:t>Oman</w:t>
      </w:r>
      <w:r w:rsidRPr="00DE731A" w:rsidR="00AA60AB">
        <w:rPr>
          <w:color w:val="000000" w:themeColor="text1"/>
          <w:szCs w:val="26"/>
        </w:rPr>
        <w:t>,</w:t>
      </w:r>
      <w:r w:rsidRPr="00DE731A" w:rsidR="00EB1CCC">
        <w:rPr>
          <w:color w:val="000000" w:themeColor="text1"/>
          <w:szCs w:val="26"/>
        </w:rPr>
        <w:t xml:space="preserve"> </w:t>
      </w:r>
      <w:r w:rsidRPr="00DE731A" w:rsidR="00A42F9D">
        <w:rPr>
          <w:i/>
          <w:color w:val="000000" w:themeColor="text1"/>
          <w:szCs w:val="26"/>
        </w:rPr>
        <w:t>supra</w:t>
      </w:r>
      <w:r w:rsidRPr="00DE731A" w:rsidR="00A42F9D">
        <w:rPr>
          <w:color w:val="000000" w:themeColor="text1"/>
          <w:szCs w:val="26"/>
        </w:rPr>
        <w:t xml:space="preserve">, </w:t>
      </w:r>
      <w:r w:rsidRPr="00DE731A" w:rsidR="00932A0C">
        <w:rPr>
          <w:color w:val="000000" w:themeColor="text1"/>
          <w:szCs w:val="26"/>
        </w:rPr>
        <w:t>153 F.</w:t>
      </w:r>
      <w:r w:rsidRPr="00DE731A" w:rsidR="00AC0ACB">
        <w:rPr>
          <w:color w:val="000000" w:themeColor="text1"/>
          <w:szCs w:val="26"/>
        </w:rPr>
        <w:t>S</w:t>
      </w:r>
      <w:r w:rsidRPr="00DE731A" w:rsidR="00932A0C">
        <w:rPr>
          <w:color w:val="000000" w:themeColor="text1"/>
          <w:szCs w:val="26"/>
        </w:rPr>
        <w:t xml:space="preserve">upp.3d </w:t>
      </w:r>
      <w:r w:rsidRPr="00DE731A" w:rsidR="00EB1CCC">
        <w:rPr>
          <w:color w:val="000000" w:themeColor="text1"/>
          <w:szCs w:val="26"/>
        </w:rPr>
        <w:t>at pp. 1102–1107.)</w:t>
      </w:r>
    </w:p>
    <w:p w:rsidR="005E395D" w:rsidRPr="00DE731A" w:rsidP="00DE731A" w14:paraId="5B486885" w14:textId="569EDCC5">
      <w:pPr>
        <w:tabs>
          <w:tab w:val="left" w:pos="1440"/>
        </w:tabs>
        <w:ind w:firstLine="720"/>
        <w:rPr>
          <w:color w:val="000000" w:themeColor="text1"/>
          <w:szCs w:val="26"/>
        </w:rPr>
      </w:pPr>
      <w:r w:rsidRPr="00DE731A">
        <w:rPr>
          <w:szCs w:val="26"/>
        </w:rPr>
        <w:t>T</w:t>
      </w:r>
      <w:r w:rsidRPr="00DE731A" w:rsidR="00AD290B">
        <w:rPr>
          <w:szCs w:val="26"/>
        </w:rPr>
        <w:t xml:space="preserve">he </w:t>
      </w:r>
      <w:r w:rsidRPr="00DE731A">
        <w:rPr>
          <w:szCs w:val="26"/>
        </w:rPr>
        <w:t xml:space="preserve">parties </w:t>
      </w:r>
      <w:r w:rsidRPr="00DE731A">
        <w:rPr>
          <w:szCs w:val="26"/>
        </w:rPr>
        <w:t xml:space="preserve">then filed </w:t>
      </w:r>
      <w:r w:rsidRPr="00DE731A">
        <w:rPr>
          <w:szCs w:val="26"/>
        </w:rPr>
        <w:t xml:space="preserve">cross-motions for summary judgment on Oman’s remaining </w:t>
      </w:r>
      <w:r w:rsidRPr="00DE731A" w:rsidR="000847CB">
        <w:rPr>
          <w:szCs w:val="26"/>
        </w:rPr>
        <w:t xml:space="preserve">wage statement and timing </w:t>
      </w:r>
      <w:r w:rsidRPr="00DE731A">
        <w:rPr>
          <w:szCs w:val="26"/>
        </w:rPr>
        <w:t xml:space="preserve">claims.  The district court </w:t>
      </w:r>
      <w:r w:rsidRPr="00DE731A">
        <w:rPr>
          <w:szCs w:val="26"/>
        </w:rPr>
        <w:t xml:space="preserve">granted judgment in favor of Delta, concluding that the relevant </w:t>
      </w:r>
      <w:r w:rsidRPr="00DE731A">
        <w:rPr>
          <w:szCs w:val="26"/>
        </w:rPr>
        <w:t>California stat</w:t>
      </w:r>
      <w:r w:rsidRPr="00DE731A">
        <w:rPr>
          <w:color w:val="000000" w:themeColor="text1"/>
          <w:szCs w:val="26"/>
        </w:rPr>
        <w:t>utes</w:t>
      </w:r>
      <w:r w:rsidRPr="00DE731A">
        <w:rPr>
          <w:color w:val="000000" w:themeColor="text1"/>
          <w:szCs w:val="26"/>
        </w:rPr>
        <w:t xml:space="preserve">, sections 204 and 226, </w:t>
      </w:r>
      <w:r w:rsidRPr="00DE731A" w:rsidR="003271B6">
        <w:rPr>
          <w:color w:val="000000" w:themeColor="text1"/>
          <w:szCs w:val="26"/>
        </w:rPr>
        <w:t xml:space="preserve">do </w:t>
      </w:r>
      <w:r w:rsidRPr="00DE731A">
        <w:rPr>
          <w:color w:val="000000" w:themeColor="text1"/>
          <w:szCs w:val="26"/>
        </w:rPr>
        <w:t xml:space="preserve">not apply to </w:t>
      </w:r>
      <w:r w:rsidRPr="00DE731A">
        <w:rPr>
          <w:color w:val="000000" w:themeColor="text1"/>
          <w:szCs w:val="26"/>
        </w:rPr>
        <w:t>Oman</w:t>
      </w:r>
      <w:r w:rsidRPr="00DE731A">
        <w:rPr>
          <w:color w:val="000000" w:themeColor="text1"/>
          <w:szCs w:val="26"/>
        </w:rPr>
        <w:t xml:space="preserve">.  The court </w:t>
      </w:r>
      <w:r w:rsidRPr="00DE731A" w:rsidR="00AD290B">
        <w:rPr>
          <w:color w:val="000000" w:themeColor="text1"/>
          <w:szCs w:val="26"/>
        </w:rPr>
        <w:t>hel</w:t>
      </w:r>
      <w:r w:rsidRPr="00DE731A">
        <w:rPr>
          <w:color w:val="000000" w:themeColor="text1"/>
          <w:szCs w:val="26"/>
        </w:rPr>
        <w:t xml:space="preserve">d that </w:t>
      </w:r>
      <w:r w:rsidRPr="00DE731A">
        <w:rPr>
          <w:color w:val="000000" w:themeColor="text1"/>
          <w:szCs w:val="26"/>
        </w:rPr>
        <w:t xml:space="preserve">the </w:t>
      </w:r>
      <w:r w:rsidRPr="00DE731A">
        <w:rPr>
          <w:color w:val="000000" w:themeColor="text1"/>
          <w:szCs w:val="26"/>
        </w:rPr>
        <w:t xml:space="preserve">jurisdictional reach </w:t>
      </w:r>
      <w:r w:rsidRPr="00DE731A">
        <w:rPr>
          <w:color w:val="000000" w:themeColor="text1"/>
          <w:szCs w:val="26"/>
        </w:rPr>
        <w:t xml:space="preserve">of the statutes </w:t>
      </w:r>
      <w:r w:rsidRPr="00DE731A">
        <w:rPr>
          <w:color w:val="000000" w:themeColor="text1"/>
          <w:szCs w:val="26"/>
        </w:rPr>
        <w:t xml:space="preserve">should be determined </w:t>
      </w:r>
      <w:r w:rsidRPr="00DE731A" w:rsidR="00946D99">
        <w:rPr>
          <w:color w:val="000000" w:themeColor="text1"/>
          <w:szCs w:val="26"/>
        </w:rPr>
        <w:t xml:space="preserve">according to a multifactor analysis that </w:t>
      </w:r>
      <w:r w:rsidRPr="00DE731A">
        <w:rPr>
          <w:color w:val="000000" w:themeColor="text1"/>
          <w:szCs w:val="26"/>
        </w:rPr>
        <w:t>examin</w:t>
      </w:r>
      <w:r w:rsidRPr="00DE731A" w:rsidR="00946D99">
        <w:rPr>
          <w:color w:val="000000" w:themeColor="text1"/>
          <w:szCs w:val="26"/>
        </w:rPr>
        <w:t>es</w:t>
      </w:r>
      <w:r w:rsidRPr="00DE731A">
        <w:rPr>
          <w:color w:val="000000" w:themeColor="text1"/>
          <w:szCs w:val="26"/>
        </w:rPr>
        <w:t xml:space="preserve"> “the particular Labor Code provision invoked, the nature of the work being performed, the amount of work being performed in California, and the residence of the plaintiff and the employer.”  (</w:t>
      </w:r>
      <w:r w:rsidRPr="00DE731A">
        <w:rPr>
          <w:i/>
          <w:color w:val="000000" w:themeColor="text1"/>
          <w:szCs w:val="26"/>
        </w:rPr>
        <w:t>Oman v. Delta Air Lines, Inc.</w:t>
      </w:r>
      <w:r w:rsidRPr="00DE731A">
        <w:rPr>
          <w:color w:val="000000" w:themeColor="text1"/>
          <w:szCs w:val="26"/>
        </w:rPr>
        <w:t xml:space="preserve"> (N.D.Cal. 201</w:t>
      </w:r>
      <w:r w:rsidRPr="00DE731A" w:rsidR="00AD290B">
        <w:rPr>
          <w:color w:val="000000" w:themeColor="text1"/>
          <w:szCs w:val="26"/>
        </w:rPr>
        <w:t>7</w:t>
      </w:r>
      <w:r w:rsidRPr="00DE731A">
        <w:rPr>
          <w:color w:val="000000" w:themeColor="text1"/>
          <w:szCs w:val="26"/>
        </w:rPr>
        <w:t xml:space="preserve">) </w:t>
      </w:r>
      <w:r w:rsidRPr="00DE731A" w:rsidR="00AD290B">
        <w:rPr>
          <w:color w:val="000000" w:themeColor="text1"/>
          <w:szCs w:val="26"/>
        </w:rPr>
        <w:t>230</w:t>
      </w:r>
      <w:r w:rsidRPr="00DE731A">
        <w:rPr>
          <w:color w:val="000000" w:themeColor="text1"/>
          <w:szCs w:val="26"/>
        </w:rPr>
        <w:t xml:space="preserve"> F.Supp.3d </w:t>
      </w:r>
      <w:r w:rsidRPr="00DE731A" w:rsidR="00AD290B">
        <w:rPr>
          <w:color w:val="000000" w:themeColor="text1"/>
          <w:szCs w:val="26"/>
        </w:rPr>
        <w:t>986</w:t>
      </w:r>
      <w:r w:rsidRPr="00DE731A">
        <w:rPr>
          <w:color w:val="000000" w:themeColor="text1"/>
          <w:szCs w:val="26"/>
        </w:rPr>
        <w:t xml:space="preserve">, </w:t>
      </w:r>
      <w:r w:rsidRPr="00DE731A" w:rsidR="00AD290B">
        <w:rPr>
          <w:color w:val="000000" w:themeColor="text1"/>
          <w:szCs w:val="26"/>
        </w:rPr>
        <w:t>992–993</w:t>
      </w:r>
      <w:r w:rsidRPr="00DE731A">
        <w:rPr>
          <w:color w:val="000000" w:themeColor="text1"/>
          <w:szCs w:val="26"/>
        </w:rPr>
        <w:t>.)</w:t>
      </w:r>
      <w:r w:rsidRPr="00DE731A" w:rsidR="00AD290B">
        <w:rPr>
          <w:color w:val="000000" w:themeColor="text1"/>
          <w:szCs w:val="26"/>
        </w:rPr>
        <w:t xml:space="preserve">  </w:t>
      </w:r>
      <w:r w:rsidRPr="00DE731A" w:rsidR="00D23B9D">
        <w:rPr>
          <w:color w:val="000000" w:themeColor="text1"/>
          <w:szCs w:val="26"/>
        </w:rPr>
        <w:t xml:space="preserve">Here, “[f]ocusing on the purpose of Section 226 (to give employees clarity as to how their wages are calculated, so they can verify that their wages are calculated appropriately </w:t>
      </w:r>
      <w:r w:rsidRPr="00DE731A" w:rsidR="00D23B9D">
        <w:rPr>
          <w:i/>
          <w:color w:val="000000" w:themeColor="text1"/>
          <w:szCs w:val="26"/>
        </w:rPr>
        <w:t>under</w:t>
      </w:r>
      <w:r w:rsidRPr="00DE731A" w:rsidR="00D23B9D">
        <w:rPr>
          <w:color w:val="000000" w:themeColor="text1"/>
          <w:szCs w:val="26"/>
        </w:rPr>
        <w:t xml:space="preserve"> California law), because the undisputed facts show that the named plaintiffs only worked a </w:t>
      </w:r>
      <w:r w:rsidRPr="00DE731A" w:rsidR="00D23B9D">
        <w:rPr>
          <w:i/>
          <w:color w:val="000000" w:themeColor="text1"/>
          <w:szCs w:val="26"/>
        </w:rPr>
        <w:t xml:space="preserve">de minimis </w:t>
      </w:r>
      <w:r w:rsidRPr="00DE731A" w:rsidR="00D23B9D">
        <w:rPr>
          <w:color w:val="000000" w:themeColor="text1"/>
          <w:szCs w:val="26"/>
        </w:rPr>
        <w:t xml:space="preserve">amount of time in California (ranging from 2.6% to a high of 14%), and in light of the nature of their work (necessarily working in federal airspace as well as in multiple other jurisdictions but during each pay period </w:t>
      </w:r>
      <w:r w:rsidRPr="00DE731A" w:rsidR="00D23B9D">
        <w:rPr>
          <w:i/>
          <w:color w:val="000000" w:themeColor="text1"/>
          <w:szCs w:val="26"/>
        </w:rPr>
        <w:t>and day</w:t>
      </w:r>
      <w:r w:rsidRPr="00DE731A" w:rsidR="00D23B9D">
        <w:rPr>
          <w:color w:val="000000" w:themeColor="text1"/>
          <w:szCs w:val="26"/>
        </w:rPr>
        <w:t xml:space="preserve"> at issue),” the court concluded that section 226 does not apply to Oman’s claims.</w:t>
      </w:r>
      <w:r w:rsidRPr="00DE731A" w:rsidR="00513EBE">
        <w:rPr>
          <w:color w:val="000000" w:themeColor="text1"/>
          <w:szCs w:val="26"/>
        </w:rPr>
        <w:t xml:space="preserve">  (</w:t>
      </w:r>
      <w:r w:rsidRPr="00DE731A" w:rsidR="006C70D1">
        <w:rPr>
          <w:i/>
          <w:color w:val="000000" w:themeColor="text1"/>
          <w:szCs w:val="26"/>
        </w:rPr>
        <w:t>Oman</w:t>
      </w:r>
      <w:r w:rsidRPr="00DE731A" w:rsidR="006C70D1">
        <w:rPr>
          <w:color w:val="000000" w:themeColor="text1"/>
          <w:szCs w:val="26"/>
        </w:rPr>
        <w:t xml:space="preserve">, </w:t>
      </w:r>
      <w:r w:rsidRPr="00DE731A" w:rsidR="006C70D1">
        <w:rPr>
          <w:i/>
          <w:color w:val="000000" w:themeColor="text1"/>
          <w:szCs w:val="26"/>
        </w:rPr>
        <w:t>supra</w:t>
      </w:r>
      <w:r w:rsidRPr="00DE731A" w:rsidR="006C70D1">
        <w:rPr>
          <w:color w:val="000000" w:themeColor="text1"/>
          <w:szCs w:val="26"/>
        </w:rPr>
        <w:t>, 230 F.Supp.3d at p. 993,</w:t>
      </w:r>
      <w:r w:rsidRPr="00DE731A" w:rsidR="00286C1A">
        <w:rPr>
          <w:color w:val="000000" w:themeColor="text1"/>
          <w:szCs w:val="26"/>
        </w:rPr>
        <w:t xml:space="preserve"> fn. omitted</w:t>
      </w:r>
      <w:r w:rsidRPr="00DE731A" w:rsidR="00513EBE">
        <w:rPr>
          <w:color w:val="000000" w:themeColor="text1"/>
          <w:szCs w:val="26"/>
        </w:rPr>
        <w:t>.</w:t>
      </w:r>
      <w:r w:rsidRPr="00DE731A" w:rsidR="00AD290B">
        <w:rPr>
          <w:color w:val="000000" w:themeColor="text1"/>
          <w:szCs w:val="26"/>
        </w:rPr>
        <w:t xml:space="preserve">) </w:t>
      </w:r>
      <w:r w:rsidRPr="00DE731A" w:rsidR="00513EBE">
        <w:rPr>
          <w:color w:val="000000" w:themeColor="text1"/>
          <w:szCs w:val="26"/>
        </w:rPr>
        <w:t xml:space="preserve"> Seeing no argument for a different result under section 204, and because plaintiffs’ counsel had conceded </w:t>
      </w:r>
      <w:r w:rsidRPr="00DE731A" w:rsidR="00D57FA5">
        <w:rPr>
          <w:color w:val="000000" w:themeColor="text1"/>
          <w:szCs w:val="26"/>
        </w:rPr>
        <w:t>the statute should have a similar scope</w:t>
      </w:r>
      <w:r w:rsidRPr="00DE731A" w:rsidR="00513EBE">
        <w:rPr>
          <w:color w:val="000000" w:themeColor="text1"/>
          <w:szCs w:val="26"/>
        </w:rPr>
        <w:t xml:space="preserve">, the district court </w:t>
      </w:r>
      <w:r w:rsidRPr="00DE731A" w:rsidR="00827135">
        <w:rPr>
          <w:color w:val="000000" w:themeColor="text1"/>
          <w:szCs w:val="26"/>
        </w:rPr>
        <w:t>likewise rejected Oman’s section 204 claims</w:t>
      </w:r>
      <w:r w:rsidRPr="00DE731A" w:rsidR="00DC6D3C">
        <w:rPr>
          <w:color w:val="000000" w:themeColor="text1"/>
          <w:szCs w:val="26"/>
        </w:rPr>
        <w:t>.</w:t>
      </w:r>
      <w:r w:rsidRPr="00DE731A" w:rsidR="00AD290B">
        <w:rPr>
          <w:color w:val="000000" w:themeColor="text1"/>
          <w:szCs w:val="26"/>
        </w:rPr>
        <w:t xml:space="preserve"> </w:t>
      </w:r>
      <w:r w:rsidRPr="00DE731A" w:rsidR="00286C1A">
        <w:rPr>
          <w:color w:val="000000" w:themeColor="text1"/>
          <w:szCs w:val="26"/>
        </w:rPr>
        <w:t xml:space="preserve"> (</w:t>
      </w:r>
      <w:r w:rsidRPr="00DE731A" w:rsidR="0013516F">
        <w:rPr>
          <w:i/>
          <w:color w:val="000000" w:themeColor="text1"/>
          <w:szCs w:val="26"/>
        </w:rPr>
        <w:t>Oman</w:t>
      </w:r>
      <w:r w:rsidRPr="00DE731A" w:rsidR="0013516F">
        <w:rPr>
          <w:color w:val="000000" w:themeColor="text1"/>
          <w:szCs w:val="26"/>
        </w:rPr>
        <w:t>,</w:t>
      </w:r>
      <w:r w:rsidRPr="00DE731A" w:rsidR="00286C1A">
        <w:rPr>
          <w:color w:val="000000" w:themeColor="text1"/>
          <w:szCs w:val="26"/>
        </w:rPr>
        <w:t xml:space="preserve"> at p. 994</w:t>
      </w:r>
      <w:r w:rsidRPr="00DE731A" w:rsidR="00AD290B">
        <w:rPr>
          <w:color w:val="000000" w:themeColor="text1"/>
          <w:szCs w:val="26"/>
        </w:rPr>
        <w:t>.</w:t>
      </w:r>
      <w:r w:rsidRPr="00DE731A" w:rsidR="00286C1A">
        <w:rPr>
          <w:color w:val="000000" w:themeColor="text1"/>
          <w:szCs w:val="26"/>
        </w:rPr>
        <w:t>)</w:t>
      </w:r>
    </w:p>
    <w:p w:rsidR="00CB3EA1" w:rsidRPr="00DE731A" w:rsidP="00DE731A" w14:paraId="41EF0A41" w14:textId="263B7C06">
      <w:pPr>
        <w:tabs>
          <w:tab w:val="left" w:pos="1440"/>
        </w:tabs>
        <w:ind w:firstLine="720"/>
        <w:rPr>
          <w:szCs w:val="26"/>
        </w:rPr>
      </w:pPr>
      <w:bookmarkStart w:id="3" w:name="_Hlk15394496"/>
      <w:r w:rsidRPr="00DE731A">
        <w:rPr>
          <w:color w:val="000000" w:themeColor="text1"/>
          <w:szCs w:val="26"/>
        </w:rPr>
        <w:t xml:space="preserve">On appeal, the </w:t>
      </w:r>
      <w:r w:rsidRPr="00DE731A" w:rsidR="00590E91">
        <w:rPr>
          <w:color w:val="000000" w:themeColor="text1"/>
          <w:szCs w:val="26"/>
        </w:rPr>
        <w:t xml:space="preserve">Ninth Circuit </w:t>
      </w:r>
      <w:r w:rsidRPr="00DE731A" w:rsidR="008A4873">
        <w:rPr>
          <w:color w:val="000000" w:themeColor="text1"/>
          <w:szCs w:val="26"/>
        </w:rPr>
        <w:t>asked that we resolve three unsettled questions of California law underlying Oman’s claims</w:t>
      </w:r>
      <w:r w:rsidRPr="00DE731A" w:rsidR="00442F77">
        <w:rPr>
          <w:color w:val="000000" w:themeColor="text1"/>
          <w:szCs w:val="26"/>
        </w:rPr>
        <w:t xml:space="preserve">.  </w:t>
      </w:r>
      <w:bookmarkStart w:id="4" w:name="_Hlk41039264"/>
      <w:r w:rsidRPr="00DE731A">
        <w:rPr>
          <w:color w:val="000000" w:themeColor="text1"/>
          <w:szCs w:val="26"/>
        </w:rPr>
        <w:t>(</w:t>
      </w:r>
      <w:r w:rsidRPr="00DE731A">
        <w:rPr>
          <w:i/>
          <w:color w:val="000000" w:themeColor="text1"/>
          <w:szCs w:val="26"/>
        </w:rPr>
        <w:t>Oman v. Delta Air Lines, Inc.</w:t>
      </w:r>
      <w:r w:rsidRPr="00DE731A">
        <w:rPr>
          <w:color w:val="000000" w:themeColor="text1"/>
          <w:szCs w:val="26"/>
        </w:rPr>
        <w:t xml:space="preserve"> (9th Cir. 2018) 889 F.3d 1075, </w:t>
      </w:r>
      <w:bookmarkEnd w:id="4"/>
      <w:r w:rsidRPr="00DE731A">
        <w:rPr>
          <w:color w:val="000000" w:themeColor="text1"/>
          <w:szCs w:val="26"/>
        </w:rPr>
        <w:t xml:space="preserve">1076–1077.)  </w:t>
      </w:r>
      <w:r w:rsidRPr="00DE731A">
        <w:rPr>
          <w:szCs w:val="26"/>
        </w:rPr>
        <w:t>We accepted the request and agreed to resolve the following issues:</w:t>
      </w:r>
      <w:r>
        <w:rPr>
          <w:rStyle w:val="FootnoteReference"/>
          <w:szCs w:val="26"/>
        </w:rPr>
        <w:footnoteReference w:id="3"/>
      </w:r>
    </w:p>
    <w:p w:rsidR="008A4873" w:rsidRPr="00DE731A" w:rsidP="00DE731A" w14:paraId="2B8C2CC5" w14:textId="7647BC77">
      <w:pPr>
        <w:tabs>
          <w:tab w:val="left" w:pos="1440"/>
        </w:tabs>
        <w:ind w:firstLine="720"/>
        <w:rPr>
          <w:color w:val="000000" w:themeColor="text1"/>
          <w:szCs w:val="26"/>
        </w:rPr>
      </w:pPr>
      <w:r w:rsidRPr="00DE731A">
        <w:rPr>
          <w:color w:val="000000" w:themeColor="text1"/>
          <w:szCs w:val="26"/>
        </w:rPr>
        <w:t>(1)</w:t>
      </w:r>
      <w:r w:rsidRPr="00DE731A">
        <w:rPr>
          <w:color w:val="000000" w:themeColor="text1"/>
          <w:szCs w:val="26"/>
        </w:rPr>
        <w:tab/>
        <w:t xml:space="preserve">Do </w:t>
      </w:r>
      <w:r w:rsidRPr="00DE731A" w:rsidR="00CB3EA1">
        <w:rPr>
          <w:color w:val="000000" w:themeColor="text1"/>
          <w:szCs w:val="26"/>
        </w:rPr>
        <w:t>sections</w:t>
      </w:r>
      <w:r w:rsidRPr="00DE731A">
        <w:rPr>
          <w:color w:val="000000" w:themeColor="text1"/>
          <w:szCs w:val="26"/>
        </w:rPr>
        <w:t xml:space="preserve"> 204 and 226 apply to wage payments and wage statements provided by an out-of-state employer to an employee who, in the relevant pay period, works in California only episodically and for less than a day at a time?</w:t>
      </w:r>
    </w:p>
    <w:p w:rsidR="008A4873" w:rsidRPr="00DE731A" w:rsidP="00DE731A" w14:paraId="247F9AC9" w14:textId="4F1543FD">
      <w:pPr>
        <w:tabs>
          <w:tab w:val="left" w:pos="1440"/>
        </w:tabs>
        <w:ind w:firstLine="720"/>
        <w:rPr>
          <w:color w:val="000000" w:themeColor="text1"/>
          <w:szCs w:val="26"/>
        </w:rPr>
      </w:pPr>
      <w:r w:rsidRPr="00DE731A">
        <w:rPr>
          <w:color w:val="000000" w:themeColor="text1"/>
          <w:szCs w:val="26"/>
        </w:rPr>
        <w:t>(2)</w:t>
      </w:r>
      <w:r w:rsidRPr="00DE731A">
        <w:rPr>
          <w:color w:val="000000" w:themeColor="text1"/>
          <w:szCs w:val="26"/>
        </w:rPr>
        <w:tab/>
        <w:t xml:space="preserve">Does California minimum wage law apply to all work performed in California for an out-of-state employer by an employee who works in California only episodically and for less than a day at a time? </w:t>
      </w:r>
      <w:r w:rsidRPr="00DE731A" w:rsidR="003A3D4C">
        <w:rPr>
          <w:color w:val="000000" w:themeColor="text1"/>
          <w:szCs w:val="26"/>
        </w:rPr>
        <w:t xml:space="preserve"> </w:t>
      </w:r>
      <w:r w:rsidRPr="00DE731A" w:rsidR="00CB3EA1">
        <w:rPr>
          <w:szCs w:val="26"/>
        </w:rPr>
        <w:t xml:space="preserve">(See </w:t>
      </w:r>
      <w:r w:rsidRPr="00DE731A" w:rsidR="0087235F">
        <w:rPr>
          <w:szCs w:val="26"/>
        </w:rPr>
        <w:t xml:space="preserve">Lab. Code, </w:t>
      </w:r>
      <w:r w:rsidRPr="00DE731A" w:rsidR="00CB3EA1">
        <w:rPr>
          <w:szCs w:val="26"/>
        </w:rPr>
        <w:t xml:space="preserve">§§ 1182.12, 1194; Cal. Code Regs., </w:t>
      </w:r>
      <w:r w:rsidR="005A7C0B">
        <w:rPr>
          <w:szCs w:val="26"/>
        </w:rPr>
        <w:t xml:space="preserve">tit. 8, </w:t>
      </w:r>
      <w:r w:rsidRPr="00DE731A" w:rsidR="00CB3EA1">
        <w:rPr>
          <w:szCs w:val="26"/>
        </w:rPr>
        <w:t>§ 11090</w:t>
      </w:r>
      <w:r w:rsidR="005A7C0B">
        <w:rPr>
          <w:szCs w:val="26"/>
        </w:rPr>
        <w:t xml:space="preserve">, subd. </w:t>
      </w:r>
      <w:r w:rsidRPr="00DE731A" w:rsidR="00CB3EA1">
        <w:rPr>
          <w:szCs w:val="26"/>
        </w:rPr>
        <w:t>(4).)</w:t>
      </w:r>
    </w:p>
    <w:p w:rsidR="00C34977" w:rsidRPr="00DE731A" w:rsidP="00DE731A" w14:paraId="4691ADDE" w14:textId="630B8A93">
      <w:pPr>
        <w:tabs>
          <w:tab w:val="left" w:pos="1440"/>
        </w:tabs>
        <w:ind w:firstLine="720"/>
        <w:rPr>
          <w:szCs w:val="26"/>
        </w:rPr>
      </w:pPr>
      <w:r w:rsidRPr="00DE731A">
        <w:rPr>
          <w:color w:val="000000" w:themeColor="text1"/>
          <w:szCs w:val="26"/>
        </w:rPr>
        <w:t xml:space="preserve">(3) </w:t>
      </w:r>
      <w:r w:rsidRPr="00DE731A">
        <w:rPr>
          <w:color w:val="000000" w:themeColor="text1"/>
          <w:szCs w:val="26"/>
        </w:rPr>
        <w:tab/>
        <w:t xml:space="preserve">Does the </w:t>
      </w:r>
      <w:r w:rsidRPr="00DE731A">
        <w:rPr>
          <w:i/>
          <w:iCs/>
          <w:color w:val="000000" w:themeColor="text1"/>
          <w:szCs w:val="26"/>
        </w:rPr>
        <w:t>Armenta/Gonzalez</w:t>
      </w:r>
      <w:r w:rsidRPr="00DE731A">
        <w:rPr>
          <w:color w:val="000000" w:themeColor="text1"/>
          <w:szCs w:val="26"/>
        </w:rPr>
        <w:t xml:space="preserve"> bar on averaging wages </w:t>
      </w:r>
      <w:r w:rsidRPr="00DE731A" w:rsidR="0064761C">
        <w:rPr>
          <w:szCs w:val="26"/>
        </w:rPr>
        <w:t xml:space="preserve">(see </w:t>
      </w:r>
      <w:r w:rsidRPr="00DE731A" w:rsidR="0064761C">
        <w:rPr>
          <w:i/>
          <w:iCs/>
          <w:szCs w:val="26"/>
        </w:rPr>
        <w:t>Armenta</w:t>
      </w:r>
      <w:r w:rsidRPr="00DE731A" w:rsidR="008F736F">
        <w:rPr>
          <w:iCs/>
          <w:szCs w:val="26"/>
        </w:rPr>
        <w:t xml:space="preserve">, </w:t>
      </w:r>
      <w:r w:rsidRPr="00DE731A" w:rsidR="008F736F">
        <w:rPr>
          <w:i/>
          <w:iCs/>
          <w:szCs w:val="26"/>
        </w:rPr>
        <w:t>supra</w:t>
      </w:r>
      <w:r w:rsidRPr="00DE731A" w:rsidR="008F736F">
        <w:rPr>
          <w:iCs/>
          <w:szCs w:val="26"/>
        </w:rPr>
        <w:t>,</w:t>
      </w:r>
      <w:r w:rsidRPr="00DE731A" w:rsidR="0064761C">
        <w:rPr>
          <w:szCs w:val="26"/>
        </w:rPr>
        <w:t xml:space="preserve"> 135 Cal.App.4th 314; </w:t>
      </w:r>
      <w:r w:rsidRPr="00DE731A" w:rsidR="0064761C">
        <w:rPr>
          <w:i/>
          <w:iCs/>
          <w:szCs w:val="26"/>
        </w:rPr>
        <w:t>Gonzalez</w:t>
      </w:r>
      <w:r w:rsidRPr="00DE731A" w:rsidR="008F736F">
        <w:rPr>
          <w:iCs/>
          <w:szCs w:val="26"/>
        </w:rPr>
        <w:t xml:space="preserve">, </w:t>
      </w:r>
      <w:r w:rsidRPr="00DE731A" w:rsidR="008F736F">
        <w:rPr>
          <w:i/>
          <w:iCs/>
          <w:szCs w:val="26"/>
        </w:rPr>
        <w:t>supra</w:t>
      </w:r>
      <w:r w:rsidRPr="00DE731A" w:rsidR="008F736F">
        <w:rPr>
          <w:iCs/>
          <w:szCs w:val="26"/>
        </w:rPr>
        <w:t>,</w:t>
      </w:r>
      <w:r w:rsidRPr="00DE731A" w:rsidR="0064761C">
        <w:rPr>
          <w:szCs w:val="26"/>
        </w:rPr>
        <w:t xml:space="preserve"> 215 Cal.App.4th 36) </w:t>
      </w:r>
      <w:r w:rsidRPr="00DE731A">
        <w:rPr>
          <w:color w:val="000000" w:themeColor="text1"/>
          <w:szCs w:val="26"/>
        </w:rPr>
        <w:t>apply to a pay formula that generally awards credit for all hours on duty, but which, in certain situations resulting in higher pay, does not award credit for all hours on duty?</w:t>
      </w:r>
    </w:p>
    <w:bookmarkEnd w:id="3"/>
    <w:p w:rsidR="00464B44" w:rsidRPr="00DE731A" w:rsidP="00DE731A" w14:paraId="3DFF52E6" w14:textId="658D3262">
      <w:pPr>
        <w:keepNext/>
        <w:tabs>
          <w:tab w:val="left" w:pos="1440"/>
        </w:tabs>
        <w:jc w:val="center"/>
        <w:rPr>
          <w:b/>
          <w:szCs w:val="26"/>
        </w:rPr>
      </w:pPr>
      <w:r w:rsidRPr="00DE731A">
        <w:rPr>
          <w:b/>
          <w:szCs w:val="26"/>
        </w:rPr>
        <w:t>II.</w:t>
      </w:r>
    </w:p>
    <w:p w:rsidR="00EC19CE" w:rsidRPr="00DE731A" w:rsidP="00DE731A" w14:paraId="3032957F" w14:textId="77777777">
      <w:pPr>
        <w:keepNext/>
        <w:tabs>
          <w:tab w:val="left" w:pos="1440"/>
        </w:tabs>
        <w:jc w:val="center"/>
        <w:rPr>
          <w:b/>
          <w:szCs w:val="26"/>
        </w:rPr>
      </w:pPr>
      <w:r w:rsidRPr="00DE731A">
        <w:rPr>
          <w:b/>
          <w:szCs w:val="26"/>
        </w:rPr>
        <w:t>A.</w:t>
      </w:r>
    </w:p>
    <w:p w:rsidR="00AE0988" w:rsidRPr="00DE731A" w:rsidP="00DE731A" w14:paraId="51180E04" w14:textId="2666F6B7">
      <w:pPr>
        <w:tabs>
          <w:tab w:val="left" w:pos="1440"/>
        </w:tabs>
        <w:ind w:firstLine="720"/>
        <w:rPr>
          <w:szCs w:val="26"/>
        </w:rPr>
      </w:pPr>
      <w:r w:rsidRPr="00DE731A">
        <w:rPr>
          <w:szCs w:val="26"/>
        </w:rPr>
        <w:t xml:space="preserve">Our precedent makes clear that the application of California wage and hour protections to multistate workers like Oman may vary on a statute-by-statute basis.  (See </w:t>
      </w:r>
      <w:r w:rsidRPr="00DE731A">
        <w:rPr>
          <w:i/>
        </w:rPr>
        <w:t>Sullivan v. Oracle Corp.</w:t>
      </w:r>
      <w:r w:rsidRPr="00DE731A">
        <w:t xml:space="preserve"> (2011) 51 Cal.4th 1191, 1201 (</w:t>
      </w:r>
      <w:r w:rsidRPr="00DE731A">
        <w:rPr>
          <w:i/>
        </w:rPr>
        <w:t>Sullivan</w:t>
      </w:r>
      <w:r w:rsidRPr="00DE731A">
        <w:t>)</w:t>
      </w:r>
      <w:r w:rsidRPr="00DE731A">
        <w:rPr>
          <w:szCs w:val="26"/>
        </w:rPr>
        <w:t xml:space="preserve">.)  </w:t>
      </w:r>
      <w:r w:rsidRPr="00DE731A" w:rsidR="00D56DD0">
        <w:rPr>
          <w:szCs w:val="26"/>
        </w:rPr>
        <w:t xml:space="preserve">We thus consider </w:t>
      </w:r>
      <w:r w:rsidRPr="00DE731A" w:rsidR="003271B6">
        <w:rPr>
          <w:szCs w:val="26"/>
        </w:rPr>
        <w:t xml:space="preserve">separately </w:t>
      </w:r>
      <w:r w:rsidRPr="00DE731A" w:rsidR="00D56DD0">
        <w:rPr>
          <w:szCs w:val="26"/>
        </w:rPr>
        <w:t xml:space="preserve">each of the wage and hour statutes on which Oman relies, beginning with </w:t>
      </w:r>
      <w:r w:rsidRPr="00DE731A" w:rsidR="0098445B">
        <w:rPr>
          <w:szCs w:val="26"/>
        </w:rPr>
        <w:t xml:space="preserve">section 226.  </w:t>
      </w:r>
      <w:r w:rsidRPr="00DE731A" w:rsidR="0098445B">
        <w:t xml:space="preserve">That provision </w:t>
      </w:r>
      <w:r w:rsidRPr="00DE731A" w:rsidR="007C0222">
        <w:t xml:space="preserve">requires an employer to supply each employee “semimonthly or at the time of each payment” a written wage statement disclosing the pay period and itemizing the hours worked, </w:t>
      </w:r>
      <w:r w:rsidRPr="00DE731A" w:rsidR="00881FD0">
        <w:t xml:space="preserve">applicable </w:t>
      </w:r>
      <w:r w:rsidRPr="00DE731A" w:rsidR="007C0222">
        <w:t>hourly rate</w:t>
      </w:r>
      <w:r w:rsidRPr="00DE731A" w:rsidR="00881FD0">
        <w:t>s</w:t>
      </w:r>
      <w:r w:rsidRPr="00DE731A" w:rsidR="007C0222">
        <w:t>, gross and net wages earned, any deductions taken, and other relevant information.  (§ 226, subd. (a).)</w:t>
      </w:r>
    </w:p>
    <w:p w:rsidR="007B3570" w:rsidRPr="00DE731A" w:rsidP="00DE731A" w14:paraId="4FBCA7DF" w14:textId="36CC3E26">
      <w:pPr>
        <w:tabs>
          <w:tab w:val="left" w:pos="1440"/>
        </w:tabs>
        <w:ind w:firstLine="720"/>
      </w:pPr>
      <w:bookmarkStart w:id="5" w:name="_Hlk23411892"/>
      <w:r w:rsidRPr="00DE731A">
        <w:t>A</w:t>
      </w:r>
      <w:r w:rsidRPr="00DE731A" w:rsidR="00FA5D3F">
        <w:t xml:space="preserve">s we explained in </w:t>
      </w:r>
      <w:r w:rsidRPr="00DE731A" w:rsidR="00FA5D3F">
        <w:rPr>
          <w:i/>
        </w:rPr>
        <w:t>Ward</w:t>
      </w:r>
      <w:r w:rsidRPr="00DE731A" w:rsidR="00FA5D3F">
        <w:t xml:space="preserve">, </w:t>
      </w:r>
      <w:r w:rsidRPr="00DE731A" w:rsidR="00FA5D3F">
        <w:rPr>
          <w:i/>
        </w:rPr>
        <w:t>supra</w:t>
      </w:r>
      <w:r w:rsidRPr="00DE731A" w:rsidR="00FA5D3F">
        <w:t>, _</w:t>
      </w:r>
      <w:r w:rsidRPr="00DE731A" w:rsidR="006350A4">
        <w:t>_</w:t>
      </w:r>
      <w:r w:rsidR="003C6E54">
        <w:t>_</w:t>
      </w:r>
      <w:r w:rsidRPr="00DE731A" w:rsidR="00FA5D3F">
        <w:t xml:space="preserve"> Cal.5th __</w:t>
      </w:r>
      <w:r w:rsidRPr="00DE731A" w:rsidR="00C27CEE">
        <w:t>_</w:t>
      </w:r>
      <w:r w:rsidRPr="00DE731A" w:rsidR="00FA5D3F">
        <w:t xml:space="preserve">, </w:t>
      </w:r>
      <w:r w:rsidRPr="00DE731A" w:rsidR="00057967">
        <w:t xml:space="preserve">section 226 does not, in so many words, define its geographic </w:t>
      </w:r>
      <w:r w:rsidRPr="00DE731A" w:rsidR="00792344">
        <w:t>reach</w:t>
      </w:r>
      <w:r w:rsidRPr="00DE731A" w:rsidR="00057967">
        <w:t>.</w:t>
      </w:r>
      <w:r w:rsidRPr="00DE731A" w:rsidR="0079534A">
        <w:t xml:space="preserve">  (</w:t>
      </w:r>
      <w:r w:rsidRPr="00DE731A" w:rsidR="00FF448E">
        <w:rPr>
          <w:i/>
        </w:rPr>
        <w:t>Ward</w:t>
      </w:r>
      <w:r w:rsidRPr="00DE731A" w:rsidR="003C7FC4">
        <w:t xml:space="preserve">, at </w:t>
      </w:r>
      <w:r w:rsidRPr="00DE731A" w:rsidR="0013516F">
        <w:t>p</w:t>
      </w:r>
      <w:r w:rsidRPr="00DE731A" w:rsidR="003C7FC4">
        <w:t>. </w:t>
      </w:r>
      <w:r w:rsidRPr="00DE731A" w:rsidR="00C27CEE">
        <w:t>_</w:t>
      </w:r>
      <w:r w:rsidRPr="00DE731A" w:rsidR="003C7FC4">
        <w:t>__ [</w:t>
      </w:r>
      <w:r w:rsidRPr="00DE731A" w:rsidR="00E73140">
        <w:t>p</w:t>
      </w:r>
      <w:r w:rsidRPr="00DE731A" w:rsidR="003C7FC4">
        <w:t>. </w:t>
      </w:r>
      <w:r w:rsidR="002B2B18">
        <w:t>2</w:t>
      </w:r>
      <w:r w:rsidRPr="00DE731A" w:rsidR="003C7FC4">
        <w:t>1]</w:t>
      </w:r>
      <w:r w:rsidRPr="00DE731A" w:rsidR="0079534A">
        <w:t>.)</w:t>
      </w:r>
      <w:r w:rsidRPr="00DE731A" w:rsidR="00057967">
        <w:t xml:space="preserve">  </w:t>
      </w:r>
      <w:r w:rsidRPr="00DE731A" w:rsidR="003A0B18">
        <w:t>But</w:t>
      </w:r>
      <w:r w:rsidRPr="00DE731A" w:rsidR="004D70DE">
        <w:t xml:space="preserve"> we </w:t>
      </w:r>
      <w:r w:rsidRPr="00DE731A" w:rsidR="00EC7A5D">
        <w:t xml:space="preserve">ordinarily </w:t>
      </w:r>
      <w:r w:rsidRPr="00DE731A" w:rsidR="004D70DE">
        <w:t xml:space="preserve">presume </w:t>
      </w:r>
      <w:r w:rsidRPr="00DE731A" w:rsidR="00EB1840">
        <w:t>the Legislature drafts laws with domestic conditions in mind</w:t>
      </w:r>
      <w:r w:rsidRPr="00DE731A" w:rsidR="0079534A">
        <w:t xml:space="preserve"> (</w:t>
      </w:r>
      <w:r w:rsidRPr="00DE731A" w:rsidR="0079534A">
        <w:rPr>
          <w:i/>
        </w:rPr>
        <w:t>id.</w:t>
      </w:r>
      <w:r w:rsidRPr="00DE731A" w:rsidR="0079534A">
        <w:t xml:space="preserve"> at </w:t>
      </w:r>
      <w:r w:rsidRPr="00DE731A" w:rsidR="0013516F">
        <w:t>p</w:t>
      </w:r>
      <w:r w:rsidRPr="00DE731A" w:rsidR="0079534A">
        <w:t>. </w:t>
      </w:r>
      <w:r w:rsidRPr="00DE731A">
        <w:t>_</w:t>
      </w:r>
      <w:r w:rsidRPr="00DE731A" w:rsidR="00C27CEE">
        <w:t>_</w:t>
      </w:r>
      <w:r w:rsidRPr="00DE731A">
        <w:t>_ [p. </w:t>
      </w:r>
      <w:r w:rsidR="0034310A">
        <w:t>16</w:t>
      </w:r>
      <w:r w:rsidRPr="00DE731A">
        <w:t>]</w:t>
      </w:r>
      <w:r w:rsidRPr="00DE731A" w:rsidR="00FF448E">
        <w:t>)</w:t>
      </w:r>
      <w:r w:rsidRPr="00DE731A" w:rsidR="00EB1840">
        <w:t xml:space="preserve">, </w:t>
      </w:r>
      <w:r w:rsidRPr="00DE731A" w:rsidR="00AF3C42">
        <w:t xml:space="preserve">and thus requires some degree of connection between the subject matter of the statutory claim and </w:t>
      </w:r>
      <w:r w:rsidRPr="00DE731A" w:rsidR="00B56F74">
        <w:t>the State of California.</w:t>
      </w:r>
      <w:r w:rsidRPr="00DE731A" w:rsidR="00317662">
        <w:t xml:space="preserve">  </w:t>
      </w:r>
      <w:r w:rsidRPr="00DE731A" w:rsidR="00E56CBD">
        <w:t xml:space="preserve">In </w:t>
      </w:r>
      <w:r w:rsidRPr="00DE731A" w:rsidR="00E56CBD">
        <w:rPr>
          <w:i/>
        </w:rPr>
        <w:t>Ward</w:t>
      </w:r>
      <w:r w:rsidRPr="00DE731A" w:rsidR="00E56CBD">
        <w:t>, we address</w:t>
      </w:r>
      <w:r w:rsidRPr="00DE731A" w:rsidR="000F4C4A">
        <w:t>ed</w:t>
      </w:r>
      <w:r w:rsidRPr="00DE731A" w:rsidR="00E56CBD">
        <w:t xml:space="preserve"> </w:t>
      </w:r>
      <w:r w:rsidRPr="00DE731A" w:rsidR="00317662">
        <w:t xml:space="preserve">the nature </w:t>
      </w:r>
      <w:r w:rsidRPr="00DE731A" w:rsidR="00971516">
        <w:t xml:space="preserve">of the connection required to </w:t>
      </w:r>
      <w:r w:rsidRPr="00DE731A" w:rsidR="00850555">
        <w:t>trigger the wage state</w:t>
      </w:r>
      <w:r w:rsidRPr="00DE731A" w:rsidR="00FF448E">
        <w:t>ment</w:t>
      </w:r>
      <w:r w:rsidRPr="00DE731A" w:rsidR="00850555">
        <w:t xml:space="preserve"> requirements </w:t>
      </w:r>
      <w:r w:rsidRPr="00DE731A" w:rsidR="00B00D79">
        <w:t>set forth in section 226</w:t>
      </w:r>
      <w:r w:rsidRPr="00DE731A" w:rsidR="00B56BE0">
        <w:t xml:space="preserve"> and he</w:t>
      </w:r>
      <w:r w:rsidRPr="00DE731A" w:rsidR="005C4B9B">
        <w:t xml:space="preserve">ld that </w:t>
      </w:r>
      <w:r w:rsidRPr="00DE731A" w:rsidR="00583F62">
        <w:t>section 226</w:t>
      </w:r>
      <w:r w:rsidRPr="00DE731A" w:rsidR="00183DC0">
        <w:t xml:space="preserve"> applies when an employee</w:t>
      </w:r>
      <w:r w:rsidRPr="00DE731A" w:rsidR="00786B0C">
        <w:t>’s principal place of work is in California</w:t>
      </w:r>
      <w:r w:rsidRPr="00DE731A" w:rsidR="00F12815">
        <w:t>.</w:t>
      </w:r>
      <w:r w:rsidRPr="00DE731A" w:rsidR="008B5A30">
        <w:t xml:space="preserve">  Ordinarily, this test is met if an employee works </w:t>
      </w:r>
      <w:r w:rsidR="00E263B4">
        <w:t>primarily</w:t>
      </w:r>
      <w:r w:rsidR="00E757B3">
        <w:t xml:space="preserve"> (i.e., </w:t>
      </w:r>
      <w:r w:rsidRPr="00DE731A" w:rsidR="00E51750">
        <w:t xml:space="preserve">the majority of </w:t>
      </w:r>
      <w:r w:rsidRPr="00DE731A" w:rsidR="008B5A30">
        <w:t>the time</w:t>
      </w:r>
      <w:r w:rsidR="00E757B3">
        <w:t>)</w:t>
      </w:r>
      <w:r w:rsidRPr="00DE731A" w:rsidR="008B5A30">
        <w:t xml:space="preserve"> in California.</w:t>
      </w:r>
      <w:r w:rsidRPr="00DE731A" w:rsidR="00F12815">
        <w:t xml:space="preserve">  In the case of </w:t>
      </w:r>
      <w:r w:rsidRPr="00DE731A" w:rsidR="002D1940">
        <w:t xml:space="preserve">interstate transportation workers and others </w:t>
      </w:r>
      <w:r w:rsidRPr="00DE731A" w:rsidR="00E16459">
        <w:t xml:space="preserve">who </w:t>
      </w:r>
      <w:r w:rsidRPr="00DE731A" w:rsidR="002D1940">
        <w:t xml:space="preserve">do not spend a majority of their working time in any one state, this test is satisfied when California serves as their base of work operations.  </w:t>
      </w:r>
      <w:r w:rsidRPr="00DE731A" w:rsidR="00E56CBD">
        <w:t>(</w:t>
      </w:r>
      <w:r w:rsidRPr="00DE731A" w:rsidR="00E56CBD">
        <w:rPr>
          <w:i/>
        </w:rPr>
        <w:t>Ward</w:t>
      </w:r>
      <w:r w:rsidRPr="00DE731A" w:rsidR="00010145">
        <w:t>, at</w:t>
      </w:r>
      <w:r w:rsidRPr="00DE731A" w:rsidR="0013516F">
        <w:t xml:space="preserve"> pp. </w:t>
      </w:r>
      <w:r w:rsidRPr="00DE731A" w:rsidR="00C27CEE">
        <w:t>___</w:t>
      </w:r>
      <w:r w:rsidRPr="00DE731A" w:rsidR="004556DE">
        <w:t>–</w:t>
      </w:r>
      <w:r w:rsidRPr="00DE731A" w:rsidR="00C27CEE">
        <w:t>___</w:t>
      </w:r>
      <w:r w:rsidRPr="00DE731A" w:rsidR="00010145">
        <w:t xml:space="preserve"> [</w:t>
      </w:r>
      <w:r w:rsidRPr="00DE731A" w:rsidR="00E56CBD">
        <w:t>pp. </w:t>
      </w:r>
      <w:r w:rsidRPr="00DE731A" w:rsidR="00FF448E">
        <w:t>2</w:t>
      </w:r>
      <w:r w:rsidR="008B28FA">
        <w:t>6</w:t>
      </w:r>
      <w:r w:rsidRPr="00DE731A" w:rsidR="004556DE">
        <w:t>–</w:t>
      </w:r>
      <w:r w:rsidRPr="00DE731A" w:rsidR="00FF448E">
        <w:t>2</w:t>
      </w:r>
      <w:r w:rsidR="008B28FA">
        <w:t>8]</w:t>
      </w:r>
      <w:r w:rsidRPr="00DE731A" w:rsidR="00E56CBD">
        <w:t>.)</w:t>
      </w:r>
      <w:r w:rsidRPr="00DE731A" w:rsidR="00982404">
        <w:t xml:space="preserve">  </w:t>
      </w:r>
      <w:r w:rsidRPr="00DE731A" w:rsidR="00AB0872">
        <w:t xml:space="preserve">Under </w:t>
      </w:r>
      <w:r w:rsidRPr="00DE731A" w:rsidR="008B5A30">
        <w:t xml:space="preserve">this </w:t>
      </w:r>
      <w:r w:rsidRPr="00DE731A" w:rsidR="00AB0872">
        <w:t xml:space="preserve">rule, </w:t>
      </w:r>
      <w:r w:rsidRPr="00DE731A" w:rsidR="002D1940">
        <w:t xml:space="preserve">because </w:t>
      </w:r>
      <w:r w:rsidRPr="00DE731A">
        <w:t xml:space="preserve">plaintiffs </w:t>
      </w:r>
      <w:r w:rsidRPr="00DE731A" w:rsidR="008B5A30">
        <w:t xml:space="preserve">here </w:t>
      </w:r>
      <w:r w:rsidRPr="00DE731A">
        <w:t xml:space="preserve">never worked </w:t>
      </w:r>
      <w:r w:rsidR="00C57AE9">
        <w:t xml:space="preserve">more than half the time </w:t>
      </w:r>
      <w:r w:rsidRPr="00DE731A">
        <w:t xml:space="preserve">in California (or </w:t>
      </w:r>
      <w:r w:rsidRPr="00DE731A" w:rsidR="002D1940">
        <w:t>in any other state</w:t>
      </w:r>
      <w:r w:rsidRPr="00DE731A">
        <w:t xml:space="preserve">), whether they are entitled to </w:t>
      </w:r>
      <w:r w:rsidRPr="00DE731A" w:rsidR="002D1940">
        <w:t>California-</w:t>
      </w:r>
      <w:r w:rsidRPr="00DE731A">
        <w:t>compliant wage statements hinge</w:t>
      </w:r>
      <w:r w:rsidRPr="00DE731A" w:rsidR="002D1940">
        <w:t>s</w:t>
      </w:r>
      <w:r w:rsidRPr="00DE731A">
        <w:t xml:space="preserve"> on whether </w:t>
      </w:r>
      <w:r w:rsidRPr="00DE731A" w:rsidR="00B26E22">
        <w:t xml:space="preserve">they were based </w:t>
      </w:r>
      <w:r w:rsidRPr="00DE731A" w:rsidR="00AB0872">
        <w:t>for work purposes</w:t>
      </w:r>
      <w:r w:rsidRPr="00DE731A" w:rsidR="00B26E22">
        <w:t xml:space="preserve"> </w:t>
      </w:r>
      <w:r w:rsidRPr="00DE731A">
        <w:t>in California.</w:t>
      </w:r>
    </w:p>
    <w:bookmarkEnd w:id="5"/>
    <w:p w:rsidR="00167AEA" w:rsidRPr="00DE731A" w:rsidP="00DE731A" w14:paraId="0C3AFE24" w14:textId="0585F229">
      <w:pPr>
        <w:tabs>
          <w:tab w:val="left" w:pos="1440"/>
        </w:tabs>
        <w:ind w:firstLine="720"/>
        <w:rPr>
          <w:szCs w:val="26"/>
        </w:rPr>
      </w:pPr>
      <w:r w:rsidRPr="00DE731A">
        <w:rPr>
          <w:szCs w:val="26"/>
        </w:rPr>
        <w:t xml:space="preserve">The </w:t>
      </w:r>
      <w:r w:rsidRPr="00DE731A" w:rsidR="00DC7C3D">
        <w:rPr>
          <w:szCs w:val="26"/>
        </w:rPr>
        <w:t>Ninth Circuit</w:t>
      </w:r>
      <w:r w:rsidRPr="00DE731A">
        <w:rPr>
          <w:szCs w:val="26"/>
        </w:rPr>
        <w:t>’s</w:t>
      </w:r>
      <w:r w:rsidRPr="00DE731A" w:rsidR="00792875">
        <w:rPr>
          <w:szCs w:val="26"/>
        </w:rPr>
        <w:t xml:space="preserve"> question </w:t>
      </w:r>
      <w:r w:rsidRPr="00DE731A" w:rsidR="00BF160A">
        <w:rPr>
          <w:szCs w:val="26"/>
        </w:rPr>
        <w:t xml:space="preserve">in this case </w:t>
      </w:r>
      <w:r w:rsidRPr="00DE731A" w:rsidR="00CA3E98">
        <w:rPr>
          <w:szCs w:val="26"/>
        </w:rPr>
        <w:t xml:space="preserve">appears to </w:t>
      </w:r>
      <w:r w:rsidRPr="00DE731A" w:rsidR="00C62A91">
        <w:rPr>
          <w:szCs w:val="26"/>
        </w:rPr>
        <w:t xml:space="preserve">ask whether it </w:t>
      </w:r>
      <w:r w:rsidRPr="00DE731A" w:rsidR="001001A4">
        <w:rPr>
          <w:szCs w:val="26"/>
        </w:rPr>
        <w:t xml:space="preserve">is </w:t>
      </w:r>
      <w:r w:rsidRPr="00DE731A" w:rsidR="00726EAD">
        <w:rPr>
          <w:szCs w:val="26"/>
        </w:rPr>
        <w:t xml:space="preserve">also </w:t>
      </w:r>
      <w:r w:rsidRPr="00DE731A" w:rsidR="00C62A91">
        <w:rPr>
          <w:szCs w:val="26"/>
        </w:rPr>
        <w:t xml:space="preserve">relevant </w:t>
      </w:r>
      <w:r w:rsidRPr="00DE731A" w:rsidR="0087125B">
        <w:rPr>
          <w:szCs w:val="26"/>
        </w:rPr>
        <w:t xml:space="preserve">that </w:t>
      </w:r>
      <w:r w:rsidRPr="00DE731A" w:rsidR="008868E4">
        <w:rPr>
          <w:szCs w:val="26"/>
        </w:rPr>
        <w:t xml:space="preserve">Delta is a </w:t>
      </w:r>
      <w:r w:rsidRPr="00DE731A" w:rsidR="00792875">
        <w:rPr>
          <w:szCs w:val="26"/>
        </w:rPr>
        <w:t>nonresident corporation.</w:t>
      </w:r>
      <w:r w:rsidRPr="00DE731A" w:rsidR="00DC7C3D">
        <w:rPr>
          <w:szCs w:val="26"/>
        </w:rPr>
        <w:t xml:space="preserve"> </w:t>
      </w:r>
      <w:r w:rsidRPr="00DE731A" w:rsidR="00792875">
        <w:rPr>
          <w:szCs w:val="26"/>
        </w:rPr>
        <w:t xml:space="preserve"> </w:t>
      </w:r>
      <w:r w:rsidRPr="00DE731A" w:rsidR="00407688">
        <w:rPr>
          <w:szCs w:val="26"/>
        </w:rPr>
        <w:t>Delta</w:t>
      </w:r>
      <w:r w:rsidRPr="00DE731A" w:rsidR="001139DB">
        <w:rPr>
          <w:szCs w:val="26"/>
        </w:rPr>
        <w:t xml:space="preserve"> </w:t>
      </w:r>
      <w:r w:rsidRPr="00DE731A" w:rsidR="00F67008">
        <w:rPr>
          <w:szCs w:val="26"/>
        </w:rPr>
        <w:t xml:space="preserve">now </w:t>
      </w:r>
      <w:r w:rsidRPr="00DE731A" w:rsidR="00F67008">
        <w:rPr>
          <w:color w:val="222222"/>
          <w:szCs w:val="26"/>
          <w:shd w:val="clear" w:color="auto" w:fill="FFFFFF"/>
        </w:rPr>
        <w:t xml:space="preserve">concedes that </w:t>
      </w:r>
      <w:r w:rsidRPr="00DE731A" w:rsidR="00407688">
        <w:rPr>
          <w:color w:val="222222"/>
          <w:szCs w:val="26"/>
          <w:shd w:val="clear" w:color="auto" w:fill="FFFFFF"/>
        </w:rPr>
        <w:t xml:space="preserve">its foreign domicile </w:t>
      </w:r>
      <w:r w:rsidRPr="00DE731A">
        <w:rPr>
          <w:color w:val="222222"/>
          <w:szCs w:val="26"/>
          <w:shd w:val="clear" w:color="auto" w:fill="FFFFFF"/>
        </w:rPr>
        <w:t xml:space="preserve">does not foreclose the application of state law.  </w:t>
      </w:r>
      <w:r w:rsidRPr="00DE731A" w:rsidR="00B56BE0">
        <w:rPr>
          <w:color w:val="222222"/>
          <w:szCs w:val="26"/>
          <w:shd w:val="clear" w:color="auto" w:fill="FFFFFF"/>
        </w:rPr>
        <w:t>W</w:t>
      </w:r>
      <w:r w:rsidRPr="00DE731A" w:rsidR="00407688">
        <w:rPr>
          <w:color w:val="222222"/>
          <w:szCs w:val="26"/>
          <w:shd w:val="clear" w:color="auto" w:fill="FFFFFF"/>
        </w:rPr>
        <w:t xml:space="preserve">e accept the concession.  </w:t>
      </w:r>
      <w:r w:rsidRPr="00DE731A">
        <w:rPr>
          <w:color w:val="222222"/>
          <w:szCs w:val="26"/>
          <w:shd w:val="clear" w:color="auto" w:fill="FFFFFF"/>
        </w:rPr>
        <w:t>Section 226 contains no exemption based on the employer’s location</w:t>
      </w:r>
      <w:r w:rsidRPr="00DE731A" w:rsidR="008868E4">
        <w:rPr>
          <w:color w:val="222222"/>
          <w:szCs w:val="26"/>
          <w:shd w:val="clear" w:color="auto" w:fill="FFFFFF"/>
        </w:rPr>
        <w:t>.  This is</w:t>
      </w:r>
      <w:r w:rsidRPr="00DE731A">
        <w:rPr>
          <w:color w:val="222222"/>
          <w:szCs w:val="26"/>
          <w:shd w:val="clear" w:color="auto" w:fill="FFFFFF"/>
        </w:rPr>
        <w:t xml:space="preserve"> in contrast to, for example, the worker’s compensation scheme, which expressly exempts some out-of-state employers.  (See </w:t>
      </w:r>
      <w:r w:rsidRPr="00DE731A" w:rsidR="0053710E">
        <w:rPr>
          <w:color w:val="222222"/>
          <w:szCs w:val="26"/>
          <w:shd w:val="clear" w:color="auto" w:fill="FFFFFF"/>
        </w:rPr>
        <w:t xml:space="preserve">Lab. Code, </w:t>
      </w:r>
      <w:r w:rsidRPr="00DE731A">
        <w:rPr>
          <w:color w:val="333333"/>
          <w:szCs w:val="26"/>
          <w:shd w:val="clear" w:color="auto" w:fill="FFFFFF"/>
        </w:rPr>
        <w:t xml:space="preserve">§ 3600.5, subd. (b); </w:t>
      </w:r>
      <w:r w:rsidRPr="00DE731A" w:rsidR="000B4A36">
        <w:rPr>
          <w:i/>
          <w:color w:val="333333"/>
          <w:szCs w:val="26"/>
          <w:shd w:val="clear" w:color="auto" w:fill="FFFFFF"/>
        </w:rPr>
        <w:t>Sullivan</w:t>
      </w:r>
      <w:r w:rsidRPr="00DE731A">
        <w:rPr>
          <w:szCs w:val="26"/>
        </w:rPr>
        <w:t xml:space="preserve">, </w:t>
      </w:r>
      <w:r w:rsidRPr="00DE731A">
        <w:rPr>
          <w:i/>
          <w:szCs w:val="26"/>
        </w:rPr>
        <w:t>supra</w:t>
      </w:r>
      <w:r w:rsidRPr="00DE731A">
        <w:rPr>
          <w:szCs w:val="26"/>
        </w:rPr>
        <w:t xml:space="preserve">, 51 Cal.4th at pp. 1197–1198.)  The state’s power to protect employees within its borders is not limited by </w:t>
      </w:r>
      <w:r w:rsidRPr="00DE731A" w:rsidR="00407688">
        <w:rPr>
          <w:szCs w:val="26"/>
        </w:rPr>
        <w:t xml:space="preserve">whether </w:t>
      </w:r>
      <w:r w:rsidRPr="00DE731A">
        <w:rPr>
          <w:color w:val="222222"/>
          <w:szCs w:val="26"/>
          <w:shd w:val="clear" w:color="auto" w:fill="FFFFFF"/>
        </w:rPr>
        <w:t>the worker might be a nonresident or might be employed by a nonresident entity.  (</w:t>
      </w:r>
      <w:r w:rsidRPr="00DE731A">
        <w:rPr>
          <w:i/>
          <w:szCs w:val="26"/>
        </w:rPr>
        <w:t>North Alaska Salmon Co. v. Pillsbury</w:t>
      </w:r>
      <w:r w:rsidRPr="00DE731A" w:rsidR="0053710E">
        <w:rPr>
          <w:i/>
          <w:szCs w:val="26"/>
        </w:rPr>
        <w:t xml:space="preserve"> </w:t>
      </w:r>
      <w:r w:rsidRPr="00DE731A" w:rsidR="0053710E">
        <w:rPr>
          <w:szCs w:val="26"/>
        </w:rPr>
        <w:t xml:space="preserve">(1916) </w:t>
      </w:r>
      <w:r w:rsidRPr="00DE731A">
        <w:rPr>
          <w:szCs w:val="26"/>
        </w:rPr>
        <w:t xml:space="preserve">174 Cal. </w:t>
      </w:r>
      <w:r w:rsidRPr="00DE731A" w:rsidR="0053710E">
        <w:rPr>
          <w:szCs w:val="26"/>
        </w:rPr>
        <w:t>1,</w:t>
      </w:r>
      <w:r w:rsidRPr="00DE731A">
        <w:rPr>
          <w:szCs w:val="26"/>
        </w:rPr>
        <w:t xml:space="preserve"> 5; see </w:t>
      </w:r>
      <w:r w:rsidRPr="00DE731A">
        <w:rPr>
          <w:i/>
          <w:szCs w:val="26"/>
        </w:rPr>
        <w:t>Kearney v. Salomon Smith Barney</w:t>
      </w:r>
      <w:r w:rsidRPr="00DE731A" w:rsidR="0053710E">
        <w:rPr>
          <w:i/>
          <w:szCs w:val="26"/>
        </w:rPr>
        <w:t>,</w:t>
      </w:r>
      <w:r w:rsidRPr="00DE731A">
        <w:rPr>
          <w:i/>
          <w:szCs w:val="26"/>
        </w:rPr>
        <w:t xml:space="preserve"> Inc.</w:t>
      </w:r>
      <w:r w:rsidRPr="00DE731A">
        <w:rPr>
          <w:szCs w:val="26"/>
        </w:rPr>
        <w:t xml:space="preserve"> (2006) 39 Cal.4th 95, 105 [“individual states may adopt distinct policies </w:t>
      </w:r>
      <w:r w:rsidRPr="00DE731A" w:rsidR="0053710E">
        <w:rPr>
          <w:szCs w:val="26"/>
        </w:rPr>
        <w:t xml:space="preserve">to protect their own residents </w:t>
      </w:r>
      <w:r w:rsidRPr="00DE731A">
        <w:rPr>
          <w:szCs w:val="26"/>
        </w:rPr>
        <w:t>and generally may apply those policies to businesses that choose to conduct business within th</w:t>
      </w:r>
      <w:r w:rsidRPr="00DE731A" w:rsidR="00E95F5A">
        <w:rPr>
          <w:szCs w:val="26"/>
        </w:rPr>
        <w:t>at</w:t>
      </w:r>
      <w:r w:rsidRPr="00DE731A">
        <w:rPr>
          <w:szCs w:val="26"/>
        </w:rPr>
        <w:t xml:space="preserve"> state”].)  Instead, the onus ordinarily is on “a company that </w:t>
      </w:r>
      <w:r w:rsidRPr="00DE731A">
        <w:rPr>
          <w:color w:val="222222"/>
          <w:szCs w:val="26"/>
          <w:shd w:val="clear" w:color="auto" w:fill="FFFFFF"/>
        </w:rPr>
        <w:t>conducts business in numerous states . . . to make itself aware of and comply with the law of a state in which it chooses to do business.”  (</w:t>
      </w:r>
      <w:r w:rsidRPr="00DE731A">
        <w:rPr>
          <w:i/>
          <w:color w:val="222222"/>
          <w:szCs w:val="26"/>
          <w:shd w:val="clear" w:color="auto" w:fill="FFFFFF"/>
        </w:rPr>
        <w:t>Kearney</w:t>
      </w:r>
      <w:r w:rsidRPr="00DE731A">
        <w:rPr>
          <w:color w:val="222222"/>
          <w:szCs w:val="26"/>
          <w:shd w:val="clear" w:color="auto" w:fill="FFFFFF"/>
        </w:rPr>
        <w:t>, at p. 105.)</w:t>
      </w:r>
      <w:r w:rsidRPr="00DE731A">
        <w:rPr>
          <w:szCs w:val="26"/>
        </w:rPr>
        <w:t xml:space="preserve">  To hold otherwise would, as Delta suggests, create </w:t>
      </w:r>
      <w:r w:rsidRPr="00DE731A" w:rsidR="00010145">
        <w:rPr>
          <w:szCs w:val="26"/>
        </w:rPr>
        <w:t xml:space="preserve">an </w:t>
      </w:r>
      <w:r w:rsidRPr="00DE731A">
        <w:rPr>
          <w:szCs w:val="26"/>
        </w:rPr>
        <w:t xml:space="preserve">incentive </w:t>
      </w:r>
      <w:r w:rsidRPr="00DE731A" w:rsidR="00D1160F">
        <w:rPr>
          <w:szCs w:val="26"/>
        </w:rPr>
        <w:t xml:space="preserve">for businesses employing individuals who work in California </w:t>
      </w:r>
      <w:r w:rsidRPr="00DE731A">
        <w:rPr>
          <w:szCs w:val="26"/>
        </w:rPr>
        <w:t xml:space="preserve">to </w:t>
      </w:r>
      <w:r w:rsidRPr="00DE731A" w:rsidR="00D1160F">
        <w:rPr>
          <w:szCs w:val="26"/>
        </w:rPr>
        <w:t xml:space="preserve">avoid application of California law by </w:t>
      </w:r>
      <w:r w:rsidRPr="00DE731A">
        <w:rPr>
          <w:szCs w:val="26"/>
        </w:rPr>
        <w:t>locat</w:t>
      </w:r>
      <w:r w:rsidRPr="00DE731A" w:rsidR="00D1160F">
        <w:rPr>
          <w:szCs w:val="26"/>
        </w:rPr>
        <w:t>ing</w:t>
      </w:r>
      <w:r w:rsidRPr="00DE731A">
        <w:rPr>
          <w:szCs w:val="26"/>
        </w:rPr>
        <w:t xml:space="preserve"> </w:t>
      </w:r>
      <w:r w:rsidRPr="00DE731A" w:rsidR="00D1160F">
        <w:rPr>
          <w:szCs w:val="26"/>
        </w:rPr>
        <w:t xml:space="preserve">their </w:t>
      </w:r>
      <w:r w:rsidRPr="00DE731A" w:rsidR="00010145">
        <w:rPr>
          <w:szCs w:val="26"/>
        </w:rPr>
        <w:t xml:space="preserve">business operations </w:t>
      </w:r>
      <w:r w:rsidRPr="00DE731A">
        <w:rPr>
          <w:szCs w:val="26"/>
        </w:rPr>
        <w:t xml:space="preserve">outside </w:t>
      </w:r>
      <w:r w:rsidRPr="00DE731A" w:rsidR="00D1160F">
        <w:rPr>
          <w:szCs w:val="26"/>
        </w:rPr>
        <w:t>the state</w:t>
      </w:r>
      <w:r w:rsidRPr="00DE731A">
        <w:rPr>
          <w:szCs w:val="26"/>
        </w:rPr>
        <w:t>.</w:t>
      </w:r>
      <w:r w:rsidRPr="00DE731A" w:rsidR="00EA7CCA">
        <w:rPr>
          <w:szCs w:val="26"/>
        </w:rPr>
        <w:t xml:space="preserve">  If employee</w:t>
      </w:r>
      <w:r w:rsidRPr="00DE731A" w:rsidR="001573EC">
        <w:rPr>
          <w:szCs w:val="26"/>
        </w:rPr>
        <w:t>s</w:t>
      </w:r>
      <w:r w:rsidRPr="00DE731A" w:rsidR="0091627B">
        <w:rPr>
          <w:szCs w:val="26"/>
        </w:rPr>
        <w:t xml:space="preserve"> </w:t>
      </w:r>
      <w:r w:rsidRPr="00DE731A" w:rsidR="001573EC">
        <w:rPr>
          <w:szCs w:val="26"/>
        </w:rPr>
        <w:t xml:space="preserve">are </w:t>
      </w:r>
      <w:r w:rsidRPr="00DE731A" w:rsidR="0091627B">
        <w:rPr>
          <w:szCs w:val="26"/>
        </w:rPr>
        <w:t xml:space="preserve">based for work purposes in California, that is sufficient to </w:t>
      </w:r>
      <w:r w:rsidRPr="00DE731A" w:rsidR="00461A41">
        <w:rPr>
          <w:szCs w:val="26"/>
        </w:rPr>
        <w:t>trigger the requirements of section 226</w:t>
      </w:r>
      <w:r w:rsidRPr="00DE731A" w:rsidR="001573EC">
        <w:rPr>
          <w:szCs w:val="26"/>
        </w:rPr>
        <w:t>, regardless of where their employer resides</w:t>
      </w:r>
      <w:r w:rsidRPr="00DE731A" w:rsidR="00461A41">
        <w:rPr>
          <w:szCs w:val="26"/>
        </w:rPr>
        <w:t>.</w:t>
      </w:r>
    </w:p>
    <w:p w:rsidR="00324563" w:rsidRPr="00DE731A" w:rsidP="00DE731A" w14:paraId="7386E89F" w14:textId="4FAC6FD8">
      <w:pPr>
        <w:tabs>
          <w:tab w:val="left" w:pos="1440"/>
        </w:tabs>
        <w:ind w:firstLine="720"/>
        <w:rPr>
          <w:szCs w:val="26"/>
        </w:rPr>
      </w:pPr>
      <w:r w:rsidRPr="00DE731A">
        <w:t xml:space="preserve">The proposed class in this case includes individuals </w:t>
      </w:r>
      <w:r w:rsidRPr="00DE731A" w:rsidR="001C69D7">
        <w:t xml:space="preserve">who, like New York-based Dev Oman, neither </w:t>
      </w:r>
      <w:r w:rsidRPr="00DE731A" w:rsidR="00A11194">
        <w:t xml:space="preserve">perform their work </w:t>
      </w:r>
      <w:r w:rsidRPr="00DE731A" w:rsidR="001C69D7">
        <w:t xml:space="preserve">predominantly in California nor are based for work purposes in the state.  </w:t>
      </w:r>
      <w:r w:rsidRPr="00DE731A" w:rsidR="002C3B2B">
        <w:t xml:space="preserve">Oman </w:t>
      </w:r>
      <w:r w:rsidRPr="00DE731A" w:rsidR="001B751D">
        <w:t>urge</w:t>
      </w:r>
      <w:r w:rsidRPr="00DE731A" w:rsidR="002C3B2B">
        <w:t>s</w:t>
      </w:r>
      <w:r w:rsidRPr="00DE731A" w:rsidR="001B751D">
        <w:t xml:space="preserve"> us to apply a different rule than </w:t>
      </w:r>
      <w:r w:rsidRPr="00DE731A" w:rsidR="0091705C">
        <w:t xml:space="preserve">the one </w:t>
      </w:r>
      <w:r w:rsidRPr="00DE731A" w:rsidR="00CE0F80">
        <w:t xml:space="preserve">we </w:t>
      </w:r>
      <w:r w:rsidRPr="00DE731A" w:rsidR="001B751D">
        <w:t xml:space="preserve">have </w:t>
      </w:r>
      <w:r w:rsidRPr="00DE731A" w:rsidR="00CE0F80">
        <w:t>articulated in</w:t>
      </w:r>
      <w:r w:rsidRPr="00DE731A" w:rsidR="0091705C">
        <w:t xml:space="preserve"> </w:t>
      </w:r>
      <w:r w:rsidRPr="00DE731A" w:rsidR="0091705C">
        <w:rPr>
          <w:i/>
        </w:rPr>
        <w:t>Ward</w:t>
      </w:r>
      <w:r w:rsidRPr="00DE731A" w:rsidR="0091705C">
        <w:t xml:space="preserve">.  </w:t>
      </w:r>
      <w:r w:rsidRPr="00DE731A">
        <w:t xml:space="preserve">Although the operative complaint does not </w:t>
      </w:r>
      <w:r w:rsidRPr="00DE731A" w:rsidR="00AC0B86">
        <w:t xml:space="preserve">so </w:t>
      </w:r>
      <w:r w:rsidRPr="00DE731A">
        <w:t xml:space="preserve">specify, </w:t>
      </w:r>
      <w:r w:rsidRPr="00DE731A">
        <w:rPr>
          <w:szCs w:val="26"/>
        </w:rPr>
        <w:t xml:space="preserve">Oman clarifies in his briefing that unlike the </w:t>
      </w:r>
      <w:r w:rsidRPr="00DE731A">
        <w:rPr>
          <w:i/>
          <w:szCs w:val="26"/>
        </w:rPr>
        <w:t>Ward</w:t>
      </w:r>
      <w:r w:rsidRPr="00DE731A">
        <w:rPr>
          <w:szCs w:val="26"/>
        </w:rPr>
        <w:t xml:space="preserve"> plaintiffs he does not seek </w:t>
      </w:r>
      <w:r w:rsidRPr="00DE731A" w:rsidR="00A24591">
        <w:rPr>
          <w:szCs w:val="26"/>
        </w:rPr>
        <w:t xml:space="preserve">comprehensive </w:t>
      </w:r>
      <w:r w:rsidRPr="00DE731A" w:rsidR="00E255CF">
        <w:rPr>
          <w:szCs w:val="26"/>
        </w:rPr>
        <w:t xml:space="preserve">wage statements </w:t>
      </w:r>
      <w:r w:rsidRPr="00DE731A">
        <w:rPr>
          <w:szCs w:val="26"/>
        </w:rPr>
        <w:t>document</w:t>
      </w:r>
      <w:r w:rsidRPr="00DE731A" w:rsidR="007C23CE">
        <w:rPr>
          <w:szCs w:val="26"/>
        </w:rPr>
        <w:t>ing</w:t>
      </w:r>
      <w:r w:rsidRPr="00DE731A">
        <w:rPr>
          <w:szCs w:val="26"/>
        </w:rPr>
        <w:t xml:space="preserve"> </w:t>
      </w:r>
      <w:r w:rsidRPr="00DE731A" w:rsidR="00D072CA">
        <w:rPr>
          <w:szCs w:val="26"/>
        </w:rPr>
        <w:t>all wages earned during a pay period</w:t>
      </w:r>
      <w:r w:rsidRPr="00DE731A" w:rsidR="008509AF">
        <w:rPr>
          <w:szCs w:val="26"/>
        </w:rPr>
        <w:t xml:space="preserve">. </w:t>
      </w:r>
      <w:r w:rsidRPr="00DE731A">
        <w:rPr>
          <w:szCs w:val="26"/>
        </w:rPr>
        <w:t xml:space="preserve"> He argues instead that section 226 ought to be interpreted to require California-compliant documentation for those hours, however few they might be during any given pay period, when he worked on the ground in California.  He contends this requirement should apply to any airline employee who ever works in California, even those who are based out of state.</w:t>
      </w:r>
    </w:p>
    <w:p w:rsidR="00BF5BD1" w:rsidRPr="00DE731A" w:rsidP="00DE731A" w14:paraId="537B6408" w14:textId="19B0EFB9">
      <w:pPr>
        <w:tabs>
          <w:tab w:val="left" w:pos="1440"/>
        </w:tabs>
        <w:ind w:firstLine="720"/>
        <w:rPr>
          <w:szCs w:val="26"/>
        </w:rPr>
      </w:pPr>
      <w:r w:rsidRPr="00DE731A">
        <w:rPr>
          <w:szCs w:val="26"/>
        </w:rPr>
        <w:t xml:space="preserve">This </w:t>
      </w:r>
      <w:r w:rsidRPr="00DE731A" w:rsidR="00CE5342">
        <w:rPr>
          <w:szCs w:val="26"/>
        </w:rPr>
        <w:t>argument fails</w:t>
      </w:r>
      <w:r w:rsidRPr="00DE731A" w:rsidR="00EA4AFB">
        <w:rPr>
          <w:szCs w:val="26"/>
        </w:rPr>
        <w:t xml:space="preserve"> under the terms of section 226.  Section 226 provides for the documentation of wages </w:t>
      </w:r>
      <w:r w:rsidRPr="00DE731A" w:rsidR="00811FC8">
        <w:rPr>
          <w:szCs w:val="26"/>
        </w:rPr>
        <w:t xml:space="preserve">and other information </w:t>
      </w:r>
      <w:r w:rsidRPr="00DE731A" w:rsidR="00EA4AFB">
        <w:rPr>
          <w:szCs w:val="26"/>
        </w:rPr>
        <w:t xml:space="preserve">over an entire pay period, not fractions thereof.  </w:t>
      </w:r>
      <w:r w:rsidRPr="00DE731A" w:rsidR="003A22BB">
        <w:rPr>
          <w:szCs w:val="26"/>
        </w:rPr>
        <w:t xml:space="preserve">A wage statement must specify </w:t>
      </w:r>
      <w:r w:rsidRPr="00DE731A" w:rsidR="00AC5D09">
        <w:rPr>
          <w:szCs w:val="26"/>
        </w:rPr>
        <w:t xml:space="preserve">not only </w:t>
      </w:r>
      <w:r w:rsidRPr="00DE731A" w:rsidR="00BA174A">
        <w:rPr>
          <w:szCs w:val="26"/>
        </w:rPr>
        <w:t xml:space="preserve">“total </w:t>
      </w:r>
      <w:r w:rsidRPr="00DE731A" w:rsidR="00EA4AFB">
        <w:rPr>
          <w:szCs w:val="26"/>
        </w:rPr>
        <w:t>hours worked</w:t>
      </w:r>
      <w:r w:rsidRPr="00DE731A" w:rsidR="00BA174A">
        <w:rPr>
          <w:szCs w:val="26"/>
        </w:rPr>
        <w:t>”</w:t>
      </w:r>
      <w:r w:rsidRPr="00DE731A" w:rsidR="00EA4AFB">
        <w:rPr>
          <w:szCs w:val="26"/>
        </w:rPr>
        <w:t xml:space="preserve"> and </w:t>
      </w:r>
      <w:r w:rsidRPr="00DE731A" w:rsidR="00BA174A">
        <w:rPr>
          <w:szCs w:val="26"/>
        </w:rPr>
        <w:t xml:space="preserve">“all applicable </w:t>
      </w:r>
      <w:r w:rsidRPr="00DE731A" w:rsidR="00EA4AFB">
        <w:rPr>
          <w:szCs w:val="26"/>
        </w:rPr>
        <w:t>hourly rates,</w:t>
      </w:r>
      <w:r w:rsidRPr="00DE731A" w:rsidR="00BA174A">
        <w:rPr>
          <w:szCs w:val="26"/>
        </w:rPr>
        <w:t>”</w:t>
      </w:r>
      <w:r w:rsidRPr="00DE731A" w:rsidR="00EA4AFB">
        <w:rPr>
          <w:szCs w:val="26"/>
        </w:rPr>
        <w:t xml:space="preserve"> but also </w:t>
      </w:r>
      <w:r w:rsidRPr="00DE731A" w:rsidR="00BA174A">
        <w:rPr>
          <w:szCs w:val="26"/>
        </w:rPr>
        <w:t xml:space="preserve">“gross wages,” </w:t>
      </w:r>
      <w:r w:rsidRPr="00DE731A" w:rsidR="002832A5">
        <w:rPr>
          <w:szCs w:val="26"/>
        </w:rPr>
        <w:t>“net wages</w:t>
      </w:r>
      <w:r w:rsidRPr="00DE731A" w:rsidR="00BA174A">
        <w:rPr>
          <w:szCs w:val="26"/>
        </w:rPr>
        <w:t>,</w:t>
      </w:r>
      <w:r w:rsidRPr="00DE731A" w:rsidR="002832A5">
        <w:rPr>
          <w:szCs w:val="26"/>
        </w:rPr>
        <w:t>” and “all deductions”</w:t>
      </w:r>
      <w:r w:rsidRPr="00DE731A" w:rsidR="009D0D22">
        <w:rPr>
          <w:szCs w:val="26"/>
        </w:rPr>
        <w:t xml:space="preserve"> for the full period.</w:t>
      </w:r>
      <w:r w:rsidRPr="00DE731A" w:rsidR="002832A5">
        <w:rPr>
          <w:szCs w:val="26"/>
        </w:rPr>
        <w:t xml:space="preserve">  (§ 226, subd. (a).)  </w:t>
      </w:r>
      <w:r w:rsidRPr="00DE731A" w:rsidR="00AC5D09">
        <w:rPr>
          <w:szCs w:val="26"/>
        </w:rPr>
        <w:t xml:space="preserve">The statute contains no indication that </w:t>
      </w:r>
      <w:r w:rsidRPr="00DE731A" w:rsidR="00EF10DB">
        <w:rPr>
          <w:szCs w:val="26"/>
        </w:rPr>
        <w:t xml:space="preserve">the employer of an out-of-state worker must </w:t>
      </w:r>
      <w:r w:rsidRPr="00DE731A" w:rsidR="000E71FC">
        <w:rPr>
          <w:szCs w:val="26"/>
        </w:rPr>
        <w:t xml:space="preserve">report fractions of wages earned during brief trips to the state, as well as </w:t>
      </w:r>
      <w:r w:rsidRPr="00DE731A" w:rsidR="003B6244">
        <w:rPr>
          <w:szCs w:val="26"/>
        </w:rPr>
        <w:t xml:space="preserve">attempt to </w:t>
      </w:r>
      <w:r w:rsidRPr="00DE731A" w:rsidR="000E71FC">
        <w:rPr>
          <w:szCs w:val="26"/>
        </w:rPr>
        <w:t>calculate the fraction of wage deductions attributable to these sojourns.</w:t>
      </w:r>
      <w:r w:rsidRPr="00DE731A">
        <w:rPr>
          <w:rStyle w:val="CommentReference"/>
          <w:sz w:val="27"/>
        </w:rPr>
        <w:t xml:space="preserve">  </w:t>
      </w:r>
      <w:r w:rsidRPr="00DE731A">
        <w:rPr>
          <w:szCs w:val="26"/>
        </w:rPr>
        <w:t>The statute requires “</w:t>
      </w:r>
      <w:r w:rsidRPr="00DE731A">
        <w:rPr>
          <w:iCs/>
          <w:szCs w:val="26"/>
        </w:rPr>
        <w:t>an</w:t>
      </w:r>
      <w:r w:rsidRPr="00DE731A">
        <w:rPr>
          <w:szCs w:val="26"/>
        </w:rPr>
        <w:t xml:space="preserve"> accurate itemized statement” reflecting “the inclusive dates of the period for which the employee is paid” </w:t>
      </w:r>
      <w:r w:rsidRPr="00DE731A" w:rsidR="00C356BE">
        <w:rPr>
          <w:szCs w:val="26"/>
        </w:rPr>
        <w:t>and all relevant information concerning the employee’s pay during that period—that is, a single comprehensive statement of pay</w:t>
      </w:r>
      <w:r w:rsidRPr="00DE731A">
        <w:rPr>
          <w:szCs w:val="26"/>
        </w:rPr>
        <w:t>.  (</w:t>
      </w:r>
      <w:r w:rsidRPr="00E76493" w:rsidR="00E76493">
        <w:rPr>
          <w:i/>
          <w:szCs w:val="26"/>
        </w:rPr>
        <w:t>Ibid</w:t>
      </w:r>
      <w:r w:rsidRPr="00DE731A">
        <w:rPr>
          <w:szCs w:val="26"/>
        </w:rPr>
        <w:t>.)</w:t>
      </w:r>
    </w:p>
    <w:p w:rsidR="00854486" w:rsidRPr="00DE731A" w:rsidP="00DE731A" w14:paraId="32F4A940" w14:textId="54357757">
      <w:pPr>
        <w:tabs>
          <w:tab w:val="left" w:pos="1440"/>
        </w:tabs>
        <w:ind w:firstLine="720"/>
        <w:rPr>
          <w:szCs w:val="26"/>
        </w:rPr>
      </w:pPr>
      <w:r w:rsidRPr="00DE731A">
        <w:rPr>
          <w:szCs w:val="26"/>
        </w:rPr>
        <w:t xml:space="preserve">Oman argues that our recent decision in </w:t>
      </w:r>
      <w:r w:rsidRPr="00DE731A">
        <w:rPr>
          <w:i/>
          <w:szCs w:val="26"/>
        </w:rPr>
        <w:t>Troester v. Starbucks Corp.</w:t>
      </w:r>
      <w:r w:rsidRPr="00DE731A">
        <w:rPr>
          <w:szCs w:val="26"/>
        </w:rPr>
        <w:t xml:space="preserve"> (2018) 5 Cal.5th 829 supports his proposed </w:t>
      </w:r>
      <w:r w:rsidRPr="00DE731A" w:rsidR="00804982">
        <w:rPr>
          <w:szCs w:val="26"/>
        </w:rPr>
        <w:t xml:space="preserve">fractional </w:t>
      </w:r>
      <w:r w:rsidRPr="00DE731A">
        <w:rPr>
          <w:szCs w:val="26"/>
        </w:rPr>
        <w:t xml:space="preserve">approach, but </w:t>
      </w:r>
      <w:r w:rsidRPr="00DE731A">
        <w:rPr>
          <w:i/>
          <w:szCs w:val="26"/>
        </w:rPr>
        <w:t>Troester</w:t>
      </w:r>
      <w:r w:rsidRPr="00DE731A">
        <w:rPr>
          <w:szCs w:val="26"/>
        </w:rPr>
        <w:t xml:space="preserve"> </w:t>
      </w:r>
      <w:r w:rsidRPr="00DE731A" w:rsidR="0011695A">
        <w:rPr>
          <w:szCs w:val="26"/>
        </w:rPr>
        <w:t xml:space="preserve">has nothing to do with the </w:t>
      </w:r>
      <w:r w:rsidRPr="00DE731A" w:rsidR="00906AE2">
        <w:rPr>
          <w:szCs w:val="26"/>
        </w:rPr>
        <w:t>question before us</w:t>
      </w:r>
      <w:r w:rsidRPr="00DE731A">
        <w:rPr>
          <w:szCs w:val="26"/>
        </w:rPr>
        <w:t>.  There, stressing that the IWC’s wage orders ensure compensation for “ ‘all hours worked’ ” (</w:t>
      </w:r>
      <w:r w:rsidRPr="00DE731A">
        <w:rPr>
          <w:i/>
          <w:szCs w:val="26"/>
        </w:rPr>
        <w:t>Troester</w:t>
      </w:r>
      <w:r w:rsidRPr="00DE731A">
        <w:rPr>
          <w:szCs w:val="26"/>
        </w:rPr>
        <w:t>, at p. 840, quoting IWC wage order No.</w:t>
      </w:r>
      <w:r w:rsidRPr="00DE731A" w:rsidR="009107F9">
        <w:rPr>
          <w:szCs w:val="26"/>
        </w:rPr>
        <w:t> </w:t>
      </w:r>
      <w:r w:rsidRPr="00DE731A">
        <w:rPr>
          <w:szCs w:val="26"/>
        </w:rPr>
        <w:t xml:space="preserve">5–2001, </w:t>
      </w:r>
      <w:bookmarkStart w:id="6" w:name="_Hlk41050790"/>
      <w:r w:rsidRPr="00DE731A">
        <w:rPr>
          <w:szCs w:val="26"/>
        </w:rPr>
        <w:t>§</w:t>
      </w:r>
      <w:bookmarkEnd w:id="6"/>
      <w:r w:rsidRPr="00DE731A">
        <w:rPr>
          <w:szCs w:val="26"/>
        </w:rPr>
        <w:t>§ 3(A), 4(A)), we rejected the contention that state wage law would not concern itself with unpaid work on the order of a few minutes a day.  Instead, we held that an “employer that requires its employees to work minutes off the clock on a regular basis or as a regular feature of the job may not evade the obligation to compensate the employee for that time by invoking the de minimis doctrine.”  (</w:t>
      </w:r>
      <w:r w:rsidRPr="00DE731A">
        <w:rPr>
          <w:i/>
          <w:szCs w:val="26"/>
        </w:rPr>
        <w:t>Troester</w:t>
      </w:r>
      <w:r w:rsidRPr="00DE731A">
        <w:rPr>
          <w:szCs w:val="26"/>
        </w:rPr>
        <w:t>, at p. 847.)  Th</w:t>
      </w:r>
      <w:r w:rsidRPr="00DE731A" w:rsidR="005B5BD8">
        <w:rPr>
          <w:szCs w:val="26"/>
        </w:rPr>
        <w:t>at</w:t>
      </w:r>
      <w:r w:rsidRPr="00DE731A">
        <w:rPr>
          <w:szCs w:val="26"/>
        </w:rPr>
        <w:t xml:space="preserve"> holding has no relevance here.  The issue before us is not whether brief periods of work must be compensated—no one disputes the point—but whether a few minutes or hours of work in California necessarily trigger the detailed pay-period documentation requirements of California law.  The answer to that question is no:  </w:t>
      </w:r>
      <w:r w:rsidR="000616DF">
        <w:rPr>
          <w:szCs w:val="26"/>
        </w:rPr>
        <w:t>E</w:t>
      </w:r>
      <w:r w:rsidRPr="00DE731A">
        <w:rPr>
          <w:szCs w:val="26"/>
        </w:rPr>
        <w:t>mployee</w:t>
      </w:r>
      <w:r w:rsidRPr="00DE731A" w:rsidR="00801979">
        <w:rPr>
          <w:szCs w:val="26"/>
        </w:rPr>
        <w:t>s</w:t>
      </w:r>
      <w:r w:rsidRPr="00DE731A">
        <w:rPr>
          <w:szCs w:val="26"/>
        </w:rPr>
        <w:t xml:space="preserve"> </w:t>
      </w:r>
      <w:r w:rsidRPr="00DE731A" w:rsidR="00801979">
        <w:rPr>
          <w:szCs w:val="26"/>
        </w:rPr>
        <w:t xml:space="preserve">are </w:t>
      </w:r>
      <w:r w:rsidRPr="00DE731A">
        <w:rPr>
          <w:szCs w:val="26"/>
        </w:rPr>
        <w:t>entitled to California-compliant wage statement</w:t>
      </w:r>
      <w:r w:rsidRPr="00DE731A" w:rsidR="00801979">
        <w:rPr>
          <w:szCs w:val="26"/>
        </w:rPr>
        <w:t>s</w:t>
      </w:r>
      <w:r w:rsidRPr="00DE731A">
        <w:rPr>
          <w:szCs w:val="26"/>
        </w:rPr>
        <w:t xml:space="preserve"> only if </w:t>
      </w:r>
      <w:r w:rsidRPr="00DE731A" w:rsidR="00735A56">
        <w:rPr>
          <w:szCs w:val="26"/>
        </w:rPr>
        <w:t xml:space="preserve">California is the principal place of </w:t>
      </w:r>
      <w:r w:rsidRPr="00DE731A" w:rsidR="00801979">
        <w:rPr>
          <w:szCs w:val="26"/>
        </w:rPr>
        <w:t xml:space="preserve">their </w:t>
      </w:r>
      <w:r w:rsidRPr="00DE731A" w:rsidR="00735A56">
        <w:rPr>
          <w:szCs w:val="26"/>
        </w:rPr>
        <w:t>work.</w:t>
      </w:r>
    </w:p>
    <w:p w:rsidR="00854486" w:rsidRPr="00DE731A" w:rsidP="00DE731A" w14:paraId="204463AD" w14:textId="43DD6961">
      <w:pPr>
        <w:tabs>
          <w:tab w:val="left" w:pos="1440"/>
        </w:tabs>
        <w:ind w:firstLine="720"/>
        <w:rPr>
          <w:szCs w:val="26"/>
          <w:bdr w:val="none" w:sz="0" w:space="0" w:color="auto" w:frame="1"/>
          <w:lang w:val="en"/>
        </w:rPr>
      </w:pPr>
      <w:r w:rsidRPr="00DE731A">
        <w:rPr>
          <w:szCs w:val="26"/>
        </w:rPr>
        <w:t xml:space="preserve">Oman also argues that an approach based on </w:t>
      </w:r>
      <w:r w:rsidRPr="00DE731A" w:rsidR="001D376E">
        <w:rPr>
          <w:szCs w:val="26"/>
        </w:rPr>
        <w:t xml:space="preserve">the principal place of work </w:t>
      </w:r>
      <w:r w:rsidRPr="00DE731A" w:rsidR="00FA4696">
        <w:rPr>
          <w:szCs w:val="26"/>
        </w:rPr>
        <w:t xml:space="preserve">will </w:t>
      </w:r>
      <w:r w:rsidRPr="00DE731A">
        <w:rPr>
          <w:szCs w:val="26"/>
        </w:rPr>
        <w:t xml:space="preserve">prove unworkable because coverage </w:t>
      </w:r>
      <w:r w:rsidRPr="00DE731A" w:rsidR="00FA4696">
        <w:rPr>
          <w:szCs w:val="26"/>
        </w:rPr>
        <w:t xml:space="preserve">can </w:t>
      </w:r>
      <w:r w:rsidRPr="00DE731A">
        <w:rPr>
          <w:szCs w:val="26"/>
        </w:rPr>
        <w:t xml:space="preserve">only be determined in retrospect.  But there is nothing unworkable about it.  Wage statements are, of necessity, prepared in retrospect; their function is to record hours already worked and wages already earned.  </w:t>
      </w:r>
      <w:r w:rsidRPr="00DE731A" w:rsidR="004D6043">
        <w:rPr>
          <w:szCs w:val="26"/>
        </w:rPr>
        <w:t>And i</w:t>
      </w:r>
      <w:r w:rsidRPr="00DE731A">
        <w:rPr>
          <w:szCs w:val="26"/>
        </w:rPr>
        <w:t xml:space="preserve">f the location of an employee’s job duties </w:t>
      </w:r>
      <w:r w:rsidRPr="00DE731A" w:rsidR="00F94DAA">
        <w:rPr>
          <w:szCs w:val="26"/>
        </w:rPr>
        <w:t>shifts</w:t>
      </w:r>
      <w:r w:rsidRPr="00DE731A">
        <w:rPr>
          <w:szCs w:val="26"/>
        </w:rPr>
        <w:t xml:space="preserve"> radically during the course of employment—if, for example, a flight attendant takes on a new job as a gate agent at Los Angeles International Airport—the employer will have ample opportunity to adjust.  Likewise, if the employee’s base of operations </w:t>
      </w:r>
      <w:r w:rsidR="00E76493">
        <w:rPr>
          <w:szCs w:val="26"/>
        </w:rPr>
        <w:t>changes</w:t>
      </w:r>
      <w:r w:rsidRPr="00DE731A">
        <w:rPr>
          <w:szCs w:val="26"/>
        </w:rPr>
        <w:t xml:space="preserve"> because the employee is assigned to a different home airport, </w:t>
      </w:r>
      <w:r w:rsidRPr="00DE731A" w:rsidR="00735A56">
        <w:rPr>
          <w:szCs w:val="26"/>
        </w:rPr>
        <w:t>it will be a small matter to determine whether section 226 now applies</w:t>
      </w:r>
      <w:r w:rsidRPr="00DE731A">
        <w:rPr>
          <w:szCs w:val="26"/>
        </w:rPr>
        <w:t>.</w:t>
      </w:r>
    </w:p>
    <w:p w:rsidR="008501C4" w:rsidRPr="00DE731A" w:rsidP="00DE731A" w14:paraId="3B944FEF" w14:textId="05C9CFB7">
      <w:pPr>
        <w:tabs>
          <w:tab w:val="left" w:pos="1440"/>
        </w:tabs>
        <w:ind w:firstLine="720"/>
        <w:rPr>
          <w:szCs w:val="26"/>
        </w:rPr>
      </w:pPr>
      <w:r w:rsidRPr="00DE731A">
        <w:rPr>
          <w:szCs w:val="26"/>
        </w:rPr>
        <w:t xml:space="preserve">It is, in the end, Oman’s approach that </w:t>
      </w:r>
      <w:r w:rsidRPr="00DE731A" w:rsidR="005E1956">
        <w:rPr>
          <w:szCs w:val="26"/>
        </w:rPr>
        <w:t>poses greater practical concerns</w:t>
      </w:r>
      <w:r w:rsidRPr="00DE731A">
        <w:rPr>
          <w:szCs w:val="26"/>
        </w:rPr>
        <w:t xml:space="preserve">.  By insisting on California-compliant wage statements, but only for the </w:t>
      </w:r>
      <w:r w:rsidRPr="00DE731A" w:rsidR="00066D7D">
        <w:rPr>
          <w:szCs w:val="26"/>
        </w:rPr>
        <w:t xml:space="preserve">fraction </w:t>
      </w:r>
      <w:r w:rsidRPr="00DE731A">
        <w:rPr>
          <w:szCs w:val="26"/>
        </w:rPr>
        <w:t xml:space="preserve">of hours worked on the ground in California, Oman would effectively require that employers either (1) </w:t>
      </w:r>
      <w:r w:rsidRPr="00DE731A" w:rsidR="009D0D22">
        <w:rPr>
          <w:szCs w:val="26"/>
        </w:rPr>
        <w:t xml:space="preserve">accompany each California-specific wage statement </w:t>
      </w:r>
      <w:r w:rsidRPr="00DE731A" w:rsidR="00C52BD0">
        <w:rPr>
          <w:szCs w:val="26"/>
        </w:rPr>
        <w:t xml:space="preserve">with </w:t>
      </w:r>
      <w:r w:rsidRPr="00DE731A">
        <w:rPr>
          <w:szCs w:val="26"/>
        </w:rPr>
        <w:t xml:space="preserve">multiple </w:t>
      </w:r>
      <w:r w:rsidRPr="00DE731A" w:rsidR="00C52BD0">
        <w:rPr>
          <w:szCs w:val="26"/>
        </w:rPr>
        <w:t>similar separate statements under the laws of each and every additional state in which an employee worked during a pay period</w:t>
      </w:r>
      <w:r w:rsidRPr="00DE731A">
        <w:rPr>
          <w:szCs w:val="26"/>
        </w:rPr>
        <w:t>, or (2) issue a single wage statement</w:t>
      </w:r>
      <w:r w:rsidRPr="00DE731A" w:rsidR="00EE1A0E">
        <w:rPr>
          <w:szCs w:val="26"/>
        </w:rPr>
        <w:t>, but allow California law</w:t>
      </w:r>
      <w:r w:rsidRPr="00DE731A" w:rsidR="00990D46">
        <w:rPr>
          <w:szCs w:val="26"/>
        </w:rPr>
        <w:t xml:space="preserve"> effectively</w:t>
      </w:r>
      <w:r w:rsidRPr="00DE731A" w:rsidR="00EE1A0E">
        <w:rPr>
          <w:szCs w:val="26"/>
        </w:rPr>
        <w:t xml:space="preserve"> to dictate the form and contents for</w:t>
      </w:r>
      <w:r w:rsidRPr="00DE731A">
        <w:rPr>
          <w:szCs w:val="26"/>
        </w:rPr>
        <w:t xml:space="preserve"> documenting work predominantly performed in foreign jurisdictions.</w:t>
      </w:r>
      <w:r w:rsidRPr="00DE731A" w:rsidR="0065251E">
        <w:rPr>
          <w:szCs w:val="26"/>
        </w:rPr>
        <w:t xml:space="preserve">  The first option would undermine the very purpose of </w:t>
      </w:r>
      <w:r w:rsidRPr="00DE731A" w:rsidR="00C52BD0">
        <w:rPr>
          <w:szCs w:val="26"/>
        </w:rPr>
        <w:t>section 226</w:t>
      </w:r>
      <w:r w:rsidRPr="00DE731A" w:rsidR="0065251E">
        <w:rPr>
          <w:szCs w:val="26"/>
        </w:rPr>
        <w:t xml:space="preserve">, which is </w:t>
      </w:r>
      <w:r w:rsidRPr="00DE731A" w:rsidR="00C52BD0">
        <w:rPr>
          <w:szCs w:val="26"/>
        </w:rPr>
        <w:t>“to ensure an employer ‘document[s] the basis of the employee compensation payments’ to assist the employee in determining whether he or she has been compensated properly</w:t>
      </w:r>
      <w:r w:rsidRPr="00DE731A" w:rsidR="0065251E">
        <w:rPr>
          <w:szCs w:val="26"/>
        </w:rPr>
        <w:t>.</w:t>
      </w:r>
      <w:r w:rsidRPr="00DE731A" w:rsidR="00C52BD0">
        <w:rPr>
          <w:szCs w:val="26"/>
        </w:rPr>
        <w:t xml:space="preserve">” </w:t>
      </w:r>
      <w:r w:rsidRPr="00DE731A" w:rsidR="0084001D">
        <w:rPr>
          <w:szCs w:val="26"/>
        </w:rPr>
        <w:t xml:space="preserve"> </w:t>
      </w:r>
      <w:r w:rsidRPr="00DE731A" w:rsidR="00C52BD0">
        <w:rPr>
          <w:szCs w:val="26"/>
        </w:rPr>
        <w:t>(</w:t>
      </w:r>
      <w:r w:rsidRPr="00DE731A" w:rsidR="00C52BD0">
        <w:rPr>
          <w:i/>
          <w:szCs w:val="26"/>
        </w:rPr>
        <w:t>Soto v. Motel 6 Operating, L.P.</w:t>
      </w:r>
      <w:r w:rsidRPr="00DE731A" w:rsidR="00C52BD0">
        <w:rPr>
          <w:szCs w:val="26"/>
        </w:rPr>
        <w:t xml:space="preserve"> (2016) 4 Cal.App.5th 385, 390, quoting </w:t>
      </w:r>
      <w:r w:rsidRPr="00DE731A" w:rsidR="00C52BD0">
        <w:rPr>
          <w:i/>
          <w:szCs w:val="26"/>
        </w:rPr>
        <w:t>Gattuso v. Harte-Hanks Shoppers, Inc.</w:t>
      </w:r>
      <w:r w:rsidRPr="00DE731A" w:rsidR="00C52BD0">
        <w:rPr>
          <w:szCs w:val="26"/>
        </w:rPr>
        <w:t xml:space="preserve"> (2007) 42 Cal.4th 554, 574</w:t>
      </w:r>
      <w:r w:rsidRPr="00DE731A" w:rsidR="0065251E">
        <w:rPr>
          <w:szCs w:val="26"/>
        </w:rPr>
        <w:t>.</w:t>
      </w:r>
      <w:r w:rsidRPr="00DE731A" w:rsidR="00C52BD0">
        <w:rPr>
          <w:szCs w:val="26"/>
        </w:rPr>
        <w:t>)</w:t>
      </w:r>
      <w:r w:rsidRPr="00DE731A" w:rsidR="0065251E">
        <w:rPr>
          <w:szCs w:val="26"/>
        </w:rPr>
        <w:t xml:space="preserve">  Th</w:t>
      </w:r>
      <w:r w:rsidRPr="00DE731A" w:rsidR="009D5542">
        <w:rPr>
          <w:szCs w:val="26"/>
        </w:rPr>
        <w:t xml:space="preserve">is informational purpose </w:t>
      </w:r>
      <w:r w:rsidRPr="00DE731A" w:rsidR="00C52BD0">
        <w:rPr>
          <w:szCs w:val="26"/>
        </w:rPr>
        <w:t xml:space="preserve">would be ill-served by </w:t>
      </w:r>
      <w:r w:rsidRPr="00DE731A" w:rsidR="000B30C9">
        <w:rPr>
          <w:szCs w:val="26"/>
        </w:rPr>
        <w:t xml:space="preserve">a rule </w:t>
      </w:r>
      <w:r w:rsidRPr="00DE731A" w:rsidR="00C52BD0">
        <w:rPr>
          <w:szCs w:val="26"/>
        </w:rPr>
        <w:t>that led to employees receiving a blizzard of wage statements every pay period, each documenting only a state-specific sliver of their work, and from this paper snowdrift trying to discern what they had actually been paid.</w:t>
      </w:r>
      <w:r w:rsidRPr="00DE731A">
        <w:rPr>
          <w:szCs w:val="26"/>
        </w:rPr>
        <w:t xml:space="preserve">  </w:t>
      </w:r>
      <w:r w:rsidRPr="00DE731A" w:rsidR="00C52BD0">
        <w:rPr>
          <w:szCs w:val="26"/>
        </w:rPr>
        <w:t xml:space="preserve">As to the second option, allowing any work in California, no matter how fleeting, to effectively impose California law on documentation of all work in a pay period would raise the very sorts of conflict-of-laws problems we </w:t>
      </w:r>
      <w:r w:rsidRPr="00DE731A" w:rsidR="003F7AE9">
        <w:rPr>
          <w:szCs w:val="26"/>
        </w:rPr>
        <w:t>generally presume the Legislature seeks to avoid</w:t>
      </w:r>
      <w:r w:rsidRPr="00DE731A" w:rsidR="007A1093">
        <w:rPr>
          <w:szCs w:val="26"/>
        </w:rPr>
        <w:t xml:space="preserve">.  </w:t>
      </w:r>
      <w:r w:rsidRPr="00DE731A" w:rsidR="004F15FC">
        <w:rPr>
          <w:szCs w:val="26"/>
        </w:rPr>
        <w:t>(</w:t>
      </w:r>
      <w:r w:rsidRPr="00DE731A" w:rsidR="00C52BD0">
        <w:rPr>
          <w:i/>
          <w:szCs w:val="26"/>
        </w:rPr>
        <w:t>Ward</w:t>
      </w:r>
      <w:r w:rsidRPr="00DE731A" w:rsidR="00C52BD0">
        <w:rPr>
          <w:szCs w:val="26"/>
        </w:rPr>
        <w:t xml:space="preserve">, </w:t>
      </w:r>
      <w:r w:rsidRPr="00DE731A" w:rsidR="00C52BD0">
        <w:rPr>
          <w:i/>
          <w:szCs w:val="26"/>
        </w:rPr>
        <w:t>supra</w:t>
      </w:r>
      <w:r w:rsidRPr="00DE731A" w:rsidR="00C52BD0">
        <w:rPr>
          <w:szCs w:val="26"/>
        </w:rPr>
        <w:t>, __</w:t>
      </w:r>
      <w:r w:rsidR="003C6E54">
        <w:rPr>
          <w:szCs w:val="26"/>
        </w:rPr>
        <w:t>_</w:t>
      </w:r>
      <w:r w:rsidRPr="00DE731A" w:rsidR="00C52BD0">
        <w:rPr>
          <w:szCs w:val="26"/>
        </w:rPr>
        <w:t xml:space="preserve"> Cal.5th at p</w:t>
      </w:r>
      <w:r w:rsidRPr="00DE731A" w:rsidR="0013516F">
        <w:rPr>
          <w:szCs w:val="26"/>
        </w:rPr>
        <w:t>p. </w:t>
      </w:r>
      <w:r w:rsidRPr="00DE731A" w:rsidR="00C27CEE">
        <w:rPr>
          <w:szCs w:val="26"/>
        </w:rPr>
        <w:t>_</w:t>
      </w:r>
      <w:r w:rsidRPr="00DE731A" w:rsidR="0013516F">
        <w:rPr>
          <w:szCs w:val="26"/>
        </w:rPr>
        <w:t>__</w:t>
      </w:r>
      <w:r w:rsidRPr="00DE731A" w:rsidR="0013516F">
        <w:t>–__</w:t>
      </w:r>
      <w:r w:rsidRPr="00DE731A" w:rsidR="00C27CEE">
        <w:t>_</w:t>
      </w:r>
      <w:r w:rsidRPr="00DE731A" w:rsidR="00C52BD0">
        <w:rPr>
          <w:szCs w:val="26"/>
        </w:rPr>
        <w:t xml:space="preserve"> </w:t>
      </w:r>
      <w:r w:rsidRPr="00DE731A" w:rsidR="00881FD0">
        <w:rPr>
          <w:szCs w:val="26"/>
        </w:rPr>
        <w:t>[</w:t>
      </w:r>
      <w:r w:rsidRPr="00DE731A" w:rsidR="00673D25">
        <w:rPr>
          <w:szCs w:val="26"/>
        </w:rPr>
        <w:t>p</w:t>
      </w:r>
      <w:r w:rsidRPr="00DE731A" w:rsidR="00C52BD0">
        <w:rPr>
          <w:szCs w:val="26"/>
        </w:rPr>
        <w:t>p. </w:t>
      </w:r>
      <w:r w:rsidRPr="00DE731A" w:rsidR="00E76493">
        <w:rPr>
          <w:szCs w:val="26"/>
        </w:rPr>
        <w:t>1</w:t>
      </w:r>
      <w:r w:rsidR="00E76493">
        <w:rPr>
          <w:szCs w:val="26"/>
        </w:rPr>
        <w:t>6</w:t>
      </w:r>
      <w:r w:rsidRPr="00DE731A" w:rsidR="00673D25">
        <w:rPr>
          <w:szCs w:val="26"/>
        </w:rPr>
        <w:t>–</w:t>
      </w:r>
      <w:r w:rsidRPr="00DE731A" w:rsidR="00E76493">
        <w:rPr>
          <w:szCs w:val="26"/>
        </w:rPr>
        <w:t>1</w:t>
      </w:r>
      <w:r w:rsidR="00E76493">
        <w:rPr>
          <w:szCs w:val="26"/>
        </w:rPr>
        <w:t>7</w:t>
      </w:r>
      <w:r w:rsidRPr="00DE731A" w:rsidR="00673D25">
        <w:rPr>
          <w:szCs w:val="26"/>
        </w:rPr>
        <w:t xml:space="preserve">].)  </w:t>
      </w:r>
      <w:r w:rsidRPr="00DE731A" w:rsidR="007A1093">
        <w:rPr>
          <w:szCs w:val="26"/>
        </w:rPr>
        <w:t xml:space="preserve">It is presumably for this reason that Oman has avoided arguing that California law requires this result.  </w:t>
      </w:r>
      <w:r w:rsidRPr="00DE731A">
        <w:rPr>
          <w:szCs w:val="26"/>
        </w:rPr>
        <w:t xml:space="preserve">We decline to construe section 226 as </w:t>
      </w:r>
      <w:r w:rsidRPr="00DE731A" w:rsidR="00C92038">
        <w:t xml:space="preserve">putting employers to the choice of either </w:t>
      </w:r>
      <w:r w:rsidRPr="00DE731A">
        <w:t>issu</w:t>
      </w:r>
      <w:r w:rsidRPr="00DE731A" w:rsidR="00C92038">
        <w:t>ing</w:t>
      </w:r>
      <w:r w:rsidRPr="00DE731A">
        <w:t xml:space="preserve"> a single California-compliant wage statement for every interstate worker who works for any amount of time, however brief, within the state, or </w:t>
      </w:r>
      <w:r w:rsidRPr="00DE731A" w:rsidR="00CE2351">
        <w:t xml:space="preserve">issuing </w:t>
      </w:r>
      <w:r w:rsidRPr="00DE731A" w:rsidR="00F8092F">
        <w:t xml:space="preserve">a </w:t>
      </w:r>
      <w:r w:rsidRPr="00DE731A">
        <w:t xml:space="preserve">multiplicity of statements, </w:t>
      </w:r>
      <w:r w:rsidRPr="00DE731A" w:rsidR="000E6B3E">
        <w:t xml:space="preserve">when </w:t>
      </w:r>
      <w:r w:rsidRPr="00DE731A">
        <w:t xml:space="preserve">the statute envisions that employees will receive </w:t>
      </w:r>
      <w:r w:rsidRPr="00DE731A" w:rsidR="00F8092F">
        <w:t>just one</w:t>
      </w:r>
      <w:r w:rsidRPr="00DE731A">
        <w:t>.</w:t>
      </w:r>
    </w:p>
    <w:p w:rsidR="004A3996" w:rsidRPr="00DE731A" w:rsidP="00DE731A" w14:paraId="1D1D664C" w14:textId="318A16D2">
      <w:pPr>
        <w:tabs>
          <w:tab w:val="left" w:pos="1440"/>
        </w:tabs>
        <w:ind w:firstLine="720"/>
        <w:rPr>
          <w:color w:val="222222"/>
          <w:szCs w:val="26"/>
          <w:shd w:val="clear" w:color="auto" w:fill="FFFFFF"/>
        </w:rPr>
      </w:pPr>
      <w:r w:rsidRPr="00DE731A">
        <w:rPr>
          <w:szCs w:val="26"/>
          <w:bdr w:val="none" w:sz="0" w:space="0" w:color="auto" w:frame="1"/>
          <w:lang w:val="en"/>
        </w:rPr>
        <w:t xml:space="preserve">The </w:t>
      </w:r>
      <w:r w:rsidRPr="00DE731A" w:rsidR="004A6D10">
        <w:rPr>
          <w:szCs w:val="26"/>
          <w:bdr w:val="none" w:sz="0" w:space="0" w:color="auto" w:frame="1"/>
          <w:lang w:val="en"/>
        </w:rPr>
        <w:t>principal</w:t>
      </w:r>
      <w:r w:rsidR="006263EB">
        <w:rPr>
          <w:szCs w:val="26"/>
          <w:bdr w:val="none" w:sz="0" w:space="0" w:color="auto" w:frame="1"/>
          <w:lang w:val="en"/>
        </w:rPr>
        <w:t xml:space="preserve"> </w:t>
      </w:r>
      <w:r w:rsidRPr="00DE731A" w:rsidR="004A6D10">
        <w:rPr>
          <w:szCs w:val="26"/>
          <w:bdr w:val="none" w:sz="0" w:space="0" w:color="auto" w:frame="1"/>
          <w:lang w:val="en"/>
        </w:rPr>
        <w:t>place</w:t>
      </w:r>
      <w:r w:rsidR="006263EB">
        <w:rPr>
          <w:szCs w:val="26"/>
          <w:bdr w:val="none" w:sz="0" w:space="0" w:color="auto" w:frame="1"/>
          <w:lang w:val="en"/>
        </w:rPr>
        <w:t xml:space="preserve"> </w:t>
      </w:r>
      <w:r w:rsidRPr="00DE731A" w:rsidR="004A6D10">
        <w:rPr>
          <w:szCs w:val="26"/>
          <w:bdr w:val="none" w:sz="0" w:space="0" w:color="auto" w:frame="1"/>
          <w:lang w:val="en"/>
        </w:rPr>
        <w:t>of</w:t>
      </w:r>
      <w:r w:rsidR="006263EB">
        <w:rPr>
          <w:szCs w:val="26"/>
          <w:bdr w:val="none" w:sz="0" w:space="0" w:color="auto" w:frame="1"/>
          <w:lang w:val="en"/>
        </w:rPr>
        <w:t xml:space="preserve"> </w:t>
      </w:r>
      <w:r w:rsidRPr="00DE731A" w:rsidR="004A6D10">
        <w:rPr>
          <w:szCs w:val="26"/>
          <w:bdr w:val="none" w:sz="0" w:space="0" w:color="auto" w:frame="1"/>
          <w:lang w:val="en"/>
        </w:rPr>
        <w:t>work</w:t>
      </w:r>
      <w:r w:rsidRPr="00DE731A" w:rsidR="00BF6856">
        <w:rPr>
          <w:szCs w:val="26"/>
          <w:bdr w:val="none" w:sz="0" w:space="0" w:color="auto" w:frame="1"/>
          <w:lang w:val="en"/>
        </w:rPr>
        <w:t xml:space="preserve"> </w:t>
      </w:r>
      <w:r w:rsidRPr="00DE731A">
        <w:rPr>
          <w:szCs w:val="26"/>
          <w:bdr w:val="none" w:sz="0" w:space="0" w:color="auto" w:frame="1"/>
          <w:lang w:val="en"/>
        </w:rPr>
        <w:t xml:space="preserve">rule we have </w:t>
      </w:r>
      <w:r w:rsidRPr="00DE731A" w:rsidR="007275BF">
        <w:rPr>
          <w:szCs w:val="26"/>
          <w:bdr w:val="none" w:sz="0" w:space="0" w:color="auto" w:frame="1"/>
          <w:lang w:val="en"/>
        </w:rPr>
        <w:t xml:space="preserve">articulated </w:t>
      </w:r>
      <w:r w:rsidRPr="00DE731A">
        <w:rPr>
          <w:szCs w:val="26"/>
          <w:bdr w:val="none" w:sz="0" w:space="0" w:color="auto" w:frame="1"/>
          <w:lang w:val="en"/>
        </w:rPr>
        <w:t xml:space="preserve">in </w:t>
      </w:r>
      <w:r w:rsidRPr="00DE731A">
        <w:rPr>
          <w:i/>
          <w:iCs/>
          <w:szCs w:val="26"/>
          <w:bdr w:val="none" w:sz="0" w:space="0" w:color="auto" w:frame="1"/>
          <w:lang w:val="en"/>
        </w:rPr>
        <w:t xml:space="preserve">Ward </w:t>
      </w:r>
      <w:r w:rsidRPr="00DE731A">
        <w:rPr>
          <w:szCs w:val="26"/>
          <w:bdr w:val="none" w:sz="0" w:space="0" w:color="auto" w:frame="1"/>
          <w:lang w:val="en"/>
        </w:rPr>
        <w:t xml:space="preserve">means that </w:t>
      </w:r>
      <w:r w:rsidRPr="00DE731A" w:rsidR="001935A2">
        <w:rPr>
          <w:szCs w:val="26"/>
          <w:bdr w:val="none" w:sz="0" w:space="0" w:color="auto" w:frame="1"/>
          <w:lang w:val="en"/>
        </w:rPr>
        <w:t>some short periods of work in California will not be covered by section 226</w:t>
      </w:r>
      <w:r w:rsidRPr="00DE731A" w:rsidR="00906AE2">
        <w:rPr>
          <w:szCs w:val="26"/>
          <w:bdr w:val="none" w:sz="0" w:space="0" w:color="auto" w:frame="1"/>
          <w:lang w:val="en"/>
        </w:rPr>
        <w:t>’s documentation requirements</w:t>
      </w:r>
      <w:r w:rsidRPr="00DE731A" w:rsidR="00733082">
        <w:rPr>
          <w:szCs w:val="26"/>
          <w:bdr w:val="none" w:sz="0" w:space="0" w:color="auto" w:frame="1"/>
          <w:lang w:val="en"/>
        </w:rPr>
        <w:t xml:space="preserve">.  Conversely, some periods of work outside California </w:t>
      </w:r>
      <w:r w:rsidRPr="00DE731A" w:rsidR="00733082">
        <w:rPr>
          <w:i/>
          <w:szCs w:val="26"/>
          <w:bdr w:val="none" w:sz="0" w:space="0" w:color="auto" w:frame="1"/>
          <w:lang w:val="en"/>
        </w:rPr>
        <w:t>will</w:t>
      </w:r>
      <w:r w:rsidRPr="00DE731A" w:rsidR="00733082">
        <w:rPr>
          <w:szCs w:val="26"/>
          <w:bdr w:val="none" w:sz="0" w:space="0" w:color="auto" w:frame="1"/>
          <w:lang w:val="en"/>
        </w:rPr>
        <w:t xml:space="preserve"> be covered, if they occur as part of an overall period in which most work occurs inside th</w:t>
      </w:r>
      <w:r w:rsidR="00E76ECA">
        <w:rPr>
          <w:szCs w:val="26"/>
          <w:bdr w:val="none" w:sz="0" w:space="0" w:color="auto" w:frame="1"/>
          <w:lang w:val="en"/>
        </w:rPr>
        <w:t>is</w:t>
      </w:r>
      <w:r w:rsidRPr="00DE731A" w:rsidR="00733082">
        <w:rPr>
          <w:szCs w:val="26"/>
          <w:bdr w:val="none" w:sz="0" w:space="0" w:color="auto" w:frame="1"/>
          <w:lang w:val="en"/>
        </w:rPr>
        <w:t xml:space="preserve"> state</w:t>
      </w:r>
      <w:r w:rsidRPr="00DE731A" w:rsidR="002A5412">
        <w:rPr>
          <w:szCs w:val="26"/>
          <w:bdr w:val="none" w:sz="0" w:space="0" w:color="auto" w:frame="1"/>
          <w:lang w:val="en"/>
        </w:rPr>
        <w:t xml:space="preserve"> or are performed by an employee who primarily works in no state but is based here</w:t>
      </w:r>
      <w:r w:rsidRPr="00DE731A" w:rsidR="00733082">
        <w:rPr>
          <w:szCs w:val="26"/>
          <w:bdr w:val="none" w:sz="0" w:space="0" w:color="auto" w:frame="1"/>
          <w:lang w:val="en"/>
        </w:rPr>
        <w:t>.  Such consequences are inevitable and unavoidable in a nation of 50 states where some forms of employment stretch across the land.  B</w:t>
      </w:r>
      <w:r w:rsidRPr="00DE731A" w:rsidR="00647E3B">
        <w:rPr>
          <w:szCs w:val="26"/>
          <w:bdr w:val="none" w:sz="0" w:space="0" w:color="auto" w:frame="1"/>
          <w:lang w:val="en"/>
        </w:rPr>
        <w:t xml:space="preserve">ut </w:t>
      </w:r>
      <w:r w:rsidRPr="00DE731A" w:rsidR="0008216E">
        <w:rPr>
          <w:szCs w:val="26"/>
          <w:bdr w:val="none" w:sz="0" w:space="0" w:color="auto" w:frame="1"/>
          <w:lang w:val="en"/>
        </w:rPr>
        <w:t xml:space="preserve">an understanding of </w:t>
      </w:r>
      <w:r w:rsidRPr="00DE731A" w:rsidR="00733082">
        <w:rPr>
          <w:szCs w:val="26"/>
          <w:bdr w:val="none" w:sz="0" w:space="0" w:color="auto" w:frame="1"/>
          <w:lang w:val="en"/>
        </w:rPr>
        <w:t>section 226</w:t>
      </w:r>
      <w:r w:rsidRPr="00DE731A" w:rsidR="0008216E">
        <w:rPr>
          <w:szCs w:val="26"/>
          <w:bdr w:val="none" w:sz="0" w:space="0" w:color="auto" w:frame="1"/>
          <w:lang w:val="en"/>
        </w:rPr>
        <w:t xml:space="preserve"> that focuses on </w:t>
      </w:r>
      <w:r w:rsidRPr="00DE731A" w:rsidR="00682D14">
        <w:rPr>
          <w:szCs w:val="26"/>
          <w:bdr w:val="none" w:sz="0" w:space="0" w:color="auto" w:frame="1"/>
          <w:lang w:val="en"/>
        </w:rPr>
        <w:t xml:space="preserve">the </w:t>
      </w:r>
      <w:r w:rsidRPr="00DE731A" w:rsidR="00A50534">
        <w:rPr>
          <w:szCs w:val="26"/>
          <w:bdr w:val="none" w:sz="0" w:space="0" w:color="auto" w:frame="1"/>
          <w:lang w:val="en"/>
        </w:rPr>
        <w:t xml:space="preserve">principal </w:t>
      </w:r>
      <w:r w:rsidRPr="00DE731A" w:rsidR="00647E3B">
        <w:rPr>
          <w:szCs w:val="26"/>
          <w:bdr w:val="none" w:sz="0" w:space="0" w:color="auto" w:frame="1"/>
          <w:lang w:val="en"/>
        </w:rPr>
        <w:t xml:space="preserve">place </w:t>
      </w:r>
      <w:r w:rsidRPr="00DE731A" w:rsidR="00682D14">
        <w:rPr>
          <w:szCs w:val="26"/>
          <w:bdr w:val="none" w:sz="0" w:space="0" w:color="auto" w:frame="1"/>
          <w:lang w:val="en"/>
        </w:rPr>
        <w:t>of an employee’s work</w:t>
      </w:r>
      <w:r w:rsidRPr="00DE731A" w:rsidR="004F7150">
        <w:rPr>
          <w:szCs w:val="26"/>
          <w:bdr w:val="none" w:sz="0" w:space="0" w:color="auto" w:frame="1"/>
          <w:lang w:val="en"/>
        </w:rPr>
        <w:t xml:space="preserve"> both serves the informational purposes the Legislature sought to achieve and minimizes the inevitable complications that would result from a rule </w:t>
      </w:r>
      <w:r w:rsidRPr="00DE731A" w:rsidR="00733082">
        <w:rPr>
          <w:szCs w:val="26"/>
          <w:bdr w:val="none" w:sz="0" w:space="0" w:color="auto" w:frame="1"/>
          <w:lang w:val="en"/>
        </w:rPr>
        <w:t xml:space="preserve">that any work in one state, no matter how fleeting, </w:t>
      </w:r>
      <w:r w:rsidRPr="00DE731A" w:rsidR="00682D14">
        <w:rPr>
          <w:szCs w:val="26"/>
          <w:bdr w:val="none" w:sz="0" w:space="0" w:color="auto" w:frame="1"/>
          <w:lang w:val="en"/>
        </w:rPr>
        <w:t>i</w:t>
      </w:r>
      <w:r w:rsidRPr="00DE731A" w:rsidR="00733082">
        <w:rPr>
          <w:szCs w:val="26"/>
          <w:bdr w:val="none" w:sz="0" w:space="0" w:color="auto" w:frame="1"/>
          <w:lang w:val="en"/>
        </w:rPr>
        <w:t xml:space="preserve">s sufficient to trigger application of that state’s </w:t>
      </w:r>
      <w:r w:rsidRPr="00DE731A" w:rsidR="00FE18C1">
        <w:rPr>
          <w:szCs w:val="26"/>
          <w:bdr w:val="none" w:sz="0" w:space="0" w:color="auto" w:frame="1"/>
          <w:lang w:val="en"/>
        </w:rPr>
        <w:t xml:space="preserve">wage reporting </w:t>
      </w:r>
      <w:r w:rsidRPr="00DE731A" w:rsidR="00733082">
        <w:rPr>
          <w:szCs w:val="26"/>
          <w:bdr w:val="none" w:sz="0" w:space="0" w:color="auto" w:frame="1"/>
          <w:lang w:val="en"/>
        </w:rPr>
        <w:t xml:space="preserve">laws.  </w:t>
      </w:r>
    </w:p>
    <w:p w:rsidR="00BD0800" w:rsidRPr="00DE731A" w:rsidP="00DE731A" w14:paraId="160C9B38" w14:textId="548F18E1">
      <w:pPr>
        <w:tabs>
          <w:tab w:val="left" w:pos="1440"/>
        </w:tabs>
        <w:ind w:firstLine="720"/>
        <w:rPr>
          <w:b/>
          <w:color w:val="222222"/>
          <w:szCs w:val="26"/>
          <w:shd w:val="clear" w:color="auto" w:fill="FFFFFF"/>
        </w:rPr>
      </w:pPr>
      <w:r w:rsidRPr="00DE731A">
        <w:rPr>
          <w:szCs w:val="26"/>
        </w:rPr>
        <w:t>We</w:t>
      </w:r>
      <w:r w:rsidRPr="00DE731A" w:rsidR="00050DC1">
        <w:rPr>
          <w:szCs w:val="26"/>
        </w:rPr>
        <w:t xml:space="preserve"> </w:t>
      </w:r>
      <w:r w:rsidRPr="00DE731A" w:rsidR="003B454F">
        <w:rPr>
          <w:szCs w:val="26"/>
        </w:rPr>
        <w:t xml:space="preserve">thus </w:t>
      </w:r>
      <w:r w:rsidRPr="00DE731A" w:rsidR="00050DC1">
        <w:rPr>
          <w:szCs w:val="26"/>
        </w:rPr>
        <w:t xml:space="preserve">conclude section 226 does not apply to </w:t>
      </w:r>
      <w:r w:rsidRPr="00DE731A" w:rsidR="00A25896">
        <w:rPr>
          <w:szCs w:val="26"/>
        </w:rPr>
        <w:t xml:space="preserve">work performed in California during </w:t>
      </w:r>
      <w:r w:rsidRPr="00DE731A" w:rsidR="00050DC1">
        <w:rPr>
          <w:szCs w:val="26"/>
        </w:rPr>
        <w:t xml:space="preserve">pay periods in which </w:t>
      </w:r>
      <w:r w:rsidRPr="00DE731A" w:rsidR="002A5412">
        <w:rPr>
          <w:szCs w:val="26"/>
        </w:rPr>
        <w:t>the</w:t>
      </w:r>
      <w:r w:rsidRPr="00DE731A" w:rsidR="00050DC1">
        <w:rPr>
          <w:szCs w:val="26"/>
        </w:rPr>
        <w:t xml:space="preserve"> employee</w:t>
      </w:r>
      <w:r w:rsidRPr="00DE731A" w:rsidR="002A5412">
        <w:rPr>
          <w:szCs w:val="26"/>
        </w:rPr>
        <w:t>, based outside California,</w:t>
      </w:r>
      <w:r w:rsidRPr="00DE731A" w:rsidR="00050DC1">
        <w:rPr>
          <w:szCs w:val="26"/>
        </w:rPr>
        <w:t xml:space="preserve"> works pr</w:t>
      </w:r>
      <w:r w:rsidRPr="00DE731A" w:rsidR="002A5412">
        <w:rPr>
          <w:szCs w:val="26"/>
        </w:rPr>
        <w:t>imari</w:t>
      </w:r>
      <w:r w:rsidRPr="00DE731A" w:rsidR="00050DC1">
        <w:rPr>
          <w:szCs w:val="26"/>
        </w:rPr>
        <w:t>ly outside California.</w:t>
      </w:r>
      <w:r w:rsidRPr="00DE731A" w:rsidR="004B7CF1">
        <w:rPr>
          <w:szCs w:val="26"/>
        </w:rPr>
        <w:t xml:space="preserve">  A</w:t>
      </w:r>
      <w:r w:rsidRPr="00DE731A" w:rsidR="002A5412">
        <w:rPr>
          <w:szCs w:val="26"/>
        </w:rPr>
        <w:t xml:space="preserve"> </w:t>
      </w:r>
      <w:r w:rsidRPr="00DE731A" w:rsidR="004B7CF1">
        <w:rPr>
          <w:szCs w:val="26"/>
        </w:rPr>
        <w:t>n</w:t>
      </w:r>
      <w:r w:rsidRPr="00DE731A" w:rsidR="002A5412">
        <w:rPr>
          <w:szCs w:val="26"/>
        </w:rPr>
        <w:t>on-California-based</w:t>
      </w:r>
      <w:r w:rsidRPr="00DE731A" w:rsidR="004B7CF1">
        <w:rPr>
          <w:szCs w:val="26"/>
        </w:rPr>
        <w:t xml:space="preserve"> employee </w:t>
      </w:r>
      <w:r w:rsidRPr="00DE731A" w:rsidR="00014606">
        <w:rPr>
          <w:szCs w:val="26"/>
        </w:rPr>
        <w:t xml:space="preserve">who </w:t>
      </w:r>
      <w:r w:rsidRPr="00DE731A" w:rsidR="004B7CF1">
        <w:rPr>
          <w:szCs w:val="26"/>
        </w:rPr>
        <w:t xml:space="preserve">works in California </w:t>
      </w:r>
      <w:r w:rsidRPr="00DE731A" w:rsidR="00A50534">
        <w:rPr>
          <w:szCs w:val="26"/>
        </w:rPr>
        <w:t>“</w:t>
      </w:r>
      <w:r w:rsidRPr="00DE731A" w:rsidR="004B7CF1">
        <w:rPr>
          <w:szCs w:val="26"/>
        </w:rPr>
        <w:t>only episodically and for less than a day at a time” (</w:t>
      </w:r>
      <w:r w:rsidRPr="00DE731A" w:rsidR="004B7CF1">
        <w:rPr>
          <w:i/>
          <w:color w:val="000000" w:themeColor="text1"/>
          <w:szCs w:val="26"/>
        </w:rPr>
        <w:t>Oman v. Delta Air Lines, Inc.</w:t>
      </w:r>
      <w:r w:rsidRPr="00DE731A" w:rsidR="004B7CF1">
        <w:rPr>
          <w:color w:val="000000" w:themeColor="text1"/>
          <w:szCs w:val="26"/>
        </w:rPr>
        <w:t xml:space="preserve">, </w:t>
      </w:r>
      <w:r w:rsidRPr="00DE731A" w:rsidR="004B7CF1">
        <w:rPr>
          <w:i/>
          <w:color w:val="000000" w:themeColor="text1"/>
          <w:szCs w:val="26"/>
        </w:rPr>
        <w:t>supra</w:t>
      </w:r>
      <w:r w:rsidRPr="00DE731A" w:rsidR="004B7CF1">
        <w:rPr>
          <w:color w:val="000000" w:themeColor="text1"/>
          <w:szCs w:val="26"/>
        </w:rPr>
        <w:t>, 889 F.3d at p. 1077</w:t>
      </w:r>
      <w:r w:rsidRPr="00DE731A" w:rsidR="004B7CF1">
        <w:rPr>
          <w:szCs w:val="26"/>
        </w:rPr>
        <w:t xml:space="preserve">) is not entitled to </w:t>
      </w:r>
      <w:r w:rsidRPr="00DE731A" w:rsidR="0063321A">
        <w:rPr>
          <w:szCs w:val="26"/>
        </w:rPr>
        <w:t>a wage statement</w:t>
      </w:r>
      <w:r w:rsidRPr="00DE731A" w:rsidR="001B3DE1">
        <w:rPr>
          <w:szCs w:val="26"/>
        </w:rPr>
        <w:t xml:space="preserve"> prepared according to the requirements of California law</w:t>
      </w:r>
      <w:r w:rsidRPr="00DE731A" w:rsidR="004B7CF1">
        <w:rPr>
          <w:szCs w:val="26"/>
        </w:rPr>
        <w:t>.</w:t>
      </w:r>
    </w:p>
    <w:p w:rsidR="00050DC1" w:rsidRPr="00DE731A" w:rsidP="00DE731A" w14:paraId="3E646A64" w14:textId="2F137F1F">
      <w:pPr>
        <w:keepNext/>
        <w:tabs>
          <w:tab w:val="left" w:pos="1440"/>
        </w:tabs>
        <w:jc w:val="center"/>
        <w:rPr>
          <w:b/>
          <w:szCs w:val="26"/>
        </w:rPr>
      </w:pPr>
      <w:r w:rsidRPr="00DE731A">
        <w:rPr>
          <w:b/>
          <w:szCs w:val="26"/>
        </w:rPr>
        <w:t>B</w:t>
      </w:r>
      <w:r w:rsidRPr="00DE731A">
        <w:rPr>
          <w:b/>
          <w:szCs w:val="26"/>
        </w:rPr>
        <w:t>.</w:t>
      </w:r>
    </w:p>
    <w:p w:rsidR="00866068" w:rsidRPr="00DE731A" w:rsidP="00DE731A" w14:paraId="102FBB7A" w14:textId="2A515821">
      <w:pPr>
        <w:tabs>
          <w:tab w:val="left" w:pos="1440"/>
        </w:tabs>
        <w:ind w:firstLine="720"/>
        <w:rPr>
          <w:color w:val="000000" w:themeColor="text1"/>
          <w:szCs w:val="26"/>
        </w:rPr>
      </w:pPr>
      <w:r w:rsidRPr="00DE731A">
        <w:rPr>
          <w:szCs w:val="26"/>
        </w:rPr>
        <w:t xml:space="preserve">We turn </w:t>
      </w:r>
      <w:r w:rsidRPr="00DE731A" w:rsidR="007C181D">
        <w:rPr>
          <w:szCs w:val="26"/>
        </w:rPr>
        <w:t xml:space="preserve">now </w:t>
      </w:r>
      <w:r w:rsidRPr="00DE731A">
        <w:rPr>
          <w:szCs w:val="26"/>
        </w:rPr>
        <w:t xml:space="preserve">to </w:t>
      </w:r>
      <w:r w:rsidRPr="00DE731A" w:rsidR="007C181D">
        <w:rPr>
          <w:szCs w:val="26"/>
        </w:rPr>
        <w:t xml:space="preserve">Oman’s </w:t>
      </w:r>
      <w:r w:rsidRPr="00DE731A">
        <w:rPr>
          <w:szCs w:val="26"/>
        </w:rPr>
        <w:t>section 204</w:t>
      </w:r>
      <w:r w:rsidRPr="00DE731A" w:rsidR="007C181D">
        <w:rPr>
          <w:szCs w:val="26"/>
        </w:rPr>
        <w:t xml:space="preserve"> claim</w:t>
      </w:r>
      <w:r w:rsidRPr="00DE731A">
        <w:rPr>
          <w:szCs w:val="26"/>
        </w:rPr>
        <w:t xml:space="preserve">.  </w:t>
      </w:r>
      <w:r w:rsidRPr="00DE731A" w:rsidR="007E1800">
        <w:rPr>
          <w:color w:val="000000" w:themeColor="text1"/>
          <w:szCs w:val="26"/>
        </w:rPr>
        <w:t>Th</w:t>
      </w:r>
      <w:r w:rsidRPr="00DE731A" w:rsidR="00C371D6">
        <w:rPr>
          <w:color w:val="000000" w:themeColor="text1"/>
          <w:szCs w:val="26"/>
        </w:rPr>
        <w:t>at</w:t>
      </w:r>
      <w:r w:rsidRPr="00DE731A" w:rsidR="007E1800">
        <w:rPr>
          <w:color w:val="000000" w:themeColor="text1"/>
          <w:szCs w:val="26"/>
        </w:rPr>
        <w:t xml:space="preserve"> statute</w:t>
      </w:r>
      <w:r w:rsidRPr="00DE731A" w:rsidR="007E1800">
        <w:rPr>
          <w:szCs w:val="26"/>
        </w:rPr>
        <w:t xml:space="preserve"> guarantees employees full payment on a semimonthly basis</w:t>
      </w:r>
      <w:r w:rsidRPr="00DE731A" w:rsidR="0017747E">
        <w:rPr>
          <w:szCs w:val="26"/>
        </w:rPr>
        <w:t>, providing:</w:t>
      </w:r>
      <w:r w:rsidRPr="00DE731A" w:rsidR="007E1800">
        <w:rPr>
          <w:szCs w:val="26"/>
        </w:rPr>
        <w:t xml:space="preserve">  “</w:t>
      </w:r>
      <w:r w:rsidRPr="00DE731A" w:rsidR="007E1800">
        <w:rPr>
          <w:color w:val="222222"/>
          <w:szCs w:val="26"/>
        </w:rPr>
        <w:t>All wages,</w:t>
      </w:r>
      <w:r w:rsidRPr="00DE731A" w:rsidR="00450246">
        <w:rPr>
          <w:color w:val="222222"/>
          <w:szCs w:val="26"/>
        </w:rPr>
        <w:t>” with certain exceptions not relevant here, “</w:t>
      </w:r>
      <w:r w:rsidRPr="00DE731A" w:rsidR="007E1800">
        <w:rPr>
          <w:color w:val="222222"/>
          <w:szCs w:val="26"/>
        </w:rPr>
        <w:t xml:space="preserve">earned by any person in any employment are due and payable twice during each calendar month, on days designated in advance by the employer as the regular paydays.”  (§ 204, subd. (a).)  </w:t>
      </w:r>
      <w:r w:rsidRPr="00DE731A" w:rsidR="00357EDC">
        <w:rPr>
          <w:color w:val="222222"/>
          <w:szCs w:val="26"/>
        </w:rPr>
        <w:t>Section 204</w:t>
      </w:r>
      <w:r w:rsidRPr="00DE731A" w:rsidR="007E1800">
        <w:rPr>
          <w:color w:val="222222"/>
          <w:szCs w:val="26"/>
        </w:rPr>
        <w:t xml:space="preserve"> goes on to establish specific deadlines by which wage payments must be made.</w:t>
      </w:r>
      <w:r w:rsidR="00AD29D1">
        <w:rPr>
          <w:color w:val="222222"/>
          <w:szCs w:val="26"/>
        </w:rPr>
        <w:t xml:space="preserve">  </w:t>
      </w:r>
      <w:r w:rsidRPr="00DE731A" w:rsidR="007E1800">
        <w:rPr>
          <w:color w:val="222222"/>
          <w:szCs w:val="26"/>
        </w:rPr>
        <w:t>(</w:t>
      </w:r>
      <w:r w:rsidRPr="00DE731A" w:rsidR="007E1800">
        <w:rPr>
          <w:i/>
          <w:color w:val="222222"/>
          <w:szCs w:val="26"/>
        </w:rPr>
        <w:t>Id</w:t>
      </w:r>
      <w:r w:rsidR="005A7C0B">
        <w:rPr>
          <w:i/>
          <w:color w:val="222222"/>
          <w:szCs w:val="26"/>
        </w:rPr>
        <w:t>.</w:t>
      </w:r>
      <w:r w:rsidR="005A7C0B">
        <w:rPr>
          <w:iCs/>
          <w:color w:val="222222"/>
          <w:szCs w:val="26"/>
        </w:rPr>
        <w:t>, subd. (a)</w:t>
      </w:r>
      <w:r w:rsidRPr="00DE731A" w:rsidR="007E1800">
        <w:rPr>
          <w:i/>
          <w:color w:val="222222"/>
          <w:szCs w:val="26"/>
        </w:rPr>
        <w:t>.</w:t>
      </w:r>
      <w:r w:rsidRPr="00DE731A" w:rsidR="007E1800">
        <w:rPr>
          <w:color w:val="222222"/>
          <w:szCs w:val="26"/>
        </w:rPr>
        <w:t>)</w:t>
      </w:r>
      <w:r>
        <w:rPr>
          <w:rStyle w:val="FootnoteReference"/>
          <w:color w:val="222222"/>
          <w:szCs w:val="26"/>
        </w:rPr>
        <w:footnoteReference w:id="4"/>
      </w:r>
      <w:r w:rsidRPr="00DE731A" w:rsidR="0055325A">
        <w:rPr>
          <w:color w:val="222222"/>
          <w:szCs w:val="26"/>
        </w:rPr>
        <w:t xml:space="preserve">  </w:t>
      </w:r>
      <w:r w:rsidRPr="00DE731A" w:rsidR="00A5382B">
        <w:rPr>
          <w:color w:val="222222"/>
          <w:szCs w:val="26"/>
        </w:rPr>
        <w:t xml:space="preserve">As is true of section 226, nothing </w:t>
      </w:r>
      <w:r w:rsidRPr="00DE731A" w:rsidR="0055325A">
        <w:rPr>
          <w:color w:val="222222"/>
          <w:szCs w:val="26"/>
        </w:rPr>
        <w:t xml:space="preserve">in the statute </w:t>
      </w:r>
      <w:r w:rsidRPr="00DE731A" w:rsidR="00A5382B">
        <w:rPr>
          <w:color w:val="222222"/>
          <w:szCs w:val="26"/>
        </w:rPr>
        <w:t xml:space="preserve">explicitly </w:t>
      </w:r>
      <w:r w:rsidRPr="00DE731A" w:rsidR="0055325A">
        <w:rPr>
          <w:color w:val="222222"/>
          <w:szCs w:val="26"/>
        </w:rPr>
        <w:t>specifies its intended geographic scope.</w:t>
      </w:r>
    </w:p>
    <w:p w:rsidR="00866068" w:rsidRPr="00DE731A" w:rsidP="00DE731A" w14:paraId="0B3BA932" w14:textId="76C93F24">
      <w:pPr>
        <w:tabs>
          <w:tab w:val="left" w:pos="1440"/>
        </w:tabs>
        <w:ind w:firstLine="720"/>
        <w:rPr>
          <w:szCs w:val="26"/>
        </w:rPr>
      </w:pPr>
      <w:r w:rsidRPr="00DE731A">
        <w:rPr>
          <w:szCs w:val="26"/>
        </w:rPr>
        <w:t xml:space="preserve">As Oman </w:t>
      </w:r>
      <w:r w:rsidRPr="00DE731A" w:rsidR="00AF0DC6">
        <w:rPr>
          <w:szCs w:val="26"/>
        </w:rPr>
        <w:t xml:space="preserve">conceded in the </w:t>
      </w:r>
      <w:r w:rsidRPr="00DE731A" w:rsidR="00955A99">
        <w:rPr>
          <w:szCs w:val="26"/>
        </w:rPr>
        <w:t xml:space="preserve">federal </w:t>
      </w:r>
      <w:r w:rsidRPr="00DE731A" w:rsidR="00AF0DC6">
        <w:rPr>
          <w:szCs w:val="26"/>
        </w:rPr>
        <w:t>district court</w:t>
      </w:r>
      <w:r w:rsidRPr="00DE731A" w:rsidR="00AB3FB6">
        <w:rPr>
          <w:szCs w:val="26"/>
        </w:rPr>
        <w:t xml:space="preserve"> </w:t>
      </w:r>
      <w:r w:rsidRPr="00DE731A" w:rsidR="00AB3FB6">
        <w:t xml:space="preserve">(see </w:t>
      </w:r>
      <w:r w:rsidRPr="00DE731A" w:rsidR="00AB3FB6">
        <w:rPr>
          <w:i/>
        </w:rPr>
        <w:t>Oman v. Delta Air Lines, Inc.</w:t>
      </w:r>
      <w:r w:rsidRPr="00DE731A" w:rsidR="00AB3FB6">
        <w:t xml:space="preserve">, </w:t>
      </w:r>
      <w:r w:rsidRPr="00DE731A" w:rsidR="00AB3FB6">
        <w:rPr>
          <w:i/>
        </w:rPr>
        <w:t>supra</w:t>
      </w:r>
      <w:r w:rsidRPr="00DE731A" w:rsidR="00AB3FB6">
        <w:t>, 230 F.Supp.3d at p. 994)</w:t>
      </w:r>
      <w:r w:rsidRPr="00DE731A" w:rsidR="00AF0DC6">
        <w:rPr>
          <w:szCs w:val="26"/>
        </w:rPr>
        <w:t xml:space="preserve">, </w:t>
      </w:r>
      <w:r w:rsidRPr="00DE731A" w:rsidR="00994FE9">
        <w:rPr>
          <w:szCs w:val="26"/>
        </w:rPr>
        <w:t>there is no reason to interpret section 204’s geographic coverage differently from that of section 226.  That is because s</w:t>
      </w:r>
      <w:r w:rsidRPr="00DE731A">
        <w:rPr>
          <w:szCs w:val="26"/>
        </w:rPr>
        <w:t>ection 204 works hand in hand with section 226.  Section 226 regulates the information an employer must provide in connection with wage payments, while section 204 regulates when an employer must pay an employee for hours worked.  The Legislature has recognized that when an employee must be paid (the subject of § 204), and what information must accompany each such required payment (the subject of § 226) are necessarily linked.  (See § 204, subd. (b)(2) [coordinating the application of these provisions].)</w:t>
      </w:r>
    </w:p>
    <w:p w:rsidR="000436C5" w:rsidRPr="00DE731A" w:rsidP="00DE731A" w14:paraId="277F2036" w14:textId="0952B696">
      <w:pPr>
        <w:tabs>
          <w:tab w:val="left" w:pos="1440"/>
        </w:tabs>
        <w:ind w:firstLine="720"/>
        <w:rPr>
          <w:szCs w:val="26"/>
        </w:rPr>
      </w:pPr>
      <w:r w:rsidRPr="00DE731A">
        <w:rPr>
          <w:szCs w:val="26"/>
        </w:rPr>
        <w:t xml:space="preserve">As with section 226, Oman seeks </w:t>
      </w:r>
      <w:r w:rsidRPr="00DE731A" w:rsidR="009C6405">
        <w:rPr>
          <w:szCs w:val="26"/>
        </w:rPr>
        <w:t xml:space="preserve">to apply section 204 </w:t>
      </w:r>
      <w:r w:rsidRPr="00DE731A">
        <w:rPr>
          <w:szCs w:val="26"/>
        </w:rPr>
        <w:t xml:space="preserve">only to </w:t>
      </w:r>
      <w:r w:rsidRPr="00DE731A" w:rsidR="009C6405">
        <w:rPr>
          <w:szCs w:val="26"/>
        </w:rPr>
        <w:t xml:space="preserve">those </w:t>
      </w:r>
      <w:r w:rsidRPr="00DE731A">
        <w:rPr>
          <w:szCs w:val="26"/>
        </w:rPr>
        <w:t xml:space="preserve">hours </w:t>
      </w:r>
      <w:r w:rsidRPr="00DE731A" w:rsidR="00F17972">
        <w:rPr>
          <w:szCs w:val="26"/>
        </w:rPr>
        <w:t xml:space="preserve">he </w:t>
      </w:r>
      <w:r w:rsidRPr="00DE731A">
        <w:rPr>
          <w:szCs w:val="26"/>
        </w:rPr>
        <w:t>worked within California.  And</w:t>
      </w:r>
      <w:r w:rsidRPr="00DE731A" w:rsidR="001E3648">
        <w:rPr>
          <w:szCs w:val="26"/>
        </w:rPr>
        <w:t xml:space="preserve"> </w:t>
      </w:r>
      <w:r w:rsidRPr="00DE731A">
        <w:rPr>
          <w:szCs w:val="26"/>
        </w:rPr>
        <w:t xml:space="preserve">as with section 226, </w:t>
      </w:r>
      <w:r w:rsidRPr="00DE731A">
        <w:rPr>
          <w:szCs w:val="26"/>
        </w:rPr>
        <w:t xml:space="preserve">reading the statute as </w:t>
      </w:r>
      <w:r w:rsidRPr="00DE731A" w:rsidR="001E3648">
        <w:rPr>
          <w:szCs w:val="26"/>
        </w:rPr>
        <w:t>Oman</w:t>
      </w:r>
      <w:r w:rsidRPr="00DE731A" w:rsidR="00B66947">
        <w:rPr>
          <w:szCs w:val="26"/>
        </w:rPr>
        <w:t xml:space="preserve"> </w:t>
      </w:r>
      <w:r w:rsidRPr="00DE731A" w:rsidR="00766345">
        <w:rPr>
          <w:szCs w:val="26"/>
        </w:rPr>
        <w:t xml:space="preserve">argues </w:t>
      </w:r>
      <w:r w:rsidRPr="00DE731A" w:rsidR="00B66947">
        <w:rPr>
          <w:szCs w:val="26"/>
        </w:rPr>
        <w:t xml:space="preserve">would pose </w:t>
      </w:r>
      <w:r w:rsidRPr="00DE731A" w:rsidR="00DD1FEC">
        <w:rPr>
          <w:szCs w:val="26"/>
        </w:rPr>
        <w:t>difficulties that prove fatal to the argument.</w:t>
      </w:r>
      <w:r w:rsidRPr="00DE731A" w:rsidR="00126FF0">
        <w:rPr>
          <w:szCs w:val="26"/>
        </w:rPr>
        <w:t xml:space="preserve">  </w:t>
      </w:r>
      <w:r w:rsidRPr="00DE731A" w:rsidR="0055325A">
        <w:rPr>
          <w:szCs w:val="26"/>
        </w:rPr>
        <w:t xml:space="preserve">Again, there are two options:  </w:t>
      </w:r>
      <w:r w:rsidR="00646E29">
        <w:rPr>
          <w:szCs w:val="26"/>
        </w:rPr>
        <w:t>E</w:t>
      </w:r>
      <w:r w:rsidRPr="00DE731A">
        <w:rPr>
          <w:szCs w:val="26"/>
        </w:rPr>
        <w:t xml:space="preserve">ither the employer must calculate and split out some portion of the wages due as attributable to work performed in California and pay only those on section 204’s schedule, while paying other wages due in accord with whatever timing statutes might apply under other states’ laws, or the </w:t>
      </w:r>
      <w:r w:rsidRPr="00DE731A" w:rsidR="0055325A">
        <w:rPr>
          <w:szCs w:val="26"/>
        </w:rPr>
        <w:t>employer m</w:t>
      </w:r>
      <w:r w:rsidRPr="00DE731A">
        <w:rPr>
          <w:szCs w:val="26"/>
        </w:rPr>
        <w:t>ust</w:t>
      </w:r>
      <w:r w:rsidRPr="00DE731A" w:rsidR="0055325A">
        <w:rPr>
          <w:szCs w:val="26"/>
        </w:rPr>
        <w:t xml:space="preserve"> pay all wages due according to the schedule required under California law by section 204.</w:t>
      </w:r>
      <w:r w:rsidRPr="00DE731A" w:rsidR="00B138B6">
        <w:rPr>
          <w:szCs w:val="26"/>
        </w:rPr>
        <w:t xml:space="preserve">  </w:t>
      </w:r>
      <w:r w:rsidRPr="00DE731A" w:rsidR="00431F69">
        <w:rPr>
          <w:szCs w:val="26"/>
        </w:rPr>
        <w:t xml:space="preserve">These </w:t>
      </w:r>
      <w:r w:rsidRPr="00DE731A">
        <w:rPr>
          <w:szCs w:val="26"/>
        </w:rPr>
        <w:t>interpretation</w:t>
      </w:r>
      <w:r w:rsidRPr="00DE731A" w:rsidR="00431F69">
        <w:rPr>
          <w:szCs w:val="26"/>
        </w:rPr>
        <w:t>s present the same issues as the corresponding options for complying with section 226.</w:t>
      </w:r>
    </w:p>
    <w:p w:rsidR="000436C5" w:rsidRPr="00DE731A" w:rsidP="00DE731A" w14:paraId="6614B896" w14:textId="2A35A844">
      <w:pPr>
        <w:tabs>
          <w:tab w:val="left" w:pos="1440"/>
        </w:tabs>
        <w:ind w:firstLine="720"/>
        <w:rPr>
          <w:szCs w:val="26"/>
        </w:rPr>
      </w:pPr>
      <w:r w:rsidRPr="00DE731A">
        <w:rPr>
          <w:szCs w:val="26"/>
        </w:rPr>
        <w:t xml:space="preserve">The </w:t>
      </w:r>
      <w:r w:rsidRPr="00DE731A">
        <w:rPr>
          <w:szCs w:val="26"/>
        </w:rPr>
        <w:t>first interpretation</w:t>
      </w:r>
      <w:r w:rsidRPr="00DE731A">
        <w:rPr>
          <w:szCs w:val="26"/>
        </w:rPr>
        <w:t xml:space="preserve">, aside from the administrative headaches it would generate, runs headlong into the text of section 204, which </w:t>
      </w:r>
      <w:r w:rsidRPr="00DE731A">
        <w:rPr>
          <w:color w:val="000000" w:themeColor="text1"/>
          <w:szCs w:val="26"/>
        </w:rPr>
        <w:t>applies to “</w:t>
      </w:r>
      <w:r w:rsidRPr="000218C8">
        <w:rPr>
          <w:iCs/>
          <w:color w:val="000000" w:themeColor="text1"/>
          <w:szCs w:val="26"/>
        </w:rPr>
        <w:t>[</w:t>
      </w:r>
      <w:r w:rsidRPr="00DE731A">
        <w:rPr>
          <w:i/>
          <w:color w:val="000000" w:themeColor="text1"/>
          <w:szCs w:val="26"/>
        </w:rPr>
        <w:t>a</w:t>
      </w:r>
      <w:r w:rsidRPr="000218C8">
        <w:rPr>
          <w:iCs/>
          <w:color w:val="000000" w:themeColor="text1"/>
          <w:szCs w:val="26"/>
        </w:rPr>
        <w:t>]</w:t>
      </w:r>
      <w:r w:rsidRPr="00DE731A">
        <w:rPr>
          <w:i/>
          <w:color w:val="000000" w:themeColor="text1"/>
          <w:szCs w:val="26"/>
        </w:rPr>
        <w:t>ll</w:t>
      </w:r>
      <w:r w:rsidRPr="00DE731A">
        <w:rPr>
          <w:color w:val="000000" w:themeColor="text1"/>
          <w:szCs w:val="26"/>
        </w:rPr>
        <w:t xml:space="preserve"> wages . . . earned,” with exceptions not significant here</w:t>
      </w:r>
      <w:r w:rsidRPr="00DE731A" w:rsidR="008B07D5">
        <w:rPr>
          <w:color w:val="000000" w:themeColor="text1"/>
          <w:szCs w:val="26"/>
        </w:rPr>
        <w:t>.</w:t>
      </w:r>
      <w:r w:rsidRPr="00DE731A">
        <w:rPr>
          <w:color w:val="000000" w:themeColor="text1"/>
          <w:szCs w:val="26"/>
        </w:rPr>
        <w:t xml:space="preserve">  (§ 204, subd. (a), italics added.)</w:t>
      </w:r>
      <w:r w:rsidRPr="00DE731A">
        <w:rPr>
          <w:szCs w:val="26"/>
        </w:rPr>
        <w:t xml:space="preserve">  As with section 226, nothing in the text suggests the Legislature contemplated fragmenting wages earned according to the state in which labor was performed and </w:t>
      </w:r>
      <w:r w:rsidRPr="00DE731A" w:rsidR="00F750CB">
        <w:rPr>
          <w:szCs w:val="26"/>
        </w:rPr>
        <w:t xml:space="preserve">requiring whatever sliver of wages might be attributable to California to </w:t>
      </w:r>
      <w:r w:rsidRPr="00DE731A" w:rsidR="008B07D5">
        <w:rPr>
          <w:szCs w:val="26"/>
        </w:rPr>
        <w:t xml:space="preserve">be </w:t>
      </w:r>
      <w:r w:rsidRPr="00DE731A" w:rsidR="00F750CB">
        <w:rPr>
          <w:szCs w:val="26"/>
        </w:rPr>
        <w:t>paid on section 204’s timeline, with other slivers for work elsewhere paid according to whatever other state law might apply.</w:t>
      </w:r>
      <w:r w:rsidRPr="00DE731A">
        <w:rPr>
          <w:szCs w:val="26"/>
        </w:rPr>
        <w:t xml:space="preserve">  Nor is it clear how such a reading would </w:t>
      </w:r>
      <w:r w:rsidRPr="00DE731A" w:rsidR="008B07D5">
        <w:rPr>
          <w:szCs w:val="26"/>
        </w:rPr>
        <w:t>advance</w:t>
      </w:r>
      <w:r w:rsidRPr="00DE731A">
        <w:rPr>
          <w:szCs w:val="26"/>
        </w:rPr>
        <w:t xml:space="preserve"> the policy underlying section 204.  </w:t>
      </w:r>
      <w:r w:rsidRPr="00DE731A" w:rsidR="008B07D5">
        <w:rPr>
          <w:szCs w:val="26"/>
        </w:rPr>
        <w:t xml:space="preserve">Section 204 serves the </w:t>
      </w:r>
      <w:r w:rsidRPr="00DE731A">
        <w:t>“public policy in favor of full and prompt p</w:t>
      </w:r>
      <w:r w:rsidRPr="00DE731A">
        <w:rPr>
          <w:color w:val="000000" w:themeColor="text1"/>
          <w:szCs w:val="26"/>
        </w:rPr>
        <w:t>ayment of an employee’s earned wages</w:t>
      </w:r>
      <w:r w:rsidRPr="00DE731A" w:rsidR="008B07D5">
        <w:rPr>
          <w:color w:val="000000" w:themeColor="text1"/>
          <w:szCs w:val="26"/>
        </w:rPr>
        <w:t>,” which “</w:t>
      </w:r>
      <w:r w:rsidRPr="00DE731A">
        <w:rPr>
          <w:color w:val="000000" w:themeColor="text1"/>
          <w:szCs w:val="26"/>
        </w:rPr>
        <w:t>is fundamental and well established:  ‘ “Delay of payment or loss of wages results in deprivation of the necessities of life, suffering inability to meet just obligations to others, and, in many cases may make the wage-earner a charge upon the public.” ’ ”  (</w:t>
      </w:r>
      <w:r w:rsidRPr="00DE731A">
        <w:rPr>
          <w:i/>
          <w:color w:val="000000" w:themeColor="text1"/>
          <w:szCs w:val="26"/>
        </w:rPr>
        <w:t>Smith v. Superior Court</w:t>
      </w:r>
      <w:r w:rsidRPr="00DE731A">
        <w:rPr>
          <w:color w:val="000000" w:themeColor="text1"/>
          <w:szCs w:val="26"/>
        </w:rPr>
        <w:t xml:space="preserve"> (2006) 39 Cal.4th 77, 82, quoting </w:t>
      </w:r>
      <w:r w:rsidRPr="00DE731A">
        <w:rPr>
          <w:i/>
          <w:color w:val="000000" w:themeColor="text1"/>
          <w:szCs w:val="26"/>
        </w:rPr>
        <w:t>Kerr’s Catering Service v. Department of Industrial Relations</w:t>
      </w:r>
      <w:r w:rsidRPr="00DE731A">
        <w:rPr>
          <w:color w:val="000000" w:themeColor="text1"/>
          <w:szCs w:val="26"/>
        </w:rPr>
        <w:t xml:space="preserve"> (1962) 57 Cal.2d 319, 326; see </w:t>
      </w:r>
      <w:r w:rsidRPr="00DE731A">
        <w:rPr>
          <w:i/>
          <w:color w:val="000000" w:themeColor="text1"/>
          <w:szCs w:val="26"/>
        </w:rPr>
        <w:t>Voris v. Lampert</w:t>
      </w:r>
      <w:r w:rsidRPr="00DE731A">
        <w:rPr>
          <w:color w:val="000000" w:themeColor="text1"/>
          <w:szCs w:val="26"/>
        </w:rPr>
        <w:t xml:space="preserve"> (2019) 7 Cal.5th 1141, 1148 [“prompt and complete wage payments are of critical importance to the well-being of workers, their families, and the public at large”].)  Section 204, insofar as it applies to the entirety of an employee’s wages, </w:t>
      </w:r>
      <w:r w:rsidRPr="00DE731A" w:rsidR="00D90FD2">
        <w:rPr>
          <w:color w:val="000000" w:themeColor="text1"/>
          <w:szCs w:val="26"/>
        </w:rPr>
        <w:t xml:space="preserve">directly </w:t>
      </w:r>
      <w:r w:rsidRPr="00DE731A">
        <w:rPr>
          <w:color w:val="000000" w:themeColor="text1"/>
          <w:szCs w:val="26"/>
        </w:rPr>
        <w:t xml:space="preserve">serves this policy.  It is </w:t>
      </w:r>
      <w:r w:rsidR="009248AD">
        <w:rPr>
          <w:color w:val="000000" w:themeColor="text1"/>
          <w:szCs w:val="26"/>
        </w:rPr>
        <w:t>less</w:t>
      </w:r>
      <w:r w:rsidRPr="00DE731A">
        <w:rPr>
          <w:color w:val="000000" w:themeColor="text1"/>
          <w:szCs w:val="26"/>
        </w:rPr>
        <w:t xml:space="preserve"> </w:t>
      </w:r>
      <w:r w:rsidRPr="00DE731A" w:rsidR="00286C1A">
        <w:rPr>
          <w:color w:val="000000" w:themeColor="text1"/>
          <w:szCs w:val="26"/>
        </w:rPr>
        <w:t xml:space="preserve">apparent how </w:t>
      </w:r>
      <w:r w:rsidRPr="00DE731A" w:rsidR="00570931">
        <w:rPr>
          <w:color w:val="000000" w:themeColor="text1"/>
          <w:szCs w:val="26"/>
        </w:rPr>
        <w:t xml:space="preserve">the </w:t>
      </w:r>
      <w:r w:rsidRPr="00DE731A">
        <w:rPr>
          <w:color w:val="000000" w:themeColor="text1"/>
          <w:szCs w:val="26"/>
        </w:rPr>
        <w:t xml:space="preserve">policy is </w:t>
      </w:r>
      <w:r w:rsidRPr="00DE731A" w:rsidR="00570931">
        <w:rPr>
          <w:color w:val="000000" w:themeColor="text1"/>
          <w:szCs w:val="26"/>
        </w:rPr>
        <w:t xml:space="preserve">meaningfully </w:t>
      </w:r>
      <w:r w:rsidRPr="00DE731A">
        <w:rPr>
          <w:color w:val="000000" w:themeColor="text1"/>
          <w:szCs w:val="26"/>
        </w:rPr>
        <w:t>advanced by requiring payment of California-</w:t>
      </w:r>
      <w:r w:rsidRPr="00DE731A" w:rsidR="009C07D6">
        <w:rPr>
          <w:color w:val="000000" w:themeColor="text1"/>
          <w:szCs w:val="26"/>
        </w:rPr>
        <w:t xml:space="preserve">earned </w:t>
      </w:r>
      <w:r w:rsidRPr="00DE731A">
        <w:rPr>
          <w:color w:val="000000" w:themeColor="text1"/>
          <w:szCs w:val="26"/>
        </w:rPr>
        <w:t xml:space="preserve">wages </w:t>
      </w:r>
      <w:r w:rsidRPr="00DE731A" w:rsidR="002743F9">
        <w:rPr>
          <w:color w:val="000000" w:themeColor="text1"/>
          <w:szCs w:val="26"/>
        </w:rPr>
        <w:t xml:space="preserve">on a California-specified timeline </w:t>
      </w:r>
      <w:r w:rsidRPr="00DE731A">
        <w:rPr>
          <w:color w:val="000000" w:themeColor="text1"/>
          <w:szCs w:val="26"/>
        </w:rPr>
        <w:t xml:space="preserve">when those wages </w:t>
      </w:r>
      <w:r w:rsidR="00597AFC">
        <w:rPr>
          <w:color w:val="000000" w:themeColor="text1"/>
          <w:szCs w:val="26"/>
        </w:rPr>
        <w:t>represent</w:t>
      </w:r>
      <w:r w:rsidRPr="00DE731A" w:rsidR="00597AFC">
        <w:rPr>
          <w:color w:val="000000" w:themeColor="text1"/>
          <w:szCs w:val="26"/>
        </w:rPr>
        <w:t xml:space="preserve"> </w:t>
      </w:r>
      <w:r w:rsidRPr="00DE731A">
        <w:rPr>
          <w:color w:val="000000" w:themeColor="text1"/>
          <w:szCs w:val="26"/>
        </w:rPr>
        <w:t xml:space="preserve">just a </w:t>
      </w:r>
      <w:r w:rsidRPr="00DE731A" w:rsidR="002E7D43">
        <w:rPr>
          <w:color w:val="000000" w:themeColor="text1"/>
          <w:szCs w:val="26"/>
        </w:rPr>
        <w:t xml:space="preserve">small </w:t>
      </w:r>
      <w:r w:rsidRPr="00DE731A" w:rsidR="001D133C">
        <w:rPr>
          <w:color w:val="000000" w:themeColor="text1"/>
          <w:szCs w:val="26"/>
        </w:rPr>
        <w:t xml:space="preserve">fraction </w:t>
      </w:r>
      <w:r w:rsidRPr="00DE731A">
        <w:rPr>
          <w:color w:val="000000" w:themeColor="text1"/>
          <w:szCs w:val="26"/>
        </w:rPr>
        <w:t>of the earnings an employee relies on for support.</w:t>
      </w:r>
    </w:p>
    <w:p w:rsidR="00C64718" w:rsidRPr="00DE731A" w:rsidP="00DE731A" w14:paraId="46F09481" w14:textId="7358979B">
      <w:pPr>
        <w:tabs>
          <w:tab w:val="left" w:pos="1440"/>
        </w:tabs>
        <w:ind w:firstLine="720"/>
        <w:rPr>
          <w:szCs w:val="26"/>
        </w:rPr>
      </w:pPr>
      <w:r w:rsidRPr="00DE731A">
        <w:rPr>
          <w:szCs w:val="26"/>
        </w:rPr>
        <w:t xml:space="preserve">The second interpretation </w:t>
      </w:r>
      <w:r w:rsidRPr="00DE731A" w:rsidR="00ED7AED">
        <w:rPr>
          <w:szCs w:val="26"/>
        </w:rPr>
        <w:t>accord</w:t>
      </w:r>
      <w:r w:rsidRPr="00DE731A">
        <w:rPr>
          <w:szCs w:val="26"/>
        </w:rPr>
        <w:t xml:space="preserve">s section 204 </w:t>
      </w:r>
      <w:r w:rsidRPr="00DE731A" w:rsidR="00D21BAE">
        <w:rPr>
          <w:szCs w:val="26"/>
        </w:rPr>
        <w:t xml:space="preserve">a </w:t>
      </w:r>
      <w:r w:rsidRPr="00DE731A">
        <w:rPr>
          <w:szCs w:val="26"/>
        </w:rPr>
        <w:t xml:space="preserve">broad </w:t>
      </w:r>
      <w:r w:rsidRPr="00DE731A" w:rsidR="00D21BAE">
        <w:rPr>
          <w:szCs w:val="26"/>
        </w:rPr>
        <w:t>reach</w:t>
      </w:r>
      <w:r w:rsidRPr="00DE731A">
        <w:rPr>
          <w:szCs w:val="26"/>
        </w:rPr>
        <w:t xml:space="preserve">, allowing </w:t>
      </w:r>
      <w:r w:rsidRPr="00DE731A" w:rsidR="00B32115">
        <w:rPr>
          <w:szCs w:val="26"/>
        </w:rPr>
        <w:t xml:space="preserve">California law </w:t>
      </w:r>
      <w:r w:rsidRPr="00DE731A">
        <w:rPr>
          <w:szCs w:val="26"/>
        </w:rPr>
        <w:t>to dictate the timing of payment for wages earned predominantly outside California for work performed outside California.</w:t>
      </w:r>
      <w:r w:rsidRPr="00DE731A">
        <w:rPr>
          <w:szCs w:val="26"/>
        </w:rPr>
        <w:t xml:space="preserve">  </w:t>
      </w:r>
      <w:r w:rsidRPr="00DE731A" w:rsidR="00906D38">
        <w:rPr>
          <w:szCs w:val="26"/>
        </w:rPr>
        <w:t>G</w:t>
      </w:r>
      <w:r w:rsidRPr="00DE731A" w:rsidR="00ED7AED">
        <w:rPr>
          <w:szCs w:val="26"/>
        </w:rPr>
        <w:t xml:space="preserve">ranting section 204 such an expansive </w:t>
      </w:r>
      <w:r w:rsidRPr="00DE731A" w:rsidR="00D21BAE">
        <w:rPr>
          <w:szCs w:val="26"/>
        </w:rPr>
        <w:t>scope</w:t>
      </w:r>
      <w:r w:rsidRPr="00DE731A" w:rsidR="00ED7AED">
        <w:rPr>
          <w:szCs w:val="26"/>
        </w:rPr>
        <w:t xml:space="preserve"> would generate significant co</w:t>
      </w:r>
      <w:r w:rsidRPr="00DE731A">
        <w:rPr>
          <w:szCs w:val="26"/>
        </w:rPr>
        <w:t>mplication</w:t>
      </w:r>
      <w:r w:rsidRPr="00DE731A" w:rsidR="00ED7AED">
        <w:rPr>
          <w:szCs w:val="26"/>
        </w:rPr>
        <w:t xml:space="preserve">s.  </w:t>
      </w:r>
      <w:r w:rsidRPr="00DE731A" w:rsidR="00D21BAE">
        <w:rPr>
          <w:szCs w:val="26"/>
        </w:rPr>
        <w:t xml:space="preserve">Given the nature of the </w:t>
      </w:r>
      <w:r w:rsidRPr="00DE731A" w:rsidR="00EB2815">
        <w:rPr>
          <w:szCs w:val="26"/>
        </w:rPr>
        <w:t xml:space="preserve">flight attendants’ </w:t>
      </w:r>
      <w:r w:rsidRPr="00DE731A" w:rsidR="00D21BAE">
        <w:rPr>
          <w:szCs w:val="26"/>
        </w:rPr>
        <w:t xml:space="preserve">work, treating any work </w:t>
      </w:r>
      <w:r w:rsidRPr="00DE731A" w:rsidR="009B019A">
        <w:rPr>
          <w:szCs w:val="26"/>
        </w:rPr>
        <w:t xml:space="preserve">performed on the ground in any given state </w:t>
      </w:r>
      <w:r w:rsidRPr="00DE731A" w:rsidR="00D21BAE">
        <w:rPr>
          <w:szCs w:val="26"/>
        </w:rPr>
        <w:t xml:space="preserve">as sufficient to trigger application of payment timing requirements could subject the payment </w:t>
      </w:r>
      <w:r w:rsidRPr="00DE731A" w:rsidR="00B5774F">
        <w:rPr>
          <w:szCs w:val="26"/>
        </w:rPr>
        <w:t xml:space="preserve">for work </w:t>
      </w:r>
      <w:r w:rsidRPr="00DE731A" w:rsidR="00D21BAE">
        <w:rPr>
          <w:szCs w:val="26"/>
        </w:rPr>
        <w:t xml:space="preserve">in a given pay period to the </w:t>
      </w:r>
      <w:r w:rsidRPr="00DE731A" w:rsidR="006352E6">
        <w:rPr>
          <w:szCs w:val="26"/>
        </w:rPr>
        <w:t>often</w:t>
      </w:r>
      <w:r w:rsidRPr="00DE731A" w:rsidR="00AB3FB6">
        <w:rPr>
          <w:szCs w:val="26"/>
        </w:rPr>
        <w:t>-</w:t>
      </w:r>
      <w:r w:rsidRPr="00DE731A" w:rsidR="00D21BAE">
        <w:rPr>
          <w:szCs w:val="26"/>
        </w:rPr>
        <w:t>conflicting laws of a dozen or more states</w:t>
      </w:r>
      <w:r w:rsidRPr="00DE731A">
        <w:rPr>
          <w:szCs w:val="26"/>
        </w:rPr>
        <w:t>.  Reading section 204 in concert with section 226 as applying to pay periods in which an employee works predominantly in California</w:t>
      </w:r>
      <w:r w:rsidRPr="00DE731A" w:rsidR="00075DFD">
        <w:rPr>
          <w:szCs w:val="26"/>
        </w:rPr>
        <w:t xml:space="preserve"> </w:t>
      </w:r>
      <w:r w:rsidRPr="00DE731A">
        <w:rPr>
          <w:szCs w:val="26"/>
        </w:rPr>
        <w:t xml:space="preserve">avoids these </w:t>
      </w:r>
      <w:r w:rsidRPr="00DE731A" w:rsidR="00F80D81">
        <w:rPr>
          <w:szCs w:val="26"/>
        </w:rPr>
        <w:t>problems</w:t>
      </w:r>
      <w:r w:rsidRPr="00DE731A">
        <w:rPr>
          <w:szCs w:val="26"/>
        </w:rPr>
        <w:t>.</w:t>
      </w:r>
    </w:p>
    <w:p w:rsidR="00C3728B" w:rsidRPr="00DE731A" w:rsidP="00DE731A" w14:paraId="2754D47D" w14:textId="2C6DA79E">
      <w:pPr>
        <w:tabs>
          <w:tab w:val="left" w:pos="1440"/>
        </w:tabs>
        <w:ind w:firstLine="720"/>
        <w:rPr>
          <w:b/>
          <w:szCs w:val="26"/>
        </w:rPr>
      </w:pPr>
      <w:r w:rsidRPr="00DE731A">
        <w:rPr>
          <w:color w:val="222222"/>
          <w:szCs w:val="26"/>
          <w:shd w:val="clear" w:color="auto" w:fill="FFFFFF"/>
        </w:rPr>
        <w:t>I</w:t>
      </w:r>
      <w:r w:rsidRPr="00DE731A" w:rsidR="00F21247">
        <w:rPr>
          <w:color w:val="222222"/>
          <w:szCs w:val="26"/>
          <w:shd w:val="clear" w:color="auto" w:fill="FFFFFF"/>
        </w:rPr>
        <w:t xml:space="preserve">n sum, </w:t>
      </w:r>
      <w:r w:rsidRPr="00DE731A" w:rsidR="00AB3FB6">
        <w:rPr>
          <w:color w:val="222222"/>
          <w:szCs w:val="26"/>
          <w:shd w:val="clear" w:color="auto" w:fill="FFFFFF"/>
        </w:rPr>
        <w:t xml:space="preserve">we </w:t>
      </w:r>
      <w:r w:rsidRPr="00DE731A" w:rsidR="00F21247">
        <w:rPr>
          <w:color w:val="222222"/>
          <w:szCs w:val="26"/>
          <w:shd w:val="clear" w:color="auto" w:fill="FFFFFF"/>
        </w:rPr>
        <w:t xml:space="preserve">conclude section 204 is subject to the same limits as section 226 and </w:t>
      </w:r>
      <w:r w:rsidRPr="00DE731A" w:rsidR="00075DFD">
        <w:rPr>
          <w:color w:val="222222"/>
          <w:szCs w:val="26"/>
          <w:shd w:val="clear" w:color="auto" w:fill="FFFFFF"/>
        </w:rPr>
        <w:t>appl</w:t>
      </w:r>
      <w:r w:rsidRPr="00DE731A" w:rsidR="00B51A35">
        <w:rPr>
          <w:color w:val="222222"/>
          <w:szCs w:val="26"/>
          <w:shd w:val="clear" w:color="auto" w:fill="FFFFFF"/>
        </w:rPr>
        <w:t>ies</w:t>
      </w:r>
      <w:r w:rsidRPr="00DE731A" w:rsidR="00075DFD">
        <w:rPr>
          <w:color w:val="222222"/>
          <w:szCs w:val="26"/>
          <w:shd w:val="clear" w:color="auto" w:fill="FFFFFF"/>
        </w:rPr>
        <w:t xml:space="preserve"> </w:t>
      </w:r>
      <w:r w:rsidRPr="00DE731A" w:rsidR="00B51A35">
        <w:rPr>
          <w:color w:val="222222"/>
          <w:szCs w:val="26"/>
          <w:shd w:val="clear" w:color="auto" w:fill="FFFFFF"/>
        </w:rPr>
        <w:t xml:space="preserve">only </w:t>
      </w:r>
      <w:r w:rsidRPr="00DE731A" w:rsidR="00075DFD">
        <w:rPr>
          <w:color w:val="222222"/>
          <w:szCs w:val="26"/>
          <w:shd w:val="clear" w:color="auto" w:fill="FFFFFF"/>
        </w:rPr>
        <w:t xml:space="preserve">to pay periods </w:t>
      </w:r>
      <w:r w:rsidRPr="00DE731A" w:rsidR="006D20CF">
        <w:rPr>
          <w:color w:val="222222"/>
          <w:szCs w:val="26"/>
          <w:shd w:val="clear" w:color="auto" w:fill="FFFFFF"/>
        </w:rPr>
        <w:t>during</w:t>
      </w:r>
      <w:r w:rsidRPr="00DE731A" w:rsidR="00075DFD">
        <w:rPr>
          <w:color w:val="222222"/>
          <w:szCs w:val="26"/>
          <w:shd w:val="clear" w:color="auto" w:fill="FFFFFF"/>
        </w:rPr>
        <w:t xml:space="preserve"> which an employee </w:t>
      </w:r>
      <w:r w:rsidRPr="00DE731A" w:rsidR="00F21247">
        <w:rPr>
          <w:color w:val="222222"/>
          <w:szCs w:val="26"/>
          <w:shd w:val="clear" w:color="auto" w:fill="FFFFFF"/>
        </w:rPr>
        <w:t xml:space="preserve">predominantly </w:t>
      </w:r>
      <w:r w:rsidRPr="00DE731A" w:rsidR="00075DFD">
        <w:rPr>
          <w:color w:val="222222"/>
          <w:szCs w:val="26"/>
          <w:shd w:val="clear" w:color="auto" w:fill="FFFFFF"/>
        </w:rPr>
        <w:t>works</w:t>
      </w:r>
      <w:r w:rsidRPr="00DE731A" w:rsidR="00F21247">
        <w:rPr>
          <w:color w:val="222222"/>
          <w:szCs w:val="26"/>
          <w:shd w:val="clear" w:color="auto" w:fill="FFFFFF"/>
        </w:rPr>
        <w:t xml:space="preserve"> </w:t>
      </w:r>
      <w:r w:rsidRPr="00DE731A" w:rsidR="00B51A35">
        <w:rPr>
          <w:color w:val="222222"/>
          <w:szCs w:val="26"/>
          <w:shd w:val="clear" w:color="auto" w:fill="FFFFFF"/>
        </w:rPr>
        <w:t>in</w:t>
      </w:r>
      <w:r w:rsidRPr="00DE731A" w:rsidR="00F21247">
        <w:rPr>
          <w:color w:val="222222"/>
          <w:szCs w:val="26"/>
          <w:shd w:val="clear" w:color="auto" w:fill="FFFFFF"/>
        </w:rPr>
        <w:t>side California</w:t>
      </w:r>
      <w:r w:rsidRPr="00DE731A" w:rsidR="00075DFD">
        <w:rPr>
          <w:color w:val="222222"/>
          <w:szCs w:val="26"/>
          <w:shd w:val="clear" w:color="auto" w:fill="FFFFFF"/>
        </w:rPr>
        <w:t>.</w:t>
      </w:r>
    </w:p>
    <w:p w:rsidR="0002457C" w:rsidRPr="00DE731A" w:rsidP="00DE731A" w14:paraId="33BD9761" w14:textId="77777777">
      <w:pPr>
        <w:keepNext/>
        <w:tabs>
          <w:tab w:val="left" w:pos="1440"/>
        </w:tabs>
        <w:jc w:val="center"/>
        <w:rPr>
          <w:b/>
          <w:szCs w:val="26"/>
        </w:rPr>
      </w:pPr>
      <w:r w:rsidRPr="00DE731A">
        <w:rPr>
          <w:b/>
          <w:szCs w:val="26"/>
        </w:rPr>
        <w:t>III.</w:t>
      </w:r>
    </w:p>
    <w:p w:rsidR="00C77EB3" w:rsidRPr="00DE731A" w:rsidP="00DE731A" w14:paraId="04CBBB9B" w14:textId="71312F35">
      <w:pPr>
        <w:tabs>
          <w:tab w:val="left" w:pos="1440"/>
        </w:tabs>
        <w:ind w:firstLine="720"/>
        <w:rPr>
          <w:szCs w:val="26"/>
        </w:rPr>
      </w:pPr>
      <w:r w:rsidRPr="00DE731A">
        <w:rPr>
          <w:szCs w:val="26"/>
        </w:rPr>
        <w:t xml:space="preserve">We turn, finally, to the minimum wage claims.  </w:t>
      </w:r>
      <w:r w:rsidRPr="00DE731A" w:rsidR="00F54DAF">
        <w:rPr>
          <w:szCs w:val="26"/>
        </w:rPr>
        <w:t>T</w:t>
      </w:r>
      <w:r w:rsidRPr="00DE731A" w:rsidR="008B0EBE">
        <w:rPr>
          <w:szCs w:val="26"/>
        </w:rPr>
        <w:t xml:space="preserve">he Ninth Circuit asks </w:t>
      </w:r>
      <w:r w:rsidRPr="00DE731A" w:rsidR="00DB2CA0">
        <w:rPr>
          <w:szCs w:val="26"/>
        </w:rPr>
        <w:t xml:space="preserve">two questions related to </w:t>
      </w:r>
      <w:r w:rsidRPr="00DE731A">
        <w:rPr>
          <w:szCs w:val="26"/>
        </w:rPr>
        <w:t xml:space="preserve">these </w:t>
      </w:r>
      <w:r w:rsidRPr="00DE731A" w:rsidR="005B6DC6">
        <w:rPr>
          <w:szCs w:val="26"/>
        </w:rPr>
        <w:t xml:space="preserve">claims:  First, whether California minimum wage law </w:t>
      </w:r>
      <w:r w:rsidRPr="00DE731A" w:rsidR="00F0241D">
        <w:rPr>
          <w:szCs w:val="26"/>
        </w:rPr>
        <w:t xml:space="preserve">applies to the hours (or fractions thereof) that Oman worked on the ground in California, and second, whether Delta’s method of </w:t>
      </w:r>
      <w:r w:rsidRPr="00DE731A" w:rsidR="008B0EBE">
        <w:rPr>
          <w:szCs w:val="26"/>
        </w:rPr>
        <w:t>comput</w:t>
      </w:r>
      <w:r w:rsidRPr="00DE731A" w:rsidR="009D762A">
        <w:rPr>
          <w:szCs w:val="26"/>
        </w:rPr>
        <w:t>ing</w:t>
      </w:r>
      <w:r w:rsidRPr="00DE731A" w:rsidR="008B0EBE">
        <w:rPr>
          <w:szCs w:val="26"/>
        </w:rPr>
        <w:t xml:space="preserve"> Oman’s wages compl</w:t>
      </w:r>
      <w:r w:rsidRPr="00DE731A" w:rsidR="009D762A">
        <w:rPr>
          <w:szCs w:val="26"/>
        </w:rPr>
        <w:t>ies</w:t>
      </w:r>
      <w:r w:rsidRPr="00DE731A" w:rsidR="008B0EBE">
        <w:rPr>
          <w:szCs w:val="26"/>
        </w:rPr>
        <w:t xml:space="preserve"> with </w:t>
      </w:r>
      <w:r w:rsidRPr="00DE731A" w:rsidR="00F0241D">
        <w:rPr>
          <w:szCs w:val="26"/>
        </w:rPr>
        <w:t xml:space="preserve">the state </w:t>
      </w:r>
      <w:r w:rsidRPr="00DE731A" w:rsidR="008B0EBE">
        <w:rPr>
          <w:szCs w:val="26"/>
        </w:rPr>
        <w:t xml:space="preserve">law.  </w:t>
      </w:r>
      <w:r w:rsidRPr="00DE731A">
        <w:rPr>
          <w:szCs w:val="26"/>
        </w:rPr>
        <w:t>As discussed, the application of</w:t>
      </w:r>
      <w:r w:rsidRPr="00DE731A" w:rsidR="009B4A04">
        <w:rPr>
          <w:szCs w:val="26"/>
        </w:rPr>
        <w:t xml:space="preserve"> labor</w:t>
      </w:r>
      <w:r w:rsidRPr="00DE731A">
        <w:rPr>
          <w:szCs w:val="26"/>
        </w:rPr>
        <w:t xml:space="preserve"> protections must be </w:t>
      </w:r>
      <w:r w:rsidRPr="00DE731A" w:rsidR="005F7578">
        <w:rPr>
          <w:szCs w:val="26"/>
        </w:rPr>
        <w:t>analyz</w:t>
      </w:r>
      <w:r w:rsidRPr="00DE731A">
        <w:rPr>
          <w:szCs w:val="26"/>
        </w:rPr>
        <w:t xml:space="preserve">ed on a </w:t>
      </w:r>
      <w:r w:rsidRPr="00DE731A" w:rsidR="009B4A04">
        <w:rPr>
          <w:szCs w:val="26"/>
        </w:rPr>
        <w:t>provision by provision</w:t>
      </w:r>
      <w:r w:rsidRPr="00DE731A">
        <w:rPr>
          <w:szCs w:val="26"/>
        </w:rPr>
        <w:t xml:space="preserve"> basis in light of the nature of the protection afforded, and so the rules we articulate for sections 204 and 226 do not r</w:t>
      </w:r>
      <w:r w:rsidRPr="00DE731A" w:rsidR="005F7578">
        <w:rPr>
          <w:szCs w:val="26"/>
        </w:rPr>
        <w:t>esolve</w:t>
      </w:r>
      <w:r w:rsidRPr="00DE731A">
        <w:rPr>
          <w:szCs w:val="26"/>
        </w:rPr>
        <w:t xml:space="preserve"> </w:t>
      </w:r>
      <w:r w:rsidRPr="00DE731A" w:rsidR="005F7578">
        <w:rPr>
          <w:szCs w:val="26"/>
        </w:rPr>
        <w:t xml:space="preserve">whether </w:t>
      </w:r>
      <w:r w:rsidRPr="00DE731A">
        <w:rPr>
          <w:szCs w:val="26"/>
        </w:rPr>
        <w:t xml:space="preserve">the state’s minimum wage laws might apply.  (See </w:t>
      </w:r>
      <w:r w:rsidRPr="00DE731A">
        <w:rPr>
          <w:i/>
          <w:szCs w:val="26"/>
        </w:rPr>
        <w:t>Ward</w:t>
      </w:r>
      <w:r w:rsidRPr="00DE731A">
        <w:rPr>
          <w:szCs w:val="26"/>
        </w:rPr>
        <w:t xml:space="preserve">, </w:t>
      </w:r>
      <w:r w:rsidRPr="00DE731A">
        <w:rPr>
          <w:i/>
          <w:szCs w:val="26"/>
        </w:rPr>
        <w:t>supra</w:t>
      </w:r>
      <w:r w:rsidRPr="00DE731A">
        <w:rPr>
          <w:szCs w:val="26"/>
        </w:rPr>
        <w:t>, __</w:t>
      </w:r>
      <w:r w:rsidR="006D3836">
        <w:rPr>
          <w:szCs w:val="26"/>
        </w:rPr>
        <w:t>_</w:t>
      </w:r>
      <w:r w:rsidRPr="00DE731A">
        <w:rPr>
          <w:szCs w:val="26"/>
        </w:rPr>
        <w:t xml:space="preserve"> Cal.5th at </w:t>
      </w:r>
      <w:r w:rsidRPr="00DE731A" w:rsidR="0013516F">
        <w:rPr>
          <w:szCs w:val="26"/>
        </w:rPr>
        <w:t>p</w:t>
      </w:r>
      <w:r w:rsidRPr="00DE731A">
        <w:rPr>
          <w:szCs w:val="26"/>
        </w:rPr>
        <w:t>p. </w:t>
      </w:r>
      <w:r w:rsidRPr="00DE731A" w:rsidR="0013516F">
        <w:rPr>
          <w:szCs w:val="26"/>
        </w:rPr>
        <w:t>_</w:t>
      </w:r>
      <w:r w:rsidRPr="00DE731A">
        <w:rPr>
          <w:szCs w:val="26"/>
        </w:rPr>
        <w:t>_</w:t>
      </w:r>
      <w:r w:rsidRPr="00DE731A" w:rsidR="00C27CEE">
        <w:rPr>
          <w:szCs w:val="26"/>
        </w:rPr>
        <w:t>_</w:t>
      </w:r>
      <w:r w:rsidRPr="00DE731A" w:rsidR="0013516F">
        <w:rPr>
          <w:szCs w:val="26"/>
        </w:rPr>
        <w:t xml:space="preserve">, </w:t>
      </w:r>
      <w:r w:rsidRPr="00DE731A" w:rsidR="0013516F">
        <w:t>__</w:t>
      </w:r>
      <w:r w:rsidRPr="00DE731A" w:rsidR="00C27CEE">
        <w:t>_</w:t>
      </w:r>
      <w:r w:rsidRPr="00DE731A" w:rsidR="0013516F">
        <w:t xml:space="preserve"> &amp; fn. 10</w:t>
      </w:r>
      <w:r w:rsidRPr="00DE731A">
        <w:rPr>
          <w:szCs w:val="26"/>
        </w:rPr>
        <w:t xml:space="preserve"> [p</w:t>
      </w:r>
      <w:r w:rsidRPr="00DE731A" w:rsidR="00342A2A">
        <w:rPr>
          <w:szCs w:val="26"/>
        </w:rPr>
        <w:t>p</w:t>
      </w:r>
      <w:r w:rsidRPr="00DE731A">
        <w:rPr>
          <w:szCs w:val="26"/>
        </w:rPr>
        <w:t>. </w:t>
      </w:r>
      <w:r w:rsidR="002B2B18">
        <w:rPr>
          <w:szCs w:val="26"/>
        </w:rPr>
        <w:t>2</w:t>
      </w:r>
      <w:r w:rsidR="00E76493">
        <w:rPr>
          <w:szCs w:val="26"/>
        </w:rPr>
        <w:t>1</w:t>
      </w:r>
      <w:r w:rsidRPr="00DE731A" w:rsidR="00342A2A">
        <w:rPr>
          <w:szCs w:val="26"/>
        </w:rPr>
        <w:t xml:space="preserve">, </w:t>
      </w:r>
      <w:r w:rsidRPr="00DE731A" w:rsidR="00673D25">
        <w:rPr>
          <w:szCs w:val="26"/>
        </w:rPr>
        <w:t>2</w:t>
      </w:r>
      <w:r w:rsidR="00E76493">
        <w:rPr>
          <w:szCs w:val="26"/>
        </w:rPr>
        <w:t>8</w:t>
      </w:r>
      <w:r w:rsidRPr="00DE731A" w:rsidR="00673D25">
        <w:rPr>
          <w:szCs w:val="26"/>
        </w:rPr>
        <w:t xml:space="preserve"> </w:t>
      </w:r>
      <w:r w:rsidRPr="00DE731A" w:rsidR="00342A2A">
        <w:rPr>
          <w:szCs w:val="26"/>
        </w:rPr>
        <w:t>&amp; fn. </w:t>
      </w:r>
      <w:r w:rsidRPr="00DE731A" w:rsidR="00673D25">
        <w:rPr>
          <w:szCs w:val="26"/>
        </w:rPr>
        <w:t>10</w:t>
      </w:r>
      <w:r w:rsidRPr="00DE731A">
        <w:rPr>
          <w:szCs w:val="26"/>
        </w:rPr>
        <w:t xml:space="preserve">]; </w:t>
      </w:r>
      <w:r w:rsidRPr="00DE731A" w:rsidR="000B4A36">
        <w:rPr>
          <w:i/>
          <w:szCs w:val="26"/>
        </w:rPr>
        <w:t>Sullivan</w:t>
      </w:r>
      <w:r w:rsidRPr="00DE731A">
        <w:rPr>
          <w:szCs w:val="26"/>
        </w:rPr>
        <w:t xml:space="preserve">, </w:t>
      </w:r>
      <w:r w:rsidRPr="00DE731A">
        <w:rPr>
          <w:i/>
          <w:szCs w:val="26"/>
        </w:rPr>
        <w:t>supra</w:t>
      </w:r>
      <w:r w:rsidRPr="00DE731A">
        <w:rPr>
          <w:szCs w:val="26"/>
        </w:rPr>
        <w:t>, 51 Cal.4th at p.</w:t>
      </w:r>
      <w:r w:rsidRPr="00DE731A" w:rsidR="00E82074">
        <w:rPr>
          <w:szCs w:val="26"/>
        </w:rPr>
        <w:t> </w:t>
      </w:r>
      <w:r w:rsidRPr="00DE731A" w:rsidR="00F811EC">
        <w:rPr>
          <w:szCs w:val="26"/>
        </w:rPr>
        <w:t>1201</w:t>
      </w:r>
      <w:r w:rsidRPr="00DE731A" w:rsidR="00342A2A">
        <w:rPr>
          <w:szCs w:val="26"/>
        </w:rPr>
        <w:t xml:space="preserve">; </w:t>
      </w:r>
      <w:r w:rsidRPr="00DE731A" w:rsidR="00342A2A">
        <w:rPr>
          <w:i/>
          <w:szCs w:val="26"/>
        </w:rPr>
        <w:t>ante</w:t>
      </w:r>
      <w:r w:rsidRPr="00DE731A" w:rsidR="00342A2A">
        <w:rPr>
          <w:szCs w:val="26"/>
        </w:rPr>
        <w:t xml:space="preserve">, </w:t>
      </w:r>
      <w:r w:rsidRPr="00DE731A" w:rsidR="0013516F">
        <w:rPr>
          <w:szCs w:val="26"/>
        </w:rPr>
        <w:t xml:space="preserve">at </w:t>
      </w:r>
      <w:r w:rsidR="002B2B18">
        <w:rPr>
          <w:szCs w:val="26"/>
        </w:rPr>
        <w:t>p</w:t>
      </w:r>
      <w:r w:rsidRPr="00DE731A" w:rsidR="00342A2A">
        <w:rPr>
          <w:szCs w:val="26"/>
        </w:rPr>
        <w:t>. </w:t>
      </w:r>
      <w:r w:rsidRPr="00DE731A" w:rsidR="00C27CEE">
        <w:rPr>
          <w:szCs w:val="26"/>
        </w:rPr>
        <w:t>_</w:t>
      </w:r>
      <w:r w:rsidRPr="00DE731A" w:rsidR="00342A2A">
        <w:rPr>
          <w:szCs w:val="26"/>
        </w:rPr>
        <w:t>__ [</w:t>
      </w:r>
      <w:r w:rsidR="002B2B18">
        <w:rPr>
          <w:szCs w:val="26"/>
        </w:rPr>
        <w:t>p</w:t>
      </w:r>
      <w:r w:rsidRPr="00DE731A" w:rsidR="00342A2A">
        <w:rPr>
          <w:szCs w:val="26"/>
        </w:rPr>
        <w:t>. </w:t>
      </w:r>
      <w:r w:rsidRPr="00DE731A" w:rsidR="005C6FD9">
        <w:rPr>
          <w:szCs w:val="26"/>
        </w:rPr>
        <w:t>5</w:t>
      </w:r>
      <w:r w:rsidRPr="00DE731A" w:rsidR="00342A2A">
        <w:rPr>
          <w:szCs w:val="26"/>
        </w:rPr>
        <w:t>]</w:t>
      </w:r>
      <w:r w:rsidRPr="00DE731A">
        <w:rPr>
          <w:szCs w:val="26"/>
        </w:rPr>
        <w:t xml:space="preserve">.)  </w:t>
      </w:r>
      <w:r w:rsidRPr="00DE731A" w:rsidR="005F7578">
        <w:rPr>
          <w:szCs w:val="26"/>
        </w:rPr>
        <w:t>But w</w:t>
      </w:r>
      <w:r w:rsidRPr="00DE731A">
        <w:rPr>
          <w:szCs w:val="26"/>
        </w:rPr>
        <w:t xml:space="preserve">e need not </w:t>
      </w:r>
      <w:r w:rsidRPr="00DE731A" w:rsidR="005F7578">
        <w:rPr>
          <w:szCs w:val="26"/>
        </w:rPr>
        <w:t>settle</w:t>
      </w:r>
      <w:r w:rsidRPr="00DE731A">
        <w:rPr>
          <w:szCs w:val="26"/>
        </w:rPr>
        <w:t xml:space="preserve"> the reach of the state’s minimum wage laws if we can determine that, even were th</w:t>
      </w:r>
      <w:r w:rsidRPr="00DE731A" w:rsidR="005F7578">
        <w:rPr>
          <w:szCs w:val="26"/>
        </w:rPr>
        <w:t>o</w:t>
      </w:r>
      <w:r w:rsidRPr="00DE731A">
        <w:rPr>
          <w:szCs w:val="26"/>
        </w:rPr>
        <w:t xml:space="preserve">se laws to apply, Delta’s pay scheme would </w:t>
      </w:r>
      <w:r w:rsidRPr="00DE731A" w:rsidR="005F7578">
        <w:rPr>
          <w:szCs w:val="26"/>
        </w:rPr>
        <w:t>not violate them</w:t>
      </w:r>
      <w:r w:rsidRPr="00DE731A">
        <w:rPr>
          <w:szCs w:val="26"/>
        </w:rPr>
        <w:t xml:space="preserve">.  </w:t>
      </w:r>
      <w:r w:rsidRPr="00DE731A" w:rsidR="008C0A6D">
        <w:rPr>
          <w:szCs w:val="26"/>
        </w:rPr>
        <w:t>Because</w:t>
      </w:r>
      <w:r w:rsidRPr="00DE731A">
        <w:rPr>
          <w:szCs w:val="26"/>
        </w:rPr>
        <w:t xml:space="preserve"> the record establishes Delta complies with state minimum wage law</w:t>
      </w:r>
      <w:r w:rsidRPr="00DE731A" w:rsidR="005F7578">
        <w:rPr>
          <w:szCs w:val="26"/>
        </w:rPr>
        <w:t>, we address only that question.</w:t>
      </w:r>
    </w:p>
    <w:p w:rsidR="00011443" w:rsidRPr="00DE731A" w:rsidP="00DE731A" w14:paraId="7E4E4FDE" w14:textId="01261586">
      <w:pPr>
        <w:tabs>
          <w:tab w:val="left" w:pos="1440"/>
        </w:tabs>
        <w:ind w:firstLine="720"/>
        <w:rPr>
          <w:color w:val="000000"/>
          <w:szCs w:val="26"/>
        </w:rPr>
      </w:pPr>
      <w:bookmarkStart w:id="7" w:name="_Hlk39043367"/>
      <w:r w:rsidRPr="00DE731A">
        <w:rPr>
          <w:color w:val="222222"/>
          <w:szCs w:val="26"/>
          <w:shd w:val="clear" w:color="auto" w:fill="FFFFFF"/>
        </w:rPr>
        <w:t xml:space="preserve">Like other industry wage orders, Wage Order </w:t>
      </w:r>
      <w:r w:rsidRPr="00DE731A" w:rsidR="003E46D5">
        <w:rPr>
          <w:color w:val="222222"/>
          <w:szCs w:val="26"/>
          <w:shd w:val="clear" w:color="auto" w:fill="FFFFFF"/>
        </w:rPr>
        <w:t>No. </w:t>
      </w:r>
      <w:r w:rsidRPr="00DE731A">
        <w:rPr>
          <w:color w:val="222222"/>
          <w:szCs w:val="26"/>
          <w:shd w:val="clear" w:color="auto" w:fill="FFFFFF"/>
        </w:rPr>
        <w:t>9 requires that “[e]</w:t>
      </w:r>
      <w:r w:rsidRPr="00DE731A">
        <w:rPr>
          <w:color w:val="000000"/>
          <w:szCs w:val="26"/>
        </w:rPr>
        <w:t>very employer shall pay to each employee, on the established payday for the period involved, not less than the applicable minimum wage for all hours worked in the payroll period, whether the remuneration is measured by time, piece, commission, or otherwise.”  (</w:t>
      </w:r>
      <w:r w:rsidRPr="00DE731A">
        <w:rPr>
          <w:i/>
          <w:color w:val="000000"/>
          <w:szCs w:val="26"/>
        </w:rPr>
        <w:t>Id.</w:t>
      </w:r>
      <w:r w:rsidRPr="00DE731A">
        <w:rPr>
          <w:color w:val="000000"/>
          <w:szCs w:val="26"/>
        </w:rPr>
        <w:t xml:space="preserve">, </w:t>
      </w:r>
      <w:r w:rsidRPr="00DE731A" w:rsidR="006C70D1">
        <w:rPr>
          <w:color w:val="000000"/>
          <w:szCs w:val="26"/>
        </w:rPr>
        <w:t>§ </w:t>
      </w:r>
      <w:r w:rsidRPr="00DE731A">
        <w:rPr>
          <w:color w:val="000000"/>
          <w:szCs w:val="26"/>
        </w:rPr>
        <w:t>4(B).)</w:t>
      </w:r>
      <w:bookmarkEnd w:id="7"/>
      <w:r w:rsidRPr="00DE731A" w:rsidR="002571C2">
        <w:rPr>
          <w:color w:val="000000"/>
          <w:szCs w:val="26"/>
        </w:rPr>
        <w:t xml:space="preserve">  Here, </w:t>
      </w:r>
      <w:r w:rsidR="00950570">
        <w:rPr>
          <w:color w:val="000000"/>
          <w:szCs w:val="26"/>
        </w:rPr>
        <w:t xml:space="preserve">pursuant to the Work Rules, </w:t>
      </w:r>
      <w:r w:rsidRPr="00DE731A" w:rsidR="002571C2">
        <w:rPr>
          <w:color w:val="000000"/>
          <w:szCs w:val="26"/>
        </w:rPr>
        <w:t xml:space="preserve">the remuneration provided to </w:t>
      </w:r>
      <w:r w:rsidR="00950570">
        <w:rPr>
          <w:color w:val="000000"/>
          <w:szCs w:val="26"/>
        </w:rPr>
        <w:t xml:space="preserve">Delta </w:t>
      </w:r>
      <w:r w:rsidRPr="00DE731A" w:rsidR="002571C2">
        <w:rPr>
          <w:color w:val="000000"/>
          <w:szCs w:val="26"/>
        </w:rPr>
        <w:t xml:space="preserve">flight attendants is measured by </w:t>
      </w:r>
      <w:r w:rsidRPr="00DE731A" w:rsidR="007A439A">
        <w:rPr>
          <w:color w:val="000000"/>
          <w:szCs w:val="26"/>
        </w:rPr>
        <w:t xml:space="preserve">the </w:t>
      </w:r>
      <w:r w:rsidRPr="00DE731A" w:rsidR="002571C2">
        <w:rPr>
          <w:color w:val="000000"/>
          <w:szCs w:val="26"/>
        </w:rPr>
        <w:t xml:space="preserve">“rotation,” a given sequence of flights over a day or a period of days that the attendant will serve on.  </w:t>
      </w:r>
      <w:r w:rsidRPr="00DE731A" w:rsidR="00554950">
        <w:rPr>
          <w:color w:val="000000"/>
          <w:szCs w:val="26"/>
        </w:rPr>
        <w:t xml:space="preserve">Compensation </w:t>
      </w:r>
      <w:r w:rsidRPr="00DE731A" w:rsidR="00DC091E">
        <w:rPr>
          <w:color w:val="000000"/>
          <w:szCs w:val="26"/>
        </w:rPr>
        <w:t xml:space="preserve">for </w:t>
      </w:r>
      <w:r w:rsidRPr="00DE731A" w:rsidR="00554950">
        <w:rPr>
          <w:color w:val="000000"/>
          <w:szCs w:val="26"/>
        </w:rPr>
        <w:t>each rotation is calculated according to four different formulas; flight attendants are paid according to whichever formula yields the largest amount</w:t>
      </w:r>
      <w:r w:rsidRPr="00DE731A" w:rsidR="00867B38">
        <w:rPr>
          <w:color w:val="000000"/>
          <w:szCs w:val="26"/>
        </w:rPr>
        <w:t xml:space="preserve"> for the complete rotation</w:t>
      </w:r>
      <w:r w:rsidRPr="00DE731A" w:rsidR="00554950">
        <w:rPr>
          <w:color w:val="000000"/>
          <w:szCs w:val="26"/>
        </w:rPr>
        <w:t>.</w:t>
      </w:r>
      <w:r w:rsidR="00AD29D1">
        <w:rPr>
          <w:color w:val="000000"/>
          <w:szCs w:val="26"/>
        </w:rPr>
        <w:t xml:space="preserve"> </w:t>
      </w:r>
      <w:r w:rsidRPr="00DE731A" w:rsidR="00554950">
        <w:rPr>
          <w:color w:val="000000"/>
          <w:szCs w:val="26"/>
        </w:rPr>
        <w:t xml:space="preserve"> </w:t>
      </w:r>
      <w:r w:rsidR="00D90E7F">
        <w:rPr>
          <w:color w:val="000000"/>
          <w:szCs w:val="26"/>
        </w:rPr>
        <w:t xml:space="preserve">(See </w:t>
      </w:r>
      <w:r w:rsidR="00D90E7F">
        <w:rPr>
          <w:i/>
          <w:color w:val="000000"/>
          <w:szCs w:val="26"/>
        </w:rPr>
        <w:t>post</w:t>
      </w:r>
      <w:r w:rsidR="00D90E7F">
        <w:rPr>
          <w:color w:val="000000"/>
          <w:szCs w:val="26"/>
        </w:rPr>
        <w:t>,</w:t>
      </w:r>
      <w:r w:rsidR="00D90E7F">
        <w:rPr>
          <w:i/>
          <w:color w:val="000000"/>
          <w:szCs w:val="26"/>
        </w:rPr>
        <w:t xml:space="preserve"> </w:t>
      </w:r>
      <w:r w:rsidR="00D90E7F">
        <w:rPr>
          <w:color w:val="000000"/>
          <w:szCs w:val="26"/>
        </w:rPr>
        <w:t xml:space="preserve">at pp. 22–23.)  </w:t>
      </w:r>
      <w:r w:rsidRPr="00DE731A" w:rsidR="003A5B5A">
        <w:rPr>
          <w:color w:val="000000"/>
          <w:szCs w:val="26"/>
        </w:rPr>
        <w:t>It is undisputed</w:t>
      </w:r>
      <w:r w:rsidRPr="00DE731A" w:rsidR="002571C2">
        <w:rPr>
          <w:color w:val="000000"/>
          <w:szCs w:val="26"/>
        </w:rPr>
        <w:t xml:space="preserve"> that </w:t>
      </w:r>
      <w:r w:rsidRPr="00DE731A" w:rsidR="0067545A">
        <w:rPr>
          <w:color w:val="000000"/>
          <w:szCs w:val="26"/>
        </w:rPr>
        <w:t xml:space="preserve">under </w:t>
      </w:r>
      <w:r w:rsidRPr="00DE731A" w:rsidR="002571C2">
        <w:rPr>
          <w:color w:val="000000"/>
          <w:szCs w:val="26"/>
        </w:rPr>
        <w:t>this compensation scheme</w:t>
      </w:r>
      <w:r w:rsidR="00646E29">
        <w:rPr>
          <w:color w:val="000000"/>
          <w:szCs w:val="26"/>
        </w:rPr>
        <w:t>,</w:t>
      </w:r>
      <w:r w:rsidRPr="00DE731A" w:rsidR="002571C2">
        <w:rPr>
          <w:color w:val="000000"/>
          <w:szCs w:val="26"/>
        </w:rPr>
        <w:t xml:space="preserve"> </w:t>
      </w:r>
      <w:r w:rsidRPr="00DE731A" w:rsidR="0067545A">
        <w:rPr>
          <w:color w:val="000000"/>
          <w:szCs w:val="26"/>
        </w:rPr>
        <w:t xml:space="preserve">flight attendants are </w:t>
      </w:r>
      <w:r w:rsidRPr="00DE731A" w:rsidR="002571C2">
        <w:rPr>
          <w:color w:val="000000"/>
          <w:szCs w:val="26"/>
        </w:rPr>
        <w:t xml:space="preserve">always </w:t>
      </w:r>
      <w:r w:rsidRPr="00DE731A" w:rsidR="0067545A">
        <w:rPr>
          <w:color w:val="000000"/>
          <w:szCs w:val="26"/>
        </w:rPr>
        <w:t>paid</w:t>
      </w:r>
      <w:r w:rsidRPr="00DE731A" w:rsidR="003A5B5A">
        <w:rPr>
          <w:color w:val="000000"/>
          <w:szCs w:val="26"/>
        </w:rPr>
        <w:t xml:space="preserve">, on </w:t>
      </w:r>
      <w:r w:rsidRPr="00DE731A" w:rsidR="0067545A">
        <w:rPr>
          <w:color w:val="000000"/>
          <w:szCs w:val="26"/>
        </w:rPr>
        <w:t xml:space="preserve">an hourly </w:t>
      </w:r>
      <w:r w:rsidRPr="00DE731A" w:rsidR="003A5B5A">
        <w:rPr>
          <w:color w:val="000000"/>
          <w:szCs w:val="26"/>
        </w:rPr>
        <w:t xml:space="preserve">average, above the minimum wage.  </w:t>
      </w:r>
      <w:r w:rsidRPr="00DE731A" w:rsidR="00554950">
        <w:rPr>
          <w:color w:val="000000"/>
          <w:szCs w:val="26"/>
        </w:rPr>
        <w:t>Oman contends that</w:t>
      </w:r>
      <w:r w:rsidRPr="00DE731A" w:rsidR="001F3052">
        <w:rPr>
          <w:color w:val="000000"/>
          <w:szCs w:val="26"/>
        </w:rPr>
        <w:t xml:space="preserve"> </w:t>
      </w:r>
      <w:r w:rsidRPr="00DE731A" w:rsidR="002571C2">
        <w:rPr>
          <w:color w:val="000000"/>
          <w:szCs w:val="26"/>
        </w:rPr>
        <w:t xml:space="preserve">the </w:t>
      </w:r>
      <w:r w:rsidRPr="00DE731A" w:rsidR="001F3052">
        <w:rPr>
          <w:color w:val="000000"/>
          <w:szCs w:val="26"/>
        </w:rPr>
        <w:t xml:space="preserve">scheme </w:t>
      </w:r>
      <w:r w:rsidRPr="00DE731A" w:rsidR="003A5B5A">
        <w:rPr>
          <w:color w:val="000000"/>
          <w:szCs w:val="26"/>
        </w:rPr>
        <w:t xml:space="preserve">nonetheless </w:t>
      </w:r>
      <w:r w:rsidRPr="00DE731A" w:rsidR="001F3052">
        <w:rPr>
          <w:color w:val="000000"/>
          <w:szCs w:val="26"/>
        </w:rPr>
        <w:t>violates California’s minimum wage law</w:t>
      </w:r>
      <w:r w:rsidRPr="00DE731A" w:rsidR="001B5FB9">
        <w:rPr>
          <w:color w:val="000000"/>
          <w:szCs w:val="26"/>
        </w:rPr>
        <w:t>, principally</w:t>
      </w:r>
      <w:r w:rsidRPr="00DE731A" w:rsidR="001F3052">
        <w:rPr>
          <w:color w:val="000000"/>
          <w:szCs w:val="26"/>
        </w:rPr>
        <w:t xml:space="preserve"> because one of </w:t>
      </w:r>
      <w:r w:rsidRPr="00DE731A" w:rsidR="00927014">
        <w:rPr>
          <w:color w:val="000000"/>
          <w:szCs w:val="26"/>
        </w:rPr>
        <w:t xml:space="preserve">Delta’s </w:t>
      </w:r>
      <w:r w:rsidRPr="00DE731A" w:rsidR="001F3052">
        <w:rPr>
          <w:color w:val="000000"/>
          <w:szCs w:val="26"/>
        </w:rPr>
        <w:t>four formulas</w:t>
      </w:r>
      <w:r w:rsidRPr="00DE731A" w:rsidR="00927014">
        <w:rPr>
          <w:color w:val="000000"/>
          <w:szCs w:val="26"/>
        </w:rPr>
        <w:t xml:space="preserve">—the formula that most often determines how much flight attendants will be paid, because it generally yields </w:t>
      </w:r>
      <w:r w:rsidRPr="00DE731A" w:rsidR="00FF0B0B">
        <w:rPr>
          <w:color w:val="000000"/>
          <w:szCs w:val="26"/>
        </w:rPr>
        <w:t xml:space="preserve">the </w:t>
      </w:r>
      <w:r w:rsidRPr="00DE731A" w:rsidR="00927014">
        <w:rPr>
          <w:color w:val="000000"/>
          <w:szCs w:val="26"/>
        </w:rPr>
        <w:t>greate</w:t>
      </w:r>
      <w:r w:rsidRPr="00DE731A" w:rsidR="00FF0B0B">
        <w:rPr>
          <w:color w:val="000000"/>
          <w:szCs w:val="26"/>
        </w:rPr>
        <w:t>st</w:t>
      </w:r>
      <w:r w:rsidRPr="00DE731A" w:rsidR="00927014">
        <w:rPr>
          <w:color w:val="000000"/>
          <w:szCs w:val="26"/>
        </w:rPr>
        <w:t xml:space="preserve"> compensation—</w:t>
      </w:r>
      <w:r w:rsidRPr="00DE731A" w:rsidR="003A5B5A">
        <w:rPr>
          <w:color w:val="000000"/>
          <w:szCs w:val="26"/>
        </w:rPr>
        <w:t>is based solely on flight time and does not factor in the hours flight attendants spend working on the ground</w:t>
      </w:r>
      <w:r w:rsidRPr="00DE731A" w:rsidR="00C42728">
        <w:rPr>
          <w:color w:val="000000"/>
          <w:szCs w:val="26"/>
        </w:rPr>
        <w:t xml:space="preserve"> before and after flights</w:t>
      </w:r>
      <w:r w:rsidRPr="00DE731A" w:rsidR="003A5B5A">
        <w:rPr>
          <w:color w:val="000000"/>
          <w:szCs w:val="26"/>
        </w:rPr>
        <w:t>.</w:t>
      </w:r>
    </w:p>
    <w:p w:rsidR="00D522A4" w:rsidRPr="00DE731A" w:rsidP="00DE731A" w14:paraId="34E5B9BF" w14:textId="6AAA9A27">
      <w:pPr>
        <w:tabs>
          <w:tab w:val="left" w:pos="1440"/>
        </w:tabs>
        <w:ind w:firstLine="720"/>
        <w:rPr>
          <w:color w:val="000000"/>
          <w:szCs w:val="26"/>
        </w:rPr>
      </w:pPr>
      <w:r w:rsidRPr="00DE731A">
        <w:rPr>
          <w:color w:val="000000"/>
          <w:szCs w:val="26"/>
        </w:rPr>
        <w:t xml:space="preserve">The dispute between the parties does not </w:t>
      </w:r>
      <w:r w:rsidRPr="00DE731A" w:rsidR="00C42728">
        <w:rPr>
          <w:color w:val="000000"/>
          <w:szCs w:val="26"/>
        </w:rPr>
        <w:t>concern the substance of California’s minimum wage guarantee</w:t>
      </w:r>
      <w:r w:rsidRPr="00DE731A" w:rsidR="00FA5DCF">
        <w:rPr>
          <w:color w:val="000000"/>
          <w:szCs w:val="26"/>
        </w:rPr>
        <w:t>.  I</w:t>
      </w:r>
      <w:r w:rsidRPr="00DE731A" w:rsidR="00C42728">
        <w:rPr>
          <w:color w:val="000000"/>
          <w:szCs w:val="26"/>
        </w:rPr>
        <w:t xml:space="preserve">t is </w:t>
      </w:r>
      <w:r w:rsidRPr="00DE731A">
        <w:rPr>
          <w:color w:val="000000"/>
          <w:szCs w:val="26"/>
        </w:rPr>
        <w:t xml:space="preserve">common ground </w:t>
      </w:r>
      <w:r w:rsidRPr="00DE731A" w:rsidR="00C42728">
        <w:rPr>
          <w:color w:val="000000"/>
          <w:szCs w:val="26"/>
        </w:rPr>
        <w:t xml:space="preserve">that </w:t>
      </w:r>
      <w:r w:rsidRPr="00DE731A" w:rsidR="008E4623">
        <w:rPr>
          <w:color w:val="000000"/>
          <w:szCs w:val="26"/>
        </w:rPr>
        <w:t xml:space="preserve">the law guarantees at least minimum wage for </w:t>
      </w:r>
      <w:r w:rsidRPr="00DE731A" w:rsidR="00A85EF2">
        <w:rPr>
          <w:color w:val="000000"/>
          <w:szCs w:val="26"/>
        </w:rPr>
        <w:t xml:space="preserve">“all hours worked in the payroll period.” </w:t>
      </w:r>
      <w:r w:rsidR="00D90E7F">
        <w:rPr>
          <w:color w:val="000000"/>
          <w:szCs w:val="26"/>
        </w:rPr>
        <w:t xml:space="preserve"> </w:t>
      </w:r>
      <w:r w:rsidRPr="00DE731A" w:rsidR="00A85EF2">
        <w:rPr>
          <w:color w:val="000000"/>
          <w:szCs w:val="26"/>
        </w:rPr>
        <w:t>(</w:t>
      </w:r>
      <w:r w:rsidRPr="00DE731A" w:rsidR="0013516F">
        <w:rPr>
          <w:color w:val="000000"/>
          <w:szCs w:val="26"/>
        </w:rPr>
        <w:t>Wage Order No. 9</w:t>
      </w:r>
      <w:r w:rsidRPr="00DE731A" w:rsidR="00A85EF2">
        <w:rPr>
          <w:color w:val="000000"/>
          <w:szCs w:val="26"/>
        </w:rPr>
        <w:t xml:space="preserve">, § 4(B).)  </w:t>
      </w:r>
      <w:r w:rsidRPr="00DE731A" w:rsidR="00503816">
        <w:rPr>
          <w:color w:val="000000"/>
          <w:szCs w:val="26"/>
        </w:rPr>
        <w:t>The</w:t>
      </w:r>
      <w:r w:rsidRPr="00DE731A" w:rsidR="00B5774F">
        <w:rPr>
          <w:color w:val="000000"/>
          <w:szCs w:val="26"/>
        </w:rPr>
        <w:t xml:space="preserve"> parties’</w:t>
      </w:r>
      <w:r w:rsidRPr="00DE731A" w:rsidR="00163B93">
        <w:rPr>
          <w:color w:val="000000"/>
          <w:szCs w:val="26"/>
        </w:rPr>
        <w:t xml:space="preserve"> disagreement</w:t>
      </w:r>
      <w:r w:rsidRPr="00DE731A" w:rsidR="00503816">
        <w:rPr>
          <w:color w:val="000000"/>
          <w:szCs w:val="26"/>
        </w:rPr>
        <w:t xml:space="preserve"> </w:t>
      </w:r>
      <w:r w:rsidRPr="00DE731A" w:rsidR="00FA5DCF">
        <w:rPr>
          <w:color w:val="000000"/>
          <w:szCs w:val="26"/>
        </w:rPr>
        <w:t xml:space="preserve">instead concerns </w:t>
      </w:r>
      <w:r w:rsidRPr="00DE731A" w:rsidR="00007B52">
        <w:rPr>
          <w:color w:val="000000"/>
          <w:szCs w:val="26"/>
        </w:rPr>
        <w:t xml:space="preserve">how compliance is to be measured </w:t>
      </w:r>
      <w:r w:rsidRPr="00DE731A" w:rsidR="001B5FB9">
        <w:rPr>
          <w:color w:val="000000"/>
          <w:szCs w:val="26"/>
        </w:rPr>
        <w:t>when</w:t>
      </w:r>
      <w:r w:rsidRPr="00DE731A" w:rsidR="00007B52">
        <w:rPr>
          <w:color w:val="000000"/>
          <w:szCs w:val="26"/>
        </w:rPr>
        <w:t xml:space="preserve"> the employer does not compensate its employees according to a fixed hourly rate</w:t>
      </w:r>
      <w:r w:rsidRPr="00DE731A" w:rsidR="00B5774F">
        <w:rPr>
          <w:color w:val="000000"/>
          <w:szCs w:val="26"/>
        </w:rPr>
        <w:t xml:space="preserve"> applicable to all hours</w:t>
      </w:r>
      <w:r w:rsidRPr="00DE731A" w:rsidR="00007B52">
        <w:rPr>
          <w:color w:val="000000"/>
          <w:szCs w:val="26"/>
        </w:rPr>
        <w:t>.</w:t>
      </w:r>
      <w:r w:rsidRPr="00DE731A" w:rsidR="006A11E3">
        <w:rPr>
          <w:color w:val="000000"/>
          <w:szCs w:val="26"/>
        </w:rPr>
        <w:t xml:space="preserve">  </w:t>
      </w:r>
    </w:p>
    <w:p w:rsidR="00D522A4" w:rsidRPr="00DE731A" w:rsidP="00DE731A" w14:paraId="4602076E" w14:textId="7DE0B967">
      <w:pPr>
        <w:tabs>
          <w:tab w:val="left" w:pos="0"/>
        </w:tabs>
        <w:jc w:val="center"/>
        <w:rPr>
          <w:b/>
          <w:bCs/>
          <w:color w:val="000000"/>
          <w:szCs w:val="26"/>
        </w:rPr>
      </w:pPr>
      <w:r w:rsidRPr="00DE731A">
        <w:rPr>
          <w:b/>
          <w:bCs/>
          <w:color w:val="000000"/>
          <w:szCs w:val="26"/>
        </w:rPr>
        <w:t>A.</w:t>
      </w:r>
    </w:p>
    <w:p w:rsidR="007D17AA" w:rsidRPr="00DE731A" w:rsidP="00DE731A" w14:paraId="41337440" w14:textId="4DA14D55">
      <w:pPr>
        <w:tabs>
          <w:tab w:val="left" w:pos="1440"/>
        </w:tabs>
        <w:ind w:firstLine="720"/>
        <w:rPr>
          <w:color w:val="000000"/>
          <w:szCs w:val="26"/>
        </w:rPr>
      </w:pPr>
      <w:r w:rsidRPr="00DE731A">
        <w:rPr>
          <w:color w:val="000000"/>
          <w:szCs w:val="26"/>
        </w:rPr>
        <w:t>To understand the nature of the dispute, some background is required.</w:t>
      </w:r>
      <w:r w:rsidRPr="00DE731A" w:rsidR="002C3B2B">
        <w:rPr>
          <w:color w:val="000000"/>
          <w:szCs w:val="26"/>
        </w:rPr>
        <w:t xml:space="preserve">  </w:t>
      </w:r>
      <w:r w:rsidRPr="00DE731A" w:rsidR="00D522A4">
        <w:rPr>
          <w:color w:val="000000"/>
          <w:szCs w:val="26"/>
        </w:rPr>
        <w:t xml:space="preserve">Beginning several decades ago, federal courts confronting questions about minimum wage compliance </w:t>
      </w:r>
      <w:r w:rsidRPr="00DE731A" w:rsidR="00163B93">
        <w:rPr>
          <w:color w:val="000000"/>
          <w:szCs w:val="26"/>
        </w:rPr>
        <w:t xml:space="preserve">commonly </w:t>
      </w:r>
      <w:r w:rsidRPr="00DE731A" w:rsidR="005A2FA9">
        <w:rPr>
          <w:color w:val="000000"/>
          <w:szCs w:val="26"/>
        </w:rPr>
        <w:t xml:space="preserve">interpreted </w:t>
      </w:r>
      <w:r w:rsidRPr="00DE731A" w:rsidR="003A71A8">
        <w:rPr>
          <w:color w:val="000000"/>
          <w:szCs w:val="26"/>
        </w:rPr>
        <w:t xml:space="preserve">federal law </w:t>
      </w:r>
      <w:r w:rsidRPr="00DE731A" w:rsidR="005A2FA9">
        <w:rPr>
          <w:color w:val="000000"/>
          <w:szCs w:val="26"/>
        </w:rPr>
        <w:t xml:space="preserve">to </w:t>
      </w:r>
      <w:r w:rsidRPr="00DE731A" w:rsidR="008B0EBE">
        <w:rPr>
          <w:color w:val="000000"/>
          <w:szCs w:val="26"/>
        </w:rPr>
        <w:t xml:space="preserve">require only that employers pay </w:t>
      </w:r>
      <w:r w:rsidRPr="00DE731A" w:rsidR="00037FFA">
        <w:rPr>
          <w:color w:val="000000"/>
          <w:szCs w:val="26"/>
        </w:rPr>
        <w:t xml:space="preserve">in each </w:t>
      </w:r>
      <w:r w:rsidRPr="00DE731A" w:rsidR="00F07B54">
        <w:rPr>
          <w:color w:val="000000"/>
          <w:szCs w:val="26"/>
        </w:rPr>
        <w:t>week</w:t>
      </w:r>
      <w:r w:rsidRPr="00DE731A" w:rsidR="00037FFA">
        <w:rPr>
          <w:color w:val="000000"/>
          <w:szCs w:val="26"/>
        </w:rPr>
        <w:t xml:space="preserve"> </w:t>
      </w:r>
      <w:r w:rsidRPr="00DE731A" w:rsidR="008B0EBE">
        <w:rPr>
          <w:color w:val="000000"/>
          <w:szCs w:val="26"/>
        </w:rPr>
        <w:t xml:space="preserve">an average wage </w:t>
      </w:r>
      <w:r w:rsidRPr="00DE731A" w:rsidR="0063795A">
        <w:rPr>
          <w:color w:val="000000"/>
          <w:szCs w:val="26"/>
        </w:rPr>
        <w:t>at or above</w:t>
      </w:r>
      <w:r w:rsidRPr="00DE731A" w:rsidR="008B0EBE">
        <w:rPr>
          <w:color w:val="000000"/>
          <w:szCs w:val="26"/>
        </w:rPr>
        <w:t xml:space="preserve"> the federal minimum.  (See </w:t>
      </w:r>
      <w:r w:rsidRPr="00DE731A" w:rsidR="00F07B54">
        <w:rPr>
          <w:color w:val="000000"/>
          <w:szCs w:val="26"/>
        </w:rPr>
        <w:t xml:space="preserve">29 U.S.C. § 206(a); </w:t>
      </w:r>
      <w:r w:rsidRPr="00DE731A" w:rsidR="00F07B54">
        <w:rPr>
          <w:i/>
          <w:color w:val="000000"/>
          <w:szCs w:val="26"/>
        </w:rPr>
        <w:t>U</w:t>
      </w:r>
      <w:r w:rsidRPr="00DE731A" w:rsidR="0013516F">
        <w:rPr>
          <w:i/>
          <w:color w:val="000000"/>
          <w:szCs w:val="26"/>
        </w:rPr>
        <w:t>.S.</w:t>
      </w:r>
      <w:r w:rsidRPr="00DE731A" w:rsidR="00F07B54">
        <w:rPr>
          <w:i/>
          <w:color w:val="000000"/>
          <w:szCs w:val="26"/>
        </w:rPr>
        <w:t xml:space="preserve"> v. Klinghoffer Bros. Realty Corp.</w:t>
      </w:r>
      <w:r w:rsidRPr="00DE731A" w:rsidR="00F07B54">
        <w:rPr>
          <w:color w:val="000000"/>
          <w:szCs w:val="26"/>
        </w:rPr>
        <w:t xml:space="preserve"> (2d Cir. 1960) 285 F.2d 487, 490</w:t>
      </w:r>
      <w:r w:rsidRPr="00DE731A" w:rsidR="0047773E">
        <w:rPr>
          <w:color w:val="000000"/>
          <w:szCs w:val="26"/>
        </w:rPr>
        <w:t xml:space="preserve">; </w:t>
      </w:r>
      <w:r w:rsidRPr="00DE731A" w:rsidR="0067545A">
        <w:rPr>
          <w:color w:val="000000"/>
          <w:szCs w:val="26"/>
        </w:rPr>
        <w:t>see also</w:t>
      </w:r>
      <w:r w:rsidRPr="00DE731A" w:rsidR="0047773E">
        <w:rPr>
          <w:color w:val="000000"/>
          <w:szCs w:val="26"/>
        </w:rPr>
        <w:t xml:space="preserve">, </w:t>
      </w:r>
      <w:r w:rsidRPr="00DE731A" w:rsidR="00044860">
        <w:rPr>
          <w:color w:val="000000"/>
          <w:szCs w:val="26"/>
        </w:rPr>
        <w:t xml:space="preserve">e.g., </w:t>
      </w:r>
      <w:r w:rsidRPr="00DE731A" w:rsidR="0047773E">
        <w:rPr>
          <w:i/>
          <w:color w:val="000000"/>
          <w:szCs w:val="26"/>
        </w:rPr>
        <w:t>Dove v. Coupe</w:t>
      </w:r>
      <w:r w:rsidRPr="00DE731A" w:rsidR="0047773E">
        <w:rPr>
          <w:color w:val="000000"/>
          <w:szCs w:val="26"/>
        </w:rPr>
        <w:t xml:space="preserve"> (D.C. Cir. 1985) 759 F.2d 167, 171–172</w:t>
      </w:r>
      <w:r w:rsidRPr="00DE731A" w:rsidR="00EB2C94">
        <w:rPr>
          <w:color w:val="000000"/>
          <w:szCs w:val="26"/>
        </w:rPr>
        <w:t xml:space="preserve"> (opn. of Ginsburg, J</w:t>
      </w:r>
      <w:r w:rsidRPr="00DE731A" w:rsidR="00F07B54">
        <w:rPr>
          <w:color w:val="000000"/>
          <w:szCs w:val="26"/>
        </w:rPr>
        <w:t>.</w:t>
      </w:r>
      <w:r w:rsidRPr="00DE731A" w:rsidR="008B0EBE">
        <w:rPr>
          <w:color w:val="000000"/>
          <w:szCs w:val="26"/>
        </w:rPr>
        <w:t>)</w:t>
      </w:r>
      <w:r w:rsidRPr="00DE731A" w:rsidR="00EB2C94">
        <w:rPr>
          <w:color w:val="000000"/>
          <w:szCs w:val="26"/>
        </w:rPr>
        <w:t>.)</w:t>
      </w:r>
      <w:r w:rsidRPr="00DE731A" w:rsidR="00981B58">
        <w:rPr>
          <w:color w:val="000000"/>
          <w:szCs w:val="26"/>
        </w:rPr>
        <w:t xml:space="preserve">  </w:t>
      </w:r>
      <w:r w:rsidRPr="00DE731A" w:rsidR="00255605">
        <w:rPr>
          <w:color w:val="000000"/>
          <w:szCs w:val="26"/>
        </w:rPr>
        <w:t xml:space="preserve">At least without further refinement, the </w:t>
      </w:r>
      <w:r w:rsidRPr="00DE731A" w:rsidR="00CB42D3">
        <w:rPr>
          <w:color w:val="000000"/>
          <w:szCs w:val="26"/>
        </w:rPr>
        <w:t xml:space="preserve">workweek-average approach means that </w:t>
      </w:r>
      <w:r w:rsidRPr="00DE731A" w:rsidR="009577BE">
        <w:rPr>
          <w:color w:val="000000"/>
          <w:szCs w:val="26"/>
        </w:rPr>
        <w:t xml:space="preserve">if an employer agrees to pay a particular amount for say, 20 hours of work in a week, but then demands the employee work an additional 10 hours </w:t>
      </w:r>
      <w:r w:rsidRPr="00DE731A" w:rsidR="00A26C42">
        <w:rPr>
          <w:color w:val="000000"/>
          <w:szCs w:val="26"/>
        </w:rPr>
        <w:t>for free</w:t>
      </w:r>
      <w:r w:rsidRPr="00DE731A" w:rsidR="009577BE">
        <w:rPr>
          <w:color w:val="000000"/>
          <w:szCs w:val="26"/>
        </w:rPr>
        <w:t xml:space="preserve">, the minimum wage law </w:t>
      </w:r>
      <w:r w:rsidRPr="00DE731A" w:rsidR="00255605">
        <w:rPr>
          <w:color w:val="000000"/>
          <w:szCs w:val="26"/>
        </w:rPr>
        <w:t xml:space="preserve">is satisfied so long as </w:t>
      </w:r>
      <w:r w:rsidRPr="00DE731A" w:rsidR="00A26C42">
        <w:rPr>
          <w:color w:val="000000"/>
          <w:szCs w:val="26"/>
        </w:rPr>
        <w:t xml:space="preserve">the total wages, divided by 30, </w:t>
      </w:r>
      <w:r w:rsidRPr="00DE731A" w:rsidR="00746411">
        <w:rPr>
          <w:color w:val="000000"/>
          <w:szCs w:val="26"/>
        </w:rPr>
        <w:t xml:space="preserve">equal or </w:t>
      </w:r>
      <w:r w:rsidRPr="00DE731A" w:rsidR="00A26C42">
        <w:rPr>
          <w:color w:val="000000"/>
          <w:szCs w:val="26"/>
        </w:rPr>
        <w:t>exceed the applicable minimum wage.</w:t>
      </w:r>
      <w:r w:rsidRPr="00DE731A" w:rsidR="00E25119">
        <w:rPr>
          <w:color w:val="000000"/>
          <w:szCs w:val="26"/>
        </w:rPr>
        <w:t xml:space="preserve">  </w:t>
      </w:r>
      <w:r w:rsidRPr="00DE731A" w:rsidR="003A71A8">
        <w:rPr>
          <w:color w:val="000000"/>
          <w:szCs w:val="26"/>
        </w:rPr>
        <w:t>Under this approach, Delta’s</w:t>
      </w:r>
      <w:r w:rsidRPr="00DE731A">
        <w:rPr>
          <w:color w:val="000000"/>
          <w:szCs w:val="26"/>
        </w:rPr>
        <w:t xml:space="preserve"> compensation scheme could create no possible problems, since, as noted, it is undisputed that the scheme yields an average hourly wage that well exceeds the minimum set by California law.</w:t>
      </w:r>
    </w:p>
    <w:p w:rsidR="008B0EBE" w:rsidRPr="00DE731A" w:rsidP="00DE731A" w14:paraId="593969E1" w14:textId="725A9BDC">
      <w:pPr>
        <w:tabs>
          <w:tab w:val="left" w:pos="1440"/>
        </w:tabs>
        <w:ind w:firstLine="720"/>
        <w:rPr>
          <w:color w:val="000000"/>
          <w:szCs w:val="26"/>
        </w:rPr>
      </w:pPr>
      <w:r w:rsidRPr="00DE731A">
        <w:rPr>
          <w:color w:val="000000"/>
          <w:szCs w:val="26"/>
        </w:rPr>
        <w:t>T</w:t>
      </w:r>
      <w:r w:rsidRPr="00DE731A">
        <w:rPr>
          <w:color w:val="000000"/>
          <w:szCs w:val="26"/>
        </w:rPr>
        <w:t>he</w:t>
      </w:r>
      <w:r w:rsidRPr="00DE731A" w:rsidR="00F54DAF">
        <w:rPr>
          <w:color w:val="000000"/>
          <w:szCs w:val="26"/>
        </w:rPr>
        <w:t xml:space="preserve"> Division of </w:t>
      </w:r>
      <w:r w:rsidRPr="00DE731A" w:rsidR="003E46D5">
        <w:rPr>
          <w:color w:val="000000"/>
          <w:szCs w:val="26"/>
        </w:rPr>
        <w:t>L</w:t>
      </w:r>
      <w:r w:rsidRPr="00DE731A" w:rsidR="00F54DAF">
        <w:rPr>
          <w:color w:val="000000"/>
          <w:szCs w:val="26"/>
        </w:rPr>
        <w:t>abor Standards Enforcement</w:t>
      </w:r>
      <w:r w:rsidRPr="00DE731A">
        <w:rPr>
          <w:color w:val="000000"/>
          <w:szCs w:val="26"/>
        </w:rPr>
        <w:t xml:space="preserve"> </w:t>
      </w:r>
      <w:r w:rsidRPr="00DE731A" w:rsidR="00F54DAF">
        <w:rPr>
          <w:color w:val="000000"/>
          <w:szCs w:val="26"/>
        </w:rPr>
        <w:t>(</w:t>
      </w:r>
      <w:r w:rsidRPr="00DE731A">
        <w:rPr>
          <w:color w:val="000000"/>
          <w:szCs w:val="26"/>
        </w:rPr>
        <w:t>DLSE</w:t>
      </w:r>
      <w:r w:rsidRPr="00DE731A" w:rsidR="00F54DAF">
        <w:rPr>
          <w:color w:val="000000"/>
          <w:szCs w:val="26"/>
        </w:rPr>
        <w:t>)</w:t>
      </w:r>
      <w:r w:rsidRPr="00DE731A" w:rsidR="00D3407E">
        <w:rPr>
          <w:color w:val="000000"/>
          <w:szCs w:val="26"/>
        </w:rPr>
        <w:t xml:space="preserve"> and </w:t>
      </w:r>
      <w:r w:rsidRPr="00DE731A">
        <w:rPr>
          <w:color w:val="000000"/>
          <w:szCs w:val="26"/>
        </w:rPr>
        <w:t>the unanimous Courts of Appeal</w:t>
      </w:r>
      <w:r w:rsidRPr="00DE731A">
        <w:rPr>
          <w:color w:val="000000"/>
          <w:szCs w:val="26"/>
        </w:rPr>
        <w:t>, however,</w:t>
      </w:r>
      <w:r w:rsidRPr="00DE731A">
        <w:rPr>
          <w:color w:val="000000"/>
          <w:szCs w:val="26"/>
        </w:rPr>
        <w:t xml:space="preserve"> have embraced a more stringent understanding of state law</w:t>
      </w:r>
      <w:r w:rsidRPr="00DE731A" w:rsidR="00A37F27">
        <w:rPr>
          <w:color w:val="000000"/>
          <w:szCs w:val="26"/>
        </w:rPr>
        <w:t xml:space="preserve"> that forbids </w:t>
      </w:r>
      <w:r w:rsidRPr="00DE731A" w:rsidR="009F1680">
        <w:rPr>
          <w:szCs w:val="26"/>
        </w:rPr>
        <w:t>taking compensation contractually due for one set of hours and spreading it over other, otherwise un- or undercompensated, hours to satisfy the minimum wage</w:t>
      </w:r>
      <w:r w:rsidRPr="00DE731A" w:rsidR="001609E4">
        <w:rPr>
          <w:szCs w:val="26"/>
        </w:rPr>
        <w:t>—a practice that has often</w:t>
      </w:r>
      <w:r w:rsidRPr="00DE731A" w:rsidR="00925E77">
        <w:rPr>
          <w:szCs w:val="26"/>
        </w:rPr>
        <w:t>, perhaps misleadingly,</w:t>
      </w:r>
      <w:r w:rsidRPr="00DE731A" w:rsidR="001609E4">
        <w:rPr>
          <w:szCs w:val="26"/>
        </w:rPr>
        <w:t xml:space="preserve"> been referred to as “wage averaging</w:t>
      </w:r>
      <w:r w:rsidRPr="00DE731A">
        <w:rPr>
          <w:color w:val="000000"/>
          <w:szCs w:val="26"/>
        </w:rPr>
        <w:t>.</w:t>
      </w:r>
      <w:r w:rsidRPr="00DE731A" w:rsidR="001609E4">
        <w:rPr>
          <w:color w:val="000000"/>
          <w:szCs w:val="26"/>
        </w:rPr>
        <w:t>”</w:t>
      </w:r>
      <w:r w:rsidRPr="00DE731A" w:rsidR="00925E77">
        <w:rPr>
          <w:color w:val="000000"/>
          <w:szCs w:val="26"/>
        </w:rPr>
        <w:t xml:space="preserve">  </w:t>
      </w:r>
      <w:r w:rsidRPr="00DE731A" w:rsidR="00925E77">
        <w:t xml:space="preserve">As we will explain, the </w:t>
      </w:r>
      <w:r w:rsidRPr="00DE731A" w:rsidR="00272198">
        <w:t xml:space="preserve">practice </w:t>
      </w:r>
      <w:r w:rsidRPr="00DE731A" w:rsidR="00925E77">
        <w:t xml:space="preserve">these authorities </w:t>
      </w:r>
      <w:r w:rsidRPr="00DE731A" w:rsidR="00272198">
        <w:t xml:space="preserve">prohibit </w:t>
      </w:r>
      <w:r w:rsidRPr="00DE731A" w:rsidR="00925E77">
        <w:t xml:space="preserve">might be more accurately characterized as “wage borrowing,” and we </w:t>
      </w:r>
      <w:r w:rsidRPr="00DE731A" w:rsidR="00260B89">
        <w:t>employ</w:t>
      </w:r>
      <w:r w:rsidRPr="00DE731A" w:rsidR="00925E77">
        <w:t xml:space="preserve"> that phrase</w:t>
      </w:r>
      <w:r w:rsidRPr="00DE731A" w:rsidR="00301196">
        <w:t>ology</w:t>
      </w:r>
      <w:r w:rsidRPr="00DE731A" w:rsidR="00925E77">
        <w:t xml:space="preserve"> here.</w:t>
      </w:r>
    </w:p>
    <w:p w:rsidR="008D618F" w:rsidRPr="00DE731A" w:rsidP="00DE731A" w14:paraId="344365E1" w14:textId="34F03CAD">
      <w:pPr>
        <w:tabs>
          <w:tab w:val="left" w:pos="1440"/>
        </w:tabs>
        <w:ind w:firstLine="720"/>
        <w:rPr>
          <w:szCs w:val="26"/>
        </w:rPr>
      </w:pPr>
      <w:r w:rsidRPr="00DE731A">
        <w:rPr>
          <w:szCs w:val="26"/>
        </w:rPr>
        <w:t xml:space="preserve">The DLSE </w:t>
      </w:r>
      <w:r w:rsidRPr="00DE731A" w:rsidR="0063795A">
        <w:rPr>
          <w:szCs w:val="26"/>
        </w:rPr>
        <w:t>was first to</w:t>
      </w:r>
      <w:r w:rsidRPr="00DE731A" w:rsidR="00195C4B">
        <w:rPr>
          <w:szCs w:val="26"/>
        </w:rPr>
        <w:t xml:space="preserve"> </w:t>
      </w:r>
      <w:r w:rsidRPr="00DE731A">
        <w:rPr>
          <w:szCs w:val="26"/>
        </w:rPr>
        <w:t>consider t</w:t>
      </w:r>
      <w:r w:rsidRPr="00DE731A" w:rsidR="00C06F9D">
        <w:rPr>
          <w:szCs w:val="26"/>
        </w:rPr>
        <w:t xml:space="preserve">he issue.  </w:t>
      </w:r>
      <w:r w:rsidRPr="00DE731A">
        <w:rPr>
          <w:szCs w:val="26"/>
        </w:rPr>
        <w:t xml:space="preserve">(See </w:t>
      </w:r>
      <w:r w:rsidRPr="00DE731A" w:rsidR="00BB1E3B">
        <w:rPr>
          <w:szCs w:val="26"/>
        </w:rPr>
        <w:t xml:space="preserve">Dept. </w:t>
      </w:r>
      <w:r w:rsidRPr="00DE731A" w:rsidR="003E46D5">
        <w:rPr>
          <w:szCs w:val="26"/>
        </w:rPr>
        <w:t xml:space="preserve">of </w:t>
      </w:r>
      <w:r w:rsidRPr="00DE731A" w:rsidR="00BB1E3B">
        <w:rPr>
          <w:szCs w:val="26"/>
        </w:rPr>
        <w:t>Industrial Relations</w:t>
      </w:r>
      <w:r w:rsidRPr="00DE731A" w:rsidR="00854C9A">
        <w:rPr>
          <w:szCs w:val="26"/>
        </w:rPr>
        <w:t xml:space="preserve">, </w:t>
      </w:r>
      <w:r w:rsidRPr="00DE731A">
        <w:rPr>
          <w:szCs w:val="26"/>
        </w:rPr>
        <w:t xml:space="preserve">DLSE </w:t>
      </w:r>
      <w:r w:rsidRPr="00DE731A" w:rsidR="00854C9A">
        <w:rPr>
          <w:szCs w:val="26"/>
        </w:rPr>
        <w:t>O</w:t>
      </w:r>
      <w:r w:rsidRPr="00DE731A">
        <w:rPr>
          <w:szCs w:val="26"/>
        </w:rPr>
        <w:t>pn</w:t>
      </w:r>
      <w:r w:rsidRPr="00DE731A" w:rsidR="00854C9A">
        <w:rPr>
          <w:szCs w:val="26"/>
        </w:rPr>
        <w:t>.</w:t>
      </w:r>
      <w:r w:rsidRPr="00DE731A">
        <w:rPr>
          <w:szCs w:val="26"/>
        </w:rPr>
        <w:t xml:space="preserve"> </w:t>
      </w:r>
      <w:r w:rsidRPr="00DE731A" w:rsidR="00854C9A">
        <w:rPr>
          <w:szCs w:val="26"/>
        </w:rPr>
        <w:t>L</w:t>
      </w:r>
      <w:r w:rsidRPr="00DE731A">
        <w:rPr>
          <w:szCs w:val="26"/>
        </w:rPr>
        <w:t xml:space="preserve">etter </w:t>
      </w:r>
      <w:r w:rsidRPr="00DE731A" w:rsidR="00854C9A">
        <w:rPr>
          <w:szCs w:val="26"/>
        </w:rPr>
        <w:t>No.</w:t>
      </w:r>
      <w:r w:rsidRPr="00DE731A" w:rsidR="00567986">
        <w:rPr>
          <w:szCs w:val="26"/>
        </w:rPr>
        <w:t> </w:t>
      </w:r>
      <w:r w:rsidRPr="00DE731A">
        <w:rPr>
          <w:szCs w:val="26"/>
        </w:rPr>
        <w:t>2002.01.29</w:t>
      </w:r>
      <w:r w:rsidRPr="00DE731A" w:rsidR="00854C9A">
        <w:rPr>
          <w:szCs w:val="26"/>
        </w:rPr>
        <w:t xml:space="preserve"> (Jan. 29, 2002)</w:t>
      </w:r>
      <w:r w:rsidR="000C37A5">
        <w:rPr>
          <w:szCs w:val="26"/>
        </w:rPr>
        <w:t xml:space="preserve"> (hereafter DLSE Opinion Letter No.</w:t>
      </w:r>
      <w:r w:rsidR="002C66A3">
        <w:rPr>
          <w:szCs w:val="26"/>
        </w:rPr>
        <w:t> </w:t>
      </w:r>
      <w:r w:rsidR="000C37A5">
        <w:rPr>
          <w:szCs w:val="26"/>
        </w:rPr>
        <w:t>2002.01.29)</w:t>
      </w:r>
      <w:r w:rsidRPr="00DE731A">
        <w:rPr>
          <w:szCs w:val="26"/>
        </w:rPr>
        <w:t xml:space="preserve">.)  </w:t>
      </w:r>
      <w:r w:rsidRPr="00DE731A">
        <w:rPr>
          <w:szCs w:val="26"/>
        </w:rPr>
        <w:t>In response to a question by parties to a collective bargaining agreement, the DLSE determined that particular employee travel time for which no compensation was being paid, because the employer apparently viewed it as off-duty and noncompensable, was in fact on-duty hours worked and compensable.  (</w:t>
      </w:r>
      <w:r w:rsidRPr="00DE731A">
        <w:rPr>
          <w:i/>
          <w:szCs w:val="26"/>
        </w:rPr>
        <w:t>Id.</w:t>
      </w:r>
      <w:r w:rsidRPr="00DE731A">
        <w:rPr>
          <w:szCs w:val="26"/>
        </w:rPr>
        <w:t xml:space="preserve"> at pp. 1–7.)  The DLSE then considered whether payments for other compensable hours</w:t>
      </w:r>
      <w:r w:rsidRPr="00DE731A" w:rsidR="001405F7">
        <w:rPr>
          <w:szCs w:val="26"/>
        </w:rPr>
        <w:t xml:space="preserve">, contractually promised </w:t>
      </w:r>
      <w:r w:rsidRPr="00DE731A">
        <w:rPr>
          <w:szCs w:val="26"/>
        </w:rPr>
        <w:t>under the collective bargaining agreement</w:t>
      </w:r>
      <w:r w:rsidRPr="00DE731A" w:rsidR="001405F7">
        <w:rPr>
          <w:szCs w:val="26"/>
        </w:rPr>
        <w:t xml:space="preserve">, could be borrowed to satisfy the employer’s minimum wage obligations, as would have been true under </w:t>
      </w:r>
      <w:r w:rsidRPr="00DE731A" w:rsidR="0062311A">
        <w:rPr>
          <w:szCs w:val="26"/>
        </w:rPr>
        <w:t xml:space="preserve">the </w:t>
      </w:r>
      <w:r w:rsidRPr="00DE731A" w:rsidR="00782CEE">
        <w:rPr>
          <w:szCs w:val="26"/>
        </w:rPr>
        <w:t xml:space="preserve">rule </w:t>
      </w:r>
      <w:r w:rsidRPr="00DE731A" w:rsidR="002D25C2">
        <w:rPr>
          <w:szCs w:val="26"/>
        </w:rPr>
        <w:t xml:space="preserve">generally </w:t>
      </w:r>
      <w:r w:rsidRPr="00DE731A" w:rsidR="001D4C7A">
        <w:rPr>
          <w:szCs w:val="26"/>
        </w:rPr>
        <w:t xml:space="preserve">articulated in </w:t>
      </w:r>
      <w:r w:rsidRPr="00DE731A" w:rsidR="00782CEE">
        <w:rPr>
          <w:szCs w:val="26"/>
        </w:rPr>
        <w:t>the federal courts</w:t>
      </w:r>
      <w:r w:rsidRPr="00DE731A" w:rsidR="001405F7">
        <w:rPr>
          <w:szCs w:val="26"/>
        </w:rPr>
        <w:t>.</w:t>
      </w:r>
    </w:p>
    <w:p w:rsidR="008B0EBE" w:rsidRPr="00DE731A" w:rsidP="00DE731A" w14:paraId="53F51B73" w14:textId="5EDD3A7C">
      <w:pPr>
        <w:tabs>
          <w:tab w:val="left" w:pos="1440"/>
        </w:tabs>
        <w:ind w:firstLine="720"/>
        <w:rPr>
          <w:szCs w:val="26"/>
          <w:bdr w:val="none" w:sz="0" w:space="0" w:color="auto" w:frame="1"/>
          <w:lang w:val="en"/>
        </w:rPr>
      </w:pPr>
      <w:r w:rsidRPr="00DE731A">
        <w:rPr>
          <w:szCs w:val="26"/>
        </w:rPr>
        <w:t xml:space="preserve">The </w:t>
      </w:r>
      <w:r w:rsidRPr="00DE731A" w:rsidR="00D1614B">
        <w:rPr>
          <w:szCs w:val="26"/>
        </w:rPr>
        <w:t>DLSE viewed the language of the wage order as ambiguous</w:t>
      </w:r>
      <w:r w:rsidRPr="00DE731A" w:rsidR="00EF12F5">
        <w:rPr>
          <w:szCs w:val="26"/>
        </w:rPr>
        <w:t xml:space="preserve">, so it </w:t>
      </w:r>
      <w:r w:rsidRPr="00DE731A" w:rsidR="009B43D0">
        <w:rPr>
          <w:szCs w:val="26"/>
        </w:rPr>
        <w:t xml:space="preserve">turned to the statutory </w:t>
      </w:r>
      <w:r w:rsidR="00D90E7F">
        <w:rPr>
          <w:szCs w:val="26"/>
        </w:rPr>
        <w:t xml:space="preserve">backdrop </w:t>
      </w:r>
      <w:r w:rsidRPr="00DE731A" w:rsidR="00762BCF">
        <w:rPr>
          <w:szCs w:val="26"/>
        </w:rPr>
        <w:t xml:space="preserve">for answers.  </w:t>
      </w:r>
      <w:r w:rsidRPr="00DE731A" w:rsidR="001D6080">
        <w:rPr>
          <w:szCs w:val="26"/>
        </w:rPr>
        <w:t xml:space="preserve">California law, </w:t>
      </w:r>
      <w:r w:rsidRPr="00DE731A" w:rsidR="00CE6D14">
        <w:rPr>
          <w:szCs w:val="26"/>
        </w:rPr>
        <w:t xml:space="preserve">the </w:t>
      </w:r>
      <w:r w:rsidRPr="00DE731A" w:rsidR="001D6080">
        <w:rPr>
          <w:szCs w:val="26"/>
        </w:rPr>
        <w:t xml:space="preserve">DLSE observed, differs from federal law in that it </w:t>
      </w:r>
      <w:r w:rsidRPr="00DE731A" w:rsidR="00344E25">
        <w:rPr>
          <w:szCs w:val="26"/>
        </w:rPr>
        <w:t xml:space="preserve">not only guarantees a minimum wage but also </w:t>
      </w:r>
      <w:r w:rsidRPr="00DE731A" w:rsidR="00F6712A">
        <w:rPr>
          <w:szCs w:val="26"/>
        </w:rPr>
        <w:t xml:space="preserve">expressly </w:t>
      </w:r>
      <w:r w:rsidRPr="00DE731A" w:rsidR="001D6080">
        <w:rPr>
          <w:szCs w:val="26"/>
        </w:rPr>
        <w:t>protects employees’ right</w:t>
      </w:r>
      <w:r w:rsidRPr="00DE731A" w:rsidR="00344E25">
        <w:rPr>
          <w:szCs w:val="26"/>
        </w:rPr>
        <w:t xml:space="preserve"> to receive</w:t>
      </w:r>
      <w:r w:rsidRPr="00DE731A" w:rsidR="001D6080">
        <w:rPr>
          <w:szCs w:val="26"/>
        </w:rPr>
        <w:t xml:space="preserve"> the wages promised </w:t>
      </w:r>
      <w:r w:rsidRPr="00DE731A" w:rsidR="00C54C7F">
        <w:rPr>
          <w:szCs w:val="26"/>
        </w:rPr>
        <w:t xml:space="preserve">in a </w:t>
      </w:r>
      <w:r w:rsidRPr="00DE731A" w:rsidR="0061705C">
        <w:rPr>
          <w:szCs w:val="26"/>
        </w:rPr>
        <w:t xml:space="preserve">contract or collective bargaining agreement.  </w:t>
      </w:r>
      <w:r w:rsidRPr="00DE731A" w:rsidR="00014961">
        <w:rPr>
          <w:szCs w:val="26"/>
        </w:rPr>
        <w:t xml:space="preserve">Specifically, </w:t>
      </w:r>
      <w:r w:rsidRPr="00DE731A" w:rsidR="00260B89">
        <w:t>Labor Code s</w:t>
      </w:r>
      <w:r w:rsidRPr="00DE731A" w:rsidR="00260B89">
        <w:rPr>
          <w:szCs w:val="26"/>
        </w:rPr>
        <w:t xml:space="preserve">ection 221 prohibits an employer </w:t>
      </w:r>
      <w:r w:rsidRPr="00DE731A" w:rsidR="00822BE6">
        <w:rPr>
          <w:szCs w:val="26"/>
        </w:rPr>
        <w:t xml:space="preserve">from </w:t>
      </w:r>
      <w:r w:rsidRPr="00DE731A" w:rsidR="00260B89">
        <w:rPr>
          <w:szCs w:val="26"/>
        </w:rPr>
        <w:t>paying wages and then recouping some portion of the wages as a kickback</w:t>
      </w:r>
      <w:r w:rsidRPr="00DE731A" w:rsidR="004E422B">
        <w:rPr>
          <w:szCs w:val="26"/>
        </w:rPr>
        <w:t xml:space="preserve"> or </w:t>
      </w:r>
      <w:r w:rsidRPr="00DE731A" w:rsidR="00AC1F1B">
        <w:rPr>
          <w:szCs w:val="26"/>
        </w:rPr>
        <w:t>secret deduction</w:t>
      </w:r>
      <w:r w:rsidRPr="00DE731A" w:rsidR="00822BE6">
        <w:rPr>
          <w:szCs w:val="26"/>
        </w:rPr>
        <w:t>;</w:t>
      </w:r>
      <w:r>
        <w:rPr>
          <w:rStyle w:val="FootnoteReference"/>
        </w:rPr>
        <w:footnoteReference w:id="5"/>
      </w:r>
      <w:r w:rsidRPr="00DE731A" w:rsidR="00260B89">
        <w:rPr>
          <w:szCs w:val="26"/>
        </w:rPr>
        <w:t xml:space="preserve"> </w:t>
      </w:r>
      <w:r w:rsidRPr="00DE731A" w:rsidR="00260B89">
        <w:rPr>
          <w:szCs w:val="26"/>
          <w:bdr w:val="none" w:sz="0" w:space="0" w:color="auto" w:frame="1"/>
          <w:lang w:val="en"/>
        </w:rPr>
        <w:t>Labor Code section 222 prohibits underpayment of wages established by a collective bargaining agreement</w:t>
      </w:r>
      <w:r w:rsidRPr="00DE731A" w:rsidR="00822BE6">
        <w:rPr>
          <w:szCs w:val="26"/>
          <w:bdr w:val="none" w:sz="0" w:space="0" w:color="auto" w:frame="1"/>
          <w:lang w:val="en"/>
        </w:rPr>
        <w:t>;</w:t>
      </w:r>
      <w:r>
        <w:rPr>
          <w:rStyle w:val="FootnoteReference"/>
          <w:szCs w:val="26"/>
          <w:bdr w:val="none" w:sz="0" w:space="0" w:color="auto" w:frame="1"/>
          <w:lang w:val="en"/>
        </w:rPr>
        <w:footnoteReference w:id="6"/>
      </w:r>
      <w:r w:rsidRPr="00DE731A" w:rsidR="00260B89">
        <w:rPr>
          <w:szCs w:val="26"/>
          <w:bdr w:val="none" w:sz="0" w:space="0" w:color="auto" w:frame="1"/>
          <w:lang w:val="en"/>
        </w:rPr>
        <w:t xml:space="preserve"> </w:t>
      </w:r>
      <w:r w:rsidRPr="00DE731A" w:rsidR="00822BE6">
        <w:rPr>
          <w:szCs w:val="26"/>
          <w:bdr w:val="none" w:sz="0" w:space="0" w:color="auto" w:frame="1"/>
          <w:lang w:val="en"/>
        </w:rPr>
        <w:t>and</w:t>
      </w:r>
      <w:r w:rsidRPr="00DE731A" w:rsidR="00260B89">
        <w:rPr>
          <w:szCs w:val="26"/>
          <w:bdr w:val="none" w:sz="0" w:space="0" w:color="auto" w:frame="1"/>
          <w:lang w:val="en"/>
        </w:rPr>
        <w:t xml:space="preserve"> Labor Code section 223 prohibits underpayment of wages otherwise established by contract</w:t>
      </w:r>
      <w:r w:rsidRPr="00DE731A" w:rsidR="001405F7">
        <w:rPr>
          <w:szCs w:val="26"/>
          <w:bdr w:val="none" w:sz="0" w:space="0" w:color="auto" w:frame="1"/>
          <w:lang w:val="en"/>
        </w:rPr>
        <w:t>.</w:t>
      </w:r>
      <w:r>
        <w:rPr>
          <w:rStyle w:val="FootnoteReference"/>
          <w:szCs w:val="26"/>
          <w:bdr w:val="none" w:sz="0" w:space="0" w:color="auto" w:frame="1"/>
          <w:lang w:val="en"/>
        </w:rPr>
        <w:footnoteReference w:id="7"/>
      </w:r>
      <w:r w:rsidRPr="00DE731A" w:rsidR="00557569">
        <w:rPr>
          <w:szCs w:val="26"/>
          <w:bdr w:val="none" w:sz="0" w:space="0" w:color="auto" w:frame="1"/>
          <w:lang w:val="en"/>
        </w:rPr>
        <w:t xml:space="preserve">  </w:t>
      </w:r>
      <w:r w:rsidRPr="00DE731A" w:rsidR="00557569">
        <w:rPr>
          <w:szCs w:val="26"/>
        </w:rPr>
        <w:t>Wage borrowing would violate these statutes by reducing compensation, for the hours from which wages were borrowed, below the contractually agreed-upon level</w:t>
      </w:r>
      <w:r w:rsidRPr="00DE731A">
        <w:rPr>
          <w:szCs w:val="26"/>
        </w:rPr>
        <w:t>.</w:t>
      </w:r>
      <w:r w:rsidRPr="00DE731A" w:rsidR="00797C68">
        <w:rPr>
          <w:szCs w:val="26"/>
        </w:rPr>
        <w:t xml:space="preserve">  (DLSE Opn. Letter No.</w:t>
      </w:r>
      <w:r w:rsidRPr="00DE731A" w:rsidR="007B3FE8">
        <w:rPr>
          <w:szCs w:val="26"/>
        </w:rPr>
        <w:t> </w:t>
      </w:r>
      <w:r w:rsidRPr="00DE731A" w:rsidR="00797C68">
        <w:rPr>
          <w:szCs w:val="26"/>
        </w:rPr>
        <w:t xml:space="preserve">2002.01.29, </w:t>
      </w:r>
      <w:r w:rsidRPr="00DE731A" w:rsidR="0013516F">
        <w:rPr>
          <w:i/>
          <w:szCs w:val="26"/>
        </w:rPr>
        <w:t>supra</w:t>
      </w:r>
      <w:r w:rsidRPr="00DE731A" w:rsidR="0013516F">
        <w:rPr>
          <w:szCs w:val="26"/>
        </w:rPr>
        <w:t xml:space="preserve">, </w:t>
      </w:r>
      <w:r w:rsidRPr="00DE731A" w:rsidR="00797C68">
        <w:rPr>
          <w:szCs w:val="26"/>
        </w:rPr>
        <w:t xml:space="preserve">at p. 11 [“These statutes prevent [an] employer that might be covered by a </w:t>
      </w:r>
      <w:r w:rsidRPr="00DE731A" w:rsidR="0013516F">
        <w:rPr>
          <w:szCs w:val="26"/>
        </w:rPr>
        <w:t>[collective bargaining agreement (</w:t>
      </w:r>
      <w:r w:rsidRPr="00DE731A" w:rsidR="00797C68">
        <w:rPr>
          <w:szCs w:val="26"/>
        </w:rPr>
        <w:t>CBA</w:t>
      </w:r>
      <w:r w:rsidRPr="00DE731A" w:rsidR="0013516F">
        <w:rPr>
          <w:szCs w:val="26"/>
        </w:rPr>
        <w:t>)]</w:t>
      </w:r>
      <w:r w:rsidRPr="00DE731A" w:rsidR="00797C68">
        <w:rPr>
          <w:szCs w:val="26"/>
        </w:rPr>
        <w:t xml:space="preserve"> or other contract that expressly pays employees less than the minimum wage for certain activities that constitute ‘hours worked’ within the meaning of state law, from using any part of the wage payments that are required under that CBA or other contract for activities that are compensated in an amount that equals or exceeds the minimum wage, as a credit for satisfying minimum wage obligations for those activities that are compensated at less than the minimum wage under the CBA or contract”</w:t>
      </w:r>
      <w:r w:rsidR="00950570">
        <w:rPr>
          <w:szCs w:val="26"/>
        </w:rPr>
        <w:t xml:space="preserve"> (fn. omitted)</w:t>
      </w:r>
      <w:r w:rsidRPr="00DE731A" w:rsidR="00797C68">
        <w:rPr>
          <w:szCs w:val="26"/>
        </w:rPr>
        <w:t>].)</w:t>
      </w:r>
      <w:r w:rsidRPr="00DE731A">
        <w:rPr>
          <w:szCs w:val="26"/>
        </w:rPr>
        <w:t xml:space="preserve">  </w:t>
      </w:r>
      <w:r w:rsidRPr="00DE731A" w:rsidR="009B2CD6">
        <w:rPr>
          <w:szCs w:val="26"/>
        </w:rPr>
        <w:t xml:space="preserve">In practical terms, this means that </w:t>
      </w:r>
      <w:r w:rsidRPr="00DE731A" w:rsidR="00AB3761">
        <w:rPr>
          <w:szCs w:val="26"/>
        </w:rPr>
        <w:t>a</w:t>
      </w:r>
      <w:r w:rsidRPr="00DE731A">
        <w:rPr>
          <w:szCs w:val="26"/>
        </w:rPr>
        <w:t xml:space="preserve">n employer who </w:t>
      </w:r>
      <w:r w:rsidRPr="00DE731A" w:rsidR="0065093B">
        <w:rPr>
          <w:szCs w:val="26"/>
        </w:rPr>
        <w:t xml:space="preserve">contracts </w:t>
      </w:r>
      <w:r w:rsidRPr="00DE731A">
        <w:rPr>
          <w:szCs w:val="26"/>
        </w:rPr>
        <w:t>to pay $1</w:t>
      </w:r>
      <w:r w:rsidRPr="00DE731A" w:rsidR="00037FFA">
        <w:rPr>
          <w:szCs w:val="26"/>
        </w:rPr>
        <w:t>8</w:t>
      </w:r>
      <w:r w:rsidRPr="00DE731A">
        <w:rPr>
          <w:szCs w:val="26"/>
        </w:rPr>
        <w:t xml:space="preserve"> </w:t>
      </w:r>
      <w:r w:rsidRPr="00DE731A" w:rsidR="00037FFA">
        <w:rPr>
          <w:szCs w:val="26"/>
        </w:rPr>
        <w:t>per hour for two</w:t>
      </w:r>
      <w:r w:rsidRPr="00DE731A">
        <w:rPr>
          <w:szCs w:val="26"/>
        </w:rPr>
        <w:t xml:space="preserve"> hours </w:t>
      </w:r>
      <w:r w:rsidRPr="00DE731A" w:rsidR="00037FFA">
        <w:rPr>
          <w:szCs w:val="26"/>
        </w:rPr>
        <w:t>of work</w:t>
      </w:r>
      <w:r w:rsidRPr="00DE731A" w:rsidR="00FD6344">
        <w:rPr>
          <w:szCs w:val="26"/>
        </w:rPr>
        <w:t xml:space="preserve">, </w:t>
      </w:r>
      <w:r w:rsidRPr="00DE731A">
        <w:rPr>
          <w:szCs w:val="26"/>
        </w:rPr>
        <w:t xml:space="preserve">but </w:t>
      </w:r>
      <w:r w:rsidRPr="00DE731A" w:rsidR="00592B5C">
        <w:rPr>
          <w:szCs w:val="26"/>
        </w:rPr>
        <w:t xml:space="preserve">who </w:t>
      </w:r>
      <w:r w:rsidRPr="00DE731A" w:rsidR="00FD6344">
        <w:rPr>
          <w:szCs w:val="26"/>
        </w:rPr>
        <w:t xml:space="preserve">then </w:t>
      </w:r>
      <w:r w:rsidRPr="00DE731A" w:rsidR="00592B5C">
        <w:rPr>
          <w:szCs w:val="26"/>
        </w:rPr>
        <w:t xml:space="preserve">demands a third hour of </w:t>
      </w:r>
      <w:r w:rsidRPr="00DE731A" w:rsidR="00557569">
        <w:rPr>
          <w:szCs w:val="26"/>
        </w:rPr>
        <w:t xml:space="preserve">unpaid </w:t>
      </w:r>
      <w:r w:rsidRPr="00DE731A" w:rsidR="00592B5C">
        <w:rPr>
          <w:szCs w:val="26"/>
        </w:rPr>
        <w:t>work</w:t>
      </w:r>
      <w:r w:rsidRPr="00DE731A" w:rsidR="00FD6344">
        <w:rPr>
          <w:szCs w:val="26"/>
        </w:rPr>
        <w:t xml:space="preserve">, </w:t>
      </w:r>
      <w:r w:rsidRPr="00DE731A" w:rsidR="00FF5BBC">
        <w:rPr>
          <w:szCs w:val="26"/>
        </w:rPr>
        <w:t xml:space="preserve">cannot </w:t>
      </w:r>
      <w:r w:rsidRPr="00DE731A">
        <w:rPr>
          <w:szCs w:val="26"/>
        </w:rPr>
        <w:t xml:space="preserve">argue that it </w:t>
      </w:r>
      <w:r w:rsidRPr="00DE731A" w:rsidR="006E6B32">
        <w:rPr>
          <w:szCs w:val="26"/>
        </w:rPr>
        <w:t>has complied with</w:t>
      </w:r>
      <w:r w:rsidRPr="00DE731A" w:rsidR="009D2A4E">
        <w:rPr>
          <w:szCs w:val="26"/>
        </w:rPr>
        <w:t xml:space="preserve"> </w:t>
      </w:r>
      <w:r w:rsidRPr="00DE731A" w:rsidR="00037FFA">
        <w:rPr>
          <w:szCs w:val="26"/>
        </w:rPr>
        <w:t xml:space="preserve">a </w:t>
      </w:r>
      <w:r w:rsidRPr="00DE731A">
        <w:rPr>
          <w:szCs w:val="26"/>
        </w:rPr>
        <w:t xml:space="preserve">$12 </w:t>
      </w:r>
      <w:r w:rsidRPr="00DE731A" w:rsidR="00037FFA">
        <w:rPr>
          <w:szCs w:val="26"/>
        </w:rPr>
        <w:t>hourly minimum wage (see</w:t>
      </w:r>
      <w:r w:rsidRPr="00DE731A" w:rsidR="00A553F7">
        <w:rPr>
          <w:szCs w:val="26"/>
        </w:rPr>
        <w:t>, e.g.,</w:t>
      </w:r>
      <w:r w:rsidRPr="00DE731A" w:rsidR="00037FFA">
        <w:rPr>
          <w:szCs w:val="26"/>
        </w:rPr>
        <w:t xml:space="preserve"> </w:t>
      </w:r>
      <w:r w:rsidRPr="00DE731A" w:rsidR="003E46D5">
        <w:rPr>
          <w:szCs w:val="26"/>
        </w:rPr>
        <w:t xml:space="preserve">Lab. Code, </w:t>
      </w:r>
      <w:r w:rsidRPr="00DE731A" w:rsidR="00037FFA">
        <w:rPr>
          <w:szCs w:val="26"/>
        </w:rPr>
        <w:t>§ 1182.12, subd. (b)(1)(C), (2)(C)) because it has paid $36</w:t>
      </w:r>
      <w:r w:rsidRPr="00DE731A" w:rsidR="00AD372F">
        <w:rPr>
          <w:szCs w:val="26"/>
        </w:rPr>
        <w:t xml:space="preserve"> over </w:t>
      </w:r>
      <w:r w:rsidRPr="00DE731A" w:rsidR="00360F82">
        <w:rPr>
          <w:szCs w:val="26"/>
        </w:rPr>
        <w:t xml:space="preserve">three </w:t>
      </w:r>
      <w:r w:rsidRPr="00DE731A" w:rsidR="00AD372F">
        <w:rPr>
          <w:szCs w:val="26"/>
        </w:rPr>
        <w:t xml:space="preserve">hours, or </w:t>
      </w:r>
      <w:r w:rsidRPr="00DE731A" w:rsidR="00037FFA">
        <w:rPr>
          <w:szCs w:val="26"/>
        </w:rPr>
        <w:t>$12 per hour</w:t>
      </w:r>
      <w:r w:rsidRPr="00DE731A" w:rsidR="00905B13">
        <w:rPr>
          <w:szCs w:val="26"/>
        </w:rPr>
        <w:t xml:space="preserve">.  </w:t>
      </w:r>
      <w:r w:rsidRPr="00DE731A" w:rsidR="009C14D6">
        <w:rPr>
          <w:szCs w:val="26"/>
        </w:rPr>
        <w:t xml:space="preserve">Under </w:t>
      </w:r>
      <w:r w:rsidRPr="00DE731A" w:rsidR="00503468">
        <w:rPr>
          <w:szCs w:val="26"/>
        </w:rPr>
        <w:t xml:space="preserve">the DLSE’s interpretation of the Labor Code, </w:t>
      </w:r>
      <w:r w:rsidRPr="00DE731A" w:rsidR="009B5621">
        <w:rPr>
          <w:szCs w:val="26"/>
        </w:rPr>
        <w:t>t</w:t>
      </w:r>
      <w:r w:rsidRPr="00DE731A" w:rsidR="00905B13">
        <w:rPr>
          <w:szCs w:val="26"/>
        </w:rPr>
        <w:t>he</w:t>
      </w:r>
      <w:r w:rsidRPr="00DE731A" w:rsidR="00037FFA">
        <w:rPr>
          <w:szCs w:val="26"/>
        </w:rPr>
        <w:t xml:space="preserve"> employer must pay the full $18 required by contract for the first two hours</w:t>
      </w:r>
      <w:r w:rsidRPr="00DE731A" w:rsidR="000C1481">
        <w:rPr>
          <w:szCs w:val="26"/>
        </w:rPr>
        <w:t>.  Then</w:t>
      </w:r>
      <w:r w:rsidRPr="00DE731A" w:rsidR="0012042A">
        <w:rPr>
          <w:szCs w:val="26"/>
        </w:rPr>
        <w:t>, for the third uncontracted-for hour</w:t>
      </w:r>
      <w:r w:rsidR="00F50C13">
        <w:rPr>
          <w:szCs w:val="26"/>
        </w:rPr>
        <w:t xml:space="preserve"> for which no compensation was promised</w:t>
      </w:r>
      <w:r w:rsidRPr="00DE731A" w:rsidR="0012042A">
        <w:rPr>
          <w:szCs w:val="26"/>
        </w:rPr>
        <w:t xml:space="preserve">, it must </w:t>
      </w:r>
      <w:r w:rsidRPr="00DE731A" w:rsidR="000C1481">
        <w:rPr>
          <w:szCs w:val="26"/>
        </w:rPr>
        <w:t xml:space="preserve">pay no less than the </w:t>
      </w:r>
      <w:r w:rsidRPr="00DE731A" w:rsidR="0063795A">
        <w:rPr>
          <w:szCs w:val="26"/>
        </w:rPr>
        <w:t>applicable</w:t>
      </w:r>
      <w:r w:rsidRPr="00DE731A" w:rsidR="00037FFA">
        <w:rPr>
          <w:szCs w:val="26"/>
        </w:rPr>
        <w:t xml:space="preserve"> minimum wage</w:t>
      </w:r>
      <w:r w:rsidRPr="00DE731A">
        <w:rPr>
          <w:szCs w:val="26"/>
        </w:rPr>
        <w:t>.</w:t>
      </w:r>
    </w:p>
    <w:p w:rsidR="00301196" w:rsidRPr="00DE731A" w:rsidP="00DE731A" w14:paraId="5901F4A1" w14:textId="1B332E45">
      <w:pPr>
        <w:tabs>
          <w:tab w:val="left" w:pos="1440"/>
        </w:tabs>
        <w:ind w:firstLine="720"/>
      </w:pPr>
      <w:r w:rsidRPr="00DE731A">
        <w:rPr>
          <w:szCs w:val="26"/>
        </w:rPr>
        <w:t xml:space="preserve">The Court of Appeal in </w:t>
      </w:r>
      <w:r w:rsidRPr="00DE731A">
        <w:rPr>
          <w:i/>
          <w:szCs w:val="26"/>
        </w:rPr>
        <w:t>Armenta</w:t>
      </w:r>
      <w:r w:rsidRPr="00DE731A">
        <w:rPr>
          <w:szCs w:val="26"/>
        </w:rPr>
        <w:t xml:space="preserve">, </w:t>
      </w:r>
      <w:r w:rsidRPr="00DE731A">
        <w:rPr>
          <w:i/>
          <w:szCs w:val="26"/>
        </w:rPr>
        <w:t>supra</w:t>
      </w:r>
      <w:r w:rsidRPr="00DE731A">
        <w:rPr>
          <w:szCs w:val="26"/>
        </w:rPr>
        <w:t xml:space="preserve">, 135 Cal.App.4th </w:t>
      </w:r>
      <w:r w:rsidRPr="00DE731A">
        <w:rPr>
          <w:szCs w:val="26"/>
        </w:rPr>
        <w:t>314</w:t>
      </w:r>
      <w:r w:rsidRPr="00DE731A">
        <w:rPr>
          <w:szCs w:val="26"/>
        </w:rPr>
        <w:t>, endorsed th</w:t>
      </w:r>
      <w:r w:rsidRPr="00DE731A" w:rsidR="00733944">
        <w:rPr>
          <w:szCs w:val="26"/>
        </w:rPr>
        <w:t>e DLSE’s</w:t>
      </w:r>
      <w:r w:rsidRPr="00DE731A">
        <w:rPr>
          <w:szCs w:val="26"/>
        </w:rPr>
        <w:t xml:space="preserve"> reasoning in a similar context.</w:t>
      </w:r>
      <w:r w:rsidRPr="00DE731A">
        <w:rPr>
          <w:szCs w:val="26"/>
        </w:rPr>
        <w:t xml:space="preserve">  </w:t>
      </w:r>
      <w:r w:rsidRPr="00DE731A">
        <w:t xml:space="preserve">The employer </w:t>
      </w:r>
      <w:r w:rsidRPr="00DE731A" w:rsidR="00733944">
        <w:t xml:space="preserve">in </w:t>
      </w:r>
      <w:r w:rsidRPr="00DE731A" w:rsidR="00733944">
        <w:rPr>
          <w:i/>
        </w:rPr>
        <w:t>Armenta</w:t>
      </w:r>
      <w:r w:rsidRPr="00DE731A" w:rsidR="00733944">
        <w:t xml:space="preserve">, which </w:t>
      </w:r>
      <w:r w:rsidRPr="00DE731A" w:rsidR="00890A5A">
        <w:t>maintained utility poles</w:t>
      </w:r>
      <w:r w:rsidRPr="00DE731A" w:rsidR="00733944">
        <w:t xml:space="preserve">, </w:t>
      </w:r>
      <w:r w:rsidRPr="00DE731A" w:rsidR="009C6D3D">
        <w:t xml:space="preserve">had </w:t>
      </w:r>
      <w:r w:rsidRPr="00DE731A" w:rsidR="002826A8">
        <w:t>promis</w:t>
      </w:r>
      <w:r w:rsidRPr="00DE731A">
        <w:t xml:space="preserve">ed in a collective bargaining agreement to pay set hourly rates for hours spent engaged in “productive” tasks </w:t>
      </w:r>
      <w:r w:rsidRPr="00DE731A" w:rsidR="00890A5A">
        <w:t>directly related to pole maintenance</w:t>
      </w:r>
      <w:r w:rsidRPr="00DE731A" w:rsidR="00017B78">
        <w:t xml:space="preserve">.  But employees were required to </w:t>
      </w:r>
      <w:r w:rsidRPr="00DE731A" w:rsidR="002A1A2A">
        <w:t xml:space="preserve">engage in </w:t>
      </w:r>
      <w:r w:rsidRPr="00DE731A" w:rsidR="00017B78">
        <w:t xml:space="preserve">other, </w:t>
      </w:r>
      <w:r w:rsidRPr="00DE731A">
        <w:t xml:space="preserve">“nonproductive” </w:t>
      </w:r>
      <w:r w:rsidRPr="00DE731A" w:rsidR="002A1A2A">
        <w:t>activities</w:t>
      </w:r>
      <w:r w:rsidRPr="00DE731A" w:rsidR="00890A5A">
        <w:t>, such as travel time and paperwork</w:t>
      </w:r>
      <w:r w:rsidRPr="00DE731A" w:rsidR="00017B78">
        <w:t xml:space="preserve">, for which </w:t>
      </w:r>
      <w:r w:rsidRPr="00DE731A" w:rsidR="00667FE9">
        <w:t xml:space="preserve">they received </w:t>
      </w:r>
      <w:r w:rsidRPr="00DE731A" w:rsidR="00017B78">
        <w:t>no compensation</w:t>
      </w:r>
      <w:r w:rsidRPr="00DE731A">
        <w:t>.  (</w:t>
      </w:r>
      <w:r w:rsidRPr="00DE731A" w:rsidR="009C6D3D">
        <w:rPr>
          <w:i/>
        </w:rPr>
        <w:t>Id.</w:t>
      </w:r>
      <w:r w:rsidRPr="00DE731A">
        <w:t xml:space="preserve"> at p. 317.)  </w:t>
      </w:r>
      <w:r w:rsidRPr="00DE731A" w:rsidR="0067045E">
        <w:t xml:space="preserve">The court held this unlawful, notwithstanding the fact that </w:t>
      </w:r>
      <w:r w:rsidRPr="00DE731A" w:rsidR="00360F82">
        <w:t xml:space="preserve">the </w:t>
      </w:r>
      <w:r w:rsidRPr="00DE731A" w:rsidR="0067045E">
        <w:t xml:space="preserve">average of the paid and </w:t>
      </w:r>
      <w:r w:rsidRPr="00DE731A" w:rsidR="00360F82">
        <w:t>un</w:t>
      </w:r>
      <w:r w:rsidRPr="00DE731A" w:rsidR="0067045E">
        <w:t xml:space="preserve">paid hours exceeded the minimum wage.  The court reasoned that </w:t>
      </w:r>
      <w:r w:rsidRPr="00DE731A" w:rsidR="0067045E">
        <w:rPr>
          <w:color w:val="222222"/>
          <w:szCs w:val="26"/>
          <w:shd w:val="clear" w:color="auto" w:fill="FFFFFF"/>
        </w:rPr>
        <w:t>a</w:t>
      </w:r>
      <w:r w:rsidRPr="00DE731A">
        <w:rPr>
          <w:color w:val="222222"/>
          <w:szCs w:val="26"/>
          <w:shd w:val="clear" w:color="auto" w:fill="FFFFFF"/>
        </w:rPr>
        <w:t xml:space="preserve">n employer who promises to compensate particular hours worked at a particular rate cannot borrow some of that compensation and apply it to other compensable hours for which no compensation is provided.  To do so would effectively compel an employee to sacrifice contractually promised compensation and breach the employer’s contractual commitments, in violation of either </w:t>
      </w:r>
      <w:r w:rsidRPr="00DE731A" w:rsidR="00890A5A">
        <w:rPr>
          <w:color w:val="222222"/>
          <w:szCs w:val="26"/>
          <w:shd w:val="clear" w:color="auto" w:fill="FFFFFF"/>
        </w:rPr>
        <w:t xml:space="preserve">Labor Code </w:t>
      </w:r>
      <w:r w:rsidRPr="00DE731A">
        <w:rPr>
          <w:color w:val="222222"/>
          <w:szCs w:val="26"/>
          <w:shd w:val="clear" w:color="auto" w:fill="FFFFFF"/>
        </w:rPr>
        <w:t xml:space="preserve">section 222 (governing collective bargaining agreements) or </w:t>
      </w:r>
      <w:r w:rsidR="00950570">
        <w:rPr>
          <w:color w:val="222222"/>
          <w:szCs w:val="26"/>
          <w:shd w:val="clear" w:color="auto" w:fill="FFFFFF"/>
        </w:rPr>
        <w:t xml:space="preserve">Labor Code </w:t>
      </w:r>
      <w:r w:rsidRPr="00DE731A">
        <w:rPr>
          <w:color w:val="222222"/>
          <w:szCs w:val="26"/>
          <w:shd w:val="clear" w:color="auto" w:fill="FFFFFF"/>
        </w:rPr>
        <w:t>section 223 (governing ordinary contracts).  (</w:t>
      </w:r>
      <w:r w:rsidRPr="00DE731A" w:rsidR="009C6D3D">
        <w:rPr>
          <w:color w:val="222222"/>
          <w:szCs w:val="26"/>
          <w:shd w:val="clear" w:color="auto" w:fill="FFFFFF"/>
        </w:rPr>
        <w:t xml:space="preserve">See </w:t>
      </w:r>
      <w:r w:rsidRPr="00DE731A">
        <w:rPr>
          <w:i/>
          <w:color w:val="222222"/>
          <w:szCs w:val="26"/>
          <w:shd w:val="clear" w:color="auto" w:fill="FFFFFF"/>
        </w:rPr>
        <w:t>Armenta</w:t>
      </w:r>
      <w:r w:rsidRPr="00DE731A">
        <w:rPr>
          <w:color w:val="222222"/>
          <w:szCs w:val="26"/>
          <w:shd w:val="clear" w:color="auto" w:fill="FFFFFF"/>
        </w:rPr>
        <w:t xml:space="preserve">, </w:t>
      </w:r>
      <w:r w:rsidRPr="00DE731A">
        <w:t>at p. 323 [averaging pay across any uncompensated hours “contravenes these code sections and effectively reduces [the employee’s] contractual hourly rate”].)</w:t>
      </w:r>
    </w:p>
    <w:p w:rsidR="00345245" w:rsidRPr="00DE731A" w:rsidP="00DE731A" w14:paraId="43867851" w14:textId="1066D24F">
      <w:pPr>
        <w:tabs>
          <w:tab w:val="left" w:pos="1440"/>
        </w:tabs>
        <w:ind w:firstLine="720"/>
        <w:rPr>
          <w:szCs w:val="26"/>
        </w:rPr>
      </w:pPr>
      <w:r w:rsidRPr="00DE731A">
        <w:rPr>
          <w:szCs w:val="26"/>
        </w:rPr>
        <w:t xml:space="preserve">Since </w:t>
      </w:r>
      <w:r w:rsidRPr="00DE731A">
        <w:rPr>
          <w:i/>
          <w:szCs w:val="26"/>
        </w:rPr>
        <w:t>Armenta</w:t>
      </w:r>
      <w:r w:rsidRPr="00DE731A">
        <w:rPr>
          <w:szCs w:val="26"/>
        </w:rPr>
        <w:t xml:space="preserve">, other </w:t>
      </w:r>
      <w:r w:rsidR="006263EB">
        <w:rPr>
          <w:szCs w:val="26"/>
        </w:rPr>
        <w:t>C</w:t>
      </w:r>
      <w:r w:rsidRPr="00DE731A">
        <w:rPr>
          <w:szCs w:val="26"/>
        </w:rPr>
        <w:t xml:space="preserve">ourts of </w:t>
      </w:r>
      <w:r w:rsidR="006263EB">
        <w:rPr>
          <w:szCs w:val="26"/>
        </w:rPr>
        <w:t>A</w:t>
      </w:r>
      <w:r w:rsidRPr="00DE731A">
        <w:rPr>
          <w:szCs w:val="26"/>
        </w:rPr>
        <w:t>ppeal have uniformly followed its lead</w:t>
      </w:r>
      <w:r w:rsidRPr="00DE731A" w:rsidR="0063795A">
        <w:rPr>
          <w:szCs w:val="26"/>
        </w:rPr>
        <w:t>.</w:t>
      </w:r>
      <w:r w:rsidRPr="00DE731A" w:rsidR="008B0EBE">
        <w:rPr>
          <w:szCs w:val="26"/>
        </w:rPr>
        <w:t xml:space="preserve"> </w:t>
      </w:r>
      <w:r w:rsidRPr="00DE731A" w:rsidR="0063795A">
        <w:rPr>
          <w:szCs w:val="26"/>
        </w:rPr>
        <w:t xml:space="preserve"> </w:t>
      </w:r>
      <w:r w:rsidRPr="00DE731A" w:rsidR="003D3926">
        <w:rPr>
          <w:szCs w:val="26"/>
        </w:rPr>
        <w:t>T</w:t>
      </w:r>
      <w:r w:rsidRPr="00DE731A" w:rsidR="0063795A">
        <w:rPr>
          <w:szCs w:val="26"/>
        </w:rPr>
        <w:t xml:space="preserve">hese decisions </w:t>
      </w:r>
      <w:r w:rsidRPr="00DE731A" w:rsidR="003D3926">
        <w:rPr>
          <w:szCs w:val="26"/>
        </w:rPr>
        <w:t xml:space="preserve">have </w:t>
      </w:r>
      <w:r w:rsidRPr="00DE731A" w:rsidR="009C6D3D">
        <w:rPr>
          <w:szCs w:val="26"/>
        </w:rPr>
        <w:t>extend</w:t>
      </w:r>
      <w:r w:rsidRPr="00DE731A" w:rsidR="003D3926">
        <w:rPr>
          <w:szCs w:val="26"/>
        </w:rPr>
        <w:t>ed</w:t>
      </w:r>
      <w:r w:rsidRPr="00DE731A" w:rsidR="009C6D3D">
        <w:rPr>
          <w:szCs w:val="26"/>
        </w:rPr>
        <w:t xml:space="preserve"> the </w:t>
      </w:r>
      <w:r w:rsidRPr="00DE731A" w:rsidR="008B0EBE">
        <w:rPr>
          <w:szCs w:val="26"/>
        </w:rPr>
        <w:t>no</w:t>
      </w:r>
      <w:r w:rsidRPr="00DE731A" w:rsidR="00C64D86">
        <w:rPr>
          <w:szCs w:val="26"/>
        </w:rPr>
        <w:t>-</w:t>
      </w:r>
      <w:r w:rsidRPr="00DE731A" w:rsidR="00260B89">
        <w:rPr>
          <w:szCs w:val="26"/>
        </w:rPr>
        <w:t>borrow</w:t>
      </w:r>
      <w:r w:rsidRPr="00DE731A" w:rsidR="008B0EBE">
        <w:rPr>
          <w:szCs w:val="26"/>
        </w:rPr>
        <w:t xml:space="preserve">ing rule to employees under a collective bargaining </w:t>
      </w:r>
      <w:bookmarkStart w:id="8" w:name="_Hlk41040899"/>
      <w:r w:rsidRPr="00DE731A" w:rsidR="008B0EBE">
        <w:rPr>
          <w:szCs w:val="26"/>
        </w:rPr>
        <w:t>agreement (</w:t>
      </w:r>
      <w:r w:rsidRPr="00DE731A" w:rsidR="00C64D86">
        <w:rPr>
          <w:i/>
          <w:szCs w:val="26"/>
        </w:rPr>
        <w:t>Bluford v. Safeway Inc.</w:t>
      </w:r>
      <w:r w:rsidRPr="00DE731A" w:rsidR="00C64D86">
        <w:rPr>
          <w:szCs w:val="26"/>
        </w:rPr>
        <w:t xml:space="preserve"> (2013) 216 Cal.App.4th 864, 872–873</w:t>
      </w:r>
      <w:r w:rsidRPr="00DE731A" w:rsidR="00C82B87">
        <w:rPr>
          <w:szCs w:val="26"/>
        </w:rPr>
        <w:t xml:space="preserve"> (</w:t>
      </w:r>
      <w:r w:rsidRPr="00DE731A" w:rsidR="00C82B87">
        <w:rPr>
          <w:i/>
          <w:szCs w:val="26"/>
        </w:rPr>
        <w:t>Bluford</w:t>
      </w:r>
      <w:r w:rsidRPr="00DE731A" w:rsidR="00C82B87">
        <w:rPr>
          <w:szCs w:val="26"/>
        </w:rPr>
        <w:t>)</w:t>
      </w:r>
      <w:r w:rsidRPr="00DE731A" w:rsidR="0063795A">
        <w:rPr>
          <w:szCs w:val="26"/>
        </w:rPr>
        <w:t>)</w:t>
      </w:r>
      <w:bookmarkEnd w:id="8"/>
      <w:r w:rsidRPr="00DE731A" w:rsidR="008B0EBE">
        <w:rPr>
          <w:szCs w:val="26"/>
        </w:rPr>
        <w:t xml:space="preserve"> and an ordinary contract (</w:t>
      </w:r>
      <w:r w:rsidRPr="00DE731A" w:rsidR="0063795A">
        <w:rPr>
          <w:i/>
          <w:iCs/>
          <w:szCs w:val="26"/>
        </w:rPr>
        <w:t>Gonzalez</w:t>
      </w:r>
      <w:r w:rsidRPr="00DE731A" w:rsidR="0063795A">
        <w:rPr>
          <w:iCs/>
          <w:szCs w:val="26"/>
        </w:rPr>
        <w:t xml:space="preserve">, </w:t>
      </w:r>
      <w:r w:rsidRPr="00DE731A" w:rsidR="0063795A">
        <w:rPr>
          <w:i/>
          <w:iCs/>
          <w:szCs w:val="26"/>
        </w:rPr>
        <w:t>supra</w:t>
      </w:r>
      <w:r w:rsidRPr="00DE731A" w:rsidR="0063795A">
        <w:rPr>
          <w:iCs/>
          <w:szCs w:val="26"/>
        </w:rPr>
        <w:t xml:space="preserve">, </w:t>
      </w:r>
      <w:r w:rsidRPr="00DE731A" w:rsidR="0063795A">
        <w:rPr>
          <w:szCs w:val="26"/>
        </w:rPr>
        <w:t>215 Cal.App.4th at p</w:t>
      </w:r>
      <w:r w:rsidRPr="00DE731A" w:rsidR="006E6B32">
        <w:rPr>
          <w:szCs w:val="26"/>
        </w:rPr>
        <w:t>p</w:t>
      </w:r>
      <w:r w:rsidRPr="00DE731A" w:rsidR="0063795A">
        <w:rPr>
          <w:szCs w:val="26"/>
        </w:rPr>
        <w:t>.</w:t>
      </w:r>
      <w:r w:rsidRPr="00DE731A" w:rsidR="006E6B32">
        <w:rPr>
          <w:szCs w:val="26"/>
        </w:rPr>
        <w:t> 50–51</w:t>
      </w:r>
      <w:r w:rsidRPr="00DE731A" w:rsidR="008B0EBE">
        <w:rPr>
          <w:szCs w:val="26"/>
        </w:rPr>
        <w:t>), and without regard to whether the basis for compensation is hourly (</w:t>
      </w:r>
      <w:r w:rsidRPr="00DE731A" w:rsidR="00C64D86">
        <w:rPr>
          <w:i/>
          <w:szCs w:val="26"/>
        </w:rPr>
        <w:t>Sheppard v. North Orange County Regional Occupational Program</w:t>
      </w:r>
      <w:r w:rsidRPr="00DE731A" w:rsidR="00C64D86">
        <w:rPr>
          <w:szCs w:val="26"/>
        </w:rPr>
        <w:t xml:space="preserve"> (2010) 191 Cal.App.4th 289, 297</w:t>
      </w:r>
      <w:r w:rsidRPr="00DE731A" w:rsidR="003E46D5">
        <w:rPr>
          <w:color w:val="222222"/>
          <w:shd w:val="clear" w:color="auto" w:fill="FFFFFF"/>
        </w:rPr>
        <w:t>–298</w:t>
      </w:r>
      <w:r w:rsidRPr="00DE731A" w:rsidR="00C64D86">
        <w:rPr>
          <w:szCs w:val="26"/>
        </w:rPr>
        <w:t>, fn. 5</w:t>
      </w:r>
      <w:r w:rsidRPr="00DE731A" w:rsidR="008B0EBE">
        <w:rPr>
          <w:szCs w:val="26"/>
        </w:rPr>
        <w:t>), by piece rate (</w:t>
      </w:r>
      <w:r w:rsidRPr="00DE731A" w:rsidR="00762FBB">
        <w:rPr>
          <w:i/>
          <w:szCs w:val="26"/>
        </w:rPr>
        <w:t>Bluford</w:t>
      </w:r>
      <w:r w:rsidRPr="00DE731A" w:rsidR="00C64D86">
        <w:rPr>
          <w:szCs w:val="26"/>
        </w:rPr>
        <w:t>, at p. </w:t>
      </w:r>
      <w:r w:rsidRPr="00DE731A" w:rsidR="00762FBB">
        <w:rPr>
          <w:szCs w:val="26"/>
        </w:rPr>
        <w:t xml:space="preserve">872; </w:t>
      </w:r>
      <w:r w:rsidRPr="00DE731A" w:rsidR="006E6B32">
        <w:rPr>
          <w:i/>
          <w:szCs w:val="26"/>
        </w:rPr>
        <w:t>Gonzalez</w:t>
      </w:r>
      <w:r w:rsidRPr="00DE731A" w:rsidR="006E6B32">
        <w:rPr>
          <w:szCs w:val="26"/>
        </w:rPr>
        <w:t>, at pp. 51–52</w:t>
      </w:r>
      <w:r w:rsidRPr="00DE731A" w:rsidR="008B0EBE">
        <w:rPr>
          <w:szCs w:val="26"/>
        </w:rPr>
        <w:t xml:space="preserve">), or by </w:t>
      </w:r>
      <w:bookmarkStart w:id="9" w:name="_Hlk41041159"/>
      <w:r w:rsidRPr="00DE731A" w:rsidR="008B0EBE">
        <w:rPr>
          <w:szCs w:val="26"/>
        </w:rPr>
        <w:t>commission (</w:t>
      </w:r>
      <w:r w:rsidRPr="00DE731A" w:rsidR="006E6B32">
        <w:rPr>
          <w:i/>
          <w:szCs w:val="26"/>
        </w:rPr>
        <w:t>Vaquero v. Stoneledge Furniture,</w:t>
      </w:r>
      <w:r w:rsidRPr="00DE731A" w:rsidR="003E46D5">
        <w:rPr>
          <w:i/>
          <w:szCs w:val="26"/>
        </w:rPr>
        <w:t xml:space="preserve"> LLC</w:t>
      </w:r>
      <w:r w:rsidRPr="00DE731A" w:rsidR="006E6B32">
        <w:rPr>
          <w:szCs w:val="26"/>
        </w:rPr>
        <w:t xml:space="preserve"> (2017) 9 Cal.App.5th 98, 108–114</w:t>
      </w:r>
      <w:r w:rsidRPr="00DE731A" w:rsidR="00C82B87">
        <w:rPr>
          <w:szCs w:val="26"/>
        </w:rPr>
        <w:t xml:space="preserve"> (</w:t>
      </w:r>
      <w:r w:rsidRPr="00DE731A" w:rsidR="00C82B87">
        <w:rPr>
          <w:i/>
          <w:szCs w:val="26"/>
        </w:rPr>
        <w:t>Vaquero</w:t>
      </w:r>
      <w:r w:rsidRPr="00DE731A" w:rsidR="00C82B87">
        <w:rPr>
          <w:szCs w:val="26"/>
        </w:rPr>
        <w:t>)</w:t>
      </w:r>
      <w:r w:rsidRPr="00DE731A" w:rsidR="008B0EBE">
        <w:rPr>
          <w:szCs w:val="26"/>
        </w:rPr>
        <w:t>).</w:t>
      </w:r>
      <w:r w:rsidRPr="00DE731A" w:rsidR="00733944">
        <w:rPr>
          <w:szCs w:val="26"/>
        </w:rPr>
        <w:t xml:space="preserve">  </w:t>
      </w:r>
      <w:bookmarkEnd w:id="9"/>
      <w:r w:rsidRPr="00DE731A" w:rsidR="00D77B8C">
        <w:rPr>
          <w:szCs w:val="26"/>
        </w:rPr>
        <w:t>Although we have not previously had occasion to address the issue, w</w:t>
      </w:r>
      <w:r w:rsidRPr="00DE731A" w:rsidR="00B221A5">
        <w:rPr>
          <w:szCs w:val="26"/>
        </w:rPr>
        <w:t>e</w:t>
      </w:r>
      <w:r w:rsidRPr="00DE731A" w:rsidR="00733944">
        <w:rPr>
          <w:szCs w:val="26"/>
        </w:rPr>
        <w:t xml:space="preserve"> </w:t>
      </w:r>
      <w:r w:rsidRPr="00DE731A" w:rsidR="00CE6D14">
        <w:rPr>
          <w:szCs w:val="26"/>
        </w:rPr>
        <w:t xml:space="preserve">agree with </w:t>
      </w:r>
      <w:r w:rsidRPr="00DE731A" w:rsidR="00B221A5">
        <w:rPr>
          <w:szCs w:val="26"/>
        </w:rPr>
        <w:t>this consensus</w:t>
      </w:r>
      <w:r w:rsidRPr="00DE731A" w:rsidR="000C79F3">
        <w:rPr>
          <w:szCs w:val="26"/>
        </w:rPr>
        <w:t xml:space="preserve">:  </w:t>
      </w:r>
      <w:r w:rsidRPr="00DE731A" w:rsidR="00BB69C9">
        <w:rPr>
          <w:szCs w:val="26"/>
        </w:rPr>
        <w:t xml:space="preserve">State law prohibits borrowing compensation contractually owed for one set of hours or tasks to rectify compensation below the minimum wage for </w:t>
      </w:r>
      <w:r w:rsidRPr="00DE731A" w:rsidR="00FF7F47">
        <w:rPr>
          <w:szCs w:val="26"/>
        </w:rPr>
        <w:t xml:space="preserve">a second set of </w:t>
      </w:r>
      <w:r w:rsidRPr="00DE731A" w:rsidR="00BB69C9">
        <w:rPr>
          <w:szCs w:val="26"/>
        </w:rPr>
        <w:t>hours or tasks</w:t>
      </w:r>
      <w:r w:rsidRPr="00DE731A" w:rsidR="000C79F3">
        <w:rPr>
          <w:szCs w:val="26"/>
        </w:rPr>
        <w:t>, r</w:t>
      </w:r>
      <w:r w:rsidRPr="00DE731A" w:rsidR="00BB69C9">
        <w:rPr>
          <w:szCs w:val="26"/>
        </w:rPr>
        <w:t xml:space="preserve">egardless of whether the average of paid and unpaid </w:t>
      </w:r>
      <w:r w:rsidRPr="00DE731A" w:rsidR="00CD127F">
        <w:rPr>
          <w:szCs w:val="26"/>
        </w:rPr>
        <w:t>(</w:t>
      </w:r>
      <w:r w:rsidRPr="00DE731A" w:rsidR="00FF7F47">
        <w:rPr>
          <w:szCs w:val="26"/>
        </w:rPr>
        <w:t>or underpaid</w:t>
      </w:r>
      <w:r w:rsidRPr="00DE731A" w:rsidR="00CD127F">
        <w:rPr>
          <w:szCs w:val="26"/>
        </w:rPr>
        <w:t>)</w:t>
      </w:r>
      <w:r w:rsidRPr="00DE731A" w:rsidR="00FF7F47">
        <w:rPr>
          <w:szCs w:val="26"/>
        </w:rPr>
        <w:t xml:space="preserve"> </w:t>
      </w:r>
      <w:r w:rsidRPr="00DE731A" w:rsidR="00BB69C9">
        <w:rPr>
          <w:szCs w:val="26"/>
        </w:rPr>
        <w:t>time exceeds the minimum wage.</w:t>
      </w:r>
      <w:r w:rsidRPr="00DE731A" w:rsidR="000C79F3">
        <w:rPr>
          <w:szCs w:val="26"/>
        </w:rPr>
        <w:t xml:space="preserve">  </w:t>
      </w:r>
      <w:r w:rsidRPr="00DE731A" w:rsidR="008801DD">
        <w:rPr>
          <w:szCs w:val="26"/>
        </w:rPr>
        <w:t xml:space="preserve">Even if </w:t>
      </w:r>
      <w:r w:rsidRPr="00DE731A" w:rsidR="000C79F3">
        <w:rPr>
          <w:szCs w:val="26"/>
        </w:rPr>
        <w:t xml:space="preserve">that practice nominally might </w:t>
      </w:r>
      <w:r w:rsidRPr="00DE731A" w:rsidR="008801DD">
        <w:rPr>
          <w:szCs w:val="26"/>
        </w:rPr>
        <w:t xml:space="preserve">be thought to satisfy the requirement to pay at least minimum wage for each hour worked, it does so only at the expense of reneging </w:t>
      </w:r>
      <w:r w:rsidRPr="00DE731A" w:rsidR="00CD127F">
        <w:rPr>
          <w:szCs w:val="26"/>
        </w:rPr>
        <w:t>on the employer’s contractual commitments, in violation of the contract protection provisions of the Labor Code.</w:t>
      </w:r>
    </w:p>
    <w:p w:rsidR="000C144E" w:rsidP="000C144E" w14:paraId="77D45818" w14:textId="0380304B">
      <w:pPr>
        <w:tabs>
          <w:tab w:val="left" w:pos="1440"/>
        </w:tabs>
        <w:ind w:firstLine="720"/>
        <w:rPr>
          <w:szCs w:val="26"/>
          <w:shd w:val="clear" w:color="auto" w:fill="FFFFFF"/>
        </w:rPr>
      </w:pPr>
      <w:r w:rsidRPr="00DE731A">
        <w:rPr>
          <w:szCs w:val="26"/>
        </w:rPr>
        <w:t>Synthesizing the authorities, w</w:t>
      </w:r>
      <w:r w:rsidRPr="00DE731A" w:rsidR="00491A6F">
        <w:rPr>
          <w:szCs w:val="26"/>
        </w:rPr>
        <w:t xml:space="preserve">e summarize the principles this way.  The compensation owed employees is a matter determined primarily by contract. </w:t>
      </w:r>
      <w:r w:rsidRPr="00DE731A" w:rsidR="00CE6D14">
        <w:rPr>
          <w:szCs w:val="26"/>
        </w:rPr>
        <w:t xml:space="preserve"> </w:t>
      </w:r>
      <w:r w:rsidRPr="00DE731A" w:rsidR="00491A6F">
        <w:rPr>
          <w:szCs w:val="26"/>
        </w:rPr>
        <w:t xml:space="preserve">Compensation may be calculated on a variety of bases:  </w:t>
      </w:r>
      <w:r w:rsidRPr="00DE731A" w:rsidR="0013516F">
        <w:rPr>
          <w:szCs w:val="26"/>
        </w:rPr>
        <w:t>A</w:t>
      </w:r>
      <w:r w:rsidRPr="00DE731A" w:rsidR="00491A6F">
        <w:rPr>
          <w:szCs w:val="26"/>
        </w:rPr>
        <w:t>lthough n</w:t>
      </w:r>
      <w:r w:rsidRPr="00DE731A" w:rsidR="00491A6F">
        <w:t xml:space="preserve">onexempt employee pay is often by the hour, state law expressly authorizes employers to calculate compensation by the task or piece, by the sale, or by any other convenient standard.  (See </w:t>
      </w:r>
      <w:r w:rsidRPr="00DE731A" w:rsidR="00491A6F">
        <w:rPr>
          <w:szCs w:val="26"/>
          <w:shd w:val="clear" w:color="auto" w:fill="FFFFFF"/>
        </w:rPr>
        <w:t>Lab. Code, § 200, subd. (a) [compensation may be</w:t>
      </w:r>
      <w:r w:rsidRPr="00DE731A" w:rsidR="00491A6F">
        <w:t xml:space="preserve"> </w:t>
      </w:r>
      <w:r w:rsidRPr="00DE731A" w:rsidR="00491A6F">
        <w:rPr>
          <w:szCs w:val="26"/>
          <w:shd w:val="clear" w:color="auto" w:fill="FFFFFF"/>
        </w:rPr>
        <w:t>“</w:t>
      </w:r>
      <w:r w:rsidRPr="00DE731A" w:rsidR="00491A6F">
        <w:rPr>
          <w:szCs w:val="26"/>
          <w:bdr w:val="none" w:sz="0" w:space="0" w:color="auto" w:frame="1"/>
          <w:lang w:val="en"/>
        </w:rPr>
        <w:t>fixed or ascertained by the standard of time, task, piece, commission basis, or other method of calculation”]</w:t>
      </w:r>
      <w:r w:rsidRPr="00DE731A" w:rsidR="00491A6F">
        <w:rPr>
          <w:szCs w:val="26"/>
          <w:shd w:val="clear" w:color="auto" w:fill="FFFFFF"/>
        </w:rPr>
        <w:t>; Wage Order No. 9, § 4(B) [compensation may be “measured by time, piece, commission, or otherwise”].)</w:t>
      </w:r>
      <w:r w:rsidR="004845A3">
        <w:rPr>
          <w:szCs w:val="26"/>
          <w:shd w:val="clear" w:color="auto" w:fill="FFFFFF"/>
        </w:rPr>
        <w:t xml:space="preserve">  In many employment agreements, such as the one at issue in </w:t>
      </w:r>
      <w:r w:rsidR="004845A3">
        <w:rPr>
          <w:i/>
          <w:iCs/>
          <w:szCs w:val="26"/>
          <w:shd w:val="clear" w:color="auto" w:fill="FFFFFF"/>
        </w:rPr>
        <w:t>Armenta</w:t>
      </w:r>
      <w:r w:rsidR="004845A3">
        <w:rPr>
          <w:szCs w:val="26"/>
          <w:shd w:val="clear" w:color="auto" w:fill="FFFFFF"/>
        </w:rPr>
        <w:t xml:space="preserve">, the unit of time or activity by which an employer promises to pay an employee is easily ascertainable.  (See </w:t>
      </w:r>
      <w:r w:rsidRPr="006A3A97" w:rsidR="004845A3">
        <w:rPr>
          <w:i/>
          <w:iCs/>
          <w:szCs w:val="26"/>
          <w:shd w:val="clear" w:color="auto" w:fill="FFFFFF"/>
        </w:rPr>
        <w:t>Armenta</w:t>
      </w:r>
      <w:r w:rsidR="004845A3">
        <w:rPr>
          <w:szCs w:val="26"/>
          <w:shd w:val="clear" w:color="auto" w:fill="FFFFFF"/>
        </w:rPr>
        <w:t xml:space="preserve">, </w:t>
      </w:r>
      <w:r w:rsidRPr="006A3A97" w:rsidR="004845A3">
        <w:rPr>
          <w:i/>
          <w:iCs/>
          <w:szCs w:val="26"/>
          <w:shd w:val="clear" w:color="auto" w:fill="FFFFFF"/>
        </w:rPr>
        <w:t>supra</w:t>
      </w:r>
      <w:r w:rsidR="004845A3">
        <w:rPr>
          <w:szCs w:val="26"/>
          <w:shd w:val="clear" w:color="auto" w:fill="FFFFFF"/>
        </w:rPr>
        <w:t xml:space="preserve">, </w:t>
      </w:r>
      <w:r w:rsidRPr="00BD3CA8" w:rsidR="004845A3">
        <w:rPr>
          <w:szCs w:val="26"/>
          <w:shd w:val="clear" w:color="auto" w:fill="FFFFFF"/>
        </w:rPr>
        <w:t xml:space="preserve">135 Cal.App.4th </w:t>
      </w:r>
      <w:r w:rsidR="004845A3">
        <w:rPr>
          <w:szCs w:val="26"/>
          <w:shd w:val="clear" w:color="auto" w:fill="FFFFFF"/>
        </w:rPr>
        <w:t>at p. </w:t>
      </w:r>
      <w:r w:rsidRPr="00BD3CA8" w:rsidR="004845A3">
        <w:rPr>
          <w:szCs w:val="26"/>
          <w:shd w:val="clear" w:color="auto" w:fill="FFFFFF"/>
        </w:rPr>
        <w:t>317 [</w:t>
      </w:r>
      <w:r w:rsidR="004845A3">
        <w:rPr>
          <w:szCs w:val="26"/>
          <w:shd w:val="clear" w:color="auto" w:fill="FFFFFF"/>
        </w:rPr>
        <w:t>“</w:t>
      </w:r>
      <w:r w:rsidRPr="00BD3CA8" w:rsidR="004845A3">
        <w:rPr>
          <w:szCs w:val="26"/>
          <w:shd w:val="clear" w:color="auto" w:fill="FFFFFF"/>
        </w:rPr>
        <w:t>Under the terms of the parties</w:t>
      </w:r>
      <w:r w:rsidR="004845A3">
        <w:rPr>
          <w:szCs w:val="26"/>
          <w:shd w:val="clear" w:color="auto" w:fill="FFFFFF"/>
        </w:rPr>
        <w:t>’</w:t>
      </w:r>
      <w:r w:rsidRPr="00BD3CA8" w:rsidR="004845A3">
        <w:rPr>
          <w:szCs w:val="26"/>
          <w:shd w:val="clear" w:color="auto" w:fill="FFFFFF"/>
        </w:rPr>
        <w:t xml:space="preserve"> collective bargaining agreement, respondents were paid hourly wages</w:t>
      </w:r>
      <w:r w:rsidR="004845A3">
        <w:rPr>
          <w:szCs w:val="26"/>
          <w:shd w:val="clear" w:color="auto" w:fill="FFFFFF"/>
        </w:rPr>
        <w:t xml:space="preserve"> . . .</w:t>
      </w:r>
      <w:r w:rsidR="00AD29D1">
        <w:rPr>
          <w:szCs w:val="26"/>
          <w:shd w:val="clear" w:color="auto" w:fill="FFFFFF"/>
        </w:rPr>
        <w:t> </w:t>
      </w:r>
      <w:r w:rsidR="004845A3">
        <w:rPr>
          <w:szCs w:val="26"/>
          <w:shd w:val="clear" w:color="auto" w:fill="FFFFFF"/>
        </w:rPr>
        <w:t>.”</w:t>
      </w:r>
      <w:r w:rsidRPr="00BD3CA8" w:rsidR="004845A3">
        <w:rPr>
          <w:szCs w:val="26"/>
          <w:shd w:val="clear" w:color="auto" w:fill="FFFFFF"/>
        </w:rPr>
        <w:t>]</w:t>
      </w:r>
      <w:r w:rsidR="004845A3">
        <w:rPr>
          <w:szCs w:val="26"/>
          <w:shd w:val="clear" w:color="auto" w:fill="FFFFFF"/>
        </w:rPr>
        <w:t xml:space="preserve">.)  In other cases, the employer may compensate employees based on a combination of methods.  (See, e.g., </w:t>
      </w:r>
      <w:r w:rsidR="004845A3">
        <w:rPr>
          <w:i/>
          <w:szCs w:val="26"/>
        </w:rPr>
        <w:t>Vaquero</w:t>
      </w:r>
      <w:r w:rsidR="004845A3">
        <w:rPr>
          <w:iCs/>
          <w:szCs w:val="26"/>
        </w:rPr>
        <w:t xml:space="preserve">, </w:t>
      </w:r>
      <w:r w:rsidR="004845A3">
        <w:rPr>
          <w:i/>
          <w:szCs w:val="26"/>
        </w:rPr>
        <w:t>supra</w:t>
      </w:r>
      <w:r w:rsidR="004845A3">
        <w:rPr>
          <w:iCs/>
          <w:szCs w:val="26"/>
        </w:rPr>
        <w:t xml:space="preserve">, 9 Cal.App.5th at p. 103 [compensation determined by the greater of sales commission or hourly minimum pay]; </w:t>
      </w:r>
      <w:r w:rsidR="004845A3">
        <w:rPr>
          <w:i/>
          <w:szCs w:val="26"/>
        </w:rPr>
        <w:t>Gonzalez</w:t>
      </w:r>
      <w:r w:rsidR="004845A3">
        <w:rPr>
          <w:iCs/>
          <w:szCs w:val="26"/>
        </w:rPr>
        <w:t xml:space="preserve">, </w:t>
      </w:r>
      <w:r w:rsidRPr="006A3A97" w:rsidR="004845A3">
        <w:rPr>
          <w:i/>
          <w:szCs w:val="26"/>
        </w:rPr>
        <w:t>supra</w:t>
      </w:r>
      <w:r w:rsidR="004845A3">
        <w:rPr>
          <w:iCs/>
          <w:szCs w:val="26"/>
        </w:rPr>
        <w:t xml:space="preserve">, </w:t>
      </w:r>
      <w:r w:rsidRPr="00B64CB7" w:rsidR="004845A3">
        <w:rPr>
          <w:szCs w:val="26"/>
        </w:rPr>
        <w:t xml:space="preserve">215 Cal.App.4th </w:t>
      </w:r>
      <w:r w:rsidR="004845A3">
        <w:rPr>
          <w:szCs w:val="26"/>
        </w:rPr>
        <w:t>at p. 41 [compensation determined by greater of repair tasks completed or minimum hourly pay].)</w:t>
      </w:r>
      <w:r w:rsidR="004845A3">
        <w:rPr>
          <w:szCs w:val="26"/>
          <w:shd w:val="clear" w:color="auto" w:fill="FFFFFF"/>
        </w:rPr>
        <w:t xml:space="preserve">  Consistent with general contract interpretation principles, the unit for which pay is promised should be determined based on the </w:t>
      </w:r>
      <w:r w:rsidR="00F4437F">
        <w:rPr>
          <w:szCs w:val="26"/>
          <w:shd w:val="clear" w:color="auto" w:fill="FFFFFF"/>
        </w:rPr>
        <w:t>“mutual intention</w:t>
      </w:r>
      <w:r w:rsidR="004845A3">
        <w:rPr>
          <w:szCs w:val="26"/>
          <w:shd w:val="clear" w:color="auto" w:fill="FFFFFF"/>
        </w:rPr>
        <w:t xml:space="preserve"> of the parties</w:t>
      </w:r>
      <w:r w:rsidR="00F4437F">
        <w:rPr>
          <w:szCs w:val="26"/>
          <w:shd w:val="clear" w:color="auto" w:fill="FFFFFF"/>
        </w:rPr>
        <w:t xml:space="preserve"> as it existed</w:t>
      </w:r>
      <w:r w:rsidR="004845A3">
        <w:rPr>
          <w:szCs w:val="26"/>
          <w:shd w:val="clear" w:color="auto" w:fill="FFFFFF"/>
        </w:rPr>
        <w:t xml:space="preserve"> at the time of contract</w:t>
      </w:r>
      <w:r w:rsidR="00F4437F">
        <w:rPr>
          <w:szCs w:val="26"/>
          <w:shd w:val="clear" w:color="auto" w:fill="FFFFFF"/>
        </w:rPr>
        <w:t>ing</w:t>
      </w:r>
      <w:r w:rsidR="004845A3">
        <w:rPr>
          <w:szCs w:val="26"/>
          <w:shd w:val="clear" w:color="auto" w:fill="FFFFFF"/>
        </w:rPr>
        <w:t>.</w:t>
      </w:r>
      <w:r w:rsidR="00F4437F">
        <w:rPr>
          <w:szCs w:val="26"/>
          <w:shd w:val="clear" w:color="auto" w:fill="FFFFFF"/>
        </w:rPr>
        <w:t>”</w:t>
      </w:r>
      <w:r w:rsidR="004845A3">
        <w:rPr>
          <w:szCs w:val="26"/>
          <w:shd w:val="clear" w:color="auto" w:fill="FFFFFF"/>
        </w:rPr>
        <w:t xml:space="preserve">  (</w:t>
      </w:r>
      <w:r w:rsidR="00F4437F">
        <w:rPr>
          <w:szCs w:val="26"/>
          <w:shd w:val="clear" w:color="auto" w:fill="FFFFFF"/>
        </w:rPr>
        <w:t xml:space="preserve">Civ. </w:t>
      </w:r>
      <w:r w:rsidR="004845A3">
        <w:rPr>
          <w:szCs w:val="26"/>
          <w:shd w:val="clear" w:color="auto" w:fill="FFFFFF"/>
        </w:rPr>
        <w:t>Code, § 1636.)</w:t>
      </w:r>
    </w:p>
    <w:p w:rsidR="00491A6F" w:rsidRPr="000C144E" w:rsidP="000C144E" w14:paraId="6A0B976A" w14:textId="6F52AB4C">
      <w:pPr>
        <w:tabs>
          <w:tab w:val="left" w:pos="1440"/>
        </w:tabs>
        <w:ind w:firstLine="720"/>
        <w:rPr>
          <w:szCs w:val="26"/>
          <w:shd w:val="clear" w:color="auto" w:fill="FFFFFF"/>
        </w:rPr>
      </w:pPr>
      <w:r>
        <w:rPr>
          <w:szCs w:val="26"/>
        </w:rPr>
        <w:t>Whatever the task or period promised as a basis for compensation, however, an employer must pay no less than the minimum wage for all hours worked.</w:t>
      </w:r>
      <w:r w:rsidRPr="00DE731A">
        <w:rPr>
          <w:szCs w:val="26"/>
        </w:rPr>
        <w:t xml:space="preserve">  (See Wage Order No. 9, §§ 2(H), 4.)  </w:t>
      </w:r>
      <w:r w:rsidRPr="00DE731A" w:rsidR="00C76992">
        <w:rPr>
          <w:szCs w:val="26"/>
        </w:rPr>
        <w:t xml:space="preserve">The employer must satisfy this obligation while </w:t>
      </w:r>
      <w:r w:rsidRPr="00DE731A" w:rsidR="003C5E41">
        <w:rPr>
          <w:szCs w:val="26"/>
        </w:rPr>
        <w:t>still</w:t>
      </w:r>
      <w:r w:rsidRPr="00DE731A" w:rsidR="00C76992">
        <w:rPr>
          <w:szCs w:val="26"/>
        </w:rPr>
        <w:t xml:space="preserve"> keeping any promises it has made to provide particular amounts of compensation for particular tasks or periods of work.  (Lab. Code, §§</w:t>
      </w:r>
      <w:r w:rsidRPr="00DE731A" w:rsidR="00E82074">
        <w:rPr>
          <w:szCs w:val="26"/>
        </w:rPr>
        <w:t> </w:t>
      </w:r>
      <w:r w:rsidRPr="00DE731A" w:rsidR="00C76992">
        <w:rPr>
          <w:szCs w:val="26"/>
        </w:rPr>
        <w:t xml:space="preserve">221–223.)  </w:t>
      </w:r>
      <w:r w:rsidRPr="00DE731A" w:rsidR="00A874E1">
        <w:rPr>
          <w:szCs w:val="26"/>
        </w:rPr>
        <w:t>For all hours worked, employees are entitled to the greater of the (1)</w:t>
      </w:r>
      <w:r w:rsidRPr="00DE731A" w:rsidR="00E82074">
        <w:rPr>
          <w:szCs w:val="26"/>
        </w:rPr>
        <w:t> </w:t>
      </w:r>
      <w:r w:rsidRPr="00DE731A" w:rsidR="00A874E1">
        <w:rPr>
          <w:szCs w:val="26"/>
        </w:rPr>
        <w:t xml:space="preserve">amount guaranteed by contract for </w:t>
      </w:r>
      <w:r w:rsidR="000C144E">
        <w:rPr>
          <w:szCs w:val="26"/>
        </w:rPr>
        <w:t xml:space="preserve">the </w:t>
      </w:r>
      <w:r w:rsidR="005A76BE">
        <w:rPr>
          <w:szCs w:val="26"/>
        </w:rPr>
        <w:t>specified</w:t>
      </w:r>
      <w:r w:rsidRPr="00DE731A" w:rsidR="00A874E1">
        <w:rPr>
          <w:szCs w:val="26"/>
        </w:rPr>
        <w:t xml:space="preserve"> task or period, or (2)</w:t>
      </w:r>
      <w:r w:rsidRPr="00DE731A" w:rsidR="00E82074">
        <w:rPr>
          <w:szCs w:val="26"/>
        </w:rPr>
        <w:t> </w:t>
      </w:r>
      <w:r w:rsidRPr="00DE731A" w:rsidR="00A874E1">
        <w:rPr>
          <w:szCs w:val="26"/>
        </w:rPr>
        <w:t xml:space="preserve">the amount guaranteed by the minimum wage.  </w:t>
      </w:r>
      <w:r w:rsidRPr="00DE731A">
        <w:rPr>
          <w:szCs w:val="26"/>
        </w:rPr>
        <w:t xml:space="preserve">Whether a particular compensation scheme complies with </w:t>
      </w:r>
      <w:r w:rsidRPr="00DE731A" w:rsidR="003C5E41">
        <w:rPr>
          <w:szCs w:val="26"/>
        </w:rPr>
        <w:t xml:space="preserve">these </w:t>
      </w:r>
      <w:r w:rsidRPr="00DE731A" w:rsidR="00A553F7">
        <w:rPr>
          <w:szCs w:val="26"/>
        </w:rPr>
        <w:t>obligation</w:t>
      </w:r>
      <w:r w:rsidRPr="00DE731A" w:rsidR="003C5E41">
        <w:rPr>
          <w:szCs w:val="26"/>
        </w:rPr>
        <w:t>s</w:t>
      </w:r>
      <w:r w:rsidRPr="00DE731A">
        <w:rPr>
          <w:szCs w:val="26"/>
        </w:rPr>
        <w:t xml:space="preserve"> may be thought of as involving two separate inquiries.  First, for </w:t>
      </w:r>
      <w:r w:rsidRPr="00DE731A" w:rsidR="0050558B">
        <w:rPr>
          <w:szCs w:val="26"/>
        </w:rPr>
        <w:t xml:space="preserve">each </w:t>
      </w:r>
      <w:r w:rsidRPr="00DE731A">
        <w:rPr>
          <w:szCs w:val="26"/>
        </w:rPr>
        <w:t>task or period covered by the contract, is the employee paid at or above the minimum wage?  Second, are there other tasks or periods not covered by the contract, but within the definition of hours worked, for which at least the minimum wage should have been paid?</w:t>
      </w:r>
      <w:r w:rsidRPr="00DE731A" w:rsidR="00C76992">
        <w:rPr>
          <w:szCs w:val="26"/>
        </w:rPr>
        <w:t xml:space="preserve">  </w:t>
      </w:r>
    </w:p>
    <w:p w:rsidR="006A3625" w:rsidRPr="00DE731A" w:rsidP="00DE731A" w14:paraId="610ABA07" w14:textId="1889AB5F">
      <w:pPr>
        <w:tabs>
          <w:tab w:val="left" w:pos="1440"/>
        </w:tabs>
        <w:ind w:firstLine="720"/>
        <w:rPr>
          <w:szCs w:val="26"/>
        </w:rPr>
      </w:pPr>
      <w:r w:rsidRPr="00DE731A">
        <w:rPr>
          <w:szCs w:val="26"/>
        </w:rPr>
        <w:t xml:space="preserve">For purposes of evaluating whether an employee has received at least the hourly minimum wage for tasks or periods compensated under the contract, it is </w:t>
      </w:r>
      <w:r w:rsidRPr="00DE731A" w:rsidR="00E01055">
        <w:rPr>
          <w:szCs w:val="26"/>
        </w:rPr>
        <w:t xml:space="preserve">generally </w:t>
      </w:r>
      <w:r w:rsidRPr="00DE731A">
        <w:rPr>
          <w:szCs w:val="26"/>
        </w:rPr>
        <w:t>permissible to translate the contractual compensation—whether it be done by task, work period, or other reasonable basis—into an hourly rate by averaging pay across those tasks or periods.</w:t>
      </w:r>
      <w:r w:rsidRPr="00DE731A" w:rsidR="00E01055">
        <w:rPr>
          <w:szCs w:val="26"/>
        </w:rPr>
        <w:t xml:space="preserve">  </w:t>
      </w:r>
      <w:r w:rsidRPr="00DE731A" w:rsidR="00E01055">
        <w:t>An employer can, for example, pay by the day, with daily pay averaged across all hours worked to determine whether the resulting hourly wage exceeds the minimum.</w:t>
      </w:r>
      <w:r w:rsidRPr="00DE731A">
        <w:rPr>
          <w:szCs w:val="26"/>
        </w:rPr>
        <w:t xml:space="preserve">  </w:t>
      </w:r>
      <w:r w:rsidRPr="00DE731A">
        <w:rPr>
          <w:szCs w:val="26"/>
        </w:rPr>
        <w:t xml:space="preserve">But an employer who instead </w:t>
      </w:r>
      <w:r w:rsidR="000C144E">
        <w:rPr>
          <w:szCs w:val="26"/>
        </w:rPr>
        <w:t>promis</w:t>
      </w:r>
      <w:r w:rsidRPr="00DE731A">
        <w:rPr>
          <w:szCs w:val="26"/>
        </w:rPr>
        <w:t xml:space="preserve">es to pay by the hour may not compensate any given hour at less than minimum wage.  Nor may the employer make up for the shortfall by pointing to other hours for which contractual compensation exceeds </w:t>
      </w:r>
      <w:r w:rsidRPr="00DE731A" w:rsidR="00746411">
        <w:rPr>
          <w:szCs w:val="26"/>
        </w:rPr>
        <w:t xml:space="preserve">the </w:t>
      </w:r>
      <w:r w:rsidRPr="00DE731A">
        <w:rPr>
          <w:szCs w:val="26"/>
        </w:rPr>
        <w:t xml:space="preserve">minimum wage.  </w:t>
      </w:r>
      <w:r w:rsidR="00597AFC">
        <w:rPr>
          <w:szCs w:val="26"/>
        </w:rPr>
        <w:t>A</w:t>
      </w:r>
      <w:r w:rsidRPr="00DE731A">
        <w:rPr>
          <w:szCs w:val="26"/>
        </w:rPr>
        <w:t xml:space="preserve">s the DLSE explained in its letter, </w:t>
      </w:r>
      <w:r w:rsidRPr="00DE731A" w:rsidR="0050558B">
        <w:rPr>
          <w:szCs w:val="26"/>
        </w:rPr>
        <w:t xml:space="preserve">if a contract or bargaining agreement expressly guarantees compensation for one set of tasks or one specific period, that compensation may not be reduced to </w:t>
      </w:r>
      <w:r w:rsidRPr="00DE731A" w:rsidR="001E1C32">
        <w:rPr>
          <w:szCs w:val="26"/>
        </w:rPr>
        <w:t>supplement pay for</w:t>
      </w:r>
      <w:r w:rsidRPr="00DE731A" w:rsidR="0050558B">
        <w:rPr>
          <w:szCs w:val="26"/>
        </w:rPr>
        <w:t xml:space="preserve"> other tasks or periods </w:t>
      </w:r>
      <w:r w:rsidRPr="00DE731A" w:rsidR="001E1C32">
        <w:rPr>
          <w:szCs w:val="26"/>
        </w:rPr>
        <w:t>within the purview of the contract or bargaining agreement, but otherwise</w:t>
      </w:r>
      <w:r w:rsidRPr="00DE731A" w:rsidR="0050558B">
        <w:rPr>
          <w:szCs w:val="26"/>
        </w:rPr>
        <w:t xml:space="preserve"> undercompensated by the</w:t>
      </w:r>
      <w:r w:rsidRPr="00DE731A" w:rsidR="001E1C32">
        <w:rPr>
          <w:szCs w:val="26"/>
        </w:rPr>
        <w:t>m</w:t>
      </w:r>
      <w:r w:rsidRPr="00DE731A" w:rsidR="0050558B">
        <w:rPr>
          <w:szCs w:val="26"/>
        </w:rPr>
        <w:t xml:space="preserve">.  (DLSE Opn. Letter No. 2002.01.29, </w:t>
      </w:r>
      <w:r w:rsidRPr="00DE731A" w:rsidR="0013516F">
        <w:rPr>
          <w:i/>
          <w:szCs w:val="26"/>
        </w:rPr>
        <w:t>supra</w:t>
      </w:r>
      <w:r w:rsidRPr="00DE731A" w:rsidR="0013516F">
        <w:rPr>
          <w:szCs w:val="26"/>
        </w:rPr>
        <w:t xml:space="preserve">, </w:t>
      </w:r>
      <w:r w:rsidRPr="00DE731A" w:rsidR="0050558B">
        <w:rPr>
          <w:szCs w:val="26"/>
        </w:rPr>
        <w:t>at p. 11</w:t>
      </w:r>
      <w:r w:rsidRPr="00DE731A" w:rsidR="001E1C32">
        <w:rPr>
          <w:szCs w:val="26"/>
        </w:rPr>
        <w:t xml:space="preserve">; Lab. Code, </w:t>
      </w:r>
      <w:r w:rsidRPr="00DE731A" w:rsidR="00C27CEE">
        <w:rPr>
          <w:szCs w:val="26"/>
        </w:rPr>
        <w:t>§</w:t>
      </w:r>
      <w:r w:rsidRPr="00DE731A" w:rsidR="001E1C32">
        <w:rPr>
          <w:szCs w:val="26"/>
        </w:rPr>
        <w:t>§ 221–223</w:t>
      </w:r>
      <w:r w:rsidRPr="00DE731A" w:rsidR="0050558B">
        <w:rPr>
          <w:szCs w:val="26"/>
        </w:rPr>
        <w:t xml:space="preserve">.)  </w:t>
      </w:r>
    </w:p>
    <w:p w:rsidR="00491A6F" w:rsidRPr="00DE731A" w:rsidP="00DE731A" w14:paraId="20056C53" w14:textId="67114238">
      <w:pPr>
        <w:tabs>
          <w:tab w:val="left" w:pos="1440"/>
        </w:tabs>
        <w:ind w:firstLine="720"/>
        <w:rPr>
          <w:szCs w:val="26"/>
        </w:rPr>
      </w:pPr>
      <w:r>
        <w:rPr>
          <w:szCs w:val="26"/>
        </w:rPr>
        <w:t xml:space="preserve">The same “no borrowing” principle applies when an employer requires work not covered by the contract at all, but which falls within the definition of hours worked under the minimum wage law.  </w:t>
      </w:r>
      <w:r w:rsidRPr="00DE731A" w:rsidR="003D3119">
        <w:rPr>
          <w:szCs w:val="26"/>
        </w:rPr>
        <w:t>So, for example, i</w:t>
      </w:r>
      <w:r w:rsidRPr="00DE731A">
        <w:rPr>
          <w:szCs w:val="26"/>
        </w:rPr>
        <w:t xml:space="preserve">n </w:t>
      </w:r>
      <w:r w:rsidRPr="00DE731A">
        <w:rPr>
          <w:i/>
          <w:szCs w:val="26"/>
        </w:rPr>
        <w:t>Armenta</w:t>
      </w:r>
      <w:r w:rsidRPr="00DE731A">
        <w:rPr>
          <w:szCs w:val="26"/>
        </w:rPr>
        <w:t>,</w:t>
      </w:r>
      <w:r w:rsidRPr="00DE731A" w:rsidR="001E1C32">
        <w:rPr>
          <w:szCs w:val="26"/>
        </w:rPr>
        <w:t xml:space="preserve"> </w:t>
      </w:r>
      <w:r w:rsidRPr="00DE731A" w:rsidR="001E1C32">
        <w:rPr>
          <w:i/>
          <w:szCs w:val="26"/>
        </w:rPr>
        <w:t>supra</w:t>
      </w:r>
      <w:r w:rsidRPr="00DE731A" w:rsidR="001E1C32">
        <w:rPr>
          <w:szCs w:val="26"/>
        </w:rPr>
        <w:t>, 135 Cal.App.4th 314,</w:t>
      </w:r>
      <w:r w:rsidRPr="00DE731A">
        <w:rPr>
          <w:szCs w:val="26"/>
        </w:rPr>
        <w:t xml:space="preserve"> the collective bargaining agreement ensured pay at or above the minimum wage for hours engaged in specified productive tasks, and under the agreement and Labor Code section 222, the employees were entitled to </w:t>
      </w:r>
      <w:r w:rsidRPr="00DE731A" w:rsidR="00052787">
        <w:rPr>
          <w:szCs w:val="26"/>
        </w:rPr>
        <w:t xml:space="preserve">their promised </w:t>
      </w:r>
      <w:r w:rsidRPr="00DE731A">
        <w:rPr>
          <w:szCs w:val="26"/>
        </w:rPr>
        <w:t xml:space="preserve">wages without diminution.  But for other </w:t>
      </w:r>
      <w:r w:rsidRPr="00DE731A" w:rsidR="00867B38">
        <w:rPr>
          <w:szCs w:val="26"/>
        </w:rPr>
        <w:t xml:space="preserve">periods </w:t>
      </w:r>
      <w:r w:rsidRPr="00DE731A">
        <w:rPr>
          <w:szCs w:val="26"/>
        </w:rPr>
        <w:t>not compensated under the contract, but during which employees were on</w:t>
      </w:r>
      <w:r w:rsidRPr="00DE731A" w:rsidR="00C27CEE">
        <w:rPr>
          <w:szCs w:val="26"/>
        </w:rPr>
        <w:t xml:space="preserve"> </w:t>
      </w:r>
      <w:r w:rsidRPr="00DE731A">
        <w:rPr>
          <w:szCs w:val="26"/>
        </w:rPr>
        <w:t>duty</w:t>
      </w:r>
      <w:r w:rsidRPr="00DE731A" w:rsidR="00052787">
        <w:rPr>
          <w:szCs w:val="26"/>
        </w:rPr>
        <w:t xml:space="preserve"> and thus owed compensation under the wage order</w:t>
      </w:r>
      <w:r w:rsidRPr="00DE731A">
        <w:rPr>
          <w:szCs w:val="26"/>
        </w:rPr>
        <w:t xml:space="preserve">, the minimum wage was </w:t>
      </w:r>
      <w:r w:rsidRPr="00DE731A" w:rsidR="0030606E">
        <w:rPr>
          <w:szCs w:val="26"/>
        </w:rPr>
        <w:t xml:space="preserve">also </w:t>
      </w:r>
      <w:r w:rsidRPr="00DE731A" w:rsidR="00052787">
        <w:rPr>
          <w:szCs w:val="26"/>
        </w:rPr>
        <w:t>due</w:t>
      </w:r>
      <w:r w:rsidRPr="00DE731A">
        <w:rPr>
          <w:szCs w:val="26"/>
        </w:rPr>
        <w:t>.</w:t>
      </w:r>
    </w:p>
    <w:p w:rsidR="00D10B1D" w:rsidRPr="00DE731A" w:rsidP="00E76493" w14:paraId="519ACAEC" w14:textId="369A8A1F">
      <w:pPr>
        <w:keepNext/>
        <w:tabs>
          <w:tab w:val="left" w:pos="0"/>
        </w:tabs>
        <w:jc w:val="center"/>
        <w:rPr>
          <w:b/>
          <w:bCs/>
          <w:szCs w:val="26"/>
        </w:rPr>
      </w:pPr>
      <w:r w:rsidRPr="00DE731A">
        <w:rPr>
          <w:b/>
          <w:bCs/>
          <w:szCs w:val="26"/>
        </w:rPr>
        <w:t>B.</w:t>
      </w:r>
    </w:p>
    <w:p w:rsidR="000C144E" w:rsidP="000C144E" w14:paraId="7E57B8AC" w14:textId="77777777">
      <w:pPr>
        <w:tabs>
          <w:tab w:val="left" w:pos="1440"/>
        </w:tabs>
        <w:ind w:firstLine="720"/>
        <w:rPr>
          <w:color w:val="222222"/>
          <w:szCs w:val="26"/>
          <w:shd w:val="clear" w:color="auto" w:fill="FFFFFF"/>
        </w:rPr>
      </w:pPr>
      <w:r w:rsidRPr="00DE731A">
        <w:rPr>
          <w:szCs w:val="26"/>
        </w:rPr>
        <w:t xml:space="preserve">So </w:t>
      </w:r>
      <w:r w:rsidRPr="00DE731A" w:rsidR="00506F80">
        <w:rPr>
          <w:szCs w:val="26"/>
        </w:rPr>
        <w:t>far</w:t>
      </w:r>
      <w:r w:rsidR="00F543DA">
        <w:rPr>
          <w:szCs w:val="26"/>
        </w:rPr>
        <w:t>,</w:t>
      </w:r>
      <w:r w:rsidRPr="00DE731A" w:rsidR="00506F80">
        <w:rPr>
          <w:szCs w:val="26"/>
        </w:rPr>
        <w:t xml:space="preserve"> </w:t>
      </w:r>
      <w:r w:rsidRPr="00DE731A">
        <w:rPr>
          <w:szCs w:val="26"/>
        </w:rPr>
        <w:t xml:space="preserve">we have described common ground:  </w:t>
      </w:r>
      <w:r w:rsidRPr="00DE731A" w:rsidR="007604D3">
        <w:rPr>
          <w:szCs w:val="26"/>
        </w:rPr>
        <w:t xml:space="preserve">Delta does not challenge the no-borrowing principle as it has been elaborated in the </w:t>
      </w:r>
      <w:r w:rsidRPr="00DE731A" w:rsidR="007604D3">
        <w:rPr>
          <w:i/>
          <w:iCs/>
          <w:szCs w:val="26"/>
        </w:rPr>
        <w:t>Armenta</w:t>
      </w:r>
      <w:r w:rsidRPr="00DE731A" w:rsidR="007604D3">
        <w:rPr>
          <w:szCs w:val="26"/>
        </w:rPr>
        <w:t xml:space="preserve"> line of cases.  </w:t>
      </w:r>
      <w:r w:rsidRPr="00DE731A" w:rsidR="006833C0">
        <w:rPr>
          <w:szCs w:val="26"/>
        </w:rPr>
        <w:t xml:space="preserve">The parties’ disagreement concerns whether Delta’s </w:t>
      </w:r>
      <w:r w:rsidRPr="00DE731A" w:rsidR="00360D3D">
        <w:rPr>
          <w:szCs w:val="26"/>
        </w:rPr>
        <w:t>flight attendant compensation scheme violate</w:t>
      </w:r>
      <w:r w:rsidRPr="00DE731A" w:rsidR="006833C0">
        <w:rPr>
          <w:szCs w:val="26"/>
        </w:rPr>
        <w:t>s</w:t>
      </w:r>
      <w:r w:rsidRPr="00DE731A" w:rsidR="00360D3D">
        <w:rPr>
          <w:szCs w:val="26"/>
        </w:rPr>
        <w:t xml:space="preserve"> th</w:t>
      </w:r>
      <w:r w:rsidRPr="00DE731A" w:rsidR="00BD7602">
        <w:rPr>
          <w:szCs w:val="26"/>
        </w:rPr>
        <w:t>is</w:t>
      </w:r>
      <w:r w:rsidRPr="00DE731A" w:rsidR="00360D3D">
        <w:rPr>
          <w:szCs w:val="26"/>
        </w:rPr>
        <w:t xml:space="preserve"> no-borrowing principle</w:t>
      </w:r>
      <w:r w:rsidRPr="00DE731A" w:rsidR="006833C0">
        <w:rPr>
          <w:szCs w:val="26"/>
        </w:rPr>
        <w:t>.</w:t>
      </w:r>
      <w:r w:rsidRPr="00DE731A" w:rsidR="00981B58">
        <w:rPr>
          <w:color w:val="222222"/>
          <w:szCs w:val="26"/>
          <w:shd w:val="clear" w:color="auto" w:fill="FFFFFF"/>
        </w:rPr>
        <w:t xml:space="preserve">  </w:t>
      </w:r>
      <w:r w:rsidRPr="00DE731A" w:rsidR="00D358C0">
        <w:rPr>
          <w:color w:val="222222"/>
          <w:szCs w:val="26"/>
          <w:shd w:val="clear" w:color="auto" w:fill="FFFFFF"/>
        </w:rPr>
        <w:t>Because</w:t>
      </w:r>
      <w:r w:rsidRPr="00DE731A" w:rsidR="004D1411">
        <w:rPr>
          <w:color w:val="222222"/>
          <w:szCs w:val="26"/>
          <w:shd w:val="clear" w:color="auto" w:fill="FFFFFF"/>
        </w:rPr>
        <w:t xml:space="preserve"> </w:t>
      </w:r>
      <w:r w:rsidRPr="00DE731A" w:rsidR="00EC3907">
        <w:rPr>
          <w:color w:val="222222"/>
          <w:szCs w:val="26"/>
          <w:shd w:val="clear" w:color="auto" w:fill="FFFFFF"/>
        </w:rPr>
        <w:t xml:space="preserve">the </w:t>
      </w:r>
      <w:r w:rsidRPr="00DE731A" w:rsidR="004D1411">
        <w:rPr>
          <w:color w:val="222222"/>
          <w:szCs w:val="26"/>
          <w:shd w:val="clear" w:color="auto" w:fill="FFFFFF"/>
        </w:rPr>
        <w:t xml:space="preserve">relevant provisions of the </w:t>
      </w:r>
      <w:r w:rsidRPr="00DE731A" w:rsidR="00EC3907">
        <w:rPr>
          <w:color w:val="222222"/>
          <w:szCs w:val="26"/>
          <w:shd w:val="clear" w:color="auto" w:fill="FFFFFF"/>
        </w:rPr>
        <w:t>Labor Code prohibit borrowing only when</w:t>
      </w:r>
      <w:r w:rsidRPr="00DE731A" w:rsidR="004D1411">
        <w:rPr>
          <w:color w:val="222222"/>
          <w:szCs w:val="26"/>
          <w:shd w:val="clear" w:color="auto" w:fill="FFFFFF"/>
        </w:rPr>
        <w:t xml:space="preserve"> </w:t>
      </w:r>
      <w:r w:rsidRPr="00DE731A" w:rsidR="00967CBC">
        <w:rPr>
          <w:color w:val="222222"/>
          <w:szCs w:val="26"/>
          <w:shd w:val="clear" w:color="auto" w:fill="FFFFFF"/>
        </w:rPr>
        <w:t>it results in failure to maintain the wage scale designated by contract</w:t>
      </w:r>
      <w:r w:rsidRPr="00DE731A" w:rsidR="00D358C0">
        <w:rPr>
          <w:szCs w:val="26"/>
          <w:bdr w:val="none" w:sz="0" w:space="0" w:color="auto" w:frame="1"/>
          <w:lang w:val="en"/>
        </w:rPr>
        <w:t xml:space="preserve">, </w:t>
      </w:r>
      <w:r w:rsidRPr="00DE731A" w:rsidR="00EC3907">
        <w:rPr>
          <w:szCs w:val="26"/>
          <w:bdr w:val="none" w:sz="0" w:space="0" w:color="auto" w:frame="1"/>
          <w:lang w:val="en"/>
        </w:rPr>
        <w:t xml:space="preserve">the </w:t>
      </w:r>
      <w:r w:rsidRPr="00DE731A" w:rsidR="006F24C1">
        <w:rPr>
          <w:szCs w:val="26"/>
          <w:bdr w:val="none" w:sz="0" w:space="0" w:color="auto" w:frame="1"/>
          <w:lang w:val="en"/>
        </w:rPr>
        <w:t xml:space="preserve">resolution </w:t>
      </w:r>
      <w:r w:rsidRPr="00DE731A" w:rsidR="007E062D">
        <w:rPr>
          <w:szCs w:val="26"/>
          <w:bdr w:val="none" w:sz="0" w:space="0" w:color="auto" w:frame="1"/>
          <w:lang w:val="en"/>
        </w:rPr>
        <w:t xml:space="preserve">necessarily </w:t>
      </w:r>
      <w:r w:rsidRPr="00DE731A" w:rsidR="00EC3907">
        <w:rPr>
          <w:szCs w:val="26"/>
          <w:bdr w:val="none" w:sz="0" w:space="0" w:color="auto" w:frame="1"/>
          <w:lang w:val="en"/>
        </w:rPr>
        <w:t xml:space="preserve">turns </w:t>
      </w:r>
      <w:r w:rsidRPr="00DE731A" w:rsidR="00D358C0">
        <w:rPr>
          <w:color w:val="222222"/>
          <w:szCs w:val="26"/>
          <w:shd w:val="clear" w:color="auto" w:fill="FFFFFF"/>
        </w:rPr>
        <w:t xml:space="preserve">on the nature of Delta’s contractual commitments. </w:t>
      </w:r>
      <w:r w:rsidRPr="00DE731A" w:rsidR="005A2E1D">
        <w:rPr>
          <w:color w:val="222222"/>
          <w:szCs w:val="26"/>
          <w:shd w:val="clear" w:color="auto" w:fill="FFFFFF"/>
        </w:rPr>
        <w:t xml:space="preserve"> (See </w:t>
      </w:r>
      <w:r w:rsidRPr="00DE731A" w:rsidR="00C27CEE">
        <w:rPr>
          <w:color w:val="222222"/>
          <w:szCs w:val="26"/>
          <w:shd w:val="clear" w:color="auto" w:fill="FFFFFF"/>
        </w:rPr>
        <w:t xml:space="preserve">Lab. Code, </w:t>
      </w:r>
      <w:r w:rsidRPr="00DE731A" w:rsidR="005A2E1D">
        <w:rPr>
          <w:color w:val="222222"/>
          <w:szCs w:val="26"/>
          <w:shd w:val="clear" w:color="auto" w:fill="FFFFFF"/>
        </w:rPr>
        <w:t>§</w:t>
      </w:r>
      <w:r w:rsidRPr="00DE731A" w:rsidR="00E82074">
        <w:rPr>
          <w:color w:val="222222"/>
          <w:szCs w:val="26"/>
          <w:shd w:val="clear" w:color="auto" w:fill="FFFFFF"/>
        </w:rPr>
        <w:t> </w:t>
      </w:r>
      <w:r w:rsidRPr="00DE731A" w:rsidR="005A2E1D">
        <w:rPr>
          <w:color w:val="222222"/>
          <w:szCs w:val="26"/>
          <w:shd w:val="clear" w:color="auto" w:fill="FFFFFF"/>
        </w:rPr>
        <w:t xml:space="preserve">223 [prohibiting an employer from </w:t>
      </w:r>
      <w:r w:rsidRPr="00DE731A" w:rsidR="005A2E1D">
        <w:rPr>
          <w:szCs w:val="26"/>
          <w:bdr w:val="none" w:sz="0" w:space="0" w:color="auto" w:frame="1"/>
          <w:lang w:val="en"/>
        </w:rPr>
        <w:t>“secretly pay</w:t>
      </w:r>
      <w:r w:rsidRPr="00DE731A" w:rsidR="00785515">
        <w:rPr>
          <w:szCs w:val="26"/>
          <w:bdr w:val="none" w:sz="0" w:space="0" w:color="auto" w:frame="1"/>
          <w:lang w:val="en"/>
        </w:rPr>
        <w:t>[</w:t>
      </w:r>
      <w:r w:rsidRPr="00DE731A" w:rsidR="005A2E1D">
        <w:rPr>
          <w:szCs w:val="26"/>
          <w:bdr w:val="none" w:sz="0" w:space="0" w:color="auto" w:frame="1"/>
          <w:lang w:val="en"/>
        </w:rPr>
        <w:t>ing</w:t>
      </w:r>
      <w:r w:rsidRPr="00DE731A" w:rsidR="00785515">
        <w:rPr>
          <w:szCs w:val="26"/>
          <w:bdr w:val="none" w:sz="0" w:space="0" w:color="auto" w:frame="1"/>
          <w:lang w:val="en"/>
        </w:rPr>
        <w:t>]</w:t>
      </w:r>
      <w:r w:rsidRPr="00DE731A" w:rsidR="005A2E1D">
        <w:rPr>
          <w:szCs w:val="26"/>
          <w:bdr w:val="none" w:sz="0" w:space="0" w:color="auto" w:frame="1"/>
          <w:lang w:val="en"/>
        </w:rPr>
        <w:t xml:space="preserve"> a lower wage while purporting to pay the wage designated </w:t>
      </w:r>
      <w:r w:rsidRPr="00DE731A" w:rsidR="00785515">
        <w:rPr>
          <w:szCs w:val="26"/>
          <w:bdr w:val="none" w:sz="0" w:space="0" w:color="auto" w:frame="1"/>
          <w:lang w:val="en"/>
        </w:rPr>
        <w:t>. . .</w:t>
      </w:r>
      <w:r w:rsidRPr="00DE731A" w:rsidR="005A2E1D">
        <w:rPr>
          <w:szCs w:val="26"/>
          <w:bdr w:val="none" w:sz="0" w:space="0" w:color="auto" w:frame="1"/>
          <w:lang w:val="en"/>
        </w:rPr>
        <w:t xml:space="preserve"> by contract”</w:t>
      </w:r>
      <w:r w:rsidRPr="00DE731A" w:rsidR="00785515">
        <w:rPr>
          <w:szCs w:val="26"/>
          <w:bdr w:val="none" w:sz="0" w:space="0" w:color="auto" w:frame="1"/>
          <w:lang w:val="en"/>
        </w:rPr>
        <w:t>].)</w:t>
      </w:r>
    </w:p>
    <w:p w:rsidR="000C144E" w:rsidP="000C144E" w14:paraId="1327D38D" w14:textId="3779C8AA">
      <w:pPr>
        <w:tabs>
          <w:tab w:val="left" w:pos="1440"/>
        </w:tabs>
        <w:ind w:firstLine="720"/>
        <w:rPr>
          <w:color w:val="222222"/>
          <w:szCs w:val="26"/>
          <w:shd w:val="clear" w:color="auto" w:fill="FFFFFF"/>
        </w:rPr>
      </w:pPr>
      <w:r>
        <w:rPr>
          <w:color w:val="222222"/>
          <w:szCs w:val="26"/>
          <w:shd w:val="clear" w:color="auto" w:fill="FFFFFF"/>
        </w:rPr>
        <w:t xml:space="preserve">Delta’s Work Rules, which are disclosed to all its flight attendants, promise to compensate attendants by the rotation rather than by particular hours worked. </w:t>
      </w:r>
      <w:r w:rsidRPr="00B64CB7">
        <w:rPr>
          <w:color w:val="222222"/>
          <w:szCs w:val="26"/>
          <w:shd w:val="clear" w:color="auto" w:fill="FFFFFF"/>
        </w:rPr>
        <w:t xml:space="preserve"> </w:t>
      </w:r>
      <w:r>
        <w:rPr>
          <w:color w:val="222222"/>
          <w:szCs w:val="26"/>
          <w:shd w:val="clear" w:color="auto" w:fill="FFFFFF"/>
        </w:rPr>
        <w:t xml:space="preserve">This is evident both from the structure of the compensation scheme outlined in the Work Rules and the procedures Delta </w:t>
      </w:r>
      <w:r w:rsidR="000F0379">
        <w:rPr>
          <w:color w:val="222222"/>
          <w:szCs w:val="26"/>
          <w:shd w:val="clear" w:color="auto" w:fill="FFFFFF"/>
        </w:rPr>
        <w:t>employees follow to obtain</w:t>
      </w:r>
      <w:r>
        <w:rPr>
          <w:color w:val="222222"/>
          <w:szCs w:val="26"/>
          <w:shd w:val="clear" w:color="auto" w:fill="FFFFFF"/>
        </w:rPr>
        <w:t xml:space="preserve"> work assignments.</w:t>
      </w:r>
    </w:p>
    <w:p w:rsidR="008B0EBE" w:rsidRPr="00DE731A" w:rsidP="000C144E" w14:paraId="6A235B84" w14:textId="08287547">
      <w:pPr>
        <w:tabs>
          <w:tab w:val="left" w:pos="1440"/>
        </w:tabs>
        <w:ind w:firstLine="720"/>
        <w:rPr>
          <w:color w:val="222222"/>
          <w:szCs w:val="26"/>
          <w:shd w:val="clear" w:color="auto" w:fill="FFFFFF"/>
        </w:rPr>
      </w:pPr>
      <w:r w:rsidRPr="00B64CB7">
        <w:rPr>
          <w:color w:val="222222"/>
          <w:szCs w:val="26"/>
          <w:shd w:val="clear" w:color="auto" w:fill="FFFFFF"/>
        </w:rPr>
        <w:t xml:space="preserve">Each rotation contains one or more duty periods, interspersed with layovers between duty periods.  </w:t>
      </w:r>
      <w:r w:rsidRPr="00DE731A" w:rsidR="00B147CB">
        <w:rPr>
          <w:color w:val="222222"/>
          <w:szCs w:val="26"/>
          <w:shd w:val="clear" w:color="auto" w:fill="FFFFFF"/>
        </w:rPr>
        <w:t xml:space="preserve">A </w:t>
      </w:r>
      <w:r w:rsidRPr="00DE731A" w:rsidR="003E6A4C">
        <w:rPr>
          <w:color w:val="222222"/>
          <w:szCs w:val="26"/>
          <w:shd w:val="clear" w:color="auto" w:fill="FFFFFF"/>
        </w:rPr>
        <w:t xml:space="preserve">duty </w:t>
      </w:r>
      <w:r w:rsidRPr="00DE731A">
        <w:rPr>
          <w:color w:val="222222"/>
          <w:szCs w:val="26"/>
          <w:shd w:val="clear" w:color="auto" w:fill="FFFFFF"/>
        </w:rPr>
        <w:t xml:space="preserve">period begins when </w:t>
      </w:r>
      <w:r w:rsidRPr="00DE731A" w:rsidR="00B147CB">
        <w:rPr>
          <w:color w:val="222222"/>
          <w:szCs w:val="26"/>
          <w:shd w:val="clear" w:color="auto" w:fill="FFFFFF"/>
        </w:rPr>
        <w:t xml:space="preserve">a </w:t>
      </w:r>
      <w:r w:rsidRPr="00DE731A" w:rsidR="00351472">
        <w:rPr>
          <w:color w:val="222222"/>
          <w:szCs w:val="26"/>
          <w:shd w:val="clear" w:color="auto" w:fill="FFFFFF"/>
        </w:rPr>
        <w:t xml:space="preserve">flight </w:t>
      </w:r>
      <w:r w:rsidRPr="00DE731A">
        <w:rPr>
          <w:color w:val="222222"/>
          <w:szCs w:val="26"/>
          <w:shd w:val="clear" w:color="auto" w:fill="FFFFFF"/>
        </w:rPr>
        <w:t xml:space="preserve">attendant reports to an airport before a flight.  Thereafter, the flight attendant may have preboarding obligations, in-flight obligations, posttouchdown obligations, </w:t>
      </w:r>
      <w:r w:rsidRPr="00DE731A" w:rsidR="003E6A4C">
        <w:rPr>
          <w:color w:val="222222"/>
          <w:szCs w:val="26"/>
          <w:shd w:val="clear" w:color="auto" w:fill="FFFFFF"/>
        </w:rPr>
        <w:t>transit or sit time</w:t>
      </w:r>
      <w:r w:rsidRPr="00DE731A">
        <w:rPr>
          <w:color w:val="222222"/>
          <w:szCs w:val="26"/>
          <w:shd w:val="clear" w:color="auto" w:fill="FFFFFF"/>
        </w:rPr>
        <w:t>—the period in another airport before the next flight is ready for boarding—and a similar set of obligations during the next or each subsequent flight until the end of the duty period</w:t>
      </w:r>
      <w:r w:rsidRPr="00DE731A" w:rsidR="0018569F">
        <w:rPr>
          <w:color w:val="222222"/>
          <w:szCs w:val="26"/>
          <w:shd w:val="clear" w:color="auto" w:fill="FFFFFF"/>
        </w:rPr>
        <w:t>.</w:t>
      </w:r>
      <w:r w:rsidRPr="00DE731A" w:rsidR="00B147CB">
        <w:rPr>
          <w:color w:val="222222"/>
          <w:szCs w:val="26"/>
          <w:shd w:val="clear" w:color="auto" w:fill="FFFFFF"/>
        </w:rPr>
        <w:t xml:space="preserve">  As Delta acknowledges, flight attendants are on duty continuously during a duty period, from first reporting until release after the last flight of the period.  For his part, Oman does not contend flight attendants are on</w:t>
      </w:r>
      <w:r w:rsidRPr="00DE731A" w:rsidR="00C27CEE">
        <w:rPr>
          <w:color w:val="222222"/>
          <w:szCs w:val="26"/>
          <w:shd w:val="clear" w:color="auto" w:fill="FFFFFF"/>
        </w:rPr>
        <w:t xml:space="preserve"> </w:t>
      </w:r>
      <w:r w:rsidRPr="00DE731A" w:rsidR="00B147CB">
        <w:rPr>
          <w:color w:val="222222"/>
          <w:szCs w:val="26"/>
          <w:shd w:val="clear" w:color="auto" w:fill="FFFFFF"/>
        </w:rPr>
        <w:t xml:space="preserve">duty or entitled to compensation for layovers between duty periods.  </w:t>
      </w:r>
    </w:p>
    <w:p w:rsidR="00804022" w:rsidRPr="00DE731A" w:rsidP="00DE731A" w14:paraId="06AD71A0" w14:textId="387169C7">
      <w:pPr>
        <w:tabs>
          <w:tab w:val="left" w:pos="1440"/>
        </w:tabs>
        <w:ind w:firstLine="720"/>
        <w:rPr>
          <w:color w:val="222222"/>
          <w:szCs w:val="26"/>
          <w:shd w:val="clear" w:color="auto" w:fill="FFFFFF"/>
        </w:rPr>
      </w:pPr>
      <w:r w:rsidRPr="00DE731A">
        <w:rPr>
          <w:color w:val="222222"/>
          <w:szCs w:val="26"/>
          <w:shd w:val="clear" w:color="auto" w:fill="FFFFFF"/>
        </w:rPr>
        <w:t>Under the Work Rules</w:t>
      </w:r>
      <w:r w:rsidRPr="00DE731A" w:rsidR="00BB55D1">
        <w:rPr>
          <w:color w:val="222222"/>
          <w:szCs w:val="26"/>
          <w:shd w:val="clear" w:color="auto" w:fill="FFFFFF"/>
        </w:rPr>
        <w:t>, c</w:t>
      </w:r>
      <w:r w:rsidRPr="00DE731A" w:rsidR="002C1D62">
        <w:rPr>
          <w:color w:val="222222"/>
          <w:szCs w:val="26"/>
          <w:shd w:val="clear" w:color="auto" w:fill="FFFFFF"/>
        </w:rPr>
        <w:t>ompensation</w:t>
      </w:r>
      <w:r w:rsidRPr="00DE731A" w:rsidR="00C85B9E">
        <w:rPr>
          <w:color w:val="222222"/>
          <w:szCs w:val="26"/>
          <w:shd w:val="clear" w:color="auto" w:fill="FFFFFF"/>
        </w:rPr>
        <w:t xml:space="preserve"> </w:t>
      </w:r>
      <w:r w:rsidRPr="00DE731A">
        <w:rPr>
          <w:color w:val="222222"/>
          <w:szCs w:val="26"/>
          <w:shd w:val="clear" w:color="auto" w:fill="FFFFFF"/>
        </w:rPr>
        <w:t xml:space="preserve">is first determined </w:t>
      </w:r>
      <w:r w:rsidRPr="00DE731A" w:rsidR="00C85B9E">
        <w:rPr>
          <w:color w:val="222222"/>
          <w:szCs w:val="26"/>
          <w:shd w:val="clear" w:color="auto" w:fill="FFFFFF"/>
        </w:rPr>
        <w:t xml:space="preserve">for </w:t>
      </w:r>
      <w:r w:rsidRPr="00DE731A">
        <w:rPr>
          <w:color w:val="222222"/>
          <w:szCs w:val="26"/>
          <w:shd w:val="clear" w:color="auto" w:fill="FFFFFF"/>
        </w:rPr>
        <w:t>each</w:t>
      </w:r>
      <w:r w:rsidRPr="00DE731A" w:rsidR="00C85B9E">
        <w:rPr>
          <w:color w:val="222222"/>
          <w:szCs w:val="26"/>
          <w:shd w:val="clear" w:color="auto" w:fill="FFFFFF"/>
        </w:rPr>
        <w:t xml:space="preserve"> duty period </w:t>
      </w:r>
      <w:r w:rsidRPr="00DE731A" w:rsidR="00BB55D1">
        <w:rPr>
          <w:color w:val="222222"/>
          <w:szCs w:val="26"/>
          <w:shd w:val="clear" w:color="auto" w:fill="FFFFFF"/>
        </w:rPr>
        <w:t xml:space="preserve">within a rotation </w:t>
      </w:r>
      <w:r w:rsidRPr="00DE731A" w:rsidR="002C1D62">
        <w:rPr>
          <w:color w:val="222222"/>
          <w:szCs w:val="26"/>
          <w:shd w:val="clear" w:color="auto" w:fill="FFFFFF"/>
        </w:rPr>
        <w:t xml:space="preserve">by </w:t>
      </w:r>
      <w:r w:rsidRPr="00DE731A" w:rsidR="00C85B9E">
        <w:rPr>
          <w:color w:val="222222"/>
          <w:szCs w:val="26"/>
          <w:shd w:val="clear" w:color="auto" w:fill="FFFFFF"/>
        </w:rPr>
        <w:t xml:space="preserve">comparing three calculations and choosing the highest pay from among these:  “Each duty period of a rotation pays the greatest of: </w:t>
      </w:r>
      <w:r w:rsidRPr="00DE731A" w:rsidR="00E82074">
        <w:rPr>
          <w:color w:val="222222"/>
          <w:szCs w:val="26"/>
          <w:shd w:val="clear" w:color="auto" w:fill="FFFFFF"/>
        </w:rPr>
        <w:t xml:space="preserve"> </w:t>
      </w:r>
      <w:r w:rsidRPr="00DE731A" w:rsidR="00C27CEE">
        <w:rPr>
          <w:color w:val="222222"/>
          <w:szCs w:val="26"/>
          <w:shd w:val="clear" w:color="auto" w:fill="FFFFFF"/>
        </w:rPr>
        <w:t xml:space="preserve"> [¶]  </w:t>
      </w:r>
      <w:r w:rsidRPr="00DE731A" w:rsidR="00C85B9E">
        <w:rPr>
          <w:color w:val="222222"/>
          <w:szCs w:val="26"/>
          <w:shd w:val="clear" w:color="auto" w:fill="FFFFFF"/>
        </w:rPr>
        <w:t>1)</w:t>
      </w:r>
      <w:r w:rsidRPr="00DE731A" w:rsidR="00E82074">
        <w:rPr>
          <w:color w:val="222222"/>
          <w:szCs w:val="26"/>
          <w:shd w:val="clear" w:color="auto" w:fill="FFFFFF"/>
        </w:rPr>
        <w:t> </w:t>
      </w:r>
      <w:r w:rsidRPr="00DE731A" w:rsidR="00C85B9E">
        <w:rPr>
          <w:color w:val="222222"/>
          <w:szCs w:val="26"/>
          <w:shd w:val="clear" w:color="auto" w:fill="FFFFFF"/>
        </w:rPr>
        <w:t>flight time (includ</w:t>
      </w:r>
      <w:r w:rsidRPr="00DE731A" w:rsidR="00C27CEE">
        <w:rPr>
          <w:color w:val="222222"/>
          <w:szCs w:val="26"/>
          <w:shd w:val="clear" w:color="auto" w:fill="FFFFFF"/>
        </w:rPr>
        <w:t>es</w:t>
      </w:r>
      <w:r w:rsidRPr="00DE731A" w:rsidR="00C85B9E">
        <w:rPr>
          <w:color w:val="222222"/>
          <w:szCs w:val="26"/>
          <w:shd w:val="clear" w:color="auto" w:fill="FFFFFF"/>
        </w:rPr>
        <w:t xml:space="preserve"> deadhead flight time, minutes under, and flight pay for ground time), or </w:t>
      </w:r>
      <w:r w:rsidRPr="00DE731A" w:rsidR="00C27CEE">
        <w:rPr>
          <w:color w:val="222222"/>
          <w:szCs w:val="26"/>
          <w:shd w:val="clear" w:color="auto" w:fill="FFFFFF"/>
        </w:rPr>
        <w:t xml:space="preserve"> [¶]  </w:t>
      </w:r>
      <w:r w:rsidRPr="00DE731A" w:rsidR="00C85B9E">
        <w:rPr>
          <w:color w:val="222222"/>
          <w:szCs w:val="26"/>
          <w:shd w:val="clear" w:color="auto" w:fill="FFFFFF"/>
        </w:rPr>
        <w:t>2)</w:t>
      </w:r>
      <w:r w:rsidRPr="00DE731A" w:rsidR="00E82074">
        <w:rPr>
          <w:color w:val="222222"/>
          <w:szCs w:val="26"/>
          <w:shd w:val="clear" w:color="auto" w:fill="FFFFFF"/>
        </w:rPr>
        <w:t> </w:t>
      </w:r>
      <w:r w:rsidRPr="00DE731A" w:rsidR="00C85B9E">
        <w:rPr>
          <w:color w:val="222222"/>
          <w:szCs w:val="26"/>
          <w:shd w:val="clear" w:color="auto" w:fill="FFFFFF"/>
        </w:rPr>
        <w:t xml:space="preserve">4:45 minimum duty period credit (MDC), or </w:t>
      </w:r>
      <w:r w:rsidRPr="00DE731A" w:rsidR="00C27CEE">
        <w:rPr>
          <w:color w:val="222222"/>
          <w:szCs w:val="26"/>
          <w:shd w:val="clear" w:color="auto" w:fill="FFFFFF"/>
        </w:rPr>
        <w:t xml:space="preserve"> [¶]  </w:t>
      </w:r>
      <w:r w:rsidRPr="00DE731A" w:rsidR="00C85B9E">
        <w:rPr>
          <w:color w:val="222222"/>
          <w:szCs w:val="26"/>
          <w:shd w:val="clear" w:color="auto" w:fill="FFFFFF"/>
        </w:rPr>
        <w:t>3)</w:t>
      </w:r>
      <w:r w:rsidRPr="00DE731A" w:rsidR="00E82074">
        <w:rPr>
          <w:color w:val="222222"/>
          <w:szCs w:val="26"/>
          <w:shd w:val="clear" w:color="auto" w:fill="FFFFFF"/>
        </w:rPr>
        <w:t> </w:t>
      </w:r>
      <w:r w:rsidRPr="00DE731A" w:rsidR="00C85B9E">
        <w:rPr>
          <w:color w:val="222222"/>
          <w:szCs w:val="26"/>
          <w:shd w:val="clear" w:color="auto" w:fill="FFFFFF"/>
        </w:rPr>
        <w:t>1 for 2 duty period credit (DPC).”</w:t>
      </w:r>
      <w:r w:rsidRPr="00DE731A" w:rsidR="002C1D62">
        <w:rPr>
          <w:color w:val="222222"/>
          <w:szCs w:val="26"/>
          <w:shd w:val="clear" w:color="auto" w:fill="FFFFFF"/>
        </w:rPr>
        <w:t xml:space="preserve">  </w:t>
      </w:r>
      <w:r w:rsidRPr="00DE731A" w:rsidR="00BB55D1">
        <w:rPr>
          <w:color w:val="222222"/>
          <w:szCs w:val="26"/>
          <w:shd w:val="clear" w:color="auto" w:fill="FFFFFF"/>
        </w:rPr>
        <w:t>Second</w:t>
      </w:r>
      <w:r w:rsidRPr="00DE731A" w:rsidR="002C1D62">
        <w:rPr>
          <w:color w:val="222222"/>
          <w:szCs w:val="26"/>
          <w:shd w:val="clear" w:color="auto" w:fill="FFFFFF"/>
        </w:rPr>
        <w:t xml:space="preserve">, </w:t>
      </w:r>
      <w:r w:rsidRPr="00DE731A" w:rsidR="00A5263A">
        <w:rPr>
          <w:color w:val="222222"/>
          <w:szCs w:val="26"/>
          <w:shd w:val="clear" w:color="auto" w:fill="FFFFFF"/>
        </w:rPr>
        <w:t xml:space="preserve">the maximum </w:t>
      </w:r>
      <w:r w:rsidRPr="00DE731A" w:rsidR="002C1D62">
        <w:rPr>
          <w:color w:val="222222"/>
          <w:szCs w:val="26"/>
          <w:shd w:val="clear" w:color="auto" w:fill="FFFFFF"/>
        </w:rPr>
        <w:t xml:space="preserve">pay for all duty periods within a rotation is </w:t>
      </w:r>
      <w:r w:rsidRPr="00DE731A" w:rsidR="00A00AB4">
        <w:rPr>
          <w:color w:val="222222"/>
          <w:szCs w:val="26"/>
          <w:shd w:val="clear" w:color="auto" w:fill="FFFFFF"/>
        </w:rPr>
        <w:t>summed</w:t>
      </w:r>
      <w:r w:rsidRPr="00DE731A" w:rsidR="002C1D62">
        <w:rPr>
          <w:color w:val="222222"/>
          <w:szCs w:val="26"/>
          <w:shd w:val="clear" w:color="auto" w:fill="FFFFFF"/>
        </w:rPr>
        <w:t xml:space="preserve"> and compared against a fourth formula based on the length of the rotation</w:t>
      </w:r>
      <w:r w:rsidRPr="00DE731A" w:rsidR="00CB0598">
        <w:rPr>
          <w:color w:val="222222"/>
          <w:szCs w:val="26"/>
          <w:shd w:val="clear" w:color="auto" w:fill="FFFFFF"/>
        </w:rPr>
        <w:t xml:space="preserve">, and flight attendants are paid whichever </w:t>
      </w:r>
      <w:r w:rsidRPr="00DE731A" w:rsidR="00A00AB4">
        <w:rPr>
          <w:color w:val="222222"/>
          <w:szCs w:val="26"/>
          <w:shd w:val="clear" w:color="auto" w:fill="FFFFFF"/>
        </w:rPr>
        <w:t xml:space="preserve">of these two </w:t>
      </w:r>
      <w:r w:rsidRPr="00DE731A" w:rsidR="00CB0598">
        <w:rPr>
          <w:color w:val="222222"/>
          <w:szCs w:val="26"/>
          <w:shd w:val="clear" w:color="auto" w:fill="FFFFFF"/>
        </w:rPr>
        <w:t>amount</w:t>
      </w:r>
      <w:r w:rsidRPr="00DE731A" w:rsidR="00A00AB4">
        <w:rPr>
          <w:color w:val="222222"/>
          <w:szCs w:val="26"/>
          <w:shd w:val="clear" w:color="auto" w:fill="FFFFFF"/>
        </w:rPr>
        <w:t>s</w:t>
      </w:r>
      <w:r w:rsidRPr="00DE731A" w:rsidR="00CB0598">
        <w:rPr>
          <w:color w:val="222222"/>
          <w:szCs w:val="26"/>
          <w:shd w:val="clear" w:color="auto" w:fill="FFFFFF"/>
        </w:rPr>
        <w:t xml:space="preserve"> is greater.</w:t>
      </w:r>
      <w:r>
        <w:rPr>
          <w:rStyle w:val="FootnoteReference"/>
          <w:color w:val="222222"/>
          <w:szCs w:val="26"/>
          <w:shd w:val="clear" w:color="auto" w:fill="FFFFFF"/>
        </w:rPr>
        <w:footnoteReference w:id="8"/>
      </w:r>
      <w:r w:rsidR="00155A40">
        <w:rPr>
          <w:color w:val="222222"/>
          <w:szCs w:val="26"/>
          <w:shd w:val="clear" w:color="auto" w:fill="FFFFFF"/>
        </w:rPr>
        <w:t xml:space="preserve">  Thus, although hours worked, or credited, are elements in these successive computations and comparisons to determine an employee’s pay, Delta does not promise to pay by the hour, nor does it promise to pay for certain hours and not others.</w:t>
      </w:r>
    </w:p>
    <w:p w:rsidR="00A5263A" w:rsidRPr="00DE731A" w:rsidP="00DE731A" w14:paraId="0E3F54F3" w14:textId="5048BEE4">
      <w:pPr>
        <w:tabs>
          <w:tab w:val="left" w:pos="1440"/>
        </w:tabs>
        <w:ind w:firstLine="720"/>
        <w:rPr>
          <w:color w:val="222222"/>
          <w:szCs w:val="26"/>
          <w:shd w:val="clear" w:color="auto" w:fill="FFFFFF"/>
        </w:rPr>
      </w:pPr>
      <w:r>
        <w:rPr>
          <w:color w:val="222222"/>
          <w:szCs w:val="26"/>
          <w:shd w:val="clear" w:color="auto" w:fill="FFFFFF"/>
        </w:rPr>
        <w:t xml:space="preserve">The promise to pay by rotation is also reflected in the procedures Delta </w:t>
      </w:r>
      <w:r w:rsidR="000F0379">
        <w:rPr>
          <w:color w:val="222222"/>
          <w:szCs w:val="26"/>
          <w:shd w:val="clear" w:color="auto" w:fill="FFFFFF"/>
        </w:rPr>
        <w:t>use</w:t>
      </w:r>
      <w:r>
        <w:rPr>
          <w:color w:val="222222"/>
          <w:szCs w:val="26"/>
          <w:shd w:val="clear" w:color="auto" w:fill="FFFFFF"/>
        </w:rPr>
        <w:t xml:space="preserve">s for distributing work assignments.  The nature of these procedures is undisputed:  </w:t>
      </w:r>
      <w:r>
        <w:t xml:space="preserve">Each month, Delta circulates a bid packet to its flight attendants listing rotations each employee can request.  The bid packet presents the number of duty periods and length of each duty period within each rotation; report times and total scheduled flight times for the flights within each rotation; and the amount of time the flight attendant can expect to be away from base.  The bid packet also shows which formula will apply and the minimum amount flight attendants would be paid for the rotation at their particular contractually established “flight pay” rate.  (See </w:t>
      </w:r>
      <w:r w:rsidRPr="00B64CB7">
        <w:rPr>
          <w:i/>
          <w:szCs w:val="26"/>
        </w:rPr>
        <w:t xml:space="preserve">Oman v. </w:t>
      </w:r>
      <w:r w:rsidRPr="00B64CB7">
        <w:rPr>
          <w:i/>
          <w:color w:val="000000" w:themeColor="text1"/>
          <w:szCs w:val="26"/>
        </w:rPr>
        <w:t>Delta Air Lines, Inc.</w:t>
      </w:r>
      <w:r>
        <w:rPr>
          <w:color w:val="000000" w:themeColor="text1"/>
          <w:szCs w:val="26"/>
        </w:rPr>
        <w:t xml:space="preserve">, </w:t>
      </w:r>
      <w:r>
        <w:rPr>
          <w:i/>
          <w:color w:val="000000" w:themeColor="text1"/>
          <w:szCs w:val="26"/>
        </w:rPr>
        <w:t>supra</w:t>
      </w:r>
      <w:r>
        <w:rPr>
          <w:color w:val="000000" w:themeColor="text1"/>
          <w:szCs w:val="26"/>
        </w:rPr>
        <w:t xml:space="preserve">, </w:t>
      </w:r>
      <w:r w:rsidRPr="00B64CB7">
        <w:rPr>
          <w:color w:val="000000" w:themeColor="text1"/>
          <w:szCs w:val="26"/>
        </w:rPr>
        <w:t xml:space="preserve">153 F.Supp.3d </w:t>
      </w:r>
      <w:r>
        <w:rPr>
          <w:color w:val="000000" w:themeColor="text1"/>
          <w:szCs w:val="26"/>
        </w:rPr>
        <w:t xml:space="preserve">at pp. 1096–1098.)  Flight attendants then submit their rotation preferences, with the understanding that their pay for each rotation will be no less than the amount derivable from the bid packet.  That Delta pays flight attendants by the rotation, and what it will pay for any particular rotation, are fully disclosed.  </w:t>
      </w:r>
      <w:r>
        <w:t>Delta then gives flight attendants access to electronic databases that track credits and pay earned for each assigned rotation</w:t>
      </w:r>
      <w:r w:rsidRPr="00DE731A" w:rsidR="00496804">
        <w:t>.</w:t>
      </w:r>
      <w:r w:rsidRPr="00DE731A" w:rsidR="00496804">
        <w:rPr>
          <w:rStyle w:val="FootnoteReference"/>
          <w:color w:val="000000" w:themeColor="text1"/>
          <w:szCs w:val="26"/>
        </w:rPr>
        <w:t xml:space="preserve"> </w:t>
      </w:r>
    </w:p>
    <w:p w:rsidR="00BF2798" w:rsidRPr="00DE731A" w:rsidP="00DE731A" w14:paraId="45B63C37" w14:textId="6A162F7F">
      <w:pPr>
        <w:tabs>
          <w:tab w:val="left" w:pos="1440"/>
        </w:tabs>
        <w:ind w:firstLine="720"/>
        <w:rPr>
          <w:color w:val="222222"/>
          <w:szCs w:val="26"/>
          <w:shd w:val="clear" w:color="auto" w:fill="FFFFFF"/>
        </w:rPr>
      </w:pPr>
      <w:r>
        <w:rPr>
          <w:color w:val="222222"/>
          <w:szCs w:val="26"/>
          <w:shd w:val="clear" w:color="auto" w:fill="FFFFFF"/>
        </w:rPr>
        <w:t xml:space="preserve">Delta’s four-formula method for calculating compensation guarantees that flight attendants are always paid above the minimum wage for the hours worked during each rotation without borrowing from compensation promised for other rotations.  Under one of the four formulas—the one-for-two duty period credit formula—pay is calculated </w:t>
      </w:r>
      <w:r w:rsidRPr="00AA58E5">
        <w:rPr>
          <w:color w:val="222222"/>
          <w:szCs w:val="26"/>
          <w:shd w:val="clear" w:color="auto" w:fill="FFFFFF"/>
        </w:rPr>
        <w:t xml:space="preserve">by multiplying the attendant’s </w:t>
      </w:r>
      <w:r>
        <w:rPr>
          <w:color w:val="222222"/>
          <w:szCs w:val="26"/>
          <w:shd w:val="clear" w:color="auto" w:fill="FFFFFF"/>
        </w:rPr>
        <w:t xml:space="preserve">established flight </w:t>
      </w:r>
      <w:r w:rsidRPr="00AA58E5">
        <w:rPr>
          <w:color w:val="222222"/>
          <w:szCs w:val="26"/>
          <w:shd w:val="clear" w:color="auto" w:fill="FFFFFF"/>
        </w:rPr>
        <w:t xml:space="preserve">pay rate by the total hours in the duty period, divided by two.  To borrow the simple example contained in Delta’s 2014 Work Rules, a flight attendant working a duty </w:t>
      </w:r>
      <w:r>
        <w:rPr>
          <w:color w:val="222222"/>
          <w:szCs w:val="26"/>
          <w:shd w:val="clear" w:color="auto" w:fill="FFFFFF"/>
        </w:rPr>
        <w:t>period</w:t>
      </w:r>
      <w:r w:rsidRPr="00AA58E5">
        <w:rPr>
          <w:color w:val="222222"/>
          <w:szCs w:val="26"/>
          <w:shd w:val="clear" w:color="auto" w:fill="FFFFFF"/>
        </w:rPr>
        <w:t xml:space="preserve"> that last</w:t>
      </w:r>
      <w:r>
        <w:rPr>
          <w:color w:val="222222"/>
          <w:szCs w:val="26"/>
          <w:shd w:val="clear" w:color="auto" w:fill="FFFFFF"/>
        </w:rPr>
        <w:t>s</w:t>
      </w:r>
      <w:r w:rsidRPr="00AA58E5">
        <w:rPr>
          <w:color w:val="222222"/>
          <w:szCs w:val="26"/>
          <w:shd w:val="clear" w:color="auto" w:fill="FFFFFF"/>
        </w:rPr>
        <w:t xml:space="preserve"> 12.5 hours would receive 6.25 hours of </w:t>
      </w:r>
      <w:r>
        <w:rPr>
          <w:color w:val="222222"/>
          <w:szCs w:val="26"/>
          <w:shd w:val="clear" w:color="auto" w:fill="FFFFFF"/>
        </w:rPr>
        <w:t>credit</w:t>
      </w:r>
      <w:r w:rsidRPr="00AA58E5">
        <w:rPr>
          <w:color w:val="222222"/>
          <w:szCs w:val="26"/>
          <w:shd w:val="clear" w:color="auto" w:fill="FFFFFF"/>
        </w:rPr>
        <w:t xml:space="preserve"> at the flight pay rate</w:t>
      </w:r>
      <w:r>
        <w:rPr>
          <w:color w:val="222222"/>
          <w:szCs w:val="26"/>
          <w:shd w:val="clear" w:color="auto" w:fill="FFFFFF"/>
        </w:rPr>
        <w:t>—a rate that in 2014 ranged from $23.28 to $53.52 depending on the employee’s years of service.  So long as the flight pay rate equals or exceeds twice the applicable minimum wage, this formula ensures a flight attendant is paid for all hours worked in every duty period at no less than the minimum wage.  And because pay for a rotation is never less than the sum of the pay for each duty period, rotation pay also will always meet or exceed the hourly minimum wage</w:t>
      </w:r>
      <w:r w:rsidRPr="00DE731A" w:rsidR="00C64BAA">
        <w:rPr>
          <w:color w:val="222222"/>
          <w:szCs w:val="26"/>
          <w:shd w:val="clear" w:color="auto" w:fill="FFFFFF"/>
        </w:rPr>
        <w:t>.</w:t>
      </w:r>
    </w:p>
    <w:p w:rsidR="00155A40" w:rsidP="00DE731A" w14:paraId="709B11D9" w14:textId="25236972">
      <w:pPr>
        <w:tabs>
          <w:tab w:val="left" w:pos="1440"/>
        </w:tabs>
        <w:ind w:firstLine="720"/>
        <w:rPr>
          <w:color w:val="222222"/>
          <w:szCs w:val="26"/>
          <w:shd w:val="clear" w:color="auto" w:fill="FFFFFF"/>
        </w:rPr>
      </w:pPr>
      <w:r>
        <w:rPr>
          <w:color w:val="222222"/>
          <w:szCs w:val="26"/>
          <w:shd w:val="clear" w:color="auto" w:fill="FFFFFF"/>
        </w:rPr>
        <w:t>Oman does not contend that any flight attendant’s flight pay rate was ever less than twice the applicable minimum wage.  But he nevertheless contends that the duty period credit formula fails to compensate flight attendants for all hours worked and instead compensates them for only half the hours worked—leaving the other half entirely uncompensated, contrary to state minimum wage law.  Specifically, as Oman reads the Work Rules, the flight attendant working a 12.5-hour duty period is being paid for only half of that time, 6.25 hours, with the remaining 6.25 hours unpaid</w:t>
      </w:r>
      <w:r w:rsidRPr="00DE731A" w:rsidR="00BF2798">
        <w:rPr>
          <w:color w:val="222222"/>
          <w:szCs w:val="26"/>
          <w:shd w:val="clear" w:color="auto" w:fill="FFFFFF"/>
        </w:rPr>
        <w:t>.</w:t>
      </w:r>
    </w:p>
    <w:p w:rsidR="005E4A3D" w:rsidRPr="00DE731A" w:rsidP="00DE731A" w14:paraId="5B8F45BA" w14:textId="29342272">
      <w:pPr>
        <w:tabs>
          <w:tab w:val="left" w:pos="1440"/>
        </w:tabs>
        <w:ind w:firstLine="720"/>
        <w:rPr>
          <w:color w:val="222222"/>
          <w:szCs w:val="26"/>
          <w:shd w:val="clear" w:color="auto" w:fill="FFFFFF"/>
        </w:rPr>
      </w:pPr>
      <w:r>
        <w:rPr>
          <w:color w:val="222222"/>
          <w:szCs w:val="26"/>
          <w:shd w:val="clear" w:color="auto" w:fill="FFFFFF"/>
        </w:rPr>
        <w:t xml:space="preserve">Oman’s reading is unsound.  </w:t>
      </w:r>
      <w:r>
        <w:t>The Work Rules do not, as he suggests, purport to compensate flight attendants only for every other hour—which is to say, they do not require a flight attendant to work an hour for free in order to earn full flight pay credit for working a second hour.  Instead, flight pay credit accumulates continuously</w:t>
      </w:r>
      <w:r>
        <w:rPr>
          <w:color w:val="222222"/>
          <w:szCs w:val="26"/>
          <w:shd w:val="clear" w:color="auto" w:fill="FFFFFF"/>
        </w:rPr>
        <w:t xml:space="preserve"> as the duration of the duty period lengthens:  </w:t>
      </w:r>
      <w:r w:rsidR="00236C4B">
        <w:rPr>
          <w:color w:val="222222"/>
          <w:szCs w:val="26"/>
          <w:shd w:val="clear" w:color="auto" w:fill="FFFFFF"/>
        </w:rPr>
        <w:t>E</w:t>
      </w:r>
      <w:r>
        <w:rPr>
          <w:color w:val="222222"/>
          <w:szCs w:val="26"/>
          <w:shd w:val="clear" w:color="auto" w:fill="FFFFFF"/>
        </w:rPr>
        <w:t xml:space="preserve">very additional minute on duty earns an employee an additional 30 seconds of flight pay credit.  </w:t>
      </w:r>
      <w:r>
        <w:t>As an example, a flight attendant subject to a $40 flight pay rate who works an eight-hour duty period would receive $160; for an 8.5-hour duty period, $170; for a nine-hour duty period, $180; and so on</w:t>
      </w:r>
      <w:r w:rsidRPr="00DE731A" w:rsidR="00E77F9A">
        <w:t>.</w:t>
      </w:r>
      <w:r>
        <w:rPr>
          <w:rStyle w:val="FootnoteReference"/>
          <w:color w:val="222222"/>
          <w:szCs w:val="26"/>
          <w:shd w:val="clear" w:color="auto" w:fill="FFFFFF"/>
        </w:rPr>
        <w:footnoteReference w:id="9"/>
      </w:r>
      <w:r w:rsidRPr="00DE731A" w:rsidR="00E77F9A">
        <w:t xml:space="preserve">  </w:t>
      </w:r>
      <w:r w:rsidRPr="00DE731A" w:rsidR="00E77F9A">
        <w:rPr>
          <w:color w:val="222222"/>
          <w:szCs w:val="26"/>
          <w:shd w:val="clear" w:color="auto" w:fill="FFFFFF"/>
        </w:rPr>
        <w:t xml:space="preserve">Each and every increment of on-duty time </w:t>
      </w:r>
      <w:r w:rsidRPr="00DE731A" w:rsidR="00BF2798">
        <w:rPr>
          <w:color w:val="222222"/>
          <w:szCs w:val="26"/>
          <w:shd w:val="clear" w:color="auto" w:fill="FFFFFF"/>
        </w:rPr>
        <w:t>is compensated</w:t>
      </w:r>
      <w:r w:rsidRPr="00DE731A" w:rsidR="00E77F9A">
        <w:rPr>
          <w:color w:val="222222"/>
          <w:szCs w:val="26"/>
          <w:shd w:val="clear" w:color="auto" w:fill="FFFFFF"/>
        </w:rPr>
        <w:t xml:space="preserve"> under the formula, and at </w:t>
      </w:r>
      <w:r w:rsidRPr="00DE731A" w:rsidR="00846E0A">
        <w:rPr>
          <w:color w:val="222222"/>
          <w:szCs w:val="26"/>
          <w:shd w:val="clear" w:color="auto" w:fill="FFFFFF"/>
        </w:rPr>
        <w:t xml:space="preserve">a rate equal to or greater than the </w:t>
      </w:r>
      <w:r w:rsidRPr="00DE731A" w:rsidR="00E77F9A">
        <w:rPr>
          <w:color w:val="222222"/>
          <w:szCs w:val="26"/>
          <w:shd w:val="clear" w:color="auto" w:fill="FFFFFF"/>
        </w:rPr>
        <w:t xml:space="preserve">hourly </w:t>
      </w:r>
      <w:r w:rsidRPr="00DE731A" w:rsidR="00846E0A">
        <w:rPr>
          <w:color w:val="222222"/>
          <w:szCs w:val="26"/>
          <w:shd w:val="clear" w:color="auto" w:fill="FFFFFF"/>
        </w:rPr>
        <w:t>minimum wage.</w:t>
      </w:r>
      <w:r w:rsidRPr="00DE731A" w:rsidR="00EA2127">
        <w:rPr>
          <w:color w:val="222222"/>
          <w:szCs w:val="26"/>
          <w:shd w:val="clear" w:color="auto" w:fill="FFFFFF"/>
        </w:rPr>
        <w:t xml:space="preserve"> </w:t>
      </w:r>
      <w:r w:rsidRPr="00DE731A" w:rsidR="00D42B10">
        <w:rPr>
          <w:color w:val="222222"/>
          <w:szCs w:val="26"/>
          <w:shd w:val="clear" w:color="auto" w:fill="FFFFFF"/>
        </w:rPr>
        <w:t xml:space="preserve"> There is no </w:t>
      </w:r>
      <w:r w:rsidRPr="00DE731A" w:rsidR="00D44813">
        <w:rPr>
          <w:color w:val="222222"/>
          <w:szCs w:val="26"/>
          <w:shd w:val="clear" w:color="auto" w:fill="FFFFFF"/>
        </w:rPr>
        <w:t>impermissible</w:t>
      </w:r>
      <w:r w:rsidRPr="00DE731A" w:rsidR="00D42B10">
        <w:rPr>
          <w:color w:val="222222"/>
          <w:szCs w:val="26"/>
          <w:shd w:val="clear" w:color="auto" w:fill="FFFFFF"/>
        </w:rPr>
        <w:t xml:space="preserve"> borrow</w:t>
      </w:r>
      <w:r w:rsidRPr="00DE731A" w:rsidR="00D44813">
        <w:rPr>
          <w:color w:val="222222"/>
          <w:szCs w:val="26"/>
          <w:shd w:val="clear" w:color="auto" w:fill="FFFFFF"/>
        </w:rPr>
        <w:t>ing</w:t>
      </w:r>
      <w:r w:rsidRPr="00DE731A" w:rsidR="00D42B10">
        <w:rPr>
          <w:color w:val="222222"/>
          <w:szCs w:val="26"/>
          <w:shd w:val="clear" w:color="auto" w:fill="FFFFFF"/>
        </w:rPr>
        <w:t xml:space="preserve"> </w:t>
      </w:r>
      <w:r w:rsidRPr="00DE731A" w:rsidR="00D44813">
        <w:rPr>
          <w:color w:val="222222"/>
          <w:szCs w:val="26"/>
          <w:shd w:val="clear" w:color="auto" w:fill="FFFFFF"/>
        </w:rPr>
        <w:t xml:space="preserve">from hours for which full flight pay was promised to cover hours for which no compensation is provided, both because every hour is compensated at the same rate (half flight pay) and because Delta never promised full flight pay for any </w:t>
      </w:r>
      <w:r w:rsidRPr="00DE731A" w:rsidR="00E53995">
        <w:rPr>
          <w:color w:val="222222"/>
          <w:szCs w:val="26"/>
          <w:shd w:val="clear" w:color="auto" w:fill="FFFFFF"/>
        </w:rPr>
        <w:t xml:space="preserve">particular </w:t>
      </w:r>
      <w:r w:rsidRPr="00DE731A" w:rsidR="00D44813">
        <w:rPr>
          <w:color w:val="222222"/>
          <w:szCs w:val="26"/>
          <w:shd w:val="clear" w:color="auto" w:fill="FFFFFF"/>
        </w:rPr>
        <w:t>hour under this formula.</w:t>
      </w:r>
    </w:p>
    <w:p w:rsidR="006F24C1" w:rsidRPr="00DE731A" w:rsidP="00DE731A" w14:paraId="6774CFFB" w14:textId="77777777">
      <w:pPr>
        <w:tabs>
          <w:tab w:val="left" w:pos="1440"/>
        </w:tabs>
        <w:ind w:firstLine="720"/>
        <w:rPr>
          <w:color w:val="222222"/>
          <w:szCs w:val="26"/>
          <w:shd w:val="clear" w:color="auto" w:fill="FFFFFF"/>
        </w:rPr>
      </w:pPr>
      <w:r w:rsidRPr="00DE731A">
        <w:rPr>
          <w:color w:val="222222"/>
          <w:szCs w:val="26"/>
          <w:shd w:val="clear" w:color="auto" w:fill="FFFFFF"/>
        </w:rPr>
        <w:t>The</w:t>
      </w:r>
      <w:r w:rsidRPr="00DE731A" w:rsidR="0078115E">
        <w:rPr>
          <w:color w:val="222222"/>
          <w:szCs w:val="26"/>
          <w:shd w:val="clear" w:color="auto" w:fill="FFFFFF"/>
        </w:rPr>
        <w:t xml:space="preserve"> </w:t>
      </w:r>
      <w:r w:rsidRPr="00DE731A" w:rsidR="00C64BAA">
        <w:rPr>
          <w:color w:val="222222"/>
          <w:szCs w:val="26"/>
          <w:shd w:val="clear" w:color="auto" w:fill="FFFFFF"/>
        </w:rPr>
        <w:t xml:space="preserve">duty period credit </w:t>
      </w:r>
      <w:r w:rsidRPr="00DE731A">
        <w:rPr>
          <w:color w:val="222222"/>
          <w:szCs w:val="26"/>
          <w:shd w:val="clear" w:color="auto" w:fill="FFFFFF"/>
        </w:rPr>
        <w:t>formula is</w:t>
      </w:r>
      <w:r w:rsidRPr="00DE731A" w:rsidR="0078115E">
        <w:rPr>
          <w:color w:val="222222"/>
          <w:szCs w:val="26"/>
          <w:shd w:val="clear" w:color="auto" w:fill="FFFFFF"/>
        </w:rPr>
        <w:t xml:space="preserve">, however, only </w:t>
      </w:r>
      <w:r w:rsidRPr="00DE731A">
        <w:rPr>
          <w:color w:val="222222"/>
          <w:szCs w:val="26"/>
          <w:shd w:val="clear" w:color="auto" w:fill="FFFFFF"/>
        </w:rPr>
        <w:t xml:space="preserve">one of four </w:t>
      </w:r>
      <w:r w:rsidRPr="00DE731A" w:rsidR="0078115E">
        <w:rPr>
          <w:color w:val="222222"/>
          <w:szCs w:val="26"/>
          <w:shd w:val="clear" w:color="auto" w:fill="FFFFFF"/>
        </w:rPr>
        <w:t xml:space="preserve">formulas </w:t>
      </w:r>
      <w:r w:rsidRPr="00DE731A">
        <w:rPr>
          <w:color w:val="222222"/>
          <w:szCs w:val="26"/>
          <w:shd w:val="clear" w:color="auto" w:fill="FFFFFF"/>
        </w:rPr>
        <w:t xml:space="preserve">that </w:t>
      </w:r>
      <w:r w:rsidRPr="00DE731A" w:rsidR="006A1215">
        <w:rPr>
          <w:color w:val="222222"/>
          <w:szCs w:val="26"/>
          <w:shd w:val="clear" w:color="auto" w:fill="FFFFFF"/>
        </w:rPr>
        <w:t>may determine flight attendant compensation; if any one of the other formulas yields a greater amount of compensation, it will instead control</w:t>
      </w:r>
      <w:r w:rsidRPr="00DE731A" w:rsidR="00D0182D">
        <w:rPr>
          <w:color w:val="222222"/>
          <w:szCs w:val="26"/>
          <w:shd w:val="clear" w:color="auto" w:fill="FFFFFF"/>
        </w:rPr>
        <w:t xml:space="preserve">.  </w:t>
      </w:r>
      <w:r w:rsidRPr="00DE731A" w:rsidR="00E55C24">
        <w:rPr>
          <w:color w:val="222222"/>
          <w:szCs w:val="26"/>
          <w:shd w:val="clear" w:color="auto" w:fill="FFFFFF"/>
        </w:rPr>
        <w:t>Oman argues that when pay is based on one of the</w:t>
      </w:r>
      <w:r w:rsidRPr="00DE731A" w:rsidR="003D3119">
        <w:rPr>
          <w:color w:val="222222"/>
          <w:szCs w:val="26"/>
          <w:shd w:val="clear" w:color="auto" w:fill="FFFFFF"/>
        </w:rPr>
        <w:t>se</w:t>
      </w:r>
      <w:r w:rsidRPr="00DE731A" w:rsidR="00E55C24">
        <w:rPr>
          <w:color w:val="222222"/>
          <w:szCs w:val="26"/>
          <w:shd w:val="clear" w:color="auto" w:fill="FFFFFF"/>
        </w:rPr>
        <w:t xml:space="preserve"> other formulas, Delta violates the state minimum wage law.</w:t>
      </w:r>
    </w:p>
    <w:p w:rsidR="00E85834" w:rsidRPr="00DE731A" w:rsidP="00DE731A" w14:paraId="1E0456C9" w14:textId="01EC2A2C">
      <w:pPr>
        <w:tabs>
          <w:tab w:val="left" w:pos="1440"/>
        </w:tabs>
        <w:ind w:firstLine="720"/>
        <w:rPr>
          <w:color w:val="222222"/>
          <w:szCs w:val="26"/>
          <w:shd w:val="clear" w:color="auto" w:fill="FFFFFF"/>
        </w:rPr>
      </w:pPr>
      <w:r>
        <w:rPr>
          <w:color w:val="222222"/>
          <w:szCs w:val="26"/>
          <w:shd w:val="clear" w:color="auto" w:fill="FFFFFF"/>
        </w:rPr>
        <w:t>Oman focuses in particular on a second formula, the flight time formula, which supplies the measure of pay for most duty periods</w:t>
      </w:r>
      <w:r w:rsidRPr="00DE731A">
        <w:rPr>
          <w:color w:val="222222"/>
          <w:szCs w:val="26"/>
          <w:shd w:val="clear" w:color="auto" w:fill="FFFFFF"/>
        </w:rPr>
        <w:t>.</w:t>
      </w:r>
      <w:r w:rsidRPr="00DE731A" w:rsidR="00466B55">
        <w:rPr>
          <w:color w:val="222222"/>
          <w:szCs w:val="26"/>
          <w:shd w:val="clear" w:color="auto" w:fill="FFFFFF"/>
        </w:rPr>
        <w:t xml:space="preserve">  </w:t>
      </w:r>
      <w:r w:rsidRPr="00DE731A" w:rsidR="00040957">
        <w:rPr>
          <w:color w:val="222222"/>
          <w:szCs w:val="26"/>
          <w:shd w:val="clear" w:color="auto" w:fill="FFFFFF"/>
        </w:rPr>
        <w:t>(</w:t>
      </w:r>
      <w:r w:rsidRPr="00DE731A" w:rsidR="00040957">
        <w:rPr>
          <w:i/>
          <w:szCs w:val="26"/>
        </w:rPr>
        <w:t xml:space="preserve">Oman v. </w:t>
      </w:r>
      <w:r w:rsidRPr="00DE731A" w:rsidR="00040957">
        <w:rPr>
          <w:i/>
          <w:color w:val="000000" w:themeColor="text1"/>
          <w:szCs w:val="26"/>
        </w:rPr>
        <w:t>Delta Air Lines, Inc.</w:t>
      </w:r>
      <w:r w:rsidRPr="00DE731A" w:rsidR="00040957">
        <w:rPr>
          <w:color w:val="000000" w:themeColor="text1"/>
          <w:szCs w:val="26"/>
        </w:rPr>
        <w:t xml:space="preserve">, </w:t>
      </w:r>
      <w:r w:rsidRPr="00DE731A" w:rsidR="00040957">
        <w:rPr>
          <w:i/>
          <w:color w:val="000000" w:themeColor="text1"/>
          <w:szCs w:val="26"/>
        </w:rPr>
        <w:t>supra</w:t>
      </w:r>
      <w:r w:rsidRPr="00DE731A" w:rsidR="00040957">
        <w:rPr>
          <w:color w:val="000000" w:themeColor="text1"/>
          <w:szCs w:val="26"/>
        </w:rPr>
        <w:t>, 153 F.Supp.3d at pp. 1100–1101</w:t>
      </w:r>
      <w:r w:rsidRPr="00DE731A" w:rsidR="00F83167">
        <w:rPr>
          <w:color w:val="000000" w:themeColor="text1"/>
          <w:szCs w:val="26"/>
        </w:rPr>
        <w:t>.</w:t>
      </w:r>
      <w:r w:rsidRPr="00DE731A" w:rsidR="00F83167">
        <w:rPr>
          <w:color w:val="222222"/>
          <w:szCs w:val="26"/>
          <w:shd w:val="clear" w:color="auto" w:fill="FFFFFF"/>
        </w:rPr>
        <w:t xml:space="preserve">)  </w:t>
      </w:r>
      <w:r w:rsidRPr="00DE731A">
        <w:rPr>
          <w:color w:val="222222"/>
          <w:szCs w:val="26"/>
          <w:shd w:val="clear" w:color="auto" w:fill="FFFFFF"/>
        </w:rPr>
        <w:t xml:space="preserve">Under this formula, an attendant is paid at the contractually established flight pay rate for each period between flight “block out” and “block in”—the period between when each flight departs the block, or gate, and arrives at the destination gate.  The established flight pay rate is multiplied by the longer of the scheduled flight time or the actual flight time.  Time between reporting for duty and the first flight block out, during any </w:t>
      </w:r>
      <w:r w:rsidRPr="00DE731A" w:rsidR="00930C38">
        <w:rPr>
          <w:color w:val="222222"/>
          <w:szCs w:val="26"/>
          <w:shd w:val="clear" w:color="auto" w:fill="FFFFFF"/>
        </w:rPr>
        <w:t>between-flights</w:t>
      </w:r>
      <w:r w:rsidRPr="00DE731A">
        <w:rPr>
          <w:color w:val="222222"/>
          <w:szCs w:val="26"/>
          <w:shd w:val="clear" w:color="auto" w:fill="FFFFFF"/>
        </w:rPr>
        <w:t xml:space="preserve"> sit time, and after the last flight block in until release, is not directly factored into the calculation.</w:t>
      </w:r>
      <w:r w:rsidRPr="00DE731A" w:rsidR="00930C38">
        <w:rPr>
          <w:color w:val="222222"/>
          <w:szCs w:val="26"/>
          <w:shd w:val="clear" w:color="auto" w:fill="FFFFFF"/>
        </w:rPr>
        <w:t xml:space="preserve">  For duty periods where the flight time comprises less than 50 percent of the total on-duty time, a flight attendant can still be compensated according to the duty period credit formula</w:t>
      </w:r>
      <w:r w:rsidRPr="00DE731A" w:rsidR="009937DA">
        <w:rPr>
          <w:color w:val="222222"/>
          <w:szCs w:val="26"/>
          <w:shd w:val="clear" w:color="auto" w:fill="FFFFFF"/>
        </w:rPr>
        <w:t xml:space="preserve"> described above</w:t>
      </w:r>
      <w:r w:rsidRPr="00DE731A" w:rsidR="00FC6BE1">
        <w:rPr>
          <w:color w:val="222222"/>
          <w:szCs w:val="26"/>
          <w:shd w:val="clear" w:color="auto" w:fill="FFFFFF"/>
        </w:rPr>
        <w:t xml:space="preserve">; the flight time formula operates only to supply additional compensation, above and beyond the compensation that would be owed under the duty period credit formula, for periods where flight time </w:t>
      </w:r>
      <w:r w:rsidRPr="00DE731A" w:rsidR="00930C38">
        <w:rPr>
          <w:color w:val="222222"/>
          <w:szCs w:val="26"/>
          <w:shd w:val="clear" w:color="auto" w:fill="FFFFFF"/>
        </w:rPr>
        <w:t xml:space="preserve">exceeds </w:t>
      </w:r>
      <w:r w:rsidRPr="00DE731A" w:rsidR="0068090E">
        <w:rPr>
          <w:color w:val="222222"/>
          <w:szCs w:val="26"/>
          <w:shd w:val="clear" w:color="auto" w:fill="FFFFFF"/>
        </w:rPr>
        <w:t>th</w:t>
      </w:r>
      <w:r w:rsidRPr="00DE731A" w:rsidR="00FC6BE1">
        <w:rPr>
          <w:color w:val="222222"/>
          <w:szCs w:val="26"/>
          <w:shd w:val="clear" w:color="auto" w:fill="FFFFFF"/>
        </w:rPr>
        <w:t>is</w:t>
      </w:r>
      <w:r w:rsidRPr="00DE731A" w:rsidR="0068090E">
        <w:rPr>
          <w:color w:val="222222"/>
          <w:szCs w:val="26"/>
          <w:shd w:val="clear" w:color="auto" w:fill="FFFFFF"/>
        </w:rPr>
        <w:t xml:space="preserve"> 50 percent </w:t>
      </w:r>
      <w:r w:rsidRPr="00DE731A" w:rsidR="00930C38">
        <w:rPr>
          <w:color w:val="222222"/>
          <w:szCs w:val="26"/>
          <w:shd w:val="clear" w:color="auto" w:fill="FFFFFF"/>
        </w:rPr>
        <w:t>threshold.</w:t>
      </w:r>
    </w:p>
    <w:p w:rsidR="007720C7" w:rsidRPr="00DE731A" w:rsidP="00DE731A" w14:paraId="747045F9" w14:textId="04EAA735">
      <w:pPr>
        <w:tabs>
          <w:tab w:val="left" w:pos="1440"/>
        </w:tabs>
        <w:ind w:firstLine="720"/>
        <w:rPr>
          <w:color w:val="222222"/>
          <w:szCs w:val="26"/>
          <w:shd w:val="clear" w:color="auto" w:fill="FFFFFF"/>
        </w:rPr>
      </w:pPr>
      <w:r>
        <w:rPr>
          <w:color w:val="222222"/>
          <w:szCs w:val="26"/>
          <w:shd w:val="clear" w:color="auto" w:fill="FFFFFF"/>
        </w:rPr>
        <w:t>As Oman observes, there are on-duty periods to which the flight time formula does not directly attribute compensation, such as preflight briefings</w:t>
      </w:r>
      <w:r w:rsidRPr="00DE731A" w:rsidR="00930C38">
        <w:rPr>
          <w:color w:val="222222"/>
          <w:szCs w:val="26"/>
          <w:shd w:val="clear" w:color="auto" w:fill="FFFFFF"/>
        </w:rPr>
        <w:t>.</w:t>
      </w:r>
      <w:r w:rsidRPr="00DE731A" w:rsidR="00E33333">
        <w:rPr>
          <w:color w:val="222222"/>
          <w:szCs w:val="26"/>
          <w:shd w:val="clear" w:color="auto" w:fill="FFFFFF"/>
        </w:rPr>
        <w:t xml:space="preserve">  Oman contends that Delta’s failure to specify a particular pay rate specific to these periods of time </w:t>
      </w:r>
      <w:r w:rsidRPr="00DE731A" w:rsidR="00E8461D">
        <w:rPr>
          <w:color w:val="222222"/>
          <w:szCs w:val="26"/>
          <w:shd w:val="clear" w:color="auto" w:fill="FFFFFF"/>
        </w:rPr>
        <w:t>violates the obligation to pay at least minimum wage for all hours worked.  A</w:t>
      </w:r>
      <w:r w:rsidRPr="00DE731A" w:rsidR="0030606E">
        <w:rPr>
          <w:color w:val="222222"/>
          <w:szCs w:val="26"/>
          <w:shd w:val="clear" w:color="auto" w:fill="FFFFFF"/>
        </w:rPr>
        <w:t>nd, a</w:t>
      </w:r>
      <w:r w:rsidRPr="00DE731A" w:rsidR="00E8461D">
        <w:rPr>
          <w:color w:val="222222"/>
          <w:szCs w:val="26"/>
          <w:shd w:val="clear" w:color="auto" w:fill="FFFFFF"/>
        </w:rPr>
        <w:t xml:space="preserve">ccording to Oman, </w:t>
      </w:r>
      <w:r w:rsidRPr="00DE731A" w:rsidR="0030606E">
        <w:rPr>
          <w:color w:val="222222"/>
          <w:szCs w:val="26"/>
          <w:shd w:val="clear" w:color="auto" w:fill="FFFFFF"/>
        </w:rPr>
        <w:t>any attempt to</w:t>
      </w:r>
      <w:r w:rsidRPr="00DE731A" w:rsidR="00E8461D">
        <w:rPr>
          <w:color w:val="222222"/>
          <w:szCs w:val="26"/>
          <w:shd w:val="clear" w:color="auto" w:fill="FFFFFF"/>
        </w:rPr>
        <w:t xml:space="preserve"> satisfy the minimum wage law by </w:t>
      </w:r>
      <w:r w:rsidRPr="00DE731A" w:rsidR="00FF2C37">
        <w:rPr>
          <w:color w:val="222222"/>
          <w:szCs w:val="26"/>
          <w:shd w:val="clear" w:color="auto" w:fill="FFFFFF"/>
        </w:rPr>
        <w:t xml:space="preserve">averaging the </w:t>
      </w:r>
      <w:r w:rsidRPr="00DE731A" w:rsidR="007A1F10">
        <w:rPr>
          <w:color w:val="222222"/>
          <w:szCs w:val="26"/>
          <w:shd w:val="clear" w:color="auto" w:fill="FFFFFF"/>
        </w:rPr>
        <w:t xml:space="preserve">flight attendant’s pay over the </w:t>
      </w:r>
      <w:r w:rsidRPr="00DE731A" w:rsidR="008B3EF9">
        <w:rPr>
          <w:color w:val="222222"/>
          <w:szCs w:val="26"/>
          <w:shd w:val="clear" w:color="auto" w:fill="FFFFFF"/>
        </w:rPr>
        <w:t>entire span of the duty period</w:t>
      </w:r>
      <w:r w:rsidRPr="00DE731A" w:rsidR="003618CD">
        <w:rPr>
          <w:color w:val="222222"/>
          <w:szCs w:val="26"/>
          <w:shd w:val="clear" w:color="auto" w:fill="FFFFFF"/>
        </w:rPr>
        <w:t xml:space="preserve"> would</w:t>
      </w:r>
      <w:r w:rsidRPr="00DE731A" w:rsidR="00AD5ACE">
        <w:rPr>
          <w:color w:val="222222"/>
          <w:szCs w:val="26"/>
          <w:shd w:val="clear" w:color="auto" w:fill="FFFFFF"/>
        </w:rPr>
        <w:t xml:space="preserve"> violate the </w:t>
      </w:r>
      <w:r w:rsidRPr="00DE731A" w:rsidR="00E8461D">
        <w:rPr>
          <w:color w:val="222222"/>
          <w:szCs w:val="26"/>
          <w:shd w:val="clear" w:color="auto" w:fill="FFFFFF"/>
        </w:rPr>
        <w:t xml:space="preserve">no-borrowing </w:t>
      </w:r>
      <w:r w:rsidRPr="00DE731A" w:rsidR="00AD5ACE">
        <w:rPr>
          <w:color w:val="222222"/>
          <w:szCs w:val="26"/>
          <w:shd w:val="clear" w:color="auto" w:fill="FFFFFF"/>
        </w:rPr>
        <w:t xml:space="preserve">rule of </w:t>
      </w:r>
      <w:r w:rsidRPr="00DE731A" w:rsidR="00AD5ACE">
        <w:rPr>
          <w:i/>
          <w:color w:val="222222"/>
          <w:szCs w:val="26"/>
          <w:shd w:val="clear" w:color="auto" w:fill="FFFFFF"/>
        </w:rPr>
        <w:t>Armenta</w:t>
      </w:r>
      <w:r w:rsidRPr="00DE731A" w:rsidR="00E8461D">
        <w:rPr>
          <w:iCs/>
          <w:color w:val="222222"/>
          <w:szCs w:val="26"/>
          <w:shd w:val="clear" w:color="auto" w:fill="FFFFFF"/>
        </w:rPr>
        <w:t xml:space="preserve"> and </w:t>
      </w:r>
      <w:r w:rsidRPr="00DE731A" w:rsidR="0005429C">
        <w:rPr>
          <w:iCs/>
          <w:color w:val="222222"/>
          <w:szCs w:val="26"/>
          <w:shd w:val="clear" w:color="auto" w:fill="FFFFFF"/>
        </w:rPr>
        <w:t>its progeny</w:t>
      </w:r>
      <w:r w:rsidRPr="00DE731A" w:rsidR="00AD5ACE">
        <w:rPr>
          <w:color w:val="222222"/>
          <w:szCs w:val="26"/>
          <w:shd w:val="clear" w:color="auto" w:fill="FFFFFF"/>
        </w:rPr>
        <w:t>.</w:t>
      </w:r>
    </w:p>
    <w:p w:rsidR="00C1435A" w:rsidRPr="00DE731A" w:rsidP="00DE731A" w14:paraId="754BF6BB" w14:textId="60F1E2FB">
      <w:pPr>
        <w:tabs>
          <w:tab w:val="left" w:pos="1440"/>
        </w:tabs>
        <w:ind w:firstLine="720"/>
        <w:rPr>
          <w:color w:val="222222"/>
          <w:szCs w:val="26"/>
          <w:shd w:val="clear" w:color="auto" w:fill="FFFFFF"/>
        </w:rPr>
      </w:pPr>
      <w:r>
        <w:rPr>
          <w:color w:val="222222"/>
          <w:szCs w:val="26"/>
          <w:shd w:val="clear" w:color="auto" w:fill="FFFFFF"/>
        </w:rPr>
        <w:t xml:space="preserve">Oman’s argument depends on a particular view of the role of the flight time formula under the parties’ contract:  That, by offering flight attendants a fixed amount of compensation for a particular rotation, but also disclosing the formula on which it has arrived at that amount, Delta has in effect promised to compensate flight attendants at their full flight pay rate for hours in flight, and not to compensate them at all for their other hours worked.  But even if this were a plausible view of the flight time formula in isolation, it is not a plausible view of the formula as it operates in the broader context of the Work Rules.  Under those rules, the flight time formula is just one of four components of a single compensation scheme that constitutes Delta’s contractual promise to its flight attendants.  Flight attendants are presented with information about the entire scheme and bid on their work assignments according to the entire scheme.  And the scheme, taken as a whole, does not promise any particular compensation for any particular hour of work; instead, as discussed above, it offers a guaranteed level of compensation for each </w:t>
      </w:r>
      <w:r>
        <w:rPr>
          <w:i/>
          <w:color w:val="222222"/>
          <w:szCs w:val="26"/>
          <w:shd w:val="clear" w:color="auto" w:fill="FFFFFF"/>
        </w:rPr>
        <w:t>duty period</w:t>
      </w:r>
      <w:r>
        <w:rPr>
          <w:color w:val="222222"/>
          <w:szCs w:val="26"/>
          <w:shd w:val="clear" w:color="auto" w:fill="FFFFFF"/>
        </w:rPr>
        <w:t xml:space="preserve"> and each </w:t>
      </w:r>
      <w:r>
        <w:rPr>
          <w:i/>
          <w:color w:val="222222"/>
          <w:szCs w:val="26"/>
          <w:shd w:val="clear" w:color="auto" w:fill="FFFFFF"/>
        </w:rPr>
        <w:t>rotation</w:t>
      </w:r>
      <w:r>
        <w:rPr>
          <w:color w:val="222222"/>
          <w:szCs w:val="26"/>
          <w:shd w:val="clear" w:color="auto" w:fill="FFFFFF"/>
        </w:rPr>
        <w:t xml:space="preserve">.  Because there are no on-duty hours for which Delta contractually guarantees certain pay—but from which compensation must be borrowed to cover other un- or undercompensated on-duty hours—the concerns presented by the compensation scheme in </w:t>
      </w:r>
      <w:r>
        <w:rPr>
          <w:i/>
          <w:color w:val="222222"/>
          <w:szCs w:val="26"/>
          <w:shd w:val="clear" w:color="auto" w:fill="FFFFFF"/>
        </w:rPr>
        <w:t>Armenta</w:t>
      </w:r>
      <w:r>
        <w:rPr>
          <w:color w:val="222222"/>
          <w:szCs w:val="26"/>
          <w:shd w:val="clear" w:color="auto" w:fill="FFFFFF"/>
        </w:rPr>
        <w:t xml:space="preserve">, </w:t>
      </w:r>
      <w:r>
        <w:rPr>
          <w:i/>
          <w:color w:val="222222"/>
          <w:szCs w:val="26"/>
          <w:shd w:val="clear" w:color="auto" w:fill="FFFFFF"/>
        </w:rPr>
        <w:t>supra</w:t>
      </w:r>
      <w:r>
        <w:rPr>
          <w:color w:val="222222"/>
          <w:szCs w:val="26"/>
          <w:shd w:val="clear" w:color="auto" w:fill="FFFFFF"/>
        </w:rPr>
        <w:t xml:space="preserve">, 135 </w:t>
      </w:r>
      <w:r w:rsidRPr="009F3CF1">
        <w:rPr>
          <w:color w:val="222222"/>
          <w:szCs w:val="26"/>
          <w:shd w:val="clear" w:color="auto" w:fill="FFFFFF"/>
        </w:rPr>
        <w:t xml:space="preserve">Cal.App.4th </w:t>
      </w:r>
      <w:r>
        <w:rPr>
          <w:color w:val="222222"/>
          <w:szCs w:val="26"/>
          <w:shd w:val="clear" w:color="auto" w:fill="FFFFFF"/>
        </w:rPr>
        <w:t>314 and like cases are absent here</w:t>
      </w:r>
      <w:r w:rsidRPr="00DE731A">
        <w:rPr>
          <w:color w:val="222222"/>
          <w:szCs w:val="26"/>
          <w:shd w:val="clear" w:color="auto" w:fill="FFFFFF"/>
        </w:rPr>
        <w:t>.</w:t>
      </w:r>
    </w:p>
    <w:p w:rsidR="00C540ED" w:rsidRPr="004F3BE3" w:rsidP="004F3BE3" w14:paraId="1B8E08E8" w14:textId="36814DE3">
      <w:pPr>
        <w:tabs>
          <w:tab w:val="left" w:pos="1440"/>
        </w:tabs>
        <w:ind w:firstLine="720"/>
        <w:rPr>
          <w:szCs w:val="26"/>
          <w:shd w:val="clear" w:color="auto" w:fill="FFFFFF"/>
        </w:rPr>
      </w:pPr>
      <w:r>
        <w:t xml:space="preserve">The same logic applies when either of Delta’s remaining two formulas is used to calculate flight attendant compensation.  In all cases, flight attendants are guaranteed at least the amount of compensation owed under the duty period credit formula, which, as already discussed, always exceeds the minimum wage.  To forbid Delta from offering greater pay than the amount owed under that </w:t>
      </w:r>
      <w:r>
        <w:rPr>
          <w:color w:val="222222"/>
          <w:szCs w:val="26"/>
          <w:shd w:val="clear" w:color="auto" w:fill="FFFFFF"/>
        </w:rPr>
        <w:t>formula</w:t>
      </w:r>
      <w:r>
        <w:t xml:space="preserve"> based on the flight time formula or one of the other two formulas would do nothing to ensure workers are paid fair or adequate wages for all hours worked. </w:t>
      </w:r>
      <w:r w:rsidRPr="00DE731A" w:rsidR="00E605B4">
        <w:t xml:space="preserve"> </w:t>
      </w:r>
      <w:r w:rsidRPr="00DE731A">
        <w:rPr>
          <w:szCs w:val="26"/>
          <w:shd w:val="clear" w:color="auto" w:fill="FFFFFF"/>
        </w:rPr>
        <w:t>(</w:t>
      </w:r>
      <w:r>
        <w:rPr>
          <w:szCs w:val="26"/>
          <w:shd w:val="clear" w:color="auto" w:fill="FFFFFF"/>
        </w:rPr>
        <w:t xml:space="preserve">See </w:t>
      </w:r>
      <w:r w:rsidRPr="00DE731A" w:rsidR="00802DD1">
        <w:rPr>
          <w:i/>
          <w:szCs w:val="26"/>
          <w:shd w:val="clear" w:color="auto" w:fill="FFFFFF"/>
        </w:rPr>
        <w:t>Barrentine v. Arkansas-Best Freight Sys</w:t>
      </w:r>
      <w:r w:rsidRPr="00DE731A" w:rsidR="00C27CEE">
        <w:rPr>
          <w:i/>
          <w:szCs w:val="26"/>
          <w:shd w:val="clear" w:color="auto" w:fill="FFFFFF"/>
        </w:rPr>
        <w:t>tem</w:t>
      </w:r>
      <w:r w:rsidRPr="00DE731A" w:rsidR="00802DD1">
        <w:rPr>
          <w:szCs w:val="26"/>
          <w:shd w:val="clear" w:color="auto" w:fill="FFFFFF"/>
        </w:rPr>
        <w:t xml:space="preserve"> (1981) 450 U.S. 728, 739</w:t>
      </w:r>
      <w:r>
        <w:rPr>
          <w:szCs w:val="26"/>
          <w:shd w:val="clear" w:color="auto" w:fill="FFFFFF"/>
        </w:rPr>
        <w:t xml:space="preserve"> [minimum wage laws serve to ensure </w:t>
      </w:r>
      <w:r>
        <w:t>“ ‘ “</w:t>
      </w:r>
      <w:r w:rsidR="00A04515">
        <w:t>[</w:t>
      </w:r>
      <w:r>
        <w:t>a</w:t>
      </w:r>
      <w:r w:rsidR="00A04515">
        <w:t>]</w:t>
      </w:r>
      <w:r>
        <w:t xml:space="preserve"> fair day’s pay for a fair day’s work” ’ ”]</w:t>
      </w:r>
      <w:r>
        <w:rPr>
          <w:szCs w:val="26"/>
          <w:shd w:val="clear" w:color="auto" w:fill="FFFFFF"/>
        </w:rPr>
        <w:t xml:space="preserve">; </w:t>
      </w:r>
      <w:r w:rsidRPr="00DE731A">
        <w:rPr>
          <w:i/>
          <w:szCs w:val="26"/>
          <w:shd w:val="clear" w:color="auto" w:fill="FFFFFF"/>
        </w:rPr>
        <w:t>Brooklyn Bank v. O’Neil</w:t>
      </w:r>
      <w:r w:rsidRPr="00DE731A">
        <w:rPr>
          <w:szCs w:val="26"/>
          <w:shd w:val="clear" w:color="auto" w:fill="FFFFFF"/>
        </w:rPr>
        <w:t xml:space="preserve"> (1945) 324 U.S. 697, 706 [minimum wage protections serve “to protect certain groups of the population from sub-standard wages . . . due to . . . unequal bargaining power”]</w:t>
      </w:r>
      <w:r w:rsidRPr="00DE731A" w:rsidR="00802DD1">
        <w:rPr>
          <w:szCs w:val="26"/>
          <w:shd w:val="clear" w:color="auto" w:fill="FFFFFF"/>
        </w:rPr>
        <w:t>.)</w:t>
      </w:r>
      <w:r w:rsidRPr="00DE731A" w:rsidR="00964AF8">
        <w:rPr>
          <w:szCs w:val="26"/>
          <w:shd w:val="clear" w:color="auto" w:fill="FFFFFF"/>
        </w:rPr>
        <w:t xml:space="preserve"> </w:t>
      </w:r>
      <w:r w:rsidRPr="00DE731A" w:rsidR="00802DD1">
        <w:rPr>
          <w:szCs w:val="26"/>
          <w:shd w:val="clear" w:color="auto" w:fill="FFFFFF"/>
        </w:rPr>
        <w:t xml:space="preserve"> </w:t>
      </w:r>
      <w:r w:rsidRPr="00DE731A">
        <w:rPr>
          <w:szCs w:val="26"/>
          <w:shd w:val="clear" w:color="auto" w:fill="FFFFFF"/>
        </w:rPr>
        <w:t xml:space="preserve">There is no evident inadequacy or unfairness in </w:t>
      </w:r>
      <w:r w:rsidRPr="00DE731A">
        <w:t>permitting Delta to compensate flight crew members on a per-rotation basis</w:t>
      </w:r>
      <w:r w:rsidRPr="00DE731A" w:rsidR="00D32EF5">
        <w:t>,</w:t>
      </w:r>
      <w:r w:rsidRPr="00DE731A">
        <w:t xml:space="preserve"> at a level no less than contractually promised and in excess of the hourly minimum wage</w:t>
      </w:r>
      <w:r w:rsidRPr="00DE731A" w:rsidR="00D32EF5">
        <w:t xml:space="preserve">—nor is </w:t>
      </w:r>
      <w:r w:rsidRPr="00DE731A" w:rsidR="00506F80">
        <w:t xml:space="preserve">there </w:t>
      </w:r>
      <w:r w:rsidRPr="00DE731A" w:rsidR="00D32EF5">
        <w:t xml:space="preserve">any unfairness in permitting Delta </w:t>
      </w:r>
      <w:r w:rsidRPr="00DE731A">
        <w:t xml:space="preserve">to increase that compensation when, for example, duty periods include a greater percentage of flight time or rotations include more drawn-out </w:t>
      </w:r>
      <w:r w:rsidRPr="00DE731A" w:rsidR="00CC3E2A">
        <w:t>off-duty layovers</w:t>
      </w:r>
      <w:r w:rsidRPr="00DE731A">
        <w:t xml:space="preserve"> between duty periods.</w:t>
      </w:r>
    </w:p>
    <w:p w:rsidR="002A55AA" w:rsidRPr="00DE731A" w:rsidP="00DE731A" w14:paraId="2C2DB7A4" w14:textId="78A9D275">
      <w:pPr>
        <w:tabs>
          <w:tab w:val="left" w:pos="1440"/>
        </w:tabs>
        <w:ind w:firstLine="720"/>
      </w:pPr>
      <w:r>
        <w:rPr>
          <w:color w:val="222222"/>
          <w:szCs w:val="26"/>
          <w:shd w:val="clear" w:color="auto" w:fill="FFFFFF"/>
        </w:rPr>
        <w:t xml:space="preserve">Resisting this commonsense conclusion, Oman leans heavily on </w:t>
      </w:r>
      <w:r w:rsidRPr="00B64CB7">
        <w:rPr>
          <w:i/>
          <w:iCs/>
          <w:szCs w:val="26"/>
        </w:rPr>
        <w:t>Gonzalez</w:t>
      </w:r>
      <w:r w:rsidRPr="00932A0C">
        <w:rPr>
          <w:iCs/>
          <w:szCs w:val="26"/>
        </w:rPr>
        <w:t xml:space="preserve">, </w:t>
      </w:r>
      <w:r w:rsidRPr="00B64CB7">
        <w:rPr>
          <w:i/>
          <w:iCs/>
          <w:szCs w:val="26"/>
        </w:rPr>
        <w:t>supra</w:t>
      </w:r>
      <w:r w:rsidRPr="00B64CB7">
        <w:rPr>
          <w:iCs/>
          <w:szCs w:val="26"/>
        </w:rPr>
        <w:t xml:space="preserve">, </w:t>
      </w:r>
      <w:r w:rsidRPr="00B64CB7">
        <w:rPr>
          <w:szCs w:val="26"/>
        </w:rPr>
        <w:t xml:space="preserve">215 Cal.App.4th </w:t>
      </w:r>
      <w:r>
        <w:rPr>
          <w:szCs w:val="26"/>
        </w:rPr>
        <w:t xml:space="preserve">36, but </w:t>
      </w:r>
      <w:r>
        <w:rPr>
          <w:i/>
          <w:iCs/>
          <w:szCs w:val="26"/>
        </w:rPr>
        <w:t>Gonzalez</w:t>
      </w:r>
      <w:r>
        <w:rPr>
          <w:szCs w:val="26"/>
        </w:rPr>
        <w:t xml:space="preserve"> will not support the weight.  </w:t>
      </w:r>
      <w:r>
        <w:t xml:space="preserve">There, the employer auto dealership and service center compensated auto technicians on a piece-rate basis.  Each repair task was assigned a </w:t>
      </w:r>
      <w:r w:rsidR="00297E02">
        <w:t>set</w:t>
      </w:r>
      <w:r>
        <w:t xml:space="preserve"> number of “flag hours” roughly corresponding to the length of time it ought to take</w:t>
      </w:r>
      <w:r w:rsidR="000F0379">
        <w:t xml:space="preserve"> to complete</w:t>
      </w:r>
      <w:r>
        <w:t>.  The service center promised its technicians a flat rate tied to their experience level multiplied by the number of flag hours completed.  Technicians also had significant wait time, during which no repair orders were pending and so no flag hours could be accrued, but during which the employer required them to remain on premises in case new customers arrived.  The employer also calculated a “ ‘minimum wage floor,’ ” which equaled the total hours a technician remained on the premises multiplied by the applicable minimum wage.  (</w:t>
      </w:r>
      <w:r w:rsidRPr="006A3A97">
        <w:rPr>
          <w:i/>
          <w:iCs/>
        </w:rPr>
        <w:t>Id</w:t>
      </w:r>
      <w:r>
        <w:t>. at p. 41.)  If a technician’s “flag hour” compensation fell below the minimum wage floor, the employer supplemented the technician’s pay to make up for the difference.  (</w:t>
      </w:r>
      <w:r w:rsidRPr="006A3A97">
        <w:rPr>
          <w:i/>
          <w:iCs/>
        </w:rPr>
        <w:t>Id</w:t>
      </w:r>
      <w:r>
        <w:t>.</w:t>
      </w:r>
      <w:r w:rsidR="00A04515">
        <w:t xml:space="preserve"> at pp. 41</w:t>
      </w:r>
      <w:r w:rsidRPr="00DE731A" w:rsidR="00A04515">
        <w:rPr>
          <w:color w:val="000000" w:themeColor="text1"/>
          <w:szCs w:val="26"/>
        </w:rPr>
        <w:t>–</w:t>
      </w:r>
      <w:r w:rsidR="00A04515">
        <w:rPr>
          <w:color w:val="000000" w:themeColor="text1"/>
          <w:szCs w:val="26"/>
        </w:rPr>
        <w:t>42.</w:t>
      </w:r>
      <w:r>
        <w:t>)  Employees sued for minimum wage violations based on the failure to pay for wait time</w:t>
      </w:r>
      <w:r w:rsidRPr="00DE731A" w:rsidR="00213A87">
        <w:t>.</w:t>
      </w:r>
    </w:p>
    <w:p w:rsidR="00BC3138" w:rsidRPr="00DE731A" w:rsidP="00DE731A" w14:paraId="3426BF00" w14:textId="3C112283">
      <w:pPr>
        <w:tabs>
          <w:tab w:val="left" w:pos="1440"/>
        </w:tabs>
        <w:ind w:firstLine="720"/>
      </w:pPr>
      <w:r>
        <w:t>The Court of App</w:t>
      </w:r>
      <w:r w:rsidRPr="00BC3138">
        <w:rPr>
          <w:szCs w:val="26"/>
        </w:rPr>
        <w:t xml:space="preserve">eal </w:t>
      </w:r>
      <w:r>
        <w:rPr>
          <w:szCs w:val="26"/>
        </w:rPr>
        <w:t>concluded that the employer’s compensation scheme violated California minimum wage law</w:t>
      </w:r>
      <w:r w:rsidRPr="00BC3138">
        <w:rPr>
          <w:szCs w:val="26"/>
        </w:rPr>
        <w:t xml:space="preserve">.  It </w:t>
      </w:r>
      <w:r>
        <w:rPr>
          <w:szCs w:val="26"/>
        </w:rPr>
        <w:t xml:space="preserve">explained </w:t>
      </w:r>
      <w:r w:rsidRPr="00BC3138">
        <w:rPr>
          <w:szCs w:val="26"/>
        </w:rPr>
        <w:t xml:space="preserve">that the </w:t>
      </w:r>
      <w:r w:rsidRPr="00BC3138">
        <w:rPr>
          <w:i/>
          <w:szCs w:val="26"/>
        </w:rPr>
        <w:t>Armenta</w:t>
      </w:r>
      <w:r w:rsidRPr="00BC3138">
        <w:rPr>
          <w:szCs w:val="26"/>
        </w:rPr>
        <w:t xml:space="preserve"> </w:t>
      </w:r>
      <w:r>
        <w:rPr>
          <w:szCs w:val="26"/>
        </w:rPr>
        <w:t xml:space="preserve">no-borrowing </w:t>
      </w:r>
      <w:r w:rsidRPr="00BC3138">
        <w:rPr>
          <w:szCs w:val="26"/>
        </w:rPr>
        <w:t xml:space="preserve">rule “applies </w:t>
      </w:r>
      <w:r w:rsidRPr="00BC3138">
        <w:rPr>
          <w:color w:val="222222"/>
          <w:szCs w:val="26"/>
          <w:shd w:val="clear" w:color="auto" w:fill="FFFFFF"/>
        </w:rPr>
        <w:t>whenever an employer and employee have agreed that certain work will be compensated at a rate that exceeds the minimum wage and other worktime will be compensated at a lower rate.</w:t>
      </w:r>
      <w:r>
        <w:rPr>
          <w:color w:val="222222"/>
          <w:szCs w:val="26"/>
          <w:shd w:val="clear" w:color="auto" w:fill="FFFFFF"/>
        </w:rPr>
        <w:t>”  (</w:t>
      </w:r>
      <w:r>
        <w:rPr>
          <w:i/>
          <w:color w:val="222222"/>
          <w:szCs w:val="26"/>
          <w:shd w:val="clear" w:color="auto" w:fill="FFFFFF"/>
        </w:rPr>
        <w:t>Gonzalez</w:t>
      </w:r>
      <w:r>
        <w:rPr>
          <w:color w:val="222222"/>
          <w:szCs w:val="26"/>
          <w:shd w:val="clear" w:color="auto" w:fill="FFFFFF"/>
        </w:rPr>
        <w:t xml:space="preserve">, </w:t>
      </w:r>
      <w:r w:rsidRPr="00511231" w:rsidR="00511231">
        <w:rPr>
          <w:i/>
          <w:color w:val="222222"/>
          <w:szCs w:val="26"/>
          <w:shd w:val="clear" w:color="auto" w:fill="FFFFFF"/>
        </w:rPr>
        <w:t>supra</w:t>
      </w:r>
      <w:r w:rsidR="00511231">
        <w:rPr>
          <w:color w:val="222222"/>
          <w:szCs w:val="26"/>
          <w:shd w:val="clear" w:color="auto" w:fill="FFFFFF"/>
        </w:rPr>
        <w:t xml:space="preserve">, 215 Cal.App.4th </w:t>
      </w:r>
      <w:r>
        <w:rPr>
          <w:color w:val="222222"/>
          <w:szCs w:val="26"/>
          <w:shd w:val="clear" w:color="auto" w:fill="FFFFFF"/>
        </w:rPr>
        <w:t>at p. 51.)  In such circumstances, pay at an agreed higher rate cannot be borrowed to make up for sub-minimum wage pay during o</w:t>
      </w:r>
      <w:r w:rsidRPr="00FC20BD">
        <w:rPr>
          <w:color w:val="222222"/>
          <w:szCs w:val="26"/>
          <w:shd w:val="clear" w:color="auto" w:fill="FFFFFF"/>
        </w:rPr>
        <w:t xml:space="preserve">ther worktime.  </w:t>
      </w:r>
      <w:r>
        <w:rPr>
          <w:color w:val="222222"/>
          <w:szCs w:val="26"/>
          <w:shd w:val="clear" w:color="auto" w:fill="FFFFFF"/>
        </w:rPr>
        <w:t xml:space="preserve">As the </w:t>
      </w:r>
      <w:r w:rsidRPr="00FC20BD">
        <w:rPr>
          <w:i/>
          <w:color w:val="222222"/>
          <w:szCs w:val="26"/>
          <w:shd w:val="clear" w:color="auto" w:fill="FFFFFF"/>
        </w:rPr>
        <w:t>Gonzalez</w:t>
      </w:r>
      <w:r w:rsidRPr="00FC20BD">
        <w:rPr>
          <w:color w:val="222222"/>
          <w:szCs w:val="26"/>
          <w:shd w:val="clear" w:color="auto" w:fill="FFFFFF"/>
        </w:rPr>
        <w:t xml:space="preserve"> </w:t>
      </w:r>
      <w:r>
        <w:rPr>
          <w:color w:val="222222"/>
          <w:szCs w:val="26"/>
          <w:shd w:val="clear" w:color="auto" w:fill="FFFFFF"/>
        </w:rPr>
        <w:t xml:space="preserve">court read the parties’ contract, the case before it </w:t>
      </w:r>
      <w:r w:rsidRPr="00FC20BD">
        <w:rPr>
          <w:color w:val="222222"/>
          <w:szCs w:val="26"/>
          <w:shd w:val="clear" w:color="auto" w:fill="FFFFFF"/>
        </w:rPr>
        <w:t>involved such a situation:</w:t>
      </w:r>
      <w:r w:rsidRPr="00FC20BD">
        <w:rPr>
          <w:szCs w:val="26"/>
        </w:rPr>
        <w:t xml:space="preserve">  </w:t>
      </w:r>
      <w:r w:rsidRPr="00ED5CA2">
        <w:t xml:space="preserve">The employer’s contractual commitment to its workers </w:t>
      </w:r>
      <w:r>
        <w:t xml:space="preserve">was </w:t>
      </w:r>
      <w:r w:rsidRPr="00ED5CA2">
        <w:t>a guaranteed piece-rate for completing various repair tasks</w:t>
      </w:r>
      <w:r w:rsidRPr="00DE731A" w:rsidR="00213A87">
        <w:t xml:space="preserve">.  </w:t>
      </w:r>
      <w:r w:rsidRPr="00DE731A" w:rsidR="009A7456">
        <w:t>Having promised a particular amount of compensation for each flag hour, t</w:t>
      </w:r>
      <w:r w:rsidRPr="00DE731A" w:rsidR="00213A87">
        <w:t>he employer could not borrow from that promised compensation</w:t>
      </w:r>
      <w:r w:rsidRPr="00DE731A" w:rsidR="00741B4D">
        <w:t xml:space="preserve"> to supply at least a minimum hourly wage for </w:t>
      </w:r>
      <w:r w:rsidRPr="00DE731A" w:rsidR="00653C5F">
        <w:t xml:space="preserve">unpaid </w:t>
      </w:r>
      <w:r w:rsidRPr="00DE731A" w:rsidR="00741B4D">
        <w:t xml:space="preserve">wait time hours without violating Labor Code section 223 and the </w:t>
      </w:r>
      <w:r w:rsidRPr="00DE731A" w:rsidR="00741B4D">
        <w:rPr>
          <w:i/>
        </w:rPr>
        <w:t>Armenta</w:t>
      </w:r>
      <w:r w:rsidRPr="00DE731A" w:rsidR="00741B4D">
        <w:t xml:space="preserve"> no-borrowing rule.</w:t>
      </w:r>
      <w:r w:rsidRPr="00DE731A">
        <w:t xml:space="preserve">  The court illustrated with the hypothetical </w:t>
      </w:r>
      <w:r w:rsidRPr="00DE731A" w:rsidR="0010039C">
        <w:t xml:space="preserve">case </w:t>
      </w:r>
      <w:r w:rsidRPr="00DE731A">
        <w:t xml:space="preserve">of a worker promised $20 per flag hour who completed repair tasks assigned four flag hours but was then obligated to spend an additional four hours on site, during which no new orders came in.  </w:t>
      </w:r>
      <w:r w:rsidRPr="00DE731A" w:rsidR="0010039C">
        <w:t xml:space="preserve">In the </w:t>
      </w:r>
      <w:r w:rsidRPr="00DE731A" w:rsidR="0010039C">
        <w:rPr>
          <w:i/>
          <w:iCs/>
        </w:rPr>
        <w:t>Gonzalez</w:t>
      </w:r>
      <w:r w:rsidRPr="00DE731A" w:rsidR="0010039C">
        <w:t xml:space="preserve"> court’s view, p</w:t>
      </w:r>
      <w:r w:rsidRPr="00DE731A">
        <w:t xml:space="preserve">aying the </w:t>
      </w:r>
      <w:r w:rsidRPr="00DE731A" w:rsidR="00A512A8">
        <w:t>employee only $80 for this shift would e</w:t>
      </w:r>
      <w:r w:rsidRPr="00DE731A">
        <w:t xml:space="preserve">ither </w:t>
      </w:r>
      <w:r w:rsidRPr="00DE731A" w:rsidR="00A512A8">
        <w:t>(1)</w:t>
      </w:r>
      <w:r w:rsidRPr="00DE731A" w:rsidR="00EC684A">
        <w:t> </w:t>
      </w:r>
      <w:r w:rsidRPr="00DE731A" w:rsidR="00A512A8">
        <w:t xml:space="preserve">violate the minimum wage, because the </w:t>
      </w:r>
      <w:r w:rsidRPr="00DE731A" w:rsidR="0010039C">
        <w:t xml:space="preserve">four hours of wait time </w:t>
      </w:r>
      <w:r w:rsidRPr="00DE731A" w:rsidR="00A512A8">
        <w:t>were uncompensa</w:t>
      </w:r>
      <w:r w:rsidRPr="00DE731A" w:rsidR="00CE0F80">
        <w:t>t</w:t>
      </w:r>
      <w:r w:rsidRPr="00DE731A" w:rsidR="00A512A8">
        <w:t>ed, or (2)</w:t>
      </w:r>
      <w:r w:rsidRPr="00DE731A" w:rsidR="00EC684A">
        <w:t> </w:t>
      </w:r>
      <w:r w:rsidRPr="00DE731A" w:rsidR="00A512A8">
        <w:t xml:space="preserve">require the employee to forfeit half </w:t>
      </w:r>
      <w:r w:rsidR="0075316A">
        <w:t xml:space="preserve">of </w:t>
      </w:r>
      <w:r w:rsidRPr="00DE731A" w:rsidR="00A512A8">
        <w:t>his or her promised $20 per flag hour</w:t>
      </w:r>
      <w:r w:rsidRPr="00DE731A" w:rsidR="009731F7">
        <w:t xml:space="preserve"> to cover the unpaid wait time, </w:t>
      </w:r>
      <w:r w:rsidRPr="00DE731A" w:rsidR="00A512A8">
        <w:t>in violation of section 223.</w:t>
      </w:r>
      <w:r w:rsidRPr="00DE731A">
        <w:t xml:space="preserve"> </w:t>
      </w:r>
      <w:r w:rsidRPr="00DE731A" w:rsidR="00A512A8">
        <w:t xml:space="preserve"> </w:t>
      </w:r>
      <w:r w:rsidRPr="00DE731A">
        <w:t>(</w:t>
      </w:r>
      <w:r w:rsidRPr="00DE731A">
        <w:rPr>
          <w:i/>
        </w:rPr>
        <w:t>Gonzalez</w:t>
      </w:r>
      <w:r w:rsidRPr="00DE731A">
        <w:t>, at p. 50.)</w:t>
      </w:r>
      <w:r w:rsidRPr="00DE731A" w:rsidR="005A4575">
        <w:t xml:space="preserve">  </w:t>
      </w:r>
      <w:r w:rsidR="00AB32D0">
        <w:t>In other words, the additional wait time constituted</w:t>
      </w:r>
      <w:r w:rsidRPr="005A4575" w:rsidR="00AB32D0">
        <w:rPr>
          <w:szCs w:val="26"/>
        </w:rPr>
        <w:t xml:space="preserve"> </w:t>
      </w:r>
      <w:r w:rsidR="00AB32D0">
        <w:rPr>
          <w:szCs w:val="26"/>
        </w:rPr>
        <w:t>periods not covered by the employer’s commitment to piece-rate pay, but within the definition of hours worked, for which at least the minimum wage should have been paid</w:t>
      </w:r>
      <w:r w:rsidRPr="00DE731A" w:rsidR="005A4575">
        <w:rPr>
          <w:szCs w:val="26"/>
        </w:rPr>
        <w:t>.</w:t>
      </w:r>
    </w:p>
    <w:p w:rsidR="00795DD7" w:rsidRPr="00DE731A" w:rsidP="00DE731A" w14:paraId="5DA8DD12" w14:textId="46CF9285">
      <w:pPr>
        <w:tabs>
          <w:tab w:val="left" w:pos="1440"/>
        </w:tabs>
        <w:ind w:firstLine="720"/>
      </w:pPr>
      <w:r>
        <w:rPr>
          <w:iCs/>
        </w:rPr>
        <w:t xml:space="preserve">This case </w:t>
      </w:r>
      <w:r>
        <w:t xml:space="preserve">is different from </w:t>
      </w:r>
      <w:r>
        <w:rPr>
          <w:i/>
          <w:iCs/>
        </w:rPr>
        <w:t>Gonzalez</w:t>
      </w:r>
      <w:r>
        <w:t xml:space="preserve"> in critical respects.  In </w:t>
      </w:r>
      <w:r>
        <w:rPr>
          <w:i/>
          <w:iCs/>
        </w:rPr>
        <w:t>Gonzalez</w:t>
      </w:r>
      <w:r>
        <w:t>, the court understood the contract at issue to promise pay at a certain rate for certain tasks completed.  The minimum wage floor, which “supplement</w:t>
      </w:r>
      <w:r w:rsidR="00A04515">
        <w:t>[</w:t>
      </w:r>
      <w:r>
        <w:t>ed</w:t>
      </w:r>
      <w:r w:rsidR="00A04515">
        <w:t>]</w:t>
      </w:r>
      <w:r>
        <w:t>” employee pay only when “necessary,” did not alter the nature of that promise.  (</w:t>
      </w:r>
      <w:r>
        <w:rPr>
          <w:i/>
          <w:iCs/>
        </w:rPr>
        <w:t>Gonzalez</w:t>
      </w:r>
      <w:r>
        <w:t xml:space="preserve">, </w:t>
      </w:r>
      <w:r>
        <w:rPr>
          <w:i/>
          <w:iCs/>
        </w:rPr>
        <w:t>supra</w:t>
      </w:r>
      <w:r>
        <w:t>, 215 Cal.App.4th at p. 40.)  We do not address here</w:t>
      </w:r>
      <w:r w:rsidR="00F4437F">
        <w:t>, and express no opinion concerning,</w:t>
      </w:r>
      <w:r>
        <w:t xml:space="preserve"> a scenario in which a minimum wage floor was written into a contract that otherwise promised pay by the piece.</w:t>
      </w:r>
      <w:r>
        <w:rPr>
          <w:rStyle w:val="FootnoteReference"/>
        </w:rPr>
        <w:footnoteReference w:id="10"/>
      </w:r>
      <w:r>
        <w:t xml:space="preserve">  Because the employer in </w:t>
      </w:r>
      <w:r>
        <w:rPr>
          <w:i/>
          <w:iCs/>
        </w:rPr>
        <w:t>Gonzalez</w:t>
      </w:r>
      <w:r>
        <w:t xml:space="preserve"> required technicians to remain at work while waiting for customers—time not accounted for by the piece-rate system—the </w:t>
      </w:r>
      <w:r w:rsidR="003739F6">
        <w:t xml:space="preserve">Court of Appeal concluded the </w:t>
      </w:r>
      <w:r>
        <w:t>employer violated the no-borrowing rule by attempting to use piece-rate pay as a credit against its obligations to pay for wait time.  By contrast, as we have explained, Delta’s Work Rules reflect a promise to pay by the rotation, and for each rotation, the compensation Delta promises will, no matter which of the four formulas applies, always exceed the state minimum wage per hour worked.  Thus, Delta satisfies state minimum wage law without ever needing to compromise its contractual commitments</w:t>
      </w:r>
      <w:r w:rsidRPr="00DE731A" w:rsidR="0012169E">
        <w:t>.</w:t>
      </w:r>
    </w:p>
    <w:p w:rsidR="007819EE" w:rsidRPr="00DE731A" w:rsidP="00DE731A" w14:paraId="6B301BA1" w14:textId="4F87E330">
      <w:pPr>
        <w:tabs>
          <w:tab w:val="left" w:pos="1440"/>
        </w:tabs>
        <w:ind w:firstLine="720"/>
        <w:rPr>
          <w:szCs w:val="26"/>
          <w:shd w:val="clear" w:color="auto" w:fill="FFFFFF"/>
        </w:rPr>
      </w:pPr>
      <w:r>
        <w:rPr>
          <w:szCs w:val="26"/>
          <w:shd w:val="clear" w:color="auto" w:fill="FFFFFF"/>
        </w:rPr>
        <w:t xml:space="preserve">The minimum wage laws exist to ensure that workers receive adequate and fair pay, not to dictate to employers and employees what pay formulas they may, or may not, agree to adopt as a means to that end.  (See </w:t>
      </w:r>
      <w:r>
        <w:rPr>
          <w:i/>
          <w:szCs w:val="26"/>
          <w:shd w:val="clear" w:color="auto" w:fill="FFFFFF"/>
        </w:rPr>
        <w:t>Madison Ave. Corp. v. Asselta</w:t>
      </w:r>
      <w:r>
        <w:rPr>
          <w:szCs w:val="26"/>
          <w:shd w:val="clear" w:color="auto" w:fill="FFFFFF"/>
        </w:rPr>
        <w:t xml:space="preserve"> (1947) 331 U.S. 199, 203–204.)  Delta’s arrangement may be</w:t>
      </w:r>
      <w:r w:rsidR="00E757B3">
        <w:rPr>
          <w:szCs w:val="26"/>
          <w:shd w:val="clear" w:color="auto" w:fill="FFFFFF"/>
        </w:rPr>
        <w:t xml:space="preserve"> relatively</w:t>
      </w:r>
      <w:r>
        <w:rPr>
          <w:szCs w:val="26"/>
          <w:shd w:val="clear" w:color="auto" w:fill="FFFFFF"/>
        </w:rPr>
        <w:t xml:space="preserve"> unusual, but it is not unlawful</w:t>
      </w:r>
      <w:r w:rsidRPr="00DE731A" w:rsidR="00F36EE0">
        <w:rPr>
          <w:szCs w:val="26"/>
          <w:shd w:val="clear" w:color="auto" w:fill="FFFFFF"/>
        </w:rPr>
        <w:t>.</w:t>
      </w:r>
    </w:p>
    <w:p w:rsidR="0002457C" w:rsidRPr="00DE731A" w:rsidP="00DE731A" w14:paraId="42F7BA5F" w14:textId="77777777">
      <w:pPr>
        <w:keepNext/>
        <w:tabs>
          <w:tab w:val="left" w:pos="1440"/>
        </w:tabs>
        <w:jc w:val="center"/>
        <w:rPr>
          <w:b/>
          <w:szCs w:val="26"/>
        </w:rPr>
      </w:pPr>
      <w:r w:rsidRPr="00DE731A">
        <w:rPr>
          <w:b/>
          <w:szCs w:val="26"/>
        </w:rPr>
        <w:t>IV.</w:t>
      </w:r>
    </w:p>
    <w:p w:rsidR="0002457C" w:rsidRPr="00DE731A" w:rsidP="00DE731A" w14:paraId="3A753A6F" w14:textId="5EF1FE3C">
      <w:pPr>
        <w:tabs>
          <w:tab w:val="left" w:pos="1440"/>
        </w:tabs>
        <w:ind w:firstLine="720"/>
        <w:rPr>
          <w:szCs w:val="26"/>
        </w:rPr>
      </w:pPr>
      <w:r w:rsidRPr="00DE731A">
        <w:rPr>
          <w:szCs w:val="26"/>
        </w:rPr>
        <w:t>W</w:t>
      </w:r>
      <w:r w:rsidRPr="00DE731A" w:rsidR="008D7959">
        <w:rPr>
          <w:szCs w:val="26"/>
        </w:rPr>
        <w:t xml:space="preserve">e </w:t>
      </w:r>
      <w:r w:rsidRPr="00DE731A" w:rsidR="00BF0CA9">
        <w:rPr>
          <w:szCs w:val="26"/>
        </w:rPr>
        <w:t xml:space="preserve">answer the Ninth Circuit’s questions as </w:t>
      </w:r>
      <w:r w:rsidRPr="00DE731A" w:rsidR="00F21247">
        <w:rPr>
          <w:szCs w:val="26"/>
        </w:rPr>
        <w:t>follows:</w:t>
      </w:r>
    </w:p>
    <w:p w:rsidR="00F21247" w:rsidRPr="00DE731A" w:rsidP="00DE731A" w14:paraId="09FB3610" w14:textId="522B6577">
      <w:pPr>
        <w:tabs>
          <w:tab w:val="left" w:pos="1440"/>
        </w:tabs>
        <w:ind w:firstLine="720"/>
        <w:rPr>
          <w:color w:val="222222"/>
          <w:szCs w:val="26"/>
          <w:shd w:val="clear" w:color="auto" w:fill="FFFFFF"/>
        </w:rPr>
      </w:pPr>
      <w:r w:rsidRPr="00DE731A">
        <w:rPr>
          <w:color w:val="222222"/>
          <w:szCs w:val="26"/>
          <w:shd w:val="clear" w:color="auto" w:fill="FFFFFF"/>
        </w:rPr>
        <w:t>(1)</w:t>
      </w:r>
      <w:r w:rsidRPr="00DE731A">
        <w:rPr>
          <w:color w:val="222222"/>
          <w:szCs w:val="26"/>
          <w:shd w:val="clear" w:color="auto" w:fill="FFFFFF"/>
        </w:rPr>
        <w:tab/>
        <w:t>Labor Code sections 204 and 226 do not apply to pay periods in which an employee works only episodically and for less than a day at a time in California</w:t>
      </w:r>
      <w:r w:rsidRPr="00DE731A" w:rsidR="00C82B87">
        <w:rPr>
          <w:color w:val="222222"/>
          <w:szCs w:val="26"/>
          <w:shd w:val="clear" w:color="auto" w:fill="FFFFFF"/>
        </w:rPr>
        <w:t xml:space="preserve"> unless the employee </w:t>
      </w:r>
      <w:r w:rsidRPr="00DE731A">
        <w:rPr>
          <w:color w:val="222222"/>
          <w:szCs w:val="26"/>
          <w:shd w:val="clear" w:color="auto" w:fill="FFFFFF"/>
        </w:rPr>
        <w:t>works pr</w:t>
      </w:r>
      <w:r w:rsidRPr="00DE731A" w:rsidR="00C82B87">
        <w:rPr>
          <w:color w:val="222222"/>
          <w:szCs w:val="26"/>
          <w:shd w:val="clear" w:color="auto" w:fill="FFFFFF"/>
        </w:rPr>
        <w:t>imari</w:t>
      </w:r>
      <w:r w:rsidRPr="00DE731A">
        <w:rPr>
          <w:color w:val="222222"/>
          <w:szCs w:val="26"/>
          <w:shd w:val="clear" w:color="auto" w:fill="FFFFFF"/>
        </w:rPr>
        <w:t>ly in this state</w:t>
      </w:r>
      <w:r w:rsidRPr="00DE731A" w:rsidR="00C82B87">
        <w:rPr>
          <w:color w:val="222222"/>
          <w:szCs w:val="26"/>
          <w:shd w:val="clear" w:color="auto" w:fill="FFFFFF"/>
        </w:rPr>
        <w:t xml:space="preserve"> during the pay period, or does not work primarily in any state but has his or her base of operations in California</w:t>
      </w:r>
      <w:r w:rsidRPr="00DE731A" w:rsidR="00EF4E26">
        <w:rPr>
          <w:color w:val="222222"/>
          <w:szCs w:val="26"/>
          <w:shd w:val="clear" w:color="auto" w:fill="FFFFFF"/>
        </w:rPr>
        <w:t>.</w:t>
      </w:r>
    </w:p>
    <w:p w:rsidR="00F21247" w:rsidRPr="00DE731A" w:rsidP="00DE731A" w14:paraId="03B8CDD6" w14:textId="51826D28">
      <w:pPr>
        <w:tabs>
          <w:tab w:val="left" w:pos="1440"/>
        </w:tabs>
        <w:ind w:firstLine="720"/>
        <w:rPr>
          <w:szCs w:val="26"/>
        </w:rPr>
      </w:pPr>
      <w:r w:rsidRPr="00DE731A">
        <w:rPr>
          <w:szCs w:val="26"/>
        </w:rPr>
        <w:t>(2)</w:t>
      </w:r>
      <w:r w:rsidRPr="00DE731A">
        <w:rPr>
          <w:szCs w:val="26"/>
        </w:rPr>
        <w:tab/>
      </w:r>
      <w:r w:rsidR="00AB32D0">
        <w:rPr>
          <w:szCs w:val="26"/>
        </w:rPr>
        <w:t>State law limits on wage borrowing permit compensation schemes that promise to compensate all hours worked at a level at or above the minimum wage, even if particular components of th</w:t>
      </w:r>
      <w:r w:rsidR="00E04986">
        <w:rPr>
          <w:szCs w:val="26"/>
        </w:rPr>
        <w:t>ose</w:t>
      </w:r>
      <w:r w:rsidR="00AB32D0">
        <w:rPr>
          <w:szCs w:val="26"/>
        </w:rPr>
        <w:t xml:space="preserve"> scheme</w:t>
      </w:r>
      <w:r w:rsidR="00E04986">
        <w:rPr>
          <w:szCs w:val="26"/>
        </w:rPr>
        <w:t>s</w:t>
      </w:r>
      <w:r w:rsidR="00AB32D0">
        <w:rPr>
          <w:szCs w:val="26"/>
        </w:rPr>
        <w:t xml:space="preserve"> fail to attribute to each and every compensable hour a specific amount equal to or greater than the minimum wage</w:t>
      </w:r>
      <w:r w:rsidRPr="00DE731A">
        <w:rPr>
          <w:szCs w:val="26"/>
        </w:rPr>
        <w:t>.</w:t>
      </w:r>
    </w:p>
    <w:p w:rsidR="000F0C12" w:rsidRPr="00DE731A" w:rsidP="00DE731A" w14:paraId="1398B05D" w14:textId="45335E1A">
      <w:pPr>
        <w:keepNext/>
        <w:tabs>
          <w:tab w:val="left" w:pos="1440"/>
        </w:tabs>
        <w:ind w:firstLine="720"/>
        <w:rPr>
          <w:szCs w:val="26"/>
        </w:rPr>
      </w:pPr>
      <w:r w:rsidRPr="00DE731A">
        <w:rPr>
          <w:szCs w:val="26"/>
        </w:rPr>
        <w:t>(3)</w:t>
      </w:r>
      <w:r w:rsidRPr="00DE731A" w:rsidR="0034437E">
        <w:rPr>
          <w:szCs w:val="26"/>
        </w:rPr>
        <w:tab/>
        <w:t xml:space="preserve">In light of </w:t>
      </w:r>
      <w:r w:rsidRPr="00DE731A" w:rsidR="00911187">
        <w:rPr>
          <w:szCs w:val="26"/>
        </w:rPr>
        <w:t xml:space="preserve">the answer to the question about the substantive application of </w:t>
      </w:r>
      <w:r w:rsidR="00D02AE2">
        <w:rPr>
          <w:szCs w:val="26"/>
        </w:rPr>
        <w:t xml:space="preserve">the </w:t>
      </w:r>
      <w:r w:rsidRPr="00DE731A" w:rsidR="00911187">
        <w:rPr>
          <w:szCs w:val="26"/>
        </w:rPr>
        <w:t>state’s minimum wage law</w:t>
      </w:r>
      <w:r w:rsidR="00D90E7F">
        <w:rPr>
          <w:szCs w:val="26"/>
        </w:rPr>
        <w:t>s</w:t>
      </w:r>
      <w:r w:rsidRPr="00DE731A" w:rsidR="00911187">
        <w:rPr>
          <w:szCs w:val="26"/>
        </w:rPr>
        <w:t xml:space="preserve">, we </w:t>
      </w:r>
      <w:r w:rsidRPr="00DE731A" w:rsidR="00930678">
        <w:rPr>
          <w:szCs w:val="26"/>
        </w:rPr>
        <w:t>do</w:t>
      </w:r>
      <w:r w:rsidRPr="00DE731A" w:rsidR="00911187">
        <w:rPr>
          <w:szCs w:val="26"/>
        </w:rPr>
        <w:t xml:space="preserve"> not address the separate question concerning the geographic scope of that law’s application.</w:t>
      </w:r>
    </w:p>
    <w:p w:rsidR="0002457C" w:rsidRPr="00DE731A" w:rsidP="00DE731A" w14:paraId="3E4F85EC" w14:textId="2A32580E">
      <w:pPr>
        <w:keepNext/>
        <w:tabs>
          <w:tab w:val="left" w:pos="1440"/>
        </w:tabs>
        <w:ind w:firstLine="720"/>
        <w:rPr>
          <w:szCs w:val="26"/>
        </w:rPr>
      </w:pPr>
      <w:r w:rsidRPr="00DE731A">
        <w:rPr>
          <w:b/>
          <w:szCs w:val="26"/>
        </w:rPr>
        <w:tab/>
      </w:r>
      <w:r w:rsidRPr="00DE731A">
        <w:rPr>
          <w:b/>
          <w:szCs w:val="26"/>
        </w:rPr>
        <w:tab/>
      </w:r>
      <w:r w:rsidRPr="00DE731A">
        <w:rPr>
          <w:b/>
          <w:szCs w:val="26"/>
        </w:rPr>
        <w:tab/>
      </w:r>
      <w:r w:rsidRPr="00DE731A">
        <w:rPr>
          <w:b/>
          <w:szCs w:val="26"/>
        </w:rPr>
        <w:tab/>
      </w:r>
      <w:r w:rsidRPr="00DE731A">
        <w:rPr>
          <w:b/>
          <w:szCs w:val="26"/>
        </w:rPr>
        <w:tab/>
      </w:r>
      <w:r w:rsidRPr="00DE731A">
        <w:rPr>
          <w:b/>
          <w:szCs w:val="26"/>
        </w:rPr>
        <w:tab/>
      </w:r>
      <w:r w:rsidR="00DE731A">
        <w:rPr>
          <w:b/>
          <w:szCs w:val="26"/>
        </w:rPr>
        <w:tab/>
        <w:t xml:space="preserve"> </w:t>
      </w:r>
      <w:r w:rsidR="003C6E54">
        <w:rPr>
          <w:b/>
          <w:szCs w:val="26"/>
        </w:rPr>
        <w:t xml:space="preserve"> </w:t>
      </w:r>
      <w:r w:rsidR="00DE731A">
        <w:rPr>
          <w:b/>
          <w:szCs w:val="26"/>
        </w:rPr>
        <w:t xml:space="preserve">   </w:t>
      </w:r>
      <w:r w:rsidRPr="00DE731A">
        <w:rPr>
          <w:b/>
          <w:szCs w:val="26"/>
        </w:rPr>
        <w:t>KRUGER, J.</w:t>
      </w:r>
    </w:p>
    <w:p w:rsidR="00027F10" w:rsidP="00DE731A" w14:paraId="24A101F4" w14:textId="77777777">
      <w:pPr>
        <w:rPr>
          <w:b/>
          <w:szCs w:val="26"/>
        </w:rPr>
      </w:pPr>
    </w:p>
    <w:p w:rsidR="00A84EF4" w:rsidP="00DE731A" w14:paraId="7B8FCED9" w14:textId="7ACC8246">
      <w:pPr>
        <w:rPr>
          <w:b/>
          <w:szCs w:val="26"/>
        </w:rPr>
      </w:pPr>
      <w:r w:rsidRPr="00DE731A">
        <w:rPr>
          <w:b/>
          <w:szCs w:val="26"/>
        </w:rPr>
        <w:t>We Concur:</w:t>
      </w:r>
    </w:p>
    <w:p w:rsidR="0061007A" w:rsidP="00AF5DB6" w14:paraId="12AEBA7B" w14:textId="755E4F4A">
      <w:pPr>
        <w:spacing w:after="0" w:line="240" w:lineRule="auto"/>
        <w:rPr>
          <w:b/>
          <w:szCs w:val="26"/>
        </w:rPr>
      </w:pPr>
      <w:r>
        <w:rPr>
          <w:b/>
          <w:szCs w:val="26"/>
        </w:rPr>
        <w:t>CANTIL-SAKAUYE, C. J.</w:t>
      </w:r>
    </w:p>
    <w:p w:rsidR="0061007A" w:rsidP="00AF5DB6" w14:paraId="3E14AE70" w14:textId="3B0D1E05">
      <w:pPr>
        <w:spacing w:after="0" w:line="240" w:lineRule="auto"/>
        <w:rPr>
          <w:b/>
          <w:szCs w:val="26"/>
        </w:rPr>
      </w:pPr>
      <w:r>
        <w:rPr>
          <w:b/>
          <w:szCs w:val="26"/>
        </w:rPr>
        <w:t>CHIN, J.</w:t>
      </w:r>
    </w:p>
    <w:p w:rsidR="0061007A" w:rsidP="00AF5DB6" w14:paraId="01458BF3" w14:textId="1D1B35ED">
      <w:pPr>
        <w:spacing w:after="0" w:line="240" w:lineRule="auto"/>
        <w:rPr>
          <w:b/>
          <w:szCs w:val="26"/>
        </w:rPr>
      </w:pPr>
      <w:r>
        <w:rPr>
          <w:b/>
          <w:szCs w:val="26"/>
        </w:rPr>
        <w:t>CORRIGAN, J.</w:t>
      </w:r>
    </w:p>
    <w:p w:rsidR="00FC1245" w:rsidP="00AF5DB6" w14:paraId="37F07CD8" w14:textId="19A2038E">
      <w:pPr>
        <w:spacing w:after="0" w:line="240" w:lineRule="auto"/>
        <w:rPr>
          <w:b/>
          <w:szCs w:val="26"/>
        </w:rPr>
      </w:pPr>
      <w:r>
        <w:rPr>
          <w:b/>
          <w:szCs w:val="26"/>
        </w:rPr>
        <w:t>LIU, J.</w:t>
      </w:r>
    </w:p>
    <w:p w:rsidR="0061007A" w:rsidP="00AF5DB6" w14:paraId="0AD4B2DE" w14:textId="26679DEF">
      <w:pPr>
        <w:spacing w:after="0" w:line="240" w:lineRule="auto"/>
        <w:rPr>
          <w:b/>
          <w:szCs w:val="26"/>
        </w:rPr>
      </w:pPr>
      <w:r>
        <w:rPr>
          <w:b/>
          <w:szCs w:val="26"/>
        </w:rPr>
        <w:t>CU</w:t>
      </w:r>
      <w:r w:rsidR="00AF5DB6">
        <w:rPr>
          <w:b/>
          <w:szCs w:val="26"/>
        </w:rPr>
        <w:t>É</w:t>
      </w:r>
      <w:r>
        <w:rPr>
          <w:b/>
          <w:szCs w:val="26"/>
        </w:rPr>
        <w:t>LLAR</w:t>
      </w:r>
      <w:r w:rsidR="00AF5DB6">
        <w:rPr>
          <w:b/>
          <w:szCs w:val="26"/>
        </w:rPr>
        <w:t>, J.</w:t>
      </w:r>
    </w:p>
    <w:p w:rsidR="00AF5DB6" w:rsidP="00AF5DB6" w14:paraId="42F82348" w14:textId="76DC0067">
      <w:pPr>
        <w:spacing w:after="0" w:line="240" w:lineRule="auto"/>
        <w:rPr>
          <w:b/>
          <w:szCs w:val="26"/>
        </w:rPr>
      </w:pPr>
      <w:r>
        <w:rPr>
          <w:b/>
          <w:szCs w:val="26"/>
        </w:rPr>
        <w:t>GRO</w:t>
      </w:r>
      <w:r w:rsidR="00922FE2">
        <w:rPr>
          <w:b/>
          <w:szCs w:val="26"/>
        </w:rPr>
        <w:t>B</w:t>
      </w:r>
      <w:r>
        <w:rPr>
          <w:b/>
          <w:szCs w:val="26"/>
        </w:rPr>
        <w:t>AN, J.</w:t>
      </w:r>
    </w:p>
    <w:p w:rsidR="00780DAE" w:rsidP="00AF5DB6" w14:paraId="4D70D001" w14:textId="77777777">
      <w:pPr>
        <w:spacing w:after="0" w:line="240" w:lineRule="auto"/>
        <w:rPr>
          <w:b/>
          <w:szCs w:val="26"/>
        </w:rPr>
        <w:sectPr w:rsidSect="00DE731A">
          <w:footnotePr>
            <w:numRestart w:val="eachSect"/>
          </w:footnotePr>
          <w:pgSz w:w="12240" w:h="15840" w:code="1"/>
          <w:pgMar w:top="1800" w:right="2160" w:bottom="1440" w:left="2160" w:header="720" w:footer="720" w:gutter="0"/>
          <w:pgNumType w:start="1"/>
          <w:cols w:space="720"/>
          <w:titlePg/>
          <w:docGrid w:linePitch="367"/>
        </w:sectPr>
      </w:pPr>
    </w:p>
    <w:p w:rsidR="00455932" w:rsidRPr="00455932" w:rsidP="00455932" w14:paraId="3F447FC4" w14:textId="77777777">
      <w:pPr>
        <w:jc w:val="center"/>
      </w:pPr>
      <w:r w:rsidRPr="00455932">
        <w:t>OMAN v. DELTA AIR LINES, INC.</w:t>
      </w:r>
    </w:p>
    <w:p w:rsidR="00455932" w:rsidRPr="00455932" w:rsidP="00455932" w14:paraId="41E64DE2" w14:textId="77777777">
      <w:pPr>
        <w:jc w:val="center"/>
      </w:pPr>
      <w:r w:rsidRPr="00455932">
        <w:t>S248726</w:t>
      </w:r>
    </w:p>
    <w:p w:rsidR="00455932" w:rsidRPr="00455932" w:rsidP="00455932" w14:paraId="3B469C1C" w14:textId="77777777">
      <w:pPr>
        <w:jc w:val="center"/>
      </w:pPr>
    </w:p>
    <w:p w:rsidR="00455932" w:rsidRPr="00455932" w:rsidP="00455932" w14:paraId="1EDFC32D" w14:textId="77777777">
      <w:pPr>
        <w:jc w:val="center"/>
      </w:pPr>
      <w:r w:rsidRPr="00455932">
        <w:t>Concurring Opinion by Justice Liu</w:t>
      </w:r>
    </w:p>
    <w:p w:rsidR="00455932" w:rsidRPr="00455932" w:rsidP="00455932" w14:paraId="094F697F" w14:textId="77777777">
      <w:pPr>
        <w:jc w:val="center"/>
      </w:pPr>
    </w:p>
    <w:p w:rsidR="00455932" w:rsidRPr="00455932" w:rsidP="00455932" w14:paraId="468EDFF0" w14:textId="77777777">
      <w:pPr>
        <w:ind w:firstLine="720"/>
      </w:pPr>
      <w:r w:rsidRPr="00455932">
        <w:t xml:space="preserve">Today’s opinion endorses the rule against wage borrowing established in </w:t>
      </w:r>
      <w:r w:rsidRPr="00455932">
        <w:rPr>
          <w:i/>
          <w:iCs/>
        </w:rPr>
        <w:t xml:space="preserve">Armenta v. Osmose, Inc. </w:t>
      </w:r>
      <w:r w:rsidRPr="00455932">
        <w:t>(2005) 135 Cal.App.4th 314 (</w:t>
      </w:r>
      <w:r w:rsidRPr="00455932">
        <w:rPr>
          <w:i/>
          <w:iCs/>
        </w:rPr>
        <w:t>Armenta</w:t>
      </w:r>
      <w:r w:rsidRPr="00455932">
        <w:t xml:space="preserve">) and reaffirmed in subsequent decisions.  (Maj. opn., </w:t>
      </w:r>
      <w:r w:rsidRPr="00455932">
        <w:rPr>
          <w:i/>
          <w:iCs/>
        </w:rPr>
        <w:t>ante</w:t>
      </w:r>
      <w:r w:rsidRPr="00455932">
        <w:t>, at p. 19.)  The court holds that an employer may not satisfy its obligation to pay at least the minimum wage for all hours worked by “</w:t>
      </w:r>
      <w:r w:rsidRPr="00455932">
        <w:rPr>
          <w:szCs w:val="26"/>
        </w:rPr>
        <w:t>borrowing compensation contractually owed for one set of hours or tasks to rectify compensation below the minimum wage for a second set of hours or tasks.”  (</w:t>
      </w:r>
      <w:r w:rsidRPr="00455932">
        <w:rPr>
          <w:i/>
          <w:iCs/>
          <w:szCs w:val="26"/>
        </w:rPr>
        <w:t>Ibid</w:t>
      </w:r>
      <w:r w:rsidRPr="00455932">
        <w:rPr>
          <w:szCs w:val="26"/>
        </w:rPr>
        <w:t xml:space="preserve">.)  </w:t>
      </w:r>
      <w:r w:rsidRPr="00455932">
        <w:t>Delta Air Lines, Inc.’s (Delta) flight attendant compensation scheme does not violate this “no-borrowing” rule.  (</w:t>
      </w:r>
      <w:r w:rsidRPr="00455932">
        <w:rPr>
          <w:i/>
          <w:iCs/>
        </w:rPr>
        <w:t>Id</w:t>
      </w:r>
      <w:r w:rsidRPr="00455932">
        <w:t>. at pp. 22–31.)</w:t>
      </w:r>
    </w:p>
    <w:p w:rsidR="00455932" w:rsidRPr="00455932" w:rsidP="00455932" w14:paraId="7231D9DE" w14:textId="77777777">
      <w:pPr>
        <w:ind w:firstLine="720"/>
      </w:pPr>
      <w:r w:rsidRPr="00455932">
        <w:t>While agreeing with today’s opinion, I write to highlight the first step in applying the no-borrowing rule:  identifying the nature of the employer’s contractual commitment to its employees.  Because the rule requires employers to keep their contractual commitments in the course of fulfilling their minimum wage obligations, whether the rule is violated turns on what an employer’s contractual commitments are.  Courts should be careful not to allow employers to characterize their contractual commitments in ways that would effectively circumvent the no-borrowing rule.</w:t>
      </w:r>
    </w:p>
    <w:p w:rsidR="00455932" w:rsidRPr="00455932" w:rsidP="00455932" w14:paraId="7D801820" w14:textId="77777777">
      <w:pPr>
        <w:ind w:firstLine="720"/>
      </w:pPr>
      <w:r w:rsidRPr="00455932">
        <w:t xml:space="preserve">Although </w:t>
      </w:r>
      <w:r w:rsidRPr="00455932">
        <w:rPr>
          <w:i/>
        </w:rPr>
        <w:t>Armenta</w:t>
      </w:r>
      <w:r w:rsidRPr="00455932">
        <w:t xml:space="preserve"> established the no-borrowing rule in the context of a “minimum wage” claim, it is important to clarify that the rule’s purpose is not to ensure that employees are paid, on average, hourly wages at or above a minimum threshold.  In no-borrowing cases, there is no dispute that the employees are paid at least the minimum wage when total compensation is averaged over all hours worked.  The question is whether the employer is using contractually promised pay for certain tasks or hours worked to make up for failing to pay the minimum wage for other tasks or hours worked.  </w:t>
      </w:r>
      <w:bookmarkStart w:id="10" w:name="_Hlk43889499"/>
      <w:r w:rsidRPr="00455932">
        <w:t>As today’s opinion explains, the purpose of the no-borrowing rule is to prevent employers from using clever accounting to effectively “</w:t>
      </w:r>
      <w:r w:rsidRPr="00455932">
        <w:rPr>
          <w:szCs w:val="26"/>
        </w:rPr>
        <w:t xml:space="preserve">reneg[e] on the employer’s contractual commitments, in violation of the contract protection provisions of the Labor Code.”  (Maj. opn., </w:t>
      </w:r>
      <w:r w:rsidRPr="00455932">
        <w:rPr>
          <w:i/>
          <w:iCs/>
          <w:szCs w:val="26"/>
        </w:rPr>
        <w:t>ante</w:t>
      </w:r>
      <w:r w:rsidRPr="00455932">
        <w:rPr>
          <w:szCs w:val="26"/>
        </w:rPr>
        <w:t>, at p. 19.)</w:t>
      </w:r>
      <w:r w:rsidRPr="00455932">
        <w:t xml:space="preserve">  </w:t>
      </w:r>
      <w:bookmarkEnd w:id="10"/>
      <w:r w:rsidRPr="00455932">
        <w:t>Plaintiff flight attendants do not claim that their average pay ever fell below the minimum wage.  Rather, they claim that the pay structure Delta promised did not compensate them for all the hours they worked.</w:t>
      </w:r>
    </w:p>
    <w:p w:rsidR="00455932" w:rsidRPr="00455932" w:rsidP="00455932" w14:paraId="362A74D8" w14:textId="77777777">
      <w:pPr>
        <w:ind w:firstLine="720"/>
      </w:pPr>
      <w:r w:rsidRPr="00455932">
        <w:t>Whether Delta or any other employer violates the no-borrowing rule thus turns on the nature of the pay structure the employer has promised.  “</w:t>
      </w:r>
      <w:r w:rsidRPr="00455932">
        <w:rPr>
          <w:szCs w:val="26"/>
        </w:rPr>
        <w:t xml:space="preserve">The compensation owed employees is a matter determined primarily by contract.”  (Maj. opn., </w:t>
      </w:r>
      <w:r w:rsidRPr="00455932">
        <w:rPr>
          <w:i/>
          <w:iCs/>
          <w:szCs w:val="26"/>
        </w:rPr>
        <w:t>ante</w:t>
      </w:r>
      <w:r w:rsidRPr="00455932">
        <w:rPr>
          <w:szCs w:val="26"/>
        </w:rPr>
        <w:t>, at p. 19.)</w:t>
      </w:r>
      <w:r w:rsidRPr="00455932">
        <w:t xml:space="preserve">  Employers may legally compensate their employees on any number of bases, including “</w:t>
      </w:r>
      <w:r w:rsidRPr="00455932">
        <w:rPr>
          <w:szCs w:val="26"/>
          <w:bdr w:val="none" w:sz="0" w:space="0" w:color="auto" w:frame="1"/>
          <w:lang w:val="en"/>
        </w:rPr>
        <w:t xml:space="preserve">by the standard of time, task, piece, commission basis, or other method of calculation.”  </w:t>
      </w:r>
      <w:r w:rsidRPr="00455932">
        <w:t>(</w:t>
      </w:r>
      <w:r w:rsidRPr="00455932">
        <w:rPr>
          <w:szCs w:val="26"/>
          <w:shd w:val="clear" w:color="auto" w:fill="FFFFFF"/>
        </w:rPr>
        <w:t>Lab. Code, § 200, subd. (a); see Industrial Welfare Commission, wage order No. 9-2001, § 4(B) [compensation may be “measured by time, piece, commission, or otherwise”].)</w:t>
      </w:r>
      <w:r w:rsidRPr="00455932">
        <w:t xml:space="preserve">  The unit of pay is often straightforward.  In </w:t>
      </w:r>
      <w:r w:rsidRPr="00455932">
        <w:rPr>
          <w:i/>
          <w:iCs/>
        </w:rPr>
        <w:t>Armenta</w:t>
      </w:r>
      <w:r w:rsidRPr="00455932">
        <w:t>, the plaintiff employees “were paid hourly wages ranging between $9.08 to $20, depending on whether they were crew members or foremen.”  (</w:t>
      </w:r>
      <w:r w:rsidRPr="00455932">
        <w:rPr>
          <w:i/>
          <w:iCs/>
        </w:rPr>
        <w:t>Armenta</w:t>
      </w:r>
      <w:r w:rsidRPr="00455932">
        <w:t xml:space="preserve">, </w:t>
      </w:r>
      <w:r w:rsidRPr="00455932">
        <w:rPr>
          <w:i/>
          <w:iCs/>
        </w:rPr>
        <w:t>supra</w:t>
      </w:r>
      <w:r w:rsidRPr="00455932">
        <w:t xml:space="preserve">, 135 Cal.App.4th at p. 317.)  In other cases, the compensation scheme may be more complex.  Employers may use a combination of methods (e.g., </w:t>
      </w:r>
      <w:r w:rsidRPr="00455932">
        <w:rPr>
          <w:i/>
          <w:iCs/>
        </w:rPr>
        <w:t>Bluford v. Safeway Inc</w:t>
      </w:r>
      <w:r w:rsidRPr="00455932">
        <w:t xml:space="preserve">. (2013) 216 Cal.App.4th 864, 867 [truck drivers’ compensation based on a combination of miles driven and hours worked]) or alternative pay formulas that are triggered when certain conditions are met </w:t>
      </w:r>
      <w:r w:rsidRPr="00455932">
        <w:rPr>
          <w:szCs w:val="26"/>
          <w:shd w:val="clear" w:color="auto" w:fill="FFFFFF"/>
        </w:rPr>
        <w:t xml:space="preserve">(e.g., </w:t>
      </w:r>
      <w:r w:rsidRPr="00455932">
        <w:rPr>
          <w:i/>
          <w:szCs w:val="26"/>
        </w:rPr>
        <w:t>Vaquero v. Stoneledge Furniture, LLC</w:t>
      </w:r>
      <w:r w:rsidRPr="00455932">
        <w:rPr>
          <w:szCs w:val="26"/>
        </w:rPr>
        <w:t xml:space="preserve"> (2017) 9 Cal.App.5th 98, 103</w:t>
      </w:r>
      <w:r w:rsidRPr="00455932">
        <w:rPr>
          <w:iCs/>
          <w:szCs w:val="26"/>
        </w:rPr>
        <w:t xml:space="preserve"> (</w:t>
      </w:r>
      <w:r w:rsidRPr="00455932">
        <w:rPr>
          <w:i/>
          <w:szCs w:val="26"/>
        </w:rPr>
        <w:t>Vaquero</w:t>
      </w:r>
      <w:r w:rsidRPr="00455932">
        <w:rPr>
          <w:iCs/>
          <w:szCs w:val="26"/>
        </w:rPr>
        <w:t xml:space="preserve">) [compensation determined by the greater of sales commission or hourly minimum pay]; </w:t>
      </w:r>
      <w:r w:rsidRPr="00455932">
        <w:rPr>
          <w:i/>
          <w:szCs w:val="26"/>
        </w:rPr>
        <w:t xml:space="preserve">Gonzalez v. Downtown LA Motors, LP </w:t>
      </w:r>
      <w:r w:rsidRPr="00455932">
        <w:rPr>
          <w:iCs/>
          <w:szCs w:val="26"/>
        </w:rPr>
        <w:t>(2013) 215 Cal.App.4th 36, 41</w:t>
      </w:r>
      <w:r w:rsidRPr="00455932">
        <w:rPr>
          <w:szCs w:val="26"/>
        </w:rPr>
        <w:t xml:space="preserve"> (</w:t>
      </w:r>
      <w:r w:rsidRPr="00455932">
        <w:rPr>
          <w:i/>
          <w:iCs/>
          <w:szCs w:val="26"/>
        </w:rPr>
        <w:t>Gonzalez</w:t>
      </w:r>
      <w:r w:rsidRPr="00455932">
        <w:rPr>
          <w:szCs w:val="26"/>
        </w:rPr>
        <w:t>) [compensation determined by the greater of repair tasks completed or hourly minimum pay])</w:t>
      </w:r>
      <w:r w:rsidRPr="00455932">
        <w:t>.</w:t>
      </w:r>
    </w:p>
    <w:p w:rsidR="00455932" w:rsidRPr="00455932" w:rsidP="00455932" w14:paraId="15D147A1" w14:textId="77777777">
      <w:pPr>
        <w:ind w:firstLine="720"/>
      </w:pPr>
      <w:r w:rsidRPr="00455932">
        <w:rPr>
          <w:szCs w:val="26"/>
          <w:shd w:val="clear" w:color="auto" w:fill="FFFFFF"/>
        </w:rPr>
        <w:t>Consistent with general contract interpretation principles, the employer’s contractual commitment, including the unit of promised pay, is based on the objectively reasonable expectations of the parties at the time of contract.</w:t>
      </w:r>
      <w:r w:rsidRPr="00455932">
        <w:t xml:space="preserve">  </w:t>
      </w:r>
      <w:r w:rsidRPr="00455932">
        <w:rPr>
          <w:szCs w:val="26"/>
          <w:shd w:val="clear" w:color="auto" w:fill="FFFFFF"/>
        </w:rPr>
        <w:t xml:space="preserve">(See Civ. Code, § 1636 [“A contract must be so interpreted as to give effect to the mutual intention of the parties as it existed at the time of contracting, so far as the same is ascertainable and lawful.”].)  Such principles include interpreting </w:t>
      </w:r>
      <w:r w:rsidRPr="00455932">
        <w:t>the employment agreement as a whole (</w:t>
      </w:r>
      <w:r w:rsidRPr="00455932">
        <w:rPr>
          <w:i/>
        </w:rPr>
        <w:t>id</w:t>
      </w:r>
      <w:r w:rsidRPr="00455932">
        <w:t>., § 1641) and, if the contract language is ambiguous, looking to the context surrounding its formation (</w:t>
      </w:r>
      <w:r w:rsidRPr="00455932">
        <w:rPr>
          <w:i/>
          <w:iCs/>
        </w:rPr>
        <w:t>id</w:t>
      </w:r>
      <w:r w:rsidRPr="00455932">
        <w:t>., § 1647) as well as the subsequent conduct of the parties (1 Witkin, Summary of Cal. Law (11th ed. 2017) Contracts, § 772).</w:t>
      </w:r>
    </w:p>
    <w:p w:rsidR="00455932" w:rsidRPr="00455932" w:rsidP="00455932" w14:paraId="18B5B811" w14:textId="77777777">
      <w:pPr>
        <w:ind w:firstLine="720"/>
      </w:pPr>
      <w:r w:rsidRPr="00455932">
        <w:t>Correctly identifying an employer’s contractual commitment is critical to ensuring that employers do not circumvent the no-borrowing rule simply by inserting into employment agreements a minimum wage floor — i.e., an agreement to make up the difference if an employee’s promised pay, averaged over all hours worked, falls below the applicable minimum wage.  A minimum wage floor, by incorporating the concept of borrowing into the contract, would seem to be an easy way for an employer to inoculate itself against a no-borrowing claim.</w:t>
      </w:r>
    </w:p>
    <w:p w:rsidR="00455932" w:rsidRPr="00455932" w:rsidP="00455932" w14:paraId="0E633015" w14:textId="77777777">
      <w:pPr>
        <w:ind w:firstLine="720"/>
      </w:pPr>
      <w:r w:rsidRPr="00455932">
        <w:t xml:space="preserve">Courts applying </w:t>
      </w:r>
      <w:r w:rsidRPr="00455932">
        <w:rPr>
          <w:i/>
          <w:iCs/>
        </w:rPr>
        <w:t xml:space="preserve">Armenta </w:t>
      </w:r>
      <w:r w:rsidRPr="00455932">
        <w:t xml:space="preserve">have rejected such compensation schemes.  In </w:t>
      </w:r>
      <w:r w:rsidRPr="00455932">
        <w:rPr>
          <w:i/>
          <w:iCs/>
        </w:rPr>
        <w:t>Vaquero</w:t>
      </w:r>
      <w:r w:rsidRPr="00455932">
        <w:t>, a furniture store paid its salespeople on a commission basis and did not separately compensate them for legally mandated rest breaks.  (</w:t>
      </w:r>
      <w:r w:rsidRPr="00455932">
        <w:rPr>
          <w:i/>
          <w:iCs/>
        </w:rPr>
        <w:t>Vaquero</w:t>
      </w:r>
      <w:r w:rsidRPr="00455932">
        <w:t xml:space="preserve">, </w:t>
      </w:r>
      <w:r w:rsidRPr="00455932">
        <w:rPr>
          <w:i/>
          <w:iCs/>
        </w:rPr>
        <w:t>supra</w:t>
      </w:r>
      <w:r w:rsidRPr="00455932">
        <w:t>, 9 Cal.App.5th at p. 103.)  The employer also calculated employee pay based on the total number of hours an employee worked, including rest breaks.  If a salesperson failed to earn more than an average of $12.01 per hour on commission, the employer made up the difference and subtracted that amount from the salesperson’s earnings in the next pay period.  (</w:t>
      </w:r>
      <w:r w:rsidRPr="00455932">
        <w:rPr>
          <w:i/>
          <w:iCs/>
        </w:rPr>
        <w:t>Ibid.</w:t>
      </w:r>
      <w:r w:rsidRPr="00455932">
        <w:t>)  Construing the compensation scheme to promise payment by commission, the Court of Appeal concluded that the scheme failed to separately pay employees for rest breaks and therefore failed to pay for all hours worked.  (</w:t>
      </w:r>
      <w:r w:rsidRPr="00455932">
        <w:rPr>
          <w:i/>
          <w:iCs/>
        </w:rPr>
        <w:t>Ibid</w:t>
      </w:r>
      <w:r w:rsidRPr="00455932">
        <w:t>.)  The no-borrowing rule barred the employer from using pay promised for an employee’s commission to fulfill its obligation to pay for rest breaks.  (</w:t>
      </w:r>
      <w:r w:rsidRPr="00455932">
        <w:rPr>
          <w:i/>
          <w:iCs/>
        </w:rPr>
        <w:t>Id</w:t>
      </w:r>
      <w:r w:rsidRPr="00455932">
        <w:t>. at pp. 114–117.)  The fact that the employer supplemented an employee’s commission if it fell below a specified hourly floor did not cure the violation.  (</w:t>
      </w:r>
      <w:r w:rsidRPr="00455932">
        <w:rPr>
          <w:i/>
          <w:iCs/>
        </w:rPr>
        <w:t>Ibid.</w:t>
      </w:r>
      <w:r w:rsidRPr="00455932">
        <w:t>)</w:t>
      </w:r>
    </w:p>
    <w:p w:rsidR="00455932" w:rsidRPr="00455932" w:rsidP="00455932" w14:paraId="0E38492F" w14:textId="77777777">
      <w:pPr>
        <w:ind w:firstLine="720"/>
      </w:pPr>
      <w:r w:rsidRPr="00455932">
        <w:t xml:space="preserve">Likewise, in </w:t>
      </w:r>
      <w:r w:rsidRPr="00455932">
        <w:rPr>
          <w:i/>
          <w:iCs/>
        </w:rPr>
        <w:t>Gonzalez</w:t>
      </w:r>
      <w:r w:rsidRPr="00455932">
        <w:t xml:space="preserve">, </w:t>
      </w:r>
      <w:r w:rsidRPr="00455932">
        <w:rPr>
          <w:rFonts w:eastAsia="Calibri"/>
          <w:iCs/>
          <w:color w:val="000000"/>
          <w:szCs w:val="26"/>
        </w:rPr>
        <w:t>an automobile servicing company</w:t>
      </w:r>
      <w:r w:rsidRPr="00455932">
        <w:rPr>
          <w:rFonts w:eastAsia="Calibri"/>
          <w:color w:val="000000"/>
          <w:szCs w:val="26"/>
        </w:rPr>
        <w:t xml:space="preserve"> paid its mechanics for each repair they completed but did not compensate them for wait time between repairs.  (</w:t>
      </w:r>
      <w:r w:rsidRPr="00455932">
        <w:rPr>
          <w:rFonts w:eastAsia="Calibri"/>
          <w:i/>
          <w:iCs/>
          <w:color w:val="000000"/>
          <w:szCs w:val="26"/>
        </w:rPr>
        <w:t>Gonzalez</w:t>
      </w:r>
      <w:r w:rsidRPr="00455932">
        <w:rPr>
          <w:rFonts w:eastAsia="Calibri"/>
          <w:color w:val="000000"/>
          <w:szCs w:val="26"/>
        </w:rPr>
        <w:t xml:space="preserve">, </w:t>
      </w:r>
      <w:r w:rsidRPr="00455932">
        <w:rPr>
          <w:rFonts w:eastAsia="Calibri"/>
          <w:i/>
          <w:iCs/>
          <w:color w:val="000000"/>
          <w:szCs w:val="26"/>
        </w:rPr>
        <w:t>supra</w:t>
      </w:r>
      <w:r w:rsidRPr="00455932">
        <w:rPr>
          <w:rFonts w:eastAsia="Calibri"/>
          <w:color w:val="000000"/>
          <w:szCs w:val="26"/>
        </w:rPr>
        <w:t>, 215 Cal.App.4th</w:t>
      </w:r>
      <w:r w:rsidRPr="00455932">
        <w:rPr>
          <w:rFonts w:eastAsia="Calibri"/>
          <w:iCs/>
          <w:color w:val="000000"/>
          <w:szCs w:val="26"/>
        </w:rPr>
        <w:t xml:space="preserve"> </w:t>
      </w:r>
      <w:r w:rsidRPr="00455932">
        <w:rPr>
          <w:rFonts w:eastAsia="Calibri"/>
          <w:color w:val="000000"/>
          <w:szCs w:val="26"/>
        </w:rPr>
        <w:t>at p. 41.)  The employer also calculated what it called a “ ‘minimum wage floor’ ” (</w:t>
      </w:r>
      <w:r w:rsidRPr="00455932">
        <w:rPr>
          <w:rFonts w:eastAsia="Calibri"/>
          <w:i/>
          <w:iCs/>
          <w:color w:val="000000"/>
          <w:szCs w:val="26"/>
        </w:rPr>
        <w:t>ibid</w:t>
      </w:r>
      <w:r w:rsidRPr="00455932">
        <w:rPr>
          <w:rFonts w:eastAsia="Calibri"/>
          <w:color w:val="000000"/>
          <w:szCs w:val="26"/>
        </w:rPr>
        <w:t>.):  If a mechanic’s compensation for repairs fell below what the mechanic would have made if paid the minimum wage for all hours worked, including wait time, the employer made up the difference.  (</w:t>
      </w:r>
      <w:r w:rsidRPr="00455932">
        <w:rPr>
          <w:rFonts w:eastAsia="Calibri"/>
          <w:i/>
          <w:color w:val="000000"/>
          <w:szCs w:val="26"/>
        </w:rPr>
        <w:t>Id.</w:t>
      </w:r>
      <w:r w:rsidRPr="00455932">
        <w:rPr>
          <w:rFonts w:eastAsia="Calibri"/>
          <w:color w:val="000000"/>
          <w:szCs w:val="26"/>
        </w:rPr>
        <w:t xml:space="preserve"> at pp. 41–42.)</w:t>
      </w:r>
      <w:r w:rsidRPr="00455932">
        <w:t xml:space="preserve">  </w:t>
      </w:r>
      <w:r w:rsidRPr="00455932">
        <w:rPr>
          <w:rFonts w:eastAsia="Calibri"/>
          <w:color w:val="000000"/>
          <w:szCs w:val="26"/>
        </w:rPr>
        <w:t>Despite such a minimum wage floor, the Court of Appeal affirmed the trial court’s finding that the employer failed to pay for all hours worked.  (</w:t>
      </w:r>
      <w:r w:rsidRPr="00455932">
        <w:rPr>
          <w:rFonts w:eastAsia="Calibri"/>
          <w:i/>
          <w:iCs/>
          <w:color w:val="000000"/>
          <w:szCs w:val="26"/>
        </w:rPr>
        <w:t>Id</w:t>
      </w:r>
      <w:r w:rsidRPr="00455932">
        <w:rPr>
          <w:rFonts w:eastAsia="Calibri"/>
          <w:color w:val="000000"/>
          <w:szCs w:val="26"/>
        </w:rPr>
        <w:t>. at p. 55.)</w:t>
      </w:r>
      <w:r w:rsidRPr="00455932">
        <w:t xml:space="preserve">  </w:t>
      </w:r>
      <w:r w:rsidRPr="00455932">
        <w:rPr>
          <w:rFonts w:eastAsia="Calibri"/>
          <w:color w:val="000000"/>
          <w:szCs w:val="26"/>
        </w:rPr>
        <w:t>The court found that the compensation system was a “piece-rate system” because the “technicians [were] paid primarily on the basis of repair tasks completed.”  (</w:t>
      </w:r>
      <w:r w:rsidRPr="00455932">
        <w:rPr>
          <w:rFonts w:eastAsia="Calibri"/>
          <w:i/>
          <w:iCs/>
          <w:color w:val="000000"/>
          <w:szCs w:val="26"/>
        </w:rPr>
        <w:t>Id.</w:t>
      </w:r>
      <w:r w:rsidRPr="00455932">
        <w:t xml:space="preserve"> at p. 41.)  It concluded that the no-borrowing rule developed in </w:t>
      </w:r>
      <w:r w:rsidRPr="00455932">
        <w:rPr>
          <w:i/>
          <w:iCs/>
        </w:rPr>
        <w:t>Armenta</w:t>
      </w:r>
      <w:r w:rsidRPr="00455932">
        <w:t xml:space="preserve"> also applied to piece-rate compensation schemes.  (</w:t>
      </w:r>
      <w:r w:rsidRPr="00455932">
        <w:rPr>
          <w:i/>
          <w:iCs/>
        </w:rPr>
        <w:t>Id</w:t>
      </w:r>
      <w:r w:rsidRPr="00455932">
        <w:t>. at p. 49.)  Because the employer’s piece-rate scheme did not separately compensate mechanics for wait time between repairs, the employer did not pay employees for all hours worked.  Under the no-borrowing</w:t>
      </w:r>
      <w:r w:rsidRPr="00455932">
        <w:rPr>
          <w:i/>
          <w:iCs/>
        </w:rPr>
        <w:t xml:space="preserve"> </w:t>
      </w:r>
      <w:r w:rsidRPr="00455932">
        <w:t>rule, the employer could not use pay promised for repair tasks to cover its obligations to pay for wait time.  (</w:t>
      </w:r>
      <w:r w:rsidRPr="00455932">
        <w:rPr>
          <w:i/>
          <w:iCs/>
        </w:rPr>
        <w:t>Id</w:t>
      </w:r>
      <w:r w:rsidRPr="00455932">
        <w:t xml:space="preserve">. at p. 50; see also </w:t>
      </w:r>
      <w:r w:rsidRPr="00455932">
        <w:rPr>
          <w:i/>
          <w:iCs/>
          <w:color w:val="000000"/>
        </w:rPr>
        <w:t>Balasanyan v. Nordstrom, Inc.</w:t>
      </w:r>
      <w:r w:rsidRPr="00455932">
        <w:rPr>
          <w:color w:val="000000"/>
        </w:rPr>
        <w:t xml:space="preserve"> (S.D.Cal. 2012) 913 F.Supp.2d 1001 [finding a violation of California wage law under </w:t>
      </w:r>
      <w:r w:rsidRPr="00455932">
        <w:rPr>
          <w:i/>
          <w:iCs/>
          <w:color w:val="000000"/>
        </w:rPr>
        <w:t xml:space="preserve">Armenta </w:t>
      </w:r>
      <w:r w:rsidRPr="00455932">
        <w:rPr>
          <w:color w:val="000000"/>
        </w:rPr>
        <w:t>where a department store paid salespeople on a commission basis and supplemented commissions if it fell below an average hourly minimum].)</w:t>
      </w:r>
    </w:p>
    <w:p w:rsidR="00455932" w:rsidRPr="00455932" w:rsidP="00455932" w14:paraId="205C425A" w14:textId="77777777">
      <w:pPr>
        <w:ind w:firstLine="720"/>
      </w:pPr>
      <w:r w:rsidRPr="00455932">
        <w:rPr>
          <w:iCs/>
        </w:rPr>
        <w:t xml:space="preserve">Although </w:t>
      </w:r>
      <w:r w:rsidRPr="00455932">
        <w:rPr>
          <w:i/>
          <w:iCs/>
        </w:rPr>
        <w:t xml:space="preserve">Vaquero </w:t>
      </w:r>
      <w:r w:rsidRPr="00455932">
        <w:t xml:space="preserve">and </w:t>
      </w:r>
      <w:r w:rsidRPr="00455932">
        <w:rPr>
          <w:i/>
          <w:iCs/>
        </w:rPr>
        <w:t>Gonzalez</w:t>
      </w:r>
      <w:r w:rsidRPr="00455932">
        <w:t xml:space="preserve"> did not extensively discuss the nature of each employer’s respective contractual commitments, the reasoning of those decisions recognizes that employers cannot circumvent their obligation to pay employees for all hours worked or to pay the full amount of commissions, piece rates, or other compensation promised to employees simply by inserting a minimum wage floor into an employment agreement.  A contrary conclusion would make it all too easy to evade the rule; a minimum wage floor would become a standard term in many employment contracts, and the rule would be emptied of real substance.  The rule developed in </w:t>
      </w:r>
      <w:r w:rsidRPr="00455932">
        <w:rPr>
          <w:i/>
          <w:iCs/>
        </w:rPr>
        <w:t xml:space="preserve">Armenta </w:t>
      </w:r>
      <w:r w:rsidRPr="00455932">
        <w:t>is grounded in the protections of the Labor Code that prohibit an employer from diluting an employee’s contractually promised wages.  (</w:t>
      </w:r>
      <w:r w:rsidRPr="00455932">
        <w:rPr>
          <w:i/>
          <w:iCs/>
        </w:rPr>
        <w:t>Armenta</w:t>
      </w:r>
      <w:r w:rsidRPr="00455932">
        <w:t xml:space="preserve">, </w:t>
      </w:r>
      <w:r w:rsidRPr="00455932">
        <w:rPr>
          <w:i/>
          <w:iCs/>
        </w:rPr>
        <w:t>supra</w:t>
      </w:r>
      <w:r w:rsidRPr="00455932">
        <w:t>, 135 Cal.App.4th at p. 323 [</w:t>
      </w:r>
      <w:r w:rsidRPr="00455932">
        <w:rPr>
          <w:szCs w:val="26"/>
        </w:rPr>
        <w:t>discussing Lab. Code, §§ 221, 222, 223].)</w:t>
      </w:r>
      <w:r w:rsidRPr="00455932">
        <w:t xml:space="preserve">  </w:t>
      </w:r>
      <w:r w:rsidRPr="00455932">
        <w:rPr>
          <w:i/>
          <w:iCs/>
        </w:rPr>
        <w:t>Vaquero</w:t>
      </w:r>
      <w:r w:rsidRPr="00455932">
        <w:t xml:space="preserve"> and </w:t>
      </w:r>
      <w:r w:rsidRPr="00455932">
        <w:rPr>
          <w:i/>
          <w:iCs/>
        </w:rPr>
        <w:t>Gonzalez</w:t>
      </w:r>
      <w:r w:rsidRPr="00455932">
        <w:t xml:space="preserve"> held that the employers in those cases made contractual commitments to commission and piece-rate pay, respectively, and the addition of a minimum wage floor did not change those commitments.  (Cf. </w:t>
      </w:r>
      <w:r w:rsidRPr="00455932">
        <w:rPr>
          <w:i/>
          <w:iCs/>
        </w:rPr>
        <w:t>Cardenas v. McLane FoodServices, Inc</w:t>
      </w:r>
      <w:r w:rsidRPr="00455932">
        <w:t xml:space="preserve">. (C.D.Cal. 2011) 796 F.Supp.2d 1246, 1252 [finding a violation of California wage law under </w:t>
      </w:r>
      <w:r w:rsidRPr="00455932">
        <w:rPr>
          <w:i/>
          <w:iCs/>
        </w:rPr>
        <w:t>Armenta</w:t>
      </w:r>
      <w:r w:rsidRPr="00455932">
        <w:t xml:space="preserve"> even though the employer did not violate an “explicit agreement”].)  Today’s opinion leaves those decisions, and the protective force of the no-borrowing rule, intact.</w:t>
      </w:r>
    </w:p>
    <w:p w:rsidR="00455932" w:rsidRPr="00455932" w:rsidP="00455932" w14:paraId="0E6A4BF8" w14:textId="77777777">
      <w:pPr>
        <w:ind w:firstLine="720"/>
      </w:pPr>
    </w:p>
    <w:p w:rsidR="00455932" w:rsidRPr="00455932" w:rsidP="00455932" w14:paraId="1EF11155" w14:textId="77777777">
      <w:pPr>
        <w:ind w:left="4320" w:firstLine="720"/>
        <w:rPr>
          <w:b/>
        </w:rPr>
      </w:pPr>
      <w:r w:rsidRPr="00455932">
        <w:rPr>
          <w:b/>
        </w:rPr>
        <w:t>LIU, J.</w:t>
      </w:r>
    </w:p>
    <w:p w:rsidR="00455932" w:rsidRPr="00455932" w:rsidP="00455932" w14:paraId="2132B21D" w14:textId="77777777">
      <w:pPr>
        <w:ind w:left="4320" w:firstLine="720"/>
        <w:rPr>
          <w:b/>
        </w:rPr>
      </w:pPr>
    </w:p>
    <w:p w:rsidR="00455932" w:rsidRPr="00455932" w:rsidP="00455932" w14:paraId="30E7B9E9" w14:textId="77777777">
      <w:pPr>
        <w:rPr>
          <w:b/>
        </w:rPr>
      </w:pPr>
      <w:r w:rsidRPr="00455932">
        <w:rPr>
          <w:b/>
        </w:rPr>
        <w:t xml:space="preserve">I Concur: </w:t>
      </w:r>
    </w:p>
    <w:p w:rsidR="00455932" w:rsidRPr="00455932" w:rsidP="00455932" w14:paraId="44D3DC09" w14:textId="77777777">
      <w:pPr>
        <w:spacing w:after="0" w:line="240" w:lineRule="auto"/>
        <w:rPr>
          <w:b/>
        </w:rPr>
      </w:pPr>
      <w:r w:rsidRPr="00455932">
        <w:rPr>
          <w:b/>
        </w:rPr>
        <w:t>CUÉLLAR, J.</w:t>
      </w:r>
    </w:p>
    <w:p w:rsidR="00455932" w:rsidRPr="00455932" w:rsidP="00455932" w14:paraId="0EAD2E8C" w14:textId="77777777">
      <w:pPr>
        <w:spacing w:after="0" w:line="240" w:lineRule="auto"/>
        <w:jc w:val="left"/>
        <w:rPr>
          <w:b/>
        </w:rPr>
      </w:pPr>
    </w:p>
    <w:p w:rsidR="00455932" w:rsidP="00AF5DB6" w14:paraId="2A1C4692" w14:textId="77777777">
      <w:pPr>
        <w:spacing w:after="0" w:line="240" w:lineRule="auto"/>
        <w:rPr>
          <w:b/>
          <w:szCs w:val="26"/>
        </w:rPr>
        <w:sectPr w:rsidSect="00DE731A">
          <w:headerReference w:type="default" r:id="rId8"/>
          <w:footnotePr>
            <w:numRestart w:val="eachSect"/>
          </w:footnotePr>
          <w:pgSz w:w="12240" w:h="15840" w:code="1"/>
          <w:pgMar w:top="1800" w:right="2160" w:bottom="1440" w:left="2160" w:header="720" w:footer="720" w:gutter="0"/>
          <w:pgNumType w:start="1"/>
          <w:cols w:space="720"/>
          <w:titlePg/>
          <w:docGrid w:linePitch="367"/>
        </w:sectPr>
      </w:pPr>
    </w:p>
    <w:p w:rsidR="00FF6C8D" w:rsidRPr="00FF6C8D" w:rsidP="00FF6C8D" w14:paraId="195016B5" w14:textId="77777777">
      <w:pPr>
        <w:spacing w:after="0" w:line="240" w:lineRule="auto"/>
        <w:jc w:val="left"/>
        <w:rPr>
          <w:rFonts w:ascii="Times New Roman" w:hAnsi="Times New Roman"/>
          <w:i/>
          <w:sz w:val="20"/>
        </w:rPr>
      </w:pPr>
      <w:r w:rsidRPr="00FF6C8D">
        <w:rPr>
          <w:rFonts w:ascii="Times New Roman" w:hAnsi="Times New Roman"/>
          <w:i/>
          <w:sz w:val="20"/>
        </w:rPr>
        <w:t>See next page for addresses and telephone numbers for counsel who argued in Supreme Court.</w:t>
      </w:r>
    </w:p>
    <w:p w:rsidR="00FF6C8D" w:rsidRPr="00FF6C8D" w:rsidP="00FF6C8D" w14:paraId="3083D427" w14:textId="77777777">
      <w:pPr>
        <w:spacing w:after="0" w:line="240" w:lineRule="auto"/>
        <w:jc w:val="left"/>
        <w:rPr>
          <w:rFonts w:ascii="Times New Roman" w:hAnsi="Times New Roman"/>
          <w:i/>
          <w:sz w:val="20"/>
        </w:rPr>
      </w:pPr>
    </w:p>
    <w:p w:rsidR="00FF6C8D" w:rsidRPr="00FF6C8D" w:rsidP="00FF6C8D" w14:paraId="4C6EB110" w14:textId="77777777">
      <w:pPr>
        <w:spacing w:after="0" w:line="240" w:lineRule="auto"/>
        <w:jc w:val="left"/>
        <w:rPr>
          <w:rFonts w:ascii="Times New Roman" w:hAnsi="Times New Roman"/>
          <w:sz w:val="20"/>
        </w:rPr>
      </w:pPr>
      <w:r w:rsidRPr="00FF6C8D">
        <w:rPr>
          <w:rFonts w:ascii="Times New Roman" w:hAnsi="Times New Roman"/>
          <w:b/>
          <w:sz w:val="20"/>
        </w:rPr>
        <w:t xml:space="preserve">Name of Opinion </w:t>
      </w:r>
      <w:r w:rsidRPr="00FF6C8D">
        <w:rPr>
          <w:rFonts w:ascii="Times New Roman" w:hAnsi="Times New Roman"/>
          <w:bCs/>
          <w:sz w:val="20"/>
        </w:rPr>
        <w:t xml:space="preserve"> Oman v. Delta Airlines, Inc.</w:t>
      </w:r>
    </w:p>
    <w:p w:rsidR="00FF6C8D" w:rsidRPr="00FF6C8D" w:rsidP="00FF6C8D" w14:paraId="4D8B84EF" w14:textId="77777777">
      <w:pPr>
        <w:spacing w:after="0" w:line="240" w:lineRule="auto"/>
        <w:jc w:val="left"/>
        <w:rPr>
          <w:rFonts w:ascii="Times New Roman" w:hAnsi="Times New Roman"/>
          <w:b/>
          <w:sz w:val="20"/>
        </w:rPr>
      </w:pPr>
      <w:r w:rsidRPr="00FF6C8D">
        <w:rPr>
          <w:rFonts w:ascii="Times New Roman" w:hAnsi="Times New Roman"/>
          <w:b/>
          <w:sz w:val="20"/>
        </w:rPr>
        <w:t>__________________________________________________________________________________</w:t>
      </w:r>
    </w:p>
    <w:p w:rsidR="00FF6C8D" w:rsidRPr="00FF6C8D" w:rsidP="00FF6C8D" w14:paraId="7C77A1A8" w14:textId="77777777">
      <w:pPr>
        <w:spacing w:after="0" w:line="240" w:lineRule="auto"/>
        <w:jc w:val="left"/>
        <w:rPr>
          <w:rFonts w:ascii="Times New Roman" w:hAnsi="Times New Roman"/>
          <w:b/>
          <w:sz w:val="20"/>
        </w:rPr>
      </w:pPr>
    </w:p>
    <w:p w:rsidR="00FF6C8D" w:rsidRPr="00FF6C8D" w:rsidP="00FF6C8D" w14:paraId="1481AC42" w14:textId="77777777">
      <w:pPr>
        <w:spacing w:after="0" w:line="240" w:lineRule="auto"/>
        <w:jc w:val="left"/>
        <w:rPr>
          <w:rFonts w:ascii="Times New Roman" w:hAnsi="Times New Roman"/>
          <w:bCs/>
          <w:sz w:val="20"/>
        </w:rPr>
      </w:pPr>
      <w:r w:rsidRPr="00FF6C8D">
        <w:rPr>
          <w:rFonts w:ascii="Times New Roman" w:hAnsi="Times New Roman"/>
          <w:b/>
          <w:sz w:val="20"/>
        </w:rPr>
        <w:t>Unpublished Opinion</w:t>
      </w:r>
    </w:p>
    <w:p w:rsidR="00FF6C8D" w:rsidRPr="00FF6C8D" w:rsidP="00FF6C8D" w14:paraId="4DBA2E20" w14:textId="77777777">
      <w:pPr>
        <w:spacing w:after="0" w:line="240" w:lineRule="auto"/>
        <w:jc w:val="left"/>
        <w:rPr>
          <w:rFonts w:ascii="Times New Roman" w:hAnsi="Times New Roman"/>
          <w:sz w:val="20"/>
        </w:rPr>
      </w:pPr>
      <w:r w:rsidRPr="00FF6C8D">
        <w:rPr>
          <w:rFonts w:ascii="Times New Roman" w:hAnsi="Times New Roman"/>
          <w:b/>
          <w:sz w:val="20"/>
        </w:rPr>
        <w:t>Original Appeal</w:t>
      </w:r>
    </w:p>
    <w:p w:rsidR="00FF6C8D" w:rsidRPr="00FF6C8D" w:rsidP="00FF6C8D" w14:paraId="7A886CC5" w14:textId="77777777">
      <w:pPr>
        <w:spacing w:after="0" w:line="240" w:lineRule="auto"/>
        <w:jc w:val="left"/>
        <w:rPr>
          <w:rFonts w:ascii="Times New Roman" w:hAnsi="Times New Roman"/>
          <w:bCs/>
          <w:sz w:val="20"/>
        </w:rPr>
      </w:pPr>
      <w:r w:rsidRPr="00FF6C8D">
        <w:rPr>
          <w:rFonts w:ascii="Times New Roman" w:hAnsi="Times New Roman"/>
          <w:b/>
          <w:sz w:val="20"/>
        </w:rPr>
        <w:t xml:space="preserve">Original Proceeding </w:t>
      </w:r>
      <w:r w:rsidRPr="00FF6C8D">
        <w:rPr>
          <w:rFonts w:ascii="Times New Roman" w:hAnsi="Times New Roman"/>
          <w:sz w:val="20"/>
        </w:rPr>
        <w:t>XXX on request pursuant to rule 8.548, Cal. Rules of Court</w:t>
      </w:r>
    </w:p>
    <w:p w:rsidR="00FF6C8D" w:rsidRPr="00FF6C8D" w:rsidP="00FF6C8D" w14:paraId="5EC1B807" w14:textId="77777777">
      <w:pPr>
        <w:spacing w:after="0" w:line="240" w:lineRule="auto"/>
        <w:jc w:val="left"/>
        <w:rPr>
          <w:rFonts w:ascii="Times New Roman" w:hAnsi="Times New Roman"/>
          <w:bCs/>
          <w:sz w:val="20"/>
        </w:rPr>
      </w:pPr>
      <w:r w:rsidRPr="00FF6C8D">
        <w:rPr>
          <w:rFonts w:ascii="Times New Roman" w:hAnsi="Times New Roman"/>
          <w:b/>
          <w:sz w:val="20"/>
        </w:rPr>
        <w:t xml:space="preserve">Review Granted </w:t>
      </w:r>
    </w:p>
    <w:p w:rsidR="00FF6C8D" w:rsidRPr="00FF6C8D" w:rsidP="00FF6C8D" w14:paraId="48BDC520" w14:textId="77777777">
      <w:pPr>
        <w:spacing w:after="0" w:line="240" w:lineRule="auto"/>
        <w:jc w:val="left"/>
        <w:rPr>
          <w:rFonts w:ascii="Times New Roman" w:hAnsi="Times New Roman"/>
          <w:b/>
          <w:sz w:val="20"/>
        </w:rPr>
      </w:pPr>
      <w:r w:rsidRPr="00FF6C8D">
        <w:rPr>
          <w:rFonts w:ascii="Times New Roman" w:hAnsi="Times New Roman"/>
          <w:b/>
          <w:sz w:val="20"/>
        </w:rPr>
        <w:t>Rehearing Granted</w:t>
      </w:r>
    </w:p>
    <w:p w:rsidR="00FF6C8D" w:rsidRPr="00FF6C8D" w:rsidP="00FF6C8D" w14:paraId="33403BA3" w14:textId="77777777">
      <w:pPr>
        <w:spacing w:after="0" w:line="240" w:lineRule="auto"/>
        <w:jc w:val="left"/>
        <w:rPr>
          <w:rFonts w:ascii="Times New Roman" w:hAnsi="Times New Roman"/>
          <w:b/>
          <w:sz w:val="20"/>
        </w:rPr>
      </w:pPr>
    </w:p>
    <w:p w:rsidR="00FF6C8D" w:rsidRPr="00FF6C8D" w:rsidP="00FF6C8D" w14:paraId="423C9BFB" w14:textId="77777777">
      <w:pPr>
        <w:spacing w:after="0" w:line="240" w:lineRule="auto"/>
        <w:jc w:val="left"/>
        <w:rPr>
          <w:rFonts w:ascii="Times New Roman" w:hAnsi="Times New Roman"/>
          <w:b/>
          <w:sz w:val="20"/>
        </w:rPr>
      </w:pPr>
      <w:r w:rsidRPr="00FF6C8D">
        <w:rPr>
          <w:rFonts w:ascii="Times New Roman" w:hAnsi="Times New Roman"/>
          <w:b/>
          <w:sz w:val="20"/>
        </w:rPr>
        <w:t>__________________________________________________________________________________</w:t>
      </w:r>
    </w:p>
    <w:p w:rsidR="00FF6C8D" w:rsidRPr="00FF6C8D" w:rsidP="00FF6C8D" w14:paraId="2A38B5C4" w14:textId="77777777">
      <w:pPr>
        <w:spacing w:after="0" w:line="240" w:lineRule="auto"/>
        <w:jc w:val="left"/>
        <w:rPr>
          <w:rFonts w:ascii="Times New Roman" w:hAnsi="Times New Roman"/>
          <w:b/>
          <w:sz w:val="20"/>
        </w:rPr>
      </w:pPr>
    </w:p>
    <w:p w:rsidR="00FF6C8D" w:rsidRPr="00FF6C8D" w:rsidP="00FF6C8D" w14:paraId="5CA1E1EA" w14:textId="77777777">
      <w:pPr>
        <w:spacing w:after="0" w:line="240" w:lineRule="auto"/>
        <w:jc w:val="left"/>
        <w:rPr>
          <w:rFonts w:ascii="Times New Roman" w:hAnsi="Times New Roman"/>
          <w:bCs/>
          <w:sz w:val="20"/>
        </w:rPr>
      </w:pPr>
      <w:r w:rsidRPr="00FF6C8D">
        <w:rPr>
          <w:rFonts w:ascii="Times New Roman" w:hAnsi="Times New Roman"/>
          <w:b/>
          <w:sz w:val="20"/>
        </w:rPr>
        <w:t>Opinion No.</w:t>
      </w:r>
      <w:r w:rsidRPr="00FF6C8D">
        <w:rPr>
          <w:rFonts w:ascii="Times New Roman" w:hAnsi="Times New Roman"/>
          <w:sz w:val="20"/>
        </w:rPr>
        <w:t xml:space="preserve"> S248726</w:t>
      </w:r>
    </w:p>
    <w:p w:rsidR="00FF6C8D" w:rsidRPr="00FF6C8D" w:rsidP="00FF6C8D" w14:paraId="4964B350" w14:textId="77777777">
      <w:pPr>
        <w:spacing w:after="0" w:line="240" w:lineRule="auto"/>
        <w:jc w:val="left"/>
        <w:rPr>
          <w:rFonts w:ascii="Times New Roman" w:hAnsi="Times New Roman"/>
          <w:bCs/>
          <w:sz w:val="20"/>
        </w:rPr>
      </w:pPr>
      <w:r w:rsidRPr="00FF6C8D">
        <w:rPr>
          <w:rFonts w:ascii="Times New Roman" w:hAnsi="Times New Roman"/>
          <w:b/>
          <w:sz w:val="20"/>
        </w:rPr>
        <w:t>Date Filed:</w:t>
      </w:r>
      <w:r w:rsidRPr="00FF6C8D">
        <w:rPr>
          <w:rFonts w:ascii="Times New Roman" w:hAnsi="Times New Roman"/>
          <w:sz w:val="20"/>
        </w:rPr>
        <w:t xml:space="preserve">  June 29, 2020</w:t>
      </w:r>
    </w:p>
    <w:p w:rsidR="00FF6C8D" w:rsidRPr="00FF6C8D" w:rsidP="00FF6C8D" w14:paraId="373FCDB8" w14:textId="77777777">
      <w:pPr>
        <w:spacing w:after="0" w:line="240" w:lineRule="auto"/>
        <w:jc w:val="left"/>
        <w:rPr>
          <w:rFonts w:ascii="Times New Roman" w:hAnsi="Times New Roman"/>
          <w:b/>
          <w:sz w:val="20"/>
        </w:rPr>
      </w:pPr>
      <w:r w:rsidRPr="00FF6C8D">
        <w:rPr>
          <w:rFonts w:ascii="Times New Roman" w:hAnsi="Times New Roman"/>
          <w:b/>
          <w:sz w:val="20"/>
        </w:rPr>
        <w:t>__________________________________________________________________________________</w:t>
      </w:r>
    </w:p>
    <w:p w:rsidR="00FF6C8D" w:rsidRPr="00FF6C8D" w:rsidP="00FF6C8D" w14:paraId="25C3D487" w14:textId="77777777">
      <w:pPr>
        <w:spacing w:after="0" w:line="240" w:lineRule="auto"/>
        <w:jc w:val="left"/>
        <w:rPr>
          <w:rFonts w:ascii="Times New Roman" w:hAnsi="Times New Roman"/>
          <w:b/>
          <w:sz w:val="20"/>
        </w:rPr>
      </w:pPr>
    </w:p>
    <w:p w:rsidR="00FF6C8D" w:rsidRPr="00FF6C8D" w:rsidP="00FF6C8D" w14:paraId="64BCF9DC" w14:textId="77777777">
      <w:pPr>
        <w:spacing w:after="0" w:line="240" w:lineRule="auto"/>
        <w:jc w:val="left"/>
        <w:rPr>
          <w:rFonts w:ascii="Times New Roman" w:hAnsi="Times New Roman"/>
          <w:bCs/>
          <w:sz w:val="20"/>
        </w:rPr>
      </w:pPr>
      <w:r w:rsidRPr="00FF6C8D">
        <w:rPr>
          <w:rFonts w:ascii="Times New Roman" w:hAnsi="Times New Roman"/>
          <w:b/>
          <w:sz w:val="20"/>
        </w:rPr>
        <w:t xml:space="preserve">Court:  </w:t>
      </w:r>
      <w:r w:rsidRPr="00FF6C8D">
        <w:rPr>
          <w:rFonts w:ascii="Times New Roman" w:hAnsi="Times New Roman"/>
          <w:bCs/>
          <w:sz w:val="20"/>
        </w:rPr>
        <w:t xml:space="preserve"> </w:t>
      </w:r>
    </w:p>
    <w:p w:rsidR="00FF6C8D" w:rsidRPr="00FF6C8D" w:rsidP="00FF6C8D" w14:paraId="40CA5D51" w14:textId="77777777">
      <w:pPr>
        <w:spacing w:after="0" w:line="240" w:lineRule="auto"/>
        <w:jc w:val="left"/>
        <w:rPr>
          <w:rFonts w:ascii="Times New Roman" w:hAnsi="Times New Roman"/>
          <w:bCs/>
          <w:sz w:val="20"/>
        </w:rPr>
      </w:pPr>
      <w:r w:rsidRPr="00FF6C8D">
        <w:rPr>
          <w:rFonts w:ascii="Times New Roman" w:hAnsi="Times New Roman"/>
          <w:b/>
          <w:sz w:val="20"/>
        </w:rPr>
        <w:t>County:</w:t>
      </w:r>
      <w:r w:rsidRPr="00FF6C8D">
        <w:rPr>
          <w:rFonts w:ascii="Times New Roman" w:hAnsi="Times New Roman"/>
          <w:bCs/>
          <w:sz w:val="20"/>
        </w:rPr>
        <w:t xml:space="preserve">   </w:t>
      </w:r>
    </w:p>
    <w:p w:rsidR="00FF6C8D" w:rsidRPr="00FF6C8D" w:rsidP="00FF6C8D" w14:paraId="2E6AB196" w14:textId="77777777">
      <w:pPr>
        <w:spacing w:after="0" w:line="240" w:lineRule="auto"/>
        <w:ind w:left="720" w:hanging="720"/>
        <w:jc w:val="left"/>
        <w:rPr>
          <w:rFonts w:ascii="Times New Roman" w:hAnsi="Times New Roman"/>
          <w:bCs/>
          <w:sz w:val="20"/>
        </w:rPr>
      </w:pPr>
      <w:r w:rsidRPr="00FF6C8D">
        <w:rPr>
          <w:rFonts w:ascii="Times New Roman" w:hAnsi="Times New Roman"/>
          <w:b/>
          <w:sz w:val="20"/>
        </w:rPr>
        <w:t xml:space="preserve">Judge:  </w:t>
      </w:r>
      <w:r w:rsidRPr="00FF6C8D">
        <w:rPr>
          <w:rFonts w:ascii="Times New Roman" w:hAnsi="Times New Roman"/>
          <w:bCs/>
          <w:sz w:val="20"/>
        </w:rPr>
        <w:t xml:space="preserve"> </w:t>
      </w:r>
    </w:p>
    <w:p w:rsidR="00FF6C8D" w:rsidRPr="00FF6C8D" w:rsidP="00FF6C8D" w14:paraId="4E2B9412" w14:textId="77777777">
      <w:pPr>
        <w:spacing w:after="0" w:line="240" w:lineRule="auto"/>
        <w:jc w:val="left"/>
        <w:rPr>
          <w:rFonts w:ascii="Times New Roman" w:hAnsi="Times New Roman"/>
          <w:b/>
          <w:sz w:val="20"/>
        </w:rPr>
      </w:pPr>
    </w:p>
    <w:p w:rsidR="00FF6C8D" w:rsidRPr="00FF6C8D" w:rsidP="00FF6C8D" w14:paraId="78DC4270" w14:textId="77777777">
      <w:pPr>
        <w:spacing w:after="0" w:line="240" w:lineRule="auto"/>
        <w:jc w:val="left"/>
        <w:rPr>
          <w:rFonts w:ascii="Times New Roman" w:hAnsi="Times New Roman"/>
          <w:b/>
          <w:sz w:val="20"/>
        </w:rPr>
      </w:pPr>
      <w:r w:rsidRPr="00FF6C8D">
        <w:rPr>
          <w:rFonts w:ascii="Times New Roman" w:hAnsi="Times New Roman"/>
          <w:b/>
          <w:sz w:val="20"/>
        </w:rPr>
        <w:t>__________________________________________________________________________________</w:t>
      </w:r>
    </w:p>
    <w:p w:rsidR="00FF6C8D" w:rsidRPr="00FF6C8D" w:rsidP="00FF6C8D" w14:paraId="34EDC2F7" w14:textId="77777777">
      <w:pPr>
        <w:spacing w:after="0" w:line="240" w:lineRule="auto"/>
        <w:jc w:val="left"/>
        <w:rPr>
          <w:rFonts w:ascii="Times New Roman" w:hAnsi="Times New Roman"/>
          <w:b/>
          <w:sz w:val="20"/>
        </w:rPr>
      </w:pPr>
    </w:p>
    <w:p w:rsidR="00FF6C8D" w:rsidRPr="00FF6C8D" w:rsidP="00FF6C8D" w14:paraId="205D565F" w14:textId="77777777">
      <w:pPr>
        <w:spacing w:after="0" w:line="240" w:lineRule="auto"/>
        <w:jc w:val="left"/>
        <w:rPr>
          <w:rFonts w:ascii="Times New Roman" w:hAnsi="Times New Roman"/>
          <w:b/>
          <w:sz w:val="20"/>
        </w:rPr>
      </w:pPr>
      <w:r w:rsidRPr="00FF6C8D">
        <w:rPr>
          <w:rFonts w:ascii="Times New Roman" w:hAnsi="Times New Roman"/>
          <w:b/>
          <w:sz w:val="20"/>
        </w:rPr>
        <w:t>Counsel:</w:t>
      </w:r>
    </w:p>
    <w:p w:rsidR="00FF6C8D" w:rsidRPr="00FF6C8D" w:rsidP="00FF6C8D" w14:paraId="37C74FC8" w14:textId="77777777">
      <w:pPr>
        <w:spacing w:after="0" w:line="240" w:lineRule="auto"/>
        <w:jc w:val="left"/>
        <w:rPr>
          <w:rFonts w:ascii="Times New Roman" w:hAnsi="Times New Roman"/>
          <w:sz w:val="20"/>
        </w:rPr>
      </w:pPr>
    </w:p>
    <w:p w:rsidR="00FF6C8D" w:rsidRPr="00FF6C8D" w:rsidP="00FF6C8D" w14:paraId="744C7A41" w14:textId="77777777">
      <w:pPr>
        <w:spacing w:after="0" w:line="240" w:lineRule="auto"/>
        <w:jc w:val="left"/>
        <w:rPr>
          <w:rFonts w:ascii="Times New Roman" w:hAnsi="Times New Roman"/>
          <w:sz w:val="20"/>
        </w:rPr>
      </w:pPr>
      <w:r w:rsidRPr="00FF6C8D">
        <w:rPr>
          <w:rFonts w:ascii="Times New Roman" w:hAnsi="Times New Roman"/>
          <w:sz w:val="20"/>
        </w:rPr>
        <w:t>Nichols Kaster, Matthew C. Helland, Daniel S. Brome; Altshuler Berzon, Michael Rubin and Barbara J. Chisholm for Plaintiffs and Appellants.</w:t>
      </w:r>
    </w:p>
    <w:p w:rsidR="00FF6C8D" w:rsidRPr="00FF6C8D" w:rsidP="00FF6C8D" w14:paraId="34FAFE35" w14:textId="77777777">
      <w:pPr>
        <w:spacing w:after="0" w:line="240" w:lineRule="auto"/>
        <w:jc w:val="left"/>
        <w:rPr>
          <w:rFonts w:ascii="Times New Roman" w:hAnsi="Times New Roman"/>
          <w:sz w:val="20"/>
        </w:rPr>
      </w:pPr>
    </w:p>
    <w:p w:rsidR="00FF6C8D" w:rsidRPr="00FF6C8D" w:rsidP="00FF6C8D" w14:paraId="1BF714FE" w14:textId="77777777">
      <w:pPr>
        <w:spacing w:after="0" w:line="240" w:lineRule="auto"/>
        <w:jc w:val="left"/>
        <w:rPr>
          <w:rFonts w:ascii="Times New Roman" w:hAnsi="Times New Roman"/>
          <w:sz w:val="20"/>
        </w:rPr>
      </w:pPr>
      <w:r w:rsidRPr="00FF6C8D">
        <w:rPr>
          <w:rFonts w:ascii="Times New Roman" w:hAnsi="Times New Roman"/>
          <w:sz w:val="20"/>
        </w:rPr>
        <w:t>Carol Vigne, Katherine Fiester; Cynthia L. Rice; Olivier Schrieiber &amp; Chao, Monique Olivier; Anna Kirsch; and Nayantara Mehta for California Employment Lawyers Association, California Rural Legal Assistance Foundation, Legal Aid at Work, National Employment Law Project and Women’s Employment Rights Clinic as Amici Curiae on behalf of Plaintiffs and Appellants.</w:t>
      </w:r>
    </w:p>
    <w:p w:rsidR="00FF6C8D" w:rsidRPr="00FF6C8D" w:rsidP="00FF6C8D" w14:paraId="70ED10AA" w14:textId="77777777">
      <w:pPr>
        <w:spacing w:after="0" w:line="240" w:lineRule="auto"/>
        <w:jc w:val="left"/>
        <w:rPr>
          <w:rFonts w:ascii="Times New Roman" w:hAnsi="Times New Roman"/>
          <w:sz w:val="20"/>
        </w:rPr>
      </w:pPr>
    </w:p>
    <w:p w:rsidR="00FF6C8D" w:rsidRPr="00FF6C8D" w:rsidP="00FF6C8D" w14:paraId="51A53308" w14:textId="77777777">
      <w:pPr>
        <w:spacing w:after="0" w:line="240" w:lineRule="auto"/>
        <w:jc w:val="left"/>
        <w:rPr>
          <w:rFonts w:ascii="Times New Roman" w:hAnsi="Times New Roman"/>
          <w:sz w:val="20"/>
        </w:rPr>
      </w:pPr>
      <w:r w:rsidRPr="00FF6C8D">
        <w:rPr>
          <w:rFonts w:ascii="Times New Roman" w:hAnsi="Times New Roman"/>
          <w:sz w:val="20"/>
        </w:rPr>
        <w:t>Mastagni Holstedt, David E. Mastagni and Isaac S. Stevens for Dan Goldthorpe, James Donovan, Chris Bennett, James Isherwood and David Vincent as Amici Curiae on behalf of Plaintiffs and Appellants.</w:t>
      </w:r>
    </w:p>
    <w:p w:rsidR="00FF6C8D" w:rsidRPr="00FF6C8D" w:rsidP="00FF6C8D" w14:paraId="49A39BB0" w14:textId="77777777">
      <w:pPr>
        <w:spacing w:after="0" w:line="240" w:lineRule="auto"/>
        <w:jc w:val="left"/>
        <w:rPr>
          <w:rFonts w:ascii="Times New Roman" w:hAnsi="Times New Roman"/>
          <w:sz w:val="20"/>
        </w:rPr>
      </w:pPr>
    </w:p>
    <w:p w:rsidR="00FF6C8D" w:rsidRPr="00FF6C8D" w:rsidP="00FF6C8D" w14:paraId="24988A5A" w14:textId="77777777">
      <w:pPr>
        <w:spacing w:after="0" w:line="240" w:lineRule="auto"/>
        <w:jc w:val="left"/>
        <w:rPr>
          <w:rFonts w:ascii="Times New Roman" w:hAnsi="Times New Roman"/>
          <w:sz w:val="20"/>
        </w:rPr>
      </w:pPr>
      <w:r w:rsidRPr="00FF6C8D">
        <w:rPr>
          <w:rFonts w:ascii="Times New Roman" w:hAnsi="Times New Roman"/>
          <w:sz w:val="20"/>
        </w:rPr>
        <w:t>Duckworth Peters Lebowitz Olivier, Monique Olivier and J. Erik Heath for California Employment Lawyers Association as Amicus Curiae on behalf of Plaintiffs and Appellants.</w:t>
      </w:r>
    </w:p>
    <w:p w:rsidR="00FF6C8D" w:rsidRPr="00FF6C8D" w:rsidP="00FF6C8D" w14:paraId="0B006941" w14:textId="77777777">
      <w:pPr>
        <w:spacing w:after="0" w:line="240" w:lineRule="auto"/>
        <w:jc w:val="left"/>
        <w:rPr>
          <w:rFonts w:ascii="Times New Roman" w:hAnsi="Times New Roman"/>
          <w:sz w:val="20"/>
        </w:rPr>
      </w:pPr>
    </w:p>
    <w:p w:rsidR="00FF6C8D" w:rsidRPr="00FF6C8D" w:rsidP="00FF6C8D" w14:paraId="29D28BD3" w14:textId="77777777">
      <w:pPr>
        <w:spacing w:after="0" w:line="240" w:lineRule="auto"/>
        <w:jc w:val="left"/>
        <w:rPr>
          <w:rFonts w:ascii="Times New Roman" w:hAnsi="Times New Roman"/>
          <w:sz w:val="20"/>
        </w:rPr>
      </w:pPr>
      <w:r w:rsidRPr="00FF6C8D">
        <w:rPr>
          <w:rFonts w:ascii="Times New Roman" w:hAnsi="Times New Roman"/>
          <w:sz w:val="20"/>
        </w:rPr>
        <w:t>Morgan, Lewis &amp; Bockius, Thomas M. Peterson, Robert Jon Hendricks and Andrew P. Frederick for Defendant and Respondent.</w:t>
      </w:r>
    </w:p>
    <w:p w:rsidR="00FF6C8D" w:rsidRPr="00FF6C8D" w:rsidP="00FF6C8D" w14:paraId="0D4AF3C0" w14:textId="77777777">
      <w:pPr>
        <w:spacing w:after="0" w:line="240" w:lineRule="auto"/>
        <w:jc w:val="left"/>
        <w:rPr>
          <w:rFonts w:ascii="Times New Roman" w:hAnsi="Times New Roman"/>
          <w:sz w:val="20"/>
        </w:rPr>
      </w:pPr>
    </w:p>
    <w:p w:rsidR="00FF6C8D" w:rsidRPr="00FF6C8D" w:rsidP="00FF6C8D" w14:paraId="0F75B4EA" w14:textId="77777777">
      <w:pPr>
        <w:spacing w:after="0" w:line="240" w:lineRule="auto"/>
        <w:jc w:val="left"/>
        <w:rPr>
          <w:rFonts w:ascii="Times New Roman" w:hAnsi="Times New Roman"/>
          <w:sz w:val="20"/>
        </w:rPr>
      </w:pPr>
      <w:r w:rsidRPr="00FF6C8D">
        <w:rPr>
          <w:rFonts w:ascii="Times New Roman" w:hAnsi="Times New Roman"/>
          <w:sz w:val="20"/>
        </w:rPr>
        <w:t>Ogletree, Deakins, Nash, Smoak &amp; Stewart, Robert R. Roginson and Christopher W. Decker for Employers Group and California Employment Law Council as Amici Curiae on behalf of Defendant and Respondent.</w:t>
      </w:r>
    </w:p>
    <w:p w:rsidR="00FF6C8D" w:rsidRPr="00FF6C8D" w:rsidP="00FF6C8D" w14:paraId="31AA3646" w14:textId="77777777">
      <w:pPr>
        <w:spacing w:after="0" w:line="240" w:lineRule="auto"/>
        <w:jc w:val="left"/>
        <w:rPr>
          <w:rFonts w:ascii="Times New Roman" w:hAnsi="Times New Roman"/>
          <w:sz w:val="20"/>
        </w:rPr>
      </w:pPr>
    </w:p>
    <w:p w:rsidR="00FF6C8D" w:rsidRPr="00FF6C8D" w:rsidP="00FF6C8D" w14:paraId="69F0D6EC" w14:textId="77777777">
      <w:pPr>
        <w:spacing w:after="0" w:line="240" w:lineRule="auto"/>
        <w:jc w:val="left"/>
        <w:rPr>
          <w:rFonts w:ascii="Times New Roman" w:hAnsi="Times New Roman"/>
          <w:sz w:val="20"/>
        </w:rPr>
      </w:pPr>
      <w:r w:rsidRPr="00FF6C8D">
        <w:rPr>
          <w:rFonts w:ascii="Times New Roman" w:hAnsi="Times New Roman"/>
          <w:sz w:val="20"/>
        </w:rPr>
        <w:t>Mayer Brown, Donald M. Falk, John P. Zaimes and Ruth Zadikany for Cathay Pacific Airways Limited as Amicus Curiae on behalf of Defendant and Respondent.</w:t>
      </w:r>
    </w:p>
    <w:p w:rsidR="00FF6C8D" w:rsidRPr="00FF6C8D" w:rsidP="00FF6C8D" w14:paraId="5771FE1D" w14:textId="77777777">
      <w:pPr>
        <w:spacing w:after="0" w:line="240" w:lineRule="auto"/>
        <w:jc w:val="left"/>
        <w:rPr>
          <w:rFonts w:ascii="Times New Roman" w:hAnsi="Times New Roman"/>
          <w:sz w:val="20"/>
        </w:rPr>
      </w:pPr>
    </w:p>
    <w:p w:rsidR="00FF6C8D" w:rsidRPr="00FF6C8D" w:rsidP="00FF6C8D" w14:paraId="4B2E8B55" w14:textId="77777777">
      <w:pPr>
        <w:spacing w:after="0" w:line="240" w:lineRule="auto"/>
        <w:jc w:val="left"/>
        <w:rPr>
          <w:rFonts w:ascii="Times New Roman" w:hAnsi="Times New Roman"/>
          <w:sz w:val="20"/>
        </w:rPr>
      </w:pPr>
      <w:r w:rsidRPr="00FF6C8D">
        <w:rPr>
          <w:rFonts w:ascii="Times New Roman" w:hAnsi="Times New Roman"/>
          <w:sz w:val="20"/>
        </w:rPr>
        <w:t>Greines, Martin, Stein &amp; Richland, Robert A. Olson and Cynthia E. Tobisman for California New Car Dealers Association as Amicus Curiae on behalf of Defendant and Respondent.</w:t>
      </w:r>
    </w:p>
    <w:p w:rsidR="00FF6C8D" w:rsidRPr="00FF6C8D" w:rsidP="00FF6C8D" w14:paraId="53A40BD4" w14:textId="77777777">
      <w:pPr>
        <w:spacing w:after="0" w:line="240" w:lineRule="auto"/>
        <w:jc w:val="left"/>
        <w:rPr>
          <w:rFonts w:ascii="Times New Roman" w:hAnsi="Times New Roman"/>
          <w:sz w:val="20"/>
        </w:rPr>
      </w:pPr>
    </w:p>
    <w:p w:rsidR="00FF6C8D" w:rsidRPr="00FF6C8D" w:rsidP="00FF6C8D" w14:paraId="57669696" w14:textId="77777777">
      <w:pPr>
        <w:spacing w:after="0" w:line="240" w:lineRule="auto"/>
        <w:jc w:val="left"/>
        <w:rPr>
          <w:rFonts w:ascii="Times New Roman" w:hAnsi="Times New Roman"/>
          <w:sz w:val="20"/>
        </w:rPr>
      </w:pPr>
      <w:r w:rsidRPr="00FF6C8D">
        <w:rPr>
          <w:rFonts w:ascii="Times New Roman" w:hAnsi="Times New Roman"/>
          <w:sz w:val="20"/>
        </w:rPr>
        <w:t>Jones Day, Douglas W. Hall, Shay Dvoretzky and Vivek Suri for Airlines for America as Amicus Curiae on behalf of Defendant and Respondent.</w:t>
      </w:r>
    </w:p>
    <w:p w:rsidR="00FF6C8D" w:rsidRPr="00FF6C8D" w:rsidP="00FF6C8D" w14:paraId="15ABD8C7" w14:textId="77777777">
      <w:pPr>
        <w:spacing w:after="0" w:line="240" w:lineRule="auto"/>
        <w:jc w:val="left"/>
        <w:rPr>
          <w:rFonts w:ascii="Times New Roman" w:hAnsi="Times New Roman"/>
          <w:b/>
          <w:sz w:val="20"/>
        </w:rPr>
      </w:pPr>
    </w:p>
    <w:p w:rsidR="00FF6C8D" w:rsidRPr="00FF6C8D" w:rsidP="00FF6C8D" w14:paraId="7CA80D6D" w14:textId="77777777">
      <w:pPr>
        <w:spacing w:after="0" w:line="240" w:lineRule="auto"/>
        <w:jc w:val="left"/>
        <w:rPr>
          <w:rFonts w:ascii="Times New Roman" w:hAnsi="Times New Roman"/>
          <w:b/>
          <w:sz w:val="20"/>
        </w:rPr>
      </w:pPr>
    </w:p>
    <w:p w:rsidR="00FF6C8D" w:rsidRPr="00FF6C8D" w:rsidP="00FF6C8D" w14:paraId="56180535" w14:textId="77777777">
      <w:pPr>
        <w:spacing w:after="0" w:line="240" w:lineRule="auto"/>
        <w:jc w:val="left"/>
        <w:rPr>
          <w:rFonts w:ascii="Times New Roman" w:hAnsi="Times New Roman"/>
          <w:b/>
          <w:sz w:val="20"/>
        </w:rPr>
      </w:pPr>
      <w:r w:rsidRPr="00FF6C8D">
        <w:rPr>
          <w:rFonts w:ascii="Times New Roman" w:hAnsi="Times New Roman"/>
          <w:b/>
          <w:sz w:val="20"/>
        </w:rPr>
        <w:br w:type="page"/>
      </w:r>
    </w:p>
    <w:p w:rsidR="00FF6C8D" w:rsidRPr="00FF6C8D" w:rsidP="00FF6C8D" w14:paraId="728CB0C5" w14:textId="77777777">
      <w:pPr>
        <w:spacing w:after="0" w:line="240" w:lineRule="auto"/>
        <w:jc w:val="left"/>
        <w:rPr>
          <w:rFonts w:ascii="Times New Roman" w:hAnsi="Times New Roman"/>
          <w:b/>
          <w:sz w:val="20"/>
        </w:rPr>
      </w:pPr>
    </w:p>
    <w:p w:rsidR="00FF6C8D" w:rsidRPr="00FF6C8D" w:rsidP="00FF6C8D" w14:paraId="1A6672B3" w14:textId="77777777">
      <w:pPr>
        <w:spacing w:after="0" w:line="240" w:lineRule="auto"/>
        <w:jc w:val="left"/>
        <w:rPr>
          <w:rFonts w:ascii="Times New Roman" w:hAnsi="Times New Roman"/>
          <w:b/>
          <w:sz w:val="20"/>
        </w:rPr>
      </w:pPr>
    </w:p>
    <w:p w:rsidR="00FF6C8D" w:rsidRPr="00FF6C8D" w:rsidP="00FF6C8D" w14:paraId="674AFDB0" w14:textId="77777777">
      <w:pPr>
        <w:spacing w:after="0" w:line="240" w:lineRule="auto"/>
        <w:jc w:val="left"/>
        <w:rPr>
          <w:rFonts w:ascii="Times New Roman" w:hAnsi="Times New Roman"/>
          <w:b/>
          <w:sz w:val="20"/>
        </w:rPr>
      </w:pPr>
    </w:p>
    <w:p w:rsidR="00FF6C8D" w:rsidRPr="00FF6C8D" w:rsidP="00FF6C8D" w14:paraId="42F33FC6" w14:textId="77777777">
      <w:pPr>
        <w:spacing w:after="0" w:line="240" w:lineRule="auto"/>
        <w:jc w:val="left"/>
        <w:rPr>
          <w:rFonts w:ascii="Times New Roman" w:hAnsi="Times New Roman"/>
          <w:b/>
          <w:sz w:val="20"/>
        </w:rPr>
      </w:pPr>
      <w:r w:rsidRPr="00FF6C8D">
        <w:rPr>
          <w:rFonts w:ascii="Times New Roman" w:hAnsi="Times New Roman"/>
          <w:b/>
          <w:sz w:val="20"/>
        </w:rPr>
        <w:t>Counsel who argued in Supreme Court (not intended for publication with opinion):</w:t>
      </w:r>
    </w:p>
    <w:p w:rsidR="00FF6C8D" w:rsidRPr="00FF6C8D" w:rsidP="00FF6C8D" w14:paraId="08E26BEB" w14:textId="77777777">
      <w:pPr>
        <w:spacing w:after="0" w:line="240" w:lineRule="auto"/>
        <w:jc w:val="left"/>
        <w:rPr>
          <w:rFonts w:ascii="Times New Roman" w:hAnsi="Times New Roman"/>
          <w:b/>
          <w:sz w:val="20"/>
        </w:rPr>
      </w:pPr>
    </w:p>
    <w:p w:rsidR="00FF6C8D" w:rsidRPr="00FF6C8D" w:rsidP="00FF6C8D" w14:paraId="7152D9CE" w14:textId="77777777">
      <w:pPr>
        <w:spacing w:after="0" w:line="240" w:lineRule="auto"/>
        <w:jc w:val="left"/>
        <w:rPr>
          <w:rFonts w:ascii="Times New Roman" w:hAnsi="Times New Roman"/>
          <w:sz w:val="20"/>
        </w:rPr>
      </w:pPr>
      <w:r w:rsidRPr="00FF6C8D">
        <w:rPr>
          <w:rFonts w:ascii="Times New Roman" w:hAnsi="Times New Roman"/>
          <w:sz w:val="20"/>
        </w:rPr>
        <w:t>Matthew C. Helland</w:t>
      </w:r>
    </w:p>
    <w:p w:rsidR="00FF6C8D" w:rsidRPr="00FF6C8D" w:rsidP="00FF6C8D" w14:paraId="127A9FF6" w14:textId="77777777">
      <w:pPr>
        <w:spacing w:after="0" w:line="240" w:lineRule="auto"/>
        <w:jc w:val="left"/>
        <w:rPr>
          <w:rFonts w:ascii="Times New Roman" w:hAnsi="Times New Roman"/>
          <w:sz w:val="20"/>
        </w:rPr>
      </w:pPr>
      <w:r w:rsidRPr="00FF6C8D">
        <w:rPr>
          <w:rFonts w:ascii="Times New Roman" w:hAnsi="Times New Roman"/>
          <w:sz w:val="20"/>
        </w:rPr>
        <w:t>Nichols Kaster, LLP</w:t>
      </w:r>
    </w:p>
    <w:p w:rsidR="00FF6C8D" w:rsidRPr="00FF6C8D" w:rsidP="00FF6C8D" w14:paraId="0557580B" w14:textId="77777777">
      <w:pPr>
        <w:spacing w:after="0" w:line="240" w:lineRule="auto"/>
        <w:jc w:val="left"/>
        <w:rPr>
          <w:rFonts w:ascii="Times New Roman" w:hAnsi="Times New Roman"/>
          <w:sz w:val="20"/>
        </w:rPr>
      </w:pPr>
      <w:r w:rsidRPr="00FF6C8D">
        <w:rPr>
          <w:rFonts w:ascii="Times New Roman" w:hAnsi="Times New Roman"/>
          <w:sz w:val="20"/>
        </w:rPr>
        <w:t>235 Montgomery St., Suite 810</w:t>
      </w:r>
    </w:p>
    <w:p w:rsidR="00FF6C8D" w:rsidRPr="00FF6C8D" w:rsidP="00FF6C8D" w14:paraId="02D94FE7" w14:textId="77777777">
      <w:pPr>
        <w:spacing w:after="0" w:line="240" w:lineRule="auto"/>
        <w:jc w:val="left"/>
        <w:rPr>
          <w:rFonts w:ascii="Times New Roman" w:hAnsi="Times New Roman"/>
          <w:sz w:val="20"/>
        </w:rPr>
      </w:pPr>
      <w:r w:rsidRPr="00FF6C8D">
        <w:rPr>
          <w:rFonts w:ascii="Times New Roman" w:hAnsi="Times New Roman"/>
          <w:sz w:val="20"/>
        </w:rPr>
        <w:t>San Francisco, CA 94104</w:t>
      </w:r>
    </w:p>
    <w:p w:rsidR="00FF6C8D" w:rsidRPr="00FF6C8D" w:rsidP="00FF6C8D" w14:paraId="65DB0358" w14:textId="77777777">
      <w:pPr>
        <w:spacing w:after="0" w:line="240" w:lineRule="auto"/>
        <w:jc w:val="left"/>
        <w:rPr>
          <w:rFonts w:ascii="Times New Roman" w:hAnsi="Times New Roman"/>
          <w:sz w:val="20"/>
        </w:rPr>
      </w:pPr>
      <w:r w:rsidRPr="00FF6C8D">
        <w:rPr>
          <w:rFonts w:ascii="Times New Roman" w:hAnsi="Times New Roman"/>
          <w:sz w:val="20"/>
        </w:rPr>
        <w:t>(415) 277-7235</w:t>
      </w:r>
    </w:p>
    <w:p w:rsidR="00FF6C8D" w:rsidRPr="00FF6C8D" w:rsidP="00FF6C8D" w14:paraId="1E1C2A2E" w14:textId="77777777">
      <w:pPr>
        <w:spacing w:after="0" w:line="240" w:lineRule="auto"/>
        <w:jc w:val="left"/>
        <w:rPr>
          <w:rFonts w:ascii="Times New Roman" w:hAnsi="Times New Roman"/>
          <w:sz w:val="20"/>
        </w:rPr>
      </w:pPr>
    </w:p>
    <w:p w:rsidR="00FF6C8D" w:rsidRPr="00FF6C8D" w:rsidP="00FF6C8D" w14:paraId="398ADDB6" w14:textId="77777777">
      <w:pPr>
        <w:spacing w:after="0" w:line="240" w:lineRule="auto"/>
        <w:jc w:val="left"/>
        <w:rPr>
          <w:rFonts w:ascii="Times New Roman" w:hAnsi="Times New Roman"/>
          <w:sz w:val="20"/>
        </w:rPr>
      </w:pPr>
      <w:r w:rsidRPr="00FF6C8D">
        <w:rPr>
          <w:rFonts w:ascii="Times New Roman" w:hAnsi="Times New Roman"/>
          <w:sz w:val="20"/>
        </w:rPr>
        <w:t>Robert Jon Hendricks</w:t>
      </w:r>
    </w:p>
    <w:p w:rsidR="00FF6C8D" w:rsidRPr="00FF6C8D" w:rsidP="00FF6C8D" w14:paraId="1F684F09" w14:textId="77777777">
      <w:pPr>
        <w:spacing w:after="0" w:line="240" w:lineRule="auto"/>
        <w:jc w:val="left"/>
        <w:rPr>
          <w:rFonts w:ascii="Times New Roman" w:hAnsi="Times New Roman"/>
          <w:sz w:val="20"/>
        </w:rPr>
      </w:pPr>
      <w:r w:rsidRPr="00FF6C8D">
        <w:rPr>
          <w:rFonts w:ascii="Times New Roman" w:hAnsi="Times New Roman"/>
          <w:sz w:val="20"/>
        </w:rPr>
        <w:t>Morgan, Lewis &amp; Bockius LLP</w:t>
      </w:r>
    </w:p>
    <w:p w:rsidR="00FF6C8D" w:rsidRPr="00FF6C8D" w:rsidP="00FF6C8D" w14:paraId="7FACBD6B" w14:textId="77777777">
      <w:pPr>
        <w:spacing w:after="0" w:line="240" w:lineRule="auto"/>
        <w:jc w:val="left"/>
        <w:rPr>
          <w:rFonts w:ascii="Times New Roman" w:hAnsi="Times New Roman"/>
          <w:sz w:val="20"/>
        </w:rPr>
      </w:pPr>
      <w:r w:rsidRPr="00FF6C8D">
        <w:rPr>
          <w:rFonts w:ascii="Times New Roman" w:hAnsi="Times New Roman"/>
          <w:sz w:val="20"/>
        </w:rPr>
        <w:t>One Market Street, Spear Tower</w:t>
      </w:r>
    </w:p>
    <w:p w:rsidR="00FF6C8D" w:rsidRPr="00FF6C8D" w:rsidP="00FF6C8D" w14:paraId="20EBB812" w14:textId="77777777">
      <w:pPr>
        <w:spacing w:after="0" w:line="240" w:lineRule="auto"/>
        <w:jc w:val="left"/>
        <w:rPr>
          <w:rFonts w:ascii="Times New Roman" w:hAnsi="Times New Roman"/>
          <w:sz w:val="20"/>
        </w:rPr>
      </w:pPr>
      <w:r w:rsidRPr="00FF6C8D">
        <w:rPr>
          <w:rFonts w:ascii="Times New Roman" w:hAnsi="Times New Roman"/>
          <w:sz w:val="20"/>
        </w:rPr>
        <w:t>San Francisco, CA 94105</w:t>
      </w:r>
    </w:p>
    <w:p w:rsidR="00FF6C8D" w:rsidRPr="00FF6C8D" w:rsidP="00FF6C8D" w14:paraId="0E014A4E" w14:textId="77777777">
      <w:pPr>
        <w:spacing w:after="0" w:line="240" w:lineRule="auto"/>
        <w:jc w:val="left"/>
        <w:rPr>
          <w:rFonts w:ascii="Times New Roman" w:hAnsi="Times New Roman"/>
          <w:sz w:val="20"/>
        </w:rPr>
      </w:pPr>
      <w:r w:rsidRPr="00FF6C8D">
        <w:rPr>
          <w:rFonts w:ascii="Times New Roman" w:hAnsi="Times New Roman"/>
          <w:sz w:val="20"/>
        </w:rPr>
        <w:t>(415) 442-1000</w:t>
      </w:r>
    </w:p>
    <w:p w:rsidR="00780DAE" w:rsidRPr="00DE731A" w:rsidP="00AF5DB6" w14:paraId="71087144" w14:textId="7B5940EA">
      <w:pPr>
        <w:spacing w:after="0" w:line="240" w:lineRule="auto"/>
        <w:rPr>
          <w:b/>
          <w:szCs w:val="26"/>
        </w:rPr>
      </w:pPr>
    </w:p>
    <w:sectPr w:rsidSect="00FF6C8D">
      <w:headerReference w:type="default" r:id="rId9"/>
      <w:footerReference w:type="default" r:id="rId10"/>
      <w:headerReference w:type="first" r:id="rId11"/>
      <w:footerReference w:type="first" r:id="rId12"/>
      <w:footnotePr>
        <w:numRestart w:val="eachSect"/>
      </w:footnotePr>
      <w:pgSz w:w="12240" w:h="15840" w:code="1"/>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45A" w14:paraId="24A51117" w14:textId="77777777">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C8D" w:rsidRPr="00FF6C8D" w:rsidP="00FF6C8D" w14:paraId="7A61D895" w14:textId="16BED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C8D" w14:paraId="61EDA7B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752D" w14:paraId="0D09196F" w14:textId="77777777">
      <w:r>
        <w:separator/>
      </w:r>
    </w:p>
  </w:footnote>
  <w:footnote w:type="continuationSeparator" w:id="1">
    <w:p w:rsidR="00C5752D" w14:paraId="6CD3EC12" w14:textId="77777777">
      <w:pPr>
        <w:rPr>
          <w:sz w:val="22"/>
        </w:rPr>
      </w:pPr>
      <w:r>
        <w:continuationSeparator/>
      </w:r>
    </w:p>
  </w:footnote>
  <w:footnote w:type="continuationNotice" w:id="2">
    <w:p w:rsidR="00C5752D" w:rsidP="00363CB8" w14:paraId="3C292BF7" w14:textId="77777777">
      <w:pPr>
        <w:rPr>
          <w:i/>
          <w:sz w:val="20"/>
        </w:rPr>
      </w:pPr>
    </w:p>
  </w:footnote>
  <w:footnote w:id="3">
    <w:p w:rsidR="0067545A" w:rsidP="00DE731A" w14:paraId="5311B89D" w14:textId="0FA2B5FA">
      <w:pPr>
        <w:pStyle w:val="FootnoteText"/>
      </w:pPr>
      <w:r>
        <w:rPr>
          <w:rStyle w:val="FootnoteReference"/>
        </w:rPr>
        <w:footnoteRef/>
      </w:r>
      <w:r>
        <w:t xml:space="preserve"> </w:t>
      </w:r>
      <w:r>
        <w:tab/>
        <w:t>We have reframed these inquiries slightly.  (Cal. Rules of Court, rule 8.548(f)(5).)</w:t>
      </w:r>
    </w:p>
  </w:footnote>
  <w:footnote w:id="4">
    <w:p w:rsidR="0067545A" w:rsidRPr="0055325A" w:rsidP="00DE731A" w14:paraId="7C9A19C1" w14:textId="365FDBB5">
      <w:pPr>
        <w:pStyle w:val="FootnoteText"/>
        <w:rPr>
          <w:b/>
        </w:rPr>
      </w:pPr>
      <w:r>
        <w:rPr>
          <w:rStyle w:val="FootnoteReference"/>
        </w:rPr>
        <w:footnoteRef/>
      </w:r>
      <w:r>
        <w:t xml:space="preserve"> </w:t>
      </w:r>
      <w:r>
        <w:tab/>
        <w:t>With certain exceptions not relevant here, “[l]</w:t>
      </w:r>
      <w:r w:rsidRPr="00431F69">
        <w:rPr>
          <w:color w:val="333333"/>
          <w:szCs w:val="26"/>
          <w:bdr w:val="none" w:sz="0" w:space="0" w:color="auto" w:frame="1"/>
          <w:lang w:val="en"/>
        </w:rPr>
        <w:t>abor performed between the 1st and 15th days, inclusive, of any calendar month shall be paid for between the 16th and the 26th day of the month during which the labor was performed, and labor performed between the 16th and the last day, inclusive, of any calendar month, shall be paid for between the 1st and 10th day of the following month.</w:t>
      </w:r>
      <w:r>
        <w:rPr>
          <w:color w:val="333333"/>
          <w:szCs w:val="26"/>
          <w:bdr w:val="none" w:sz="0" w:space="0" w:color="auto" w:frame="1"/>
          <w:lang w:val="en"/>
        </w:rPr>
        <w:t>”  (§ 204, subd. (a).)</w:t>
      </w:r>
    </w:p>
  </w:footnote>
  <w:footnote w:id="5">
    <w:p w:rsidR="0067545A" w:rsidRPr="001405F7" w:rsidP="00DE731A" w14:paraId="3E75572E" w14:textId="2BE374C1">
      <w:pPr>
        <w:shd w:val="clear" w:color="auto" w:fill="FFFFFF"/>
        <w:spacing w:line="300" w:lineRule="exact"/>
        <w:textAlignment w:val="baseline"/>
        <w:rPr>
          <w:szCs w:val="26"/>
          <w:bdr w:val="none" w:sz="0" w:space="0" w:color="auto" w:frame="1"/>
          <w:lang w:val="en"/>
        </w:rPr>
      </w:pPr>
      <w:r>
        <w:rPr>
          <w:rStyle w:val="FootnoteReference"/>
        </w:rPr>
        <w:footnoteRef/>
      </w:r>
      <w:r>
        <w:t xml:space="preserve"> </w:t>
      </w:r>
      <w:r>
        <w:tab/>
      </w:r>
      <w:r w:rsidRPr="00FD72E7">
        <w:rPr>
          <w:szCs w:val="26"/>
        </w:rPr>
        <w:t>“</w:t>
      </w:r>
      <w:r w:rsidRPr="00FD72E7">
        <w:rPr>
          <w:szCs w:val="26"/>
          <w:bdr w:val="none" w:sz="0" w:space="0" w:color="auto" w:frame="1"/>
          <w:lang w:val="en"/>
        </w:rPr>
        <w:t>It shall be unlawful for any employer to collect or receive from an employee any part of wages theretofore paid by said employer to said employee</w:t>
      </w:r>
      <w:r>
        <w:rPr>
          <w:szCs w:val="26"/>
          <w:bdr w:val="none" w:sz="0" w:space="0" w:color="auto" w:frame="1"/>
          <w:lang w:val="en"/>
        </w:rPr>
        <w:t>.</w:t>
      </w:r>
      <w:r w:rsidRPr="00FD72E7">
        <w:rPr>
          <w:szCs w:val="26"/>
          <w:bdr w:val="none" w:sz="0" w:space="0" w:color="auto" w:frame="1"/>
          <w:lang w:val="en"/>
        </w:rPr>
        <w:t>”</w:t>
      </w:r>
      <w:r>
        <w:rPr>
          <w:szCs w:val="26"/>
          <w:bdr w:val="none" w:sz="0" w:space="0" w:color="auto" w:frame="1"/>
          <w:lang w:val="en"/>
        </w:rPr>
        <w:t xml:space="preserve">  (Lab. Code, § 221</w:t>
      </w:r>
      <w:r w:rsidRPr="00FD72E7">
        <w:rPr>
          <w:szCs w:val="26"/>
          <w:bdr w:val="none" w:sz="0" w:space="0" w:color="auto" w:frame="1"/>
          <w:lang w:val="en"/>
        </w:rPr>
        <w:t xml:space="preserve">; </w:t>
      </w:r>
      <w:r>
        <w:rPr>
          <w:szCs w:val="26"/>
          <w:bdr w:val="none" w:sz="0" w:space="0" w:color="auto" w:frame="1"/>
          <w:lang w:val="en"/>
        </w:rPr>
        <w:t xml:space="preserve">see </w:t>
      </w:r>
      <w:r w:rsidRPr="00FD72E7">
        <w:rPr>
          <w:i/>
          <w:szCs w:val="26"/>
          <w:bdr w:val="none" w:sz="0" w:space="0" w:color="auto" w:frame="1"/>
          <w:lang w:val="en"/>
        </w:rPr>
        <w:t>Kerr’s Catering Service v. Department of Industrial Relations</w:t>
      </w:r>
      <w:r w:rsidRPr="003E46D5">
        <w:rPr>
          <w:szCs w:val="26"/>
          <w:bdr w:val="none" w:sz="0" w:space="0" w:color="auto" w:frame="1"/>
          <w:lang w:val="en"/>
        </w:rPr>
        <w:t xml:space="preserve">, </w:t>
      </w:r>
      <w:r>
        <w:rPr>
          <w:i/>
          <w:szCs w:val="26"/>
          <w:bdr w:val="none" w:sz="0" w:space="0" w:color="auto" w:frame="1"/>
          <w:lang w:val="en"/>
        </w:rPr>
        <w:t>supra</w:t>
      </w:r>
      <w:r w:rsidRPr="003E46D5">
        <w:rPr>
          <w:szCs w:val="26"/>
          <w:bdr w:val="none" w:sz="0" w:space="0" w:color="auto" w:frame="1"/>
          <w:lang w:val="en"/>
        </w:rPr>
        <w:t>,</w:t>
      </w:r>
      <w:r>
        <w:rPr>
          <w:i/>
          <w:szCs w:val="26"/>
          <w:bdr w:val="none" w:sz="0" w:space="0" w:color="auto" w:frame="1"/>
          <w:lang w:val="en"/>
        </w:rPr>
        <w:t xml:space="preserve"> </w:t>
      </w:r>
      <w:r w:rsidRPr="00FD72E7">
        <w:rPr>
          <w:szCs w:val="26"/>
          <w:bdr w:val="none" w:sz="0" w:space="0" w:color="auto" w:frame="1"/>
          <w:lang w:val="en"/>
        </w:rPr>
        <w:t xml:space="preserve">57 Cal.2d </w:t>
      </w:r>
      <w:r>
        <w:rPr>
          <w:szCs w:val="26"/>
          <w:bdr w:val="none" w:sz="0" w:space="0" w:color="auto" w:frame="1"/>
          <w:lang w:val="en"/>
        </w:rPr>
        <w:t>at p. </w:t>
      </w:r>
      <w:r w:rsidRPr="00FD72E7">
        <w:rPr>
          <w:szCs w:val="26"/>
          <w:bdr w:val="none" w:sz="0" w:space="0" w:color="auto" w:frame="1"/>
          <w:lang w:val="en"/>
        </w:rPr>
        <w:t>328.</w:t>
      </w:r>
      <w:r>
        <w:rPr>
          <w:rFonts w:ascii="Verdana" w:hAnsi="Verdana"/>
          <w:color w:val="333333"/>
          <w:szCs w:val="26"/>
          <w:bdr w:val="none" w:sz="0" w:space="0" w:color="auto" w:frame="1"/>
          <w:lang w:val="en"/>
        </w:rPr>
        <w:t>)</w:t>
      </w:r>
    </w:p>
  </w:footnote>
  <w:footnote w:id="6">
    <w:p w:rsidR="0067545A" w:rsidP="00DE731A" w14:paraId="260B7A7D" w14:textId="1CFB0D21">
      <w:pPr>
        <w:pStyle w:val="FootnoteText"/>
      </w:pPr>
      <w:r>
        <w:rPr>
          <w:rStyle w:val="FootnoteReference"/>
        </w:rPr>
        <w:footnoteRef/>
      </w:r>
      <w:r>
        <w:t xml:space="preserve"> </w:t>
      </w:r>
      <w:r>
        <w:tab/>
      </w:r>
      <w:r w:rsidRPr="00FD72E7">
        <w:rPr>
          <w:szCs w:val="26"/>
          <w:bdr w:val="none" w:sz="0" w:space="0" w:color="auto" w:frame="1"/>
          <w:lang w:val="en"/>
        </w:rPr>
        <w:t>“It shall be unlawful, in case of any wage agreement arrived at through collective bargaining, either wilfully or unlawfully or with intent to defraud an employee, a competitor, or any other person, to withhold from said employee any part of the wage agreed upon</w:t>
      </w:r>
      <w:r>
        <w:rPr>
          <w:szCs w:val="26"/>
          <w:bdr w:val="none" w:sz="0" w:space="0" w:color="auto" w:frame="1"/>
          <w:lang w:val="en"/>
        </w:rPr>
        <w:t>.</w:t>
      </w:r>
      <w:r w:rsidRPr="00FD72E7">
        <w:rPr>
          <w:szCs w:val="26"/>
          <w:bdr w:val="none" w:sz="0" w:space="0" w:color="auto" w:frame="1"/>
          <w:lang w:val="en"/>
        </w:rPr>
        <w:t>”</w:t>
      </w:r>
      <w:r>
        <w:rPr>
          <w:szCs w:val="26"/>
          <w:bdr w:val="none" w:sz="0" w:space="0" w:color="auto" w:frame="1"/>
          <w:lang w:val="en"/>
        </w:rPr>
        <w:t xml:space="preserve">  (Lab. Code, § 222.)</w:t>
      </w:r>
    </w:p>
  </w:footnote>
  <w:footnote w:id="7">
    <w:p w:rsidR="0067545A" w:rsidP="00DE731A" w14:paraId="1AA314D8" w14:textId="119EE965">
      <w:pPr>
        <w:pStyle w:val="FootnoteText"/>
      </w:pPr>
      <w:r>
        <w:rPr>
          <w:rStyle w:val="FootnoteReference"/>
        </w:rPr>
        <w:footnoteRef/>
      </w:r>
      <w:r>
        <w:t xml:space="preserve"> </w:t>
      </w:r>
      <w:r>
        <w:tab/>
      </w:r>
      <w:r w:rsidRPr="00FD72E7">
        <w:rPr>
          <w:szCs w:val="26"/>
          <w:bdr w:val="none" w:sz="0" w:space="0" w:color="auto" w:frame="1"/>
          <w:lang w:val="en"/>
        </w:rPr>
        <w:t>“Where any statute or contract requires an employer to maintain the designated wage scale, it shall be unlawful to secretly pay a lower wage while purporting to pay the wage designated by statute or by contract</w:t>
      </w:r>
      <w:r>
        <w:rPr>
          <w:szCs w:val="26"/>
          <w:bdr w:val="none" w:sz="0" w:space="0" w:color="auto" w:frame="1"/>
          <w:lang w:val="en"/>
        </w:rPr>
        <w:t>.</w:t>
      </w:r>
      <w:r w:rsidRPr="00FD72E7">
        <w:rPr>
          <w:szCs w:val="26"/>
          <w:bdr w:val="none" w:sz="0" w:space="0" w:color="auto" w:frame="1"/>
          <w:lang w:val="en"/>
        </w:rPr>
        <w:t>”</w:t>
      </w:r>
      <w:r>
        <w:rPr>
          <w:szCs w:val="26"/>
          <w:bdr w:val="none" w:sz="0" w:space="0" w:color="auto" w:frame="1"/>
          <w:lang w:val="en"/>
        </w:rPr>
        <w:t xml:space="preserve">  (Lab. Code, § 223.)</w:t>
      </w:r>
    </w:p>
  </w:footnote>
  <w:footnote w:id="8">
    <w:p w:rsidR="0067545A" w:rsidP="00DE731A" w14:paraId="6FB03291" w14:textId="1F63A10B">
      <w:pPr>
        <w:pStyle w:val="FootnoteText"/>
      </w:pPr>
      <w:r>
        <w:rPr>
          <w:rStyle w:val="FootnoteReference"/>
        </w:rPr>
        <w:footnoteRef/>
      </w:r>
      <w:r>
        <w:t xml:space="preserve"> </w:t>
      </w:r>
      <w:r>
        <w:tab/>
        <w:t>Under this alternat</w:t>
      </w:r>
      <w:r w:rsidR="00155A40">
        <w:t>iv</w:t>
      </w:r>
      <w:r>
        <w:t xml:space="preserve">e rotation formula, </w:t>
      </w:r>
      <w:r>
        <w:rPr>
          <w:color w:val="222222"/>
          <w:szCs w:val="26"/>
          <w:shd w:val="clear" w:color="auto" w:fill="FFFFFF"/>
        </w:rPr>
        <w:t>“[t]he sum of the duty period credits listed above is then compared to 1 for 3.5 trip credit (TRP), which guarantees at least 1 hour pay for every 3.5 hours away from base</w:t>
      </w:r>
      <w:r w:rsidRPr="002C1D62">
        <w:rPr>
          <w:color w:val="222222"/>
          <w:szCs w:val="26"/>
          <w:shd w:val="clear" w:color="auto" w:fill="FFFFFF"/>
        </w:rPr>
        <w:t>.  You will be paid the greater of the two values.”</w:t>
      </w:r>
    </w:p>
  </w:footnote>
  <w:footnote w:id="9">
    <w:p w:rsidR="0067545A" w:rsidP="00DE731A" w14:paraId="47FC5E0A" w14:textId="1FD54006">
      <w:pPr>
        <w:pStyle w:val="FootnoteText"/>
      </w:pPr>
      <w:r>
        <w:rPr>
          <w:rStyle w:val="FootnoteReference"/>
        </w:rPr>
        <w:footnoteRef/>
      </w:r>
      <w:r>
        <w:t xml:space="preserve"> </w:t>
      </w:r>
      <w:r>
        <w:tab/>
        <w:t>The same is true no matter what causes the duty period to extend.  If the same flight attendant with a $40 flight pay rate works a duty period consisting of flights in and out of San Francisco, and the second flight is delayed by fog, requiring additional sit time in San Francisco, the amount owed under the duty period credit formula will still rise, at the rate of $20 per hour, for every extra minute of delay.</w:t>
      </w:r>
    </w:p>
  </w:footnote>
  <w:footnote w:id="10">
    <w:p w:rsidR="00AB32D0" w:rsidRPr="00F12A39" w:rsidP="00AB32D0" w14:paraId="377AF0A6" w14:textId="11FB128C">
      <w:pPr>
        <w:pStyle w:val="FootnoteText"/>
      </w:pPr>
      <w:r>
        <w:rPr>
          <w:rStyle w:val="FootnoteReference"/>
        </w:rPr>
        <w:footnoteRef/>
      </w:r>
      <w:r>
        <w:t xml:space="preserve"> </w:t>
      </w:r>
      <w:r>
        <w:tab/>
        <w:t xml:space="preserve">Since </w:t>
      </w:r>
      <w:r w:rsidRPr="002E34DF">
        <w:rPr>
          <w:i/>
        </w:rPr>
        <w:t>Gonzalez</w:t>
      </w:r>
      <w:r>
        <w:t xml:space="preserve">, this particular scenario has been addressed by the Legislature, which endorsed </w:t>
      </w:r>
      <w:r>
        <w:rPr>
          <w:i/>
        </w:rPr>
        <w:t>Gonzalez</w:t>
      </w:r>
      <w:r>
        <w:t xml:space="preserve">’s overarching principles and </w:t>
      </w:r>
      <w:r>
        <w:rPr>
          <w:szCs w:val="26"/>
        </w:rPr>
        <w:t>codified for piece-rate workers a statutory right to separate pay, at no less than the minimum wage, for otherwise uncompensated nonproductive and rest time.  (</w:t>
      </w:r>
      <w:r>
        <w:t>Lab. Code, § 226.2, subd. (a)</w:t>
      </w:r>
      <w:r w:rsidRPr="00B64CB7">
        <w:rPr>
          <w:szCs w:val="26"/>
        </w:rPr>
        <w:t xml:space="preserve">, </w:t>
      </w:r>
      <w:r w:rsidR="000F0379">
        <w:rPr>
          <w:szCs w:val="26"/>
        </w:rPr>
        <w:t>add</w:t>
      </w:r>
      <w:r w:rsidRPr="00B64CB7">
        <w:rPr>
          <w:szCs w:val="26"/>
        </w:rPr>
        <w:t>ed by Stats. 2015, ch. 754, § 4</w:t>
      </w:r>
      <w:r>
        <w:rPr>
          <w:szCs w:val="26"/>
        </w:rPr>
        <w:t xml:space="preserve">; </w:t>
      </w:r>
      <w:r w:rsidRPr="00B64CB7">
        <w:rPr>
          <w:szCs w:val="26"/>
        </w:rPr>
        <w:t xml:space="preserve">see Sen. Rules Com., </w:t>
      </w:r>
      <w:r>
        <w:rPr>
          <w:szCs w:val="26"/>
        </w:rPr>
        <w:t xml:space="preserve">Off. of Sen. Floor Analyses, </w:t>
      </w:r>
      <w:r w:rsidRPr="00B64CB7">
        <w:rPr>
          <w:szCs w:val="26"/>
        </w:rPr>
        <w:t>3d reading analysis of Assem. Bill No.</w:t>
      </w:r>
      <w:r>
        <w:rPr>
          <w:szCs w:val="26"/>
        </w:rPr>
        <w:t> </w:t>
      </w:r>
      <w:r w:rsidRPr="00B64CB7">
        <w:rPr>
          <w:szCs w:val="26"/>
        </w:rPr>
        <w:t>1513 (2015–2016 Reg. Sess.)</w:t>
      </w:r>
      <w:r>
        <w:rPr>
          <w:szCs w:val="26"/>
        </w:rPr>
        <w:t xml:space="preserve"> as amended Sept. 9, 2015,</w:t>
      </w:r>
      <w:r w:rsidRPr="00B64CB7">
        <w:rPr>
          <w:szCs w:val="26"/>
        </w:rPr>
        <w:t xml:space="preserve"> pp. 2 [bill “[c]odifies the </w:t>
      </w:r>
      <w:r w:rsidRPr="00B64CB7">
        <w:rPr>
          <w:i/>
          <w:szCs w:val="26"/>
        </w:rPr>
        <w:t>Gonzalez</w:t>
      </w:r>
      <w:r w:rsidRPr="00B64CB7">
        <w:rPr>
          <w:szCs w:val="26"/>
        </w:rPr>
        <w:t xml:space="preserve"> and </w:t>
      </w:r>
      <w:r w:rsidRPr="00B64CB7">
        <w:rPr>
          <w:i/>
          <w:szCs w:val="26"/>
        </w:rPr>
        <w:t xml:space="preserve">Bluford </w:t>
      </w:r>
      <w:r w:rsidRPr="00B64CB7">
        <w:rPr>
          <w:szCs w:val="26"/>
        </w:rPr>
        <w:t>decisions that nonproductive time, rest breaks, and recovery breaks are separately compensated”], 3 [bill “</w:t>
      </w:r>
      <w:r>
        <w:rPr>
          <w:szCs w:val="26"/>
        </w:rPr>
        <w:t>[</w:t>
      </w:r>
      <w:r w:rsidRPr="00B64CB7">
        <w:rPr>
          <w:szCs w:val="26"/>
        </w:rPr>
        <w:t>c</w:t>
      </w:r>
      <w:r>
        <w:rPr>
          <w:szCs w:val="26"/>
        </w:rPr>
        <w:t>]</w:t>
      </w:r>
      <w:r w:rsidRPr="00B64CB7">
        <w:rPr>
          <w:szCs w:val="26"/>
        </w:rPr>
        <w:t>odifies that, for nonproductive time, the rate of compensation is not less than the</w:t>
      </w:r>
      <w:r>
        <w:rPr>
          <w:szCs w:val="26"/>
        </w:rPr>
        <w:t xml:space="preserve"> </w:t>
      </w:r>
      <w:r w:rsidRPr="00B64CB7">
        <w:rPr>
          <w:szCs w:val="26"/>
        </w:rPr>
        <w:t>minimum</w:t>
      </w:r>
      <w:r>
        <w:rPr>
          <w:szCs w:val="26"/>
        </w:rPr>
        <w:t xml:space="preserve"> wage”].)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31A" w14:paraId="003BF6E8" w14:textId="508F5EE1">
    <w:pPr>
      <w:pStyle w:val="Header"/>
    </w:pPr>
    <w:r>
      <w:t>OMAN v. DELTA AIR LINES, INC.</w:t>
    </w:r>
  </w:p>
  <w:p w:rsidR="00DE731A" w14:paraId="2737B0E9" w14:textId="3C52A89D">
    <w:pPr>
      <w:pStyle w:val="Header"/>
    </w:pPr>
    <w:r>
      <w:t>Opinion of the Court by Kruger, 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F32" w14:paraId="13AD0BB6" w14:textId="77777777">
    <w:pPr>
      <w:pStyle w:val="Header"/>
    </w:pPr>
    <w:r>
      <w:t>OMAN v. DELTA AIR LINES, INC.</w:t>
    </w:r>
  </w:p>
  <w:p w:rsidR="00983F32" w14:paraId="70A6F525" w14:textId="1500C022">
    <w:pPr>
      <w:pStyle w:val="Header"/>
    </w:pPr>
    <w:r>
      <w:t>Liu, J., concurring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C8D" w:rsidRPr="00FF6C8D" w:rsidP="00FF6C8D" w14:paraId="5B211322" w14:textId="57FE07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C8D" w14:paraId="68CB22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4D4A36"/>
    <w:multiLevelType w:val="hybridMultilevel"/>
    <w:tmpl w:val="D21030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A3"/>
    <w:rsid w:val="00000515"/>
    <w:rsid w:val="00001501"/>
    <w:rsid w:val="0000315D"/>
    <w:rsid w:val="000034E2"/>
    <w:rsid w:val="00003DA2"/>
    <w:rsid w:val="00004990"/>
    <w:rsid w:val="00004EEA"/>
    <w:rsid w:val="00007B52"/>
    <w:rsid w:val="00010145"/>
    <w:rsid w:val="000113B7"/>
    <w:rsid w:val="00011443"/>
    <w:rsid w:val="00011AB2"/>
    <w:rsid w:val="00011F9A"/>
    <w:rsid w:val="00013E15"/>
    <w:rsid w:val="00014606"/>
    <w:rsid w:val="00014961"/>
    <w:rsid w:val="00014E8D"/>
    <w:rsid w:val="00015F49"/>
    <w:rsid w:val="000165E3"/>
    <w:rsid w:val="00017B78"/>
    <w:rsid w:val="00017BDF"/>
    <w:rsid w:val="000218C8"/>
    <w:rsid w:val="00021DEF"/>
    <w:rsid w:val="00021F1A"/>
    <w:rsid w:val="00023701"/>
    <w:rsid w:val="00023A50"/>
    <w:rsid w:val="000243E0"/>
    <w:rsid w:val="0002457C"/>
    <w:rsid w:val="00024687"/>
    <w:rsid w:val="0002747D"/>
    <w:rsid w:val="00027B73"/>
    <w:rsid w:val="00027F10"/>
    <w:rsid w:val="00030420"/>
    <w:rsid w:val="00030A59"/>
    <w:rsid w:val="00030AA1"/>
    <w:rsid w:val="00031451"/>
    <w:rsid w:val="00033112"/>
    <w:rsid w:val="00035BCB"/>
    <w:rsid w:val="00037FFA"/>
    <w:rsid w:val="0004003B"/>
    <w:rsid w:val="00040957"/>
    <w:rsid w:val="00040CCB"/>
    <w:rsid w:val="00042012"/>
    <w:rsid w:val="0004218A"/>
    <w:rsid w:val="000435A0"/>
    <w:rsid w:val="000436C5"/>
    <w:rsid w:val="00044860"/>
    <w:rsid w:val="000449A4"/>
    <w:rsid w:val="00045692"/>
    <w:rsid w:val="00045C73"/>
    <w:rsid w:val="00050DC1"/>
    <w:rsid w:val="00051C66"/>
    <w:rsid w:val="00052787"/>
    <w:rsid w:val="0005429C"/>
    <w:rsid w:val="00056065"/>
    <w:rsid w:val="0005636F"/>
    <w:rsid w:val="00056B24"/>
    <w:rsid w:val="00057967"/>
    <w:rsid w:val="00057E42"/>
    <w:rsid w:val="000616DF"/>
    <w:rsid w:val="000617CB"/>
    <w:rsid w:val="00061D89"/>
    <w:rsid w:val="00061E4A"/>
    <w:rsid w:val="000623DE"/>
    <w:rsid w:val="00063039"/>
    <w:rsid w:val="00063250"/>
    <w:rsid w:val="00064C78"/>
    <w:rsid w:val="00066952"/>
    <w:rsid w:val="00066D7D"/>
    <w:rsid w:val="00070176"/>
    <w:rsid w:val="000711A4"/>
    <w:rsid w:val="000736A4"/>
    <w:rsid w:val="00074B61"/>
    <w:rsid w:val="00075A11"/>
    <w:rsid w:val="00075DFD"/>
    <w:rsid w:val="00076D20"/>
    <w:rsid w:val="00081B0C"/>
    <w:rsid w:val="0008216E"/>
    <w:rsid w:val="000847CB"/>
    <w:rsid w:val="00084B3B"/>
    <w:rsid w:val="00084C12"/>
    <w:rsid w:val="00085021"/>
    <w:rsid w:val="00087BA2"/>
    <w:rsid w:val="00092C58"/>
    <w:rsid w:val="000944BB"/>
    <w:rsid w:val="00095936"/>
    <w:rsid w:val="000A0667"/>
    <w:rsid w:val="000A07A8"/>
    <w:rsid w:val="000A1DFF"/>
    <w:rsid w:val="000A2DE7"/>
    <w:rsid w:val="000A398F"/>
    <w:rsid w:val="000A4878"/>
    <w:rsid w:val="000A4C4C"/>
    <w:rsid w:val="000A57EB"/>
    <w:rsid w:val="000A6644"/>
    <w:rsid w:val="000A76D8"/>
    <w:rsid w:val="000A7FB3"/>
    <w:rsid w:val="000B13B7"/>
    <w:rsid w:val="000B191F"/>
    <w:rsid w:val="000B1F1E"/>
    <w:rsid w:val="000B30C9"/>
    <w:rsid w:val="000B3E90"/>
    <w:rsid w:val="000B4A36"/>
    <w:rsid w:val="000B4CD3"/>
    <w:rsid w:val="000B7B75"/>
    <w:rsid w:val="000C0C5A"/>
    <w:rsid w:val="000C144E"/>
    <w:rsid w:val="000C1481"/>
    <w:rsid w:val="000C25D5"/>
    <w:rsid w:val="000C37A5"/>
    <w:rsid w:val="000C398C"/>
    <w:rsid w:val="000C47F0"/>
    <w:rsid w:val="000C79F3"/>
    <w:rsid w:val="000D0B83"/>
    <w:rsid w:val="000D10D0"/>
    <w:rsid w:val="000D29D3"/>
    <w:rsid w:val="000D3AB2"/>
    <w:rsid w:val="000D5DC7"/>
    <w:rsid w:val="000D68A0"/>
    <w:rsid w:val="000D6A4E"/>
    <w:rsid w:val="000E437E"/>
    <w:rsid w:val="000E6518"/>
    <w:rsid w:val="000E6B3E"/>
    <w:rsid w:val="000E71FC"/>
    <w:rsid w:val="000F0379"/>
    <w:rsid w:val="000F0C12"/>
    <w:rsid w:val="000F1399"/>
    <w:rsid w:val="000F2A7A"/>
    <w:rsid w:val="000F375F"/>
    <w:rsid w:val="000F3B50"/>
    <w:rsid w:val="000F4C4A"/>
    <w:rsid w:val="000F4CBD"/>
    <w:rsid w:val="000F53D0"/>
    <w:rsid w:val="000F60DA"/>
    <w:rsid w:val="000F7CC8"/>
    <w:rsid w:val="001001A4"/>
    <w:rsid w:val="0010039C"/>
    <w:rsid w:val="00101E0A"/>
    <w:rsid w:val="00101FCE"/>
    <w:rsid w:val="00103DCB"/>
    <w:rsid w:val="00105589"/>
    <w:rsid w:val="00106544"/>
    <w:rsid w:val="00106AA3"/>
    <w:rsid w:val="00106EA3"/>
    <w:rsid w:val="001077C4"/>
    <w:rsid w:val="00107B91"/>
    <w:rsid w:val="00111220"/>
    <w:rsid w:val="001139DB"/>
    <w:rsid w:val="001153D4"/>
    <w:rsid w:val="0011695A"/>
    <w:rsid w:val="001172DF"/>
    <w:rsid w:val="0011751F"/>
    <w:rsid w:val="00120260"/>
    <w:rsid w:val="0012042A"/>
    <w:rsid w:val="0012120B"/>
    <w:rsid w:val="0012169E"/>
    <w:rsid w:val="00124951"/>
    <w:rsid w:val="00124B8E"/>
    <w:rsid w:val="001257E4"/>
    <w:rsid w:val="001259E8"/>
    <w:rsid w:val="00126750"/>
    <w:rsid w:val="00126FF0"/>
    <w:rsid w:val="001272D9"/>
    <w:rsid w:val="001274B3"/>
    <w:rsid w:val="00127DF6"/>
    <w:rsid w:val="0013032C"/>
    <w:rsid w:val="0013346E"/>
    <w:rsid w:val="001339E3"/>
    <w:rsid w:val="001344C6"/>
    <w:rsid w:val="0013516F"/>
    <w:rsid w:val="00137198"/>
    <w:rsid w:val="00140330"/>
    <w:rsid w:val="001405F7"/>
    <w:rsid w:val="00140DA4"/>
    <w:rsid w:val="00141268"/>
    <w:rsid w:val="001416F4"/>
    <w:rsid w:val="00141B19"/>
    <w:rsid w:val="00142F3A"/>
    <w:rsid w:val="001464A5"/>
    <w:rsid w:val="00146690"/>
    <w:rsid w:val="0014771D"/>
    <w:rsid w:val="001519ED"/>
    <w:rsid w:val="0015257A"/>
    <w:rsid w:val="001532A8"/>
    <w:rsid w:val="00155A40"/>
    <w:rsid w:val="001573EC"/>
    <w:rsid w:val="001609E4"/>
    <w:rsid w:val="00160FC8"/>
    <w:rsid w:val="00163B36"/>
    <w:rsid w:val="00163B93"/>
    <w:rsid w:val="001644EB"/>
    <w:rsid w:val="00165010"/>
    <w:rsid w:val="0016630E"/>
    <w:rsid w:val="00166C15"/>
    <w:rsid w:val="00167AEA"/>
    <w:rsid w:val="00167D14"/>
    <w:rsid w:val="00170A91"/>
    <w:rsid w:val="00170B0B"/>
    <w:rsid w:val="001716F3"/>
    <w:rsid w:val="0017292E"/>
    <w:rsid w:val="00175D82"/>
    <w:rsid w:val="001767A9"/>
    <w:rsid w:val="0017747E"/>
    <w:rsid w:val="00180525"/>
    <w:rsid w:val="001811C7"/>
    <w:rsid w:val="00181F44"/>
    <w:rsid w:val="00183C55"/>
    <w:rsid w:val="00183DC0"/>
    <w:rsid w:val="0018569F"/>
    <w:rsid w:val="0018626C"/>
    <w:rsid w:val="0018760F"/>
    <w:rsid w:val="001909D5"/>
    <w:rsid w:val="00191B5A"/>
    <w:rsid w:val="001922BC"/>
    <w:rsid w:val="0019278A"/>
    <w:rsid w:val="00192A72"/>
    <w:rsid w:val="00193240"/>
    <w:rsid w:val="001935A2"/>
    <w:rsid w:val="00195C4B"/>
    <w:rsid w:val="00196DEC"/>
    <w:rsid w:val="001A18AD"/>
    <w:rsid w:val="001A1CED"/>
    <w:rsid w:val="001A1E09"/>
    <w:rsid w:val="001A3207"/>
    <w:rsid w:val="001A37F6"/>
    <w:rsid w:val="001A5158"/>
    <w:rsid w:val="001B0A36"/>
    <w:rsid w:val="001B3453"/>
    <w:rsid w:val="001B3DE1"/>
    <w:rsid w:val="001B57B5"/>
    <w:rsid w:val="001B5BC8"/>
    <w:rsid w:val="001B5EC6"/>
    <w:rsid w:val="001B5FB9"/>
    <w:rsid w:val="001B6173"/>
    <w:rsid w:val="001B68B5"/>
    <w:rsid w:val="001B751D"/>
    <w:rsid w:val="001B7B65"/>
    <w:rsid w:val="001C0797"/>
    <w:rsid w:val="001C34CE"/>
    <w:rsid w:val="001C3A27"/>
    <w:rsid w:val="001C5FBE"/>
    <w:rsid w:val="001C64CC"/>
    <w:rsid w:val="001C69D7"/>
    <w:rsid w:val="001C77B6"/>
    <w:rsid w:val="001C7905"/>
    <w:rsid w:val="001C7D0A"/>
    <w:rsid w:val="001D036D"/>
    <w:rsid w:val="001D133C"/>
    <w:rsid w:val="001D16FE"/>
    <w:rsid w:val="001D1BFB"/>
    <w:rsid w:val="001D31F9"/>
    <w:rsid w:val="001D376E"/>
    <w:rsid w:val="001D4524"/>
    <w:rsid w:val="001D4C7A"/>
    <w:rsid w:val="001D6080"/>
    <w:rsid w:val="001D7C58"/>
    <w:rsid w:val="001E1860"/>
    <w:rsid w:val="001E1C32"/>
    <w:rsid w:val="001E2583"/>
    <w:rsid w:val="001E3648"/>
    <w:rsid w:val="001E374D"/>
    <w:rsid w:val="001E3899"/>
    <w:rsid w:val="001E4078"/>
    <w:rsid w:val="001E470D"/>
    <w:rsid w:val="001E4A87"/>
    <w:rsid w:val="001E4BD5"/>
    <w:rsid w:val="001E5FCD"/>
    <w:rsid w:val="001E7E85"/>
    <w:rsid w:val="001F14E1"/>
    <w:rsid w:val="001F1E11"/>
    <w:rsid w:val="001F266A"/>
    <w:rsid w:val="001F3052"/>
    <w:rsid w:val="001F50B5"/>
    <w:rsid w:val="001F5803"/>
    <w:rsid w:val="00203A52"/>
    <w:rsid w:val="00204D1F"/>
    <w:rsid w:val="00204EF3"/>
    <w:rsid w:val="0020594A"/>
    <w:rsid w:val="00206221"/>
    <w:rsid w:val="0021036F"/>
    <w:rsid w:val="002138E1"/>
    <w:rsid w:val="00213A87"/>
    <w:rsid w:val="00214967"/>
    <w:rsid w:val="002165CE"/>
    <w:rsid w:val="00222F22"/>
    <w:rsid w:val="002275F7"/>
    <w:rsid w:val="00227A4D"/>
    <w:rsid w:val="0023294E"/>
    <w:rsid w:val="002333E1"/>
    <w:rsid w:val="00233577"/>
    <w:rsid w:val="00234416"/>
    <w:rsid w:val="00234AE8"/>
    <w:rsid w:val="00235586"/>
    <w:rsid w:val="00235816"/>
    <w:rsid w:val="00236936"/>
    <w:rsid w:val="00236C4B"/>
    <w:rsid w:val="002377B7"/>
    <w:rsid w:val="00237D68"/>
    <w:rsid w:val="00240922"/>
    <w:rsid w:val="00241B84"/>
    <w:rsid w:val="00244962"/>
    <w:rsid w:val="00245957"/>
    <w:rsid w:val="002473CE"/>
    <w:rsid w:val="00247AA9"/>
    <w:rsid w:val="00247ECB"/>
    <w:rsid w:val="0025166C"/>
    <w:rsid w:val="0025181A"/>
    <w:rsid w:val="002518CA"/>
    <w:rsid w:val="0025472D"/>
    <w:rsid w:val="00255605"/>
    <w:rsid w:val="002571C2"/>
    <w:rsid w:val="0026052A"/>
    <w:rsid w:val="00260B89"/>
    <w:rsid w:val="00261236"/>
    <w:rsid w:val="00261420"/>
    <w:rsid w:val="002618E6"/>
    <w:rsid w:val="0026220D"/>
    <w:rsid w:val="00264503"/>
    <w:rsid w:val="00264765"/>
    <w:rsid w:val="00267D31"/>
    <w:rsid w:val="00270DE9"/>
    <w:rsid w:val="00270FBB"/>
    <w:rsid w:val="002715E8"/>
    <w:rsid w:val="00271A7B"/>
    <w:rsid w:val="00271D42"/>
    <w:rsid w:val="00272198"/>
    <w:rsid w:val="00273AA6"/>
    <w:rsid w:val="00273D2D"/>
    <w:rsid w:val="00273F3F"/>
    <w:rsid w:val="002743F9"/>
    <w:rsid w:val="00275550"/>
    <w:rsid w:val="00275697"/>
    <w:rsid w:val="00276453"/>
    <w:rsid w:val="00276B2D"/>
    <w:rsid w:val="002806B4"/>
    <w:rsid w:val="00280F9C"/>
    <w:rsid w:val="0028105E"/>
    <w:rsid w:val="0028268F"/>
    <w:rsid w:val="002826A8"/>
    <w:rsid w:val="002832A5"/>
    <w:rsid w:val="002855E0"/>
    <w:rsid w:val="00286644"/>
    <w:rsid w:val="00286C1A"/>
    <w:rsid w:val="00287306"/>
    <w:rsid w:val="00287542"/>
    <w:rsid w:val="00287ED6"/>
    <w:rsid w:val="00290BB9"/>
    <w:rsid w:val="002920A7"/>
    <w:rsid w:val="00292740"/>
    <w:rsid w:val="00292ACE"/>
    <w:rsid w:val="00294C3A"/>
    <w:rsid w:val="00296786"/>
    <w:rsid w:val="00297E02"/>
    <w:rsid w:val="002A0D2C"/>
    <w:rsid w:val="002A15D3"/>
    <w:rsid w:val="002A1A2A"/>
    <w:rsid w:val="002A3391"/>
    <w:rsid w:val="002A3DCA"/>
    <w:rsid w:val="002A4130"/>
    <w:rsid w:val="002A4E2B"/>
    <w:rsid w:val="002A5412"/>
    <w:rsid w:val="002A5440"/>
    <w:rsid w:val="002A55AA"/>
    <w:rsid w:val="002A577A"/>
    <w:rsid w:val="002A57E0"/>
    <w:rsid w:val="002A6E34"/>
    <w:rsid w:val="002A7916"/>
    <w:rsid w:val="002B0226"/>
    <w:rsid w:val="002B0261"/>
    <w:rsid w:val="002B133F"/>
    <w:rsid w:val="002B2B18"/>
    <w:rsid w:val="002B3CD9"/>
    <w:rsid w:val="002B4572"/>
    <w:rsid w:val="002B6555"/>
    <w:rsid w:val="002B66D6"/>
    <w:rsid w:val="002C163A"/>
    <w:rsid w:val="002C1D62"/>
    <w:rsid w:val="002C3B2B"/>
    <w:rsid w:val="002C3FC7"/>
    <w:rsid w:val="002C4BD5"/>
    <w:rsid w:val="002C54FB"/>
    <w:rsid w:val="002C66A3"/>
    <w:rsid w:val="002C72D7"/>
    <w:rsid w:val="002D0F55"/>
    <w:rsid w:val="002D1940"/>
    <w:rsid w:val="002D25C2"/>
    <w:rsid w:val="002D2ED4"/>
    <w:rsid w:val="002D37CD"/>
    <w:rsid w:val="002D37D5"/>
    <w:rsid w:val="002D41D0"/>
    <w:rsid w:val="002D4AD8"/>
    <w:rsid w:val="002D4F55"/>
    <w:rsid w:val="002D58F8"/>
    <w:rsid w:val="002D59DE"/>
    <w:rsid w:val="002D6DF7"/>
    <w:rsid w:val="002E156E"/>
    <w:rsid w:val="002E1D22"/>
    <w:rsid w:val="002E221E"/>
    <w:rsid w:val="002E32A2"/>
    <w:rsid w:val="002E34DF"/>
    <w:rsid w:val="002E4719"/>
    <w:rsid w:val="002E4EF7"/>
    <w:rsid w:val="002E738F"/>
    <w:rsid w:val="002E75CB"/>
    <w:rsid w:val="002E7D43"/>
    <w:rsid w:val="002F0A02"/>
    <w:rsid w:val="002F0FA4"/>
    <w:rsid w:val="002F163C"/>
    <w:rsid w:val="002F24B9"/>
    <w:rsid w:val="002F2973"/>
    <w:rsid w:val="002F2B87"/>
    <w:rsid w:val="002F3C86"/>
    <w:rsid w:val="002F6622"/>
    <w:rsid w:val="00300181"/>
    <w:rsid w:val="00301196"/>
    <w:rsid w:val="003014E2"/>
    <w:rsid w:val="00301900"/>
    <w:rsid w:val="00301B5C"/>
    <w:rsid w:val="00302987"/>
    <w:rsid w:val="003035C6"/>
    <w:rsid w:val="00303B1E"/>
    <w:rsid w:val="0030606E"/>
    <w:rsid w:val="003078A5"/>
    <w:rsid w:val="00310540"/>
    <w:rsid w:val="00311B09"/>
    <w:rsid w:val="0031317B"/>
    <w:rsid w:val="003162DC"/>
    <w:rsid w:val="00317662"/>
    <w:rsid w:val="003179E9"/>
    <w:rsid w:val="00320076"/>
    <w:rsid w:val="00321AF0"/>
    <w:rsid w:val="00322B9B"/>
    <w:rsid w:val="00324386"/>
    <w:rsid w:val="00324563"/>
    <w:rsid w:val="00324947"/>
    <w:rsid w:val="00324BCB"/>
    <w:rsid w:val="003256BD"/>
    <w:rsid w:val="003271B6"/>
    <w:rsid w:val="00330EC1"/>
    <w:rsid w:val="00331830"/>
    <w:rsid w:val="00331A1D"/>
    <w:rsid w:val="00331A5A"/>
    <w:rsid w:val="00336FCA"/>
    <w:rsid w:val="00337A74"/>
    <w:rsid w:val="00341054"/>
    <w:rsid w:val="00342A2A"/>
    <w:rsid w:val="00342D99"/>
    <w:rsid w:val="0034310A"/>
    <w:rsid w:val="00343A55"/>
    <w:rsid w:val="00343DB2"/>
    <w:rsid w:val="00343EE2"/>
    <w:rsid w:val="0034437E"/>
    <w:rsid w:val="00344E25"/>
    <w:rsid w:val="00345245"/>
    <w:rsid w:val="0034556F"/>
    <w:rsid w:val="00346ED4"/>
    <w:rsid w:val="00347494"/>
    <w:rsid w:val="003476E7"/>
    <w:rsid w:val="00350FF6"/>
    <w:rsid w:val="00351472"/>
    <w:rsid w:val="003514B4"/>
    <w:rsid w:val="00353B3E"/>
    <w:rsid w:val="0035405B"/>
    <w:rsid w:val="003544C2"/>
    <w:rsid w:val="0035743C"/>
    <w:rsid w:val="00357EDC"/>
    <w:rsid w:val="00360D23"/>
    <w:rsid w:val="00360D3D"/>
    <w:rsid w:val="00360F82"/>
    <w:rsid w:val="003618CD"/>
    <w:rsid w:val="00361C93"/>
    <w:rsid w:val="0036334C"/>
    <w:rsid w:val="00363CB8"/>
    <w:rsid w:val="00363CEE"/>
    <w:rsid w:val="0036511E"/>
    <w:rsid w:val="00365B5B"/>
    <w:rsid w:val="003669C0"/>
    <w:rsid w:val="00366C1D"/>
    <w:rsid w:val="0036725F"/>
    <w:rsid w:val="003726AD"/>
    <w:rsid w:val="0037298C"/>
    <w:rsid w:val="003739F6"/>
    <w:rsid w:val="00374001"/>
    <w:rsid w:val="00374709"/>
    <w:rsid w:val="00376053"/>
    <w:rsid w:val="00376AE2"/>
    <w:rsid w:val="00376B43"/>
    <w:rsid w:val="0037744C"/>
    <w:rsid w:val="00377862"/>
    <w:rsid w:val="00377982"/>
    <w:rsid w:val="00377BAF"/>
    <w:rsid w:val="00377CCA"/>
    <w:rsid w:val="00381014"/>
    <w:rsid w:val="0038183B"/>
    <w:rsid w:val="0038351B"/>
    <w:rsid w:val="00383AAF"/>
    <w:rsid w:val="003853F4"/>
    <w:rsid w:val="00386BF7"/>
    <w:rsid w:val="00390B1B"/>
    <w:rsid w:val="003916B0"/>
    <w:rsid w:val="0039297E"/>
    <w:rsid w:val="00393867"/>
    <w:rsid w:val="003941DA"/>
    <w:rsid w:val="00395004"/>
    <w:rsid w:val="00396302"/>
    <w:rsid w:val="003A05A0"/>
    <w:rsid w:val="003A0B18"/>
    <w:rsid w:val="003A21FB"/>
    <w:rsid w:val="003A22BB"/>
    <w:rsid w:val="003A2DA2"/>
    <w:rsid w:val="003A3D4C"/>
    <w:rsid w:val="003A5B5A"/>
    <w:rsid w:val="003A6A9B"/>
    <w:rsid w:val="003A71A8"/>
    <w:rsid w:val="003A7368"/>
    <w:rsid w:val="003A7964"/>
    <w:rsid w:val="003B10DC"/>
    <w:rsid w:val="003B4237"/>
    <w:rsid w:val="003B454F"/>
    <w:rsid w:val="003B4EC6"/>
    <w:rsid w:val="003B589D"/>
    <w:rsid w:val="003B6187"/>
    <w:rsid w:val="003B6244"/>
    <w:rsid w:val="003B65B7"/>
    <w:rsid w:val="003B694A"/>
    <w:rsid w:val="003B7A24"/>
    <w:rsid w:val="003C0710"/>
    <w:rsid w:val="003C0BBE"/>
    <w:rsid w:val="003C3E27"/>
    <w:rsid w:val="003C4CDC"/>
    <w:rsid w:val="003C55F8"/>
    <w:rsid w:val="003C5E41"/>
    <w:rsid w:val="003C665A"/>
    <w:rsid w:val="003C6E54"/>
    <w:rsid w:val="003C7B46"/>
    <w:rsid w:val="003C7FC4"/>
    <w:rsid w:val="003D035B"/>
    <w:rsid w:val="003D0602"/>
    <w:rsid w:val="003D3119"/>
    <w:rsid w:val="003D364A"/>
    <w:rsid w:val="003D3926"/>
    <w:rsid w:val="003D5A01"/>
    <w:rsid w:val="003D6032"/>
    <w:rsid w:val="003D6205"/>
    <w:rsid w:val="003D6376"/>
    <w:rsid w:val="003E0B8E"/>
    <w:rsid w:val="003E22DC"/>
    <w:rsid w:val="003E46D5"/>
    <w:rsid w:val="003E6A4C"/>
    <w:rsid w:val="003E736B"/>
    <w:rsid w:val="003F005B"/>
    <w:rsid w:val="003F0164"/>
    <w:rsid w:val="003F0BC5"/>
    <w:rsid w:val="003F1EB5"/>
    <w:rsid w:val="003F4345"/>
    <w:rsid w:val="003F6219"/>
    <w:rsid w:val="003F7AE9"/>
    <w:rsid w:val="003F7DC3"/>
    <w:rsid w:val="004000C7"/>
    <w:rsid w:val="004000F3"/>
    <w:rsid w:val="00400FA2"/>
    <w:rsid w:val="004012B0"/>
    <w:rsid w:val="0040164E"/>
    <w:rsid w:val="00402234"/>
    <w:rsid w:val="004026FC"/>
    <w:rsid w:val="004040D1"/>
    <w:rsid w:val="00405773"/>
    <w:rsid w:val="00407688"/>
    <w:rsid w:val="00407CDE"/>
    <w:rsid w:val="004103B5"/>
    <w:rsid w:val="00411558"/>
    <w:rsid w:val="004115DA"/>
    <w:rsid w:val="00413F28"/>
    <w:rsid w:val="004157DE"/>
    <w:rsid w:val="004168AF"/>
    <w:rsid w:val="00416AA0"/>
    <w:rsid w:val="00416D6D"/>
    <w:rsid w:val="00416E34"/>
    <w:rsid w:val="004201B8"/>
    <w:rsid w:val="00420FE5"/>
    <w:rsid w:val="00422195"/>
    <w:rsid w:val="004241F1"/>
    <w:rsid w:val="00427D27"/>
    <w:rsid w:val="004318B7"/>
    <w:rsid w:val="00431F69"/>
    <w:rsid w:val="00432D62"/>
    <w:rsid w:val="0043324F"/>
    <w:rsid w:val="00434329"/>
    <w:rsid w:val="00434424"/>
    <w:rsid w:val="00434567"/>
    <w:rsid w:val="0043663C"/>
    <w:rsid w:val="0044024B"/>
    <w:rsid w:val="00440A1F"/>
    <w:rsid w:val="00442F77"/>
    <w:rsid w:val="004453EB"/>
    <w:rsid w:val="00450246"/>
    <w:rsid w:val="00452357"/>
    <w:rsid w:val="00452445"/>
    <w:rsid w:val="0045255E"/>
    <w:rsid w:val="004530F2"/>
    <w:rsid w:val="00453AA0"/>
    <w:rsid w:val="004544C8"/>
    <w:rsid w:val="004556DE"/>
    <w:rsid w:val="00455932"/>
    <w:rsid w:val="0045657B"/>
    <w:rsid w:val="004566F6"/>
    <w:rsid w:val="0045734C"/>
    <w:rsid w:val="00461A41"/>
    <w:rsid w:val="00461BE4"/>
    <w:rsid w:val="004633CA"/>
    <w:rsid w:val="00463B41"/>
    <w:rsid w:val="00464559"/>
    <w:rsid w:val="00464B44"/>
    <w:rsid w:val="00465089"/>
    <w:rsid w:val="004653F9"/>
    <w:rsid w:val="00465CFC"/>
    <w:rsid w:val="00466B55"/>
    <w:rsid w:val="0047036F"/>
    <w:rsid w:val="00470C00"/>
    <w:rsid w:val="00471F9B"/>
    <w:rsid w:val="0047256C"/>
    <w:rsid w:val="0047291E"/>
    <w:rsid w:val="00473D1D"/>
    <w:rsid w:val="0047773E"/>
    <w:rsid w:val="004816D4"/>
    <w:rsid w:val="00483C34"/>
    <w:rsid w:val="004845A3"/>
    <w:rsid w:val="00484E37"/>
    <w:rsid w:val="004859D7"/>
    <w:rsid w:val="00486250"/>
    <w:rsid w:val="00486980"/>
    <w:rsid w:val="00486DDD"/>
    <w:rsid w:val="00487416"/>
    <w:rsid w:val="00490E57"/>
    <w:rsid w:val="00491A6F"/>
    <w:rsid w:val="0049274B"/>
    <w:rsid w:val="004945AB"/>
    <w:rsid w:val="00495AA7"/>
    <w:rsid w:val="00496804"/>
    <w:rsid w:val="00496FF9"/>
    <w:rsid w:val="0049701B"/>
    <w:rsid w:val="004A0732"/>
    <w:rsid w:val="004A0861"/>
    <w:rsid w:val="004A0B63"/>
    <w:rsid w:val="004A35AC"/>
    <w:rsid w:val="004A3996"/>
    <w:rsid w:val="004A4569"/>
    <w:rsid w:val="004A4902"/>
    <w:rsid w:val="004A6D10"/>
    <w:rsid w:val="004A7C45"/>
    <w:rsid w:val="004B1B5C"/>
    <w:rsid w:val="004B245D"/>
    <w:rsid w:val="004B33DA"/>
    <w:rsid w:val="004B46A7"/>
    <w:rsid w:val="004B51E2"/>
    <w:rsid w:val="004B5CA3"/>
    <w:rsid w:val="004B6666"/>
    <w:rsid w:val="004B6CD7"/>
    <w:rsid w:val="004B7BB1"/>
    <w:rsid w:val="004B7CB7"/>
    <w:rsid w:val="004B7CF1"/>
    <w:rsid w:val="004C110D"/>
    <w:rsid w:val="004C2CC6"/>
    <w:rsid w:val="004C4840"/>
    <w:rsid w:val="004C77C9"/>
    <w:rsid w:val="004C7DFF"/>
    <w:rsid w:val="004D1411"/>
    <w:rsid w:val="004D141B"/>
    <w:rsid w:val="004D1501"/>
    <w:rsid w:val="004D53AC"/>
    <w:rsid w:val="004D6043"/>
    <w:rsid w:val="004D7009"/>
    <w:rsid w:val="004D70DE"/>
    <w:rsid w:val="004E0DB8"/>
    <w:rsid w:val="004E2592"/>
    <w:rsid w:val="004E2D29"/>
    <w:rsid w:val="004E308F"/>
    <w:rsid w:val="004E422B"/>
    <w:rsid w:val="004E4B87"/>
    <w:rsid w:val="004E5D6F"/>
    <w:rsid w:val="004E612C"/>
    <w:rsid w:val="004E66A2"/>
    <w:rsid w:val="004E6F06"/>
    <w:rsid w:val="004E70E4"/>
    <w:rsid w:val="004F15FC"/>
    <w:rsid w:val="004F3737"/>
    <w:rsid w:val="004F3BE3"/>
    <w:rsid w:val="004F4BF5"/>
    <w:rsid w:val="004F4C08"/>
    <w:rsid w:val="004F579C"/>
    <w:rsid w:val="004F7150"/>
    <w:rsid w:val="00500500"/>
    <w:rsid w:val="00503468"/>
    <w:rsid w:val="00503816"/>
    <w:rsid w:val="00504788"/>
    <w:rsid w:val="00504EFF"/>
    <w:rsid w:val="0050558B"/>
    <w:rsid w:val="00505AF7"/>
    <w:rsid w:val="00506315"/>
    <w:rsid w:val="00506929"/>
    <w:rsid w:val="00506F80"/>
    <w:rsid w:val="00507155"/>
    <w:rsid w:val="00511231"/>
    <w:rsid w:val="00511648"/>
    <w:rsid w:val="00513EBE"/>
    <w:rsid w:val="00515750"/>
    <w:rsid w:val="00515A0D"/>
    <w:rsid w:val="00517E1A"/>
    <w:rsid w:val="005213B4"/>
    <w:rsid w:val="0052191E"/>
    <w:rsid w:val="00522BA3"/>
    <w:rsid w:val="00524E45"/>
    <w:rsid w:val="00524ED2"/>
    <w:rsid w:val="00525901"/>
    <w:rsid w:val="00526648"/>
    <w:rsid w:val="00527FFA"/>
    <w:rsid w:val="005305F5"/>
    <w:rsid w:val="00532BEF"/>
    <w:rsid w:val="00533679"/>
    <w:rsid w:val="00533D40"/>
    <w:rsid w:val="0053710E"/>
    <w:rsid w:val="00537572"/>
    <w:rsid w:val="00541C9B"/>
    <w:rsid w:val="005449B6"/>
    <w:rsid w:val="00546E8F"/>
    <w:rsid w:val="005472E7"/>
    <w:rsid w:val="00550701"/>
    <w:rsid w:val="00551FD0"/>
    <w:rsid w:val="00552501"/>
    <w:rsid w:val="0055293D"/>
    <w:rsid w:val="00553086"/>
    <w:rsid w:val="0055325A"/>
    <w:rsid w:val="00554950"/>
    <w:rsid w:val="00555425"/>
    <w:rsid w:val="0055579E"/>
    <w:rsid w:val="00557569"/>
    <w:rsid w:val="005618F1"/>
    <w:rsid w:val="00564E0D"/>
    <w:rsid w:val="0056582F"/>
    <w:rsid w:val="00566131"/>
    <w:rsid w:val="00567189"/>
    <w:rsid w:val="00567986"/>
    <w:rsid w:val="00570931"/>
    <w:rsid w:val="00570EC6"/>
    <w:rsid w:val="005741E9"/>
    <w:rsid w:val="00574E28"/>
    <w:rsid w:val="00575AC2"/>
    <w:rsid w:val="005766FF"/>
    <w:rsid w:val="00577F43"/>
    <w:rsid w:val="00582B1E"/>
    <w:rsid w:val="00582DA3"/>
    <w:rsid w:val="00582FE7"/>
    <w:rsid w:val="00583F62"/>
    <w:rsid w:val="00584133"/>
    <w:rsid w:val="00590E91"/>
    <w:rsid w:val="0059124D"/>
    <w:rsid w:val="00592B5C"/>
    <w:rsid w:val="005949BA"/>
    <w:rsid w:val="00595FED"/>
    <w:rsid w:val="005967B1"/>
    <w:rsid w:val="00597AFC"/>
    <w:rsid w:val="00597C2C"/>
    <w:rsid w:val="005A16F0"/>
    <w:rsid w:val="005A2803"/>
    <w:rsid w:val="005A2E1D"/>
    <w:rsid w:val="005A2FA9"/>
    <w:rsid w:val="005A3ECC"/>
    <w:rsid w:val="005A416B"/>
    <w:rsid w:val="005A438F"/>
    <w:rsid w:val="005A4575"/>
    <w:rsid w:val="005A6621"/>
    <w:rsid w:val="005A689A"/>
    <w:rsid w:val="005A76BE"/>
    <w:rsid w:val="005A7BAD"/>
    <w:rsid w:val="005A7C0B"/>
    <w:rsid w:val="005B0AB6"/>
    <w:rsid w:val="005B12E5"/>
    <w:rsid w:val="005B2DB1"/>
    <w:rsid w:val="005B37DA"/>
    <w:rsid w:val="005B3907"/>
    <w:rsid w:val="005B4D6F"/>
    <w:rsid w:val="005B4EC5"/>
    <w:rsid w:val="005B5BD8"/>
    <w:rsid w:val="005B61F3"/>
    <w:rsid w:val="005B6DC6"/>
    <w:rsid w:val="005B7006"/>
    <w:rsid w:val="005C0DCE"/>
    <w:rsid w:val="005C14E3"/>
    <w:rsid w:val="005C23CF"/>
    <w:rsid w:val="005C2E5D"/>
    <w:rsid w:val="005C2EAF"/>
    <w:rsid w:val="005C3781"/>
    <w:rsid w:val="005C4B9B"/>
    <w:rsid w:val="005C526C"/>
    <w:rsid w:val="005C5A01"/>
    <w:rsid w:val="005C6FD9"/>
    <w:rsid w:val="005C7DD9"/>
    <w:rsid w:val="005D0A8A"/>
    <w:rsid w:val="005D2748"/>
    <w:rsid w:val="005D2819"/>
    <w:rsid w:val="005D35DE"/>
    <w:rsid w:val="005D69FA"/>
    <w:rsid w:val="005E1956"/>
    <w:rsid w:val="005E395D"/>
    <w:rsid w:val="005E4023"/>
    <w:rsid w:val="005E4A3D"/>
    <w:rsid w:val="005E6385"/>
    <w:rsid w:val="005E73C2"/>
    <w:rsid w:val="005F0101"/>
    <w:rsid w:val="005F1CBD"/>
    <w:rsid w:val="005F26B1"/>
    <w:rsid w:val="005F3112"/>
    <w:rsid w:val="005F3FF2"/>
    <w:rsid w:val="005F56E4"/>
    <w:rsid w:val="005F7578"/>
    <w:rsid w:val="00601226"/>
    <w:rsid w:val="0060173C"/>
    <w:rsid w:val="00602660"/>
    <w:rsid w:val="00603A9A"/>
    <w:rsid w:val="00603B00"/>
    <w:rsid w:val="0060562A"/>
    <w:rsid w:val="00605887"/>
    <w:rsid w:val="0061007A"/>
    <w:rsid w:val="00611E21"/>
    <w:rsid w:val="0061200B"/>
    <w:rsid w:val="006134FF"/>
    <w:rsid w:val="00613943"/>
    <w:rsid w:val="0061408C"/>
    <w:rsid w:val="006147DE"/>
    <w:rsid w:val="00614B7B"/>
    <w:rsid w:val="0061705C"/>
    <w:rsid w:val="0061790F"/>
    <w:rsid w:val="00617C8C"/>
    <w:rsid w:val="006203A9"/>
    <w:rsid w:val="00620A33"/>
    <w:rsid w:val="00620F37"/>
    <w:rsid w:val="0062311A"/>
    <w:rsid w:val="00623905"/>
    <w:rsid w:val="00623F04"/>
    <w:rsid w:val="006246E8"/>
    <w:rsid w:val="00624B64"/>
    <w:rsid w:val="00626164"/>
    <w:rsid w:val="006263EB"/>
    <w:rsid w:val="006314F5"/>
    <w:rsid w:val="006325CF"/>
    <w:rsid w:val="00632B60"/>
    <w:rsid w:val="00632CF6"/>
    <w:rsid w:val="0063321A"/>
    <w:rsid w:val="006334B9"/>
    <w:rsid w:val="00633B89"/>
    <w:rsid w:val="006350A4"/>
    <w:rsid w:val="006352E6"/>
    <w:rsid w:val="006357BA"/>
    <w:rsid w:val="00635E2D"/>
    <w:rsid w:val="00636DDA"/>
    <w:rsid w:val="006372B9"/>
    <w:rsid w:val="0063745D"/>
    <w:rsid w:val="0063795A"/>
    <w:rsid w:val="00637CB4"/>
    <w:rsid w:val="00637ED8"/>
    <w:rsid w:val="006403BF"/>
    <w:rsid w:val="00644625"/>
    <w:rsid w:val="00645804"/>
    <w:rsid w:val="00646E29"/>
    <w:rsid w:val="0064761C"/>
    <w:rsid w:val="00647A24"/>
    <w:rsid w:val="00647E3B"/>
    <w:rsid w:val="0065093B"/>
    <w:rsid w:val="006514DC"/>
    <w:rsid w:val="006515BF"/>
    <w:rsid w:val="0065251E"/>
    <w:rsid w:val="00653B24"/>
    <w:rsid w:val="00653C5F"/>
    <w:rsid w:val="00654EB3"/>
    <w:rsid w:val="0065531F"/>
    <w:rsid w:val="006553BF"/>
    <w:rsid w:val="00655ADC"/>
    <w:rsid w:val="00655FA7"/>
    <w:rsid w:val="00656924"/>
    <w:rsid w:val="00657693"/>
    <w:rsid w:val="00660D8A"/>
    <w:rsid w:val="00660DD4"/>
    <w:rsid w:val="0066335F"/>
    <w:rsid w:val="00664644"/>
    <w:rsid w:val="00665D73"/>
    <w:rsid w:val="00666D9D"/>
    <w:rsid w:val="00666EAD"/>
    <w:rsid w:val="00667FE9"/>
    <w:rsid w:val="0067045E"/>
    <w:rsid w:val="0067369B"/>
    <w:rsid w:val="00673CC0"/>
    <w:rsid w:val="00673D25"/>
    <w:rsid w:val="0067438D"/>
    <w:rsid w:val="006753C5"/>
    <w:rsid w:val="0067545A"/>
    <w:rsid w:val="00675DA8"/>
    <w:rsid w:val="00675E07"/>
    <w:rsid w:val="00677CC3"/>
    <w:rsid w:val="0068090E"/>
    <w:rsid w:val="00681BAF"/>
    <w:rsid w:val="00682D14"/>
    <w:rsid w:val="00682DB0"/>
    <w:rsid w:val="006833C0"/>
    <w:rsid w:val="00683FD3"/>
    <w:rsid w:val="00684445"/>
    <w:rsid w:val="00686DB7"/>
    <w:rsid w:val="0068783E"/>
    <w:rsid w:val="0069019D"/>
    <w:rsid w:val="006921D4"/>
    <w:rsid w:val="00692711"/>
    <w:rsid w:val="006935A9"/>
    <w:rsid w:val="00694E02"/>
    <w:rsid w:val="006969A2"/>
    <w:rsid w:val="006A0746"/>
    <w:rsid w:val="006A0BF5"/>
    <w:rsid w:val="006A0F7D"/>
    <w:rsid w:val="006A11E3"/>
    <w:rsid w:val="006A1215"/>
    <w:rsid w:val="006A1339"/>
    <w:rsid w:val="006A3510"/>
    <w:rsid w:val="006A3625"/>
    <w:rsid w:val="006A3A97"/>
    <w:rsid w:val="006A54D7"/>
    <w:rsid w:val="006A55B4"/>
    <w:rsid w:val="006A6FC3"/>
    <w:rsid w:val="006A77FF"/>
    <w:rsid w:val="006B1C75"/>
    <w:rsid w:val="006B1F21"/>
    <w:rsid w:val="006B3674"/>
    <w:rsid w:val="006B4CCB"/>
    <w:rsid w:val="006B6B19"/>
    <w:rsid w:val="006B71C4"/>
    <w:rsid w:val="006B7E59"/>
    <w:rsid w:val="006C02BB"/>
    <w:rsid w:val="006C16DA"/>
    <w:rsid w:val="006C194A"/>
    <w:rsid w:val="006C29BD"/>
    <w:rsid w:val="006C32BC"/>
    <w:rsid w:val="006C3830"/>
    <w:rsid w:val="006C4014"/>
    <w:rsid w:val="006C4932"/>
    <w:rsid w:val="006C5AB8"/>
    <w:rsid w:val="006C61ED"/>
    <w:rsid w:val="006C70D1"/>
    <w:rsid w:val="006C7EBC"/>
    <w:rsid w:val="006D00D8"/>
    <w:rsid w:val="006D09C7"/>
    <w:rsid w:val="006D0C78"/>
    <w:rsid w:val="006D1B79"/>
    <w:rsid w:val="006D1E87"/>
    <w:rsid w:val="006D20CF"/>
    <w:rsid w:val="006D35D3"/>
    <w:rsid w:val="006D3836"/>
    <w:rsid w:val="006D6C2E"/>
    <w:rsid w:val="006E60EC"/>
    <w:rsid w:val="006E682F"/>
    <w:rsid w:val="006E6B32"/>
    <w:rsid w:val="006E6E0A"/>
    <w:rsid w:val="006F025B"/>
    <w:rsid w:val="006F1498"/>
    <w:rsid w:val="006F24C1"/>
    <w:rsid w:val="006F2B17"/>
    <w:rsid w:val="006F35D7"/>
    <w:rsid w:val="006F3ECA"/>
    <w:rsid w:val="006F3F5F"/>
    <w:rsid w:val="006F4127"/>
    <w:rsid w:val="006F4E19"/>
    <w:rsid w:val="006F6450"/>
    <w:rsid w:val="006F7B68"/>
    <w:rsid w:val="00700AD3"/>
    <w:rsid w:val="00700E6E"/>
    <w:rsid w:val="007014C3"/>
    <w:rsid w:val="0070471F"/>
    <w:rsid w:val="00705726"/>
    <w:rsid w:val="0070581E"/>
    <w:rsid w:val="00706C9E"/>
    <w:rsid w:val="00710D9D"/>
    <w:rsid w:val="0071129A"/>
    <w:rsid w:val="00712A90"/>
    <w:rsid w:val="0071370B"/>
    <w:rsid w:val="0071384C"/>
    <w:rsid w:val="007148BB"/>
    <w:rsid w:val="007160A2"/>
    <w:rsid w:val="00717AC7"/>
    <w:rsid w:val="00717DF9"/>
    <w:rsid w:val="00717F8E"/>
    <w:rsid w:val="007206ED"/>
    <w:rsid w:val="007220E8"/>
    <w:rsid w:val="007266B6"/>
    <w:rsid w:val="00726EAD"/>
    <w:rsid w:val="007270B9"/>
    <w:rsid w:val="007275BF"/>
    <w:rsid w:val="00730B1A"/>
    <w:rsid w:val="00730F63"/>
    <w:rsid w:val="0073167B"/>
    <w:rsid w:val="00732C09"/>
    <w:rsid w:val="00733082"/>
    <w:rsid w:val="00733660"/>
    <w:rsid w:val="00733944"/>
    <w:rsid w:val="0073415C"/>
    <w:rsid w:val="00734BFC"/>
    <w:rsid w:val="00735A56"/>
    <w:rsid w:val="007362B9"/>
    <w:rsid w:val="00737124"/>
    <w:rsid w:val="00740A96"/>
    <w:rsid w:val="0074154C"/>
    <w:rsid w:val="00741B4D"/>
    <w:rsid w:val="00741E9E"/>
    <w:rsid w:val="00741F10"/>
    <w:rsid w:val="00743186"/>
    <w:rsid w:val="00743637"/>
    <w:rsid w:val="00743DBB"/>
    <w:rsid w:val="00744923"/>
    <w:rsid w:val="00744D85"/>
    <w:rsid w:val="00746411"/>
    <w:rsid w:val="00750970"/>
    <w:rsid w:val="007516BE"/>
    <w:rsid w:val="0075212E"/>
    <w:rsid w:val="0075316A"/>
    <w:rsid w:val="00753E69"/>
    <w:rsid w:val="00754711"/>
    <w:rsid w:val="007562F9"/>
    <w:rsid w:val="00760211"/>
    <w:rsid w:val="007604D3"/>
    <w:rsid w:val="00760BBF"/>
    <w:rsid w:val="00762283"/>
    <w:rsid w:val="00762389"/>
    <w:rsid w:val="00762BCF"/>
    <w:rsid w:val="00762C2B"/>
    <w:rsid w:val="00762FBB"/>
    <w:rsid w:val="0076317E"/>
    <w:rsid w:val="0076406A"/>
    <w:rsid w:val="0076602E"/>
    <w:rsid w:val="00766345"/>
    <w:rsid w:val="00770063"/>
    <w:rsid w:val="00770586"/>
    <w:rsid w:val="00770E0A"/>
    <w:rsid w:val="00771DB9"/>
    <w:rsid w:val="007720C7"/>
    <w:rsid w:val="00772649"/>
    <w:rsid w:val="00773FD1"/>
    <w:rsid w:val="00774AE8"/>
    <w:rsid w:val="00775872"/>
    <w:rsid w:val="007768B1"/>
    <w:rsid w:val="00777BAF"/>
    <w:rsid w:val="00777E0B"/>
    <w:rsid w:val="007803E6"/>
    <w:rsid w:val="00780DAE"/>
    <w:rsid w:val="0078115E"/>
    <w:rsid w:val="0078138F"/>
    <w:rsid w:val="007818FB"/>
    <w:rsid w:val="0078190B"/>
    <w:rsid w:val="007819EE"/>
    <w:rsid w:val="007822AD"/>
    <w:rsid w:val="00782A05"/>
    <w:rsid w:val="00782CEE"/>
    <w:rsid w:val="007837E0"/>
    <w:rsid w:val="00784974"/>
    <w:rsid w:val="00784976"/>
    <w:rsid w:val="00785459"/>
    <w:rsid w:val="00785515"/>
    <w:rsid w:val="00785DC6"/>
    <w:rsid w:val="00786B0C"/>
    <w:rsid w:val="0078743D"/>
    <w:rsid w:val="00787540"/>
    <w:rsid w:val="00787F7D"/>
    <w:rsid w:val="00790779"/>
    <w:rsid w:val="00792344"/>
    <w:rsid w:val="00792875"/>
    <w:rsid w:val="007930EE"/>
    <w:rsid w:val="007936A9"/>
    <w:rsid w:val="00794773"/>
    <w:rsid w:val="00794839"/>
    <w:rsid w:val="0079534A"/>
    <w:rsid w:val="00795DD7"/>
    <w:rsid w:val="00797B47"/>
    <w:rsid w:val="00797C68"/>
    <w:rsid w:val="007A080C"/>
    <w:rsid w:val="007A0F70"/>
    <w:rsid w:val="007A1093"/>
    <w:rsid w:val="007A170C"/>
    <w:rsid w:val="007A1F10"/>
    <w:rsid w:val="007A3257"/>
    <w:rsid w:val="007A439A"/>
    <w:rsid w:val="007A44CC"/>
    <w:rsid w:val="007A7515"/>
    <w:rsid w:val="007B04A0"/>
    <w:rsid w:val="007B0648"/>
    <w:rsid w:val="007B3570"/>
    <w:rsid w:val="007B3FE8"/>
    <w:rsid w:val="007B4328"/>
    <w:rsid w:val="007B51A9"/>
    <w:rsid w:val="007B6B1E"/>
    <w:rsid w:val="007B7C28"/>
    <w:rsid w:val="007C0222"/>
    <w:rsid w:val="007C06D1"/>
    <w:rsid w:val="007C09F6"/>
    <w:rsid w:val="007C181D"/>
    <w:rsid w:val="007C1AB6"/>
    <w:rsid w:val="007C23CE"/>
    <w:rsid w:val="007C446D"/>
    <w:rsid w:val="007C4AF0"/>
    <w:rsid w:val="007C5BF2"/>
    <w:rsid w:val="007C6232"/>
    <w:rsid w:val="007C79FD"/>
    <w:rsid w:val="007D17AA"/>
    <w:rsid w:val="007D17C8"/>
    <w:rsid w:val="007D1BFF"/>
    <w:rsid w:val="007D29DA"/>
    <w:rsid w:val="007D34E2"/>
    <w:rsid w:val="007D5BCF"/>
    <w:rsid w:val="007D6DCD"/>
    <w:rsid w:val="007D7677"/>
    <w:rsid w:val="007E062D"/>
    <w:rsid w:val="007E07DA"/>
    <w:rsid w:val="007E07E5"/>
    <w:rsid w:val="007E0BF6"/>
    <w:rsid w:val="007E1800"/>
    <w:rsid w:val="007E3B9F"/>
    <w:rsid w:val="007E3BDD"/>
    <w:rsid w:val="007E4205"/>
    <w:rsid w:val="007E5026"/>
    <w:rsid w:val="007E5AB6"/>
    <w:rsid w:val="007E653E"/>
    <w:rsid w:val="007E65C6"/>
    <w:rsid w:val="007E6BEB"/>
    <w:rsid w:val="007E713A"/>
    <w:rsid w:val="007E732D"/>
    <w:rsid w:val="007E7A7B"/>
    <w:rsid w:val="007F00FA"/>
    <w:rsid w:val="007F0B52"/>
    <w:rsid w:val="007F1DE6"/>
    <w:rsid w:val="007F1EFB"/>
    <w:rsid w:val="007F2CF1"/>
    <w:rsid w:val="007F3377"/>
    <w:rsid w:val="007F33E6"/>
    <w:rsid w:val="007F39D8"/>
    <w:rsid w:val="007F4147"/>
    <w:rsid w:val="007F41F4"/>
    <w:rsid w:val="007F4E5A"/>
    <w:rsid w:val="007F7327"/>
    <w:rsid w:val="00801979"/>
    <w:rsid w:val="00802D94"/>
    <w:rsid w:val="00802DD1"/>
    <w:rsid w:val="008035EC"/>
    <w:rsid w:val="00803855"/>
    <w:rsid w:val="00804022"/>
    <w:rsid w:val="00804982"/>
    <w:rsid w:val="00805858"/>
    <w:rsid w:val="00805C8E"/>
    <w:rsid w:val="008075C0"/>
    <w:rsid w:val="00810B4B"/>
    <w:rsid w:val="00811CE8"/>
    <w:rsid w:val="00811FC8"/>
    <w:rsid w:val="00811FE2"/>
    <w:rsid w:val="00812A31"/>
    <w:rsid w:val="008132DF"/>
    <w:rsid w:val="00814193"/>
    <w:rsid w:val="0081531B"/>
    <w:rsid w:val="0081590D"/>
    <w:rsid w:val="00820CC3"/>
    <w:rsid w:val="00822BE6"/>
    <w:rsid w:val="00823D5E"/>
    <w:rsid w:val="00823E59"/>
    <w:rsid w:val="00823F5A"/>
    <w:rsid w:val="00824049"/>
    <w:rsid w:val="00825906"/>
    <w:rsid w:val="008269AD"/>
    <w:rsid w:val="00827135"/>
    <w:rsid w:val="00827FEF"/>
    <w:rsid w:val="00832791"/>
    <w:rsid w:val="00832CE2"/>
    <w:rsid w:val="00834487"/>
    <w:rsid w:val="00837615"/>
    <w:rsid w:val="008378D1"/>
    <w:rsid w:val="0084001D"/>
    <w:rsid w:val="00840034"/>
    <w:rsid w:val="00840C13"/>
    <w:rsid w:val="0084425A"/>
    <w:rsid w:val="00845A45"/>
    <w:rsid w:val="00846E0A"/>
    <w:rsid w:val="00847B32"/>
    <w:rsid w:val="008501C4"/>
    <w:rsid w:val="00850555"/>
    <w:rsid w:val="008509AF"/>
    <w:rsid w:val="008511F5"/>
    <w:rsid w:val="00851DE0"/>
    <w:rsid w:val="00852760"/>
    <w:rsid w:val="00852767"/>
    <w:rsid w:val="00853E58"/>
    <w:rsid w:val="0085410B"/>
    <w:rsid w:val="00854486"/>
    <w:rsid w:val="008547FD"/>
    <w:rsid w:val="00854835"/>
    <w:rsid w:val="00854C9A"/>
    <w:rsid w:val="00856250"/>
    <w:rsid w:val="00857B89"/>
    <w:rsid w:val="00861E18"/>
    <w:rsid w:val="00863081"/>
    <w:rsid w:val="00863F6C"/>
    <w:rsid w:val="00866068"/>
    <w:rsid w:val="00867B38"/>
    <w:rsid w:val="00870988"/>
    <w:rsid w:val="0087125B"/>
    <w:rsid w:val="0087235F"/>
    <w:rsid w:val="00872495"/>
    <w:rsid w:val="00872C84"/>
    <w:rsid w:val="008732DD"/>
    <w:rsid w:val="00874DAC"/>
    <w:rsid w:val="008750AF"/>
    <w:rsid w:val="00875E11"/>
    <w:rsid w:val="008774F0"/>
    <w:rsid w:val="008801DD"/>
    <w:rsid w:val="0088190B"/>
    <w:rsid w:val="00881FD0"/>
    <w:rsid w:val="008826C5"/>
    <w:rsid w:val="008848A0"/>
    <w:rsid w:val="008868E4"/>
    <w:rsid w:val="0088780E"/>
    <w:rsid w:val="00887A93"/>
    <w:rsid w:val="00887CA4"/>
    <w:rsid w:val="00890A5A"/>
    <w:rsid w:val="00892FAA"/>
    <w:rsid w:val="00893D5F"/>
    <w:rsid w:val="008946BA"/>
    <w:rsid w:val="00895231"/>
    <w:rsid w:val="00895676"/>
    <w:rsid w:val="00896551"/>
    <w:rsid w:val="00897647"/>
    <w:rsid w:val="008978E8"/>
    <w:rsid w:val="008A0027"/>
    <w:rsid w:val="008A149F"/>
    <w:rsid w:val="008A1566"/>
    <w:rsid w:val="008A1D33"/>
    <w:rsid w:val="008A4873"/>
    <w:rsid w:val="008A4DB8"/>
    <w:rsid w:val="008A52C3"/>
    <w:rsid w:val="008A557D"/>
    <w:rsid w:val="008A5B0F"/>
    <w:rsid w:val="008A64F7"/>
    <w:rsid w:val="008A6795"/>
    <w:rsid w:val="008A6D56"/>
    <w:rsid w:val="008B006C"/>
    <w:rsid w:val="008B07D5"/>
    <w:rsid w:val="008B0EBE"/>
    <w:rsid w:val="008B28FA"/>
    <w:rsid w:val="008B3EF9"/>
    <w:rsid w:val="008B44E5"/>
    <w:rsid w:val="008B4CC1"/>
    <w:rsid w:val="008B5A30"/>
    <w:rsid w:val="008B6996"/>
    <w:rsid w:val="008B79B2"/>
    <w:rsid w:val="008C0018"/>
    <w:rsid w:val="008C0A6D"/>
    <w:rsid w:val="008C0A80"/>
    <w:rsid w:val="008C15CE"/>
    <w:rsid w:val="008C2142"/>
    <w:rsid w:val="008C2C6A"/>
    <w:rsid w:val="008C5C79"/>
    <w:rsid w:val="008C6C5C"/>
    <w:rsid w:val="008C7828"/>
    <w:rsid w:val="008C7CF6"/>
    <w:rsid w:val="008D037D"/>
    <w:rsid w:val="008D0599"/>
    <w:rsid w:val="008D09DD"/>
    <w:rsid w:val="008D152D"/>
    <w:rsid w:val="008D2563"/>
    <w:rsid w:val="008D2929"/>
    <w:rsid w:val="008D3ECB"/>
    <w:rsid w:val="008D5020"/>
    <w:rsid w:val="008D618F"/>
    <w:rsid w:val="008D7502"/>
    <w:rsid w:val="008D7959"/>
    <w:rsid w:val="008D7E27"/>
    <w:rsid w:val="008D7F74"/>
    <w:rsid w:val="008E02C7"/>
    <w:rsid w:val="008E0593"/>
    <w:rsid w:val="008E12AF"/>
    <w:rsid w:val="008E1FCC"/>
    <w:rsid w:val="008E2094"/>
    <w:rsid w:val="008E2ABB"/>
    <w:rsid w:val="008E308E"/>
    <w:rsid w:val="008E4185"/>
    <w:rsid w:val="008E4623"/>
    <w:rsid w:val="008E7BB4"/>
    <w:rsid w:val="008F0B4C"/>
    <w:rsid w:val="008F1213"/>
    <w:rsid w:val="008F1660"/>
    <w:rsid w:val="008F2371"/>
    <w:rsid w:val="008F3CB1"/>
    <w:rsid w:val="008F3D76"/>
    <w:rsid w:val="008F6A4F"/>
    <w:rsid w:val="008F736F"/>
    <w:rsid w:val="00902A2D"/>
    <w:rsid w:val="00905B13"/>
    <w:rsid w:val="00906A58"/>
    <w:rsid w:val="00906AE2"/>
    <w:rsid w:val="00906D38"/>
    <w:rsid w:val="009071C8"/>
    <w:rsid w:val="00907D0A"/>
    <w:rsid w:val="009107F9"/>
    <w:rsid w:val="00910DDD"/>
    <w:rsid w:val="00911187"/>
    <w:rsid w:val="00913A9E"/>
    <w:rsid w:val="00914BFA"/>
    <w:rsid w:val="0091627B"/>
    <w:rsid w:val="0091705C"/>
    <w:rsid w:val="00917351"/>
    <w:rsid w:val="009176A5"/>
    <w:rsid w:val="0091792C"/>
    <w:rsid w:val="00917C1C"/>
    <w:rsid w:val="0092045C"/>
    <w:rsid w:val="00920466"/>
    <w:rsid w:val="00921214"/>
    <w:rsid w:val="00921D4C"/>
    <w:rsid w:val="00922FE2"/>
    <w:rsid w:val="009235CE"/>
    <w:rsid w:val="00923CD9"/>
    <w:rsid w:val="00923EA0"/>
    <w:rsid w:val="00924892"/>
    <w:rsid w:val="009248AD"/>
    <w:rsid w:val="00925E77"/>
    <w:rsid w:val="009262A3"/>
    <w:rsid w:val="00926C87"/>
    <w:rsid w:val="00926E35"/>
    <w:rsid w:val="00927014"/>
    <w:rsid w:val="00927148"/>
    <w:rsid w:val="00930502"/>
    <w:rsid w:val="0093064E"/>
    <w:rsid w:val="00930678"/>
    <w:rsid w:val="00930ACC"/>
    <w:rsid w:val="00930C38"/>
    <w:rsid w:val="00930E2C"/>
    <w:rsid w:val="00931CE8"/>
    <w:rsid w:val="0093232A"/>
    <w:rsid w:val="009325B0"/>
    <w:rsid w:val="0093271F"/>
    <w:rsid w:val="00932A0C"/>
    <w:rsid w:val="00932F00"/>
    <w:rsid w:val="00933BD3"/>
    <w:rsid w:val="00933E9D"/>
    <w:rsid w:val="00934756"/>
    <w:rsid w:val="009400BA"/>
    <w:rsid w:val="009400FC"/>
    <w:rsid w:val="009421B6"/>
    <w:rsid w:val="009421D9"/>
    <w:rsid w:val="0094235D"/>
    <w:rsid w:val="00942C28"/>
    <w:rsid w:val="00942C5B"/>
    <w:rsid w:val="009446D7"/>
    <w:rsid w:val="00946D99"/>
    <w:rsid w:val="00950570"/>
    <w:rsid w:val="00951FFD"/>
    <w:rsid w:val="009528C7"/>
    <w:rsid w:val="00953A9D"/>
    <w:rsid w:val="00955A99"/>
    <w:rsid w:val="00956141"/>
    <w:rsid w:val="00956430"/>
    <w:rsid w:val="00956EE1"/>
    <w:rsid w:val="009577BE"/>
    <w:rsid w:val="00957977"/>
    <w:rsid w:val="009634F7"/>
    <w:rsid w:val="00963BFA"/>
    <w:rsid w:val="00964AF8"/>
    <w:rsid w:val="00965592"/>
    <w:rsid w:val="00965CA8"/>
    <w:rsid w:val="0096748D"/>
    <w:rsid w:val="0096765B"/>
    <w:rsid w:val="00967CBC"/>
    <w:rsid w:val="0097022D"/>
    <w:rsid w:val="00970BAE"/>
    <w:rsid w:val="00971516"/>
    <w:rsid w:val="00972CDE"/>
    <w:rsid w:val="009731F7"/>
    <w:rsid w:val="00974FBD"/>
    <w:rsid w:val="009776A2"/>
    <w:rsid w:val="00980757"/>
    <w:rsid w:val="00980C40"/>
    <w:rsid w:val="00981B58"/>
    <w:rsid w:val="00981C91"/>
    <w:rsid w:val="00982404"/>
    <w:rsid w:val="00983426"/>
    <w:rsid w:val="00983F32"/>
    <w:rsid w:val="009840CC"/>
    <w:rsid w:val="0098445B"/>
    <w:rsid w:val="0098555A"/>
    <w:rsid w:val="00987182"/>
    <w:rsid w:val="009872FC"/>
    <w:rsid w:val="009879FB"/>
    <w:rsid w:val="00990D46"/>
    <w:rsid w:val="00991D59"/>
    <w:rsid w:val="009937DA"/>
    <w:rsid w:val="00993849"/>
    <w:rsid w:val="00994FE9"/>
    <w:rsid w:val="00995911"/>
    <w:rsid w:val="009A0848"/>
    <w:rsid w:val="009A14E4"/>
    <w:rsid w:val="009A19BC"/>
    <w:rsid w:val="009A238F"/>
    <w:rsid w:val="009A343B"/>
    <w:rsid w:val="009A3C20"/>
    <w:rsid w:val="009A3CBA"/>
    <w:rsid w:val="009A71EB"/>
    <w:rsid w:val="009A72C0"/>
    <w:rsid w:val="009A7456"/>
    <w:rsid w:val="009A74BB"/>
    <w:rsid w:val="009B019A"/>
    <w:rsid w:val="009B18DF"/>
    <w:rsid w:val="009B18F2"/>
    <w:rsid w:val="009B256D"/>
    <w:rsid w:val="009B2CD6"/>
    <w:rsid w:val="009B3081"/>
    <w:rsid w:val="009B43D0"/>
    <w:rsid w:val="009B4A04"/>
    <w:rsid w:val="009B5236"/>
    <w:rsid w:val="009B5621"/>
    <w:rsid w:val="009B5D4E"/>
    <w:rsid w:val="009B6F3B"/>
    <w:rsid w:val="009C02E3"/>
    <w:rsid w:val="009C07D6"/>
    <w:rsid w:val="009C0DA6"/>
    <w:rsid w:val="009C14D6"/>
    <w:rsid w:val="009C1A83"/>
    <w:rsid w:val="009C1F6D"/>
    <w:rsid w:val="009C6405"/>
    <w:rsid w:val="009C6968"/>
    <w:rsid w:val="009C6D3D"/>
    <w:rsid w:val="009D0CB6"/>
    <w:rsid w:val="009D0D22"/>
    <w:rsid w:val="009D2225"/>
    <w:rsid w:val="009D2A4E"/>
    <w:rsid w:val="009D2C1F"/>
    <w:rsid w:val="009D438D"/>
    <w:rsid w:val="009D4C3B"/>
    <w:rsid w:val="009D5542"/>
    <w:rsid w:val="009D5D80"/>
    <w:rsid w:val="009D70DA"/>
    <w:rsid w:val="009D762A"/>
    <w:rsid w:val="009E318C"/>
    <w:rsid w:val="009E31A4"/>
    <w:rsid w:val="009E4D84"/>
    <w:rsid w:val="009E56AF"/>
    <w:rsid w:val="009E5C78"/>
    <w:rsid w:val="009E5F7D"/>
    <w:rsid w:val="009F075F"/>
    <w:rsid w:val="009F1544"/>
    <w:rsid w:val="009F1680"/>
    <w:rsid w:val="009F22A0"/>
    <w:rsid w:val="009F26B2"/>
    <w:rsid w:val="009F3AC9"/>
    <w:rsid w:val="009F3CF1"/>
    <w:rsid w:val="009F3F14"/>
    <w:rsid w:val="009F556F"/>
    <w:rsid w:val="009F59FA"/>
    <w:rsid w:val="009F7FE4"/>
    <w:rsid w:val="00A00AB4"/>
    <w:rsid w:val="00A04515"/>
    <w:rsid w:val="00A0600E"/>
    <w:rsid w:val="00A064E2"/>
    <w:rsid w:val="00A068BA"/>
    <w:rsid w:val="00A102E9"/>
    <w:rsid w:val="00A10C8D"/>
    <w:rsid w:val="00A11194"/>
    <w:rsid w:val="00A112E1"/>
    <w:rsid w:val="00A134D1"/>
    <w:rsid w:val="00A14E7D"/>
    <w:rsid w:val="00A15069"/>
    <w:rsid w:val="00A15194"/>
    <w:rsid w:val="00A2110E"/>
    <w:rsid w:val="00A22032"/>
    <w:rsid w:val="00A223A7"/>
    <w:rsid w:val="00A226C2"/>
    <w:rsid w:val="00A233D3"/>
    <w:rsid w:val="00A24591"/>
    <w:rsid w:val="00A245BA"/>
    <w:rsid w:val="00A24BFF"/>
    <w:rsid w:val="00A25896"/>
    <w:rsid w:val="00A26C42"/>
    <w:rsid w:val="00A27868"/>
    <w:rsid w:val="00A27980"/>
    <w:rsid w:val="00A315FB"/>
    <w:rsid w:val="00A3178D"/>
    <w:rsid w:val="00A318E5"/>
    <w:rsid w:val="00A34273"/>
    <w:rsid w:val="00A37F27"/>
    <w:rsid w:val="00A4050D"/>
    <w:rsid w:val="00A4065D"/>
    <w:rsid w:val="00A42F9D"/>
    <w:rsid w:val="00A43CA9"/>
    <w:rsid w:val="00A46DA1"/>
    <w:rsid w:val="00A46F69"/>
    <w:rsid w:val="00A47343"/>
    <w:rsid w:val="00A47506"/>
    <w:rsid w:val="00A47F91"/>
    <w:rsid w:val="00A50534"/>
    <w:rsid w:val="00A50C30"/>
    <w:rsid w:val="00A512A8"/>
    <w:rsid w:val="00A517B1"/>
    <w:rsid w:val="00A5263A"/>
    <w:rsid w:val="00A5382B"/>
    <w:rsid w:val="00A53FCC"/>
    <w:rsid w:val="00A546B2"/>
    <w:rsid w:val="00A55358"/>
    <w:rsid w:val="00A553F7"/>
    <w:rsid w:val="00A556AA"/>
    <w:rsid w:val="00A56F2F"/>
    <w:rsid w:val="00A61F0D"/>
    <w:rsid w:val="00A629D5"/>
    <w:rsid w:val="00A63FE4"/>
    <w:rsid w:val="00A6614A"/>
    <w:rsid w:val="00A67086"/>
    <w:rsid w:val="00A67FE0"/>
    <w:rsid w:val="00A70979"/>
    <w:rsid w:val="00A70D65"/>
    <w:rsid w:val="00A70F64"/>
    <w:rsid w:val="00A71858"/>
    <w:rsid w:val="00A7365A"/>
    <w:rsid w:val="00A7464E"/>
    <w:rsid w:val="00A74EE0"/>
    <w:rsid w:val="00A753CA"/>
    <w:rsid w:val="00A75BC8"/>
    <w:rsid w:val="00A7627B"/>
    <w:rsid w:val="00A77002"/>
    <w:rsid w:val="00A77AC6"/>
    <w:rsid w:val="00A77FB2"/>
    <w:rsid w:val="00A82323"/>
    <w:rsid w:val="00A836B6"/>
    <w:rsid w:val="00A84EF4"/>
    <w:rsid w:val="00A85EF2"/>
    <w:rsid w:val="00A86663"/>
    <w:rsid w:val="00A86B3A"/>
    <w:rsid w:val="00A86D6B"/>
    <w:rsid w:val="00A874E1"/>
    <w:rsid w:val="00A915D0"/>
    <w:rsid w:val="00A9365C"/>
    <w:rsid w:val="00A95175"/>
    <w:rsid w:val="00A954C9"/>
    <w:rsid w:val="00A9594D"/>
    <w:rsid w:val="00A95E68"/>
    <w:rsid w:val="00A9650B"/>
    <w:rsid w:val="00A96727"/>
    <w:rsid w:val="00A97857"/>
    <w:rsid w:val="00A97DDB"/>
    <w:rsid w:val="00AA07EB"/>
    <w:rsid w:val="00AA2808"/>
    <w:rsid w:val="00AA42C3"/>
    <w:rsid w:val="00AA58E5"/>
    <w:rsid w:val="00AA60AB"/>
    <w:rsid w:val="00AA6FD9"/>
    <w:rsid w:val="00AB0872"/>
    <w:rsid w:val="00AB32D0"/>
    <w:rsid w:val="00AB32F1"/>
    <w:rsid w:val="00AB3761"/>
    <w:rsid w:val="00AB3FB6"/>
    <w:rsid w:val="00AB61BA"/>
    <w:rsid w:val="00AB6407"/>
    <w:rsid w:val="00AB7938"/>
    <w:rsid w:val="00AB7C58"/>
    <w:rsid w:val="00AB7D68"/>
    <w:rsid w:val="00AC0294"/>
    <w:rsid w:val="00AC0A5F"/>
    <w:rsid w:val="00AC0ACB"/>
    <w:rsid w:val="00AC0B86"/>
    <w:rsid w:val="00AC0B89"/>
    <w:rsid w:val="00AC18DF"/>
    <w:rsid w:val="00AC1F1B"/>
    <w:rsid w:val="00AC59A3"/>
    <w:rsid w:val="00AC5D09"/>
    <w:rsid w:val="00AC6B46"/>
    <w:rsid w:val="00AC6DF5"/>
    <w:rsid w:val="00AC74A1"/>
    <w:rsid w:val="00AC74E0"/>
    <w:rsid w:val="00AC7F5B"/>
    <w:rsid w:val="00AD0A10"/>
    <w:rsid w:val="00AD2175"/>
    <w:rsid w:val="00AD290B"/>
    <w:rsid w:val="00AD29D1"/>
    <w:rsid w:val="00AD2D2A"/>
    <w:rsid w:val="00AD2FDE"/>
    <w:rsid w:val="00AD315E"/>
    <w:rsid w:val="00AD372F"/>
    <w:rsid w:val="00AD4EEC"/>
    <w:rsid w:val="00AD5ACE"/>
    <w:rsid w:val="00AD5BD8"/>
    <w:rsid w:val="00AD669B"/>
    <w:rsid w:val="00AD7509"/>
    <w:rsid w:val="00AE06E6"/>
    <w:rsid w:val="00AE0988"/>
    <w:rsid w:val="00AE0B49"/>
    <w:rsid w:val="00AE1AC0"/>
    <w:rsid w:val="00AE209D"/>
    <w:rsid w:val="00AE2A6E"/>
    <w:rsid w:val="00AF04AC"/>
    <w:rsid w:val="00AF0DC6"/>
    <w:rsid w:val="00AF3C19"/>
    <w:rsid w:val="00AF3C42"/>
    <w:rsid w:val="00AF4A94"/>
    <w:rsid w:val="00AF4E3C"/>
    <w:rsid w:val="00AF57A5"/>
    <w:rsid w:val="00AF5822"/>
    <w:rsid w:val="00AF5C9D"/>
    <w:rsid w:val="00AF5DB6"/>
    <w:rsid w:val="00AF5FE1"/>
    <w:rsid w:val="00AF64B8"/>
    <w:rsid w:val="00B00977"/>
    <w:rsid w:val="00B00D79"/>
    <w:rsid w:val="00B02BB9"/>
    <w:rsid w:val="00B03E2A"/>
    <w:rsid w:val="00B04665"/>
    <w:rsid w:val="00B057F6"/>
    <w:rsid w:val="00B06140"/>
    <w:rsid w:val="00B065EA"/>
    <w:rsid w:val="00B07242"/>
    <w:rsid w:val="00B07873"/>
    <w:rsid w:val="00B101BF"/>
    <w:rsid w:val="00B10383"/>
    <w:rsid w:val="00B13167"/>
    <w:rsid w:val="00B131B2"/>
    <w:rsid w:val="00B138B6"/>
    <w:rsid w:val="00B14704"/>
    <w:rsid w:val="00B147CB"/>
    <w:rsid w:val="00B1686D"/>
    <w:rsid w:val="00B1716C"/>
    <w:rsid w:val="00B171B3"/>
    <w:rsid w:val="00B221A5"/>
    <w:rsid w:val="00B23693"/>
    <w:rsid w:val="00B250B1"/>
    <w:rsid w:val="00B26525"/>
    <w:rsid w:val="00B26E22"/>
    <w:rsid w:val="00B2770D"/>
    <w:rsid w:val="00B30148"/>
    <w:rsid w:val="00B3042B"/>
    <w:rsid w:val="00B319EE"/>
    <w:rsid w:val="00B32115"/>
    <w:rsid w:val="00B34CD5"/>
    <w:rsid w:val="00B3563A"/>
    <w:rsid w:val="00B35696"/>
    <w:rsid w:val="00B361A9"/>
    <w:rsid w:val="00B3774E"/>
    <w:rsid w:val="00B37888"/>
    <w:rsid w:val="00B41E68"/>
    <w:rsid w:val="00B42CF6"/>
    <w:rsid w:val="00B44B9F"/>
    <w:rsid w:val="00B451AE"/>
    <w:rsid w:val="00B466EC"/>
    <w:rsid w:val="00B50ED2"/>
    <w:rsid w:val="00B510D7"/>
    <w:rsid w:val="00B51A35"/>
    <w:rsid w:val="00B52DF7"/>
    <w:rsid w:val="00B5317B"/>
    <w:rsid w:val="00B53E0D"/>
    <w:rsid w:val="00B55BE2"/>
    <w:rsid w:val="00B56BE0"/>
    <w:rsid w:val="00B56F74"/>
    <w:rsid w:val="00B5774F"/>
    <w:rsid w:val="00B57AB6"/>
    <w:rsid w:val="00B62E21"/>
    <w:rsid w:val="00B64B2B"/>
    <w:rsid w:val="00B64CB7"/>
    <w:rsid w:val="00B66947"/>
    <w:rsid w:val="00B66C23"/>
    <w:rsid w:val="00B670CB"/>
    <w:rsid w:val="00B67F57"/>
    <w:rsid w:val="00B71D14"/>
    <w:rsid w:val="00B72723"/>
    <w:rsid w:val="00B733D6"/>
    <w:rsid w:val="00B73A4C"/>
    <w:rsid w:val="00B73F43"/>
    <w:rsid w:val="00B74B10"/>
    <w:rsid w:val="00B75370"/>
    <w:rsid w:val="00B7793E"/>
    <w:rsid w:val="00B77F1C"/>
    <w:rsid w:val="00B81077"/>
    <w:rsid w:val="00B815CF"/>
    <w:rsid w:val="00B834F0"/>
    <w:rsid w:val="00B845D4"/>
    <w:rsid w:val="00B858A3"/>
    <w:rsid w:val="00B85D40"/>
    <w:rsid w:val="00B86813"/>
    <w:rsid w:val="00B86A23"/>
    <w:rsid w:val="00B90087"/>
    <w:rsid w:val="00B92936"/>
    <w:rsid w:val="00B92D4C"/>
    <w:rsid w:val="00B9312B"/>
    <w:rsid w:val="00B9319A"/>
    <w:rsid w:val="00B93852"/>
    <w:rsid w:val="00B96141"/>
    <w:rsid w:val="00B9654E"/>
    <w:rsid w:val="00BA025D"/>
    <w:rsid w:val="00BA0533"/>
    <w:rsid w:val="00BA0A17"/>
    <w:rsid w:val="00BA0A8D"/>
    <w:rsid w:val="00BA174A"/>
    <w:rsid w:val="00BA1C6E"/>
    <w:rsid w:val="00BA20DC"/>
    <w:rsid w:val="00BA5940"/>
    <w:rsid w:val="00BA5CFC"/>
    <w:rsid w:val="00BB09E8"/>
    <w:rsid w:val="00BB15F2"/>
    <w:rsid w:val="00BB1E3B"/>
    <w:rsid w:val="00BB55D1"/>
    <w:rsid w:val="00BB69C9"/>
    <w:rsid w:val="00BC04C1"/>
    <w:rsid w:val="00BC2652"/>
    <w:rsid w:val="00BC269E"/>
    <w:rsid w:val="00BC3138"/>
    <w:rsid w:val="00BC4ABF"/>
    <w:rsid w:val="00BC6433"/>
    <w:rsid w:val="00BC65D0"/>
    <w:rsid w:val="00BD0800"/>
    <w:rsid w:val="00BD0D44"/>
    <w:rsid w:val="00BD3CA8"/>
    <w:rsid w:val="00BD41C1"/>
    <w:rsid w:val="00BD5DE6"/>
    <w:rsid w:val="00BD67AE"/>
    <w:rsid w:val="00BD7602"/>
    <w:rsid w:val="00BD7C4A"/>
    <w:rsid w:val="00BD7DD8"/>
    <w:rsid w:val="00BE154A"/>
    <w:rsid w:val="00BE38B7"/>
    <w:rsid w:val="00BE5462"/>
    <w:rsid w:val="00BE5EC3"/>
    <w:rsid w:val="00BE6FBD"/>
    <w:rsid w:val="00BE7A86"/>
    <w:rsid w:val="00BE7FA0"/>
    <w:rsid w:val="00BF0CA9"/>
    <w:rsid w:val="00BF160A"/>
    <w:rsid w:val="00BF1844"/>
    <w:rsid w:val="00BF2798"/>
    <w:rsid w:val="00BF45A6"/>
    <w:rsid w:val="00BF5BD1"/>
    <w:rsid w:val="00BF5DCE"/>
    <w:rsid w:val="00BF6856"/>
    <w:rsid w:val="00BF789B"/>
    <w:rsid w:val="00C00073"/>
    <w:rsid w:val="00C0012E"/>
    <w:rsid w:val="00C006C8"/>
    <w:rsid w:val="00C03FCE"/>
    <w:rsid w:val="00C0470C"/>
    <w:rsid w:val="00C04A0D"/>
    <w:rsid w:val="00C05574"/>
    <w:rsid w:val="00C06DCF"/>
    <w:rsid w:val="00C06F9D"/>
    <w:rsid w:val="00C1087C"/>
    <w:rsid w:val="00C127A5"/>
    <w:rsid w:val="00C1435A"/>
    <w:rsid w:val="00C14993"/>
    <w:rsid w:val="00C167E3"/>
    <w:rsid w:val="00C16B7B"/>
    <w:rsid w:val="00C1744D"/>
    <w:rsid w:val="00C17893"/>
    <w:rsid w:val="00C20169"/>
    <w:rsid w:val="00C202FC"/>
    <w:rsid w:val="00C20C8D"/>
    <w:rsid w:val="00C20F9D"/>
    <w:rsid w:val="00C213E0"/>
    <w:rsid w:val="00C22F7A"/>
    <w:rsid w:val="00C23084"/>
    <w:rsid w:val="00C257F3"/>
    <w:rsid w:val="00C26B91"/>
    <w:rsid w:val="00C26F23"/>
    <w:rsid w:val="00C27CEE"/>
    <w:rsid w:val="00C305CE"/>
    <w:rsid w:val="00C31CE3"/>
    <w:rsid w:val="00C32CD2"/>
    <w:rsid w:val="00C34977"/>
    <w:rsid w:val="00C356BE"/>
    <w:rsid w:val="00C371D6"/>
    <w:rsid w:val="00C3728B"/>
    <w:rsid w:val="00C37C00"/>
    <w:rsid w:val="00C40A96"/>
    <w:rsid w:val="00C416E6"/>
    <w:rsid w:val="00C42728"/>
    <w:rsid w:val="00C42823"/>
    <w:rsid w:val="00C4328B"/>
    <w:rsid w:val="00C447D2"/>
    <w:rsid w:val="00C44820"/>
    <w:rsid w:val="00C45091"/>
    <w:rsid w:val="00C4528F"/>
    <w:rsid w:val="00C46964"/>
    <w:rsid w:val="00C47003"/>
    <w:rsid w:val="00C4715F"/>
    <w:rsid w:val="00C471E9"/>
    <w:rsid w:val="00C4724D"/>
    <w:rsid w:val="00C50344"/>
    <w:rsid w:val="00C509A1"/>
    <w:rsid w:val="00C52278"/>
    <w:rsid w:val="00C52BD0"/>
    <w:rsid w:val="00C540ED"/>
    <w:rsid w:val="00C54411"/>
    <w:rsid w:val="00C54C7F"/>
    <w:rsid w:val="00C5752D"/>
    <w:rsid w:val="00C57851"/>
    <w:rsid w:val="00C57AE9"/>
    <w:rsid w:val="00C614E8"/>
    <w:rsid w:val="00C619DA"/>
    <w:rsid w:val="00C62A91"/>
    <w:rsid w:val="00C63D4E"/>
    <w:rsid w:val="00C64718"/>
    <w:rsid w:val="00C64BAA"/>
    <w:rsid w:val="00C64D86"/>
    <w:rsid w:val="00C65E78"/>
    <w:rsid w:val="00C66AE6"/>
    <w:rsid w:val="00C6723F"/>
    <w:rsid w:val="00C67945"/>
    <w:rsid w:val="00C71585"/>
    <w:rsid w:val="00C71E7E"/>
    <w:rsid w:val="00C72459"/>
    <w:rsid w:val="00C73549"/>
    <w:rsid w:val="00C74E7D"/>
    <w:rsid w:val="00C74E93"/>
    <w:rsid w:val="00C76992"/>
    <w:rsid w:val="00C77EB3"/>
    <w:rsid w:val="00C810F6"/>
    <w:rsid w:val="00C8243D"/>
    <w:rsid w:val="00C82B87"/>
    <w:rsid w:val="00C85B9E"/>
    <w:rsid w:val="00C87DDF"/>
    <w:rsid w:val="00C92038"/>
    <w:rsid w:val="00C94145"/>
    <w:rsid w:val="00C94F12"/>
    <w:rsid w:val="00C9532A"/>
    <w:rsid w:val="00C96C6A"/>
    <w:rsid w:val="00CA3897"/>
    <w:rsid w:val="00CA3E98"/>
    <w:rsid w:val="00CA487E"/>
    <w:rsid w:val="00CA5392"/>
    <w:rsid w:val="00CA6DFB"/>
    <w:rsid w:val="00CB0598"/>
    <w:rsid w:val="00CB0FB9"/>
    <w:rsid w:val="00CB35B7"/>
    <w:rsid w:val="00CB3EA1"/>
    <w:rsid w:val="00CB42D3"/>
    <w:rsid w:val="00CB4B25"/>
    <w:rsid w:val="00CB5CBD"/>
    <w:rsid w:val="00CB6A27"/>
    <w:rsid w:val="00CB6A9B"/>
    <w:rsid w:val="00CB7E62"/>
    <w:rsid w:val="00CC0CCA"/>
    <w:rsid w:val="00CC0DB8"/>
    <w:rsid w:val="00CC138D"/>
    <w:rsid w:val="00CC3E2A"/>
    <w:rsid w:val="00CC4235"/>
    <w:rsid w:val="00CC4C35"/>
    <w:rsid w:val="00CC5791"/>
    <w:rsid w:val="00CC61D1"/>
    <w:rsid w:val="00CC6D54"/>
    <w:rsid w:val="00CC75E3"/>
    <w:rsid w:val="00CD127F"/>
    <w:rsid w:val="00CD3B42"/>
    <w:rsid w:val="00CD4B29"/>
    <w:rsid w:val="00CD5361"/>
    <w:rsid w:val="00CD6F53"/>
    <w:rsid w:val="00CD739E"/>
    <w:rsid w:val="00CE003B"/>
    <w:rsid w:val="00CE007F"/>
    <w:rsid w:val="00CE09DB"/>
    <w:rsid w:val="00CE0F80"/>
    <w:rsid w:val="00CE1DBB"/>
    <w:rsid w:val="00CE2051"/>
    <w:rsid w:val="00CE2351"/>
    <w:rsid w:val="00CE2356"/>
    <w:rsid w:val="00CE345C"/>
    <w:rsid w:val="00CE449C"/>
    <w:rsid w:val="00CE4FB4"/>
    <w:rsid w:val="00CE51D4"/>
    <w:rsid w:val="00CE5342"/>
    <w:rsid w:val="00CE6D14"/>
    <w:rsid w:val="00CF0FBA"/>
    <w:rsid w:val="00CF1DC5"/>
    <w:rsid w:val="00CF2308"/>
    <w:rsid w:val="00CF3087"/>
    <w:rsid w:val="00CF64CF"/>
    <w:rsid w:val="00CF7D9F"/>
    <w:rsid w:val="00D01715"/>
    <w:rsid w:val="00D0182D"/>
    <w:rsid w:val="00D0189F"/>
    <w:rsid w:val="00D018F6"/>
    <w:rsid w:val="00D02AE2"/>
    <w:rsid w:val="00D03648"/>
    <w:rsid w:val="00D05444"/>
    <w:rsid w:val="00D054FE"/>
    <w:rsid w:val="00D0595E"/>
    <w:rsid w:val="00D07182"/>
    <w:rsid w:val="00D072CA"/>
    <w:rsid w:val="00D07533"/>
    <w:rsid w:val="00D076D4"/>
    <w:rsid w:val="00D10B1D"/>
    <w:rsid w:val="00D113AF"/>
    <w:rsid w:val="00D1160F"/>
    <w:rsid w:val="00D118D1"/>
    <w:rsid w:val="00D12A28"/>
    <w:rsid w:val="00D12C9F"/>
    <w:rsid w:val="00D12CD5"/>
    <w:rsid w:val="00D1614B"/>
    <w:rsid w:val="00D17B84"/>
    <w:rsid w:val="00D17F09"/>
    <w:rsid w:val="00D20529"/>
    <w:rsid w:val="00D205D6"/>
    <w:rsid w:val="00D20772"/>
    <w:rsid w:val="00D21BAE"/>
    <w:rsid w:val="00D23B9D"/>
    <w:rsid w:val="00D244DA"/>
    <w:rsid w:val="00D25683"/>
    <w:rsid w:val="00D26AB8"/>
    <w:rsid w:val="00D2754A"/>
    <w:rsid w:val="00D31D33"/>
    <w:rsid w:val="00D328F6"/>
    <w:rsid w:val="00D32C24"/>
    <w:rsid w:val="00D32EF5"/>
    <w:rsid w:val="00D3407E"/>
    <w:rsid w:val="00D358C0"/>
    <w:rsid w:val="00D36EEA"/>
    <w:rsid w:val="00D379BC"/>
    <w:rsid w:val="00D42B10"/>
    <w:rsid w:val="00D42BF6"/>
    <w:rsid w:val="00D44813"/>
    <w:rsid w:val="00D44D7F"/>
    <w:rsid w:val="00D455CE"/>
    <w:rsid w:val="00D455CF"/>
    <w:rsid w:val="00D47271"/>
    <w:rsid w:val="00D47463"/>
    <w:rsid w:val="00D47F3F"/>
    <w:rsid w:val="00D50352"/>
    <w:rsid w:val="00D515C9"/>
    <w:rsid w:val="00D519B3"/>
    <w:rsid w:val="00D522A4"/>
    <w:rsid w:val="00D5236F"/>
    <w:rsid w:val="00D5324D"/>
    <w:rsid w:val="00D5370A"/>
    <w:rsid w:val="00D53B8E"/>
    <w:rsid w:val="00D54228"/>
    <w:rsid w:val="00D54B4F"/>
    <w:rsid w:val="00D54BFC"/>
    <w:rsid w:val="00D55A07"/>
    <w:rsid w:val="00D56190"/>
    <w:rsid w:val="00D56DD0"/>
    <w:rsid w:val="00D57FA5"/>
    <w:rsid w:val="00D60BF7"/>
    <w:rsid w:val="00D611BF"/>
    <w:rsid w:val="00D61E03"/>
    <w:rsid w:val="00D63F04"/>
    <w:rsid w:val="00D66905"/>
    <w:rsid w:val="00D701B0"/>
    <w:rsid w:val="00D7081B"/>
    <w:rsid w:val="00D7098F"/>
    <w:rsid w:val="00D70DA1"/>
    <w:rsid w:val="00D710DE"/>
    <w:rsid w:val="00D71B6A"/>
    <w:rsid w:val="00D71E24"/>
    <w:rsid w:val="00D72DD9"/>
    <w:rsid w:val="00D72F54"/>
    <w:rsid w:val="00D742D2"/>
    <w:rsid w:val="00D76505"/>
    <w:rsid w:val="00D77B8C"/>
    <w:rsid w:val="00D806CA"/>
    <w:rsid w:val="00D806E8"/>
    <w:rsid w:val="00D807F4"/>
    <w:rsid w:val="00D80E77"/>
    <w:rsid w:val="00D821A4"/>
    <w:rsid w:val="00D825CA"/>
    <w:rsid w:val="00D85CE5"/>
    <w:rsid w:val="00D87971"/>
    <w:rsid w:val="00D90E7F"/>
    <w:rsid w:val="00D90FD2"/>
    <w:rsid w:val="00D91524"/>
    <w:rsid w:val="00D94A48"/>
    <w:rsid w:val="00D94F7E"/>
    <w:rsid w:val="00D950E1"/>
    <w:rsid w:val="00D95473"/>
    <w:rsid w:val="00D96EAC"/>
    <w:rsid w:val="00DA16BE"/>
    <w:rsid w:val="00DA40AC"/>
    <w:rsid w:val="00DA5E71"/>
    <w:rsid w:val="00DA6C32"/>
    <w:rsid w:val="00DB0BF4"/>
    <w:rsid w:val="00DB10ED"/>
    <w:rsid w:val="00DB2CA0"/>
    <w:rsid w:val="00DB30B5"/>
    <w:rsid w:val="00DB46E4"/>
    <w:rsid w:val="00DB56BF"/>
    <w:rsid w:val="00DB6EAC"/>
    <w:rsid w:val="00DC091E"/>
    <w:rsid w:val="00DC1568"/>
    <w:rsid w:val="00DC1B9C"/>
    <w:rsid w:val="00DC6D3C"/>
    <w:rsid w:val="00DC7568"/>
    <w:rsid w:val="00DC7C3D"/>
    <w:rsid w:val="00DD0A63"/>
    <w:rsid w:val="00DD171C"/>
    <w:rsid w:val="00DD1FEC"/>
    <w:rsid w:val="00DD7BEB"/>
    <w:rsid w:val="00DE009C"/>
    <w:rsid w:val="00DE19E2"/>
    <w:rsid w:val="00DE2487"/>
    <w:rsid w:val="00DE2855"/>
    <w:rsid w:val="00DE36EA"/>
    <w:rsid w:val="00DE6CC6"/>
    <w:rsid w:val="00DE6D2D"/>
    <w:rsid w:val="00DE6FA7"/>
    <w:rsid w:val="00DE731A"/>
    <w:rsid w:val="00DE759D"/>
    <w:rsid w:val="00DE75B7"/>
    <w:rsid w:val="00DF04DE"/>
    <w:rsid w:val="00DF237E"/>
    <w:rsid w:val="00DF2E6B"/>
    <w:rsid w:val="00DF32A0"/>
    <w:rsid w:val="00DF3D96"/>
    <w:rsid w:val="00DF44D1"/>
    <w:rsid w:val="00DF5169"/>
    <w:rsid w:val="00DF6671"/>
    <w:rsid w:val="00E01055"/>
    <w:rsid w:val="00E0325E"/>
    <w:rsid w:val="00E04986"/>
    <w:rsid w:val="00E06B23"/>
    <w:rsid w:val="00E1001B"/>
    <w:rsid w:val="00E11C8F"/>
    <w:rsid w:val="00E1398A"/>
    <w:rsid w:val="00E13A1E"/>
    <w:rsid w:val="00E13D56"/>
    <w:rsid w:val="00E14907"/>
    <w:rsid w:val="00E1502E"/>
    <w:rsid w:val="00E16017"/>
    <w:rsid w:val="00E162B9"/>
    <w:rsid w:val="00E163F8"/>
    <w:rsid w:val="00E16459"/>
    <w:rsid w:val="00E16E4D"/>
    <w:rsid w:val="00E200E4"/>
    <w:rsid w:val="00E2013D"/>
    <w:rsid w:val="00E206DD"/>
    <w:rsid w:val="00E21D32"/>
    <w:rsid w:val="00E22896"/>
    <w:rsid w:val="00E25119"/>
    <w:rsid w:val="00E255CF"/>
    <w:rsid w:val="00E263B4"/>
    <w:rsid w:val="00E27671"/>
    <w:rsid w:val="00E31A44"/>
    <w:rsid w:val="00E3323F"/>
    <w:rsid w:val="00E33333"/>
    <w:rsid w:val="00E3344C"/>
    <w:rsid w:val="00E33EF8"/>
    <w:rsid w:val="00E34FC7"/>
    <w:rsid w:val="00E35A4E"/>
    <w:rsid w:val="00E361AD"/>
    <w:rsid w:val="00E36BCA"/>
    <w:rsid w:val="00E401C8"/>
    <w:rsid w:val="00E402BA"/>
    <w:rsid w:val="00E413BF"/>
    <w:rsid w:val="00E42CBF"/>
    <w:rsid w:val="00E45E85"/>
    <w:rsid w:val="00E46977"/>
    <w:rsid w:val="00E46AD3"/>
    <w:rsid w:val="00E46F1A"/>
    <w:rsid w:val="00E4703E"/>
    <w:rsid w:val="00E47912"/>
    <w:rsid w:val="00E509B7"/>
    <w:rsid w:val="00E50D65"/>
    <w:rsid w:val="00E513E7"/>
    <w:rsid w:val="00E51750"/>
    <w:rsid w:val="00E52BC8"/>
    <w:rsid w:val="00E532AE"/>
    <w:rsid w:val="00E5346D"/>
    <w:rsid w:val="00E53995"/>
    <w:rsid w:val="00E55C24"/>
    <w:rsid w:val="00E56CBD"/>
    <w:rsid w:val="00E60492"/>
    <w:rsid w:val="00E605B4"/>
    <w:rsid w:val="00E61405"/>
    <w:rsid w:val="00E61832"/>
    <w:rsid w:val="00E61E7F"/>
    <w:rsid w:val="00E63496"/>
    <w:rsid w:val="00E63A53"/>
    <w:rsid w:val="00E6439E"/>
    <w:rsid w:val="00E64B5E"/>
    <w:rsid w:val="00E70A40"/>
    <w:rsid w:val="00E70B86"/>
    <w:rsid w:val="00E714BF"/>
    <w:rsid w:val="00E71B4D"/>
    <w:rsid w:val="00E71E3D"/>
    <w:rsid w:val="00E73140"/>
    <w:rsid w:val="00E732C2"/>
    <w:rsid w:val="00E757B3"/>
    <w:rsid w:val="00E75ABD"/>
    <w:rsid w:val="00E75D21"/>
    <w:rsid w:val="00E760CC"/>
    <w:rsid w:val="00E76491"/>
    <w:rsid w:val="00E76493"/>
    <w:rsid w:val="00E76ECA"/>
    <w:rsid w:val="00E77D09"/>
    <w:rsid w:val="00E77F56"/>
    <w:rsid w:val="00E77F9A"/>
    <w:rsid w:val="00E82074"/>
    <w:rsid w:val="00E84424"/>
    <w:rsid w:val="00E8461D"/>
    <w:rsid w:val="00E85622"/>
    <w:rsid w:val="00E85834"/>
    <w:rsid w:val="00E86D87"/>
    <w:rsid w:val="00E877F1"/>
    <w:rsid w:val="00E87881"/>
    <w:rsid w:val="00E87981"/>
    <w:rsid w:val="00E936D3"/>
    <w:rsid w:val="00E937A4"/>
    <w:rsid w:val="00E93869"/>
    <w:rsid w:val="00E93C38"/>
    <w:rsid w:val="00E94594"/>
    <w:rsid w:val="00E94C03"/>
    <w:rsid w:val="00E95BF1"/>
    <w:rsid w:val="00E95E04"/>
    <w:rsid w:val="00E95F5A"/>
    <w:rsid w:val="00E96CAD"/>
    <w:rsid w:val="00E97AC8"/>
    <w:rsid w:val="00EA2127"/>
    <w:rsid w:val="00EA22D7"/>
    <w:rsid w:val="00EA2729"/>
    <w:rsid w:val="00EA31E6"/>
    <w:rsid w:val="00EA4AFB"/>
    <w:rsid w:val="00EA62B0"/>
    <w:rsid w:val="00EA6D18"/>
    <w:rsid w:val="00EA7CCA"/>
    <w:rsid w:val="00EA7D9B"/>
    <w:rsid w:val="00EB0D61"/>
    <w:rsid w:val="00EB1840"/>
    <w:rsid w:val="00EB1CCC"/>
    <w:rsid w:val="00EB20B4"/>
    <w:rsid w:val="00EB2671"/>
    <w:rsid w:val="00EB2815"/>
    <w:rsid w:val="00EB2C94"/>
    <w:rsid w:val="00EB3A59"/>
    <w:rsid w:val="00EB5F0B"/>
    <w:rsid w:val="00EB766A"/>
    <w:rsid w:val="00EB7D53"/>
    <w:rsid w:val="00EC1245"/>
    <w:rsid w:val="00EC19CE"/>
    <w:rsid w:val="00EC23DF"/>
    <w:rsid w:val="00EC3907"/>
    <w:rsid w:val="00EC4D2F"/>
    <w:rsid w:val="00EC508F"/>
    <w:rsid w:val="00EC5A21"/>
    <w:rsid w:val="00EC684A"/>
    <w:rsid w:val="00EC7808"/>
    <w:rsid w:val="00EC7A5D"/>
    <w:rsid w:val="00ED031D"/>
    <w:rsid w:val="00ED0C31"/>
    <w:rsid w:val="00ED0F6A"/>
    <w:rsid w:val="00ED2726"/>
    <w:rsid w:val="00ED2EF4"/>
    <w:rsid w:val="00ED5CA2"/>
    <w:rsid w:val="00ED6FBC"/>
    <w:rsid w:val="00ED72AB"/>
    <w:rsid w:val="00ED7AED"/>
    <w:rsid w:val="00EE1173"/>
    <w:rsid w:val="00EE1711"/>
    <w:rsid w:val="00EE1A0E"/>
    <w:rsid w:val="00EE3B2A"/>
    <w:rsid w:val="00EE6735"/>
    <w:rsid w:val="00EE69D9"/>
    <w:rsid w:val="00EF10DB"/>
    <w:rsid w:val="00EF12F5"/>
    <w:rsid w:val="00EF1430"/>
    <w:rsid w:val="00EF1701"/>
    <w:rsid w:val="00EF499D"/>
    <w:rsid w:val="00EF4E26"/>
    <w:rsid w:val="00EF66AC"/>
    <w:rsid w:val="00F00104"/>
    <w:rsid w:val="00F00512"/>
    <w:rsid w:val="00F0241D"/>
    <w:rsid w:val="00F061FF"/>
    <w:rsid w:val="00F065F5"/>
    <w:rsid w:val="00F06FE2"/>
    <w:rsid w:val="00F0712A"/>
    <w:rsid w:val="00F07577"/>
    <w:rsid w:val="00F07B54"/>
    <w:rsid w:val="00F07E7E"/>
    <w:rsid w:val="00F1086D"/>
    <w:rsid w:val="00F12815"/>
    <w:rsid w:val="00F12A39"/>
    <w:rsid w:val="00F1328E"/>
    <w:rsid w:val="00F13AD0"/>
    <w:rsid w:val="00F140C6"/>
    <w:rsid w:val="00F1454B"/>
    <w:rsid w:val="00F17972"/>
    <w:rsid w:val="00F17C78"/>
    <w:rsid w:val="00F201C1"/>
    <w:rsid w:val="00F202BD"/>
    <w:rsid w:val="00F205DD"/>
    <w:rsid w:val="00F20DB0"/>
    <w:rsid w:val="00F21247"/>
    <w:rsid w:val="00F24948"/>
    <w:rsid w:val="00F27248"/>
    <w:rsid w:val="00F2770C"/>
    <w:rsid w:val="00F30AAB"/>
    <w:rsid w:val="00F31BDA"/>
    <w:rsid w:val="00F32D99"/>
    <w:rsid w:val="00F32F4F"/>
    <w:rsid w:val="00F33BB1"/>
    <w:rsid w:val="00F33C04"/>
    <w:rsid w:val="00F348A1"/>
    <w:rsid w:val="00F36EE0"/>
    <w:rsid w:val="00F42BA5"/>
    <w:rsid w:val="00F439AC"/>
    <w:rsid w:val="00F44038"/>
    <w:rsid w:val="00F4436C"/>
    <w:rsid w:val="00F4437F"/>
    <w:rsid w:val="00F45ECE"/>
    <w:rsid w:val="00F47733"/>
    <w:rsid w:val="00F47C86"/>
    <w:rsid w:val="00F50C13"/>
    <w:rsid w:val="00F53288"/>
    <w:rsid w:val="00F53652"/>
    <w:rsid w:val="00F543DA"/>
    <w:rsid w:val="00F54DAF"/>
    <w:rsid w:val="00F55069"/>
    <w:rsid w:val="00F55D1A"/>
    <w:rsid w:val="00F567DF"/>
    <w:rsid w:val="00F5737A"/>
    <w:rsid w:val="00F6065E"/>
    <w:rsid w:val="00F60BC7"/>
    <w:rsid w:val="00F61ADC"/>
    <w:rsid w:val="00F62045"/>
    <w:rsid w:val="00F6248E"/>
    <w:rsid w:val="00F643F1"/>
    <w:rsid w:val="00F65FB0"/>
    <w:rsid w:val="00F67008"/>
    <w:rsid w:val="00F6712A"/>
    <w:rsid w:val="00F7074F"/>
    <w:rsid w:val="00F715BA"/>
    <w:rsid w:val="00F71B43"/>
    <w:rsid w:val="00F71F4C"/>
    <w:rsid w:val="00F72B62"/>
    <w:rsid w:val="00F73829"/>
    <w:rsid w:val="00F73A89"/>
    <w:rsid w:val="00F73C71"/>
    <w:rsid w:val="00F750CB"/>
    <w:rsid w:val="00F755AA"/>
    <w:rsid w:val="00F767BA"/>
    <w:rsid w:val="00F8092F"/>
    <w:rsid w:val="00F80D81"/>
    <w:rsid w:val="00F811EC"/>
    <w:rsid w:val="00F82AEC"/>
    <w:rsid w:val="00F83167"/>
    <w:rsid w:val="00F840A3"/>
    <w:rsid w:val="00F853E7"/>
    <w:rsid w:val="00F8640C"/>
    <w:rsid w:val="00F873D9"/>
    <w:rsid w:val="00F90A13"/>
    <w:rsid w:val="00F9138F"/>
    <w:rsid w:val="00F91B00"/>
    <w:rsid w:val="00F92E8E"/>
    <w:rsid w:val="00F931F4"/>
    <w:rsid w:val="00F932FF"/>
    <w:rsid w:val="00F93591"/>
    <w:rsid w:val="00F94AF6"/>
    <w:rsid w:val="00F94D7D"/>
    <w:rsid w:val="00F94DAA"/>
    <w:rsid w:val="00F954C8"/>
    <w:rsid w:val="00F96252"/>
    <w:rsid w:val="00F967B8"/>
    <w:rsid w:val="00F969E1"/>
    <w:rsid w:val="00F96AD3"/>
    <w:rsid w:val="00F970FE"/>
    <w:rsid w:val="00FA32A6"/>
    <w:rsid w:val="00FA3360"/>
    <w:rsid w:val="00FA3B2F"/>
    <w:rsid w:val="00FA4696"/>
    <w:rsid w:val="00FA46E9"/>
    <w:rsid w:val="00FA4BCB"/>
    <w:rsid w:val="00FA5D3F"/>
    <w:rsid w:val="00FA5DCF"/>
    <w:rsid w:val="00FA63E5"/>
    <w:rsid w:val="00FA6B78"/>
    <w:rsid w:val="00FA6C9E"/>
    <w:rsid w:val="00FA7C19"/>
    <w:rsid w:val="00FB00BF"/>
    <w:rsid w:val="00FB0486"/>
    <w:rsid w:val="00FB1C21"/>
    <w:rsid w:val="00FB1CC1"/>
    <w:rsid w:val="00FB2362"/>
    <w:rsid w:val="00FB390F"/>
    <w:rsid w:val="00FB3A07"/>
    <w:rsid w:val="00FB4368"/>
    <w:rsid w:val="00FB4876"/>
    <w:rsid w:val="00FB4D03"/>
    <w:rsid w:val="00FB4F0E"/>
    <w:rsid w:val="00FB75B7"/>
    <w:rsid w:val="00FB7E29"/>
    <w:rsid w:val="00FC0382"/>
    <w:rsid w:val="00FC0B03"/>
    <w:rsid w:val="00FC1245"/>
    <w:rsid w:val="00FC20BD"/>
    <w:rsid w:val="00FC23C7"/>
    <w:rsid w:val="00FC33FA"/>
    <w:rsid w:val="00FC3824"/>
    <w:rsid w:val="00FC39AF"/>
    <w:rsid w:val="00FC4268"/>
    <w:rsid w:val="00FC4A6E"/>
    <w:rsid w:val="00FC4B8C"/>
    <w:rsid w:val="00FC5AF6"/>
    <w:rsid w:val="00FC6538"/>
    <w:rsid w:val="00FC66BC"/>
    <w:rsid w:val="00FC6BE1"/>
    <w:rsid w:val="00FC70B7"/>
    <w:rsid w:val="00FC7889"/>
    <w:rsid w:val="00FD16BE"/>
    <w:rsid w:val="00FD1B6E"/>
    <w:rsid w:val="00FD282D"/>
    <w:rsid w:val="00FD31CF"/>
    <w:rsid w:val="00FD31D0"/>
    <w:rsid w:val="00FD3C9C"/>
    <w:rsid w:val="00FD4C16"/>
    <w:rsid w:val="00FD6344"/>
    <w:rsid w:val="00FD65BA"/>
    <w:rsid w:val="00FD72E7"/>
    <w:rsid w:val="00FE16D7"/>
    <w:rsid w:val="00FE18C1"/>
    <w:rsid w:val="00FE1E81"/>
    <w:rsid w:val="00FE2CB7"/>
    <w:rsid w:val="00FE5629"/>
    <w:rsid w:val="00FE5890"/>
    <w:rsid w:val="00FE6BF1"/>
    <w:rsid w:val="00FE6C90"/>
    <w:rsid w:val="00FE6E44"/>
    <w:rsid w:val="00FF09FF"/>
    <w:rsid w:val="00FF0B0B"/>
    <w:rsid w:val="00FF11C7"/>
    <w:rsid w:val="00FF2096"/>
    <w:rsid w:val="00FF21E3"/>
    <w:rsid w:val="00FF2C37"/>
    <w:rsid w:val="00FF448E"/>
    <w:rsid w:val="00FF48BB"/>
    <w:rsid w:val="00FF4986"/>
    <w:rsid w:val="00FF5A71"/>
    <w:rsid w:val="00FF5BBC"/>
    <w:rsid w:val="00FF6C8D"/>
    <w:rsid w:val="00FF7F4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31A"/>
    <w:pPr>
      <w:spacing w:after="100" w:line="400" w:lineRule="exact"/>
      <w:jc w:val="both"/>
    </w:pPr>
    <w:rPr>
      <w:rFonts w:ascii="Century Schoolbook" w:hAnsi="Century Schoolbook"/>
      <w:sz w:val="27"/>
      <w:szCs w:val="20"/>
    </w:rPr>
  </w:style>
  <w:style w:type="paragraph" w:styleId="Heading1">
    <w:name w:val="heading 1"/>
    <w:basedOn w:val="Normal"/>
    <w:next w:val="Normal"/>
    <w:qFormat/>
    <w:rsid w:val="00DE731A"/>
    <w:pPr>
      <w:keepNext/>
      <w:spacing w:before="140" w:line="240" w:lineRule="atLeast"/>
      <w:jc w:val="center"/>
      <w:outlineLvl w:val="0"/>
    </w:pPr>
    <w:rPr>
      <w:b/>
      <w:smallCaps/>
    </w:rPr>
  </w:style>
  <w:style w:type="paragraph" w:styleId="Heading2">
    <w:name w:val="heading 2"/>
    <w:basedOn w:val="Normal"/>
    <w:next w:val="Normal"/>
    <w:qFormat/>
    <w:rsid w:val="00DE731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E731A"/>
    <w:pPr>
      <w:keepNext/>
      <w:tabs>
        <w:tab w:val="left" w:pos="1584"/>
      </w:tabs>
      <w:spacing w:before="140" w:line="240" w:lineRule="atLeast"/>
      <w:ind w:left="1584" w:hanging="432"/>
      <w:jc w:val="left"/>
      <w:outlineLvl w:val="2"/>
    </w:pPr>
    <w:rPr>
      <w:i/>
    </w:rPr>
  </w:style>
  <w:style w:type="paragraph" w:styleId="Heading4">
    <w:name w:val="heading 4"/>
    <w:basedOn w:val="Normal"/>
    <w:rsid w:val="00DE731A"/>
    <w:pPr>
      <w:keepNext/>
      <w:tabs>
        <w:tab w:val="left" w:pos="2016"/>
      </w:tabs>
      <w:spacing w:before="140" w:line="240" w:lineRule="atLeast"/>
      <w:ind w:left="2016" w:hanging="432"/>
      <w:jc w:val="left"/>
      <w:outlineLvl w:val="3"/>
    </w:pPr>
    <w:rPr>
      <w:i/>
    </w:rPr>
  </w:style>
  <w:style w:type="paragraph" w:styleId="Heading5">
    <w:name w:val="heading 5"/>
    <w:basedOn w:val="Normal"/>
    <w:rsid w:val="00DE731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DE731A"/>
    <w:pPr>
      <w:ind w:left="720"/>
    </w:pPr>
  </w:style>
  <w:style w:type="paragraph" w:styleId="Footer">
    <w:name w:val="footer"/>
    <w:basedOn w:val="Normal"/>
    <w:qFormat/>
    <w:rsid w:val="00DE731A"/>
    <w:pPr>
      <w:tabs>
        <w:tab w:val="center" w:pos="3960"/>
        <w:tab w:val="right" w:pos="10080"/>
      </w:tabs>
      <w:spacing w:after="0" w:line="240" w:lineRule="auto"/>
      <w:jc w:val="center"/>
    </w:pPr>
    <w:rPr>
      <w:sz w:val="22"/>
    </w:rPr>
  </w:style>
  <w:style w:type="paragraph" w:styleId="Header">
    <w:name w:val="header"/>
    <w:basedOn w:val="Normal"/>
    <w:qFormat/>
    <w:rsid w:val="00DE731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E731A"/>
    <w:rPr>
      <w:rFonts w:ascii="Century Schoolbook" w:hAnsi="Century Schoolbook"/>
      <w:b/>
      <w:i w:val="0"/>
      <w:position w:val="4"/>
      <w:sz w:val="27"/>
      <w:vertAlign w:val="superscript"/>
    </w:rPr>
  </w:style>
  <w:style w:type="paragraph" w:styleId="FootnoteText">
    <w:name w:val="footnote text"/>
    <w:basedOn w:val="Normal"/>
    <w:link w:val="FootnoteTextChar"/>
    <w:rsid w:val="00DE731A"/>
    <w:pPr>
      <w:spacing w:line="300" w:lineRule="exact"/>
    </w:pPr>
  </w:style>
  <w:style w:type="paragraph" w:customStyle="1" w:styleId="Title1">
    <w:name w:val="Title1"/>
    <w:basedOn w:val="Normal"/>
    <w:rsid w:val="00DE731A"/>
    <w:pPr>
      <w:tabs>
        <w:tab w:val="left" w:pos="5760"/>
        <w:tab w:val="left" w:pos="6480"/>
      </w:tabs>
      <w:spacing w:line="240" w:lineRule="atLeast"/>
    </w:pPr>
  </w:style>
  <w:style w:type="paragraph" w:customStyle="1" w:styleId="Recommend">
    <w:name w:val="Recommend"/>
    <w:basedOn w:val="Normal"/>
    <w:rsid w:val="00DE731A"/>
  </w:style>
  <w:style w:type="paragraph" w:customStyle="1" w:styleId="Summary">
    <w:name w:val="Summary"/>
    <w:basedOn w:val="Normal"/>
    <w:rsid w:val="00DE731A"/>
    <w:pPr>
      <w:ind w:left="2160" w:hanging="2160"/>
    </w:pPr>
  </w:style>
  <w:style w:type="paragraph" w:customStyle="1" w:styleId="Text">
    <w:name w:val="Text"/>
    <w:basedOn w:val="Normal"/>
    <w:rsid w:val="00DE731A"/>
    <w:pPr>
      <w:tabs>
        <w:tab w:val="left" w:pos="720"/>
        <w:tab w:val="left" w:pos="1440"/>
        <w:tab w:val="left" w:pos="2160"/>
        <w:tab w:val="center" w:pos="4320"/>
      </w:tabs>
      <w:spacing w:line="480" w:lineRule="atLeast"/>
      <w:ind w:firstLine="540"/>
    </w:pPr>
  </w:style>
  <w:style w:type="paragraph" w:styleId="Date">
    <w:name w:val="Date"/>
    <w:basedOn w:val="Normal"/>
    <w:semiHidden/>
    <w:rsid w:val="00DE731A"/>
    <w:pPr>
      <w:jc w:val="right"/>
    </w:pPr>
  </w:style>
  <w:style w:type="character" w:styleId="PageNumber">
    <w:name w:val="page number"/>
    <w:basedOn w:val="DefaultParagraphFont"/>
    <w:semiHidden/>
    <w:rsid w:val="00DE731A"/>
  </w:style>
  <w:style w:type="paragraph" w:customStyle="1" w:styleId="subject">
    <w:name w:val="subject"/>
    <w:basedOn w:val="Normal"/>
    <w:rsid w:val="00DE731A"/>
    <w:pPr>
      <w:tabs>
        <w:tab w:val="left" w:pos="1008"/>
      </w:tabs>
      <w:ind w:left="990" w:hanging="990"/>
    </w:pPr>
    <w:rPr>
      <w:b/>
    </w:rPr>
  </w:style>
  <w:style w:type="paragraph" w:customStyle="1" w:styleId="Titles">
    <w:name w:val="Titles"/>
    <w:basedOn w:val="Normal"/>
    <w:rsid w:val="00DE731A"/>
    <w:pPr>
      <w:tabs>
        <w:tab w:val="left" w:pos="2160"/>
      </w:tabs>
      <w:ind w:left="2160" w:hanging="2160"/>
    </w:pPr>
    <w:rPr>
      <w:b/>
    </w:rPr>
  </w:style>
  <w:style w:type="paragraph" w:styleId="TOAHeading">
    <w:name w:val="toa heading"/>
    <w:basedOn w:val="Normal"/>
    <w:next w:val="Normal"/>
    <w:semiHidden/>
    <w:rsid w:val="00DE731A"/>
    <w:pPr>
      <w:spacing w:before="120"/>
    </w:pPr>
    <w:rPr>
      <w:b/>
    </w:rPr>
  </w:style>
  <w:style w:type="paragraph" w:styleId="TOC1">
    <w:name w:val="toc 1"/>
    <w:basedOn w:val="Normal"/>
    <w:next w:val="Normal"/>
    <w:autoRedefine/>
    <w:semiHidden/>
    <w:rsid w:val="00DE731A"/>
  </w:style>
  <w:style w:type="paragraph" w:styleId="TOC2">
    <w:name w:val="toc 2"/>
    <w:basedOn w:val="Normal"/>
    <w:next w:val="Normal"/>
    <w:autoRedefine/>
    <w:semiHidden/>
    <w:rsid w:val="00DE731A"/>
    <w:pPr>
      <w:ind w:left="259"/>
    </w:pPr>
  </w:style>
  <w:style w:type="paragraph" w:styleId="TOC3">
    <w:name w:val="toc 3"/>
    <w:basedOn w:val="Normal"/>
    <w:next w:val="Normal"/>
    <w:autoRedefine/>
    <w:semiHidden/>
    <w:rsid w:val="00DE731A"/>
    <w:pPr>
      <w:ind w:left="520"/>
    </w:pPr>
  </w:style>
  <w:style w:type="paragraph" w:styleId="TOC4">
    <w:name w:val="toc 4"/>
    <w:basedOn w:val="Normal"/>
    <w:next w:val="Normal"/>
    <w:autoRedefine/>
    <w:semiHidden/>
    <w:rsid w:val="00DE731A"/>
    <w:pPr>
      <w:ind w:left="780"/>
    </w:pPr>
  </w:style>
  <w:style w:type="paragraph" w:styleId="TOC5">
    <w:name w:val="toc 5"/>
    <w:basedOn w:val="Normal"/>
    <w:next w:val="Normal"/>
    <w:autoRedefine/>
    <w:semiHidden/>
    <w:rsid w:val="00DE731A"/>
    <w:pPr>
      <w:ind w:left="1040"/>
    </w:pPr>
  </w:style>
  <w:style w:type="paragraph" w:styleId="TOC6">
    <w:name w:val="toc 6"/>
    <w:basedOn w:val="Normal"/>
    <w:next w:val="Normal"/>
    <w:autoRedefine/>
    <w:semiHidden/>
    <w:rsid w:val="00DE731A"/>
    <w:pPr>
      <w:ind w:left="1300"/>
    </w:pPr>
  </w:style>
  <w:style w:type="paragraph" w:styleId="TOC7">
    <w:name w:val="toc 7"/>
    <w:basedOn w:val="Normal"/>
    <w:next w:val="Normal"/>
    <w:autoRedefine/>
    <w:semiHidden/>
    <w:rsid w:val="00DE731A"/>
    <w:pPr>
      <w:ind w:left="1560"/>
    </w:pPr>
  </w:style>
  <w:style w:type="paragraph" w:styleId="TOC8">
    <w:name w:val="toc 8"/>
    <w:basedOn w:val="Normal"/>
    <w:next w:val="Normal"/>
    <w:autoRedefine/>
    <w:semiHidden/>
    <w:rsid w:val="00DE731A"/>
    <w:pPr>
      <w:ind w:left="1820"/>
    </w:pPr>
  </w:style>
  <w:style w:type="paragraph" w:styleId="TOC9">
    <w:name w:val="toc 9"/>
    <w:basedOn w:val="Normal"/>
    <w:next w:val="Normal"/>
    <w:autoRedefine/>
    <w:semiHidden/>
    <w:rsid w:val="00DE731A"/>
    <w:pPr>
      <w:ind w:left="2080"/>
    </w:pPr>
  </w:style>
  <w:style w:type="paragraph" w:customStyle="1" w:styleId="Contents">
    <w:name w:val="Contents"/>
    <w:basedOn w:val="Normal"/>
    <w:rsid w:val="00DE731A"/>
    <w:pPr>
      <w:jc w:val="center"/>
    </w:pPr>
    <w:rPr>
      <w:b/>
      <w:spacing w:val="100"/>
    </w:rPr>
  </w:style>
  <w:style w:type="paragraph" w:styleId="PlainText">
    <w:name w:val="Plain Text"/>
    <w:basedOn w:val="Normal"/>
    <w:link w:val="PlainTextChar"/>
    <w:uiPriority w:val="99"/>
    <w:unhideWhenUsed/>
    <w:rsid w:val="00907D0A"/>
    <w:rPr>
      <w:rFonts w:ascii="Georgia" w:hAnsi="Georgia" w:eastAsiaTheme="minorHAnsi" w:cstheme="minorBidi"/>
      <w:szCs w:val="26"/>
    </w:rPr>
  </w:style>
  <w:style w:type="character" w:customStyle="1" w:styleId="PlainTextChar">
    <w:name w:val="Plain Text Char"/>
    <w:basedOn w:val="DefaultParagraphFont"/>
    <w:link w:val="PlainText"/>
    <w:uiPriority w:val="99"/>
    <w:rsid w:val="00907D0A"/>
    <w:rPr>
      <w:rFonts w:ascii="Georgia" w:hAnsi="Georgia" w:eastAsiaTheme="minorHAnsi" w:cstheme="minorBidi"/>
      <w:sz w:val="26"/>
      <w:szCs w:val="26"/>
    </w:rPr>
  </w:style>
  <w:style w:type="character" w:styleId="CommentReference">
    <w:name w:val="annotation reference"/>
    <w:basedOn w:val="DefaultParagraphFont"/>
    <w:uiPriority w:val="99"/>
    <w:semiHidden/>
    <w:unhideWhenUsed/>
    <w:rsid w:val="00B171B3"/>
    <w:rPr>
      <w:sz w:val="16"/>
      <w:szCs w:val="16"/>
    </w:rPr>
  </w:style>
  <w:style w:type="paragraph" w:styleId="CommentText">
    <w:name w:val="annotation text"/>
    <w:basedOn w:val="Normal"/>
    <w:link w:val="CommentTextChar"/>
    <w:uiPriority w:val="99"/>
    <w:semiHidden/>
    <w:unhideWhenUsed/>
    <w:rsid w:val="00B171B3"/>
    <w:rPr>
      <w:sz w:val="20"/>
    </w:rPr>
  </w:style>
  <w:style w:type="character" w:customStyle="1" w:styleId="CommentTextChar">
    <w:name w:val="Comment Text Char"/>
    <w:basedOn w:val="DefaultParagraphFont"/>
    <w:link w:val="CommentText"/>
    <w:uiPriority w:val="99"/>
    <w:semiHidden/>
    <w:rsid w:val="00B171B3"/>
  </w:style>
  <w:style w:type="paragraph" w:styleId="CommentSubject">
    <w:name w:val="annotation subject"/>
    <w:basedOn w:val="CommentText"/>
    <w:next w:val="CommentText"/>
    <w:link w:val="CommentSubjectChar"/>
    <w:uiPriority w:val="99"/>
    <w:semiHidden/>
    <w:unhideWhenUsed/>
    <w:rsid w:val="00B171B3"/>
    <w:rPr>
      <w:b/>
      <w:bCs/>
    </w:rPr>
  </w:style>
  <w:style w:type="character" w:customStyle="1" w:styleId="CommentSubjectChar">
    <w:name w:val="Comment Subject Char"/>
    <w:basedOn w:val="CommentTextChar"/>
    <w:link w:val="CommentSubject"/>
    <w:uiPriority w:val="99"/>
    <w:semiHidden/>
    <w:rsid w:val="00B171B3"/>
    <w:rPr>
      <w:b/>
      <w:bCs/>
    </w:rPr>
  </w:style>
  <w:style w:type="paragraph" w:styleId="Revision">
    <w:name w:val="Revision"/>
    <w:hidden/>
    <w:uiPriority w:val="99"/>
    <w:semiHidden/>
    <w:rsid w:val="00B171B3"/>
  </w:style>
  <w:style w:type="paragraph" w:styleId="BalloonText">
    <w:name w:val="Balloon Text"/>
    <w:basedOn w:val="Normal"/>
    <w:link w:val="BalloonTextChar"/>
    <w:uiPriority w:val="99"/>
    <w:semiHidden/>
    <w:unhideWhenUsed/>
    <w:rsid w:val="00B1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B3"/>
    <w:rPr>
      <w:rFonts w:ascii="Segoe UI" w:hAnsi="Segoe UI" w:cs="Segoe UI"/>
      <w:sz w:val="18"/>
      <w:szCs w:val="18"/>
    </w:rPr>
  </w:style>
  <w:style w:type="paragraph" w:styleId="ListParagraph">
    <w:name w:val="List Paragraph"/>
    <w:basedOn w:val="Normal"/>
    <w:uiPriority w:val="34"/>
    <w:qFormat/>
    <w:rsid w:val="00730F63"/>
    <w:pPr>
      <w:ind w:left="720"/>
      <w:contextualSpacing/>
    </w:pPr>
  </w:style>
  <w:style w:type="paragraph" w:styleId="NormalWeb">
    <w:name w:val="Normal (Web)"/>
    <w:basedOn w:val="Normal"/>
    <w:uiPriority w:val="99"/>
    <w:semiHidden/>
    <w:unhideWhenUsed/>
    <w:rsid w:val="00DE6FA7"/>
    <w:pPr>
      <w:spacing w:before="100" w:beforeAutospacing="1" w:afterAutospacing="1"/>
    </w:pPr>
  </w:style>
  <w:style w:type="character" w:styleId="Hyperlink">
    <w:name w:val="Hyperlink"/>
    <w:basedOn w:val="DefaultParagraphFont"/>
    <w:uiPriority w:val="99"/>
    <w:semiHidden/>
    <w:unhideWhenUsed/>
    <w:rsid w:val="00F07B54"/>
    <w:rPr>
      <w:color w:val="0000FF"/>
      <w:u w:val="single"/>
    </w:rPr>
  </w:style>
  <w:style w:type="character" w:styleId="FollowedHyperlink">
    <w:name w:val="FollowedHyperlink"/>
    <w:basedOn w:val="DefaultParagraphFont"/>
    <w:uiPriority w:val="99"/>
    <w:semiHidden/>
    <w:unhideWhenUsed/>
    <w:rsid w:val="00741E9E"/>
    <w:rPr>
      <w:color w:val="800080" w:themeColor="followedHyperlink"/>
      <w:u w:val="single"/>
    </w:rPr>
  </w:style>
  <w:style w:type="character" w:customStyle="1" w:styleId="FootnoteTextChar">
    <w:name w:val="Footnote Text Char"/>
    <w:basedOn w:val="DefaultParagraphFont"/>
    <w:link w:val="FootnoteText"/>
    <w:rsid w:val="00E56CBD"/>
    <w:rPr>
      <w:rFonts w:ascii="Century Schoolbook" w:hAnsi="Century Schoolbook"/>
      <w:sz w:val="27"/>
      <w:szCs w:val="20"/>
    </w:rPr>
  </w:style>
  <w:style w:type="paragraph" w:styleId="BodyText">
    <w:name w:val="Body Text"/>
    <w:basedOn w:val="Normal"/>
    <w:link w:val="BodyTextChar"/>
    <w:qFormat/>
    <w:rsid w:val="00DE731A"/>
  </w:style>
  <w:style w:type="character" w:customStyle="1" w:styleId="BodyTextChar">
    <w:name w:val="Body Text Char"/>
    <w:basedOn w:val="DefaultParagraphFont"/>
    <w:link w:val="BodyText"/>
    <w:rsid w:val="00DE731A"/>
    <w:rPr>
      <w:rFonts w:ascii="Century Schoolbook" w:hAnsi="Century Schoolbook"/>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4.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BB2F-AE2B-41A9-8E13-DB03FF00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9878</Words>
  <Characters>56305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2020-06-29T15:19:40Z</dcterms:created>
  <dcterms:modified xsi:type="dcterms:W3CDTF">2020-06-29T15:19:40Z</dcterms:modified>
</cp:coreProperties>
</file>