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84F7" w14:textId="1FDEEF37" w:rsidR="00CC27C0" w:rsidRDefault="00CC27C0" w:rsidP="00316231">
      <w:pPr>
        <w:tabs>
          <w:tab w:val="left" w:pos="1440"/>
          <w:tab w:val="left" w:pos="4680"/>
          <w:tab w:val="center" w:pos="7200"/>
        </w:tabs>
        <w:spacing w:after="0"/>
        <w:jc w:val="center"/>
        <w:rPr>
          <w:szCs w:val="26"/>
        </w:rPr>
      </w:pPr>
      <w:bookmarkStart w:id="0" w:name="_Hlk12277029"/>
      <w:r>
        <w:rPr>
          <w:b/>
          <w:sz w:val="36"/>
          <w:szCs w:val="26"/>
        </w:rPr>
        <w:t>IN THE SUPREME COURT OF CALIFORNIA</w:t>
      </w:r>
    </w:p>
    <w:p w14:paraId="592BEFA2" w14:textId="77777777" w:rsidR="00511C5A" w:rsidRDefault="00511C5A" w:rsidP="00080C97">
      <w:pPr>
        <w:tabs>
          <w:tab w:val="left" w:pos="1440"/>
          <w:tab w:val="left" w:pos="4680"/>
          <w:tab w:val="center" w:pos="7200"/>
        </w:tabs>
        <w:spacing w:after="0"/>
        <w:rPr>
          <w:szCs w:val="26"/>
        </w:rPr>
      </w:pPr>
    </w:p>
    <w:p w14:paraId="5059D488" w14:textId="3CF3418A" w:rsidR="00CC27C0" w:rsidRDefault="00CC27C0" w:rsidP="00CC27C0">
      <w:pPr>
        <w:tabs>
          <w:tab w:val="left" w:pos="1440"/>
          <w:tab w:val="left" w:pos="4680"/>
          <w:tab w:val="center" w:pos="7200"/>
        </w:tabs>
        <w:spacing w:after="0"/>
        <w:jc w:val="center"/>
        <w:rPr>
          <w:szCs w:val="26"/>
        </w:rPr>
      </w:pPr>
      <w:r>
        <w:rPr>
          <w:szCs w:val="26"/>
        </w:rPr>
        <w:t>THE PEOPLE</w:t>
      </w:r>
      <w:r w:rsidR="00D97F48">
        <w:rPr>
          <w:szCs w:val="26"/>
        </w:rPr>
        <w:t>,</w:t>
      </w:r>
    </w:p>
    <w:p w14:paraId="3E725DAE" w14:textId="3FD169D3" w:rsidR="00511C5A" w:rsidRDefault="00CC27C0">
      <w:pPr>
        <w:tabs>
          <w:tab w:val="left" w:pos="1440"/>
          <w:tab w:val="left" w:pos="4680"/>
          <w:tab w:val="center" w:pos="7200"/>
        </w:tabs>
        <w:spacing w:after="0"/>
        <w:jc w:val="center"/>
        <w:rPr>
          <w:szCs w:val="26"/>
        </w:rPr>
      </w:pPr>
      <w:r>
        <w:rPr>
          <w:szCs w:val="26"/>
        </w:rPr>
        <w:t>Plaintiff and Respondent</w:t>
      </w:r>
      <w:r w:rsidR="00D97F48">
        <w:rPr>
          <w:szCs w:val="26"/>
        </w:rPr>
        <w:t>,</w:t>
      </w:r>
    </w:p>
    <w:p w14:paraId="18566816" w14:textId="5FD5A9C7" w:rsidR="00511C5A" w:rsidRDefault="00CC27C0">
      <w:pPr>
        <w:tabs>
          <w:tab w:val="left" w:pos="1440"/>
          <w:tab w:val="left" w:pos="4680"/>
          <w:tab w:val="center" w:pos="7200"/>
        </w:tabs>
        <w:spacing w:after="0"/>
        <w:jc w:val="center"/>
        <w:rPr>
          <w:szCs w:val="26"/>
        </w:rPr>
      </w:pPr>
      <w:r>
        <w:rPr>
          <w:szCs w:val="26"/>
        </w:rPr>
        <w:t>v.</w:t>
      </w:r>
    </w:p>
    <w:p w14:paraId="4CFC618B" w14:textId="1B95CC6A" w:rsidR="00CC27C0" w:rsidRDefault="00CC27C0" w:rsidP="00CC27C0">
      <w:pPr>
        <w:tabs>
          <w:tab w:val="left" w:pos="1440"/>
          <w:tab w:val="left" w:pos="4680"/>
          <w:tab w:val="center" w:pos="7200"/>
        </w:tabs>
        <w:spacing w:after="0"/>
        <w:jc w:val="center"/>
        <w:rPr>
          <w:szCs w:val="26"/>
        </w:rPr>
      </w:pPr>
      <w:r>
        <w:rPr>
          <w:szCs w:val="26"/>
        </w:rPr>
        <w:t>JOSE LUIS PEREZ et al.,</w:t>
      </w:r>
    </w:p>
    <w:p w14:paraId="5CCFCF0E" w14:textId="56E83D8D" w:rsidR="00CC27C0" w:rsidRDefault="00CC27C0" w:rsidP="00CC27C0">
      <w:pPr>
        <w:tabs>
          <w:tab w:val="left" w:pos="1440"/>
          <w:tab w:val="left" w:pos="4680"/>
          <w:tab w:val="center" w:pos="7200"/>
        </w:tabs>
        <w:spacing w:after="0"/>
        <w:jc w:val="center"/>
        <w:rPr>
          <w:szCs w:val="26"/>
        </w:rPr>
      </w:pPr>
      <w:r>
        <w:rPr>
          <w:szCs w:val="26"/>
        </w:rPr>
        <w:t>Defendant</w:t>
      </w:r>
      <w:r w:rsidR="00316231">
        <w:rPr>
          <w:szCs w:val="26"/>
        </w:rPr>
        <w:t>s</w:t>
      </w:r>
      <w:r>
        <w:rPr>
          <w:szCs w:val="26"/>
        </w:rPr>
        <w:t xml:space="preserve"> and Appellant</w:t>
      </w:r>
      <w:r w:rsidR="00316231">
        <w:rPr>
          <w:szCs w:val="26"/>
        </w:rPr>
        <w:t>s</w:t>
      </w:r>
      <w:r>
        <w:rPr>
          <w:szCs w:val="26"/>
        </w:rPr>
        <w:t>.</w:t>
      </w:r>
    </w:p>
    <w:p w14:paraId="6BA62431" w14:textId="5FC76C9A" w:rsidR="00CC27C0" w:rsidRDefault="00CC27C0" w:rsidP="00CC27C0">
      <w:pPr>
        <w:tabs>
          <w:tab w:val="left" w:pos="1440"/>
          <w:tab w:val="left" w:pos="4680"/>
          <w:tab w:val="center" w:pos="7200"/>
        </w:tabs>
        <w:spacing w:after="0"/>
        <w:jc w:val="center"/>
        <w:rPr>
          <w:szCs w:val="26"/>
        </w:rPr>
      </w:pPr>
    </w:p>
    <w:p w14:paraId="009E3314" w14:textId="1AEF0B23" w:rsidR="00CC27C0" w:rsidRDefault="00CC27C0" w:rsidP="00CC27C0">
      <w:pPr>
        <w:tabs>
          <w:tab w:val="left" w:pos="1440"/>
          <w:tab w:val="left" w:pos="4680"/>
          <w:tab w:val="center" w:pos="7200"/>
        </w:tabs>
        <w:spacing w:after="0"/>
        <w:jc w:val="center"/>
        <w:rPr>
          <w:szCs w:val="26"/>
        </w:rPr>
      </w:pPr>
      <w:r>
        <w:rPr>
          <w:szCs w:val="26"/>
        </w:rPr>
        <w:t>S248730</w:t>
      </w:r>
    </w:p>
    <w:p w14:paraId="5F8AF922" w14:textId="718468C3" w:rsidR="00CC27C0" w:rsidRDefault="00CC27C0" w:rsidP="00CC27C0">
      <w:pPr>
        <w:tabs>
          <w:tab w:val="left" w:pos="1440"/>
          <w:tab w:val="left" w:pos="4680"/>
          <w:tab w:val="center" w:pos="7200"/>
        </w:tabs>
        <w:spacing w:after="0"/>
        <w:jc w:val="center"/>
        <w:rPr>
          <w:szCs w:val="26"/>
        </w:rPr>
      </w:pPr>
    </w:p>
    <w:p w14:paraId="7FB3F1C1" w14:textId="1D09FBC3" w:rsidR="00CC27C0" w:rsidRDefault="00CC27C0" w:rsidP="00CC27C0">
      <w:pPr>
        <w:tabs>
          <w:tab w:val="left" w:pos="1440"/>
          <w:tab w:val="left" w:pos="4680"/>
          <w:tab w:val="center" w:pos="7200"/>
        </w:tabs>
        <w:spacing w:after="0"/>
        <w:jc w:val="center"/>
        <w:rPr>
          <w:szCs w:val="26"/>
        </w:rPr>
      </w:pPr>
      <w:r>
        <w:rPr>
          <w:szCs w:val="26"/>
        </w:rPr>
        <w:t>Fourth Appellate District, Division Two</w:t>
      </w:r>
    </w:p>
    <w:p w14:paraId="230C3937" w14:textId="20AED6D9" w:rsidR="00CC27C0" w:rsidRDefault="00CC27C0" w:rsidP="00CC27C0">
      <w:pPr>
        <w:tabs>
          <w:tab w:val="left" w:pos="1440"/>
          <w:tab w:val="left" w:pos="4680"/>
          <w:tab w:val="center" w:pos="7200"/>
        </w:tabs>
        <w:spacing w:after="0"/>
        <w:jc w:val="center"/>
        <w:rPr>
          <w:szCs w:val="26"/>
        </w:rPr>
      </w:pPr>
      <w:r>
        <w:rPr>
          <w:szCs w:val="26"/>
        </w:rPr>
        <w:t>E060438</w:t>
      </w:r>
    </w:p>
    <w:p w14:paraId="6E750D15" w14:textId="1B83DF0F" w:rsidR="00CC27C0" w:rsidRDefault="00CC27C0" w:rsidP="00CC27C0">
      <w:pPr>
        <w:tabs>
          <w:tab w:val="left" w:pos="1440"/>
          <w:tab w:val="left" w:pos="4680"/>
          <w:tab w:val="center" w:pos="7200"/>
        </w:tabs>
        <w:spacing w:after="0"/>
        <w:jc w:val="center"/>
        <w:rPr>
          <w:szCs w:val="26"/>
        </w:rPr>
      </w:pPr>
    </w:p>
    <w:p w14:paraId="2D1102D0" w14:textId="0BAA31FA" w:rsidR="00CC27C0" w:rsidRDefault="00CC27C0" w:rsidP="00CC27C0">
      <w:pPr>
        <w:tabs>
          <w:tab w:val="left" w:pos="1440"/>
          <w:tab w:val="left" w:pos="4680"/>
          <w:tab w:val="center" w:pos="7200"/>
        </w:tabs>
        <w:spacing w:after="0"/>
        <w:jc w:val="center"/>
        <w:rPr>
          <w:szCs w:val="26"/>
        </w:rPr>
      </w:pPr>
      <w:r>
        <w:rPr>
          <w:szCs w:val="26"/>
        </w:rPr>
        <w:t xml:space="preserve">San Bernardino County </w:t>
      </w:r>
      <w:r w:rsidR="00316231">
        <w:rPr>
          <w:szCs w:val="26"/>
        </w:rPr>
        <w:t>Superior Court</w:t>
      </w:r>
    </w:p>
    <w:p w14:paraId="7D40141A" w14:textId="052F4D7C" w:rsidR="00CC27C0" w:rsidRDefault="00CC27C0" w:rsidP="00CC27C0">
      <w:pPr>
        <w:tabs>
          <w:tab w:val="left" w:pos="1440"/>
          <w:tab w:val="left" w:pos="4680"/>
          <w:tab w:val="center" w:pos="7200"/>
        </w:tabs>
        <w:spacing w:after="0"/>
        <w:jc w:val="center"/>
        <w:rPr>
          <w:szCs w:val="26"/>
        </w:rPr>
      </w:pPr>
      <w:r>
        <w:rPr>
          <w:szCs w:val="26"/>
        </w:rPr>
        <w:t>FV1901482</w:t>
      </w:r>
    </w:p>
    <w:p w14:paraId="02BC49FE" w14:textId="0C6F54BE" w:rsidR="00CC27C0" w:rsidRDefault="00CC27C0" w:rsidP="00CC27C0">
      <w:pPr>
        <w:pBdr>
          <w:bottom w:val="single" w:sz="4" w:space="1" w:color="auto"/>
        </w:pBdr>
        <w:tabs>
          <w:tab w:val="left" w:pos="1440"/>
          <w:tab w:val="left" w:pos="4680"/>
          <w:tab w:val="center" w:pos="7200"/>
        </w:tabs>
        <w:spacing w:after="0"/>
        <w:jc w:val="center"/>
        <w:rPr>
          <w:szCs w:val="26"/>
        </w:rPr>
      </w:pPr>
    </w:p>
    <w:p w14:paraId="2612AABC" w14:textId="352CB120" w:rsidR="00CC27C0" w:rsidRDefault="00CC27C0" w:rsidP="00CC27C0">
      <w:pPr>
        <w:tabs>
          <w:tab w:val="left" w:pos="1440"/>
          <w:tab w:val="left" w:pos="4680"/>
          <w:tab w:val="center" w:pos="7200"/>
        </w:tabs>
        <w:spacing w:after="0"/>
        <w:jc w:val="center"/>
        <w:rPr>
          <w:szCs w:val="26"/>
        </w:rPr>
      </w:pPr>
    </w:p>
    <w:p w14:paraId="06DF175E" w14:textId="1E3FE475" w:rsidR="009322CA" w:rsidRDefault="00EA588C" w:rsidP="00CC27C0">
      <w:pPr>
        <w:tabs>
          <w:tab w:val="left" w:pos="1440"/>
          <w:tab w:val="left" w:pos="4680"/>
          <w:tab w:val="center" w:pos="7200"/>
        </w:tabs>
        <w:spacing w:after="0"/>
        <w:jc w:val="center"/>
        <w:rPr>
          <w:szCs w:val="26"/>
        </w:rPr>
      </w:pPr>
      <w:r>
        <w:rPr>
          <w:szCs w:val="26"/>
        </w:rPr>
        <w:t>February 27,</w:t>
      </w:r>
      <w:r w:rsidR="00CC27C0">
        <w:rPr>
          <w:szCs w:val="26"/>
        </w:rPr>
        <w:t xml:space="preserve"> 2020</w:t>
      </w:r>
    </w:p>
    <w:p w14:paraId="142C1D3F" w14:textId="77777777" w:rsidR="009322CA" w:rsidRDefault="009322CA" w:rsidP="00CC27C0">
      <w:pPr>
        <w:tabs>
          <w:tab w:val="left" w:pos="1440"/>
          <w:tab w:val="left" w:pos="4680"/>
          <w:tab w:val="center" w:pos="7200"/>
        </w:tabs>
        <w:spacing w:after="0"/>
        <w:jc w:val="center"/>
        <w:rPr>
          <w:szCs w:val="26"/>
        </w:rPr>
      </w:pPr>
    </w:p>
    <w:p w14:paraId="6531F419" w14:textId="02331AD1" w:rsidR="00384534" w:rsidRDefault="00210A66" w:rsidP="00CC27C0">
      <w:pPr>
        <w:tabs>
          <w:tab w:val="left" w:pos="1440"/>
          <w:tab w:val="left" w:pos="4680"/>
          <w:tab w:val="center" w:pos="7200"/>
        </w:tabs>
        <w:spacing w:after="0"/>
        <w:jc w:val="center"/>
        <w:rPr>
          <w:szCs w:val="26"/>
        </w:rPr>
      </w:pPr>
      <w:r>
        <w:rPr>
          <w:szCs w:val="26"/>
        </w:rPr>
        <w:t>T</w:t>
      </w:r>
      <w:r w:rsidR="00086E6C">
        <w:rPr>
          <w:szCs w:val="26"/>
        </w:rPr>
        <w:t>his op</w:t>
      </w:r>
      <w:r w:rsidR="009322CA">
        <w:rPr>
          <w:szCs w:val="26"/>
        </w:rPr>
        <w:t>inion p</w:t>
      </w:r>
      <w:r w:rsidR="00086E6C">
        <w:rPr>
          <w:szCs w:val="26"/>
        </w:rPr>
        <w:t>recedes</w:t>
      </w:r>
      <w:r w:rsidR="00C656BE">
        <w:rPr>
          <w:szCs w:val="26"/>
        </w:rPr>
        <w:t xml:space="preserve"> companion case S2</w:t>
      </w:r>
      <w:r>
        <w:rPr>
          <w:szCs w:val="26"/>
        </w:rPr>
        <w:t>49872</w:t>
      </w:r>
      <w:r w:rsidR="00384534">
        <w:rPr>
          <w:szCs w:val="26"/>
        </w:rPr>
        <w:t>,</w:t>
      </w:r>
      <w:r w:rsidR="00BE67B3">
        <w:rPr>
          <w:szCs w:val="26"/>
        </w:rPr>
        <w:t xml:space="preserve"> </w:t>
      </w:r>
    </w:p>
    <w:p w14:paraId="0E93E41E" w14:textId="793F3EE2" w:rsidR="00CC27C0" w:rsidRDefault="00210A66" w:rsidP="00CC27C0">
      <w:pPr>
        <w:tabs>
          <w:tab w:val="left" w:pos="1440"/>
          <w:tab w:val="left" w:pos="4680"/>
          <w:tab w:val="center" w:pos="7200"/>
        </w:tabs>
        <w:spacing w:after="0"/>
        <w:jc w:val="center"/>
        <w:rPr>
          <w:szCs w:val="26"/>
        </w:rPr>
      </w:pPr>
      <w:r>
        <w:rPr>
          <w:szCs w:val="26"/>
        </w:rPr>
        <w:t>also filed on Feb</w:t>
      </w:r>
      <w:r w:rsidR="00EC3820">
        <w:rPr>
          <w:szCs w:val="26"/>
        </w:rPr>
        <w:t>ruary</w:t>
      </w:r>
      <w:r>
        <w:rPr>
          <w:szCs w:val="26"/>
        </w:rPr>
        <w:t xml:space="preserve"> 27, 2020</w:t>
      </w:r>
      <w:r w:rsidR="00E468A8">
        <w:rPr>
          <w:szCs w:val="26"/>
        </w:rPr>
        <w:t>.</w:t>
      </w:r>
      <w:r>
        <w:rPr>
          <w:szCs w:val="26"/>
        </w:rPr>
        <w:t xml:space="preserve"> </w:t>
      </w:r>
    </w:p>
    <w:p w14:paraId="68FCF10E" w14:textId="4AB897C0" w:rsidR="00CC27C0" w:rsidRDefault="00CC27C0" w:rsidP="00CC27C0">
      <w:pPr>
        <w:tabs>
          <w:tab w:val="left" w:pos="1440"/>
          <w:tab w:val="left" w:pos="4680"/>
          <w:tab w:val="center" w:pos="7200"/>
        </w:tabs>
        <w:spacing w:after="0"/>
        <w:jc w:val="center"/>
        <w:rPr>
          <w:szCs w:val="26"/>
        </w:rPr>
      </w:pPr>
    </w:p>
    <w:p w14:paraId="26A28FA5" w14:textId="354BBCB8" w:rsidR="00CC27C0" w:rsidRDefault="00CC27C0" w:rsidP="00CC27C0">
      <w:pPr>
        <w:tabs>
          <w:tab w:val="left" w:pos="1440"/>
          <w:tab w:val="left" w:pos="4680"/>
          <w:tab w:val="center" w:pos="7200"/>
        </w:tabs>
        <w:spacing w:after="0"/>
        <w:jc w:val="left"/>
        <w:rPr>
          <w:szCs w:val="26"/>
        </w:rPr>
      </w:pPr>
      <w:r>
        <w:rPr>
          <w:szCs w:val="26"/>
        </w:rPr>
        <w:t xml:space="preserve">Justice Groban authored the opinion of the </w:t>
      </w:r>
      <w:r w:rsidR="00316231">
        <w:rPr>
          <w:szCs w:val="26"/>
        </w:rPr>
        <w:t>Court</w:t>
      </w:r>
      <w:r>
        <w:rPr>
          <w:szCs w:val="26"/>
        </w:rPr>
        <w:t xml:space="preserve">, in which </w:t>
      </w:r>
      <w:r w:rsidR="009E702B">
        <w:rPr>
          <w:szCs w:val="26"/>
        </w:rPr>
        <w:t xml:space="preserve">Chief Justice Cantil-Sakauye and Justices Chin, Corrigan, Liu, Cuéllar, and Kruger </w:t>
      </w:r>
      <w:r>
        <w:rPr>
          <w:szCs w:val="26"/>
        </w:rPr>
        <w:t>concurred.</w:t>
      </w:r>
      <w:bookmarkStart w:id="1" w:name="_GoBack"/>
      <w:bookmarkEnd w:id="1"/>
    </w:p>
    <w:p w14:paraId="4458A187" w14:textId="77777777" w:rsidR="00CC27C0" w:rsidRDefault="00CC27C0" w:rsidP="00CC27C0">
      <w:pPr>
        <w:pBdr>
          <w:bottom w:val="single" w:sz="4" w:space="1" w:color="auto"/>
        </w:pBdr>
        <w:tabs>
          <w:tab w:val="left" w:pos="1440"/>
          <w:tab w:val="left" w:pos="4680"/>
          <w:tab w:val="center" w:pos="7200"/>
        </w:tabs>
        <w:spacing w:after="0"/>
        <w:jc w:val="left"/>
        <w:rPr>
          <w:szCs w:val="26"/>
        </w:rPr>
      </w:pPr>
    </w:p>
    <w:p w14:paraId="15AFC783" w14:textId="77777777" w:rsidR="00CC27C0" w:rsidRPr="00CC27C0" w:rsidRDefault="00CC27C0" w:rsidP="00CC27C0">
      <w:pPr>
        <w:pBdr>
          <w:bottom w:val="single" w:sz="4" w:space="1" w:color="auto"/>
        </w:pBdr>
        <w:tabs>
          <w:tab w:val="left" w:pos="1440"/>
          <w:tab w:val="left" w:pos="4680"/>
          <w:tab w:val="center" w:pos="7200"/>
        </w:tabs>
        <w:jc w:val="left"/>
        <w:rPr>
          <w:szCs w:val="26"/>
        </w:rPr>
      </w:pPr>
      <w:bookmarkStart w:id="2" w:name="Return"/>
      <w:bookmarkEnd w:id="2"/>
    </w:p>
    <w:p w14:paraId="19E397D4" w14:textId="77777777" w:rsidR="00CC27C0" w:rsidRDefault="00CC27C0" w:rsidP="00CC27C0">
      <w:pPr>
        <w:tabs>
          <w:tab w:val="left" w:pos="1440"/>
          <w:tab w:val="left" w:pos="4680"/>
          <w:tab w:val="center" w:pos="7200"/>
        </w:tabs>
        <w:rPr>
          <w:szCs w:val="26"/>
        </w:rPr>
        <w:sectPr w:rsidR="00CC27C0" w:rsidSect="00CC27C0">
          <w:headerReference w:type="default" r:id="rId7"/>
          <w:footerReference w:type="even" r:id="rId8"/>
          <w:footerReference w:type="default" r:id="rId9"/>
          <w:pgSz w:w="12240" w:h="15840"/>
          <w:pgMar w:top="1800" w:right="2160" w:bottom="1440" w:left="2160" w:header="720" w:footer="720" w:gutter="0"/>
          <w:cols w:space="720"/>
          <w:titlePg/>
          <w:docGrid w:linePitch="367"/>
        </w:sectPr>
      </w:pPr>
    </w:p>
    <w:p w14:paraId="3FA7CC8E" w14:textId="74A084AD" w:rsidR="00CC27C0" w:rsidRDefault="00CC27C0" w:rsidP="00CC27C0">
      <w:pPr>
        <w:tabs>
          <w:tab w:val="left" w:pos="1440"/>
          <w:tab w:val="left" w:pos="4680"/>
          <w:tab w:val="center" w:pos="7200"/>
        </w:tabs>
        <w:jc w:val="center"/>
        <w:rPr>
          <w:szCs w:val="26"/>
        </w:rPr>
      </w:pPr>
      <w:r>
        <w:rPr>
          <w:szCs w:val="26"/>
        </w:rPr>
        <w:lastRenderedPageBreak/>
        <w:t>PEOPLE v. PEREZ</w:t>
      </w:r>
    </w:p>
    <w:p w14:paraId="1717C4C6" w14:textId="6C212050" w:rsidR="00CC27C0" w:rsidRDefault="00CC27C0">
      <w:pPr>
        <w:tabs>
          <w:tab w:val="left" w:pos="1440"/>
          <w:tab w:val="left" w:pos="4680"/>
          <w:tab w:val="center" w:pos="7200"/>
        </w:tabs>
        <w:jc w:val="center"/>
        <w:rPr>
          <w:szCs w:val="26"/>
        </w:rPr>
      </w:pPr>
      <w:r>
        <w:rPr>
          <w:szCs w:val="26"/>
        </w:rPr>
        <w:t>S248730</w:t>
      </w:r>
    </w:p>
    <w:p w14:paraId="1E0F59A3" w14:textId="77777777" w:rsidR="00EB0BA4" w:rsidRDefault="00EB0BA4" w:rsidP="00CC27C0">
      <w:pPr>
        <w:tabs>
          <w:tab w:val="left" w:pos="1440"/>
          <w:tab w:val="left" w:pos="4680"/>
          <w:tab w:val="center" w:pos="7200"/>
        </w:tabs>
        <w:jc w:val="center"/>
        <w:rPr>
          <w:szCs w:val="26"/>
        </w:rPr>
      </w:pPr>
    </w:p>
    <w:p w14:paraId="75E7C066" w14:textId="4DE18D14" w:rsidR="00CC27C0" w:rsidRDefault="00CC27C0">
      <w:pPr>
        <w:tabs>
          <w:tab w:val="left" w:pos="1440"/>
          <w:tab w:val="left" w:pos="4680"/>
          <w:tab w:val="center" w:pos="7200"/>
        </w:tabs>
        <w:jc w:val="center"/>
        <w:rPr>
          <w:szCs w:val="26"/>
        </w:rPr>
      </w:pPr>
      <w:r>
        <w:rPr>
          <w:szCs w:val="26"/>
        </w:rPr>
        <w:t>Opinion of the Court by Groban, J.</w:t>
      </w:r>
    </w:p>
    <w:p w14:paraId="4FD55C98" w14:textId="77777777" w:rsidR="00EB0BA4" w:rsidRPr="00CC27C0" w:rsidRDefault="00EB0BA4" w:rsidP="00CC27C0">
      <w:pPr>
        <w:tabs>
          <w:tab w:val="left" w:pos="1440"/>
          <w:tab w:val="left" w:pos="4680"/>
          <w:tab w:val="center" w:pos="7200"/>
        </w:tabs>
        <w:jc w:val="center"/>
        <w:rPr>
          <w:szCs w:val="26"/>
        </w:rPr>
      </w:pPr>
    </w:p>
    <w:p w14:paraId="3560FE01" w14:textId="601E2717" w:rsidR="007518AF" w:rsidRPr="00CC27C0" w:rsidRDefault="007518AF" w:rsidP="00CC27C0">
      <w:pPr>
        <w:pStyle w:val="Text"/>
        <w:spacing w:line="400" w:lineRule="exact"/>
      </w:pPr>
      <w:bookmarkStart w:id="3" w:name="mainstory"/>
      <w:bookmarkEnd w:id="3"/>
      <w:r w:rsidRPr="00CC27C0">
        <w:rPr>
          <w:i/>
        </w:rPr>
        <w:t>People v. Sanchez</w:t>
      </w:r>
      <w:r w:rsidRPr="00CC27C0">
        <w:t xml:space="preserve"> (2016) 63 Cal.4th 665 (</w:t>
      </w:r>
      <w:r w:rsidRPr="00CC27C0">
        <w:rPr>
          <w:i/>
        </w:rPr>
        <w:t>Sanchez</w:t>
      </w:r>
      <w:r w:rsidRPr="00CC27C0">
        <w:t>) held that an expert cannot relate case-specific hearsay to explain the basis for his or her opinion unless the facts are independently proven or fall within a hearsay exception.  We concluded that if the prosecution expert seeks to relate testimonial hearsay, the confrontation clause is violated unless there is a showing of unavailability and the defendant had a prior opportunity for cross</w:t>
      </w:r>
      <w:r w:rsidRPr="00CC27C0">
        <w:noBreakHyphen/>
        <w:t xml:space="preserve">examination or forfeited that right.  We granted review in this case to determine whether a defendant’s failure to object at trial, before </w:t>
      </w:r>
      <w:r w:rsidRPr="00CC27C0">
        <w:rPr>
          <w:i/>
        </w:rPr>
        <w:t>Sanchez</w:t>
      </w:r>
      <w:r w:rsidRPr="00CC27C0">
        <w:t xml:space="preserve"> was decided, forfeited a claim that a gang expert’s testimony related case-specific hearsay in violation of the confrontation clause.  We now conclude that a defense counsel’s failure to object under such circumstances does not forfeit a claim based upon </w:t>
      </w:r>
      <w:r w:rsidRPr="00CC27C0">
        <w:rPr>
          <w:i/>
        </w:rPr>
        <w:t>Sanchez</w:t>
      </w:r>
      <w:r w:rsidRPr="00CC27C0">
        <w:t xml:space="preserve">.  Accordingly, we reverse the judgment of the Court </w:t>
      </w:r>
      <w:r w:rsidR="00316231">
        <w:t xml:space="preserve">of </w:t>
      </w:r>
      <w:r w:rsidRPr="00CC27C0">
        <w:t>Appeal here, which reached the opposite conclusion.</w:t>
      </w:r>
    </w:p>
    <w:p w14:paraId="64FD4646" w14:textId="77777777" w:rsidR="007518AF" w:rsidRPr="00CC27C0" w:rsidRDefault="007518AF" w:rsidP="00CC27C0">
      <w:pPr>
        <w:pStyle w:val="Heading1"/>
      </w:pPr>
      <w:r w:rsidRPr="00CC27C0">
        <w:t>I.  BACKGROUND</w:t>
      </w:r>
    </w:p>
    <w:p w14:paraId="637DEA6E" w14:textId="77777777" w:rsidR="007518AF" w:rsidRPr="00CC27C0" w:rsidRDefault="007518AF" w:rsidP="00CC27C0">
      <w:pPr>
        <w:pStyle w:val="Text"/>
        <w:spacing w:line="400" w:lineRule="exact"/>
        <w:ind w:firstLine="720"/>
      </w:pPr>
      <w:r w:rsidRPr="00CC27C0">
        <w:t>On June 23, 2009, a motorist driving on U.S. Highway 395 near Victorville encountered a man walking on the road and bleeding from gunshot wounds to his face and abdomen.  Police arrived on the scene and followed a trail of blood to a pickup truck parked a few blocks away.  There, the police found two other men, who had both died from gunshot wounds.</w:t>
      </w:r>
    </w:p>
    <w:p w14:paraId="70977997" w14:textId="77777777" w:rsidR="007518AF" w:rsidRPr="00CC27C0" w:rsidRDefault="007518AF" w:rsidP="00CC27C0">
      <w:pPr>
        <w:pStyle w:val="Text"/>
        <w:spacing w:line="400" w:lineRule="exact"/>
        <w:ind w:firstLine="720"/>
        <w:rPr>
          <w:highlight w:val="yellow"/>
        </w:rPr>
      </w:pPr>
      <w:r w:rsidRPr="00CC27C0">
        <w:lastRenderedPageBreak/>
        <w:t>The surviving victim told police that he had been kidnapped a few days earlier in the city of South Gate, near Los Angeles.  He was visiting a house on Center Street when a group of men held him at gunpoint and tied him up with zip ties.  The group forced the victim to call two other acquaintances and summon them to the house.  Upon their arrival, the group then bound the other two as well.  The group forced the three victims to arrange for deliveries of money and drugs, which the group then took.  The group put the victims into vehicles and drove them away from the house.  The three victims were eventually shot and left for dead near Victorville.  The survivor identified a person named “Lalo” as the shooter.</w:t>
      </w:r>
    </w:p>
    <w:p w14:paraId="7E208AD1" w14:textId="24101D66" w:rsidR="007518AF" w:rsidRPr="00CC27C0" w:rsidRDefault="007518AF" w:rsidP="00CC27C0">
      <w:pPr>
        <w:pStyle w:val="Text"/>
        <w:spacing w:line="400" w:lineRule="exact"/>
        <w:ind w:firstLine="720"/>
      </w:pPr>
      <w:r w:rsidRPr="00CC27C0">
        <w:t xml:space="preserve">In police interviews, defendant Jose </w:t>
      </w:r>
      <w:r w:rsidR="00316231">
        <w:t xml:space="preserve">Luis </w:t>
      </w:r>
      <w:r w:rsidRPr="00CC27C0">
        <w:t xml:space="preserve">Perez admitted that he was present during the crimes up to just before the shooting and that his participation consisted of </w:t>
      </w:r>
      <w:r w:rsidR="00316231" w:rsidRPr="00CC27C0">
        <w:t>duc</w:t>
      </w:r>
      <w:r w:rsidR="00316231">
        <w:t>t</w:t>
      </w:r>
      <w:r w:rsidRPr="00CC27C0">
        <w:noBreakHyphen/>
        <w:t xml:space="preserve">taping a sock over </w:t>
      </w:r>
      <w:r w:rsidR="002E5868">
        <w:t xml:space="preserve">the eyes of </w:t>
      </w:r>
      <w:r w:rsidRPr="00CC27C0">
        <w:t xml:space="preserve">one </w:t>
      </w:r>
      <w:r w:rsidR="00316231">
        <w:t xml:space="preserve">of the </w:t>
      </w:r>
      <w:r w:rsidRPr="00CC27C0">
        <w:t>victim</w:t>
      </w:r>
      <w:r w:rsidR="002E5868">
        <w:t xml:space="preserve">s </w:t>
      </w:r>
      <w:r w:rsidRPr="00CC27C0">
        <w:t xml:space="preserve">and then putting him in zip ties.  Perez stated that he got into a vehicle when the group left the house with the victims, but that the vehicle he was in lost track of the other vehicles.  Perez incriminated his codefendants Edgar Ivan Chavez Navarro (“Chavez”) and Pablo Sandoval, as well as </w:t>
      </w:r>
      <w:proofErr w:type="spellStart"/>
      <w:r w:rsidRPr="00CC27C0">
        <w:t>Sabas</w:t>
      </w:r>
      <w:proofErr w:type="spellEnd"/>
      <w:r w:rsidRPr="00CC27C0">
        <w:t xml:space="preserve"> Iniguez, Caesar Rodriguez</w:t>
      </w:r>
      <w:r w:rsidRPr="00CC27C0">
        <w:rPr>
          <w:rFonts w:eastAsia="Arial Unicode MS" w:cs="Arial Unicode MS"/>
        </w:rPr>
        <w:t>, and Eduardo Alvarado (nicknamed “Lalo”).</w:t>
      </w:r>
      <w:r w:rsidRPr="00CC27C0">
        <w:t xml:space="preserve">  Perez admitted he heard the plan was to rob the victims and kill them but claimed that he was not supposed to be present and that the others simply showed up earlier than expected at the house on Center Street while he was there.  Perez claimed that Sandoval threatened to kill him and his family if he talked.</w:t>
      </w:r>
    </w:p>
    <w:p w14:paraId="417A6298" w14:textId="13612C06" w:rsidR="007518AF" w:rsidRPr="00CC27C0" w:rsidRDefault="007518AF" w:rsidP="00CC27C0">
      <w:pPr>
        <w:pStyle w:val="Text"/>
        <w:spacing w:line="400" w:lineRule="exact"/>
        <w:ind w:firstLine="720"/>
      </w:pPr>
      <w:r w:rsidRPr="00CC27C0">
        <w:t xml:space="preserve">Chavez, Perez, and Sandoval were all tried together, but Perez had </w:t>
      </w:r>
      <w:r w:rsidR="002F661C">
        <w:t xml:space="preserve">a </w:t>
      </w:r>
      <w:r w:rsidR="00492982">
        <w:t>separate</w:t>
      </w:r>
      <w:r w:rsidRPr="00CC27C0">
        <w:t xml:space="preserve"> jury.  Iniguez</w:t>
      </w:r>
      <w:r w:rsidRPr="00CC27C0" w:rsidDel="000D0F15">
        <w:t xml:space="preserve"> </w:t>
      </w:r>
      <w:r w:rsidRPr="00CC27C0">
        <w:t xml:space="preserve">testified against them pursuant to plea bargain.  He testified that a drug dealer named “Max” owed a debt to other drug dealers (the victims here) for </w:t>
      </w:r>
      <w:r w:rsidRPr="00CC27C0">
        <w:lastRenderedPageBreak/>
        <w:t>methamphetamine.  Max was a cartel member and Sandoval reported to him.  Alvarado was also a cartel member and Chavez reported to him.  One of the victims who died was a cartel member and reported to “Nacho,” i.e., the “big boss” in Guadalajara.  The surviving victim reported to that decedent victim.  Max planned to ambush his creditors and rob them of drugs and money.  Iniguez, Sandoval, Chavez, Perez, Alvarado, Rodriguez, and three unknown</w:t>
      </w:r>
      <w:r w:rsidR="002F661C">
        <w:t xml:space="preserve"> persons</w:t>
      </w:r>
      <w:r w:rsidRPr="00CC27C0">
        <w:t xml:space="preserve"> all assisted in carrying out the plan.</w:t>
      </w:r>
    </w:p>
    <w:p w14:paraId="0F254600" w14:textId="3C1ADC2A" w:rsidR="007518AF" w:rsidRPr="00CC27C0" w:rsidRDefault="007518AF" w:rsidP="00CC27C0">
      <w:pPr>
        <w:pStyle w:val="Text"/>
        <w:spacing w:line="400" w:lineRule="exact"/>
        <w:ind w:firstLine="720"/>
      </w:pPr>
      <w:r w:rsidRPr="00CC27C0">
        <w:t xml:space="preserve">The prosecution’s gang expert Jeff Moran testified that the Sinaloa drug cartel produces large amounts of methamphetamine, cocaine, and marijuana and transports them to the United States to sell.  The cartel operates as a franchise and is divided into territories, which are subdivided into cells.  Each cell connects to someone in the cartel, but each cell works independently of the other cells.  At the time of trial, “El Chapo” Guzman was the head of the Sinaloa cartel.  “Nacho” was Ignacio Coronel, who was killed in 2010.  At the time of the offenses, Coronel worked in Guadalajara and was number three in the Sinaloa drug cartel.  In Moran’s opinion, Iniguez, Sandoval, Chavez, Perez, Alvarado, and Rodriguez were all members or associates of the Sinaloa drug cartel.  He testified that the group’s coordinated efforts are consistent with members or associates of a criminal street gang acting in association or in concert with each other.  He testified that he formed his opinions based upon his training, experiences, and information obtained from this investigation.  This included information obtained from interviews </w:t>
      </w:r>
      <w:r w:rsidR="002F661C">
        <w:t xml:space="preserve">he and other detectives </w:t>
      </w:r>
      <w:r w:rsidRPr="00CC27C0">
        <w:t xml:space="preserve">conducted, Perez’s statements to police, trial testimony, classes, </w:t>
      </w:r>
      <w:r w:rsidR="00F63785">
        <w:t>I</w:t>
      </w:r>
      <w:r w:rsidRPr="00CC27C0">
        <w:t>nternet research, reports, articles about the Guzman cartel, and regular discussions with D</w:t>
      </w:r>
      <w:r w:rsidR="002F661C">
        <w:t>rug Enforcement Administration</w:t>
      </w:r>
      <w:r w:rsidRPr="00CC27C0">
        <w:t xml:space="preserve"> agents </w:t>
      </w:r>
      <w:r w:rsidRPr="00CC27C0">
        <w:lastRenderedPageBreak/>
        <w:t>about cartels.  Defense counsel did not object to Moran’s testimony on hearsay, confrontation clause, or Evidence Code section 352 grounds.  To establish the pattern of criminal gang activity, the court took judicial notice that Alvarado, Iniguez, and Rodriguez had been convicted of murder, attempted murder, and kidnapping, based upon the same events charged in the present case.</w:t>
      </w:r>
      <w:r w:rsidRPr="00CC27C0">
        <w:rPr>
          <w:rStyle w:val="FootnoteReference"/>
        </w:rPr>
        <w:footnoteReference w:id="2"/>
      </w:r>
      <w:r w:rsidRPr="00CC27C0">
        <w:t xml:space="preserve"> </w:t>
      </w:r>
    </w:p>
    <w:p w14:paraId="23FB2D3E" w14:textId="77777777" w:rsidR="007518AF" w:rsidRPr="00CC27C0" w:rsidRDefault="007518AF" w:rsidP="00CC27C0">
      <w:pPr>
        <w:pStyle w:val="Text"/>
        <w:spacing w:line="400" w:lineRule="exact"/>
        <w:ind w:firstLine="720"/>
      </w:pPr>
      <w:r w:rsidRPr="00CC27C0">
        <w:t xml:space="preserve">On October 31 and November 1, 2013, the juries convicted Chavez, Sandoval, and Perez each of two counts of </w:t>
      </w:r>
      <w:proofErr w:type="gramStart"/>
      <w:r w:rsidRPr="00CC27C0">
        <w:t>first degree</w:t>
      </w:r>
      <w:proofErr w:type="gramEnd"/>
      <w:r w:rsidRPr="00CC27C0">
        <w:t xml:space="preserve"> special circumstance murder (Pen. Code, §§ 187, subd</w:t>
      </w:r>
      <w:proofErr w:type="gramStart"/>
      <w:r w:rsidRPr="00CC27C0">
        <w:t xml:space="preserve">. </w:t>
      </w:r>
      <w:proofErr w:type="gramEnd"/>
      <w:r w:rsidRPr="00CC27C0">
        <w:t>(a), 190.2, subd</w:t>
      </w:r>
      <w:proofErr w:type="gramStart"/>
      <w:r w:rsidRPr="00CC27C0">
        <w:t xml:space="preserve">. </w:t>
      </w:r>
      <w:proofErr w:type="gramEnd"/>
      <w:r w:rsidRPr="00CC27C0">
        <w:t>(a)),</w:t>
      </w:r>
      <w:r w:rsidRPr="00CC27C0">
        <w:rPr>
          <w:rStyle w:val="FootnoteReference"/>
        </w:rPr>
        <w:footnoteReference w:id="3"/>
      </w:r>
      <w:r w:rsidRPr="00CC27C0">
        <w:t xml:space="preserve"> one count of </w:t>
      </w:r>
      <w:r w:rsidRPr="00CC27C0">
        <w:rPr>
          <w:rFonts w:eastAsia="Arial Unicode MS" w:cs="Arial Unicode MS"/>
        </w:rPr>
        <w:t>attempted premeditated murder (§§ 664, 187, subd</w:t>
      </w:r>
      <w:proofErr w:type="gramStart"/>
      <w:r w:rsidRPr="00CC27C0">
        <w:rPr>
          <w:rFonts w:eastAsia="Arial Unicode MS" w:cs="Arial Unicode MS"/>
        </w:rPr>
        <w:t xml:space="preserve">. </w:t>
      </w:r>
      <w:proofErr w:type="gramEnd"/>
      <w:r w:rsidRPr="00CC27C0">
        <w:rPr>
          <w:rFonts w:eastAsia="Arial Unicode MS" w:cs="Arial Unicode MS"/>
        </w:rPr>
        <w:t>(a)), three counts of kidnapping for ransom (§ 209, subd</w:t>
      </w:r>
      <w:proofErr w:type="gramStart"/>
      <w:r w:rsidRPr="00CC27C0">
        <w:rPr>
          <w:rFonts w:eastAsia="Arial Unicode MS" w:cs="Arial Unicode MS"/>
        </w:rPr>
        <w:t xml:space="preserve">. </w:t>
      </w:r>
      <w:proofErr w:type="gramEnd"/>
      <w:r w:rsidRPr="00CC27C0">
        <w:rPr>
          <w:rFonts w:eastAsia="Arial Unicode MS" w:cs="Arial Unicode MS"/>
        </w:rPr>
        <w:t>(a)), three counts of kidnapping to commit robbery (§ 209, subd</w:t>
      </w:r>
      <w:proofErr w:type="gramStart"/>
      <w:r w:rsidRPr="00CC27C0">
        <w:rPr>
          <w:rFonts w:eastAsia="Arial Unicode MS" w:cs="Arial Unicode MS"/>
        </w:rPr>
        <w:t xml:space="preserve">. </w:t>
      </w:r>
      <w:proofErr w:type="gramEnd"/>
      <w:r w:rsidRPr="00CC27C0">
        <w:rPr>
          <w:rFonts w:eastAsia="Arial Unicode MS" w:cs="Arial Unicode MS"/>
        </w:rPr>
        <w:t>(b)(1)), and one count of street terrorism (§ 186.22, subd</w:t>
      </w:r>
      <w:proofErr w:type="gramStart"/>
      <w:r w:rsidRPr="00CC27C0">
        <w:rPr>
          <w:rFonts w:eastAsia="Arial Unicode MS" w:cs="Arial Unicode MS"/>
        </w:rPr>
        <w:t xml:space="preserve">. </w:t>
      </w:r>
      <w:proofErr w:type="gramEnd"/>
      <w:r w:rsidRPr="00CC27C0">
        <w:rPr>
          <w:rFonts w:eastAsia="Arial Unicode MS" w:cs="Arial Unicode MS"/>
        </w:rPr>
        <w:t>(a)).</w:t>
      </w:r>
      <w:r w:rsidRPr="00CC27C0">
        <w:t xml:space="preserve">  The jury found true gang (§ 186.22, subd</w:t>
      </w:r>
      <w:proofErr w:type="gramStart"/>
      <w:r w:rsidRPr="00CC27C0">
        <w:t xml:space="preserve">. </w:t>
      </w:r>
      <w:proofErr w:type="gramEnd"/>
      <w:r w:rsidRPr="00CC27C0">
        <w:t>(b)) and firearm (§ 12022.53, subds</w:t>
      </w:r>
      <w:proofErr w:type="gramStart"/>
      <w:r w:rsidRPr="00CC27C0">
        <w:t xml:space="preserve">. </w:t>
      </w:r>
      <w:proofErr w:type="gramEnd"/>
      <w:r w:rsidRPr="00CC27C0">
        <w:t>(d) &amp; (e)(1)) enhancements.</w:t>
      </w:r>
      <w:r w:rsidRPr="00CC27C0">
        <w:rPr>
          <w:rFonts w:eastAsia="Arial Unicode MS" w:cs="Arial Unicode MS"/>
        </w:rPr>
        <w:t xml:space="preserve">  </w:t>
      </w:r>
      <w:r w:rsidRPr="00CC27C0">
        <w:t>The trial court sentenced each defendant to five terms of life without the possibility of parole.</w:t>
      </w:r>
    </w:p>
    <w:p w14:paraId="760362AF" w14:textId="55BD8A49" w:rsidR="007518AF" w:rsidRPr="00CC27C0" w:rsidRDefault="007518AF" w:rsidP="00CC27C0">
      <w:pPr>
        <w:pStyle w:val="Text"/>
        <w:spacing w:line="400" w:lineRule="exact"/>
        <w:ind w:firstLine="720"/>
      </w:pPr>
      <w:r w:rsidRPr="00CC27C0">
        <w:t xml:space="preserve">Defendants appealed.  In 2016, before the appeals were resolved, we issued our opinion in </w:t>
      </w:r>
      <w:r w:rsidRPr="00CC27C0">
        <w:rPr>
          <w:i/>
        </w:rPr>
        <w:t>Sanchez</w:t>
      </w:r>
      <w:r w:rsidR="009028D6">
        <w:rPr>
          <w:i/>
        </w:rPr>
        <w:t xml:space="preserve">, supra, </w:t>
      </w:r>
      <w:r w:rsidR="009028D6">
        <w:t>63 Cal.4th</w:t>
      </w:r>
      <w:r w:rsidR="0023408C">
        <w:t xml:space="preserve"> 665</w:t>
      </w:r>
      <w:r w:rsidRPr="00CC27C0">
        <w:t>.  In supplemental briefing, Chavez argued in the Court of Appeal that the gang expert’s testimony was hearsay and had been presented to the jury in violation of the confrontation clause.  Chavez claimed that the gang expert testified to case-</w:t>
      </w:r>
      <w:r w:rsidRPr="00CC27C0">
        <w:lastRenderedPageBreak/>
        <w:t>specific hearsay in the following ways:  (1) Iniguez admitting he was a cartel member; (2) Sandoval’s activities showed that he was a cartel member; (3) sources told Moran that Sandoval was the one who had direct contact with Max, who was calling the shots; (4) based on his “involvement and participation in this investigation,” Moran believed Chavez was a cartel associate who worked directly for Lalo; (5) Moran’s investigation, including Perez’s admission to law enforcement, led Moran to believe Perez was a low-level associate who wanted to work for Sandoval and his involvement in this case was an audition; and (6) sources told Moran and other investigators that the crimes in this case were part of a cartel</w:t>
      </w:r>
      <w:r w:rsidRPr="00CC27C0">
        <w:noBreakHyphen/>
        <w:t>ordered hit.</w:t>
      </w:r>
    </w:p>
    <w:p w14:paraId="7AEDD87E" w14:textId="083C7D18" w:rsidR="007518AF" w:rsidRPr="00CC27C0" w:rsidRDefault="007518AF" w:rsidP="00CC27C0">
      <w:pPr>
        <w:pStyle w:val="Text"/>
        <w:spacing w:line="400" w:lineRule="exact"/>
        <w:ind w:firstLine="720"/>
      </w:pPr>
      <w:r w:rsidRPr="00CC27C0">
        <w:t>The Court of Appeal held that Chavez’s failure to object to case</w:t>
      </w:r>
      <w:r w:rsidRPr="00CC27C0">
        <w:noBreakHyphen/>
        <w:t xml:space="preserve">specific hearsay in expert testimony at trial forfeited any </w:t>
      </w:r>
      <w:r w:rsidRPr="00CC27C0">
        <w:rPr>
          <w:i/>
        </w:rPr>
        <w:t>Sanchez</w:t>
      </w:r>
      <w:r w:rsidRPr="00CC27C0">
        <w:t xml:space="preserve"> claim on appeal.  The Court of Appeal found that “[e]</w:t>
      </w:r>
      <w:proofErr w:type="spellStart"/>
      <w:r w:rsidRPr="00CC27C0">
        <w:t>ven</w:t>
      </w:r>
      <w:proofErr w:type="spellEnd"/>
      <w:r w:rsidRPr="00CC27C0">
        <w:t xml:space="preserve"> though this case was tried before </w:t>
      </w:r>
      <w:r w:rsidRPr="00CC27C0">
        <w:rPr>
          <w:i/>
        </w:rPr>
        <w:t>Sanchez</w:t>
      </w:r>
      <w:r w:rsidRPr="00CC27C0">
        <w:t xml:space="preserve"> was decided, previous cases had already indicated that an expert’s testimony to hearsay was objectionable.  If anything, </w:t>
      </w:r>
      <w:r w:rsidRPr="00CC27C0">
        <w:rPr>
          <w:i/>
        </w:rPr>
        <w:t>Sanchez</w:t>
      </w:r>
      <w:r w:rsidRPr="00CC27C0">
        <w:t xml:space="preserve"> narrowed the scope of a meritorious objection by limiting it to case-specific hearsay.”  Therefore, “such objections would not have been futile.”</w:t>
      </w:r>
    </w:p>
    <w:p w14:paraId="119762F8" w14:textId="000E7E67" w:rsidR="007518AF" w:rsidRPr="00CC27C0" w:rsidRDefault="007518AF" w:rsidP="00CC27C0">
      <w:pPr>
        <w:pStyle w:val="Text"/>
        <w:spacing w:line="400" w:lineRule="exact"/>
        <w:ind w:firstLine="720"/>
      </w:pPr>
      <w:r w:rsidRPr="00CC27C0">
        <w:t xml:space="preserve">Defendants petitioned for review.  We granted the petitions and transferred the matter for the Court of Appeal to reconsider the cause </w:t>
      </w:r>
      <w:proofErr w:type="gramStart"/>
      <w:r w:rsidRPr="00CC27C0">
        <w:t>in light of</w:t>
      </w:r>
      <w:proofErr w:type="gramEnd"/>
      <w:r w:rsidRPr="00CC27C0">
        <w:t xml:space="preserve"> recent amendments to the firearm enhancement statutes.  (See § 12022.53, subd. (h), added by Stats</w:t>
      </w:r>
      <w:proofErr w:type="gramStart"/>
      <w:r w:rsidRPr="00CC27C0">
        <w:t xml:space="preserve">. </w:t>
      </w:r>
      <w:proofErr w:type="gramEnd"/>
      <w:r w:rsidRPr="00CC27C0">
        <w:t xml:space="preserve">2017, </w:t>
      </w:r>
      <w:proofErr w:type="spellStart"/>
      <w:r w:rsidRPr="00CC27C0">
        <w:t>ch.</w:t>
      </w:r>
      <w:proofErr w:type="spellEnd"/>
      <w:r w:rsidRPr="00CC27C0">
        <w:t xml:space="preserve"> 682, § 1.)  On our own motion, we also directed the Reporter of Decisions not to publish the opinion.  Upon the case’s return, as relevant here, the Court of Appeal again held that Chavez’s counsel’s failure to object in the trial court forfeited any objection to expert testimony to case-specific </w:t>
      </w:r>
      <w:r w:rsidRPr="00CC27C0">
        <w:lastRenderedPageBreak/>
        <w:t xml:space="preserve">hearsay under </w:t>
      </w:r>
      <w:r w:rsidRPr="00CC27C0">
        <w:rPr>
          <w:i/>
        </w:rPr>
        <w:t>Sanchez</w:t>
      </w:r>
      <w:r w:rsidRPr="00CC27C0">
        <w:t>.</w:t>
      </w:r>
      <w:r w:rsidR="00DA2946">
        <w:t xml:space="preserve">  (</w:t>
      </w:r>
      <w:r w:rsidR="00DA2946" w:rsidRPr="001A4E13">
        <w:rPr>
          <w:i/>
        </w:rPr>
        <w:t>People v. Perez</w:t>
      </w:r>
      <w:r w:rsidR="00DA2946">
        <w:t xml:space="preserve"> (2018) 22 Cal.App.5th 201, 212.)</w:t>
      </w:r>
    </w:p>
    <w:p w14:paraId="77BC8E0B" w14:textId="00491911" w:rsidR="007518AF" w:rsidRPr="00CC27C0" w:rsidRDefault="007518AF" w:rsidP="00CC27C0">
      <w:pPr>
        <w:pStyle w:val="Text"/>
        <w:spacing w:line="400" w:lineRule="exact"/>
        <w:ind w:firstLine="720"/>
      </w:pPr>
      <w:r w:rsidRPr="00CC27C0">
        <w:t xml:space="preserve">Defendants Chavez and Perez petitioned for review.  We granted Chavez’s petition to consider the limited issue of whether defendant’s failure to object at trial, before </w:t>
      </w:r>
      <w:r w:rsidRPr="00CC27C0">
        <w:rPr>
          <w:i/>
        </w:rPr>
        <w:t>Sanchez</w:t>
      </w:r>
      <w:r w:rsidRPr="00CC27C0">
        <w:t xml:space="preserve"> was decided, forfeited his claim that a gang expert’s testimony related case-specific hearsay in violation of his Sixth Amendment right to confrontation.   We denied Perez’s petition.</w:t>
      </w:r>
    </w:p>
    <w:p w14:paraId="17A246EA" w14:textId="77777777" w:rsidR="007518AF" w:rsidRPr="00CC27C0" w:rsidRDefault="007518AF" w:rsidP="00CC27C0">
      <w:pPr>
        <w:pStyle w:val="Heading1"/>
      </w:pPr>
      <w:r w:rsidRPr="00CC27C0">
        <w:t>II.  DISCUSSION</w:t>
      </w:r>
    </w:p>
    <w:p w14:paraId="47874FDB" w14:textId="77777777" w:rsidR="007518AF" w:rsidRPr="00CC27C0" w:rsidRDefault="007518AF" w:rsidP="00CC27C0">
      <w:pPr>
        <w:pStyle w:val="Text"/>
        <w:spacing w:line="400" w:lineRule="exact"/>
        <w:ind w:firstLine="720"/>
      </w:pPr>
      <w:r w:rsidRPr="00CC27C0">
        <w:t xml:space="preserve">Chavez argues that, even though he did not raise a confrontation clause objection to the gang expert’s testimony at the time of trial, he did not forfeit the claim because </w:t>
      </w:r>
      <w:r w:rsidRPr="00CC27C0">
        <w:rPr>
          <w:i/>
        </w:rPr>
        <w:t>Sanchez</w:t>
      </w:r>
      <w:r w:rsidRPr="00CC27C0">
        <w:t xml:space="preserve"> had not yet been decided and such an objection would therefore have been futile.  We agree.</w:t>
      </w:r>
    </w:p>
    <w:p w14:paraId="2D0F5E06" w14:textId="2B419BB2" w:rsidR="007518AF" w:rsidRPr="00CC27C0" w:rsidRDefault="007518AF" w:rsidP="00CC27C0">
      <w:pPr>
        <w:pStyle w:val="Text"/>
        <w:spacing w:line="400" w:lineRule="exact"/>
        <w:ind w:firstLine="720"/>
      </w:pPr>
      <w:r w:rsidRPr="00CC27C0">
        <w:rPr>
          <w:rFonts w:eastAsia="Arial Unicode MS" w:cs="Arial Unicode MS"/>
        </w:rPr>
        <w:t>Ordinarily, “the failure to object to the admission of expert testimony or hearsay at trial forfeits an appellate claim that such evidence was improperly admitted.”  (</w:t>
      </w:r>
      <w:r w:rsidRPr="00CC27C0">
        <w:rPr>
          <w:rFonts w:eastAsia="Arial Unicode MS" w:cs="Arial Unicode MS"/>
          <w:i/>
          <w:iCs/>
        </w:rPr>
        <w:t>People v. Stevens</w:t>
      </w:r>
      <w:r w:rsidRPr="00CC27C0">
        <w:rPr>
          <w:rFonts w:eastAsia="Arial Unicode MS" w:cs="Arial Unicode MS"/>
        </w:rPr>
        <w:t xml:space="preserve"> (2015) 62 Cal.4th 325, 333; accord, </w:t>
      </w:r>
      <w:proofErr w:type="spellStart"/>
      <w:r w:rsidRPr="00CC27C0">
        <w:rPr>
          <w:rFonts w:eastAsia="Arial Unicode MS" w:cs="Arial Unicode MS"/>
        </w:rPr>
        <w:t>Evid</w:t>
      </w:r>
      <w:proofErr w:type="spellEnd"/>
      <w:proofErr w:type="gramStart"/>
      <w:r w:rsidRPr="00CC27C0">
        <w:rPr>
          <w:rFonts w:eastAsia="Arial Unicode MS" w:cs="Arial Unicode MS"/>
        </w:rPr>
        <w:t xml:space="preserve">. </w:t>
      </w:r>
      <w:proofErr w:type="gramEnd"/>
      <w:r w:rsidRPr="00CC27C0">
        <w:rPr>
          <w:rFonts w:eastAsia="Arial Unicode MS" w:cs="Arial Unicode MS"/>
        </w:rPr>
        <w:t>Code, § 353, subd</w:t>
      </w:r>
      <w:proofErr w:type="gramStart"/>
      <w:r w:rsidRPr="00CC27C0">
        <w:rPr>
          <w:rFonts w:eastAsia="Arial Unicode MS" w:cs="Arial Unicode MS"/>
        </w:rPr>
        <w:t xml:space="preserve">. </w:t>
      </w:r>
      <w:proofErr w:type="gramEnd"/>
      <w:r w:rsidRPr="00CC27C0">
        <w:rPr>
          <w:rFonts w:eastAsia="Arial Unicode MS" w:cs="Arial Unicode MS"/>
        </w:rPr>
        <w:t>(a)</w:t>
      </w:r>
      <w:r w:rsidRPr="00CC27C0">
        <w:t xml:space="preserve">.)  </w:t>
      </w:r>
      <w:proofErr w:type="gramStart"/>
      <w:r w:rsidRPr="00CC27C0">
        <w:t>“ ‘</w:t>
      </w:r>
      <w:proofErr w:type="gramEnd"/>
      <w:r w:rsidRPr="00CC27C0">
        <w:t>The reason for the [objection] requirement is manifest: a specifically grounded objection to a defined body of evidence serves to prevent error.  It allows the trial judge to consider excluding the evidence or limiting its admission to avoid possible prejudice.  It also allows the proponent of the evidence to lay additional foundation, modify the offer of proof, or take other steps designed to minimize the prospect of reversal.</w:t>
      </w:r>
      <w:proofErr w:type="gramStart"/>
      <w:r w:rsidRPr="00CC27C0">
        <w:t>’ ”</w:t>
      </w:r>
      <w:proofErr w:type="gramEnd"/>
      <w:r w:rsidRPr="00CC27C0">
        <w:t xml:space="preserve">  (</w:t>
      </w:r>
      <w:r w:rsidRPr="00CC27C0">
        <w:rPr>
          <w:i/>
        </w:rPr>
        <w:t xml:space="preserve">People v. </w:t>
      </w:r>
      <w:proofErr w:type="spellStart"/>
      <w:r w:rsidRPr="00CC27C0">
        <w:rPr>
          <w:i/>
        </w:rPr>
        <w:t>Partida</w:t>
      </w:r>
      <w:proofErr w:type="spellEnd"/>
      <w:r w:rsidRPr="00CC27C0">
        <w:t xml:space="preserve"> (2005) 37 Cal.4th 428, 434.)</w:t>
      </w:r>
      <w:r w:rsidR="000D7D76">
        <w:t xml:space="preserve">  </w:t>
      </w:r>
      <w:r w:rsidR="00256BF8">
        <w:t>Even when not required under our forfeiture doctrine, a</w:t>
      </w:r>
      <w:r w:rsidR="000D7D76">
        <w:t xml:space="preserve">n objection </w:t>
      </w:r>
      <w:r w:rsidR="00256BF8">
        <w:t xml:space="preserve">can </w:t>
      </w:r>
      <w:r w:rsidR="000D7D76">
        <w:t>s</w:t>
      </w:r>
      <w:r w:rsidR="00256BF8">
        <w:t xml:space="preserve">till serve </w:t>
      </w:r>
      <w:r w:rsidR="006E4A5B">
        <w:t xml:space="preserve">these </w:t>
      </w:r>
      <w:r w:rsidR="00256BF8">
        <w:t xml:space="preserve">important purposes and can </w:t>
      </w:r>
      <w:r w:rsidR="00CA2735">
        <w:t>be crucial to</w:t>
      </w:r>
      <w:r w:rsidR="00256BF8">
        <w:t xml:space="preserve"> develop</w:t>
      </w:r>
      <w:r w:rsidR="00CA2735">
        <w:t>ing</w:t>
      </w:r>
      <w:r w:rsidR="00256BF8">
        <w:t xml:space="preserve"> the law.</w:t>
      </w:r>
    </w:p>
    <w:p w14:paraId="4196E160" w14:textId="0F535F12" w:rsidR="007518AF" w:rsidRPr="00CC27C0" w:rsidRDefault="000D7D76" w:rsidP="00CC27C0">
      <w:pPr>
        <w:pStyle w:val="Text"/>
        <w:spacing w:line="400" w:lineRule="exact"/>
        <w:ind w:firstLine="720"/>
      </w:pPr>
      <w:r>
        <w:lastRenderedPageBreak/>
        <w:t>Nevertheless</w:t>
      </w:r>
      <w:r w:rsidR="007518AF" w:rsidRPr="00CC27C0">
        <w:t>, “[a]s this court has explained, ‘</w:t>
      </w:r>
      <w:r w:rsidR="00DA2946">
        <w:t>[</w:t>
      </w:r>
      <w:r w:rsidR="007518AF" w:rsidRPr="00CC27C0">
        <w:t>r</w:t>
      </w:r>
      <w:r w:rsidR="00DA2946">
        <w:t>]</w:t>
      </w:r>
      <w:proofErr w:type="spellStart"/>
      <w:r w:rsidR="007518AF" w:rsidRPr="00CC27C0">
        <w:t>eviewing</w:t>
      </w:r>
      <w:proofErr w:type="spellEnd"/>
      <w:r w:rsidR="007518AF" w:rsidRPr="00CC27C0">
        <w:t xml:space="preserve"> courts have traditionally excused parties for failing to raise an issue at trial where an objection would have been futile or wholly unsupported by substantive law then in existence.</w:t>
      </w:r>
      <w:proofErr w:type="gramStart"/>
      <w:r w:rsidR="007518AF" w:rsidRPr="00CC27C0">
        <w:t>’ ”</w:t>
      </w:r>
      <w:proofErr w:type="gramEnd"/>
      <w:r w:rsidR="007518AF" w:rsidRPr="00CC27C0">
        <w:t xml:space="preserve">  (</w:t>
      </w:r>
      <w:r w:rsidR="007518AF" w:rsidRPr="00CC27C0">
        <w:rPr>
          <w:i/>
        </w:rPr>
        <w:t>People v. Brooks</w:t>
      </w:r>
      <w:r w:rsidR="007518AF" w:rsidRPr="00CC27C0">
        <w:t xml:space="preserve"> (2017) 3 Cal.5th 1, 92, quoting </w:t>
      </w:r>
      <w:r w:rsidR="007518AF" w:rsidRPr="00CC27C0">
        <w:rPr>
          <w:i/>
        </w:rPr>
        <w:t>People v. Welch</w:t>
      </w:r>
      <w:r w:rsidR="007518AF" w:rsidRPr="00CC27C0">
        <w:t xml:space="preserve"> (1993) 5 Cal.4th 228, 237.)  Indeed, “</w:t>
      </w:r>
      <w:r w:rsidR="00DA2946">
        <w:t xml:space="preserve"> ‘ “</w:t>
      </w:r>
      <w:r w:rsidR="007518AF" w:rsidRPr="00CC27C0">
        <w:t>[w]e have excused a failure to object where to require defense counsel to raise an objection ‘would place an unreasonable burden on defendants to anticipate unforeseen changes in the law and encourage fruitless objections in other situations where defendants might hope that an established rule of evidence would be changed on appeal.’ ”</w:t>
      </w:r>
      <w:r w:rsidR="00DA2946">
        <w:t> ’ ”</w:t>
      </w:r>
      <w:r w:rsidR="007518AF" w:rsidRPr="00CC27C0">
        <w:t xml:space="preserve">  (</w:t>
      </w:r>
      <w:r w:rsidR="007518AF" w:rsidRPr="00CC27C0">
        <w:rPr>
          <w:i/>
        </w:rPr>
        <w:t>People v. Edwards</w:t>
      </w:r>
      <w:r w:rsidR="007518AF" w:rsidRPr="00CC27C0">
        <w:t xml:space="preserve"> (2013) 57 Cal.4th 658, 705 (</w:t>
      </w:r>
      <w:r w:rsidR="007518AF" w:rsidRPr="00CC27C0">
        <w:rPr>
          <w:i/>
        </w:rPr>
        <w:t>Edwards</w:t>
      </w:r>
      <w:r w:rsidR="007518AF" w:rsidRPr="00CC27C0">
        <w:t>).)  “In determining whether the significance of a change in the law excuses counsel’s failure to object at trial, we consider the ‘state of the law as it would have appeared to competent and knowledgeable counsel at the time of the trial.</w:t>
      </w:r>
      <w:proofErr w:type="gramStart"/>
      <w:r w:rsidR="007518AF" w:rsidRPr="00CC27C0">
        <w:t>’ ”</w:t>
      </w:r>
      <w:proofErr w:type="gramEnd"/>
      <w:r w:rsidR="007518AF" w:rsidRPr="00CC27C0">
        <w:t xml:space="preserve">  (</w:t>
      </w:r>
      <w:r w:rsidR="007518AF" w:rsidRPr="00CC27C0">
        <w:rPr>
          <w:i/>
        </w:rPr>
        <w:t>People v. Black</w:t>
      </w:r>
      <w:r w:rsidR="007518AF" w:rsidRPr="00CC27C0">
        <w:t xml:space="preserve"> (2007) 41 Cal.4th 799, 811 (</w:t>
      </w:r>
      <w:r w:rsidR="007518AF" w:rsidRPr="00CC27C0">
        <w:rPr>
          <w:i/>
        </w:rPr>
        <w:t>Black</w:t>
      </w:r>
      <w:r w:rsidR="007518AF" w:rsidRPr="00CC27C0">
        <w:t xml:space="preserve">), quoting </w:t>
      </w:r>
      <w:r w:rsidR="007518AF" w:rsidRPr="00CC27C0">
        <w:rPr>
          <w:i/>
        </w:rPr>
        <w:t>People v. De Santiago</w:t>
      </w:r>
      <w:r w:rsidR="007518AF" w:rsidRPr="00CC27C0">
        <w:t xml:space="preserve"> (1969) 71 Cal.2d 18, 23.)  “The circumstance that some attorneys may have had the foresight to raise </w:t>
      </w:r>
      <w:proofErr w:type="spellStart"/>
      <w:r w:rsidR="007518AF" w:rsidRPr="00CC27C0">
        <w:t>th</w:t>
      </w:r>
      <w:proofErr w:type="spellEnd"/>
      <w:r w:rsidR="007518AF" w:rsidRPr="00CC27C0">
        <w:t xml:space="preserve">[e] issue does not mean that competent and knowledgeable counsel reasonably could have been expected to have anticipated the high court’s </w:t>
      </w:r>
      <w:proofErr w:type="gramStart"/>
      <w:r w:rsidR="007518AF" w:rsidRPr="00CC27C0">
        <w:t>decision</w:t>
      </w:r>
      <w:r w:rsidR="006274B0">
        <w:t> </w:t>
      </w:r>
      <w:r w:rsidR="007518AF" w:rsidRPr="00CC27C0">
        <w:t>.</w:t>
      </w:r>
      <w:proofErr w:type="gramEnd"/>
      <w:r w:rsidR="006274B0">
        <w:t> </w:t>
      </w:r>
      <w:r w:rsidR="006274B0">
        <w:rPr>
          <w:sz w:val="28"/>
        </w:rPr>
        <w:t>. . .</w:t>
      </w:r>
      <w:r w:rsidR="007518AF" w:rsidRPr="00CC27C0">
        <w:t>”  (</w:t>
      </w:r>
      <w:r w:rsidR="007518AF" w:rsidRPr="00CC27C0">
        <w:rPr>
          <w:i/>
        </w:rPr>
        <w:t>Black</w:t>
      </w:r>
      <w:r w:rsidR="007518AF" w:rsidRPr="00CC27C0">
        <w:t>, at p. 812.)</w:t>
      </w:r>
    </w:p>
    <w:p w14:paraId="5450E781" w14:textId="0E462E13" w:rsidR="007518AF" w:rsidRPr="00CC27C0" w:rsidRDefault="007518AF" w:rsidP="00CC27C0">
      <w:pPr>
        <w:pStyle w:val="Text"/>
        <w:spacing w:line="400" w:lineRule="exact"/>
        <w:ind w:firstLine="720"/>
      </w:pPr>
      <w:r w:rsidRPr="00CC27C0">
        <w:t xml:space="preserve">At the time of Chavez’s trial, </w:t>
      </w:r>
      <w:r w:rsidRPr="00CC27C0">
        <w:rPr>
          <w:i/>
        </w:rPr>
        <w:t xml:space="preserve">People v. </w:t>
      </w:r>
      <w:proofErr w:type="spellStart"/>
      <w:r w:rsidRPr="00CC27C0">
        <w:rPr>
          <w:i/>
        </w:rPr>
        <w:t>Gardeley</w:t>
      </w:r>
      <w:proofErr w:type="spellEnd"/>
      <w:r w:rsidRPr="00CC27C0">
        <w:t xml:space="preserve"> (1996) 14 Cal.4th 605 and </w:t>
      </w:r>
      <w:r w:rsidRPr="00CC27C0">
        <w:rPr>
          <w:i/>
        </w:rPr>
        <w:t>People v. Montiel</w:t>
      </w:r>
      <w:r w:rsidRPr="00CC27C0">
        <w:t xml:space="preserve"> (1993) 5 Cal.4th 877, 919 (</w:t>
      </w:r>
      <w:r w:rsidRPr="00CC27C0">
        <w:rPr>
          <w:i/>
        </w:rPr>
        <w:t>Montiel</w:t>
      </w:r>
      <w:r w:rsidRPr="00CC27C0">
        <w:t xml:space="preserve">) were controlling authority on expert testimony.  </w:t>
      </w:r>
      <w:proofErr w:type="spellStart"/>
      <w:r w:rsidRPr="00CC27C0">
        <w:rPr>
          <w:i/>
        </w:rPr>
        <w:t>Gardeley</w:t>
      </w:r>
      <w:proofErr w:type="spellEnd"/>
      <w:r w:rsidRPr="00CC27C0">
        <w:t xml:space="preserve"> permitted a qualified expert witness to testify on direct examination to any sufficiently reliable hearsay sources used in formulation of the expert’s opinion.  (See </w:t>
      </w:r>
      <w:proofErr w:type="spellStart"/>
      <w:r w:rsidRPr="00CC27C0">
        <w:rPr>
          <w:i/>
        </w:rPr>
        <w:t>Gardeley</w:t>
      </w:r>
      <w:proofErr w:type="spellEnd"/>
      <w:r w:rsidRPr="00CC27C0">
        <w:t>, at p. 618.)  Consequently, “[c]</w:t>
      </w:r>
      <w:proofErr w:type="spellStart"/>
      <w:r w:rsidRPr="00CC27C0">
        <w:t>ourts</w:t>
      </w:r>
      <w:proofErr w:type="spellEnd"/>
      <w:r w:rsidRPr="00CC27C0">
        <w:t xml:space="preserve"> created a two</w:t>
      </w:r>
      <w:r w:rsidRPr="00CC27C0">
        <w:noBreakHyphen/>
        <w:t xml:space="preserve">pronged approach to balancing ‘an expert’s need to consider extrajudicial matters, </w:t>
      </w:r>
      <w:r w:rsidRPr="00CC27C0">
        <w:lastRenderedPageBreak/>
        <w:t>and a jury’s need for information sufficient to evaluate an expert opinion’ so as not to ‘conflict with an accused’s interest in avoiding substantive use of unreliable hearsay.</w:t>
      </w:r>
      <w:proofErr w:type="gramStart"/>
      <w:r w:rsidRPr="00CC27C0">
        <w:t>’ ”</w:t>
      </w:r>
      <w:proofErr w:type="gramEnd"/>
      <w:r w:rsidRPr="00CC27C0">
        <w:t xml:space="preserve">  (</w:t>
      </w:r>
      <w:r w:rsidRPr="00CC27C0">
        <w:rPr>
          <w:i/>
        </w:rPr>
        <w:t>Sanchez</w:t>
      </w:r>
      <w:r w:rsidRPr="00CC27C0">
        <w:t xml:space="preserve">, </w:t>
      </w:r>
      <w:r w:rsidRPr="00CC27C0">
        <w:rPr>
          <w:i/>
        </w:rPr>
        <w:t>supra</w:t>
      </w:r>
      <w:r w:rsidRPr="00CC27C0">
        <w:t xml:space="preserve">, 63 Cal.4th at p. 679, quoting </w:t>
      </w:r>
      <w:r w:rsidRPr="00CC27C0">
        <w:rPr>
          <w:i/>
        </w:rPr>
        <w:t>Montiel</w:t>
      </w:r>
      <w:r w:rsidRPr="00CC27C0">
        <w:t>, at p. 919.)  “Most often</w:t>
      </w:r>
      <w:r w:rsidR="005279E5">
        <w:t>,</w:t>
      </w:r>
      <w:r w:rsidRPr="00CC27C0">
        <w:t xml:space="preserve"> hearsay problems [were] cured by an instruction that matters admitted through an expert go only to </w:t>
      </w:r>
      <w:r w:rsidR="005279E5">
        <w:t>[</w:t>
      </w:r>
      <w:r w:rsidRPr="00CC27C0">
        <w:t>the</w:t>
      </w:r>
      <w:r w:rsidR="005279E5">
        <w:t>]</w:t>
      </w:r>
      <w:r w:rsidRPr="00CC27C0">
        <w:t xml:space="preserve"> basis of the opinion and should not be considered for their truth.  [Citation.]  [</w:t>
      </w:r>
      <w:proofErr w:type="gramStart"/>
      <w:r w:rsidRPr="00CC27C0">
        <w:t>¶]  Sometimes</w:t>
      </w:r>
      <w:proofErr w:type="gramEnd"/>
      <w:r w:rsidRPr="00CC27C0">
        <w:t xml:space="preserve"> a limiting instruction [was] not </w:t>
      </w:r>
      <w:r w:rsidR="005279E5">
        <w:t>. . .</w:t>
      </w:r>
      <w:r w:rsidRPr="00CC27C0">
        <w:t xml:space="preserve"> enough.  In such cases, Evidence Code section 352 authorize[d] the court to exclude from an expert’s testimony any hearsay </w:t>
      </w:r>
      <w:proofErr w:type="gramStart"/>
      <w:r w:rsidRPr="00CC27C0">
        <w:t>matter</w:t>
      </w:r>
      <w:proofErr w:type="gramEnd"/>
      <w:r w:rsidRPr="00CC27C0">
        <w:t xml:space="preserve"> whose irrelevance, unreliability, or potential for prejudice outweighs its proper probative value.”  (</w:t>
      </w:r>
      <w:r w:rsidRPr="00CC27C0">
        <w:rPr>
          <w:i/>
        </w:rPr>
        <w:t>Montiel</w:t>
      </w:r>
      <w:r w:rsidRPr="00CC27C0">
        <w:t>, at p. 919.)</w:t>
      </w:r>
    </w:p>
    <w:p w14:paraId="3ECE3294" w14:textId="233475A2" w:rsidR="007518AF" w:rsidRPr="00CC27C0" w:rsidRDefault="007518AF" w:rsidP="00CC27C0">
      <w:pPr>
        <w:pStyle w:val="Text"/>
        <w:spacing w:line="400" w:lineRule="exact"/>
        <w:ind w:firstLine="720"/>
      </w:pPr>
      <w:r w:rsidRPr="00CC27C0">
        <w:t xml:space="preserve">After Chavez’s trial, </w:t>
      </w:r>
      <w:r w:rsidRPr="00CC27C0">
        <w:rPr>
          <w:i/>
        </w:rPr>
        <w:t>Sanchez</w:t>
      </w:r>
      <w:r w:rsidRPr="00CC27C0">
        <w:t xml:space="preserve"> found that “this paradigm is no longer tenable because an expert’s testimony regarding the basis for an opinion </w:t>
      </w:r>
      <w:r w:rsidRPr="00CC27C0">
        <w:rPr>
          <w:i/>
        </w:rPr>
        <w:t>must</w:t>
      </w:r>
      <w:r w:rsidRPr="00CC27C0">
        <w:t xml:space="preserve"> be considered for its truth by the jury.”  (</w:t>
      </w:r>
      <w:r w:rsidRPr="00CC27C0">
        <w:rPr>
          <w:i/>
        </w:rPr>
        <w:t>Sanchez</w:t>
      </w:r>
      <w:r w:rsidRPr="00CC27C0">
        <w:t xml:space="preserve">, </w:t>
      </w:r>
      <w:r w:rsidRPr="00CC27C0">
        <w:rPr>
          <w:i/>
        </w:rPr>
        <w:t>supra</w:t>
      </w:r>
      <w:r w:rsidRPr="00CC27C0">
        <w:t xml:space="preserve">, 63 Cal.4th at p. 679.)  </w:t>
      </w:r>
      <w:r w:rsidRPr="00CC27C0">
        <w:rPr>
          <w:i/>
        </w:rPr>
        <w:t>Sanchez</w:t>
      </w:r>
      <w:r w:rsidRPr="00CC27C0">
        <w:t xml:space="preserve"> explained that “[w]hen any expert relates to the jury case-specific out-of-court </w:t>
      </w:r>
      <w:proofErr w:type="gramStart"/>
      <w:r w:rsidRPr="00CC27C0">
        <w:t>statements, and</w:t>
      </w:r>
      <w:proofErr w:type="gramEnd"/>
      <w:r w:rsidRPr="00CC27C0">
        <w:t xml:space="preserve"> treats the content of those statements as true and accurate to support the expert’s opinion, the statements are hearsay.  It cannot logically be maintained that the statements are not being admitted for their truth.”  (</w:t>
      </w:r>
      <w:r w:rsidRPr="00CC27C0">
        <w:rPr>
          <w:i/>
        </w:rPr>
        <w:t>Id</w:t>
      </w:r>
      <w:r w:rsidRPr="00CC27C0">
        <w:t>. at p. 686.)  “If an expert testifies to case</w:t>
      </w:r>
      <w:r w:rsidRPr="00CC27C0">
        <w:noBreakHyphen/>
        <w:t>specific out-of-court statements to explain the bases for his [or her] opinion, those statements are necessarily considered by the jury for their truth, thus rendering them hearsay.  Like any other hearsay evidence, it must be properly admitted through an applicable hearsay exception.  Alternatively, the evidence can be admitted through an appropriate witness and the expert may assume its truth in a properly worded hypothetical question in the traditional manner.”  (</w:t>
      </w:r>
      <w:r w:rsidRPr="00CC27C0">
        <w:rPr>
          <w:i/>
        </w:rPr>
        <w:t>Id</w:t>
      </w:r>
      <w:r w:rsidRPr="00CC27C0">
        <w:t>. at p. 684</w:t>
      </w:r>
      <w:r w:rsidR="005279E5">
        <w:t>, fn. omitted</w:t>
      </w:r>
      <w:r w:rsidRPr="00CC27C0">
        <w:t xml:space="preserve">.)  </w:t>
      </w:r>
      <w:r w:rsidRPr="00CC27C0">
        <w:rPr>
          <w:i/>
        </w:rPr>
        <w:t>Sanchez</w:t>
      </w:r>
      <w:r w:rsidRPr="00CC27C0">
        <w:t xml:space="preserve"> clarified that an “expert may still </w:t>
      </w:r>
      <w:r w:rsidRPr="00080C97">
        <w:rPr>
          <w:i/>
        </w:rPr>
        <w:t>rely</w:t>
      </w:r>
      <w:r w:rsidRPr="00CC27C0">
        <w:t xml:space="preserve"> on hearsay in forming an </w:t>
      </w:r>
      <w:proofErr w:type="gramStart"/>
      <w:r w:rsidRPr="00CC27C0">
        <w:t>opinion, and</w:t>
      </w:r>
      <w:proofErr w:type="gramEnd"/>
      <w:r w:rsidRPr="00CC27C0">
        <w:t xml:space="preserve"> may </w:t>
      </w:r>
      <w:r w:rsidRPr="00CC27C0">
        <w:lastRenderedPageBreak/>
        <w:t xml:space="preserve">tell the jury </w:t>
      </w:r>
      <w:r w:rsidRPr="00080C97">
        <w:rPr>
          <w:i/>
        </w:rPr>
        <w:t>in general terms</w:t>
      </w:r>
      <w:r w:rsidRPr="00CC27C0">
        <w:t xml:space="preserve"> that he did so” </w:t>
      </w:r>
      <w:r w:rsidR="005279E5">
        <w:t>(</w:t>
      </w:r>
      <w:r w:rsidR="005279E5" w:rsidRPr="00080C97">
        <w:rPr>
          <w:i/>
        </w:rPr>
        <w:t>id</w:t>
      </w:r>
      <w:r w:rsidR="005279E5">
        <w:t xml:space="preserve">. at p. 685), </w:t>
      </w:r>
      <w:r w:rsidRPr="00CC27C0">
        <w:t xml:space="preserve">that is, </w:t>
      </w:r>
      <w:r w:rsidR="005279E5">
        <w:t>the expert</w:t>
      </w:r>
      <w:r w:rsidRPr="00CC27C0">
        <w:t xml:space="preserve"> may “relate generally” the “kind and source of the ‘matter’ upon which his opinion rests” (</w:t>
      </w:r>
      <w:r w:rsidR="005279E5">
        <w:rPr>
          <w:i/>
        </w:rPr>
        <w:t>i</w:t>
      </w:r>
      <w:r w:rsidRPr="00CC27C0">
        <w:rPr>
          <w:i/>
        </w:rPr>
        <w:t>d</w:t>
      </w:r>
      <w:proofErr w:type="gramStart"/>
      <w:r w:rsidRPr="00CC27C0">
        <w:t xml:space="preserve">. </w:t>
      </w:r>
      <w:proofErr w:type="gramEnd"/>
      <w:r w:rsidRPr="00CC27C0">
        <w:t>at p. 686)</w:t>
      </w:r>
      <w:r w:rsidR="005279E5">
        <w:t>.</w:t>
      </w:r>
    </w:p>
    <w:p w14:paraId="07773521" w14:textId="77777777" w:rsidR="007518AF" w:rsidRPr="00CC27C0" w:rsidRDefault="007518AF" w:rsidP="00CC27C0">
      <w:pPr>
        <w:pStyle w:val="Text"/>
        <w:spacing w:line="400" w:lineRule="exact"/>
        <w:ind w:firstLine="720"/>
      </w:pPr>
      <w:r w:rsidRPr="00CC27C0">
        <w:rPr>
          <w:i/>
        </w:rPr>
        <w:t>Sanchez</w:t>
      </w:r>
      <w:r w:rsidRPr="00CC27C0">
        <w:t xml:space="preserve"> consequently disapproved </w:t>
      </w:r>
      <w:proofErr w:type="spellStart"/>
      <w:r w:rsidRPr="00CC27C0">
        <w:rPr>
          <w:i/>
        </w:rPr>
        <w:t>Gardeley</w:t>
      </w:r>
      <w:proofErr w:type="spellEnd"/>
      <w:r w:rsidRPr="00CC27C0">
        <w:t xml:space="preserve"> “to the extent it suggested an expert may properly testify regarding case-specific out-of-court statements without satisfying hearsay rules.”  (</w:t>
      </w:r>
      <w:r w:rsidRPr="00CC27C0">
        <w:rPr>
          <w:i/>
        </w:rPr>
        <w:t>Sanchez</w:t>
      </w:r>
      <w:r w:rsidRPr="00CC27C0">
        <w:t xml:space="preserve">, </w:t>
      </w:r>
      <w:r w:rsidRPr="00CC27C0">
        <w:rPr>
          <w:i/>
        </w:rPr>
        <w:t>supra</w:t>
      </w:r>
      <w:r w:rsidRPr="00CC27C0">
        <w:t xml:space="preserve">, 63 Cal.4th at p. 686, fn. 13.)  </w:t>
      </w:r>
      <w:r w:rsidRPr="00CC27C0">
        <w:rPr>
          <w:i/>
        </w:rPr>
        <w:t>Sanchez</w:t>
      </w:r>
      <w:r w:rsidRPr="00CC27C0">
        <w:t xml:space="preserve"> also disapproved “prior decisions concluding that an expert’s basis testimony is not offered for its truth, or that a limiting instruction, coupled with a trial court’s evaluation of the potential prejudicial impact of the evidence under Evidence Code section 352, sufficiently addresses hearsay and confrontation concerns.”  (</w:t>
      </w:r>
      <w:r w:rsidRPr="00CC27C0">
        <w:rPr>
          <w:i/>
        </w:rPr>
        <w:t>Ibid.</w:t>
      </w:r>
      <w:r w:rsidRPr="00CC27C0">
        <w:t xml:space="preserve">)  Specifically, </w:t>
      </w:r>
      <w:r w:rsidRPr="00CC27C0">
        <w:rPr>
          <w:i/>
        </w:rPr>
        <w:t>Sanchez</w:t>
      </w:r>
      <w:r w:rsidRPr="00CC27C0">
        <w:t xml:space="preserve"> disapproved </w:t>
      </w:r>
      <w:r w:rsidRPr="00CC27C0">
        <w:rPr>
          <w:i/>
        </w:rPr>
        <w:t>People v. Bell</w:t>
      </w:r>
      <w:r w:rsidRPr="00CC27C0">
        <w:t xml:space="preserve"> (2007) 40 Cal.4th 582, 608; </w:t>
      </w:r>
      <w:r w:rsidRPr="00CC27C0">
        <w:rPr>
          <w:i/>
        </w:rPr>
        <w:t>Montiel</w:t>
      </w:r>
      <w:r w:rsidRPr="00CC27C0">
        <w:t xml:space="preserve">, </w:t>
      </w:r>
      <w:r w:rsidRPr="00CC27C0">
        <w:rPr>
          <w:i/>
        </w:rPr>
        <w:t>supra</w:t>
      </w:r>
      <w:r w:rsidRPr="00CC27C0">
        <w:t xml:space="preserve">, 5 Cal.4th at pp. 918–919; </w:t>
      </w:r>
      <w:r w:rsidRPr="00CC27C0">
        <w:rPr>
          <w:i/>
        </w:rPr>
        <w:t>People v. Ainsworth</w:t>
      </w:r>
      <w:r w:rsidRPr="00CC27C0">
        <w:t xml:space="preserve"> (1988) 45 Cal.3d 984, 1012; </w:t>
      </w:r>
      <w:r w:rsidRPr="00CC27C0">
        <w:rPr>
          <w:i/>
        </w:rPr>
        <w:t>People v. Milner</w:t>
      </w:r>
      <w:r w:rsidRPr="00CC27C0">
        <w:t xml:space="preserve"> (1988) 45 Cal.3d 227, 238–240; and </w:t>
      </w:r>
      <w:r w:rsidRPr="00CC27C0">
        <w:rPr>
          <w:i/>
        </w:rPr>
        <w:t>People v. Coleman</w:t>
      </w:r>
      <w:r w:rsidRPr="00CC27C0">
        <w:t xml:space="preserve"> (1985) 38 Cal.3d 69, 91–93.</w:t>
      </w:r>
    </w:p>
    <w:p w14:paraId="033DF2E8" w14:textId="2E9189B7" w:rsidR="007518AF" w:rsidRPr="00CC27C0" w:rsidRDefault="007518AF" w:rsidP="00CC27C0">
      <w:pPr>
        <w:pStyle w:val="Text"/>
        <w:spacing w:line="400" w:lineRule="exact"/>
        <w:ind w:firstLine="720"/>
      </w:pPr>
      <w:r w:rsidRPr="00CC27C0">
        <w:rPr>
          <w:i/>
        </w:rPr>
        <w:t xml:space="preserve">Sanchez </w:t>
      </w:r>
      <w:r w:rsidRPr="00CC27C0">
        <w:t xml:space="preserve">thus expressly changed the law previously established by </w:t>
      </w:r>
      <w:proofErr w:type="spellStart"/>
      <w:r w:rsidRPr="00CC27C0">
        <w:rPr>
          <w:i/>
        </w:rPr>
        <w:t>Gardeley</w:t>
      </w:r>
      <w:proofErr w:type="spellEnd"/>
      <w:r w:rsidRPr="00CC27C0">
        <w:t xml:space="preserve"> and </w:t>
      </w:r>
      <w:r w:rsidRPr="00CC27C0">
        <w:rPr>
          <w:i/>
        </w:rPr>
        <w:t>Montiel</w:t>
      </w:r>
      <w:r w:rsidRPr="00CC27C0">
        <w:t>.  “</w:t>
      </w:r>
      <w:r w:rsidR="005279E5">
        <w:t> ‘ “[</w:t>
      </w:r>
      <w:r w:rsidRPr="00CC27C0">
        <w:t>W</w:t>
      </w:r>
      <w:r w:rsidR="005279E5">
        <w:t>]</w:t>
      </w:r>
      <w:r w:rsidRPr="00CC27C0">
        <w:t>e have excused a failure to object where to require defense counsel to raise an objection ‘would place an unreasonable burden on defendants to anticipate unforeseen changes in the law and encourage fruitless objections in other situations where defendants might hope that an established rule of evidence would be changed on appeal.’</w:t>
      </w:r>
      <w:r w:rsidR="005279E5">
        <w:t> </w:t>
      </w:r>
      <w:r w:rsidRPr="00CC27C0">
        <w:t>”</w:t>
      </w:r>
      <w:r w:rsidR="005279E5">
        <w:t> ’ ”</w:t>
      </w:r>
      <w:r w:rsidRPr="00CC27C0">
        <w:t xml:space="preserve">  (</w:t>
      </w:r>
      <w:r w:rsidRPr="00CC27C0">
        <w:rPr>
          <w:i/>
        </w:rPr>
        <w:t>Edwards</w:t>
      </w:r>
      <w:r w:rsidRPr="00CC27C0">
        <w:t xml:space="preserve">, </w:t>
      </w:r>
      <w:r w:rsidRPr="00CC27C0">
        <w:rPr>
          <w:i/>
        </w:rPr>
        <w:t>supra</w:t>
      </w:r>
      <w:r w:rsidRPr="00CC27C0">
        <w:t xml:space="preserve">, 57 Cal.4th at p. 705.)  </w:t>
      </w:r>
      <w:bookmarkStart w:id="4" w:name="_Hlk16521496"/>
      <w:r w:rsidRPr="00CC27C0">
        <w:t xml:space="preserve">We therefore hold that the failure of Chavez’s counsel to object at trial before </w:t>
      </w:r>
      <w:r w:rsidRPr="00CC27C0">
        <w:rPr>
          <w:i/>
        </w:rPr>
        <w:t>Sanchez</w:t>
      </w:r>
      <w:r w:rsidRPr="00CC27C0">
        <w:t xml:space="preserve"> was decided did not forfeit a claim on appeal based upon </w:t>
      </w:r>
      <w:r w:rsidRPr="00CC27C0">
        <w:rPr>
          <w:i/>
        </w:rPr>
        <w:t>Sanchez</w:t>
      </w:r>
      <w:r w:rsidRPr="00CC27C0">
        <w:t xml:space="preserve">.  The great weight of authority below is consistent with this ruling.  (See, e.g., </w:t>
      </w:r>
      <w:r w:rsidRPr="00CC27C0">
        <w:rPr>
          <w:i/>
        </w:rPr>
        <w:t>People v. Flint</w:t>
      </w:r>
      <w:r w:rsidRPr="00CC27C0">
        <w:t xml:space="preserve"> (2018) 22 Cal.App.5th 983, 996–997; </w:t>
      </w:r>
      <w:r w:rsidRPr="00CC27C0">
        <w:rPr>
          <w:i/>
        </w:rPr>
        <w:t>People v. Hall</w:t>
      </w:r>
      <w:r w:rsidRPr="00CC27C0">
        <w:t xml:space="preserve"> (2018) 23 Cal.App.5th 576, 602, fn. 10; </w:t>
      </w:r>
      <w:r w:rsidRPr="00CC27C0">
        <w:rPr>
          <w:i/>
        </w:rPr>
        <w:t>Conservatorship of K.W.</w:t>
      </w:r>
      <w:r w:rsidRPr="00CC27C0">
        <w:t xml:space="preserve"> (2017) 13 Cal.App.5th </w:t>
      </w:r>
      <w:r w:rsidRPr="00CC27C0">
        <w:lastRenderedPageBreak/>
        <w:t xml:space="preserve">1274, 1283; </w:t>
      </w:r>
      <w:r w:rsidRPr="00CC27C0">
        <w:rPr>
          <w:i/>
        </w:rPr>
        <w:t>People v. Jeffrey G.</w:t>
      </w:r>
      <w:r w:rsidRPr="00CC27C0">
        <w:t xml:space="preserve"> (2017) 13 Cal.App.5th 501, 507–508; </w:t>
      </w:r>
      <w:r w:rsidRPr="00CC27C0">
        <w:rPr>
          <w:i/>
        </w:rPr>
        <w:t xml:space="preserve">People v. </w:t>
      </w:r>
      <w:proofErr w:type="spellStart"/>
      <w:r w:rsidRPr="00CC27C0">
        <w:rPr>
          <w:i/>
        </w:rPr>
        <w:t>Meraz</w:t>
      </w:r>
      <w:proofErr w:type="spellEnd"/>
      <w:r w:rsidRPr="00CC27C0">
        <w:t xml:space="preserve"> (2016) 6 Cal.App.5th 1162, 1170, fn. 7.)</w:t>
      </w:r>
      <w:bookmarkEnd w:id="4"/>
    </w:p>
    <w:p w14:paraId="7A9C5F6E" w14:textId="77777777" w:rsidR="007518AF" w:rsidRPr="00CC27C0" w:rsidRDefault="007518AF" w:rsidP="00CC27C0">
      <w:pPr>
        <w:pStyle w:val="Text"/>
        <w:spacing w:line="400" w:lineRule="exact"/>
        <w:ind w:firstLine="720"/>
      </w:pPr>
      <w:r w:rsidRPr="00CC27C0">
        <w:t xml:space="preserve">This ruling is also consistent with our numerous decisions holding that a defendant need not predict subsequent substantive changes in law </w:t>
      </w:r>
      <w:proofErr w:type="gramStart"/>
      <w:r w:rsidRPr="00CC27C0">
        <w:t>in order to</w:t>
      </w:r>
      <w:proofErr w:type="gramEnd"/>
      <w:r w:rsidRPr="00CC27C0">
        <w:t xml:space="preserve"> preserve objections.  (See </w:t>
      </w:r>
      <w:r w:rsidRPr="00CC27C0">
        <w:rPr>
          <w:i/>
        </w:rPr>
        <w:t>People v. Chavez</w:t>
      </w:r>
      <w:r w:rsidRPr="00CC27C0">
        <w:t xml:space="preserve"> (1980) 26 Cal.3d 334, 350, fn. 5 [failure to object to the admissibility of prior inconsistent statements did not forfeit claim because a number of appellate cases had upheld the admissibility of such statements in the face of similar challenges]; </w:t>
      </w:r>
      <w:r w:rsidRPr="00CC27C0">
        <w:rPr>
          <w:i/>
        </w:rPr>
        <w:t>In re Gladys R.</w:t>
      </w:r>
      <w:r w:rsidRPr="00CC27C0">
        <w:t xml:space="preserve"> (1970) 1 Cal.3d 855, 861 [failure to object to trial court’s reading of social services report prior to the jurisdictional hearing in a juvenile court proceeding did not forfeit issue because a subsequent appellate decision interpreted the controlling statutes “in a manner contrary to the apparently prevalent contemporaneous interpretation”].)</w:t>
      </w:r>
    </w:p>
    <w:p w14:paraId="5C060529" w14:textId="77777777" w:rsidR="007518AF" w:rsidRPr="00CC27C0" w:rsidRDefault="007518AF" w:rsidP="00CC27C0">
      <w:pPr>
        <w:pStyle w:val="Text"/>
        <w:spacing w:line="400" w:lineRule="exact"/>
        <w:ind w:firstLine="720"/>
      </w:pPr>
      <w:r w:rsidRPr="00CC27C0">
        <w:t xml:space="preserve">The Attorney General, however, argues that three confrontation clause cases decided before Chavez’s trial, </w:t>
      </w:r>
      <w:r w:rsidRPr="00CC27C0">
        <w:rPr>
          <w:i/>
        </w:rPr>
        <w:t>Williams v. Illinois</w:t>
      </w:r>
      <w:r w:rsidRPr="00CC27C0">
        <w:t xml:space="preserve"> (2012) 567 U.S. 50 (</w:t>
      </w:r>
      <w:r w:rsidRPr="00CC27C0">
        <w:rPr>
          <w:i/>
        </w:rPr>
        <w:t>Williams</w:t>
      </w:r>
      <w:r w:rsidRPr="00CC27C0">
        <w:t xml:space="preserve">), </w:t>
      </w:r>
      <w:r w:rsidRPr="00CC27C0">
        <w:rPr>
          <w:i/>
        </w:rPr>
        <w:t xml:space="preserve">People v. </w:t>
      </w:r>
      <w:proofErr w:type="spellStart"/>
      <w:r w:rsidRPr="00CC27C0">
        <w:rPr>
          <w:i/>
        </w:rPr>
        <w:t>Dungo</w:t>
      </w:r>
      <w:proofErr w:type="spellEnd"/>
      <w:r w:rsidRPr="00CC27C0">
        <w:t xml:space="preserve"> (2012) 55 Cal.4th 608 (</w:t>
      </w:r>
      <w:proofErr w:type="spellStart"/>
      <w:r w:rsidRPr="00CC27C0">
        <w:rPr>
          <w:i/>
        </w:rPr>
        <w:t>Dungo</w:t>
      </w:r>
      <w:proofErr w:type="spellEnd"/>
      <w:r w:rsidRPr="00CC27C0">
        <w:t xml:space="preserve">), and </w:t>
      </w:r>
      <w:r w:rsidRPr="00CC27C0">
        <w:rPr>
          <w:i/>
        </w:rPr>
        <w:t>People v. Lopez</w:t>
      </w:r>
      <w:r w:rsidRPr="00CC27C0">
        <w:t xml:space="preserve"> (2012) 55 Cal.4th 569 (</w:t>
      </w:r>
      <w:r w:rsidRPr="00CC27C0">
        <w:rPr>
          <w:i/>
        </w:rPr>
        <w:t>Lopez</w:t>
      </w:r>
      <w:r w:rsidRPr="00CC27C0">
        <w:t>), provided grounds for objection, and therefore objection at trial would not have been futile.</w:t>
      </w:r>
    </w:p>
    <w:p w14:paraId="6E00CC96" w14:textId="3E7350FA" w:rsidR="007518AF" w:rsidRPr="00CC27C0" w:rsidRDefault="007518AF" w:rsidP="00CC27C0">
      <w:pPr>
        <w:pStyle w:val="Text"/>
        <w:spacing w:line="400" w:lineRule="exact"/>
        <w:ind w:firstLine="720"/>
      </w:pPr>
      <w:r w:rsidRPr="00CC27C0">
        <w:t>By its terms, the confrontation clause provides that “[</w:t>
      </w:r>
      <w:proofErr w:type="spellStart"/>
      <w:r w:rsidRPr="00CC27C0">
        <w:t>i</w:t>
      </w:r>
      <w:proofErr w:type="spellEnd"/>
      <w:r w:rsidRPr="00CC27C0">
        <w:t>]n all criminal prosecutions, the accused shall enjoy the right . . . to be confronted with the witnesses against him.”  (U.S. Const., 6th Amend.)  In 2004, the high court “adopted a fundamentally new interpretation of the confrontation right” (</w:t>
      </w:r>
      <w:r w:rsidRPr="00CC27C0">
        <w:rPr>
          <w:i/>
        </w:rPr>
        <w:t>Williams</w:t>
      </w:r>
      <w:r w:rsidRPr="00CC27C0">
        <w:t xml:space="preserve">, </w:t>
      </w:r>
      <w:r w:rsidRPr="00CC27C0">
        <w:rPr>
          <w:i/>
        </w:rPr>
        <w:t>supra</w:t>
      </w:r>
      <w:r w:rsidRPr="00CC27C0">
        <w:t>, 567 U.S. at p. 64) and held that “[w]here testimonial evidence is at issue,” the confrontation clause “demands what the common law required: unavailability and a prior opportunity for cross</w:t>
      </w:r>
      <w:r w:rsidRPr="00CC27C0">
        <w:noBreakHyphen/>
        <w:t>examination.”  (</w:t>
      </w:r>
      <w:r w:rsidRPr="00CC27C0">
        <w:rPr>
          <w:i/>
        </w:rPr>
        <w:t xml:space="preserve">Crawford v. Washington </w:t>
      </w:r>
      <w:r w:rsidRPr="00CC27C0">
        <w:t xml:space="preserve">(2004) 541 U.S. </w:t>
      </w:r>
      <w:r w:rsidRPr="00CC27C0">
        <w:lastRenderedPageBreak/>
        <w:t>36, 68.)  Relevant here, statements that are not offered for their truth do not implicate the confrontation clause.  (</w:t>
      </w:r>
      <w:r w:rsidR="00E75AC6">
        <w:rPr>
          <w:i/>
        </w:rPr>
        <w:t>Id.</w:t>
      </w:r>
      <w:r w:rsidRPr="00CC27C0">
        <w:t xml:space="preserve"> at p. 59, fn. 9; accord, </w:t>
      </w:r>
      <w:r w:rsidRPr="00CC27C0">
        <w:rPr>
          <w:i/>
        </w:rPr>
        <w:t xml:space="preserve">People v. </w:t>
      </w:r>
      <w:proofErr w:type="spellStart"/>
      <w:r w:rsidRPr="00CC27C0">
        <w:rPr>
          <w:i/>
        </w:rPr>
        <w:t>Blacksher</w:t>
      </w:r>
      <w:proofErr w:type="spellEnd"/>
      <w:r w:rsidRPr="00CC27C0">
        <w:rPr>
          <w:i/>
        </w:rPr>
        <w:t xml:space="preserve"> </w:t>
      </w:r>
      <w:r w:rsidRPr="00CC27C0">
        <w:t xml:space="preserve">(2011) 52 Cal.4th 769, 808, fn. 23.)  While </w:t>
      </w:r>
      <w:proofErr w:type="spellStart"/>
      <w:r w:rsidRPr="00CC27C0">
        <w:rPr>
          <w:i/>
        </w:rPr>
        <w:t>Gardeley</w:t>
      </w:r>
      <w:proofErr w:type="spellEnd"/>
      <w:r w:rsidRPr="00CC27C0">
        <w:rPr>
          <w:i/>
        </w:rPr>
        <w:t xml:space="preserve"> </w:t>
      </w:r>
      <w:r w:rsidRPr="00CC27C0">
        <w:t>was decided before</w:t>
      </w:r>
      <w:r w:rsidRPr="00CC27C0">
        <w:rPr>
          <w:i/>
        </w:rPr>
        <w:t xml:space="preserve"> Crawford</w:t>
      </w:r>
      <w:r w:rsidRPr="00CC27C0">
        <w:t xml:space="preserve">, every </w:t>
      </w:r>
      <w:r w:rsidR="00DF2125">
        <w:t>C</w:t>
      </w:r>
      <w:r w:rsidR="00DF2125" w:rsidRPr="00CC27C0">
        <w:t xml:space="preserve">ourt </w:t>
      </w:r>
      <w:r w:rsidRPr="00CC27C0">
        <w:t xml:space="preserve">of </w:t>
      </w:r>
      <w:r w:rsidR="00DF2125">
        <w:t>A</w:t>
      </w:r>
      <w:r w:rsidR="00DF2125" w:rsidRPr="00CC27C0">
        <w:t xml:space="preserve">ppeal </w:t>
      </w:r>
      <w:r w:rsidRPr="00CC27C0">
        <w:t xml:space="preserve">to address the issue in a published decision after </w:t>
      </w:r>
      <w:r w:rsidRPr="00CC27C0">
        <w:rPr>
          <w:i/>
        </w:rPr>
        <w:t>Crawford</w:t>
      </w:r>
      <w:r w:rsidRPr="00CC27C0">
        <w:t xml:space="preserve">, but before </w:t>
      </w:r>
      <w:r w:rsidRPr="00CC27C0">
        <w:rPr>
          <w:i/>
        </w:rPr>
        <w:t>Sanchez</w:t>
      </w:r>
      <w:r w:rsidRPr="00CC27C0">
        <w:t xml:space="preserve">, continued to rely on </w:t>
      </w:r>
      <w:proofErr w:type="spellStart"/>
      <w:r w:rsidRPr="00CC27C0">
        <w:rPr>
          <w:i/>
        </w:rPr>
        <w:t>Gardeley</w:t>
      </w:r>
      <w:proofErr w:type="spellEnd"/>
      <w:r w:rsidRPr="00CC27C0">
        <w:t xml:space="preserve"> to reject a confrontation clause challenge.  Each of these decisions found, contrary to our subsequent decision in </w:t>
      </w:r>
      <w:r w:rsidRPr="00CC27C0">
        <w:rPr>
          <w:i/>
        </w:rPr>
        <w:t>Sanchez</w:t>
      </w:r>
      <w:r w:rsidRPr="00CC27C0">
        <w:t xml:space="preserve">, that expert basis evidence was not offered for its truth.  (See </w:t>
      </w:r>
      <w:r w:rsidRPr="00CC27C0">
        <w:rPr>
          <w:i/>
        </w:rPr>
        <w:t>People v. Hill</w:t>
      </w:r>
      <w:r w:rsidRPr="00CC27C0">
        <w:t xml:space="preserve"> (2011) 191 Cal.App.4th 1104, 1127–1128 (</w:t>
      </w:r>
      <w:r w:rsidRPr="00CC27C0">
        <w:rPr>
          <w:i/>
        </w:rPr>
        <w:t>Hill</w:t>
      </w:r>
      <w:r w:rsidRPr="00CC27C0">
        <w:t xml:space="preserve">); </w:t>
      </w:r>
      <w:r w:rsidRPr="00CC27C0">
        <w:rPr>
          <w:i/>
        </w:rPr>
        <w:t xml:space="preserve">People v. </w:t>
      </w:r>
      <w:proofErr w:type="spellStart"/>
      <w:r w:rsidRPr="00CC27C0">
        <w:rPr>
          <w:i/>
        </w:rPr>
        <w:t>Sisneros</w:t>
      </w:r>
      <w:proofErr w:type="spellEnd"/>
      <w:r w:rsidRPr="00CC27C0">
        <w:t xml:space="preserve"> (2009) 174 Cal.App.4th 142, 153–154; </w:t>
      </w:r>
      <w:r w:rsidRPr="00CC27C0">
        <w:rPr>
          <w:i/>
        </w:rPr>
        <w:t>People v. Cooper</w:t>
      </w:r>
      <w:r w:rsidRPr="00CC27C0">
        <w:t xml:space="preserve"> (2007) 148 Cal.App.4th 731, 746–747</w:t>
      </w:r>
      <w:r w:rsidR="00DF2125">
        <w:t>;</w:t>
      </w:r>
      <w:r w:rsidR="00DF2125" w:rsidRPr="00CC27C0">
        <w:t xml:space="preserve"> </w:t>
      </w:r>
      <w:r w:rsidRPr="00CC27C0">
        <w:rPr>
          <w:i/>
        </w:rPr>
        <w:t>People v. Fulcher</w:t>
      </w:r>
      <w:r w:rsidRPr="00CC27C0">
        <w:t xml:space="preserve"> (2006) 136 Cal.App.4th 41, 57; </w:t>
      </w:r>
      <w:r w:rsidRPr="00CC27C0">
        <w:rPr>
          <w:i/>
        </w:rPr>
        <w:t>People v. Thomas</w:t>
      </w:r>
      <w:r w:rsidRPr="00CC27C0">
        <w:t xml:space="preserve"> (2005) 130 Cal.App.4th 1202, 1209–1210.)  </w:t>
      </w:r>
    </w:p>
    <w:p w14:paraId="2FB57667" w14:textId="0328A061" w:rsidR="007518AF" w:rsidRPr="00CC27C0" w:rsidRDefault="007518AF" w:rsidP="00CC27C0">
      <w:pPr>
        <w:pStyle w:val="Text"/>
        <w:spacing w:line="400" w:lineRule="exact"/>
        <w:ind w:firstLine="720"/>
        <w:rPr>
          <w:rFonts w:eastAsia="Arial Unicode MS" w:cs="Arial Unicode MS"/>
        </w:rPr>
      </w:pPr>
      <w:r w:rsidRPr="00CC27C0">
        <w:rPr>
          <w:rFonts w:eastAsia="Arial Unicode MS" w:cs="Arial Unicode MS"/>
        </w:rPr>
        <w:t xml:space="preserve">Subsequently, in </w:t>
      </w:r>
      <w:r w:rsidRPr="00CC27C0">
        <w:rPr>
          <w:rFonts w:eastAsia="Arial Unicode MS" w:cs="Arial Unicode MS"/>
          <w:i/>
        </w:rPr>
        <w:t>Williams</w:t>
      </w:r>
      <w:r w:rsidRPr="00CC27C0">
        <w:rPr>
          <w:rFonts w:eastAsia="Arial Unicode MS" w:cs="Arial Unicode MS"/>
        </w:rPr>
        <w:t xml:space="preserve">, the high court held in a four-one-four decision that a lab technician’s testimony regarding work performed by another lab was not admitted </w:t>
      </w:r>
      <w:proofErr w:type="gramStart"/>
      <w:r w:rsidRPr="00CC27C0">
        <w:rPr>
          <w:rFonts w:eastAsia="Arial Unicode MS" w:cs="Arial Unicode MS"/>
        </w:rPr>
        <w:t>to prove</w:t>
      </w:r>
      <w:proofErr w:type="gramEnd"/>
      <w:r w:rsidRPr="00CC27C0">
        <w:rPr>
          <w:rFonts w:eastAsia="Arial Unicode MS" w:cs="Arial Unicode MS"/>
        </w:rPr>
        <w:t xml:space="preserve"> the truth of the matter and, alternatively, the underlying outside lab report, which was not admitted into evidence, was not testimonial.  (</w:t>
      </w:r>
      <w:r w:rsidRPr="00CC27C0">
        <w:rPr>
          <w:rFonts w:eastAsia="Arial Unicode MS" w:cs="Arial Unicode MS"/>
          <w:i/>
        </w:rPr>
        <w:t>Williams</w:t>
      </w:r>
      <w:r w:rsidRPr="00CC27C0">
        <w:rPr>
          <w:rFonts w:eastAsia="Arial Unicode MS" w:cs="Arial Unicode MS"/>
        </w:rPr>
        <w:t xml:space="preserve">, </w:t>
      </w:r>
      <w:r w:rsidRPr="00CC27C0">
        <w:rPr>
          <w:rFonts w:eastAsia="Arial Unicode MS" w:cs="Arial Unicode MS"/>
          <w:i/>
        </w:rPr>
        <w:t>supra</w:t>
      </w:r>
      <w:r w:rsidRPr="00CC27C0">
        <w:rPr>
          <w:rFonts w:eastAsia="Arial Unicode MS" w:cs="Arial Unicode MS"/>
        </w:rPr>
        <w:t>, 567 U.S. at pp. 57–58, 62, 69–86 (</w:t>
      </w:r>
      <w:proofErr w:type="spellStart"/>
      <w:r w:rsidRPr="00CC27C0">
        <w:rPr>
          <w:rFonts w:eastAsia="Arial Unicode MS" w:cs="Arial Unicode MS"/>
        </w:rPr>
        <w:t>plur</w:t>
      </w:r>
      <w:proofErr w:type="spellEnd"/>
      <w:proofErr w:type="gramStart"/>
      <w:r w:rsidRPr="00CC27C0">
        <w:rPr>
          <w:rFonts w:eastAsia="Arial Unicode MS" w:cs="Arial Unicode MS"/>
        </w:rPr>
        <w:t xml:space="preserve">. </w:t>
      </w:r>
      <w:proofErr w:type="gramEnd"/>
      <w:r w:rsidRPr="00CC27C0">
        <w:rPr>
          <w:rFonts w:eastAsia="Arial Unicode MS" w:cs="Arial Unicode MS"/>
        </w:rPr>
        <w:t>opn</w:t>
      </w:r>
      <w:proofErr w:type="gramStart"/>
      <w:r w:rsidRPr="00CC27C0">
        <w:rPr>
          <w:rFonts w:eastAsia="Arial Unicode MS" w:cs="Arial Unicode MS"/>
        </w:rPr>
        <w:t xml:space="preserve">. </w:t>
      </w:r>
      <w:proofErr w:type="gramEnd"/>
      <w:r w:rsidRPr="00CC27C0">
        <w:rPr>
          <w:rFonts w:eastAsia="Arial Unicode MS" w:cs="Arial Unicode MS"/>
        </w:rPr>
        <w:t xml:space="preserve">of Alito, J.).)  However, while the plurality opinion found that the testimony did not violate the confrontation clause, </w:t>
      </w:r>
      <w:r w:rsidRPr="00CC27C0">
        <w:rPr>
          <w:rFonts w:eastAsia="Arial Unicode MS" w:cs="Arial Unicode MS"/>
          <w:i/>
        </w:rPr>
        <w:t>Williams</w:t>
      </w:r>
      <w:r w:rsidRPr="00CC27C0">
        <w:rPr>
          <w:rFonts w:eastAsia="Arial Unicode MS" w:cs="Arial Unicode MS"/>
        </w:rPr>
        <w:t xml:space="preserve"> </w:t>
      </w:r>
      <w:r w:rsidRPr="00CC27C0">
        <w:t>“called into question the continuing validity of relying on a not-for-</w:t>
      </w:r>
      <w:r w:rsidR="00DF2125">
        <w:t>the-</w:t>
      </w:r>
      <w:r w:rsidRPr="00CC27C0">
        <w:t xml:space="preserve">truth analysis in the expert witness context,” because between </w:t>
      </w:r>
      <w:r w:rsidR="00DF2125">
        <w:t>the</w:t>
      </w:r>
      <w:r w:rsidRPr="00CC27C0">
        <w:t xml:space="preserve"> concurrence and </w:t>
      </w:r>
      <w:r w:rsidR="00DF2125">
        <w:t>the</w:t>
      </w:r>
      <w:r w:rsidR="00DF2125" w:rsidRPr="00CC27C0">
        <w:t xml:space="preserve"> </w:t>
      </w:r>
      <w:r w:rsidRPr="00CC27C0">
        <w:t>dissent “[f]</w:t>
      </w:r>
      <w:proofErr w:type="spellStart"/>
      <w:r w:rsidRPr="00CC27C0">
        <w:t>ive</w:t>
      </w:r>
      <w:proofErr w:type="spellEnd"/>
      <w:r w:rsidRPr="00CC27C0">
        <w:t xml:space="preserve"> justices . . . specifically rejected this approach.”  (</w:t>
      </w:r>
      <w:r w:rsidRPr="00CC27C0">
        <w:rPr>
          <w:i/>
        </w:rPr>
        <w:t>Sanchez</w:t>
      </w:r>
      <w:r w:rsidRPr="00CC27C0">
        <w:t xml:space="preserve">, </w:t>
      </w:r>
      <w:r w:rsidRPr="00CC27C0">
        <w:rPr>
          <w:i/>
        </w:rPr>
        <w:t>supra</w:t>
      </w:r>
      <w:r w:rsidRPr="00CC27C0">
        <w:t xml:space="preserve">, 63 Cal.4th at p. 682.)  </w:t>
      </w:r>
      <w:r w:rsidRPr="00CC27C0">
        <w:rPr>
          <w:rFonts w:eastAsia="Arial Unicode MS" w:cs="Arial Unicode MS"/>
        </w:rPr>
        <w:t>Justice Thomas concurred narrowly in the judgment on the ground the outside lab report was not testimonial, but he “share[d] the dissent’s view of the plurality’s flawed analysis.”  (</w:t>
      </w:r>
      <w:r w:rsidRPr="00CC27C0">
        <w:rPr>
          <w:rFonts w:eastAsia="Arial Unicode MS" w:cs="Arial Unicode MS"/>
          <w:i/>
        </w:rPr>
        <w:t>Williams</w:t>
      </w:r>
      <w:r w:rsidRPr="00CC27C0">
        <w:rPr>
          <w:rFonts w:eastAsia="Arial Unicode MS" w:cs="Arial Unicode MS"/>
        </w:rPr>
        <w:t xml:space="preserve">, </w:t>
      </w:r>
      <w:r w:rsidRPr="00CC27C0">
        <w:rPr>
          <w:rFonts w:eastAsia="Arial Unicode MS" w:cs="Arial Unicode MS"/>
          <w:i/>
        </w:rPr>
        <w:t>supra</w:t>
      </w:r>
      <w:r w:rsidRPr="00CC27C0">
        <w:rPr>
          <w:rFonts w:eastAsia="Arial Unicode MS" w:cs="Arial Unicode MS"/>
        </w:rPr>
        <w:t>, 567 U.S. at p. 104</w:t>
      </w:r>
      <w:r w:rsidR="00DF2125">
        <w:rPr>
          <w:rFonts w:eastAsia="Arial Unicode MS" w:cs="Arial Unicode MS"/>
        </w:rPr>
        <w:t xml:space="preserve"> </w:t>
      </w:r>
      <w:r w:rsidRPr="00CC27C0">
        <w:rPr>
          <w:rFonts w:eastAsia="Arial Unicode MS" w:cs="Arial Unicode MS"/>
        </w:rPr>
        <w:t>(conc. opn</w:t>
      </w:r>
      <w:proofErr w:type="gramStart"/>
      <w:r w:rsidRPr="00CC27C0">
        <w:rPr>
          <w:rFonts w:eastAsia="Arial Unicode MS" w:cs="Arial Unicode MS"/>
        </w:rPr>
        <w:t xml:space="preserve">. </w:t>
      </w:r>
      <w:proofErr w:type="gramEnd"/>
      <w:r w:rsidRPr="00CC27C0">
        <w:rPr>
          <w:rFonts w:eastAsia="Arial Unicode MS" w:cs="Arial Unicode MS"/>
        </w:rPr>
        <w:t>of Thomas, J.)</w:t>
      </w:r>
      <w:r w:rsidR="00DF2125">
        <w:rPr>
          <w:rFonts w:eastAsia="Arial Unicode MS" w:cs="Arial Unicode MS"/>
        </w:rPr>
        <w:t xml:space="preserve">; see </w:t>
      </w:r>
      <w:r w:rsidR="00DF2125" w:rsidRPr="00080C97">
        <w:rPr>
          <w:rFonts w:eastAsia="Arial Unicode MS" w:cs="Arial Unicode MS"/>
          <w:i/>
        </w:rPr>
        <w:t>id</w:t>
      </w:r>
      <w:proofErr w:type="gramStart"/>
      <w:r w:rsidR="00DF2125">
        <w:rPr>
          <w:rFonts w:eastAsia="Arial Unicode MS" w:cs="Arial Unicode MS"/>
        </w:rPr>
        <w:t xml:space="preserve">. </w:t>
      </w:r>
      <w:proofErr w:type="gramEnd"/>
      <w:r w:rsidR="00DF2125">
        <w:rPr>
          <w:rFonts w:eastAsia="Arial Unicode MS" w:cs="Arial Unicode MS"/>
        </w:rPr>
        <w:t>at pp. 109–118</w:t>
      </w:r>
      <w:r w:rsidRPr="00CC27C0">
        <w:rPr>
          <w:rFonts w:eastAsia="Arial Unicode MS" w:cs="Arial Unicode MS"/>
        </w:rPr>
        <w:t xml:space="preserve">.)  Notably, he </w:t>
      </w:r>
      <w:r w:rsidRPr="00CC27C0">
        <w:rPr>
          <w:rFonts w:eastAsia="Arial Unicode MS" w:cs="Arial Unicode MS"/>
        </w:rPr>
        <w:lastRenderedPageBreak/>
        <w:t>found that the challenged testimony was admitted for its truth.  (</w:t>
      </w:r>
      <w:r w:rsidRPr="00CC27C0">
        <w:rPr>
          <w:rFonts w:eastAsia="Arial Unicode MS" w:cs="Arial Unicode MS"/>
          <w:i/>
          <w:iCs/>
        </w:rPr>
        <w:t>Id.</w:t>
      </w:r>
      <w:r w:rsidRPr="00CC27C0">
        <w:rPr>
          <w:rFonts w:eastAsia="Arial Unicode MS" w:cs="Arial Unicode MS"/>
        </w:rPr>
        <w:t xml:space="preserve"> at pp. 104–109.)  Justice Kagan, joined by three other justices in dissent, found both that the statements were testimonial and that the challenged testimony was admitted for its truth.  (</w:t>
      </w:r>
      <w:r w:rsidRPr="00CC27C0">
        <w:rPr>
          <w:rFonts w:eastAsia="Arial Unicode MS" w:cs="Arial Unicode MS"/>
          <w:i/>
          <w:iCs/>
        </w:rPr>
        <w:t>Id.</w:t>
      </w:r>
      <w:r w:rsidRPr="00CC27C0">
        <w:rPr>
          <w:rFonts w:eastAsia="Arial Unicode MS" w:cs="Arial Unicode MS"/>
        </w:rPr>
        <w:t xml:space="preserve"> at pp. 125–132 (dis. opn</w:t>
      </w:r>
      <w:proofErr w:type="gramStart"/>
      <w:r w:rsidRPr="00CC27C0">
        <w:rPr>
          <w:rFonts w:eastAsia="Arial Unicode MS" w:cs="Arial Unicode MS"/>
        </w:rPr>
        <w:t xml:space="preserve">. </w:t>
      </w:r>
      <w:proofErr w:type="gramEnd"/>
      <w:r w:rsidRPr="00CC27C0">
        <w:rPr>
          <w:rFonts w:eastAsia="Arial Unicode MS" w:cs="Arial Unicode MS"/>
        </w:rPr>
        <w:t>of Kagan, J.).)</w:t>
      </w:r>
    </w:p>
    <w:p w14:paraId="5F8C1413" w14:textId="0DCB958F" w:rsidR="007518AF" w:rsidRPr="00CC27C0" w:rsidRDefault="007518AF" w:rsidP="00CC27C0">
      <w:pPr>
        <w:pStyle w:val="Text"/>
        <w:spacing w:line="400" w:lineRule="exact"/>
        <w:ind w:firstLine="720"/>
        <w:rPr>
          <w:rFonts w:eastAsia="Arial Unicode MS" w:cs="Arial Unicode MS"/>
        </w:rPr>
      </w:pPr>
      <w:r w:rsidRPr="00CC27C0">
        <w:t xml:space="preserve">Our court then applied </w:t>
      </w:r>
      <w:r w:rsidRPr="00CC27C0">
        <w:rPr>
          <w:i/>
        </w:rPr>
        <w:t>Williams</w:t>
      </w:r>
      <w:r w:rsidRPr="00CC27C0">
        <w:t xml:space="preserve"> in the companion cases of </w:t>
      </w:r>
      <w:proofErr w:type="spellStart"/>
      <w:r w:rsidRPr="00CC27C0">
        <w:rPr>
          <w:i/>
        </w:rPr>
        <w:t>Dungo</w:t>
      </w:r>
      <w:proofErr w:type="spellEnd"/>
      <w:r w:rsidRPr="00CC27C0">
        <w:t xml:space="preserve"> and </w:t>
      </w:r>
      <w:r w:rsidRPr="00CC27C0">
        <w:rPr>
          <w:i/>
        </w:rPr>
        <w:t>Lopez</w:t>
      </w:r>
      <w:r w:rsidRPr="00CC27C0">
        <w:t xml:space="preserve">.  </w:t>
      </w:r>
      <w:proofErr w:type="spellStart"/>
      <w:r w:rsidRPr="00CC27C0">
        <w:rPr>
          <w:i/>
        </w:rPr>
        <w:t>Dungo</w:t>
      </w:r>
      <w:proofErr w:type="spellEnd"/>
      <w:r w:rsidRPr="00CC27C0">
        <w:rPr>
          <w:rFonts w:eastAsia="Arial Unicode MS" w:cs="Arial Unicode MS"/>
        </w:rPr>
        <w:t xml:space="preserve"> held the confrontation clause was not violated when an expert testified about objective facts concerning the condition of the victim’s body as recorded in an autopsy report and autopsy photos.  (</w:t>
      </w:r>
      <w:proofErr w:type="spellStart"/>
      <w:r w:rsidRPr="00CC27C0">
        <w:rPr>
          <w:i/>
        </w:rPr>
        <w:t>Dungo</w:t>
      </w:r>
      <w:proofErr w:type="spellEnd"/>
      <w:r w:rsidRPr="00CC27C0">
        <w:t xml:space="preserve">, </w:t>
      </w:r>
      <w:r w:rsidRPr="00CC27C0">
        <w:rPr>
          <w:i/>
        </w:rPr>
        <w:t>supra</w:t>
      </w:r>
      <w:r w:rsidRPr="00CC27C0">
        <w:t xml:space="preserve">, 55 Cal.4th </w:t>
      </w:r>
      <w:r w:rsidRPr="00CC27C0">
        <w:rPr>
          <w:rFonts w:eastAsia="Arial Unicode MS" w:cs="Arial Unicode MS"/>
        </w:rPr>
        <w:t xml:space="preserve">at pp. 612–615, 621.)  Neither the autopsy report, which a </w:t>
      </w:r>
      <w:proofErr w:type="spellStart"/>
      <w:r w:rsidRPr="00CC27C0">
        <w:rPr>
          <w:rFonts w:eastAsia="Arial Unicode MS" w:cs="Arial Unicode MS"/>
        </w:rPr>
        <w:t>nontestifying</w:t>
      </w:r>
      <w:proofErr w:type="spellEnd"/>
      <w:r w:rsidRPr="00CC27C0">
        <w:rPr>
          <w:rFonts w:eastAsia="Arial Unicode MS" w:cs="Arial Unicode MS"/>
        </w:rPr>
        <w:t xml:space="preserve"> pathologist had prepared, nor the photographs were admitted into evidence.  (</w:t>
      </w:r>
      <w:r w:rsidRPr="00CC27C0">
        <w:rPr>
          <w:rFonts w:eastAsia="Arial Unicode MS" w:cs="Arial Unicode MS"/>
          <w:i/>
        </w:rPr>
        <w:t>Id</w:t>
      </w:r>
      <w:r w:rsidRPr="00CC27C0">
        <w:rPr>
          <w:rFonts w:eastAsia="Arial Unicode MS" w:cs="Arial Unicode MS"/>
        </w:rPr>
        <w:t>. at p. 612.)  Justice Kennard, in the majority opinion, reasoned that the evidence was not testimonial, but she did not discuss whether the expert’s basis testimony was offered for its truth.  (</w:t>
      </w:r>
      <w:r w:rsidRPr="00CC27C0">
        <w:rPr>
          <w:rFonts w:eastAsia="Arial Unicode MS" w:cs="Arial Unicode MS"/>
          <w:i/>
        </w:rPr>
        <w:t>Id</w:t>
      </w:r>
      <w:r w:rsidRPr="00CC27C0">
        <w:rPr>
          <w:rFonts w:eastAsia="Arial Unicode MS" w:cs="Arial Unicode MS"/>
        </w:rPr>
        <w:t>. at p. 621.)  Justice Werdegar, in a concurring opinion that three other justices joined, also opined that physical observations from the autopsy report were not testimonial.  (</w:t>
      </w:r>
      <w:r w:rsidRPr="00CC27C0">
        <w:rPr>
          <w:rFonts w:eastAsia="Arial Unicode MS" w:cs="Arial Unicode MS"/>
          <w:i/>
        </w:rPr>
        <w:t>Id</w:t>
      </w:r>
      <w:r w:rsidRPr="00CC27C0">
        <w:rPr>
          <w:rFonts w:eastAsia="Arial Unicode MS" w:cs="Arial Unicode MS"/>
        </w:rPr>
        <w:t>. at p. 627 (conc. opn</w:t>
      </w:r>
      <w:proofErr w:type="gramStart"/>
      <w:r w:rsidRPr="00CC27C0">
        <w:rPr>
          <w:rFonts w:eastAsia="Arial Unicode MS" w:cs="Arial Unicode MS"/>
        </w:rPr>
        <w:t xml:space="preserve">. </w:t>
      </w:r>
      <w:proofErr w:type="gramEnd"/>
      <w:r w:rsidRPr="00CC27C0">
        <w:rPr>
          <w:rFonts w:eastAsia="Arial Unicode MS" w:cs="Arial Unicode MS"/>
        </w:rPr>
        <w:t xml:space="preserve">of Werdegar, J.).)  In the process, she commented </w:t>
      </w:r>
      <w:r w:rsidR="00DF2125">
        <w:rPr>
          <w:rFonts w:eastAsia="Arial Unicode MS" w:cs="Arial Unicode MS"/>
        </w:rPr>
        <w:t xml:space="preserve">that </w:t>
      </w:r>
      <w:r w:rsidRPr="00CC27C0">
        <w:rPr>
          <w:rFonts w:eastAsia="Arial Unicode MS" w:cs="Arial Unicode MS"/>
        </w:rPr>
        <w:t xml:space="preserve">those </w:t>
      </w:r>
      <w:r w:rsidR="00DF2125">
        <w:rPr>
          <w:rFonts w:eastAsia="Arial Unicode MS" w:cs="Arial Unicode MS"/>
        </w:rPr>
        <w:t>“</w:t>
      </w:r>
      <w:r w:rsidRPr="00CC27C0">
        <w:rPr>
          <w:rFonts w:eastAsia="Arial Unicode MS" w:cs="Arial Unicode MS"/>
        </w:rPr>
        <w:t>observations were introduced for their truth.”  (</w:t>
      </w:r>
      <w:r w:rsidRPr="00CC27C0">
        <w:rPr>
          <w:rFonts w:eastAsia="Arial Unicode MS" w:cs="Arial Unicode MS"/>
          <w:i/>
        </w:rPr>
        <w:t>Id</w:t>
      </w:r>
      <w:r w:rsidRPr="00CC27C0">
        <w:rPr>
          <w:rFonts w:eastAsia="Arial Unicode MS" w:cs="Arial Unicode MS"/>
        </w:rPr>
        <w:t xml:space="preserve">. at p. 627.)  In dissent, Justice Corrigan, joined by Justice Liu, concluded that the expert’s </w:t>
      </w:r>
      <w:r w:rsidR="00DF2125">
        <w:rPr>
          <w:rFonts w:eastAsia="Arial Unicode MS" w:cs="Arial Unicode MS"/>
        </w:rPr>
        <w:t>“</w:t>
      </w:r>
      <w:r w:rsidRPr="00CC27C0">
        <w:rPr>
          <w:rFonts w:eastAsia="Arial Unicode MS" w:cs="Arial Unicode MS"/>
        </w:rPr>
        <w:t>description of [the victim’s] body, drawn from the hearsay contained in [the] autopsy report, violated defendant’s right to confront and cross</w:t>
      </w:r>
      <w:r w:rsidRPr="00CC27C0">
        <w:rPr>
          <w:rFonts w:eastAsia="Arial Unicode MS" w:cs="Arial Unicode MS"/>
        </w:rPr>
        <w:noBreakHyphen/>
        <w:t>examine [the autopsy doctor].”  (</w:t>
      </w:r>
      <w:r w:rsidRPr="00CC27C0">
        <w:rPr>
          <w:rFonts w:eastAsia="Arial Unicode MS" w:cs="Arial Unicode MS"/>
          <w:i/>
        </w:rPr>
        <w:t>Id.</w:t>
      </w:r>
      <w:r w:rsidRPr="00CC27C0">
        <w:rPr>
          <w:rFonts w:eastAsia="Arial Unicode MS" w:cs="Arial Unicode MS"/>
        </w:rPr>
        <w:t xml:space="preserve"> at p. 647 (dis. opn</w:t>
      </w:r>
      <w:proofErr w:type="gramStart"/>
      <w:r w:rsidRPr="00CC27C0">
        <w:rPr>
          <w:rFonts w:eastAsia="Arial Unicode MS" w:cs="Arial Unicode MS"/>
        </w:rPr>
        <w:t xml:space="preserve">. </w:t>
      </w:r>
      <w:proofErr w:type="gramEnd"/>
      <w:r w:rsidRPr="00CC27C0">
        <w:rPr>
          <w:rFonts w:eastAsia="Arial Unicode MS" w:cs="Arial Unicode MS"/>
        </w:rPr>
        <w:t>of Corrigan, J.).)  Justice Corrigan noted that “[f]</w:t>
      </w:r>
      <w:proofErr w:type="spellStart"/>
      <w:r w:rsidRPr="00CC27C0">
        <w:rPr>
          <w:rFonts w:eastAsia="Arial Unicode MS" w:cs="Arial Unicode MS"/>
        </w:rPr>
        <w:t>ive</w:t>
      </w:r>
      <w:proofErr w:type="spellEnd"/>
      <w:r w:rsidRPr="00CC27C0">
        <w:rPr>
          <w:rFonts w:eastAsia="Arial Unicode MS" w:cs="Arial Unicode MS"/>
        </w:rPr>
        <w:t xml:space="preserve"> justices explicitly repudiated </w:t>
      </w:r>
      <w:proofErr w:type="spellStart"/>
      <w:r w:rsidRPr="00CC27C0">
        <w:rPr>
          <w:rFonts w:eastAsia="Arial Unicode MS" w:cs="Arial Unicode MS"/>
        </w:rPr>
        <w:t>th</w:t>
      </w:r>
      <w:proofErr w:type="spellEnd"/>
      <w:r w:rsidRPr="00CC27C0">
        <w:rPr>
          <w:rFonts w:eastAsia="Arial Unicode MS" w:cs="Arial Unicode MS"/>
        </w:rPr>
        <w:t xml:space="preserve">[e] analysis” in the </w:t>
      </w:r>
      <w:r w:rsidRPr="00CC27C0">
        <w:rPr>
          <w:rFonts w:eastAsia="Arial Unicode MS" w:cs="Arial Unicode MS"/>
          <w:i/>
        </w:rPr>
        <w:t>Williams</w:t>
      </w:r>
      <w:r w:rsidRPr="00CC27C0">
        <w:rPr>
          <w:rFonts w:eastAsia="Arial Unicode MS" w:cs="Arial Unicode MS"/>
        </w:rPr>
        <w:t xml:space="preserve"> plurality that “[the outside lab] report was not hearsay at all because its contents were not admitted for their truth.”  (</w:t>
      </w:r>
      <w:r w:rsidRPr="00CC27C0">
        <w:rPr>
          <w:rFonts w:eastAsia="Arial Unicode MS" w:cs="Arial Unicode MS"/>
          <w:i/>
        </w:rPr>
        <w:t>Id</w:t>
      </w:r>
      <w:r w:rsidRPr="00CC27C0">
        <w:rPr>
          <w:rFonts w:eastAsia="Arial Unicode MS" w:cs="Arial Unicode MS"/>
        </w:rPr>
        <w:t xml:space="preserve">. at p. 635.)  </w:t>
      </w:r>
    </w:p>
    <w:p w14:paraId="1BEB01C2" w14:textId="7FEB28C5" w:rsidR="007518AF" w:rsidRPr="00CC27C0" w:rsidRDefault="007518AF" w:rsidP="00CC27C0">
      <w:pPr>
        <w:pStyle w:val="Text"/>
        <w:spacing w:line="400" w:lineRule="exact"/>
        <w:ind w:firstLine="720"/>
      </w:pPr>
      <w:r w:rsidRPr="00CC27C0">
        <w:rPr>
          <w:i/>
        </w:rPr>
        <w:lastRenderedPageBreak/>
        <w:t>Lopez</w:t>
      </w:r>
      <w:r w:rsidRPr="00CC27C0">
        <w:t xml:space="preserve"> held that a lab report with defendant’s blood alcohol concentration results did not violate the confrontation clause.  (</w:t>
      </w:r>
      <w:r w:rsidRPr="00CC27C0">
        <w:rPr>
          <w:i/>
        </w:rPr>
        <w:t>Lopez</w:t>
      </w:r>
      <w:r w:rsidRPr="00CC27C0">
        <w:t xml:space="preserve">, </w:t>
      </w:r>
      <w:r w:rsidRPr="00CC27C0">
        <w:rPr>
          <w:i/>
        </w:rPr>
        <w:t>supra</w:t>
      </w:r>
      <w:r w:rsidRPr="00CC27C0">
        <w:t>, 55 Cal.4th at pp. 582–585.)  The analyst who prepared the report did not testify, but a colleague testified about it and the report was admitted into evidence.  (</w:t>
      </w:r>
      <w:r w:rsidRPr="00CC27C0">
        <w:rPr>
          <w:i/>
        </w:rPr>
        <w:t>Id</w:t>
      </w:r>
      <w:r w:rsidRPr="00CC27C0">
        <w:t xml:space="preserve">. at pp. 573–574.)  Justice Kennard for the majority reasoned that while a notation in the report linking defendant’s name to a </w:t>
      </w:r>
      <w:proofErr w:type="gramStart"/>
      <w:r w:rsidRPr="00CC27C0">
        <w:t>particular blood</w:t>
      </w:r>
      <w:proofErr w:type="gramEnd"/>
      <w:r w:rsidRPr="00CC27C0">
        <w:t xml:space="preserve"> sample “was admitted for its truth,” the notation was not testimonial.  (</w:t>
      </w:r>
      <w:r w:rsidRPr="00CC27C0">
        <w:rPr>
          <w:i/>
        </w:rPr>
        <w:t>Id</w:t>
      </w:r>
      <w:r w:rsidRPr="00CC27C0">
        <w:t xml:space="preserve">. at p. 584.)  Justice Kennard observed that in </w:t>
      </w:r>
      <w:r w:rsidRPr="00CC27C0">
        <w:rPr>
          <w:i/>
        </w:rPr>
        <w:t>Williams</w:t>
      </w:r>
      <w:r w:rsidRPr="00CC27C0">
        <w:t>, “[l]</w:t>
      </w:r>
      <w:proofErr w:type="spellStart"/>
      <w:r w:rsidRPr="00CC27C0">
        <w:t>ike</w:t>
      </w:r>
      <w:proofErr w:type="spellEnd"/>
      <w:r w:rsidRPr="00CC27C0">
        <w:t xml:space="preserve"> Justice Thomas in his concurrence, the dissent rejected the </w:t>
      </w:r>
      <w:r w:rsidRPr="00CC27C0">
        <w:rPr>
          <w:i/>
        </w:rPr>
        <w:t>Williams</w:t>
      </w:r>
      <w:r w:rsidRPr="00CC27C0">
        <w:t xml:space="preserve"> plurality’s conclusion that [the expert’s] testimony about the report was not admitted for the truth of the matters asserted in the report.”  (</w:t>
      </w:r>
      <w:r w:rsidRPr="00CC27C0">
        <w:rPr>
          <w:i/>
        </w:rPr>
        <w:t>Id</w:t>
      </w:r>
      <w:r w:rsidRPr="00CC27C0">
        <w:t>. at p. 580.)  In dissent, Justice Liu found that “the records at issue here, including the analyst’s notations linking defendant to the lab record in question, are testimonial.  [Citation.]  Because the statements were introduced through a surrogate with no personal knowledge of those facts, they were offered in violation of the confrontation clause.”  (</w:t>
      </w:r>
      <w:r w:rsidRPr="00CC27C0">
        <w:rPr>
          <w:i/>
        </w:rPr>
        <w:t>Id</w:t>
      </w:r>
      <w:r w:rsidRPr="00CC27C0">
        <w:t>. at pp. 602–603 (dis. opn</w:t>
      </w:r>
      <w:proofErr w:type="gramStart"/>
      <w:r w:rsidRPr="00CC27C0">
        <w:t xml:space="preserve">. </w:t>
      </w:r>
      <w:proofErr w:type="gramEnd"/>
      <w:r w:rsidRPr="00CC27C0">
        <w:t>of Liu, J.).)</w:t>
      </w:r>
    </w:p>
    <w:p w14:paraId="21AF35B0" w14:textId="1C61B806" w:rsidR="007518AF" w:rsidRPr="00CC27C0" w:rsidRDefault="007518AF" w:rsidP="00CC27C0">
      <w:pPr>
        <w:pStyle w:val="Text"/>
        <w:spacing w:line="400" w:lineRule="exact"/>
        <w:ind w:firstLine="720"/>
      </w:pPr>
      <w:r w:rsidRPr="00CC27C0">
        <w:t xml:space="preserve">Based upon these decisions, the Attorney General contends that counsel had grounds to object to </w:t>
      </w:r>
      <w:proofErr w:type="spellStart"/>
      <w:r w:rsidRPr="00CC27C0">
        <w:rPr>
          <w:i/>
        </w:rPr>
        <w:t>Gardeley</w:t>
      </w:r>
      <w:proofErr w:type="spellEnd"/>
      <w:r w:rsidRPr="00CC27C0">
        <w:t xml:space="preserve"> before we decided </w:t>
      </w:r>
      <w:r w:rsidRPr="00CC27C0">
        <w:rPr>
          <w:i/>
        </w:rPr>
        <w:t xml:space="preserve">Sanchez </w:t>
      </w:r>
      <w:r w:rsidRPr="00CC27C0">
        <w:t xml:space="preserve">because </w:t>
      </w:r>
      <w:proofErr w:type="gramStart"/>
      <w:r w:rsidRPr="00CC27C0">
        <w:t>a majority of</w:t>
      </w:r>
      <w:proofErr w:type="gramEnd"/>
      <w:r w:rsidRPr="00CC27C0">
        <w:t xml:space="preserve"> </w:t>
      </w:r>
      <w:r w:rsidR="00DF2125">
        <w:t xml:space="preserve">the </w:t>
      </w:r>
      <w:r w:rsidRPr="00CC27C0">
        <w:t xml:space="preserve">justices on our court and the high court had reasoned that, at least in certain circumstances, testimony concerning the factual basis of an expert’s opinion was considered for its truth.  The Attorney General argues that even before we issued </w:t>
      </w:r>
      <w:r w:rsidRPr="00CC27C0">
        <w:rPr>
          <w:i/>
        </w:rPr>
        <w:t>Sanchez</w:t>
      </w:r>
      <w:r w:rsidRPr="00CC27C0">
        <w:t xml:space="preserve">, </w:t>
      </w:r>
      <w:r w:rsidR="00DF2125">
        <w:t>C</w:t>
      </w:r>
      <w:r w:rsidR="00DF2125" w:rsidRPr="00CC27C0">
        <w:t xml:space="preserve">ourts </w:t>
      </w:r>
      <w:r w:rsidRPr="00CC27C0">
        <w:t xml:space="preserve">of </w:t>
      </w:r>
      <w:r w:rsidR="00DF2125">
        <w:t>A</w:t>
      </w:r>
      <w:r w:rsidR="00DF2125" w:rsidRPr="00CC27C0">
        <w:t xml:space="preserve">ppeal </w:t>
      </w:r>
      <w:r w:rsidRPr="00CC27C0">
        <w:t xml:space="preserve">found that if our court or the high court “were called upon to resolve this issue, it seems likely” that cases finding “out-of-court statements offered as expert basis evidence are not offered for their truth for confrontation purposes will be </w:t>
      </w:r>
      <w:r w:rsidRPr="00CC27C0">
        <w:lastRenderedPageBreak/>
        <w:t>significantly undermined.”  (</w:t>
      </w:r>
      <w:bookmarkStart w:id="5" w:name="_Hlk14102077"/>
      <w:r w:rsidRPr="00CC27C0">
        <w:rPr>
          <w:i/>
        </w:rPr>
        <w:t xml:space="preserve">People v. Valadez </w:t>
      </w:r>
      <w:r w:rsidRPr="00CC27C0">
        <w:t>(2013) 220 Cal.App.4th 16, 32 (</w:t>
      </w:r>
      <w:r w:rsidRPr="00CC27C0">
        <w:rPr>
          <w:i/>
        </w:rPr>
        <w:t>Valadez</w:t>
      </w:r>
      <w:r w:rsidRPr="00CC27C0">
        <w:t xml:space="preserve">); </w:t>
      </w:r>
      <w:bookmarkEnd w:id="5"/>
      <w:r w:rsidRPr="00CC27C0">
        <w:t xml:space="preserve">accord, </w:t>
      </w:r>
      <w:r w:rsidRPr="00CC27C0">
        <w:rPr>
          <w:i/>
        </w:rPr>
        <w:t>People v. Landau</w:t>
      </w:r>
      <w:r w:rsidRPr="00CC27C0">
        <w:t xml:space="preserve"> (2016) 246 Cal.App.4th 850, 869; </w:t>
      </w:r>
      <w:r w:rsidRPr="00CC27C0">
        <w:rPr>
          <w:i/>
        </w:rPr>
        <w:t xml:space="preserve">People v. Miller </w:t>
      </w:r>
      <w:r w:rsidRPr="00CC27C0">
        <w:t xml:space="preserve">(2014) 231 Cal.App.4th 1301, 1311–1312; </w:t>
      </w:r>
      <w:r w:rsidRPr="00CC27C0">
        <w:rPr>
          <w:i/>
        </w:rPr>
        <w:t>People v. Mercado</w:t>
      </w:r>
      <w:r w:rsidRPr="00CC27C0">
        <w:t xml:space="preserve"> (2013) 216 Cal.App.4th 67, 89 &amp; fn. 6; </w:t>
      </w:r>
      <w:r w:rsidRPr="00CC27C0">
        <w:rPr>
          <w:i/>
        </w:rPr>
        <w:t>Hill</w:t>
      </w:r>
      <w:r w:rsidRPr="00CC27C0">
        <w:t xml:space="preserve">, </w:t>
      </w:r>
      <w:r w:rsidRPr="00CC27C0">
        <w:rPr>
          <w:i/>
        </w:rPr>
        <w:t>supra</w:t>
      </w:r>
      <w:r w:rsidRPr="00CC27C0">
        <w:t>, 191 Cal.App.4th at p. 1132, fn. 18.)</w:t>
      </w:r>
    </w:p>
    <w:p w14:paraId="59AB5BFB" w14:textId="5C793C5C" w:rsidR="007518AF" w:rsidRPr="00CC27C0" w:rsidRDefault="007518AF" w:rsidP="00CC27C0">
      <w:pPr>
        <w:pStyle w:val="Text"/>
        <w:spacing w:line="400" w:lineRule="exact"/>
        <w:ind w:firstLine="720"/>
      </w:pPr>
      <w:r w:rsidRPr="00CC27C0">
        <w:t xml:space="preserve">Nevertheless, we did not expressly hold until </w:t>
      </w:r>
      <w:r w:rsidRPr="00CC27C0">
        <w:rPr>
          <w:i/>
        </w:rPr>
        <w:t>Sanchez</w:t>
      </w:r>
      <w:r w:rsidRPr="00CC27C0">
        <w:t xml:space="preserve"> that “[w]hen any expert relates to the jury case-specific out-of-court </w:t>
      </w:r>
      <w:proofErr w:type="gramStart"/>
      <w:r w:rsidRPr="00CC27C0">
        <w:t>statements, and</w:t>
      </w:r>
      <w:proofErr w:type="gramEnd"/>
      <w:r w:rsidRPr="00CC27C0">
        <w:t xml:space="preserve"> treats the content of those statements as true and accurate to support the expert’s opinion, the statements are hearsay.”  (</w:t>
      </w:r>
      <w:r w:rsidRPr="00CC27C0">
        <w:rPr>
          <w:i/>
        </w:rPr>
        <w:t>Sanchez</w:t>
      </w:r>
      <w:r w:rsidRPr="00CC27C0">
        <w:t>,</w:t>
      </w:r>
      <w:r w:rsidRPr="00CC27C0">
        <w:rPr>
          <w:i/>
        </w:rPr>
        <w:t xml:space="preserve"> supra</w:t>
      </w:r>
      <w:r w:rsidRPr="00CC27C0">
        <w:t xml:space="preserve">, 63 Cal.4th at p. 686.)  And </w:t>
      </w:r>
      <w:r w:rsidRPr="00CC27C0">
        <w:rPr>
          <w:i/>
        </w:rPr>
        <w:t>Sanchez</w:t>
      </w:r>
      <w:r w:rsidRPr="00CC27C0">
        <w:t xml:space="preserve"> marked a “paradigm” shift in that a limiting instruction was no longer an effective method of avoiding hearsay problems in an expert’s basis testimony.  (</w:t>
      </w:r>
      <w:r w:rsidRPr="00CC27C0">
        <w:rPr>
          <w:i/>
        </w:rPr>
        <w:t>Id</w:t>
      </w:r>
      <w:r w:rsidRPr="00CC27C0">
        <w:t xml:space="preserve">. at p. 679.)  Indeed, no justice expressly </w:t>
      </w:r>
      <w:r w:rsidR="00C57EEB" w:rsidRPr="00CC27C0">
        <w:t>dis</w:t>
      </w:r>
      <w:r w:rsidR="00C57EEB">
        <w:t>a</w:t>
      </w:r>
      <w:r w:rsidR="00C57EEB" w:rsidRPr="00CC27C0">
        <w:t>pproved</w:t>
      </w:r>
      <w:r w:rsidRPr="00CC27C0">
        <w:t xml:space="preserve"> </w:t>
      </w:r>
      <w:proofErr w:type="spellStart"/>
      <w:r w:rsidRPr="00CC27C0">
        <w:rPr>
          <w:i/>
        </w:rPr>
        <w:t>Gardeley</w:t>
      </w:r>
      <w:proofErr w:type="spellEnd"/>
      <w:r w:rsidRPr="00CC27C0">
        <w:t xml:space="preserve"> in either </w:t>
      </w:r>
      <w:proofErr w:type="spellStart"/>
      <w:r w:rsidRPr="00CC27C0">
        <w:rPr>
          <w:i/>
        </w:rPr>
        <w:t>Dungo</w:t>
      </w:r>
      <w:proofErr w:type="spellEnd"/>
      <w:r w:rsidRPr="00CC27C0">
        <w:t xml:space="preserve"> or </w:t>
      </w:r>
      <w:r w:rsidRPr="00CC27C0">
        <w:rPr>
          <w:i/>
        </w:rPr>
        <w:t>Lopez</w:t>
      </w:r>
      <w:r w:rsidRPr="00CC27C0">
        <w:t xml:space="preserve">, despite it being a staple of our decisional law.  (See </w:t>
      </w:r>
      <w:r w:rsidRPr="00CC27C0">
        <w:rPr>
          <w:i/>
        </w:rPr>
        <w:t xml:space="preserve">In re </w:t>
      </w:r>
      <w:proofErr w:type="spellStart"/>
      <w:r w:rsidRPr="00CC27C0">
        <w:rPr>
          <w:i/>
        </w:rPr>
        <w:t>Ruedas</w:t>
      </w:r>
      <w:proofErr w:type="spellEnd"/>
      <w:r w:rsidRPr="00CC27C0">
        <w:t xml:space="preserve"> (2018) 23 Cal.App.5th 777, 801</w:t>
      </w:r>
      <w:r w:rsidR="005C5AFA">
        <w:t>, fn. 9</w:t>
      </w:r>
      <w:r w:rsidRPr="00CC27C0">
        <w:t xml:space="preserve"> [“</w:t>
      </w:r>
      <w:proofErr w:type="spellStart"/>
      <w:r w:rsidRPr="00CC27C0">
        <w:rPr>
          <w:i/>
        </w:rPr>
        <w:t>Gardeley</w:t>
      </w:r>
      <w:proofErr w:type="spellEnd"/>
      <w:r w:rsidRPr="00CC27C0">
        <w:t xml:space="preserve"> alone was cited in over 2,000 appellate decisions between the time it was decided in 1996 and the time </w:t>
      </w:r>
      <w:r w:rsidRPr="00CC27C0">
        <w:rPr>
          <w:i/>
        </w:rPr>
        <w:t>Sanchez</w:t>
      </w:r>
      <w:r w:rsidRPr="00CC27C0">
        <w:t xml:space="preserve"> was decided in 2016”].)  We then continued to cite </w:t>
      </w:r>
      <w:proofErr w:type="spellStart"/>
      <w:r w:rsidRPr="00CC27C0">
        <w:rPr>
          <w:i/>
        </w:rPr>
        <w:t>Gardeley</w:t>
      </w:r>
      <w:proofErr w:type="spellEnd"/>
      <w:r w:rsidRPr="00CC27C0">
        <w:t xml:space="preserve"> with approval after </w:t>
      </w:r>
      <w:proofErr w:type="spellStart"/>
      <w:r w:rsidRPr="00CC27C0">
        <w:rPr>
          <w:i/>
        </w:rPr>
        <w:t>Dungo</w:t>
      </w:r>
      <w:proofErr w:type="spellEnd"/>
      <w:r w:rsidRPr="00CC27C0">
        <w:t xml:space="preserve"> and </w:t>
      </w:r>
      <w:r w:rsidRPr="00CC27C0">
        <w:rPr>
          <w:i/>
        </w:rPr>
        <w:t>Lopez</w:t>
      </w:r>
      <w:r w:rsidRPr="00CC27C0">
        <w:t xml:space="preserve">.  (See </w:t>
      </w:r>
      <w:r w:rsidRPr="00CC27C0">
        <w:rPr>
          <w:i/>
        </w:rPr>
        <w:t xml:space="preserve">People v. </w:t>
      </w:r>
      <w:proofErr w:type="spellStart"/>
      <w:r w:rsidRPr="00CC27C0">
        <w:rPr>
          <w:i/>
        </w:rPr>
        <w:t>Prunty</w:t>
      </w:r>
      <w:proofErr w:type="spellEnd"/>
      <w:r w:rsidRPr="00CC27C0">
        <w:t xml:space="preserve"> (2015) 62 Cal.4th 59, 89 (conc. </w:t>
      </w:r>
      <w:r w:rsidR="005C5AFA">
        <w:t xml:space="preserve">&amp; dis. </w:t>
      </w:r>
      <w:r w:rsidRPr="00CC27C0">
        <w:t>opn</w:t>
      </w:r>
      <w:proofErr w:type="gramStart"/>
      <w:r w:rsidRPr="00CC27C0">
        <w:t xml:space="preserve">. </w:t>
      </w:r>
      <w:proofErr w:type="gramEnd"/>
      <w:r w:rsidRPr="00CC27C0">
        <w:t>of Cantil</w:t>
      </w:r>
      <w:r w:rsidRPr="00CC27C0">
        <w:noBreakHyphen/>
        <w:t>Sakauye, C.</w:t>
      </w:r>
      <w:r w:rsidR="00F63785">
        <w:t xml:space="preserve"> </w:t>
      </w:r>
      <w:r w:rsidRPr="00CC27C0">
        <w:t xml:space="preserve">J.) [“A witness testifying in the form of an opinion may state on direct examination the basis for his or her opinion”]; </w:t>
      </w:r>
      <w:r w:rsidRPr="00CC27C0">
        <w:rPr>
          <w:i/>
        </w:rPr>
        <w:t>People v. Jones</w:t>
      </w:r>
      <w:r w:rsidRPr="00CC27C0">
        <w:t xml:space="preserve"> (2013) 57 Cal.4th 899, 951 [“expert testimony can be based on a wide variety of information so long as it is reliable”].)  Furthermore, at the time of Chavez’s trial, </w:t>
      </w:r>
      <w:r w:rsidRPr="00CC27C0">
        <w:rPr>
          <w:i/>
        </w:rPr>
        <w:t>Edwards</w:t>
      </w:r>
      <w:r w:rsidRPr="00CC27C0">
        <w:t xml:space="preserve"> was our most recent decision regarding expert testimony relating case-specific hearsay.  (See </w:t>
      </w:r>
      <w:r w:rsidRPr="00CC27C0">
        <w:rPr>
          <w:i/>
        </w:rPr>
        <w:t>Edwards</w:t>
      </w:r>
      <w:r w:rsidRPr="00CC27C0">
        <w:t xml:space="preserve">, </w:t>
      </w:r>
      <w:r w:rsidRPr="00CC27C0">
        <w:rPr>
          <w:i/>
        </w:rPr>
        <w:t>supra</w:t>
      </w:r>
      <w:r w:rsidRPr="00CC27C0">
        <w:t xml:space="preserve">, 57 Cal.4th at pp. 706–707.)  </w:t>
      </w:r>
      <w:r w:rsidRPr="00CC27C0">
        <w:rPr>
          <w:i/>
        </w:rPr>
        <w:t>Edwards</w:t>
      </w:r>
      <w:r w:rsidR="00EE0B9B">
        <w:t xml:space="preserve">, like </w:t>
      </w:r>
      <w:proofErr w:type="spellStart"/>
      <w:r w:rsidR="00EE0B9B" w:rsidRPr="00080C97">
        <w:rPr>
          <w:i/>
        </w:rPr>
        <w:t>Dungo</w:t>
      </w:r>
      <w:proofErr w:type="spellEnd"/>
      <w:r w:rsidR="00EE0B9B">
        <w:t xml:space="preserve"> and </w:t>
      </w:r>
      <w:r w:rsidR="00EE0B9B" w:rsidRPr="00080C97">
        <w:rPr>
          <w:i/>
        </w:rPr>
        <w:t>Lopez</w:t>
      </w:r>
      <w:r w:rsidR="00EE0B9B">
        <w:t xml:space="preserve">, did not overrule </w:t>
      </w:r>
      <w:proofErr w:type="spellStart"/>
      <w:r w:rsidR="00EE0B9B" w:rsidRPr="00080C97">
        <w:rPr>
          <w:i/>
        </w:rPr>
        <w:t>Gardeley</w:t>
      </w:r>
      <w:proofErr w:type="spellEnd"/>
      <w:r w:rsidR="00EE0B9B">
        <w:t xml:space="preserve">, and </w:t>
      </w:r>
      <w:r w:rsidRPr="00CC27C0">
        <w:t xml:space="preserve">the </w:t>
      </w:r>
      <w:r w:rsidRPr="00CC27C0">
        <w:rPr>
          <w:i/>
        </w:rPr>
        <w:t>Edwards</w:t>
      </w:r>
      <w:r w:rsidRPr="00CC27C0">
        <w:t xml:space="preserve"> majority stressed that </w:t>
      </w:r>
      <w:r w:rsidRPr="00CC27C0">
        <w:lastRenderedPageBreak/>
        <w:t xml:space="preserve">it was not persuaded by the </w:t>
      </w:r>
      <w:proofErr w:type="spellStart"/>
      <w:r w:rsidRPr="00CC27C0">
        <w:rPr>
          <w:i/>
        </w:rPr>
        <w:t>Dungo</w:t>
      </w:r>
      <w:proofErr w:type="spellEnd"/>
      <w:r w:rsidRPr="00CC27C0">
        <w:t xml:space="preserve"> dissent.  (</w:t>
      </w:r>
      <w:r w:rsidRPr="00CC27C0">
        <w:rPr>
          <w:i/>
        </w:rPr>
        <w:t>Id</w:t>
      </w:r>
      <w:r w:rsidRPr="00CC27C0">
        <w:t>. at p. 707, fn. 13.)</w:t>
      </w:r>
    </w:p>
    <w:p w14:paraId="1DF48B1F" w14:textId="23838760" w:rsidR="007518AF" w:rsidRPr="00CC27C0" w:rsidRDefault="007518AF" w:rsidP="00CC27C0">
      <w:pPr>
        <w:pStyle w:val="Text"/>
        <w:spacing w:line="400" w:lineRule="exact"/>
        <w:ind w:firstLine="720"/>
      </w:pPr>
      <w:r w:rsidRPr="00CC27C0">
        <w:t>“The decisions of this court are binding upon and must be followed by all the state courts of California.”  (</w:t>
      </w:r>
      <w:r w:rsidRPr="00CC27C0">
        <w:rPr>
          <w:i/>
        </w:rPr>
        <w:t xml:space="preserve">Auto Equity Sales, Inc. v. Superior Court </w:t>
      </w:r>
      <w:r w:rsidRPr="00CC27C0">
        <w:t xml:space="preserve">(1962) 57 Cal.2d 450, 455.)  </w:t>
      </w:r>
      <w:r w:rsidR="00A07ABB">
        <w:t>U</w:t>
      </w:r>
      <w:r w:rsidRPr="00CC27C0">
        <w:t xml:space="preserve">ntil we overruled </w:t>
      </w:r>
      <w:proofErr w:type="spellStart"/>
      <w:r w:rsidRPr="00CC27C0">
        <w:rPr>
          <w:i/>
        </w:rPr>
        <w:t>Gardeley</w:t>
      </w:r>
      <w:proofErr w:type="spellEnd"/>
      <w:r w:rsidRPr="00CC27C0">
        <w:t xml:space="preserve">, a lower court </w:t>
      </w:r>
      <w:r w:rsidR="002B3E29">
        <w:t xml:space="preserve">applying precedent </w:t>
      </w:r>
      <w:r w:rsidRPr="00CC27C0">
        <w:t>would have</w:t>
      </w:r>
      <w:r w:rsidR="00A07ABB">
        <w:t>, under that case,</w:t>
      </w:r>
      <w:r w:rsidRPr="00CC27C0">
        <w:t xml:space="preserve"> overruled</w:t>
      </w:r>
      <w:r w:rsidR="002B3E29">
        <w:t xml:space="preserve"> a </w:t>
      </w:r>
      <w:r w:rsidR="00A07ABB">
        <w:t xml:space="preserve">case-specific hearsay </w:t>
      </w:r>
      <w:r w:rsidR="002B3E29">
        <w:t xml:space="preserve">objection </w:t>
      </w:r>
      <w:r w:rsidR="00A07ABB">
        <w:t>to expert basis testimony</w:t>
      </w:r>
      <w:r w:rsidRPr="00CC27C0">
        <w:t xml:space="preserve">.  Indeed, our colleagues in the Courts of Appeal repeatedly and expressly stated that they were bound to follow </w:t>
      </w:r>
      <w:proofErr w:type="spellStart"/>
      <w:r w:rsidRPr="00CC27C0">
        <w:rPr>
          <w:i/>
        </w:rPr>
        <w:t>Gardeley</w:t>
      </w:r>
      <w:proofErr w:type="spellEnd"/>
      <w:r w:rsidRPr="00CC27C0">
        <w:t xml:space="preserve"> in the years leading up to </w:t>
      </w:r>
      <w:r w:rsidRPr="00CC27C0">
        <w:rPr>
          <w:i/>
        </w:rPr>
        <w:t>Sanchez</w:t>
      </w:r>
      <w:r w:rsidRPr="00CC27C0">
        <w:t xml:space="preserve">.  (See, e.g., </w:t>
      </w:r>
      <w:r w:rsidRPr="00CC27C0">
        <w:rPr>
          <w:i/>
        </w:rPr>
        <w:t>Hill</w:t>
      </w:r>
      <w:r w:rsidRPr="00CC27C0">
        <w:t xml:space="preserve">, </w:t>
      </w:r>
      <w:r w:rsidRPr="00CC27C0">
        <w:rPr>
          <w:i/>
        </w:rPr>
        <w:t>supra</w:t>
      </w:r>
      <w:r w:rsidRPr="00CC27C0">
        <w:t>, 191 Cal.App.4th at p. 1131 [“</w:t>
      </w:r>
      <w:r w:rsidR="005C5AFA">
        <w:t>o</w:t>
      </w:r>
      <w:r w:rsidRPr="00CC27C0">
        <w:t xml:space="preserve">ur position in the judicial hierarchy precludes [rejecting </w:t>
      </w:r>
      <w:proofErr w:type="spellStart"/>
      <w:r w:rsidRPr="00CC27C0">
        <w:rPr>
          <w:i/>
        </w:rPr>
        <w:t>Gardeley</w:t>
      </w:r>
      <w:proofErr w:type="spellEnd"/>
      <w:r w:rsidRPr="00CC27C0">
        <w:t xml:space="preserve">]; we must follow </w:t>
      </w:r>
      <w:proofErr w:type="spellStart"/>
      <w:r w:rsidRPr="00CC27C0">
        <w:rPr>
          <w:i/>
        </w:rPr>
        <w:t>Gardeley</w:t>
      </w:r>
      <w:proofErr w:type="spellEnd"/>
      <w:r w:rsidRPr="00CC27C0">
        <w:t xml:space="preserve"> and the other California Supreme Court cases in the same line of authority”]; accord, </w:t>
      </w:r>
      <w:r w:rsidRPr="00CC27C0">
        <w:rPr>
          <w:i/>
        </w:rPr>
        <w:t>In re Thomas</w:t>
      </w:r>
      <w:r w:rsidRPr="00CC27C0">
        <w:t xml:space="preserve"> (2018) 30 Cal.App.5th 774, 763; </w:t>
      </w:r>
      <w:r w:rsidRPr="00CC27C0">
        <w:rPr>
          <w:i/>
        </w:rPr>
        <w:t xml:space="preserve">People v. Leon </w:t>
      </w:r>
      <w:r w:rsidRPr="00CC27C0">
        <w:t xml:space="preserve">(2016) 243 Cal.App.4th 1003, 1016; </w:t>
      </w:r>
      <w:r w:rsidRPr="00CC27C0">
        <w:rPr>
          <w:i/>
        </w:rPr>
        <w:t>Valadez</w:t>
      </w:r>
      <w:r w:rsidRPr="00CC27C0">
        <w:t xml:space="preserve">, </w:t>
      </w:r>
      <w:r w:rsidRPr="00CC27C0">
        <w:rPr>
          <w:i/>
        </w:rPr>
        <w:t>supra</w:t>
      </w:r>
      <w:r w:rsidRPr="00CC27C0">
        <w:t>, 220 Cal.App.4th at p. 32, fn. 13.)</w:t>
      </w:r>
      <w:r w:rsidRPr="00080C97" w:rsidDel="00B6157C">
        <w:rPr>
          <w:rStyle w:val="FootnoteReference"/>
          <w:b w:val="0"/>
          <w:vertAlign w:val="baseline"/>
        </w:rPr>
        <w:t xml:space="preserve"> </w:t>
      </w:r>
      <w:r w:rsidRPr="00080C97">
        <w:rPr>
          <w:b/>
        </w:rPr>
        <w:t xml:space="preserve"> </w:t>
      </w:r>
      <w:r w:rsidRPr="00CC27C0">
        <w:t xml:space="preserve">Such a request in a trial court would therefore </w:t>
      </w:r>
      <w:r w:rsidR="00C57EEB">
        <w:t xml:space="preserve">have </w:t>
      </w:r>
      <w:r w:rsidRPr="00CC27C0">
        <w:t>be</w:t>
      </w:r>
      <w:r w:rsidR="00C57EEB">
        <w:t>en</w:t>
      </w:r>
      <w:r w:rsidRPr="00CC27C0">
        <w:t xml:space="preserve"> futile.  (See, e.g., </w:t>
      </w:r>
      <w:r w:rsidRPr="00CC27C0">
        <w:rPr>
          <w:i/>
        </w:rPr>
        <w:t>People v. Sandoval</w:t>
      </w:r>
      <w:r w:rsidRPr="00CC27C0">
        <w:t xml:space="preserve"> (2007) 41 Cal.4th 825, 837, fn. 4 [request for a jury trial on aggravating circumstances “clearly would have been futile” when then</w:t>
      </w:r>
      <w:r w:rsidRPr="00CC27C0">
        <w:noBreakHyphen/>
        <w:t xml:space="preserve">existing law required the trial court to deny the request and “was binding on the lower courts until it was overruled by the high court”]; </w:t>
      </w:r>
      <w:r w:rsidRPr="00CC27C0">
        <w:rPr>
          <w:i/>
        </w:rPr>
        <w:t>People v. Gallardo</w:t>
      </w:r>
      <w:r w:rsidRPr="00CC27C0">
        <w:t xml:space="preserve"> (2017) 4 Cal.5th 120, 128 [in dicta questioning “whether defendant should be made to bear the burden of anticipating potential changes in the law based on the reasoning of a United States Supreme Court opinion addressed to the proper interpretation of a federal statute not at issue here”].)</w:t>
      </w:r>
    </w:p>
    <w:p w14:paraId="4D7DA756" w14:textId="41603986" w:rsidR="00C57EEB" w:rsidRDefault="007518AF" w:rsidP="00CC27C0">
      <w:pPr>
        <w:pStyle w:val="Text"/>
        <w:spacing w:line="400" w:lineRule="exact"/>
        <w:ind w:firstLine="720"/>
      </w:pPr>
      <w:r w:rsidRPr="00CC27C0">
        <w:t xml:space="preserve">The Attorney General suggests forfeiture can occur whenever the argument is not “legally foreclosed,” or the law is “unsettled,” in an “odd state of flux,” or when the high court has </w:t>
      </w:r>
      <w:r w:rsidRPr="00CC27C0">
        <w:lastRenderedPageBreak/>
        <w:t>not “squarely held as much in a majority opinion,” or when it</w:t>
      </w:r>
      <w:r w:rsidR="005C5AFA">
        <w:t xml:space="preserve"> i</w:t>
      </w:r>
      <w:r w:rsidRPr="00CC27C0">
        <w:t xml:space="preserve">s just a “ ‘restoration’ [citation] of a legal principle that over the years had become ‘blurred.’ ”  The Attorney General cites cases that </w:t>
      </w:r>
      <w:r w:rsidR="00C57EEB">
        <w:t xml:space="preserve">said </w:t>
      </w:r>
      <w:r w:rsidRPr="00CC27C0">
        <w:t xml:space="preserve">this court </w:t>
      </w:r>
      <w:r w:rsidR="00C57EEB">
        <w:t>might</w:t>
      </w:r>
      <w:r w:rsidR="00C57EEB" w:rsidRPr="00CC27C0">
        <w:t xml:space="preserve"> </w:t>
      </w:r>
      <w:r w:rsidRPr="00CC27C0">
        <w:t xml:space="preserve">be prepared to overrule </w:t>
      </w:r>
      <w:proofErr w:type="spellStart"/>
      <w:r w:rsidRPr="00CC27C0">
        <w:rPr>
          <w:i/>
        </w:rPr>
        <w:t>Gardeley</w:t>
      </w:r>
      <w:proofErr w:type="spellEnd"/>
      <w:r w:rsidRPr="00CC27C0">
        <w:t xml:space="preserve"> in the future.  (See, e.g., </w:t>
      </w:r>
      <w:r w:rsidRPr="00CC27C0">
        <w:rPr>
          <w:i/>
        </w:rPr>
        <w:t>Valadez</w:t>
      </w:r>
      <w:r w:rsidRPr="00CC27C0">
        <w:t>,</w:t>
      </w:r>
      <w:r w:rsidRPr="00CC27C0">
        <w:rPr>
          <w:i/>
        </w:rPr>
        <w:t xml:space="preserve"> supra</w:t>
      </w:r>
      <w:r w:rsidRPr="00CC27C0">
        <w:t>,</w:t>
      </w:r>
      <w:r w:rsidRPr="00CC27C0">
        <w:rPr>
          <w:i/>
        </w:rPr>
        <w:t xml:space="preserve"> </w:t>
      </w:r>
      <w:r w:rsidRPr="00CC27C0">
        <w:t xml:space="preserve">220 Cal.App.4th at p. 32.)  The Attorney General cites cases from other states to show where the law was trending.  The Attorney General argues that counsel was required to object because the grounds for objection were “not foreclosed by existing law.” </w:t>
      </w:r>
    </w:p>
    <w:p w14:paraId="4989DD0F" w14:textId="32304852" w:rsidR="007518AF" w:rsidRPr="00CC27C0" w:rsidRDefault="007518AF" w:rsidP="00CC27C0">
      <w:pPr>
        <w:pStyle w:val="Text"/>
        <w:spacing w:line="400" w:lineRule="exact"/>
        <w:ind w:firstLine="720"/>
      </w:pPr>
      <w:r w:rsidRPr="00CC27C0">
        <w:t xml:space="preserve">This, however, is beyond what we have required and too amorphous a standard to place on trial counsel.  “The circumstance that some attorneys may have had the foresight to raise this issue does not mean that competent and knowledgeable counsel reasonably could have been expected to have anticipated the high court’s </w:t>
      </w:r>
      <w:proofErr w:type="gramStart"/>
      <w:r w:rsidRPr="00CC27C0">
        <w:t>decision</w:t>
      </w:r>
      <w:r w:rsidR="005C5AFA">
        <w:t> .</w:t>
      </w:r>
      <w:proofErr w:type="gramEnd"/>
      <w:r w:rsidR="005C5AFA">
        <w:t> . . .</w:t>
      </w:r>
      <w:r w:rsidRPr="00CC27C0">
        <w:t>”  (</w:t>
      </w:r>
      <w:r w:rsidRPr="00CC27C0">
        <w:rPr>
          <w:i/>
        </w:rPr>
        <w:t>Black</w:t>
      </w:r>
      <w:r w:rsidRPr="00CC27C0">
        <w:t xml:space="preserve">, </w:t>
      </w:r>
      <w:r w:rsidRPr="00CC27C0">
        <w:rPr>
          <w:i/>
        </w:rPr>
        <w:t>supra</w:t>
      </w:r>
      <w:r w:rsidRPr="00CC27C0">
        <w:t xml:space="preserve">, 41 Cal.4th at p. 812.)  Asking attorneys at the trial level to predict that our court </w:t>
      </w:r>
      <w:r w:rsidR="00C57EEB">
        <w:t>might</w:t>
      </w:r>
      <w:r w:rsidR="00C57EEB" w:rsidRPr="00CC27C0">
        <w:t xml:space="preserve"> </w:t>
      </w:r>
      <w:r w:rsidRPr="00CC27C0">
        <w:t xml:space="preserve">in the future overrule its prior precedent — or risk forfeiting constitutional claims of their clients — simply requires too much.  (See </w:t>
      </w:r>
      <w:r w:rsidRPr="00CC27C0">
        <w:rPr>
          <w:i/>
        </w:rPr>
        <w:t>People v. Champion</w:t>
      </w:r>
      <w:r w:rsidRPr="00CC27C0">
        <w:t xml:space="preserve"> (1995) 9 Cal.4th 879, 908, fn. 6 [“Because the question whether defendants have preserved their right to raise this issue on appeal is close and difficult, we assume [they] have preserved their right, and proceed to the merits”].)  </w:t>
      </w:r>
      <w:r w:rsidR="00C57EEB">
        <w:t xml:space="preserve">It likewise burdens trial courts with ruling on objections they have little power to sustain unless and until contrary authority is overruled. </w:t>
      </w:r>
      <w:r w:rsidR="002B3E29">
        <w:t xml:space="preserve"> </w:t>
      </w:r>
      <w:r w:rsidR="00C57EEB">
        <w:t xml:space="preserve">If objection would be futile under current precedent, counsel is not obligated to object on pain of forfeiture simply because a future change in the law might be foreseeable.  </w:t>
      </w:r>
      <w:r w:rsidRPr="00CC27C0">
        <w:t xml:space="preserve">Here, </w:t>
      </w:r>
      <w:proofErr w:type="spellStart"/>
      <w:r w:rsidRPr="00CC27C0">
        <w:rPr>
          <w:i/>
        </w:rPr>
        <w:t>Gardeley</w:t>
      </w:r>
      <w:proofErr w:type="spellEnd"/>
      <w:r w:rsidRPr="00CC27C0">
        <w:t xml:space="preserve"> was still binding on lower courts at the time of Chavez’s trial and </w:t>
      </w:r>
      <w:r w:rsidR="002B3E29">
        <w:t>therefore</w:t>
      </w:r>
      <w:r w:rsidR="00F63785">
        <w:t>,</w:t>
      </w:r>
      <w:r w:rsidR="002B3E29">
        <w:t xml:space="preserve"> a trial court applying this precedent would have overruled the</w:t>
      </w:r>
      <w:r w:rsidRPr="00CC27C0">
        <w:t xml:space="preserve"> objection.  </w:t>
      </w:r>
    </w:p>
    <w:p w14:paraId="48F25626" w14:textId="32A99DDF" w:rsidR="007518AF" w:rsidRPr="00CC27C0" w:rsidRDefault="007518AF" w:rsidP="00CC27C0">
      <w:pPr>
        <w:pStyle w:val="Text"/>
        <w:spacing w:line="400" w:lineRule="exact"/>
        <w:ind w:firstLine="720"/>
      </w:pPr>
      <w:r w:rsidRPr="00CC27C0">
        <w:lastRenderedPageBreak/>
        <w:t xml:space="preserve">In an alternative argument, the Attorney General contends that even before </w:t>
      </w:r>
      <w:r w:rsidRPr="00CC27C0">
        <w:rPr>
          <w:i/>
        </w:rPr>
        <w:t>Sanchez</w:t>
      </w:r>
      <w:r w:rsidR="005C5AFA">
        <w:t>,</w:t>
      </w:r>
      <w:r w:rsidRPr="00CC27C0">
        <w:t xml:space="preserve"> litigants could “seek to exclude testimony by an expert that would have impermissibly related case-specific hearsay to juries, relying both on the hearsay rule and on section 352 of the Evidence Code.”  It is undoubtedly true that </w:t>
      </w:r>
      <w:r w:rsidR="005C5AFA">
        <w:t>Chavez</w:t>
      </w:r>
      <w:r w:rsidR="005C5AFA" w:rsidRPr="00CC27C0">
        <w:t xml:space="preserve"> </w:t>
      </w:r>
      <w:r w:rsidRPr="00CC27C0">
        <w:t>could have objected under Evidence Code section 352 based on “whether the jury could properly follow the court’s limiting instruction in light of the nature and amount of the out-of-court statements admitted.”  (</w:t>
      </w:r>
      <w:r w:rsidRPr="00CC27C0">
        <w:rPr>
          <w:i/>
        </w:rPr>
        <w:t>Sanchez, supra,</w:t>
      </w:r>
      <w:r w:rsidRPr="00CC27C0">
        <w:t xml:space="preserve"> 63 Cal.4th at p. 679.)  However, an objection under Evidence Code section 352 is completely different from a </w:t>
      </w:r>
      <w:r w:rsidRPr="00CC27C0">
        <w:rPr>
          <w:i/>
        </w:rPr>
        <w:t>Sanchez</w:t>
      </w:r>
      <w:r w:rsidRPr="00CC27C0">
        <w:t xml:space="preserve"> objection that the expert has “relate[d] as true case-specific facts asserted in hearsay statements.”  (</w:t>
      </w:r>
      <w:r w:rsidRPr="00CC27C0">
        <w:rPr>
          <w:i/>
        </w:rPr>
        <w:t>Sanchez</w:t>
      </w:r>
      <w:r w:rsidRPr="00CC27C0">
        <w:t xml:space="preserve">, at p. 686.)  Thus, the </w:t>
      </w:r>
      <w:r w:rsidRPr="00CC27C0">
        <w:rPr>
          <w:i/>
        </w:rPr>
        <w:t>specific</w:t>
      </w:r>
      <w:r w:rsidRPr="00CC27C0">
        <w:t xml:space="preserve"> objection </w:t>
      </w:r>
      <w:r w:rsidRPr="00CC27C0">
        <w:rPr>
          <w:i/>
        </w:rPr>
        <w:t>Sanchez</w:t>
      </w:r>
      <w:r w:rsidRPr="00CC27C0">
        <w:t xml:space="preserve"> contemplated would have been futile under </w:t>
      </w:r>
      <w:proofErr w:type="spellStart"/>
      <w:r w:rsidRPr="00CC27C0">
        <w:rPr>
          <w:i/>
        </w:rPr>
        <w:t>Gardeley</w:t>
      </w:r>
      <w:proofErr w:type="spellEnd"/>
      <w:r w:rsidRPr="00CC27C0">
        <w:t xml:space="preserve"> and its progeny unless a defendant could additionally show that the statements the expert related were excessive, inflammatory, or confusing, regardless of whether they were case-specific.  (See, e.g., </w:t>
      </w:r>
      <w:r w:rsidRPr="00CC27C0">
        <w:rPr>
          <w:i/>
        </w:rPr>
        <w:t>People v. Coleman</w:t>
      </w:r>
      <w:r w:rsidRPr="00CC27C0">
        <w:t xml:space="preserve"> (1985) 38 Cal.3d 69, 93 [court abused its discretion by allowing “extensive questioning of the expert witnesses” regarding letters written by the victim].)  Our decision in </w:t>
      </w:r>
      <w:r w:rsidRPr="00CC27C0">
        <w:rPr>
          <w:i/>
        </w:rPr>
        <w:t>Sanchez</w:t>
      </w:r>
      <w:r w:rsidRPr="00CC27C0">
        <w:t xml:space="preserve"> therefore meant that, for the first time, it was no longer futile to object to case-specific expert basis testimony that was not excessive, inflammatory, or confusing.</w:t>
      </w:r>
    </w:p>
    <w:p w14:paraId="13DFD782" w14:textId="1363F2E7" w:rsidR="007518AF" w:rsidRPr="00CC27C0" w:rsidRDefault="007518AF" w:rsidP="00CC27C0">
      <w:pPr>
        <w:pStyle w:val="Text"/>
        <w:spacing w:line="400" w:lineRule="exact"/>
        <w:ind w:firstLine="720"/>
      </w:pPr>
      <w:r w:rsidRPr="00CC27C0">
        <w:t xml:space="preserve">For the reasons stated above, we conclude that the Court of Appeal improperly found that Chavez forfeited his claim on appeal based upon </w:t>
      </w:r>
      <w:r w:rsidRPr="00CC27C0">
        <w:rPr>
          <w:i/>
        </w:rPr>
        <w:t>Sanchez</w:t>
      </w:r>
      <w:r w:rsidRPr="00CC27C0">
        <w:t xml:space="preserve"> by failing to object at a trial occurring before </w:t>
      </w:r>
      <w:r w:rsidRPr="00CC27C0">
        <w:rPr>
          <w:i/>
        </w:rPr>
        <w:t>Sanchez</w:t>
      </w:r>
      <w:r w:rsidRPr="00CC27C0">
        <w:t xml:space="preserve"> was decided.  The Court of Appeal here reached the same conclusion as </w:t>
      </w:r>
      <w:r w:rsidRPr="00CC27C0">
        <w:rPr>
          <w:i/>
        </w:rPr>
        <w:t>People v.</w:t>
      </w:r>
      <w:r w:rsidRPr="00CC27C0">
        <w:t xml:space="preserve"> </w:t>
      </w:r>
      <w:proofErr w:type="spellStart"/>
      <w:r w:rsidRPr="00CC27C0">
        <w:rPr>
          <w:i/>
        </w:rPr>
        <w:t>Blessett</w:t>
      </w:r>
      <w:proofErr w:type="spellEnd"/>
      <w:r w:rsidRPr="00CC27C0">
        <w:t xml:space="preserve"> (2018) 22 Cal.App.5th 903, 925–941.  We disapprove </w:t>
      </w:r>
      <w:proofErr w:type="spellStart"/>
      <w:r w:rsidRPr="00CC27C0">
        <w:rPr>
          <w:i/>
        </w:rPr>
        <w:t>Blessett</w:t>
      </w:r>
      <w:proofErr w:type="spellEnd"/>
      <w:r w:rsidRPr="00CC27C0">
        <w:t xml:space="preserve"> to the extent that it is inconsistent with this decision.</w:t>
      </w:r>
    </w:p>
    <w:p w14:paraId="0D5B58B1" w14:textId="77777777" w:rsidR="007518AF" w:rsidRPr="00EB0BA4" w:rsidRDefault="007518AF" w:rsidP="00EB0BA4">
      <w:pPr>
        <w:pStyle w:val="Text"/>
        <w:spacing w:line="400" w:lineRule="exact"/>
        <w:ind w:firstLine="0"/>
        <w:jc w:val="center"/>
        <w:rPr>
          <w:b/>
        </w:rPr>
      </w:pPr>
      <w:r w:rsidRPr="00EB0BA4">
        <w:rPr>
          <w:b/>
        </w:rPr>
        <w:lastRenderedPageBreak/>
        <w:t>III. DISPOSITION</w:t>
      </w:r>
    </w:p>
    <w:p w14:paraId="04663634" w14:textId="167AB82F" w:rsidR="007518AF" w:rsidRDefault="007518AF" w:rsidP="00CC27C0">
      <w:pPr>
        <w:pStyle w:val="Text"/>
        <w:spacing w:line="400" w:lineRule="exact"/>
        <w:ind w:firstLine="720"/>
      </w:pPr>
      <w:r w:rsidRPr="00CC27C0">
        <w:t>The judgment of the Court of Appeal is reversed</w:t>
      </w:r>
      <w:r w:rsidR="009908D2">
        <w:t>,</w:t>
      </w:r>
      <w:r w:rsidRPr="00CC27C0">
        <w:t xml:space="preserve"> and the cause remanded</w:t>
      </w:r>
      <w:r w:rsidR="00BE1A20">
        <w:t xml:space="preserve"> </w:t>
      </w:r>
      <w:r w:rsidRPr="00CC27C0">
        <w:t>for further proceedings consistent with this opinion.</w:t>
      </w:r>
    </w:p>
    <w:p w14:paraId="14AB9C62" w14:textId="77777777" w:rsidR="00634EFC" w:rsidRDefault="00634EFC" w:rsidP="00CC27C0">
      <w:pPr>
        <w:pStyle w:val="Text"/>
        <w:spacing w:line="400" w:lineRule="exact"/>
        <w:ind w:firstLine="720"/>
      </w:pPr>
    </w:p>
    <w:p w14:paraId="3178FD1B" w14:textId="77777777" w:rsidR="00634EFC" w:rsidRPr="00EF5A3A" w:rsidRDefault="00634EFC" w:rsidP="00080C97">
      <w:pPr>
        <w:jc w:val="right"/>
        <w:rPr>
          <w:b/>
          <w:szCs w:val="26"/>
        </w:rPr>
      </w:pPr>
      <w:r w:rsidRPr="00EF5A3A">
        <w:rPr>
          <w:b/>
          <w:szCs w:val="26"/>
        </w:rPr>
        <w:t>GROBAN, J.</w:t>
      </w:r>
    </w:p>
    <w:p w14:paraId="0992B9F9" w14:textId="77777777" w:rsidR="00634EFC" w:rsidRDefault="00634EFC" w:rsidP="00634EFC">
      <w:pPr>
        <w:rPr>
          <w:b/>
          <w:szCs w:val="26"/>
        </w:rPr>
      </w:pPr>
    </w:p>
    <w:p w14:paraId="5CF52BAB" w14:textId="77777777" w:rsidR="00634EFC" w:rsidRDefault="00634EFC" w:rsidP="00634EFC">
      <w:pPr>
        <w:rPr>
          <w:b/>
          <w:szCs w:val="26"/>
        </w:rPr>
      </w:pPr>
    </w:p>
    <w:p w14:paraId="75F93848" w14:textId="77777777" w:rsidR="00EA588C" w:rsidRDefault="00EA588C" w:rsidP="00C23295">
      <w:pPr>
        <w:spacing w:line="400" w:lineRule="atLeast"/>
        <w:rPr>
          <w:b/>
          <w:szCs w:val="26"/>
        </w:rPr>
      </w:pPr>
      <w:r>
        <w:rPr>
          <w:b/>
          <w:szCs w:val="26"/>
        </w:rPr>
        <w:t>We Concur:</w:t>
      </w:r>
    </w:p>
    <w:p w14:paraId="74F1219B" w14:textId="47806461" w:rsidR="00EA588C" w:rsidRDefault="00EA588C" w:rsidP="00EA588C">
      <w:pPr>
        <w:spacing w:after="0" w:line="240" w:lineRule="auto"/>
        <w:rPr>
          <w:b/>
          <w:szCs w:val="26"/>
        </w:rPr>
      </w:pPr>
      <w:r>
        <w:rPr>
          <w:b/>
          <w:szCs w:val="26"/>
        </w:rPr>
        <w:t>CANTIL-SAKAUYE, C.</w:t>
      </w:r>
      <w:r w:rsidR="00205B62">
        <w:rPr>
          <w:b/>
          <w:szCs w:val="26"/>
        </w:rPr>
        <w:t xml:space="preserve"> </w:t>
      </w:r>
      <w:r>
        <w:rPr>
          <w:b/>
          <w:szCs w:val="26"/>
        </w:rPr>
        <w:t>J.</w:t>
      </w:r>
    </w:p>
    <w:p w14:paraId="61A33676" w14:textId="77777777" w:rsidR="00EA588C" w:rsidRDefault="00EA588C" w:rsidP="00EA588C">
      <w:pPr>
        <w:spacing w:after="0" w:line="240" w:lineRule="auto"/>
        <w:rPr>
          <w:b/>
          <w:szCs w:val="26"/>
        </w:rPr>
      </w:pPr>
      <w:r>
        <w:rPr>
          <w:b/>
          <w:szCs w:val="26"/>
        </w:rPr>
        <w:t>CHIN, J.</w:t>
      </w:r>
    </w:p>
    <w:p w14:paraId="4D6D3026" w14:textId="77777777" w:rsidR="00EA588C" w:rsidRDefault="00EA588C" w:rsidP="00EA588C">
      <w:pPr>
        <w:spacing w:after="0" w:line="240" w:lineRule="auto"/>
        <w:rPr>
          <w:b/>
          <w:szCs w:val="26"/>
        </w:rPr>
      </w:pPr>
      <w:r>
        <w:rPr>
          <w:b/>
          <w:szCs w:val="26"/>
        </w:rPr>
        <w:t>CORRIGAN, J.</w:t>
      </w:r>
    </w:p>
    <w:p w14:paraId="70DCEF21" w14:textId="77777777" w:rsidR="00EA588C" w:rsidRDefault="00EA588C" w:rsidP="00EA588C">
      <w:pPr>
        <w:spacing w:after="0" w:line="240" w:lineRule="auto"/>
        <w:rPr>
          <w:b/>
          <w:szCs w:val="26"/>
        </w:rPr>
      </w:pPr>
      <w:r>
        <w:rPr>
          <w:b/>
          <w:szCs w:val="26"/>
        </w:rPr>
        <w:t>LIU, J.</w:t>
      </w:r>
    </w:p>
    <w:p w14:paraId="66CEB035" w14:textId="77777777" w:rsidR="00EA588C" w:rsidRDefault="00EA588C" w:rsidP="00EA588C">
      <w:pPr>
        <w:spacing w:after="0" w:line="240" w:lineRule="auto"/>
        <w:rPr>
          <w:b/>
          <w:szCs w:val="26"/>
        </w:rPr>
      </w:pPr>
      <w:r>
        <w:rPr>
          <w:b/>
          <w:szCs w:val="26"/>
        </w:rPr>
        <w:t>CUÉLLAR, J.</w:t>
      </w:r>
    </w:p>
    <w:p w14:paraId="224ADEC3" w14:textId="77777777" w:rsidR="00EA588C" w:rsidRDefault="00EA588C" w:rsidP="00EA588C">
      <w:pPr>
        <w:spacing w:after="0" w:line="240" w:lineRule="auto"/>
        <w:rPr>
          <w:b/>
          <w:szCs w:val="26"/>
        </w:rPr>
      </w:pPr>
      <w:r>
        <w:rPr>
          <w:b/>
          <w:szCs w:val="26"/>
        </w:rPr>
        <w:t>KRUGER, J.</w:t>
      </w:r>
    </w:p>
    <w:p w14:paraId="7EC3D28B" w14:textId="39710B84" w:rsidR="00EA588C" w:rsidRDefault="00EA588C" w:rsidP="00634EFC">
      <w:pPr>
        <w:rPr>
          <w:b/>
          <w:szCs w:val="26"/>
        </w:rPr>
      </w:pPr>
    </w:p>
    <w:p w14:paraId="4A700A2F" w14:textId="77777777" w:rsidR="00E468A8" w:rsidRDefault="00E468A8" w:rsidP="00634EFC">
      <w:pPr>
        <w:rPr>
          <w:b/>
          <w:szCs w:val="26"/>
        </w:rPr>
        <w:sectPr w:rsidR="00E468A8" w:rsidSect="00CC27C0">
          <w:footerReference w:type="first" r:id="rId10"/>
          <w:pgSz w:w="12240" w:h="15840"/>
          <w:pgMar w:top="1800" w:right="2160" w:bottom="1440" w:left="2160" w:header="720" w:footer="720" w:gutter="0"/>
          <w:pgNumType w:start="1"/>
          <w:cols w:space="720"/>
          <w:titlePg/>
          <w:docGrid w:linePitch="367"/>
        </w:sectPr>
      </w:pPr>
    </w:p>
    <w:p w14:paraId="4E8F1EFE" w14:textId="77777777" w:rsidR="00F01DB4" w:rsidRPr="00F01DB4" w:rsidRDefault="00F01DB4" w:rsidP="00F01DB4">
      <w:pPr>
        <w:spacing w:after="0" w:line="240" w:lineRule="auto"/>
        <w:jc w:val="left"/>
        <w:rPr>
          <w:rFonts w:ascii="Times New Roman" w:hAnsi="Times New Roman"/>
          <w:i/>
          <w:sz w:val="20"/>
        </w:rPr>
      </w:pPr>
      <w:r w:rsidRPr="00F01DB4">
        <w:rPr>
          <w:rFonts w:ascii="Times New Roman" w:hAnsi="Times New Roman"/>
          <w:i/>
          <w:sz w:val="20"/>
        </w:rPr>
        <w:lastRenderedPageBreak/>
        <w:t>See next page for addresses and telephone numbers for counsel who argued in Supreme Court.</w:t>
      </w:r>
    </w:p>
    <w:p w14:paraId="63A4C4DF" w14:textId="77777777" w:rsidR="00F01DB4" w:rsidRPr="00F01DB4" w:rsidRDefault="00F01DB4" w:rsidP="00F01DB4">
      <w:pPr>
        <w:spacing w:after="0" w:line="240" w:lineRule="auto"/>
        <w:jc w:val="left"/>
        <w:rPr>
          <w:rFonts w:ascii="Times New Roman" w:hAnsi="Times New Roman"/>
          <w:i/>
          <w:sz w:val="20"/>
        </w:rPr>
      </w:pPr>
    </w:p>
    <w:p w14:paraId="43218D9B"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 xml:space="preserve">Name of Opinion </w:t>
      </w:r>
      <w:r w:rsidRPr="00F01DB4">
        <w:rPr>
          <w:rFonts w:ascii="Times New Roman" w:hAnsi="Times New Roman"/>
          <w:sz w:val="20"/>
        </w:rPr>
        <w:t xml:space="preserve">People v. Perez </w:t>
      </w:r>
      <w:r w:rsidRPr="00F01DB4">
        <w:rPr>
          <w:rFonts w:ascii="Times New Roman" w:hAnsi="Times New Roman"/>
          <w:b/>
          <w:sz w:val="20"/>
        </w:rPr>
        <w:t>__________________________________________________________________________________</w:t>
      </w:r>
    </w:p>
    <w:p w14:paraId="7942510A" w14:textId="77777777" w:rsidR="00F01DB4" w:rsidRPr="00F01DB4" w:rsidRDefault="00F01DB4" w:rsidP="00F01DB4">
      <w:pPr>
        <w:spacing w:after="0" w:line="240" w:lineRule="auto"/>
        <w:jc w:val="left"/>
        <w:rPr>
          <w:rFonts w:ascii="Times New Roman" w:hAnsi="Times New Roman"/>
          <w:b/>
          <w:sz w:val="20"/>
        </w:rPr>
      </w:pPr>
    </w:p>
    <w:p w14:paraId="002BF5C1" w14:textId="77777777" w:rsidR="00F01DB4" w:rsidRPr="00F01DB4" w:rsidRDefault="00F01DB4" w:rsidP="00F01DB4">
      <w:pPr>
        <w:spacing w:after="0" w:line="240" w:lineRule="auto"/>
        <w:jc w:val="left"/>
        <w:rPr>
          <w:rFonts w:ascii="Times New Roman" w:hAnsi="Times New Roman"/>
          <w:bCs/>
          <w:sz w:val="20"/>
        </w:rPr>
      </w:pPr>
      <w:r w:rsidRPr="00F01DB4">
        <w:rPr>
          <w:rFonts w:ascii="Times New Roman" w:hAnsi="Times New Roman"/>
          <w:b/>
          <w:sz w:val="20"/>
        </w:rPr>
        <w:t>Unpublished Opinion</w:t>
      </w:r>
    </w:p>
    <w:p w14:paraId="317FB02D"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b/>
          <w:sz w:val="20"/>
        </w:rPr>
        <w:t>Original Appeal</w:t>
      </w:r>
    </w:p>
    <w:p w14:paraId="0A9677A2"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 xml:space="preserve">Original Proceeding </w:t>
      </w:r>
    </w:p>
    <w:p w14:paraId="49783614"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b/>
          <w:sz w:val="20"/>
        </w:rPr>
        <w:t xml:space="preserve">Review Granted </w:t>
      </w:r>
      <w:r w:rsidRPr="00F01DB4">
        <w:rPr>
          <w:rFonts w:ascii="Times New Roman" w:hAnsi="Times New Roman"/>
          <w:sz w:val="20"/>
        </w:rPr>
        <w:t>XXX 22 Cal.App.5th 201</w:t>
      </w:r>
    </w:p>
    <w:p w14:paraId="23BF67E5"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Rehearing Granted</w:t>
      </w:r>
    </w:p>
    <w:p w14:paraId="010192BD" w14:textId="77777777" w:rsidR="00F01DB4" w:rsidRPr="00F01DB4" w:rsidRDefault="00F01DB4" w:rsidP="00F01DB4">
      <w:pPr>
        <w:spacing w:after="0" w:line="240" w:lineRule="auto"/>
        <w:jc w:val="left"/>
        <w:rPr>
          <w:rFonts w:ascii="Times New Roman" w:hAnsi="Times New Roman"/>
          <w:b/>
          <w:sz w:val="20"/>
        </w:rPr>
      </w:pPr>
    </w:p>
    <w:p w14:paraId="34670845"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__________________________________________________________________________________</w:t>
      </w:r>
    </w:p>
    <w:p w14:paraId="6FB50DF7" w14:textId="77777777" w:rsidR="00F01DB4" w:rsidRPr="00F01DB4" w:rsidRDefault="00F01DB4" w:rsidP="00F01DB4">
      <w:pPr>
        <w:spacing w:after="0" w:line="240" w:lineRule="auto"/>
        <w:jc w:val="left"/>
        <w:rPr>
          <w:rFonts w:ascii="Times New Roman" w:hAnsi="Times New Roman"/>
          <w:b/>
          <w:sz w:val="20"/>
        </w:rPr>
      </w:pPr>
    </w:p>
    <w:p w14:paraId="0FE5AC57" w14:textId="77777777" w:rsidR="00F01DB4" w:rsidRPr="00F01DB4" w:rsidRDefault="00F01DB4" w:rsidP="00F01DB4">
      <w:pPr>
        <w:spacing w:after="0" w:line="240" w:lineRule="auto"/>
        <w:jc w:val="left"/>
        <w:rPr>
          <w:rFonts w:ascii="Times New Roman" w:hAnsi="Times New Roman"/>
          <w:bCs/>
          <w:sz w:val="20"/>
        </w:rPr>
      </w:pPr>
      <w:r w:rsidRPr="00F01DB4">
        <w:rPr>
          <w:rFonts w:ascii="Times New Roman" w:hAnsi="Times New Roman"/>
          <w:b/>
          <w:sz w:val="20"/>
        </w:rPr>
        <w:t>Opinion No.</w:t>
      </w:r>
      <w:r w:rsidRPr="00F01DB4">
        <w:rPr>
          <w:rFonts w:ascii="Times New Roman" w:hAnsi="Times New Roman"/>
          <w:sz w:val="20"/>
        </w:rPr>
        <w:t xml:space="preserve"> S248730</w:t>
      </w:r>
    </w:p>
    <w:p w14:paraId="79113B2D" w14:textId="77777777" w:rsidR="00F01DB4" w:rsidRPr="00F01DB4" w:rsidRDefault="00F01DB4" w:rsidP="00F01DB4">
      <w:pPr>
        <w:spacing w:after="0" w:line="240" w:lineRule="auto"/>
        <w:jc w:val="left"/>
        <w:rPr>
          <w:rFonts w:ascii="Times New Roman" w:hAnsi="Times New Roman"/>
          <w:bCs/>
          <w:sz w:val="20"/>
        </w:rPr>
      </w:pPr>
      <w:r w:rsidRPr="00F01DB4">
        <w:rPr>
          <w:rFonts w:ascii="Times New Roman" w:hAnsi="Times New Roman"/>
          <w:b/>
          <w:sz w:val="20"/>
        </w:rPr>
        <w:t>Date Filed:</w:t>
      </w:r>
      <w:r w:rsidRPr="00F01DB4">
        <w:rPr>
          <w:rFonts w:ascii="Times New Roman" w:hAnsi="Times New Roman"/>
          <w:sz w:val="20"/>
        </w:rPr>
        <w:t xml:space="preserve">  February 27, 2020</w:t>
      </w:r>
    </w:p>
    <w:p w14:paraId="251828AE"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__________________________________________________________________________________</w:t>
      </w:r>
    </w:p>
    <w:p w14:paraId="2ADD7474" w14:textId="77777777" w:rsidR="00F01DB4" w:rsidRPr="00F01DB4" w:rsidRDefault="00F01DB4" w:rsidP="00F01DB4">
      <w:pPr>
        <w:spacing w:after="0" w:line="240" w:lineRule="auto"/>
        <w:jc w:val="left"/>
        <w:rPr>
          <w:rFonts w:ascii="Times New Roman" w:hAnsi="Times New Roman"/>
          <w:b/>
          <w:sz w:val="20"/>
        </w:rPr>
      </w:pPr>
    </w:p>
    <w:p w14:paraId="0CC9466F" w14:textId="77777777" w:rsidR="00F01DB4" w:rsidRPr="00F01DB4" w:rsidRDefault="00F01DB4" w:rsidP="00F01DB4">
      <w:pPr>
        <w:spacing w:after="0" w:line="240" w:lineRule="auto"/>
        <w:jc w:val="left"/>
        <w:rPr>
          <w:rFonts w:ascii="Times New Roman" w:hAnsi="Times New Roman"/>
          <w:bCs/>
          <w:sz w:val="20"/>
        </w:rPr>
      </w:pPr>
      <w:r w:rsidRPr="00F01DB4">
        <w:rPr>
          <w:rFonts w:ascii="Times New Roman" w:hAnsi="Times New Roman"/>
          <w:b/>
          <w:sz w:val="20"/>
        </w:rPr>
        <w:t xml:space="preserve">Court:  </w:t>
      </w:r>
      <w:r w:rsidRPr="00F01DB4">
        <w:rPr>
          <w:rFonts w:ascii="Times New Roman" w:hAnsi="Times New Roman"/>
          <w:sz w:val="20"/>
        </w:rPr>
        <w:t>Superior</w:t>
      </w:r>
    </w:p>
    <w:p w14:paraId="209FBDF5" w14:textId="77777777" w:rsidR="00F01DB4" w:rsidRPr="00F01DB4" w:rsidRDefault="00F01DB4" w:rsidP="00F01DB4">
      <w:pPr>
        <w:spacing w:after="0" w:line="240" w:lineRule="auto"/>
        <w:jc w:val="left"/>
        <w:rPr>
          <w:rFonts w:ascii="Times New Roman" w:hAnsi="Times New Roman"/>
          <w:bCs/>
          <w:sz w:val="20"/>
        </w:rPr>
      </w:pPr>
      <w:r w:rsidRPr="00F01DB4">
        <w:rPr>
          <w:rFonts w:ascii="Times New Roman" w:hAnsi="Times New Roman"/>
          <w:b/>
          <w:sz w:val="20"/>
        </w:rPr>
        <w:t xml:space="preserve">County:  </w:t>
      </w:r>
      <w:r w:rsidRPr="00F01DB4">
        <w:rPr>
          <w:rFonts w:ascii="Times New Roman" w:hAnsi="Times New Roman"/>
          <w:sz w:val="20"/>
        </w:rPr>
        <w:t>San Bernardino</w:t>
      </w:r>
    </w:p>
    <w:p w14:paraId="2B472B3C" w14:textId="77777777" w:rsidR="00F01DB4" w:rsidRPr="00F01DB4" w:rsidRDefault="00F01DB4" w:rsidP="00F01DB4">
      <w:pPr>
        <w:spacing w:after="0" w:line="240" w:lineRule="auto"/>
        <w:ind w:left="720" w:hanging="720"/>
        <w:jc w:val="left"/>
        <w:rPr>
          <w:rFonts w:ascii="Times New Roman" w:hAnsi="Times New Roman"/>
          <w:bCs/>
          <w:sz w:val="20"/>
        </w:rPr>
      </w:pPr>
      <w:r w:rsidRPr="00F01DB4">
        <w:rPr>
          <w:rFonts w:ascii="Times New Roman" w:hAnsi="Times New Roman"/>
          <w:b/>
          <w:sz w:val="20"/>
        </w:rPr>
        <w:t xml:space="preserve">Judge:  </w:t>
      </w:r>
      <w:r w:rsidRPr="00F01DB4">
        <w:rPr>
          <w:rFonts w:ascii="Times New Roman" w:hAnsi="Times New Roman"/>
          <w:sz w:val="20"/>
        </w:rPr>
        <w:t xml:space="preserve">John M. </w:t>
      </w:r>
      <w:proofErr w:type="spellStart"/>
      <w:r w:rsidRPr="00F01DB4">
        <w:rPr>
          <w:rFonts w:ascii="Times New Roman" w:hAnsi="Times New Roman"/>
          <w:sz w:val="20"/>
        </w:rPr>
        <w:t>Tomberlin</w:t>
      </w:r>
      <w:proofErr w:type="spellEnd"/>
    </w:p>
    <w:p w14:paraId="64525E5B" w14:textId="77777777" w:rsidR="00F01DB4" w:rsidRPr="00F01DB4" w:rsidRDefault="00F01DB4" w:rsidP="00F01DB4">
      <w:pPr>
        <w:spacing w:after="0" w:line="240" w:lineRule="auto"/>
        <w:jc w:val="left"/>
        <w:rPr>
          <w:rFonts w:ascii="Times New Roman" w:hAnsi="Times New Roman"/>
          <w:b/>
          <w:sz w:val="20"/>
        </w:rPr>
      </w:pPr>
    </w:p>
    <w:p w14:paraId="46FAC6CA"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__________________________________________________________________________________</w:t>
      </w:r>
    </w:p>
    <w:p w14:paraId="1DA90548" w14:textId="77777777" w:rsidR="00F01DB4" w:rsidRPr="00F01DB4" w:rsidRDefault="00F01DB4" w:rsidP="00F01DB4">
      <w:pPr>
        <w:spacing w:after="0" w:line="240" w:lineRule="auto"/>
        <w:jc w:val="left"/>
        <w:rPr>
          <w:rFonts w:ascii="Times New Roman" w:hAnsi="Times New Roman"/>
          <w:b/>
          <w:sz w:val="20"/>
        </w:rPr>
      </w:pPr>
    </w:p>
    <w:p w14:paraId="783C6316"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Counsel:</w:t>
      </w:r>
    </w:p>
    <w:p w14:paraId="3FB22B38" w14:textId="77777777" w:rsidR="00F01DB4" w:rsidRPr="00F01DB4" w:rsidRDefault="00F01DB4" w:rsidP="00F01DB4">
      <w:pPr>
        <w:spacing w:after="0" w:line="240" w:lineRule="auto"/>
        <w:jc w:val="left"/>
        <w:rPr>
          <w:rFonts w:ascii="Times New Roman" w:hAnsi="Times New Roman"/>
          <w:b/>
          <w:sz w:val="20"/>
        </w:rPr>
      </w:pPr>
    </w:p>
    <w:p w14:paraId="3130D04C"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 xml:space="preserve">Raymond Mark </w:t>
      </w:r>
      <w:proofErr w:type="spellStart"/>
      <w:r w:rsidRPr="00F01DB4">
        <w:rPr>
          <w:rFonts w:ascii="Times New Roman" w:hAnsi="Times New Roman"/>
          <w:sz w:val="20"/>
        </w:rPr>
        <w:t>DiGuiseppe</w:t>
      </w:r>
      <w:proofErr w:type="spellEnd"/>
      <w:r w:rsidRPr="00F01DB4">
        <w:rPr>
          <w:rFonts w:ascii="Times New Roman" w:hAnsi="Times New Roman"/>
          <w:sz w:val="20"/>
        </w:rPr>
        <w:t>, under appointment by the Supreme Court, for Defendant and Appellant Jose Luis Perez.</w:t>
      </w:r>
      <w:r w:rsidRPr="00F01DB4">
        <w:rPr>
          <w:rFonts w:ascii="Times New Roman" w:hAnsi="Times New Roman"/>
          <w:sz w:val="20"/>
        </w:rPr>
        <w:br/>
      </w:r>
      <w:r w:rsidRPr="00F01DB4">
        <w:rPr>
          <w:rFonts w:ascii="Times New Roman" w:hAnsi="Times New Roman"/>
          <w:sz w:val="20"/>
        </w:rPr>
        <w:br/>
        <w:t>Rebecca P. Jones, under appointment by the Supreme Court, for Defendant and Appellant Edgar Ivan Chavez Navarro.</w:t>
      </w:r>
      <w:r w:rsidRPr="00F01DB4">
        <w:rPr>
          <w:rFonts w:ascii="Times New Roman" w:hAnsi="Times New Roman"/>
          <w:sz w:val="20"/>
        </w:rPr>
        <w:br/>
      </w:r>
      <w:r w:rsidRPr="00F01DB4">
        <w:rPr>
          <w:rFonts w:ascii="Times New Roman" w:hAnsi="Times New Roman"/>
          <w:sz w:val="20"/>
        </w:rPr>
        <w:br/>
        <w:t xml:space="preserve">Randall </w:t>
      </w:r>
      <w:proofErr w:type="spellStart"/>
      <w:r w:rsidRPr="00F01DB4">
        <w:rPr>
          <w:rFonts w:ascii="Times New Roman" w:hAnsi="Times New Roman"/>
          <w:sz w:val="20"/>
        </w:rPr>
        <w:t>Bookout</w:t>
      </w:r>
      <w:proofErr w:type="spellEnd"/>
      <w:r w:rsidRPr="00F01DB4">
        <w:rPr>
          <w:rFonts w:ascii="Times New Roman" w:hAnsi="Times New Roman"/>
          <w:sz w:val="20"/>
        </w:rPr>
        <w:t>, under appointment by the Supreme Court, and Henry Russell Halpern for Defendant and Appellant Pablo Sandoval.</w:t>
      </w:r>
      <w:r w:rsidRPr="00F01DB4">
        <w:rPr>
          <w:rFonts w:ascii="Times New Roman" w:hAnsi="Times New Roman"/>
          <w:sz w:val="20"/>
        </w:rPr>
        <w:br/>
      </w:r>
      <w:r w:rsidRPr="00F01DB4">
        <w:rPr>
          <w:rFonts w:ascii="Times New Roman" w:hAnsi="Times New Roman"/>
          <w:sz w:val="20"/>
        </w:rPr>
        <w:br/>
        <w:t xml:space="preserve">Kamala D. Harris and Xavier Becerra, Attorneys General, Edward </w:t>
      </w:r>
      <w:proofErr w:type="spellStart"/>
      <w:r w:rsidRPr="00F01DB4">
        <w:rPr>
          <w:rFonts w:ascii="Times New Roman" w:hAnsi="Times New Roman"/>
          <w:sz w:val="20"/>
        </w:rPr>
        <w:t>DuMont</w:t>
      </w:r>
      <w:proofErr w:type="spellEnd"/>
      <w:r w:rsidRPr="00F01DB4">
        <w:rPr>
          <w:rFonts w:ascii="Times New Roman" w:hAnsi="Times New Roman"/>
          <w:sz w:val="20"/>
        </w:rPr>
        <w:t xml:space="preserve">, State Solicitor General, Gerald A. Engler, Chief Assistant Attorney General, Julie L. Garland, Assistant Attorney General, Michael R. Johnsen and Joshua </w:t>
      </w:r>
      <w:proofErr w:type="spellStart"/>
      <w:r w:rsidRPr="00F01DB4">
        <w:rPr>
          <w:rFonts w:ascii="Times New Roman" w:hAnsi="Times New Roman"/>
          <w:sz w:val="20"/>
        </w:rPr>
        <w:t>Patashnik</w:t>
      </w:r>
      <w:proofErr w:type="spellEnd"/>
      <w:r w:rsidRPr="00F01DB4">
        <w:rPr>
          <w:rFonts w:ascii="Times New Roman" w:hAnsi="Times New Roman"/>
          <w:sz w:val="20"/>
        </w:rPr>
        <w:t xml:space="preserve">, Deputy State Solicitors General, Scott C. Taylor and Kristen Kinnaird </w:t>
      </w:r>
      <w:proofErr w:type="spellStart"/>
      <w:r w:rsidRPr="00F01DB4">
        <w:rPr>
          <w:rFonts w:ascii="Times New Roman" w:hAnsi="Times New Roman"/>
          <w:sz w:val="20"/>
        </w:rPr>
        <w:t>Chenelia</w:t>
      </w:r>
      <w:proofErr w:type="spellEnd"/>
      <w:r w:rsidRPr="00F01DB4">
        <w:rPr>
          <w:rFonts w:ascii="Times New Roman" w:hAnsi="Times New Roman"/>
          <w:sz w:val="20"/>
        </w:rPr>
        <w:t>, Deputy Attorneys General, for Plaintiff and Respondent.</w:t>
      </w:r>
    </w:p>
    <w:p w14:paraId="38B3BBFE" w14:textId="77777777" w:rsidR="00F01DB4" w:rsidRPr="00F01DB4" w:rsidRDefault="00F01DB4" w:rsidP="00F01DB4">
      <w:pPr>
        <w:spacing w:after="0" w:line="240" w:lineRule="auto"/>
        <w:jc w:val="left"/>
        <w:rPr>
          <w:rFonts w:ascii="Times New Roman" w:hAnsi="Times New Roman"/>
          <w:sz w:val="20"/>
        </w:rPr>
      </w:pPr>
    </w:p>
    <w:p w14:paraId="623FC495" w14:textId="77777777" w:rsidR="00F01DB4" w:rsidRPr="00F01DB4" w:rsidRDefault="00F01DB4" w:rsidP="00F01DB4">
      <w:pPr>
        <w:spacing w:after="0" w:line="240" w:lineRule="auto"/>
        <w:jc w:val="left"/>
        <w:rPr>
          <w:rFonts w:ascii="Times New Roman" w:hAnsi="Times New Roman"/>
          <w:sz w:val="20"/>
        </w:rPr>
      </w:pPr>
    </w:p>
    <w:p w14:paraId="436562A4" w14:textId="77777777" w:rsidR="00F01DB4" w:rsidRPr="00F01DB4" w:rsidRDefault="00F01DB4" w:rsidP="00F01DB4">
      <w:pPr>
        <w:spacing w:after="0" w:line="240" w:lineRule="auto"/>
        <w:jc w:val="left"/>
        <w:rPr>
          <w:rFonts w:ascii="Times New Roman" w:hAnsi="Times New Roman"/>
          <w:sz w:val="20"/>
        </w:rPr>
      </w:pPr>
    </w:p>
    <w:p w14:paraId="2386179B" w14:textId="77777777" w:rsidR="00F01DB4" w:rsidRPr="00F01DB4" w:rsidRDefault="00F01DB4" w:rsidP="00F01DB4">
      <w:pPr>
        <w:spacing w:after="0" w:line="240" w:lineRule="auto"/>
        <w:jc w:val="left"/>
        <w:rPr>
          <w:rFonts w:ascii="Times New Roman" w:hAnsi="Times New Roman"/>
          <w:b/>
          <w:sz w:val="20"/>
        </w:rPr>
      </w:pPr>
    </w:p>
    <w:p w14:paraId="6A44499B" w14:textId="77777777" w:rsidR="00F01DB4" w:rsidRPr="00F01DB4" w:rsidRDefault="00F01DB4" w:rsidP="00F01DB4">
      <w:pPr>
        <w:spacing w:after="0" w:line="240" w:lineRule="auto"/>
        <w:jc w:val="left"/>
        <w:rPr>
          <w:rFonts w:ascii="Times New Roman" w:hAnsi="Times New Roman"/>
          <w:b/>
          <w:sz w:val="20"/>
        </w:rPr>
      </w:pPr>
    </w:p>
    <w:p w14:paraId="58C8B745" w14:textId="77777777" w:rsidR="00F01DB4" w:rsidRPr="00F01DB4" w:rsidRDefault="00F01DB4" w:rsidP="00F01DB4">
      <w:pPr>
        <w:spacing w:after="0" w:line="240" w:lineRule="auto"/>
        <w:jc w:val="left"/>
        <w:rPr>
          <w:rFonts w:ascii="Times New Roman" w:hAnsi="Times New Roman"/>
          <w:b/>
          <w:sz w:val="20"/>
        </w:rPr>
      </w:pPr>
    </w:p>
    <w:p w14:paraId="272BA47D"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br w:type="page"/>
      </w:r>
    </w:p>
    <w:p w14:paraId="505221C1" w14:textId="77777777" w:rsidR="00F01DB4" w:rsidRPr="00F01DB4" w:rsidRDefault="00F01DB4" w:rsidP="00F01DB4">
      <w:pPr>
        <w:spacing w:after="0" w:line="240" w:lineRule="auto"/>
        <w:jc w:val="left"/>
        <w:rPr>
          <w:rFonts w:ascii="Times New Roman" w:hAnsi="Times New Roman"/>
          <w:b/>
          <w:sz w:val="20"/>
        </w:rPr>
      </w:pPr>
    </w:p>
    <w:p w14:paraId="79E5DADA" w14:textId="77777777" w:rsidR="00F01DB4" w:rsidRPr="00F01DB4" w:rsidRDefault="00F01DB4" w:rsidP="00F01DB4">
      <w:pPr>
        <w:spacing w:after="0" w:line="240" w:lineRule="auto"/>
        <w:jc w:val="left"/>
        <w:rPr>
          <w:rFonts w:ascii="Times New Roman" w:hAnsi="Times New Roman"/>
          <w:b/>
          <w:sz w:val="20"/>
        </w:rPr>
      </w:pPr>
    </w:p>
    <w:p w14:paraId="0209D310" w14:textId="77777777" w:rsidR="00F01DB4" w:rsidRPr="00F01DB4" w:rsidRDefault="00F01DB4" w:rsidP="00F01DB4">
      <w:pPr>
        <w:spacing w:after="0" w:line="240" w:lineRule="auto"/>
        <w:jc w:val="left"/>
        <w:rPr>
          <w:rFonts w:ascii="Times New Roman" w:hAnsi="Times New Roman"/>
          <w:b/>
          <w:sz w:val="20"/>
        </w:rPr>
      </w:pPr>
    </w:p>
    <w:p w14:paraId="4DF2B5A6" w14:textId="77777777" w:rsidR="00F01DB4" w:rsidRPr="00F01DB4" w:rsidRDefault="00F01DB4" w:rsidP="00F01DB4">
      <w:pPr>
        <w:spacing w:after="0" w:line="240" w:lineRule="auto"/>
        <w:jc w:val="left"/>
        <w:rPr>
          <w:rFonts w:ascii="Times New Roman" w:hAnsi="Times New Roman"/>
          <w:b/>
          <w:sz w:val="20"/>
        </w:rPr>
      </w:pPr>
      <w:r w:rsidRPr="00F01DB4">
        <w:rPr>
          <w:rFonts w:ascii="Times New Roman" w:hAnsi="Times New Roman"/>
          <w:b/>
          <w:sz w:val="20"/>
        </w:rPr>
        <w:t>Counsel who argued in Supreme Court (not intended for publication with opinion):</w:t>
      </w:r>
    </w:p>
    <w:p w14:paraId="732F7AEB" w14:textId="77777777" w:rsidR="00F01DB4" w:rsidRPr="00F01DB4" w:rsidRDefault="00F01DB4" w:rsidP="00F01DB4">
      <w:pPr>
        <w:spacing w:after="0" w:line="240" w:lineRule="auto"/>
        <w:jc w:val="left"/>
        <w:rPr>
          <w:rFonts w:ascii="Times New Roman" w:hAnsi="Times New Roman"/>
          <w:b/>
          <w:sz w:val="20"/>
        </w:rPr>
      </w:pPr>
    </w:p>
    <w:p w14:paraId="7F8B8380"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Rebecca P. Jones</w:t>
      </w:r>
    </w:p>
    <w:p w14:paraId="2640C8B4"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3549 Camino del Rio S., Suite D</w:t>
      </w:r>
    </w:p>
    <w:p w14:paraId="1E6056F7"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San Diego, CA 92108</w:t>
      </w:r>
    </w:p>
    <w:p w14:paraId="70F516B2"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(619) 269-7872</w:t>
      </w:r>
    </w:p>
    <w:p w14:paraId="0574AA1F" w14:textId="77777777" w:rsidR="00F01DB4" w:rsidRPr="00F01DB4" w:rsidRDefault="00F01DB4" w:rsidP="00F01DB4">
      <w:pPr>
        <w:spacing w:after="0" w:line="240" w:lineRule="auto"/>
        <w:jc w:val="left"/>
        <w:rPr>
          <w:rFonts w:ascii="Times New Roman" w:hAnsi="Times New Roman"/>
          <w:sz w:val="20"/>
        </w:rPr>
      </w:pPr>
    </w:p>
    <w:p w14:paraId="67AF19B0"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 xml:space="preserve">Joshua </w:t>
      </w:r>
      <w:proofErr w:type="spellStart"/>
      <w:r w:rsidRPr="00F01DB4">
        <w:rPr>
          <w:rFonts w:ascii="Times New Roman" w:hAnsi="Times New Roman"/>
          <w:sz w:val="20"/>
        </w:rPr>
        <w:t>Patashnik</w:t>
      </w:r>
      <w:proofErr w:type="spellEnd"/>
    </w:p>
    <w:p w14:paraId="43795825" w14:textId="77777777" w:rsidR="00F01DB4" w:rsidRPr="00F01DB4" w:rsidRDefault="00F01DB4" w:rsidP="00F01DB4">
      <w:pPr>
        <w:spacing w:after="0" w:line="240" w:lineRule="auto"/>
        <w:jc w:val="left"/>
        <w:rPr>
          <w:rFonts w:ascii="Times New Roman" w:hAnsi="Times New Roman"/>
          <w:color w:val="FF0000"/>
          <w:sz w:val="20"/>
        </w:rPr>
      </w:pPr>
      <w:r w:rsidRPr="00F01DB4">
        <w:rPr>
          <w:rFonts w:ascii="Times New Roman" w:hAnsi="Times New Roman"/>
          <w:sz w:val="20"/>
        </w:rPr>
        <w:t>Deputy Solicitor General</w:t>
      </w:r>
    </w:p>
    <w:p w14:paraId="213749CD"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455 Golden Gate Avenue, Suite 11000</w:t>
      </w:r>
    </w:p>
    <w:p w14:paraId="61170673"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San Francisco, CA 94102-7004</w:t>
      </w:r>
    </w:p>
    <w:p w14:paraId="4B5F66D5" w14:textId="77777777" w:rsidR="00F01DB4" w:rsidRPr="00F01DB4" w:rsidRDefault="00F01DB4" w:rsidP="00F01DB4">
      <w:pPr>
        <w:spacing w:after="0" w:line="240" w:lineRule="auto"/>
        <w:jc w:val="left"/>
        <w:rPr>
          <w:rFonts w:ascii="Times New Roman" w:hAnsi="Times New Roman"/>
          <w:sz w:val="20"/>
        </w:rPr>
      </w:pPr>
      <w:r w:rsidRPr="00F01DB4">
        <w:rPr>
          <w:rFonts w:ascii="Times New Roman" w:hAnsi="Times New Roman"/>
          <w:sz w:val="20"/>
        </w:rPr>
        <w:t>(415) 510-3896</w:t>
      </w:r>
    </w:p>
    <w:p w14:paraId="25F8D94A" w14:textId="77777777" w:rsidR="00F01DB4" w:rsidRPr="00F01DB4" w:rsidRDefault="00F01DB4" w:rsidP="00F01DB4">
      <w:pPr>
        <w:spacing w:after="0" w:line="240" w:lineRule="auto"/>
        <w:jc w:val="left"/>
        <w:rPr>
          <w:rFonts w:ascii="Times New Roman" w:hAnsi="Times New Roman"/>
          <w:sz w:val="20"/>
        </w:rPr>
      </w:pPr>
    </w:p>
    <w:p w14:paraId="40D3ABE2" w14:textId="60B99402" w:rsidR="00EA588C" w:rsidRPr="00EF5A3A" w:rsidRDefault="00EA588C" w:rsidP="00634EFC">
      <w:pPr>
        <w:rPr>
          <w:b/>
          <w:szCs w:val="26"/>
        </w:rPr>
      </w:pPr>
    </w:p>
    <w:bookmarkEnd w:id="0"/>
    <w:p w14:paraId="3E9EA14F" w14:textId="77777777" w:rsidR="00634EFC" w:rsidRPr="00CC27C0" w:rsidRDefault="00634EFC" w:rsidP="00CC27C0">
      <w:pPr>
        <w:pStyle w:val="Text"/>
        <w:spacing w:line="400" w:lineRule="exact"/>
        <w:ind w:firstLine="720"/>
      </w:pPr>
    </w:p>
    <w:sectPr w:rsidR="00634EFC" w:rsidRPr="00CC27C0" w:rsidSect="00E468A8">
      <w:headerReference w:type="default" r:id="rId11"/>
      <w:footerReference w:type="default" r:id="rId12"/>
      <w:footerReference w:type="first" r:id="rId13"/>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0B48" w14:textId="77777777" w:rsidR="002437DE" w:rsidRDefault="002437DE">
      <w:r>
        <w:separator/>
      </w:r>
    </w:p>
  </w:endnote>
  <w:endnote w:type="continuationSeparator" w:id="0">
    <w:p w14:paraId="6359DD22" w14:textId="77777777" w:rsidR="002437DE" w:rsidRDefault="0024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9DA4" w14:textId="77777777" w:rsidR="00BC3EC1" w:rsidRDefault="00BC3E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990F8F" w14:textId="77777777" w:rsidR="00BC3EC1" w:rsidRDefault="00BC3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7003" w14:textId="49C2D113" w:rsidR="00BC3EC1" w:rsidRDefault="00BC3EC1" w:rsidP="00201C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1A2EC53F" w14:textId="430A7B5D" w:rsidR="006D6656" w:rsidRDefault="006D6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440C" w14:textId="77777777" w:rsidR="00CC27C0" w:rsidRDefault="00CC27C0">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BE15" w14:textId="77777777" w:rsidR="00F01DB4" w:rsidRPr="00F01DB4" w:rsidRDefault="00F01DB4" w:rsidP="00F01D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D57A" w14:textId="6C8790CB" w:rsidR="00F01DB4" w:rsidRDefault="00F0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5824" w14:textId="77777777" w:rsidR="002437DE" w:rsidRDefault="002437DE">
      <w:r>
        <w:separator/>
      </w:r>
    </w:p>
  </w:footnote>
  <w:footnote w:type="continuationSeparator" w:id="0">
    <w:p w14:paraId="20F30D87" w14:textId="77777777" w:rsidR="002437DE" w:rsidRDefault="002437DE">
      <w:pPr>
        <w:rPr>
          <w:sz w:val="22"/>
        </w:rPr>
      </w:pPr>
      <w:r>
        <w:continuationSeparator/>
      </w:r>
    </w:p>
  </w:footnote>
  <w:footnote w:type="continuationNotice" w:id="1">
    <w:p w14:paraId="60A34CD3" w14:textId="77777777" w:rsidR="002437DE" w:rsidRDefault="002437DE" w:rsidP="00734CF0">
      <w:pPr>
        <w:rPr>
          <w:i/>
          <w:sz w:val="20"/>
        </w:rPr>
      </w:pPr>
    </w:p>
  </w:footnote>
  <w:footnote w:id="2">
    <w:p w14:paraId="603A0955" w14:textId="7C6A4E6C" w:rsidR="007518AF" w:rsidRPr="00A97AFE" w:rsidRDefault="007518AF" w:rsidP="00CC27C0">
      <w:pPr>
        <w:pStyle w:val="FootnoteText"/>
      </w:pPr>
      <w:r>
        <w:rPr>
          <w:rStyle w:val="FootnoteReference"/>
        </w:rPr>
        <w:footnoteRef/>
      </w:r>
      <w:r>
        <w:tab/>
      </w:r>
      <w:r w:rsidRPr="00E268C0">
        <w:t xml:space="preserve">Alvarado </w:t>
      </w:r>
      <w:r>
        <w:t xml:space="preserve">and Rodriguez were tried separately and were </w:t>
      </w:r>
      <w:r w:rsidRPr="00E268C0">
        <w:t xml:space="preserve">convicted of </w:t>
      </w:r>
      <w:r>
        <w:t xml:space="preserve">similar offenses as the defendants in this matter.  Perez was originally tried jointly with </w:t>
      </w:r>
      <w:r w:rsidRPr="00E20747">
        <w:t>Iniguez</w:t>
      </w:r>
      <w:r>
        <w:t xml:space="preserve"> on the same charges here but with different juries.  </w:t>
      </w:r>
      <w:r w:rsidRPr="00E20747">
        <w:t>Iniguez</w:t>
      </w:r>
      <w:r>
        <w:t>’s jury convicted him on all counts, but Perez’s hung on all counts.</w:t>
      </w:r>
    </w:p>
  </w:footnote>
  <w:footnote w:id="3">
    <w:p w14:paraId="2D84F4AC" w14:textId="77777777" w:rsidR="007518AF" w:rsidRDefault="007518AF" w:rsidP="00CC27C0">
      <w:pPr>
        <w:pStyle w:val="FootnoteText"/>
      </w:pPr>
      <w:r>
        <w:rPr>
          <w:rStyle w:val="FootnoteReference"/>
        </w:rPr>
        <w:footnoteRef/>
      </w:r>
      <w:r>
        <w:tab/>
        <w:t>All further unspecified statutory references refer to the Penal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C863" w14:textId="2014E40D" w:rsidR="00CC27C0" w:rsidRDefault="00CC27C0">
    <w:pPr>
      <w:pStyle w:val="Header"/>
    </w:pPr>
    <w:r>
      <w:t>PEOPLE v. PEREZ</w:t>
    </w:r>
  </w:p>
  <w:p w14:paraId="4DB5BF52" w14:textId="5F5CF51C" w:rsidR="00CC27C0" w:rsidRDefault="00CC27C0">
    <w:pPr>
      <w:pStyle w:val="Header"/>
    </w:pPr>
    <w:r>
      <w:t>Opinion of the Court by Groban, J.</w:t>
    </w:r>
  </w:p>
  <w:p w14:paraId="0C341C00" w14:textId="77777777" w:rsidR="00CC27C0" w:rsidRDefault="00CC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C374" w14:textId="77777777" w:rsidR="00F01DB4" w:rsidRPr="00F01DB4" w:rsidRDefault="00F01DB4" w:rsidP="00F0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AA2"/>
    <w:multiLevelType w:val="hybridMultilevel"/>
    <w:tmpl w:val="C5247A8C"/>
    <w:lvl w:ilvl="0" w:tplc="C57CAEF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567B9"/>
    <w:multiLevelType w:val="hybridMultilevel"/>
    <w:tmpl w:val="141A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7708"/>
    <w:multiLevelType w:val="hybridMultilevel"/>
    <w:tmpl w:val="99B68B5A"/>
    <w:lvl w:ilvl="0" w:tplc="51E4F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569AB"/>
    <w:multiLevelType w:val="hybridMultilevel"/>
    <w:tmpl w:val="E242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825F4"/>
    <w:multiLevelType w:val="hybridMultilevel"/>
    <w:tmpl w:val="42C26084"/>
    <w:lvl w:ilvl="0" w:tplc="6E986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5E536A"/>
    <w:multiLevelType w:val="hybridMultilevel"/>
    <w:tmpl w:val="32A8E314"/>
    <w:lvl w:ilvl="0" w:tplc="1E2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B4B19"/>
    <w:multiLevelType w:val="hybridMultilevel"/>
    <w:tmpl w:val="954C1AF8"/>
    <w:lvl w:ilvl="0" w:tplc="A48AC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4D2FF2"/>
    <w:multiLevelType w:val="hybridMultilevel"/>
    <w:tmpl w:val="DAB86502"/>
    <w:lvl w:ilvl="0" w:tplc="BF2CA78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D6110"/>
    <w:multiLevelType w:val="hybridMultilevel"/>
    <w:tmpl w:val="9FC23E10"/>
    <w:lvl w:ilvl="0" w:tplc="99363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E50DB"/>
    <w:multiLevelType w:val="hybridMultilevel"/>
    <w:tmpl w:val="FF18094E"/>
    <w:lvl w:ilvl="0" w:tplc="E1FE7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8036F"/>
    <w:multiLevelType w:val="hybridMultilevel"/>
    <w:tmpl w:val="89061284"/>
    <w:lvl w:ilvl="0" w:tplc="BF40920E">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6855CA"/>
    <w:multiLevelType w:val="hybridMultilevel"/>
    <w:tmpl w:val="2D70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4"/>
  </w:num>
  <w:num w:numId="6">
    <w:abstractNumId w:val="8"/>
  </w:num>
  <w:num w:numId="7">
    <w:abstractNumId w:val="5"/>
  </w:num>
  <w:num w:numId="8">
    <w:abstractNumId w:val="10"/>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F9"/>
    <w:rsid w:val="00000260"/>
    <w:rsid w:val="00002FC6"/>
    <w:rsid w:val="00010159"/>
    <w:rsid w:val="00012DE1"/>
    <w:rsid w:val="0001356A"/>
    <w:rsid w:val="00015441"/>
    <w:rsid w:val="00015B53"/>
    <w:rsid w:val="00015F2A"/>
    <w:rsid w:val="00020E82"/>
    <w:rsid w:val="00022FD9"/>
    <w:rsid w:val="0002510E"/>
    <w:rsid w:val="00027CCA"/>
    <w:rsid w:val="000318FF"/>
    <w:rsid w:val="0003510A"/>
    <w:rsid w:val="000361D4"/>
    <w:rsid w:val="000367BE"/>
    <w:rsid w:val="000379F9"/>
    <w:rsid w:val="00043B3F"/>
    <w:rsid w:val="000450C3"/>
    <w:rsid w:val="000546F6"/>
    <w:rsid w:val="00054F8C"/>
    <w:rsid w:val="00055084"/>
    <w:rsid w:val="00057DB5"/>
    <w:rsid w:val="0006119E"/>
    <w:rsid w:val="00061680"/>
    <w:rsid w:val="00062387"/>
    <w:rsid w:val="00065311"/>
    <w:rsid w:val="00065483"/>
    <w:rsid w:val="0006561A"/>
    <w:rsid w:val="0006722B"/>
    <w:rsid w:val="00067C0F"/>
    <w:rsid w:val="00070AF7"/>
    <w:rsid w:val="00070CAB"/>
    <w:rsid w:val="0007416B"/>
    <w:rsid w:val="000742EB"/>
    <w:rsid w:val="00080C97"/>
    <w:rsid w:val="00085902"/>
    <w:rsid w:val="00086525"/>
    <w:rsid w:val="00086E6C"/>
    <w:rsid w:val="000906F8"/>
    <w:rsid w:val="00092649"/>
    <w:rsid w:val="00092C2F"/>
    <w:rsid w:val="000933D4"/>
    <w:rsid w:val="00095D92"/>
    <w:rsid w:val="000A0D3D"/>
    <w:rsid w:val="000A13AE"/>
    <w:rsid w:val="000A149F"/>
    <w:rsid w:val="000A19C7"/>
    <w:rsid w:val="000A2474"/>
    <w:rsid w:val="000A334D"/>
    <w:rsid w:val="000A47CD"/>
    <w:rsid w:val="000A5915"/>
    <w:rsid w:val="000B0D8C"/>
    <w:rsid w:val="000B26F9"/>
    <w:rsid w:val="000B2F6F"/>
    <w:rsid w:val="000B4BFC"/>
    <w:rsid w:val="000C098D"/>
    <w:rsid w:val="000C5796"/>
    <w:rsid w:val="000C7431"/>
    <w:rsid w:val="000C7785"/>
    <w:rsid w:val="000C7A1C"/>
    <w:rsid w:val="000D132E"/>
    <w:rsid w:val="000D2013"/>
    <w:rsid w:val="000D36E4"/>
    <w:rsid w:val="000D4CA2"/>
    <w:rsid w:val="000D5021"/>
    <w:rsid w:val="000D7A39"/>
    <w:rsid w:val="000D7D76"/>
    <w:rsid w:val="000E07BC"/>
    <w:rsid w:val="000E1095"/>
    <w:rsid w:val="000E25A9"/>
    <w:rsid w:val="000E38EE"/>
    <w:rsid w:val="000E3D2F"/>
    <w:rsid w:val="000F1D29"/>
    <w:rsid w:val="000F2E0E"/>
    <w:rsid w:val="000F43AA"/>
    <w:rsid w:val="000F6903"/>
    <w:rsid w:val="000F7469"/>
    <w:rsid w:val="00101064"/>
    <w:rsid w:val="001023B3"/>
    <w:rsid w:val="0010243A"/>
    <w:rsid w:val="00103FD4"/>
    <w:rsid w:val="00105EA6"/>
    <w:rsid w:val="00111E4E"/>
    <w:rsid w:val="00112A0E"/>
    <w:rsid w:val="00112A5B"/>
    <w:rsid w:val="00114231"/>
    <w:rsid w:val="00115CA3"/>
    <w:rsid w:val="00120077"/>
    <w:rsid w:val="00121BF5"/>
    <w:rsid w:val="0012263D"/>
    <w:rsid w:val="001239FC"/>
    <w:rsid w:val="00130676"/>
    <w:rsid w:val="0013258D"/>
    <w:rsid w:val="00133B26"/>
    <w:rsid w:val="00134E41"/>
    <w:rsid w:val="00135A88"/>
    <w:rsid w:val="00135D1D"/>
    <w:rsid w:val="00136F53"/>
    <w:rsid w:val="00137A90"/>
    <w:rsid w:val="00141B79"/>
    <w:rsid w:val="00142DFC"/>
    <w:rsid w:val="00143D28"/>
    <w:rsid w:val="00146354"/>
    <w:rsid w:val="00146AA3"/>
    <w:rsid w:val="00146B18"/>
    <w:rsid w:val="0015624A"/>
    <w:rsid w:val="001568BB"/>
    <w:rsid w:val="00160126"/>
    <w:rsid w:val="00162451"/>
    <w:rsid w:val="0016283A"/>
    <w:rsid w:val="001636DD"/>
    <w:rsid w:val="00166371"/>
    <w:rsid w:val="00166872"/>
    <w:rsid w:val="00167E88"/>
    <w:rsid w:val="00172958"/>
    <w:rsid w:val="0017522D"/>
    <w:rsid w:val="00176F1B"/>
    <w:rsid w:val="00177E41"/>
    <w:rsid w:val="001808F8"/>
    <w:rsid w:val="00181291"/>
    <w:rsid w:val="00182DB0"/>
    <w:rsid w:val="00182F21"/>
    <w:rsid w:val="00183096"/>
    <w:rsid w:val="001869EE"/>
    <w:rsid w:val="00187BE4"/>
    <w:rsid w:val="0019192A"/>
    <w:rsid w:val="00192EF6"/>
    <w:rsid w:val="00194990"/>
    <w:rsid w:val="001970C2"/>
    <w:rsid w:val="001977E6"/>
    <w:rsid w:val="001A3842"/>
    <w:rsid w:val="001A4B9E"/>
    <w:rsid w:val="001A77E6"/>
    <w:rsid w:val="001A7F5C"/>
    <w:rsid w:val="001B08BD"/>
    <w:rsid w:val="001B1D84"/>
    <w:rsid w:val="001B26F9"/>
    <w:rsid w:val="001B2B75"/>
    <w:rsid w:val="001B30A7"/>
    <w:rsid w:val="001B3A35"/>
    <w:rsid w:val="001B410F"/>
    <w:rsid w:val="001B50C1"/>
    <w:rsid w:val="001C0487"/>
    <w:rsid w:val="001C1386"/>
    <w:rsid w:val="001C5A71"/>
    <w:rsid w:val="001C638A"/>
    <w:rsid w:val="001D0DDE"/>
    <w:rsid w:val="001D4508"/>
    <w:rsid w:val="001D4AB6"/>
    <w:rsid w:val="001D5510"/>
    <w:rsid w:val="001D6D67"/>
    <w:rsid w:val="001D7A43"/>
    <w:rsid w:val="001E2434"/>
    <w:rsid w:val="001E420F"/>
    <w:rsid w:val="001E6CC4"/>
    <w:rsid w:val="001F0EFF"/>
    <w:rsid w:val="001F3121"/>
    <w:rsid w:val="001F3766"/>
    <w:rsid w:val="001F4677"/>
    <w:rsid w:val="001F4FF3"/>
    <w:rsid w:val="002003FA"/>
    <w:rsid w:val="00201C05"/>
    <w:rsid w:val="00201C3D"/>
    <w:rsid w:val="00202E0B"/>
    <w:rsid w:val="00203D4A"/>
    <w:rsid w:val="002045D7"/>
    <w:rsid w:val="00205B62"/>
    <w:rsid w:val="00207BE4"/>
    <w:rsid w:val="00210A66"/>
    <w:rsid w:val="00210E80"/>
    <w:rsid w:val="00211539"/>
    <w:rsid w:val="00212885"/>
    <w:rsid w:val="00212ACC"/>
    <w:rsid w:val="002131C8"/>
    <w:rsid w:val="002139EF"/>
    <w:rsid w:val="00215731"/>
    <w:rsid w:val="00216A45"/>
    <w:rsid w:val="00216FFD"/>
    <w:rsid w:val="002232A3"/>
    <w:rsid w:val="00224B88"/>
    <w:rsid w:val="00224DC5"/>
    <w:rsid w:val="0022619F"/>
    <w:rsid w:val="00226C0C"/>
    <w:rsid w:val="0022728E"/>
    <w:rsid w:val="00230469"/>
    <w:rsid w:val="002307AA"/>
    <w:rsid w:val="0023408C"/>
    <w:rsid w:val="00236337"/>
    <w:rsid w:val="00240962"/>
    <w:rsid w:val="00243706"/>
    <w:rsid w:val="002437DE"/>
    <w:rsid w:val="00246286"/>
    <w:rsid w:val="00246E72"/>
    <w:rsid w:val="00247BDA"/>
    <w:rsid w:val="00251355"/>
    <w:rsid w:val="00251FDB"/>
    <w:rsid w:val="00252AB1"/>
    <w:rsid w:val="002557E8"/>
    <w:rsid w:val="002564D7"/>
    <w:rsid w:val="00256BF8"/>
    <w:rsid w:val="002575B4"/>
    <w:rsid w:val="00257B01"/>
    <w:rsid w:val="00257FFE"/>
    <w:rsid w:val="002626CA"/>
    <w:rsid w:val="002633C0"/>
    <w:rsid w:val="002705EB"/>
    <w:rsid w:val="00275669"/>
    <w:rsid w:val="0027702D"/>
    <w:rsid w:val="0028085E"/>
    <w:rsid w:val="002821E8"/>
    <w:rsid w:val="00286771"/>
    <w:rsid w:val="0028705A"/>
    <w:rsid w:val="00291476"/>
    <w:rsid w:val="002932D3"/>
    <w:rsid w:val="00294BE6"/>
    <w:rsid w:val="00294DAF"/>
    <w:rsid w:val="00295D7C"/>
    <w:rsid w:val="002A0995"/>
    <w:rsid w:val="002A1601"/>
    <w:rsid w:val="002A272A"/>
    <w:rsid w:val="002A33BF"/>
    <w:rsid w:val="002A5486"/>
    <w:rsid w:val="002B04AF"/>
    <w:rsid w:val="002B2910"/>
    <w:rsid w:val="002B2CD1"/>
    <w:rsid w:val="002B3E29"/>
    <w:rsid w:val="002B56CB"/>
    <w:rsid w:val="002C002C"/>
    <w:rsid w:val="002C2208"/>
    <w:rsid w:val="002C23FA"/>
    <w:rsid w:val="002C55ED"/>
    <w:rsid w:val="002C5C75"/>
    <w:rsid w:val="002C5DDC"/>
    <w:rsid w:val="002D01E2"/>
    <w:rsid w:val="002D0D46"/>
    <w:rsid w:val="002D29BA"/>
    <w:rsid w:val="002D446B"/>
    <w:rsid w:val="002D6EA9"/>
    <w:rsid w:val="002E5868"/>
    <w:rsid w:val="002E6CC8"/>
    <w:rsid w:val="002E7ADF"/>
    <w:rsid w:val="002F1978"/>
    <w:rsid w:val="002F2641"/>
    <w:rsid w:val="002F4D3D"/>
    <w:rsid w:val="002F661C"/>
    <w:rsid w:val="002F7E10"/>
    <w:rsid w:val="00300F7A"/>
    <w:rsid w:val="00301218"/>
    <w:rsid w:val="003015D3"/>
    <w:rsid w:val="003025B1"/>
    <w:rsid w:val="0030327F"/>
    <w:rsid w:val="00304BBD"/>
    <w:rsid w:val="00306557"/>
    <w:rsid w:val="00306ECE"/>
    <w:rsid w:val="00311C72"/>
    <w:rsid w:val="00313A0E"/>
    <w:rsid w:val="00313EEB"/>
    <w:rsid w:val="0031435D"/>
    <w:rsid w:val="0031493A"/>
    <w:rsid w:val="003150E8"/>
    <w:rsid w:val="00316231"/>
    <w:rsid w:val="00320B1E"/>
    <w:rsid w:val="00321996"/>
    <w:rsid w:val="0032204F"/>
    <w:rsid w:val="00322DE8"/>
    <w:rsid w:val="00325932"/>
    <w:rsid w:val="00326F29"/>
    <w:rsid w:val="00330508"/>
    <w:rsid w:val="00330B94"/>
    <w:rsid w:val="0033578D"/>
    <w:rsid w:val="00336A7A"/>
    <w:rsid w:val="003370AA"/>
    <w:rsid w:val="003407CC"/>
    <w:rsid w:val="0034129D"/>
    <w:rsid w:val="003415D9"/>
    <w:rsid w:val="00341942"/>
    <w:rsid w:val="00346823"/>
    <w:rsid w:val="00347A0E"/>
    <w:rsid w:val="00350474"/>
    <w:rsid w:val="003521DE"/>
    <w:rsid w:val="00355B03"/>
    <w:rsid w:val="00356F1A"/>
    <w:rsid w:val="00360448"/>
    <w:rsid w:val="00360BBF"/>
    <w:rsid w:val="00361738"/>
    <w:rsid w:val="003635F0"/>
    <w:rsid w:val="00364545"/>
    <w:rsid w:val="003732D0"/>
    <w:rsid w:val="0037333B"/>
    <w:rsid w:val="00375884"/>
    <w:rsid w:val="003809A2"/>
    <w:rsid w:val="00384534"/>
    <w:rsid w:val="00385613"/>
    <w:rsid w:val="00386BF2"/>
    <w:rsid w:val="0039295B"/>
    <w:rsid w:val="00393481"/>
    <w:rsid w:val="0039417B"/>
    <w:rsid w:val="003A0D77"/>
    <w:rsid w:val="003A1A47"/>
    <w:rsid w:val="003A7C4D"/>
    <w:rsid w:val="003B10D5"/>
    <w:rsid w:val="003B3C12"/>
    <w:rsid w:val="003B3E17"/>
    <w:rsid w:val="003B439F"/>
    <w:rsid w:val="003B46A9"/>
    <w:rsid w:val="003B49A9"/>
    <w:rsid w:val="003B6502"/>
    <w:rsid w:val="003B713D"/>
    <w:rsid w:val="003C037E"/>
    <w:rsid w:val="003C2CA0"/>
    <w:rsid w:val="003C4D4C"/>
    <w:rsid w:val="003C5679"/>
    <w:rsid w:val="003C6799"/>
    <w:rsid w:val="003C70D2"/>
    <w:rsid w:val="003D08D0"/>
    <w:rsid w:val="003D16E0"/>
    <w:rsid w:val="003D1737"/>
    <w:rsid w:val="003E089C"/>
    <w:rsid w:val="003E34D4"/>
    <w:rsid w:val="003E5EC7"/>
    <w:rsid w:val="003F04E4"/>
    <w:rsid w:val="003F68F7"/>
    <w:rsid w:val="003F773D"/>
    <w:rsid w:val="00402580"/>
    <w:rsid w:val="00404FD5"/>
    <w:rsid w:val="004075A0"/>
    <w:rsid w:val="00407E51"/>
    <w:rsid w:val="004123C3"/>
    <w:rsid w:val="00421121"/>
    <w:rsid w:val="00421180"/>
    <w:rsid w:val="004223B3"/>
    <w:rsid w:val="00424068"/>
    <w:rsid w:val="00425BAD"/>
    <w:rsid w:val="00426183"/>
    <w:rsid w:val="004338DD"/>
    <w:rsid w:val="00434EA8"/>
    <w:rsid w:val="00435F02"/>
    <w:rsid w:val="004369C0"/>
    <w:rsid w:val="00436BD0"/>
    <w:rsid w:val="00441C00"/>
    <w:rsid w:val="00442B95"/>
    <w:rsid w:val="00442EE3"/>
    <w:rsid w:val="004447D9"/>
    <w:rsid w:val="004472F6"/>
    <w:rsid w:val="004475FB"/>
    <w:rsid w:val="00447C47"/>
    <w:rsid w:val="00450EF3"/>
    <w:rsid w:val="00450F92"/>
    <w:rsid w:val="00452149"/>
    <w:rsid w:val="00454AEF"/>
    <w:rsid w:val="00454EE1"/>
    <w:rsid w:val="00457022"/>
    <w:rsid w:val="004573BF"/>
    <w:rsid w:val="00462A53"/>
    <w:rsid w:val="004639B4"/>
    <w:rsid w:val="004651C8"/>
    <w:rsid w:val="004675F2"/>
    <w:rsid w:val="00467A00"/>
    <w:rsid w:val="00473071"/>
    <w:rsid w:val="00473177"/>
    <w:rsid w:val="0047411F"/>
    <w:rsid w:val="004756E5"/>
    <w:rsid w:val="00475E18"/>
    <w:rsid w:val="0047604D"/>
    <w:rsid w:val="0047664F"/>
    <w:rsid w:val="00476DB7"/>
    <w:rsid w:val="004810BB"/>
    <w:rsid w:val="0048220F"/>
    <w:rsid w:val="0048330F"/>
    <w:rsid w:val="00483D57"/>
    <w:rsid w:val="0048423A"/>
    <w:rsid w:val="0048430E"/>
    <w:rsid w:val="00484AD7"/>
    <w:rsid w:val="00484AD8"/>
    <w:rsid w:val="00484E2E"/>
    <w:rsid w:val="00485361"/>
    <w:rsid w:val="0048599A"/>
    <w:rsid w:val="00485EF1"/>
    <w:rsid w:val="00486F40"/>
    <w:rsid w:val="0048761B"/>
    <w:rsid w:val="00490283"/>
    <w:rsid w:val="00492982"/>
    <w:rsid w:val="00494569"/>
    <w:rsid w:val="00495FE6"/>
    <w:rsid w:val="00497C73"/>
    <w:rsid w:val="004A06AA"/>
    <w:rsid w:val="004A183B"/>
    <w:rsid w:val="004A195F"/>
    <w:rsid w:val="004A1DE8"/>
    <w:rsid w:val="004A2302"/>
    <w:rsid w:val="004A27E1"/>
    <w:rsid w:val="004A2F88"/>
    <w:rsid w:val="004A31A0"/>
    <w:rsid w:val="004A34B0"/>
    <w:rsid w:val="004A37D6"/>
    <w:rsid w:val="004A5625"/>
    <w:rsid w:val="004A5F4F"/>
    <w:rsid w:val="004B03FB"/>
    <w:rsid w:val="004B0488"/>
    <w:rsid w:val="004B3127"/>
    <w:rsid w:val="004B5EAF"/>
    <w:rsid w:val="004B6EE4"/>
    <w:rsid w:val="004B7BE9"/>
    <w:rsid w:val="004C0420"/>
    <w:rsid w:val="004C18C3"/>
    <w:rsid w:val="004C1A6D"/>
    <w:rsid w:val="004C2BB4"/>
    <w:rsid w:val="004C7BFB"/>
    <w:rsid w:val="004D02EC"/>
    <w:rsid w:val="004D0845"/>
    <w:rsid w:val="004D2689"/>
    <w:rsid w:val="004D2A96"/>
    <w:rsid w:val="004D4E2E"/>
    <w:rsid w:val="004D6109"/>
    <w:rsid w:val="004D615A"/>
    <w:rsid w:val="004D7836"/>
    <w:rsid w:val="004E38FB"/>
    <w:rsid w:val="004E4F94"/>
    <w:rsid w:val="004E7E85"/>
    <w:rsid w:val="004F183A"/>
    <w:rsid w:val="004F7246"/>
    <w:rsid w:val="005014D1"/>
    <w:rsid w:val="005029E5"/>
    <w:rsid w:val="00503FC0"/>
    <w:rsid w:val="00504F5A"/>
    <w:rsid w:val="00505979"/>
    <w:rsid w:val="005069BE"/>
    <w:rsid w:val="00507502"/>
    <w:rsid w:val="00510302"/>
    <w:rsid w:val="0051145D"/>
    <w:rsid w:val="00511C5A"/>
    <w:rsid w:val="00513BED"/>
    <w:rsid w:val="00514B18"/>
    <w:rsid w:val="0051524C"/>
    <w:rsid w:val="00515ADB"/>
    <w:rsid w:val="005164EA"/>
    <w:rsid w:val="00517035"/>
    <w:rsid w:val="005171EB"/>
    <w:rsid w:val="0052217B"/>
    <w:rsid w:val="00523414"/>
    <w:rsid w:val="00524709"/>
    <w:rsid w:val="00525DBA"/>
    <w:rsid w:val="005279E5"/>
    <w:rsid w:val="005305EA"/>
    <w:rsid w:val="0053096D"/>
    <w:rsid w:val="005311C8"/>
    <w:rsid w:val="00531DF4"/>
    <w:rsid w:val="005357B9"/>
    <w:rsid w:val="005368C2"/>
    <w:rsid w:val="0053695F"/>
    <w:rsid w:val="005409A1"/>
    <w:rsid w:val="005410E6"/>
    <w:rsid w:val="005413DD"/>
    <w:rsid w:val="00544156"/>
    <w:rsid w:val="005441FC"/>
    <w:rsid w:val="00545F16"/>
    <w:rsid w:val="0054783A"/>
    <w:rsid w:val="00550B6A"/>
    <w:rsid w:val="00555CED"/>
    <w:rsid w:val="00557FE8"/>
    <w:rsid w:val="005643D8"/>
    <w:rsid w:val="00564553"/>
    <w:rsid w:val="0056620A"/>
    <w:rsid w:val="00574D9F"/>
    <w:rsid w:val="005768EA"/>
    <w:rsid w:val="0057732B"/>
    <w:rsid w:val="005834A5"/>
    <w:rsid w:val="005843FE"/>
    <w:rsid w:val="00586057"/>
    <w:rsid w:val="00587962"/>
    <w:rsid w:val="00590118"/>
    <w:rsid w:val="00590778"/>
    <w:rsid w:val="00590AEF"/>
    <w:rsid w:val="005957FE"/>
    <w:rsid w:val="00597D4F"/>
    <w:rsid w:val="00597EF4"/>
    <w:rsid w:val="005A1AF6"/>
    <w:rsid w:val="005A57E9"/>
    <w:rsid w:val="005A6A86"/>
    <w:rsid w:val="005A753D"/>
    <w:rsid w:val="005B2E54"/>
    <w:rsid w:val="005B32C0"/>
    <w:rsid w:val="005B51B1"/>
    <w:rsid w:val="005B739E"/>
    <w:rsid w:val="005C0A3F"/>
    <w:rsid w:val="005C0A59"/>
    <w:rsid w:val="005C1675"/>
    <w:rsid w:val="005C2CC0"/>
    <w:rsid w:val="005C51A8"/>
    <w:rsid w:val="005C5AFA"/>
    <w:rsid w:val="005D0CD5"/>
    <w:rsid w:val="005D5383"/>
    <w:rsid w:val="005D680E"/>
    <w:rsid w:val="005D7346"/>
    <w:rsid w:val="005E3DAB"/>
    <w:rsid w:val="005E451A"/>
    <w:rsid w:val="005F0829"/>
    <w:rsid w:val="005F1FBF"/>
    <w:rsid w:val="005F3644"/>
    <w:rsid w:val="005F4CFF"/>
    <w:rsid w:val="005F4FC3"/>
    <w:rsid w:val="00601C38"/>
    <w:rsid w:val="00611CD5"/>
    <w:rsid w:val="006157B7"/>
    <w:rsid w:val="00617C9A"/>
    <w:rsid w:val="006209B8"/>
    <w:rsid w:val="00621FCF"/>
    <w:rsid w:val="0062240D"/>
    <w:rsid w:val="00624B19"/>
    <w:rsid w:val="006274B0"/>
    <w:rsid w:val="00631A4A"/>
    <w:rsid w:val="0063283A"/>
    <w:rsid w:val="00633ADC"/>
    <w:rsid w:val="006349FF"/>
    <w:rsid w:val="00634EFC"/>
    <w:rsid w:val="00635419"/>
    <w:rsid w:val="006421E8"/>
    <w:rsid w:val="00642E88"/>
    <w:rsid w:val="00645E51"/>
    <w:rsid w:val="00646A7C"/>
    <w:rsid w:val="006471C1"/>
    <w:rsid w:val="0064764A"/>
    <w:rsid w:val="0065056A"/>
    <w:rsid w:val="006508AE"/>
    <w:rsid w:val="006516E4"/>
    <w:rsid w:val="00653028"/>
    <w:rsid w:val="00654A86"/>
    <w:rsid w:val="006574AE"/>
    <w:rsid w:val="0066364D"/>
    <w:rsid w:val="006667C3"/>
    <w:rsid w:val="00667463"/>
    <w:rsid w:val="006750D0"/>
    <w:rsid w:val="00675D97"/>
    <w:rsid w:val="00676BBE"/>
    <w:rsid w:val="00681C6E"/>
    <w:rsid w:val="00682536"/>
    <w:rsid w:val="00682FA9"/>
    <w:rsid w:val="00684D71"/>
    <w:rsid w:val="00685807"/>
    <w:rsid w:val="00685BCF"/>
    <w:rsid w:val="00685DDF"/>
    <w:rsid w:val="00686CB6"/>
    <w:rsid w:val="00687121"/>
    <w:rsid w:val="00687D5C"/>
    <w:rsid w:val="00691FB2"/>
    <w:rsid w:val="006924BD"/>
    <w:rsid w:val="00692C9C"/>
    <w:rsid w:val="006939DD"/>
    <w:rsid w:val="00694483"/>
    <w:rsid w:val="0069614C"/>
    <w:rsid w:val="006A0D0D"/>
    <w:rsid w:val="006A0E5D"/>
    <w:rsid w:val="006A10D4"/>
    <w:rsid w:val="006A1354"/>
    <w:rsid w:val="006A2B7C"/>
    <w:rsid w:val="006A47BB"/>
    <w:rsid w:val="006A611C"/>
    <w:rsid w:val="006A6C79"/>
    <w:rsid w:val="006B0E26"/>
    <w:rsid w:val="006B11B1"/>
    <w:rsid w:val="006B12F3"/>
    <w:rsid w:val="006B226E"/>
    <w:rsid w:val="006B3A58"/>
    <w:rsid w:val="006B4C13"/>
    <w:rsid w:val="006B59FF"/>
    <w:rsid w:val="006B5EA1"/>
    <w:rsid w:val="006B6463"/>
    <w:rsid w:val="006C182C"/>
    <w:rsid w:val="006C1E47"/>
    <w:rsid w:val="006C5ACF"/>
    <w:rsid w:val="006D259C"/>
    <w:rsid w:val="006D38D9"/>
    <w:rsid w:val="006D50D6"/>
    <w:rsid w:val="006D609C"/>
    <w:rsid w:val="006D6656"/>
    <w:rsid w:val="006D6CF5"/>
    <w:rsid w:val="006D719B"/>
    <w:rsid w:val="006E01B9"/>
    <w:rsid w:val="006E2C08"/>
    <w:rsid w:val="006E47F9"/>
    <w:rsid w:val="006E4A5B"/>
    <w:rsid w:val="006E6798"/>
    <w:rsid w:val="006E7FDF"/>
    <w:rsid w:val="006F0CB1"/>
    <w:rsid w:val="006F24C3"/>
    <w:rsid w:val="006F3DB5"/>
    <w:rsid w:val="00704523"/>
    <w:rsid w:val="0071205C"/>
    <w:rsid w:val="00713A1F"/>
    <w:rsid w:val="007143CF"/>
    <w:rsid w:val="0071568B"/>
    <w:rsid w:val="00715B6F"/>
    <w:rsid w:val="007236F7"/>
    <w:rsid w:val="007245CA"/>
    <w:rsid w:val="00726334"/>
    <w:rsid w:val="00726FFD"/>
    <w:rsid w:val="00727449"/>
    <w:rsid w:val="00727BD8"/>
    <w:rsid w:val="0073442A"/>
    <w:rsid w:val="00734CF0"/>
    <w:rsid w:val="00740215"/>
    <w:rsid w:val="00743DA3"/>
    <w:rsid w:val="0074658F"/>
    <w:rsid w:val="00746F92"/>
    <w:rsid w:val="00750B44"/>
    <w:rsid w:val="007518AF"/>
    <w:rsid w:val="0075372E"/>
    <w:rsid w:val="00753C28"/>
    <w:rsid w:val="0076195D"/>
    <w:rsid w:val="00765B65"/>
    <w:rsid w:val="007665A5"/>
    <w:rsid w:val="00770A28"/>
    <w:rsid w:val="00772D8F"/>
    <w:rsid w:val="00774965"/>
    <w:rsid w:val="00777396"/>
    <w:rsid w:val="007838F4"/>
    <w:rsid w:val="00783EB1"/>
    <w:rsid w:val="00787B7C"/>
    <w:rsid w:val="00790474"/>
    <w:rsid w:val="00790606"/>
    <w:rsid w:val="00791AAE"/>
    <w:rsid w:val="00792278"/>
    <w:rsid w:val="007A0B8E"/>
    <w:rsid w:val="007A1F11"/>
    <w:rsid w:val="007A5534"/>
    <w:rsid w:val="007A59E7"/>
    <w:rsid w:val="007A7B89"/>
    <w:rsid w:val="007B2B37"/>
    <w:rsid w:val="007B3655"/>
    <w:rsid w:val="007B496C"/>
    <w:rsid w:val="007B5EC7"/>
    <w:rsid w:val="007B6DBC"/>
    <w:rsid w:val="007C0546"/>
    <w:rsid w:val="007C2708"/>
    <w:rsid w:val="007C2778"/>
    <w:rsid w:val="007C51DF"/>
    <w:rsid w:val="007C60F2"/>
    <w:rsid w:val="007C65BB"/>
    <w:rsid w:val="007D4F74"/>
    <w:rsid w:val="007E0053"/>
    <w:rsid w:val="007E690D"/>
    <w:rsid w:val="007E703B"/>
    <w:rsid w:val="007F04A9"/>
    <w:rsid w:val="007F5603"/>
    <w:rsid w:val="007F7278"/>
    <w:rsid w:val="007F7356"/>
    <w:rsid w:val="0080062E"/>
    <w:rsid w:val="00801BBC"/>
    <w:rsid w:val="008033F5"/>
    <w:rsid w:val="00804581"/>
    <w:rsid w:val="00805B3E"/>
    <w:rsid w:val="00806E6A"/>
    <w:rsid w:val="00810E8D"/>
    <w:rsid w:val="00811A11"/>
    <w:rsid w:val="00811FB4"/>
    <w:rsid w:val="00812796"/>
    <w:rsid w:val="00813D2F"/>
    <w:rsid w:val="00814865"/>
    <w:rsid w:val="0081714F"/>
    <w:rsid w:val="008172D0"/>
    <w:rsid w:val="0082067C"/>
    <w:rsid w:val="00820E8E"/>
    <w:rsid w:val="00821EB2"/>
    <w:rsid w:val="008221A9"/>
    <w:rsid w:val="00824441"/>
    <w:rsid w:val="0082512F"/>
    <w:rsid w:val="00833293"/>
    <w:rsid w:val="00833DC6"/>
    <w:rsid w:val="00834928"/>
    <w:rsid w:val="008357C4"/>
    <w:rsid w:val="00835AE2"/>
    <w:rsid w:val="00836C11"/>
    <w:rsid w:val="008375EB"/>
    <w:rsid w:val="00841D10"/>
    <w:rsid w:val="008429FD"/>
    <w:rsid w:val="00842CF5"/>
    <w:rsid w:val="008443C4"/>
    <w:rsid w:val="00844E16"/>
    <w:rsid w:val="00845A6B"/>
    <w:rsid w:val="0084614F"/>
    <w:rsid w:val="0084640C"/>
    <w:rsid w:val="0084683B"/>
    <w:rsid w:val="008469CA"/>
    <w:rsid w:val="008500FA"/>
    <w:rsid w:val="00854CED"/>
    <w:rsid w:val="00854F57"/>
    <w:rsid w:val="008553E8"/>
    <w:rsid w:val="0086258C"/>
    <w:rsid w:val="00862691"/>
    <w:rsid w:val="00862A6A"/>
    <w:rsid w:val="00862ABC"/>
    <w:rsid w:val="00862F0B"/>
    <w:rsid w:val="00866822"/>
    <w:rsid w:val="00870A4E"/>
    <w:rsid w:val="00875050"/>
    <w:rsid w:val="008752EE"/>
    <w:rsid w:val="00876A3B"/>
    <w:rsid w:val="00877776"/>
    <w:rsid w:val="00880B15"/>
    <w:rsid w:val="00881AAC"/>
    <w:rsid w:val="00881B11"/>
    <w:rsid w:val="008828D4"/>
    <w:rsid w:val="00883C10"/>
    <w:rsid w:val="0088584F"/>
    <w:rsid w:val="00886687"/>
    <w:rsid w:val="00886B72"/>
    <w:rsid w:val="00887B1A"/>
    <w:rsid w:val="008901BE"/>
    <w:rsid w:val="008907C2"/>
    <w:rsid w:val="0089226F"/>
    <w:rsid w:val="008936E0"/>
    <w:rsid w:val="00896043"/>
    <w:rsid w:val="008978BD"/>
    <w:rsid w:val="008A32F8"/>
    <w:rsid w:val="008A3915"/>
    <w:rsid w:val="008A3CF2"/>
    <w:rsid w:val="008A3E43"/>
    <w:rsid w:val="008A4696"/>
    <w:rsid w:val="008A4D03"/>
    <w:rsid w:val="008A61A5"/>
    <w:rsid w:val="008A70FF"/>
    <w:rsid w:val="008A7E0F"/>
    <w:rsid w:val="008A7F13"/>
    <w:rsid w:val="008B4E7E"/>
    <w:rsid w:val="008C20B4"/>
    <w:rsid w:val="008C33C1"/>
    <w:rsid w:val="008C6A0F"/>
    <w:rsid w:val="008D2D51"/>
    <w:rsid w:val="008D45CF"/>
    <w:rsid w:val="008D574B"/>
    <w:rsid w:val="008D5B4E"/>
    <w:rsid w:val="008E2802"/>
    <w:rsid w:val="008E28A0"/>
    <w:rsid w:val="008E302D"/>
    <w:rsid w:val="008E3ACA"/>
    <w:rsid w:val="008E3C67"/>
    <w:rsid w:val="008E3EDE"/>
    <w:rsid w:val="008E3FC5"/>
    <w:rsid w:val="008E7A62"/>
    <w:rsid w:val="008F07BF"/>
    <w:rsid w:val="008F224B"/>
    <w:rsid w:val="008F22D6"/>
    <w:rsid w:val="008F3C86"/>
    <w:rsid w:val="008F5C3B"/>
    <w:rsid w:val="009028D6"/>
    <w:rsid w:val="00902AC4"/>
    <w:rsid w:val="00903EA7"/>
    <w:rsid w:val="00904515"/>
    <w:rsid w:val="00906488"/>
    <w:rsid w:val="00910351"/>
    <w:rsid w:val="00910BC2"/>
    <w:rsid w:val="00910D5F"/>
    <w:rsid w:val="00910EE4"/>
    <w:rsid w:val="00912CDC"/>
    <w:rsid w:val="00920EFA"/>
    <w:rsid w:val="00926249"/>
    <w:rsid w:val="0092776D"/>
    <w:rsid w:val="009304C4"/>
    <w:rsid w:val="0093175F"/>
    <w:rsid w:val="00931C76"/>
    <w:rsid w:val="00931D8B"/>
    <w:rsid w:val="009322CA"/>
    <w:rsid w:val="00933098"/>
    <w:rsid w:val="00933578"/>
    <w:rsid w:val="009369F5"/>
    <w:rsid w:val="00936CE1"/>
    <w:rsid w:val="00943D0E"/>
    <w:rsid w:val="0094730C"/>
    <w:rsid w:val="009478C0"/>
    <w:rsid w:val="00947F9B"/>
    <w:rsid w:val="00950156"/>
    <w:rsid w:val="00953450"/>
    <w:rsid w:val="00953457"/>
    <w:rsid w:val="009536FB"/>
    <w:rsid w:val="009561B4"/>
    <w:rsid w:val="00960F42"/>
    <w:rsid w:val="009620E2"/>
    <w:rsid w:val="0096694C"/>
    <w:rsid w:val="00967EE9"/>
    <w:rsid w:val="00970959"/>
    <w:rsid w:val="0097494F"/>
    <w:rsid w:val="00975169"/>
    <w:rsid w:val="0097542B"/>
    <w:rsid w:val="0097621B"/>
    <w:rsid w:val="00977180"/>
    <w:rsid w:val="00981ECB"/>
    <w:rsid w:val="00985E2B"/>
    <w:rsid w:val="0098688B"/>
    <w:rsid w:val="009908D2"/>
    <w:rsid w:val="009933B4"/>
    <w:rsid w:val="00994E64"/>
    <w:rsid w:val="009950D5"/>
    <w:rsid w:val="00995A59"/>
    <w:rsid w:val="00997EB4"/>
    <w:rsid w:val="009A0E00"/>
    <w:rsid w:val="009A1489"/>
    <w:rsid w:val="009A21C1"/>
    <w:rsid w:val="009A4D84"/>
    <w:rsid w:val="009A4E07"/>
    <w:rsid w:val="009A5076"/>
    <w:rsid w:val="009A59BB"/>
    <w:rsid w:val="009B0721"/>
    <w:rsid w:val="009B1165"/>
    <w:rsid w:val="009B416A"/>
    <w:rsid w:val="009B62DE"/>
    <w:rsid w:val="009B6543"/>
    <w:rsid w:val="009B73E2"/>
    <w:rsid w:val="009C5658"/>
    <w:rsid w:val="009C57EA"/>
    <w:rsid w:val="009C6001"/>
    <w:rsid w:val="009D042C"/>
    <w:rsid w:val="009D0A87"/>
    <w:rsid w:val="009D1BA9"/>
    <w:rsid w:val="009D1F12"/>
    <w:rsid w:val="009D3B01"/>
    <w:rsid w:val="009D3FAE"/>
    <w:rsid w:val="009D45D7"/>
    <w:rsid w:val="009D7DA8"/>
    <w:rsid w:val="009E151F"/>
    <w:rsid w:val="009E1C8A"/>
    <w:rsid w:val="009E3C1E"/>
    <w:rsid w:val="009E4F82"/>
    <w:rsid w:val="009E702B"/>
    <w:rsid w:val="009E7051"/>
    <w:rsid w:val="009E7237"/>
    <w:rsid w:val="009F1999"/>
    <w:rsid w:val="009F7EEC"/>
    <w:rsid w:val="00A0339A"/>
    <w:rsid w:val="00A039B6"/>
    <w:rsid w:val="00A03E0D"/>
    <w:rsid w:val="00A03FC3"/>
    <w:rsid w:val="00A04FC2"/>
    <w:rsid w:val="00A05025"/>
    <w:rsid w:val="00A06243"/>
    <w:rsid w:val="00A066AB"/>
    <w:rsid w:val="00A06C6C"/>
    <w:rsid w:val="00A07ABB"/>
    <w:rsid w:val="00A10D77"/>
    <w:rsid w:val="00A128A4"/>
    <w:rsid w:val="00A13465"/>
    <w:rsid w:val="00A13D95"/>
    <w:rsid w:val="00A20894"/>
    <w:rsid w:val="00A22F3D"/>
    <w:rsid w:val="00A23F23"/>
    <w:rsid w:val="00A30A02"/>
    <w:rsid w:val="00A30B9C"/>
    <w:rsid w:val="00A31B41"/>
    <w:rsid w:val="00A373A4"/>
    <w:rsid w:val="00A374F0"/>
    <w:rsid w:val="00A4446A"/>
    <w:rsid w:val="00A4475E"/>
    <w:rsid w:val="00A45160"/>
    <w:rsid w:val="00A466BD"/>
    <w:rsid w:val="00A4697F"/>
    <w:rsid w:val="00A46DC7"/>
    <w:rsid w:val="00A47CB6"/>
    <w:rsid w:val="00A505D7"/>
    <w:rsid w:val="00A52170"/>
    <w:rsid w:val="00A53A34"/>
    <w:rsid w:val="00A54DB7"/>
    <w:rsid w:val="00A61CB2"/>
    <w:rsid w:val="00A62027"/>
    <w:rsid w:val="00A62B14"/>
    <w:rsid w:val="00A62FCC"/>
    <w:rsid w:val="00A64EA7"/>
    <w:rsid w:val="00A652F1"/>
    <w:rsid w:val="00A66BDC"/>
    <w:rsid w:val="00A673F6"/>
    <w:rsid w:val="00A704CD"/>
    <w:rsid w:val="00A71A69"/>
    <w:rsid w:val="00A72A02"/>
    <w:rsid w:val="00A72A80"/>
    <w:rsid w:val="00A81495"/>
    <w:rsid w:val="00A82972"/>
    <w:rsid w:val="00A83E06"/>
    <w:rsid w:val="00A86F5C"/>
    <w:rsid w:val="00A87CD5"/>
    <w:rsid w:val="00A901F4"/>
    <w:rsid w:val="00A93F27"/>
    <w:rsid w:val="00A95AA9"/>
    <w:rsid w:val="00A975E7"/>
    <w:rsid w:val="00AA074D"/>
    <w:rsid w:val="00AA0BDF"/>
    <w:rsid w:val="00AA1680"/>
    <w:rsid w:val="00AA31CB"/>
    <w:rsid w:val="00AA3C76"/>
    <w:rsid w:val="00AA3CB1"/>
    <w:rsid w:val="00AA4D5B"/>
    <w:rsid w:val="00AA6255"/>
    <w:rsid w:val="00AA6E4E"/>
    <w:rsid w:val="00AB0201"/>
    <w:rsid w:val="00AB1466"/>
    <w:rsid w:val="00AB168B"/>
    <w:rsid w:val="00AB35E6"/>
    <w:rsid w:val="00AB41C3"/>
    <w:rsid w:val="00AB5C60"/>
    <w:rsid w:val="00AB7535"/>
    <w:rsid w:val="00AB77D0"/>
    <w:rsid w:val="00AC11D9"/>
    <w:rsid w:val="00AC1561"/>
    <w:rsid w:val="00AC2A0E"/>
    <w:rsid w:val="00AC3158"/>
    <w:rsid w:val="00AC5B93"/>
    <w:rsid w:val="00AC7B48"/>
    <w:rsid w:val="00AC7C43"/>
    <w:rsid w:val="00AD161D"/>
    <w:rsid w:val="00AD38B4"/>
    <w:rsid w:val="00AD3902"/>
    <w:rsid w:val="00AD4AFE"/>
    <w:rsid w:val="00AD4BDA"/>
    <w:rsid w:val="00AE1A00"/>
    <w:rsid w:val="00AE3341"/>
    <w:rsid w:val="00AF4A67"/>
    <w:rsid w:val="00B0003E"/>
    <w:rsid w:val="00B013FD"/>
    <w:rsid w:val="00B0560F"/>
    <w:rsid w:val="00B0620B"/>
    <w:rsid w:val="00B06D39"/>
    <w:rsid w:val="00B12D5F"/>
    <w:rsid w:val="00B156DF"/>
    <w:rsid w:val="00B159C2"/>
    <w:rsid w:val="00B169B9"/>
    <w:rsid w:val="00B1740E"/>
    <w:rsid w:val="00B209EA"/>
    <w:rsid w:val="00B20A8A"/>
    <w:rsid w:val="00B236CC"/>
    <w:rsid w:val="00B23FEE"/>
    <w:rsid w:val="00B24827"/>
    <w:rsid w:val="00B248D4"/>
    <w:rsid w:val="00B2649A"/>
    <w:rsid w:val="00B27E8C"/>
    <w:rsid w:val="00B304FA"/>
    <w:rsid w:val="00B378F9"/>
    <w:rsid w:val="00B419A2"/>
    <w:rsid w:val="00B441A7"/>
    <w:rsid w:val="00B453C7"/>
    <w:rsid w:val="00B476B9"/>
    <w:rsid w:val="00B51E6A"/>
    <w:rsid w:val="00B548C2"/>
    <w:rsid w:val="00B5609E"/>
    <w:rsid w:val="00B575DC"/>
    <w:rsid w:val="00B60645"/>
    <w:rsid w:val="00B6092A"/>
    <w:rsid w:val="00B673FF"/>
    <w:rsid w:val="00B7240C"/>
    <w:rsid w:val="00B72910"/>
    <w:rsid w:val="00B72C2A"/>
    <w:rsid w:val="00B73373"/>
    <w:rsid w:val="00B7477B"/>
    <w:rsid w:val="00B7714E"/>
    <w:rsid w:val="00B77362"/>
    <w:rsid w:val="00B77A33"/>
    <w:rsid w:val="00B83808"/>
    <w:rsid w:val="00B84B47"/>
    <w:rsid w:val="00B900B8"/>
    <w:rsid w:val="00B91D7B"/>
    <w:rsid w:val="00B94281"/>
    <w:rsid w:val="00B94B13"/>
    <w:rsid w:val="00B94E10"/>
    <w:rsid w:val="00B9542B"/>
    <w:rsid w:val="00B9630F"/>
    <w:rsid w:val="00B963AA"/>
    <w:rsid w:val="00BA7C81"/>
    <w:rsid w:val="00BB0B26"/>
    <w:rsid w:val="00BB367A"/>
    <w:rsid w:val="00BB423F"/>
    <w:rsid w:val="00BB67AF"/>
    <w:rsid w:val="00BB764F"/>
    <w:rsid w:val="00BC0C8C"/>
    <w:rsid w:val="00BC0D0A"/>
    <w:rsid w:val="00BC3EC1"/>
    <w:rsid w:val="00BD6FB1"/>
    <w:rsid w:val="00BE09FC"/>
    <w:rsid w:val="00BE1A20"/>
    <w:rsid w:val="00BE3E79"/>
    <w:rsid w:val="00BE67B3"/>
    <w:rsid w:val="00BE6A48"/>
    <w:rsid w:val="00BF18B2"/>
    <w:rsid w:val="00BF1FED"/>
    <w:rsid w:val="00BF60F6"/>
    <w:rsid w:val="00C00375"/>
    <w:rsid w:val="00C00AC4"/>
    <w:rsid w:val="00C01A98"/>
    <w:rsid w:val="00C0210B"/>
    <w:rsid w:val="00C02442"/>
    <w:rsid w:val="00C04136"/>
    <w:rsid w:val="00C049E1"/>
    <w:rsid w:val="00C0621F"/>
    <w:rsid w:val="00C06842"/>
    <w:rsid w:val="00C1183A"/>
    <w:rsid w:val="00C12734"/>
    <w:rsid w:val="00C148E7"/>
    <w:rsid w:val="00C17A5F"/>
    <w:rsid w:val="00C21F40"/>
    <w:rsid w:val="00C2279B"/>
    <w:rsid w:val="00C23295"/>
    <w:rsid w:val="00C23420"/>
    <w:rsid w:val="00C235F8"/>
    <w:rsid w:val="00C23B45"/>
    <w:rsid w:val="00C2480D"/>
    <w:rsid w:val="00C248CE"/>
    <w:rsid w:val="00C24D52"/>
    <w:rsid w:val="00C24E3F"/>
    <w:rsid w:val="00C25265"/>
    <w:rsid w:val="00C257E4"/>
    <w:rsid w:val="00C276EE"/>
    <w:rsid w:val="00C278E6"/>
    <w:rsid w:val="00C27E91"/>
    <w:rsid w:val="00C3056A"/>
    <w:rsid w:val="00C30778"/>
    <w:rsid w:val="00C318FC"/>
    <w:rsid w:val="00C342D3"/>
    <w:rsid w:val="00C41992"/>
    <w:rsid w:val="00C425D4"/>
    <w:rsid w:val="00C43942"/>
    <w:rsid w:val="00C463F5"/>
    <w:rsid w:val="00C47A7E"/>
    <w:rsid w:val="00C53391"/>
    <w:rsid w:val="00C536B7"/>
    <w:rsid w:val="00C56C4D"/>
    <w:rsid w:val="00C57487"/>
    <w:rsid w:val="00C57EEB"/>
    <w:rsid w:val="00C622CB"/>
    <w:rsid w:val="00C62337"/>
    <w:rsid w:val="00C62754"/>
    <w:rsid w:val="00C62821"/>
    <w:rsid w:val="00C64B05"/>
    <w:rsid w:val="00C656BE"/>
    <w:rsid w:val="00C65857"/>
    <w:rsid w:val="00C70E18"/>
    <w:rsid w:val="00C7175D"/>
    <w:rsid w:val="00C72B9F"/>
    <w:rsid w:val="00C741E7"/>
    <w:rsid w:val="00C77A0D"/>
    <w:rsid w:val="00C80F91"/>
    <w:rsid w:val="00C81352"/>
    <w:rsid w:val="00C81A18"/>
    <w:rsid w:val="00C81C0F"/>
    <w:rsid w:val="00C81F7D"/>
    <w:rsid w:val="00C86630"/>
    <w:rsid w:val="00C90A3E"/>
    <w:rsid w:val="00C9134B"/>
    <w:rsid w:val="00C9154B"/>
    <w:rsid w:val="00C93016"/>
    <w:rsid w:val="00C94247"/>
    <w:rsid w:val="00C95F13"/>
    <w:rsid w:val="00C96CB1"/>
    <w:rsid w:val="00C978FF"/>
    <w:rsid w:val="00CA2735"/>
    <w:rsid w:val="00CA2856"/>
    <w:rsid w:val="00CB0BBE"/>
    <w:rsid w:val="00CB14CC"/>
    <w:rsid w:val="00CB28A3"/>
    <w:rsid w:val="00CB2F24"/>
    <w:rsid w:val="00CB3467"/>
    <w:rsid w:val="00CB36B6"/>
    <w:rsid w:val="00CB3883"/>
    <w:rsid w:val="00CB44D7"/>
    <w:rsid w:val="00CB704D"/>
    <w:rsid w:val="00CB7C07"/>
    <w:rsid w:val="00CC0E48"/>
    <w:rsid w:val="00CC262E"/>
    <w:rsid w:val="00CC27C0"/>
    <w:rsid w:val="00CC293F"/>
    <w:rsid w:val="00CC2ED1"/>
    <w:rsid w:val="00CC3098"/>
    <w:rsid w:val="00CC3963"/>
    <w:rsid w:val="00CC5F5F"/>
    <w:rsid w:val="00CC64F9"/>
    <w:rsid w:val="00CC7F28"/>
    <w:rsid w:val="00CD18C1"/>
    <w:rsid w:val="00CD1B19"/>
    <w:rsid w:val="00CD36E6"/>
    <w:rsid w:val="00CD3BA2"/>
    <w:rsid w:val="00CD3E2F"/>
    <w:rsid w:val="00CD4FE0"/>
    <w:rsid w:val="00CD5E1B"/>
    <w:rsid w:val="00CE141F"/>
    <w:rsid w:val="00CE15BC"/>
    <w:rsid w:val="00CE282A"/>
    <w:rsid w:val="00CE2DD3"/>
    <w:rsid w:val="00CE2E89"/>
    <w:rsid w:val="00CE4046"/>
    <w:rsid w:val="00CE7201"/>
    <w:rsid w:val="00CE7F8B"/>
    <w:rsid w:val="00CF01FA"/>
    <w:rsid w:val="00CF03D6"/>
    <w:rsid w:val="00CF5A2C"/>
    <w:rsid w:val="00CF6E3E"/>
    <w:rsid w:val="00D00E57"/>
    <w:rsid w:val="00D03CD3"/>
    <w:rsid w:val="00D0454B"/>
    <w:rsid w:val="00D0651E"/>
    <w:rsid w:val="00D12D76"/>
    <w:rsid w:val="00D134E7"/>
    <w:rsid w:val="00D15D6D"/>
    <w:rsid w:val="00D16363"/>
    <w:rsid w:val="00D211DD"/>
    <w:rsid w:val="00D217B5"/>
    <w:rsid w:val="00D229D5"/>
    <w:rsid w:val="00D33419"/>
    <w:rsid w:val="00D33D9A"/>
    <w:rsid w:val="00D35267"/>
    <w:rsid w:val="00D4190A"/>
    <w:rsid w:val="00D41DD5"/>
    <w:rsid w:val="00D4245B"/>
    <w:rsid w:val="00D43AAE"/>
    <w:rsid w:val="00D44017"/>
    <w:rsid w:val="00D46969"/>
    <w:rsid w:val="00D47F2D"/>
    <w:rsid w:val="00D50C34"/>
    <w:rsid w:val="00D54091"/>
    <w:rsid w:val="00D636F1"/>
    <w:rsid w:val="00D64110"/>
    <w:rsid w:val="00D641B5"/>
    <w:rsid w:val="00D642DB"/>
    <w:rsid w:val="00D64C26"/>
    <w:rsid w:val="00D65E1F"/>
    <w:rsid w:val="00D72CA8"/>
    <w:rsid w:val="00D73532"/>
    <w:rsid w:val="00D766A5"/>
    <w:rsid w:val="00D80B39"/>
    <w:rsid w:val="00D814CB"/>
    <w:rsid w:val="00D816BE"/>
    <w:rsid w:val="00D82309"/>
    <w:rsid w:val="00D82CD6"/>
    <w:rsid w:val="00D82E8E"/>
    <w:rsid w:val="00D87633"/>
    <w:rsid w:val="00D87DD7"/>
    <w:rsid w:val="00D90102"/>
    <w:rsid w:val="00D91D66"/>
    <w:rsid w:val="00D92635"/>
    <w:rsid w:val="00D935F6"/>
    <w:rsid w:val="00D93F0A"/>
    <w:rsid w:val="00D953C9"/>
    <w:rsid w:val="00D97F48"/>
    <w:rsid w:val="00DA2946"/>
    <w:rsid w:val="00DA359F"/>
    <w:rsid w:val="00DA4DCF"/>
    <w:rsid w:val="00DA513B"/>
    <w:rsid w:val="00DA599D"/>
    <w:rsid w:val="00DA6858"/>
    <w:rsid w:val="00DA7A06"/>
    <w:rsid w:val="00DB2A20"/>
    <w:rsid w:val="00DB2C79"/>
    <w:rsid w:val="00DB6754"/>
    <w:rsid w:val="00DB74B8"/>
    <w:rsid w:val="00DC0259"/>
    <w:rsid w:val="00DC035C"/>
    <w:rsid w:val="00DC0F38"/>
    <w:rsid w:val="00DD00A6"/>
    <w:rsid w:val="00DD378F"/>
    <w:rsid w:val="00DD55FC"/>
    <w:rsid w:val="00DE1A48"/>
    <w:rsid w:val="00DE3C28"/>
    <w:rsid w:val="00DE4759"/>
    <w:rsid w:val="00DE5419"/>
    <w:rsid w:val="00DE62F4"/>
    <w:rsid w:val="00DE7CA8"/>
    <w:rsid w:val="00DF045C"/>
    <w:rsid w:val="00DF0DF9"/>
    <w:rsid w:val="00DF0FD6"/>
    <w:rsid w:val="00DF149C"/>
    <w:rsid w:val="00DF2125"/>
    <w:rsid w:val="00DF479B"/>
    <w:rsid w:val="00DF5D6E"/>
    <w:rsid w:val="00DF67C7"/>
    <w:rsid w:val="00E01199"/>
    <w:rsid w:val="00E015E2"/>
    <w:rsid w:val="00E04AE2"/>
    <w:rsid w:val="00E04F01"/>
    <w:rsid w:val="00E062EB"/>
    <w:rsid w:val="00E06C0F"/>
    <w:rsid w:val="00E12BC9"/>
    <w:rsid w:val="00E151E6"/>
    <w:rsid w:val="00E15EF6"/>
    <w:rsid w:val="00E168A4"/>
    <w:rsid w:val="00E20CE5"/>
    <w:rsid w:val="00E22349"/>
    <w:rsid w:val="00E22D71"/>
    <w:rsid w:val="00E23B1A"/>
    <w:rsid w:val="00E24806"/>
    <w:rsid w:val="00E26132"/>
    <w:rsid w:val="00E2636A"/>
    <w:rsid w:val="00E27DC7"/>
    <w:rsid w:val="00E3153F"/>
    <w:rsid w:val="00E31D81"/>
    <w:rsid w:val="00E32512"/>
    <w:rsid w:val="00E32CEF"/>
    <w:rsid w:val="00E33910"/>
    <w:rsid w:val="00E35A23"/>
    <w:rsid w:val="00E35B71"/>
    <w:rsid w:val="00E41375"/>
    <w:rsid w:val="00E43944"/>
    <w:rsid w:val="00E44855"/>
    <w:rsid w:val="00E45FCB"/>
    <w:rsid w:val="00E460DA"/>
    <w:rsid w:val="00E468A8"/>
    <w:rsid w:val="00E46AE3"/>
    <w:rsid w:val="00E509BF"/>
    <w:rsid w:val="00E53755"/>
    <w:rsid w:val="00E55AA5"/>
    <w:rsid w:val="00E568AD"/>
    <w:rsid w:val="00E613B2"/>
    <w:rsid w:val="00E62B85"/>
    <w:rsid w:val="00E63FCD"/>
    <w:rsid w:val="00E67CD3"/>
    <w:rsid w:val="00E67CF5"/>
    <w:rsid w:val="00E7009A"/>
    <w:rsid w:val="00E71346"/>
    <w:rsid w:val="00E713EB"/>
    <w:rsid w:val="00E73298"/>
    <w:rsid w:val="00E75AC6"/>
    <w:rsid w:val="00E82A4F"/>
    <w:rsid w:val="00E82CCD"/>
    <w:rsid w:val="00E83FEB"/>
    <w:rsid w:val="00E848B3"/>
    <w:rsid w:val="00E86827"/>
    <w:rsid w:val="00E87C1E"/>
    <w:rsid w:val="00E91B4C"/>
    <w:rsid w:val="00E92B64"/>
    <w:rsid w:val="00E93081"/>
    <w:rsid w:val="00E96279"/>
    <w:rsid w:val="00E97348"/>
    <w:rsid w:val="00EA2E5B"/>
    <w:rsid w:val="00EA588C"/>
    <w:rsid w:val="00EA5D23"/>
    <w:rsid w:val="00EA7F21"/>
    <w:rsid w:val="00EA7FFB"/>
    <w:rsid w:val="00EB02FC"/>
    <w:rsid w:val="00EB0BA4"/>
    <w:rsid w:val="00EB1317"/>
    <w:rsid w:val="00EB2B1F"/>
    <w:rsid w:val="00EB38E0"/>
    <w:rsid w:val="00EB4D00"/>
    <w:rsid w:val="00EB5196"/>
    <w:rsid w:val="00EC07FE"/>
    <w:rsid w:val="00EC2EDC"/>
    <w:rsid w:val="00EC3820"/>
    <w:rsid w:val="00EC40E3"/>
    <w:rsid w:val="00EC4B2C"/>
    <w:rsid w:val="00EC4E5A"/>
    <w:rsid w:val="00EC5828"/>
    <w:rsid w:val="00ED1ADC"/>
    <w:rsid w:val="00ED2B51"/>
    <w:rsid w:val="00ED31B1"/>
    <w:rsid w:val="00ED6090"/>
    <w:rsid w:val="00ED6A59"/>
    <w:rsid w:val="00EE0B9B"/>
    <w:rsid w:val="00EE351A"/>
    <w:rsid w:val="00EE5B55"/>
    <w:rsid w:val="00EF03D8"/>
    <w:rsid w:val="00EF13BF"/>
    <w:rsid w:val="00EF40C5"/>
    <w:rsid w:val="00EF55FF"/>
    <w:rsid w:val="00EF7472"/>
    <w:rsid w:val="00F00F0C"/>
    <w:rsid w:val="00F01A67"/>
    <w:rsid w:val="00F01DB4"/>
    <w:rsid w:val="00F02B18"/>
    <w:rsid w:val="00F07841"/>
    <w:rsid w:val="00F12D81"/>
    <w:rsid w:val="00F1316A"/>
    <w:rsid w:val="00F1432A"/>
    <w:rsid w:val="00F14496"/>
    <w:rsid w:val="00F15896"/>
    <w:rsid w:val="00F17BD4"/>
    <w:rsid w:val="00F22687"/>
    <w:rsid w:val="00F23A8E"/>
    <w:rsid w:val="00F2478B"/>
    <w:rsid w:val="00F24AD2"/>
    <w:rsid w:val="00F2504E"/>
    <w:rsid w:val="00F26E35"/>
    <w:rsid w:val="00F2773B"/>
    <w:rsid w:val="00F32566"/>
    <w:rsid w:val="00F33816"/>
    <w:rsid w:val="00F33953"/>
    <w:rsid w:val="00F35252"/>
    <w:rsid w:val="00F415AE"/>
    <w:rsid w:val="00F41FBC"/>
    <w:rsid w:val="00F4522C"/>
    <w:rsid w:val="00F46D4C"/>
    <w:rsid w:val="00F5114C"/>
    <w:rsid w:val="00F51348"/>
    <w:rsid w:val="00F51AC6"/>
    <w:rsid w:val="00F536C6"/>
    <w:rsid w:val="00F53900"/>
    <w:rsid w:val="00F57006"/>
    <w:rsid w:val="00F57748"/>
    <w:rsid w:val="00F60533"/>
    <w:rsid w:val="00F60E12"/>
    <w:rsid w:val="00F613A4"/>
    <w:rsid w:val="00F63785"/>
    <w:rsid w:val="00F6463B"/>
    <w:rsid w:val="00F653F8"/>
    <w:rsid w:val="00F654F1"/>
    <w:rsid w:val="00F657C7"/>
    <w:rsid w:val="00F70BB6"/>
    <w:rsid w:val="00F70EE1"/>
    <w:rsid w:val="00F722B9"/>
    <w:rsid w:val="00F729F8"/>
    <w:rsid w:val="00F74463"/>
    <w:rsid w:val="00F805E6"/>
    <w:rsid w:val="00F861FB"/>
    <w:rsid w:val="00F867D5"/>
    <w:rsid w:val="00F872BE"/>
    <w:rsid w:val="00F93559"/>
    <w:rsid w:val="00F93C09"/>
    <w:rsid w:val="00F94B53"/>
    <w:rsid w:val="00F968FC"/>
    <w:rsid w:val="00FA008D"/>
    <w:rsid w:val="00FA12AF"/>
    <w:rsid w:val="00FA1D4E"/>
    <w:rsid w:val="00FA235D"/>
    <w:rsid w:val="00FA279E"/>
    <w:rsid w:val="00FA41CC"/>
    <w:rsid w:val="00FA4282"/>
    <w:rsid w:val="00FA65CE"/>
    <w:rsid w:val="00FB1291"/>
    <w:rsid w:val="00FB2161"/>
    <w:rsid w:val="00FB5CC1"/>
    <w:rsid w:val="00FC00A0"/>
    <w:rsid w:val="00FC1566"/>
    <w:rsid w:val="00FC1649"/>
    <w:rsid w:val="00FC1D35"/>
    <w:rsid w:val="00FC627F"/>
    <w:rsid w:val="00FC66FE"/>
    <w:rsid w:val="00FC7E6E"/>
    <w:rsid w:val="00FD0922"/>
    <w:rsid w:val="00FD0AC1"/>
    <w:rsid w:val="00FD0F1F"/>
    <w:rsid w:val="00FD1DE2"/>
    <w:rsid w:val="00FD259C"/>
    <w:rsid w:val="00FD4B43"/>
    <w:rsid w:val="00FD6BC8"/>
    <w:rsid w:val="00FD6ECD"/>
    <w:rsid w:val="00FD71C1"/>
    <w:rsid w:val="00FE1734"/>
    <w:rsid w:val="00FE32D2"/>
    <w:rsid w:val="00FE41E7"/>
    <w:rsid w:val="00FE5129"/>
    <w:rsid w:val="00FE55CF"/>
    <w:rsid w:val="00FE6AE1"/>
    <w:rsid w:val="00FF00C3"/>
    <w:rsid w:val="00FF0123"/>
    <w:rsid w:val="00FF0EA1"/>
    <w:rsid w:val="00FF1A02"/>
    <w:rsid w:val="00FF2498"/>
    <w:rsid w:val="00FF2E8A"/>
    <w:rsid w:val="00FF3499"/>
    <w:rsid w:val="00FF39C7"/>
    <w:rsid w:val="00FF4628"/>
    <w:rsid w:val="00FF52B1"/>
    <w:rsid w:val="00FF57FB"/>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F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0"/>
    <w:pPr>
      <w:spacing w:after="100" w:line="400" w:lineRule="exact"/>
      <w:jc w:val="both"/>
    </w:pPr>
    <w:rPr>
      <w:rFonts w:ascii="Century Schoolbook" w:hAnsi="Century Schoolbook"/>
      <w:sz w:val="27"/>
    </w:rPr>
  </w:style>
  <w:style w:type="paragraph" w:styleId="Heading1">
    <w:name w:val="heading 1"/>
    <w:basedOn w:val="Normal"/>
    <w:next w:val="Normal"/>
    <w:qFormat/>
    <w:rsid w:val="00CC27C0"/>
    <w:pPr>
      <w:keepNext/>
      <w:spacing w:before="140" w:line="240" w:lineRule="atLeast"/>
      <w:jc w:val="center"/>
      <w:outlineLvl w:val="0"/>
    </w:pPr>
    <w:rPr>
      <w:b/>
      <w:smallCaps/>
    </w:rPr>
  </w:style>
  <w:style w:type="paragraph" w:styleId="Heading2">
    <w:name w:val="heading 2"/>
    <w:basedOn w:val="Normal"/>
    <w:next w:val="Normal"/>
    <w:qFormat/>
    <w:rsid w:val="00CC27C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C27C0"/>
    <w:pPr>
      <w:keepNext/>
      <w:tabs>
        <w:tab w:val="left" w:pos="1584"/>
      </w:tabs>
      <w:spacing w:before="140" w:line="240" w:lineRule="atLeast"/>
      <w:ind w:left="1584" w:hanging="432"/>
      <w:jc w:val="left"/>
      <w:outlineLvl w:val="2"/>
    </w:pPr>
    <w:rPr>
      <w:i/>
    </w:rPr>
  </w:style>
  <w:style w:type="paragraph" w:styleId="Heading4">
    <w:name w:val="heading 4"/>
    <w:basedOn w:val="Normal"/>
    <w:rsid w:val="00CC27C0"/>
    <w:pPr>
      <w:keepNext/>
      <w:tabs>
        <w:tab w:val="left" w:pos="2016"/>
      </w:tabs>
      <w:spacing w:before="140" w:line="240" w:lineRule="atLeast"/>
      <w:ind w:left="2016" w:hanging="432"/>
      <w:jc w:val="left"/>
      <w:outlineLvl w:val="3"/>
    </w:pPr>
    <w:rPr>
      <w:i/>
    </w:rPr>
  </w:style>
  <w:style w:type="paragraph" w:styleId="Heading5">
    <w:name w:val="heading 5"/>
    <w:basedOn w:val="Normal"/>
    <w:rsid w:val="00CC27C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C27C0"/>
    <w:pPr>
      <w:ind w:left="720"/>
    </w:pPr>
  </w:style>
  <w:style w:type="paragraph" w:styleId="Footer">
    <w:name w:val="footer"/>
    <w:basedOn w:val="Normal"/>
    <w:qFormat/>
    <w:rsid w:val="00CC27C0"/>
    <w:pPr>
      <w:tabs>
        <w:tab w:val="center" w:pos="3960"/>
        <w:tab w:val="right" w:pos="10080"/>
      </w:tabs>
      <w:spacing w:after="0" w:line="240" w:lineRule="auto"/>
      <w:jc w:val="center"/>
    </w:pPr>
    <w:rPr>
      <w:sz w:val="22"/>
    </w:rPr>
  </w:style>
  <w:style w:type="paragraph" w:styleId="Header">
    <w:name w:val="header"/>
    <w:basedOn w:val="Normal"/>
    <w:qFormat/>
    <w:rsid w:val="00CC27C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C27C0"/>
    <w:rPr>
      <w:rFonts w:ascii="Century Schoolbook" w:hAnsi="Century Schoolbook"/>
      <w:b/>
      <w:i w:val="0"/>
      <w:position w:val="4"/>
      <w:sz w:val="27"/>
      <w:vertAlign w:val="superscript"/>
    </w:rPr>
  </w:style>
  <w:style w:type="paragraph" w:styleId="FootnoteText">
    <w:name w:val="footnote text"/>
    <w:basedOn w:val="Normal"/>
    <w:link w:val="FootnoteTextChar"/>
    <w:rsid w:val="00CC27C0"/>
    <w:pPr>
      <w:spacing w:line="300" w:lineRule="exact"/>
    </w:pPr>
  </w:style>
  <w:style w:type="paragraph" w:customStyle="1" w:styleId="Title1">
    <w:name w:val="Title1"/>
    <w:basedOn w:val="Normal"/>
    <w:rsid w:val="00CC27C0"/>
    <w:pPr>
      <w:tabs>
        <w:tab w:val="left" w:pos="5760"/>
        <w:tab w:val="left" w:pos="6480"/>
      </w:tabs>
      <w:spacing w:line="240" w:lineRule="atLeast"/>
    </w:pPr>
  </w:style>
  <w:style w:type="paragraph" w:customStyle="1" w:styleId="Recommend">
    <w:name w:val="Recommend"/>
    <w:basedOn w:val="Normal"/>
    <w:rsid w:val="00CC27C0"/>
  </w:style>
  <w:style w:type="paragraph" w:customStyle="1" w:styleId="Summary">
    <w:name w:val="Summary"/>
    <w:basedOn w:val="Normal"/>
    <w:rsid w:val="00CC27C0"/>
    <w:pPr>
      <w:ind w:left="2160" w:hanging="2160"/>
    </w:pPr>
  </w:style>
  <w:style w:type="paragraph" w:customStyle="1" w:styleId="Text">
    <w:name w:val="Text"/>
    <w:basedOn w:val="Normal"/>
    <w:link w:val="TextChar"/>
    <w:rsid w:val="00CC27C0"/>
    <w:pPr>
      <w:tabs>
        <w:tab w:val="left" w:pos="720"/>
        <w:tab w:val="left" w:pos="1440"/>
        <w:tab w:val="left" w:pos="2160"/>
        <w:tab w:val="center" w:pos="4320"/>
      </w:tabs>
      <w:spacing w:line="480" w:lineRule="atLeast"/>
      <w:ind w:firstLine="540"/>
    </w:pPr>
  </w:style>
  <w:style w:type="paragraph" w:styleId="Date">
    <w:name w:val="Date"/>
    <w:basedOn w:val="Normal"/>
    <w:semiHidden/>
    <w:rsid w:val="00CC27C0"/>
    <w:pPr>
      <w:jc w:val="right"/>
    </w:pPr>
  </w:style>
  <w:style w:type="character" w:styleId="PageNumber">
    <w:name w:val="page number"/>
    <w:basedOn w:val="DefaultParagraphFont"/>
    <w:semiHidden/>
    <w:rsid w:val="00CC27C0"/>
  </w:style>
  <w:style w:type="paragraph" w:customStyle="1" w:styleId="subject">
    <w:name w:val="subject"/>
    <w:basedOn w:val="Normal"/>
    <w:rsid w:val="00CC27C0"/>
    <w:pPr>
      <w:tabs>
        <w:tab w:val="left" w:pos="1008"/>
      </w:tabs>
      <w:ind w:left="990" w:hanging="990"/>
    </w:pPr>
    <w:rPr>
      <w:b/>
    </w:rPr>
  </w:style>
  <w:style w:type="paragraph" w:customStyle="1" w:styleId="Titles">
    <w:name w:val="Titles"/>
    <w:basedOn w:val="Normal"/>
    <w:rsid w:val="00CC27C0"/>
    <w:pPr>
      <w:tabs>
        <w:tab w:val="left" w:pos="2160"/>
      </w:tabs>
      <w:ind w:left="2160" w:hanging="2160"/>
    </w:pPr>
    <w:rPr>
      <w:b/>
    </w:rPr>
  </w:style>
  <w:style w:type="paragraph" w:styleId="TOAHeading">
    <w:name w:val="toa heading"/>
    <w:basedOn w:val="Normal"/>
    <w:next w:val="Normal"/>
    <w:semiHidden/>
    <w:rsid w:val="00CC27C0"/>
    <w:pPr>
      <w:spacing w:before="120"/>
    </w:pPr>
    <w:rPr>
      <w:b/>
    </w:rPr>
  </w:style>
  <w:style w:type="paragraph" w:styleId="TOC1">
    <w:name w:val="toc 1"/>
    <w:basedOn w:val="Normal"/>
    <w:next w:val="Normal"/>
    <w:autoRedefine/>
    <w:semiHidden/>
    <w:rsid w:val="00CC27C0"/>
  </w:style>
  <w:style w:type="paragraph" w:styleId="TOC2">
    <w:name w:val="toc 2"/>
    <w:basedOn w:val="Normal"/>
    <w:next w:val="Normal"/>
    <w:autoRedefine/>
    <w:semiHidden/>
    <w:rsid w:val="00CC27C0"/>
    <w:pPr>
      <w:ind w:left="259"/>
    </w:pPr>
  </w:style>
  <w:style w:type="paragraph" w:styleId="TOC3">
    <w:name w:val="toc 3"/>
    <w:basedOn w:val="Normal"/>
    <w:next w:val="Normal"/>
    <w:autoRedefine/>
    <w:semiHidden/>
    <w:rsid w:val="00CC27C0"/>
    <w:pPr>
      <w:ind w:left="520"/>
    </w:pPr>
  </w:style>
  <w:style w:type="paragraph" w:styleId="TOC4">
    <w:name w:val="toc 4"/>
    <w:basedOn w:val="Normal"/>
    <w:next w:val="Normal"/>
    <w:autoRedefine/>
    <w:semiHidden/>
    <w:rsid w:val="00CC27C0"/>
    <w:pPr>
      <w:ind w:left="780"/>
    </w:pPr>
  </w:style>
  <w:style w:type="paragraph" w:styleId="TOC5">
    <w:name w:val="toc 5"/>
    <w:basedOn w:val="Normal"/>
    <w:next w:val="Normal"/>
    <w:autoRedefine/>
    <w:semiHidden/>
    <w:rsid w:val="00CC27C0"/>
    <w:pPr>
      <w:ind w:left="1040"/>
    </w:pPr>
  </w:style>
  <w:style w:type="paragraph" w:styleId="TOC6">
    <w:name w:val="toc 6"/>
    <w:basedOn w:val="Normal"/>
    <w:next w:val="Normal"/>
    <w:autoRedefine/>
    <w:semiHidden/>
    <w:rsid w:val="00CC27C0"/>
    <w:pPr>
      <w:ind w:left="1300"/>
    </w:pPr>
  </w:style>
  <w:style w:type="paragraph" w:styleId="TOC7">
    <w:name w:val="toc 7"/>
    <w:basedOn w:val="Normal"/>
    <w:next w:val="Normal"/>
    <w:autoRedefine/>
    <w:semiHidden/>
    <w:rsid w:val="00CC27C0"/>
    <w:pPr>
      <w:ind w:left="1560"/>
    </w:pPr>
  </w:style>
  <w:style w:type="paragraph" w:styleId="TOC8">
    <w:name w:val="toc 8"/>
    <w:basedOn w:val="Normal"/>
    <w:next w:val="Normal"/>
    <w:autoRedefine/>
    <w:semiHidden/>
    <w:rsid w:val="00CC27C0"/>
    <w:pPr>
      <w:ind w:left="1820"/>
    </w:pPr>
  </w:style>
  <w:style w:type="paragraph" w:styleId="TOC9">
    <w:name w:val="toc 9"/>
    <w:basedOn w:val="Normal"/>
    <w:next w:val="Normal"/>
    <w:autoRedefine/>
    <w:semiHidden/>
    <w:rsid w:val="00CC27C0"/>
    <w:pPr>
      <w:ind w:left="2080"/>
    </w:pPr>
  </w:style>
  <w:style w:type="paragraph" w:customStyle="1" w:styleId="Contents">
    <w:name w:val="Contents"/>
    <w:basedOn w:val="Normal"/>
    <w:rsid w:val="00CC27C0"/>
    <w:pPr>
      <w:jc w:val="center"/>
    </w:pPr>
    <w:rPr>
      <w:b/>
      <w:spacing w:val="100"/>
    </w:rPr>
  </w:style>
  <w:style w:type="character" w:customStyle="1" w:styleId="FootnoteTextChar">
    <w:name w:val="Footnote Text Char"/>
    <w:basedOn w:val="DefaultParagraphFont"/>
    <w:link w:val="FootnoteText"/>
    <w:rsid w:val="000B26F9"/>
    <w:rPr>
      <w:rFonts w:ascii="Century Schoolbook" w:hAnsi="Century Schoolbook"/>
      <w:sz w:val="27"/>
    </w:rPr>
  </w:style>
  <w:style w:type="paragraph" w:styleId="ListParagraph">
    <w:name w:val="List Paragraph"/>
    <w:basedOn w:val="Normal"/>
    <w:uiPriority w:val="34"/>
    <w:qFormat/>
    <w:rsid w:val="000B26F9"/>
    <w:pPr>
      <w:ind w:left="720"/>
      <w:contextualSpacing/>
    </w:pPr>
    <w:rPr>
      <w:rFonts w:asciiTheme="minorHAnsi" w:eastAsiaTheme="minorHAnsi" w:hAnsiTheme="minorHAnsi"/>
      <w:szCs w:val="24"/>
    </w:rPr>
  </w:style>
  <w:style w:type="paragraph" w:styleId="BalloonText">
    <w:name w:val="Balloon Text"/>
    <w:basedOn w:val="Normal"/>
    <w:link w:val="BalloonTextChar"/>
    <w:uiPriority w:val="99"/>
    <w:semiHidden/>
    <w:unhideWhenUsed/>
    <w:rsid w:val="006D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9B"/>
    <w:rPr>
      <w:rFonts w:ascii="Segoe UI" w:hAnsi="Segoe UI" w:cs="Segoe UI"/>
      <w:sz w:val="18"/>
      <w:szCs w:val="18"/>
    </w:rPr>
  </w:style>
  <w:style w:type="paragraph" w:styleId="NoSpacing">
    <w:name w:val="No Spacing"/>
    <w:uiPriority w:val="1"/>
    <w:qFormat/>
    <w:rsid w:val="00A30A02"/>
    <w:rPr>
      <w:sz w:val="26"/>
    </w:rPr>
  </w:style>
  <w:style w:type="character" w:styleId="CommentReference">
    <w:name w:val="annotation reference"/>
    <w:basedOn w:val="DefaultParagraphFont"/>
    <w:uiPriority w:val="99"/>
    <w:semiHidden/>
    <w:unhideWhenUsed/>
    <w:rsid w:val="00C06842"/>
    <w:rPr>
      <w:sz w:val="16"/>
      <w:szCs w:val="16"/>
    </w:rPr>
  </w:style>
  <w:style w:type="paragraph" w:styleId="CommentText">
    <w:name w:val="annotation text"/>
    <w:basedOn w:val="Normal"/>
    <w:link w:val="CommentTextChar"/>
    <w:uiPriority w:val="99"/>
    <w:semiHidden/>
    <w:unhideWhenUsed/>
    <w:rsid w:val="00C06842"/>
    <w:rPr>
      <w:sz w:val="20"/>
    </w:rPr>
  </w:style>
  <w:style w:type="character" w:customStyle="1" w:styleId="CommentTextChar">
    <w:name w:val="Comment Text Char"/>
    <w:basedOn w:val="DefaultParagraphFont"/>
    <w:link w:val="CommentText"/>
    <w:uiPriority w:val="99"/>
    <w:semiHidden/>
    <w:rsid w:val="00C06842"/>
  </w:style>
  <w:style w:type="paragraph" w:styleId="CommentSubject">
    <w:name w:val="annotation subject"/>
    <w:basedOn w:val="CommentText"/>
    <w:next w:val="CommentText"/>
    <w:link w:val="CommentSubjectChar"/>
    <w:uiPriority w:val="99"/>
    <w:semiHidden/>
    <w:unhideWhenUsed/>
    <w:rsid w:val="00C06842"/>
    <w:rPr>
      <w:b/>
      <w:bCs/>
    </w:rPr>
  </w:style>
  <w:style w:type="character" w:customStyle="1" w:styleId="CommentSubjectChar">
    <w:name w:val="Comment Subject Char"/>
    <w:basedOn w:val="CommentTextChar"/>
    <w:link w:val="CommentSubject"/>
    <w:uiPriority w:val="99"/>
    <w:semiHidden/>
    <w:rsid w:val="00C06842"/>
    <w:rPr>
      <w:b/>
      <w:bCs/>
    </w:rPr>
  </w:style>
  <w:style w:type="character" w:customStyle="1" w:styleId="TextChar">
    <w:name w:val="Text Char"/>
    <w:link w:val="Text"/>
    <w:rsid w:val="007518AF"/>
    <w:rPr>
      <w:rFonts w:ascii="Century Schoolbook" w:hAnsi="Century Schoolbook"/>
      <w:sz w:val="27"/>
    </w:rPr>
  </w:style>
  <w:style w:type="paragraph" w:styleId="Revision">
    <w:name w:val="Revision"/>
    <w:hidden/>
    <w:uiPriority w:val="99"/>
    <w:semiHidden/>
    <w:rsid w:val="007518AF"/>
    <w:rPr>
      <w:sz w:val="26"/>
    </w:rPr>
  </w:style>
  <w:style w:type="paragraph" w:styleId="BodyText">
    <w:name w:val="Body Text"/>
    <w:basedOn w:val="Normal"/>
    <w:link w:val="BodyTextChar"/>
    <w:qFormat/>
    <w:rsid w:val="00CC27C0"/>
  </w:style>
  <w:style w:type="character" w:customStyle="1" w:styleId="BodyTextChar">
    <w:name w:val="Body Text Char"/>
    <w:basedOn w:val="DefaultParagraphFont"/>
    <w:link w:val="BodyText"/>
    <w:rsid w:val="00CC27C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073">
      <w:bodyDiv w:val="1"/>
      <w:marLeft w:val="0"/>
      <w:marRight w:val="0"/>
      <w:marTop w:val="0"/>
      <w:marBottom w:val="0"/>
      <w:divBdr>
        <w:top w:val="none" w:sz="0" w:space="0" w:color="auto"/>
        <w:left w:val="none" w:sz="0" w:space="0" w:color="auto"/>
        <w:bottom w:val="none" w:sz="0" w:space="0" w:color="auto"/>
        <w:right w:val="none" w:sz="0" w:space="0" w:color="auto"/>
      </w:divBdr>
      <w:divsChild>
        <w:div w:id="197469190">
          <w:marLeft w:val="0"/>
          <w:marRight w:val="0"/>
          <w:marTop w:val="0"/>
          <w:marBottom w:val="0"/>
          <w:divBdr>
            <w:top w:val="none" w:sz="0" w:space="0" w:color="auto"/>
            <w:left w:val="none" w:sz="0" w:space="0" w:color="auto"/>
            <w:bottom w:val="none" w:sz="0" w:space="0" w:color="auto"/>
            <w:right w:val="none" w:sz="0" w:space="0" w:color="auto"/>
          </w:divBdr>
        </w:div>
      </w:divsChild>
    </w:div>
    <w:div w:id="51005935">
      <w:bodyDiv w:val="1"/>
      <w:marLeft w:val="0"/>
      <w:marRight w:val="0"/>
      <w:marTop w:val="0"/>
      <w:marBottom w:val="0"/>
      <w:divBdr>
        <w:top w:val="none" w:sz="0" w:space="0" w:color="auto"/>
        <w:left w:val="none" w:sz="0" w:space="0" w:color="auto"/>
        <w:bottom w:val="none" w:sz="0" w:space="0" w:color="auto"/>
        <w:right w:val="none" w:sz="0" w:space="0" w:color="auto"/>
      </w:divBdr>
      <w:divsChild>
        <w:div w:id="793183512">
          <w:marLeft w:val="0"/>
          <w:marRight w:val="0"/>
          <w:marTop w:val="0"/>
          <w:marBottom w:val="0"/>
          <w:divBdr>
            <w:top w:val="none" w:sz="0" w:space="0" w:color="auto"/>
            <w:left w:val="none" w:sz="0" w:space="0" w:color="auto"/>
            <w:bottom w:val="none" w:sz="0" w:space="0" w:color="auto"/>
            <w:right w:val="none" w:sz="0" w:space="0" w:color="auto"/>
          </w:divBdr>
        </w:div>
      </w:divsChild>
    </w:div>
    <w:div w:id="68894647">
      <w:bodyDiv w:val="1"/>
      <w:marLeft w:val="0"/>
      <w:marRight w:val="0"/>
      <w:marTop w:val="0"/>
      <w:marBottom w:val="0"/>
      <w:divBdr>
        <w:top w:val="none" w:sz="0" w:space="0" w:color="auto"/>
        <w:left w:val="none" w:sz="0" w:space="0" w:color="auto"/>
        <w:bottom w:val="none" w:sz="0" w:space="0" w:color="auto"/>
        <w:right w:val="none" w:sz="0" w:space="0" w:color="auto"/>
      </w:divBdr>
      <w:divsChild>
        <w:div w:id="1153989517">
          <w:marLeft w:val="0"/>
          <w:marRight w:val="0"/>
          <w:marTop w:val="0"/>
          <w:marBottom w:val="0"/>
          <w:divBdr>
            <w:top w:val="none" w:sz="0" w:space="0" w:color="auto"/>
            <w:left w:val="none" w:sz="0" w:space="0" w:color="auto"/>
            <w:bottom w:val="none" w:sz="0" w:space="0" w:color="auto"/>
            <w:right w:val="none" w:sz="0" w:space="0" w:color="auto"/>
          </w:divBdr>
        </w:div>
      </w:divsChild>
    </w:div>
    <w:div w:id="115218457">
      <w:bodyDiv w:val="1"/>
      <w:marLeft w:val="0"/>
      <w:marRight w:val="0"/>
      <w:marTop w:val="0"/>
      <w:marBottom w:val="0"/>
      <w:divBdr>
        <w:top w:val="none" w:sz="0" w:space="0" w:color="auto"/>
        <w:left w:val="none" w:sz="0" w:space="0" w:color="auto"/>
        <w:bottom w:val="none" w:sz="0" w:space="0" w:color="auto"/>
        <w:right w:val="none" w:sz="0" w:space="0" w:color="auto"/>
      </w:divBdr>
      <w:divsChild>
        <w:div w:id="703752636">
          <w:marLeft w:val="0"/>
          <w:marRight w:val="0"/>
          <w:marTop w:val="0"/>
          <w:marBottom w:val="0"/>
          <w:divBdr>
            <w:top w:val="none" w:sz="0" w:space="0" w:color="auto"/>
            <w:left w:val="none" w:sz="0" w:space="0" w:color="auto"/>
            <w:bottom w:val="none" w:sz="0" w:space="0" w:color="auto"/>
            <w:right w:val="none" w:sz="0" w:space="0" w:color="auto"/>
          </w:divBdr>
        </w:div>
      </w:divsChild>
    </w:div>
    <w:div w:id="132913489">
      <w:bodyDiv w:val="1"/>
      <w:marLeft w:val="0"/>
      <w:marRight w:val="0"/>
      <w:marTop w:val="0"/>
      <w:marBottom w:val="0"/>
      <w:divBdr>
        <w:top w:val="none" w:sz="0" w:space="0" w:color="auto"/>
        <w:left w:val="none" w:sz="0" w:space="0" w:color="auto"/>
        <w:bottom w:val="none" w:sz="0" w:space="0" w:color="auto"/>
        <w:right w:val="none" w:sz="0" w:space="0" w:color="auto"/>
      </w:divBdr>
      <w:divsChild>
        <w:div w:id="1020929227">
          <w:marLeft w:val="0"/>
          <w:marRight w:val="0"/>
          <w:marTop w:val="0"/>
          <w:marBottom w:val="0"/>
          <w:divBdr>
            <w:top w:val="none" w:sz="0" w:space="0" w:color="auto"/>
            <w:left w:val="none" w:sz="0" w:space="0" w:color="auto"/>
            <w:bottom w:val="none" w:sz="0" w:space="0" w:color="auto"/>
            <w:right w:val="none" w:sz="0" w:space="0" w:color="auto"/>
          </w:divBdr>
        </w:div>
      </w:divsChild>
    </w:div>
    <w:div w:id="164321118">
      <w:bodyDiv w:val="1"/>
      <w:marLeft w:val="0"/>
      <w:marRight w:val="0"/>
      <w:marTop w:val="0"/>
      <w:marBottom w:val="0"/>
      <w:divBdr>
        <w:top w:val="none" w:sz="0" w:space="0" w:color="auto"/>
        <w:left w:val="none" w:sz="0" w:space="0" w:color="auto"/>
        <w:bottom w:val="none" w:sz="0" w:space="0" w:color="auto"/>
        <w:right w:val="none" w:sz="0" w:space="0" w:color="auto"/>
      </w:divBdr>
      <w:divsChild>
        <w:div w:id="104426167">
          <w:marLeft w:val="0"/>
          <w:marRight w:val="0"/>
          <w:marTop w:val="0"/>
          <w:marBottom w:val="0"/>
          <w:divBdr>
            <w:top w:val="none" w:sz="0" w:space="0" w:color="auto"/>
            <w:left w:val="none" w:sz="0" w:space="0" w:color="auto"/>
            <w:bottom w:val="none" w:sz="0" w:space="0" w:color="auto"/>
            <w:right w:val="none" w:sz="0" w:space="0" w:color="auto"/>
          </w:divBdr>
        </w:div>
      </w:divsChild>
    </w:div>
    <w:div w:id="201669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4222">
          <w:marLeft w:val="0"/>
          <w:marRight w:val="0"/>
          <w:marTop w:val="0"/>
          <w:marBottom w:val="0"/>
          <w:divBdr>
            <w:top w:val="none" w:sz="0" w:space="0" w:color="auto"/>
            <w:left w:val="none" w:sz="0" w:space="0" w:color="auto"/>
            <w:bottom w:val="none" w:sz="0" w:space="0" w:color="auto"/>
            <w:right w:val="none" w:sz="0" w:space="0" w:color="auto"/>
          </w:divBdr>
        </w:div>
      </w:divsChild>
    </w:div>
    <w:div w:id="206990147">
      <w:bodyDiv w:val="1"/>
      <w:marLeft w:val="0"/>
      <w:marRight w:val="0"/>
      <w:marTop w:val="0"/>
      <w:marBottom w:val="0"/>
      <w:divBdr>
        <w:top w:val="none" w:sz="0" w:space="0" w:color="auto"/>
        <w:left w:val="none" w:sz="0" w:space="0" w:color="auto"/>
        <w:bottom w:val="none" w:sz="0" w:space="0" w:color="auto"/>
        <w:right w:val="none" w:sz="0" w:space="0" w:color="auto"/>
      </w:divBdr>
      <w:divsChild>
        <w:div w:id="262039052">
          <w:marLeft w:val="0"/>
          <w:marRight w:val="0"/>
          <w:marTop w:val="0"/>
          <w:marBottom w:val="0"/>
          <w:divBdr>
            <w:top w:val="none" w:sz="0" w:space="0" w:color="auto"/>
            <w:left w:val="none" w:sz="0" w:space="0" w:color="auto"/>
            <w:bottom w:val="none" w:sz="0" w:space="0" w:color="auto"/>
            <w:right w:val="none" w:sz="0" w:space="0" w:color="auto"/>
          </w:divBdr>
        </w:div>
      </w:divsChild>
    </w:div>
    <w:div w:id="2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969818458">
          <w:marLeft w:val="0"/>
          <w:marRight w:val="0"/>
          <w:marTop w:val="0"/>
          <w:marBottom w:val="0"/>
          <w:divBdr>
            <w:top w:val="none" w:sz="0" w:space="0" w:color="auto"/>
            <w:left w:val="none" w:sz="0" w:space="0" w:color="auto"/>
            <w:bottom w:val="none" w:sz="0" w:space="0" w:color="auto"/>
            <w:right w:val="none" w:sz="0" w:space="0" w:color="auto"/>
          </w:divBdr>
        </w:div>
      </w:divsChild>
    </w:div>
    <w:div w:id="226576194">
      <w:bodyDiv w:val="1"/>
      <w:marLeft w:val="0"/>
      <w:marRight w:val="0"/>
      <w:marTop w:val="0"/>
      <w:marBottom w:val="0"/>
      <w:divBdr>
        <w:top w:val="none" w:sz="0" w:space="0" w:color="auto"/>
        <w:left w:val="none" w:sz="0" w:space="0" w:color="auto"/>
        <w:bottom w:val="none" w:sz="0" w:space="0" w:color="auto"/>
        <w:right w:val="none" w:sz="0" w:space="0" w:color="auto"/>
      </w:divBdr>
      <w:divsChild>
        <w:div w:id="470172744">
          <w:marLeft w:val="0"/>
          <w:marRight w:val="0"/>
          <w:marTop w:val="0"/>
          <w:marBottom w:val="0"/>
          <w:divBdr>
            <w:top w:val="none" w:sz="0" w:space="0" w:color="auto"/>
            <w:left w:val="none" w:sz="0" w:space="0" w:color="auto"/>
            <w:bottom w:val="none" w:sz="0" w:space="0" w:color="auto"/>
            <w:right w:val="none" w:sz="0" w:space="0" w:color="auto"/>
          </w:divBdr>
        </w:div>
      </w:divsChild>
    </w:div>
    <w:div w:id="331415682">
      <w:bodyDiv w:val="1"/>
      <w:marLeft w:val="0"/>
      <w:marRight w:val="0"/>
      <w:marTop w:val="0"/>
      <w:marBottom w:val="0"/>
      <w:divBdr>
        <w:top w:val="none" w:sz="0" w:space="0" w:color="auto"/>
        <w:left w:val="none" w:sz="0" w:space="0" w:color="auto"/>
        <w:bottom w:val="none" w:sz="0" w:space="0" w:color="auto"/>
        <w:right w:val="none" w:sz="0" w:space="0" w:color="auto"/>
      </w:divBdr>
    </w:div>
    <w:div w:id="363750475">
      <w:bodyDiv w:val="1"/>
      <w:marLeft w:val="0"/>
      <w:marRight w:val="0"/>
      <w:marTop w:val="0"/>
      <w:marBottom w:val="0"/>
      <w:divBdr>
        <w:top w:val="none" w:sz="0" w:space="0" w:color="auto"/>
        <w:left w:val="none" w:sz="0" w:space="0" w:color="auto"/>
        <w:bottom w:val="none" w:sz="0" w:space="0" w:color="auto"/>
        <w:right w:val="none" w:sz="0" w:space="0" w:color="auto"/>
      </w:divBdr>
    </w:div>
    <w:div w:id="369451320">
      <w:bodyDiv w:val="1"/>
      <w:marLeft w:val="0"/>
      <w:marRight w:val="0"/>
      <w:marTop w:val="0"/>
      <w:marBottom w:val="0"/>
      <w:divBdr>
        <w:top w:val="none" w:sz="0" w:space="0" w:color="auto"/>
        <w:left w:val="none" w:sz="0" w:space="0" w:color="auto"/>
        <w:bottom w:val="none" w:sz="0" w:space="0" w:color="auto"/>
        <w:right w:val="none" w:sz="0" w:space="0" w:color="auto"/>
      </w:divBdr>
      <w:divsChild>
        <w:div w:id="2108841988">
          <w:marLeft w:val="0"/>
          <w:marRight w:val="0"/>
          <w:marTop w:val="0"/>
          <w:marBottom w:val="0"/>
          <w:divBdr>
            <w:top w:val="none" w:sz="0" w:space="0" w:color="auto"/>
            <w:left w:val="none" w:sz="0" w:space="0" w:color="auto"/>
            <w:bottom w:val="none" w:sz="0" w:space="0" w:color="auto"/>
            <w:right w:val="none" w:sz="0" w:space="0" w:color="auto"/>
          </w:divBdr>
        </w:div>
      </w:divsChild>
    </w:div>
    <w:div w:id="371878653">
      <w:bodyDiv w:val="1"/>
      <w:marLeft w:val="0"/>
      <w:marRight w:val="0"/>
      <w:marTop w:val="0"/>
      <w:marBottom w:val="0"/>
      <w:divBdr>
        <w:top w:val="single" w:sz="12" w:space="0" w:color="767575"/>
        <w:left w:val="none" w:sz="0" w:space="0" w:color="auto"/>
        <w:bottom w:val="none" w:sz="0" w:space="0" w:color="auto"/>
        <w:right w:val="none" w:sz="0" w:space="0" w:color="auto"/>
      </w:divBdr>
      <w:divsChild>
        <w:div w:id="1799958518">
          <w:marLeft w:val="0"/>
          <w:marRight w:val="0"/>
          <w:marTop w:val="0"/>
          <w:marBottom w:val="0"/>
          <w:divBdr>
            <w:top w:val="none" w:sz="0" w:space="0" w:color="auto"/>
            <w:left w:val="none" w:sz="0" w:space="0" w:color="auto"/>
            <w:bottom w:val="none" w:sz="0" w:space="0" w:color="auto"/>
            <w:right w:val="none" w:sz="0" w:space="0" w:color="auto"/>
          </w:divBdr>
          <w:divsChild>
            <w:div w:id="1614482963">
              <w:marLeft w:val="0"/>
              <w:marRight w:val="0"/>
              <w:marTop w:val="0"/>
              <w:marBottom w:val="0"/>
              <w:divBdr>
                <w:top w:val="none" w:sz="0" w:space="0" w:color="auto"/>
                <w:left w:val="none" w:sz="0" w:space="0" w:color="auto"/>
                <w:bottom w:val="none" w:sz="0" w:space="0" w:color="auto"/>
                <w:right w:val="none" w:sz="0" w:space="0" w:color="auto"/>
              </w:divBdr>
              <w:divsChild>
                <w:div w:id="11259748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98977704">
                      <w:marLeft w:val="300"/>
                      <w:marRight w:val="0"/>
                      <w:marTop w:val="0"/>
                      <w:marBottom w:val="0"/>
                      <w:divBdr>
                        <w:top w:val="none" w:sz="0" w:space="0" w:color="auto"/>
                        <w:left w:val="none" w:sz="0" w:space="0" w:color="auto"/>
                        <w:bottom w:val="none" w:sz="0" w:space="0" w:color="auto"/>
                        <w:right w:val="none" w:sz="0" w:space="0" w:color="auto"/>
                      </w:divBdr>
                      <w:divsChild>
                        <w:div w:id="2122458384">
                          <w:marLeft w:val="0"/>
                          <w:marRight w:val="0"/>
                          <w:marTop w:val="0"/>
                          <w:marBottom w:val="0"/>
                          <w:divBdr>
                            <w:top w:val="none" w:sz="0" w:space="0" w:color="auto"/>
                            <w:left w:val="none" w:sz="0" w:space="0" w:color="auto"/>
                            <w:bottom w:val="none" w:sz="0" w:space="0" w:color="auto"/>
                            <w:right w:val="none" w:sz="0" w:space="0" w:color="auto"/>
                          </w:divBdr>
                          <w:divsChild>
                            <w:div w:id="1769346116">
                              <w:marLeft w:val="0"/>
                              <w:marRight w:val="0"/>
                              <w:marTop w:val="0"/>
                              <w:marBottom w:val="0"/>
                              <w:divBdr>
                                <w:top w:val="none" w:sz="0" w:space="0" w:color="auto"/>
                                <w:left w:val="none" w:sz="0" w:space="0" w:color="auto"/>
                                <w:bottom w:val="none" w:sz="0" w:space="0" w:color="auto"/>
                                <w:right w:val="none" w:sz="0" w:space="0" w:color="auto"/>
                              </w:divBdr>
                              <w:divsChild>
                                <w:div w:id="445127478">
                                  <w:marLeft w:val="0"/>
                                  <w:marRight w:val="0"/>
                                  <w:marTop w:val="0"/>
                                  <w:marBottom w:val="0"/>
                                  <w:divBdr>
                                    <w:top w:val="none" w:sz="0" w:space="0" w:color="auto"/>
                                    <w:left w:val="none" w:sz="0" w:space="0" w:color="auto"/>
                                    <w:bottom w:val="none" w:sz="0" w:space="0" w:color="auto"/>
                                    <w:right w:val="none" w:sz="0" w:space="0" w:color="auto"/>
                                  </w:divBdr>
                                  <w:divsChild>
                                    <w:div w:id="1023438546">
                                      <w:marLeft w:val="0"/>
                                      <w:marRight w:val="0"/>
                                      <w:marTop w:val="0"/>
                                      <w:marBottom w:val="0"/>
                                      <w:divBdr>
                                        <w:top w:val="none" w:sz="0" w:space="0" w:color="auto"/>
                                        <w:left w:val="none" w:sz="0" w:space="0" w:color="auto"/>
                                        <w:bottom w:val="none" w:sz="0" w:space="0" w:color="auto"/>
                                        <w:right w:val="none" w:sz="0" w:space="0" w:color="auto"/>
                                      </w:divBdr>
                                      <w:divsChild>
                                        <w:div w:id="887061831">
                                          <w:marLeft w:val="0"/>
                                          <w:marRight w:val="0"/>
                                          <w:marTop w:val="0"/>
                                          <w:marBottom w:val="0"/>
                                          <w:divBdr>
                                            <w:top w:val="none" w:sz="0" w:space="0" w:color="auto"/>
                                            <w:left w:val="none" w:sz="0" w:space="0" w:color="auto"/>
                                            <w:bottom w:val="none" w:sz="0" w:space="0" w:color="auto"/>
                                            <w:right w:val="none" w:sz="0" w:space="0" w:color="auto"/>
                                          </w:divBdr>
                                          <w:divsChild>
                                            <w:div w:id="21310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61714">
      <w:bodyDiv w:val="1"/>
      <w:marLeft w:val="0"/>
      <w:marRight w:val="0"/>
      <w:marTop w:val="0"/>
      <w:marBottom w:val="0"/>
      <w:divBdr>
        <w:top w:val="none" w:sz="0" w:space="0" w:color="auto"/>
        <w:left w:val="none" w:sz="0" w:space="0" w:color="auto"/>
        <w:bottom w:val="none" w:sz="0" w:space="0" w:color="auto"/>
        <w:right w:val="none" w:sz="0" w:space="0" w:color="auto"/>
      </w:divBdr>
      <w:divsChild>
        <w:div w:id="1917545236">
          <w:marLeft w:val="0"/>
          <w:marRight w:val="0"/>
          <w:marTop w:val="0"/>
          <w:marBottom w:val="0"/>
          <w:divBdr>
            <w:top w:val="none" w:sz="0" w:space="0" w:color="auto"/>
            <w:left w:val="none" w:sz="0" w:space="0" w:color="auto"/>
            <w:bottom w:val="none" w:sz="0" w:space="0" w:color="auto"/>
            <w:right w:val="none" w:sz="0" w:space="0" w:color="auto"/>
          </w:divBdr>
        </w:div>
      </w:divsChild>
    </w:div>
    <w:div w:id="513152081">
      <w:bodyDiv w:val="1"/>
      <w:marLeft w:val="0"/>
      <w:marRight w:val="0"/>
      <w:marTop w:val="0"/>
      <w:marBottom w:val="0"/>
      <w:divBdr>
        <w:top w:val="none" w:sz="0" w:space="0" w:color="auto"/>
        <w:left w:val="none" w:sz="0" w:space="0" w:color="auto"/>
        <w:bottom w:val="none" w:sz="0" w:space="0" w:color="auto"/>
        <w:right w:val="none" w:sz="0" w:space="0" w:color="auto"/>
      </w:divBdr>
    </w:div>
    <w:div w:id="589431237">
      <w:bodyDiv w:val="1"/>
      <w:marLeft w:val="0"/>
      <w:marRight w:val="0"/>
      <w:marTop w:val="0"/>
      <w:marBottom w:val="0"/>
      <w:divBdr>
        <w:top w:val="none" w:sz="0" w:space="0" w:color="auto"/>
        <w:left w:val="none" w:sz="0" w:space="0" w:color="auto"/>
        <w:bottom w:val="none" w:sz="0" w:space="0" w:color="auto"/>
        <w:right w:val="none" w:sz="0" w:space="0" w:color="auto"/>
      </w:divBdr>
      <w:divsChild>
        <w:div w:id="1265654785">
          <w:marLeft w:val="0"/>
          <w:marRight w:val="0"/>
          <w:marTop w:val="0"/>
          <w:marBottom w:val="0"/>
          <w:divBdr>
            <w:top w:val="none" w:sz="0" w:space="0" w:color="auto"/>
            <w:left w:val="none" w:sz="0" w:space="0" w:color="auto"/>
            <w:bottom w:val="none" w:sz="0" w:space="0" w:color="auto"/>
            <w:right w:val="none" w:sz="0" w:space="0" w:color="auto"/>
          </w:divBdr>
        </w:div>
      </w:divsChild>
    </w:div>
    <w:div w:id="610433711">
      <w:bodyDiv w:val="1"/>
      <w:marLeft w:val="0"/>
      <w:marRight w:val="0"/>
      <w:marTop w:val="0"/>
      <w:marBottom w:val="0"/>
      <w:divBdr>
        <w:top w:val="none" w:sz="0" w:space="0" w:color="auto"/>
        <w:left w:val="none" w:sz="0" w:space="0" w:color="auto"/>
        <w:bottom w:val="none" w:sz="0" w:space="0" w:color="auto"/>
        <w:right w:val="none" w:sz="0" w:space="0" w:color="auto"/>
      </w:divBdr>
      <w:divsChild>
        <w:div w:id="919678697">
          <w:marLeft w:val="0"/>
          <w:marRight w:val="0"/>
          <w:marTop w:val="0"/>
          <w:marBottom w:val="0"/>
          <w:divBdr>
            <w:top w:val="none" w:sz="0" w:space="0" w:color="auto"/>
            <w:left w:val="none" w:sz="0" w:space="0" w:color="auto"/>
            <w:bottom w:val="none" w:sz="0" w:space="0" w:color="auto"/>
            <w:right w:val="none" w:sz="0" w:space="0" w:color="auto"/>
          </w:divBdr>
        </w:div>
      </w:divsChild>
    </w:div>
    <w:div w:id="640312657">
      <w:bodyDiv w:val="1"/>
      <w:marLeft w:val="0"/>
      <w:marRight w:val="0"/>
      <w:marTop w:val="0"/>
      <w:marBottom w:val="0"/>
      <w:divBdr>
        <w:top w:val="none" w:sz="0" w:space="0" w:color="auto"/>
        <w:left w:val="none" w:sz="0" w:space="0" w:color="auto"/>
        <w:bottom w:val="none" w:sz="0" w:space="0" w:color="auto"/>
        <w:right w:val="none" w:sz="0" w:space="0" w:color="auto"/>
      </w:divBdr>
      <w:divsChild>
        <w:div w:id="1065687743">
          <w:marLeft w:val="0"/>
          <w:marRight w:val="0"/>
          <w:marTop w:val="0"/>
          <w:marBottom w:val="0"/>
          <w:divBdr>
            <w:top w:val="none" w:sz="0" w:space="0" w:color="auto"/>
            <w:left w:val="none" w:sz="0" w:space="0" w:color="auto"/>
            <w:bottom w:val="none" w:sz="0" w:space="0" w:color="auto"/>
            <w:right w:val="none" w:sz="0" w:space="0" w:color="auto"/>
          </w:divBdr>
        </w:div>
      </w:divsChild>
    </w:div>
    <w:div w:id="644238938">
      <w:bodyDiv w:val="1"/>
      <w:marLeft w:val="0"/>
      <w:marRight w:val="0"/>
      <w:marTop w:val="0"/>
      <w:marBottom w:val="0"/>
      <w:divBdr>
        <w:top w:val="none" w:sz="0" w:space="0" w:color="auto"/>
        <w:left w:val="none" w:sz="0" w:space="0" w:color="auto"/>
        <w:bottom w:val="none" w:sz="0" w:space="0" w:color="auto"/>
        <w:right w:val="none" w:sz="0" w:space="0" w:color="auto"/>
      </w:divBdr>
      <w:divsChild>
        <w:div w:id="1465468984">
          <w:marLeft w:val="0"/>
          <w:marRight w:val="0"/>
          <w:marTop w:val="0"/>
          <w:marBottom w:val="0"/>
          <w:divBdr>
            <w:top w:val="none" w:sz="0" w:space="0" w:color="auto"/>
            <w:left w:val="none" w:sz="0" w:space="0" w:color="auto"/>
            <w:bottom w:val="none" w:sz="0" w:space="0" w:color="auto"/>
            <w:right w:val="none" w:sz="0" w:space="0" w:color="auto"/>
          </w:divBdr>
        </w:div>
      </w:divsChild>
    </w:div>
    <w:div w:id="661127977">
      <w:bodyDiv w:val="1"/>
      <w:marLeft w:val="0"/>
      <w:marRight w:val="0"/>
      <w:marTop w:val="0"/>
      <w:marBottom w:val="0"/>
      <w:divBdr>
        <w:top w:val="none" w:sz="0" w:space="0" w:color="auto"/>
        <w:left w:val="none" w:sz="0" w:space="0" w:color="auto"/>
        <w:bottom w:val="none" w:sz="0" w:space="0" w:color="auto"/>
        <w:right w:val="none" w:sz="0" w:space="0" w:color="auto"/>
      </w:divBdr>
      <w:divsChild>
        <w:div w:id="968434695">
          <w:marLeft w:val="0"/>
          <w:marRight w:val="0"/>
          <w:marTop w:val="0"/>
          <w:marBottom w:val="0"/>
          <w:divBdr>
            <w:top w:val="none" w:sz="0" w:space="0" w:color="auto"/>
            <w:left w:val="none" w:sz="0" w:space="0" w:color="auto"/>
            <w:bottom w:val="none" w:sz="0" w:space="0" w:color="auto"/>
            <w:right w:val="none" w:sz="0" w:space="0" w:color="auto"/>
          </w:divBdr>
        </w:div>
      </w:divsChild>
    </w:div>
    <w:div w:id="689723823">
      <w:bodyDiv w:val="1"/>
      <w:marLeft w:val="0"/>
      <w:marRight w:val="0"/>
      <w:marTop w:val="0"/>
      <w:marBottom w:val="0"/>
      <w:divBdr>
        <w:top w:val="none" w:sz="0" w:space="0" w:color="auto"/>
        <w:left w:val="none" w:sz="0" w:space="0" w:color="auto"/>
        <w:bottom w:val="none" w:sz="0" w:space="0" w:color="auto"/>
        <w:right w:val="none" w:sz="0" w:space="0" w:color="auto"/>
      </w:divBdr>
      <w:divsChild>
        <w:div w:id="1975721186">
          <w:marLeft w:val="0"/>
          <w:marRight w:val="0"/>
          <w:marTop w:val="0"/>
          <w:marBottom w:val="0"/>
          <w:divBdr>
            <w:top w:val="none" w:sz="0" w:space="0" w:color="auto"/>
            <w:left w:val="none" w:sz="0" w:space="0" w:color="auto"/>
            <w:bottom w:val="none" w:sz="0" w:space="0" w:color="auto"/>
            <w:right w:val="none" w:sz="0" w:space="0" w:color="auto"/>
          </w:divBdr>
        </w:div>
      </w:divsChild>
    </w:div>
    <w:div w:id="731392904">
      <w:bodyDiv w:val="1"/>
      <w:marLeft w:val="0"/>
      <w:marRight w:val="0"/>
      <w:marTop w:val="0"/>
      <w:marBottom w:val="0"/>
      <w:divBdr>
        <w:top w:val="none" w:sz="0" w:space="0" w:color="auto"/>
        <w:left w:val="none" w:sz="0" w:space="0" w:color="auto"/>
        <w:bottom w:val="none" w:sz="0" w:space="0" w:color="auto"/>
        <w:right w:val="none" w:sz="0" w:space="0" w:color="auto"/>
      </w:divBdr>
      <w:divsChild>
        <w:div w:id="105394928">
          <w:marLeft w:val="0"/>
          <w:marRight w:val="0"/>
          <w:marTop w:val="0"/>
          <w:marBottom w:val="0"/>
          <w:divBdr>
            <w:top w:val="none" w:sz="0" w:space="0" w:color="auto"/>
            <w:left w:val="none" w:sz="0" w:space="0" w:color="auto"/>
            <w:bottom w:val="none" w:sz="0" w:space="0" w:color="auto"/>
            <w:right w:val="none" w:sz="0" w:space="0" w:color="auto"/>
          </w:divBdr>
        </w:div>
      </w:divsChild>
    </w:div>
    <w:div w:id="762796952">
      <w:bodyDiv w:val="1"/>
      <w:marLeft w:val="0"/>
      <w:marRight w:val="0"/>
      <w:marTop w:val="0"/>
      <w:marBottom w:val="0"/>
      <w:divBdr>
        <w:top w:val="none" w:sz="0" w:space="0" w:color="auto"/>
        <w:left w:val="none" w:sz="0" w:space="0" w:color="auto"/>
        <w:bottom w:val="none" w:sz="0" w:space="0" w:color="auto"/>
        <w:right w:val="none" w:sz="0" w:space="0" w:color="auto"/>
      </w:divBdr>
      <w:divsChild>
        <w:div w:id="1913156570">
          <w:marLeft w:val="0"/>
          <w:marRight w:val="0"/>
          <w:marTop w:val="0"/>
          <w:marBottom w:val="0"/>
          <w:divBdr>
            <w:top w:val="none" w:sz="0" w:space="0" w:color="auto"/>
            <w:left w:val="none" w:sz="0" w:space="0" w:color="auto"/>
            <w:bottom w:val="none" w:sz="0" w:space="0" w:color="auto"/>
            <w:right w:val="none" w:sz="0" w:space="0" w:color="auto"/>
          </w:divBdr>
        </w:div>
      </w:divsChild>
    </w:div>
    <w:div w:id="783498280">
      <w:bodyDiv w:val="1"/>
      <w:marLeft w:val="0"/>
      <w:marRight w:val="0"/>
      <w:marTop w:val="0"/>
      <w:marBottom w:val="0"/>
      <w:divBdr>
        <w:top w:val="none" w:sz="0" w:space="0" w:color="auto"/>
        <w:left w:val="none" w:sz="0" w:space="0" w:color="auto"/>
        <w:bottom w:val="none" w:sz="0" w:space="0" w:color="auto"/>
        <w:right w:val="none" w:sz="0" w:space="0" w:color="auto"/>
      </w:divBdr>
      <w:divsChild>
        <w:div w:id="2083285918">
          <w:marLeft w:val="0"/>
          <w:marRight w:val="0"/>
          <w:marTop w:val="0"/>
          <w:marBottom w:val="0"/>
          <w:divBdr>
            <w:top w:val="none" w:sz="0" w:space="0" w:color="auto"/>
            <w:left w:val="none" w:sz="0" w:space="0" w:color="auto"/>
            <w:bottom w:val="none" w:sz="0" w:space="0" w:color="auto"/>
            <w:right w:val="none" w:sz="0" w:space="0" w:color="auto"/>
          </w:divBdr>
        </w:div>
      </w:divsChild>
    </w:div>
    <w:div w:id="792673082">
      <w:bodyDiv w:val="1"/>
      <w:marLeft w:val="0"/>
      <w:marRight w:val="0"/>
      <w:marTop w:val="0"/>
      <w:marBottom w:val="0"/>
      <w:divBdr>
        <w:top w:val="none" w:sz="0" w:space="0" w:color="auto"/>
        <w:left w:val="none" w:sz="0" w:space="0" w:color="auto"/>
        <w:bottom w:val="none" w:sz="0" w:space="0" w:color="auto"/>
        <w:right w:val="none" w:sz="0" w:space="0" w:color="auto"/>
      </w:divBdr>
      <w:divsChild>
        <w:div w:id="510605564">
          <w:marLeft w:val="0"/>
          <w:marRight w:val="0"/>
          <w:marTop w:val="0"/>
          <w:marBottom w:val="0"/>
          <w:divBdr>
            <w:top w:val="none" w:sz="0" w:space="0" w:color="auto"/>
            <w:left w:val="none" w:sz="0" w:space="0" w:color="auto"/>
            <w:bottom w:val="none" w:sz="0" w:space="0" w:color="auto"/>
            <w:right w:val="none" w:sz="0" w:space="0" w:color="auto"/>
          </w:divBdr>
        </w:div>
      </w:divsChild>
    </w:div>
    <w:div w:id="806626945">
      <w:bodyDiv w:val="1"/>
      <w:marLeft w:val="0"/>
      <w:marRight w:val="0"/>
      <w:marTop w:val="0"/>
      <w:marBottom w:val="0"/>
      <w:divBdr>
        <w:top w:val="none" w:sz="0" w:space="0" w:color="auto"/>
        <w:left w:val="none" w:sz="0" w:space="0" w:color="auto"/>
        <w:bottom w:val="none" w:sz="0" w:space="0" w:color="auto"/>
        <w:right w:val="none" w:sz="0" w:space="0" w:color="auto"/>
      </w:divBdr>
      <w:divsChild>
        <w:div w:id="1426657989">
          <w:marLeft w:val="0"/>
          <w:marRight w:val="0"/>
          <w:marTop w:val="0"/>
          <w:marBottom w:val="0"/>
          <w:divBdr>
            <w:top w:val="none" w:sz="0" w:space="0" w:color="auto"/>
            <w:left w:val="none" w:sz="0" w:space="0" w:color="auto"/>
            <w:bottom w:val="none" w:sz="0" w:space="0" w:color="auto"/>
            <w:right w:val="none" w:sz="0" w:space="0" w:color="auto"/>
          </w:divBdr>
        </w:div>
      </w:divsChild>
    </w:div>
    <w:div w:id="830605722">
      <w:bodyDiv w:val="1"/>
      <w:marLeft w:val="0"/>
      <w:marRight w:val="0"/>
      <w:marTop w:val="0"/>
      <w:marBottom w:val="0"/>
      <w:divBdr>
        <w:top w:val="none" w:sz="0" w:space="0" w:color="auto"/>
        <w:left w:val="none" w:sz="0" w:space="0" w:color="auto"/>
        <w:bottom w:val="none" w:sz="0" w:space="0" w:color="auto"/>
        <w:right w:val="none" w:sz="0" w:space="0" w:color="auto"/>
      </w:divBdr>
    </w:div>
    <w:div w:id="831019493">
      <w:bodyDiv w:val="1"/>
      <w:marLeft w:val="0"/>
      <w:marRight w:val="0"/>
      <w:marTop w:val="0"/>
      <w:marBottom w:val="0"/>
      <w:divBdr>
        <w:top w:val="none" w:sz="0" w:space="0" w:color="auto"/>
        <w:left w:val="none" w:sz="0" w:space="0" w:color="auto"/>
        <w:bottom w:val="none" w:sz="0" w:space="0" w:color="auto"/>
        <w:right w:val="none" w:sz="0" w:space="0" w:color="auto"/>
      </w:divBdr>
      <w:divsChild>
        <w:div w:id="520627000">
          <w:marLeft w:val="0"/>
          <w:marRight w:val="0"/>
          <w:marTop w:val="0"/>
          <w:marBottom w:val="0"/>
          <w:divBdr>
            <w:top w:val="none" w:sz="0" w:space="0" w:color="auto"/>
            <w:left w:val="none" w:sz="0" w:space="0" w:color="auto"/>
            <w:bottom w:val="none" w:sz="0" w:space="0" w:color="auto"/>
            <w:right w:val="none" w:sz="0" w:space="0" w:color="auto"/>
          </w:divBdr>
        </w:div>
      </w:divsChild>
    </w:div>
    <w:div w:id="837427166">
      <w:bodyDiv w:val="1"/>
      <w:marLeft w:val="0"/>
      <w:marRight w:val="0"/>
      <w:marTop w:val="0"/>
      <w:marBottom w:val="0"/>
      <w:divBdr>
        <w:top w:val="none" w:sz="0" w:space="0" w:color="auto"/>
        <w:left w:val="none" w:sz="0" w:space="0" w:color="auto"/>
        <w:bottom w:val="none" w:sz="0" w:space="0" w:color="auto"/>
        <w:right w:val="none" w:sz="0" w:space="0" w:color="auto"/>
      </w:divBdr>
      <w:divsChild>
        <w:div w:id="765811202">
          <w:marLeft w:val="0"/>
          <w:marRight w:val="0"/>
          <w:marTop w:val="0"/>
          <w:marBottom w:val="0"/>
          <w:divBdr>
            <w:top w:val="none" w:sz="0" w:space="0" w:color="auto"/>
            <w:left w:val="none" w:sz="0" w:space="0" w:color="auto"/>
            <w:bottom w:val="none" w:sz="0" w:space="0" w:color="auto"/>
            <w:right w:val="none" w:sz="0" w:space="0" w:color="auto"/>
          </w:divBdr>
        </w:div>
      </w:divsChild>
    </w:div>
    <w:div w:id="853152595">
      <w:bodyDiv w:val="1"/>
      <w:marLeft w:val="0"/>
      <w:marRight w:val="0"/>
      <w:marTop w:val="0"/>
      <w:marBottom w:val="0"/>
      <w:divBdr>
        <w:top w:val="none" w:sz="0" w:space="0" w:color="auto"/>
        <w:left w:val="none" w:sz="0" w:space="0" w:color="auto"/>
        <w:bottom w:val="none" w:sz="0" w:space="0" w:color="auto"/>
        <w:right w:val="none" w:sz="0" w:space="0" w:color="auto"/>
      </w:divBdr>
      <w:divsChild>
        <w:div w:id="831338251">
          <w:marLeft w:val="0"/>
          <w:marRight w:val="0"/>
          <w:marTop w:val="0"/>
          <w:marBottom w:val="0"/>
          <w:divBdr>
            <w:top w:val="none" w:sz="0" w:space="0" w:color="auto"/>
            <w:left w:val="none" w:sz="0" w:space="0" w:color="auto"/>
            <w:bottom w:val="none" w:sz="0" w:space="0" w:color="auto"/>
            <w:right w:val="none" w:sz="0" w:space="0" w:color="auto"/>
          </w:divBdr>
        </w:div>
      </w:divsChild>
    </w:div>
    <w:div w:id="864440327">
      <w:bodyDiv w:val="1"/>
      <w:marLeft w:val="0"/>
      <w:marRight w:val="0"/>
      <w:marTop w:val="0"/>
      <w:marBottom w:val="0"/>
      <w:divBdr>
        <w:top w:val="none" w:sz="0" w:space="0" w:color="auto"/>
        <w:left w:val="none" w:sz="0" w:space="0" w:color="auto"/>
        <w:bottom w:val="none" w:sz="0" w:space="0" w:color="auto"/>
        <w:right w:val="none" w:sz="0" w:space="0" w:color="auto"/>
      </w:divBdr>
      <w:divsChild>
        <w:div w:id="1865896200">
          <w:marLeft w:val="0"/>
          <w:marRight w:val="0"/>
          <w:marTop w:val="0"/>
          <w:marBottom w:val="0"/>
          <w:divBdr>
            <w:top w:val="none" w:sz="0" w:space="0" w:color="auto"/>
            <w:left w:val="none" w:sz="0" w:space="0" w:color="auto"/>
            <w:bottom w:val="none" w:sz="0" w:space="0" w:color="auto"/>
            <w:right w:val="none" w:sz="0" w:space="0" w:color="auto"/>
          </w:divBdr>
        </w:div>
      </w:divsChild>
    </w:div>
    <w:div w:id="908153615">
      <w:bodyDiv w:val="1"/>
      <w:marLeft w:val="0"/>
      <w:marRight w:val="0"/>
      <w:marTop w:val="0"/>
      <w:marBottom w:val="0"/>
      <w:divBdr>
        <w:top w:val="none" w:sz="0" w:space="0" w:color="auto"/>
        <w:left w:val="none" w:sz="0" w:space="0" w:color="auto"/>
        <w:bottom w:val="none" w:sz="0" w:space="0" w:color="auto"/>
        <w:right w:val="none" w:sz="0" w:space="0" w:color="auto"/>
      </w:divBdr>
      <w:divsChild>
        <w:div w:id="571157969">
          <w:marLeft w:val="0"/>
          <w:marRight w:val="0"/>
          <w:marTop w:val="0"/>
          <w:marBottom w:val="0"/>
          <w:divBdr>
            <w:top w:val="none" w:sz="0" w:space="0" w:color="auto"/>
            <w:left w:val="none" w:sz="0" w:space="0" w:color="auto"/>
            <w:bottom w:val="none" w:sz="0" w:space="0" w:color="auto"/>
            <w:right w:val="none" w:sz="0" w:space="0" w:color="auto"/>
          </w:divBdr>
        </w:div>
      </w:divsChild>
    </w:div>
    <w:div w:id="932205473">
      <w:bodyDiv w:val="1"/>
      <w:marLeft w:val="0"/>
      <w:marRight w:val="0"/>
      <w:marTop w:val="0"/>
      <w:marBottom w:val="0"/>
      <w:divBdr>
        <w:top w:val="none" w:sz="0" w:space="0" w:color="auto"/>
        <w:left w:val="none" w:sz="0" w:space="0" w:color="auto"/>
        <w:bottom w:val="none" w:sz="0" w:space="0" w:color="auto"/>
        <w:right w:val="none" w:sz="0" w:space="0" w:color="auto"/>
      </w:divBdr>
    </w:div>
    <w:div w:id="937250742">
      <w:bodyDiv w:val="1"/>
      <w:marLeft w:val="0"/>
      <w:marRight w:val="0"/>
      <w:marTop w:val="0"/>
      <w:marBottom w:val="0"/>
      <w:divBdr>
        <w:top w:val="none" w:sz="0" w:space="0" w:color="auto"/>
        <w:left w:val="none" w:sz="0" w:space="0" w:color="auto"/>
        <w:bottom w:val="none" w:sz="0" w:space="0" w:color="auto"/>
        <w:right w:val="none" w:sz="0" w:space="0" w:color="auto"/>
      </w:divBdr>
      <w:divsChild>
        <w:div w:id="967861673">
          <w:marLeft w:val="0"/>
          <w:marRight w:val="0"/>
          <w:marTop w:val="0"/>
          <w:marBottom w:val="0"/>
          <w:divBdr>
            <w:top w:val="none" w:sz="0" w:space="0" w:color="auto"/>
            <w:left w:val="none" w:sz="0" w:space="0" w:color="auto"/>
            <w:bottom w:val="none" w:sz="0" w:space="0" w:color="auto"/>
            <w:right w:val="none" w:sz="0" w:space="0" w:color="auto"/>
          </w:divBdr>
        </w:div>
      </w:divsChild>
    </w:div>
    <w:div w:id="1022319754">
      <w:bodyDiv w:val="1"/>
      <w:marLeft w:val="0"/>
      <w:marRight w:val="0"/>
      <w:marTop w:val="0"/>
      <w:marBottom w:val="0"/>
      <w:divBdr>
        <w:top w:val="none" w:sz="0" w:space="0" w:color="auto"/>
        <w:left w:val="none" w:sz="0" w:space="0" w:color="auto"/>
        <w:bottom w:val="none" w:sz="0" w:space="0" w:color="auto"/>
        <w:right w:val="none" w:sz="0" w:space="0" w:color="auto"/>
      </w:divBdr>
      <w:divsChild>
        <w:div w:id="1862624895">
          <w:marLeft w:val="0"/>
          <w:marRight w:val="0"/>
          <w:marTop w:val="0"/>
          <w:marBottom w:val="0"/>
          <w:divBdr>
            <w:top w:val="none" w:sz="0" w:space="0" w:color="auto"/>
            <w:left w:val="none" w:sz="0" w:space="0" w:color="auto"/>
            <w:bottom w:val="none" w:sz="0" w:space="0" w:color="auto"/>
            <w:right w:val="none" w:sz="0" w:space="0" w:color="auto"/>
          </w:divBdr>
        </w:div>
      </w:divsChild>
    </w:div>
    <w:div w:id="1036999907">
      <w:bodyDiv w:val="1"/>
      <w:marLeft w:val="0"/>
      <w:marRight w:val="0"/>
      <w:marTop w:val="0"/>
      <w:marBottom w:val="0"/>
      <w:divBdr>
        <w:top w:val="none" w:sz="0" w:space="0" w:color="auto"/>
        <w:left w:val="none" w:sz="0" w:space="0" w:color="auto"/>
        <w:bottom w:val="none" w:sz="0" w:space="0" w:color="auto"/>
        <w:right w:val="none" w:sz="0" w:space="0" w:color="auto"/>
      </w:divBdr>
      <w:divsChild>
        <w:div w:id="653531536">
          <w:marLeft w:val="0"/>
          <w:marRight w:val="0"/>
          <w:marTop w:val="0"/>
          <w:marBottom w:val="0"/>
          <w:divBdr>
            <w:top w:val="none" w:sz="0" w:space="0" w:color="auto"/>
            <w:left w:val="none" w:sz="0" w:space="0" w:color="auto"/>
            <w:bottom w:val="none" w:sz="0" w:space="0" w:color="auto"/>
            <w:right w:val="none" w:sz="0" w:space="0" w:color="auto"/>
          </w:divBdr>
        </w:div>
      </w:divsChild>
    </w:div>
    <w:div w:id="1069889405">
      <w:bodyDiv w:val="1"/>
      <w:marLeft w:val="0"/>
      <w:marRight w:val="0"/>
      <w:marTop w:val="0"/>
      <w:marBottom w:val="0"/>
      <w:divBdr>
        <w:top w:val="none" w:sz="0" w:space="0" w:color="auto"/>
        <w:left w:val="none" w:sz="0" w:space="0" w:color="auto"/>
        <w:bottom w:val="none" w:sz="0" w:space="0" w:color="auto"/>
        <w:right w:val="none" w:sz="0" w:space="0" w:color="auto"/>
      </w:divBdr>
      <w:divsChild>
        <w:div w:id="1069763287">
          <w:marLeft w:val="0"/>
          <w:marRight w:val="0"/>
          <w:marTop w:val="0"/>
          <w:marBottom w:val="0"/>
          <w:divBdr>
            <w:top w:val="none" w:sz="0" w:space="0" w:color="auto"/>
            <w:left w:val="none" w:sz="0" w:space="0" w:color="auto"/>
            <w:bottom w:val="none" w:sz="0" w:space="0" w:color="auto"/>
            <w:right w:val="none" w:sz="0" w:space="0" w:color="auto"/>
          </w:divBdr>
        </w:div>
      </w:divsChild>
    </w:div>
    <w:div w:id="1101299283">
      <w:bodyDiv w:val="1"/>
      <w:marLeft w:val="0"/>
      <w:marRight w:val="0"/>
      <w:marTop w:val="0"/>
      <w:marBottom w:val="0"/>
      <w:divBdr>
        <w:top w:val="none" w:sz="0" w:space="0" w:color="auto"/>
        <w:left w:val="none" w:sz="0" w:space="0" w:color="auto"/>
        <w:bottom w:val="none" w:sz="0" w:space="0" w:color="auto"/>
        <w:right w:val="none" w:sz="0" w:space="0" w:color="auto"/>
      </w:divBdr>
      <w:divsChild>
        <w:div w:id="421610719">
          <w:marLeft w:val="0"/>
          <w:marRight w:val="0"/>
          <w:marTop w:val="0"/>
          <w:marBottom w:val="0"/>
          <w:divBdr>
            <w:top w:val="none" w:sz="0" w:space="0" w:color="auto"/>
            <w:left w:val="none" w:sz="0" w:space="0" w:color="auto"/>
            <w:bottom w:val="none" w:sz="0" w:space="0" w:color="auto"/>
            <w:right w:val="none" w:sz="0" w:space="0" w:color="auto"/>
          </w:divBdr>
        </w:div>
      </w:divsChild>
    </w:div>
    <w:div w:id="1163813839">
      <w:bodyDiv w:val="1"/>
      <w:marLeft w:val="0"/>
      <w:marRight w:val="0"/>
      <w:marTop w:val="0"/>
      <w:marBottom w:val="0"/>
      <w:divBdr>
        <w:top w:val="none" w:sz="0" w:space="0" w:color="auto"/>
        <w:left w:val="none" w:sz="0" w:space="0" w:color="auto"/>
        <w:bottom w:val="none" w:sz="0" w:space="0" w:color="auto"/>
        <w:right w:val="none" w:sz="0" w:space="0" w:color="auto"/>
      </w:divBdr>
      <w:divsChild>
        <w:div w:id="1854411973">
          <w:marLeft w:val="0"/>
          <w:marRight w:val="0"/>
          <w:marTop w:val="0"/>
          <w:marBottom w:val="0"/>
          <w:divBdr>
            <w:top w:val="none" w:sz="0" w:space="0" w:color="auto"/>
            <w:left w:val="none" w:sz="0" w:space="0" w:color="auto"/>
            <w:bottom w:val="none" w:sz="0" w:space="0" w:color="auto"/>
            <w:right w:val="none" w:sz="0" w:space="0" w:color="auto"/>
          </w:divBdr>
        </w:div>
      </w:divsChild>
    </w:div>
    <w:div w:id="1207991076">
      <w:bodyDiv w:val="1"/>
      <w:marLeft w:val="0"/>
      <w:marRight w:val="0"/>
      <w:marTop w:val="0"/>
      <w:marBottom w:val="0"/>
      <w:divBdr>
        <w:top w:val="none" w:sz="0" w:space="0" w:color="auto"/>
        <w:left w:val="none" w:sz="0" w:space="0" w:color="auto"/>
        <w:bottom w:val="none" w:sz="0" w:space="0" w:color="auto"/>
        <w:right w:val="none" w:sz="0" w:space="0" w:color="auto"/>
      </w:divBdr>
      <w:divsChild>
        <w:div w:id="1903520864">
          <w:marLeft w:val="0"/>
          <w:marRight w:val="0"/>
          <w:marTop w:val="0"/>
          <w:marBottom w:val="0"/>
          <w:divBdr>
            <w:top w:val="none" w:sz="0" w:space="0" w:color="auto"/>
            <w:left w:val="none" w:sz="0" w:space="0" w:color="auto"/>
            <w:bottom w:val="none" w:sz="0" w:space="0" w:color="auto"/>
            <w:right w:val="none" w:sz="0" w:space="0" w:color="auto"/>
          </w:divBdr>
        </w:div>
      </w:divsChild>
    </w:div>
    <w:div w:id="1229266318">
      <w:bodyDiv w:val="1"/>
      <w:marLeft w:val="0"/>
      <w:marRight w:val="0"/>
      <w:marTop w:val="0"/>
      <w:marBottom w:val="0"/>
      <w:divBdr>
        <w:top w:val="none" w:sz="0" w:space="0" w:color="auto"/>
        <w:left w:val="none" w:sz="0" w:space="0" w:color="auto"/>
        <w:bottom w:val="none" w:sz="0" w:space="0" w:color="auto"/>
        <w:right w:val="none" w:sz="0" w:space="0" w:color="auto"/>
      </w:divBdr>
      <w:divsChild>
        <w:div w:id="1946375513">
          <w:marLeft w:val="0"/>
          <w:marRight w:val="0"/>
          <w:marTop w:val="0"/>
          <w:marBottom w:val="0"/>
          <w:divBdr>
            <w:top w:val="none" w:sz="0" w:space="0" w:color="auto"/>
            <w:left w:val="none" w:sz="0" w:space="0" w:color="auto"/>
            <w:bottom w:val="none" w:sz="0" w:space="0" w:color="auto"/>
            <w:right w:val="none" w:sz="0" w:space="0" w:color="auto"/>
          </w:divBdr>
        </w:div>
      </w:divsChild>
    </w:div>
    <w:div w:id="1249192318">
      <w:bodyDiv w:val="1"/>
      <w:marLeft w:val="0"/>
      <w:marRight w:val="0"/>
      <w:marTop w:val="0"/>
      <w:marBottom w:val="0"/>
      <w:divBdr>
        <w:top w:val="none" w:sz="0" w:space="0" w:color="auto"/>
        <w:left w:val="none" w:sz="0" w:space="0" w:color="auto"/>
        <w:bottom w:val="none" w:sz="0" w:space="0" w:color="auto"/>
        <w:right w:val="none" w:sz="0" w:space="0" w:color="auto"/>
      </w:divBdr>
      <w:divsChild>
        <w:div w:id="929507416">
          <w:marLeft w:val="0"/>
          <w:marRight w:val="0"/>
          <w:marTop w:val="0"/>
          <w:marBottom w:val="0"/>
          <w:divBdr>
            <w:top w:val="none" w:sz="0" w:space="0" w:color="auto"/>
            <w:left w:val="none" w:sz="0" w:space="0" w:color="auto"/>
            <w:bottom w:val="none" w:sz="0" w:space="0" w:color="auto"/>
            <w:right w:val="none" w:sz="0" w:space="0" w:color="auto"/>
          </w:divBdr>
        </w:div>
      </w:divsChild>
    </w:div>
    <w:div w:id="1337614074">
      <w:bodyDiv w:val="1"/>
      <w:marLeft w:val="0"/>
      <w:marRight w:val="0"/>
      <w:marTop w:val="0"/>
      <w:marBottom w:val="0"/>
      <w:divBdr>
        <w:top w:val="none" w:sz="0" w:space="0" w:color="auto"/>
        <w:left w:val="none" w:sz="0" w:space="0" w:color="auto"/>
        <w:bottom w:val="none" w:sz="0" w:space="0" w:color="auto"/>
        <w:right w:val="none" w:sz="0" w:space="0" w:color="auto"/>
      </w:divBdr>
      <w:divsChild>
        <w:div w:id="186061183">
          <w:marLeft w:val="0"/>
          <w:marRight w:val="0"/>
          <w:marTop w:val="0"/>
          <w:marBottom w:val="0"/>
          <w:divBdr>
            <w:top w:val="none" w:sz="0" w:space="0" w:color="auto"/>
            <w:left w:val="none" w:sz="0" w:space="0" w:color="auto"/>
            <w:bottom w:val="none" w:sz="0" w:space="0" w:color="auto"/>
            <w:right w:val="none" w:sz="0" w:space="0" w:color="auto"/>
          </w:divBdr>
        </w:div>
      </w:divsChild>
    </w:div>
    <w:div w:id="1474716695">
      <w:bodyDiv w:val="1"/>
      <w:marLeft w:val="0"/>
      <w:marRight w:val="0"/>
      <w:marTop w:val="0"/>
      <w:marBottom w:val="0"/>
      <w:divBdr>
        <w:top w:val="none" w:sz="0" w:space="0" w:color="auto"/>
        <w:left w:val="none" w:sz="0" w:space="0" w:color="auto"/>
        <w:bottom w:val="none" w:sz="0" w:space="0" w:color="auto"/>
        <w:right w:val="none" w:sz="0" w:space="0" w:color="auto"/>
      </w:divBdr>
      <w:divsChild>
        <w:div w:id="1972905155">
          <w:marLeft w:val="0"/>
          <w:marRight w:val="0"/>
          <w:marTop w:val="0"/>
          <w:marBottom w:val="0"/>
          <w:divBdr>
            <w:top w:val="none" w:sz="0" w:space="0" w:color="auto"/>
            <w:left w:val="none" w:sz="0" w:space="0" w:color="auto"/>
            <w:bottom w:val="none" w:sz="0" w:space="0" w:color="auto"/>
            <w:right w:val="none" w:sz="0" w:space="0" w:color="auto"/>
          </w:divBdr>
        </w:div>
      </w:divsChild>
    </w:div>
    <w:div w:id="1477532549">
      <w:bodyDiv w:val="1"/>
      <w:marLeft w:val="0"/>
      <w:marRight w:val="0"/>
      <w:marTop w:val="0"/>
      <w:marBottom w:val="0"/>
      <w:divBdr>
        <w:top w:val="none" w:sz="0" w:space="0" w:color="auto"/>
        <w:left w:val="none" w:sz="0" w:space="0" w:color="auto"/>
        <w:bottom w:val="none" w:sz="0" w:space="0" w:color="auto"/>
        <w:right w:val="none" w:sz="0" w:space="0" w:color="auto"/>
      </w:divBdr>
    </w:div>
    <w:div w:id="1500929939">
      <w:bodyDiv w:val="1"/>
      <w:marLeft w:val="0"/>
      <w:marRight w:val="0"/>
      <w:marTop w:val="0"/>
      <w:marBottom w:val="0"/>
      <w:divBdr>
        <w:top w:val="none" w:sz="0" w:space="0" w:color="auto"/>
        <w:left w:val="none" w:sz="0" w:space="0" w:color="auto"/>
        <w:bottom w:val="none" w:sz="0" w:space="0" w:color="auto"/>
        <w:right w:val="none" w:sz="0" w:space="0" w:color="auto"/>
      </w:divBdr>
      <w:divsChild>
        <w:div w:id="1806971750">
          <w:marLeft w:val="0"/>
          <w:marRight w:val="0"/>
          <w:marTop w:val="0"/>
          <w:marBottom w:val="0"/>
          <w:divBdr>
            <w:top w:val="none" w:sz="0" w:space="0" w:color="auto"/>
            <w:left w:val="none" w:sz="0" w:space="0" w:color="auto"/>
            <w:bottom w:val="none" w:sz="0" w:space="0" w:color="auto"/>
            <w:right w:val="none" w:sz="0" w:space="0" w:color="auto"/>
          </w:divBdr>
        </w:div>
      </w:divsChild>
    </w:div>
    <w:div w:id="1518542561">
      <w:bodyDiv w:val="1"/>
      <w:marLeft w:val="0"/>
      <w:marRight w:val="0"/>
      <w:marTop w:val="0"/>
      <w:marBottom w:val="0"/>
      <w:divBdr>
        <w:top w:val="none" w:sz="0" w:space="0" w:color="auto"/>
        <w:left w:val="none" w:sz="0" w:space="0" w:color="auto"/>
        <w:bottom w:val="none" w:sz="0" w:space="0" w:color="auto"/>
        <w:right w:val="none" w:sz="0" w:space="0" w:color="auto"/>
      </w:divBdr>
      <w:divsChild>
        <w:div w:id="594284601">
          <w:marLeft w:val="0"/>
          <w:marRight w:val="0"/>
          <w:marTop w:val="0"/>
          <w:marBottom w:val="0"/>
          <w:divBdr>
            <w:top w:val="none" w:sz="0" w:space="0" w:color="auto"/>
            <w:left w:val="none" w:sz="0" w:space="0" w:color="auto"/>
            <w:bottom w:val="none" w:sz="0" w:space="0" w:color="auto"/>
            <w:right w:val="none" w:sz="0" w:space="0" w:color="auto"/>
          </w:divBdr>
        </w:div>
      </w:divsChild>
    </w:div>
    <w:div w:id="1597711687">
      <w:bodyDiv w:val="1"/>
      <w:marLeft w:val="0"/>
      <w:marRight w:val="0"/>
      <w:marTop w:val="0"/>
      <w:marBottom w:val="0"/>
      <w:divBdr>
        <w:top w:val="none" w:sz="0" w:space="0" w:color="auto"/>
        <w:left w:val="none" w:sz="0" w:space="0" w:color="auto"/>
        <w:bottom w:val="none" w:sz="0" w:space="0" w:color="auto"/>
        <w:right w:val="none" w:sz="0" w:space="0" w:color="auto"/>
      </w:divBdr>
    </w:div>
    <w:div w:id="1623196160">
      <w:bodyDiv w:val="1"/>
      <w:marLeft w:val="0"/>
      <w:marRight w:val="0"/>
      <w:marTop w:val="0"/>
      <w:marBottom w:val="0"/>
      <w:divBdr>
        <w:top w:val="none" w:sz="0" w:space="0" w:color="auto"/>
        <w:left w:val="none" w:sz="0" w:space="0" w:color="auto"/>
        <w:bottom w:val="none" w:sz="0" w:space="0" w:color="auto"/>
        <w:right w:val="none" w:sz="0" w:space="0" w:color="auto"/>
      </w:divBdr>
      <w:divsChild>
        <w:div w:id="1096169055">
          <w:marLeft w:val="0"/>
          <w:marRight w:val="0"/>
          <w:marTop w:val="0"/>
          <w:marBottom w:val="0"/>
          <w:divBdr>
            <w:top w:val="none" w:sz="0" w:space="0" w:color="auto"/>
            <w:left w:val="none" w:sz="0" w:space="0" w:color="auto"/>
            <w:bottom w:val="none" w:sz="0" w:space="0" w:color="auto"/>
            <w:right w:val="none" w:sz="0" w:space="0" w:color="auto"/>
          </w:divBdr>
        </w:div>
      </w:divsChild>
    </w:div>
    <w:div w:id="1669283042">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0"/>
          <w:marRight w:val="0"/>
          <w:marTop w:val="0"/>
          <w:marBottom w:val="0"/>
          <w:divBdr>
            <w:top w:val="none" w:sz="0" w:space="0" w:color="auto"/>
            <w:left w:val="none" w:sz="0" w:space="0" w:color="auto"/>
            <w:bottom w:val="none" w:sz="0" w:space="0" w:color="auto"/>
            <w:right w:val="none" w:sz="0" w:space="0" w:color="auto"/>
          </w:divBdr>
        </w:div>
      </w:divsChild>
    </w:div>
    <w:div w:id="1726181644">
      <w:bodyDiv w:val="1"/>
      <w:marLeft w:val="0"/>
      <w:marRight w:val="0"/>
      <w:marTop w:val="0"/>
      <w:marBottom w:val="0"/>
      <w:divBdr>
        <w:top w:val="none" w:sz="0" w:space="0" w:color="auto"/>
        <w:left w:val="none" w:sz="0" w:space="0" w:color="auto"/>
        <w:bottom w:val="none" w:sz="0" w:space="0" w:color="auto"/>
        <w:right w:val="none" w:sz="0" w:space="0" w:color="auto"/>
      </w:divBdr>
      <w:divsChild>
        <w:div w:id="885218520">
          <w:marLeft w:val="0"/>
          <w:marRight w:val="0"/>
          <w:marTop w:val="0"/>
          <w:marBottom w:val="0"/>
          <w:divBdr>
            <w:top w:val="none" w:sz="0" w:space="0" w:color="auto"/>
            <w:left w:val="none" w:sz="0" w:space="0" w:color="auto"/>
            <w:bottom w:val="none" w:sz="0" w:space="0" w:color="auto"/>
            <w:right w:val="none" w:sz="0" w:space="0" w:color="auto"/>
          </w:divBdr>
        </w:div>
      </w:divsChild>
    </w:div>
    <w:div w:id="1729189184">
      <w:bodyDiv w:val="1"/>
      <w:marLeft w:val="0"/>
      <w:marRight w:val="0"/>
      <w:marTop w:val="0"/>
      <w:marBottom w:val="0"/>
      <w:divBdr>
        <w:top w:val="none" w:sz="0" w:space="0" w:color="auto"/>
        <w:left w:val="none" w:sz="0" w:space="0" w:color="auto"/>
        <w:bottom w:val="none" w:sz="0" w:space="0" w:color="auto"/>
        <w:right w:val="none" w:sz="0" w:space="0" w:color="auto"/>
      </w:divBdr>
      <w:divsChild>
        <w:div w:id="627857143">
          <w:marLeft w:val="0"/>
          <w:marRight w:val="0"/>
          <w:marTop w:val="0"/>
          <w:marBottom w:val="0"/>
          <w:divBdr>
            <w:top w:val="none" w:sz="0" w:space="0" w:color="auto"/>
            <w:left w:val="none" w:sz="0" w:space="0" w:color="auto"/>
            <w:bottom w:val="none" w:sz="0" w:space="0" w:color="auto"/>
            <w:right w:val="none" w:sz="0" w:space="0" w:color="auto"/>
          </w:divBdr>
        </w:div>
      </w:divsChild>
    </w:div>
    <w:div w:id="1762532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6916">
          <w:marLeft w:val="0"/>
          <w:marRight w:val="0"/>
          <w:marTop w:val="0"/>
          <w:marBottom w:val="0"/>
          <w:divBdr>
            <w:top w:val="none" w:sz="0" w:space="0" w:color="auto"/>
            <w:left w:val="none" w:sz="0" w:space="0" w:color="auto"/>
            <w:bottom w:val="none" w:sz="0" w:space="0" w:color="auto"/>
            <w:right w:val="none" w:sz="0" w:space="0" w:color="auto"/>
          </w:divBdr>
        </w:div>
      </w:divsChild>
    </w:div>
    <w:div w:id="1765417523">
      <w:bodyDiv w:val="1"/>
      <w:marLeft w:val="0"/>
      <w:marRight w:val="0"/>
      <w:marTop w:val="0"/>
      <w:marBottom w:val="0"/>
      <w:divBdr>
        <w:top w:val="none" w:sz="0" w:space="0" w:color="auto"/>
        <w:left w:val="none" w:sz="0" w:space="0" w:color="auto"/>
        <w:bottom w:val="none" w:sz="0" w:space="0" w:color="auto"/>
        <w:right w:val="none" w:sz="0" w:space="0" w:color="auto"/>
      </w:divBdr>
      <w:divsChild>
        <w:div w:id="1763600978">
          <w:marLeft w:val="0"/>
          <w:marRight w:val="0"/>
          <w:marTop w:val="0"/>
          <w:marBottom w:val="0"/>
          <w:divBdr>
            <w:top w:val="none" w:sz="0" w:space="0" w:color="auto"/>
            <w:left w:val="none" w:sz="0" w:space="0" w:color="auto"/>
            <w:bottom w:val="none" w:sz="0" w:space="0" w:color="auto"/>
            <w:right w:val="none" w:sz="0" w:space="0" w:color="auto"/>
          </w:divBdr>
        </w:div>
      </w:divsChild>
    </w:div>
    <w:div w:id="1792439032">
      <w:bodyDiv w:val="1"/>
      <w:marLeft w:val="0"/>
      <w:marRight w:val="0"/>
      <w:marTop w:val="0"/>
      <w:marBottom w:val="0"/>
      <w:divBdr>
        <w:top w:val="none" w:sz="0" w:space="0" w:color="auto"/>
        <w:left w:val="none" w:sz="0" w:space="0" w:color="auto"/>
        <w:bottom w:val="none" w:sz="0" w:space="0" w:color="auto"/>
        <w:right w:val="none" w:sz="0" w:space="0" w:color="auto"/>
      </w:divBdr>
      <w:divsChild>
        <w:div w:id="1219627825">
          <w:marLeft w:val="0"/>
          <w:marRight w:val="0"/>
          <w:marTop w:val="0"/>
          <w:marBottom w:val="0"/>
          <w:divBdr>
            <w:top w:val="none" w:sz="0" w:space="0" w:color="auto"/>
            <w:left w:val="none" w:sz="0" w:space="0" w:color="auto"/>
            <w:bottom w:val="none" w:sz="0" w:space="0" w:color="auto"/>
            <w:right w:val="none" w:sz="0" w:space="0" w:color="auto"/>
          </w:divBdr>
        </w:div>
      </w:divsChild>
    </w:div>
    <w:div w:id="1811363424">
      <w:bodyDiv w:val="1"/>
      <w:marLeft w:val="0"/>
      <w:marRight w:val="0"/>
      <w:marTop w:val="0"/>
      <w:marBottom w:val="0"/>
      <w:divBdr>
        <w:top w:val="none" w:sz="0" w:space="0" w:color="auto"/>
        <w:left w:val="none" w:sz="0" w:space="0" w:color="auto"/>
        <w:bottom w:val="none" w:sz="0" w:space="0" w:color="auto"/>
        <w:right w:val="none" w:sz="0" w:space="0" w:color="auto"/>
      </w:divBdr>
    </w:div>
    <w:div w:id="1841852241">
      <w:bodyDiv w:val="1"/>
      <w:marLeft w:val="0"/>
      <w:marRight w:val="0"/>
      <w:marTop w:val="0"/>
      <w:marBottom w:val="0"/>
      <w:divBdr>
        <w:top w:val="none" w:sz="0" w:space="0" w:color="auto"/>
        <w:left w:val="none" w:sz="0" w:space="0" w:color="auto"/>
        <w:bottom w:val="none" w:sz="0" w:space="0" w:color="auto"/>
        <w:right w:val="none" w:sz="0" w:space="0" w:color="auto"/>
      </w:divBdr>
      <w:divsChild>
        <w:div w:id="1157919982">
          <w:marLeft w:val="0"/>
          <w:marRight w:val="0"/>
          <w:marTop w:val="0"/>
          <w:marBottom w:val="0"/>
          <w:divBdr>
            <w:top w:val="none" w:sz="0" w:space="0" w:color="auto"/>
            <w:left w:val="none" w:sz="0" w:space="0" w:color="auto"/>
            <w:bottom w:val="none" w:sz="0" w:space="0" w:color="auto"/>
            <w:right w:val="none" w:sz="0" w:space="0" w:color="auto"/>
          </w:divBdr>
        </w:div>
      </w:divsChild>
    </w:div>
    <w:div w:id="1878934391">
      <w:bodyDiv w:val="1"/>
      <w:marLeft w:val="0"/>
      <w:marRight w:val="0"/>
      <w:marTop w:val="0"/>
      <w:marBottom w:val="0"/>
      <w:divBdr>
        <w:top w:val="none" w:sz="0" w:space="0" w:color="auto"/>
        <w:left w:val="none" w:sz="0" w:space="0" w:color="auto"/>
        <w:bottom w:val="none" w:sz="0" w:space="0" w:color="auto"/>
        <w:right w:val="none" w:sz="0" w:space="0" w:color="auto"/>
      </w:divBdr>
      <w:divsChild>
        <w:div w:id="361367182">
          <w:marLeft w:val="0"/>
          <w:marRight w:val="0"/>
          <w:marTop w:val="0"/>
          <w:marBottom w:val="0"/>
          <w:divBdr>
            <w:top w:val="none" w:sz="0" w:space="0" w:color="auto"/>
            <w:left w:val="none" w:sz="0" w:space="0" w:color="auto"/>
            <w:bottom w:val="none" w:sz="0" w:space="0" w:color="auto"/>
            <w:right w:val="none" w:sz="0" w:space="0" w:color="auto"/>
          </w:divBdr>
        </w:div>
      </w:divsChild>
    </w:div>
    <w:div w:id="1879124622">
      <w:bodyDiv w:val="1"/>
      <w:marLeft w:val="0"/>
      <w:marRight w:val="0"/>
      <w:marTop w:val="0"/>
      <w:marBottom w:val="0"/>
      <w:divBdr>
        <w:top w:val="none" w:sz="0" w:space="0" w:color="auto"/>
        <w:left w:val="none" w:sz="0" w:space="0" w:color="auto"/>
        <w:bottom w:val="none" w:sz="0" w:space="0" w:color="auto"/>
        <w:right w:val="none" w:sz="0" w:space="0" w:color="auto"/>
      </w:divBdr>
      <w:divsChild>
        <w:div w:id="1058361819">
          <w:marLeft w:val="0"/>
          <w:marRight w:val="0"/>
          <w:marTop w:val="0"/>
          <w:marBottom w:val="0"/>
          <w:divBdr>
            <w:top w:val="none" w:sz="0" w:space="0" w:color="auto"/>
            <w:left w:val="none" w:sz="0" w:space="0" w:color="auto"/>
            <w:bottom w:val="none" w:sz="0" w:space="0" w:color="auto"/>
            <w:right w:val="none" w:sz="0" w:space="0" w:color="auto"/>
          </w:divBdr>
        </w:div>
      </w:divsChild>
    </w:div>
    <w:div w:id="1881287097">
      <w:bodyDiv w:val="1"/>
      <w:marLeft w:val="0"/>
      <w:marRight w:val="0"/>
      <w:marTop w:val="0"/>
      <w:marBottom w:val="0"/>
      <w:divBdr>
        <w:top w:val="none" w:sz="0" w:space="0" w:color="auto"/>
        <w:left w:val="none" w:sz="0" w:space="0" w:color="auto"/>
        <w:bottom w:val="none" w:sz="0" w:space="0" w:color="auto"/>
        <w:right w:val="none" w:sz="0" w:space="0" w:color="auto"/>
      </w:divBdr>
      <w:divsChild>
        <w:div w:id="1262837759">
          <w:marLeft w:val="0"/>
          <w:marRight w:val="0"/>
          <w:marTop w:val="0"/>
          <w:marBottom w:val="0"/>
          <w:divBdr>
            <w:top w:val="none" w:sz="0" w:space="0" w:color="auto"/>
            <w:left w:val="none" w:sz="0" w:space="0" w:color="auto"/>
            <w:bottom w:val="none" w:sz="0" w:space="0" w:color="auto"/>
            <w:right w:val="none" w:sz="0" w:space="0" w:color="auto"/>
          </w:divBdr>
        </w:div>
      </w:divsChild>
    </w:div>
    <w:div w:id="1951430177">
      <w:bodyDiv w:val="1"/>
      <w:marLeft w:val="0"/>
      <w:marRight w:val="0"/>
      <w:marTop w:val="0"/>
      <w:marBottom w:val="0"/>
      <w:divBdr>
        <w:top w:val="none" w:sz="0" w:space="0" w:color="auto"/>
        <w:left w:val="none" w:sz="0" w:space="0" w:color="auto"/>
        <w:bottom w:val="none" w:sz="0" w:space="0" w:color="auto"/>
        <w:right w:val="none" w:sz="0" w:space="0" w:color="auto"/>
      </w:divBdr>
      <w:divsChild>
        <w:div w:id="1328900580">
          <w:marLeft w:val="0"/>
          <w:marRight w:val="0"/>
          <w:marTop w:val="0"/>
          <w:marBottom w:val="0"/>
          <w:divBdr>
            <w:top w:val="none" w:sz="0" w:space="0" w:color="auto"/>
            <w:left w:val="none" w:sz="0" w:space="0" w:color="auto"/>
            <w:bottom w:val="none" w:sz="0" w:space="0" w:color="auto"/>
            <w:right w:val="none" w:sz="0" w:space="0" w:color="auto"/>
          </w:divBdr>
        </w:div>
      </w:divsChild>
    </w:div>
    <w:div w:id="1957180127">
      <w:bodyDiv w:val="1"/>
      <w:marLeft w:val="0"/>
      <w:marRight w:val="0"/>
      <w:marTop w:val="0"/>
      <w:marBottom w:val="0"/>
      <w:divBdr>
        <w:top w:val="none" w:sz="0" w:space="0" w:color="auto"/>
        <w:left w:val="none" w:sz="0" w:space="0" w:color="auto"/>
        <w:bottom w:val="none" w:sz="0" w:space="0" w:color="auto"/>
        <w:right w:val="none" w:sz="0" w:space="0" w:color="auto"/>
      </w:divBdr>
      <w:divsChild>
        <w:div w:id="1083989018">
          <w:marLeft w:val="0"/>
          <w:marRight w:val="0"/>
          <w:marTop w:val="0"/>
          <w:marBottom w:val="0"/>
          <w:divBdr>
            <w:top w:val="none" w:sz="0" w:space="0" w:color="auto"/>
            <w:left w:val="none" w:sz="0" w:space="0" w:color="auto"/>
            <w:bottom w:val="none" w:sz="0" w:space="0" w:color="auto"/>
            <w:right w:val="none" w:sz="0" w:space="0" w:color="auto"/>
          </w:divBdr>
        </w:div>
      </w:divsChild>
    </w:div>
    <w:div w:id="1980375105">
      <w:bodyDiv w:val="1"/>
      <w:marLeft w:val="0"/>
      <w:marRight w:val="0"/>
      <w:marTop w:val="0"/>
      <w:marBottom w:val="0"/>
      <w:divBdr>
        <w:top w:val="none" w:sz="0" w:space="0" w:color="auto"/>
        <w:left w:val="none" w:sz="0" w:space="0" w:color="auto"/>
        <w:bottom w:val="none" w:sz="0" w:space="0" w:color="auto"/>
        <w:right w:val="none" w:sz="0" w:space="0" w:color="auto"/>
      </w:divBdr>
      <w:divsChild>
        <w:div w:id="1285773852">
          <w:marLeft w:val="0"/>
          <w:marRight w:val="0"/>
          <w:marTop w:val="0"/>
          <w:marBottom w:val="0"/>
          <w:divBdr>
            <w:top w:val="none" w:sz="0" w:space="0" w:color="auto"/>
            <w:left w:val="none" w:sz="0" w:space="0" w:color="auto"/>
            <w:bottom w:val="none" w:sz="0" w:space="0" w:color="auto"/>
            <w:right w:val="none" w:sz="0" w:space="0" w:color="auto"/>
          </w:divBdr>
        </w:div>
      </w:divsChild>
    </w:div>
    <w:div w:id="2008559845">
      <w:bodyDiv w:val="1"/>
      <w:marLeft w:val="0"/>
      <w:marRight w:val="0"/>
      <w:marTop w:val="0"/>
      <w:marBottom w:val="0"/>
      <w:divBdr>
        <w:top w:val="none" w:sz="0" w:space="0" w:color="auto"/>
        <w:left w:val="none" w:sz="0" w:space="0" w:color="auto"/>
        <w:bottom w:val="none" w:sz="0" w:space="0" w:color="auto"/>
        <w:right w:val="none" w:sz="0" w:space="0" w:color="auto"/>
      </w:divBdr>
      <w:divsChild>
        <w:div w:id="73628617">
          <w:marLeft w:val="0"/>
          <w:marRight w:val="0"/>
          <w:marTop w:val="0"/>
          <w:marBottom w:val="0"/>
          <w:divBdr>
            <w:top w:val="none" w:sz="0" w:space="0" w:color="auto"/>
            <w:left w:val="none" w:sz="0" w:space="0" w:color="auto"/>
            <w:bottom w:val="none" w:sz="0" w:space="0" w:color="auto"/>
            <w:right w:val="none" w:sz="0" w:space="0" w:color="auto"/>
          </w:divBdr>
        </w:div>
      </w:divsChild>
    </w:div>
    <w:div w:id="2123720720">
      <w:bodyDiv w:val="1"/>
      <w:marLeft w:val="0"/>
      <w:marRight w:val="0"/>
      <w:marTop w:val="0"/>
      <w:marBottom w:val="0"/>
      <w:divBdr>
        <w:top w:val="none" w:sz="0" w:space="0" w:color="auto"/>
        <w:left w:val="none" w:sz="0" w:space="0" w:color="auto"/>
        <w:bottom w:val="none" w:sz="0" w:space="0" w:color="auto"/>
        <w:right w:val="none" w:sz="0" w:space="0" w:color="auto"/>
      </w:divBdr>
      <w:divsChild>
        <w:div w:id="1319193865">
          <w:marLeft w:val="0"/>
          <w:marRight w:val="0"/>
          <w:marTop w:val="0"/>
          <w:marBottom w:val="0"/>
          <w:divBdr>
            <w:top w:val="none" w:sz="0" w:space="0" w:color="auto"/>
            <w:left w:val="none" w:sz="0" w:space="0" w:color="auto"/>
            <w:bottom w:val="none" w:sz="0" w:space="0" w:color="auto"/>
            <w:right w:val="none" w:sz="0" w:space="0" w:color="auto"/>
          </w:divBdr>
        </w:div>
      </w:divsChild>
    </w:div>
    <w:div w:id="2126263526">
      <w:bodyDiv w:val="1"/>
      <w:marLeft w:val="0"/>
      <w:marRight w:val="0"/>
      <w:marTop w:val="0"/>
      <w:marBottom w:val="0"/>
      <w:divBdr>
        <w:top w:val="none" w:sz="0" w:space="0" w:color="auto"/>
        <w:left w:val="none" w:sz="0" w:space="0" w:color="auto"/>
        <w:bottom w:val="none" w:sz="0" w:space="0" w:color="auto"/>
        <w:right w:val="none" w:sz="0" w:space="0" w:color="auto"/>
      </w:divBdr>
      <w:divsChild>
        <w:div w:id="822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2020-02-26T18:34:00Z</dcterms:created>
  <dcterms:modified xsi:type="dcterms:W3CDTF">2020-02-26T19:38:00Z</dcterms:modified>
</cp:coreProperties>
</file>