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47C2A" w:rsidP="005D426B" w14:paraId="2ADE58DC" w14:textId="77777777">
      <w:pPr>
        <w:tabs>
          <w:tab w:val="left" w:pos="1440"/>
          <w:tab w:val="left" w:pos="4680"/>
          <w:tab w:val="center" w:pos="7200"/>
        </w:tabs>
        <w:spacing w:after="0"/>
        <w:jc w:val="center"/>
        <w:rPr>
          <w:sz w:val="36"/>
        </w:rPr>
      </w:pPr>
      <w:bookmarkStart w:id="0" w:name="MarkDocLoc"/>
      <w:bookmarkStart w:id="1" w:name="_Hlk40103517"/>
      <w:bookmarkStart w:id="2" w:name="_GoBack"/>
      <w:bookmarkEnd w:id="0"/>
      <w:bookmarkEnd w:id="2"/>
      <w:r>
        <w:rPr>
          <w:b/>
          <w:sz w:val="36"/>
        </w:rPr>
        <w:t>IN THE SUPREME COURT OF CALIFORNIA</w:t>
      </w:r>
    </w:p>
    <w:p w:rsidR="005D426B" w:rsidP="005D426B" w14:paraId="2F03AC64" w14:textId="77777777">
      <w:pPr>
        <w:tabs>
          <w:tab w:val="left" w:pos="1440"/>
          <w:tab w:val="left" w:pos="4680"/>
          <w:tab w:val="center" w:pos="7200"/>
        </w:tabs>
        <w:spacing w:after="0"/>
        <w:jc w:val="center"/>
      </w:pPr>
    </w:p>
    <w:p w:rsidR="005D426B" w:rsidP="00B733E3" w14:paraId="3AF94235" w14:textId="77777777">
      <w:pPr>
        <w:tabs>
          <w:tab w:val="left" w:pos="1440"/>
          <w:tab w:val="left" w:pos="4680"/>
          <w:tab w:val="center" w:pos="7200"/>
        </w:tabs>
        <w:spacing w:after="0"/>
        <w:jc w:val="center"/>
        <w:outlineLvl w:val="0"/>
      </w:pPr>
      <w:r>
        <w:t>SAINT FRANCIS MEMOR</w:t>
      </w:r>
      <w:r w:rsidR="002E771E">
        <w:t>IAL HOSPITAL</w:t>
      </w:r>
      <w:r w:rsidR="0052238A">
        <w:t>,</w:t>
      </w:r>
    </w:p>
    <w:p w:rsidR="005D426B" w:rsidP="005D426B" w14:paraId="076DC8D8" w14:textId="77777777">
      <w:pPr>
        <w:tabs>
          <w:tab w:val="left" w:pos="1440"/>
          <w:tab w:val="left" w:pos="4680"/>
          <w:tab w:val="center" w:pos="7200"/>
        </w:tabs>
        <w:spacing w:after="0"/>
        <w:jc w:val="center"/>
      </w:pPr>
      <w:r>
        <w:t>Plaintiff and Appellant</w:t>
      </w:r>
      <w:r w:rsidR="00D00EBF">
        <w:t>,</w:t>
      </w:r>
    </w:p>
    <w:p w:rsidR="005D426B" w:rsidP="005D426B" w14:paraId="19BEB4ED" w14:textId="77777777">
      <w:pPr>
        <w:tabs>
          <w:tab w:val="left" w:pos="1440"/>
          <w:tab w:val="left" w:pos="4680"/>
          <w:tab w:val="center" w:pos="7200"/>
        </w:tabs>
        <w:spacing w:after="0"/>
        <w:jc w:val="center"/>
      </w:pPr>
      <w:r>
        <w:t>v.</w:t>
      </w:r>
    </w:p>
    <w:p w:rsidR="005D426B" w:rsidP="0063442F" w14:paraId="442FB340" w14:textId="77777777">
      <w:pPr>
        <w:tabs>
          <w:tab w:val="left" w:pos="1440"/>
          <w:tab w:val="left" w:pos="4680"/>
          <w:tab w:val="center" w:pos="7200"/>
        </w:tabs>
        <w:spacing w:after="0"/>
        <w:jc w:val="center"/>
      </w:pPr>
      <w:r>
        <w:t xml:space="preserve">STATE </w:t>
      </w:r>
      <w:r>
        <w:t>DEPARTMENT OF</w:t>
      </w:r>
      <w:r w:rsidR="00837061">
        <w:t xml:space="preserve"> PUBLIC HEALTH</w:t>
      </w:r>
      <w:r w:rsidR="0052238A">
        <w:t>,</w:t>
      </w:r>
      <w:r w:rsidR="0063442F">
        <w:t xml:space="preserve"> </w:t>
      </w:r>
      <w:r>
        <w:t>Defendant and Respondent.</w:t>
      </w:r>
    </w:p>
    <w:p w:rsidR="005D426B" w:rsidP="005D426B" w14:paraId="74FC7F34" w14:textId="77777777">
      <w:pPr>
        <w:tabs>
          <w:tab w:val="left" w:pos="1440"/>
          <w:tab w:val="left" w:pos="4680"/>
          <w:tab w:val="center" w:pos="7200"/>
        </w:tabs>
        <w:spacing w:after="0"/>
        <w:jc w:val="center"/>
      </w:pPr>
    </w:p>
    <w:p w:rsidR="005D426B" w:rsidP="005D426B" w14:paraId="15A8EFBF" w14:textId="77777777">
      <w:pPr>
        <w:tabs>
          <w:tab w:val="left" w:pos="1440"/>
          <w:tab w:val="left" w:pos="4680"/>
          <w:tab w:val="center" w:pos="7200"/>
        </w:tabs>
        <w:spacing w:after="0"/>
        <w:jc w:val="center"/>
      </w:pPr>
      <w:r>
        <w:t>S249132</w:t>
      </w:r>
    </w:p>
    <w:p w:rsidR="005D426B" w:rsidP="005D426B" w14:paraId="0D021DA0" w14:textId="77777777">
      <w:pPr>
        <w:tabs>
          <w:tab w:val="left" w:pos="1440"/>
          <w:tab w:val="left" w:pos="4680"/>
          <w:tab w:val="center" w:pos="7200"/>
        </w:tabs>
        <w:spacing w:after="0"/>
        <w:jc w:val="center"/>
      </w:pPr>
    </w:p>
    <w:p w:rsidR="005D426B" w:rsidP="00B733E3" w14:paraId="25372F2F" w14:textId="77777777">
      <w:pPr>
        <w:tabs>
          <w:tab w:val="left" w:pos="1440"/>
          <w:tab w:val="left" w:pos="4680"/>
          <w:tab w:val="center" w:pos="7200"/>
        </w:tabs>
        <w:spacing w:after="0"/>
        <w:jc w:val="center"/>
        <w:outlineLvl w:val="0"/>
      </w:pPr>
      <w:r>
        <w:t>First Appellate District, Division One</w:t>
      </w:r>
    </w:p>
    <w:p w:rsidR="006F2D03" w:rsidP="00B733E3" w14:paraId="5119F06B" w14:textId="77777777">
      <w:pPr>
        <w:tabs>
          <w:tab w:val="left" w:pos="1440"/>
          <w:tab w:val="left" w:pos="4680"/>
          <w:tab w:val="center" w:pos="7200"/>
        </w:tabs>
        <w:spacing w:after="0"/>
        <w:jc w:val="center"/>
        <w:outlineLvl w:val="0"/>
      </w:pPr>
      <w:r>
        <w:t>A150545</w:t>
      </w:r>
    </w:p>
    <w:p w:rsidR="006F2D03" w:rsidP="006F2D03" w14:paraId="6B292A9C" w14:textId="77777777">
      <w:pPr>
        <w:tabs>
          <w:tab w:val="left" w:pos="1440"/>
          <w:tab w:val="left" w:pos="4680"/>
          <w:tab w:val="center" w:pos="7200"/>
        </w:tabs>
        <w:spacing w:after="0"/>
        <w:jc w:val="center"/>
      </w:pPr>
    </w:p>
    <w:p w:rsidR="006F2D03" w:rsidP="00B733E3" w14:paraId="25549889" w14:textId="77777777">
      <w:pPr>
        <w:tabs>
          <w:tab w:val="left" w:pos="1440"/>
          <w:tab w:val="left" w:pos="4680"/>
          <w:tab w:val="center" w:pos="7200"/>
        </w:tabs>
        <w:spacing w:after="0"/>
        <w:jc w:val="center"/>
        <w:outlineLvl w:val="0"/>
      </w:pPr>
      <w:r>
        <w:t>San Mateo County Superior Court</w:t>
      </w:r>
    </w:p>
    <w:p w:rsidR="006F2D03" w:rsidP="00B733E3" w14:paraId="396C8EF8" w14:textId="77777777">
      <w:pPr>
        <w:tabs>
          <w:tab w:val="left" w:pos="1440"/>
          <w:tab w:val="left" w:pos="4680"/>
          <w:tab w:val="center" w:pos="7200"/>
        </w:tabs>
        <w:spacing w:after="0"/>
        <w:jc w:val="center"/>
        <w:outlineLvl w:val="0"/>
      </w:pPr>
      <w:r>
        <w:t>CIV537118</w:t>
      </w:r>
    </w:p>
    <w:p w:rsidR="005D426B" w:rsidP="009D450C" w14:paraId="14B599B6" w14:textId="77777777">
      <w:pPr>
        <w:pBdr>
          <w:bottom w:val="single" w:sz="4" w:space="1" w:color="auto"/>
        </w:pBdr>
        <w:tabs>
          <w:tab w:val="left" w:pos="1440"/>
          <w:tab w:val="left" w:pos="4680"/>
          <w:tab w:val="center" w:pos="7200"/>
        </w:tabs>
        <w:spacing w:after="0"/>
      </w:pPr>
    </w:p>
    <w:p w:rsidR="005D426B" w:rsidP="005D426B" w14:paraId="15D697E3" w14:textId="77777777">
      <w:pPr>
        <w:tabs>
          <w:tab w:val="left" w:pos="1440"/>
          <w:tab w:val="left" w:pos="4680"/>
          <w:tab w:val="center" w:pos="7200"/>
        </w:tabs>
        <w:spacing w:after="0"/>
        <w:jc w:val="center"/>
      </w:pPr>
    </w:p>
    <w:p w:rsidR="005D426B" w:rsidP="005D426B" w14:paraId="648D9EDA" w14:textId="226898A6">
      <w:pPr>
        <w:tabs>
          <w:tab w:val="left" w:pos="1440"/>
          <w:tab w:val="left" w:pos="4680"/>
          <w:tab w:val="center" w:pos="7200"/>
        </w:tabs>
        <w:spacing w:after="0"/>
        <w:jc w:val="center"/>
      </w:pPr>
      <w:r>
        <w:t>June</w:t>
      </w:r>
      <w:r w:rsidR="00AD1A10">
        <w:t xml:space="preserve"> </w:t>
      </w:r>
      <w:r w:rsidR="00FB20C8">
        <w:t xml:space="preserve">29, </w:t>
      </w:r>
      <w:r>
        <w:t>2020</w:t>
      </w:r>
    </w:p>
    <w:p w:rsidR="005D426B" w:rsidP="005D426B" w14:paraId="281404A9" w14:textId="77777777">
      <w:pPr>
        <w:tabs>
          <w:tab w:val="left" w:pos="1440"/>
          <w:tab w:val="left" w:pos="4680"/>
          <w:tab w:val="center" w:pos="7200"/>
        </w:tabs>
        <w:spacing w:after="0"/>
        <w:jc w:val="center"/>
      </w:pPr>
    </w:p>
    <w:p w:rsidR="005D426B" w:rsidP="005D426B" w14:paraId="23039DB7" w14:textId="2EB15797">
      <w:pPr>
        <w:tabs>
          <w:tab w:val="left" w:pos="1440"/>
          <w:tab w:val="left" w:pos="4680"/>
          <w:tab w:val="center" w:pos="7200"/>
        </w:tabs>
        <w:spacing w:after="0"/>
        <w:jc w:val="left"/>
      </w:pPr>
      <w:r>
        <w:t xml:space="preserve">Justice Cuéllar authored the opinion of the </w:t>
      </w:r>
      <w:r w:rsidR="009B424D">
        <w:t>C</w:t>
      </w:r>
      <w:r>
        <w:t>ourt, in which</w:t>
      </w:r>
      <w:r w:rsidR="00460787">
        <w:t xml:space="preserve"> </w:t>
      </w:r>
      <w:r w:rsidR="00FB20C8">
        <w:t xml:space="preserve">Chief Justice Cantil-Sakauye and Justices Chin, Corrigan, Liu, Kruger, and Groban </w:t>
      </w:r>
      <w:r>
        <w:t>concurred.</w:t>
      </w:r>
    </w:p>
    <w:p w:rsidR="005D426B" w:rsidP="005D426B" w14:paraId="5CC6328C" w14:textId="77777777">
      <w:pPr>
        <w:pBdr>
          <w:bottom w:val="single" w:sz="4" w:space="1" w:color="auto"/>
        </w:pBdr>
        <w:tabs>
          <w:tab w:val="left" w:pos="1440"/>
          <w:tab w:val="left" w:pos="4680"/>
          <w:tab w:val="center" w:pos="7200"/>
        </w:tabs>
        <w:spacing w:after="0"/>
        <w:jc w:val="left"/>
      </w:pPr>
    </w:p>
    <w:p w:rsidR="005D426B" w14:paraId="3A8E001F" w14:textId="77777777">
      <w:pPr>
        <w:tabs>
          <w:tab w:val="left" w:pos="1440"/>
          <w:tab w:val="left" w:pos="4680"/>
          <w:tab w:val="center" w:pos="7200"/>
        </w:tabs>
        <w:spacing w:line="480" w:lineRule="atLeast"/>
        <w:sectPr w:rsidSect="005D426B">
          <w:headerReference w:type="default" r:id="rId37"/>
          <w:footerReference w:type="even" r:id="rId38"/>
          <w:footerReference w:type="default" r:id="rId39"/>
          <w:headerReference w:type="first" r:id="rId40"/>
          <w:pgSz w:w="12240" w:h="15840"/>
          <w:pgMar w:top="1800" w:right="2160" w:bottom="1440" w:left="2160" w:header="720" w:footer="720" w:gutter="0"/>
          <w:cols w:space="720"/>
          <w:titlePg/>
          <w:docGrid w:linePitch="367"/>
        </w:sectPr>
      </w:pPr>
      <w:bookmarkStart w:id="3" w:name="Return"/>
      <w:bookmarkEnd w:id="3"/>
    </w:p>
    <w:p w:rsidR="005D426B" w:rsidP="005D426B" w14:paraId="74A7883D" w14:textId="77777777">
      <w:pPr>
        <w:tabs>
          <w:tab w:val="left" w:pos="1440"/>
          <w:tab w:val="left" w:pos="4680"/>
          <w:tab w:val="center" w:pos="7200"/>
        </w:tabs>
        <w:jc w:val="center"/>
      </w:pPr>
      <w:r>
        <w:t xml:space="preserve">SAINT FRANCIS MEMORIAL HOSPITAL v. </w:t>
      </w:r>
      <w:r w:rsidR="0096037B">
        <w:t xml:space="preserve">STATE </w:t>
      </w:r>
      <w:r>
        <w:t xml:space="preserve">DEPARTMENT OF </w:t>
      </w:r>
      <w:r w:rsidR="00837061">
        <w:t xml:space="preserve">PUBLIC </w:t>
      </w:r>
      <w:r>
        <w:t>HEALTH</w:t>
      </w:r>
    </w:p>
    <w:p w:rsidR="005D426B" w:rsidP="005D426B" w14:paraId="5A228A57" w14:textId="77777777">
      <w:pPr>
        <w:tabs>
          <w:tab w:val="left" w:pos="1440"/>
          <w:tab w:val="left" w:pos="4680"/>
          <w:tab w:val="center" w:pos="7200"/>
        </w:tabs>
        <w:jc w:val="center"/>
      </w:pPr>
      <w:r>
        <w:t>S249132</w:t>
      </w:r>
    </w:p>
    <w:p w:rsidR="005D426B" w:rsidP="005D426B" w14:paraId="7A2200F2" w14:textId="77777777">
      <w:pPr>
        <w:tabs>
          <w:tab w:val="left" w:pos="1440"/>
          <w:tab w:val="left" w:pos="4680"/>
          <w:tab w:val="center" w:pos="7200"/>
        </w:tabs>
        <w:jc w:val="center"/>
      </w:pPr>
    </w:p>
    <w:p w:rsidR="005D426B" w:rsidP="00B733E3" w14:paraId="058B3FD9" w14:textId="77777777">
      <w:pPr>
        <w:tabs>
          <w:tab w:val="left" w:pos="1440"/>
          <w:tab w:val="left" w:pos="4680"/>
          <w:tab w:val="center" w:pos="7200"/>
        </w:tabs>
        <w:jc w:val="center"/>
        <w:outlineLvl w:val="0"/>
      </w:pPr>
      <w:r>
        <w:t>Opinion of the Court by Cuéllar, J.</w:t>
      </w:r>
    </w:p>
    <w:p w:rsidR="005D426B" w:rsidRPr="005D426B" w:rsidP="005D426B" w14:paraId="4A1D2C17" w14:textId="77777777">
      <w:pPr>
        <w:tabs>
          <w:tab w:val="left" w:pos="1440"/>
          <w:tab w:val="left" w:pos="4680"/>
          <w:tab w:val="center" w:pos="7200"/>
        </w:tabs>
        <w:jc w:val="center"/>
      </w:pPr>
    </w:p>
    <w:p w:rsidR="00D75F42" w:rsidP="007210EF" w14:paraId="5C315A67" w14:textId="77777777">
      <w:pPr>
        <w:tabs>
          <w:tab w:val="left" w:pos="720"/>
        </w:tabs>
      </w:pPr>
      <w:r w:rsidRPr="005D426B">
        <w:tab/>
      </w:r>
      <w:r w:rsidRPr="005D426B" w:rsidR="007210EF">
        <w:t>California law permits</w:t>
      </w:r>
      <w:r w:rsidR="004B33FE">
        <w:t xml:space="preserve"> — but also sets certain limits on — </w:t>
      </w:r>
      <w:r w:rsidRPr="005D426B" w:rsidR="007210EF">
        <w:t xml:space="preserve">judicial review of adjudicatory decisions made by agencies </w:t>
      </w:r>
      <w:r w:rsidR="007210EF">
        <w:t>responsible for</w:t>
      </w:r>
      <w:r w:rsidRPr="005D426B" w:rsidR="007210EF">
        <w:t xml:space="preserve"> </w:t>
      </w:r>
      <w:r w:rsidR="007210EF">
        <w:t>implementing</w:t>
      </w:r>
      <w:r w:rsidRPr="005D426B" w:rsidR="007210EF">
        <w:t xml:space="preserve"> </w:t>
      </w:r>
      <w:r w:rsidR="007210EF">
        <w:t>public policies</w:t>
      </w:r>
      <w:r w:rsidRPr="005D426B" w:rsidR="007210EF">
        <w:t xml:space="preserve"> </w:t>
      </w:r>
      <w:r w:rsidR="007210EF">
        <w:t xml:space="preserve">on </w:t>
      </w:r>
      <w:r w:rsidRPr="005D426B" w:rsidR="007210EF">
        <w:t xml:space="preserve">health, natural resources, employment, and other issues.  </w:t>
      </w:r>
      <w:r w:rsidR="007210EF">
        <w:t xml:space="preserve">One example is </w:t>
      </w:r>
      <w:r w:rsidRPr="005D426B" w:rsidR="007210EF">
        <w:t>Government Code section 11523</w:t>
      </w:r>
      <w:r w:rsidR="004B33FE">
        <w:t>,</w:t>
      </w:r>
      <w:r>
        <w:rPr>
          <w:rStyle w:val="FootnoteReference"/>
        </w:rPr>
        <w:footnoteReference w:id="3"/>
      </w:r>
      <w:r w:rsidRPr="005D426B" w:rsidR="00691570">
        <w:t xml:space="preserve"> </w:t>
      </w:r>
      <w:r w:rsidR="007210EF">
        <w:t xml:space="preserve">which lets parties </w:t>
      </w:r>
      <w:r w:rsidRPr="005D426B" w:rsidR="007210EF">
        <w:t xml:space="preserve">seek </w:t>
      </w:r>
      <w:r w:rsidR="007210EF">
        <w:t>judicial</w:t>
      </w:r>
      <w:r w:rsidRPr="005D426B" w:rsidR="007210EF">
        <w:t xml:space="preserve"> review of an </w:t>
      </w:r>
      <w:r w:rsidR="007210EF">
        <w:t>agency’s</w:t>
      </w:r>
      <w:r w:rsidRPr="005D426B" w:rsidR="007210EF">
        <w:t xml:space="preserve"> </w:t>
      </w:r>
      <w:r w:rsidR="007210EF">
        <w:t>adjudicatory decision</w:t>
      </w:r>
      <w:r w:rsidRPr="005D426B" w:rsidR="007210EF">
        <w:t xml:space="preserve"> by filing a petition for a writ of administrative mandate “within 30 days after the last day on which reconsideration can be ordered.”</w:t>
      </w:r>
      <w:r w:rsidR="007210EF">
        <w:t xml:space="preserve">  </w:t>
      </w:r>
      <w:r w:rsidR="00CA4E52">
        <w:t>Yet</w:t>
      </w:r>
      <w:r w:rsidR="00841401">
        <w:t xml:space="preserve"> </w:t>
      </w:r>
      <w:r w:rsidR="00283C02">
        <w:t xml:space="preserve">lurking in </w:t>
      </w:r>
      <w:r w:rsidR="00841401">
        <w:t xml:space="preserve">the backdrop for </w:t>
      </w:r>
      <w:r w:rsidRPr="005D426B" w:rsidR="007210EF">
        <w:t>most limitations</w:t>
      </w:r>
      <w:r w:rsidR="007210EF">
        <w:t xml:space="preserve"> periods </w:t>
      </w:r>
      <w:r w:rsidRPr="005D426B" w:rsidR="007210EF">
        <w:t>is equitable tolling</w:t>
      </w:r>
      <w:r w:rsidR="00CA4E52">
        <w:t>:</w:t>
      </w:r>
      <w:r w:rsidR="001139DC">
        <w:t xml:space="preserve"> </w:t>
      </w:r>
      <w:r w:rsidRPr="005D426B" w:rsidR="007210EF">
        <w:t xml:space="preserve"> a </w:t>
      </w:r>
      <w:r w:rsidR="007210EF">
        <w:t>judicially created</w:t>
      </w:r>
      <w:r w:rsidRPr="005D426B" w:rsidR="007210EF">
        <w:t xml:space="preserve"> doctrine </w:t>
      </w:r>
      <w:r w:rsidR="007210EF">
        <w:t>allowing</w:t>
      </w:r>
      <w:r w:rsidRPr="005D426B" w:rsidR="007210EF">
        <w:t xml:space="preserve"> </w:t>
      </w:r>
      <w:r w:rsidRPr="005D426B" w:rsidR="007210EF">
        <w:t>courts</w:t>
      </w:r>
      <w:r w:rsidR="007210EF">
        <w:t xml:space="preserve"> to</w:t>
      </w:r>
      <w:r w:rsidRPr="005D426B" w:rsidR="007210EF">
        <w:t xml:space="preserve"> toll the </w:t>
      </w:r>
      <w:r w:rsidR="007210EF">
        <w:t>statute of limitations</w:t>
      </w:r>
      <w:r w:rsidRPr="005D426B" w:rsidR="007210EF">
        <w:t xml:space="preserve"> when justice so requires.</w:t>
      </w:r>
    </w:p>
    <w:p w:rsidR="00647A22" w:rsidP="00623E49" w14:paraId="5F3E22C6" w14:textId="14A8EC48">
      <w:pPr>
        <w:tabs>
          <w:tab w:val="left" w:pos="720"/>
        </w:tabs>
      </w:pPr>
      <w:r>
        <w:tab/>
      </w:r>
      <w:r w:rsidR="00614611">
        <w:t>What</w:t>
      </w:r>
      <w:r w:rsidR="00380CA9">
        <w:t xml:space="preserve"> </w:t>
      </w:r>
      <w:r w:rsidRPr="005D426B" w:rsidR="006958C1">
        <w:t xml:space="preserve">we must resolve in this case is </w:t>
      </w:r>
      <w:r w:rsidRPr="005D426B" w:rsidR="00000F06">
        <w:t>whether equitable tolling</w:t>
      </w:r>
      <w:r w:rsidRPr="005D426B" w:rsidR="00340BEC">
        <w:t xml:space="preserve"> can ever lessen </w:t>
      </w:r>
      <w:r w:rsidR="009005C8">
        <w:t>the otherwise strict time limit</w:t>
      </w:r>
      <w:r w:rsidRPr="005D426B" w:rsidR="00340BEC">
        <w:t xml:space="preserve"> on the availability of writs of administrative mandate under</w:t>
      </w:r>
      <w:r w:rsidRPr="005D426B" w:rsidR="00000F06">
        <w:t xml:space="preserve"> section 11523</w:t>
      </w:r>
      <w:r w:rsidR="0073282A">
        <w:t>,</w:t>
      </w:r>
      <w:r w:rsidRPr="005D426B" w:rsidR="00000F06">
        <w:t xml:space="preserve"> and</w:t>
      </w:r>
      <w:r w:rsidR="0073282A">
        <w:t xml:space="preserve"> </w:t>
      </w:r>
      <w:r w:rsidRPr="005D426B" w:rsidR="00000F06">
        <w:t>if so, whether</w:t>
      </w:r>
      <w:r w:rsidR="00B33D73">
        <w:t xml:space="preserve"> the</w:t>
      </w:r>
      <w:r w:rsidR="006B25CB">
        <w:t xml:space="preserve"> doctrine</w:t>
      </w:r>
      <w:r>
        <w:t xml:space="preserve"> applies in this case.  </w:t>
      </w:r>
      <w:r>
        <w:t>The answer to the first question is yes.</w:t>
      </w:r>
      <w:r w:rsidR="00D81B6F">
        <w:t xml:space="preserve"> </w:t>
      </w:r>
      <w:r w:rsidR="005C6B61">
        <w:t xml:space="preserve"> </w:t>
      </w:r>
      <w:r>
        <w:t>Section</w:t>
      </w:r>
      <w:r w:rsidRPr="005D426B" w:rsidR="00D81B6F">
        <w:t xml:space="preserve"> </w:t>
      </w:r>
      <w:r w:rsidRPr="005D426B" w:rsidR="009E1FC7">
        <w:t>11523</w:t>
      </w:r>
      <w:r w:rsidRPr="005D426B" w:rsidR="00000F06">
        <w:t xml:space="preserve"> allows for equitable tolling</w:t>
      </w:r>
      <w:r w:rsidR="00A55874">
        <w:t xml:space="preserve"> because nothing in the statute’s </w:t>
      </w:r>
      <w:r w:rsidR="00D81B6F">
        <w:t>language</w:t>
      </w:r>
      <w:r w:rsidRPr="005D426B" w:rsidR="00A55874">
        <w:t>, structure, or legislative history demonstrates</w:t>
      </w:r>
      <w:r w:rsidR="00A863FA">
        <w:t xml:space="preserve"> a legislatively</w:t>
      </w:r>
      <w:r w:rsidR="008E2129">
        <w:t xml:space="preserve"> </w:t>
      </w:r>
      <w:r w:rsidR="00A863FA">
        <w:t xml:space="preserve">enacted expectation </w:t>
      </w:r>
      <w:r w:rsidRPr="005D426B" w:rsidR="00A55874">
        <w:t>to prohibit</w:t>
      </w:r>
      <w:r w:rsidR="001C195B">
        <w:t xml:space="preserve"> </w:t>
      </w:r>
      <w:r w:rsidR="00FD2D48">
        <w:t>equitable</w:t>
      </w:r>
      <w:r w:rsidR="001C195B">
        <w:t xml:space="preserve"> tolling — which </w:t>
      </w:r>
      <w:r w:rsidR="00FD2D48">
        <w:t xml:space="preserve">otherwise tends to function as a crucial backdrop </w:t>
      </w:r>
      <w:r w:rsidR="001C195B">
        <w:t xml:space="preserve">to statutes of limitations.  </w:t>
      </w:r>
    </w:p>
    <w:p w:rsidR="00A55874" w:rsidP="00623E49" w14:paraId="6C65F868" w14:textId="75B4F3F1">
      <w:pPr>
        <w:tabs>
          <w:tab w:val="left" w:pos="720"/>
        </w:tabs>
      </w:pPr>
      <w:r>
        <w:tab/>
      </w:r>
      <w:r w:rsidR="0077598F">
        <w:t>Close scrutiny of that backdrop also reveals</w:t>
      </w:r>
      <w:r w:rsidR="0073282A">
        <w:t xml:space="preserve"> </w:t>
      </w:r>
      <w:r w:rsidR="001C195B">
        <w:t xml:space="preserve">that </w:t>
      </w:r>
      <w:r w:rsidR="004C0C51">
        <w:t xml:space="preserve">the first two elements of tolling </w:t>
      </w:r>
      <w:r w:rsidR="00FD2D48">
        <w:t xml:space="preserve">are satisfied in this case: </w:t>
      </w:r>
      <w:r w:rsidR="000C5928">
        <w:t xml:space="preserve"> </w:t>
      </w:r>
      <w:r w:rsidR="004C0C51">
        <w:t xml:space="preserve">timely notice </w:t>
      </w:r>
      <w:r w:rsidR="00F96059">
        <w:t>and lack of prejudice.</w:t>
      </w:r>
      <w:r w:rsidR="00A37C53">
        <w:t xml:space="preserve">  </w:t>
      </w:r>
      <w:r w:rsidR="00430588">
        <w:t>E</w:t>
      </w:r>
      <w:r w:rsidR="002F2255">
        <w:t>quitable tolling</w:t>
      </w:r>
      <w:r w:rsidR="00430588">
        <w:t xml:space="preserve"> nonetheless</w:t>
      </w:r>
      <w:r w:rsidR="002F2255">
        <w:t xml:space="preserve"> also </w:t>
      </w:r>
      <w:r w:rsidR="006C524D">
        <w:t xml:space="preserve">depends on </w:t>
      </w:r>
      <w:r w:rsidR="00384B97">
        <w:t xml:space="preserve">a third element — </w:t>
      </w:r>
      <w:r w:rsidR="006C524D">
        <w:t>the</w:t>
      </w:r>
      <w:r w:rsidR="00623E49">
        <w:t xml:space="preserve"> reasonable and</w:t>
      </w:r>
      <w:r w:rsidR="006C524D">
        <w:t xml:space="preserve"> </w:t>
      </w:r>
      <w:r w:rsidR="00623E49">
        <w:t xml:space="preserve">good faith </w:t>
      </w:r>
      <w:r w:rsidR="006C524D">
        <w:t>conduct of the party invoking it</w:t>
      </w:r>
      <w:r w:rsidR="00341DE9">
        <w:t xml:space="preserve"> —</w:t>
      </w:r>
      <w:r w:rsidR="006C524D">
        <w:t> and we cannot from this record glean, nor has the Court of Appeal thoroughly addressed, whether Saint Francis satisfies that element</w:t>
      </w:r>
      <w:r w:rsidR="00FD2D48">
        <w:t xml:space="preserve">.  So we </w:t>
      </w:r>
      <w:r w:rsidR="008F3774">
        <w:t>vacate</w:t>
      </w:r>
      <w:r w:rsidR="00AB2F6B">
        <w:t xml:space="preserve"> the judgment and remand for the Court o</w:t>
      </w:r>
      <w:r w:rsidR="005D4C10">
        <w:t>f Appeal to determine whether</w:t>
      </w:r>
      <w:r w:rsidR="00AB2F6B">
        <w:t xml:space="preserve"> the third element of equitable tolling</w:t>
      </w:r>
      <w:r w:rsidR="005D4C10">
        <w:t xml:space="preserve"> is satisfied. </w:t>
      </w:r>
    </w:p>
    <w:p w:rsidR="00EE4B73" w:rsidRPr="005D426B" w:rsidP="00B733E3" w14:paraId="1EF7A991" w14:textId="77777777">
      <w:pPr>
        <w:tabs>
          <w:tab w:val="left" w:pos="720"/>
        </w:tabs>
        <w:jc w:val="center"/>
        <w:outlineLvl w:val="0"/>
        <w:rPr>
          <w:b/>
        </w:rPr>
      </w:pPr>
      <w:r w:rsidRPr="005D426B">
        <w:rPr>
          <w:b/>
        </w:rPr>
        <w:t>I.</w:t>
      </w:r>
    </w:p>
    <w:p w:rsidR="0066273D" w:rsidRPr="005D426B" w:rsidP="00E55639" w14:paraId="1E30D5DA" w14:textId="77777777">
      <w:pPr>
        <w:tabs>
          <w:tab w:val="left" w:pos="630"/>
          <w:tab w:val="left" w:pos="720"/>
        </w:tabs>
      </w:pPr>
      <w:r w:rsidRPr="005D426B">
        <w:tab/>
      </w:r>
      <w:r w:rsidRPr="005D426B" w:rsidR="006958C1">
        <w:t xml:space="preserve">When the </w:t>
      </w:r>
      <w:r w:rsidR="0096037B">
        <w:t>State</w:t>
      </w:r>
      <w:r w:rsidRPr="005D426B" w:rsidR="0096037B">
        <w:t xml:space="preserve"> </w:t>
      </w:r>
      <w:r w:rsidRPr="005D426B" w:rsidR="006958C1">
        <w:t>Department of Public Health</w:t>
      </w:r>
      <w:r w:rsidR="005B62F0">
        <w:t xml:space="preserve"> (the Department)</w:t>
      </w:r>
      <w:r w:rsidRPr="005D426B" w:rsidR="006958C1">
        <w:t xml:space="preserve"> learned that </w:t>
      </w:r>
      <w:r w:rsidRPr="005D426B" w:rsidR="009E1FC7">
        <w:t xml:space="preserve">doctors </w:t>
      </w:r>
      <w:r w:rsidRPr="005D426B" w:rsidR="00CC37E8">
        <w:t>at Sa</w:t>
      </w:r>
      <w:r w:rsidRPr="005D426B" w:rsidR="004B4A5C">
        <w:t>i</w:t>
      </w:r>
      <w:r w:rsidRPr="005D426B" w:rsidR="00CC37E8">
        <w:t>nt Francis Memorial Hospital</w:t>
      </w:r>
      <w:r w:rsidR="00AB3CEA">
        <w:t xml:space="preserve"> </w:t>
      </w:r>
      <w:r w:rsidRPr="005D426B" w:rsidR="00CC37E8">
        <w:t xml:space="preserve">left a </w:t>
      </w:r>
      <w:r w:rsidRPr="005D426B" w:rsidR="00DB0418">
        <w:t xml:space="preserve">surgical </w:t>
      </w:r>
      <w:r w:rsidRPr="005D426B" w:rsidR="00CC37E8">
        <w:t xml:space="preserve">sponge in a patient during </w:t>
      </w:r>
      <w:r w:rsidRPr="005D426B" w:rsidR="006E4B8C">
        <w:t xml:space="preserve">a 2010 </w:t>
      </w:r>
      <w:r w:rsidRPr="005D426B" w:rsidR="00CC37E8">
        <w:t>surgery</w:t>
      </w:r>
      <w:r w:rsidRPr="005D426B" w:rsidR="00921A96">
        <w:t xml:space="preserve">, </w:t>
      </w:r>
      <w:r w:rsidRPr="005D426B" w:rsidR="006958C1">
        <w:t xml:space="preserve">it </w:t>
      </w:r>
      <w:r w:rsidRPr="005D426B" w:rsidR="00DB0418">
        <w:t>imposed a $50,000</w:t>
      </w:r>
      <w:r w:rsidRPr="005D426B" w:rsidR="00E1319F">
        <w:t xml:space="preserve"> fine</w:t>
      </w:r>
      <w:r w:rsidRPr="005D426B" w:rsidR="00DB0418">
        <w:t xml:space="preserve"> on</w:t>
      </w:r>
      <w:r w:rsidRPr="005D426B" w:rsidR="00E1319F">
        <w:t xml:space="preserve"> the hospital</w:t>
      </w:r>
      <w:r w:rsidR="00E55639">
        <w:t xml:space="preserve">.  </w:t>
      </w:r>
      <w:r w:rsidRPr="005D426B" w:rsidR="00DB0418">
        <w:t xml:space="preserve">The Department alleged that Saint Francis had </w:t>
      </w:r>
      <w:r w:rsidRPr="005D426B">
        <w:t>“failed to develop and implement a [sponge] count procedure</w:t>
      </w:r>
      <w:r w:rsidRPr="005D426B" w:rsidR="007D66C7">
        <w:t xml:space="preserve">” and lacked a policy to </w:t>
      </w:r>
      <w:r w:rsidRPr="005D426B" w:rsidR="00395DDD">
        <w:t xml:space="preserve">properly </w:t>
      </w:r>
      <w:r w:rsidRPr="005D426B" w:rsidR="007D66C7">
        <w:t xml:space="preserve">train </w:t>
      </w:r>
      <w:r w:rsidRPr="005D426B" w:rsidR="00FA6BCD">
        <w:t>its staff</w:t>
      </w:r>
      <w:r w:rsidRPr="005D426B" w:rsidR="007D0D87">
        <w:t xml:space="preserve">, </w:t>
      </w:r>
      <w:r w:rsidRPr="005D426B">
        <w:t>as required by California Code of Regulations, title 22, secti</w:t>
      </w:r>
      <w:r w:rsidR="00E55639">
        <w:t xml:space="preserve">on 70223, subdivision (b)(2).  </w:t>
      </w:r>
    </w:p>
    <w:p w:rsidR="00A66B7F" w:rsidP="00C735AA" w14:paraId="5288CC2F" w14:textId="03D214B0">
      <w:pPr>
        <w:tabs>
          <w:tab w:val="left" w:pos="630"/>
          <w:tab w:val="left" w:pos="720"/>
        </w:tabs>
      </w:pPr>
      <w:r w:rsidRPr="005D426B">
        <w:tab/>
        <w:t>Saint Francis appealed</w:t>
      </w:r>
      <w:r w:rsidR="00E55639">
        <w:t xml:space="preserve">.  </w:t>
      </w:r>
      <w:r w:rsidRPr="005D426B" w:rsidR="00340BEC">
        <w:t>A</w:t>
      </w:r>
      <w:r w:rsidRPr="005D426B" w:rsidR="001F0C49">
        <w:t>fter</w:t>
      </w:r>
      <w:r w:rsidRPr="005D426B" w:rsidR="00F4147A">
        <w:t xml:space="preserve"> a hearing, </w:t>
      </w:r>
      <w:r w:rsidRPr="005D426B" w:rsidR="00C33D77">
        <w:t xml:space="preserve">an </w:t>
      </w:r>
      <w:r w:rsidR="00CA04CF">
        <w:t>a</w:t>
      </w:r>
      <w:r w:rsidRPr="005D426B" w:rsidR="00C33D77">
        <w:t xml:space="preserve">dministrative </w:t>
      </w:r>
      <w:r w:rsidR="00CA04CF">
        <w:t>l</w:t>
      </w:r>
      <w:r w:rsidRPr="005D426B" w:rsidR="00C33D77">
        <w:t xml:space="preserve">aw </w:t>
      </w:r>
      <w:r w:rsidR="00CA04CF">
        <w:t>j</w:t>
      </w:r>
      <w:r w:rsidRPr="005D426B" w:rsidR="00C33D77">
        <w:t>udge (ALJ) issued a proposed decision</w:t>
      </w:r>
      <w:r w:rsidRPr="005D426B" w:rsidR="00340BEC">
        <w:t xml:space="preserve"> in </w:t>
      </w:r>
      <w:r w:rsidR="00C735AA">
        <w:t xml:space="preserve">Saint Francis’s favor.  </w:t>
      </w:r>
      <w:r w:rsidRPr="005D426B" w:rsidR="00C33D77">
        <w:t xml:space="preserve">The ALJ reasoned that </w:t>
      </w:r>
      <w:r w:rsidRPr="005D426B" w:rsidR="00AD78FD">
        <w:t>the</w:t>
      </w:r>
      <w:r w:rsidRPr="005D426B" w:rsidR="00BE13C9">
        <w:t xml:space="preserve"> regulations were not “intended to impose a penalty for any adverse occurrence during the provision of surgical services” — they only required Saint Francis to “develop[] and implement[] surgical safety </w:t>
      </w:r>
      <w:r w:rsidRPr="005D426B" w:rsidR="001F0C49">
        <w:t>[policies]</w:t>
      </w:r>
      <w:r w:rsidR="00C735AA">
        <w:t xml:space="preserve">.”  </w:t>
      </w:r>
      <w:r w:rsidRPr="005D426B" w:rsidR="00BE13C9">
        <w:t>Because</w:t>
      </w:r>
      <w:r w:rsidRPr="005D426B" w:rsidR="007579FF">
        <w:t xml:space="preserve"> </w:t>
      </w:r>
      <w:r w:rsidRPr="005D426B" w:rsidR="00A66489">
        <w:t>those policies existed at the time of the incident, Saint Francis wasn’t liable</w:t>
      </w:r>
      <w:r w:rsidR="00D81B6F">
        <w:t xml:space="preserve"> </w:t>
      </w:r>
      <w:r w:rsidR="00647A22">
        <w:t>for violating the regulations</w:t>
      </w:r>
      <w:r w:rsidRPr="005D426B" w:rsidR="00A66489">
        <w:t>.</w:t>
      </w:r>
    </w:p>
    <w:p w:rsidR="00340BEC" w:rsidRPr="005D426B" w:rsidP="00852F2E" w14:paraId="650E058F" w14:textId="77777777">
      <w:pPr>
        <w:tabs>
          <w:tab w:val="left" w:pos="630"/>
          <w:tab w:val="left" w:pos="720"/>
        </w:tabs>
      </w:pPr>
      <w:r>
        <w:tab/>
      </w:r>
      <w:r w:rsidR="00E569C0">
        <w:t xml:space="preserve">On administrative review, however, the Department </w:t>
      </w:r>
      <w:r w:rsidRPr="005D426B" w:rsidR="00F4147A">
        <w:t xml:space="preserve">reversed the ALJ’s proposed decision and </w:t>
      </w:r>
      <w:r w:rsidRPr="005D426B" w:rsidR="000A63B6">
        <w:t>upheld the penalty against Saint Francis.</w:t>
      </w:r>
      <w:r>
        <w:rPr>
          <w:rStyle w:val="FootnoteReference"/>
        </w:rPr>
        <w:footnoteReference w:id="4"/>
      </w:r>
      <w:r w:rsidR="00C735AA">
        <w:t xml:space="preserve">  </w:t>
      </w:r>
      <w:r w:rsidRPr="005D426B" w:rsidR="000A63B6">
        <w:t xml:space="preserve">It </w:t>
      </w:r>
      <w:r w:rsidRPr="005D426B" w:rsidR="00F4147A">
        <w:t>reasoned</w:t>
      </w:r>
      <w:r w:rsidRPr="005D426B" w:rsidR="000A63B6">
        <w:t xml:space="preserve"> that “the term ‘implement’ informs licensees that they must not only develop and maintain a policy, [but] must actual</w:t>
      </w:r>
      <w:r w:rsidR="00C735AA">
        <w:t xml:space="preserve">ly use the policy.”  </w:t>
      </w:r>
      <w:r w:rsidRPr="005D426B" w:rsidR="000A63B6">
        <w:t xml:space="preserve">Saint Francis had failed to </w:t>
      </w:r>
      <w:r w:rsidRPr="005D426B" w:rsidR="0067349A">
        <w:t>put</w:t>
      </w:r>
      <w:r w:rsidRPr="005D426B" w:rsidR="000A63B6">
        <w:t xml:space="preserve"> its sponge-count policy</w:t>
      </w:r>
      <w:r w:rsidRPr="005D426B" w:rsidR="0067349A">
        <w:t xml:space="preserve"> into practice</w:t>
      </w:r>
      <w:r w:rsidRPr="005D426B" w:rsidR="000A63B6">
        <w:t xml:space="preserve"> — “[h]ad </w:t>
      </w:r>
      <w:r w:rsidRPr="005D426B" w:rsidR="00505DF6">
        <w:t>[it]</w:t>
      </w:r>
      <w:r w:rsidRPr="005D426B" w:rsidR="000A63B6">
        <w:t xml:space="preserve"> done so, the sponge count would have revealed that a four-inch by eight-inch surgical sponge was still inside the patient</w:t>
      </w:r>
      <w:r w:rsidRPr="005D426B" w:rsidR="00850942">
        <w:t>”</w:t>
      </w:r>
      <w:r w:rsidRPr="005D426B" w:rsidR="000A63B6">
        <w:t xml:space="preserve"> — </w:t>
      </w:r>
      <w:r w:rsidRPr="005D426B" w:rsidR="00580E6B">
        <w:t xml:space="preserve">so </w:t>
      </w:r>
      <w:r w:rsidR="00852F2E">
        <w:t xml:space="preserve">the hospital </w:t>
      </w:r>
      <w:r w:rsidRPr="005D426B" w:rsidR="001B66A3">
        <w:t>had violated the regulations</w:t>
      </w:r>
      <w:r w:rsidR="000A12D8">
        <w:t xml:space="preserve">.  </w:t>
      </w:r>
      <w:r w:rsidRPr="005D426B" w:rsidR="0050264A">
        <w:t xml:space="preserve">The Department served Saint Francis with its decision — which was “effective immediately” </w:t>
      </w:r>
      <w:r w:rsidR="000A12D8">
        <w:t>— on December 16, 2015.</w:t>
      </w:r>
      <w:r>
        <w:rPr>
          <w:rStyle w:val="FootnoteReference"/>
        </w:rPr>
        <w:footnoteReference w:id="5"/>
      </w:r>
      <w:r w:rsidR="000A12D8">
        <w:t xml:space="preserve"> </w:t>
      </w:r>
    </w:p>
    <w:p w:rsidR="00273978" w:rsidRPr="005D426B" w:rsidP="00305F9D" w14:paraId="65F81AA9" w14:textId="6137AD14">
      <w:pPr>
        <w:tabs>
          <w:tab w:val="left" w:pos="630"/>
          <w:tab w:val="left" w:pos="720"/>
        </w:tabs>
      </w:pPr>
      <w:r w:rsidRPr="005D426B">
        <w:tab/>
        <w:t xml:space="preserve">Two weeks later, on December 30, 2015, </w:t>
      </w:r>
      <w:r w:rsidRPr="005D426B" w:rsidR="0067349A">
        <w:t xml:space="preserve">Saint Francis filed a request for reconsideration under section </w:t>
      </w:r>
      <w:r w:rsidR="00DB617F">
        <w:t>1152</w:t>
      </w:r>
      <w:r w:rsidR="00B9189D">
        <w:t xml:space="preserve">1.  </w:t>
      </w:r>
      <w:r w:rsidR="0073282A">
        <w:t>This</w:t>
      </w:r>
      <w:r w:rsidR="00B9189D">
        <w:t xml:space="preserve"> section</w:t>
      </w:r>
      <w:r w:rsidR="00194038">
        <w:t xml:space="preserve"> typically</w:t>
      </w:r>
      <w:r w:rsidR="00DB617F">
        <w:t xml:space="preserve"> allows </w:t>
      </w:r>
      <w:r w:rsidR="00DE5094">
        <w:t xml:space="preserve">an agency to order reconsideration of its decision </w:t>
      </w:r>
      <w:r w:rsidR="00305F9D">
        <w:t>within “30 days after the delivery or mailing of a decision to a respondent</w:t>
      </w:r>
      <w:r w:rsidRPr="005D426B" w:rsidR="0067349A">
        <w:t>.</w:t>
      </w:r>
      <w:r w:rsidR="00305F9D">
        <w:t>”  (</w:t>
      </w:r>
      <w:r w:rsidRPr="00F47A20" w:rsidR="002A7AFC">
        <w:t>§</w:t>
      </w:r>
      <w:r w:rsidR="002A7AFC">
        <w:t xml:space="preserve"> 11521</w:t>
      </w:r>
      <w:r w:rsidR="00FF422A">
        <w:t>, subd. (a)</w:t>
      </w:r>
      <w:r w:rsidR="002A7AFC">
        <w:t>.)</w:t>
      </w:r>
      <w:r w:rsidR="00FF422A">
        <w:t xml:space="preserve">  </w:t>
      </w:r>
      <w:r w:rsidRPr="005D426B" w:rsidR="00B42F18">
        <w:t>According to Saint</w:t>
      </w:r>
      <w:r w:rsidRPr="005D426B">
        <w:t xml:space="preserve"> Francis, the</w:t>
      </w:r>
      <w:r w:rsidRPr="005D426B" w:rsidR="00DB40F2">
        <w:t xml:space="preserve"> Department</w:t>
      </w:r>
      <w:r w:rsidRPr="005D426B" w:rsidR="005A0E88">
        <w:t xml:space="preserve"> </w:t>
      </w:r>
      <w:r w:rsidR="0073282A">
        <w:t>had mistakenly</w:t>
      </w:r>
      <w:r w:rsidRPr="005D426B" w:rsidR="0073282A">
        <w:t xml:space="preserve"> </w:t>
      </w:r>
      <w:r w:rsidR="0073282A">
        <w:t>placed</w:t>
      </w:r>
      <w:r w:rsidRPr="005D426B" w:rsidR="00954151">
        <w:t xml:space="preserve"> the burden of proof on </w:t>
      </w:r>
      <w:r w:rsidRPr="005D426B" w:rsidR="0060001C">
        <w:t>the hospital</w:t>
      </w:r>
      <w:r w:rsidRPr="005D426B" w:rsidR="00954151">
        <w:t>, and</w:t>
      </w:r>
      <w:r w:rsidR="009D73E6">
        <w:t xml:space="preserve"> by</w:t>
      </w:r>
      <w:r w:rsidRPr="005D426B" w:rsidR="00954151">
        <w:t xml:space="preserve"> </w:t>
      </w:r>
      <w:r w:rsidRPr="005D426B">
        <w:t>fail</w:t>
      </w:r>
      <w:r w:rsidR="001B117D">
        <w:t>ing</w:t>
      </w:r>
      <w:r w:rsidRPr="005D426B" w:rsidR="00954151">
        <w:t xml:space="preserve"> to consider evidence introduced by Saint Francis at the </w:t>
      </w:r>
      <w:r w:rsidR="000A12D8">
        <w:t xml:space="preserve">administrative hearing.  </w:t>
      </w:r>
      <w:r w:rsidRPr="005D426B" w:rsidR="00DB40F2">
        <w:t xml:space="preserve">The </w:t>
      </w:r>
      <w:r w:rsidRPr="005D426B" w:rsidR="00142964">
        <w:t>D</w:t>
      </w:r>
      <w:r w:rsidRPr="005D426B" w:rsidR="00DB40F2">
        <w:t>epartment</w:t>
      </w:r>
      <w:r w:rsidRPr="005D426B">
        <w:t xml:space="preserve"> sought to rebut these arguments </w:t>
      </w:r>
      <w:r w:rsidR="00B9780B">
        <w:t xml:space="preserve">on the merits </w:t>
      </w:r>
      <w:r w:rsidR="00EA54FF">
        <w:t>in its</w:t>
      </w:r>
      <w:r w:rsidRPr="005D426B" w:rsidR="00DB40F2">
        <w:t xml:space="preserve"> respo</w:t>
      </w:r>
      <w:r w:rsidRPr="005D426B">
        <w:t>nse</w:t>
      </w:r>
      <w:r w:rsidR="00EA54FF">
        <w:t>, which it filed</w:t>
      </w:r>
      <w:r w:rsidRPr="005D426B" w:rsidR="00DB40F2">
        <w:t xml:space="preserve"> on January 8, 2016. </w:t>
      </w:r>
      <w:r w:rsidR="000A12D8">
        <w:t xml:space="preserve"> </w:t>
      </w:r>
    </w:p>
    <w:p w:rsidR="003B0D5B" w:rsidRPr="005D426B" w:rsidP="006B0517" w14:paraId="7A23ABD1" w14:textId="0F68FAB8">
      <w:pPr>
        <w:tabs>
          <w:tab w:val="left" w:pos="630"/>
          <w:tab w:val="left" w:pos="720"/>
        </w:tabs>
      </w:pPr>
      <w:r w:rsidRPr="005D426B">
        <w:tab/>
        <w:t>On January 14, 2016, Saint</w:t>
      </w:r>
      <w:r w:rsidRPr="005D426B" w:rsidR="00627C81">
        <w:t xml:space="preserve"> Francis’s legal counsel wrote to counsel for the Department</w:t>
      </w:r>
      <w:r w:rsidR="00B9189D">
        <w:t>.  Counsel for Saint Francis sought</w:t>
      </w:r>
      <w:r w:rsidRPr="005D426B" w:rsidR="00627C81">
        <w:t xml:space="preserve"> to confirm </w:t>
      </w:r>
      <w:r w:rsidR="00B0483A">
        <w:t>his</w:t>
      </w:r>
      <w:r w:rsidRPr="005D426B" w:rsidR="00627C81">
        <w:t xml:space="preserve"> understanding that the Department had until “next Tuesday [January 19] to decide the request [fo</w:t>
      </w:r>
      <w:r w:rsidR="000A12D8">
        <w:t xml:space="preserve">r reconsideration].”  </w:t>
      </w:r>
      <w:r w:rsidRPr="005D426B" w:rsidR="00627C81">
        <w:t>Saint Francis explained that, if the request for reconsideration was denied, it “intend[ed] to petition for a writ of mandate wit</w:t>
      </w:r>
      <w:r w:rsidR="000A12D8">
        <w:t xml:space="preserve">h the Superior Court.”  </w:t>
      </w:r>
      <w:r w:rsidRPr="005D426B" w:rsidR="00C16DFA">
        <w:t>O</w:t>
      </w:r>
      <w:r w:rsidRPr="005D426B" w:rsidR="00627C81">
        <w:t>n January 19, 2016</w:t>
      </w:r>
      <w:r w:rsidRPr="005D426B" w:rsidR="00A612FF">
        <w:t xml:space="preserve"> </w:t>
      </w:r>
      <w:r w:rsidRPr="005D426B" w:rsidR="005C5FCD">
        <w:t xml:space="preserve">— which, as the parties later learned, was after the deadline by which Saint Francis </w:t>
      </w:r>
      <w:r w:rsidRPr="005D426B" w:rsidR="000B129E">
        <w:t>should have filed</w:t>
      </w:r>
      <w:r w:rsidRPr="005D426B" w:rsidR="005C5FCD">
        <w:t xml:space="preserve"> its petition for a writ of administrative mandate — </w:t>
      </w:r>
      <w:r w:rsidRPr="005D426B" w:rsidR="00627C81">
        <w:t xml:space="preserve">counsel for the Department responded: </w:t>
      </w:r>
      <w:r w:rsidRPr="005D426B" w:rsidR="00D25CD7">
        <w:t xml:space="preserve"> </w:t>
      </w:r>
      <w:r w:rsidRPr="005D426B" w:rsidR="00627C81">
        <w:t>“I bel</w:t>
      </w:r>
      <w:r w:rsidR="000A12D8">
        <w:t xml:space="preserve">ieve you are correct.”  </w:t>
      </w:r>
      <w:r w:rsidRPr="005D426B" w:rsidR="002B7548">
        <w:t xml:space="preserve">The Department’s counsel </w:t>
      </w:r>
      <w:r w:rsidR="006B0517">
        <w:t>didn’t</w:t>
      </w:r>
      <w:r w:rsidRPr="005D426B" w:rsidR="002B7548">
        <w:t xml:space="preserve"> mention that</w:t>
      </w:r>
      <w:r w:rsidR="00790E79">
        <w:t xml:space="preserve"> </w:t>
      </w:r>
      <w:r w:rsidR="00EF0EEE">
        <w:t>section 11523’s</w:t>
      </w:r>
      <w:r w:rsidR="00790E79">
        <w:t xml:space="preserve"> 30-day </w:t>
      </w:r>
      <w:r w:rsidRPr="005D426B" w:rsidR="00B54C4D">
        <w:t xml:space="preserve">statute of limitations </w:t>
      </w:r>
      <w:r w:rsidR="00790E79">
        <w:t xml:space="preserve">for filing a petition for a writ of administrative mandate had begun running on the effective </w:t>
      </w:r>
      <w:r w:rsidR="00FA2DD1">
        <w:t>date of the Department’s decision</w:t>
      </w:r>
      <w:r w:rsidR="00D371BE">
        <w:t>, December 16, 2015, and expire</w:t>
      </w:r>
      <w:r w:rsidR="0066651E">
        <w:t>d</w:t>
      </w:r>
      <w:r w:rsidR="00D371BE">
        <w:t xml:space="preserve"> on </w:t>
      </w:r>
      <w:r w:rsidR="0066651E">
        <w:t>January 15, 2016.  Instead, c</w:t>
      </w:r>
      <w:r w:rsidR="003D54C0">
        <w:t xml:space="preserve">ounsel for the Department </w:t>
      </w:r>
      <w:r w:rsidRPr="005D426B" w:rsidR="00B54C4D">
        <w:t xml:space="preserve">offered to put Saint </w:t>
      </w:r>
      <w:r w:rsidRPr="005D426B" w:rsidR="00A57DC3">
        <w:t xml:space="preserve">Francis in touch with the </w:t>
      </w:r>
      <w:r w:rsidRPr="005D426B" w:rsidR="00A73420">
        <w:t>lawyer</w:t>
      </w:r>
      <w:r w:rsidRPr="005D426B" w:rsidR="00011E23">
        <w:t xml:space="preserve"> who would be</w:t>
      </w:r>
      <w:r w:rsidRPr="005D426B" w:rsidR="00A73420">
        <w:t xml:space="preserve"> representing the Department</w:t>
      </w:r>
      <w:r w:rsidRPr="005D426B" w:rsidR="007D225F">
        <w:t xml:space="preserve"> in the superior court proceedings.</w:t>
      </w:r>
      <w:r w:rsidR="000A12D8">
        <w:t xml:space="preserve">  </w:t>
      </w:r>
      <w:r w:rsidRPr="005D426B" w:rsidR="00011E23">
        <w:t xml:space="preserve">  </w:t>
      </w:r>
      <w:r w:rsidRPr="005D426B" w:rsidR="00A73420">
        <w:t xml:space="preserve"> </w:t>
      </w:r>
    </w:p>
    <w:p w:rsidR="0072394E" w:rsidP="00536DF0" w14:paraId="45837CBE" w14:textId="3CB07621">
      <w:pPr>
        <w:tabs>
          <w:tab w:val="left" w:pos="630"/>
          <w:tab w:val="left" w:pos="720"/>
        </w:tabs>
      </w:pPr>
      <w:r w:rsidRPr="005D426B">
        <w:tab/>
      </w:r>
      <w:r w:rsidR="00B9189D">
        <w:t>The</w:t>
      </w:r>
      <w:r w:rsidRPr="005D426B">
        <w:t xml:space="preserve"> Department</w:t>
      </w:r>
      <w:r w:rsidR="00982D9D">
        <w:t xml:space="preserve"> also</w:t>
      </w:r>
      <w:r w:rsidRPr="005D426B">
        <w:t xml:space="preserve"> denied</w:t>
      </w:r>
      <w:r w:rsidRPr="005D426B" w:rsidR="00E53814">
        <w:t xml:space="preserve"> Saint Francis’s request for r</w:t>
      </w:r>
      <w:r w:rsidR="000A12D8">
        <w:t>econsideration</w:t>
      </w:r>
      <w:r w:rsidR="00B9189D">
        <w:t xml:space="preserve"> on January 14, 2016</w:t>
      </w:r>
      <w:r w:rsidR="000A12D8">
        <w:t xml:space="preserve">.  </w:t>
      </w:r>
      <w:r w:rsidRPr="005D426B" w:rsidR="003B0D5B">
        <w:t>It explained that</w:t>
      </w:r>
      <w:r>
        <w:t xml:space="preserve"> because </w:t>
      </w:r>
      <w:r w:rsidR="00B363EE">
        <w:t xml:space="preserve">the Department’s decision was “effective immediately,” </w:t>
      </w:r>
      <w:r w:rsidR="00652A02">
        <w:t xml:space="preserve">Saint Francis </w:t>
      </w:r>
      <w:r w:rsidR="00536DF0">
        <w:t>couldn’t</w:t>
      </w:r>
      <w:r w:rsidR="00652A02">
        <w:t xml:space="preserve"> seek reconsideration</w:t>
      </w:r>
      <w:r w:rsidR="00B363EE">
        <w:t xml:space="preserve"> of the Department’</w:t>
      </w:r>
      <w:r w:rsidR="000F78CB">
        <w:t xml:space="preserve">s decision.  The Department was thus “unable to consider [Saint Francis’s] Request for Reconsideration[,] which is deemed denied.”  </w:t>
      </w:r>
    </w:p>
    <w:p w:rsidR="0050264A" w:rsidRPr="005D426B" w:rsidP="006C4D2A" w14:paraId="60555CC3" w14:textId="0CE8B642">
      <w:pPr>
        <w:tabs>
          <w:tab w:val="left" w:pos="630"/>
          <w:tab w:val="left" w:pos="720"/>
        </w:tabs>
      </w:pPr>
      <w:r w:rsidRPr="005D426B">
        <w:tab/>
        <w:t>On January 26, 2016 —</w:t>
      </w:r>
      <w:r w:rsidR="0073282A">
        <w:t xml:space="preserve"> </w:t>
      </w:r>
      <w:r w:rsidR="00901354">
        <w:t>just 11</w:t>
      </w:r>
      <w:r w:rsidRPr="005D426B" w:rsidR="00340BEC">
        <w:t xml:space="preserve"> days after</w:t>
      </w:r>
      <w:r w:rsidR="00253AB2">
        <w:t xml:space="preserve"> the Department </w:t>
      </w:r>
      <w:r w:rsidR="006C4D2A">
        <w:t>denied</w:t>
      </w:r>
      <w:r w:rsidR="00253AB2">
        <w:t xml:space="preserve"> </w:t>
      </w:r>
      <w:r w:rsidRPr="005D426B" w:rsidR="00340BEC">
        <w:t>Saint Francis’</w:t>
      </w:r>
      <w:r w:rsidRPr="005D426B" w:rsidR="00776D86">
        <w:t>s</w:t>
      </w:r>
      <w:r w:rsidRPr="005D426B" w:rsidR="00340BEC">
        <w:t xml:space="preserve"> request for reconsideration</w:t>
      </w:r>
      <w:r w:rsidR="0073282A">
        <w:t xml:space="preserve">, but </w:t>
      </w:r>
      <w:r w:rsidRPr="005D426B" w:rsidR="0073282A">
        <w:t xml:space="preserve">41 days after </w:t>
      </w:r>
      <w:r w:rsidR="0073282A">
        <w:t xml:space="preserve">being </w:t>
      </w:r>
      <w:r w:rsidRPr="005D426B" w:rsidR="0073282A">
        <w:t>served with the Department’s final decision</w:t>
      </w:r>
      <w:r w:rsidRPr="005D426B">
        <w:t xml:space="preserve"> — Saint Francis filed a petition for </w:t>
      </w:r>
      <w:r w:rsidRPr="005D426B" w:rsidR="006C5990">
        <w:t xml:space="preserve">a </w:t>
      </w:r>
      <w:r w:rsidRPr="005D426B">
        <w:t xml:space="preserve">writ of administrative </w:t>
      </w:r>
      <w:r w:rsidRPr="005D426B" w:rsidR="003B77FC">
        <w:t>mandate</w:t>
      </w:r>
      <w:r w:rsidRPr="005D426B" w:rsidR="00F1235E">
        <w:t xml:space="preserve"> in superior court</w:t>
      </w:r>
      <w:r w:rsidRPr="005D426B">
        <w:t xml:space="preserve">.  </w:t>
      </w:r>
      <w:r w:rsidRPr="005D426B" w:rsidR="00544B09">
        <w:t>(S</w:t>
      </w:r>
      <w:r w:rsidRPr="005D426B" w:rsidR="003B0D5B">
        <w:t xml:space="preserve">ee </w:t>
      </w:r>
      <w:r w:rsidRPr="00F47A20" w:rsidR="00B52AEA">
        <w:t>§</w:t>
      </w:r>
      <w:r w:rsidR="00D51EFB">
        <w:t> </w:t>
      </w:r>
      <w:r w:rsidR="00B52AEA">
        <w:t>11521</w:t>
      </w:r>
      <w:r w:rsidRPr="005D426B" w:rsidR="003A5F13">
        <w:t>.)</w:t>
      </w:r>
      <w:r w:rsidRPr="005D426B" w:rsidR="003B0D5B">
        <w:t xml:space="preserve">  </w:t>
      </w:r>
      <w:r w:rsidRPr="005D426B" w:rsidR="009B307D">
        <w:t xml:space="preserve">The Department </w:t>
      </w:r>
      <w:r w:rsidRPr="005D426B" w:rsidR="00BE7506">
        <w:t xml:space="preserve">demurred on the ground that the petition was </w:t>
      </w:r>
      <w:r w:rsidRPr="005D426B" w:rsidR="00B510FD">
        <w:t>untimely</w:t>
      </w:r>
      <w:r w:rsidRPr="005D426B" w:rsidR="00BE7506">
        <w:t xml:space="preserve"> under section 11523</w:t>
      </w:r>
      <w:r w:rsidR="00D818A6">
        <w:t xml:space="preserve">, </w:t>
      </w:r>
      <w:r w:rsidRPr="005D426B" w:rsidR="00BE7506">
        <w:t>which requires that a writ petition “be filed within 30 days after the last day on which reconsideration can be ordered.”</w:t>
      </w:r>
      <w:r w:rsidRPr="005D426B" w:rsidR="00B97023">
        <w:t xml:space="preserve">  </w:t>
      </w:r>
      <w:r w:rsidRPr="005D426B" w:rsidR="004A5FC5">
        <w:t>After</w:t>
      </w:r>
      <w:r w:rsidRPr="005D426B" w:rsidR="000B4395">
        <w:t xml:space="preserve"> allowing Saint Francis to amend its </w:t>
      </w:r>
      <w:r w:rsidRPr="005D426B" w:rsidR="00CB38A4">
        <w:t>petition</w:t>
      </w:r>
      <w:r w:rsidRPr="005D426B" w:rsidR="00793C4B">
        <w:t>,</w:t>
      </w:r>
      <w:r w:rsidRPr="005D426B" w:rsidR="004A5FC5">
        <w:t xml:space="preserve"> </w:t>
      </w:r>
      <w:r w:rsidRPr="005D426B" w:rsidR="00BA6F1B">
        <w:t>the court sust</w:t>
      </w:r>
      <w:r w:rsidRPr="005D426B" w:rsidR="0088198E">
        <w:t>ained the Department’s demurrer</w:t>
      </w:r>
      <w:r w:rsidR="00091ECD">
        <w:t xml:space="preserve">.  </w:t>
      </w:r>
      <w:r w:rsidRPr="005D426B" w:rsidR="00BA6F1B">
        <w:t>It reasoned that</w:t>
      </w:r>
      <w:r w:rsidR="00415A31">
        <w:t xml:space="preserve"> </w:t>
      </w:r>
      <w:r w:rsidRPr="005D426B" w:rsidR="00415A31">
        <w:t>Saint Francis’s petition was time-barred</w:t>
      </w:r>
      <w:r w:rsidR="004D5390">
        <w:t xml:space="preserve">, and “that Saint Francis’s ‘mistake [] as to </w:t>
      </w:r>
      <w:r w:rsidR="00444E20">
        <w:t>[</w:t>
      </w:r>
      <w:r w:rsidR="004D5390">
        <w:t>the</w:t>
      </w:r>
      <w:r w:rsidR="00444E20">
        <w:t>]</w:t>
      </w:r>
      <w:r w:rsidR="004D5390">
        <w:t xml:space="preserve"> law . . . [was] not a sufficient basis to excuse [a] late filing.’ ”  </w:t>
      </w:r>
      <w:r w:rsidRPr="005D426B" w:rsidR="00BA6F1B">
        <w:t>(</w:t>
      </w:r>
      <w:r w:rsidRPr="005D426B" w:rsidR="00CB38A4">
        <w:rPr>
          <w:i/>
        </w:rPr>
        <w:t xml:space="preserve">Saint Francis Memorial Hospital v. </w:t>
      </w:r>
      <w:r w:rsidR="0052238A">
        <w:rPr>
          <w:i/>
        </w:rPr>
        <w:t>State</w:t>
      </w:r>
      <w:r w:rsidRPr="005D426B" w:rsidR="0052238A">
        <w:rPr>
          <w:i/>
        </w:rPr>
        <w:t xml:space="preserve"> </w:t>
      </w:r>
      <w:r w:rsidRPr="005D426B" w:rsidR="00CB38A4">
        <w:rPr>
          <w:i/>
        </w:rPr>
        <w:t>Dep</w:t>
      </w:r>
      <w:r w:rsidR="005B62F0">
        <w:rPr>
          <w:i/>
        </w:rPr>
        <w:t>t.</w:t>
      </w:r>
      <w:r w:rsidRPr="005D426B" w:rsidR="00CB38A4">
        <w:rPr>
          <w:i/>
        </w:rPr>
        <w:t xml:space="preserve"> of Public Health</w:t>
      </w:r>
      <w:r w:rsidRPr="005D426B" w:rsidR="00CB38A4">
        <w:t xml:space="preserve"> (2018) </w:t>
      </w:r>
      <w:r w:rsidRPr="005D426B" w:rsidR="00BA6F1B">
        <w:t>24 Cal.App.5th</w:t>
      </w:r>
      <w:r w:rsidRPr="005D426B" w:rsidR="00CB38A4">
        <w:t xml:space="preserve"> 617,</w:t>
      </w:r>
      <w:r w:rsidRPr="005D426B" w:rsidR="00BA6F1B">
        <w:t xml:space="preserve"> 621</w:t>
      </w:r>
      <w:r w:rsidRPr="005D426B" w:rsidR="00CB38A4">
        <w:t xml:space="preserve"> (</w:t>
      </w:r>
      <w:r w:rsidRPr="005D426B" w:rsidR="00CB38A4">
        <w:rPr>
          <w:i/>
        </w:rPr>
        <w:t>Saint Francis</w:t>
      </w:r>
      <w:r w:rsidRPr="005D426B" w:rsidR="00CB38A4">
        <w:t>)</w:t>
      </w:r>
      <w:r w:rsidRPr="005D426B" w:rsidR="00BA6F1B">
        <w:t xml:space="preserve">.)  </w:t>
      </w:r>
    </w:p>
    <w:p w:rsidR="00524B56" w:rsidRPr="0011583D" w:rsidP="00413D20" w14:paraId="45D49994" w14:textId="1E961B99">
      <w:pPr>
        <w:tabs>
          <w:tab w:val="left" w:pos="630"/>
          <w:tab w:val="left" w:pos="720"/>
        </w:tabs>
      </w:pPr>
      <w:r w:rsidRPr="005D426B">
        <w:tab/>
        <w:t>The Court of Appeal affirmed.</w:t>
      </w:r>
      <w:r w:rsidRPr="005D426B" w:rsidR="00BF4D38">
        <w:t xml:space="preserve">  I</w:t>
      </w:r>
      <w:r w:rsidR="0066651E">
        <w:t>n so doing, i</w:t>
      </w:r>
      <w:r w:rsidRPr="005D426B" w:rsidR="00BF4D38">
        <w:t xml:space="preserve">t </w:t>
      </w:r>
      <w:r w:rsidR="00BE061E">
        <w:t>acknowledged</w:t>
      </w:r>
      <w:r w:rsidRPr="005D426B" w:rsidR="00BF4D38">
        <w:t xml:space="preserve"> that “Saint Francis’s mistake about the availability of reconsideration was made in good faith” and “that Saint Francis notified the Department of its intent to file a writ petition.”  (</w:t>
      </w:r>
      <w:r w:rsidRPr="005D426B" w:rsidR="00D176EF">
        <w:rPr>
          <w:i/>
        </w:rPr>
        <w:t>Saint Francis</w:t>
      </w:r>
      <w:r w:rsidRPr="005D426B" w:rsidR="00D176EF">
        <w:t xml:space="preserve">, </w:t>
      </w:r>
      <w:r w:rsidRPr="005D426B" w:rsidR="00D176EF">
        <w:rPr>
          <w:i/>
        </w:rPr>
        <w:t>supra</w:t>
      </w:r>
      <w:r w:rsidRPr="005D426B" w:rsidR="00D176EF">
        <w:t xml:space="preserve">, 24 Cal.App.5th at p. </w:t>
      </w:r>
      <w:r w:rsidRPr="005D426B" w:rsidR="00C53F60">
        <w:t>624</w:t>
      </w:r>
      <w:r w:rsidRPr="005D426B" w:rsidR="00BF4D38">
        <w:t xml:space="preserve">.)  </w:t>
      </w:r>
      <w:r w:rsidR="0073282A">
        <w:t>The court</w:t>
      </w:r>
      <w:r w:rsidR="00413D20">
        <w:t xml:space="preserve"> nonetheless</w:t>
      </w:r>
      <w:r w:rsidRPr="005D426B" w:rsidR="00BF4D38">
        <w:t xml:space="preserve"> held that</w:t>
      </w:r>
      <w:r w:rsidRPr="005D426B" w:rsidR="00421CA9">
        <w:t xml:space="preserve"> because “Saint Francis’s request for reconsideration did not constitute the timely</w:t>
      </w:r>
      <w:r w:rsidRPr="005D426B" w:rsidR="00B64BA8">
        <w:t xml:space="preserve"> pursuit of an available remedy[,] . . . </w:t>
      </w:r>
      <w:r w:rsidR="00444E20">
        <w:t xml:space="preserve">[¶] </w:t>
      </w:r>
      <w:r w:rsidRPr="005D426B" w:rsidR="00B64BA8">
        <w:t>.</w:t>
      </w:r>
      <w:r w:rsidR="00444E20">
        <w:t xml:space="preserve"> . .</w:t>
      </w:r>
      <w:r w:rsidRPr="005D426B" w:rsidR="00B64BA8">
        <w:t xml:space="preserve"> </w:t>
      </w:r>
      <w:r w:rsidRPr="005D426B" w:rsidR="00BF4D38">
        <w:t xml:space="preserve">these circumstances are insufficient to toll the running of </w:t>
      </w:r>
      <w:r w:rsidRPr="005D426B" w:rsidR="00481B5E">
        <w:t>[section 11523’s]</w:t>
      </w:r>
      <w:r w:rsidRPr="005D426B" w:rsidR="00BF4D38">
        <w:t xml:space="preserve"> 30-day </w:t>
      </w:r>
      <w:r w:rsidRPr="005D426B" w:rsidR="00B64BA8">
        <w:t xml:space="preserve">[limitations] </w:t>
      </w:r>
      <w:r w:rsidRPr="005D426B" w:rsidR="00BF4D38">
        <w:t>period.”  (</w:t>
      </w:r>
      <w:r w:rsidRPr="005D426B" w:rsidR="00BF4D38">
        <w:rPr>
          <w:i/>
        </w:rPr>
        <w:t>Ibid.</w:t>
      </w:r>
      <w:r w:rsidR="0011583D">
        <w:t xml:space="preserve">)  </w:t>
      </w:r>
      <w:r w:rsidRPr="005D426B" w:rsidR="000100DB">
        <w:t>We granted review to decide</w:t>
      </w:r>
      <w:r w:rsidRPr="005D426B" w:rsidR="00BF4D38">
        <w:t xml:space="preserve"> whether equitable tolling </w:t>
      </w:r>
      <w:r w:rsidRPr="005D426B" w:rsidR="00C63507">
        <w:t xml:space="preserve">may apply to </w:t>
      </w:r>
      <w:r w:rsidRPr="005D426B" w:rsidR="008447A6">
        <w:t>petitions filed</w:t>
      </w:r>
      <w:r w:rsidRPr="005D426B" w:rsidR="00C63507">
        <w:t xml:space="preserve"> under section 11523 and, if so, whether the </w:t>
      </w:r>
      <w:r w:rsidRPr="005D426B" w:rsidR="000503B6">
        <w:t>C</w:t>
      </w:r>
      <w:r w:rsidRPr="005D426B" w:rsidR="00C63507">
        <w:t xml:space="preserve">ourt of </w:t>
      </w:r>
      <w:r w:rsidRPr="005D426B" w:rsidR="000503B6">
        <w:t>A</w:t>
      </w:r>
      <w:r w:rsidRPr="005D426B" w:rsidR="00C63507">
        <w:t xml:space="preserve">ppeal </w:t>
      </w:r>
      <w:r w:rsidRPr="005D426B" w:rsidR="00273978">
        <w:t>erred in concluding</w:t>
      </w:r>
      <w:r w:rsidRPr="005D426B" w:rsidR="00C63507">
        <w:t xml:space="preserve"> that</w:t>
      </w:r>
      <w:r w:rsidRPr="005D426B" w:rsidR="00936021">
        <w:t xml:space="preserve"> </w:t>
      </w:r>
      <w:r w:rsidR="007131D2">
        <w:t>tolling did not apply to this case</w:t>
      </w:r>
      <w:r w:rsidRPr="005D426B" w:rsidR="00936021">
        <w:t>.</w:t>
      </w:r>
      <w:r w:rsidR="00523B1E">
        <w:t xml:space="preserve">  </w:t>
      </w:r>
      <w:r w:rsidR="0062663A">
        <w:t xml:space="preserve"> </w:t>
      </w:r>
      <w:r w:rsidR="00116E15">
        <w:t xml:space="preserve"> </w:t>
      </w:r>
      <w:r w:rsidRPr="005D426B" w:rsidR="00936021">
        <w:t xml:space="preserve">  </w:t>
      </w:r>
      <w:r w:rsidR="00ED4A68">
        <w:t xml:space="preserve"> </w:t>
      </w:r>
    </w:p>
    <w:p w:rsidR="00DF3471" w:rsidRPr="005D426B" w:rsidP="00B733E3" w14:paraId="08149C75" w14:textId="77777777">
      <w:pPr>
        <w:keepNext/>
        <w:tabs>
          <w:tab w:val="left" w:pos="1440"/>
        </w:tabs>
        <w:jc w:val="center"/>
        <w:outlineLvl w:val="0"/>
        <w:rPr>
          <w:b/>
        </w:rPr>
      </w:pPr>
      <w:r>
        <w:rPr>
          <w:b/>
        </w:rPr>
        <w:t>II</w:t>
      </w:r>
      <w:r w:rsidRPr="005D426B">
        <w:rPr>
          <w:b/>
        </w:rPr>
        <w:t>.</w:t>
      </w:r>
    </w:p>
    <w:p w:rsidR="006036F0" w:rsidRPr="005D426B" w:rsidP="00262CB9" w14:paraId="19C2F83E" w14:textId="587FD857">
      <w:pPr>
        <w:keepNext/>
        <w:tabs>
          <w:tab w:val="left" w:pos="630"/>
          <w:tab w:val="left" w:pos="720"/>
        </w:tabs>
      </w:pPr>
      <w:r w:rsidRPr="005D426B">
        <w:tab/>
      </w:r>
      <w:r w:rsidR="0077598F">
        <w:t>We first consider whether</w:t>
      </w:r>
      <w:r w:rsidRPr="005D426B" w:rsidR="00A128E9">
        <w:t xml:space="preserve"> </w:t>
      </w:r>
      <w:r w:rsidRPr="005D426B" w:rsidR="004B428F">
        <w:t xml:space="preserve">equitable tolling </w:t>
      </w:r>
      <w:r w:rsidRPr="005D426B" w:rsidR="00A77C49">
        <w:t>may</w:t>
      </w:r>
      <w:r w:rsidRPr="005D426B" w:rsidR="004B428F">
        <w:t xml:space="preserve"> apply to section 11523.</w:t>
      </w:r>
      <w:r w:rsidR="0000228C">
        <w:t xml:space="preserve">  The Department argues </w:t>
      </w:r>
      <w:r w:rsidR="00430588">
        <w:t>it cannot</w:t>
      </w:r>
      <w:r w:rsidR="0000228C">
        <w:t xml:space="preserve"> </w:t>
      </w:r>
      <w:r w:rsidRPr="005D426B" w:rsidR="004B428F">
        <w:t xml:space="preserve">because equitable tolling </w:t>
      </w:r>
      <w:r w:rsidRPr="005D426B" w:rsidR="00AC5FB2">
        <w:t xml:space="preserve">is inconsistent with </w:t>
      </w:r>
      <w:r w:rsidRPr="005D426B" w:rsidR="00CD5547">
        <w:t>the statute’s</w:t>
      </w:r>
      <w:r w:rsidRPr="005D426B" w:rsidR="00340BEC">
        <w:t xml:space="preserve"> </w:t>
      </w:r>
      <w:r w:rsidRPr="005D426B" w:rsidR="00C321FA">
        <w:t>“text, structure, an</w:t>
      </w:r>
      <w:r w:rsidR="00262CB9">
        <w:t xml:space="preserve">d legislative history.”  </w:t>
      </w:r>
    </w:p>
    <w:p w:rsidR="00051ED2" w:rsidP="00051ED2" w14:paraId="67BA1DCA" w14:textId="5DDB5D4E">
      <w:pPr>
        <w:tabs>
          <w:tab w:val="left" w:pos="630"/>
          <w:tab w:val="left" w:pos="720"/>
        </w:tabs>
        <w:rPr>
          <w:iCs/>
        </w:rPr>
      </w:pPr>
      <w:r w:rsidRPr="005D426B">
        <w:tab/>
        <w:t>Equitable tolling is a “judicially created, nonstatutory doctrine” that “ ‘suspend[s] or extend[s] a statute of limitations as necessary to ensure fundamental practicality and fairness.’ ”  (</w:t>
      </w:r>
      <w:r w:rsidRPr="005D426B">
        <w:rPr>
          <w:i/>
        </w:rPr>
        <w:t>McDonald v. Antelope Valley Community College Dist.</w:t>
      </w:r>
      <w:r w:rsidRPr="005D426B">
        <w:t xml:space="preserve"> (2008) 45 Cal.4th 88, 99</w:t>
      </w:r>
      <w:r w:rsidRPr="005D426B" w:rsidR="00C86CC9">
        <w:t xml:space="preserve"> (</w:t>
      </w:r>
      <w:r w:rsidRPr="005D426B" w:rsidR="00C86CC9">
        <w:rPr>
          <w:i/>
        </w:rPr>
        <w:t>McDonald</w:t>
      </w:r>
      <w:r w:rsidRPr="005D426B" w:rsidR="00C86CC9">
        <w:t>)</w:t>
      </w:r>
      <w:r w:rsidRPr="005D426B">
        <w:t>.)</w:t>
      </w:r>
      <w:r w:rsidRPr="005D426B" w:rsidR="003B7F18">
        <w:t xml:space="preserve">  The doctrine applies </w:t>
      </w:r>
      <w:r w:rsidRPr="005D426B" w:rsidR="003B7F18">
        <w:rPr>
          <w:iCs/>
        </w:rPr>
        <w:t>“occasionally and in special situations” to “soften the harsh impact of technical rules which might otherwise prevent a good faith litigant from having a day in court.”  (</w:t>
      </w:r>
      <w:r w:rsidRPr="005D426B" w:rsidR="003B7F18">
        <w:rPr>
          <w:i/>
          <w:iCs/>
        </w:rPr>
        <w:t>Addison v. State</w:t>
      </w:r>
      <w:r w:rsidRPr="005D426B" w:rsidR="003B7F18">
        <w:rPr>
          <w:iCs/>
        </w:rPr>
        <w:t xml:space="preserve"> (1978) 21 Cal.3d 313, 316</w:t>
      </w:r>
      <w:r w:rsidRPr="005D426B" w:rsidR="00C86CC9">
        <w:rPr>
          <w:iCs/>
        </w:rPr>
        <w:t xml:space="preserve"> (</w:t>
      </w:r>
      <w:r w:rsidRPr="005D426B" w:rsidR="00C86CC9">
        <w:rPr>
          <w:i/>
          <w:iCs/>
        </w:rPr>
        <w:t>Addison</w:t>
      </w:r>
      <w:r w:rsidRPr="005D426B" w:rsidR="00C86CC9">
        <w:rPr>
          <w:iCs/>
        </w:rPr>
        <w:t>)</w:t>
      </w:r>
      <w:r w:rsidRPr="005D426B" w:rsidR="003B7F18">
        <w:rPr>
          <w:iCs/>
        </w:rPr>
        <w:t>.)</w:t>
      </w:r>
      <w:r w:rsidR="00415E89">
        <w:rPr>
          <w:iCs/>
        </w:rPr>
        <w:t xml:space="preserve">  Courts draw authority to toll a filing deadline from their inherent equitable powers — not </w:t>
      </w:r>
      <w:r w:rsidR="008C7ED4">
        <w:rPr>
          <w:iCs/>
        </w:rPr>
        <w:t xml:space="preserve">from </w:t>
      </w:r>
      <w:r w:rsidR="00415E89">
        <w:rPr>
          <w:iCs/>
        </w:rPr>
        <w:t xml:space="preserve">what the Legislature has declared in any particular statute.  </w:t>
      </w:r>
      <w:r w:rsidRPr="005D426B" w:rsidR="00415E89">
        <w:t xml:space="preserve">(See </w:t>
      </w:r>
      <w:r w:rsidRPr="005D426B" w:rsidR="00415E89">
        <w:rPr>
          <w:i/>
        </w:rPr>
        <w:t>Elkins v. Derby</w:t>
      </w:r>
      <w:r w:rsidRPr="005D426B" w:rsidR="00415E89">
        <w:t xml:space="preserve"> (1974) 12 Cal.3d 410, 420, fn. 9</w:t>
      </w:r>
      <w:r w:rsidR="00415E89">
        <w:t xml:space="preserve"> (</w:t>
      </w:r>
      <w:r w:rsidR="00415E89">
        <w:rPr>
          <w:i/>
          <w:iCs/>
        </w:rPr>
        <w:t>Elkins</w:t>
      </w:r>
      <w:r w:rsidR="00415E89">
        <w:t>)</w:t>
      </w:r>
      <w:r w:rsidRPr="005D426B" w:rsidR="00415E89">
        <w:t>.)</w:t>
      </w:r>
      <w:r w:rsidR="00415E89">
        <w:rPr>
          <w:iCs/>
        </w:rPr>
        <w:t xml:space="preserve"> </w:t>
      </w:r>
      <w:r>
        <w:rPr>
          <w:iCs/>
        </w:rPr>
        <w:t xml:space="preserve"> </w:t>
      </w:r>
      <w:r w:rsidRPr="005D426B">
        <w:t xml:space="preserve">For that reason, we presume that statutory deadlines are subject to equitable tolling.  (See </w:t>
      </w:r>
      <w:r w:rsidRPr="005D426B">
        <w:rPr>
          <w:i/>
        </w:rPr>
        <w:t>Irwin v. Dep</w:t>
      </w:r>
      <w:r>
        <w:rPr>
          <w:i/>
        </w:rPr>
        <w:t>ar</w:t>
      </w:r>
      <w:r w:rsidRPr="005D426B">
        <w:rPr>
          <w:i/>
        </w:rPr>
        <w:t>t</w:t>
      </w:r>
      <w:r>
        <w:rPr>
          <w:i/>
        </w:rPr>
        <w:t>ment</w:t>
      </w:r>
      <w:r w:rsidRPr="005D426B">
        <w:rPr>
          <w:i/>
        </w:rPr>
        <w:t xml:space="preserve"> of Veterans Affairs</w:t>
      </w:r>
      <w:r w:rsidRPr="005D426B">
        <w:t xml:space="preserve"> (1990) 498 U.S. 89, 95–96</w:t>
      </w:r>
      <w:r w:rsidR="0015311A">
        <w:t xml:space="preserve"> (</w:t>
      </w:r>
      <w:r w:rsidRPr="00C86F75" w:rsidR="0015311A">
        <w:rPr>
          <w:i/>
          <w:iCs/>
        </w:rPr>
        <w:t>Irwin</w:t>
      </w:r>
      <w:r w:rsidR="0015311A">
        <w:t>)</w:t>
      </w:r>
      <w:r w:rsidRPr="005D426B">
        <w:t>.)</w:t>
      </w:r>
    </w:p>
    <w:p w:rsidR="00706169" w:rsidRPr="00051ED2" w:rsidP="00051ED2" w14:paraId="6A15C238" w14:textId="77777777">
      <w:pPr>
        <w:tabs>
          <w:tab w:val="left" w:pos="630"/>
          <w:tab w:val="left" w:pos="720"/>
        </w:tabs>
      </w:pPr>
      <w:r>
        <w:rPr>
          <w:iCs/>
        </w:rPr>
        <w:tab/>
      </w:r>
      <w:r w:rsidRPr="005D426B" w:rsidR="000004DA">
        <w:t>But</w:t>
      </w:r>
      <w:r>
        <w:t xml:space="preserve"> that presumption can be overcome.  Equitable tolling, we’ve also observed, </w:t>
      </w:r>
      <w:r w:rsidRPr="005D426B" w:rsidR="000004DA">
        <w:t>“</w:t>
      </w:r>
      <w:r w:rsidRPr="005D426B" w:rsidR="00500921">
        <w:t>is not immune</w:t>
      </w:r>
      <w:r w:rsidR="00430588">
        <w:t>”</w:t>
      </w:r>
      <w:r w:rsidRPr="005D426B" w:rsidR="00500921">
        <w:t xml:space="preserve"> </w:t>
      </w:r>
      <w:r w:rsidR="00430588">
        <w:t>from</w:t>
      </w:r>
      <w:r w:rsidRPr="005D426B" w:rsidR="00430588">
        <w:t xml:space="preserve"> </w:t>
      </w:r>
      <w:r>
        <w:t xml:space="preserve">the operation of </w:t>
      </w:r>
      <w:r w:rsidRPr="005D426B" w:rsidR="00500921">
        <w:t>statutes</w:t>
      </w:r>
      <w:r w:rsidRPr="005D426B" w:rsidR="000004DA">
        <w:t>.</w:t>
      </w:r>
      <w:r w:rsidR="002972C2">
        <w:t xml:space="preserve"> </w:t>
      </w:r>
      <w:r w:rsidRPr="005D426B" w:rsidR="00500921">
        <w:t xml:space="preserve"> (</w:t>
      </w:r>
      <w:r w:rsidRPr="005D426B" w:rsidR="000B4395">
        <w:rPr>
          <w:i/>
        </w:rPr>
        <w:t>McDonald</w:t>
      </w:r>
      <w:r w:rsidRPr="005D426B" w:rsidR="000B4395">
        <w:t xml:space="preserve">, </w:t>
      </w:r>
      <w:r w:rsidRPr="005D426B" w:rsidR="003D1015">
        <w:rPr>
          <w:i/>
        </w:rPr>
        <w:t>supra</w:t>
      </w:r>
      <w:r w:rsidRPr="005D426B" w:rsidR="003D1015">
        <w:t xml:space="preserve">, </w:t>
      </w:r>
      <w:r w:rsidRPr="005D426B" w:rsidR="000B4395">
        <w:t>45 Cal.4th</w:t>
      </w:r>
      <w:r w:rsidRPr="005D426B" w:rsidR="00500921">
        <w:rPr>
          <w:i/>
        </w:rPr>
        <w:t xml:space="preserve"> </w:t>
      </w:r>
      <w:r w:rsidRPr="005D426B" w:rsidR="00500921">
        <w:t>at</w:t>
      </w:r>
      <w:r w:rsidRPr="005D426B" w:rsidR="000B4395">
        <w:t xml:space="preserve"> p.</w:t>
      </w:r>
      <w:r w:rsidRPr="005D426B" w:rsidR="002C5AB0">
        <w:t xml:space="preserve"> </w:t>
      </w:r>
      <w:r w:rsidRPr="005D426B" w:rsidR="00500921">
        <w:t>105</w:t>
      </w:r>
      <w:r w:rsidRPr="005D426B" w:rsidR="000004DA">
        <w:t>.</w:t>
      </w:r>
      <w:r w:rsidRPr="005D426B" w:rsidR="00500921">
        <w:t>)</w:t>
      </w:r>
      <w:r w:rsidRPr="005D426B" w:rsidR="000B4395">
        <w:t xml:space="preserve">  </w:t>
      </w:r>
      <w:r w:rsidRPr="005D426B" w:rsidR="00391F51">
        <w:t>A</w:t>
      </w:r>
      <w:r w:rsidRPr="005D426B" w:rsidR="00D839DF">
        <w:t xml:space="preserve"> </w:t>
      </w:r>
      <w:r w:rsidRPr="005D426B" w:rsidR="00340BEC">
        <w:t>court may conclude that</w:t>
      </w:r>
      <w:r>
        <w:t xml:space="preserve"> explicit statutory language </w:t>
      </w:r>
      <w:r w:rsidRPr="005D426B" w:rsidR="00340BEC">
        <w:t xml:space="preserve">or a manifest policy underlying a statute simply cannot be reconciled with permitting equitable tolling, </w:t>
      </w:r>
      <w:r w:rsidRPr="005D426B" w:rsidR="000B4395">
        <w:t>“</w:t>
      </w:r>
      <w:r w:rsidRPr="005D426B" w:rsidR="00340BEC">
        <w:t>e</w:t>
      </w:r>
      <w:r w:rsidRPr="005D426B" w:rsidR="00170D69">
        <w:t>ven in the absence of an explicit prohibition</w:t>
      </w:r>
      <w:r w:rsidRPr="005D426B" w:rsidR="00391F51">
        <w:t>.</w:t>
      </w:r>
      <w:r w:rsidRPr="005D426B" w:rsidR="00170D69">
        <w:t xml:space="preserve">” </w:t>
      </w:r>
      <w:r w:rsidRPr="005D426B" w:rsidR="00391F51">
        <w:t xml:space="preserve"> </w:t>
      </w:r>
      <w:r w:rsidRPr="005D426B" w:rsidR="00170D69">
        <w:t>(</w:t>
      </w:r>
      <w:r w:rsidRPr="005D426B" w:rsidR="00391F51">
        <w:rPr>
          <w:i/>
        </w:rPr>
        <w:t>Ibid.</w:t>
      </w:r>
      <w:r w:rsidRPr="005D426B" w:rsidR="00170D69">
        <w:t>)</w:t>
      </w:r>
      <w:r w:rsidRPr="005D426B" w:rsidR="005D2761">
        <w:t xml:space="preserve">  We adopted that conclusion in </w:t>
      </w:r>
      <w:r w:rsidRPr="005D426B" w:rsidR="005D2761">
        <w:rPr>
          <w:i/>
        </w:rPr>
        <w:t>Lantzy v. Centex Homes</w:t>
      </w:r>
      <w:r w:rsidRPr="005D426B" w:rsidR="005D2761">
        <w:t xml:space="preserve">, where we held that the Legislature had sought to preclude Code of Civil Procedure section 337.15’s statute of limitations from being tolled.  </w:t>
      </w:r>
      <w:r w:rsidRPr="005D426B" w:rsidR="00AE01C5">
        <w:t>(</w:t>
      </w:r>
      <w:r w:rsidRPr="005D426B" w:rsidR="004B1319">
        <w:rPr>
          <w:i/>
        </w:rPr>
        <w:t>Lantzy v. Centex Homes</w:t>
      </w:r>
      <w:r w:rsidR="004B1319">
        <w:rPr>
          <w:i/>
        </w:rPr>
        <w:t xml:space="preserve"> </w:t>
      </w:r>
      <w:r w:rsidRPr="005D426B" w:rsidR="005D2761">
        <w:t>(2003) 31 Cal.4th 363 (</w:t>
      </w:r>
      <w:r w:rsidRPr="005D426B" w:rsidR="005D2761">
        <w:rPr>
          <w:i/>
        </w:rPr>
        <w:t>Lantzy</w:t>
      </w:r>
      <w:r w:rsidRPr="005D426B" w:rsidR="005D2761">
        <w:t>)</w:t>
      </w:r>
      <w:r w:rsidRPr="005D426B" w:rsidR="00AE01C5">
        <w:t>.)</w:t>
      </w:r>
    </w:p>
    <w:p w:rsidR="00130478" w:rsidP="00E56E35" w14:paraId="5FC8D780" w14:textId="2CA12386">
      <w:pPr>
        <w:tabs>
          <w:tab w:val="left" w:pos="630"/>
          <w:tab w:val="left" w:pos="720"/>
        </w:tabs>
      </w:pPr>
      <w:r>
        <w:tab/>
        <w:t xml:space="preserve">Contrary to the Department’s assertions, we </w:t>
      </w:r>
      <w:r w:rsidRPr="005D426B" w:rsidR="00D367F1">
        <w:t xml:space="preserve">find </w:t>
      </w:r>
      <w:r w:rsidRPr="005D426B" w:rsidR="00AE01C5">
        <w:t>no indication that the Legislature</w:t>
      </w:r>
      <w:r w:rsidR="005655FC">
        <w:t xml:space="preserve">’s purpose </w:t>
      </w:r>
      <w:r w:rsidR="006D3AB8">
        <w:t>encompassed</w:t>
      </w:r>
      <w:r w:rsidRPr="005D426B" w:rsidR="00AE01C5">
        <w:t xml:space="preserve"> </w:t>
      </w:r>
      <w:r w:rsidR="00657EE9">
        <w:t>prohibiting</w:t>
      </w:r>
      <w:r w:rsidR="00992BAB">
        <w:t xml:space="preserve"> </w:t>
      </w:r>
      <w:r w:rsidRPr="005D426B" w:rsidR="00AE01C5">
        <w:t>section 11523</w:t>
      </w:r>
      <w:r w:rsidRPr="005D426B" w:rsidR="003B5B9F">
        <w:t>’s statute of limitations</w:t>
      </w:r>
      <w:r w:rsidR="00E56E35">
        <w:t xml:space="preserve"> from being tolled</w:t>
      </w:r>
      <w:r w:rsidRPr="005D426B" w:rsidR="00AE01C5">
        <w:t>.</w:t>
      </w:r>
      <w:r w:rsidRPr="005D426B" w:rsidR="00F109FB">
        <w:t xml:space="preserve">  </w:t>
      </w:r>
      <w:r w:rsidR="00C066F8">
        <w:t>Our analysis begins</w:t>
      </w:r>
      <w:r w:rsidRPr="005D426B" w:rsidR="00F109FB">
        <w:t xml:space="preserve"> with the statute’s </w:t>
      </w:r>
      <w:r w:rsidR="00653DB8">
        <w:t>language</w:t>
      </w:r>
      <w:r w:rsidR="00B47B83">
        <w:t xml:space="preserve"> and structure</w:t>
      </w:r>
      <w:r w:rsidRPr="005D426B" w:rsidR="00F109FB">
        <w:t xml:space="preserve">.  </w:t>
      </w:r>
      <w:r w:rsidR="00653DB8">
        <w:t>A</w:t>
      </w:r>
      <w:r w:rsidRPr="005D426B" w:rsidR="00AE01C5">
        <w:t xml:space="preserve"> petition for a writ of mandate “shall be filed within 30 days after the last day on which reconsideration can be ordered.”  (§</w:t>
      </w:r>
      <w:r w:rsidRPr="005D426B" w:rsidR="00524E22">
        <w:t> </w:t>
      </w:r>
      <w:r w:rsidRPr="005D426B" w:rsidR="00AE01C5">
        <w:t>11523.)</w:t>
      </w:r>
      <w:r w:rsidR="00C066F8">
        <w:t xml:space="preserve">  Although </w:t>
      </w:r>
      <w:r w:rsidR="00EA48F6">
        <w:t xml:space="preserve">the </w:t>
      </w:r>
      <w:r w:rsidR="00481A90">
        <w:t>statute — like all statutes of limitations — sets forth a deadline by which</w:t>
      </w:r>
      <w:r w:rsidR="00A376C2">
        <w:t xml:space="preserve"> writ petitions must be filed, </w:t>
      </w:r>
      <w:r w:rsidR="00B47B83">
        <w:t>its language and structure</w:t>
      </w:r>
      <w:r w:rsidR="00D2595F">
        <w:t xml:space="preserve"> </w:t>
      </w:r>
      <w:r w:rsidR="00AD40D1">
        <w:t xml:space="preserve">is no different </w:t>
      </w:r>
      <w:r w:rsidR="00D2595F">
        <w:t xml:space="preserve">from </w:t>
      </w:r>
      <w:r w:rsidR="00AD40D1">
        <w:t>that</w:t>
      </w:r>
      <w:r w:rsidR="00D2595F">
        <w:t xml:space="preserve"> of other statutes of limitations that are subject to equitable tolling.</w:t>
      </w:r>
      <w:r w:rsidR="00AD40D1">
        <w:t xml:space="preserve">  (See, e.g., </w:t>
      </w:r>
      <w:r w:rsidRPr="005D426B" w:rsidR="00AD40D1">
        <w:rPr>
          <w:i/>
        </w:rPr>
        <w:t>McDonald</w:t>
      </w:r>
      <w:r w:rsidRPr="005D426B" w:rsidR="00AD40D1">
        <w:t xml:space="preserve">, </w:t>
      </w:r>
      <w:r w:rsidRPr="005D426B" w:rsidR="00AD40D1">
        <w:rPr>
          <w:i/>
        </w:rPr>
        <w:t>supra</w:t>
      </w:r>
      <w:r w:rsidRPr="005D426B" w:rsidR="00AD40D1">
        <w:t>, 45 Cal.4th</w:t>
      </w:r>
      <w:r w:rsidRPr="005D426B" w:rsidR="00AD40D1">
        <w:rPr>
          <w:i/>
        </w:rPr>
        <w:t xml:space="preserve"> </w:t>
      </w:r>
      <w:r w:rsidRPr="005D426B" w:rsidR="00AD40D1">
        <w:t xml:space="preserve">at p. </w:t>
      </w:r>
      <w:r w:rsidR="00AD40D1">
        <w:t>106 [</w:t>
      </w:r>
      <w:r w:rsidR="0005454C">
        <w:t xml:space="preserve">tolling available under </w:t>
      </w:r>
      <w:r w:rsidR="001324D7">
        <w:t>statute stating</w:t>
      </w:r>
      <w:r w:rsidR="006B3DB7">
        <w:t xml:space="preserve">: </w:t>
      </w:r>
      <w:r w:rsidR="000C5928">
        <w:t xml:space="preserve"> </w:t>
      </w:r>
      <w:r w:rsidR="001324D7">
        <w:t>“</w:t>
      </w:r>
      <w:r w:rsidR="00C5422A">
        <w:t xml:space="preserve"> ‘</w:t>
      </w:r>
      <w:r w:rsidR="001324D7">
        <w:t xml:space="preserve">No </w:t>
      </w:r>
      <w:r w:rsidR="00C5422A">
        <w:t xml:space="preserve">[] </w:t>
      </w:r>
      <w:r w:rsidRPr="0005454C" w:rsidR="0005454C">
        <w:t>complaint may be filed after the expiration of one year from the date upon which the alleged unlawful practice o</w:t>
      </w:r>
      <w:r w:rsidR="001324D7">
        <w:t>r refusal to cooperate occurred</w:t>
      </w:r>
      <w:r w:rsidR="00C5422A">
        <w:t xml:space="preserve">’ </w:t>
      </w:r>
      <w:r w:rsidRPr="0005454C" w:rsidR="0005454C">
        <w:t>”</w:t>
      </w:r>
      <w:r w:rsidR="001324D7">
        <w:t xml:space="preserve">]; </w:t>
      </w:r>
      <w:r w:rsidR="00E42E14">
        <w:rPr>
          <w:i/>
          <w:iCs/>
        </w:rPr>
        <w:t>Tarkington v. California Unemployment Ins. Appeals Bd.</w:t>
      </w:r>
      <w:r w:rsidR="00E42E14">
        <w:t xml:space="preserve"> (2009) 172 Cal.App.4th 1494, </w:t>
      </w:r>
      <w:r w:rsidR="006A5D9F">
        <w:t>150</w:t>
      </w:r>
      <w:r w:rsidR="00E602B6">
        <w:t xml:space="preserve">2, fn. </w:t>
      </w:r>
      <w:r w:rsidR="006A5D9F">
        <w:t xml:space="preserve">6 [tolling available under statute </w:t>
      </w:r>
      <w:r>
        <w:t>that required parties “</w:t>
      </w:r>
      <w:r w:rsidR="00E602B6">
        <w:t xml:space="preserve"> ‘</w:t>
      </w:r>
      <w:r w:rsidRPr="00130478">
        <w:t xml:space="preserve">to seek judicial review </w:t>
      </w:r>
      <w:r w:rsidR="00E602B6">
        <w:t xml:space="preserve">from </w:t>
      </w:r>
      <w:r w:rsidRPr="00130478">
        <w:t xml:space="preserve">an appeals board decision </w:t>
      </w:r>
      <w:r>
        <w:t>. . .</w:t>
      </w:r>
      <w:r w:rsidRPr="00130478">
        <w:t xml:space="preserve"> not later than six months after the date of th</w:t>
      </w:r>
      <w:r>
        <w:t>e decision of the appeals board</w:t>
      </w:r>
      <w:r w:rsidR="00E602B6">
        <w:t xml:space="preserve">’ </w:t>
      </w:r>
      <w:r>
        <w:t>”].)</w:t>
      </w:r>
      <w:r w:rsidR="007F1654">
        <w:t xml:space="preserve">  So the fact that section 11523 </w:t>
      </w:r>
      <w:r w:rsidR="004311B4">
        <w:t xml:space="preserve">sets a deadline for filing a petition for a writ of administrative mandate does not, by itself, demonstrate that the Legislature sought to prohibit tolling. </w:t>
      </w:r>
      <w:r>
        <w:t xml:space="preserve">  </w:t>
      </w:r>
    </w:p>
    <w:p w:rsidR="00CE4C63" w:rsidP="000F3E3C" w14:paraId="37003EB0" w14:textId="0928FF39">
      <w:pPr>
        <w:tabs>
          <w:tab w:val="left" w:pos="630"/>
          <w:tab w:val="left" w:pos="720"/>
        </w:tabs>
      </w:pPr>
      <w:r>
        <w:tab/>
        <w:t>Nor does the length of section 11523’s statute of limitations</w:t>
      </w:r>
      <w:r w:rsidR="000F39FF">
        <w:t xml:space="preserve"> demonstrate a</w:t>
      </w:r>
      <w:r w:rsidR="000F3E3C">
        <w:t xml:space="preserve"> legislative purpose to </w:t>
      </w:r>
      <w:r w:rsidR="00677362">
        <w:t>forbid the availability of equitable tolling</w:t>
      </w:r>
      <w:r w:rsidR="00B63EC5">
        <w:t>.</w:t>
      </w:r>
      <w:r w:rsidR="000A1C29">
        <w:t xml:space="preserve">  A </w:t>
      </w:r>
      <w:r w:rsidR="00E1739B">
        <w:t>10-year statute of limitations</w:t>
      </w:r>
      <w:r w:rsidR="000A1C29">
        <w:t xml:space="preserve">, we’ve reasoned, </w:t>
      </w:r>
      <w:r w:rsidR="00E1739B">
        <w:t>is “</w:t>
      </w:r>
      <w:r w:rsidRPr="005D426B" w:rsidR="00E1739B">
        <w:t>so ‘exceptionally long’ ” that it “indicate</w:t>
      </w:r>
      <w:r w:rsidR="00E1739B">
        <w:t>s</w:t>
      </w:r>
      <w:r w:rsidRPr="005D426B" w:rsidR="00E1739B">
        <w:t xml:space="preserve"> the Legislature’s effort to provide, within the strict statutory period itself, a reasonable time to” file suit.</w:t>
      </w:r>
      <w:r w:rsidR="00E1739B">
        <w:t xml:space="preserve">  (</w:t>
      </w:r>
      <w:r w:rsidR="00E1739B">
        <w:rPr>
          <w:i/>
          <w:iCs/>
        </w:rPr>
        <w:t>Lantzy</w:t>
      </w:r>
      <w:r w:rsidR="00E1739B">
        <w:t xml:space="preserve">, </w:t>
      </w:r>
      <w:r w:rsidR="00E1739B">
        <w:rPr>
          <w:i/>
          <w:iCs/>
        </w:rPr>
        <w:t>supra</w:t>
      </w:r>
      <w:r w:rsidR="00E1739B">
        <w:t xml:space="preserve">, 31 Cal.4th at p. 379.)  But section 11523’s 30-day </w:t>
      </w:r>
      <w:r w:rsidR="00BF1461">
        <w:t>limitations period</w:t>
      </w:r>
      <w:r w:rsidR="00E1739B">
        <w:t xml:space="preserve"> is relatively brief</w:t>
      </w:r>
      <w:r w:rsidR="00382C48">
        <w:t>,</w:t>
      </w:r>
      <w:r w:rsidR="00F407A1">
        <w:t xml:space="preserve"> so it</w:t>
      </w:r>
      <w:r w:rsidR="00F9488D">
        <w:t xml:space="preserve"> carries with it no such inference.  </w:t>
      </w:r>
      <w:r w:rsidR="00E1739B">
        <w:t xml:space="preserve"> </w:t>
      </w:r>
    </w:p>
    <w:p w:rsidR="007E5285" w:rsidRPr="005D426B" w:rsidP="00A36B41" w14:paraId="1F71C313" w14:textId="7CB8B33B">
      <w:pPr>
        <w:tabs>
          <w:tab w:val="left" w:pos="630"/>
          <w:tab w:val="left" w:pos="720"/>
        </w:tabs>
      </w:pPr>
      <w:r w:rsidRPr="005D426B">
        <w:tab/>
        <w:t xml:space="preserve">The Department nonetheless </w:t>
      </w:r>
      <w:r w:rsidR="0077598F">
        <w:t>identifies</w:t>
      </w:r>
      <w:r w:rsidRPr="005D426B">
        <w:t xml:space="preserve"> two features of </w:t>
      </w:r>
      <w:r w:rsidR="00911DB1">
        <w:t>the statute</w:t>
      </w:r>
      <w:r w:rsidRPr="005D426B">
        <w:t xml:space="preserve"> </w:t>
      </w:r>
      <w:r w:rsidR="0077598F">
        <w:t xml:space="preserve">purportedly revealing </w:t>
      </w:r>
      <w:r w:rsidR="00A36B41">
        <w:t>that the Legislature</w:t>
      </w:r>
      <w:r w:rsidRPr="005D426B">
        <w:t xml:space="preserve"> </w:t>
      </w:r>
      <w:r w:rsidR="00A36B41">
        <w:t>sought</w:t>
      </w:r>
      <w:r w:rsidRPr="005D426B">
        <w:t xml:space="preserve"> to preclude tolling.</w:t>
      </w:r>
      <w:r w:rsidR="00F326CE">
        <w:t xml:space="preserve">  The Department first contends that section 11523’s 30-day deadline is significant because “[o]rdinary mandamus writs do not have a specific filing deadline.”  So the Legislature’s </w:t>
      </w:r>
      <w:r w:rsidR="00097DF7">
        <w:t>adoption of a statute of limitations, it argues, was a departure from the usual state of affairs that</w:t>
      </w:r>
      <w:r w:rsidR="005C7BA4">
        <w:t xml:space="preserve"> we</w:t>
      </w:r>
      <w:r w:rsidR="00097DF7">
        <w:t xml:space="preserve"> should </w:t>
      </w:r>
      <w:r w:rsidR="005C7BA4">
        <w:t xml:space="preserve">interpret as </w:t>
      </w:r>
      <w:r w:rsidR="0063215C">
        <w:t xml:space="preserve">indicative of </w:t>
      </w:r>
      <w:r w:rsidR="00450D7F">
        <w:t>a legislatively</w:t>
      </w:r>
      <w:r w:rsidR="000D011E">
        <w:t xml:space="preserve"> </w:t>
      </w:r>
      <w:r w:rsidR="00450D7F">
        <w:t>enacted</w:t>
      </w:r>
      <w:r w:rsidR="00650B82">
        <w:t xml:space="preserve"> expectation that tolling be prohibited.  </w:t>
      </w:r>
      <w:r w:rsidR="00097DF7">
        <w:t xml:space="preserve">The Department also relies on the fact that section 11523 </w:t>
      </w:r>
      <w:r w:rsidRPr="005D426B">
        <w:t xml:space="preserve">already tolls the statute of limitations in one situation:  when a petitioner requests the administrative record within 10 days of the deadline for requesting reconsideration.  </w:t>
      </w:r>
      <w:r w:rsidR="00097DF7">
        <w:t xml:space="preserve">(§ 11523.)  </w:t>
      </w:r>
      <w:r w:rsidRPr="005D426B">
        <w:t>That the Legislature explicitly included this one situation under which tolling is permitted demonstrates, the Department</w:t>
      </w:r>
      <w:r w:rsidR="008D24BF">
        <w:t xml:space="preserve"> </w:t>
      </w:r>
      <w:r w:rsidR="0016385F">
        <w:t>contends</w:t>
      </w:r>
      <w:r w:rsidRPr="005D426B">
        <w:t xml:space="preserve">, </w:t>
      </w:r>
      <w:r w:rsidR="00AE3FF2">
        <w:t>why</w:t>
      </w:r>
      <w:r w:rsidRPr="005D426B" w:rsidR="00AE3FF2">
        <w:t xml:space="preserve"> </w:t>
      </w:r>
      <w:r w:rsidR="00AE3FF2">
        <w:t>section 11523</w:t>
      </w:r>
      <w:r w:rsidRPr="005D426B">
        <w:t xml:space="preserve"> prohibit</w:t>
      </w:r>
      <w:r w:rsidR="00AE3FF2">
        <w:t>s</w:t>
      </w:r>
      <w:r w:rsidRPr="005D426B">
        <w:t xml:space="preserve"> tolling under a</w:t>
      </w:r>
      <w:r w:rsidR="00097DF7">
        <w:t xml:space="preserve">ny other circumstance.  </w:t>
      </w:r>
      <w:r w:rsidRPr="005D426B">
        <w:t xml:space="preserve">(See </w:t>
      </w:r>
      <w:r w:rsidRPr="005D426B">
        <w:rPr>
          <w:i/>
        </w:rPr>
        <w:t>California Redevelopment Assn. v. Matosantos</w:t>
      </w:r>
      <w:r w:rsidRPr="005D426B">
        <w:t xml:space="preserve"> (2011) 53 Cal.4th 231, 261 [describing the legal maxim </w:t>
      </w:r>
      <w:r w:rsidRPr="005D426B">
        <w:rPr>
          <w:i/>
        </w:rPr>
        <w:t>inclusio unius est exclusio alterius</w:t>
      </w:r>
      <w:r w:rsidRPr="005D426B">
        <w:t xml:space="preserve"> (the inclusion of one is the exclusion of another)].)</w:t>
      </w:r>
    </w:p>
    <w:p w:rsidR="009379A9" w:rsidRPr="005D426B" w:rsidP="003B3DD6" w14:paraId="6A558146" w14:textId="65896596">
      <w:pPr>
        <w:tabs>
          <w:tab w:val="left" w:pos="630"/>
          <w:tab w:val="left" w:pos="720"/>
        </w:tabs>
      </w:pPr>
      <w:r>
        <w:tab/>
      </w:r>
      <w:r w:rsidRPr="005D426B">
        <w:t xml:space="preserve">When we interpret a legislative provision and make sense of its purpose in the larger statutory scheme, however, our task “ ‘is to discern the sense of the statute, and therefore its words, </w:t>
      </w:r>
      <w:r w:rsidRPr="005D426B">
        <w:rPr>
          <w:iCs/>
        </w:rPr>
        <w:t>in the legal and broader culture</w:t>
      </w:r>
      <w:r w:rsidRPr="005D426B">
        <w:t>. ’ ”  (</w:t>
      </w:r>
      <w:r w:rsidRPr="005D426B">
        <w:rPr>
          <w:i/>
        </w:rPr>
        <w:t xml:space="preserve">Hodges v. Superior Court </w:t>
      </w:r>
      <w:r w:rsidRPr="005D426B">
        <w:t>(1999) 21 Cal.4th 109, 114</w:t>
      </w:r>
      <w:r w:rsidR="00ED4700">
        <w:t>, italics</w:t>
      </w:r>
      <w:r w:rsidRPr="005D426B" w:rsidR="00ED4700">
        <w:t xml:space="preserve"> </w:t>
      </w:r>
      <w:r w:rsidRPr="005D426B">
        <w:t>omitted.)</w:t>
      </w:r>
      <w:r w:rsidR="007A0403">
        <w:t xml:space="preserve">  Even the Department acknowledges that equitable tolling </w:t>
      </w:r>
      <w:r w:rsidR="00EC35D2">
        <w:t xml:space="preserve">“is </w:t>
      </w:r>
      <w:r w:rsidRPr="005D426B" w:rsidR="00EC35D2">
        <w:t xml:space="preserve">part of the established backdrop of American law” — a backdrop we presume </w:t>
      </w:r>
      <w:r w:rsidR="00EC35D2">
        <w:t>the</w:t>
      </w:r>
      <w:r w:rsidRPr="005D426B" w:rsidR="00EC35D2">
        <w:t xml:space="preserve"> Legislature </w:t>
      </w:r>
      <w:r w:rsidR="00EC35D2">
        <w:t>understands</w:t>
      </w:r>
      <w:r w:rsidRPr="005D426B" w:rsidR="00EC35D2">
        <w:t xml:space="preserve"> when drafting limitations periods.  (</w:t>
      </w:r>
      <w:r w:rsidRPr="005D426B" w:rsidR="00EC35D2">
        <w:rPr>
          <w:i/>
        </w:rPr>
        <w:t>Lozano v. Montoya Alvarez</w:t>
      </w:r>
      <w:r w:rsidRPr="005D426B" w:rsidR="00EC35D2">
        <w:t xml:space="preserve"> (2014) 572 U.S. 1, 11.)</w:t>
      </w:r>
      <w:r w:rsidR="00EC35D2">
        <w:t xml:space="preserve">  </w:t>
      </w:r>
      <w:r w:rsidR="00C03692">
        <w:t>T</w:t>
      </w:r>
      <w:r w:rsidRPr="005D426B">
        <w:t xml:space="preserve">hat background principle </w:t>
      </w:r>
      <w:r w:rsidR="00B3670E">
        <w:t>isn’t</w:t>
      </w:r>
      <w:r w:rsidR="00810E54">
        <w:t xml:space="preserve"> </w:t>
      </w:r>
      <w:r w:rsidR="00430588">
        <w:t>made explicit</w:t>
      </w:r>
      <w:r w:rsidRPr="005D426B">
        <w:t xml:space="preserve"> </w:t>
      </w:r>
      <w:r w:rsidR="00430588">
        <w:t>in</w:t>
      </w:r>
      <w:r w:rsidRPr="005D426B" w:rsidR="00430588">
        <w:t xml:space="preserve"> </w:t>
      </w:r>
      <w:r w:rsidRPr="005D426B">
        <w:t xml:space="preserve">statutes of limitations — whose </w:t>
      </w:r>
      <w:r w:rsidR="00425BFF">
        <w:t>purpose, after all, are to set</w:t>
      </w:r>
      <w:r w:rsidRPr="005D426B">
        <w:t xml:space="preserve"> firm deadline</w:t>
      </w:r>
      <w:r w:rsidR="00425BFF">
        <w:t>s</w:t>
      </w:r>
      <w:r w:rsidRPr="005D426B">
        <w:t xml:space="preserve"> by which </w:t>
      </w:r>
      <w:r w:rsidR="0016385F">
        <w:t>parties</w:t>
      </w:r>
      <w:r w:rsidRPr="005D426B">
        <w:t xml:space="preserve"> must file suit.  (See </w:t>
      </w:r>
      <w:r w:rsidRPr="005D426B">
        <w:rPr>
          <w:i/>
        </w:rPr>
        <w:t>Chase Sec</w:t>
      </w:r>
      <w:r w:rsidR="002F6BC9">
        <w:rPr>
          <w:i/>
        </w:rPr>
        <w:t>urities</w:t>
      </w:r>
      <w:r w:rsidRPr="005D426B">
        <w:rPr>
          <w:i/>
        </w:rPr>
        <w:t xml:space="preserve"> Corp. v. Donaldson</w:t>
      </w:r>
      <w:r w:rsidRPr="005D426B">
        <w:t xml:space="preserve"> (1945) 325 U.S. 304, 314 [statutes of limitations “do[] not discriminate between the just and the unjust claim, or the voidable and unavoidable delay”].)</w:t>
      </w:r>
      <w:r w:rsidR="001A188A">
        <w:t xml:space="preserve">  So the Legislature’s adoption of the statute of limitations in section 11523 may very well have </w:t>
      </w:r>
      <w:r w:rsidR="00430588">
        <w:t>reflected a</w:t>
      </w:r>
      <w:r w:rsidR="00650B82">
        <w:t xml:space="preserve"> </w:t>
      </w:r>
      <w:r w:rsidR="00430588">
        <w:t>goal</w:t>
      </w:r>
      <w:r w:rsidR="001A188A">
        <w:t xml:space="preserve"> that petitions for a writ of administrative mandate be filed within 30 days — but</w:t>
      </w:r>
      <w:r w:rsidR="00186A83">
        <w:t xml:space="preserve"> it does not,</w:t>
      </w:r>
      <w:r w:rsidR="00EC35D2">
        <w:t xml:space="preserve"> by itself,</w:t>
      </w:r>
      <w:r w:rsidR="001A188A">
        <w:t xml:space="preserve"> </w:t>
      </w:r>
      <w:r w:rsidR="00D44537">
        <w:t xml:space="preserve">give rise to the inference that the Legislature </w:t>
      </w:r>
      <w:r w:rsidR="0016385F">
        <w:t>sought</w:t>
      </w:r>
      <w:r w:rsidR="00D44537">
        <w:t xml:space="preserve"> to foreclose </w:t>
      </w:r>
      <w:r w:rsidR="00457205">
        <w:t xml:space="preserve">equitable </w:t>
      </w:r>
      <w:r w:rsidR="00D44537">
        <w:t>tolling.</w:t>
      </w:r>
      <w:r w:rsidR="00EC35D2">
        <w:t xml:space="preserve">  Our courts have emphasized how equitable tolling can advance </w:t>
      </w:r>
      <w:r w:rsidRPr="005D426B" w:rsidR="00D44537">
        <w:t xml:space="preserve">“important </w:t>
      </w:r>
      <w:r w:rsidR="009823AE">
        <w:t>[</w:t>
      </w:r>
      <w:r w:rsidRPr="005D426B" w:rsidR="00D44537">
        <w:t>public</w:t>
      </w:r>
      <w:r w:rsidR="009823AE">
        <w:t>]</w:t>
      </w:r>
      <w:r w:rsidRPr="005D426B" w:rsidR="00D44537">
        <w:t xml:space="preserve"> policy considerations,” effectively offering the kind of narrowly</w:t>
      </w:r>
      <w:r w:rsidR="00FD5CF6">
        <w:t xml:space="preserve"> </w:t>
      </w:r>
      <w:r w:rsidRPr="005D426B" w:rsidR="00D44537">
        <w:t>drawn flexibility for unusual situations that allows the Legislature to preserve strict default rules.  (</w:t>
      </w:r>
      <w:r w:rsidRPr="005D426B" w:rsidR="00D44537">
        <w:rPr>
          <w:i/>
        </w:rPr>
        <w:t>Collier v. City of Pasadena</w:t>
      </w:r>
      <w:r w:rsidRPr="005D426B" w:rsidR="00D44537">
        <w:t xml:space="preserve"> (1983) 142 Cal.App.3d 917, 926; accord </w:t>
      </w:r>
      <w:r w:rsidRPr="005D426B" w:rsidR="00D44537">
        <w:rPr>
          <w:i/>
        </w:rPr>
        <w:t>McDonald</w:t>
      </w:r>
      <w:r w:rsidRPr="005D426B" w:rsidR="00D44537">
        <w:t xml:space="preserve">, </w:t>
      </w:r>
      <w:r w:rsidRPr="005D426B" w:rsidR="00D44537">
        <w:rPr>
          <w:i/>
        </w:rPr>
        <w:t>supra</w:t>
      </w:r>
      <w:r w:rsidRPr="005D426B" w:rsidR="00D44537">
        <w:t>, 45 Cal.4th at p. 100.)</w:t>
      </w:r>
      <w:r w:rsidR="00EA478F">
        <w:t xml:space="preserve">  A </w:t>
      </w:r>
      <w:r w:rsidR="000056F8">
        <w:t xml:space="preserve">requirement that parties seek judicial review within 30 days under section 11523 </w:t>
      </w:r>
      <w:r w:rsidR="003B3DD6">
        <w:t>doesn’t</w:t>
      </w:r>
      <w:r w:rsidR="0077598F">
        <w:t xml:space="preserve"> prohibit</w:t>
      </w:r>
      <w:r w:rsidR="000056F8">
        <w:t xml:space="preserve"> courts’ exercise of their equitable powers to toll that limitations period when justice so requires.  </w:t>
      </w:r>
      <w:r w:rsidR="00EA478F">
        <w:t xml:space="preserve"> </w:t>
      </w:r>
      <w:r w:rsidR="00D44537">
        <w:t xml:space="preserve">   </w:t>
      </w:r>
      <w:r w:rsidRPr="005D426B">
        <w:tab/>
        <w:t xml:space="preserve">  </w:t>
      </w:r>
    </w:p>
    <w:p w:rsidR="00D1286A" w:rsidP="000562F4" w14:paraId="6D4D3E4F" w14:textId="59A545AE">
      <w:pPr>
        <w:tabs>
          <w:tab w:val="left" w:pos="630"/>
          <w:tab w:val="left" w:pos="720"/>
        </w:tabs>
      </w:pPr>
      <w:r w:rsidRPr="005D426B">
        <w:tab/>
        <w:t xml:space="preserve">Nor </w:t>
      </w:r>
      <w:r w:rsidR="00DE19E9">
        <w:t>is the</w:t>
      </w:r>
      <w:r w:rsidRPr="005D426B">
        <w:t xml:space="preserve"> judiciary powerless to toll the statute of </w:t>
      </w:r>
      <w:r w:rsidR="00457205">
        <w:t>limitations in situations</w:t>
      </w:r>
      <w:r w:rsidR="00852F2E">
        <w:t xml:space="preserve"> </w:t>
      </w:r>
      <w:r w:rsidR="00BF0013">
        <w:t>besides the</w:t>
      </w:r>
      <w:r w:rsidR="00852F2E">
        <w:t xml:space="preserve"> one </w:t>
      </w:r>
      <w:r w:rsidR="009E7CB3">
        <w:t>mentioned in section 11523</w:t>
      </w:r>
      <w:r w:rsidRPr="005D426B">
        <w:t>.</w:t>
      </w:r>
      <w:r w:rsidR="0085701B">
        <w:t xml:space="preserve">  </w:t>
      </w:r>
      <w:r w:rsidR="0077598F">
        <w:t>A</w:t>
      </w:r>
      <w:r w:rsidR="00D42264">
        <w:t xml:space="preserve"> </w:t>
      </w:r>
      <w:r w:rsidRPr="005D426B" w:rsidR="00086836">
        <w:t>plaintiff’s timely request for the administrative record extends the statute of limitations by “30 days after its delivery to him or her.”</w:t>
      </w:r>
      <w:r w:rsidR="00CC4793">
        <w:t xml:space="preserve">  (§ 11523.)  </w:t>
      </w:r>
      <w:r w:rsidRPr="005D426B">
        <w:t>Such an exception is sensible</w:t>
      </w:r>
      <w:r w:rsidRPr="005D426B" w:rsidR="00EC2121">
        <w:t>:  I</w:t>
      </w:r>
      <w:r w:rsidRPr="005D426B" w:rsidR="005B4249">
        <w:t xml:space="preserve">t would </w:t>
      </w:r>
      <w:r w:rsidRPr="005D426B" w:rsidR="001C4D09">
        <w:t>be unreasonable</w:t>
      </w:r>
      <w:r w:rsidRPr="005D426B" w:rsidR="00675613">
        <w:t>, after all,</w:t>
      </w:r>
      <w:r w:rsidRPr="005D426B" w:rsidR="000F5C9B">
        <w:t xml:space="preserve"> to require plaintiffs to file writ petitions before they receive </w:t>
      </w:r>
      <w:r w:rsidRPr="005D426B" w:rsidR="00615C46">
        <w:t xml:space="preserve">the record </w:t>
      </w:r>
      <w:r w:rsidRPr="005D426B" w:rsidR="000F5C9B">
        <w:t>on which their petition</w:t>
      </w:r>
      <w:r w:rsidRPr="005D426B" w:rsidR="004435B5">
        <w:t>s</w:t>
      </w:r>
      <w:r w:rsidRPr="005D426B" w:rsidR="000F5C9B">
        <w:t xml:space="preserve"> will be based.</w:t>
      </w:r>
      <w:r w:rsidR="00D42264">
        <w:t xml:space="preserve">  But</w:t>
      </w:r>
      <w:r w:rsidR="007A6440">
        <w:t xml:space="preserve"> </w:t>
      </w:r>
      <w:r w:rsidR="0000734F">
        <w:t>section 11523</w:t>
      </w:r>
      <w:r w:rsidR="007A6440">
        <w:t xml:space="preserve"> </w:t>
      </w:r>
      <w:r w:rsidR="00DE6055">
        <w:t xml:space="preserve">does not </w:t>
      </w:r>
      <w:r w:rsidR="008925F0">
        <w:t>“</w:t>
      </w:r>
      <w:r w:rsidRPr="008925F0" w:rsidR="008925F0">
        <w:t xml:space="preserve">contain exclusivity language </w:t>
      </w:r>
      <w:r w:rsidR="008925F0">
        <w:t>[]</w:t>
      </w:r>
      <w:r w:rsidRPr="008925F0" w:rsidR="008925F0">
        <w:t xml:space="preserve"> that courts have interpreted as confining tolling to specific listed bases</w:t>
      </w:r>
      <w:r w:rsidR="008925F0">
        <w:t xml:space="preserve">.”  </w:t>
      </w:r>
      <w:r w:rsidR="00DE6055">
        <w:t>(</w:t>
      </w:r>
      <w:r w:rsidRPr="00DE6055" w:rsidR="00DE6055">
        <w:rPr>
          <w:i/>
          <w:iCs/>
        </w:rPr>
        <w:t>McDonald</w:t>
      </w:r>
      <w:r w:rsidRPr="00DE6055" w:rsidR="00DE6055">
        <w:t xml:space="preserve">, </w:t>
      </w:r>
      <w:r w:rsidRPr="00DE6055" w:rsidR="00DE6055">
        <w:rPr>
          <w:i/>
          <w:iCs/>
        </w:rPr>
        <w:t>supra</w:t>
      </w:r>
      <w:r w:rsidRPr="00DE6055" w:rsidR="00DE6055">
        <w:t>, 45 Cal.4th at p. 107</w:t>
      </w:r>
      <w:r w:rsidR="008F160F">
        <w:t xml:space="preserve"> [citing </w:t>
      </w:r>
      <w:r w:rsidR="003F4921">
        <w:t>“ ‘</w:t>
      </w:r>
      <w:r w:rsidR="00090225">
        <w:t xml:space="preserve"> </w:t>
      </w:r>
      <w:r w:rsidR="003F4921">
        <w:t>“</w:t>
      </w:r>
      <w:r w:rsidR="00090225">
        <w:t>in no event</w:t>
      </w:r>
      <w:r w:rsidR="003F4921">
        <w:t>”</w:t>
      </w:r>
      <w:r w:rsidR="00090225">
        <w:t xml:space="preserve"> shall the prescriptive period be tolled except under those circumstances specified in the statute</w:t>
      </w:r>
      <w:r w:rsidR="003F4921">
        <w:t>’ ”</w:t>
      </w:r>
      <w:r w:rsidR="00090225">
        <w:t xml:space="preserve"> and </w:t>
      </w:r>
      <w:r w:rsidR="006B5B90">
        <w:t>no tolling “ ‘for any reason except as provided’ therein” as examples of such language]</w:t>
      </w:r>
      <w:r w:rsidR="00DE6055">
        <w:t>.)</w:t>
      </w:r>
      <w:r w:rsidR="00BB0101">
        <w:t xml:space="preserve">  </w:t>
      </w:r>
      <w:r w:rsidR="0027268E">
        <w:t>T</w:t>
      </w:r>
      <w:r w:rsidR="006B7C2E">
        <w:t>he single exception</w:t>
      </w:r>
      <w:r w:rsidR="008925F0">
        <w:t xml:space="preserve"> to section 11523’s 30-day limitations period</w:t>
      </w:r>
      <w:r w:rsidR="00BA415C">
        <w:t xml:space="preserve"> </w:t>
      </w:r>
      <w:r w:rsidRPr="005D426B" w:rsidR="00DF2DD1">
        <w:t xml:space="preserve">bears little relation to the </w:t>
      </w:r>
      <w:r w:rsidRPr="005D426B" w:rsidR="0041530B">
        <w:t>purpose</w:t>
      </w:r>
      <w:r w:rsidRPr="005D426B" w:rsidR="00DF2DD1">
        <w:t xml:space="preserve"> of equitable tolling: </w:t>
      </w:r>
      <w:r w:rsidR="008839F9">
        <w:t xml:space="preserve"> </w:t>
      </w:r>
      <w:r w:rsidRPr="005D426B" w:rsidR="00675613">
        <w:t>t</w:t>
      </w:r>
      <w:r w:rsidRPr="005D426B" w:rsidR="0041530B">
        <w:t>o excuse noncompliance with the statute of limitations in exceptional circumstances</w:t>
      </w:r>
      <w:r w:rsidRPr="005D426B" w:rsidR="00C7275A">
        <w:t xml:space="preserve"> in which a party </w:t>
      </w:r>
      <w:r w:rsidRPr="005D426B" w:rsidR="00675613">
        <w:t>didn’t act</w:t>
      </w:r>
      <w:r w:rsidRPr="005D426B" w:rsidR="00C7275A">
        <w:t xml:space="preserve"> within the limitations period </w:t>
      </w:r>
      <w:r w:rsidRPr="005D426B" w:rsidR="00675613">
        <w:t>because of</w:t>
      </w:r>
      <w:r w:rsidRPr="005D426B" w:rsidR="00C7275A">
        <w:t xml:space="preserve"> </w:t>
      </w:r>
      <w:r w:rsidRPr="005D426B" w:rsidR="00B51570">
        <w:t>an</w:t>
      </w:r>
      <w:r w:rsidRPr="005D426B" w:rsidR="00C7275A">
        <w:t xml:space="preserve"> obstacle not acknowledged in the statute</w:t>
      </w:r>
      <w:r w:rsidRPr="005D426B" w:rsidR="00DF2DD1">
        <w:t xml:space="preserve">.  </w:t>
      </w:r>
      <w:r w:rsidR="00AE3FF2">
        <w:t>W</w:t>
      </w:r>
      <w:r w:rsidRPr="005D426B">
        <w:t xml:space="preserve">e decline to infer from that single exception </w:t>
      </w:r>
      <w:r w:rsidR="00430588">
        <w:t>that it was</w:t>
      </w:r>
      <w:r w:rsidRPr="005D426B" w:rsidR="00430588">
        <w:t xml:space="preserve"> </w:t>
      </w:r>
      <w:r w:rsidR="00430588">
        <w:t xml:space="preserve">within the ambit of the </w:t>
      </w:r>
      <w:r w:rsidRPr="005D426B">
        <w:t xml:space="preserve">Legislature’s </w:t>
      </w:r>
      <w:r w:rsidR="00022AC7">
        <w:t>purpose</w:t>
      </w:r>
      <w:r w:rsidRPr="005D426B">
        <w:t xml:space="preserve"> to bar tolling in any other circumstance.</w:t>
      </w:r>
      <w:r w:rsidRPr="005D426B" w:rsidR="00DF2DD1">
        <w:t xml:space="preserve">  (See </w:t>
      </w:r>
      <w:r w:rsidRPr="005D426B" w:rsidR="00DF2DD1">
        <w:rPr>
          <w:i/>
        </w:rPr>
        <w:t>Young v. United States</w:t>
      </w:r>
      <w:r w:rsidRPr="005D426B" w:rsidR="00DF2DD1">
        <w:t xml:space="preserve"> (2002) 535 U.S. 43, 49 [The Legislature is presumed to draft limitations periods in light of the “hornbook law that limitations periods are </w:t>
      </w:r>
      <w:r w:rsidRPr="005D426B" w:rsidR="0041530B">
        <w:t xml:space="preserve">‘customarily </w:t>
      </w:r>
      <w:r w:rsidRPr="005D426B" w:rsidR="00DF2DD1">
        <w:t xml:space="preserve">subject to </w:t>
      </w:r>
      <w:r w:rsidRPr="005D426B" w:rsidR="0041530B">
        <w:t>“</w:t>
      </w:r>
      <w:r w:rsidRPr="005D426B" w:rsidR="00DF2DD1">
        <w:t>equitable tolling</w:t>
      </w:r>
      <w:r w:rsidRPr="005D426B" w:rsidR="0041530B">
        <w:t xml:space="preserve">” ’ </w:t>
      </w:r>
      <w:r w:rsidRPr="005D426B" w:rsidR="00DF2DD1">
        <w:t>”].)</w:t>
      </w:r>
    </w:p>
    <w:p w:rsidR="009216B3" w:rsidP="00B356C6" w14:paraId="475C3B69" w14:textId="77777777">
      <w:pPr>
        <w:tabs>
          <w:tab w:val="left" w:pos="630"/>
          <w:tab w:val="left" w:pos="720"/>
        </w:tabs>
      </w:pPr>
      <w:r>
        <w:tab/>
      </w:r>
      <w:r w:rsidR="00A91ECE">
        <w:t xml:space="preserve">Similarly unavailing to the Department’s position is the legislative history of </w:t>
      </w:r>
      <w:r w:rsidR="00791C87">
        <w:t>s</w:t>
      </w:r>
      <w:r>
        <w:t>ection 11523</w:t>
      </w:r>
      <w:r w:rsidR="004A6695">
        <w:t>.</w:t>
      </w:r>
      <w:r w:rsidR="00150A1F">
        <w:t xml:space="preserve">  </w:t>
      </w:r>
      <w:r w:rsidR="00A91ECE">
        <w:t>In contrast to what we discern</w:t>
      </w:r>
      <w:r w:rsidR="00B356C6">
        <w:t>ed</w:t>
      </w:r>
      <w:r w:rsidR="00A91ECE">
        <w:t xml:space="preserve"> from</w:t>
      </w:r>
      <w:r w:rsidR="006426C1">
        <w:t xml:space="preserve"> the legislative history of</w:t>
      </w:r>
      <w:r w:rsidR="00930D06">
        <w:t xml:space="preserve"> Code of Civil Procedure section 337.15, it does not “reflect[] a clear intent”</w:t>
      </w:r>
      <w:r w:rsidR="001439E8">
        <w:t xml:space="preserve"> that equitable tolling </w:t>
      </w:r>
      <w:r w:rsidR="00DF343B">
        <w:t>ought not be available</w:t>
      </w:r>
      <w:r w:rsidR="00DD3CC0">
        <w:t xml:space="preserve"> under section 11523</w:t>
      </w:r>
      <w:r w:rsidR="001439E8">
        <w:t>.</w:t>
      </w:r>
      <w:r w:rsidR="001562DC">
        <w:t xml:space="preserve">  </w:t>
      </w:r>
      <w:r w:rsidRPr="005D426B" w:rsidR="001562DC">
        <w:t>(</w:t>
      </w:r>
      <w:r w:rsidRPr="005D426B" w:rsidR="001562DC">
        <w:rPr>
          <w:i/>
        </w:rPr>
        <w:t>McDonald</w:t>
      </w:r>
      <w:r w:rsidRPr="005D426B" w:rsidR="001562DC">
        <w:t xml:space="preserve">, </w:t>
      </w:r>
      <w:r w:rsidRPr="005D426B" w:rsidR="001562DC">
        <w:rPr>
          <w:i/>
        </w:rPr>
        <w:t>supra</w:t>
      </w:r>
      <w:r w:rsidRPr="005D426B" w:rsidR="001562DC">
        <w:t>, 45 Cal.4th at p. 105</w:t>
      </w:r>
      <w:r w:rsidR="001562DC">
        <w:t>.</w:t>
      </w:r>
      <w:r w:rsidRPr="005D426B" w:rsidR="001562DC">
        <w:t>)</w:t>
      </w:r>
      <w:r w:rsidR="001439E8">
        <w:t xml:space="preserve">  Code of Civil Procedure section 337.15</w:t>
      </w:r>
      <w:r w:rsidR="001562DC">
        <w:t xml:space="preserve">, as we </w:t>
      </w:r>
      <w:r w:rsidRPr="005D426B" w:rsidR="001562DC">
        <w:t xml:space="preserve">explained in </w:t>
      </w:r>
      <w:r w:rsidRPr="005D426B" w:rsidR="001562DC">
        <w:rPr>
          <w:i/>
        </w:rPr>
        <w:t>Lantzy</w:t>
      </w:r>
      <w:r w:rsidRPr="005D426B" w:rsidR="001562DC">
        <w:t>,</w:t>
      </w:r>
      <w:r w:rsidR="001562DC">
        <w:t xml:space="preserve"> </w:t>
      </w:r>
      <w:r w:rsidRPr="005D426B" w:rsidR="00CF0242">
        <w:t>was enacted in “response to [a] considerable expansion of California</w:t>
      </w:r>
      <w:r w:rsidR="00791C87">
        <w:t>’</w:t>
      </w:r>
      <w:r w:rsidRPr="005D426B" w:rsidR="00CF0242">
        <w:t>s common law of construction liability.”  (</w:t>
      </w:r>
      <w:r w:rsidRPr="00C56D4E" w:rsidR="00C56D4E">
        <w:rPr>
          <w:i/>
          <w:iCs/>
        </w:rPr>
        <w:t>Lantzy</w:t>
      </w:r>
      <w:r w:rsidR="00C56D4E">
        <w:t xml:space="preserve">, </w:t>
      </w:r>
      <w:r w:rsidRPr="00C56D4E" w:rsidR="00C56D4E">
        <w:rPr>
          <w:i/>
          <w:iCs/>
        </w:rPr>
        <w:t>supra</w:t>
      </w:r>
      <w:r w:rsidR="00C56D4E">
        <w:t xml:space="preserve">, </w:t>
      </w:r>
      <w:r w:rsidRPr="00C56D4E" w:rsidR="00CF0242">
        <w:t>31</w:t>
      </w:r>
      <w:r w:rsidRPr="005D426B" w:rsidR="00CF0242">
        <w:t xml:space="preserve"> Cal.</w:t>
      </w:r>
      <w:r w:rsidR="002153F3">
        <w:t xml:space="preserve">4th </w:t>
      </w:r>
      <w:r w:rsidRPr="005D426B" w:rsidR="00CF0242">
        <w:t>at p. 374.)  In the decades preceding the statute’s enactment, “members of the building industry [] faced exposure to liability for all defects in their past projects so long as these defects remained undiscovered and undiscoverable by reasonable inspection.”  (</w:t>
      </w:r>
      <w:r w:rsidRPr="005D426B" w:rsidR="00CF0242">
        <w:rPr>
          <w:i/>
        </w:rPr>
        <w:t>Id.</w:t>
      </w:r>
      <w:r w:rsidRPr="005D426B" w:rsidR="00CF0242">
        <w:t xml:space="preserve"> at p. 375.)  The absence of a strict limitations period “produc[ed] a risk for which insurance was available only at prohibitive cost . . . thus threatening the industry’s economic health.”  (</w:t>
      </w:r>
      <w:r w:rsidRPr="005D426B" w:rsidR="00CF0242">
        <w:rPr>
          <w:i/>
        </w:rPr>
        <w:t>Id.</w:t>
      </w:r>
      <w:r w:rsidRPr="005D426B" w:rsidR="00CF0242">
        <w:t xml:space="preserve"> at </w:t>
      </w:r>
      <w:r w:rsidR="00791C87">
        <w:t xml:space="preserve">p. </w:t>
      </w:r>
      <w:r w:rsidRPr="005D426B" w:rsidR="00CF0242">
        <w:t>376.)</w:t>
      </w:r>
    </w:p>
    <w:p w:rsidR="003110E2" w:rsidRPr="005D426B" w:rsidP="00A2770C" w14:paraId="385FF566" w14:textId="2A3B8CDE">
      <w:pPr>
        <w:tabs>
          <w:tab w:val="left" w:pos="630"/>
          <w:tab w:val="left" w:pos="720"/>
        </w:tabs>
      </w:pPr>
      <w:r w:rsidRPr="005D426B">
        <w:tab/>
      </w:r>
      <w:r w:rsidRPr="005D426B" w:rsidR="006677DF">
        <w:t xml:space="preserve">It was against this backdrop that </w:t>
      </w:r>
      <w:r w:rsidR="00A255B4">
        <w:t xml:space="preserve">the Legislature enacted the 10-year limitations period in </w:t>
      </w:r>
      <w:r w:rsidRPr="005D426B" w:rsidR="00D6493B">
        <w:t xml:space="preserve">Code of Civil Procedure </w:t>
      </w:r>
      <w:r w:rsidRPr="005D426B" w:rsidR="006677DF">
        <w:t>section 337.15</w:t>
      </w:r>
      <w:r w:rsidRPr="005D426B" w:rsidR="00E53EE2">
        <w:t>.  The</w:t>
      </w:r>
      <w:r w:rsidRPr="005D426B">
        <w:t xml:space="preserve"> Legislature </w:t>
      </w:r>
      <w:r w:rsidRPr="005D426B" w:rsidR="00E53EE2">
        <w:t xml:space="preserve">appears to have </w:t>
      </w:r>
      <w:r w:rsidRPr="005D426B">
        <w:t>“carefully considered how to provide a fair time to discover construction defects, and to sue upon such defects if necessary, while still protecting a vital industry from the damaging consequences of indefinite liability exposure.”  (</w:t>
      </w:r>
      <w:r w:rsidR="001E22DB">
        <w:rPr>
          <w:i/>
        </w:rPr>
        <w:t>Lantzy</w:t>
      </w:r>
      <w:r w:rsidR="001E22DB">
        <w:rPr>
          <w:iCs/>
        </w:rPr>
        <w:t xml:space="preserve">, </w:t>
      </w:r>
      <w:r w:rsidR="001E22DB">
        <w:rPr>
          <w:i/>
        </w:rPr>
        <w:t>supra</w:t>
      </w:r>
      <w:r w:rsidR="001E22DB">
        <w:rPr>
          <w:iCs/>
        </w:rPr>
        <w:t>, 31 Cal.4th</w:t>
      </w:r>
      <w:r w:rsidRPr="005D426B">
        <w:t xml:space="preserve"> at </w:t>
      </w:r>
      <w:r w:rsidR="00C42948">
        <w:t xml:space="preserve">p. </w:t>
      </w:r>
      <w:r w:rsidRPr="005D426B">
        <w:t>377.)</w:t>
      </w:r>
      <w:r w:rsidRPr="005D426B" w:rsidR="008B2488">
        <w:t xml:space="preserve">  </w:t>
      </w:r>
      <w:r w:rsidRPr="005D426B" w:rsidR="00660FAF">
        <w:t>It</w:t>
      </w:r>
      <w:r w:rsidRPr="005D426B" w:rsidR="00D43A95">
        <w:t xml:space="preserve"> ultimately </w:t>
      </w:r>
      <w:r w:rsidRPr="005D426B" w:rsidR="008B2488">
        <w:t xml:space="preserve">“specified in section 337.15 that </w:t>
      </w:r>
      <w:r w:rsidRPr="00B13FBE" w:rsidR="008B2488">
        <w:t>whatever limitations periods might otherwise apply</w:t>
      </w:r>
      <w:r w:rsidRPr="005D426B" w:rsidR="008B2488">
        <w:t>, ‘no action’ for injury to property arising from latent construction defects ‘may be brought’ more than 10 years after substantial completion of the project.”  (</w:t>
      </w:r>
      <w:r w:rsidRPr="005D426B" w:rsidR="00C4091E">
        <w:rPr>
          <w:i/>
        </w:rPr>
        <w:t>Ibid.</w:t>
      </w:r>
      <w:r w:rsidR="00B85B7D">
        <w:rPr>
          <w:iCs/>
        </w:rPr>
        <w:t>, italics omitted.</w:t>
      </w:r>
      <w:r w:rsidRPr="005D426B" w:rsidR="00C4091E">
        <w:t>)</w:t>
      </w:r>
      <w:r w:rsidR="00A2770C">
        <w:t xml:space="preserve">  The statute’s 10-year limitations period, therefore, was </w:t>
      </w:r>
      <w:r w:rsidRPr="005D426B">
        <w:t>intended “to be firm and final.”  (</w:t>
      </w:r>
      <w:r w:rsidRPr="005D426B">
        <w:rPr>
          <w:i/>
        </w:rPr>
        <w:t>Ibid.</w:t>
      </w:r>
      <w:r w:rsidRPr="005D426B">
        <w:t xml:space="preserve">) </w:t>
      </w:r>
    </w:p>
    <w:p w:rsidR="00212BED" w:rsidRPr="005D426B" w:rsidP="00584C40" w14:paraId="5456241E" w14:textId="77777777">
      <w:pPr>
        <w:tabs>
          <w:tab w:val="left" w:pos="630"/>
          <w:tab w:val="left" w:pos="720"/>
        </w:tabs>
      </w:pPr>
      <w:r w:rsidRPr="005D426B">
        <w:tab/>
      </w:r>
      <w:r w:rsidRPr="005D426B" w:rsidR="00E53EE2">
        <w:t xml:space="preserve">Nothing in the </w:t>
      </w:r>
      <w:r w:rsidRPr="005D426B" w:rsidR="00743059">
        <w:t xml:space="preserve">legislative </w:t>
      </w:r>
      <w:r w:rsidRPr="005D426B" w:rsidR="00E53EE2">
        <w:t xml:space="preserve">history of section </w:t>
      </w:r>
      <w:r w:rsidRPr="005D426B">
        <w:t xml:space="preserve">11523 </w:t>
      </w:r>
      <w:r w:rsidRPr="005D426B" w:rsidR="00E53EE2">
        <w:t xml:space="preserve">supports a </w:t>
      </w:r>
      <w:r w:rsidRPr="005D426B" w:rsidR="00743059">
        <w:t>similar</w:t>
      </w:r>
      <w:r w:rsidRPr="005D426B" w:rsidR="00E53EE2">
        <w:t xml:space="preserve"> conclusion</w:t>
      </w:r>
      <w:r w:rsidRPr="005D426B" w:rsidR="008E5372">
        <w:t>.</w:t>
      </w:r>
      <w:r w:rsidRPr="005D426B">
        <w:t xml:space="preserve">  Indeed, </w:t>
      </w:r>
      <w:r w:rsidRPr="005D426B" w:rsidR="00743059">
        <w:t xml:space="preserve">the limited history that </w:t>
      </w:r>
      <w:r w:rsidRPr="005D426B" w:rsidR="003A4E51">
        <w:t>exists</w:t>
      </w:r>
      <w:r w:rsidRPr="005D426B" w:rsidR="00743059">
        <w:t xml:space="preserve"> could reasonably be read to support </w:t>
      </w:r>
      <w:r w:rsidRPr="005D426B" w:rsidR="003A4E51">
        <w:t xml:space="preserve">the availability of </w:t>
      </w:r>
      <w:r w:rsidR="00412828">
        <w:t>equ</w:t>
      </w:r>
      <w:r w:rsidR="005C0C9E">
        <w:t xml:space="preserve">itable </w:t>
      </w:r>
      <w:r w:rsidRPr="005D426B" w:rsidR="003A4E51">
        <w:t>tolling</w:t>
      </w:r>
      <w:r w:rsidRPr="005D426B" w:rsidR="009D6BB4">
        <w:t xml:space="preserve">.  </w:t>
      </w:r>
      <w:r w:rsidRPr="005D426B">
        <w:t xml:space="preserve">The Legislature amended </w:t>
      </w:r>
      <w:r w:rsidRPr="005D426B" w:rsidR="003A4E51">
        <w:t>section 11523</w:t>
      </w:r>
      <w:r w:rsidRPr="005D426B">
        <w:t xml:space="preserve"> in 1971 to allow plaintiffs who requested the administrative record 30 days, instead of five days, to file </w:t>
      </w:r>
      <w:r w:rsidRPr="005D426B" w:rsidR="000D536E">
        <w:t>a</w:t>
      </w:r>
      <w:r w:rsidRPr="005D426B">
        <w:t xml:space="preserve"> petition for a writ of administrative mandate after receiving the record.  (Stats. 1971, ch. 984, § 1, p. 1896.)  The analysis prepared by the Department of General Services advised the Governor that although the amendment “may on occasion cause subsequent judicial review proceedings to commence somewhat later than would be the case under existing law[,] . . . such delays would not be likely to measurably affect departmental interests, either favorably or adversely.”  (</w:t>
      </w:r>
      <w:bookmarkStart w:id="4" w:name="_Hlk40103650"/>
      <w:r w:rsidRPr="005D426B">
        <w:t xml:space="preserve">Dept. of Gen. Services, Enrolled Bill Rep. on Assem. Bill No. 2067 (1971-1972 Reg. Sess.) </w:t>
      </w:r>
      <w:r w:rsidR="00902376">
        <w:t xml:space="preserve">Sept. 29, 1971, </w:t>
      </w:r>
      <w:r w:rsidRPr="005D426B">
        <w:t>p. 1</w:t>
      </w:r>
      <w:bookmarkEnd w:id="4"/>
      <w:r w:rsidR="00BA415C">
        <w:t xml:space="preserve">.)  If the executive branch </w:t>
      </w:r>
      <w:r w:rsidR="00BD7CF5">
        <w:t>wasn’t</w:t>
      </w:r>
      <w:r w:rsidR="00BA415C">
        <w:t xml:space="preserve"> persuaded that extending the deadline from five to 30 days would tend to make a difference in </w:t>
      </w:r>
      <w:r w:rsidR="00584C40">
        <w:t>these cases</w:t>
      </w:r>
      <w:r w:rsidR="00BA415C">
        <w:t xml:space="preserve">, it seems harder still to conclude that </w:t>
      </w:r>
      <w:r w:rsidR="00AE3FF2">
        <w:t>it was within the ambit of the</w:t>
      </w:r>
      <w:r w:rsidR="00BA415C">
        <w:t xml:space="preserve"> Legislature’s purpose </w:t>
      </w:r>
      <w:r w:rsidR="00AE3FF2">
        <w:t>for</w:t>
      </w:r>
      <w:r w:rsidR="00BA415C">
        <w:t xml:space="preserve"> </w:t>
      </w:r>
      <w:r w:rsidR="00BD7CF5">
        <w:t>the 30-</w:t>
      </w:r>
      <w:r w:rsidR="00BA415C">
        <w:t xml:space="preserve">day deadline </w:t>
      </w:r>
      <w:r w:rsidR="00AE3FF2">
        <w:t>to function as</w:t>
      </w:r>
      <w:r w:rsidR="00BA415C">
        <w:t xml:space="preserve"> an austere, </w:t>
      </w:r>
      <w:r w:rsidR="00AE3FF2">
        <w:t>unforgiving</w:t>
      </w:r>
      <w:r w:rsidR="00BA415C">
        <w:t xml:space="preserve"> limitation period, notwithstanding any equitable considerations buttressing the case for tolling</w:t>
      </w:r>
      <w:r w:rsidRPr="005D426B" w:rsidR="00BA415C">
        <w:t>.</w:t>
      </w:r>
    </w:p>
    <w:p w:rsidR="006C23BC" w:rsidP="00551D67" w14:paraId="07B4797B" w14:textId="35704856">
      <w:pPr>
        <w:tabs>
          <w:tab w:val="left" w:pos="630"/>
          <w:tab w:val="left" w:pos="720"/>
        </w:tabs>
      </w:pPr>
      <w:r w:rsidRPr="005D426B">
        <w:tab/>
      </w:r>
      <w:r w:rsidRPr="005D426B" w:rsidR="00EC0D9B">
        <w:t xml:space="preserve">The Department doesn’t point us to contrary evidence.  </w:t>
      </w:r>
      <w:r w:rsidR="00BF0013">
        <w:t>Its argument rests instead</w:t>
      </w:r>
      <w:r w:rsidRPr="005D426B" w:rsidR="00EC0D9B">
        <w:t xml:space="preserve"> on the fact that the Legislature “has not extended the 30-day deadline to file a writ petition” or “added any additional statutory tolling provisions” since the statute’s enact</w:t>
      </w:r>
      <w:r w:rsidR="00EC0D9B">
        <w:t xml:space="preserve">ment in 1945.  From this inaction, the Department would have us infer that </w:t>
      </w:r>
      <w:r w:rsidR="00AE3FF2">
        <w:t xml:space="preserve">the </w:t>
      </w:r>
      <w:r w:rsidR="00EC0D9B">
        <w:t xml:space="preserve">30-day deadline </w:t>
      </w:r>
      <w:r w:rsidR="00AE3FF2">
        <w:t>is</w:t>
      </w:r>
      <w:r w:rsidR="00EC0D9B">
        <w:t xml:space="preserve"> an inflexible one, immune </w:t>
      </w:r>
      <w:r w:rsidR="00AE3FF2">
        <w:t>from</w:t>
      </w:r>
      <w:r w:rsidR="00EC0D9B">
        <w:t xml:space="preserve"> extension on equitable grounds.  Yet </w:t>
      </w:r>
      <w:r w:rsidR="00AE3FF2">
        <w:t xml:space="preserve">because </w:t>
      </w:r>
      <w:r w:rsidR="00F27F0E">
        <w:t>legislatures</w:t>
      </w:r>
      <w:r w:rsidR="005B59E2">
        <w:t xml:space="preserve"> </w:t>
      </w:r>
      <w:r w:rsidR="00F27F0E">
        <w:t>acquiesce for s</w:t>
      </w:r>
      <w:r w:rsidR="00DA1FBC">
        <w:t>cores of</w:t>
      </w:r>
      <w:r w:rsidR="00AE3FF2">
        <w:t xml:space="preserve"> reasons, </w:t>
      </w:r>
      <w:r w:rsidR="008C58D3">
        <w:t>such</w:t>
      </w:r>
      <w:r w:rsidR="00EC0D9B">
        <w:t xml:space="preserve"> acquiescence</w:t>
      </w:r>
      <w:r w:rsidR="00AE3FF2">
        <w:t xml:space="preserve"> supports only limited inferences when we </w:t>
      </w:r>
      <w:r w:rsidR="00551D67">
        <w:t>interpret</w:t>
      </w:r>
      <w:r w:rsidR="00140809">
        <w:t xml:space="preserve"> statutes.  </w:t>
      </w:r>
      <w:r w:rsidRPr="005D426B" w:rsidR="00EC0D9B">
        <w:t>(</w:t>
      </w:r>
      <w:r w:rsidR="001D6035">
        <w:t xml:space="preserve">See </w:t>
      </w:r>
      <w:r w:rsidR="00EC0D9B">
        <w:rPr>
          <w:i/>
        </w:rPr>
        <w:t xml:space="preserve">Harris v. Capital Growth Investors XIV </w:t>
      </w:r>
      <w:r w:rsidR="00EC0D9B">
        <w:t>(1991) 52 Cal.3d 1142, 1156.</w:t>
      </w:r>
      <w:r w:rsidRPr="005D426B" w:rsidR="00EC0D9B">
        <w:t>)  The lack of amendments may instead “ ‘ “indicate many [other] things[:] . . . the sheer pressure of other and more important business, political considerations, or a tendency to trust to the courts to correct their own errors . . . .” ’ ”  (</w:t>
      </w:r>
      <w:r w:rsidRPr="005D426B" w:rsidR="00EC0D9B">
        <w:rPr>
          <w:i/>
        </w:rPr>
        <w:t>People v. Whitmer</w:t>
      </w:r>
      <w:r w:rsidRPr="005D426B" w:rsidR="00EC0D9B">
        <w:t xml:space="preserve"> (2014) 59 Cal.4th 733, 741.)  </w:t>
      </w:r>
      <w:r w:rsidR="008E2B38">
        <w:t>So w</w:t>
      </w:r>
      <w:r w:rsidR="00EC0D9B">
        <w:t>e</w:t>
      </w:r>
      <w:r w:rsidRPr="005D426B" w:rsidR="00EC0D9B">
        <w:t xml:space="preserve"> decline to attribute to the Legislature a purpose for which </w:t>
      </w:r>
      <w:r w:rsidR="00EC0D9B">
        <w:t>little or no</w:t>
      </w:r>
      <w:r w:rsidRPr="005D426B" w:rsidR="00EC0D9B">
        <w:t xml:space="preserve"> evidence exists.</w:t>
      </w:r>
    </w:p>
    <w:p w:rsidR="00035B96" w:rsidP="009569C1" w14:paraId="31A50A59" w14:textId="73C7E318">
      <w:pPr>
        <w:tabs>
          <w:tab w:val="left" w:pos="630"/>
          <w:tab w:val="left" w:pos="720"/>
        </w:tabs>
      </w:pPr>
      <w:r>
        <w:tab/>
        <w:t xml:space="preserve">We </w:t>
      </w:r>
      <w:r w:rsidR="00A91ECE">
        <w:t>cull</w:t>
      </w:r>
      <w:r>
        <w:t xml:space="preserve"> </w:t>
      </w:r>
      <w:r w:rsidR="004734A0">
        <w:t xml:space="preserve">little </w:t>
      </w:r>
      <w:r w:rsidR="00A91ECE">
        <w:t xml:space="preserve">if any </w:t>
      </w:r>
      <w:r w:rsidR="004734A0">
        <w:t xml:space="preserve">evidence from </w:t>
      </w:r>
      <w:r w:rsidR="007B2D62">
        <w:t xml:space="preserve">section 11523’s text, </w:t>
      </w:r>
      <w:r w:rsidR="00B701B0">
        <w:t>context</w:t>
      </w:r>
      <w:r w:rsidR="007B2D62">
        <w:t>,</w:t>
      </w:r>
      <w:r w:rsidR="003A0F15">
        <w:t xml:space="preserve"> and legislative history </w:t>
      </w:r>
      <w:r w:rsidR="00B701B0">
        <w:t xml:space="preserve">that </w:t>
      </w:r>
      <w:r w:rsidR="004734A0">
        <w:t>the Legislature took a scalpel to equitable tolling</w:t>
      </w:r>
      <w:r w:rsidR="0003537B">
        <w:t xml:space="preserve"> under section 11523</w:t>
      </w:r>
      <w:r w:rsidR="00A47748">
        <w:t xml:space="preserve">.  </w:t>
      </w:r>
      <w:r w:rsidR="001B400E">
        <w:t>Because we presume that</w:t>
      </w:r>
      <w:r w:rsidR="00020FCE">
        <w:t xml:space="preserve"> statutes of limitations are </w:t>
      </w:r>
      <w:r w:rsidR="00A47748">
        <w:t xml:space="preserve">ordinarily </w:t>
      </w:r>
      <w:r w:rsidR="00020FCE">
        <w:t>subject to</w:t>
      </w:r>
      <w:r w:rsidR="001B400E">
        <w:t xml:space="preserve"> </w:t>
      </w:r>
      <w:r w:rsidR="00020FCE">
        <w:t>equitable tolling</w:t>
      </w:r>
      <w:r w:rsidR="00FB58C4">
        <w:t>, the</w:t>
      </w:r>
      <w:r w:rsidR="00A47748">
        <w:t xml:space="preserve"> paucity of evidence </w:t>
      </w:r>
      <w:r w:rsidR="00384D77">
        <w:t xml:space="preserve">that the Legislature ruled it out </w:t>
      </w:r>
      <w:r w:rsidR="00AB27A7">
        <w:t xml:space="preserve">compels the </w:t>
      </w:r>
      <w:r w:rsidR="00E85B80">
        <w:t xml:space="preserve">conclusion that </w:t>
      </w:r>
      <w:r w:rsidR="00176ADF">
        <w:t xml:space="preserve">the </w:t>
      </w:r>
      <w:r w:rsidR="00EB13A7">
        <w:t xml:space="preserve">30-day </w:t>
      </w:r>
      <w:r w:rsidR="00176ADF">
        <w:t xml:space="preserve">statute of limitations may be </w:t>
      </w:r>
      <w:r w:rsidR="00EB13A7">
        <w:t xml:space="preserve">tolled. </w:t>
      </w:r>
      <w:r w:rsidR="00E85B80">
        <w:t xml:space="preserve">  </w:t>
      </w:r>
    </w:p>
    <w:p w:rsidR="00046D8A" w:rsidP="00B13FBE" w14:paraId="238AC7AF" w14:textId="1D4B6237">
      <w:pPr>
        <w:tabs>
          <w:tab w:val="left" w:pos="630"/>
          <w:tab w:val="left" w:pos="720"/>
        </w:tabs>
      </w:pPr>
      <w:r>
        <w:tab/>
      </w:r>
      <w:r w:rsidR="00B701B0">
        <w:t>But “may” here means possibility, and not just permission</w:t>
      </w:r>
      <w:r w:rsidR="0079444B">
        <w:t xml:space="preserve">:  </w:t>
      </w:r>
      <w:r w:rsidRPr="005D426B" w:rsidR="002B3E5B">
        <w:t>That equitable tolling is available</w:t>
      </w:r>
      <w:r>
        <w:t xml:space="preserve"> under section 11523</w:t>
      </w:r>
      <w:r w:rsidRPr="005D426B" w:rsidR="002B3E5B">
        <w:t xml:space="preserve"> doesn’t mean it will apply in every — or even most — cases.  </w:t>
      </w:r>
      <w:r w:rsidRPr="005D426B" w:rsidR="0053300B">
        <w:t>A</w:t>
      </w:r>
      <w:r w:rsidRPr="005D426B" w:rsidR="002B3E5B">
        <w:t xml:space="preserve">s we’ve </w:t>
      </w:r>
      <w:r w:rsidRPr="005D426B" w:rsidR="001F2ED7">
        <w:t>explained</w:t>
      </w:r>
      <w:r w:rsidRPr="005D426B" w:rsidR="002B3E5B">
        <w:t xml:space="preserve">, equitable tolling </w:t>
      </w:r>
      <w:r w:rsidRPr="005D426B" w:rsidR="001F2ED7">
        <w:t xml:space="preserve">is a narrow remedy </w:t>
      </w:r>
      <w:r w:rsidR="007B0348">
        <w:t>that applies</w:t>
      </w:r>
      <w:r w:rsidR="009621D9">
        <w:t xml:space="preserve"> to toll statutes of limitations</w:t>
      </w:r>
      <w:r w:rsidRPr="005D426B" w:rsidR="00FB28EE">
        <w:t xml:space="preserve"> only</w:t>
      </w:r>
      <w:r w:rsidRPr="005D426B" w:rsidR="002B3E5B">
        <w:t xml:space="preserve"> “occasionally and in special situations</w:t>
      </w:r>
      <w:r w:rsidRPr="005D426B" w:rsidR="001F2ED7">
        <w:t>.</w:t>
      </w:r>
      <w:r w:rsidRPr="005D426B" w:rsidR="002B3E5B">
        <w:t>”</w:t>
      </w:r>
      <w:r w:rsidRPr="005D426B" w:rsidR="001F2ED7">
        <w:t xml:space="preserve">  (</w:t>
      </w:r>
      <w:r w:rsidRPr="005D426B" w:rsidR="001F2ED7">
        <w:rPr>
          <w:i/>
        </w:rPr>
        <w:t>Addison</w:t>
      </w:r>
      <w:r w:rsidRPr="005D426B" w:rsidR="001F2ED7">
        <w:t xml:space="preserve">, </w:t>
      </w:r>
      <w:r w:rsidRPr="005D426B" w:rsidR="001F2ED7">
        <w:rPr>
          <w:i/>
        </w:rPr>
        <w:t>supra</w:t>
      </w:r>
      <w:r w:rsidRPr="005D426B" w:rsidR="001F2ED7">
        <w:t>, 21 Cal.3d at p. 316</w:t>
      </w:r>
      <w:r w:rsidRPr="005D426B" w:rsidR="00CA1CF1">
        <w:t xml:space="preserve">; see also </w:t>
      </w:r>
      <w:r w:rsidRPr="005D426B" w:rsidR="00CA1CF1">
        <w:rPr>
          <w:i/>
        </w:rPr>
        <w:t>Lantzy</w:t>
      </w:r>
      <w:r w:rsidRPr="005D426B" w:rsidR="00CA1CF1">
        <w:t xml:space="preserve">, </w:t>
      </w:r>
      <w:r w:rsidRPr="005D426B" w:rsidR="00535BE7">
        <w:rPr>
          <w:i/>
        </w:rPr>
        <w:t>supra</w:t>
      </w:r>
      <w:r w:rsidRPr="005D426B" w:rsidR="00535BE7">
        <w:t xml:space="preserve">, </w:t>
      </w:r>
      <w:r w:rsidRPr="005D426B" w:rsidR="00CA1CF1">
        <w:t>31 Cal.4th at p. 370 [equitable tolling should be applied only “in carefully considered situations”]</w:t>
      </w:r>
      <w:r w:rsidRPr="005D426B" w:rsidR="001F2ED7">
        <w:t>.)</w:t>
      </w:r>
      <w:r w:rsidRPr="005D426B" w:rsidR="00CA1CF1">
        <w:t xml:space="preserve">  So the conclusion that</w:t>
      </w:r>
      <w:r w:rsidRPr="005D426B" w:rsidR="00FB28EE">
        <w:t xml:space="preserve"> the Legislature hasn’t prohibited a statute of limitations from being tolled </w:t>
      </w:r>
      <w:r w:rsidRPr="005D426B" w:rsidR="00CA1CF1">
        <w:t xml:space="preserve">ought not transform </w:t>
      </w:r>
      <w:r w:rsidRPr="005D426B" w:rsidR="00FB28EE">
        <w:t>equitable tolling</w:t>
      </w:r>
      <w:r w:rsidRPr="005D426B" w:rsidR="00CA1CF1">
        <w:t xml:space="preserve"> into “a cure-all for an entirely common state of affairs.”  (</w:t>
      </w:r>
      <w:r w:rsidRPr="005D426B" w:rsidR="00CA1CF1">
        <w:rPr>
          <w:i/>
        </w:rPr>
        <w:t>Wallace v. Kato</w:t>
      </w:r>
      <w:r w:rsidRPr="005D426B" w:rsidR="00CA1CF1">
        <w:t xml:space="preserve"> (2007) 549 U.S. 384, 396</w:t>
      </w:r>
      <w:r w:rsidR="00DD3876">
        <w:t xml:space="preserve"> (</w:t>
      </w:r>
      <w:r w:rsidR="00DD3876">
        <w:rPr>
          <w:i/>
          <w:iCs/>
        </w:rPr>
        <w:t>Wallace</w:t>
      </w:r>
      <w:r w:rsidR="00DD3876">
        <w:t>)</w:t>
      </w:r>
      <w:r w:rsidRPr="005D426B" w:rsidR="00CA1CF1">
        <w:t xml:space="preserve">.) </w:t>
      </w:r>
      <w:r w:rsidRPr="005D426B" w:rsidR="0053300B">
        <w:t xml:space="preserve"> Courts must instead carefully examine the facts of each case to determine whether</w:t>
      </w:r>
      <w:r w:rsidRPr="005D426B" w:rsidR="00A74B7C">
        <w:t xml:space="preserve"> “justice and fairness” demand </w:t>
      </w:r>
      <w:r w:rsidRPr="005D426B" w:rsidR="005439A1">
        <w:t>that the limitations period be tolled</w:t>
      </w:r>
      <w:r w:rsidRPr="005D426B" w:rsidR="00A74B7C">
        <w:t>.  (</w:t>
      </w:r>
      <w:r w:rsidRPr="005D426B" w:rsidR="00A74B7C">
        <w:rPr>
          <w:i/>
        </w:rPr>
        <w:t>Lambert v. Commonwealth Land Title Ins. Co.</w:t>
      </w:r>
      <w:r w:rsidRPr="005D426B" w:rsidR="00A74B7C">
        <w:t xml:space="preserve"> (1991) 53 Cal.3d 1072, 1081.)</w:t>
      </w:r>
      <w:r>
        <w:t xml:space="preserve">   </w:t>
      </w:r>
      <w:r w:rsidRPr="005D426B" w:rsidR="00A74B7C">
        <w:t xml:space="preserve">  </w:t>
      </w:r>
      <w:r w:rsidRPr="005D426B" w:rsidR="0053300B">
        <w:t xml:space="preserve"> </w:t>
      </w:r>
    </w:p>
    <w:p w:rsidR="005156BB" w:rsidRPr="005D426B" w:rsidP="00B733E3" w14:paraId="1E1B45C4" w14:textId="77777777">
      <w:pPr>
        <w:keepNext/>
        <w:tabs>
          <w:tab w:val="left" w:pos="1440"/>
        </w:tabs>
        <w:jc w:val="center"/>
        <w:outlineLvl w:val="0"/>
        <w:rPr>
          <w:b/>
        </w:rPr>
      </w:pPr>
      <w:r>
        <w:rPr>
          <w:b/>
        </w:rPr>
        <w:t>III</w:t>
      </w:r>
      <w:r w:rsidRPr="005D426B">
        <w:rPr>
          <w:b/>
        </w:rPr>
        <w:t>.</w:t>
      </w:r>
    </w:p>
    <w:p w:rsidR="006958C1" w:rsidRPr="005D426B" w:rsidP="00EC22BD" w14:paraId="175024BB" w14:textId="071B8E3F">
      <w:pPr>
        <w:keepNext/>
        <w:tabs>
          <w:tab w:val="left" w:pos="630"/>
          <w:tab w:val="left" w:pos="720"/>
        </w:tabs>
      </w:pPr>
      <w:r w:rsidRPr="005D426B">
        <w:rPr>
          <w:iCs/>
        </w:rPr>
        <w:tab/>
        <w:t>Having concluded that equitable tolling</w:t>
      </w:r>
      <w:r w:rsidRPr="005D426B" w:rsidR="00C929A4">
        <w:rPr>
          <w:iCs/>
        </w:rPr>
        <w:t xml:space="preserve"> </w:t>
      </w:r>
      <w:r w:rsidR="00931090">
        <w:rPr>
          <w:iCs/>
        </w:rPr>
        <w:t>can apply</w:t>
      </w:r>
      <w:r w:rsidR="00A42A5B">
        <w:rPr>
          <w:iCs/>
        </w:rPr>
        <w:t xml:space="preserve"> </w:t>
      </w:r>
      <w:r w:rsidR="00EC22BD">
        <w:rPr>
          <w:iCs/>
        </w:rPr>
        <w:t>under section 11523</w:t>
      </w:r>
      <w:r w:rsidR="00A42A5B">
        <w:rPr>
          <w:iCs/>
        </w:rPr>
        <w:t>,</w:t>
      </w:r>
      <w:r w:rsidRPr="005D426B" w:rsidR="00C929A4">
        <w:rPr>
          <w:iCs/>
        </w:rPr>
        <w:t xml:space="preserve"> </w:t>
      </w:r>
      <w:r w:rsidRPr="005D426B">
        <w:rPr>
          <w:iCs/>
        </w:rPr>
        <w:t xml:space="preserve">we </w:t>
      </w:r>
      <w:r w:rsidRPr="005D426B" w:rsidR="005B4249">
        <w:rPr>
          <w:iCs/>
        </w:rPr>
        <w:t>consider whether it</w:t>
      </w:r>
      <w:r w:rsidR="00931090">
        <w:rPr>
          <w:iCs/>
        </w:rPr>
        <w:t xml:space="preserve"> does</w:t>
      </w:r>
      <w:r w:rsidRPr="005D426B" w:rsidR="005B4249">
        <w:rPr>
          <w:iCs/>
        </w:rPr>
        <w:t xml:space="preserve"> </w:t>
      </w:r>
      <w:r w:rsidR="00931090">
        <w:rPr>
          <w:iCs/>
        </w:rPr>
        <w:t xml:space="preserve">apply </w:t>
      </w:r>
      <w:r w:rsidR="009F139D">
        <w:rPr>
          <w:iCs/>
        </w:rPr>
        <w:t xml:space="preserve">in </w:t>
      </w:r>
      <w:r w:rsidRPr="005D426B" w:rsidR="005B4249">
        <w:rPr>
          <w:iCs/>
        </w:rPr>
        <w:t>this case</w:t>
      </w:r>
      <w:r w:rsidRPr="005D426B">
        <w:rPr>
          <w:iCs/>
        </w:rPr>
        <w:t>.</w:t>
      </w:r>
      <w:r w:rsidRPr="005D426B">
        <w:rPr>
          <w:b/>
        </w:rPr>
        <w:t xml:space="preserve"> </w:t>
      </w:r>
      <w:r w:rsidRPr="005D426B">
        <w:rPr>
          <w:b/>
        </w:rPr>
        <w:t xml:space="preserve"> </w:t>
      </w:r>
      <w:r w:rsidRPr="005D426B" w:rsidR="00835375">
        <w:t xml:space="preserve">We </w:t>
      </w:r>
      <w:r w:rsidRPr="005D426B" w:rsidR="008438FC">
        <w:t xml:space="preserve">begin by </w:t>
      </w:r>
      <w:r w:rsidRPr="005D426B" w:rsidR="00E0249D">
        <w:t>outlining the elements of the doctrine</w:t>
      </w:r>
      <w:r w:rsidR="00A91ECE">
        <w:t>,</w:t>
      </w:r>
      <w:r w:rsidRPr="005D426B" w:rsidR="00E0249D">
        <w:t xml:space="preserve"> along with the history from which they emerged.</w:t>
      </w:r>
    </w:p>
    <w:p w:rsidR="00636462" w:rsidRPr="005D426B" w:rsidP="00E3094B" w14:paraId="789DDA12" w14:textId="77777777">
      <w:pPr>
        <w:keepNext/>
        <w:tabs>
          <w:tab w:val="left" w:pos="630"/>
          <w:tab w:val="left" w:pos="720"/>
        </w:tabs>
      </w:pPr>
      <w:r w:rsidRPr="005D426B">
        <w:tab/>
      </w:r>
      <w:r w:rsidR="00E3094B">
        <w:t>Our</w:t>
      </w:r>
      <w:r w:rsidRPr="005D426B">
        <w:t xml:space="preserve"> equitable tolling</w:t>
      </w:r>
      <w:r w:rsidR="00E3094B">
        <w:t xml:space="preserve"> doctrine</w:t>
      </w:r>
      <w:r w:rsidRPr="005D426B">
        <w:t xml:space="preserve"> evolved from three </w:t>
      </w:r>
      <w:r w:rsidRPr="005D426B" w:rsidR="00F166DF">
        <w:t>lines of California cases</w:t>
      </w:r>
      <w:r w:rsidRPr="005D426B">
        <w:t>, each relieving</w:t>
      </w:r>
      <w:r w:rsidRPr="005D426B" w:rsidR="00F166DF">
        <w:t xml:space="preserve"> plaintiffs of the duty to abide by the statute of limitations.  (See </w:t>
      </w:r>
      <w:r w:rsidRPr="005D426B" w:rsidR="00F166DF">
        <w:rPr>
          <w:i/>
        </w:rPr>
        <w:t>Addison</w:t>
      </w:r>
      <w:r w:rsidRPr="005D426B" w:rsidR="00384D6A">
        <w:t>,</w:t>
      </w:r>
      <w:r w:rsidRPr="005D426B" w:rsidR="00EE62ED">
        <w:t xml:space="preserve"> </w:t>
      </w:r>
      <w:r w:rsidRPr="005D426B" w:rsidR="00EE62ED">
        <w:rPr>
          <w:i/>
        </w:rPr>
        <w:t>supra</w:t>
      </w:r>
      <w:r w:rsidRPr="005D426B" w:rsidR="00EE62ED">
        <w:t>,</w:t>
      </w:r>
      <w:r w:rsidRPr="005D426B" w:rsidR="00F166DF">
        <w:t xml:space="preserve"> 21 Cal.3d </w:t>
      </w:r>
      <w:r w:rsidRPr="005D426B" w:rsidR="00384D6A">
        <w:t>at p.</w:t>
      </w:r>
      <w:r w:rsidRPr="005D426B" w:rsidR="00F166DF">
        <w:t xml:space="preserve"> 317.)</w:t>
      </w:r>
      <w:r w:rsidRPr="005D426B" w:rsidR="00A87669">
        <w:t xml:space="preserve"> </w:t>
      </w:r>
      <w:r w:rsidRPr="005D426B" w:rsidR="00BA184F">
        <w:t xml:space="preserve"> </w:t>
      </w:r>
      <w:r w:rsidRPr="005D426B" w:rsidR="00E53EE2">
        <w:t xml:space="preserve">Courts found a basis to offer some flexibility from the statute of limitations when a plaintiff </w:t>
      </w:r>
      <w:r w:rsidRPr="005D426B" w:rsidR="00E0642D">
        <w:t>was</w:t>
      </w:r>
      <w:r w:rsidRPr="005D426B" w:rsidR="00E53EE2">
        <w:t xml:space="preserve"> already involved in one lawsuit, and file</w:t>
      </w:r>
      <w:r w:rsidRPr="005D426B" w:rsidR="00E0642D">
        <w:t>d</w:t>
      </w:r>
      <w:r w:rsidRPr="005D426B" w:rsidR="00E53EE2">
        <w:t xml:space="preserve"> a subsequent case that could lessen the damage or harm that would otherwise have to be remedie</w:t>
      </w:r>
      <w:r w:rsidRPr="005D426B" w:rsidR="00343B40">
        <w:t>d through a separate case</w:t>
      </w:r>
      <w:r w:rsidRPr="005D426B" w:rsidR="00E53EE2">
        <w:t>.</w:t>
      </w:r>
      <w:r w:rsidRPr="005D426B" w:rsidR="00F166DF">
        <w:t xml:space="preserve"> </w:t>
      </w:r>
      <w:r w:rsidRPr="005D426B" w:rsidR="00E53EE2">
        <w:t xml:space="preserve"> </w:t>
      </w:r>
      <w:r w:rsidRPr="005D426B" w:rsidR="00A87669">
        <w:t>(</w:t>
      </w:r>
      <w:r w:rsidRPr="005D426B" w:rsidR="00A87669">
        <w:rPr>
          <w:i/>
        </w:rPr>
        <w:t>Id.</w:t>
      </w:r>
      <w:r w:rsidRPr="005D426B" w:rsidR="00A87669">
        <w:t xml:space="preserve"> at </w:t>
      </w:r>
      <w:r w:rsidRPr="005D426B">
        <w:t xml:space="preserve">pp. </w:t>
      </w:r>
      <w:r w:rsidRPr="005D426B" w:rsidR="00A87669">
        <w:t>317</w:t>
      </w:r>
      <w:r w:rsidRPr="008F7162" w:rsidR="008F7162">
        <w:t>–</w:t>
      </w:r>
      <w:r w:rsidRPr="005D426B" w:rsidR="00A87669">
        <w:t xml:space="preserve">318.)  So too did courts toll </w:t>
      </w:r>
      <w:r w:rsidRPr="005D426B" w:rsidR="00E53EE2">
        <w:t>statutes</w:t>
      </w:r>
      <w:r w:rsidRPr="005D426B" w:rsidR="00A87669">
        <w:t xml:space="preserve"> of limitations </w:t>
      </w:r>
      <w:r w:rsidRPr="005D426B" w:rsidR="00E53EE2">
        <w:t xml:space="preserve">in situations where </w:t>
      </w:r>
      <w:r w:rsidRPr="005D426B" w:rsidR="00A87669">
        <w:t>a plaintiff was required to pursue, and did indeed pursue, an administrative remedy before filing a civil action.  (</w:t>
      </w:r>
      <w:r w:rsidRPr="005D426B" w:rsidR="00A87669">
        <w:rPr>
          <w:i/>
        </w:rPr>
        <w:t>Id.</w:t>
      </w:r>
      <w:r w:rsidRPr="005D426B" w:rsidR="00A87669">
        <w:t xml:space="preserve"> at </w:t>
      </w:r>
      <w:r w:rsidRPr="005D426B">
        <w:t xml:space="preserve">p. </w:t>
      </w:r>
      <w:r w:rsidRPr="005D426B" w:rsidR="00A87669">
        <w:t xml:space="preserve">318.)  </w:t>
      </w:r>
      <w:r w:rsidRPr="005D426B" w:rsidR="00E53EE2">
        <w:t xml:space="preserve">In a third line of cases, courts </w:t>
      </w:r>
      <w:r w:rsidRPr="005D426B" w:rsidR="00A87669">
        <w:t>tolled the statute of limitations</w:t>
      </w:r>
      <w:r w:rsidRPr="005D426B" w:rsidR="00BD3EDD">
        <w:t xml:space="preserve"> “</w:t>
      </w:r>
      <w:r w:rsidRPr="005D426B">
        <w:t xml:space="preserve"> ‘to serve the ends of justice where technical forfeitures would unjustifiably prevent a trial on the merits.’ ”  (</w:t>
      </w:r>
      <w:r w:rsidRPr="005D426B">
        <w:rPr>
          <w:i/>
        </w:rPr>
        <w:t>Id.</w:t>
      </w:r>
      <w:r w:rsidRPr="005D426B">
        <w:t xml:space="preserve"> at p. 319.) </w:t>
      </w:r>
    </w:p>
    <w:p w:rsidR="002B443A" w:rsidRPr="005D426B" w:rsidP="00DE5EE7" w14:paraId="5AC3D0F6" w14:textId="498A9BC4">
      <w:pPr>
        <w:tabs>
          <w:tab w:val="left" w:pos="630"/>
          <w:tab w:val="left" w:pos="720"/>
        </w:tabs>
      </w:pPr>
      <w:r>
        <w:tab/>
      </w:r>
      <w:r w:rsidR="00B701B0">
        <w:t xml:space="preserve">It was from all three of these strands of caselaw that equitable </w:t>
      </w:r>
      <w:r w:rsidR="0069284A">
        <w:t>tolling</w:t>
      </w:r>
      <w:r w:rsidRPr="005D426B" w:rsidR="00636462">
        <w:t xml:space="preserve"> </w:t>
      </w:r>
      <w:r w:rsidR="0069284A">
        <w:t>emerged</w:t>
      </w:r>
      <w:r w:rsidR="002D39EF">
        <w:t xml:space="preserve">.  </w:t>
      </w:r>
      <w:r w:rsidR="00DE5EE7">
        <w:t xml:space="preserve">The doctrine allows our courts, </w:t>
      </w:r>
      <w:r w:rsidRPr="005D426B" w:rsidR="00A21E26">
        <w:rPr>
          <w:iCs/>
        </w:rPr>
        <w:t>“in carefully considered situations</w:t>
      </w:r>
      <w:r w:rsidRPr="005D426B" w:rsidR="001D47C6">
        <w:rPr>
          <w:iCs/>
        </w:rPr>
        <w:t xml:space="preserve">,” </w:t>
      </w:r>
      <w:r w:rsidRPr="005D426B" w:rsidR="00ED0A60">
        <w:rPr>
          <w:iCs/>
        </w:rPr>
        <w:t>(</w:t>
      </w:r>
      <w:r w:rsidRPr="005D426B" w:rsidR="00ED0A60">
        <w:rPr>
          <w:i/>
        </w:rPr>
        <w:t>Lantzy</w:t>
      </w:r>
      <w:r w:rsidRPr="005D426B" w:rsidR="00ED0A60">
        <w:rPr>
          <w:iCs/>
        </w:rPr>
        <w:t xml:space="preserve">, </w:t>
      </w:r>
      <w:r w:rsidRPr="005D426B" w:rsidR="00ED0A60">
        <w:rPr>
          <w:i/>
        </w:rPr>
        <w:t>supra</w:t>
      </w:r>
      <w:r w:rsidRPr="005D426B" w:rsidR="00ED0A60">
        <w:rPr>
          <w:iCs/>
        </w:rPr>
        <w:t>, 31 Cal.4th at p. 370</w:t>
      </w:r>
      <w:r w:rsidR="00ED0A60">
        <w:rPr>
          <w:iCs/>
        </w:rPr>
        <w:t xml:space="preserve">) </w:t>
      </w:r>
      <w:r w:rsidRPr="005D426B" w:rsidR="001D47C6">
        <w:rPr>
          <w:iCs/>
        </w:rPr>
        <w:t xml:space="preserve">to exercise their inherent equitable powers to </w:t>
      </w:r>
      <w:r w:rsidRPr="005D426B" w:rsidR="00996914">
        <w:rPr>
          <w:iCs/>
        </w:rPr>
        <w:t>“soften the harsh impact</w:t>
      </w:r>
      <w:r w:rsidRPr="005D426B" w:rsidR="001D47C6">
        <w:rPr>
          <w:iCs/>
        </w:rPr>
        <w:t xml:space="preserve"> of technical rules</w:t>
      </w:r>
      <w:r w:rsidRPr="005D426B" w:rsidR="00361668">
        <w:rPr>
          <w:iCs/>
        </w:rPr>
        <w:t xml:space="preserve">” </w:t>
      </w:r>
      <w:r w:rsidR="00ED0A60">
        <w:rPr>
          <w:iCs/>
        </w:rPr>
        <w:t>(</w:t>
      </w:r>
      <w:r w:rsidRPr="005D426B" w:rsidR="00ED0A60">
        <w:rPr>
          <w:i/>
        </w:rPr>
        <w:t>Addison</w:t>
      </w:r>
      <w:r w:rsidRPr="005D426B" w:rsidR="00ED0A60">
        <w:t xml:space="preserve">, </w:t>
      </w:r>
      <w:r w:rsidRPr="005D426B" w:rsidR="00ED0A60">
        <w:rPr>
          <w:i/>
        </w:rPr>
        <w:t>supra</w:t>
      </w:r>
      <w:r w:rsidRPr="005D426B" w:rsidR="00ED0A60">
        <w:t>, 21 Cal.3d at p. 31</w:t>
      </w:r>
      <w:r w:rsidR="00ED0A60">
        <w:t xml:space="preserve">6) </w:t>
      </w:r>
      <w:r w:rsidRPr="005D426B" w:rsidR="001D47C6">
        <w:rPr>
          <w:iCs/>
        </w:rPr>
        <w:t>by tolling statutes of limitations</w:t>
      </w:r>
      <w:r w:rsidRPr="005D426B" w:rsidR="00361668">
        <w:rPr>
          <w:iCs/>
        </w:rPr>
        <w:t xml:space="preserve">.  </w:t>
      </w:r>
      <w:r w:rsidRPr="005D426B" w:rsidR="00173A80">
        <w:t>As we explained in</w:t>
      </w:r>
      <w:r w:rsidRPr="005D426B" w:rsidR="008E1977">
        <w:t xml:space="preserve"> </w:t>
      </w:r>
      <w:r w:rsidRPr="005D426B" w:rsidR="008E1977">
        <w:rPr>
          <w:i/>
        </w:rPr>
        <w:t>Addison</w:t>
      </w:r>
      <w:r w:rsidRPr="005D426B" w:rsidR="00173A80">
        <w:t>,</w:t>
      </w:r>
      <w:r w:rsidRPr="005D426B" w:rsidR="008E1977">
        <w:t xml:space="preserve"> </w:t>
      </w:r>
      <w:r w:rsidRPr="005D426B" w:rsidR="001D47C6">
        <w:t>equitable tolling</w:t>
      </w:r>
      <w:r w:rsidRPr="005D426B" w:rsidR="005D10BA">
        <w:t xml:space="preserve"> </w:t>
      </w:r>
      <w:r w:rsidRPr="005D426B" w:rsidR="00E53EE2">
        <w:t xml:space="preserve">today </w:t>
      </w:r>
      <w:r w:rsidRPr="005D426B" w:rsidR="005D10BA">
        <w:t xml:space="preserve">applies when </w:t>
      </w:r>
      <w:r w:rsidRPr="005D426B" w:rsidR="00636462">
        <w:t>three “elements” are present:</w:t>
      </w:r>
      <w:r w:rsidR="000C5928">
        <w:t xml:space="preserve"> </w:t>
      </w:r>
      <w:r w:rsidRPr="005D426B" w:rsidR="00636462">
        <w:t xml:space="preserve"> “</w:t>
      </w:r>
      <w:r w:rsidR="000033BE">
        <w:t xml:space="preserve">[(1)] </w:t>
      </w:r>
      <w:r w:rsidRPr="005D426B" w:rsidR="00636462">
        <w:t xml:space="preserve">timely notice, and </w:t>
      </w:r>
      <w:r w:rsidR="00A341AD">
        <w:t xml:space="preserve">[(2)] </w:t>
      </w:r>
      <w:r w:rsidRPr="005D426B" w:rsidR="00636462">
        <w:t xml:space="preserve">lack of prejudice, to the defendant, and </w:t>
      </w:r>
      <w:r w:rsidR="00A341AD">
        <w:t xml:space="preserve">[(3)] </w:t>
      </w:r>
      <w:r w:rsidRPr="005D426B" w:rsidR="00636462">
        <w:t>reasonable and good faith conduct on the part of the plaintiff.”  (</w:t>
      </w:r>
      <w:r w:rsidRPr="005D426B" w:rsidR="00B3137D">
        <w:rPr>
          <w:i/>
        </w:rPr>
        <w:t>Addison</w:t>
      </w:r>
      <w:r w:rsidRPr="005D426B" w:rsidR="00B3137D">
        <w:t xml:space="preserve">, </w:t>
      </w:r>
      <w:r w:rsidRPr="005D426B" w:rsidR="00B3137D">
        <w:rPr>
          <w:i/>
        </w:rPr>
        <w:t>supra</w:t>
      </w:r>
      <w:r w:rsidRPr="005D426B" w:rsidR="00B3137D">
        <w:t>, 21 Cal.3d at p.</w:t>
      </w:r>
      <w:r w:rsidRPr="005D426B" w:rsidR="004A3C37">
        <w:t xml:space="preserve"> 3</w:t>
      </w:r>
      <w:r w:rsidR="007E0C7D">
        <w:t>19</w:t>
      </w:r>
      <w:r w:rsidRPr="005D426B" w:rsidR="00636462">
        <w:t xml:space="preserve">.)  </w:t>
      </w:r>
      <w:r w:rsidRPr="005D426B" w:rsidR="00ED1C33">
        <w:t>These</w:t>
      </w:r>
      <w:r w:rsidRPr="005D426B" w:rsidR="00173A80">
        <w:t xml:space="preserve"> requirements</w:t>
      </w:r>
      <w:r w:rsidRPr="005D426B" w:rsidR="00ED1C33">
        <w:t xml:space="preserve"> are designed </w:t>
      </w:r>
      <w:r w:rsidRPr="005D426B">
        <w:t>to “balanc</w:t>
      </w:r>
      <w:r w:rsidR="007E0C7D">
        <w:t>[</w:t>
      </w:r>
      <w:r w:rsidRPr="005D426B">
        <w:t>e] the injustice to the plaintiff occasioned by the bar of his claim against the effect upon the important public interest or policy expressed by the [operative] limitations statute.”  (</w:t>
      </w:r>
      <w:r w:rsidRPr="005D426B">
        <w:rPr>
          <w:i/>
        </w:rPr>
        <w:t>I</w:t>
      </w:r>
      <w:r w:rsidRPr="005D426B" w:rsidR="00414642">
        <w:rPr>
          <w:i/>
        </w:rPr>
        <w:t>d.</w:t>
      </w:r>
      <w:r w:rsidR="007E0C7D">
        <w:rPr>
          <w:i/>
        </w:rPr>
        <w:t xml:space="preserve"> </w:t>
      </w:r>
      <w:r w:rsidR="007E0C7D">
        <w:rPr>
          <w:iCs/>
        </w:rPr>
        <w:t>at p. 321.</w:t>
      </w:r>
      <w:r w:rsidRPr="005D426B">
        <w:t>)</w:t>
      </w:r>
      <w:r w:rsidRPr="005D426B" w:rsidR="00D20510">
        <w:tab/>
      </w:r>
    </w:p>
    <w:p w:rsidR="00610E73" w:rsidRPr="00610E73" w:rsidP="00B733E3" w14:paraId="253440EA" w14:textId="77777777">
      <w:pPr>
        <w:keepNext/>
        <w:tabs>
          <w:tab w:val="left" w:pos="1440"/>
        </w:tabs>
        <w:jc w:val="center"/>
        <w:outlineLvl w:val="0"/>
        <w:rPr>
          <w:b/>
        </w:rPr>
      </w:pPr>
      <w:r>
        <w:rPr>
          <w:b/>
        </w:rPr>
        <w:t>A</w:t>
      </w:r>
      <w:r w:rsidRPr="005D426B">
        <w:rPr>
          <w:b/>
        </w:rPr>
        <w:t>.</w:t>
      </w:r>
    </w:p>
    <w:p w:rsidR="003953D5" w:rsidRPr="005D426B" w:rsidP="00687B07" w14:paraId="60AB18CA" w14:textId="2DE4A870">
      <w:pPr>
        <w:tabs>
          <w:tab w:val="left" w:pos="630"/>
          <w:tab w:val="left" w:pos="720"/>
        </w:tabs>
      </w:pPr>
      <w:r w:rsidRPr="005D426B">
        <w:tab/>
      </w:r>
      <w:r w:rsidRPr="005D426B" w:rsidR="00E53EE2">
        <w:t xml:space="preserve">Perhaps in an effort to </w:t>
      </w:r>
      <w:r w:rsidRPr="005D426B" w:rsidR="005B4249">
        <w:t>somewhat</w:t>
      </w:r>
      <w:r w:rsidRPr="005D426B" w:rsidR="00AE6C5A">
        <w:t xml:space="preserve"> tame</w:t>
      </w:r>
      <w:r w:rsidRPr="005D426B" w:rsidR="00E53EE2">
        <w:t xml:space="preserve"> the </w:t>
      </w:r>
      <w:r w:rsidR="007C0596">
        <w:t xml:space="preserve">potentially capacious extent of the </w:t>
      </w:r>
      <w:r w:rsidRPr="005D426B" w:rsidR="005B4249">
        <w:t xml:space="preserve">doctrine’s </w:t>
      </w:r>
      <w:r w:rsidRPr="005D426B" w:rsidR="00E53EE2">
        <w:t>flexibility</w:t>
      </w:r>
      <w:r w:rsidRPr="005D426B" w:rsidR="005B4249">
        <w:t xml:space="preserve">, </w:t>
      </w:r>
      <w:r w:rsidR="00415BF8">
        <w:t xml:space="preserve">some </w:t>
      </w:r>
      <w:r w:rsidR="00A04BF7">
        <w:t xml:space="preserve">lower </w:t>
      </w:r>
      <w:r w:rsidRPr="005D426B" w:rsidR="009C1289">
        <w:t xml:space="preserve">courts have </w:t>
      </w:r>
      <w:r w:rsidRPr="005D426B" w:rsidR="008F2B85">
        <w:t>interpreted</w:t>
      </w:r>
      <w:r w:rsidR="0002001E">
        <w:t xml:space="preserve"> </w:t>
      </w:r>
      <w:r w:rsidRPr="005D426B" w:rsidR="00727A95">
        <w:t>equitable tolling</w:t>
      </w:r>
      <w:r w:rsidR="0002001E">
        <w:t xml:space="preserve"> </w:t>
      </w:r>
      <w:r w:rsidRPr="005D426B" w:rsidR="00382191">
        <w:t xml:space="preserve">to contain </w:t>
      </w:r>
      <w:r w:rsidR="00D5353F">
        <w:t xml:space="preserve">a </w:t>
      </w:r>
      <w:r w:rsidRPr="005D426B" w:rsidR="00382191">
        <w:t xml:space="preserve">rigid requirement: </w:t>
      </w:r>
      <w:r w:rsidR="0097699D">
        <w:t xml:space="preserve"> </w:t>
      </w:r>
      <w:r w:rsidRPr="005D426B" w:rsidR="00382191">
        <w:t xml:space="preserve">pursuit of an alternative </w:t>
      </w:r>
      <w:r w:rsidR="002A207E">
        <w:t xml:space="preserve">available </w:t>
      </w:r>
      <w:r w:rsidRPr="005D426B" w:rsidR="001609D9">
        <w:t xml:space="preserve">administrative or legal </w:t>
      </w:r>
      <w:r w:rsidRPr="005D426B" w:rsidR="00382191">
        <w:t>remedy.</w:t>
      </w:r>
      <w:r w:rsidRPr="005D426B" w:rsidR="00F026E7">
        <w:t xml:space="preserve">  Leaning on our decision in </w:t>
      </w:r>
      <w:r w:rsidRPr="005D426B" w:rsidR="00F026E7">
        <w:rPr>
          <w:i/>
        </w:rPr>
        <w:t>McDonald</w:t>
      </w:r>
      <w:r w:rsidRPr="005D426B" w:rsidR="00F026E7">
        <w:t>, the Court of Appeal explained that “equitable tolling applies ‘ “ ‘</w:t>
      </w:r>
      <w:r w:rsidRPr="005D426B" w:rsidR="007F3723">
        <w:t>[w]hen an injured person has several legal remedies and, reasonably and in good faith, pursues one.’ ” ’ ”  (</w:t>
      </w:r>
      <w:r w:rsidRPr="005D426B" w:rsidR="007F3723">
        <w:rPr>
          <w:i/>
        </w:rPr>
        <w:t>Saint Francis</w:t>
      </w:r>
      <w:r w:rsidRPr="005D426B" w:rsidR="00420F1F">
        <w:t>,</w:t>
      </w:r>
      <w:r w:rsidR="007E62A9">
        <w:t xml:space="preserve"> </w:t>
      </w:r>
      <w:r w:rsidR="007E62A9">
        <w:rPr>
          <w:i/>
          <w:iCs/>
        </w:rPr>
        <w:t>supra</w:t>
      </w:r>
      <w:r w:rsidR="007E62A9">
        <w:t>,</w:t>
      </w:r>
      <w:r w:rsidRPr="005D426B" w:rsidR="00420F1F">
        <w:t xml:space="preserve"> </w:t>
      </w:r>
      <w:r w:rsidRPr="005D426B" w:rsidR="007F3723">
        <w:t xml:space="preserve">24 Cal.App.5th </w:t>
      </w:r>
      <w:r w:rsidRPr="005D426B" w:rsidR="00420F1F">
        <w:t>at</w:t>
      </w:r>
      <w:r w:rsidRPr="005D426B" w:rsidR="007F3723">
        <w:t xml:space="preserve"> </w:t>
      </w:r>
      <w:r w:rsidRPr="005D426B" w:rsidR="00044BE9">
        <w:t xml:space="preserve">p. </w:t>
      </w:r>
      <w:r w:rsidRPr="005D426B" w:rsidR="007F3723">
        <w:t>623</w:t>
      </w:r>
      <w:r w:rsidR="002A207E">
        <w:t xml:space="preserve">; see also </w:t>
      </w:r>
      <w:r w:rsidRPr="00973E10" w:rsidR="002A207E">
        <w:rPr>
          <w:i/>
          <w:iCs/>
        </w:rPr>
        <w:t>Hansen v. Board of Registered Nursing</w:t>
      </w:r>
      <w:r w:rsidRPr="00973E10" w:rsidR="002A207E">
        <w:t xml:space="preserve"> (2012) 208 Cal.App.4th 664, </w:t>
      </w:r>
      <w:r w:rsidR="002A207E">
        <w:t xml:space="preserve">672 [equitable tolling </w:t>
      </w:r>
      <w:r w:rsidR="00B03901">
        <w:t xml:space="preserve">available when </w:t>
      </w:r>
      <w:r w:rsidRPr="00673DF0" w:rsidR="00B03901">
        <w:t xml:space="preserve">“a party with multiple </w:t>
      </w:r>
      <w:r w:rsidRPr="00673DF0" w:rsidR="00B03901">
        <w:rPr>
          <w:i/>
          <w:iCs/>
        </w:rPr>
        <w:t>available</w:t>
      </w:r>
      <w:r w:rsidRPr="00673DF0" w:rsidR="00B03901">
        <w:t xml:space="preserve"> remedies</w:t>
      </w:r>
      <w:r w:rsidR="00B03901">
        <w:t xml:space="preserve"> pursues one in a timely manner</w:t>
      </w:r>
      <w:r w:rsidRPr="00673DF0" w:rsidR="00B03901">
        <w:t>”</w:t>
      </w:r>
      <w:r w:rsidR="00B03901">
        <w:t xml:space="preserve">].)  </w:t>
      </w:r>
      <w:r w:rsidR="007B550F">
        <w:t>B</w:t>
      </w:r>
      <w:r w:rsidRPr="005D426B" w:rsidR="00BD3AA2">
        <w:t xml:space="preserve">ecause “Saint Francis’s request for reconsideration did not constitute the timely pursuit of an available remedy since reconsideration was unavailable,” </w:t>
      </w:r>
      <w:r w:rsidR="007B550F">
        <w:t xml:space="preserve">the court concluded that </w:t>
      </w:r>
      <w:r w:rsidRPr="005D426B" w:rsidR="00BD3AA2">
        <w:t xml:space="preserve">section 11523’s statute of limitations </w:t>
      </w:r>
      <w:r w:rsidR="00687B07">
        <w:t>shouldn’t</w:t>
      </w:r>
      <w:r w:rsidRPr="005D426B" w:rsidR="00BD3AA2">
        <w:t xml:space="preserve"> be tolled.  (</w:t>
      </w:r>
      <w:r w:rsidR="00B03901">
        <w:rPr>
          <w:i/>
        </w:rPr>
        <w:t>Saint Francis</w:t>
      </w:r>
      <w:r w:rsidR="00B03901">
        <w:rPr>
          <w:iCs/>
        </w:rPr>
        <w:t xml:space="preserve">, </w:t>
      </w:r>
      <w:r w:rsidR="00B03901">
        <w:rPr>
          <w:i/>
        </w:rPr>
        <w:t>supra</w:t>
      </w:r>
      <w:r w:rsidR="00B03901">
        <w:rPr>
          <w:iCs/>
        </w:rPr>
        <w:t>, 24 Cal.App.5th</w:t>
      </w:r>
      <w:r w:rsidRPr="005D426B" w:rsidR="00BD3AA2">
        <w:t xml:space="preserve"> at </w:t>
      </w:r>
      <w:r w:rsidRPr="005D426B" w:rsidR="00044BE9">
        <w:t xml:space="preserve">p. </w:t>
      </w:r>
      <w:r w:rsidRPr="005D426B" w:rsidR="00BD3AA2">
        <w:t>624.)</w:t>
      </w:r>
      <w:r w:rsidRPr="005D426B" w:rsidR="00693244">
        <w:t xml:space="preserve">  </w:t>
      </w:r>
      <w:r w:rsidRPr="005D426B" w:rsidR="00A33501">
        <w:t xml:space="preserve">   </w:t>
      </w:r>
      <w:r w:rsidRPr="005D426B" w:rsidR="00CC3D5E">
        <w:t xml:space="preserve"> </w:t>
      </w:r>
      <w:r w:rsidRPr="005D426B" w:rsidR="00693244">
        <w:t xml:space="preserve"> </w:t>
      </w:r>
      <w:r w:rsidRPr="005D426B" w:rsidR="007F3723">
        <w:t xml:space="preserve">  </w:t>
      </w:r>
    </w:p>
    <w:p w:rsidR="006B2300" w:rsidRPr="000E46DF" w:rsidP="00AE4969" w14:paraId="1EE2D7AC" w14:textId="75D5D763">
      <w:pPr>
        <w:tabs>
          <w:tab w:val="left" w:pos="630"/>
          <w:tab w:val="left" w:pos="720"/>
        </w:tabs>
        <w:rPr>
          <w:iCs/>
        </w:rPr>
      </w:pPr>
      <w:r w:rsidRPr="005D426B">
        <w:tab/>
      </w:r>
      <w:r w:rsidRPr="005D426B" w:rsidR="00382191">
        <w:t xml:space="preserve">But </w:t>
      </w:r>
      <w:r w:rsidR="004A7869">
        <w:t>as the Department itself acknowledges,</w:t>
      </w:r>
      <w:r w:rsidRPr="005D426B" w:rsidR="004A7869">
        <w:t xml:space="preserve"> </w:t>
      </w:r>
      <w:r w:rsidR="00B701B0">
        <w:t>our past cases</w:t>
      </w:r>
      <w:r w:rsidRPr="005D426B" w:rsidR="00E53EE2">
        <w:t xml:space="preserve"> stop short of categorically conditioning </w:t>
      </w:r>
      <w:r w:rsidR="008C3764">
        <w:t>tolling</w:t>
      </w:r>
      <w:r w:rsidRPr="005D426B" w:rsidR="00E53EE2">
        <w:t xml:space="preserve"> on </w:t>
      </w:r>
      <w:r w:rsidRPr="005D426B" w:rsidR="008D54A0">
        <w:t xml:space="preserve">a plaintiff’s </w:t>
      </w:r>
      <w:r w:rsidR="00B77E48">
        <w:t>pursuit of a</w:t>
      </w:r>
      <w:r w:rsidR="005C38DE">
        <w:t xml:space="preserve"> </w:t>
      </w:r>
      <w:r w:rsidR="006425BB">
        <w:t xml:space="preserve">viable </w:t>
      </w:r>
      <w:r w:rsidR="00861BCB">
        <w:t>remedy.</w:t>
      </w:r>
      <w:r w:rsidR="001C3D38">
        <w:t xml:space="preserve">  </w:t>
      </w:r>
      <w:r w:rsidR="00562255">
        <w:rPr>
          <w:iCs/>
        </w:rPr>
        <w:t>(</w:t>
      </w:r>
      <w:r w:rsidRPr="005D426B" w:rsidR="00C62FE4">
        <w:rPr>
          <w:i/>
          <w:iCs/>
        </w:rPr>
        <w:t>J</w:t>
      </w:r>
      <w:r w:rsidR="00C62FE4">
        <w:rPr>
          <w:i/>
          <w:iCs/>
        </w:rPr>
        <w:t>.</w:t>
      </w:r>
      <w:r w:rsidRPr="005D426B" w:rsidR="00C62FE4">
        <w:rPr>
          <w:i/>
          <w:iCs/>
        </w:rPr>
        <w:t>M</w:t>
      </w:r>
      <w:r w:rsidR="00C62FE4">
        <w:rPr>
          <w:i/>
          <w:iCs/>
        </w:rPr>
        <w:t>.</w:t>
      </w:r>
      <w:r w:rsidRPr="005D426B" w:rsidR="00C62FE4">
        <w:rPr>
          <w:i/>
          <w:iCs/>
        </w:rPr>
        <w:t xml:space="preserve"> v. Huntington Beach Union High School Dist.</w:t>
      </w:r>
      <w:r w:rsidRPr="005D426B" w:rsidR="00C62FE4">
        <w:rPr>
          <w:iCs/>
        </w:rPr>
        <w:t xml:space="preserve"> (2017) 2 Cal.5th 648, 658</w:t>
      </w:r>
      <w:r w:rsidR="00231185">
        <w:rPr>
          <w:iCs/>
        </w:rPr>
        <w:t xml:space="preserve"> (</w:t>
      </w:r>
      <w:r w:rsidRPr="00C86F75" w:rsidR="00231185">
        <w:rPr>
          <w:i/>
        </w:rPr>
        <w:t>J.M.</w:t>
      </w:r>
      <w:r w:rsidR="00231185">
        <w:rPr>
          <w:iCs/>
        </w:rPr>
        <w:t>)</w:t>
      </w:r>
      <w:r w:rsidR="00562255">
        <w:rPr>
          <w:iCs/>
        </w:rPr>
        <w:t>.)</w:t>
      </w:r>
      <w:r w:rsidR="00457BC2">
        <w:rPr>
          <w:iCs/>
        </w:rPr>
        <w:t xml:space="preserve">  </w:t>
      </w:r>
      <w:r w:rsidRPr="005D426B" w:rsidR="00457BC2">
        <w:rPr>
          <w:iCs/>
        </w:rPr>
        <w:t xml:space="preserve">The doctrine </w:t>
      </w:r>
      <w:r w:rsidR="004A7869">
        <w:rPr>
          <w:iCs/>
        </w:rPr>
        <w:t>is sufficiently supple</w:t>
      </w:r>
      <w:r w:rsidRPr="005D426B" w:rsidR="00457BC2">
        <w:rPr>
          <w:iCs/>
        </w:rPr>
        <w:t xml:space="preserve"> “to ‘ensure fundamental practicality and fairness.’ ”  (</w:t>
      </w:r>
      <w:r w:rsidRPr="005D426B" w:rsidR="00457BC2">
        <w:rPr>
          <w:i/>
          <w:iCs/>
        </w:rPr>
        <w:t>Ibid.</w:t>
      </w:r>
      <w:r w:rsidRPr="005D426B" w:rsidR="00457BC2">
        <w:rPr>
          <w:iCs/>
        </w:rPr>
        <w:t>)</w:t>
      </w:r>
      <w:r w:rsidR="00562255">
        <w:rPr>
          <w:iCs/>
        </w:rPr>
        <w:t xml:space="preserve">  And</w:t>
      </w:r>
      <w:r w:rsidR="002F7828">
        <w:rPr>
          <w:iCs/>
        </w:rPr>
        <w:t xml:space="preserve"> even in cases</w:t>
      </w:r>
      <w:r w:rsidR="003E1D59">
        <w:rPr>
          <w:iCs/>
        </w:rPr>
        <w:t xml:space="preserve"> </w:t>
      </w:r>
      <w:r w:rsidR="00BB0180">
        <w:rPr>
          <w:iCs/>
        </w:rPr>
        <w:t xml:space="preserve">where a party seeking tolling pursued an alternative remedy, </w:t>
      </w:r>
      <w:r w:rsidR="007719F6">
        <w:rPr>
          <w:iCs/>
        </w:rPr>
        <w:t>we’ve concluded that pursuit of a remedy</w:t>
      </w:r>
      <w:r w:rsidR="003D3647">
        <w:rPr>
          <w:iCs/>
        </w:rPr>
        <w:t xml:space="preserve"> </w:t>
      </w:r>
      <w:r w:rsidRPr="00ED64DE" w:rsidR="007719F6">
        <w:t>“embarked upon in good faith, [</w:t>
      </w:r>
      <w:r w:rsidR="007719F6">
        <w:t>yet</w:t>
      </w:r>
      <w:r w:rsidRPr="00ED64DE" w:rsidR="007719F6">
        <w:t>] found to be defective for some reason,”</w:t>
      </w:r>
      <w:r w:rsidR="00716B71">
        <w:t xml:space="preserve"> doesn’t foreclose </w:t>
      </w:r>
      <w:r w:rsidR="00AE4969">
        <w:t>a statute of limitations from being tolled</w:t>
      </w:r>
      <w:r w:rsidR="00716B71">
        <w:t xml:space="preserve">.  </w:t>
      </w:r>
      <w:r w:rsidRPr="00ED64DE" w:rsidR="00ED64DE">
        <w:t>(</w:t>
      </w:r>
      <w:r w:rsidRPr="00ED64DE" w:rsidR="00ED64DE">
        <w:rPr>
          <w:i/>
          <w:iCs/>
        </w:rPr>
        <w:t>McDonald</w:t>
      </w:r>
      <w:r w:rsidRPr="00ED64DE" w:rsidR="00ED64DE">
        <w:t xml:space="preserve">, </w:t>
      </w:r>
      <w:r w:rsidRPr="00ED64DE" w:rsidR="00ED64DE">
        <w:rPr>
          <w:i/>
          <w:iCs/>
        </w:rPr>
        <w:t>supra</w:t>
      </w:r>
      <w:r w:rsidRPr="00ED64DE" w:rsidR="00ED64DE">
        <w:t>, 45 Cal.4th at p. 100.)</w:t>
      </w:r>
      <w:r w:rsidR="00EA5FC6">
        <w:t xml:space="preserve">  We applied equitable tolling </w:t>
      </w:r>
      <w:r w:rsidR="0005793B">
        <w:t xml:space="preserve">in </w:t>
      </w:r>
      <w:r w:rsidRPr="0005793B" w:rsidR="0005793B">
        <w:rPr>
          <w:i/>
          <w:iCs/>
        </w:rPr>
        <w:t>Addison</w:t>
      </w:r>
      <w:r w:rsidR="0005793B">
        <w:t xml:space="preserve">, for example, </w:t>
      </w:r>
      <w:r w:rsidRPr="0005793B" w:rsidR="00EA5FC6">
        <w:t>to</w:t>
      </w:r>
      <w:r w:rsidR="00EA5FC6">
        <w:t xml:space="preserve"> extend the statute of limitations where the plaintiffs</w:t>
      </w:r>
      <w:r w:rsidR="006F5067">
        <w:t xml:space="preserve"> </w:t>
      </w:r>
      <w:r w:rsidR="006D27C0">
        <w:t xml:space="preserve">first sought relief in federal court, which dismissed their suit for lack of jurisdiction, before filing </w:t>
      </w:r>
      <w:r w:rsidR="008D43F4">
        <w:t>their action</w:t>
      </w:r>
      <w:r w:rsidR="006D27C0">
        <w:t xml:space="preserve"> in state court after the statute of limitations had expired.  (</w:t>
      </w:r>
      <w:r w:rsidR="006D27C0">
        <w:rPr>
          <w:i/>
          <w:iCs/>
        </w:rPr>
        <w:t>Addison</w:t>
      </w:r>
      <w:r w:rsidR="006D27C0">
        <w:t xml:space="preserve">, </w:t>
      </w:r>
      <w:r w:rsidR="006D27C0">
        <w:rPr>
          <w:i/>
          <w:iCs/>
        </w:rPr>
        <w:t>supra</w:t>
      </w:r>
      <w:r w:rsidR="006D27C0">
        <w:t xml:space="preserve">, </w:t>
      </w:r>
      <w:r w:rsidR="00A637D0">
        <w:t xml:space="preserve">21 Cal.3d at </w:t>
      </w:r>
      <w:r w:rsidR="006A5E34">
        <w:t>p. 319</w:t>
      </w:r>
      <w:r w:rsidR="00A637D0">
        <w:t>.)</w:t>
      </w:r>
      <w:r w:rsidR="00E01C0E">
        <w:t xml:space="preserve">  </w:t>
      </w:r>
      <w:r w:rsidR="00E26703">
        <w:t xml:space="preserve">Although </w:t>
      </w:r>
      <w:r w:rsidR="00CD28EB">
        <w:t xml:space="preserve">the </w:t>
      </w:r>
      <w:r w:rsidR="0030559B">
        <w:t xml:space="preserve">plaintiffs’ first action was futile because of the federal court’s lack of jurisdiction, </w:t>
      </w:r>
      <w:r w:rsidR="00CD28EB">
        <w:t xml:space="preserve">we reasoned that </w:t>
      </w:r>
      <w:r w:rsidR="00E23035">
        <w:t>it</w:t>
      </w:r>
      <w:r w:rsidR="00CD28EB">
        <w:t xml:space="preserve"> “notified [defendants] of the action” and gave them “the </w:t>
      </w:r>
      <w:r w:rsidRPr="00E26703" w:rsidR="00E26703">
        <w:t>opportunity to begin gathering their evidence and preparing their defense.</w:t>
      </w:r>
      <w:r w:rsidR="0031111C">
        <w:t>”  (</w:t>
      </w:r>
      <w:r w:rsidR="0031111C">
        <w:rPr>
          <w:i/>
          <w:iCs/>
        </w:rPr>
        <w:t>Ibid.</w:t>
      </w:r>
      <w:r w:rsidR="0031111C">
        <w:t>)</w:t>
      </w:r>
    </w:p>
    <w:p w:rsidR="009739DD" w:rsidP="00C70763" w14:paraId="7F78B699" w14:textId="2DEE4C11">
      <w:pPr>
        <w:tabs>
          <w:tab w:val="left" w:pos="630"/>
          <w:tab w:val="left" w:pos="720"/>
        </w:tabs>
        <w:rPr>
          <w:iCs/>
        </w:rPr>
      </w:pPr>
      <w:r>
        <w:tab/>
      </w:r>
      <w:r w:rsidR="005741F0">
        <w:t>T</w:t>
      </w:r>
      <w:r w:rsidR="00196CE5">
        <w:t xml:space="preserve">he Court of Appeal correctly described one </w:t>
      </w:r>
      <w:r w:rsidR="005F4CB3">
        <w:t>scenario</w:t>
      </w:r>
      <w:r w:rsidR="00196CE5">
        <w:t xml:space="preserve"> under which equitable tolling may apply:  </w:t>
      </w:r>
      <w:r w:rsidR="00391B1F">
        <w:t xml:space="preserve">if a plaintiff pursues one of several available legal remedies, causing it to miss the statute of limitations for </w:t>
      </w:r>
      <w:r w:rsidR="001A22E0">
        <w:t xml:space="preserve">other </w:t>
      </w:r>
      <w:r w:rsidR="001C232C">
        <w:t>remedies</w:t>
      </w:r>
      <w:r w:rsidR="005B0D8D">
        <w:t xml:space="preserve"> it later wishes to pursue</w:t>
      </w:r>
      <w:r w:rsidR="001C232C">
        <w:t xml:space="preserve">.  </w:t>
      </w:r>
      <w:r w:rsidR="004A7869">
        <w:t>Yet</w:t>
      </w:r>
      <w:r w:rsidR="001C232C">
        <w:t xml:space="preserve"> </w:t>
      </w:r>
      <w:r w:rsidR="004A7869">
        <w:t>such</w:t>
      </w:r>
      <w:r w:rsidR="005B0D8D">
        <w:t xml:space="preserve"> facts</w:t>
      </w:r>
      <w:r w:rsidR="001C232C">
        <w:t xml:space="preserve"> </w:t>
      </w:r>
      <w:r w:rsidR="004A7869">
        <w:t>are</w:t>
      </w:r>
      <w:r w:rsidR="001C232C">
        <w:t xml:space="preserve"> far from the only </w:t>
      </w:r>
      <w:r w:rsidR="004A7869">
        <w:t>circumstances</w:t>
      </w:r>
      <w:r w:rsidR="001C232C">
        <w:t xml:space="preserve"> under which the doctrine may apply.  To determine whether</w:t>
      </w:r>
      <w:r w:rsidR="001B50F6">
        <w:t xml:space="preserve"> equitable tolling</w:t>
      </w:r>
      <w:r w:rsidR="00E31363">
        <w:t xml:space="preserve"> </w:t>
      </w:r>
      <w:r w:rsidR="00601137">
        <w:t>may</w:t>
      </w:r>
      <w:r w:rsidR="00E31363">
        <w:t xml:space="preserve"> extend </w:t>
      </w:r>
      <w:r w:rsidR="00C70763">
        <w:t>a</w:t>
      </w:r>
      <w:r w:rsidR="00E31363">
        <w:t xml:space="preserve"> statute of limitations, courts must </w:t>
      </w:r>
      <w:r w:rsidRPr="005D426B" w:rsidR="00C54920">
        <w:rPr>
          <w:iCs/>
        </w:rPr>
        <w:t xml:space="preserve">analyze whether a plaintiff has established the </w:t>
      </w:r>
      <w:r w:rsidR="00C1280A">
        <w:rPr>
          <w:iCs/>
        </w:rPr>
        <w:t>doctrine’s three elements</w:t>
      </w:r>
      <w:r w:rsidRPr="005D426B" w:rsidR="00C54920">
        <w:rPr>
          <w:iCs/>
        </w:rPr>
        <w:t>:</w:t>
      </w:r>
      <w:r w:rsidR="0015311A">
        <w:rPr>
          <w:iCs/>
        </w:rPr>
        <w:t xml:space="preserve"> </w:t>
      </w:r>
      <w:r w:rsidRPr="005D426B" w:rsidR="00C54920">
        <w:rPr>
          <w:iCs/>
        </w:rPr>
        <w:t xml:space="preserve"> timely notice</w:t>
      </w:r>
      <w:r w:rsidR="00C54920">
        <w:rPr>
          <w:iCs/>
        </w:rPr>
        <w:t xml:space="preserve"> to the defendant</w:t>
      </w:r>
      <w:r w:rsidRPr="005D426B" w:rsidR="00C54920">
        <w:rPr>
          <w:iCs/>
        </w:rPr>
        <w:t>, lack of prejudice to the defendant, and reasonable and good faith conduct by the plaintiff.  (</w:t>
      </w:r>
      <w:r w:rsidRPr="005D426B" w:rsidR="00C54920">
        <w:rPr>
          <w:i/>
          <w:iCs/>
        </w:rPr>
        <w:t>Addison</w:t>
      </w:r>
      <w:r w:rsidRPr="005D426B" w:rsidR="00C54920">
        <w:rPr>
          <w:iCs/>
        </w:rPr>
        <w:t xml:space="preserve">, </w:t>
      </w:r>
      <w:r w:rsidRPr="005D426B" w:rsidR="00C54920">
        <w:rPr>
          <w:i/>
          <w:iCs/>
        </w:rPr>
        <w:t>supra</w:t>
      </w:r>
      <w:r w:rsidRPr="005D426B" w:rsidR="00C54920">
        <w:rPr>
          <w:iCs/>
        </w:rPr>
        <w:t>, 21 Cal.3d at p. 319.)</w:t>
      </w:r>
    </w:p>
    <w:p w:rsidR="000B2280" w:rsidRPr="009739DD" w:rsidP="00D40652" w14:paraId="550218F9" w14:textId="0EC09564">
      <w:pPr>
        <w:tabs>
          <w:tab w:val="left" w:pos="630"/>
          <w:tab w:val="left" w:pos="720"/>
        </w:tabs>
        <w:rPr>
          <w:szCs w:val="27"/>
        </w:rPr>
      </w:pPr>
      <w:r>
        <w:rPr>
          <w:iCs/>
        </w:rPr>
        <w:tab/>
      </w:r>
      <w:r w:rsidRPr="0022359D">
        <w:rPr>
          <w:szCs w:val="27"/>
        </w:rPr>
        <w:t>The Department</w:t>
      </w:r>
      <w:r>
        <w:rPr>
          <w:szCs w:val="27"/>
        </w:rPr>
        <w:t xml:space="preserve"> </w:t>
      </w:r>
      <w:r w:rsidR="00D40652">
        <w:rPr>
          <w:szCs w:val="27"/>
        </w:rPr>
        <w:t>asserts</w:t>
      </w:r>
      <w:r>
        <w:rPr>
          <w:szCs w:val="27"/>
        </w:rPr>
        <w:t xml:space="preserve"> that Saint Francis </w:t>
      </w:r>
      <w:r w:rsidR="00DA6415">
        <w:rPr>
          <w:szCs w:val="27"/>
        </w:rPr>
        <w:t>cannot</w:t>
      </w:r>
      <w:r>
        <w:rPr>
          <w:szCs w:val="27"/>
        </w:rPr>
        <w:t xml:space="preserve"> </w:t>
      </w:r>
      <w:r w:rsidR="00DA6415">
        <w:rPr>
          <w:szCs w:val="27"/>
        </w:rPr>
        <w:t>avail itself of</w:t>
      </w:r>
      <w:r>
        <w:rPr>
          <w:szCs w:val="27"/>
        </w:rPr>
        <w:t xml:space="preserve"> equitable tolling because of the reason for its delayed filing:</w:t>
      </w:r>
      <w:r w:rsidR="00995773">
        <w:rPr>
          <w:szCs w:val="27"/>
        </w:rPr>
        <w:t xml:space="preserve"> </w:t>
      </w:r>
      <w:r>
        <w:rPr>
          <w:szCs w:val="27"/>
        </w:rPr>
        <w:t xml:space="preserve"> </w:t>
      </w:r>
      <w:r w:rsidRPr="0022359D">
        <w:rPr>
          <w:szCs w:val="27"/>
        </w:rPr>
        <w:t xml:space="preserve">its mistake in calculating the deadline.  Relying on Court of Appeal decisions such as </w:t>
      </w:r>
      <w:r w:rsidRPr="0022359D">
        <w:rPr>
          <w:i/>
          <w:szCs w:val="27"/>
        </w:rPr>
        <w:t xml:space="preserve">Kupka v. Board of Administration </w:t>
      </w:r>
      <w:r w:rsidRPr="0022359D">
        <w:rPr>
          <w:szCs w:val="27"/>
        </w:rPr>
        <w:t xml:space="preserve">(1981) 122 Cal.App.3d 791, 794, the Department contends the fact that Saint Francis “simply made a mistake in ascertaining its filing deadline” prevents us from tolling the statute of limitations.  </w:t>
      </w:r>
      <w:r w:rsidRPr="0022359D">
        <w:rPr>
          <w:i/>
          <w:szCs w:val="27"/>
        </w:rPr>
        <w:t xml:space="preserve">Kupka </w:t>
      </w:r>
      <w:r w:rsidR="004A7869">
        <w:rPr>
          <w:szCs w:val="27"/>
        </w:rPr>
        <w:t>nonetheless differs</w:t>
      </w:r>
      <w:r w:rsidRPr="0022359D">
        <w:rPr>
          <w:szCs w:val="27"/>
        </w:rPr>
        <w:t xml:space="preserve"> in meaningful respects from the case before us, and the Department’s argument oversimplifies the lesson </w:t>
      </w:r>
      <w:r w:rsidRPr="0022359D">
        <w:rPr>
          <w:i/>
          <w:szCs w:val="27"/>
        </w:rPr>
        <w:t xml:space="preserve">Kupka </w:t>
      </w:r>
      <w:r w:rsidRPr="0022359D">
        <w:rPr>
          <w:szCs w:val="27"/>
        </w:rPr>
        <w:t xml:space="preserve">offers.  </w:t>
      </w:r>
      <w:r w:rsidR="004A7869">
        <w:rPr>
          <w:iCs/>
          <w:szCs w:val="27"/>
        </w:rPr>
        <w:t>That case</w:t>
      </w:r>
      <w:r w:rsidRPr="0022359D">
        <w:rPr>
          <w:i/>
          <w:szCs w:val="27"/>
        </w:rPr>
        <w:t xml:space="preserve"> </w:t>
      </w:r>
      <w:r w:rsidRPr="0022359D">
        <w:rPr>
          <w:szCs w:val="27"/>
        </w:rPr>
        <w:t xml:space="preserve">did not involve an equitable tolling claim.  What the Court of Appeal held in </w:t>
      </w:r>
      <w:r w:rsidRPr="0022359D">
        <w:rPr>
          <w:i/>
          <w:szCs w:val="27"/>
        </w:rPr>
        <w:t xml:space="preserve">Kupka </w:t>
      </w:r>
      <w:r w:rsidRPr="0022359D">
        <w:rPr>
          <w:szCs w:val="27"/>
        </w:rPr>
        <w:t>was that a party’s mistake, neglect, or personal hardship could not</w:t>
      </w:r>
      <w:r w:rsidR="004D5AD6">
        <w:rPr>
          <w:szCs w:val="27"/>
        </w:rPr>
        <w:t>, without more,</w:t>
      </w:r>
      <w:r w:rsidRPr="0022359D">
        <w:rPr>
          <w:szCs w:val="27"/>
        </w:rPr>
        <w:t xml:space="preserve"> excuse a late-filed petition under Code of Civil Procedure section 473.  (</w:t>
      </w:r>
      <w:r w:rsidRPr="0022359D">
        <w:rPr>
          <w:i/>
          <w:szCs w:val="27"/>
        </w:rPr>
        <w:t>Kupka</w:t>
      </w:r>
      <w:r w:rsidRPr="0022359D">
        <w:rPr>
          <w:iCs/>
          <w:szCs w:val="27"/>
        </w:rPr>
        <w:t xml:space="preserve">, </w:t>
      </w:r>
      <w:r w:rsidRPr="0022359D">
        <w:rPr>
          <w:i/>
          <w:szCs w:val="27"/>
        </w:rPr>
        <w:t>supra</w:t>
      </w:r>
      <w:r w:rsidRPr="0022359D">
        <w:rPr>
          <w:iCs/>
          <w:szCs w:val="27"/>
        </w:rPr>
        <w:t xml:space="preserve">, 122 Cal.App.3d at </w:t>
      </w:r>
      <w:r>
        <w:rPr>
          <w:iCs/>
          <w:szCs w:val="27"/>
        </w:rPr>
        <w:t>pp. 794</w:t>
      </w:r>
      <w:r w:rsidRPr="008F7162">
        <w:rPr>
          <w:iCs/>
          <w:szCs w:val="27"/>
        </w:rPr>
        <w:t>–</w:t>
      </w:r>
      <w:r w:rsidRPr="0022359D">
        <w:rPr>
          <w:iCs/>
          <w:szCs w:val="27"/>
        </w:rPr>
        <w:t xml:space="preserve">795.)  </w:t>
      </w:r>
    </w:p>
    <w:p w:rsidR="000B2280" w:rsidRPr="00880763" w:rsidP="00C8142C" w14:paraId="4C84D901" w14:textId="77777777">
      <w:pPr>
        <w:tabs>
          <w:tab w:val="left" w:pos="630"/>
          <w:tab w:val="left" w:pos="720"/>
        </w:tabs>
        <w:rPr>
          <w:iCs/>
        </w:rPr>
      </w:pPr>
      <w:r>
        <w:rPr>
          <w:iCs/>
          <w:sz w:val="26"/>
        </w:rPr>
        <w:tab/>
      </w:r>
      <w:r w:rsidRPr="005D426B">
        <w:t xml:space="preserve">We agree that mistake or neglect alone doesn’t excuse a late-filed petition.  (See </w:t>
      </w:r>
      <w:r w:rsidRPr="005D426B">
        <w:rPr>
          <w:i/>
          <w:iCs/>
        </w:rPr>
        <w:t>Irwin</w:t>
      </w:r>
      <w:r w:rsidRPr="005D426B">
        <w:rPr>
          <w:iCs/>
        </w:rPr>
        <w:t xml:space="preserve">, </w:t>
      </w:r>
      <w:r>
        <w:rPr>
          <w:i/>
        </w:rPr>
        <w:t>supra</w:t>
      </w:r>
      <w:r>
        <w:rPr>
          <w:iCs/>
        </w:rPr>
        <w:t>,</w:t>
      </w:r>
      <w:r>
        <w:rPr>
          <w:i/>
        </w:rPr>
        <w:t xml:space="preserve"> </w:t>
      </w:r>
      <w:r w:rsidRPr="005D426B">
        <w:rPr>
          <w:iCs/>
        </w:rPr>
        <w:t xml:space="preserve">498 U.S. </w:t>
      </w:r>
      <w:r>
        <w:rPr>
          <w:iCs/>
        </w:rPr>
        <w:t>at p.</w:t>
      </w:r>
      <w:r w:rsidRPr="005D426B">
        <w:rPr>
          <w:iCs/>
        </w:rPr>
        <w:t xml:space="preserve"> 96.)</w:t>
      </w:r>
      <w:r w:rsidR="00216603">
        <w:rPr>
          <w:iCs/>
        </w:rPr>
        <w:t xml:space="preserve">  But </w:t>
      </w:r>
      <w:r w:rsidR="00DA6415">
        <w:rPr>
          <w:iCs/>
        </w:rPr>
        <w:t xml:space="preserve">neither is </w:t>
      </w:r>
      <w:r w:rsidR="00216603">
        <w:rPr>
          <w:iCs/>
        </w:rPr>
        <w:t xml:space="preserve">that fact, when relevant, dispositive of a party’s equitable tolling claim; </w:t>
      </w:r>
      <w:r w:rsidR="00DA6415">
        <w:rPr>
          <w:iCs/>
        </w:rPr>
        <w:t>we</w:t>
      </w:r>
      <w:r w:rsidR="00FC2691">
        <w:rPr>
          <w:iCs/>
        </w:rPr>
        <w:t xml:space="preserve"> </w:t>
      </w:r>
      <w:r w:rsidRPr="005D426B" w:rsidR="00FC2691">
        <w:rPr>
          <w:iCs/>
        </w:rPr>
        <w:t xml:space="preserve">must </w:t>
      </w:r>
      <w:r w:rsidR="00DA6415">
        <w:rPr>
          <w:iCs/>
        </w:rPr>
        <w:t>consider it</w:t>
      </w:r>
      <w:r w:rsidRPr="005D426B" w:rsidR="00FC2691">
        <w:rPr>
          <w:iCs/>
        </w:rPr>
        <w:t xml:space="preserve"> </w:t>
      </w:r>
      <w:r w:rsidR="006C553B">
        <w:rPr>
          <w:iCs/>
        </w:rPr>
        <w:t>as part of</w:t>
      </w:r>
      <w:r w:rsidR="00880763">
        <w:rPr>
          <w:iCs/>
        </w:rPr>
        <w:t xml:space="preserve"> the analysis of whether a plaintiff has established equitable tolling’</w:t>
      </w:r>
      <w:r w:rsidR="00447537">
        <w:rPr>
          <w:iCs/>
        </w:rPr>
        <w:t xml:space="preserve">s elements.  </w:t>
      </w:r>
      <w:r w:rsidRPr="005D426B">
        <w:rPr>
          <w:iCs/>
        </w:rPr>
        <w:t>(</w:t>
      </w:r>
      <w:r w:rsidR="00447537">
        <w:rPr>
          <w:iCs/>
        </w:rPr>
        <w:t xml:space="preserve">See </w:t>
      </w:r>
      <w:r w:rsidRPr="005D426B">
        <w:rPr>
          <w:i/>
          <w:iCs/>
        </w:rPr>
        <w:t>Addison</w:t>
      </w:r>
      <w:r w:rsidRPr="005D426B">
        <w:rPr>
          <w:iCs/>
        </w:rPr>
        <w:t xml:space="preserve">, </w:t>
      </w:r>
      <w:r w:rsidRPr="005D426B">
        <w:rPr>
          <w:i/>
          <w:iCs/>
        </w:rPr>
        <w:t>supra</w:t>
      </w:r>
      <w:r w:rsidRPr="005D426B">
        <w:rPr>
          <w:iCs/>
        </w:rPr>
        <w:t xml:space="preserve">, 21 Cal.3d at p. 319.)  </w:t>
      </w:r>
      <w:r>
        <w:rPr>
          <w:iCs/>
        </w:rPr>
        <w:t xml:space="preserve">This </w:t>
      </w:r>
      <w:r w:rsidRPr="005D426B">
        <w:rPr>
          <w:iCs/>
        </w:rPr>
        <w:t>allows courts to balance “the injustice to the plaintiff occasioned by the bar of his claim against the effect upon the important public interest or policy expressed by the [operative] limitations statute.” (</w:t>
      </w:r>
      <w:r w:rsidRPr="005D426B">
        <w:rPr>
          <w:i/>
          <w:iCs/>
        </w:rPr>
        <w:t>Id.</w:t>
      </w:r>
      <w:r w:rsidRPr="005D426B">
        <w:rPr>
          <w:iCs/>
        </w:rPr>
        <w:t xml:space="preserve"> at p. 321.)  </w:t>
      </w:r>
      <w:r>
        <w:rPr>
          <w:iCs/>
        </w:rPr>
        <w:t xml:space="preserve">So </w:t>
      </w:r>
      <w:r w:rsidR="00166C2C">
        <w:rPr>
          <w:iCs/>
        </w:rPr>
        <w:t>Saint Francis’s</w:t>
      </w:r>
      <w:r w:rsidR="00D87E4D">
        <w:rPr>
          <w:iCs/>
        </w:rPr>
        <w:t xml:space="preserve"> mistake in calculating </w:t>
      </w:r>
      <w:r w:rsidR="00166C2C">
        <w:rPr>
          <w:iCs/>
        </w:rPr>
        <w:t>the</w:t>
      </w:r>
      <w:r w:rsidR="00D87E4D">
        <w:rPr>
          <w:iCs/>
        </w:rPr>
        <w:t xml:space="preserve"> filing deadline</w:t>
      </w:r>
      <w:r w:rsidR="00166C2C">
        <w:rPr>
          <w:iCs/>
        </w:rPr>
        <w:t xml:space="preserve"> under section 11523</w:t>
      </w:r>
      <w:r w:rsidR="00D87E4D">
        <w:rPr>
          <w:iCs/>
        </w:rPr>
        <w:t xml:space="preserve"> isn’t necessarily fatal to </w:t>
      </w:r>
      <w:r w:rsidR="00166C2C">
        <w:rPr>
          <w:iCs/>
        </w:rPr>
        <w:t>its</w:t>
      </w:r>
      <w:r w:rsidR="00D87E4D">
        <w:rPr>
          <w:iCs/>
        </w:rPr>
        <w:t xml:space="preserve"> equitable tolling claim.</w:t>
      </w:r>
      <w:r w:rsidR="00CB7D4D">
        <w:rPr>
          <w:iCs/>
        </w:rPr>
        <w:t xml:space="preserve">  We </w:t>
      </w:r>
      <w:r w:rsidR="00057136">
        <w:rPr>
          <w:iCs/>
        </w:rPr>
        <w:t>must instead determine</w:t>
      </w:r>
      <w:r w:rsidR="00FB427C">
        <w:rPr>
          <w:iCs/>
        </w:rPr>
        <w:t xml:space="preserve"> whether the hospital satisfies the </w:t>
      </w:r>
      <w:r w:rsidR="00C8142C">
        <w:rPr>
          <w:iCs/>
        </w:rPr>
        <w:t>three</w:t>
      </w:r>
      <w:r w:rsidR="002D05C3">
        <w:rPr>
          <w:iCs/>
        </w:rPr>
        <w:t xml:space="preserve"> elements of equitable tolling.</w:t>
      </w:r>
      <w:r w:rsidR="00FB427C">
        <w:rPr>
          <w:iCs/>
        </w:rPr>
        <w:t xml:space="preserve"> </w:t>
      </w:r>
      <w:r w:rsidR="00D87E4D">
        <w:rPr>
          <w:iCs/>
        </w:rPr>
        <w:t xml:space="preserve"> </w:t>
      </w:r>
      <w:r w:rsidRPr="005D426B">
        <w:rPr>
          <w:iCs/>
        </w:rPr>
        <w:t xml:space="preserve">  </w:t>
      </w:r>
    </w:p>
    <w:p w:rsidR="007767B7" w:rsidP="00B733E3" w14:paraId="1F85DF52" w14:textId="77777777">
      <w:pPr>
        <w:tabs>
          <w:tab w:val="left" w:pos="630"/>
          <w:tab w:val="left" w:pos="720"/>
        </w:tabs>
        <w:jc w:val="center"/>
        <w:outlineLvl w:val="0"/>
      </w:pPr>
      <w:r>
        <w:rPr>
          <w:b/>
        </w:rPr>
        <w:t>B</w:t>
      </w:r>
      <w:r w:rsidRPr="005D426B">
        <w:rPr>
          <w:b/>
        </w:rPr>
        <w:t>.</w:t>
      </w:r>
    </w:p>
    <w:p w:rsidR="00592C96" w:rsidP="00852F83" w14:paraId="6DD50C1A" w14:textId="77777777">
      <w:pPr>
        <w:tabs>
          <w:tab w:val="left" w:pos="630"/>
          <w:tab w:val="left" w:pos="720"/>
        </w:tabs>
      </w:pPr>
      <w:r>
        <w:tab/>
      </w:r>
      <w:r>
        <w:t>We begin with timely notice.</w:t>
      </w:r>
      <w:r w:rsidR="0003418D">
        <w:t xml:space="preserve">  </w:t>
      </w:r>
      <w:r w:rsidR="00DA6415">
        <w:t>The</w:t>
      </w:r>
      <w:r w:rsidR="0003418D">
        <w:t xml:space="preserve"> </w:t>
      </w:r>
      <w:r w:rsidR="00B67070">
        <w:t xml:space="preserve">Department </w:t>
      </w:r>
      <w:r w:rsidR="00AC148B">
        <w:t>contends</w:t>
      </w:r>
      <w:r w:rsidR="00B67070">
        <w:t xml:space="preserve"> that Saint Francis fails to satisfy </w:t>
      </w:r>
      <w:r w:rsidR="0034164F">
        <w:t>the first</w:t>
      </w:r>
      <w:r w:rsidR="002A622F">
        <w:t xml:space="preserve"> </w:t>
      </w:r>
      <w:r w:rsidR="00B67070">
        <w:t xml:space="preserve">element </w:t>
      </w:r>
      <w:r w:rsidR="00C15B7F">
        <w:t xml:space="preserve">because its request for reconsideration was “unauthorized” under the statutory scheme.  </w:t>
      </w:r>
      <w:r w:rsidR="008770CE">
        <w:t>I</w:t>
      </w:r>
      <w:r w:rsidR="0003418D">
        <w:t xml:space="preserve">n the Department’s view, a </w:t>
      </w:r>
      <w:r w:rsidR="005E019B">
        <w:t>plaintiff’s</w:t>
      </w:r>
      <w:r w:rsidR="0003418D">
        <w:t xml:space="preserve"> pursuit of an alternative remedy</w:t>
      </w:r>
      <w:r w:rsidR="00B636AF">
        <w:t xml:space="preserve"> that turns out to be </w:t>
      </w:r>
      <w:r w:rsidR="00852F83">
        <w:t>flawed</w:t>
      </w:r>
      <w:r w:rsidR="0003418D">
        <w:t xml:space="preserve"> </w:t>
      </w:r>
      <w:r w:rsidR="00956283">
        <w:t>cannot</w:t>
      </w:r>
      <w:r w:rsidR="0003418D">
        <w:t xml:space="preserve"> </w:t>
      </w:r>
      <w:r w:rsidR="00B636AF">
        <w:t xml:space="preserve">provide notice </w:t>
      </w:r>
      <w:r w:rsidR="00D9326F">
        <w:t xml:space="preserve">of the party’s claims </w:t>
      </w:r>
      <w:r w:rsidR="00B636AF">
        <w:t xml:space="preserve">to the defendant. </w:t>
      </w:r>
    </w:p>
    <w:p w:rsidR="00F26879" w:rsidP="00B933E3" w14:paraId="213E2DF2" w14:textId="4548F74B">
      <w:pPr>
        <w:tabs>
          <w:tab w:val="left" w:pos="630"/>
          <w:tab w:val="left" w:pos="720"/>
        </w:tabs>
      </w:pPr>
      <w:r>
        <w:tab/>
      </w:r>
      <w:r w:rsidR="00D52E70">
        <w:t>But t</w:t>
      </w:r>
      <w:r w:rsidR="004A54E5">
        <w:t>hat assertion</w:t>
      </w:r>
      <w:r w:rsidR="00D52E70">
        <w:t xml:space="preserve"> </w:t>
      </w:r>
      <w:r w:rsidR="004A54E5">
        <w:t xml:space="preserve">rests on an overly </w:t>
      </w:r>
      <w:r w:rsidR="00DA6415">
        <w:t>rigid</w:t>
      </w:r>
      <w:r w:rsidR="004A54E5">
        <w:t xml:space="preserve"> conception </w:t>
      </w:r>
      <w:r w:rsidR="0094502B">
        <w:t>of equitable tolling’s first prong.</w:t>
      </w:r>
      <w:r w:rsidR="005239DA">
        <w:t xml:space="preserve">  We have never concluded that pursuit of an alternative remedy is necessary for a plaintiff to provide timely notice of its claims to the defendant.</w:t>
      </w:r>
      <w:r w:rsidR="00B933E3">
        <w:t xml:space="preserve">  </w:t>
      </w:r>
      <w:r w:rsidR="0094502B">
        <w:t>When considering whether a plaintiff provided timely notice, courts</w:t>
      </w:r>
      <w:r w:rsidR="00B96474">
        <w:t xml:space="preserve"> </w:t>
      </w:r>
      <w:r w:rsidR="0094502B">
        <w:t xml:space="preserve">focus on whether the </w:t>
      </w:r>
      <w:r w:rsidR="007552A0">
        <w:t>party’s</w:t>
      </w:r>
      <w:r w:rsidR="0094502B">
        <w:t xml:space="preserve"> actions caused </w:t>
      </w:r>
      <w:r w:rsidR="00945517">
        <w:t>the</w:t>
      </w:r>
      <w:r w:rsidR="00B215C0">
        <w:t xml:space="preserve"> defendant to be “</w:t>
      </w:r>
      <w:r w:rsidR="0094502B">
        <w:t xml:space="preserve">fully notified </w:t>
      </w:r>
      <w:r>
        <w:t xml:space="preserve">within the [statute </w:t>
      </w:r>
      <w:r w:rsidR="00A930F9">
        <w:t>of limitations] of plaintiffs’</w:t>
      </w:r>
      <w:r>
        <w:t xml:space="preserve"> claims and their intent to litigate.”  </w:t>
      </w:r>
      <w:r w:rsidRPr="005D426B">
        <w:t>(</w:t>
      </w:r>
      <w:r w:rsidRPr="005D426B">
        <w:rPr>
          <w:i/>
        </w:rPr>
        <w:t>Addison</w:t>
      </w:r>
      <w:r w:rsidRPr="005D426B">
        <w:t xml:space="preserve">, </w:t>
      </w:r>
      <w:r w:rsidRPr="005D426B">
        <w:rPr>
          <w:i/>
        </w:rPr>
        <w:t>supra</w:t>
      </w:r>
      <w:r w:rsidRPr="005D426B">
        <w:t>, 21 Cal.3d at p. 321.)</w:t>
      </w:r>
      <w:r>
        <w:t xml:space="preserve">  </w:t>
      </w:r>
    </w:p>
    <w:p w:rsidR="0030403E" w:rsidP="00A772F3" w14:paraId="697550FD" w14:textId="4EEBF7BF">
      <w:pPr>
        <w:tabs>
          <w:tab w:val="left" w:pos="630"/>
          <w:tab w:val="left" w:pos="720"/>
        </w:tabs>
      </w:pPr>
      <w:r>
        <w:tab/>
        <w:t>Saint Francis’s action</w:t>
      </w:r>
      <w:r w:rsidR="008C4B5D">
        <w:t>s</w:t>
      </w:r>
      <w:r>
        <w:t xml:space="preserve"> did just that.  </w:t>
      </w:r>
      <w:r w:rsidR="008173CF">
        <w:t xml:space="preserve">On December 30, 2015 </w:t>
      </w:r>
      <w:r w:rsidR="0096063C">
        <w:t xml:space="preserve">— well before section 11523’s statute of limitations was set to expire — Saint Francis filed a request for reconsideration.  </w:t>
      </w:r>
      <w:r w:rsidR="00E856B8">
        <w:t xml:space="preserve">Although this request was later “found to be defective for some reason” </w:t>
      </w:r>
      <w:r w:rsidRPr="00ED64DE" w:rsidR="00A772F3">
        <w:t>(</w:t>
      </w:r>
      <w:r w:rsidRPr="00ED64DE" w:rsidR="00A772F3">
        <w:rPr>
          <w:i/>
          <w:iCs/>
        </w:rPr>
        <w:t>McDonald</w:t>
      </w:r>
      <w:r w:rsidRPr="00ED64DE" w:rsidR="00A772F3">
        <w:t xml:space="preserve">, </w:t>
      </w:r>
      <w:r w:rsidRPr="00ED64DE" w:rsidR="00A772F3">
        <w:rPr>
          <w:i/>
          <w:iCs/>
        </w:rPr>
        <w:t>supra</w:t>
      </w:r>
      <w:r w:rsidR="00A772F3">
        <w:t>, 45 Cal.4th at p. 100</w:t>
      </w:r>
      <w:r w:rsidRPr="00ED64DE" w:rsidR="00A772F3">
        <w:t>)</w:t>
      </w:r>
      <w:r w:rsidR="00A772F3">
        <w:t xml:space="preserve"> </w:t>
      </w:r>
      <w:r w:rsidR="00E856B8">
        <w:t>— because the Departmen</w:t>
      </w:r>
      <w:r w:rsidR="0015071C">
        <w:t xml:space="preserve">t’s “effective immediately” decision rendered reconsideration unavailable to Saint Francis — </w:t>
      </w:r>
      <w:r w:rsidR="00A96BA0">
        <w:t>it provided the Department with timely notice that Saint Francis</w:t>
      </w:r>
      <w:r w:rsidR="0016553D">
        <w:t xml:space="preserve"> was seeking to appeal the Department’s penalty against the hospital.  </w:t>
      </w:r>
    </w:p>
    <w:p w:rsidR="009A71BC" w:rsidRPr="00EA7467" w:rsidP="00AD38C6" w14:paraId="54B0DCF7" w14:textId="77777777">
      <w:pPr>
        <w:tabs>
          <w:tab w:val="left" w:pos="630"/>
          <w:tab w:val="left" w:pos="720"/>
        </w:tabs>
      </w:pPr>
      <w:r>
        <w:tab/>
      </w:r>
      <w:r w:rsidR="003864C5">
        <w:t xml:space="preserve">That </w:t>
      </w:r>
      <w:r w:rsidR="00A41D38">
        <w:t>Saint Francis provided the Department with timely notice</w:t>
      </w:r>
      <w:r w:rsidR="00141C15">
        <w:t xml:space="preserve"> is </w:t>
      </w:r>
      <w:r w:rsidR="00853F4A">
        <w:t xml:space="preserve">underscored by </w:t>
      </w:r>
      <w:r>
        <w:t>what happened next</w:t>
      </w:r>
      <w:r w:rsidR="00853F4A">
        <w:t>.</w:t>
      </w:r>
      <w:r w:rsidR="00A41D38">
        <w:t xml:space="preserve">  </w:t>
      </w:r>
      <w:r w:rsidR="00853F4A">
        <w:t xml:space="preserve">On January 14, 2016, </w:t>
      </w:r>
      <w:r w:rsidRPr="005D426B" w:rsidR="00702E60">
        <w:t xml:space="preserve">one day before section 11523’s statute </w:t>
      </w:r>
      <w:r w:rsidR="00853F4A">
        <w:t xml:space="preserve">of limitations was set to expire, </w:t>
      </w:r>
      <w:r w:rsidRPr="005D426B" w:rsidR="00D509D1">
        <w:t>Saint Francis</w:t>
      </w:r>
      <w:r w:rsidR="000029A2">
        <w:t xml:space="preserve"> </w:t>
      </w:r>
      <w:r w:rsidRPr="005D426B" w:rsidR="001E7C08">
        <w:t>notified</w:t>
      </w:r>
      <w:r w:rsidRPr="005D426B" w:rsidR="00160E87">
        <w:t xml:space="preserve"> the Department’s</w:t>
      </w:r>
      <w:r w:rsidRPr="005D426B" w:rsidR="001E7C08">
        <w:t xml:space="preserve"> counsel </w:t>
      </w:r>
      <w:r w:rsidRPr="005D426B" w:rsidR="006576F1">
        <w:t>of its intent</w:t>
      </w:r>
      <w:r w:rsidRPr="005D426B" w:rsidR="001E7C08">
        <w:t xml:space="preserve"> to file a</w:t>
      </w:r>
      <w:r w:rsidRPr="005D426B" w:rsidR="003953D5">
        <w:t xml:space="preserve"> </w:t>
      </w:r>
      <w:r w:rsidRPr="005D426B" w:rsidR="001E7C08">
        <w:t xml:space="preserve">petition for </w:t>
      </w:r>
      <w:r w:rsidRPr="005D426B" w:rsidR="00F35F3F">
        <w:t xml:space="preserve">a </w:t>
      </w:r>
      <w:r w:rsidRPr="005D426B" w:rsidR="001E7C08">
        <w:t xml:space="preserve">writ of administrative </w:t>
      </w:r>
      <w:r w:rsidRPr="005D426B" w:rsidR="003B77FC">
        <w:t>mandate</w:t>
      </w:r>
      <w:r w:rsidRPr="005D426B" w:rsidR="00BA74D1">
        <w:t xml:space="preserve"> if </w:t>
      </w:r>
      <w:r w:rsidR="00AD5CD8">
        <w:t>the</w:t>
      </w:r>
      <w:r w:rsidRPr="005D426B" w:rsidR="00BA74D1">
        <w:t xml:space="preserve"> request for reconsideration was unsuccessful</w:t>
      </w:r>
      <w:r w:rsidR="00853F4A">
        <w:t xml:space="preserve">.  </w:t>
      </w:r>
      <w:r w:rsidRPr="005D426B" w:rsidR="006576F1">
        <w:t xml:space="preserve">The Department’s counsel — apparently unaware that Saint Francis’s petition </w:t>
      </w:r>
      <w:r w:rsidRPr="005D426B" w:rsidR="00F843E1">
        <w:t xml:space="preserve">was </w:t>
      </w:r>
      <w:r w:rsidRPr="005D426B" w:rsidR="00A968A4">
        <w:t xml:space="preserve">already </w:t>
      </w:r>
      <w:r w:rsidR="00127D70">
        <w:t>four</w:t>
      </w:r>
      <w:r w:rsidRPr="005D426B" w:rsidR="00A968A4">
        <w:t xml:space="preserve"> days overdue</w:t>
      </w:r>
      <w:r w:rsidRPr="005D426B" w:rsidR="006576F1">
        <w:t xml:space="preserve"> —</w:t>
      </w:r>
      <w:r w:rsidRPr="005D426B" w:rsidR="00431CBF">
        <w:t xml:space="preserve"> </w:t>
      </w:r>
      <w:r w:rsidRPr="005D426B" w:rsidR="00437FBF">
        <w:t xml:space="preserve">acknowledged </w:t>
      </w:r>
      <w:r w:rsidRPr="005D426B" w:rsidR="00321F2D">
        <w:t>the forthcoming petition</w:t>
      </w:r>
      <w:r w:rsidRPr="005D426B" w:rsidR="00A968A4">
        <w:t xml:space="preserve"> on January 19, 2016</w:t>
      </w:r>
      <w:r w:rsidR="00853F4A">
        <w:t xml:space="preserve">. </w:t>
      </w:r>
      <w:r w:rsidRPr="005D426B" w:rsidR="00727A95">
        <w:t>The most plausible interpretation of these facts is that</w:t>
      </w:r>
      <w:r w:rsidR="00190652">
        <w:t xml:space="preserve"> Saint Francis’s request for reconsideration, together with its communications with the Department’s counsel,</w:t>
      </w:r>
      <w:r w:rsidR="00AA04BC">
        <w:t xml:space="preserve"> notified the Department of its intent to seek review of the Department’s </w:t>
      </w:r>
      <w:r w:rsidR="00AD38C6">
        <w:t>penalty</w:t>
      </w:r>
      <w:r w:rsidR="00AA0F2F">
        <w:t xml:space="preserve"> </w:t>
      </w:r>
      <w:r w:rsidR="00EA7467">
        <w:t xml:space="preserve">against </w:t>
      </w:r>
      <w:r w:rsidR="00AD38C6">
        <w:t>the hospital</w:t>
      </w:r>
      <w:r w:rsidR="00EA7467">
        <w:t xml:space="preserve">.  </w:t>
      </w:r>
      <w:r w:rsidRPr="005D426B">
        <w:t xml:space="preserve">Because equitable tolling </w:t>
      </w:r>
      <w:r w:rsidRPr="005D426B">
        <w:rPr>
          <w:iCs/>
        </w:rPr>
        <w:t>is designed to apply when a plaintiff has “</w:t>
      </w:r>
      <w:r w:rsidR="008A348E">
        <w:rPr>
          <w:iCs/>
        </w:rPr>
        <w:t xml:space="preserve"> ‘</w:t>
      </w:r>
      <w:r w:rsidRPr="005D426B">
        <w:rPr>
          <w:iCs/>
        </w:rPr>
        <w:t>satisfied the notification purpose of a limitations statute</w:t>
      </w:r>
      <w:r w:rsidR="008A348E">
        <w:rPr>
          <w:iCs/>
        </w:rPr>
        <w:t xml:space="preserve">’ </w:t>
      </w:r>
      <w:r w:rsidRPr="005D426B">
        <w:rPr>
          <w:iCs/>
        </w:rPr>
        <w:t>” (</w:t>
      </w:r>
      <w:r w:rsidRPr="005D426B">
        <w:rPr>
          <w:i/>
          <w:iCs/>
        </w:rPr>
        <w:t>McDonald</w:t>
      </w:r>
      <w:r w:rsidRPr="005D426B">
        <w:rPr>
          <w:iCs/>
        </w:rPr>
        <w:t xml:space="preserve">, </w:t>
      </w:r>
      <w:r w:rsidRPr="005D426B">
        <w:rPr>
          <w:i/>
          <w:iCs/>
        </w:rPr>
        <w:t>supra</w:t>
      </w:r>
      <w:r w:rsidRPr="005D426B">
        <w:rPr>
          <w:iCs/>
        </w:rPr>
        <w:t xml:space="preserve">, 45 Cal.4th at p. 102), ignoring this inference would undermine the doctrine’s underlying rationale and purpose. </w:t>
      </w:r>
    </w:p>
    <w:p w:rsidR="00AA76CE" w:rsidRPr="00916F72" w:rsidP="00BF59EC" w14:paraId="2019CE84" w14:textId="77777777">
      <w:pPr>
        <w:tabs>
          <w:tab w:val="left" w:pos="630"/>
          <w:tab w:val="left" w:pos="720"/>
        </w:tabs>
      </w:pPr>
      <w:r>
        <w:rPr>
          <w:iCs/>
        </w:rPr>
        <w:tab/>
        <w:t xml:space="preserve">The first element of equitable tolling — that a plaintiff must provide timely notice of its claims to the defendant — has remained the same since the doctrine’s inception.  </w:t>
      </w:r>
      <w:r w:rsidRPr="005D426B">
        <w:t>(</w:t>
      </w:r>
      <w:r w:rsidRPr="005D426B">
        <w:rPr>
          <w:i/>
        </w:rPr>
        <w:t>Addison</w:t>
      </w:r>
      <w:r w:rsidRPr="005D426B">
        <w:t xml:space="preserve">, </w:t>
      </w:r>
      <w:r w:rsidRPr="005D426B">
        <w:rPr>
          <w:i/>
        </w:rPr>
        <w:t>supra</w:t>
      </w:r>
      <w:r w:rsidRPr="005D426B">
        <w:t>, 45 Cal.4th at p. 319.)</w:t>
      </w:r>
      <w:r>
        <w:t xml:space="preserve">  </w:t>
      </w:r>
      <w:r w:rsidR="00BF59EC">
        <w:t>T</w:t>
      </w:r>
      <w:r>
        <w:t>hat element ought to be interpreted literally</w:t>
      </w:r>
      <w:r w:rsidR="00BF59EC">
        <w:t>:  W</w:t>
      </w:r>
      <w:r w:rsidRPr="005D426B">
        <w:t>hen confronted with equitable tolling claims, courts must examine each case on its facts to determine whether the defendant received timely notice of the plaintiff’s intent to file suit.  Because</w:t>
      </w:r>
      <w:r>
        <w:t xml:space="preserve"> Saint Francis’s request for reconsideration, together with</w:t>
      </w:r>
      <w:r w:rsidRPr="005D426B">
        <w:t xml:space="preserve"> the e</w:t>
      </w:r>
      <w:r>
        <w:t>-</w:t>
      </w:r>
      <w:r w:rsidRPr="005D426B">
        <w:t>mail notifying the Department’s counsel of its intent to file a petition for a writ of administrative mandate</w:t>
      </w:r>
      <w:r>
        <w:t>,</w:t>
      </w:r>
      <w:r w:rsidRPr="005D426B">
        <w:t xml:space="preserve"> provided the Department with timely notice of the hospital’s claim, we conclude that Saint Francis has satisfied the first element of equitable tolling.</w:t>
      </w:r>
    </w:p>
    <w:p w:rsidR="00CD405E" w:rsidRPr="005D426B" w:rsidP="00B733E3" w14:paraId="19146F2E" w14:textId="77777777">
      <w:pPr>
        <w:keepNext/>
        <w:tabs>
          <w:tab w:val="left" w:pos="630"/>
          <w:tab w:val="left" w:pos="720"/>
        </w:tabs>
        <w:jc w:val="center"/>
        <w:outlineLvl w:val="0"/>
        <w:rPr>
          <w:b/>
        </w:rPr>
      </w:pPr>
      <w:r>
        <w:rPr>
          <w:b/>
        </w:rPr>
        <w:t>C</w:t>
      </w:r>
      <w:r w:rsidRPr="005D426B">
        <w:rPr>
          <w:b/>
        </w:rPr>
        <w:t>.</w:t>
      </w:r>
    </w:p>
    <w:p w:rsidR="00C61E8F" w:rsidRPr="005D426B" w:rsidP="00152886" w14:paraId="3FF9E74A" w14:textId="4CA26C53">
      <w:pPr>
        <w:keepNext/>
        <w:tabs>
          <w:tab w:val="left" w:pos="630"/>
          <w:tab w:val="left" w:pos="720"/>
        </w:tabs>
        <w:rPr>
          <w:iCs/>
        </w:rPr>
      </w:pPr>
      <w:r w:rsidRPr="005D426B">
        <w:rPr>
          <w:iCs/>
        </w:rPr>
        <w:tab/>
      </w:r>
      <w:r w:rsidR="00152886">
        <w:rPr>
          <w:iCs/>
        </w:rPr>
        <w:t xml:space="preserve">The Department next argues that Saint Francis’s equitable tolling claim fails because the hospital cannot satisfy the second element: </w:t>
      </w:r>
      <w:r w:rsidR="00231185">
        <w:rPr>
          <w:iCs/>
        </w:rPr>
        <w:t xml:space="preserve"> </w:t>
      </w:r>
      <w:r w:rsidRPr="005D426B">
        <w:rPr>
          <w:iCs/>
        </w:rPr>
        <w:t>lac</w:t>
      </w:r>
      <w:r w:rsidR="00152886">
        <w:rPr>
          <w:iCs/>
        </w:rPr>
        <w:t>k of prejudice to the defendant</w:t>
      </w:r>
      <w:r w:rsidRPr="005D426B">
        <w:rPr>
          <w:iCs/>
        </w:rPr>
        <w:t xml:space="preserve">.  (See </w:t>
      </w:r>
      <w:r w:rsidRPr="005D426B">
        <w:rPr>
          <w:i/>
          <w:iCs/>
        </w:rPr>
        <w:t>McDonald</w:t>
      </w:r>
      <w:r w:rsidRPr="005D426B">
        <w:rPr>
          <w:iCs/>
        </w:rPr>
        <w:t xml:space="preserve">, </w:t>
      </w:r>
      <w:r w:rsidRPr="005D426B">
        <w:rPr>
          <w:i/>
          <w:iCs/>
        </w:rPr>
        <w:t>supra</w:t>
      </w:r>
      <w:r w:rsidRPr="005D426B">
        <w:rPr>
          <w:iCs/>
        </w:rPr>
        <w:t>, 45 Cal.4th at p. 102.)</w:t>
      </w:r>
      <w:r w:rsidR="00152886">
        <w:rPr>
          <w:iCs/>
        </w:rPr>
        <w:t xml:space="preserve">  We disagree.  </w:t>
      </w:r>
    </w:p>
    <w:p w:rsidR="004A3E32" w:rsidRPr="005D426B" w:rsidP="005D426B" w14:paraId="712AE8D5" w14:textId="77777777">
      <w:pPr>
        <w:tabs>
          <w:tab w:val="left" w:pos="630"/>
          <w:tab w:val="left" w:pos="720"/>
        </w:tabs>
        <w:rPr>
          <w:iCs/>
        </w:rPr>
      </w:pPr>
      <w:r w:rsidRPr="005D426B">
        <w:rPr>
          <w:iCs/>
        </w:rPr>
        <w:tab/>
        <w:t xml:space="preserve">The Department has </w:t>
      </w:r>
      <w:r w:rsidRPr="005D426B" w:rsidR="006D3167">
        <w:rPr>
          <w:iCs/>
        </w:rPr>
        <w:t>suffered</w:t>
      </w:r>
      <w:r w:rsidRPr="005D426B">
        <w:rPr>
          <w:iCs/>
        </w:rPr>
        <w:t xml:space="preserve"> prejudice, it </w:t>
      </w:r>
      <w:r w:rsidRPr="005D426B" w:rsidR="00E53EE2">
        <w:rPr>
          <w:iCs/>
        </w:rPr>
        <w:t>contends</w:t>
      </w:r>
      <w:r w:rsidRPr="005D426B">
        <w:rPr>
          <w:iCs/>
        </w:rPr>
        <w:t xml:space="preserve">, </w:t>
      </w:r>
      <w:r w:rsidRPr="005D426B" w:rsidR="008434DC">
        <w:rPr>
          <w:iCs/>
        </w:rPr>
        <w:t xml:space="preserve">because Saint Francis’s late filing circumvented </w:t>
      </w:r>
      <w:r w:rsidRPr="005D426B">
        <w:rPr>
          <w:iCs/>
        </w:rPr>
        <w:t>its</w:t>
      </w:r>
      <w:r w:rsidRPr="005D426B" w:rsidR="008434DC">
        <w:rPr>
          <w:iCs/>
        </w:rPr>
        <w:t xml:space="preserve"> “rel[iance] on legislative rules establishing the finality of its adjudicative decisions in order to execute its statutory charge of safeguarding the </w:t>
      </w:r>
      <w:r w:rsidR="002E0255">
        <w:rPr>
          <w:iCs/>
        </w:rPr>
        <w:t xml:space="preserve">public health.”  </w:t>
      </w:r>
      <w:r w:rsidRPr="005D426B" w:rsidR="00432107">
        <w:rPr>
          <w:iCs/>
        </w:rPr>
        <w:t>That argument</w:t>
      </w:r>
      <w:r w:rsidRPr="005D426B" w:rsidR="00EE4574">
        <w:rPr>
          <w:iCs/>
        </w:rPr>
        <w:t xml:space="preserve"> </w:t>
      </w:r>
      <w:r w:rsidRPr="005D426B" w:rsidR="00A62F62">
        <w:rPr>
          <w:iCs/>
        </w:rPr>
        <w:t>ignores</w:t>
      </w:r>
      <w:r w:rsidRPr="005D426B" w:rsidR="00432107">
        <w:rPr>
          <w:iCs/>
        </w:rPr>
        <w:t xml:space="preserve"> the</w:t>
      </w:r>
      <w:r w:rsidR="00EE4A84">
        <w:rPr>
          <w:iCs/>
        </w:rPr>
        <w:t xml:space="preserve"> </w:t>
      </w:r>
      <w:r w:rsidR="009B3C96">
        <w:rPr>
          <w:iCs/>
        </w:rPr>
        <w:t xml:space="preserve">core </w:t>
      </w:r>
      <w:r w:rsidRPr="005D426B" w:rsidR="00432107">
        <w:rPr>
          <w:iCs/>
        </w:rPr>
        <w:t xml:space="preserve">focus of our </w:t>
      </w:r>
      <w:r w:rsidRPr="005D426B" w:rsidR="0015269E">
        <w:rPr>
          <w:iCs/>
        </w:rPr>
        <w:t xml:space="preserve">prejudice analysis:  </w:t>
      </w:r>
      <w:r w:rsidRPr="005D426B" w:rsidR="00044BE9">
        <w:rPr>
          <w:iCs/>
        </w:rPr>
        <w:t>w</w:t>
      </w:r>
      <w:r w:rsidRPr="005D426B" w:rsidR="0015269E">
        <w:rPr>
          <w:iCs/>
        </w:rPr>
        <w:t>hether application of equitable tolling would prevent the defendant from defending a claim on the merits.  (</w:t>
      </w:r>
      <w:r w:rsidRPr="005D426B" w:rsidR="0015269E">
        <w:t>See</w:t>
      </w:r>
      <w:r w:rsidRPr="005D426B" w:rsidR="0015269E">
        <w:rPr>
          <w:i/>
        </w:rPr>
        <w:t xml:space="preserve"> Addison</w:t>
      </w:r>
      <w:r w:rsidRPr="005D426B" w:rsidR="0015269E">
        <w:rPr>
          <w:iCs/>
        </w:rPr>
        <w:t xml:space="preserve">, </w:t>
      </w:r>
      <w:r w:rsidRPr="005D426B" w:rsidR="0015269E">
        <w:rPr>
          <w:i/>
        </w:rPr>
        <w:t>supra</w:t>
      </w:r>
      <w:r w:rsidRPr="005D426B" w:rsidR="0015269E">
        <w:rPr>
          <w:iCs/>
        </w:rPr>
        <w:t xml:space="preserve">, </w:t>
      </w:r>
      <w:r w:rsidRPr="005D426B" w:rsidR="00D365B7">
        <w:rPr>
          <w:iCs/>
        </w:rPr>
        <w:t>21 Cal.3d at p. 318.)</w:t>
      </w:r>
      <w:r w:rsidRPr="005D426B" w:rsidR="00C140B3">
        <w:rPr>
          <w:iCs/>
        </w:rPr>
        <w:t xml:space="preserve">  Given that the Department defended </w:t>
      </w:r>
      <w:r w:rsidRPr="005D426B" w:rsidR="00F21578">
        <w:rPr>
          <w:iCs/>
        </w:rPr>
        <w:t>its</w:t>
      </w:r>
      <w:r w:rsidRPr="005D426B" w:rsidR="00C140B3">
        <w:rPr>
          <w:iCs/>
        </w:rPr>
        <w:t xml:space="preserve"> assessment of </w:t>
      </w:r>
      <w:r w:rsidRPr="005D426B" w:rsidR="00F21578">
        <w:rPr>
          <w:iCs/>
        </w:rPr>
        <w:t>the</w:t>
      </w:r>
      <w:r w:rsidRPr="005D426B" w:rsidR="00C140B3">
        <w:rPr>
          <w:iCs/>
        </w:rPr>
        <w:t xml:space="preserve"> </w:t>
      </w:r>
      <w:r w:rsidRPr="005D426B" w:rsidR="00C77DCA">
        <w:rPr>
          <w:iCs/>
        </w:rPr>
        <w:t xml:space="preserve">fine against Saint Francis throughout the administrative proceedings, we don’t see how tolling section 11523’s statute of limitations would undermine the Department’s ability to defend </w:t>
      </w:r>
      <w:r w:rsidRPr="005D426B">
        <w:rPr>
          <w:iCs/>
        </w:rPr>
        <w:t>the propriety of that same penalty</w:t>
      </w:r>
      <w:r w:rsidRPr="005D426B" w:rsidR="00C77DCA">
        <w:rPr>
          <w:iCs/>
        </w:rPr>
        <w:t xml:space="preserve"> </w:t>
      </w:r>
      <w:r w:rsidRPr="005D426B">
        <w:rPr>
          <w:iCs/>
        </w:rPr>
        <w:t>in superior court.</w:t>
      </w:r>
    </w:p>
    <w:p w:rsidR="00973048" w:rsidP="005D426B" w14:paraId="16332340" w14:textId="4500CDE8">
      <w:pPr>
        <w:tabs>
          <w:tab w:val="left" w:pos="630"/>
          <w:tab w:val="left" w:pos="720"/>
        </w:tabs>
        <w:rPr>
          <w:iCs/>
        </w:rPr>
      </w:pPr>
      <w:r w:rsidRPr="005D426B">
        <w:rPr>
          <w:iCs/>
        </w:rPr>
        <w:tab/>
      </w:r>
      <w:r w:rsidR="00B701B0">
        <w:rPr>
          <w:iCs/>
        </w:rPr>
        <w:t>Consider the implications of</w:t>
      </w:r>
      <w:r w:rsidRPr="005D426B" w:rsidR="00EE4574">
        <w:rPr>
          <w:iCs/>
        </w:rPr>
        <w:t xml:space="preserve"> </w:t>
      </w:r>
      <w:r w:rsidR="00B701B0">
        <w:rPr>
          <w:iCs/>
        </w:rPr>
        <w:t>embracing</w:t>
      </w:r>
      <w:r w:rsidRPr="005D426B" w:rsidR="00B701B0">
        <w:rPr>
          <w:iCs/>
        </w:rPr>
        <w:t xml:space="preserve"> </w:t>
      </w:r>
      <w:r w:rsidRPr="005D426B" w:rsidR="009B6EAB">
        <w:rPr>
          <w:iCs/>
        </w:rPr>
        <w:t>the Department’s argument regarding prejudice</w:t>
      </w:r>
      <w:r w:rsidR="00B701B0">
        <w:rPr>
          <w:iCs/>
        </w:rPr>
        <w:t>:  W</w:t>
      </w:r>
      <w:r w:rsidRPr="005D426B">
        <w:rPr>
          <w:iCs/>
        </w:rPr>
        <w:t xml:space="preserve">e’d be </w:t>
      </w:r>
      <w:r w:rsidRPr="005D426B" w:rsidR="00EE4574">
        <w:rPr>
          <w:iCs/>
        </w:rPr>
        <w:t xml:space="preserve">all but </w:t>
      </w:r>
      <w:r w:rsidRPr="005D426B">
        <w:rPr>
          <w:iCs/>
        </w:rPr>
        <w:t xml:space="preserve">compelled to find prejudice in </w:t>
      </w:r>
      <w:r w:rsidR="00436FF9">
        <w:rPr>
          <w:iCs/>
        </w:rPr>
        <w:t xml:space="preserve">just about </w:t>
      </w:r>
      <w:r w:rsidRPr="005D426B">
        <w:rPr>
          <w:iCs/>
        </w:rPr>
        <w:t>every equitable tolling case</w:t>
      </w:r>
      <w:r w:rsidR="009B3C96">
        <w:rPr>
          <w:iCs/>
        </w:rPr>
        <w:t xml:space="preserve">. </w:t>
      </w:r>
      <w:r w:rsidR="00231185">
        <w:rPr>
          <w:iCs/>
        </w:rPr>
        <w:t xml:space="preserve"> </w:t>
      </w:r>
      <w:r w:rsidR="00022196">
        <w:rPr>
          <w:iCs/>
        </w:rPr>
        <w:t>Virtually all</w:t>
      </w:r>
      <w:r w:rsidR="009B3C96">
        <w:rPr>
          <w:iCs/>
        </w:rPr>
        <w:t xml:space="preserve"> </w:t>
      </w:r>
      <w:r w:rsidRPr="005D426B">
        <w:rPr>
          <w:iCs/>
        </w:rPr>
        <w:t xml:space="preserve">parties, after all, </w:t>
      </w:r>
      <w:r w:rsidR="00022196">
        <w:rPr>
          <w:iCs/>
        </w:rPr>
        <w:t xml:space="preserve">tend to </w:t>
      </w:r>
      <w:r w:rsidRPr="005D426B">
        <w:rPr>
          <w:iCs/>
        </w:rPr>
        <w:t xml:space="preserve">rely on statutes of limitations in the course of litigation.  And the Department presents no explanation </w:t>
      </w:r>
      <w:r w:rsidRPr="005D426B" w:rsidR="00D87C1E">
        <w:rPr>
          <w:iCs/>
        </w:rPr>
        <w:t>of</w:t>
      </w:r>
      <w:r w:rsidRPr="005D426B">
        <w:rPr>
          <w:iCs/>
        </w:rPr>
        <w:t xml:space="preserve"> why it, in particular, suffers greater prejudice because of its public </w:t>
      </w:r>
      <w:r w:rsidRPr="005D426B" w:rsidR="00E26ED4">
        <w:rPr>
          <w:iCs/>
        </w:rPr>
        <w:t>charge</w:t>
      </w:r>
      <w:r w:rsidRPr="005D426B">
        <w:rPr>
          <w:iCs/>
        </w:rPr>
        <w:t xml:space="preserve">.  </w:t>
      </w:r>
      <w:r w:rsidRPr="005D426B" w:rsidR="00865894">
        <w:rPr>
          <w:iCs/>
        </w:rPr>
        <w:t>T</w:t>
      </w:r>
      <w:r w:rsidRPr="005D426B" w:rsidR="00A23E72">
        <w:rPr>
          <w:iCs/>
        </w:rPr>
        <w:t xml:space="preserve">he Department’s contention </w:t>
      </w:r>
      <w:r w:rsidRPr="005D426B" w:rsidR="00865894">
        <w:rPr>
          <w:iCs/>
        </w:rPr>
        <w:t xml:space="preserve">also </w:t>
      </w:r>
      <w:r w:rsidRPr="005D426B" w:rsidR="00A23E72">
        <w:rPr>
          <w:iCs/>
        </w:rPr>
        <w:t xml:space="preserve">fails to </w:t>
      </w:r>
      <w:r w:rsidRPr="005D426B" w:rsidR="001044B0">
        <w:rPr>
          <w:iCs/>
        </w:rPr>
        <w:t>recognize</w:t>
      </w:r>
      <w:r w:rsidRPr="005D426B" w:rsidR="00A23E72">
        <w:rPr>
          <w:iCs/>
        </w:rPr>
        <w:t xml:space="preserve"> that the </w:t>
      </w:r>
      <w:r w:rsidRPr="005D426B">
        <w:rPr>
          <w:iCs/>
        </w:rPr>
        <w:t>finality of adjudicative decisions is already undermined by section 11523, which expressly allows those decisions to be appealed — appeals which can</w:t>
      </w:r>
      <w:r w:rsidRPr="005D426B" w:rsidR="00E26ED4">
        <w:rPr>
          <w:iCs/>
        </w:rPr>
        <w:t xml:space="preserve">, and </w:t>
      </w:r>
      <w:r w:rsidRPr="005D426B" w:rsidR="009621B5">
        <w:rPr>
          <w:iCs/>
        </w:rPr>
        <w:t>typically</w:t>
      </w:r>
      <w:r w:rsidRPr="005D426B" w:rsidR="00E26ED4">
        <w:rPr>
          <w:iCs/>
        </w:rPr>
        <w:t xml:space="preserve"> do,</w:t>
      </w:r>
      <w:r w:rsidRPr="005D426B" w:rsidR="007C55FC">
        <w:rPr>
          <w:iCs/>
        </w:rPr>
        <w:t xml:space="preserve"> postpone the</w:t>
      </w:r>
      <w:r w:rsidRPr="005D426B" w:rsidR="00EA6259">
        <w:rPr>
          <w:iCs/>
        </w:rPr>
        <w:t xml:space="preserve"> </w:t>
      </w:r>
      <w:r w:rsidRPr="005D426B" w:rsidR="002E746A">
        <w:rPr>
          <w:iCs/>
        </w:rPr>
        <w:t>finality</w:t>
      </w:r>
      <w:r w:rsidRPr="005D426B" w:rsidR="00EA6259">
        <w:rPr>
          <w:iCs/>
        </w:rPr>
        <w:t xml:space="preserve"> </w:t>
      </w:r>
      <w:r w:rsidRPr="005D426B" w:rsidR="0023392C">
        <w:rPr>
          <w:iCs/>
        </w:rPr>
        <w:t xml:space="preserve">of </w:t>
      </w:r>
      <w:r w:rsidRPr="005D426B" w:rsidR="002E746A">
        <w:rPr>
          <w:iCs/>
        </w:rPr>
        <w:t>the Department’s decisions</w:t>
      </w:r>
      <w:r w:rsidRPr="005D426B" w:rsidR="0023392C">
        <w:rPr>
          <w:iCs/>
        </w:rPr>
        <w:t xml:space="preserve"> for years.  </w:t>
      </w:r>
      <w:r w:rsidRPr="005D426B" w:rsidR="00297678">
        <w:rPr>
          <w:iCs/>
        </w:rPr>
        <w:t xml:space="preserve">For these reasons, </w:t>
      </w:r>
      <w:r w:rsidRPr="005D426B" w:rsidR="00CE5429">
        <w:rPr>
          <w:iCs/>
        </w:rPr>
        <w:t xml:space="preserve">we conclude that </w:t>
      </w:r>
      <w:r w:rsidRPr="005D426B" w:rsidR="009A2CFC">
        <w:rPr>
          <w:iCs/>
        </w:rPr>
        <w:t xml:space="preserve">tolling the statute of limitations wouldn’t prejudice </w:t>
      </w:r>
      <w:r w:rsidRPr="005D426B" w:rsidR="00CE5429">
        <w:rPr>
          <w:iCs/>
        </w:rPr>
        <w:t>the Department.</w:t>
      </w:r>
    </w:p>
    <w:p w:rsidR="00CB5885" w:rsidRPr="000E602E" w:rsidP="00B733E3" w14:paraId="42DC0912" w14:textId="77777777">
      <w:pPr>
        <w:keepNext/>
        <w:tabs>
          <w:tab w:val="left" w:pos="630"/>
          <w:tab w:val="left" w:pos="720"/>
        </w:tabs>
        <w:jc w:val="center"/>
        <w:outlineLvl w:val="0"/>
        <w:rPr>
          <w:b/>
        </w:rPr>
      </w:pPr>
      <w:r>
        <w:rPr>
          <w:b/>
        </w:rPr>
        <w:t>D</w:t>
      </w:r>
      <w:r w:rsidRPr="005D426B">
        <w:rPr>
          <w:b/>
        </w:rPr>
        <w:t>.</w:t>
      </w:r>
    </w:p>
    <w:p w:rsidR="004F1F2E" w:rsidP="00247B8C" w14:paraId="0E54C192" w14:textId="77777777">
      <w:pPr>
        <w:tabs>
          <w:tab w:val="left" w:pos="630"/>
          <w:tab w:val="left" w:pos="720"/>
        </w:tabs>
      </w:pPr>
      <w:r w:rsidRPr="005D426B">
        <w:rPr>
          <w:iCs/>
        </w:rPr>
        <w:tab/>
      </w:r>
      <w:r w:rsidR="00C4677F">
        <w:rPr>
          <w:iCs/>
        </w:rPr>
        <w:t xml:space="preserve">The third element of equitable tolling requires reasonable and good faith conduct by the plaintiff.  </w:t>
      </w:r>
      <w:r w:rsidR="007B66A1">
        <w:rPr>
          <w:iCs/>
        </w:rPr>
        <w:t>T</w:t>
      </w:r>
      <w:r w:rsidR="00C4677F">
        <w:rPr>
          <w:iCs/>
        </w:rPr>
        <w:t xml:space="preserve">he </w:t>
      </w:r>
      <w:r w:rsidR="001B64FD">
        <w:rPr>
          <w:iCs/>
        </w:rPr>
        <w:t xml:space="preserve">Department contends Saint Francis cannot satisfy this element because its late filing </w:t>
      </w:r>
      <w:r w:rsidR="00024696">
        <w:t xml:space="preserve">was due solely to its mistake in calculating the statute of limitations under section 11523.  </w:t>
      </w:r>
    </w:p>
    <w:p w:rsidR="001B64FD" w:rsidRPr="001571FE" w:rsidP="00A449A9" w14:paraId="6492C332" w14:textId="77777777">
      <w:pPr>
        <w:tabs>
          <w:tab w:val="left" w:pos="630"/>
          <w:tab w:val="left" w:pos="720"/>
        </w:tabs>
        <w:rPr>
          <w:iCs/>
        </w:rPr>
      </w:pPr>
      <w:r>
        <w:tab/>
      </w:r>
      <w:r w:rsidR="00247B8C">
        <w:t>O</w:t>
      </w:r>
      <w:r>
        <w:t xml:space="preserve">ur equitable tolling cases have offered little insight on what </w:t>
      </w:r>
      <w:r w:rsidR="00ED7BD1">
        <w:t xml:space="preserve">constitutes </w:t>
      </w:r>
      <w:r>
        <w:t>reasonable and good faith con</w:t>
      </w:r>
      <w:r w:rsidR="00ED7BD1">
        <w:t>duct</w:t>
      </w:r>
      <w:r>
        <w:t>.</w:t>
      </w:r>
      <w:r w:rsidR="007A4E20">
        <w:t xml:space="preserve">  W</w:t>
      </w:r>
      <w:r w:rsidR="009011BF">
        <w:t>ithout discussing</w:t>
      </w:r>
      <w:r w:rsidR="00E660E4">
        <w:t xml:space="preserve"> the third element</w:t>
      </w:r>
      <w:r w:rsidR="00AA609C">
        <w:t xml:space="preserve"> specifically</w:t>
      </w:r>
      <w:r w:rsidR="00E660E4">
        <w:t>, we</w:t>
      </w:r>
      <w:r w:rsidR="007A4E20">
        <w:t xml:space="preserve"> suggested in </w:t>
      </w:r>
      <w:r w:rsidR="007A4E20">
        <w:rPr>
          <w:i/>
          <w:iCs/>
        </w:rPr>
        <w:t>Addison</w:t>
      </w:r>
      <w:r w:rsidR="007A4E20">
        <w:t xml:space="preserve"> that the plaintiffs</w:t>
      </w:r>
      <w:r w:rsidR="00E660E4">
        <w:t>’ actions were reasonable and</w:t>
      </w:r>
      <w:r w:rsidR="00AC10D3">
        <w:t xml:space="preserve"> carried out</w:t>
      </w:r>
      <w:r w:rsidR="00E660E4">
        <w:t xml:space="preserve"> in good faith because </w:t>
      </w:r>
      <w:r w:rsidR="007A4E20">
        <w:t xml:space="preserve">they </w:t>
      </w:r>
      <w:r w:rsidR="007D3ED5">
        <w:t>“promptly asserted [their cause of action] in the proper state court” after the federal court dismissed it for lack of jurisdiction.  (</w:t>
      </w:r>
      <w:r w:rsidR="007D3ED5">
        <w:rPr>
          <w:i/>
        </w:rPr>
        <w:t>Addison</w:t>
      </w:r>
      <w:r w:rsidR="007D3ED5">
        <w:rPr>
          <w:iCs/>
        </w:rPr>
        <w:t xml:space="preserve">, </w:t>
      </w:r>
      <w:r w:rsidR="007D3ED5">
        <w:rPr>
          <w:i/>
        </w:rPr>
        <w:t>supra</w:t>
      </w:r>
      <w:r w:rsidR="007D3ED5">
        <w:rPr>
          <w:iCs/>
        </w:rPr>
        <w:t xml:space="preserve">, 21 Cal.3d at p. 319.)  </w:t>
      </w:r>
      <w:r w:rsidR="00A026A0">
        <w:rPr>
          <w:iCs/>
        </w:rPr>
        <w:t>More recently, we</w:t>
      </w:r>
      <w:r w:rsidR="00986B4B">
        <w:rPr>
          <w:iCs/>
        </w:rPr>
        <w:t xml:space="preserve"> concluded that a party</w:t>
      </w:r>
      <w:r w:rsidR="00C47993">
        <w:rPr>
          <w:iCs/>
        </w:rPr>
        <w:t xml:space="preserve"> </w:t>
      </w:r>
      <w:r w:rsidR="00A410C0">
        <w:rPr>
          <w:iCs/>
        </w:rPr>
        <w:t>didn’t act reasonably</w:t>
      </w:r>
      <w:r w:rsidR="00C47993">
        <w:rPr>
          <w:iCs/>
        </w:rPr>
        <w:t xml:space="preserve">, and thus </w:t>
      </w:r>
      <w:r w:rsidR="00A410C0">
        <w:rPr>
          <w:iCs/>
        </w:rPr>
        <w:t xml:space="preserve">was </w:t>
      </w:r>
      <w:r w:rsidR="00C47993">
        <w:rPr>
          <w:iCs/>
        </w:rPr>
        <w:t xml:space="preserve">not entitled to equitable tolling, when he </w:t>
      </w:r>
      <w:r w:rsidR="001571FE">
        <w:rPr>
          <w:iCs/>
        </w:rPr>
        <w:t xml:space="preserve">“pursue[d] a court action when the claims filing requirements [had] not been satisfied.”  </w:t>
      </w:r>
      <w:r w:rsidR="00FC5226">
        <w:rPr>
          <w:iCs/>
        </w:rPr>
        <w:t>(</w:t>
      </w:r>
      <w:r w:rsidR="00FC5226">
        <w:rPr>
          <w:i/>
        </w:rPr>
        <w:t>J.M.</w:t>
      </w:r>
      <w:r w:rsidR="00040954">
        <w:t xml:space="preserve">, </w:t>
      </w:r>
      <w:r w:rsidR="00040954">
        <w:rPr>
          <w:i/>
          <w:iCs/>
        </w:rPr>
        <w:t>supra</w:t>
      </w:r>
      <w:r w:rsidR="00040954">
        <w:t>,</w:t>
      </w:r>
      <w:r w:rsidR="00FC5226">
        <w:t xml:space="preserve"> 2 Cal.5th </w:t>
      </w:r>
      <w:r w:rsidR="00040954">
        <w:t xml:space="preserve">at p. </w:t>
      </w:r>
      <w:r w:rsidR="00FC5226">
        <w:t>65</w:t>
      </w:r>
      <w:r w:rsidR="0085263A">
        <w:t>7</w:t>
      </w:r>
      <w:r w:rsidR="00FC5226">
        <w:t xml:space="preserve">.)  </w:t>
      </w:r>
      <w:r w:rsidR="00E03C1E">
        <w:rPr>
          <w:iCs/>
        </w:rPr>
        <w:t xml:space="preserve"> </w:t>
      </w:r>
      <w:r w:rsidR="007D3ED5">
        <w:t xml:space="preserve"> </w:t>
      </w:r>
      <w:r>
        <w:t xml:space="preserve"> </w:t>
      </w:r>
    </w:p>
    <w:p w:rsidR="00AE6443" w:rsidP="00F24C60" w14:paraId="6D57481A" w14:textId="418B6228">
      <w:pPr>
        <w:tabs>
          <w:tab w:val="left" w:pos="630"/>
          <w:tab w:val="left" w:pos="720"/>
        </w:tabs>
      </w:pPr>
      <w:r>
        <w:tab/>
        <w:t>As thes</w:t>
      </w:r>
      <w:r w:rsidR="00ED489C">
        <w:t>e examples illustrate, our case</w:t>
      </w:r>
      <w:r>
        <w:t>law has</w:t>
      </w:r>
      <w:r w:rsidR="00460026">
        <w:t xml:space="preserve"> sometimes</w:t>
      </w:r>
      <w:r w:rsidR="00E15B2B">
        <w:t xml:space="preserve"> suggested that “reasonable” and “good faith”</w:t>
      </w:r>
      <w:r w:rsidR="001C6152">
        <w:t xml:space="preserve"> have</w:t>
      </w:r>
      <w:r w:rsidR="00B22D03">
        <w:t xml:space="preserve"> </w:t>
      </w:r>
      <w:r w:rsidR="00436FF9">
        <w:t xml:space="preserve">much </w:t>
      </w:r>
      <w:r w:rsidR="001C6152">
        <w:t xml:space="preserve">the same meaning in the context of equitable tolling, but other times construed the terms as </w:t>
      </w:r>
      <w:r w:rsidR="002F52C8">
        <w:t xml:space="preserve">creating separate and distinct requirements.  We are not the first </w:t>
      </w:r>
      <w:r w:rsidR="00E621AA">
        <w:t xml:space="preserve">to </w:t>
      </w:r>
      <w:r w:rsidR="004155E0">
        <w:t xml:space="preserve">grapple </w:t>
      </w:r>
      <w:r w:rsidR="00AE2B1F">
        <w:t xml:space="preserve">with what each of these </w:t>
      </w:r>
      <w:r w:rsidR="00513F69">
        <w:t xml:space="preserve">terms require.  </w:t>
      </w:r>
      <w:r w:rsidR="004155E0">
        <w:t xml:space="preserve">(See, e.g., </w:t>
      </w:r>
      <w:r w:rsidRPr="004155E0" w:rsidR="004155E0">
        <w:rPr>
          <w:i/>
          <w:iCs/>
        </w:rPr>
        <w:t>Kansas City Power &amp; Light Co. v. Ford Motor Credit Co.</w:t>
      </w:r>
      <w:r w:rsidR="004155E0">
        <w:t xml:space="preserve"> (8th Cir. 1993)</w:t>
      </w:r>
      <w:r w:rsidRPr="004155E0" w:rsidR="004155E0">
        <w:t xml:space="preserve"> 995 F.2d 1422, 1430 </w:t>
      </w:r>
      <w:r w:rsidR="004155E0">
        <w:t>[</w:t>
      </w:r>
      <w:r w:rsidRPr="004155E0" w:rsidR="004155E0">
        <w:t xml:space="preserve">good </w:t>
      </w:r>
      <w:r w:rsidR="00921C4F">
        <w:t>faith is an “amorphous</w:t>
      </w:r>
      <w:r w:rsidR="004155E0">
        <w:t xml:space="preserve"> concept</w:t>
      </w:r>
      <w:r w:rsidR="00921C4F">
        <w:t>, capable of many forms yet requiring none”</w:t>
      </w:r>
      <w:r w:rsidR="004155E0">
        <w:t>]</w:t>
      </w:r>
      <w:r w:rsidR="001965B5">
        <w:t xml:space="preserve">; </w:t>
      </w:r>
      <w:r w:rsidRPr="0001629C" w:rsidR="0001629C">
        <w:t xml:space="preserve">Prosser </w:t>
      </w:r>
      <w:r w:rsidR="000429D1">
        <w:t>&amp;</w:t>
      </w:r>
      <w:r w:rsidRPr="0001629C" w:rsidR="000429D1">
        <w:t xml:space="preserve"> </w:t>
      </w:r>
      <w:r w:rsidRPr="0001629C" w:rsidR="0001629C">
        <w:t>Keeton</w:t>
      </w:r>
      <w:r w:rsidR="005E6AE9">
        <w:t>,</w:t>
      </w:r>
      <w:r w:rsidR="000429D1">
        <w:t xml:space="preserve"> </w:t>
      </w:r>
      <w:r w:rsidRPr="0001629C" w:rsidR="0001629C">
        <w:t xml:space="preserve">Torts </w:t>
      </w:r>
      <w:r w:rsidR="005E6AE9">
        <w:t xml:space="preserve">(5th ed. 1984) </w:t>
      </w:r>
      <w:r w:rsidRPr="0001629C" w:rsidR="0001629C">
        <w:t>§ 3</w:t>
      </w:r>
      <w:r w:rsidR="0001629C">
        <w:t>2</w:t>
      </w:r>
      <w:r w:rsidRPr="0001629C" w:rsidR="0001629C">
        <w:t xml:space="preserve">, </w:t>
      </w:r>
      <w:r w:rsidR="0054102B">
        <w:t xml:space="preserve">p. </w:t>
      </w:r>
      <w:r w:rsidR="0096244E">
        <w:t>175</w:t>
      </w:r>
      <w:r w:rsidRPr="0001629C" w:rsidR="0001629C">
        <w:t xml:space="preserve"> </w:t>
      </w:r>
      <w:r w:rsidR="0096244E">
        <w:t xml:space="preserve">[“The conduct of the reasonable person will vary with the situation with which he is confronted”].)  </w:t>
      </w:r>
      <w:r w:rsidR="00764A7F">
        <w:t>Yet what makes the most sense in light of our precedent</w:t>
      </w:r>
      <w:r w:rsidR="00D85138">
        <w:t>, equitable tolling’s</w:t>
      </w:r>
      <w:r w:rsidR="007050BF">
        <w:t xml:space="preserve"> underlying purpose</w:t>
      </w:r>
      <w:r w:rsidR="003D0307">
        <w:t xml:space="preserve">, and its </w:t>
      </w:r>
      <w:r w:rsidR="00EA5559">
        <w:t xml:space="preserve">narrow </w:t>
      </w:r>
      <w:r w:rsidR="000F4620">
        <w:t>scope in our system</w:t>
      </w:r>
      <w:r w:rsidR="007050BF">
        <w:t>,</w:t>
      </w:r>
      <w:r w:rsidR="00764A7F">
        <w:t xml:space="preserve"> is to construe the third element </w:t>
      </w:r>
      <w:r w:rsidR="00AF2A7E">
        <w:t xml:space="preserve">to encompass </w:t>
      </w:r>
      <w:r w:rsidR="002A1AE8">
        <w:t>two distinct requirements</w:t>
      </w:r>
      <w:r w:rsidR="0050438C">
        <w:t>:</w:t>
      </w:r>
      <w:r>
        <w:t xml:space="preserve"> </w:t>
      </w:r>
      <w:r w:rsidR="00231185">
        <w:t xml:space="preserve"> A </w:t>
      </w:r>
      <w:r>
        <w:t xml:space="preserve">plaintiff’s conduct must be objectively reasonable and subjectively in good faith.  </w:t>
      </w:r>
    </w:p>
    <w:p w:rsidR="00414928" w:rsidP="00CC7BD8" w14:paraId="4875FFB6" w14:textId="77777777">
      <w:pPr>
        <w:tabs>
          <w:tab w:val="left" w:pos="630"/>
          <w:tab w:val="left" w:pos="720"/>
        </w:tabs>
      </w:pPr>
      <w:r>
        <w:tab/>
      </w:r>
      <w:r w:rsidR="00436FF9">
        <w:t xml:space="preserve">When it comes to reasonableness, the </w:t>
      </w:r>
      <w:r w:rsidR="008A5FB7">
        <w:t>“</w:t>
      </w:r>
      <w:r w:rsidR="00436FF9">
        <w:t>ultimate test</w:t>
      </w:r>
      <w:r w:rsidR="008A5FB7">
        <w:t>”</w:t>
      </w:r>
      <w:r w:rsidR="00436FF9">
        <w:t xml:space="preserve"> is </w:t>
      </w:r>
      <w:r w:rsidR="008A5FB7">
        <w:t>“</w:t>
      </w:r>
      <w:r w:rsidR="00436FF9">
        <w:t xml:space="preserve">objective.”  </w:t>
      </w:r>
      <w:r>
        <w:t>(</w:t>
      </w:r>
      <w:r>
        <w:rPr>
          <w:i/>
          <w:iCs/>
        </w:rPr>
        <w:t>People v. Humphrey</w:t>
      </w:r>
      <w:r>
        <w:t xml:space="preserve"> (1996) 13 Cal.4th 1073, 1083.)  </w:t>
      </w:r>
      <w:r w:rsidR="000B34DF">
        <w:t xml:space="preserve">An analysis of reasonableness focuses not on a party’s intentions or </w:t>
      </w:r>
      <w:r w:rsidR="00E650FF">
        <w:t>the motives</w:t>
      </w:r>
      <w:r w:rsidR="000B34DF">
        <w:t xml:space="preserve"> </w:t>
      </w:r>
      <w:r w:rsidR="00E650FF">
        <w:t>behind</w:t>
      </w:r>
      <w:r w:rsidR="000B34DF">
        <w:t xml:space="preserve"> </w:t>
      </w:r>
      <w:r w:rsidR="00451D88">
        <w:t>a</w:t>
      </w:r>
      <w:r w:rsidR="00906F93">
        <w:t xml:space="preserve"> party’s</w:t>
      </w:r>
      <w:r w:rsidR="006B6905">
        <w:t xml:space="preserve"> </w:t>
      </w:r>
      <w:r w:rsidR="000B34DF">
        <w:t>action</w:t>
      </w:r>
      <w:r w:rsidR="00E650FF">
        <w:t>s</w:t>
      </w:r>
      <w:r w:rsidR="000B34DF">
        <w:t xml:space="preserve">, but instead on </w:t>
      </w:r>
      <w:r w:rsidR="00E91456">
        <w:t xml:space="preserve">whether that party’s actions </w:t>
      </w:r>
      <w:r w:rsidR="002649F9">
        <w:t>were</w:t>
      </w:r>
      <w:r w:rsidR="002929D3">
        <w:t xml:space="preserve"> fair, proper, and</w:t>
      </w:r>
      <w:r w:rsidR="002649F9">
        <w:t xml:space="preserve"> sensible </w:t>
      </w:r>
      <w:r w:rsidR="00CA5DA3">
        <w:t>in light of the circumstances.</w:t>
      </w:r>
      <w:r w:rsidR="000F7C00">
        <w:t xml:space="preserve">  We use this objective analysis to </w:t>
      </w:r>
      <w:r w:rsidR="00D66DFD">
        <w:t>assess</w:t>
      </w:r>
      <w:r w:rsidR="000F7C00">
        <w:t xml:space="preserve"> ineffective assistance of counsel claims under the Sixth Amendment (see </w:t>
      </w:r>
      <w:r w:rsidRPr="00346BB0">
        <w:rPr>
          <w:i/>
          <w:iCs/>
        </w:rPr>
        <w:t>People v. Mai</w:t>
      </w:r>
      <w:r w:rsidRPr="00346BB0">
        <w:t xml:space="preserve"> (2013) 57 Cal.4th 986, 1009</w:t>
      </w:r>
      <w:r>
        <w:t xml:space="preserve"> [“defendant must demonstrate . . . </w:t>
      </w:r>
      <w:r w:rsidR="00C11643">
        <w:t>counsel’</w:t>
      </w:r>
      <w:r w:rsidRPr="00C11643" w:rsidR="00C11643">
        <w:t>s performance was deficient, in that it fell below an objective standard of reasonableness under prevailing professional norms</w:t>
      </w:r>
      <w:r w:rsidR="00C11643">
        <w:t>”]</w:t>
      </w:r>
      <w:r w:rsidR="006B6905">
        <w:t>)</w:t>
      </w:r>
      <w:r w:rsidR="00C11643">
        <w:t xml:space="preserve">, for example, and </w:t>
      </w:r>
      <w:r w:rsidR="005E78F2">
        <w:t xml:space="preserve">in the context of insurance law </w:t>
      </w:r>
      <w:r w:rsidR="00D36DFC">
        <w:t xml:space="preserve">to determine </w:t>
      </w:r>
      <w:r w:rsidR="005E78F2">
        <w:t xml:space="preserve">which party must pay </w:t>
      </w:r>
      <w:r w:rsidR="00D36DFC">
        <w:t xml:space="preserve">an insured’s site investigation </w:t>
      </w:r>
      <w:r w:rsidR="00E0299C">
        <w:t>costs</w:t>
      </w:r>
      <w:r w:rsidR="00D36DFC">
        <w:t xml:space="preserve"> (see </w:t>
      </w:r>
      <w:r w:rsidRPr="00531494" w:rsidR="00D36DFC">
        <w:rPr>
          <w:i/>
          <w:iCs/>
        </w:rPr>
        <w:t>Aerojet–General Corp. v. Transport Indemnity Co.</w:t>
      </w:r>
      <w:r w:rsidR="00F37699">
        <w:t xml:space="preserve"> (1997) 17 Cal.4th 38, 62</w:t>
      </w:r>
      <w:r w:rsidR="00D36DFC">
        <w:t xml:space="preserve"> [“</w:t>
      </w:r>
      <w:r w:rsidRPr="00F37699" w:rsidR="00F37699">
        <w:t>Whether the insured</w:t>
      </w:r>
      <w:r w:rsidR="006B6905">
        <w:t>’</w:t>
      </w:r>
      <w:r w:rsidRPr="00F37699" w:rsidR="00F37699">
        <w:t>s site investigation expenses are defense costs that the insurer must incur in fulfilling its duty to defend must be determined objectively</w:t>
      </w:r>
      <w:r w:rsidR="00F37699">
        <w:t xml:space="preserve">”]).  </w:t>
      </w:r>
      <w:r w:rsidR="00E0299C">
        <w:t>A party seeking equitable tolling must satisfy a similar standard:  It must demonstrate that its late filing</w:t>
      </w:r>
      <w:r w:rsidR="00CC7BD8">
        <w:t xml:space="preserve"> was objectively reasonable under the circumstances</w:t>
      </w:r>
      <w:r w:rsidR="00D06E69">
        <w:t xml:space="preserve">. </w:t>
      </w:r>
      <w:r w:rsidR="00076883">
        <w:t xml:space="preserve"> </w:t>
      </w:r>
    </w:p>
    <w:p w:rsidR="00361E70" w:rsidP="00536F4C" w14:paraId="71DFC31A" w14:textId="77777777">
      <w:pPr>
        <w:tabs>
          <w:tab w:val="left" w:pos="630"/>
          <w:tab w:val="left" w:pos="720"/>
        </w:tabs>
      </w:pPr>
      <w:r>
        <w:tab/>
      </w:r>
      <w:r w:rsidR="00536F4C">
        <w:t>Good faith</w:t>
      </w:r>
      <w:r w:rsidR="00931090">
        <w:t xml:space="preserve"> </w:t>
      </w:r>
      <w:r w:rsidR="00436FF9">
        <w:t xml:space="preserve">pivots </w:t>
      </w:r>
      <w:r w:rsidR="00931090">
        <w:t xml:space="preserve">instead </w:t>
      </w:r>
      <w:r w:rsidR="00436FF9">
        <w:t xml:space="preserve">on a party’s intentions.  It is a test </w:t>
      </w:r>
      <w:r>
        <w:t>“</w:t>
      </w:r>
      <w:r w:rsidR="00E959AC">
        <w:t>ordinarily used to describe that state of mind denoting honesty of purpose, freedom from intention to defraud, and, generally speaking, [] being faithful to one’s duty or obligation.”  (</w:t>
      </w:r>
      <w:r w:rsidR="00E959AC">
        <w:rPr>
          <w:i/>
          <w:iCs/>
        </w:rPr>
        <w:t>People v. Nunn</w:t>
      </w:r>
      <w:r w:rsidR="00E959AC">
        <w:t xml:space="preserve"> (1956) 46 Cal.2d 460, 468.)</w:t>
      </w:r>
      <w:r w:rsidR="00BE1020">
        <w:t xml:space="preserve">  </w:t>
      </w:r>
      <w:r w:rsidR="0008077A">
        <w:t>To</w:t>
      </w:r>
      <w:r w:rsidR="00BE1020">
        <w:t xml:space="preserve"> </w:t>
      </w:r>
      <w:r w:rsidR="0008077A">
        <w:t>determine</w:t>
      </w:r>
      <w:r w:rsidR="00BE1020">
        <w:t xml:space="preserve"> whether a defendant is entitled to attorney fees, for example, courts </w:t>
      </w:r>
      <w:r w:rsidR="00533B0E">
        <w:t xml:space="preserve">employ a subjective analysis and ask whether the plaintiff brought an action in good faith.  </w:t>
      </w:r>
      <w:r w:rsidR="001619F3">
        <w:t>(Code Civ. Proc., § </w:t>
      </w:r>
      <w:r w:rsidRPr="003928CB" w:rsidR="003928CB">
        <w:t>1038, subd. (a).)</w:t>
      </w:r>
      <w:r w:rsidR="00884DA3">
        <w:t xml:space="preserve">  The third element of equitable tolling likewise requires courts to </w:t>
      </w:r>
      <w:r w:rsidR="00BC09DA">
        <w:t>determine whether a party’s late filing</w:t>
      </w:r>
      <w:r w:rsidR="005D3F1C">
        <w:t xml:space="preserve"> was</w:t>
      </w:r>
      <w:r>
        <w:t xml:space="preserve"> subjectively in good faith — whether it was </w:t>
      </w:r>
      <w:r w:rsidR="00BE24E5">
        <w:t>the result of an honest mistake or</w:t>
      </w:r>
      <w:r w:rsidR="00AC0AEF">
        <w:t xml:space="preserve"> was</w:t>
      </w:r>
      <w:r w:rsidR="00BE24E5">
        <w:t xml:space="preserve"> </w:t>
      </w:r>
      <w:r w:rsidR="00581A9A">
        <w:t>instead</w:t>
      </w:r>
      <w:r w:rsidR="00D749D6">
        <w:t xml:space="preserve"> motivated by a dishonest purpose</w:t>
      </w:r>
      <w:r w:rsidR="004B115C">
        <w:t xml:space="preserve">. </w:t>
      </w:r>
      <w:r w:rsidR="00D749D6">
        <w:t xml:space="preserve"> </w:t>
      </w:r>
    </w:p>
    <w:p w:rsidR="00BE40ED" w:rsidRPr="00AE7A24" w:rsidP="00883A4F" w14:paraId="304CC26B" w14:textId="77777777">
      <w:pPr>
        <w:tabs>
          <w:tab w:val="left" w:pos="630"/>
          <w:tab w:val="left" w:pos="720"/>
        </w:tabs>
        <w:rPr>
          <w:szCs w:val="26"/>
        </w:rPr>
      </w:pPr>
      <w:r>
        <w:tab/>
        <w:t xml:space="preserve">Construing equitable tolling’s third element to contain an objective and subjective requirement </w:t>
      </w:r>
      <w:r w:rsidR="00931090">
        <w:t xml:space="preserve">fits </w:t>
      </w:r>
      <w:r w:rsidR="00B971E2">
        <w:t>the doctrine’s underlying rationales.</w:t>
      </w:r>
      <w:r w:rsidR="00C21403">
        <w:t xml:space="preserve">  </w:t>
      </w:r>
      <w:r w:rsidR="007572E1">
        <w:t xml:space="preserve">Equitable tolling </w:t>
      </w:r>
      <w:r w:rsidR="00F82C35">
        <w:t>applies only</w:t>
      </w:r>
      <w:r w:rsidR="007572E1">
        <w:t xml:space="preserve"> “in carefully considered situations</w:t>
      </w:r>
      <w:r w:rsidR="00792318">
        <w:t xml:space="preserve"> to prevent the unjust technical forfeiture of causes of action.</w:t>
      </w:r>
      <w:r w:rsidR="007572E1">
        <w:t>”</w:t>
      </w:r>
      <w:r w:rsidR="00792318">
        <w:t xml:space="preserve">  </w:t>
      </w:r>
      <w:r w:rsidR="007572E1">
        <w:rPr>
          <w:iCs/>
        </w:rPr>
        <w:t>(</w:t>
      </w:r>
      <w:r w:rsidRPr="005D426B" w:rsidR="007572E1">
        <w:rPr>
          <w:i/>
        </w:rPr>
        <w:t>Lantzy</w:t>
      </w:r>
      <w:r w:rsidRPr="005D426B" w:rsidR="007572E1">
        <w:t xml:space="preserve">, </w:t>
      </w:r>
      <w:r w:rsidRPr="005D426B" w:rsidR="007572E1">
        <w:rPr>
          <w:i/>
        </w:rPr>
        <w:t>supra</w:t>
      </w:r>
      <w:r w:rsidRPr="005D426B" w:rsidR="007572E1">
        <w:t xml:space="preserve">, </w:t>
      </w:r>
      <w:r w:rsidR="00792318">
        <w:t xml:space="preserve">31 Cal.4th at p. 370.)  It does not, </w:t>
      </w:r>
      <w:r w:rsidR="004D7A3D">
        <w:t xml:space="preserve">as </w:t>
      </w:r>
      <w:r w:rsidR="00C90404">
        <w:t>courts have</w:t>
      </w:r>
      <w:r w:rsidR="004D7A3D">
        <w:t xml:space="preserve"> explained</w:t>
      </w:r>
      <w:r w:rsidR="00792318">
        <w:t>, “extend to . . . garden variety claim[s] of excusable neglect.”</w:t>
      </w:r>
      <w:r w:rsidR="002550BB">
        <w:t xml:space="preserve">  (</w:t>
      </w:r>
      <w:r w:rsidRPr="00B36E1A" w:rsidR="002550BB">
        <w:rPr>
          <w:i/>
          <w:szCs w:val="26"/>
        </w:rPr>
        <w:t>Irwin</w:t>
      </w:r>
      <w:r w:rsidRPr="00B36E1A" w:rsidR="002550BB">
        <w:rPr>
          <w:szCs w:val="26"/>
        </w:rPr>
        <w:t xml:space="preserve">, </w:t>
      </w:r>
      <w:r w:rsidRPr="00B36E1A" w:rsidR="002550BB">
        <w:rPr>
          <w:i/>
          <w:szCs w:val="26"/>
        </w:rPr>
        <w:t>supra</w:t>
      </w:r>
      <w:r w:rsidRPr="00B36E1A" w:rsidR="002550BB">
        <w:rPr>
          <w:szCs w:val="26"/>
        </w:rPr>
        <w:t>, 498 U.S. at p. 96</w:t>
      </w:r>
      <w:r w:rsidR="002550BB">
        <w:rPr>
          <w:szCs w:val="26"/>
        </w:rPr>
        <w:t>.)</w:t>
      </w:r>
      <w:r w:rsidR="00C06AA0">
        <w:rPr>
          <w:szCs w:val="26"/>
        </w:rPr>
        <w:t xml:space="preserve">  Yet if we were to apply equitable tolling </w:t>
      </w:r>
      <w:r w:rsidR="00855F6D">
        <w:rPr>
          <w:szCs w:val="26"/>
        </w:rPr>
        <w:t xml:space="preserve">to situations when a party demonstrates only reasonable </w:t>
      </w:r>
      <w:r w:rsidR="0003482B">
        <w:rPr>
          <w:szCs w:val="26"/>
        </w:rPr>
        <w:t xml:space="preserve">conduct or good faith </w:t>
      </w:r>
      <w:r w:rsidR="00436FF9">
        <w:rPr>
          <w:szCs w:val="26"/>
        </w:rPr>
        <w:t xml:space="preserve">–– </w:t>
      </w:r>
      <w:r w:rsidR="0003482B">
        <w:rPr>
          <w:szCs w:val="26"/>
        </w:rPr>
        <w:t>but not both</w:t>
      </w:r>
      <w:r w:rsidR="00436FF9">
        <w:rPr>
          <w:szCs w:val="26"/>
        </w:rPr>
        <w:t xml:space="preserve"> –– </w:t>
      </w:r>
      <w:r w:rsidR="00773779">
        <w:rPr>
          <w:szCs w:val="26"/>
        </w:rPr>
        <w:t xml:space="preserve">we would risk </w:t>
      </w:r>
      <w:r w:rsidR="00671A11">
        <w:rPr>
          <w:szCs w:val="26"/>
        </w:rPr>
        <w:t xml:space="preserve">shaping the doctrine </w:t>
      </w:r>
      <w:r w:rsidR="000D4541">
        <w:rPr>
          <w:szCs w:val="26"/>
        </w:rPr>
        <w:t xml:space="preserve">into </w:t>
      </w:r>
      <w:r w:rsidR="00B216AC">
        <w:rPr>
          <w:szCs w:val="26"/>
        </w:rPr>
        <w:t xml:space="preserve">one that </w:t>
      </w:r>
      <w:r w:rsidR="00AE7A24">
        <w:rPr>
          <w:szCs w:val="26"/>
        </w:rPr>
        <w:t>becomes a</w:t>
      </w:r>
      <w:r w:rsidR="000D4541">
        <w:rPr>
          <w:szCs w:val="26"/>
        </w:rPr>
        <w:t xml:space="preserve"> norm instead of </w:t>
      </w:r>
      <w:r w:rsidR="00AE7A24">
        <w:rPr>
          <w:szCs w:val="26"/>
        </w:rPr>
        <w:t xml:space="preserve">an exception.  </w:t>
      </w:r>
      <w:r w:rsidR="006B6DBB">
        <w:rPr>
          <w:szCs w:val="26"/>
        </w:rPr>
        <w:t xml:space="preserve">Limiting the doctrine’s applicability to only those cases in which a party demonstrates objective reasonableness and subjective good faith </w:t>
      </w:r>
      <w:r w:rsidR="00AC4842">
        <w:rPr>
          <w:szCs w:val="26"/>
        </w:rPr>
        <w:t>precludes</w:t>
      </w:r>
      <w:r w:rsidR="00396F0C">
        <w:rPr>
          <w:szCs w:val="26"/>
        </w:rPr>
        <w:t xml:space="preserve"> the doctrine from being </w:t>
      </w:r>
      <w:r w:rsidR="00396F0C">
        <w:t xml:space="preserve">“a cure-all </w:t>
      </w:r>
      <w:r w:rsidRPr="006C3247" w:rsidR="00396F0C">
        <w:t>for an en</w:t>
      </w:r>
      <w:r w:rsidR="00B204E8">
        <w:t xml:space="preserve">tirely common state of affairs,” </w:t>
      </w:r>
      <w:r w:rsidRPr="006C3247" w:rsidR="00396F0C">
        <w:t xml:space="preserve">while </w:t>
      </w:r>
      <w:r w:rsidRPr="006C3247" w:rsidR="00270BA4">
        <w:t>ensuring that</w:t>
      </w:r>
      <w:r w:rsidRPr="006C3247">
        <w:t xml:space="preserve"> it provides a narrow form of relief </w:t>
      </w:r>
      <w:r w:rsidRPr="006C3247" w:rsidR="00643B23">
        <w:t xml:space="preserve">in </w:t>
      </w:r>
      <w:r w:rsidR="00B204E8">
        <w:t xml:space="preserve">“unusual </w:t>
      </w:r>
      <w:r w:rsidRPr="006C3247" w:rsidR="00643B23">
        <w:t>circumstances</w:t>
      </w:r>
      <w:r w:rsidR="00B204E8">
        <w:t>”</w:t>
      </w:r>
      <w:r w:rsidRPr="006C3247" w:rsidR="00643B23">
        <w:t xml:space="preserve"> when justice so requires.</w:t>
      </w:r>
      <w:r w:rsidR="00B204E8">
        <w:t xml:space="preserve">  </w:t>
      </w:r>
      <w:r w:rsidRPr="006C3247" w:rsidR="00B204E8">
        <w:t>(</w:t>
      </w:r>
      <w:r w:rsidRPr="006C3247" w:rsidR="00B204E8">
        <w:rPr>
          <w:i/>
          <w:iCs/>
        </w:rPr>
        <w:t>Wallace</w:t>
      </w:r>
      <w:r w:rsidRPr="006C3247" w:rsidR="00B204E8">
        <w:t xml:space="preserve">, </w:t>
      </w:r>
      <w:r w:rsidRPr="00B204E8" w:rsidR="00B204E8">
        <w:rPr>
          <w:i/>
          <w:iCs/>
        </w:rPr>
        <w:t>supra</w:t>
      </w:r>
      <w:r w:rsidR="00B204E8">
        <w:t xml:space="preserve">, </w:t>
      </w:r>
      <w:r w:rsidRPr="00B204E8" w:rsidR="00B204E8">
        <w:t>549</w:t>
      </w:r>
      <w:r w:rsidRPr="006C3247" w:rsidR="00B204E8">
        <w:t xml:space="preserve"> U.S. at p. 396</w:t>
      </w:r>
      <w:r w:rsidR="00B204E8">
        <w:t>.</w:t>
      </w:r>
      <w:r w:rsidRPr="006C3247" w:rsidR="00B204E8">
        <w:t>)</w:t>
      </w:r>
      <w:r w:rsidRPr="006C3247" w:rsidR="00643B23">
        <w:t xml:space="preserve"> </w:t>
      </w:r>
    </w:p>
    <w:p w:rsidR="00020F97" w:rsidP="00495BFD" w14:paraId="0BCB5406" w14:textId="52464DA0">
      <w:pPr>
        <w:tabs>
          <w:tab w:val="left" w:pos="630"/>
          <w:tab w:val="left" w:pos="720"/>
        </w:tabs>
        <w:rPr>
          <w:szCs w:val="26"/>
        </w:rPr>
      </w:pPr>
      <w:r w:rsidRPr="006C3247">
        <w:rPr>
          <w:szCs w:val="26"/>
        </w:rPr>
        <w:tab/>
      </w:r>
      <w:r w:rsidRPr="006C3247" w:rsidR="00CC7BD8">
        <w:rPr>
          <w:szCs w:val="26"/>
        </w:rPr>
        <w:t xml:space="preserve">The Court of Appeal </w:t>
      </w:r>
      <w:r w:rsidR="00FA67DF">
        <w:rPr>
          <w:szCs w:val="26"/>
        </w:rPr>
        <w:t>didn’t</w:t>
      </w:r>
      <w:r w:rsidRPr="006C3247" w:rsidR="00CC7BD8">
        <w:rPr>
          <w:szCs w:val="26"/>
        </w:rPr>
        <w:t xml:space="preserve"> address whether Saint Francis’s actions were reasonable and in good faith.  At oral</w:t>
      </w:r>
      <w:r w:rsidR="00CC7BD8">
        <w:rPr>
          <w:szCs w:val="26"/>
        </w:rPr>
        <w:t xml:space="preserve"> argument, the parties </w:t>
      </w:r>
      <w:r w:rsidR="00931090">
        <w:rPr>
          <w:szCs w:val="26"/>
        </w:rPr>
        <w:t xml:space="preserve">argued for </w:t>
      </w:r>
      <w:r w:rsidR="00CC7BD8">
        <w:rPr>
          <w:szCs w:val="26"/>
        </w:rPr>
        <w:t>the first time that</w:t>
      </w:r>
      <w:r w:rsidR="00931090">
        <w:rPr>
          <w:szCs w:val="26"/>
        </w:rPr>
        <w:t xml:space="preserve"> certain facts</w:t>
      </w:r>
      <w:r w:rsidR="00CC7BD8">
        <w:rPr>
          <w:szCs w:val="26"/>
        </w:rPr>
        <w:t xml:space="preserve"> bore on the question of whether Saint Francis satisfies the third element.</w:t>
      </w:r>
      <w:r w:rsidR="0016606A">
        <w:rPr>
          <w:szCs w:val="26"/>
        </w:rPr>
        <w:t xml:space="preserve">  </w:t>
      </w:r>
      <w:r w:rsidR="00FB2A85">
        <w:rPr>
          <w:szCs w:val="26"/>
        </w:rPr>
        <w:t xml:space="preserve">But </w:t>
      </w:r>
      <w:r w:rsidR="00931090">
        <w:rPr>
          <w:szCs w:val="26"/>
        </w:rPr>
        <w:t>the</w:t>
      </w:r>
      <w:r w:rsidR="0016606A">
        <w:rPr>
          <w:szCs w:val="26"/>
        </w:rPr>
        <w:t xml:space="preserve"> record </w:t>
      </w:r>
      <w:r w:rsidR="00931090">
        <w:rPr>
          <w:szCs w:val="26"/>
        </w:rPr>
        <w:t>before</w:t>
      </w:r>
      <w:r w:rsidR="0016606A">
        <w:rPr>
          <w:szCs w:val="26"/>
        </w:rPr>
        <w:t xml:space="preserve"> </w:t>
      </w:r>
      <w:r w:rsidR="00931090">
        <w:rPr>
          <w:szCs w:val="26"/>
        </w:rPr>
        <w:t xml:space="preserve">us leaves some opacity about whether </w:t>
      </w:r>
      <w:r w:rsidR="00FB2A85">
        <w:rPr>
          <w:szCs w:val="26"/>
        </w:rPr>
        <w:t xml:space="preserve">Saint Francis’s conduct was reasonable and in good faith.  </w:t>
      </w:r>
      <w:r w:rsidR="00CC7BD8">
        <w:rPr>
          <w:szCs w:val="26"/>
        </w:rPr>
        <w:t>As we’ve often done in such situations,</w:t>
      </w:r>
      <w:r w:rsidR="00192854">
        <w:rPr>
          <w:szCs w:val="26"/>
        </w:rPr>
        <w:t xml:space="preserve"> </w:t>
      </w:r>
      <w:r w:rsidR="00CC7BD8">
        <w:rPr>
          <w:szCs w:val="26"/>
        </w:rPr>
        <w:t>we remand the case for the Court of Appeal to determine whether Saint Francis satisfies the third element, and thus is entitled to equitable tolling.</w:t>
      </w:r>
      <w:r w:rsidR="00261E40">
        <w:rPr>
          <w:szCs w:val="26"/>
        </w:rPr>
        <w:t xml:space="preserve">  (</w:t>
      </w:r>
      <w:r w:rsidR="00203794">
        <w:rPr>
          <w:szCs w:val="26"/>
        </w:rPr>
        <w:t xml:space="preserve">See </w:t>
      </w:r>
      <w:r w:rsidRPr="001F7536" w:rsidR="00261E40">
        <w:rPr>
          <w:i/>
          <w:iCs/>
          <w:szCs w:val="26"/>
        </w:rPr>
        <w:t>Montrose Chemical Corp</w:t>
      </w:r>
      <w:r w:rsidR="006707DA">
        <w:rPr>
          <w:i/>
          <w:iCs/>
          <w:szCs w:val="26"/>
        </w:rPr>
        <w:t>.</w:t>
      </w:r>
      <w:r w:rsidRPr="001F7536" w:rsidR="00261E40">
        <w:rPr>
          <w:i/>
          <w:iCs/>
          <w:szCs w:val="26"/>
        </w:rPr>
        <w:t xml:space="preserve"> </w:t>
      </w:r>
      <w:r w:rsidR="006707DA">
        <w:rPr>
          <w:i/>
          <w:iCs/>
          <w:szCs w:val="26"/>
        </w:rPr>
        <w:t xml:space="preserve">of California </w:t>
      </w:r>
      <w:r w:rsidRPr="001F7536" w:rsidR="00261E40">
        <w:rPr>
          <w:i/>
          <w:iCs/>
          <w:szCs w:val="26"/>
        </w:rPr>
        <w:t xml:space="preserve">v. Superior Court </w:t>
      </w:r>
      <w:r w:rsidR="00261E40">
        <w:rPr>
          <w:szCs w:val="26"/>
        </w:rPr>
        <w:t>(2020)</w:t>
      </w:r>
      <w:r w:rsidR="00A956B0">
        <w:rPr>
          <w:szCs w:val="26"/>
        </w:rPr>
        <w:t xml:space="preserve"> 9 Cal.</w:t>
      </w:r>
      <w:r w:rsidR="007F292F">
        <w:rPr>
          <w:szCs w:val="26"/>
        </w:rPr>
        <w:t>5th 215</w:t>
      </w:r>
      <w:r w:rsidR="00F93452">
        <w:rPr>
          <w:szCs w:val="26"/>
        </w:rPr>
        <w:t>, 238</w:t>
      </w:r>
      <w:r w:rsidR="00375A47">
        <w:rPr>
          <w:szCs w:val="26"/>
        </w:rPr>
        <w:t xml:space="preserve">; </w:t>
      </w:r>
      <w:r w:rsidRPr="00365AD0" w:rsidR="00365AD0">
        <w:rPr>
          <w:i/>
          <w:iCs/>
          <w:szCs w:val="26"/>
        </w:rPr>
        <w:t>San Diegans for Open Government v. Public Facilities Financing Authority of City of San Diego</w:t>
      </w:r>
      <w:r w:rsidRPr="00940FCF" w:rsidR="00365AD0">
        <w:rPr>
          <w:szCs w:val="26"/>
        </w:rPr>
        <w:t xml:space="preserve"> (2019) 8 Cal.5th 733, 746</w:t>
      </w:r>
      <w:r w:rsidRPr="001E53C0" w:rsidR="001E53C0">
        <w:rPr>
          <w:szCs w:val="26"/>
        </w:rPr>
        <w:t>–</w:t>
      </w:r>
      <w:r w:rsidRPr="00940FCF" w:rsidR="00365AD0">
        <w:rPr>
          <w:szCs w:val="26"/>
        </w:rPr>
        <w:t>747 [</w:t>
      </w:r>
      <w:r w:rsidR="00F73AC1">
        <w:rPr>
          <w:szCs w:val="26"/>
        </w:rPr>
        <w:t>contentions</w:t>
      </w:r>
      <w:r w:rsidRPr="00940FCF" w:rsidR="00365AD0">
        <w:rPr>
          <w:szCs w:val="26"/>
        </w:rPr>
        <w:t xml:space="preserve"> raised for the first time at oral argument "should be answered first by the Court of Appeal"]</w:t>
      </w:r>
      <w:r w:rsidRPr="00940FCF" w:rsidR="00D768BF">
        <w:rPr>
          <w:szCs w:val="26"/>
        </w:rPr>
        <w:t xml:space="preserve">.)  </w:t>
      </w:r>
    </w:p>
    <w:p w:rsidR="00F321F0" w:rsidRPr="005D426B" w:rsidP="00B733E3" w14:paraId="126312CB" w14:textId="77777777">
      <w:pPr>
        <w:keepNext/>
        <w:tabs>
          <w:tab w:val="left" w:pos="1440"/>
        </w:tabs>
        <w:jc w:val="center"/>
        <w:outlineLvl w:val="0"/>
      </w:pPr>
      <w:r>
        <w:rPr>
          <w:b/>
        </w:rPr>
        <w:t>IV</w:t>
      </w:r>
      <w:r w:rsidRPr="005D426B">
        <w:rPr>
          <w:b/>
        </w:rPr>
        <w:t>.</w:t>
      </w:r>
    </w:p>
    <w:p w:rsidR="00E13D6C" w:rsidP="000D19BB" w14:paraId="7DD4BA74" w14:textId="3890275A">
      <w:pPr>
        <w:keepNext/>
        <w:tabs>
          <w:tab w:val="left" w:pos="1440"/>
        </w:tabs>
        <w:ind w:firstLine="720"/>
      </w:pPr>
      <w:r>
        <w:t xml:space="preserve">Statutes of limitations serve important purposes:  </w:t>
      </w:r>
      <w:r w:rsidRPr="005D426B" w:rsidR="004D353C">
        <w:t>They motivate</w:t>
      </w:r>
      <w:r w:rsidRPr="005D426B" w:rsidR="00025230">
        <w:t xml:space="preserve"> plaintiffs to </w:t>
      </w:r>
      <w:r w:rsidRPr="005D426B" w:rsidR="00DB6166">
        <w:t xml:space="preserve">act </w:t>
      </w:r>
      <w:r w:rsidRPr="005D426B" w:rsidR="00025230">
        <w:t xml:space="preserve">diligently and </w:t>
      </w:r>
      <w:r w:rsidRPr="005D426B" w:rsidR="00092D30">
        <w:t>protect</w:t>
      </w:r>
      <w:r w:rsidRPr="005D426B" w:rsidR="00025230">
        <w:t xml:space="preserve"> defendants from having to defend against stale claims.</w:t>
      </w:r>
      <w:r w:rsidRPr="005D426B" w:rsidR="00270882">
        <w:t xml:space="preserve">  But </w:t>
      </w:r>
      <w:r w:rsidRPr="005D426B" w:rsidR="00C50670">
        <w:t xml:space="preserve">equitable tolling </w:t>
      </w:r>
      <w:r w:rsidRPr="005D426B" w:rsidR="009A3674">
        <w:t>play</w:t>
      </w:r>
      <w:r w:rsidR="00B701B0">
        <w:t>s</w:t>
      </w:r>
      <w:r w:rsidRPr="005D426B" w:rsidR="009A3674">
        <w:t xml:space="preserve"> a vital role in our judicial system</w:t>
      </w:r>
      <w:r w:rsidR="00B701B0">
        <w:t>, too</w:t>
      </w:r>
      <w:r w:rsidRPr="005D426B" w:rsidR="00893B31">
        <w:t xml:space="preserve">: </w:t>
      </w:r>
      <w:r w:rsidR="0015311A">
        <w:t xml:space="preserve"> </w:t>
      </w:r>
      <w:r w:rsidRPr="005D426B" w:rsidR="00C50670">
        <w:t xml:space="preserve">It allows courts to exercise their inherent </w:t>
      </w:r>
      <w:r w:rsidRPr="005D426B" w:rsidR="007E5C59">
        <w:t xml:space="preserve">equitable powers </w:t>
      </w:r>
      <w:r w:rsidRPr="005D426B" w:rsidR="00BF210E">
        <w:t>to excuse parties’ failure to comply with technical deadlines when justice so requires.</w:t>
      </w:r>
      <w:r w:rsidRPr="005D426B" w:rsidR="0046475E">
        <w:t xml:space="preserve">  To </w:t>
      </w:r>
      <w:r w:rsidRPr="005D426B" w:rsidR="004B2E53">
        <w:t xml:space="preserve">appropriately </w:t>
      </w:r>
      <w:r w:rsidRPr="005D426B" w:rsidR="0046475E">
        <w:t xml:space="preserve">balance these two competing ends, </w:t>
      </w:r>
      <w:r w:rsidRPr="005D426B" w:rsidR="00AA7AEA">
        <w:t>we</w:t>
      </w:r>
      <w:r w:rsidRPr="005D426B" w:rsidR="004B2E53">
        <w:t xml:space="preserve"> recognize the Legislature’s ability to forbid equitable tolling in certain statutes</w:t>
      </w:r>
      <w:r w:rsidRPr="005D426B" w:rsidR="00A10A94">
        <w:t>,</w:t>
      </w:r>
      <w:r w:rsidR="006969A5">
        <w:t xml:space="preserve"> </w:t>
      </w:r>
      <w:r w:rsidRPr="005D426B" w:rsidR="004B2E53">
        <w:t xml:space="preserve">and </w:t>
      </w:r>
      <w:r w:rsidRPr="005D426B" w:rsidR="00EF3AC4">
        <w:t xml:space="preserve">we </w:t>
      </w:r>
      <w:r w:rsidRPr="005D426B" w:rsidR="004B2E53">
        <w:t>require plaintiffs to establish timely notice, lack of prejudice to the defendant, and reasonable and good faith conduct by the plaintiff</w:t>
      </w:r>
      <w:r w:rsidR="001E5AED">
        <w:t>s</w:t>
      </w:r>
      <w:r w:rsidRPr="005D426B" w:rsidR="004B2E53">
        <w:t xml:space="preserve"> </w:t>
      </w:r>
      <w:r w:rsidR="00CF7E2E">
        <w:t>before they are entitled</w:t>
      </w:r>
      <w:r w:rsidRPr="005D426B" w:rsidR="00E0690D">
        <w:t xml:space="preserve"> equitable tolling</w:t>
      </w:r>
      <w:r w:rsidRPr="005D426B" w:rsidR="009F1D75">
        <w:t>.  F</w:t>
      </w:r>
      <w:r w:rsidRPr="005D426B" w:rsidR="00351333">
        <w:t>or the doctrine to fulfill its purpose,</w:t>
      </w:r>
      <w:r w:rsidRPr="005D426B" w:rsidR="00EF17C5">
        <w:t xml:space="preserve"> however,</w:t>
      </w:r>
      <w:r w:rsidRPr="005D426B" w:rsidR="00351333">
        <w:t xml:space="preserve"> we continue to</w:t>
      </w:r>
      <w:r w:rsidRPr="005D426B">
        <w:t xml:space="preserve"> presume that tolling is available </w:t>
      </w:r>
      <w:r w:rsidR="000D19BB">
        <w:t>in the absence of</w:t>
      </w:r>
      <w:r w:rsidRPr="005D426B">
        <w:t xml:space="preserve"> evidence to the contrary</w:t>
      </w:r>
      <w:r w:rsidR="006969A5">
        <w:t xml:space="preserve">, and allow courts to determine on a case-by-case basis whether tolling is warranted under the facts presented, with careful consideration </w:t>
      </w:r>
      <w:r w:rsidR="0031555D">
        <w:t>of</w:t>
      </w:r>
      <w:r w:rsidR="006969A5">
        <w:t xml:space="preserve"> the </w:t>
      </w:r>
      <w:r w:rsidR="004477A5">
        <w:t xml:space="preserve">policies underlying the doctrine.  (See generally </w:t>
      </w:r>
      <w:r w:rsidR="004477A5">
        <w:rPr>
          <w:i/>
          <w:iCs/>
        </w:rPr>
        <w:t>Elkins</w:t>
      </w:r>
      <w:r w:rsidR="004477A5">
        <w:t xml:space="preserve">, </w:t>
      </w:r>
      <w:r w:rsidR="004477A5">
        <w:rPr>
          <w:i/>
          <w:iCs/>
        </w:rPr>
        <w:t>supra</w:t>
      </w:r>
      <w:r w:rsidR="008F7162">
        <w:t>, 12 Cal.3d at pp. 417</w:t>
      </w:r>
      <w:r w:rsidRPr="008F7162" w:rsidR="008F7162">
        <w:t>–</w:t>
      </w:r>
      <w:r w:rsidR="004477A5">
        <w:t xml:space="preserve">420.)  </w:t>
      </w:r>
      <w:r w:rsidR="00117E0A">
        <w:t xml:space="preserve"> </w:t>
      </w:r>
    </w:p>
    <w:p w:rsidR="00B00F0F" w:rsidRPr="005D426B" w:rsidP="00F02953" w14:paraId="6501E3A2" w14:textId="54833969">
      <w:pPr>
        <w:keepNext/>
        <w:tabs>
          <w:tab w:val="left" w:pos="1440"/>
        </w:tabs>
        <w:ind w:firstLine="720"/>
      </w:pPr>
      <w:r>
        <w:t xml:space="preserve">As to whether </w:t>
      </w:r>
      <w:r w:rsidR="006F0D6E">
        <w:t xml:space="preserve">equitable tolling may apply when agency </w:t>
      </w:r>
      <w:r w:rsidRPr="006F0D6E" w:rsidR="006F0D6E">
        <w:t xml:space="preserve">adjudicatory decisions are at issue, the text and context of section 11523 persuade us: </w:t>
      </w:r>
      <w:r w:rsidR="00B0483B">
        <w:t xml:space="preserve"> </w:t>
      </w:r>
      <w:r w:rsidR="00231185">
        <w:t xml:space="preserve"> </w:t>
      </w:r>
      <w:r w:rsidR="00B0483B">
        <w:t>T</w:t>
      </w:r>
      <w:r w:rsidR="0058580B">
        <w:t xml:space="preserve">he </w:t>
      </w:r>
      <w:r w:rsidRPr="006F0D6E" w:rsidR="006F0D6E">
        <w:t>Legislature did not prohibit the statute’s 30-day limitations period from being tolled.</w:t>
      </w:r>
      <w:r w:rsidR="0058580B">
        <w:t xml:space="preserve">  </w:t>
      </w:r>
      <w:r w:rsidRPr="005D426B" w:rsidR="00E13D6C">
        <w:t xml:space="preserve">And the facts of this case demonstrate that Saint Francis satisfied the doctrine’s </w:t>
      </w:r>
      <w:r w:rsidR="00290D22">
        <w:t>first and second</w:t>
      </w:r>
      <w:r w:rsidRPr="005D426B" w:rsidR="00E13D6C">
        <w:t xml:space="preserve"> elements.  </w:t>
      </w:r>
      <w:r w:rsidR="000C6754">
        <w:t>A</w:t>
      </w:r>
      <w:r w:rsidRPr="005D426B" w:rsidR="008372B3">
        <w:t xml:space="preserve">lthough the hospital’s belated filing </w:t>
      </w:r>
      <w:r w:rsidR="00536F4C">
        <w:t xml:space="preserve">arose from </w:t>
      </w:r>
      <w:r w:rsidR="003F602A">
        <w:t xml:space="preserve">a mistake about the filing </w:t>
      </w:r>
      <w:r w:rsidRPr="005D426B" w:rsidR="00B308A5">
        <w:t>deadline under section 11523</w:t>
      </w:r>
      <w:r w:rsidRPr="005D426B" w:rsidR="008372B3">
        <w:t xml:space="preserve"> — a mistake that appears to have been </w:t>
      </w:r>
      <w:r w:rsidRPr="005D426B" w:rsidR="00B308A5">
        <w:t>shared by the Department</w:t>
      </w:r>
      <w:r w:rsidRPr="005D426B" w:rsidR="008372B3">
        <w:t xml:space="preserve"> — it provided timely notice to the Department of its intent to file a petition for a writ of administrative mandate.  And </w:t>
      </w:r>
      <w:r w:rsidR="00C666D1">
        <w:t>nothing in the record demonstrates</w:t>
      </w:r>
      <w:r w:rsidRPr="005D426B" w:rsidR="008372B3">
        <w:t xml:space="preserve"> that the Department was prejudiced by Saint Francis’s late filing</w:t>
      </w:r>
      <w:r w:rsidR="000C6754">
        <w:t>.</w:t>
      </w:r>
      <w:r w:rsidR="00EC2C1C">
        <w:t xml:space="preserve">  Because the </w:t>
      </w:r>
      <w:r w:rsidR="00C666D1">
        <w:t xml:space="preserve">Court of Appeal didn’t address </w:t>
      </w:r>
      <w:r w:rsidR="00DF65AF">
        <w:t xml:space="preserve">equitable tolling’s third element, we </w:t>
      </w:r>
      <w:r w:rsidR="0031680A">
        <w:t>vacate</w:t>
      </w:r>
      <w:r w:rsidR="00DF65AF">
        <w:t xml:space="preserve"> the judgment and remand the case to </w:t>
      </w:r>
      <w:r w:rsidR="00FE128A">
        <w:t xml:space="preserve">the Court of Appeal </w:t>
      </w:r>
      <w:r w:rsidRPr="00FE128A" w:rsidR="00FE128A">
        <w:t>for further proceedings consistent with this opinion</w:t>
      </w:r>
      <w:r w:rsidR="00FE128A">
        <w:t xml:space="preserve">. </w:t>
      </w:r>
      <w:r w:rsidR="00C40281">
        <w:t xml:space="preserve">  </w:t>
      </w:r>
    </w:p>
    <w:p w:rsidR="00A80FD3" w:rsidRPr="005D426B" w:rsidP="005D426B" w14:paraId="1486A27C" w14:textId="77777777">
      <w:pPr>
        <w:tabs>
          <w:tab w:val="left" w:pos="1440"/>
        </w:tabs>
        <w:ind w:firstLine="720"/>
      </w:pPr>
    </w:p>
    <w:p w:rsidR="005D426B" w:rsidRPr="008705F4" w:rsidP="008705F4" w14:paraId="0C14205A" w14:textId="77777777">
      <w:pPr>
        <w:tabs>
          <w:tab w:val="left" w:pos="1440"/>
        </w:tabs>
      </w:pPr>
      <w:r w:rsidRPr="005D426B">
        <w:rPr>
          <w:b/>
          <w:smallCaps/>
          <w:szCs w:val="26"/>
        </w:rPr>
        <w:tab/>
      </w:r>
      <w:r w:rsidRPr="005D426B">
        <w:rPr>
          <w:b/>
          <w:smallCaps/>
          <w:szCs w:val="26"/>
        </w:rPr>
        <w:tab/>
      </w:r>
      <w:r w:rsidRPr="005D426B">
        <w:rPr>
          <w:b/>
          <w:smallCaps/>
          <w:szCs w:val="26"/>
        </w:rPr>
        <w:tab/>
      </w:r>
      <w:r w:rsidRPr="005D426B">
        <w:rPr>
          <w:b/>
          <w:smallCaps/>
          <w:szCs w:val="26"/>
        </w:rPr>
        <w:tab/>
      </w:r>
      <w:r w:rsidRPr="005D426B">
        <w:rPr>
          <w:b/>
          <w:smallCaps/>
          <w:szCs w:val="26"/>
        </w:rPr>
        <w:tab/>
      </w:r>
      <w:r w:rsidRPr="005D426B">
        <w:rPr>
          <w:b/>
          <w:smallCaps/>
          <w:szCs w:val="26"/>
        </w:rPr>
        <w:tab/>
      </w:r>
      <w:r w:rsidRPr="005D426B">
        <w:rPr>
          <w:b/>
          <w:smallCaps/>
          <w:szCs w:val="26"/>
        </w:rPr>
        <w:tab/>
      </w:r>
      <w:r w:rsidRPr="005D426B" w:rsidR="00044BE9">
        <w:rPr>
          <w:b/>
          <w:caps/>
        </w:rPr>
        <w:t>Cuéllar, J.</w:t>
      </w:r>
    </w:p>
    <w:p w:rsidR="00697438" w:rsidP="00D600EF" w14:paraId="68E77334" w14:textId="77777777">
      <w:pPr>
        <w:tabs>
          <w:tab w:val="left" w:pos="1440"/>
        </w:tabs>
        <w:rPr>
          <w:b/>
        </w:rPr>
      </w:pPr>
    </w:p>
    <w:p w:rsidR="00D1179B" w:rsidP="00B733E3" w14:paraId="7B29E419" w14:textId="7064DFB7">
      <w:pPr>
        <w:tabs>
          <w:tab w:val="left" w:pos="1440"/>
        </w:tabs>
        <w:outlineLvl w:val="0"/>
        <w:rPr>
          <w:b/>
        </w:rPr>
      </w:pPr>
      <w:r>
        <w:rPr>
          <w:b/>
        </w:rPr>
        <w:t>We Concur:</w:t>
      </w:r>
      <w:bookmarkEnd w:id="1"/>
    </w:p>
    <w:p w:rsidR="00697438" w:rsidP="00B733E3" w14:paraId="5282488F" w14:textId="07405153">
      <w:pPr>
        <w:spacing w:after="0" w:line="240" w:lineRule="auto"/>
        <w:outlineLvl w:val="0"/>
        <w:rPr>
          <w:b/>
          <w:szCs w:val="26"/>
        </w:rPr>
      </w:pPr>
      <w:r>
        <w:rPr>
          <w:b/>
          <w:szCs w:val="26"/>
        </w:rPr>
        <w:t>CANTIL-SAKAUYE, C.</w:t>
      </w:r>
      <w:r w:rsidR="00D32FD0">
        <w:rPr>
          <w:b/>
          <w:szCs w:val="26"/>
        </w:rPr>
        <w:t xml:space="preserve"> </w:t>
      </w:r>
      <w:r>
        <w:rPr>
          <w:b/>
          <w:szCs w:val="26"/>
        </w:rPr>
        <w:t>J.</w:t>
      </w:r>
    </w:p>
    <w:p w:rsidR="00697438" w:rsidP="00B733E3" w14:paraId="6B267ACD" w14:textId="0E7C871B">
      <w:pPr>
        <w:spacing w:after="0" w:line="240" w:lineRule="auto"/>
        <w:outlineLvl w:val="0"/>
        <w:rPr>
          <w:b/>
          <w:szCs w:val="26"/>
        </w:rPr>
      </w:pPr>
      <w:r>
        <w:rPr>
          <w:b/>
          <w:szCs w:val="26"/>
        </w:rPr>
        <w:t>CHIN, J.</w:t>
      </w:r>
    </w:p>
    <w:p w:rsidR="00697438" w:rsidP="00B733E3" w14:paraId="5A57C87C" w14:textId="56255202">
      <w:pPr>
        <w:spacing w:after="0" w:line="240" w:lineRule="auto"/>
        <w:outlineLvl w:val="0"/>
        <w:rPr>
          <w:b/>
          <w:szCs w:val="26"/>
        </w:rPr>
      </w:pPr>
      <w:r>
        <w:rPr>
          <w:b/>
          <w:szCs w:val="26"/>
        </w:rPr>
        <w:t>CORRIGAN, J.</w:t>
      </w:r>
    </w:p>
    <w:p w:rsidR="00697438" w:rsidP="00B733E3" w14:paraId="3E41F70B" w14:textId="77777777">
      <w:pPr>
        <w:spacing w:after="0" w:line="240" w:lineRule="auto"/>
        <w:outlineLvl w:val="0"/>
        <w:rPr>
          <w:b/>
          <w:szCs w:val="26"/>
        </w:rPr>
      </w:pPr>
      <w:r>
        <w:rPr>
          <w:b/>
          <w:szCs w:val="26"/>
        </w:rPr>
        <w:t>LIU, J.</w:t>
      </w:r>
    </w:p>
    <w:p w:rsidR="00697438" w:rsidP="00B733E3" w14:paraId="75962838" w14:textId="77777777">
      <w:pPr>
        <w:spacing w:after="0" w:line="240" w:lineRule="auto"/>
        <w:outlineLvl w:val="0"/>
        <w:rPr>
          <w:b/>
        </w:rPr>
      </w:pPr>
      <w:r>
        <w:rPr>
          <w:b/>
        </w:rPr>
        <w:t>KRUGER, J.</w:t>
      </w:r>
    </w:p>
    <w:p w:rsidR="00697438" w:rsidRPr="000D54AF" w:rsidP="00B733E3" w14:paraId="1C91EDBF" w14:textId="77777777">
      <w:pPr>
        <w:spacing w:after="0" w:line="240" w:lineRule="auto"/>
        <w:outlineLvl w:val="0"/>
        <w:rPr>
          <w:b/>
        </w:rPr>
      </w:pPr>
      <w:r>
        <w:rPr>
          <w:b/>
        </w:rPr>
        <w:t>GROBAN, J.</w:t>
      </w:r>
    </w:p>
    <w:p w:rsidR="00ED31D7" w:rsidP="00583AB9" w14:paraId="1F6963FF" w14:textId="77777777">
      <w:pPr>
        <w:tabs>
          <w:tab w:val="left" w:pos="1440"/>
        </w:tabs>
        <w:sectPr w:rsidSect="007D31A3">
          <w:footerReference w:type="default" r:id="rId41"/>
          <w:pgSz w:w="12240" w:h="15840"/>
          <w:pgMar w:top="1800" w:right="2160" w:bottom="1584" w:left="2160" w:header="720" w:footer="720" w:gutter="0"/>
          <w:pgNumType w:start="1"/>
          <w:cols w:space="720"/>
          <w:titlePg/>
          <w:docGrid w:linePitch="367"/>
        </w:sectPr>
      </w:pPr>
    </w:p>
    <w:p w:rsidR="00ED789C" w:rsidRPr="00ED789C" w:rsidP="00ED789C" w14:paraId="0F67F6CA" w14:textId="77777777">
      <w:pPr>
        <w:spacing w:after="0" w:line="240" w:lineRule="auto"/>
        <w:jc w:val="left"/>
        <w:rPr>
          <w:rFonts w:ascii="Times New Roman" w:hAnsi="Times New Roman"/>
          <w:i/>
          <w:sz w:val="20"/>
        </w:rPr>
      </w:pPr>
      <w:r w:rsidRPr="00ED789C">
        <w:rPr>
          <w:rFonts w:ascii="Times New Roman" w:hAnsi="Times New Roman"/>
          <w:i/>
          <w:sz w:val="20"/>
        </w:rPr>
        <w:t>See next page for addresses and telephone numbers for counsel who argued in Supreme Court.</w:t>
      </w:r>
    </w:p>
    <w:p w:rsidR="00ED789C" w:rsidRPr="00ED789C" w:rsidP="00ED789C" w14:paraId="22734ED8" w14:textId="77777777">
      <w:pPr>
        <w:spacing w:after="0" w:line="240" w:lineRule="auto"/>
        <w:jc w:val="left"/>
        <w:rPr>
          <w:rFonts w:ascii="Times New Roman" w:hAnsi="Times New Roman"/>
          <w:i/>
          <w:sz w:val="20"/>
        </w:rPr>
      </w:pPr>
    </w:p>
    <w:p w:rsidR="00ED789C" w:rsidRPr="00ED789C" w:rsidP="00ED789C" w14:paraId="3CA4756F" w14:textId="77777777">
      <w:pPr>
        <w:spacing w:after="0" w:line="240" w:lineRule="auto"/>
        <w:jc w:val="left"/>
        <w:rPr>
          <w:rFonts w:ascii="Times New Roman" w:hAnsi="Times New Roman"/>
          <w:b/>
          <w:sz w:val="20"/>
        </w:rPr>
      </w:pPr>
      <w:r w:rsidRPr="00ED789C">
        <w:rPr>
          <w:rFonts w:ascii="Times New Roman" w:hAnsi="Times New Roman"/>
          <w:b/>
          <w:sz w:val="20"/>
        </w:rPr>
        <w:t xml:space="preserve">Name of Opinion </w:t>
      </w:r>
      <w:r w:rsidRPr="00ED789C">
        <w:rPr>
          <w:rFonts w:ascii="Times New Roman" w:hAnsi="Times New Roman"/>
          <w:bCs/>
          <w:sz w:val="20"/>
        </w:rPr>
        <w:t>Saint Francis Memorial Hospital v. State Department of Public Health</w:t>
      </w:r>
      <w:r w:rsidRPr="00ED789C">
        <w:rPr>
          <w:rFonts w:ascii="Times New Roman" w:hAnsi="Times New Roman"/>
          <w:sz w:val="20"/>
        </w:rPr>
        <w:t xml:space="preserve"> </w:t>
      </w:r>
      <w:r w:rsidRPr="00ED789C">
        <w:rPr>
          <w:rFonts w:ascii="Times New Roman" w:hAnsi="Times New Roman"/>
          <w:b/>
          <w:sz w:val="20"/>
        </w:rPr>
        <w:t>__________________________________________________________________________________</w:t>
      </w:r>
    </w:p>
    <w:p w:rsidR="00ED789C" w:rsidRPr="00ED789C" w:rsidP="00ED789C" w14:paraId="0C39E950" w14:textId="77777777">
      <w:pPr>
        <w:spacing w:after="0" w:line="240" w:lineRule="auto"/>
        <w:jc w:val="left"/>
        <w:rPr>
          <w:rFonts w:ascii="Times New Roman" w:hAnsi="Times New Roman"/>
          <w:b/>
          <w:sz w:val="20"/>
        </w:rPr>
      </w:pPr>
    </w:p>
    <w:p w:rsidR="00ED789C" w:rsidRPr="00ED789C" w:rsidP="00ED789C" w14:paraId="24B84834" w14:textId="77777777">
      <w:pPr>
        <w:spacing w:after="0" w:line="240" w:lineRule="auto"/>
        <w:jc w:val="left"/>
        <w:rPr>
          <w:rFonts w:ascii="Times New Roman" w:hAnsi="Times New Roman"/>
          <w:bCs/>
          <w:sz w:val="20"/>
        </w:rPr>
      </w:pPr>
      <w:r w:rsidRPr="00ED789C">
        <w:rPr>
          <w:rFonts w:ascii="Times New Roman" w:hAnsi="Times New Roman"/>
          <w:b/>
          <w:sz w:val="20"/>
        </w:rPr>
        <w:t>Unpublished Opinion</w:t>
      </w:r>
    </w:p>
    <w:p w:rsidR="00ED789C" w:rsidRPr="00ED789C" w:rsidP="00ED789C" w14:paraId="4CB6B7D3" w14:textId="77777777">
      <w:pPr>
        <w:spacing w:after="0" w:line="240" w:lineRule="auto"/>
        <w:jc w:val="left"/>
        <w:rPr>
          <w:rFonts w:ascii="Times New Roman" w:hAnsi="Times New Roman"/>
          <w:sz w:val="20"/>
        </w:rPr>
      </w:pPr>
      <w:r w:rsidRPr="00ED789C">
        <w:rPr>
          <w:rFonts w:ascii="Times New Roman" w:hAnsi="Times New Roman"/>
          <w:b/>
          <w:sz w:val="20"/>
        </w:rPr>
        <w:t>Original Appeal</w:t>
      </w:r>
    </w:p>
    <w:p w:rsidR="00ED789C" w:rsidRPr="00ED789C" w:rsidP="00ED789C" w14:paraId="18B6F7B1" w14:textId="77777777">
      <w:pPr>
        <w:spacing w:after="0" w:line="240" w:lineRule="auto"/>
        <w:jc w:val="left"/>
        <w:rPr>
          <w:rFonts w:ascii="Times New Roman" w:hAnsi="Times New Roman"/>
          <w:b/>
          <w:sz w:val="20"/>
        </w:rPr>
      </w:pPr>
      <w:r w:rsidRPr="00ED789C">
        <w:rPr>
          <w:rFonts w:ascii="Times New Roman" w:hAnsi="Times New Roman"/>
          <w:b/>
          <w:sz w:val="20"/>
        </w:rPr>
        <w:t xml:space="preserve">Original Proceeding </w:t>
      </w:r>
    </w:p>
    <w:p w:rsidR="00ED789C" w:rsidRPr="00ED789C" w:rsidP="00ED789C" w14:paraId="3E48F334" w14:textId="77777777">
      <w:pPr>
        <w:spacing w:after="0" w:line="240" w:lineRule="auto"/>
        <w:jc w:val="left"/>
        <w:rPr>
          <w:rFonts w:ascii="Times New Roman" w:hAnsi="Times New Roman"/>
          <w:bCs/>
          <w:sz w:val="20"/>
        </w:rPr>
      </w:pPr>
      <w:r w:rsidRPr="00ED789C">
        <w:rPr>
          <w:rFonts w:ascii="Times New Roman" w:hAnsi="Times New Roman"/>
          <w:b/>
          <w:sz w:val="20"/>
        </w:rPr>
        <w:t xml:space="preserve">Review Granted </w:t>
      </w:r>
      <w:r w:rsidRPr="00ED789C">
        <w:rPr>
          <w:rFonts w:ascii="Times New Roman" w:hAnsi="Times New Roman"/>
          <w:bCs/>
          <w:sz w:val="20"/>
        </w:rPr>
        <w:t>XX 24 Cal.App.5th 617</w:t>
      </w:r>
    </w:p>
    <w:p w:rsidR="00ED789C" w:rsidRPr="00ED789C" w:rsidP="00ED789C" w14:paraId="0FA6EAAF" w14:textId="77777777">
      <w:pPr>
        <w:spacing w:after="0" w:line="240" w:lineRule="auto"/>
        <w:jc w:val="left"/>
        <w:rPr>
          <w:rFonts w:ascii="Times New Roman" w:hAnsi="Times New Roman"/>
          <w:b/>
          <w:sz w:val="20"/>
        </w:rPr>
      </w:pPr>
      <w:r w:rsidRPr="00ED789C">
        <w:rPr>
          <w:rFonts w:ascii="Times New Roman" w:hAnsi="Times New Roman"/>
          <w:b/>
          <w:sz w:val="20"/>
        </w:rPr>
        <w:t>Rehearing Granted</w:t>
      </w:r>
    </w:p>
    <w:p w:rsidR="00ED789C" w:rsidRPr="00ED789C" w:rsidP="00ED789C" w14:paraId="1185F86B" w14:textId="77777777">
      <w:pPr>
        <w:spacing w:after="0" w:line="240" w:lineRule="auto"/>
        <w:jc w:val="left"/>
        <w:rPr>
          <w:rFonts w:ascii="Times New Roman" w:hAnsi="Times New Roman"/>
          <w:b/>
          <w:sz w:val="20"/>
        </w:rPr>
      </w:pPr>
    </w:p>
    <w:p w:rsidR="00ED789C" w:rsidRPr="00ED789C" w:rsidP="00ED789C" w14:paraId="5B97E73A" w14:textId="77777777">
      <w:pPr>
        <w:spacing w:after="0" w:line="240" w:lineRule="auto"/>
        <w:jc w:val="left"/>
        <w:rPr>
          <w:rFonts w:ascii="Times New Roman" w:hAnsi="Times New Roman"/>
          <w:b/>
          <w:sz w:val="20"/>
        </w:rPr>
      </w:pPr>
      <w:r w:rsidRPr="00ED789C">
        <w:rPr>
          <w:rFonts w:ascii="Times New Roman" w:hAnsi="Times New Roman"/>
          <w:b/>
          <w:sz w:val="20"/>
        </w:rPr>
        <w:t>__________________________________________________________________________________</w:t>
      </w:r>
    </w:p>
    <w:p w:rsidR="00ED789C" w:rsidRPr="00ED789C" w:rsidP="00ED789C" w14:paraId="6D8E8B69" w14:textId="77777777">
      <w:pPr>
        <w:spacing w:after="0" w:line="240" w:lineRule="auto"/>
        <w:jc w:val="left"/>
        <w:rPr>
          <w:rFonts w:ascii="Times New Roman" w:hAnsi="Times New Roman"/>
          <w:b/>
          <w:sz w:val="20"/>
        </w:rPr>
      </w:pPr>
    </w:p>
    <w:p w:rsidR="00ED789C" w:rsidRPr="00ED789C" w:rsidP="00ED789C" w14:paraId="10873834" w14:textId="77777777">
      <w:pPr>
        <w:spacing w:after="0" w:line="240" w:lineRule="auto"/>
        <w:jc w:val="left"/>
        <w:rPr>
          <w:rFonts w:ascii="Times New Roman" w:hAnsi="Times New Roman"/>
          <w:bCs/>
          <w:sz w:val="20"/>
        </w:rPr>
      </w:pPr>
      <w:r w:rsidRPr="00ED789C">
        <w:rPr>
          <w:rFonts w:ascii="Times New Roman" w:hAnsi="Times New Roman"/>
          <w:b/>
          <w:sz w:val="20"/>
        </w:rPr>
        <w:t>Opinion No.</w:t>
      </w:r>
      <w:r w:rsidRPr="00ED789C">
        <w:rPr>
          <w:rFonts w:ascii="Times New Roman" w:hAnsi="Times New Roman"/>
          <w:sz w:val="20"/>
        </w:rPr>
        <w:t xml:space="preserve"> S249132</w:t>
      </w:r>
    </w:p>
    <w:p w:rsidR="00ED789C" w:rsidRPr="00ED789C" w:rsidP="00ED789C" w14:paraId="2E83DC83" w14:textId="77777777">
      <w:pPr>
        <w:spacing w:after="0" w:line="240" w:lineRule="auto"/>
        <w:jc w:val="left"/>
        <w:rPr>
          <w:rFonts w:ascii="Times New Roman" w:hAnsi="Times New Roman"/>
          <w:bCs/>
          <w:sz w:val="20"/>
        </w:rPr>
      </w:pPr>
      <w:r w:rsidRPr="00ED789C">
        <w:rPr>
          <w:rFonts w:ascii="Times New Roman" w:hAnsi="Times New Roman"/>
          <w:b/>
          <w:sz w:val="20"/>
        </w:rPr>
        <w:t>Date Filed:</w:t>
      </w:r>
      <w:r w:rsidRPr="00ED789C">
        <w:rPr>
          <w:rFonts w:ascii="Times New Roman" w:hAnsi="Times New Roman"/>
          <w:sz w:val="20"/>
        </w:rPr>
        <w:t xml:space="preserve">  June 29, 2020</w:t>
      </w:r>
    </w:p>
    <w:p w:rsidR="00ED789C" w:rsidRPr="00ED789C" w:rsidP="00ED789C" w14:paraId="13AF5B38" w14:textId="77777777">
      <w:pPr>
        <w:spacing w:after="0" w:line="240" w:lineRule="auto"/>
        <w:jc w:val="left"/>
        <w:rPr>
          <w:rFonts w:ascii="Times New Roman" w:hAnsi="Times New Roman"/>
          <w:b/>
          <w:sz w:val="20"/>
        </w:rPr>
      </w:pPr>
      <w:r w:rsidRPr="00ED789C">
        <w:rPr>
          <w:rFonts w:ascii="Times New Roman" w:hAnsi="Times New Roman"/>
          <w:b/>
          <w:sz w:val="20"/>
        </w:rPr>
        <w:t>__________________________________________________________________________________</w:t>
      </w:r>
    </w:p>
    <w:p w:rsidR="00ED789C" w:rsidRPr="00ED789C" w:rsidP="00ED789C" w14:paraId="494B2DB6" w14:textId="77777777">
      <w:pPr>
        <w:spacing w:after="0" w:line="240" w:lineRule="auto"/>
        <w:jc w:val="left"/>
        <w:rPr>
          <w:rFonts w:ascii="Times New Roman" w:hAnsi="Times New Roman"/>
          <w:b/>
          <w:sz w:val="20"/>
        </w:rPr>
      </w:pPr>
    </w:p>
    <w:p w:rsidR="00ED789C" w:rsidRPr="00ED789C" w:rsidP="00ED789C" w14:paraId="64258C10" w14:textId="77777777">
      <w:pPr>
        <w:spacing w:after="0" w:line="240" w:lineRule="auto"/>
        <w:jc w:val="left"/>
        <w:rPr>
          <w:rFonts w:ascii="Times New Roman" w:hAnsi="Times New Roman"/>
          <w:bCs/>
          <w:sz w:val="20"/>
        </w:rPr>
      </w:pPr>
      <w:r w:rsidRPr="00ED789C">
        <w:rPr>
          <w:rFonts w:ascii="Times New Roman" w:hAnsi="Times New Roman"/>
          <w:b/>
          <w:sz w:val="20"/>
        </w:rPr>
        <w:t xml:space="preserve">Court:  </w:t>
      </w:r>
      <w:r w:rsidRPr="00ED789C">
        <w:rPr>
          <w:rFonts w:ascii="Times New Roman" w:hAnsi="Times New Roman"/>
          <w:bCs/>
          <w:sz w:val="20"/>
        </w:rPr>
        <w:t>Superior</w:t>
      </w:r>
    </w:p>
    <w:p w:rsidR="00ED789C" w:rsidRPr="00ED789C" w:rsidP="00ED789C" w14:paraId="0F7B1FB3" w14:textId="77777777">
      <w:pPr>
        <w:spacing w:after="0" w:line="240" w:lineRule="auto"/>
        <w:jc w:val="left"/>
        <w:rPr>
          <w:rFonts w:ascii="Times New Roman" w:hAnsi="Times New Roman"/>
          <w:bCs/>
          <w:sz w:val="20"/>
        </w:rPr>
      </w:pPr>
      <w:r w:rsidRPr="00ED789C">
        <w:rPr>
          <w:rFonts w:ascii="Times New Roman" w:hAnsi="Times New Roman"/>
          <w:b/>
          <w:sz w:val="20"/>
        </w:rPr>
        <w:t xml:space="preserve">County:  </w:t>
      </w:r>
      <w:r w:rsidRPr="00ED789C">
        <w:rPr>
          <w:rFonts w:ascii="Times New Roman" w:hAnsi="Times New Roman"/>
          <w:bCs/>
          <w:sz w:val="20"/>
        </w:rPr>
        <w:t>San Mateo</w:t>
      </w:r>
    </w:p>
    <w:p w:rsidR="00ED789C" w:rsidRPr="00ED789C" w:rsidP="00ED789C" w14:paraId="017BE05C" w14:textId="77777777">
      <w:pPr>
        <w:spacing w:after="0" w:line="240" w:lineRule="auto"/>
        <w:ind w:left="720" w:hanging="720"/>
        <w:jc w:val="left"/>
        <w:rPr>
          <w:rFonts w:ascii="Times New Roman" w:hAnsi="Times New Roman"/>
          <w:bCs/>
          <w:sz w:val="20"/>
        </w:rPr>
      </w:pPr>
      <w:r w:rsidRPr="00ED789C">
        <w:rPr>
          <w:rFonts w:ascii="Times New Roman" w:hAnsi="Times New Roman"/>
          <w:b/>
          <w:sz w:val="20"/>
        </w:rPr>
        <w:t xml:space="preserve">Judge:  </w:t>
      </w:r>
      <w:r w:rsidRPr="00ED789C">
        <w:rPr>
          <w:rFonts w:ascii="Times New Roman" w:hAnsi="Times New Roman"/>
          <w:bCs/>
          <w:sz w:val="20"/>
        </w:rPr>
        <w:t>George A. Miram</w:t>
      </w:r>
    </w:p>
    <w:p w:rsidR="00ED789C" w:rsidRPr="00ED789C" w:rsidP="00ED789C" w14:paraId="085AE418" w14:textId="77777777">
      <w:pPr>
        <w:spacing w:after="0" w:line="240" w:lineRule="auto"/>
        <w:jc w:val="left"/>
        <w:rPr>
          <w:rFonts w:ascii="Times New Roman" w:hAnsi="Times New Roman"/>
          <w:b/>
          <w:sz w:val="20"/>
        </w:rPr>
      </w:pPr>
    </w:p>
    <w:p w:rsidR="00ED789C" w:rsidRPr="00ED789C" w:rsidP="00ED789C" w14:paraId="21ED28D1" w14:textId="77777777">
      <w:pPr>
        <w:spacing w:after="0" w:line="240" w:lineRule="auto"/>
        <w:jc w:val="left"/>
        <w:rPr>
          <w:rFonts w:ascii="Times New Roman" w:hAnsi="Times New Roman"/>
          <w:b/>
          <w:sz w:val="20"/>
        </w:rPr>
      </w:pPr>
      <w:r w:rsidRPr="00ED789C">
        <w:rPr>
          <w:rFonts w:ascii="Times New Roman" w:hAnsi="Times New Roman"/>
          <w:b/>
          <w:sz w:val="20"/>
        </w:rPr>
        <w:t>__________________________________________________________________________________</w:t>
      </w:r>
    </w:p>
    <w:p w:rsidR="00ED789C" w:rsidRPr="00ED789C" w:rsidP="00ED789C" w14:paraId="22438C78" w14:textId="77777777">
      <w:pPr>
        <w:spacing w:after="0" w:line="240" w:lineRule="auto"/>
        <w:jc w:val="left"/>
        <w:rPr>
          <w:rFonts w:ascii="Times New Roman" w:hAnsi="Times New Roman"/>
          <w:b/>
          <w:sz w:val="20"/>
        </w:rPr>
      </w:pPr>
    </w:p>
    <w:p w:rsidR="00ED789C" w:rsidRPr="00ED789C" w:rsidP="00ED789C" w14:paraId="14708BB6" w14:textId="77777777">
      <w:pPr>
        <w:spacing w:after="0" w:line="240" w:lineRule="auto"/>
        <w:jc w:val="left"/>
        <w:rPr>
          <w:rFonts w:ascii="Times New Roman" w:hAnsi="Times New Roman"/>
          <w:b/>
          <w:sz w:val="20"/>
        </w:rPr>
      </w:pPr>
      <w:r w:rsidRPr="00ED789C">
        <w:rPr>
          <w:rFonts w:ascii="Times New Roman" w:hAnsi="Times New Roman"/>
          <w:b/>
          <w:sz w:val="20"/>
        </w:rPr>
        <w:t>Counsel:</w:t>
      </w:r>
    </w:p>
    <w:p w:rsidR="00ED789C" w:rsidRPr="00ED789C" w:rsidP="00ED789C" w14:paraId="3CAC721D" w14:textId="77777777">
      <w:pPr>
        <w:spacing w:after="0" w:line="240" w:lineRule="auto"/>
        <w:jc w:val="left"/>
        <w:rPr>
          <w:rFonts w:ascii="Times New Roman" w:hAnsi="Times New Roman"/>
          <w:b/>
          <w:sz w:val="20"/>
        </w:rPr>
      </w:pPr>
    </w:p>
    <w:p w:rsidR="00ED789C" w:rsidRPr="00ED789C" w:rsidP="00ED789C" w14:paraId="3EA28C14" w14:textId="77777777">
      <w:pPr>
        <w:spacing w:after="0" w:line="240" w:lineRule="auto"/>
        <w:jc w:val="left"/>
        <w:rPr>
          <w:rFonts w:ascii="Arial" w:hAnsi="Arial" w:cs="Arial"/>
          <w:color w:val="373739"/>
          <w:sz w:val="24"/>
          <w:szCs w:val="24"/>
          <w:shd w:val="clear" w:color="auto" w:fill="FFFFFF"/>
        </w:rPr>
      </w:pPr>
      <w:r w:rsidRPr="00ED789C">
        <w:rPr>
          <w:rFonts w:ascii="Times New Roman" w:hAnsi="Times New Roman"/>
          <w:sz w:val="20"/>
          <w:bdr w:val="none" w:sz="0" w:space="0" w:color="auto" w:frame="1"/>
        </w:rPr>
        <w:t>Sheuerman, Martini, Tabari, Zenere &amp; Garvin</w:t>
      </w:r>
      <w:r w:rsidRPr="00ED789C">
        <w:rPr>
          <w:rFonts w:ascii="Times New Roman" w:hAnsi="Times New Roman"/>
          <w:color w:val="373739"/>
          <w:sz w:val="20"/>
          <w:shd w:val="clear" w:color="auto" w:fill="FFFFFF"/>
        </w:rPr>
        <w:t xml:space="preserve"> and </w:t>
      </w:r>
      <w:r w:rsidRPr="00ED789C">
        <w:rPr>
          <w:rFonts w:ascii="Times New Roman" w:hAnsi="Times New Roman"/>
          <w:sz w:val="20"/>
          <w:bdr w:val="none" w:sz="0" w:space="0" w:color="auto" w:frame="1"/>
        </w:rPr>
        <w:t>Cyrus A. Tabari</w:t>
      </w:r>
      <w:r w:rsidRPr="00ED789C">
        <w:rPr>
          <w:rFonts w:ascii="Times New Roman" w:hAnsi="Times New Roman"/>
          <w:color w:val="373739"/>
          <w:sz w:val="20"/>
          <w:shd w:val="clear" w:color="auto" w:fill="FFFFFF"/>
        </w:rPr>
        <w:t xml:space="preserve"> for Plaintiff and Appellant.</w:t>
      </w:r>
      <w:r w:rsidRPr="00ED789C">
        <w:rPr>
          <w:rFonts w:ascii="Times New Roman" w:hAnsi="Times New Roman"/>
          <w:color w:val="373739"/>
          <w:sz w:val="20"/>
        </w:rPr>
        <w:br/>
      </w:r>
      <w:r w:rsidRPr="00ED789C">
        <w:rPr>
          <w:rFonts w:ascii="Times New Roman" w:hAnsi="Times New Roman"/>
          <w:color w:val="373739"/>
          <w:sz w:val="20"/>
        </w:rPr>
        <w:br/>
      </w:r>
      <w:r w:rsidRPr="00ED789C">
        <w:rPr>
          <w:rFonts w:ascii="Times New Roman" w:hAnsi="Times New Roman"/>
          <w:sz w:val="20"/>
          <w:bdr w:val="none" w:sz="0" w:space="0" w:color="auto" w:frame="1"/>
        </w:rPr>
        <w:t>Xavier Becerra</w:t>
      </w:r>
      <w:r w:rsidRPr="00ED789C">
        <w:rPr>
          <w:rFonts w:ascii="Times New Roman" w:hAnsi="Times New Roman"/>
          <w:sz w:val="20"/>
          <w:shd w:val="clear" w:color="auto" w:fill="FFFFFF"/>
        </w:rPr>
        <w:t xml:space="preserve">, Attorney General, Edward C. DuMont, State Solicitor General, Janill L. Richards, Principal Deputy State Solicitor General, Gonzalo C. Martinez, Deputy State Solicitor General, Julie Weng-Gutierrez, Assistant Attorney General, Samuel T. Harbourt, </w:t>
      </w:r>
      <w:r w:rsidRPr="00ED789C">
        <w:rPr>
          <w:rFonts w:ascii="Times New Roman" w:hAnsi="Times New Roman"/>
          <w:sz w:val="20"/>
          <w:bdr w:val="none" w:sz="0" w:space="0" w:color="auto" w:frame="1"/>
        </w:rPr>
        <w:t>Susan M. Carson</w:t>
      </w:r>
      <w:r w:rsidRPr="00ED789C">
        <w:rPr>
          <w:rFonts w:ascii="Times New Roman" w:hAnsi="Times New Roman"/>
          <w:sz w:val="20"/>
          <w:shd w:val="clear" w:color="auto" w:fill="FFFFFF"/>
        </w:rPr>
        <w:t xml:space="preserve">, Gregory D. Brown and </w:t>
      </w:r>
      <w:r w:rsidRPr="00ED789C">
        <w:rPr>
          <w:rFonts w:ascii="Times New Roman" w:hAnsi="Times New Roman"/>
          <w:sz w:val="20"/>
          <w:bdr w:val="none" w:sz="0" w:space="0" w:color="auto" w:frame="1"/>
        </w:rPr>
        <w:t>Nimrod P. Elias</w:t>
      </w:r>
      <w:r w:rsidRPr="00ED789C">
        <w:rPr>
          <w:rFonts w:ascii="Times New Roman" w:hAnsi="Times New Roman"/>
          <w:sz w:val="20"/>
          <w:shd w:val="clear" w:color="auto" w:fill="FFFFFF"/>
        </w:rPr>
        <w:t>, Deputy Attorneys General, for Defendant and Respondent.</w:t>
      </w:r>
    </w:p>
    <w:p w:rsidR="00ED789C" w:rsidRPr="00ED789C" w:rsidP="00ED789C" w14:paraId="7CE4ACA2" w14:textId="77777777">
      <w:pPr>
        <w:spacing w:after="0" w:line="240" w:lineRule="auto"/>
        <w:jc w:val="left"/>
        <w:rPr>
          <w:rFonts w:ascii="Times New Roman" w:hAnsi="Times New Roman"/>
          <w:sz w:val="20"/>
        </w:rPr>
      </w:pPr>
    </w:p>
    <w:p w:rsidR="00ED789C" w:rsidRPr="00ED789C" w:rsidP="00ED789C" w14:paraId="6BBFCD18" w14:textId="77777777">
      <w:pPr>
        <w:spacing w:after="0" w:line="240" w:lineRule="auto"/>
        <w:jc w:val="left"/>
        <w:rPr>
          <w:rFonts w:ascii="Times New Roman" w:hAnsi="Times New Roman"/>
          <w:sz w:val="20"/>
        </w:rPr>
      </w:pPr>
    </w:p>
    <w:p w:rsidR="00ED789C" w:rsidRPr="00ED789C" w:rsidP="00ED789C" w14:paraId="382BF081" w14:textId="77777777">
      <w:pPr>
        <w:spacing w:after="0" w:line="240" w:lineRule="auto"/>
        <w:jc w:val="left"/>
        <w:rPr>
          <w:rFonts w:ascii="Times New Roman" w:hAnsi="Times New Roman"/>
          <w:b/>
          <w:sz w:val="20"/>
        </w:rPr>
      </w:pPr>
    </w:p>
    <w:p w:rsidR="00ED789C" w:rsidRPr="00ED789C" w:rsidP="00ED789C" w14:paraId="08B6562A" w14:textId="77777777">
      <w:pPr>
        <w:spacing w:after="0" w:line="240" w:lineRule="auto"/>
        <w:jc w:val="left"/>
        <w:rPr>
          <w:rFonts w:ascii="Times New Roman" w:hAnsi="Times New Roman"/>
          <w:b/>
          <w:sz w:val="20"/>
        </w:rPr>
      </w:pPr>
    </w:p>
    <w:p w:rsidR="00ED789C" w:rsidRPr="00ED789C" w:rsidP="00ED789C" w14:paraId="56143FCE" w14:textId="77777777">
      <w:pPr>
        <w:spacing w:after="0" w:line="240" w:lineRule="auto"/>
        <w:jc w:val="left"/>
        <w:rPr>
          <w:rFonts w:ascii="Times New Roman" w:hAnsi="Times New Roman"/>
          <w:b/>
          <w:sz w:val="20"/>
        </w:rPr>
      </w:pPr>
    </w:p>
    <w:p w:rsidR="00ED789C" w:rsidRPr="00ED789C" w:rsidP="00ED789C" w14:paraId="61E0A4AA" w14:textId="77777777">
      <w:pPr>
        <w:spacing w:after="0" w:line="240" w:lineRule="auto"/>
        <w:jc w:val="left"/>
        <w:rPr>
          <w:rFonts w:ascii="Times New Roman" w:hAnsi="Times New Roman"/>
          <w:b/>
          <w:sz w:val="20"/>
        </w:rPr>
      </w:pPr>
      <w:r w:rsidRPr="00ED789C">
        <w:rPr>
          <w:rFonts w:ascii="Times New Roman" w:hAnsi="Times New Roman"/>
          <w:b/>
          <w:sz w:val="20"/>
        </w:rPr>
        <w:br w:type="page"/>
      </w:r>
    </w:p>
    <w:p w:rsidR="00ED789C" w:rsidRPr="00ED789C" w:rsidP="00ED789C" w14:paraId="0219FE01" w14:textId="77777777">
      <w:pPr>
        <w:spacing w:after="0" w:line="240" w:lineRule="auto"/>
        <w:jc w:val="left"/>
        <w:rPr>
          <w:rFonts w:ascii="Times New Roman" w:hAnsi="Times New Roman"/>
          <w:b/>
          <w:sz w:val="20"/>
        </w:rPr>
      </w:pPr>
    </w:p>
    <w:p w:rsidR="00ED789C" w:rsidRPr="00ED789C" w:rsidP="00ED789C" w14:paraId="3A322396" w14:textId="77777777">
      <w:pPr>
        <w:spacing w:after="0" w:line="240" w:lineRule="auto"/>
        <w:jc w:val="left"/>
        <w:rPr>
          <w:rFonts w:ascii="Times New Roman" w:hAnsi="Times New Roman"/>
          <w:b/>
          <w:sz w:val="20"/>
        </w:rPr>
      </w:pPr>
    </w:p>
    <w:p w:rsidR="00ED789C" w:rsidRPr="00ED789C" w:rsidP="00ED789C" w14:paraId="308C0651" w14:textId="77777777">
      <w:pPr>
        <w:spacing w:after="0" w:line="240" w:lineRule="auto"/>
        <w:jc w:val="left"/>
        <w:rPr>
          <w:rFonts w:ascii="Times New Roman" w:hAnsi="Times New Roman"/>
          <w:b/>
          <w:sz w:val="20"/>
        </w:rPr>
      </w:pPr>
    </w:p>
    <w:p w:rsidR="00ED789C" w:rsidRPr="00ED789C" w:rsidP="00ED789C" w14:paraId="06DB0D39" w14:textId="77777777">
      <w:pPr>
        <w:spacing w:after="0" w:line="240" w:lineRule="auto"/>
        <w:jc w:val="left"/>
        <w:rPr>
          <w:rFonts w:ascii="Times New Roman" w:hAnsi="Times New Roman"/>
          <w:b/>
          <w:sz w:val="20"/>
        </w:rPr>
      </w:pPr>
      <w:r w:rsidRPr="00ED789C">
        <w:rPr>
          <w:rFonts w:ascii="Times New Roman" w:hAnsi="Times New Roman"/>
          <w:b/>
          <w:sz w:val="20"/>
        </w:rPr>
        <w:t>Counsel who argued in Supreme Court (not intended for publication with opinion):</w:t>
      </w:r>
    </w:p>
    <w:p w:rsidR="00ED789C" w:rsidRPr="00ED789C" w:rsidP="00ED789C" w14:paraId="1C96F53D" w14:textId="77777777">
      <w:pPr>
        <w:spacing w:after="0" w:line="240" w:lineRule="auto"/>
        <w:jc w:val="left"/>
        <w:rPr>
          <w:rFonts w:ascii="Times New Roman" w:hAnsi="Times New Roman"/>
          <w:b/>
          <w:sz w:val="20"/>
        </w:rPr>
      </w:pPr>
    </w:p>
    <w:p w:rsidR="00ED789C" w:rsidRPr="00ED789C" w:rsidP="00ED789C" w14:paraId="664ADB1B" w14:textId="77777777">
      <w:pPr>
        <w:spacing w:after="0" w:line="240" w:lineRule="auto"/>
        <w:jc w:val="left"/>
        <w:rPr>
          <w:rFonts w:ascii="Times New Roman" w:hAnsi="Times New Roman"/>
          <w:sz w:val="20"/>
        </w:rPr>
      </w:pPr>
      <w:r w:rsidRPr="00ED789C">
        <w:rPr>
          <w:rFonts w:ascii="Times New Roman" w:hAnsi="Times New Roman"/>
          <w:sz w:val="20"/>
        </w:rPr>
        <w:t>Cyrus Tabari</w:t>
      </w:r>
    </w:p>
    <w:p w:rsidR="00ED789C" w:rsidRPr="00ED789C" w:rsidP="00ED789C" w14:paraId="60C4929E" w14:textId="77777777">
      <w:pPr>
        <w:spacing w:after="0" w:line="240" w:lineRule="auto"/>
        <w:jc w:val="left"/>
        <w:rPr>
          <w:rFonts w:ascii="Times New Roman" w:hAnsi="Times New Roman"/>
          <w:sz w:val="20"/>
        </w:rPr>
      </w:pPr>
      <w:r w:rsidRPr="00ED789C">
        <w:rPr>
          <w:rFonts w:ascii="Times New Roman" w:hAnsi="Times New Roman"/>
          <w:sz w:val="20"/>
        </w:rPr>
        <w:t>Scheuerman, Martini, Tabari, Zenere &amp; Garvin</w:t>
      </w:r>
    </w:p>
    <w:p w:rsidR="00ED789C" w:rsidRPr="00ED789C" w:rsidP="00ED789C" w14:paraId="7039A23E" w14:textId="77777777">
      <w:pPr>
        <w:spacing w:after="0" w:line="240" w:lineRule="auto"/>
        <w:jc w:val="left"/>
        <w:rPr>
          <w:rFonts w:ascii="Times New Roman" w:hAnsi="Times New Roman"/>
          <w:sz w:val="20"/>
        </w:rPr>
      </w:pPr>
      <w:r w:rsidRPr="00ED789C">
        <w:rPr>
          <w:rFonts w:ascii="Times New Roman" w:hAnsi="Times New Roman"/>
          <w:sz w:val="20"/>
        </w:rPr>
        <w:t>1033 Willow Street</w:t>
      </w:r>
    </w:p>
    <w:p w:rsidR="00ED789C" w:rsidRPr="00ED789C" w:rsidP="00ED789C" w14:paraId="6E122579" w14:textId="77777777">
      <w:pPr>
        <w:spacing w:after="0" w:line="240" w:lineRule="auto"/>
        <w:jc w:val="left"/>
        <w:rPr>
          <w:rFonts w:ascii="Times New Roman" w:hAnsi="Times New Roman"/>
          <w:sz w:val="20"/>
        </w:rPr>
      </w:pPr>
      <w:r w:rsidRPr="00ED789C">
        <w:rPr>
          <w:rFonts w:ascii="Times New Roman" w:hAnsi="Times New Roman"/>
          <w:sz w:val="20"/>
        </w:rPr>
        <w:t>San Jose, CA 95125</w:t>
      </w:r>
    </w:p>
    <w:p w:rsidR="00ED789C" w:rsidRPr="00ED789C" w:rsidP="00ED789C" w14:paraId="49348406" w14:textId="77777777">
      <w:pPr>
        <w:spacing w:after="0" w:line="240" w:lineRule="auto"/>
        <w:jc w:val="left"/>
        <w:rPr>
          <w:rFonts w:ascii="Times New Roman" w:hAnsi="Times New Roman"/>
          <w:sz w:val="20"/>
        </w:rPr>
      </w:pPr>
      <w:r w:rsidRPr="00ED789C">
        <w:rPr>
          <w:rFonts w:ascii="Times New Roman" w:hAnsi="Times New Roman"/>
          <w:sz w:val="20"/>
        </w:rPr>
        <w:t>(408) 288-9700</w:t>
      </w:r>
    </w:p>
    <w:p w:rsidR="00ED789C" w:rsidRPr="00ED789C" w:rsidP="00ED789C" w14:paraId="7EB9B7C3" w14:textId="77777777">
      <w:pPr>
        <w:spacing w:after="0" w:line="240" w:lineRule="auto"/>
        <w:jc w:val="left"/>
        <w:rPr>
          <w:rFonts w:ascii="Times New Roman" w:hAnsi="Times New Roman"/>
          <w:sz w:val="20"/>
        </w:rPr>
      </w:pPr>
    </w:p>
    <w:p w:rsidR="00ED789C" w:rsidRPr="00ED789C" w:rsidP="00ED789C" w14:paraId="35CBAF06" w14:textId="77777777">
      <w:pPr>
        <w:spacing w:after="0" w:line="240" w:lineRule="auto"/>
        <w:jc w:val="left"/>
        <w:rPr>
          <w:rFonts w:ascii="Times New Roman" w:hAnsi="Times New Roman"/>
          <w:color w:val="373739"/>
          <w:sz w:val="20"/>
          <w:shd w:val="clear" w:color="auto" w:fill="FFFFFF"/>
        </w:rPr>
      </w:pPr>
      <w:r w:rsidRPr="00ED789C">
        <w:rPr>
          <w:rFonts w:ascii="Times New Roman" w:hAnsi="Times New Roman"/>
          <w:color w:val="373739"/>
          <w:sz w:val="20"/>
          <w:shd w:val="clear" w:color="auto" w:fill="FFFFFF"/>
        </w:rPr>
        <w:t>Samuel T. Harbourt</w:t>
      </w:r>
    </w:p>
    <w:p w:rsidR="00ED789C" w:rsidRPr="00ED789C" w:rsidP="00ED789C" w14:paraId="62064455" w14:textId="77777777">
      <w:pPr>
        <w:spacing w:after="0" w:line="240" w:lineRule="auto"/>
        <w:jc w:val="left"/>
        <w:rPr>
          <w:rFonts w:ascii="Times New Roman" w:hAnsi="Times New Roman"/>
          <w:color w:val="373739"/>
          <w:sz w:val="20"/>
          <w:shd w:val="clear" w:color="auto" w:fill="FFFFFF"/>
        </w:rPr>
      </w:pPr>
      <w:r w:rsidRPr="00ED789C">
        <w:rPr>
          <w:rFonts w:ascii="Times New Roman" w:hAnsi="Times New Roman"/>
          <w:color w:val="373739"/>
          <w:sz w:val="20"/>
          <w:shd w:val="clear" w:color="auto" w:fill="FFFFFF"/>
        </w:rPr>
        <w:t>Deputy Attorney General</w:t>
      </w:r>
    </w:p>
    <w:p w:rsidR="00ED789C" w:rsidRPr="00ED789C" w:rsidP="00ED789C" w14:paraId="257851D7" w14:textId="77777777">
      <w:pPr>
        <w:spacing w:after="0" w:line="240" w:lineRule="auto"/>
        <w:jc w:val="left"/>
        <w:rPr>
          <w:rFonts w:ascii="Times New Roman" w:hAnsi="Times New Roman"/>
          <w:color w:val="373739"/>
          <w:sz w:val="20"/>
          <w:shd w:val="clear" w:color="auto" w:fill="FFFFFF"/>
        </w:rPr>
      </w:pPr>
      <w:r w:rsidRPr="00ED789C">
        <w:rPr>
          <w:rFonts w:ascii="Times New Roman" w:hAnsi="Times New Roman"/>
          <w:color w:val="373739"/>
          <w:sz w:val="20"/>
          <w:shd w:val="clear" w:color="auto" w:fill="FFFFFF"/>
        </w:rPr>
        <w:t>455 Golden Gate Ave., Suite 11000</w:t>
      </w:r>
    </w:p>
    <w:p w:rsidR="00ED789C" w:rsidRPr="00ED789C" w:rsidP="00ED789C" w14:paraId="13E85A3C" w14:textId="77777777">
      <w:pPr>
        <w:spacing w:after="0" w:line="240" w:lineRule="auto"/>
        <w:jc w:val="left"/>
        <w:rPr>
          <w:rFonts w:ascii="Times New Roman" w:hAnsi="Times New Roman"/>
          <w:color w:val="373739"/>
          <w:sz w:val="20"/>
          <w:shd w:val="clear" w:color="auto" w:fill="FFFFFF"/>
        </w:rPr>
      </w:pPr>
      <w:r w:rsidRPr="00ED789C">
        <w:rPr>
          <w:rFonts w:ascii="Times New Roman" w:hAnsi="Times New Roman"/>
          <w:color w:val="373739"/>
          <w:sz w:val="20"/>
          <w:shd w:val="clear" w:color="auto" w:fill="FFFFFF"/>
        </w:rPr>
        <w:t>San Francisco, CA 94102-7004</w:t>
      </w:r>
    </w:p>
    <w:p w:rsidR="00ED789C" w:rsidRPr="00ED789C" w:rsidP="00ED789C" w14:paraId="53DA5AF4" w14:textId="77777777">
      <w:pPr>
        <w:spacing w:after="0" w:line="240" w:lineRule="auto"/>
        <w:jc w:val="left"/>
        <w:rPr>
          <w:rFonts w:ascii="Times New Roman" w:hAnsi="Times New Roman"/>
          <w:sz w:val="20"/>
        </w:rPr>
      </w:pPr>
      <w:r w:rsidRPr="00ED789C">
        <w:rPr>
          <w:rFonts w:ascii="Times New Roman" w:hAnsi="Times New Roman"/>
          <w:color w:val="373739"/>
          <w:sz w:val="20"/>
          <w:shd w:val="clear" w:color="auto" w:fill="FFFFFF"/>
        </w:rPr>
        <w:t>(415) 510-3919</w:t>
      </w:r>
    </w:p>
    <w:p w:rsidR="0046261A" w:rsidRPr="007C3F94" w:rsidP="00583AB9" w14:paraId="11209742" w14:textId="2C0A3A40">
      <w:pPr>
        <w:tabs>
          <w:tab w:val="left" w:pos="1440"/>
        </w:tabs>
      </w:pPr>
    </w:p>
    <w:sectPr>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AED" w:rsidP="00434743" w14:paraId="2A2ED0E7" w14:textId="777777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E5AED" w14:paraId="611101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AED" w14:paraId="03911F62" w14:textId="77777777">
    <w:pPr>
      <w:pStyle w:val="Footer"/>
    </w:pPr>
    <w:r>
      <w:rPr>
        <w:noProof/>
      </w:rPr>
      <w:fldChar w:fldCharType="begin"/>
    </w:r>
    <w:r>
      <w:rPr>
        <w:noProof/>
      </w:rPr>
      <w:instrText>PAGE</w:instrText>
    </w:r>
    <w:r>
      <w:rPr>
        <w:noProof/>
      </w:rPr>
      <w:fldChar w:fldCharType="separate"/>
    </w:r>
    <w:r>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AED" w:rsidP="00434743" w14:paraId="39C83D16" w14:textId="777777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9BB">
      <w:rPr>
        <w:rStyle w:val="PageNumber"/>
        <w:noProof/>
      </w:rPr>
      <w:t>26</w:t>
    </w:r>
    <w:r>
      <w:rPr>
        <w:rStyle w:val="PageNumber"/>
      </w:rPr>
      <w:fldChar w:fldCharType="end"/>
    </w:r>
  </w:p>
  <w:p w:rsidR="001E5AED" w:rsidP="007D31A3" w14:paraId="51DC5AA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A2D" w14:paraId="173B15F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A2D" w14:paraId="79F2A06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A2D" w14:paraId="61187B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1DF7" w14:paraId="445BB39E" w14:textId="77777777">
      <w:r>
        <w:separator/>
      </w:r>
    </w:p>
  </w:footnote>
  <w:footnote w:type="continuationSeparator" w:id="1">
    <w:p w:rsidR="00391DF7" w14:paraId="4D440616" w14:textId="77777777">
      <w:pPr>
        <w:rPr>
          <w:sz w:val="22"/>
        </w:rPr>
      </w:pPr>
      <w:r>
        <w:continuationSeparator/>
      </w:r>
    </w:p>
  </w:footnote>
  <w:footnote w:type="continuationNotice" w:id="2">
    <w:p w:rsidR="00391DF7" w14:paraId="313111A2" w14:textId="77777777">
      <w:pPr>
        <w:jc w:val="right"/>
        <w:rPr>
          <w:i/>
          <w:sz w:val="20"/>
        </w:rPr>
      </w:pPr>
    </w:p>
  </w:footnote>
  <w:footnote w:id="3">
    <w:p w:rsidR="001E5AED" w:rsidP="005D426B" w14:paraId="4A2AAA3B" w14:textId="77777777">
      <w:pPr>
        <w:pStyle w:val="FootnoteText"/>
      </w:pPr>
      <w:r>
        <w:rPr>
          <w:rStyle w:val="FootnoteReference"/>
        </w:rPr>
        <w:footnoteRef/>
      </w:r>
      <w:r>
        <w:t xml:space="preserve"> </w:t>
      </w:r>
      <w:r>
        <w:tab/>
      </w:r>
      <w:r w:rsidRPr="00786D5E">
        <w:t xml:space="preserve">All statutory references are to the </w:t>
      </w:r>
      <w:r>
        <w:t>Government Code</w:t>
      </w:r>
      <w:r w:rsidRPr="00786D5E">
        <w:t xml:space="preserve"> unless otherwise noted.</w:t>
      </w:r>
    </w:p>
  </w:footnote>
  <w:footnote w:id="4">
    <w:p w:rsidR="001E5AED" w:rsidP="005D426B" w14:paraId="61D17824" w14:textId="77777777">
      <w:pPr>
        <w:pStyle w:val="FootnoteText"/>
      </w:pPr>
      <w:r>
        <w:rPr>
          <w:rStyle w:val="FootnoteReference"/>
        </w:rPr>
        <w:footnoteRef/>
      </w:r>
      <w:r>
        <w:t xml:space="preserve"> </w:t>
      </w:r>
      <w:r>
        <w:tab/>
        <w:t xml:space="preserve">After an ALJ issues a proposed decision, </w:t>
      </w:r>
      <w:r w:rsidRPr="00F47A20">
        <w:t xml:space="preserve">there is “a second level of decisionmaking in which the </w:t>
      </w:r>
      <w:r>
        <w:t>[Department]</w:t>
      </w:r>
      <w:r w:rsidRPr="00F47A20">
        <w:t xml:space="preserve"> decides whether to adopt the ALJ</w:t>
      </w:r>
      <w:r>
        <w:t>’</w:t>
      </w:r>
      <w:r w:rsidRPr="00F47A20">
        <w:t>s proposed decision.” (</w:t>
      </w:r>
      <w:r w:rsidRPr="00F47A20">
        <w:rPr>
          <w:i/>
        </w:rPr>
        <w:t>Department of Alcoholic Beverage Control v. Alcoholic Beverage Control Appeals Bd.</w:t>
      </w:r>
      <w:r w:rsidRPr="00F47A20">
        <w:t xml:space="preserve"> (2006) 40 Cal.4th 1, </w:t>
      </w:r>
      <w:r>
        <w:t>5</w:t>
      </w:r>
      <w:r w:rsidRPr="00F47A20">
        <w:t>.)</w:t>
      </w:r>
      <w:r>
        <w:t xml:space="preserve">  If it chooses not to adopt the proposed decision in its entirety, the Department may: </w:t>
      </w:r>
      <w:r w:rsidRPr="00F47A20">
        <w:t>reduce or mitigate the penalty but otherwise adopt the decision (§ 11517, subd. (c)(2)(B)), make technical or minor changes to the decision (§ 11517, subd. (c)(2)(C)), reject the proposed decision and refer the matter back to the ALJ (§ 11517, subd. (c)(2)(D)), or reject the proposed decision “and decide the case upon the record, includ</w:t>
      </w:r>
      <w:r>
        <w:t>ing</w:t>
      </w:r>
      <w:r w:rsidRPr="00F47A20">
        <w:t xml:space="preserve"> the transcript, or upon an agreed statement of the parties, with or without taking additional evidence” (§ 11517, subd. (c)(2)(E))</w:t>
      </w:r>
      <w:r>
        <w:t xml:space="preserve">. </w:t>
      </w:r>
    </w:p>
  </w:footnote>
  <w:footnote w:id="5">
    <w:p w:rsidR="001E5AED" w:rsidP="000C633E" w14:paraId="3BFAEDB2" w14:textId="77777777">
      <w:pPr>
        <w:pStyle w:val="FootnoteText"/>
      </w:pPr>
      <w:r>
        <w:rPr>
          <w:rStyle w:val="FootnoteReference"/>
        </w:rPr>
        <w:footnoteRef/>
      </w:r>
      <w:r>
        <w:t xml:space="preserve"> </w:t>
      </w:r>
      <w:r>
        <w:tab/>
        <w:t>Although the Department issued its final decision on December 15, 2015, the Department conceded in its brief</w:t>
      </w:r>
      <w:r w:rsidR="00416621">
        <w:t>s</w:t>
      </w:r>
      <w:r>
        <w:t xml:space="preserve"> and at oral argument that the relevant date for the purposes of the statute of limitations is December 16, 2015 — the date the Department served Saint Francis with its final decision.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AED" w14:paraId="0C825778" w14:textId="77777777">
    <w:pPr>
      <w:pStyle w:val="Header"/>
    </w:pPr>
    <w:r>
      <w:t>SAINT FRANCIS MEMORIAL HOSPITAL v. STATE DEPARTMENT OF PUBLIC HEALTH</w:t>
    </w:r>
  </w:p>
  <w:p w:rsidR="001E5AED" w14:paraId="7F623F5A" w14:textId="77777777">
    <w:pPr>
      <w:pStyle w:val="Header"/>
    </w:pPr>
    <w:r>
      <w:t>Opinion of the Court by Cuéllar, J.</w:t>
    </w:r>
  </w:p>
  <w:p w:rsidR="001E5AED" w14:paraId="772558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AED" w:rsidP="00126E03" w14:paraId="15D40717" w14:textId="77777777">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A2D" w14:paraId="7AE0347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A2D" w14:paraId="439B159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A2D" w14:paraId="031035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CF8CB3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defaultTabStop w:val="720"/>
  <w:doNotHyphenateCaps/>
  <w:drawingGridHorizontalSpacing w:val="135"/>
  <w:drawingGridVerticalSpacing w:val="367"/>
  <w:displayHorizontalDrawingGridEvery w:val="0"/>
  <w:displayVertic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29"/>
    <w:rsid w:val="000004DA"/>
    <w:rsid w:val="0000084C"/>
    <w:rsid w:val="00000F06"/>
    <w:rsid w:val="00001F40"/>
    <w:rsid w:val="0000228C"/>
    <w:rsid w:val="000024A1"/>
    <w:rsid w:val="000029A2"/>
    <w:rsid w:val="00002F85"/>
    <w:rsid w:val="000033BE"/>
    <w:rsid w:val="00004417"/>
    <w:rsid w:val="00004C18"/>
    <w:rsid w:val="00004CA6"/>
    <w:rsid w:val="000056F8"/>
    <w:rsid w:val="00006203"/>
    <w:rsid w:val="000066B8"/>
    <w:rsid w:val="00006A4D"/>
    <w:rsid w:val="0000734F"/>
    <w:rsid w:val="00007581"/>
    <w:rsid w:val="00007FE1"/>
    <w:rsid w:val="000100DB"/>
    <w:rsid w:val="0001027E"/>
    <w:rsid w:val="00010E46"/>
    <w:rsid w:val="000117AF"/>
    <w:rsid w:val="00011E23"/>
    <w:rsid w:val="00011F79"/>
    <w:rsid w:val="000130ED"/>
    <w:rsid w:val="0001310D"/>
    <w:rsid w:val="0001374B"/>
    <w:rsid w:val="00013999"/>
    <w:rsid w:val="00015119"/>
    <w:rsid w:val="0001629C"/>
    <w:rsid w:val="00016621"/>
    <w:rsid w:val="00016B7F"/>
    <w:rsid w:val="00016DA0"/>
    <w:rsid w:val="00017A6B"/>
    <w:rsid w:val="0002001E"/>
    <w:rsid w:val="00020338"/>
    <w:rsid w:val="000204F3"/>
    <w:rsid w:val="00020A2C"/>
    <w:rsid w:val="00020F97"/>
    <w:rsid w:val="00020FCE"/>
    <w:rsid w:val="000211CD"/>
    <w:rsid w:val="00021522"/>
    <w:rsid w:val="00021728"/>
    <w:rsid w:val="00021C3A"/>
    <w:rsid w:val="00022196"/>
    <w:rsid w:val="00022AC7"/>
    <w:rsid w:val="00023614"/>
    <w:rsid w:val="000236A2"/>
    <w:rsid w:val="00024605"/>
    <w:rsid w:val="00024696"/>
    <w:rsid w:val="0002487C"/>
    <w:rsid w:val="000248E0"/>
    <w:rsid w:val="0002506B"/>
    <w:rsid w:val="00025230"/>
    <w:rsid w:val="0002580B"/>
    <w:rsid w:val="00025B18"/>
    <w:rsid w:val="00025D7B"/>
    <w:rsid w:val="00027C34"/>
    <w:rsid w:val="00030A29"/>
    <w:rsid w:val="00030C23"/>
    <w:rsid w:val="00030E3C"/>
    <w:rsid w:val="000312F6"/>
    <w:rsid w:val="00031B00"/>
    <w:rsid w:val="00031CBB"/>
    <w:rsid w:val="00032784"/>
    <w:rsid w:val="00032D43"/>
    <w:rsid w:val="00033069"/>
    <w:rsid w:val="00033658"/>
    <w:rsid w:val="0003394A"/>
    <w:rsid w:val="00033D01"/>
    <w:rsid w:val="0003406E"/>
    <w:rsid w:val="0003418D"/>
    <w:rsid w:val="0003424D"/>
    <w:rsid w:val="00034747"/>
    <w:rsid w:val="0003482B"/>
    <w:rsid w:val="0003531F"/>
    <w:rsid w:val="0003537B"/>
    <w:rsid w:val="00035411"/>
    <w:rsid w:val="00035B96"/>
    <w:rsid w:val="00035F5C"/>
    <w:rsid w:val="0003649A"/>
    <w:rsid w:val="00037279"/>
    <w:rsid w:val="00037356"/>
    <w:rsid w:val="000379FD"/>
    <w:rsid w:val="00037E38"/>
    <w:rsid w:val="000405C6"/>
    <w:rsid w:val="00040832"/>
    <w:rsid w:val="00040954"/>
    <w:rsid w:val="00041C72"/>
    <w:rsid w:val="000428AB"/>
    <w:rsid w:val="000429D1"/>
    <w:rsid w:val="000429F9"/>
    <w:rsid w:val="00042ECC"/>
    <w:rsid w:val="00043857"/>
    <w:rsid w:val="00043F69"/>
    <w:rsid w:val="000442CE"/>
    <w:rsid w:val="00044B73"/>
    <w:rsid w:val="00044BE9"/>
    <w:rsid w:val="00045571"/>
    <w:rsid w:val="00045E2C"/>
    <w:rsid w:val="000464A3"/>
    <w:rsid w:val="00046C1A"/>
    <w:rsid w:val="00046D8A"/>
    <w:rsid w:val="00047249"/>
    <w:rsid w:val="000503B6"/>
    <w:rsid w:val="0005085E"/>
    <w:rsid w:val="00050D22"/>
    <w:rsid w:val="0005188A"/>
    <w:rsid w:val="00051ED2"/>
    <w:rsid w:val="000523F4"/>
    <w:rsid w:val="00053229"/>
    <w:rsid w:val="0005454C"/>
    <w:rsid w:val="000549F3"/>
    <w:rsid w:val="00054B45"/>
    <w:rsid w:val="0005567C"/>
    <w:rsid w:val="000562F4"/>
    <w:rsid w:val="000567A1"/>
    <w:rsid w:val="00057136"/>
    <w:rsid w:val="000573C5"/>
    <w:rsid w:val="0005793B"/>
    <w:rsid w:val="00061272"/>
    <w:rsid w:val="0006136D"/>
    <w:rsid w:val="00062194"/>
    <w:rsid w:val="00063437"/>
    <w:rsid w:val="0006358E"/>
    <w:rsid w:val="000636D4"/>
    <w:rsid w:val="00063FAD"/>
    <w:rsid w:val="00064078"/>
    <w:rsid w:val="000644BC"/>
    <w:rsid w:val="000644F4"/>
    <w:rsid w:val="00064C0F"/>
    <w:rsid w:val="00066520"/>
    <w:rsid w:val="0006701C"/>
    <w:rsid w:val="00067389"/>
    <w:rsid w:val="0006791F"/>
    <w:rsid w:val="00067E00"/>
    <w:rsid w:val="0007009E"/>
    <w:rsid w:val="00070271"/>
    <w:rsid w:val="0007040E"/>
    <w:rsid w:val="0007056A"/>
    <w:rsid w:val="000716FE"/>
    <w:rsid w:val="000728CB"/>
    <w:rsid w:val="00073AEC"/>
    <w:rsid w:val="00073E63"/>
    <w:rsid w:val="00074359"/>
    <w:rsid w:val="00074558"/>
    <w:rsid w:val="0007489F"/>
    <w:rsid w:val="00074F81"/>
    <w:rsid w:val="00075B38"/>
    <w:rsid w:val="000766C1"/>
    <w:rsid w:val="00076883"/>
    <w:rsid w:val="00077001"/>
    <w:rsid w:val="00080772"/>
    <w:rsid w:val="0008077A"/>
    <w:rsid w:val="000809CD"/>
    <w:rsid w:val="00081CC0"/>
    <w:rsid w:val="00082F39"/>
    <w:rsid w:val="000842FB"/>
    <w:rsid w:val="0008462E"/>
    <w:rsid w:val="000847E9"/>
    <w:rsid w:val="00084F9C"/>
    <w:rsid w:val="000851C8"/>
    <w:rsid w:val="000855EB"/>
    <w:rsid w:val="000860C3"/>
    <w:rsid w:val="00086836"/>
    <w:rsid w:val="00086A7B"/>
    <w:rsid w:val="00086E7A"/>
    <w:rsid w:val="000871F7"/>
    <w:rsid w:val="00087261"/>
    <w:rsid w:val="000901B8"/>
    <w:rsid w:val="00090225"/>
    <w:rsid w:val="00090809"/>
    <w:rsid w:val="00091214"/>
    <w:rsid w:val="000919AD"/>
    <w:rsid w:val="00091ECD"/>
    <w:rsid w:val="00092426"/>
    <w:rsid w:val="00092595"/>
    <w:rsid w:val="00092D30"/>
    <w:rsid w:val="00092F96"/>
    <w:rsid w:val="00093BC8"/>
    <w:rsid w:val="00094616"/>
    <w:rsid w:val="00094A2A"/>
    <w:rsid w:val="000950B4"/>
    <w:rsid w:val="00095A6E"/>
    <w:rsid w:val="000962AC"/>
    <w:rsid w:val="000974AD"/>
    <w:rsid w:val="00097728"/>
    <w:rsid w:val="00097A30"/>
    <w:rsid w:val="00097D1D"/>
    <w:rsid w:val="00097DF7"/>
    <w:rsid w:val="000A03AC"/>
    <w:rsid w:val="000A052B"/>
    <w:rsid w:val="000A12D8"/>
    <w:rsid w:val="000A1C29"/>
    <w:rsid w:val="000A224E"/>
    <w:rsid w:val="000A23ED"/>
    <w:rsid w:val="000A2F39"/>
    <w:rsid w:val="000A44D6"/>
    <w:rsid w:val="000A45B2"/>
    <w:rsid w:val="000A4742"/>
    <w:rsid w:val="000A546B"/>
    <w:rsid w:val="000A5A9A"/>
    <w:rsid w:val="000A5A9C"/>
    <w:rsid w:val="000A63B6"/>
    <w:rsid w:val="000B11CC"/>
    <w:rsid w:val="000B129E"/>
    <w:rsid w:val="000B1623"/>
    <w:rsid w:val="000B17D1"/>
    <w:rsid w:val="000B1D8B"/>
    <w:rsid w:val="000B2280"/>
    <w:rsid w:val="000B22AA"/>
    <w:rsid w:val="000B34DF"/>
    <w:rsid w:val="000B35B0"/>
    <w:rsid w:val="000B393A"/>
    <w:rsid w:val="000B3BD5"/>
    <w:rsid w:val="000B3FA1"/>
    <w:rsid w:val="000B4369"/>
    <w:rsid w:val="000B4395"/>
    <w:rsid w:val="000B44D6"/>
    <w:rsid w:val="000B5C30"/>
    <w:rsid w:val="000B5EED"/>
    <w:rsid w:val="000B69E4"/>
    <w:rsid w:val="000B72ED"/>
    <w:rsid w:val="000B7E45"/>
    <w:rsid w:val="000B7E65"/>
    <w:rsid w:val="000B7F3B"/>
    <w:rsid w:val="000C00C6"/>
    <w:rsid w:val="000C050B"/>
    <w:rsid w:val="000C0632"/>
    <w:rsid w:val="000C07D4"/>
    <w:rsid w:val="000C0CC0"/>
    <w:rsid w:val="000C144D"/>
    <w:rsid w:val="000C1E81"/>
    <w:rsid w:val="000C2DF8"/>
    <w:rsid w:val="000C3AD5"/>
    <w:rsid w:val="000C401F"/>
    <w:rsid w:val="000C4218"/>
    <w:rsid w:val="000C4531"/>
    <w:rsid w:val="000C46FA"/>
    <w:rsid w:val="000C49E7"/>
    <w:rsid w:val="000C5399"/>
    <w:rsid w:val="000C58AF"/>
    <w:rsid w:val="000C590F"/>
    <w:rsid w:val="000C5928"/>
    <w:rsid w:val="000C633E"/>
    <w:rsid w:val="000C6440"/>
    <w:rsid w:val="000C6754"/>
    <w:rsid w:val="000C703C"/>
    <w:rsid w:val="000D0086"/>
    <w:rsid w:val="000D011E"/>
    <w:rsid w:val="000D132B"/>
    <w:rsid w:val="000D187C"/>
    <w:rsid w:val="000D19BB"/>
    <w:rsid w:val="000D32AB"/>
    <w:rsid w:val="000D3F72"/>
    <w:rsid w:val="000D4541"/>
    <w:rsid w:val="000D4AB9"/>
    <w:rsid w:val="000D536E"/>
    <w:rsid w:val="000D54AF"/>
    <w:rsid w:val="000D5536"/>
    <w:rsid w:val="000D591C"/>
    <w:rsid w:val="000D6822"/>
    <w:rsid w:val="000D734F"/>
    <w:rsid w:val="000D79F6"/>
    <w:rsid w:val="000D7BB5"/>
    <w:rsid w:val="000E0844"/>
    <w:rsid w:val="000E08A8"/>
    <w:rsid w:val="000E0CD3"/>
    <w:rsid w:val="000E0FF2"/>
    <w:rsid w:val="000E2B2A"/>
    <w:rsid w:val="000E359B"/>
    <w:rsid w:val="000E40E4"/>
    <w:rsid w:val="000E46DF"/>
    <w:rsid w:val="000E4C25"/>
    <w:rsid w:val="000E53D5"/>
    <w:rsid w:val="000E602E"/>
    <w:rsid w:val="000E66A1"/>
    <w:rsid w:val="000E6A4A"/>
    <w:rsid w:val="000E775D"/>
    <w:rsid w:val="000E783C"/>
    <w:rsid w:val="000E7D7B"/>
    <w:rsid w:val="000F0195"/>
    <w:rsid w:val="000F047A"/>
    <w:rsid w:val="000F0C0C"/>
    <w:rsid w:val="000F14BE"/>
    <w:rsid w:val="000F1C47"/>
    <w:rsid w:val="000F39FF"/>
    <w:rsid w:val="000F3E3C"/>
    <w:rsid w:val="000F4620"/>
    <w:rsid w:val="000F4992"/>
    <w:rsid w:val="000F4D46"/>
    <w:rsid w:val="000F50C6"/>
    <w:rsid w:val="000F5C9B"/>
    <w:rsid w:val="000F5F6B"/>
    <w:rsid w:val="000F67ED"/>
    <w:rsid w:val="000F6BE7"/>
    <w:rsid w:val="000F6DFB"/>
    <w:rsid w:val="000F72EE"/>
    <w:rsid w:val="000F7724"/>
    <w:rsid w:val="000F787C"/>
    <w:rsid w:val="000F78CB"/>
    <w:rsid w:val="000F7C00"/>
    <w:rsid w:val="001001BE"/>
    <w:rsid w:val="001009A4"/>
    <w:rsid w:val="00100D08"/>
    <w:rsid w:val="001023D2"/>
    <w:rsid w:val="00102F90"/>
    <w:rsid w:val="001030A4"/>
    <w:rsid w:val="00103FE1"/>
    <w:rsid w:val="001044B0"/>
    <w:rsid w:val="00105BE2"/>
    <w:rsid w:val="0010612E"/>
    <w:rsid w:val="00106743"/>
    <w:rsid w:val="00111D9D"/>
    <w:rsid w:val="0011208E"/>
    <w:rsid w:val="00112EAB"/>
    <w:rsid w:val="00112F66"/>
    <w:rsid w:val="001133C0"/>
    <w:rsid w:val="001139DC"/>
    <w:rsid w:val="00114315"/>
    <w:rsid w:val="0011450C"/>
    <w:rsid w:val="0011463A"/>
    <w:rsid w:val="00114DDD"/>
    <w:rsid w:val="0011583D"/>
    <w:rsid w:val="00115CC0"/>
    <w:rsid w:val="001164BB"/>
    <w:rsid w:val="00116611"/>
    <w:rsid w:val="00116E15"/>
    <w:rsid w:val="001173E4"/>
    <w:rsid w:val="001173EC"/>
    <w:rsid w:val="001176AA"/>
    <w:rsid w:val="001179E3"/>
    <w:rsid w:val="00117E0A"/>
    <w:rsid w:val="00121604"/>
    <w:rsid w:val="00121633"/>
    <w:rsid w:val="00121672"/>
    <w:rsid w:val="00121692"/>
    <w:rsid w:val="00121AF6"/>
    <w:rsid w:val="00121B2A"/>
    <w:rsid w:val="00121F43"/>
    <w:rsid w:val="00121FDF"/>
    <w:rsid w:val="00122047"/>
    <w:rsid w:val="00122160"/>
    <w:rsid w:val="00122CFA"/>
    <w:rsid w:val="001230A1"/>
    <w:rsid w:val="00123433"/>
    <w:rsid w:val="00126041"/>
    <w:rsid w:val="001262C3"/>
    <w:rsid w:val="001262CF"/>
    <w:rsid w:val="00126A51"/>
    <w:rsid w:val="00126BC1"/>
    <w:rsid w:val="00126BED"/>
    <w:rsid w:val="00126CD7"/>
    <w:rsid w:val="00126E03"/>
    <w:rsid w:val="001273FC"/>
    <w:rsid w:val="00127D70"/>
    <w:rsid w:val="00127DCF"/>
    <w:rsid w:val="00127DD7"/>
    <w:rsid w:val="00130478"/>
    <w:rsid w:val="00130912"/>
    <w:rsid w:val="00130EEC"/>
    <w:rsid w:val="001319F1"/>
    <w:rsid w:val="00132081"/>
    <w:rsid w:val="00132459"/>
    <w:rsid w:val="001324D7"/>
    <w:rsid w:val="001326F1"/>
    <w:rsid w:val="00132B37"/>
    <w:rsid w:val="0013375D"/>
    <w:rsid w:val="00133939"/>
    <w:rsid w:val="0013441D"/>
    <w:rsid w:val="00134C0E"/>
    <w:rsid w:val="00134C97"/>
    <w:rsid w:val="00135151"/>
    <w:rsid w:val="00135AD9"/>
    <w:rsid w:val="00135B25"/>
    <w:rsid w:val="00135FB4"/>
    <w:rsid w:val="00140809"/>
    <w:rsid w:val="0014084B"/>
    <w:rsid w:val="00141383"/>
    <w:rsid w:val="00141571"/>
    <w:rsid w:val="00141970"/>
    <w:rsid w:val="00141C15"/>
    <w:rsid w:val="0014246A"/>
    <w:rsid w:val="00142663"/>
    <w:rsid w:val="00142892"/>
    <w:rsid w:val="00142964"/>
    <w:rsid w:val="00142BFF"/>
    <w:rsid w:val="00142E28"/>
    <w:rsid w:val="00143655"/>
    <w:rsid w:val="001439E8"/>
    <w:rsid w:val="001440D8"/>
    <w:rsid w:val="0014420E"/>
    <w:rsid w:val="00144356"/>
    <w:rsid w:val="001447E0"/>
    <w:rsid w:val="001450E4"/>
    <w:rsid w:val="0014550B"/>
    <w:rsid w:val="00145C35"/>
    <w:rsid w:val="00145CB4"/>
    <w:rsid w:val="001460AC"/>
    <w:rsid w:val="001467CE"/>
    <w:rsid w:val="0014685F"/>
    <w:rsid w:val="00146B3E"/>
    <w:rsid w:val="00147B44"/>
    <w:rsid w:val="00150504"/>
    <w:rsid w:val="0015071C"/>
    <w:rsid w:val="00150A1F"/>
    <w:rsid w:val="00150B6A"/>
    <w:rsid w:val="00150E84"/>
    <w:rsid w:val="00151796"/>
    <w:rsid w:val="001519F6"/>
    <w:rsid w:val="00151BE4"/>
    <w:rsid w:val="00151F6C"/>
    <w:rsid w:val="00152277"/>
    <w:rsid w:val="0015237C"/>
    <w:rsid w:val="0015269E"/>
    <w:rsid w:val="00152739"/>
    <w:rsid w:val="00152886"/>
    <w:rsid w:val="00152B46"/>
    <w:rsid w:val="0015311A"/>
    <w:rsid w:val="001532A7"/>
    <w:rsid w:val="00153590"/>
    <w:rsid w:val="0015390C"/>
    <w:rsid w:val="0015430C"/>
    <w:rsid w:val="00154957"/>
    <w:rsid w:val="001549A2"/>
    <w:rsid w:val="00154EF4"/>
    <w:rsid w:val="00155194"/>
    <w:rsid w:val="00155C3D"/>
    <w:rsid w:val="001560DF"/>
    <w:rsid w:val="001562DC"/>
    <w:rsid w:val="00156894"/>
    <w:rsid w:val="00156960"/>
    <w:rsid w:val="00156B80"/>
    <w:rsid w:val="001571FE"/>
    <w:rsid w:val="0015749C"/>
    <w:rsid w:val="00157D15"/>
    <w:rsid w:val="00160919"/>
    <w:rsid w:val="001609D9"/>
    <w:rsid w:val="00160E87"/>
    <w:rsid w:val="001619F3"/>
    <w:rsid w:val="00161BC5"/>
    <w:rsid w:val="00161F19"/>
    <w:rsid w:val="0016385F"/>
    <w:rsid w:val="001647D0"/>
    <w:rsid w:val="0016499E"/>
    <w:rsid w:val="0016553D"/>
    <w:rsid w:val="0016598B"/>
    <w:rsid w:val="00165F8E"/>
    <w:rsid w:val="0016606A"/>
    <w:rsid w:val="00166C2C"/>
    <w:rsid w:val="00167F5C"/>
    <w:rsid w:val="00170004"/>
    <w:rsid w:val="00170D69"/>
    <w:rsid w:val="00171E40"/>
    <w:rsid w:val="00172AEC"/>
    <w:rsid w:val="0017310F"/>
    <w:rsid w:val="001735B4"/>
    <w:rsid w:val="00173A80"/>
    <w:rsid w:val="0017445B"/>
    <w:rsid w:val="00174698"/>
    <w:rsid w:val="0017487D"/>
    <w:rsid w:val="00174896"/>
    <w:rsid w:val="00174C49"/>
    <w:rsid w:val="00176579"/>
    <w:rsid w:val="00176ADF"/>
    <w:rsid w:val="0017728F"/>
    <w:rsid w:val="00180C62"/>
    <w:rsid w:val="001819DC"/>
    <w:rsid w:val="001836F9"/>
    <w:rsid w:val="001840C7"/>
    <w:rsid w:val="00184240"/>
    <w:rsid w:val="00184346"/>
    <w:rsid w:val="0018596B"/>
    <w:rsid w:val="00185D41"/>
    <w:rsid w:val="00186240"/>
    <w:rsid w:val="00186448"/>
    <w:rsid w:val="00186A83"/>
    <w:rsid w:val="00190652"/>
    <w:rsid w:val="00190DFE"/>
    <w:rsid w:val="00191551"/>
    <w:rsid w:val="00192738"/>
    <w:rsid w:val="00192768"/>
    <w:rsid w:val="00192854"/>
    <w:rsid w:val="00192967"/>
    <w:rsid w:val="00192CDD"/>
    <w:rsid w:val="0019312F"/>
    <w:rsid w:val="0019368C"/>
    <w:rsid w:val="00194038"/>
    <w:rsid w:val="00194377"/>
    <w:rsid w:val="001949A3"/>
    <w:rsid w:val="00194DD2"/>
    <w:rsid w:val="00194FCA"/>
    <w:rsid w:val="001960BD"/>
    <w:rsid w:val="001965B5"/>
    <w:rsid w:val="00196985"/>
    <w:rsid w:val="00196CE5"/>
    <w:rsid w:val="00197943"/>
    <w:rsid w:val="00197FED"/>
    <w:rsid w:val="001A026E"/>
    <w:rsid w:val="001A0643"/>
    <w:rsid w:val="001A0F85"/>
    <w:rsid w:val="001A1295"/>
    <w:rsid w:val="001A1638"/>
    <w:rsid w:val="001A188A"/>
    <w:rsid w:val="001A22C5"/>
    <w:rsid w:val="001A22E0"/>
    <w:rsid w:val="001A2698"/>
    <w:rsid w:val="001A2BF5"/>
    <w:rsid w:val="001A398B"/>
    <w:rsid w:val="001A3AC4"/>
    <w:rsid w:val="001A4AF1"/>
    <w:rsid w:val="001A4C92"/>
    <w:rsid w:val="001A4CC1"/>
    <w:rsid w:val="001A5F7B"/>
    <w:rsid w:val="001A6055"/>
    <w:rsid w:val="001A6203"/>
    <w:rsid w:val="001A6B30"/>
    <w:rsid w:val="001A7307"/>
    <w:rsid w:val="001A7C97"/>
    <w:rsid w:val="001A7F51"/>
    <w:rsid w:val="001B0383"/>
    <w:rsid w:val="001B03A8"/>
    <w:rsid w:val="001B117D"/>
    <w:rsid w:val="001B13EF"/>
    <w:rsid w:val="001B1598"/>
    <w:rsid w:val="001B207D"/>
    <w:rsid w:val="001B24E1"/>
    <w:rsid w:val="001B26A1"/>
    <w:rsid w:val="001B3AFB"/>
    <w:rsid w:val="001B3D2E"/>
    <w:rsid w:val="001B400E"/>
    <w:rsid w:val="001B423B"/>
    <w:rsid w:val="001B50F6"/>
    <w:rsid w:val="001B64FD"/>
    <w:rsid w:val="001B66A3"/>
    <w:rsid w:val="001B71A2"/>
    <w:rsid w:val="001B72AA"/>
    <w:rsid w:val="001B7693"/>
    <w:rsid w:val="001C0FB5"/>
    <w:rsid w:val="001C11CD"/>
    <w:rsid w:val="001C17B2"/>
    <w:rsid w:val="001C195B"/>
    <w:rsid w:val="001C1BDD"/>
    <w:rsid w:val="001C232C"/>
    <w:rsid w:val="001C2724"/>
    <w:rsid w:val="001C2AF0"/>
    <w:rsid w:val="001C3AA3"/>
    <w:rsid w:val="001C3C82"/>
    <w:rsid w:val="001C3D38"/>
    <w:rsid w:val="001C3E61"/>
    <w:rsid w:val="001C45E3"/>
    <w:rsid w:val="001C48BD"/>
    <w:rsid w:val="001C4D09"/>
    <w:rsid w:val="001C528B"/>
    <w:rsid w:val="001C5CAC"/>
    <w:rsid w:val="001C5D06"/>
    <w:rsid w:val="001C5F16"/>
    <w:rsid w:val="001C6152"/>
    <w:rsid w:val="001C6656"/>
    <w:rsid w:val="001C7074"/>
    <w:rsid w:val="001C743F"/>
    <w:rsid w:val="001C7C39"/>
    <w:rsid w:val="001D004F"/>
    <w:rsid w:val="001D0292"/>
    <w:rsid w:val="001D040B"/>
    <w:rsid w:val="001D09D2"/>
    <w:rsid w:val="001D11EF"/>
    <w:rsid w:val="001D12BC"/>
    <w:rsid w:val="001D1C41"/>
    <w:rsid w:val="001D1C97"/>
    <w:rsid w:val="001D3263"/>
    <w:rsid w:val="001D356F"/>
    <w:rsid w:val="001D3D26"/>
    <w:rsid w:val="001D3E9F"/>
    <w:rsid w:val="001D4548"/>
    <w:rsid w:val="001D47C6"/>
    <w:rsid w:val="001D48D8"/>
    <w:rsid w:val="001D5422"/>
    <w:rsid w:val="001D5620"/>
    <w:rsid w:val="001D5764"/>
    <w:rsid w:val="001D5D1B"/>
    <w:rsid w:val="001D6035"/>
    <w:rsid w:val="001D694D"/>
    <w:rsid w:val="001D7678"/>
    <w:rsid w:val="001D7A60"/>
    <w:rsid w:val="001E0306"/>
    <w:rsid w:val="001E22DB"/>
    <w:rsid w:val="001E258F"/>
    <w:rsid w:val="001E27BC"/>
    <w:rsid w:val="001E36F6"/>
    <w:rsid w:val="001E4114"/>
    <w:rsid w:val="001E4171"/>
    <w:rsid w:val="001E4D42"/>
    <w:rsid w:val="001E4E65"/>
    <w:rsid w:val="001E507A"/>
    <w:rsid w:val="001E5148"/>
    <w:rsid w:val="001E53C0"/>
    <w:rsid w:val="001E5408"/>
    <w:rsid w:val="001E5672"/>
    <w:rsid w:val="001E5A39"/>
    <w:rsid w:val="001E5AED"/>
    <w:rsid w:val="001E6AC7"/>
    <w:rsid w:val="001E6DC3"/>
    <w:rsid w:val="001E75D4"/>
    <w:rsid w:val="001E7C08"/>
    <w:rsid w:val="001F0671"/>
    <w:rsid w:val="001F0C49"/>
    <w:rsid w:val="001F2276"/>
    <w:rsid w:val="001F298E"/>
    <w:rsid w:val="001F2ED7"/>
    <w:rsid w:val="001F31FF"/>
    <w:rsid w:val="001F34A1"/>
    <w:rsid w:val="001F37DC"/>
    <w:rsid w:val="001F3A8F"/>
    <w:rsid w:val="001F3F0D"/>
    <w:rsid w:val="001F416D"/>
    <w:rsid w:val="001F568C"/>
    <w:rsid w:val="001F579C"/>
    <w:rsid w:val="001F5D49"/>
    <w:rsid w:val="001F5F5E"/>
    <w:rsid w:val="001F615D"/>
    <w:rsid w:val="001F67F9"/>
    <w:rsid w:val="001F6C4F"/>
    <w:rsid w:val="001F6DE3"/>
    <w:rsid w:val="001F71E5"/>
    <w:rsid w:val="001F7336"/>
    <w:rsid w:val="001F7536"/>
    <w:rsid w:val="001F7BF5"/>
    <w:rsid w:val="001F7E28"/>
    <w:rsid w:val="00200143"/>
    <w:rsid w:val="0020016D"/>
    <w:rsid w:val="00200B68"/>
    <w:rsid w:val="00200D3E"/>
    <w:rsid w:val="00201918"/>
    <w:rsid w:val="00201C45"/>
    <w:rsid w:val="00202B1C"/>
    <w:rsid w:val="00203794"/>
    <w:rsid w:val="00203CF9"/>
    <w:rsid w:val="00203D52"/>
    <w:rsid w:val="00204757"/>
    <w:rsid w:val="002057DC"/>
    <w:rsid w:val="00206293"/>
    <w:rsid w:val="00206BDA"/>
    <w:rsid w:val="00206E8F"/>
    <w:rsid w:val="0020745B"/>
    <w:rsid w:val="00211FA2"/>
    <w:rsid w:val="0021224E"/>
    <w:rsid w:val="00212B6C"/>
    <w:rsid w:val="00212BED"/>
    <w:rsid w:val="00212D50"/>
    <w:rsid w:val="00214718"/>
    <w:rsid w:val="0021471B"/>
    <w:rsid w:val="002153F3"/>
    <w:rsid w:val="00215FFA"/>
    <w:rsid w:val="00216595"/>
    <w:rsid w:val="00216603"/>
    <w:rsid w:val="00216FED"/>
    <w:rsid w:val="0021739C"/>
    <w:rsid w:val="00217937"/>
    <w:rsid w:val="00217D5E"/>
    <w:rsid w:val="0022072B"/>
    <w:rsid w:val="002209DE"/>
    <w:rsid w:val="0022105F"/>
    <w:rsid w:val="002220FF"/>
    <w:rsid w:val="00222120"/>
    <w:rsid w:val="002231BD"/>
    <w:rsid w:val="0022359D"/>
    <w:rsid w:val="00223D2D"/>
    <w:rsid w:val="00223EF6"/>
    <w:rsid w:val="0022494B"/>
    <w:rsid w:val="00224A13"/>
    <w:rsid w:val="00224F42"/>
    <w:rsid w:val="00225587"/>
    <w:rsid w:val="00225FED"/>
    <w:rsid w:val="00226BCD"/>
    <w:rsid w:val="00226F53"/>
    <w:rsid w:val="00226FCA"/>
    <w:rsid w:val="00226FCE"/>
    <w:rsid w:val="0022724D"/>
    <w:rsid w:val="0022762C"/>
    <w:rsid w:val="0022798C"/>
    <w:rsid w:val="002307E8"/>
    <w:rsid w:val="00231185"/>
    <w:rsid w:val="00231C55"/>
    <w:rsid w:val="00232A3D"/>
    <w:rsid w:val="00233261"/>
    <w:rsid w:val="0023392C"/>
    <w:rsid w:val="00233DDA"/>
    <w:rsid w:val="00234382"/>
    <w:rsid w:val="002348CC"/>
    <w:rsid w:val="00234CEA"/>
    <w:rsid w:val="00234D39"/>
    <w:rsid w:val="00235492"/>
    <w:rsid w:val="00236977"/>
    <w:rsid w:val="00236A29"/>
    <w:rsid w:val="00236E23"/>
    <w:rsid w:val="002378A7"/>
    <w:rsid w:val="00240497"/>
    <w:rsid w:val="002411C2"/>
    <w:rsid w:val="0024129A"/>
    <w:rsid w:val="002413DC"/>
    <w:rsid w:val="00241BBF"/>
    <w:rsid w:val="00243483"/>
    <w:rsid w:val="00243A61"/>
    <w:rsid w:val="00243B0B"/>
    <w:rsid w:val="00243F67"/>
    <w:rsid w:val="002442CF"/>
    <w:rsid w:val="002444F0"/>
    <w:rsid w:val="002446E2"/>
    <w:rsid w:val="002448D7"/>
    <w:rsid w:val="002449FB"/>
    <w:rsid w:val="00244AF4"/>
    <w:rsid w:val="00244FD2"/>
    <w:rsid w:val="002451E2"/>
    <w:rsid w:val="00245360"/>
    <w:rsid w:val="00245428"/>
    <w:rsid w:val="002454AD"/>
    <w:rsid w:val="00245E43"/>
    <w:rsid w:val="00247B8C"/>
    <w:rsid w:val="0025020D"/>
    <w:rsid w:val="00250F52"/>
    <w:rsid w:val="0025125D"/>
    <w:rsid w:val="0025178D"/>
    <w:rsid w:val="00251890"/>
    <w:rsid w:val="002528DD"/>
    <w:rsid w:val="00253AB2"/>
    <w:rsid w:val="002548DB"/>
    <w:rsid w:val="00254D05"/>
    <w:rsid w:val="00254DF0"/>
    <w:rsid w:val="002550BB"/>
    <w:rsid w:val="002559F2"/>
    <w:rsid w:val="00255AF2"/>
    <w:rsid w:val="00256E7E"/>
    <w:rsid w:val="002570F3"/>
    <w:rsid w:val="00257102"/>
    <w:rsid w:val="002575CE"/>
    <w:rsid w:val="00260218"/>
    <w:rsid w:val="002609B8"/>
    <w:rsid w:val="00261830"/>
    <w:rsid w:val="00261C5F"/>
    <w:rsid w:val="00261D9F"/>
    <w:rsid w:val="00261E40"/>
    <w:rsid w:val="002620AE"/>
    <w:rsid w:val="00262826"/>
    <w:rsid w:val="00262CB9"/>
    <w:rsid w:val="00263896"/>
    <w:rsid w:val="00264309"/>
    <w:rsid w:val="0026449A"/>
    <w:rsid w:val="002649CE"/>
    <w:rsid w:val="002649F9"/>
    <w:rsid w:val="00265B52"/>
    <w:rsid w:val="00265DA1"/>
    <w:rsid w:val="002660F7"/>
    <w:rsid w:val="00266649"/>
    <w:rsid w:val="00267192"/>
    <w:rsid w:val="0026723B"/>
    <w:rsid w:val="002675F4"/>
    <w:rsid w:val="00267E6F"/>
    <w:rsid w:val="00270214"/>
    <w:rsid w:val="00270421"/>
    <w:rsid w:val="002704A1"/>
    <w:rsid w:val="00270882"/>
    <w:rsid w:val="00270A9E"/>
    <w:rsid w:val="00270BA4"/>
    <w:rsid w:val="00270CD0"/>
    <w:rsid w:val="002712E0"/>
    <w:rsid w:val="00271370"/>
    <w:rsid w:val="00271C78"/>
    <w:rsid w:val="00272420"/>
    <w:rsid w:val="0027268E"/>
    <w:rsid w:val="00273017"/>
    <w:rsid w:val="00273978"/>
    <w:rsid w:val="0027397E"/>
    <w:rsid w:val="0027449F"/>
    <w:rsid w:val="00274AC3"/>
    <w:rsid w:val="00275636"/>
    <w:rsid w:val="00276DDA"/>
    <w:rsid w:val="00277320"/>
    <w:rsid w:val="002777F2"/>
    <w:rsid w:val="00277D59"/>
    <w:rsid w:val="00280EFE"/>
    <w:rsid w:val="00281C57"/>
    <w:rsid w:val="00281F9B"/>
    <w:rsid w:val="002822E5"/>
    <w:rsid w:val="00282E07"/>
    <w:rsid w:val="00282E86"/>
    <w:rsid w:val="002831EF"/>
    <w:rsid w:val="0028364E"/>
    <w:rsid w:val="00283945"/>
    <w:rsid w:val="00283C02"/>
    <w:rsid w:val="00283C89"/>
    <w:rsid w:val="00283DC3"/>
    <w:rsid w:val="00283EB9"/>
    <w:rsid w:val="002843DC"/>
    <w:rsid w:val="002852C2"/>
    <w:rsid w:val="00285474"/>
    <w:rsid w:val="00285F83"/>
    <w:rsid w:val="002867A9"/>
    <w:rsid w:val="0028688D"/>
    <w:rsid w:val="00286CD7"/>
    <w:rsid w:val="00286E2F"/>
    <w:rsid w:val="0028728E"/>
    <w:rsid w:val="00287BB2"/>
    <w:rsid w:val="002901BE"/>
    <w:rsid w:val="00290D22"/>
    <w:rsid w:val="00290F76"/>
    <w:rsid w:val="002918AC"/>
    <w:rsid w:val="002929D3"/>
    <w:rsid w:val="00293507"/>
    <w:rsid w:val="00294177"/>
    <w:rsid w:val="002945A9"/>
    <w:rsid w:val="002945F8"/>
    <w:rsid w:val="00294C49"/>
    <w:rsid w:val="002955D8"/>
    <w:rsid w:val="002965E1"/>
    <w:rsid w:val="002972C2"/>
    <w:rsid w:val="00297678"/>
    <w:rsid w:val="00297BAF"/>
    <w:rsid w:val="002A00A8"/>
    <w:rsid w:val="002A0B19"/>
    <w:rsid w:val="002A0E60"/>
    <w:rsid w:val="002A11E1"/>
    <w:rsid w:val="002A1494"/>
    <w:rsid w:val="002A16EE"/>
    <w:rsid w:val="002A17EB"/>
    <w:rsid w:val="002A18BD"/>
    <w:rsid w:val="002A1AE8"/>
    <w:rsid w:val="002A1F68"/>
    <w:rsid w:val="002A207E"/>
    <w:rsid w:val="002A2E21"/>
    <w:rsid w:val="002A30EE"/>
    <w:rsid w:val="002A319D"/>
    <w:rsid w:val="002A47CF"/>
    <w:rsid w:val="002A4B67"/>
    <w:rsid w:val="002A539E"/>
    <w:rsid w:val="002A5578"/>
    <w:rsid w:val="002A5896"/>
    <w:rsid w:val="002A622F"/>
    <w:rsid w:val="002A6DB4"/>
    <w:rsid w:val="002A7AE6"/>
    <w:rsid w:val="002A7AFC"/>
    <w:rsid w:val="002B0DA6"/>
    <w:rsid w:val="002B1067"/>
    <w:rsid w:val="002B2AA7"/>
    <w:rsid w:val="002B30A0"/>
    <w:rsid w:val="002B3E5B"/>
    <w:rsid w:val="002B3F6F"/>
    <w:rsid w:val="002B443A"/>
    <w:rsid w:val="002B4A17"/>
    <w:rsid w:val="002B4ECC"/>
    <w:rsid w:val="002B503F"/>
    <w:rsid w:val="002B5362"/>
    <w:rsid w:val="002B5A0D"/>
    <w:rsid w:val="002B5DED"/>
    <w:rsid w:val="002B6143"/>
    <w:rsid w:val="002B6172"/>
    <w:rsid w:val="002B6AB7"/>
    <w:rsid w:val="002B6FEE"/>
    <w:rsid w:val="002B73FE"/>
    <w:rsid w:val="002B7548"/>
    <w:rsid w:val="002C0001"/>
    <w:rsid w:val="002C0495"/>
    <w:rsid w:val="002C0C2E"/>
    <w:rsid w:val="002C207C"/>
    <w:rsid w:val="002C298E"/>
    <w:rsid w:val="002C339C"/>
    <w:rsid w:val="002C4C79"/>
    <w:rsid w:val="002C5AB0"/>
    <w:rsid w:val="002C5DBD"/>
    <w:rsid w:val="002C70F5"/>
    <w:rsid w:val="002C7168"/>
    <w:rsid w:val="002C7670"/>
    <w:rsid w:val="002C7C81"/>
    <w:rsid w:val="002D05C3"/>
    <w:rsid w:val="002D09D0"/>
    <w:rsid w:val="002D158D"/>
    <w:rsid w:val="002D16AF"/>
    <w:rsid w:val="002D2B2F"/>
    <w:rsid w:val="002D2DCF"/>
    <w:rsid w:val="002D37FB"/>
    <w:rsid w:val="002D3903"/>
    <w:rsid w:val="002D39EF"/>
    <w:rsid w:val="002D3B30"/>
    <w:rsid w:val="002D3D41"/>
    <w:rsid w:val="002D43BE"/>
    <w:rsid w:val="002D44C4"/>
    <w:rsid w:val="002D4697"/>
    <w:rsid w:val="002D4928"/>
    <w:rsid w:val="002D4942"/>
    <w:rsid w:val="002D499A"/>
    <w:rsid w:val="002D4ABA"/>
    <w:rsid w:val="002D4C56"/>
    <w:rsid w:val="002D5D83"/>
    <w:rsid w:val="002D5FCC"/>
    <w:rsid w:val="002D64BE"/>
    <w:rsid w:val="002D68A2"/>
    <w:rsid w:val="002D6C62"/>
    <w:rsid w:val="002D6DB0"/>
    <w:rsid w:val="002D6F47"/>
    <w:rsid w:val="002D6FDE"/>
    <w:rsid w:val="002E0255"/>
    <w:rsid w:val="002E0E0E"/>
    <w:rsid w:val="002E1252"/>
    <w:rsid w:val="002E12D6"/>
    <w:rsid w:val="002E1964"/>
    <w:rsid w:val="002E1B47"/>
    <w:rsid w:val="002E29B9"/>
    <w:rsid w:val="002E3C12"/>
    <w:rsid w:val="002E49C0"/>
    <w:rsid w:val="002E4FF7"/>
    <w:rsid w:val="002E56DA"/>
    <w:rsid w:val="002E5D80"/>
    <w:rsid w:val="002E60A6"/>
    <w:rsid w:val="002E6B1D"/>
    <w:rsid w:val="002E7217"/>
    <w:rsid w:val="002E746A"/>
    <w:rsid w:val="002E771E"/>
    <w:rsid w:val="002E79CA"/>
    <w:rsid w:val="002F0053"/>
    <w:rsid w:val="002F00C6"/>
    <w:rsid w:val="002F0231"/>
    <w:rsid w:val="002F0934"/>
    <w:rsid w:val="002F2255"/>
    <w:rsid w:val="002F2880"/>
    <w:rsid w:val="002F4146"/>
    <w:rsid w:val="002F47E8"/>
    <w:rsid w:val="002F4944"/>
    <w:rsid w:val="002F4AF3"/>
    <w:rsid w:val="002F4DBF"/>
    <w:rsid w:val="002F502C"/>
    <w:rsid w:val="002F52C8"/>
    <w:rsid w:val="002F5478"/>
    <w:rsid w:val="002F5884"/>
    <w:rsid w:val="002F58C6"/>
    <w:rsid w:val="002F5943"/>
    <w:rsid w:val="002F6043"/>
    <w:rsid w:val="002F672D"/>
    <w:rsid w:val="002F6AB1"/>
    <w:rsid w:val="002F6BC9"/>
    <w:rsid w:val="002F76F9"/>
    <w:rsid w:val="002F7828"/>
    <w:rsid w:val="002F7BBA"/>
    <w:rsid w:val="002F7C45"/>
    <w:rsid w:val="002F7C59"/>
    <w:rsid w:val="002F7FFC"/>
    <w:rsid w:val="003001C3"/>
    <w:rsid w:val="00300675"/>
    <w:rsid w:val="003016B6"/>
    <w:rsid w:val="00302955"/>
    <w:rsid w:val="003029BE"/>
    <w:rsid w:val="00303084"/>
    <w:rsid w:val="0030403E"/>
    <w:rsid w:val="0030461F"/>
    <w:rsid w:val="00304A49"/>
    <w:rsid w:val="0030559B"/>
    <w:rsid w:val="003057FE"/>
    <w:rsid w:val="00305D90"/>
    <w:rsid w:val="00305F9D"/>
    <w:rsid w:val="003065F0"/>
    <w:rsid w:val="00306797"/>
    <w:rsid w:val="003072C5"/>
    <w:rsid w:val="00307487"/>
    <w:rsid w:val="00307A40"/>
    <w:rsid w:val="00307E36"/>
    <w:rsid w:val="003105C5"/>
    <w:rsid w:val="003110E2"/>
    <w:rsid w:val="0031111C"/>
    <w:rsid w:val="003111F6"/>
    <w:rsid w:val="003112CC"/>
    <w:rsid w:val="003117EC"/>
    <w:rsid w:val="00311906"/>
    <w:rsid w:val="00311D83"/>
    <w:rsid w:val="00312049"/>
    <w:rsid w:val="00312AD6"/>
    <w:rsid w:val="00312E6B"/>
    <w:rsid w:val="00313A60"/>
    <w:rsid w:val="0031423A"/>
    <w:rsid w:val="0031478E"/>
    <w:rsid w:val="0031555D"/>
    <w:rsid w:val="00315AC6"/>
    <w:rsid w:val="0031680A"/>
    <w:rsid w:val="003170D1"/>
    <w:rsid w:val="003175EE"/>
    <w:rsid w:val="00317B33"/>
    <w:rsid w:val="00317CFA"/>
    <w:rsid w:val="003202B6"/>
    <w:rsid w:val="00320F40"/>
    <w:rsid w:val="003214E9"/>
    <w:rsid w:val="0032161F"/>
    <w:rsid w:val="00321671"/>
    <w:rsid w:val="00321F2D"/>
    <w:rsid w:val="00322095"/>
    <w:rsid w:val="00323735"/>
    <w:rsid w:val="00323C57"/>
    <w:rsid w:val="003247DA"/>
    <w:rsid w:val="003255D6"/>
    <w:rsid w:val="00326152"/>
    <w:rsid w:val="003305B6"/>
    <w:rsid w:val="003309BF"/>
    <w:rsid w:val="003322D1"/>
    <w:rsid w:val="0033246B"/>
    <w:rsid w:val="003334F1"/>
    <w:rsid w:val="00333654"/>
    <w:rsid w:val="003343F1"/>
    <w:rsid w:val="00335B06"/>
    <w:rsid w:val="00335CFC"/>
    <w:rsid w:val="00335D92"/>
    <w:rsid w:val="00335F9D"/>
    <w:rsid w:val="0033601F"/>
    <w:rsid w:val="003360E2"/>
    <w:rsid w:val="0033657A"/>
    <w:rsid w:val="0033662D"/>
    <w:rsid w:val="0033668F"/>
    <w:rsid w:val="003371CA"/>
    <w:rsid w:val="00337B13"/>
    <w:rsid w:val="00337D08"/>
    <w:rsid w:val="00340333"/>
    <w:rsid w:val="00340BEC"/>
    <w:rsid w:val="00340D36"/>
    <w:rsid w:val="00340EA2"/>
    <w:rsid w:val="00341452"/>
    <w:rsid w:val="0034164F"/>
    <w:rsid w:val="00341DE9"/>
    <w:rsid w:val="00341F75"/>
    <w:rsid w:val="00342057"/>
    <w:rsid w:val="00342242"/>
    <w:rsid w:val="003425AA"/>
    <w:rsid w:val="00342903"/>
    <w:rsid w:val="00343B40"/>
    <w:rsid w:val="00343D06"/>
    <w:rsid w:val="00344D4C"/>
    <w:rsid w:val="00346165"/>
    <w:rsid w:val="0034621E"/>
    <w:rsid w:val="00346BB0"/>
    <w:rsid w:val="00347B46"/>
    <w:rsid w:val="003509A5"/>
    <w:rsid w:val="00350E6F"/>
    <w:rsid w:val="00350FC0"/>
    <w:rsid w:val="00351333"/>
    <w:rsid w:val="00351406"/>
    <w:rsid w:val="00351B3A"/>
    <w:rsid w:val="00351D37"/>
    <w:rsid w:val="00352906"/>
    <w:rsid w:val="00353331"/>
    <w:rsid w:val="00353930"/>
    <w:rsid w:val="00353C58"/>
    <w:rsid w:val="003546F8"/>
    <w:rsid w:val="00354751"/>
    <w:rsid w:val="003562BA"/>
    <w:rsid w:val="00356491"/>
    <w:rsid w:val="00357CD6"/>
    <w:rsid w:val="003601BC"/>
    <w:rsid w:val="00360922"/>
    <w:rsid w:val="00360EFB"/>
    <w:rsid w:val="00361668"/>
    <w:rsid w:val="00361751"/>
    <w:rsid w:val="00361E70"/>
    <w:rsid w:val="00362753"/>
    <w:rsid w:val="00362816"/>
    <w:rsid w:val="003635A9"/>
    <w:rsid w:val="00363C04"/>
    <w:rsid w:val="003640D4"/>
    <w:rsid w:val="003645AD"/>
    <w:rsid w:val="00364AEF"/>
    <w:rsid w:val="00364B14"/>
    <w:rsid w:val="00364D6A"/>
    <w:rsid w:val="003659CA"/>
    <w:rsid w:val="00365AD0"/>
    <w:rsid w:val="00365FC5"/>
    <w:rsid w:val="0036623E"/>
    <w:rsid w:val="00366CE9"/>
    <w:rsid w:val="0036713E"/>
    <w:rsid w:val="003724EB"/>
    <w:rsid w:val="00372EB2"/>
    <w:rsid w:val="0037337B"/>
    <w:rsid w:val="00373862"/>
    <w:rsid w:val="00373951"/>
    <w:rsid w:val="00373CB9"/>
    <w:rsid w:val="00373D7C"/>
    <w:rsid w:val="0037432F"/>
    <w:rsid w:val="003745C3"/>
    <w:rsid w:val="003745E8"/>
    <w:rsid w:val="003747B3"/>
    <w:rsid w:val="00374D8B"/>
    <w:rsid w:val="00374DB7"/>
    <w:rsid w:val="00375543"/>
    <w:rsid w:val="00375629"/>
    <w:rsid w:val="003758C8"/>
    <w:rsid w:val="00375A47"/>
    <w:rsid w:val="00375D94"/>
    <w:rsid w:val="00376E3F"/>
    <w:rsid w:val="003771B4"/>
    <w:rsid w:val="003771DB"/>
    <w:rsid w:val="00377325"/>
    <w:rsid w:val="0037748A"/>
    <w:rsid w:val="003776B2"/>
    <w:rsid w:val="00380CA9"/>
    <w:rsid w:val="00382191"/>
    <w:rsid w:val="003821AB"/>
    <w:rsid w:val="00382902"/>
    <w:rsid w:val="00382A6E"/>
    <w:rsid w:val="00382C48"/>
    <w:rsid w:val="00382D0A"/>
    <w:rsid w:val="003838C9"/>
    <w:rsid w:val="00383AB4"/>
    <w:rsid w:val="003842F6"/>
    <w:rsid w:val="00384B97"/>
    <w:rsid w:val="00384C95"/>
    <w:rsid w:val="00384D6A"/>
    <w:rsid w:val="00384D77"/>
    <w:rsid w:val="00385151"/>
    <w:rsid w:val="003864C5"/>
    <w:rsid w:val="00387836"/>
    <w:rsid w:val="003903FF"/>
    <w:rsid w:val="0039046C"/>
    <w:rsid w:val="00390615"/>
    <w:rsid w:val="00391B1F"/>
    <w:rsid w:val="00391DF7"/>
    <w:rsid w:val="00391F51"/>
    <w:rsid w:val="00392782"/>
    <w:rsid w:val="003928CB"/>
    <w:rsid w:val="00392B62"/>
    <w:rsid w:val="0039389C"/>
    <w:rsid w:val="00393BE6"/>
    <w:rsid w:val="00394890"/>
    <w:rsid w:val="003953D5"/>
    <w:rsid w:val="00395505"/>
    <w:rsid w:val="00395DDD"/>
    <w:rsid w:val="003962FE"/>
    <w:rsid w:val="00396521"/>
    <w:rsid w:val="003965B8"/>
    <w:rsid w:val="00396F0C"/>
    <w:rsid w:val="00397B12"/>
    <w:rsid w:val="003A0280"/>
    <w:rsid w:val="003A0671"/>
    <w:rsid w:val="003A0BC3"/>
    <w:rsid w:val="003A0D2F"/>
    <w:rsid w:val="003A0F15"/>
    <w:rsid w:val="003A10FB"/>
    <w:rsid w:val="003A13B0"/>
    <w:rsid w:val="003A1A97"/>
    <w:rsid w:val="003A2162"/>
    <w:rsid w:val="003A24A1"/>
    <w:rsid w:val="003A2521"/>
    <w:rsid w:val="003A3480"/>
    <w:rsid w:val="003A35C4"/>
    <w:rsid w:val="003A457D"/>
    <w:rsid w:val="003A48AC"/>
    <w:rsid w:val="003A4B5C"/>
    <w:rsid w:val="003A4D82"/>
    <w:rsid w:val="003A4E51"/>
    <w:rsid w:val="003A5F13"/>
    <w:rsid w:val="003A6020"/>
    <w:rsid w:val="003A6CAD"/>
    <w:rsid w:val="003A6D60"/>
    <w:rsid w:val="003A772F"/>
    <w:rsid w:val="003A7AB1"/>
    <w:rsid w:val="003A7C74"/>
    <w:rsid w:val="003B06BF"/>
    <w:rsid w:val="003B0D5B"/>
    <w:rsid w:val="003B251C"/>
    <w:rsid w:val="003B3603"/>
    <w:rsid w:val="003B3DD6"/>
    <w:rsid w:val="003B4657"/>
    <w:rsid w:val="003B5B9F"/>
    <w:rsid w:val="003B7089"/>
    <w:rsid w:val="003B77FC"/>
    <w:rsid w:val="003B785C"/>
    <w:rsid w:val="003B7D6A"/>
    <w:rsid w:val="003B7F18"/>
    <w:rsid w:val="003C0392"/>
    <w:rsid w:val="003C0853"/>
    <w:rsid w:val="003C0BAB"/>
    <w:rsid w:val="003C0FC7"/>
    <w:rsid w:val="003C18CA"/>
    <w:rsid w:val="003C24D7"/>
    <w:rsid w:val="003C2A7D"/>
    <w:rsid w:val="003C4855"/>
    <w:rsid w:val="003C4A1A"/>
    <w:rsid w:val="003C4BF6"/>
    <w:rsid w:val="003C4E67"/>
    <w:rsid w:val="003C52F2"/>
    <w:rsid w:val="003C54BE"/>
    <w:rsid w:val="003C5F12"/>
    <w:rsid w:val="003C608A"/>
    <w:rsid w:val="003C60A4"/>
    <w:rsid w:val="003C6ED7"/>
    <w:rsid w:val="003C7E76"/>
    <w:rsid w:val="003C7F9A"/>
    <w:rsid w:val="003D0307"/>
    <w:rsid w:val="003D038E"/>
    <w:rsid w:val="003D0453"/>
    <w:rsid w:val="003D0985"/>
    <w:rsid w:val="003D1015"/>
    <w:rsid w:val="003D1B18"/>
    <w:rsid w:val="003D1B8F"/>
    <w:rsid w:val="003D1E44"/>
    <w:rsid w:val="003D1E75"/>
    <w:rsid w:val="003D349B"/>
    <w:rsid w:val="003D35F6"/>
    <w:rsid w:val="003D3647"/>
    <w:rsid w:val="003D3AC8"/>
    <w:rsid w:val="003D3BF0"/>
    <w:rsid w:val="003D444B"/>
    <w:rsid w:val="003D4488"/>
    <w:rsid w:val="003D54C0"/>
    <w:rsid w:val="003D55C1"/>
    <w:rsid w:val="003D55E5"/>
    <w:rsid w:val="003D5930"/>
    <w:rsid w:val="003D64E9"/>
    <w:rsid w:val="003D7390"/>
    <w:rsid w:val="003D7D0E"/>
    <w:rsid w:val="003E0E7B"/>
    <w:rsid w:val="003E12EC"/>
    <w:rsid w:val="003E161C"/>
    <w:rsid w:val="003E192B"/>
    <w:rsid w:val="003E1950"/>
    <w:rsid w:val="003E1D59"/>
    <w:rsid w:val="003E1D7D"/>
    <w:rsid w:val="003E2038"/>
    <w:rsid w:val="003E211D"/>
    <w:rsid w:val="003E28B6"/>
    <w:rsid w:val="003E2A1F"/>
    <w:rsid w:val="003E2CB0"/>
    <w:rsid w:val="003E34D4"/>
    <w:rsid w:val="003E38D3"/>
    <w:rsid w:val="003E3E13"/>
    <w:rsid w:val="003E44B8"/>
    <w:rsid w:val="003E4555"/>
    <w:rsid w:val="003E47AA"/>
    <w:rsid w:val="003E5319"/>
    <w:rsid w:val="003E5454"/>
    <w:rsid w:val="003E57BB"/>
    <w:rsid w:val="003E581C"/>
    <w:rsid w:val="003E59E0"/>
    <w:rsid w:val="003E5AEC"/>
    <w:rsid w:val="003E61C1"/>
    <w:rsid w:val="003E650E"/>
    <w:rsid w:val="003E6FA4"/>
    <w:rsid w:val="003E7B6D"/>
    <w:rsid w:val="003E7B92"/>
    <w:rsid w:val="003E7D49"/>
    <w:rsid w:val="003F0847"/>
    <w:rsid w:val="003F200A"/>
    <w:rsid w:val="003F2244"/>
    <w:rsid w:val="003F2634"/>
    <w:rsid w:val="003F2F96"/>
    <w:rsid w:val="003F40A1"/>
    <w:rsid w:val="003F4581"/>
    <w:rsid w:val="003F4921"/>
    <w:rsid w:val="003F57CA"/>
    <w:rsid w:val="003F602A"/>
    <w:rsid w:val="003F645C"/>
    <w:rsid w:val="003F6C16"/>
    <w:rsid w:val="003F6E3C"/>
    <w:rsid w:val="003F7AC9"/>
    <w:rsid w:val="003F7D63"/>
    <w:rsid w:val="003F7E4D"/>
    <w:rsid w:val="003F7EBD"/>
    <w:rsid w:val="00400267"/>
    <w:rsid w:val="00400B55"/>
    <w:rsid w:val="00401E8E"/>
    <w:rsid w:val="00402936"/>
    <w:rsid w:val="00402EEF"/>
    <w:rsid w:val="004040A4"/>
    <w:rsid w:val="0040495A"/>
    <w:rsid w:val="00404A66"/>
    <w:rsid w:val="004055D3"/>
    <w:rsid w:val="00405840"/>
    <w:rsid w:val="00405A2D"/>
    <w:rsid w:val="00405E6B"/>
    <w:rsid w:val="00406457"/>
    <w:rsid w:val="004072B4"/>
    <w:rsid w:val="004102BD"/>
    <w:rsid w:val="004114F7"/>
    <w:rsid w:val="004119BA"/>
    <w:rsid w:val="00412828"/>
    <w:rsid w:val="00412AF9"/>
    <w:rsid w:val="00412E28"/>
    <w:rsid w:val="00412F8D"/>
    <w:rsid w:val="00412F9A"/>
    <w:rsid w:val="00413309"/>
    <w:rsid w:val="00413B88"/>
    <w:rsid w:val="00413CD6"/>
    <w:rsid w:val="00413D20"/>
    <w:rsid w:val="00413E7C"/>
    <w:rsid w:val="00413F58"/>
    <w:rsid w:val="00413FCF"/>
    <w:rsid w:val="00414642"/>
    <w:rsid w:val="00414928"/>
    <w:rsid w:val="004152B4"/>
    <w:rsid w:val="0041530B"/>
    <w:rsid w:val="00415430"/>
    <w:rsid w:val="004155E0"/>
    <w:rsid w:val="00415A31"/>
    <w:rsid w:val="00415BF8"/>
    <w:rsid w:val="00415E89"/>
    <w:rsid w:val="00416136"/>
    <w:rsid w:val="0041639B"/>
    <w:rsid w:val="00416621"/>
    <w:rsid w:val="00416B52"/>
    <w:rsid w:val="00416DA0"/>
    <w:rsid w:val="004171A9"/>
    <w:rsid w:val="004175E6"/>
    <w:rsid w:val="00417662"/>
    <w:rsid w:val="0041783B"/>
    <w:rsid w:val="00417BC6"/>
    <w:rsid w:val="004207A5"/>
    <w:rsid w:val="00420E9B"/>
    <w:rsid w:val="00420F1F"/>
    <w:rsid w:val="004210EA"/>
    <w:rsid w:val="004215EB"/>
    <w:rsid w:val="00421CA9"/>
    <w:rsid w:val="004225DA"/>
    <w:rsid w:val="00422B56"/>
    <w:rsid w:val="00422CD9"/>
    <w:rsid w:val="00423853"/>
    <w:rsid w:val="0042493D"/>
    <w:rsid w:val="00425023"/>
    <w:rsid w:val="00425B85"/>
    <w:rsid w:val="00425BFF"/>
    <w:rsid w:val="00425CF3"/>
    <w:rsid w:val="00426A34"/>
    <w:rsid w:val="00427A65"/>
    <w:rsid w:val="00427A86"/>
    <w:rsid w:val="00427BD0"/>
    <w:rsid w:val="00427CF8"/>
    <w:rsid w:val="00427E18"/>
    <w:rsid w:val="00427F67"/>
    <w:rsid w:val="00427F6C"/>
    <w:rsid w:val="004302F6"/>
    <w:rsid w:val="00430588"/>
    <w:rsid w:val="004311B4"/>
    <w:rsid w:val="0043158B"/>
    <w:rsid w:val="00431CBF"/>
    <w:rsid w:val="00432107"/>
    <w:rsid w:val="004324A8"/>
    <w:rsid w:val="00432E1D"/>
    <w:rsid w:val="00433214"/>
    <w:rsid w:val="004336AC"/>
    <w:rsid w:val="004340FC"/>
    <w:rsid w:val="00434142"/>
    <w:rsid w:val="0043420F"/>
    <w:rsid w:val="00434743"/>
    <w:rsid w:val="00434783"/>
    <w:rsid w:val="0043506B"/>
    <w:rsid w:val="00435824"/>
    <w:rsid w:val="00435981"/>
    <w:rsid w:val="00435F6E"/>
    <w:rsid w:val="00436FF9"/>
    <w:rsid w:val="00437EB7"/>
    <w:rsid w:val="00437FBF"/>
    <w:rsid w:val="004424F8"/>
    <w:rsid w:val="004435B5"/>
    <w:rsid w:val="00444072"/>
    <w:rsid w:val="0044423C"/>
    <w:rsid w:val="0044430C"/>
    <w:rsid w:val="004445D5"/>
    <w:rsid w:val="00444E20"/>
    <w:rsid w:val="00444EDA"/>
    <w:rsid w:val="00445F0D"/>
    <w:rsid w:val="00446195"/>
    <w:rsid w:val="004463D3"/>
    <w:rsid w:val="00447173"/>
    <w:rsid w:val="00447537"/>
    <w:rsid w:val="0044759C"/>
    <w:rsid w:val="0044769F"/>
    <w:rsid w:val="004477A5"/>
    <w:rsid w:val="00447D22"/>
    <w:rsid w:val="00447D4C"/>
    <w:rsid w:val="004502D0"/>
    <w:rsid w:val="004503C0"/>
    <w:rsid w:val="00450D42"/>
    <w:rsid w:val="00450D7F"/>
    <w:rsid w:val="00451A51"/>
    <w:rsid w:val="00451D88"/>
    <w:rsid w:val="00452209"/>
    <w:rsid w:val="00452285"/>
    <w:rsid w:val="00453348"/>
    <w:rsid w:val="00453FB5"/>
    <w:rsid w:val="004545DD"/>
    <w:rsid w:val="00455B8A"/>
    <w:rsid w:val="00455D29"/>
    <w:rsid w:val="00456260"/>
    <w:rsid w:val="00456A85"/>
    <w:rsid w:val="00457205"/>
    <w:rsid w:val="004577D7"/>
    <w:rsid w:val="00457BC2"/>
    <w:rsid w:val="0046001B"/>
    <w:rsid w:val="00460026"/>
    <w:rsid w:val="00460563"/>
    <w:rsid w:val="004605ED"/>
    <w:rsid w:val="00460787"/>
    <w:rsid w:val="00460D68"/>
    <w:rsid w:val="00461133"/>
    <w:rsid w:val="0046189C"/>
    <w:rsid w:val="004622A3"/>
    <w:rsid w:val="004625ED"/>
    <w:rsid w:val="0046261A"/>
    <w:rsid w:val="00462A8C"/>
    <w:rsid w:val="0046475E"/>
    <w:rsid w:val="00464FDE"/>
    <w:rsid w:val="0046558E"/>
    <w:rsid w:val="004656E2"/>
    <w:rsid w:val="0046583F"/>
    <w:rsid w:val="00466885"/>
    <w:rsid w:val="00467740"/>
    <w:rsid w:val="004679AE"/>
    <w:rsid w:val="00467A1B"/>
    <w:rsid w:val="004700C9"/>
    <w:rsid w:val="00470208"/>
    <w:rsid w:val="004707E5"/>
    <w:rsid w:val="00470B1F"/>
    <w:rsid w:val="0047194E"/>
    <w:rsid w:val="00471952"/>
    <w:rsid w:val="00472380"/>
    <w:rsid w:val="00472DD9"/>
    <w:rsid w:val="004734A0"/>
    <w:rsid w:val="0047416B"/>
    <w:rsid w:val="0047439C"/>
    <w:rsid w:val="00474979"/>
    <w:rsid w:val="00474AB2"/>
    <w:rsid w:val="00474F32"/>
    <w:rsid w:val="004757A4"/>
    <w:rsid w:val="004767D9"/>
    <w:rsid w:val="004768E4"/>
    <w:rsid w:val="00476E67"/>
    <w:rsid w:val="0047790D"/>
    <w:rsid w:val="00477D73"/>
    <w:rsid w:val="00477EB5"/>
    <w:rsid w:val="00480462"/>
    <w:rsid w:val="00480E83"/>
    <w:rsid w:val="00480F54"/>
    <w:rsid w:val="00481981"/>
    <w:rsid w:val="00481A90"/>
    <w:rsid w:val="00481B5E"/>
    <w:rsid w:val="00481F48"/>
    <w:rsid w:val="00482921"/>
    <w:rsid w:val="00482AD5"/>
    <w:rsid w:val="004830E4"/>
    <w:rsid w:val="00483F77"/>
    <w:rsid w:val="00485020"/>
    <w:rsid w:val="00485911"/>
    <w:rsid w:val="00485D1C"/>
    <w:rsid w:val="00485DA0"/>
    <w:rsid w:val="00485FE1"/>
    <w:rsid w:val="004860B3"/>
    <w:rsid w:val="004869D5"/>
    <w:rsid w:val="004870F2"/>
    <w:rsid w:val="004878FC"/>
    <w:rsid w:val="00490AA5"/>
    <w:rsid w:val="00491FE2"/>
    <w:rsid w:val="004922C3"/>
    <w:rsid w:val="00492C55"/>
    <w:rsid w:val="0049308F"/>
    <w:rsid w:val="004936F0"/>
    <w:rsid w:val="00493A7F"/>
    <w:rsid w:val="00493FA4"/>
    <w:rsid w:val="00494B0C"/>
    <w:rsid w:val="00494C44"/>
    <w:rsid w:val="00495047"/>
    <w:rsid w:val="0049531C"/>
    <w:rsid w:val="00495BFD"/>
    <w:rsid w:val="00495EA8"/>
    <w:rsid w:val="00496790"/>
    <w:rsid w:val="004975DF"/>
    <w:rsid w:val="00497719"/>
    <w:rsid w:val="004A01F9"/>
    <w:rsid w:val="004A0B15"/>
    <w:rsid w:val="004A16FB"/>
    <w:rsid w:val="004A2818"/>
    <w:rsid w:val="004A2B30"/>
    <w:rsid w:val="004A3112"/>
    <w:rsid w:val="004A394F"/>
    <w:rsid w:val="004A399B"/>
    <w:rsid w:val="004A3C37"/>
    <w:rsid w:val="004A3C3A"/>
    <w:rsid w:val="004A3E32"/>
    <w:rsid w:val="004A3FA9"/>
    <w:rsid w:val="004A434A"/>
    <w:rsid w:val="004A4E69"/>
    <w:rsid w:val="004A54E5"/>
    <w:rsid w:val="004A587D"/>
    <w:rsid w:val="004A5CC7"/>
    <w:rsid w:val="004A5FC5"/>
    <w:rsid w:val="004A626F"/>
    <w:rsid w:val="004A63B5"/>
    <w:rsid w:val="004A645D"/>
    <w:rsid w:val="004A6695"/>
    <w:rsid w:val="004A7869"/>
    <w:rsid w:val="004A79F8"/>
    <w:rsid w:val="004B089B"/>
    <w:rsid w:val="004B0973"/>
    <w:rsid w:val="004B115C"/>
    <w:rsid w:val="004B1319"/>
    <w:rsid w:val="004B1EBF"/>
    <w:rsid w:val="004B2062"/>
    <w:rsid w:val="004B26A3"/>
    <w:rsid w:val="004B297D"/>
    <w:rsid w:val="004B2E53"/>
    <w:rsid w:val="004B30C9"/>
    <w:rsid w:val="004B33FE"/>
    <w:rsid w:val="004B40C4"/>
    <w:rsid w:val="004B4154"/>
    <w:rsid w:val="004B428F"/>
    <w:rsid w:val="004B4A5C"/>
    <w:rsid w:val="004B4DA7"/>
    <w:rsid w:val="004B5973"/>
    <w:rsid w:val="004B6F3A"/>
    <w:rsid w:val="004B7D0D"/>
    <w:rsid w:val="004B7DB0"/>
    <w:rsid w:val="004C03CD"/>
    <w:rsid w:val="004C0B27"/>
    <w:rsid w:val="004C0C51"/>
    <w:rsid w:val="004C0E4E"/>
    <w:rsid w:val="004C189E"/>
    <w:rsid w:val="004C1F7A"/>
    <w:rsid w:val="004C231B"/>
    <w:rsid w:val="004C342F"/>
    <w:rsid w:val="004C3573"/>
    <w:rsid w:val="004C4BAD"/>
    <w:rsid w:val="004C527D"/>
    <w:rsid w:val="004C52A4"/>
    <w:rsid w:val="004C5807"/>
    <w:rsid w:val="004C63CD"/>
    <w:rsid w:val="004C6A5D"/>
    <w:rsid w:val="004C6D00"/>
    <w:rsid w:val="004C71C6"/>
    <w:rsid w:val="004C779A"/>
    <w:rsid w:val="004C7848"/>
    <w:rsid w:val="004C7C07"/>
    <w:rsid w:val="004D0A0F"/>
    <w:rsid w:val="004D0A8D"/>
    <w:rsid w:val="004D0D5C"/>
    <w:rsid w:val="004D1756"/>
    <w:rsid w:val="004D200D"/>
    <w:rsid w:val="004D216A"/>
    <w:rsid w:val="004D2A2D"/>
    <w:rsid w:val="004D353C"/>
    <w:rsid w:val="004D3735"/>
    <w:rsid w:val="004D3D47"/>
    <w:rsid w:val="004D4462"/>
    <w:rsid w:val="004D49DD"/>
    <w:rsid w:val="004D4AFD"/>
    <w:rsid w:val="004D5390"/>
    <w:rsid w:val="004D5441"/>
    <w:rsid w:val="004D5AD6"/>
    <w:rsid w:val="004D60EB"/>
    <w:rsid w:val="004D6258"/>
    <w:rsid w:val="004D6523"/>
    <w:rsid w:val="004D74B4"/>
    <w:rsid w:val="004D7A3D"/>
    <w:rsid w:val="004E2EA5"/>
    <w:rsid w:val="004E3066"/>
    <w:rsid w:val="004E3F0C"/>
    <w:rsid w:val="004E4454"/>
    <w:rsid w:val="004E4944"/>
    <w:rsid w:val="004E555D"/>
    <w:rsid w:val="004E5DD8"/>
    <w:rsid w:val="004E66DF"/>
    <w:rsid w:val="004E7782"/>
    <w:rsid w:val="004E7CAE"/>
    <w:rsid w:val="004E7F26"/>
    <w:rsid w:val="004E7F78"/>
    <w:rsid w:val="004F04AD"/>
    <w:rsid w:val="004F0719"/>
    <w:rsid w:val="004F0DAA"/>
    <w:rsid w:val="004F13BC"/>
    <w:rsid w:val="004F1F2E"/>
    <w:rsid w:val="004F2962"/>
    <w:rsid w:val="004F3AF2"/>
    <w:rsid w:val="004F3B5C"/>
    <w:rsid w:val="004F5A9E"/>
    <w:rsid w:val="004F5E6F"/>
    <w:rsid w:val="004F61E4"/>
    <w:rsid w:val="004F65B5"/>
    <w:rsid w:val="004F773C"/>
    <w:rsid w:val="004F79B2"/>
    <w:rsid w:val="004F7E2C"/>
    <w:rsid w:val="005000A2"/>
    <w:rsid w:val="00500791"/>
    <w:rsid w:val="005007A3"/>
    <w:rsid w:val="00500921"/>
    <w:rsid w:val="00500E7B"/>
    <w:rsid w:val="0050264A"/>
    <w:rsid w:val="00502807"/>
    <w:rsid w:val="00502B66"/>
    <w:rsid w:val="00502E73"/>
    <w:rsid w:val="00502F12"/>
    <w:rsid w:val="005038D0"/>
    <w:rsid w:val="00503DF6"/>
    <w:rsid w:val="00503DFE"/>
    <w:rsid w:val="0050438C"/>
    <w:rsid w:val="005046AE"/>
    <w:rsid w:val="00504988"/>
    <w:rsid w:val="005049A7"/>
    <w:rsid w:val="00504ED2"/>
    <w:rsid w:val="00505A53"/>
    <w:rsid w:val="00505D4E"/>
    <w:rsid w:val="00505DF6"/>
    <w:rsid w:val="005062E8"/>
    <w:rsid w:val="005063EF"/>
    <w:rsid w:val="00506436"/>
    <w:rsid w:val="005068DC"/>
    <w:rsid w:val="00506C8C"/>
    <w:rsid w:val="0050729E"/>
    <w:rsid w:val="00507DC9"/>
    <w:rsid w:val="00507F0D"/>
    <w:rsid w:val="00510234"/>
    <w:rsid w:val="005104FE"/>
    <w:rsid w:val="00510F55"/>
    <w:rsid w:val="00511B7D"/>
    <w:rsid w:val="00512B2F"/>
    <w:rsid w:val="00513D93"/>
    <w:rsid w:val="00513F69"/>
    <w:rsid w:val="005147E6"/>
    <w:rsid w:val="00515085"/>
    <w:rsid w:val="005150FC"/>
    <w:rsid w:val="005156BB"/>
    <w:rsid w:val="00515A42"/>
    <w:rsid w:val="00516872"/>
    <w:rsid w:val="0051711C"/>
    <w:rsid w:val="00517B2F"/>
    <w:rsid w:val="00517DE6"/>
    <w:rsid w:val="00517FB8"/>
    <w:rsid w:val="00520584"/>
    <w:rsid w:val="00521A69"/>
    <w:rsid w:val="00521E7D"/>
    <w:rsid w:val="00521F62"/>
    <w:rsid w:val="00521FAC"/>
    <w:rsid w:val="00522202"/>
    <w:rsid w:val="005222BD"/>
    <w:rsid w:val="0052238A"/>
    <w:rsid w:val="00522A24"/>
    <w:rsid w:val="00522F8F"/>
    <w:rsid w:val="005239DA"/>
    <w:rsid w:val="00523AE2"/>
    <w:rsid w:val="00523B1E"/>
    <w:rsid w:val="00524882"/>
    <w:rsid w:val="00524B56"/>
    <w:rsid w:val="00524E22"/>
    <w:rsid w:val="00524EFA"/>
    <w:rsid w:val="005259B5"/>
    <w:rsid w:val="00526B0F"/>
    <w:rsid w:val="00526D36"/>
    <w:rsid w:val="00526F49"/>
    <w:rsid w:val="005271B8"/>
    <w:rsid w:val="00527580"/>
    <w:rsid w:val="005275DA"/>
    <w:rsid w:val="00527BED"/>
    <w:rsid w:val="00527FA7"/>
    <w:rsid w:val="0053023E"/>
    <w:rsid w:val="00530903"/>
    <w:rsid w:val="00530BEA"/>
    <w:rsid w:val="00531494"/>
    <w:rsid w:val="00532A0F"/>
    <w:rsid w:val="0053300B"/>
    <w:rsid w:val="00533552"/>
    <w:rsid w:val="005339A7"/>
    <w:rsid w:val="00533B0E"/>
    <w:rsid w:val="00533B90"/>
    <w:rsid w:val="0053476A"/>
    <w:rsid w:val="00534985"/>
    <w:rsid w:val="00535274"/>
    <w:rsid w:val="00535BE7"/>
    <w:rsid w:val="00536DF0"/>
    <w:rsid w:val="00536F4C"/>
    <w:rsid w:val="00537172"/>
    <w:rsid w:val="0053784E"/>
    <w:rsid w:val="00537DC8"/>
    <w:rsid w:val="00540837"/>
    <w:rsid w:val="0054102B"/>
    <w:rsid w:val="00541141"/>
    <w:rsid w:val="0054157B"/>
    <w:rsid w:val="00541B9C"/>
    <w:rsid w:val="0054268A"/>
    <w:rsid w:val="00542E1F"/>
    <w:rsid w:val="005431E4"/>
    <w:rsid w:val="00543837"/>
    <w:rsid w:val="005438FD"/>
    <w:rsid w:val="005439A1"/>
    <w:rsid w:val="00544B09"/>
    <w:rsid w:val="00544FBC"/>
    <w:rsid w:val="00545330"/>
    <w:rsid w:val="00545368"/>
    <w:rsid w:val="005456A3"/>
    <w:rsid w:val="00545817"/>
    <w:rsid w:val="00545B60"/>
    <w:rsid w:val="00545D4E"/>
    <w:rsid w:val="00545E7B"/>
    <w:rsid w:val="00545FAA"/>
    <w:rsid w:val="0054664E"/>
    <w:rsid w:val="00547BE3"/>
    <w:rsid w:val="0055007C"/>
    <w:rsid w:val="005501A1"/>
    <w:rsid w:val="005504CA"/>
    <w:rsid w:val="00550F21"/>
    <w:rsid w:val="00551B05"/>
    <w:rsid w:val="00551D67"/>
    <w:rsid w:val="00551EA9"/>
    <w:rsid w:val="0055210E"/>
    <w:rsid w:val="005521E3"/>
    <w:rsid w:val="005524B3"/>
    <w:rsid w:val="0055429F"/>
    <w:rsid w:val="00554971"/>
    <w:rsid w:val="00554B3C"/>
    <w:rsid w:val="00554D0F"/>
    <w:rsid w:val="00555C4D"/>
    <w:rsid w:val="00555EDB"/>
    <w:rsid w:val="0055629F"/>
    <w:rsid w:val="00556AA6"/>
    <w:rsid w:val="005573A1"/>
    <w:rsid w:val="00557C96"/>
    <w:rsid w:val="00560159"/>
    <w:rsid w:val="0056046F"/>
    <w:rsid w:val="005604C7"/>
    <w:rsid w:val="00560500"/>
    <w:rsid w:val="005611F8"/>
    <w:rsid w:val="005612DA"/>
    <w:rsid w:val="00561B50"/>
    <w:rsid w:val="00562255"/>
    <w:rsid w:val="005625B9"/>
    <w:rsid w:val="0056352E"/>
    <w:rsid w:val="00563575"/>
    <w:rsid w:val="00563B3E"/>
    <w:rsid w:val="00564168"/>
    <w:rsid w:val="00564236"/>
    <w:rsid w:val="00564F5A"/>
    <w:rsid w:val="005655FC"/>
    <w:rsid w:val="005658BC"/>
    <w:rsid w:val="00565BB4"/>
    <w:rsid w:val="00565C17"/>
    <w:rsid w:val="00566AB8"/>
    <w:rsid w:val="00566DC2"/>
    <w:rsid w:val="0056787C"/>
    <w:rsid w:val="005678AC"/>
    <w:rsid w:val="005678BB"/>
    <w:rsid w:val="00570442"/>
    <w:rsid w:val="00570AE3"/>
    <w:rsid w:val="005714A9"/>
    <w:rsid w:val="00571789"/>
    <w:rsid w:val="00571F5C"/>
    <w:rsid w:val="0057287E"/>
    <w:rsid w:val="00572961"/>
    <w:rsid w:val="00573509"/>
    <w:rsid w:val="00573B2A"/>
    <w:rsid w:val="00573B76"/>
    <w:rsid w:val="00573C0A"/>
    <w:rsid w:val="005741F0"/>
    <w:rsid w:val="0057497F"/>
    <w:rsid w:val="00574B0A"/>
    <w:rsid w:val="0057591C"/>
    <w:rsid w:val="0057603C"/>
    <w:rsid w:val="005760D2"/>
    <w:rsid w:val="005764BA"/>
    <w:rsid w:val="00577633"/>
    <w:rsid w:val="00580635"/>
    <w:rsid w:val="00580ADD"/>
    <w:rsid w:val="00580E6B"/>
    <w:rsid w:val="00581A9A"/>
    <w:rsid w:val="005820F9"/>
    <w:rsid w:val="00582682"/>
    <w:rsid w:val="00582BF2"/>
    <w:rsid w:val="00582EBD"/>
    <w:rsid w:val="00583503"/>
    <w:rsid w:val="0058388E"/>
    <w:rsid w:val="00583AB9"/>
    <w:rsid w:val="00583F51"/>
    <w:rsid w:val="0058444D"/>
    <w:rsid w:val="005844F4"/>
    <w:rsid w:val="005845CB"/>
    <w:rsid w:val="00584C40"/>
    <w:rsid w:val="005857DC"/>
    <w:rsid w:val="0058580B"/>
    <w:rsid w:val="00585955"/>
    <w:rsid w:val="00586A17"/>
    <w:rsid w:val="00586D8A"/>
    <w:rsid w:val="00587F2A"/>
    <w:rsid w:val="00590831"/>
    <w:rsid w:val="00591064"/>
    <w:rsid w:val="00591905"/>
    <w:rsid w:val="00591993"/>
    <w:rsid w:val="00592111"/>
    <w:rsid w:val="00592969"/>
    <w:rsid w:val="00592C96"/>
    <w:rsid w:val="0059334C"/>
    <w:rsid w:val="005933F3"/>
    <w:rsid w:val="00593CE4"/>
    <w:rsid w:val="00594293"/>
    <w:rsid w:val="0059589C"/>
    <w:rsid w:val="0059658F"/>
    <w:rsid w:val="00596957"/>
    <w:rsid w:val="0059763D"/>
    <w:rsid w:val="00597F18"/>
    <w:rsid w:val="005A0A99"/>
    <w:rsid w:val="005A0E88"/>
    <w:rsid w:val="005A0EF9"/>
    <w:rsid w:val="005A15AF"/>
    <w:rsid w:val="005A21E1"/>
    <w:rsid w:val="005A2C0C"/>
    <w:rsid w:val="005A2E2F"/>
    <w:rsid w:val="005A3B26"/>
    <w:rsid w:val="005A51C3"/>
    <w:rsid w:val="005A540B"/>
    <w:rsid w:val="005A577E"/>
    <w:rsid w:val="005A5A13"/>
    <w:rsid w:val="005A5AAA"/>
    <w:rsid w:val="005A5B7F"/>
    <w:rsid w:val="005A5BB1"/>
    <w:rsid w:val="005A6135"/>
    <w:rsid w:val="005A75BF"/>
    <w:rsid w:val="005A7AEE"/>
    <w:rsid w:val="005B0D8D"/>
    <w:rsid w:val="005B1177"/>
    <w:rsid w:val="005B140A"/>
    <w:rsid w:val="005B145A"/>
    <w:rsid w:val="005B21DD"/>
    <w:rsid w:val="005B27C9"/>
    <w:rsid w:val="005B2875"/>
    <w:rsid w:val="005B2B05"/>
    <w:rsid w:val="005B2BF4"/>
    <w:rsid w:val="005B2F2C"/>
    <w:rsid w:val="005B3454"/>
    <w:rsid w:val="005B364A"/>
    <w:rsid w:val="005B3A56"/>
    <w:rsid w:val="005B4249"/>
    <w:rsid w:val="005B4764"/>
    <w:rsid w:val="005B521F"/>
    <w:rsid w:val="005B55C5"/>
    <w:rsid w:val="005B59E2"/>
    <w:rsid w:val="005B5A82"/>
    <w:rsid w:val="005B62F0"/>
    <w:rsid w:val="005B69E2"/>
    <w:rsid w:val="005B72A3"/>
    <w:rsid w:val="005B74B8"/>
    <w:rsid w:val="005B77F6"/>
    <w:rsid w:val="005B7C0A"/>
    <w:rsid w:val="005C020E"/>
    <w:rsid w:val="005C038A"/>
    <w:rsid w:val="005C03C1"/>
    <w:rsid w:val="005C0A36"/>
    <w:rsid w:val="005C0C9E"/>
    <w:rsid w:val="005C0FA2"/>
    <w:rsid w:val="005C10C5"/>
    <w:rsid w:val="005C1BF9"/>
    <w:rsid w:val="005C1DF1"/>
    <w:rsid w:val="005C2ACD"/>
    <w:rsid w:val="005C2D08"/>
    <w:rsid w:val="005C38DE"/>
    <w:rsid w:val="005C3AC8"/>
    <w:rsid w:val="005C5FCD"/>
    <w:rsid w:val="005C639C"/>
    <w:rsid w:val="005C6B61"/>
    <w:rsid w:val="005C6D87"/>
    <w:rsid w:val="005C6E82"/>
    <w:rsid w:val="005C7BA4"/>
    <w:rsid w:val="005C7F0A"/>
    <w:rsid w:val="005D027C"/>
    <w:rsid w:val="005D0461"/>
    <w:rsid w:val="005D0521"/>
    <w:rsid w:val="005D10BA"/>
    <w:rsid w:val="005D2116"/>
    <w:rsid w:val="005D2761"/>
    <w:rsid w:val="005D2BE9"/>
    <w:rsid w:val="005D2DDE"/>
    <w:rsid w:val="005D2F24"/>
    <w:rsid w:val="005D355F"/>
    <w:rsid w:val="005D3F1C"/>
    <w:rsid w:val="005D41BC"/>
    <w:rsid w:val="005D426B"/>
    <w:rsid w:val="005D493E"/>
    <w:rsid w:val="005D4C10"/>
    <w:rsid w:val="005D51D4"/>
    <w:rsid w:val="005D55EC"/>
    <w:rsid w:val="005D5D40"/>
    <w:rsid w:val="005D6914"/>
    <w:rsid w:val="005D6C50"/>
    <w:rsid w:val="005E019B"/>
    <w:rsid w:val="005E0968"/>
    <w:rsid w:val="005E0DE9"/>
    <w:rsid w:val="005E1069"/>
    <w:rsid w:val="005E1B60"/>
    <w:rsid w:val="005E20DF"/>
    <w:rsid w:val="005E28A6"/>
    <w:rsid w:val="005E3866"/>
    <w:rsid w:val="005E422F"/>
    <w:rsid w:val="005E4DD8"/>
    <w:rsid w:val="005E51BA"/>
    <w:rsid w:val="005E5356"/>
    <w:rsid w:val="005E6639"/>
    <w:rsid w:val="005E6AE9"/>
    <w:rsid w:val="005E6DBE"/>
    <w:rsid w:val="005E75BE"/>
    <w:rsid w:val="005E78F2"/>
    <w:rsid w:val="005F03FF"/>
    <w:rsid w:val="005F0C2E"/>
    <w:rsid w:val="005F0DBA"/>
    <w:rsid w:val="005F1645"/>
    <w:rsid w:val="005F1956"/>
    <w:rsid w:val="005F1DD6"/>
    <w:rsid w:val="005F3DBC"/>
    <w:rsid w:val="005F3E82"/>
    <w:rsid w:val="005F3F9A"/>
    <w:rsid w:val="005F4CB3"/>
    <w:rsid w:val="005F4E6A"/>
    <w:rsid w:val="005F5132"/>
    <w:rsid w:val="005F5BC1"/>
    <w:rsid w:val="005F6834"/>
    <w:rsid w:val="005F7220"/>
    <w:rsid w:val="005F7A3B"/>
    <w:rsid w:val="0060001C"/>
    <w:rsid w:val="006000E8"/>
    <w:rsid w:val="00600668"/>
    <w:rsid w:val="006007EB"/>
    <w:rsid w:val="00601137"/>
    <w:rsid w:val="006013A4"/>
    <w:rsid w:val="00602256"/>
    <w:rsid w:val="006022B0"/>
    <w:rsid w:val="00602D1E"/>
    <w:rsid w:val="00602F09"/>
    <w:rsid w:val="006036F0"/>
    <w:rsid w:val="00603804"/>
    <w:rsid w:val="00603FAD"/>
    <w:rsid w:val="006045BD"/>
    <w:rsid w:val="00606A84"/>
    <w:rsid w:val="0060776F"/>
    <w:rsid w:val="006108D5"/>
    <w:rsid w:val="00610E73"/>
    <w:rsid w:val="0061248A"/>
    <w:rsid w:val="0061281A"/>
    <w:rsid w:val="006129B3"/>
    <w:rsid w:val="00612C6B"/>
    <w:rsid w:val="00612FB2"/>
    <w:rsid w:val="006140FB"/>
    <w:rsid w:val="00614323"/>
    <w:rsid w:val="00614611"/>
    <w:rsid w:val="006147FA"/>
    <w:rsid w:val="006148A5"/>
    <w:rsid w:val="0061491B"/>
    <w:rsid w:val="006149AC"/>
    <w:rsid w:val="0061504A"/>
    <w:rsid w:val="00615C46"/>
    <w:rsid w:val="00615CAA"/>
    <w:rsid w:val="00616A60"/>
    <w:rsid w:val="0062076C"/>
    <w:rsid w:val="0062095D"/>
    <w:rsid w:val="006210C2"/>
    <w:rsid w:val="006215ED"/>
    <w:rsid w:val="00621694"/>
    <w:rsid w:val="00622139"/>
    <w:rsid w:val="00622D5B"/>
    <w:rsid w:val="00623153"/>
    <w:rsid w:val="006234E8"/>
    <w:rsid w:val="00623C4B"/>
    <w:rsid w:val="00623E49"/>
    <w:rsid w:val="00624129"/>
    <w:rsid w:val="006243CA"/>
    <w:rsid w:val="0062482E"/>
    <w:rsid w:val="00624D0A"/>
    <w:rsid w:val="00624DD6"/>
    <w:rsid w:val="0062512D"/>
    <w:rsid w:val="00625235"/>
    <w:rsid w:val="00625F80"/>
    <w:rsid w:val="0062600C"/>
    <w:rsid w:val="006260B0"/>
    <w:rsid w:val="0062663A"/>
    <w:rsid w:val="00627496"/>
    <w:rsid w:val="00627C81"/>
    <w:rsid w:val="00627D0D"/>
    <w:rsid w:val="006310D9"/>
    <w:rsid w:val="00631542"/>
    <w:rsid w:val="0063215C"/>
    <w:rsid w:val="00632A3A"/>
    <w:rsid w:val="00632AC1"/>
    <w:rsid w:val="00633241"/>
    <w:rsid w:val="00633A30"/>
    <w:rsid w:val="0063434B"/>
    <w:rsid w:val="0063442F"/>
    <w:rsid w:val="00634F65"/>
    <w:rsid w:val="006350B3"/>
    <w:rsid w:val="00635ADF"/>
    <w:rsid w:val="00635CAA"/>
    <w:rsid w:val="00635E64"/>
    <w:rsid w:val="00636462"/>
    <w:rsid w:val="00636FFE"/>
    <w:rsid w:val="006379C9"/>
    <w:rsid w:val="00637B49"/>
    <w:rsid w:val="00637C57"/>
    <w:rsid w:val="0064068B"/>
    <w:rsid w:val="00640CD9"/>
    <w:rsid w:val="00641065"/>
    <w:rsid w:val="0064138B"/>
    <w:rsid w:val="006425BB"/>
    <w:rsid w:val="006426C1"/>
    <w:rsid w:val="00643B23"/>
    <w:rsid w:val="00643DA6"/>
    <w:rsid w:val="00645E68"/>
    <w:rsid w:val="00646135"/>
    <w:rsid w:val="00646447"/>
    <w:rsid w:val="006468F2"/>
    <w:rsid w:val="00647A22"/>
    <w:rsid w:val="00647C6E"/>
    <w:rsid w:val="00647D22"/>
    <w:rsid w:val="0065081E"/>
    <w:rsid w:val="00650B82"/>
    <w:rsid w:val="00650DE4"/>
    <w:rsid w:val="00650E5A"/>
    <w:rsid w:val="0065104A"/>
    <w:rsid w:val="00652A02"/>
    <w:rsid w:val="00653D12"/>
    <w:rsid w:val="00653DB8"/>
    <w:rsid w:val="00653DC1"/>
    <w:rsid w:val="00653E97"/>
    <w:rsid w:val="00654D7E"/>
    <w:rsid w:val="00655046"/>
    <w:rsid w:val="00655092"/>
    <w:rsid w:val="00655753"/>
    <w:rsid w:val="00655E9C"/>
    <w:rsid w:val="00656233"/>
    <w:rsid w:val="006562D1"/>
    <w:rsid w:val="006576F1"/>
    <w:rsid w:val="00657EC7"/>
    <w:rsid w:val="00657EE9"/>
    <w:rsid w:val="006603FA"/>
    <w:rsid w:val="00660D86"/>
    <w:rsid w:val="00660D9A"/>
    <w:rsid w:val="00660FAF"/>
    <w:rsid w:val="00661000"/>
    <w:rsid w:val="00661874"/>
    <w:rsid w:val="0066273D"/>
    <w:rsid w:val="00662E3E"/>
    <w:rsid w:val="0066330D"/>
    <w:rsid w:val="00663393"/>
    <w:rsid w:val="0066368A"/>
    <w:rsid w:val="00665708"/>
    <w:rsid w:val="0066651E"/>
    <w:rsid w:val="00666563"/>
    <w:rsid w:val="00666813"/>
    <w:rsid w:val="00666FD6"/>
    <w:rsid w:val="006677DF"/>
    <w:rsid w:val="006701F9"/>
    <w:rsid w:val="006707DA"/>
    <w:rsid w:val="0067132F"/>
    <w:rsid w:val="0067150C"/>
    <w:rsid w:val="00671A11"/>
    <w:rsid w:val="00671C80"/>
    <w:rsid w:val="00671DFD"/>
    <w:rsid w:val="006722FF"/>
    <w:rsid w:val="00672F0E"/>
    <w:rsid w:val="00673386"/>
    <w:rsid w:val="0067349A"/>
    <w:rsid w:val="00673DA1"/>
    <w:rsid w:val="00673DF0"/>
    <w:rsid w:val="006748D7"/>
    <w:rsid w:val="00674EDA"/>
    <w:rsid w:val="00674FA2"/>
    <w:rsid w:val="00675091"/>
    <w:rsid w:val="006750E9"/>
    <w:rsid w:val="006754A3"/>
    <w:rsid w:val="00675613"/>
    <w:rsid w:val="006756F4"/>
    <w:rsid w:val="00676030"/>
    <w:rsid w:val="00676B00"/>
    <w:rsid w:val="00676B49"/>
    <w:rsid w:val="006771ED"/>
    <w:rsid w:val="00677362"/>
    <w:rsid w:val="006773BD"/>
    <w:rsid w:val="0067762A"/>
    <w:rsid w:val="00677722"/>
    <w:rsid w:val="00677E9A"/>
    <w:rsid w:val="00680453"/>
    <w:rsid w:val="0068057A"/>
    <w:rsid w:val="0068083F"/>
    <w:rsid w:val="00680D2B"/>
    <w:rsid w:val="00681AB6"/>
    <w:rsid w:val="00681FB1"/>
    <w:rsid w:val="0068258D"/>
    <w:rsid w:val="00682727"/>
    <w:rsid w:val="00683414"/>
    <w:rsid w:val="0068356E"/>
    <w:rsid w:val="00683831"/>
    <w:rsid w:val="006843AF"/>
    <w:rsid w:val="006873BF"/>
    <w:rsid w:val="00687468"/>
    <w:rsid w:val="00687B07"/>
    <w:rsid w:val="00687B3E"/>
    <w:rsid w:val="0069048F"/>
    <w:rsid w:val="00690DB8"/>
    <w:rsid w:val="00691288"/>
    <w:rsid w:val="00691570"/>
    <w:rsid w:val="00691695"/>
    <w:rsid w:val="0069284A"/>
    <w:rsid w:val="00692885"/>
    <w:rsid w:val="00693244"/>
    <w:rsid w:val="00693746"/>
    <w:rsid w:val="00694702"/>
    <w:rsid w:val="00694A00"/>
    <w:rsid w:val="00694F71"/>
    <w:rsid w:val="006956F3"/>
    <w:rsid w:val="006958C1"/>
    <w:rsid w:val="00696959"/>
    <w:rsid w:val="00696994"/>
    <w:rsid w:val="006969A5"/>
    <w:rsid w:val="00696AE9"/>
    <w:rsid w:val="006971B5"/>
    <w:rsid w:val="00697224"/>
    <w:rsid w:val="00697339"/>
    <w:rsid w:val="00697438"/>
    <w:rsid w:val="00697C84"/>
    <w:rsid w:val="006A0B7A"/>
    <w:rsid w:val="006A121B"/>
    <w:rsid w:val="006A1311"/>
    <w:rsid w:val="006A144F"/>
    <w:rsid w:val="006A1B44"/>
    <w:rsid w:val="006A1C39"/>
    <w:rsid w:val="006A2D1C"/>
    <w:rsid w:val="006A2ED9"/>
    <w:rsid w:val="006A2EE6"/>
    <w:rsid w:val="006A37C2"/>
    <w:rsid w:val="006A4571"/>
    <w:rsid w:val="006A5D9F"/>
    <w:rsid w:val="006A5E34"/>
    <w:rsid w:val="006A65AD"/>
    <w:rsid w:val="006A6EAB"/>
    <w:rsid w:val="006A7533"/>
    <w:rsid w:val="006A7B00"/>
    <w:rsid w:val="006B0517"/>
    <w:rsid w:val="006B0978"/>
    <w:rsid w:val="006B12C4"/>
    <w:rsid w:val="006B175D"/>
    <w:rsid w:val="006B2291"/>
    <w:rsid w:val="006B22AE"/>
    <w:rsid w:val="006B2300"/>
    <w:rsid w:val="006B2390"/>
    <w:rsid w:val="006B25CB"/>
    <w:rsid w:val="006B278B"/>
    <w:rsid w:val="006B2911"/>
    <w:rsid w:val="006B344E"/>
    <w:rsid w:val="006B3A2B"/>
    <w:rsid w:val="006B3DB7"/>
    <w:rsid w:val="006B3FEA"/>
    <w:rsid w:val="006B43ED"/>
    <w:rsid w:val="006B5488"/>
    <w:rsid w:val="006B5B90"/>
    <w:rsid w:val="006B615E"/>
    <w:rsid w:val="006B6253"/>
    <w:rsid w:val="006B6905"/>
    <w:rsid w:val="006B6DBB"/>
    <w:rsid w:val="006B7C2E"/>
    <w:rsid w:val="006B7CC2"/>
    <w:rsid w:val="006C01BF"/>
    <w:rsid w:val="006C0624"/>
    <w:rsid w:val="006C0947"/>
    <w:rsid w:val="006C0BEA"/>
    <w:rsid w:val="006C0DF1"/>
    <w:rsid w:val="006C0E00"/>
    <w:rsid w:val="006C1184"/>
    <w:rsid w:val="006C1528"/>
    <w:rsid w:val="006C23BC"/>
    <w:rsid w:val="006C269A"/>
    <w:rsid w:val="006C282E"/>
    <w:rsid w:val="006C2EDC"/>
    <w:rsid w:val="006C3247"/>
    <w:rsid w:val="006C4D2A"/>
    <w:rsid w:val="006C4D6C"/>
    <w:rsid w:val="006C51C9"/>
    <w:rsid w:val="006C524D"/>
    <w:rsid w:val="006C52B8"/>
    <w:rsid w:val="006C553B"/>
    <w:rsid w:val="006C5990"/>
    <w:rsid w:val="006C622B"/>
    <w:rsid w:val="006C66F8"/>
    <w:rsid w:val="006C78C8"/>
    <w:rsid w:val="006C7F9F"/>
    <w:rsid w:val="006D00D8"/>
    <w:rsid w:val="006D1332"/>
    <w:rsid w:val="006D1B01"/>
    <w:rsid w:val="006D1B61"/>
    <w:rsid w:val="006D1F15"/>
    <w:rsid w:val="006D27C0"/>
    <w:rsid w:val="006D3167"/>
    <w:rsid w:val="006D3886"/>
    <w:rsid w:val="006D3AB8"/>
    <w:rsid w:val="006D42F3"/>
    <w:rsid w:val="006D4D8E"/>
    <w:rsid w:val="006D5AC4"/>
    <w:rsid w:val="006D5D58"/>
    <w:rsid w:val="006D6810"/>
    <w:rsid w:val="006D6DAB"/>
    <w:rsid w:val="006D79B1"/>
    <w:rsid w:val="006E04B4"/>
    <w:rsid w:val="006E0EF4"/>
    <w:rsid w:val="006E0F7A"/>
    <w:rsid w:val="006E111E"/>
    <w:rsid w:val="006E1340"/>
    <w:rsid w:val="006E23AB"/>
    <w:rsid w:val="006E29B7"/>
    <w:rsid w:val="006E2FB1"/>
    <w:rsid w:val="006E3143"/>
    <w:rsid w:val="006E45E1"/>
    <w:rsid w:val="006E4B8C"/>
    <w:rsid w:val="006E4E81"/>
    <w:rsid w:val="006E4F3E"/>
    <w:rsid w:val="006E522B"/>
    <w:rsid w:val="006E5761"/>
    <w:rsid w:val="006E597B"/>
    <w:rsid w:val="006E69FF"/>
    <w:rsid w:val="006E75F7"/>
    <w:rsid w:val="006E7CA8"/>
    <w:rsid w:val="006E7FA0"/>
    <w:rsid w:val="006F009A"/>
    <w:rsid w:val="006F03EB"/>
    <w:rsid w:val="006F07FA"/>
    <w:rsid w:val="006F0B3A"/>
    <w:rsid w:val="006F0D6E"/>
    <w:rsid w:val="006F15B6"/>
    <w:rsid w:val="006F277D"/>
    <w:rsid w:val="006F27D4"/>
    <w:rsid w:val="006F2D03"/>
    <w:rsid w:val="006F2DF0"/>
    <w:rsid w:val="006F2DF2"/>
    <w:rsid w:val="006F336A"/>
    <w:rsid w:val="006F392C"/>
    <w:rsid w:val="006F3FFB"/>
    <w:rsid w:val="006F470D"/>
    <w:rsid w:val="006F4C40"/>
    <w:rsid w:val="006F5067"/>
    <w:rsid w:val="006F5376"/>
    <w:rsid w:val="006F54CD"/>
    <w:rsid w:val="006F58B1"/>
    <w:rsid w:val="006F64DF"/>
    <w:rsid w:val="006F7BBD"/>
    <w:rsid w:val="006F7C23"/>
    <w:rsid w:val="007003FB"/>
    <w:rsid w:val="00700C9E"/>
    <w:rsid w:val="00701024"/>
    <w:rsid w:val="00702CAD"/>
    <w:rsid w:val="00702E60"/>
    <w:rsid w:val="007040CB"/>
    <w:rsid w:val="007050BF"/>
    <w:rsid w:val="007055A1"/>
    <w:rsid w:val="007059E0"/>
    <w:rsid w:val="00705F3A"/>
    <w:rsid w:val="00706169"/>
    <w:rsid w:val="00706963"/>
    <w:rsid w:val="00706C5B"/>
    <w:rsid w:val="00707ECA"/>
    <w:rsid w:val="00710464"/>
    <w:rsid w:val="00710F3C"/>
    <w:rsid w:val="0071202E"/>
    <w:rsid w:val="00712347"/>
    <w:rsid w:val="00712961"/>
    <w:rsid w:val="00712D11"/>
    <w:rsid w:val="00712F5D"/>
    <w:rsid w:val="007131D2"/>
    <w:rsid w:val="007144AA"/>
    <w:rsid w:val="00714655"/>
    <w:rsid w:val="007147F4"/>
    <w:rsid w:val="00714AB7"/>
    <w:rsid w:val="007151C5"/>
    <w:rsid w:val="00715278"/>
    <w:rsid w:val="00715338"/>
    <w:rsid w:val="00716139"/>
    <w:rsid w:val="007164DA"/>
    <w:rsid w:val="00716B71"/>
    <w:rsid w:val="00717DEA"/>
    <w:rsid w:val="007205DD"/>
    <w:rsid w:val="00720F52"/>
    <w:rsid w:val="007210EF"/>
    <w:rsid w:val="0072203C"/>
    <w:rsid w:val="007222D9"/>
    <w:rsid w:val="00722414"/>
    <w:rsid w:val="00722FF6"/>
    <w:rsid w:val="0072394E"/>
    <w:rsid w:val="0072399F"/>
    <w:rsid w:val="00723B79"/>
    <w:rsid w:val="00723C23"/>
    <w:rsid w:val="0072484F"/>
    <w:rsid w:val="007248EC"/>
    <w:rsid w:val="007248F4"/>
    <w:rsid w:val="007250BC"/>
    <w:rsid w:val="00725350"/>
    <w:rsid w:val="007256C3"/>
    <w:rsid w:val="007258F5"/>
    <w:rsid w:val="0072600C"/>
    <w:rsid w:val="0072621C"/>
    <w:rsid w:val="00726CCB"/>
    <w:rsid w:val="0072710C"/>
    <w:rsid w:val="007276A2"/>
    <w:rsid w:val="007276E5"/>
    <w:rsid w:val="00727A95"/>
    <w:rsid w:val="007308ED"/>
    <w:rsid w:val="00730B44"/>
    <w:rsid w:val="0073157D"/>
    <w:rsid w:val="00731C86"/>
    <w:rsid w:val="0073207F"/>
    <w:rsid w:val="0073251B"/>
    <w:rsid w:val="0073282A"/>
    <w:rsid w:val="007328B8"/>
    <w:rsid w:val="00734333"/>
    <w:rsid w:val="0073457E"/>
    <w:rsid w:val="00734774"/>
    <w:rsid w:val="00735295"/>
    <w:rsid w:val="0073537C"/>
    <w:rsid w:val="00735B75"/>
    <w:rsid w:val="00735B9F"/>
    <w:rsid w:val="00735F10"/>
    <w:rsid w:val="00736290"/>
    <w:rsid w:val="00736FCB"/>
    <w:rsid w:val="00737073"/>
    <w:rsid w:val="00737104"/>
    <w:rsid w:val="00737995"/>
    <w:rsid w:val="00737B1F"/>
    <w:rsid w:val="00737F80"/>
    <w:rsid w:val="007401CD"/>
    <w:rsid w:val="007402F0"/>
    <w:rsid w:val="007409A7"/>
    <w:rsid w:val="00740DC8"/>
    <w:rsid w:val="00741138"/>
    <w:rsid w:val="00741511"/>
    <w:rsid w:val="007416F0"/>
    <w:rsid w:val="007418BD"/>
    <w:rsid w:val="007419DB"/>
    <w:rsid w:val="007419EB"/>
    <w:rsid w:val="00741C73"/>
    <w:rsid w:val="00741D8F"/>
    <w:rsid w:val="007420EC"/>
    <w:rsid w:val="007428E4"/>
    <w:rsid w:val="00742FBD"/>
    <w:rsid w:val="00743059"/>
    <w:rsid w:val="00743272"/>
    <w:rsid w:val="007435B9"/>
    <w:rsid w:val="00743BE7"/>
    <w:rsid w:val="00743FA9"/>
    <w:rsid w:val="00743FF5"/>
    <w:rsid w:val="0074407D"/>
    <w:rsid w:val="0074408E"/>
    <w:rsid w:val="00744938"/>
    <w:rsid w:val="007449CB"/>
    <w:rsid w:val="0074587B"/>
    <w:rsid w:val="00746B66"/>
    <w:rsid w:val="007470B1"/>
    <w:rsid w:val="007473D8"/>
    <w:rsid w:val="0074771C"/>
    <w:rsid w:val="00747B8B"/>
    <w:rsid w:val="00747D5C"/>
    <w:rsid w:val="00747D75"/>
    <w:rsid w:val="00750044"/>
    <w:rsid w:val="007500AF"/>
    <w:rsid w:val="007500C1"/>
    <w:rsid w:val="00750DBF"/>
    <w:rsid w:val="007515F8"/>
    <w:rsid w:val="00752059"/>
    <w:rsid w:val="00752AC8"/>
    <w:rsid w:val="00752ADB"/>
    <w:rsid w:val="00752E1D"/>
    <w:rsid w:val="007532A6"/>
    <w:rsid w:val="007537B0"/>
    <w:rsid w:val="00753FD2"/>
    <w:rsid w:val="007543AF"/>
    <w:rsid w:val="00754D51"/>
    <w:rsid w:val="007552A0"/>
    <w:rsid w:val="007555F8"/>
    <w:rsid w:val="00755EA7"/>
    <w:rsid w:val="00755FC3"/>
    <w:rsid w:val="00756020"/>
    <w:rsid w:val="00756B8F"/>
    <w:rsid w:val="00756CBF"/>
    <w:rsid w:val="007572E1"/>
    <w:rsid w:val="0075768A"/>
    <w:rsid w:val="00757947"/>
    <w:rsid w:val="007579FF"/>
    <w:rsid w:val="00757A49"/>
    <w:rsid w:val="00757F63"/>
    <w:rsid w:val="00760655"/>
    <w:rsid w:val="00761293"/>
    <w:rsid w:val="00761B3D"/>
    <w:rsid w:val="00762854"/>
    <w:rsid w:val="00762B17"/>
    <w:rsid w:val="0076304C"/>
    <w:rsid w:val="00763148"/>
    <w:rsid w:val="007637DA"/>
    <w:rsid w:val="00763A75"/>
    <w:rsid w:val="00763D83"/>
    <w:rsid w:val="00764A7F"/>
    <w:rsid w:val="00764AF0"/>
    <w:rsid w:val="00764C36"/>
    <w:rsid w:val="00765097"/>
    <w:rsid w:val="00765124"/>
    <w:rsid w:val="00765D79"/>
    <w:rsid w:val="00765F3B"/>
    <w:rsid w:val="0076639C"/>
    <w:rsid w:val="007669F7"/>
    <w:rsid w:val="00767E3B"/>
    <w:rsid w:val="00770CC2"/>
    <w:rsid w:val="007719F6"/>
    <w:rsid w:val="00772135"/>
    <w:rsid w:val="0077237B"/>
    <w:rsid w:val="007731DB"/>
    <w:rsid w:val="0077341A"/>
    <w:rsid w:val="00773779"/>
    <w:rsid w:val="00773AB7"/>
    <w:rsid w:val="00774D6E"/>
    <w:rsid w:val="007754D3"/>
    <w:rsid w:val="0077598F"/>
    <w:rsid w:val="0077600E"/>
    <w:rsid w:val="007760E4"/>
    <w:rsid w:val="007761DE"/>
    <w:rsid w:val="007767B7"/>
    <w:rsid w:val="007768CE"/>
    <w:rsid w:val="00776AAE"/>
    <w:rsid w:val="00776D86"/>
    <w:rsid w:val="00776F30"/>
    <w:rsid w:val="00777C89"/>
    <w:rsid w:val="00780357"/>
    <w:rsid w:val="00780C74"/>
    <w:rsid w:val="00780E7D"/>
    <w:rsid w:val="00781C86"/>
    <w:rsid w:val="00781D7D"/>
    <w:rsid w:val="00782C81"/>
    <w:rsid w:val="00784074"/>
    <w:rsid w:val="00784706"/>
    <w:rsid w:val="00785D06"/>
    <w:rsid w:val="00785D70"/>
    <w:rsid w:val="00786167"/>
    <w:rsid w:val="00786D5E"/>
    <w:rsid w:val="00787B0B"/>
    <w:rsid w:val="007903F1"/>
    <w:rsid w:val="00790792"/>
    <w:rsid w:val="00790E79"/>
    <w:rsid w:val="00791C87"/>
    <w:rsid w:val="00791F87"/>
    <w:rsid w:val="00792194"/>
    <w:rsid w:val="00792318"/>
    <w:rsid w:val="00792422"/>
    <w:rsid w:val="00793319"/>
    <w:rsid w:val="00793C4B"/>
    <w:rsid w:val="00793EA7"/>
    <w:rsid w:val="0079444B"/>
    <w:rsid w:val="00794772"/>
    <w:rsid w:val="00794D89"/>
    <w:rsid w:val="00795A76"/>
    <w:rsid w:val="00797339"/>
    <w:rsid w:val="00797487"/>
    <w:rsid w:val="007A0403"/>
    <w:rsid w:val="007A064F"/>
    <w:rsid w:val="007A06FE"/>
    <w:rsid w:val="007A10DD"/>
    <w:rsid w:val="007A166C"/>
    <w:rsid w:val="007A2D46"/>
    <w:rsid w:val="007A369B"/>
    <w:rsid w:val="007A3AEE"/>
    <w:rsid w:val="007A4697"/>
    <w:rsid w:val="007A4AA0"/>
    <w:rsid w:val="007A4E20"/>
    <w:rsid w:val="007A643D"/>
    <w:rsid w:val="007A6440"/>
    <w:rsid w:val="007A72A3"/>
    <w:rsid w:val="007A7881"/>
    <w:rsid w:val="007A7CFB"/>
    <w:rsid w:val="007B0348"/>
    <w:rsid w:val="007B04D8"/>
    <w:rsid w:val="007B1B93"/>
    <w:rsid w:val="007B1C3F"/>
    <w:rsid w:val="007B25C5"/>
    <w:rsid w:val="007B2736"/>
    <w:rsid w:val="007B2818"/>
    <w:rsid w:val="007B2B29"/>
    <w:rsid w:val="007B2D62"/>
    <w:rsid w:val="007B4064"/>
    <w:rsid w:val="007B45EB"/>
    <w:rsid w:val="007B4851"/>
    <w:rsid w:val="007B4A3C"/>
    <w:rsid w:val="007B4D4C"/>
    <w:rsid w:val="007B5081"/>
    <w:rsid w:val="007B50FC"/>
    <w:rsid w:val="007B550F"/>
    <w:rsid w:val="007B5ADF"/>
    <w:rsid w:val="007B6254"/>
    <w:rsid w:val="007B64FA"/>
    <w:rsid w:val="007B652E"/>
    <w:rsid w:val="007B65D9"/>
    <w:rsid w:val="007B664C"/>
    <w:rsid w:val="007B66A1"/>
    <w:rsid w:val="007B6AA2"/>
    <w:rsid w:val="007B6E96"/>
    <w:rsid w:val="007B79E8"/>
    <w:rsid w:val="007B7FE0"/>
    <w:rsid w:val="007C0350"/>
    <w:rsid w:val="007C0361"/>
    <w:rsid w:val="007C0596"/>
    <w:rsid w:val="007C070E"/>
    <w:rsid w:val="007C0DAA"/>
    <w:rsid w:val="007C1436"/>
    <w:rsid w:val="007C1C88"/>
    <w:rsid w:val="007C1F05"/>
    <w:rsid w:val="007C2056"/>
    <w:rsid w:val="007C22BB"/>
    <w:rsid w:val="007C2426"/>
    <w:rsid w:val="007C35A7"/>
    <w:rsid w:val="007C3629"/>
    <w:rsid w:val="007C3F94"/>
    <w:rsid w:val="007C43D4"/>
    <w:rsid w:val="007C4408"/>
    <w:rsid w:val="007C5094"/>
    <w:rsid w:val="007C55FC"/>
    <w:rsid w:val="007C56A0"/>
    <w:rsid w:val="007C57CA"/>
    <w:rsid w:val="007C61CB"/>
    <w:rsid w:val="007C6253"/>
    <w:rsid w:val="007C706B"/>
    <w:rsid w:val="007C7285"/>
    <w:rsid w:val="007C7CDD"/>
    <w:rsid w:val="007C7EB9"/>
    <w:rsid w:val="007D0858"/>
    <w:rsid w:val="007D0D1A"/>
    <w:rsid w:val="007D0D87"/>
    <w:rsid w:val="007D0DC2"/>
    <w:rsid w:val="007D130E"/>
    <w:rsid w:val="007D2072"/>
    <w:rsid w:val="007D21BC"/>
    <w:rsid w:val="007D225F"/>
    <w:rsid w:val="007D277B"/>
    <w:rsid w:val="007D2BB0"/>
    <w:rsid w:val="007D2D03"/>
    <w:rsid w:val="007D2DA8"/>
    <w:rsid w:val="007D31A3"/>
    <w:rsid w:val="007D3A98"/>
    <w:rsid w:val="007D3ED5"/>
    <w:rsid w:val="007D4B19"/>
    <w:rsid w:val="007D4FD7"/>
    <w:rsid w:val="007D50E5"/>
    <w:rsid w:val="007D6065"/>
    <w:rsid w:val="007D6357"/>
    <w:rsid w:val="007D66C7"/>
    <w:rsid w:val="007D7083"/>
    <w:rsid w:val="007D7088"/>
    <w:rsid w:val="007D7EA0"/>
    <w:rsid w:val="007E039F"/>
    <w:rsid w:val="007E0969"/>
    <w:rsid w:val="007E0C7D"/>
    <w:rsid w:val="007E1BB1"/>
    <w:rsid w:val="007E297A"/>
    <w:rsid w:val="007E2D41"/>
    <w:rsid w:val="007E3356"/>
    <w:rsid w:val="007E3AEB"/>
    <w:rsid w:val="007E405F"/>
    <w:rsid w:val="007E41BA"/>
    <w:rsid w:val="007E42A1"/>
    <w:rsid w:val="007E4A3F"/>
    <w:rsid w:val="007E501F"/>
    <w:rsid w:val="007E5285"/>
    <w:rsid w:val="007E5C59"/>
    <w:rsid w:val="007E5E27"/>
    <w:rsid w:val="007E62A9"/>
    <w:rsid w:val="007E6848"/>
    <w:rsid w:val="007E6A4C"/>
    <w:rsid w:val="007E6C45"/>
    <w:rsid w:val="007E7329"/>
    <w:rsid w:val="007E7949"/>
    <w:rsid w:val="007E7E06"/>
    <w:rsid w:val="007F00B0"/>
    <w:rsid w:val="007F03F2"/>
    <w:rsid w:val="007F0EA4"/>
    <w:rsid w:val="007F1654"/>
    <w:rsid w:val="007F1865"/>
    <w:rsid w:val="007F199B"/>
    <w:rsid w:val="007F1DD6"/>
    <w:rsid w:val="007F1DD9"/>
    <w:rsid w:val="007F292F"/>
    <w:rsid w:val="007F3723"/>
    <w:rsid w:val="007F4BCF"/>
    <w:rsid w:val="007F5414"/>
    <w:rsid w:val="007F5473"/>
    <w:rsid w:val="007F5F38"/>
    <w:rsid w:val="007F6336"/>
    <w:rsid w:val="007F64A3"/>
    <w:rsid w:val="007F6902"/>
    <w:rsid w:val="00800BDD"/>
    <w:rsid w:val="00800D9C"/>
    <w:rsid w:val="0080131C"/>
    <w:rsid w:val="0080209E"/>
    <w:rsid w:val="00802C18"/>
    <w:rsid w:val="008033ED"/>
    <w:rsid w:val="008033F5"/>
    <w:rsid w:val="00804165"/>
    <w:rsid w:val="008043C7"/>
    <w:rsid w:val="008049F7"/>
    <w:rsid w:val="00804BEA"/>
    <w:rsid w:val="00806691"/>
    <w:rsid w:val="0080695F"/>
    <w:rsid w:val="00806FA0"/>
    <w:rsid w:val="00810216"/>
    <w:rsid w:val="00810E54"/>
    <w:rsid w:val="008116F7"/>
    <w:rsid w:val="00811C16"/>
    <w:rsid w:val="00811EDB"/>
    <w:rsid w:val="00813750"/>
    <w:rsid w:val="0081400C"/>
    <w:rsid w:val="00814333"/>
    <w:rsid w:val="0081453C"/>
    <w:rsid w:val="008145BA"/>
    <w:rsid w:val="00814C3D"/>
    <w:rsid w:val="00814EAE"/>
    <w:rsid w:val="00814FC1"/>
    <w:rsid w:val="00815391"/>
    <w:rsid w:val="0081561D"/>
    <w:rsid w:val="00815E7C"/>
    <w:rsid w:val="00816205"/>
    <w:rsid w:val="0081701C"/>
    <w:rsid w:val="0081738C"/>
    <w:rsid w:val="008173CF"/>
    <w:rsid w:val="00817728"/>
    <w:rsid w:val="008206DB"/>
    <w:rsid w:val="00820E36"/>
    <w:rsid w:val="00820FDE"/>
    <w:rsid w:val="0082101D"/>
    <w:rsid w:val="00821D60"/>
    <w:rsid w:val="00821FE4"/>
    <w:rsid w:val="00822052"/>
    <w:rsid w:val="00823165"/>
    <w:rsid w:val="00824289"/>
    <w:rsid w:val="00824382"/>
    <w:rsid w:val="008244C2"/>
    <w:rsid w:val="008253F4"/>
    <w:rsid w:val="00825478"/>
    <w:rsid w:val="00825561"/>
    <w:rsid w:val="00825BF5"/>
    <w:rsid w:val="00826591"/>
    <w:rsid w:val="008266E4"/>
    <w:rsid w:val="00826A5C"/>
    <w:rsid w:val="008275E1"/>
    <w:rsid w:val="0082761C"/>
    <w:rsid w:val="0082792E"/>
    <w:rsid w:val="0083029E"/>
    <w:rsid w:val="0083154B"/>
    <w:rsid w:val="00831B20"/>
    <w:rsid w:val="0083245E"/>
    <w:rsid w:val="00833507"/>
    <w:rsid w:val="0083398C"/>
    <w:rsid w:val="00833C2E"/>
    <w:rsid w:val="008346F1"/>
    <w:rsid w:val="00834AD7"/>
    <w:rsid w:val="00835375"/>
    <w:rsid w:val="0083565A"/>
    <w:rsid w:val="00835C06"/>
    <w:rsid w:val="0083615D"/>
    <w:rsid w:val="00837061"/>
    <w:rsid w:val="008372B3"/>
    <w:rsid w:val="0083748A"/>
    <w:rsid w:val="00837C2C"/>
    <w:rsid w:val="00837C3A"/>
    <w:rsid w:val="0084139B"/>
    <w:rsid w:val="00841401"/>
    <w:rsid w:val="00841558"/>
    <w:rsid w:val="00843113"/>
    <w:rsid w:val="008434DC"/>
    <w:rsid w:val="008438FC"/>
    <w:rsid w:val="00843917"/>
    <w:rsid w:val="008439B0"/>
    <w:rsid w:val="0084462F"/>
    <w:rsid w:val="008447A6"/>
    <w:rsid w:val="00844A96"/>
    <w:rsid w:val="00844AC4"/>
    <w:rsid w:val="00844BB9"/>
    <w:rsid w:val="00845374"/>
    <w:rsid w:val="008454B5"/>
    <w:rsid w:val="00845D08"/>
    <w:rsid w:val="0084677B"/>
    <w:rsid w:val="00847DE8"/>
    <w:rsid w:val="008503D0"/>
    <w:rsid w:val="00850588"/>
    <w:rsid w:val="008507BE"/>
    <w:rsid w:val="00850942"/>
    <w:rsid w:val="0085096B"/>
    <w:rsid w:val="00850BA5"/>
    <w:rsid w:val="0085105D"/>
    <w:rsid w:val="008517DF"/>
    <w:rsid w:val="00851C7D"/>
    <w:rsid w:val="0085263A"/>
    <w:rsid w:val="00852BBC"/>
    <w:rsid w:val="00852F2E"/>
    <w:rsid w:val="00852F83"/>
    <w:rsid w:val="008534B1"/>
    <w:rsid w:val="00853732"/>
    <w:rsid w:val="00853F4A"/>
    <w:rsid w:val="00854141"/>
    <w:rsid w:val="00854761"/>
    <w:rsid w:val="00855F6D"/>
    <w:rsid w:val="00856EB5"/>
    <w:rsid w:val="0085701B"/>
    <w:rsid w:val="00857BB5"/>
    <w:rsid w:val="00857C8A"/>
    <w:rsid w:val="00860485"/>
    <w:rsid w:val="008604D2"/>
    <w:rsid w:val="00860CE8"/>
    <w:rsid w:val="0086111B"/>
    <w:rsid w:val="00861BCB"/>
    <w:rsid w:val="0086201F"/>
    <w:rsid w:val="0086236D"/>
    <w:rsid w:val="008625A4"/>
    <w:rsid w:val="008648B6"/>
    <w:rsid w:val="008649F1"/>
    <w:rsid w:val="00865894"/>
    <w:rsid w:val="00866E2F"/>
    <w:rsid w:val="00867161"/>
    <w:rsid w:val="00867D0C"/>
    <w:rsid w:val="008705F4"/>
    <w:rsid w:val="008711E0"/>
    <w:rsid w:val="008712EE"/>
    <w:rsid w:val="008713EF"/>
    <w:rsid w:val="00871810"/>
    <w:rsid w:val="00871F7A"/>
    <w:rsid w:val="00872387"/>
    <w:rsid w:val="0087291A"/>
    <w:rsid w:val="00873067"/>
    <w:rsid w:val="00874BC8"/>
    <w:rsid w:val="0087500C"/>
    <w:rsid w:val="00875699"/>
    <w:rsid w:val="00875946"/>
    <w:rsid w:val="00875A23"/>
    <w:rsid w:val="008769FA"/>
    <w:rsid w:val="00876BC3"/>
    <w:rsid w:val="008770CE"/>
    <w:rsid w:val="0087751B"/>
    <w:rsid w:val="00877C4F"/>
    <w:rsid w:val="0088059B"/>
    <w:rsid w:val="00880763"/>
    <w:rsid w:val="00880AC9"/>
    <w:rsid w:val="00880B6B"/>
    <w:rsid w:val="0088198E"/>
    <w:rsid w:val="00881E55"/>
    <w:rsid w:val="00882596"/>
    <w:rsid w:val="008825F3"/>
    <w:rsid w:val="008827BD"/>
    <w:rsid w:val="00882B61"/>
    <w:rsid w:val="00882F91"/>
    <w:rsid w:val="008834E8"/>
    <w:rsid w:val="008839F9"/>
    <w:rsid w:val="00883A4F"/>
    <w:rsid w:val="00883BA0"/>
    <w:rsid w:val="00884DA3"/>
    <w:rsid w:val="0088540E"/>
    <w:rsid w:val="00885544"/>
    <w:rsid w:val="00885D80"/>
    <w:rsid w:val="0088612C"/>
    <w:rsid w:val="008869FA"/>
    <w:rsid w:val="00886ED0"/>
    <w:rsid w:val="00890C26"/>
    <w:rsid w:val="00890C9F"/>
    <w:rsid w:val="00891F33"/>
    <w:rsid w:val="008925F0"/>
    <w:rsid w:val="00892691"/>
    <w:rsid w:val="00893532"/>
    <w:rsid w:val="008938F6"/>
    <w:rsid w:val="00893B31"/>
    <w:rsid w:val="0089421D"/>
    <w:rsid w:val="008951FF"/>
    <w:rsid w:val="00895296"/>
    <w:rsid w:val="008965CB"/>
    <w:rsid w:val="0089752D"/>
    <w:rsid w:val="008A059F"/>
    <w:rsid w:val="008A1C54"/>
    <w:rsid w:val="008A1FC5"/>
    <w:rsid w:val="008A25CD"/>
    <w:rsid w:val="008A2B98"/>
    <w:rsid w:val="008A339D"/>
    <w:rsid w:val="008A348E"/>
    <w:rsid w:val="008A3699"/>
    <w:rsid w:val="008A3E39"/>
    <w:rsid w:val="008A46A2"/>
    <w:rsid w:val="008A48BD"/>
    <w:rsid w:val="008A5953"/>
    <w:rsid w:val="008A5B8F"/>
    <w:rsid w:val="008A5FB7"/>
    <w:rsid w:val="008A620D"/>
    <w:rsid w:val="008A6613"/>
    <w:rsid w:val="008A760F"/>
    <w:rsid w:val="008A7D0B"/>
    <w:rsid w:val="008B01FC"/>
    <w:rsid w:val="008B0794"/>
    <w:rsid w:val="008B11DC"/>
    <w:rsid w:val="008B1566"/>
    <w:rsid w:val="008B1A54"/>
    <w:rsid w:val="008B2488"/>
    <w:rsid w:val="008B2FAF"/>
    <w:rsid w:val="008B31B7"/>
    <w:rsid w:val="008B3253"/>
    <w:rsid w:val="008B3EA1"/>
    <w:rsid w:val="008B54AD"/>
    <w:rsid w:val="008B5537"/>
    <w:rsid w:val="008B6945"/>
    <w:rsid w:val="008B6D18"/>
    <w:rsid w:val="008B6D46"/>
    <w:rsid w:val="008C03B8"/>
    <w:rsid w:val="008C062B"/>
    <w:rsid w:val="008C0F49"/>
    <w:rsid w:val="008C14F4"/>
    <w:rsid w:val="008C1A03"/>
    <w:rsid w:val="008C1F7D"/>
    <w:rsid w:val="008C22D6"/>
    <w:rsid w:val="008C285B"/>
    <w:rsid w:val="008C2B67"/>
    <w:rsid w:val="008C30AC"/>
    <w:rsid w:val="008C31EB"/>
    <w:rsid w:val="008C33FD"/>
    <w:rsid w:val="008C3764"/>
    <w:rsid w:val="008C3CA3"/>
    <w:rsid w:val="008C3EA2"/>
    <w:rsid w:val="008C48C3"/>
    <w:rsid w:val="008C4B5D"/>
    <w:rsid w:val="008C5436"/>
    <w:rsid w:val="008C556B"/>
    <w:rsid w:val="008C57ED"/>
    <w:rsid w:val="008C58D3"/>
    <w:rsid w:val="008C5947"/>
    <w:rsid w:val="008C5EAD"/>
    <w:rsid w:val="008C5F22"/>
    <w:rsid w:val="008C6673"/>
    <w:rsid w:val="008C6FEF"/>
    <w:rsid w:val="008C798E"/>
    <w:rsid w:val="008C7A33"/>
    <w:rsid w:val="008C7C41"/>
    <w:rsid w:val="008C7ED4"/>
    <w:rsid w:val="008D030E"/>
    <w:rsid w:val="008D0C3E"/>
    <w:rsid w:val="008D0FBF"/>
    <w:rsid w:val="008D1918"/>
    <w:rsid w:val="008D2067"/>
    <w:rsid w:val="008D24BF"/>
    <w:rsid w:val="008D2600"/>
    <w:rsid w:val="008D2963"/>
    <w:rsid w:val="008D2CE5"/>
    <w:rsid w:val="008D2D94"/>
    <w:rsid w:val="008D2F04"/>
    <w:rsid w:val="008D35BC"/>
    <w:rsid w:val="008D39E5"/>
    <w:rsid w:val="008D413B"/>
    <w:rsid w:val="008D4296"/>
    <w:rsid w:val="008D43F4"/>
    <w:rsid w:val="008D4F6E"/>
    <w:rsid w:val="008D54A0"/>
    <w:rsid w:val="008D557D"/>
    <w:rsid w:val="008D5A40"/>
    <w:rsid w:val="008D5D08"/>
    <w:rsid w:val="008D6880"/>
    <w:rsid w:val="008D6E07"/>
    <w:rsid w:val="008D779F"/>
    <w:rsid w:val="008D77D4"/>
    <w:rsid w:val="008E032A"/>
    <w:rsid w:val="008E0364"/>
    <w:rsid w:val="008E0E2D"/>
    <w:rsid w:val="008E1144"/>
    <w:rsid w:val="008E142A"/>
    <w:rsid w:val="008E1977"/>
    <w:rsid w:val="008E1F83"/>
    <w:rsid w:val="008E2129"/>
    <w:rsid w:val="008E25C9"/>
    <w:rsid w:val="008E2B38"/>
    <w:rsid w:val="008E3376"/>
    <w:rsid w:val="008E35A4"/>
    <w:rsid w:val="008E3642"/>
    <w:rsid w:val="008E392E"/>
    <w:rsid w:val="008E3B65"/>
    <w:rsid w:val="008E3EC1"/>
    <w:rsid w:val="008E40ED"/>
    <w:rsid w:val="008E42C2"/>
    <w:rsid w:val="008E4307"/>
    <w:rsid w:val="008E43E0"/>
    <w:rsid w:val="008E4E14"/>
    <w:rsid w:val="008E5372"/>
    <w:rsid w:val="008E5514"/>
    <w:rsid w:val="008E58B9"/>
    <w:rsid w:val="008E6026"/>
    <w:rsid w:val="008E6312"/>
    <w:rsid w:val="008E68B6"/>
    <w:rsid w:val="008E7323"/>
    <w:rsid w:val="008E749E"/>
    <w:rsid w:val="008E7ABD"/>
    <w:rsid w:val="008F160F"/>
    <w:rsid w:val="008F1678"/>
    <w:rsid w:val="008F178D"/>
    <w:rsid w:val="008F17D7"/>
    <w:rsid w:val="008F1932"/>
    <w:rsid w:val="008F2B85"/>
    <w:rsid w:val="008F2F1B"/>
    <w:rsid w:val="008F3010"/>
    <w:rsid w:val="008F3774"/>
    <w:rsid w:val="008F4388"/>
    <w:rsid w:val="008F44D8"/>
    <w:rsid w:val="008F4F08"/>
    <w:rsid w:val="008F5CC0"/>
    <w:rsid w:val="008F60EC"/>
    <w:rsid w:val="008F61F6"/>
    <w:rsid w:val="008F629B"/>
    <w:rsid w:val="008F6F1C"/>
    <w:rsid w:val="008F7162"/>
    <w:rsid w:val="008F75F4"/>
    <w:rsid w:val="008F7DF9"/>
    <w:rsid w:val="0090015A"/>
    <w:rsid w:val="009005C8"/>
    <w:rsid w:val="00900FD8"/>
    <w:rsid w:val="009011BF"/>
    <w:rsid w:val="00901354"/>
    <w:rsid w:val="00901642"/>
    <w:rsid w:val="00901D07"/>
    <w:rsid w:val="00902376"/>
    <w:rsid w:val="009028C5"/>
    <w:rsid w:val="00902DE9"/>
    <w:rsid w:val="009044C2"/>
    <w:rsid w:val="00904E97"/>
    <w:rsid w:val="00905578"/>
    <w:rsid w:val="00906211"/>
    <w:rsid w:val="00906860"/>
    <w:rsid w:val="00906861"/>
    <w:rsid w:val="009068C6"/>
    <w:rsid w:val="00906F93"/>
    <w:rsid w:val="00906FC4"/>
    <w:rsid w:val="00907F17"/>
    <w:rsid w:val="00910436"/>
    <w:rsid w:val="009107E7"/>
    <w:rsid w:val="00910AD4"/>
    <w:rsid w:val="00910D90"/>
    <w:rsid w:val="009112D0"/>
    <w:rsid w:val="00911DB1"/>
    <w:rsid w:val="00911FDC"/>
    <w:rsid w:val="0091214B"/>
    <w:rsid w:val="00912D63"/>
    <w:rsid w:val="00912FCB"/>
    <w:rsid w:val="00913F1C"/>
    <w:rsid w:val="009145F5"/>
    <w:rsid w:val="00914680"/>
    <w:rsid w:val="009149FF"/>
    <w:rsid w:val="0091560F"/>
    <w:rsid w:val="00915AF1"/>
    <w:rsid w:val="00915BED"/>
    <w:rsid w:val="00916F72"/>
    <w:rsid w:val="009173E6"/>
    <w:rsid w:val="009202E6"/>
    <w:rsid w:val="009204D4"/>
    <w:rsid w:val="009216B3"/>
    <w:rsid w:val="00921A96"/>
    <w:rsid w:val="00921C4F"/>
    <w:rsid w:val="00921CCC"/>
    <w:rsid w:val="00922125"/>
    <w:rsid w:val="00922182"/>
    <w:rsid w:val="009223E4"/>
    <w:rsid w:val="00922A1C"/>
    <w:rsid w:val="00923AF3"/>
    <w:rsid w:val="00925857"/>
    <w:rsid w:val="00925E83"/>
    <w:rsid w:val="00926862"/>
    <w:rsid w:val="009268CD"/>
    <w:rsid w:val="00926D00"/>
    <w:rsid w:val="00926F51"/>
    <w:rsid w:val="00927015"/>
    <w:rsid w:val="00927075"/>
    <w:rsid w:val="00930D06"/>
    <w:rsid w:val="00931090"/>
    <w:rsid w:val="00931B03"/>
    <w:rsid w:val="00932273"/>
    <w:rsid w:val="00932412"/>
    <w:rsid w:val="00932A18"/>
    <w:rsid w:val="0093324F"/>
    <w:rsid w:val="009332E5"/>
    <w:rsid w:val="0093371E"/>
    <w:rsid w:val="00933911"/>
    <w:rsid w:val="00934933"/>
    <w:rsid w:val="00934E46"/>
    <w:rsid w:val="00935B1C"/>
    <w:rsid w:val="00936021"/>
    <w:rsid w:val="00936A7E"/>
    <w:rsid w:val="00936C62"/>
    <w:rsid w:val="00937566"/>
    <w:rsid w:val="009379A9"/>
    <w:rsid w:val="00937A34"/>
    <w:rsid w:val="00937ABF"/>
    <w:rsid w:val="00937EA6"/>
    <w:rsid w:val="00940FCF"/>
    <w:rsid w:val="00942279"/>
    <w:rsid w:val="009429EB"/>
    <w:rsid w:val="00942B0B"/>
    <w:rsid w:val="00942BC8"/>
    <w:rsid w:val="00942E21"/>
    <w:rsid w:val="00943573"/>
    <w:rsid w:val="0094457A"/>
    <w:rsid w:val="0094502B"/>
    <w:rsid w:val="0094533C"/>
    <w:rsid w:val="00945517"/>
    <w:rsid w:val="00946640"/>
    <w:rsid w:val="009468E6"/>
    <w:rsid w:val="00946AB0"/>
    <w:rsid w:val="00947259"/>
    <w:rsid w:val="00947496"/>
    <w:rsid w:val="00947599"/>
    <w:rsid w:val="00947964"/>
    <w:rsid w:val="00947D8B"/>
    <w:rsid w:val="009501AB"/>
    <w:rsid w:val="0095030E"/>
    <w:rsid w:val="00950D91"/>
    <w:rsid w:val="00951404"/>
    <w:rsid w:val="00951994"/>
    <w:rsid w:val="0095291F"/>
    <w:rsid w:val="009532B7"/>
    <w:rsid w:val="00953485"/>
    <w:rsid w:val="00953D24"/>
    <w:rsid w:val="00954151"/>
    <w:rsid w:val="009545C2"/>
    <w:rsid w:val="0095556A"/>
    <w:rsid w:val="00955BCC"/>
    <w:rsid w:val="00956277"/>
    <w:rsid w:val="00956283"/>
    <w:rsid w:val="00956718"/>
    <w:rsid w:val="009569C1"/>
    <w:rsid w:val="00956C58"/>
    <w:rsid w:val="0095760B"/>
    <w:rsid w:val="0096037B"/>
    <w:rsid w:val="0096063C"/>
    <w:rsid w:val="00960D1E"/>
    <w:rsid w:val="00960DB8"/>
    <w:rsid w:val="009617BD"/>
    <w:rsid w:val="00961D4D"/>
    <w:rsid w:val="0096204A"/>
    <w:rsid w:val="009621B5"/>
    <w:rsid w:val="009621D9"/>
    <w:rsid w:val="0096244E"/>
    <w:rsid w:val="00962EA3"/>
    <w:rsid w:val="00962FE6"/>
    <w:rsid w:val="0096323D"/>
    <w:rsid w:val="0096504B"/>
    <w:rsid w:val="0096518C"/>
    <w:rsid w:val="00965214"/>
    <w:rsid w:val="00965F29"/>
    <w:rsid w:val="009664BF"/>
    <w:rsid w:val="00966806"/>
    <w:rsid w:val="00967778"/>
    <w:rsid w:val="00970348"/>
    <w:rsid w:val="0097040D"/>
    <w:rsid w:val="00970962"/>
    <w:rsid w:val="00970A42"/>
    <w:rsid w:val="00971880"/>
    <w:rsid w:val="00973048"/>
    <w:rsid w:val="009739DD"/>
    <w:rsid w:val="00973A82"/>
    <w:rsid w:val="00973E10"/>
    <w:rsid w:val="00974D4D"/>
    <w:rsid w:val="00975AEF"/>
    <w:rsid w:val="0097669A"/>
    <w:rsid w:val="0097699D"/>
    <w:rsid w:val="00976BCC"/>
    <w:rsid w:val="0097709E"/>
    <w:rsid w:val="009806CC"/>
    <w:rsid w:val="00980DA8"/>
    <w:rsid w:val="0098111C"/>
    <w:rsid w:val="009813FA"/>
    <w:rsid w:val="009814EF"/>
    <w:rsid w:val="009823AE"/>
    <w:rsid w:val="009827AE"/>
    <w:rsid w:val="009829E2"/>
    <w:rsid w:val="00982CA2"/>
    <w:rsid w:val="00982D9D"/>
    <w:rsid w:val="00982DEF"/>
    <w:rsid w:val="00982EFA"/>
    <w:rsid w:val="00983199"/>
    <w:rsid w:val="00985505"/>
    <w:rsid w:val="009858F6"/>
    <w:rsid w:val="00986461"/>
    <w:rsid w:val="009865A0"/>
    <w:rsid w:val="009866C2"/>
    <w:rsid w:val="00986911"/>
    <w:rsid w:val="00986B4B"/>
    <w:rsid w:val="00986C3B"/>
    <w:rsid w:val="00986D5A"/>
    <w:rsid w:val="0098713A"/>
    <w:rsid w:val="0098786F"/>
    <w:rsid w:val="00987ED1"/>
    <w:rsid w:val="0099000F"/>
    <w:rsid w:val="00990F5F"/>
    <w:rsid w:val="00990FBC"/>
    <w:rsid w:val="009912CC"/>
    <w:rsid w:val="00991609"/>
    <w:rsid w:val="0099210A"/>
    <w:rsid w:val="009927C8"/>
    <w:rsid w:val="009928F3"/>
    <w:rsid w:val="00992BAB"/>
    <w:rsid w:val="00992C6D"/>
    <w:rsid w:val="00992D98"/>
    <w:rsid w:val="00993691"/>
    <w:rsid w:val="009939A5"/>
    <w:rsid w:val="009939A8"/>
    <w:rsid w:val="00993D3C"/>
    <w:rsid w:val="0099414D"/>
    <w:rsid w:val="00995491"/>
    <w:rsid w:val="009956E2"/>
    <w:rsid w:val="00995773"/>
    <w:rsid w:val="009964C4"/>
    <w:rsid w:val="00996914"/>
    <w:rsid w:val="00996AF5"/>
    <w:rsid w:val="00996CFB"/>
    <w:rsid w:val="00996E42"/>
    <w:rsid w:val="009A06D9"/>
    <w:rsid w:val="009A0EF7"/>
    <w:rsid w:val="009A1019"/>
    <w:rsid w:val="009A1047"/>
    <w:rsid w:val="009A20D9"/>
    <w:rsid w:val="009A2653"/>
    <w:rsid w:val="009A28DB"/>
    <w:rsid w:val="009A2A1A"/>
    <w:rsid w:val="009A2A3D"/>
    <w:rsid w:val="009A2CFC"/>
    <w:rsid w:val="009A3674"/>
    <w:rsid w:val="009A3823"/>
    <w:rsid w:val="009A4160"/>
    <w:rsid w:val="009A41F2"/>
    <w:rsid w:val="009A423D"/>
    <w:rsid w:val="009A4C5C"/>
    <w:rsid w:val="009A50C5"/>
    <w:rsid w:val="009A5566"/>
    <w:rsid w:val="009A5D5F"/>
    <w:rsid w:val="009A5FCA"/>
    <w:rsid w:val="009A61E5"/>
    <w:rsid w:val="009A6C32"/>
    <w:rsid w:val="009A71BC"/>
    <w:rsid w:val="009A776D"/>
    <w:rsid w:val="009A781C"/>
    <w:rsid w:val="009A7D60"/>
    <w:rsid w:val="009A7FD5"/>
    <w:rsid w:val="009B0DDD"/>
    <w:rsid w:val="009B118E"/>
    <w:rsid w:val="009B11B2"/>
    <w:rsid w:val="009B1910"/>
    <w:rsid w:val="009B307D"/>
    <w:rsid w:val="009B34B3"/>
    <w:rsid w:val="009B3574"/>
    <w:rsid w:val="009B3C96"/>
    <w:rsid w:val="009B424D"/>
    <w:rsid w:val="009B4286"/>
    <w:rsid w:val="009B43E2"/>
    <w:rsid w:val="009B4558"/>
    <w:rsid w:val="009B4A2E"/>
    <w:rsid w:val="009B4AE8"/>
    <w:rsid w:val="009B5E88"/>
    <w:rsid w:val="009B610C"/>
    <w:rsid w:val="009B61BA"/>
    <w:rsid w:val="009B6EAB"/>
    <w:rsid w:val="009B7428"/>
    <w:rsid w:val="009B7820"/>
    <w:rsid w:val="009C1289"/>
    <w:rsid w:val="009C18B1"/>
    <w:rsid w:val="009C1AD2"/>
    <w:rsid w:val="009C1BCA"/>
    <w:rsid w:val="009C1EBE"/>
    <w:rsid w:val="009C1F11"/>
    <w:rsid w:val="009C205F"/>
    <w:rsid w:val="009C29DC"/>
    <w:rsid w:val="009C2AD6"/>
    <w:rsid w:val="009C3661"/>
    <w:rsid w:val="009C3FCC"/>
    <w:rsid w:val="009C4559"/>
    <w:rsid w:val="009C4618"/>
    <w:rsid w:val="009C5954"/>
    <w:rsid w:val="009C5A06"/>
    <w:rsid w:val="009C5C67"/>
    <w:rsid w:val="009C5C9A"/>
    <w:rsid w:val="009C62D6"/>
    <w:rsid w:val="009C7922"/>
    <w:rsid w:val="009C7FB5"/>
    <w:rsid w:val="009D0910"/>
    <w:rsid w:val="009D0999"/>
    <w:rsid w:val="009D0AD6"/>
    <w:rsid w:val="009D0AEE"/>
    <w:rsid w:val="009D10D1"/>
    <w:rsid w:val="009D11B1"/>
    <w:rsid w:val="009D16FE"/>
    <w:rsid w:val="009D1ADF"/>
    <w:rsid w:val="009D221C"/>
    <w:rsid w:val="009D3912"/>
    <w:rsid w:val="009D40B0"/>
    <w:rsid w:val="009D4106"/>
    <w:rsid w:val="009D450C"/>
    <w:rsid w:val="009D4BB2"/>
    <w:rsid w:val="009D4F97"/>
    <w:rsid w:val="009D5136"/>
    <w:rsid w:val="009D5667"/>
    <w:rsid w:val="009D5B0E"/>
    <w:rsid w:val="009D6BB4"/>
    <w:rsid w:val="009D73E6"/>
    <w:rsid w:val="009D7615"/>
    <w:rsid w:val="009E00CB"/>
    <w:rsid w:val="009E07CE"/>
    <w:rsid w:val="009E0D1B"/>
    <w:rsid w:val="009E1FC7"/>
    <w:rsid w:val="009E2576"/>
    <w:rsid w:val="009E32BF"/>
    <w:rsid w:val="009E372E"/>
    <w:rsid w:val="009E38AF"/>
    <w:rsid w:val="009E4234"/>
    <w:rsid w:val="009E4EAB"/>
    <w:rsid w:val="009E6284"/>
    <w:rsid w:val="009E6637"/>
    <w:rsid w:val="009E7587"/>
    <w:rsid w:val="009E7CB3"/>
    <w:rsid w:val="009F0549"/>
    <w:rsid w:val="009F1152"/>
    <w:rsid w:val="009F139D"/>
    <w:rsid w:val="009F13C1"/>
    <w:rsid w:val="009F1CF4"/>
    <w:rsid w:val="009F1D75"/>
    <w:rsid w:val="009F2876"/>
    <w:rsid w:val="009F3ACD"/>
    <w:rsid w:val="009F49BF"/>
    <w:rsid w:val="009F4A47"/>
    <w:rsid w:val="009F4B10"/>
    <w:rsid w:val="009F4FBC"/>
    <w:rsid w:val="009F516D"/>
    <w:rsid w:val="009F61D1"/>
    <w:rsid w:val="009F629B"/>
    <w:rsid w:val="009F63B7"/>
    <w:rsid w:val="009F6893"/>
    <w:rsid w:val="009F697C"/>
    <w:rsid w:val="009F6A69"/>
    <w:rsid w:val="009F7BF0"/>
    <w:rsid w:val="00A0036A"/>
    <w:rsid w:val="00A003FF"/>
    <w:rsid w:val="00A0084B"/>
    <w:rsid w:val="00A014B2"/>
    <w:rsid w:val="00A02174"/>
    <w:rsid w:val="00A026A0"/>
    <w:rsid w:val="00A02F3E"/>
    <w:rsid w:val="00A030A4"/>
    <w:rsid w:val="00A04483"/>
    <w:rsid w:val="00A04710"/>
    <w:rsid w:val="00A04AF3"/>
    <w:rsid w:val="00A04BF7"/>
    <w:rsid w:val="00A04C73"/>
    <w:rsid w:val="00A05025"/>
    <w:rsid w:val="00A05DE4"/>
    <w:rsid w:val="00A078F2"/>
    <w:rsid w:val="00A107B6"/>
    <w:rsid w:val="00A10A94"/>
    <w:rsid w:val="00A10B17"/>
    <w:rsid w:val="00A1189E"/>
    <w:rsid w:val="00A11A41"/>
    <w:rsid w:val="00A1211F"/>
    <w:rsid w:val="00A128E9"/>
    <w:rsid w:val="00A12E44"/>
    <w:rsid w:val="00A12F1A"/>
    <w:rsid w:val="00A13486"/>
    <w:rsid w:val="00A13988"/>
    <w:rsid w:val="00A13D29"/>
    <w:rsid w:val="00A141E9"/>
    <w:rsid w:val="00A14211"/>
    <w:rsid w:val="00A14F57"/>
    <w:rsid w:val="00A1556E"/>
    <w:rsid w:val="00A15C6B"/>
    <w:rsid w:val="00A15C8B"/>
    <w:rsid w:val="00A15FC0"/>
    <w:rsid w:val="00A165A8"/>
    <w:rsid w:val="00A16804"/>
    <w:rsid w:val="00A168B9"/>
    <w:rsid w:val="00A16B6A"/>
    <w:rsid w:val="00A1740B"/>
    <w:rsid w:val="00A17AFC"/>
    <w:rsid w:val="00A17BAE"/>
    <w:rsid w:val="00A2054B"/>
    <w:rsid w:val="00A20A97"/>
    <w:rsid w:val="00A20E9F"/>
    <w:rsid w:val="00A21348"/>
    <w:rsid w:val="00A2171A"/>
    <w:rsid w:val="00A21E26"/>
    <w:rsid w:val="00A223B1"/>
    <w:rsid w:val="00A229A2"/>
    <w:rsid w:val="00A22A99"/>
    <w:rsid w:val="00A22D8C"/>
    <w:rsid w:val="00A2368D"/>
    <w:rsid w:val="00A23E72"/>
    <w:rsid w:val="00A246D4"/>
    <w:rsid w:val="00A24773"/>
    <w:rsid w:val="00A2500E"/>
    <w:rsid w:val="00A25151"/>
    <w:rsid w:val="00A255B4"/>
    <w:rsid w:val="00A26188"/>
    <w:rsid w:val="00A27405"/>
    <w:rsid w:val="00A275DD"/>
    <w:rsid w:val="00A2770C"/>
    <w:rsid w:val="00A31370"/>
    <w:rsid w:val="00A313FD"/>
    <w:rsid w:val="00A320BC"/>
    <w:rsid w:val="00A320C3"/>
    <w:rsid w:val="00A330F0"/>
    <w:rsid w:val="00A33501"/>
    <w:rsid w:val="00A341AD"/>
    <w:rsid w:val="00A3434A"/>
    <w:rsid w:val="00A343A4"/>
    <w:rsid w:val="00A3484F"/>
    <w:rsid w:val="00A3487B"/>
    <w:rsid w:val="00A35E74"/>
    <w:rsid w:val="00A362B4"/>
    <w:rsid w:val="00A36B41"/>
    <w:rsid w:val="00A36DA5"/>
    <w:rsid w:val="00A36F26"/>
    <w:rsid w:val="00A376C2"/>
    <w:rsid w:val="00A37C53"/>
    <w:rsid w:val="00A4015E"/>
    <w:rsid w:val="00A40611"/>
    <w:rsid w:val="00A40623"/>
    <w:rsid w:val="00A410C0"/>
    <w:rsid w:val="00A41D38"/>
    <w:rsid w:val="00A42058"/>
    <w:rsid w:val="00A42714"/>
    <w:rsid w:val="00A42740"/>
    <w:rsid w:val="00A42A5B"/>
    <w:rsid w:val="00A43E9A"/>
    <w:rsid w:val="00A449A9"/>
    <w:rsid w:val="00A44EC2"/>
    <w:rsid w:val="00A450F6"/>
    <w:rsid w:val="00A45321"/>
    <w:rsid w:val="00A4596D"/>
    <w:rsid w:val="00A4649B"/>
    <w:rsid w:val="00A46804"/>
    <w:rsid w:val="00A47261"/>
    <w:rsid w:val="00A4753D"/>
    <w:rsid w:val="00A47748"/>
    <w:rsid w:val="00A477B4"/>
    <w:rsid w:val="00A504D2"/>
    <w:rsid w:val="00A50D0C"/>
    <w:rsid w:val="00A51921"/>
    <w:rsid w:val="00A5275C"/>
    <w:rsid w:val="00A5326E"/>
    <w:rsid w:val="00A536B5"/>
    <w:rsid w:val="00A53DE8"/>
    <w:rsid w:val="00A54935"/>
    <w:rsid w:val="00A54DC3"/>
    <w:rsid w:val="00A55874"/>
    <w:rsid w:val="00A55D86"/>
    <w:rsid w:val="00A56253"/>
    <w:rsid w:val="00A5635A"/>
    <w:rsid w:val="00A5676F"/>
    <w:rsid w:val="00A56E9B"/>
    <w:rsid w:val="00A574D4"/>
    <w:rsid w:val="00A57DC3"/>
    <w:rsid w:val="00A57E71"/>
    <w:rsid w:val="00A57FAA"/>
    <w:rsid w:val="00A60147"/>
    <w:rsid w:val="00A60294"/>
    <w:rsid w:val="00A606ED"/>
    <w:rsid w:val="00A6091C"/>
    <w:rsid w:val="00A6128A"/>
    <w:rsid w:val="00A612FF"/>
    <w:rsid w:val="00A6145C"/>
    <w:rsid w:val="00A62E06"/>
    <w:rsid w:val="00A62F62"/>
    <w:rsid w:val="00A637D0"/>
    <w:rsid w:val="00A63E99"/>
    <w:rsid w:val="00A648D4"/>
    <w:rsid w:val="00A657FA"/>
    <w:rsid w:val="00A65843"/>
    <w:rsid w:val="00A661EB"/>
    <w:rsid w:val="00A66489"/>
    <w:rsid w:val="00A66553"/>
    <w:rsid w:val="00A6660D"/>
    <w:rsid w:val="00A66677"/>
    <w:rsid w:val="00A66B7F"/>
    <w:rsid w:val="00A66CFE"/>
    <w:rsid w:val="00A67264"/>
    <w:rsid w:val="00A67A38"/>
    <w:rsid w:val="00A70AC2"/>
    <w:rsid w:val="00A70FB9"/>
    <w:rsid w:val="00A7130A"/>
    <w:rsid w:val="00A71B60"/>
    <w:rsid w:val="00A72298"/>
    <w:rsid w:val="00A72DEF"/>
    <w:rsid w:val="00A72F95"/>
    <w:rsid w:val="00A73420"/>
    <w:rsid w:val="00A74B7C"/>
    <w:rsid w:val="00A756C3"/>
    <w:rsid w:val="00A75D41"/>
    <w:rsid w:val="00A760CD"/>
    <w:rsid w:val="00A76103"/>
    <w:rsid w:val="00A764FD"/>
    <w:rsid w:val="00A7662D"/>
    <w:rsid w:val="00A772F3"/>
    <w:rsid w:val="00A77C49"/>
    <w:rsid w:val="00A77C5A"/>
    <w:rsid w:val="00A80FD3"/>
    <w:rsid w:val="00A81A3D"/>
    <w:rsid w:val="00A81D6C"/>
    <w:rsid w:val="00A82130"/>
    <w:rsid w:val="00A82AD1"/>
    <w:rsid w:val="00A84550"/>
    <w:rsid w:val="00A84CA7"/>
    <w:rsid w:val="00A857B0"/>
    <w:rsid w:val="00A858C2"/>
    <w:rsid w:val="00A863FA"/>
    <w:rsid w:val="00A86FBC"/>
    <w:rsid w:val="00A87669"/>
    <w:rsid w:val="00A87DC7"/>
    <w:rsid w:val="00A90DE6"/>
    <w:rsid w:val="00A918A6"/>
    <w:rsid w:val="00A91ECE"/>
    <w:rsid w:val="00A920CD"/>
    <w:rsid w:val="00A920E9"/>
    <w:rsid w:val="00A92445"/>
    <w:rsid w:val="00A92DFA"/>
    <w:rsid w:val="00A930F9"/>
    <w:rsid w:val="00A93B97"/>
    <w:rsid w:val="00A941B6"/>
    <w:rsid w:val="00A94749"/>
    <w:rsid w:val="00A956B0"/>
    <w:rsid w:val="00A95B95"/>
    <w:rsid w:val="00A95D0B"/>
    <w:rsid w:val="00A968A4"/>
    <w:rsid w:val="00A968E4"/>
    <w:rsid w:val="00A96BA0"/>
    <w:rsid w:val="00A97CDE"/>
    <w:rsid w:val="00AA04BC"/>
    <w:rsid w:val="00AA0F2F"/>
    <w:rsid w:val="00AA1217"/>
    <w:rsid w:val="00AA1576"/>
    <w:rsid w:val="00AA2C6F"/>
    <w:rsid w:val="00AA2CFB"/>
    <w:rsid w:val="00AA3A56"/>
    <w:rsid w:val="00AA3AE9"/>
    <w:rsid w:val="00AA3DA4"/>
    <w:rsid w:val="00AA4312"/>
    <w:rsid w:val="00AA4C85"/>
    <w:rsid w:val="00AA51D1"/>
    <w:rsid w:val="00AA5230"/>
    <w:rsid w:val="00AA525D"/>
    <w:rsid w:val="00AA59FA"/>
    <w:rsid w:val="00AA5D03"/>
    <w:rsid w:val="00AA5FA1"/>
    <w:rsid w:val="00AA609C"/>
    <w:rsid w:val="00AA62B7"/>
    <w:rsid w:val="00AA6635"/>
    <w:rsid w:val="00AA70BF"/>
    <w:rsid w:val="00AA72E3"/>
    <w:rsid w:val="00AA76CE"/>
    <w:rsid w:val="00AA7AEA"/>
    <w:rsid w:val="00AB0322"/>
    <w:rsid w:val="00AB1226"/>
    <w:rsid w:val="00AB12E8"/>
    <w:rsid w:val="00AB1DE4"/>
    <w:rsid w:val="00AB247F"/>
    <w:rsid w:val="00AB24AC"/>
    <w:rsid w:val="00AB27A7"/>
    <w:rsid w:val="00AB2F6B"/>
    <w:rsid w:val="00AB2F9F"/>
    <w:rsid w:val="00AB3008"/>
    <w:rsid w:val="00AB33BD"/>
    <w:rsid w:val="00AB3CEA"/>
    <w:rsid w:val="00AB3D47"/>
    <w:rsid w:val="00AB41D4"/>
    <w:rsid w:val="00AB443F"/>
    <w:rsid w:val="00AB55FF"/>
    <w:rsid w:val="00AB5EFD"/>
    <w:rsid w:val="00AB63C9"/>
    <w:rsid w:val="00AB6977"/>
    <w:rsid w:val="00AB6DD2"/>
    <w:rsid w:val="00AB6F0E"/>
    <w:rsid w:val="00AB79AD"/>
    <w:rsid w:val="00AB7C8C"/>
    <w:rsid w:val="00AC04EC"/>
    <w:rsid w:val="00AC0AEF"/>
    <w:rsid w:val="00AC0C91"/>
    <w:rsid w:val="00AC10D3"/>
    <w:rsid w:val="00AC148B"/>
    <w:rsid w:val="00AC1557"/>
    <w:rsid w:val="00AC1A04"/>
    <w:rsid w:val="00AC2150"/>
    <w:rsid w:val="00AC21E4"/>
    <w:rsid w:val="00AC37BA"/>
    <w:rsid w:val="00AC39B9"/>
    <w:rsid w:val="00AC4842"/>
    <w:rsid w:val="00AC564C"/>
    <w:rsid w:val="00AC5A0C"/>
    <w:rsid w:val="00AC5AEF"/>
    <w:rsid w:val="00AC5FB2"/>
    <w:rsid w:val="00AC70E6"/>
    <w:rsid w:val="00AC78A2"/>
    <w:rsid w:val="00AD0B10"/>
    <w:rsid w:val="00AD114D"/>
    <w:rsid w:val="00AD1512"/>
    <w:rsid w:val="00AD1549"/>
    <w:rsid w:val="00AD1A10"/>
    <w:rsid w:val="00AD1F73"/>
    <w:rsid w:val="00AD26A1"/>
    <w:rsid w:val="00AD38C6"/>
    <w:rsid w:val="00AD399F"/>
    <w:rsid w:val="00AD3DCC"/>
    <w:rsid w:val="00AD40D1"/>
    <w:rsid w:val="00AD417A"/>
    <w:rsid w:val="00AD498B"/>
    <w:rsid w:val="00AD4B42"/>
    <w:rsid w:val="00AD4DC6"/>
    <w:rsid w:val="00AD5C31"/>
    <w:rsid w:val="00AD5CD8"/>
    <w:rsid w:val="00AD6A5E"/>
    <w:rsid w:val="00AD6A87"/>
    <w:rsid w:val="00AD6C82"/>
    <w:rsid w:val="00AD6D45"/>
    <w:rsid w:val="00AD753E"/>
    <w:rsid w:val="00AD78FD"/>
    <w:rsid w:val="00AE01C5"/>
    <w:rsid w:val="00AE0A46"/>
    <w:rsid w:val="00AE0B6D"/>
    <w:rsid w:val="00AE13D1"/>
    <w:rsid w:val="00AE1C36"/>
    <w:rsid w:val="00AE2048"/>
    <w:rsid w:val="00AE242C"/>
    <w:rsid w:val="00AE2B1F"/>
    <w:rsid w:val="00AE2FCC"/>
    <w:rsid w:val="00AE3139"/>
    <w:rsid w:val="00AE34CB"/>
    <w:rsid w:val="00AE3F3C"/>
    <w:rsid w:val="00AE3FBC"/>
    <w:rsid w:val="00AE3FF2"/>
    <w:rsid w:val="00AE424A"/>
    <w:rsid w:val="00AE449E"/>
    <w:rsid w:val="00AE4969"/>
    <w:rsid w:val="00AE4AE9"/>
    <w:rsid w:val="00AE4FFC"/>
    <w:rsid w:val="00AE5E6D"/>
    <w:rsid w:val="00AE5EB2"/>
    <w:rsid w:val="00AE6363"/>
    <w:rsid w:val="00AE6443"/>
    <w:rsid w:val="00AE66A9"/>
    <w:rsid w:val="00AE6C5A"/>
    <w:rsid w:val="00AE780B"/>
    <w:rsid w:val="00AE7A24"/>
    <w:rsid w:val="00AF0111"/>
    <w:rsid w:val="00AF1345"/>
    <w:rsid w:val="00AF226A"/>
    <w:rsid w:val="00AF2918"/>
    <w:rsid w:val="00AF2A14"/>
    <w:rsid w:val="00AF2A7E"/>
    <w:rsid w:val="00AF3283"/>
    <w:rsid w:val="00AF39D2"/>
    <w:rsid w:val="00AF3C17"/>
    <w:rsid w:val="00AF3EEC"/>
    <w:rsid w:val="00AF5B38"/>
    <w:rsid w:val="00AF6476"/>
    <w:rsid w:val="00AF71B4"/>
    <w:rsid w:val="00B00F0F"/>
    <w:rsid w:val="00B01894"/>
    <w:rsid w:val="00B024D4"/>
    <w:rsid w:val="00B0267F"/>
    <w:rsid w:val="00B02AA9"/>
    <w:rsid w:val="00B035BB"/>
    <w:rsid w:val="00B03901"/>
    <w:rsid w:val="00B03D5A"/>
    <w:rsid w:val="00B04158"/>
    <w:rsid w:val="00B0483A"/>
    <w:rsid w:val="00B0483B"/>
    <w:rsid w:val="00B04842"/>
    <w:rsid w:val="00B0557D"/>
    <w:rsid w:val="00B06161"/>
    <w:rsid w:val="00B06DEE"/>
    <w:rsid w:val="00B06F1E"/>
    <w:rsid w:val="00B07785"/>
    <w:rsid w:val="00B079BD"/>
    <w:rsid w:val="00B07EEE"/>
    <w:rsid w:val="00B1092A"/>
    <w:rsid w:val="00B10D25"/>
    <w:rsid w:val="00B1153D"/>
    <w:rsid w:val="00B11EF0"/>
    <w:rsid w:val="00B1240B"/>
    <w:rsid w:val="00B1288D"/>
    <w:rsid w:val="00B131CE"/>
    <w:rsid w:val="00B13FBE"/>
    <w:rsid w:val="00B1460C"/>
    <w:rsid w:val="00B150BA"/>
    <w:rsid w:val="00B1536C"/>
    <w:rsid w:val="00B1550E"/>
    <w:rsid w:val="00B15AC3"/>
    <w:rsid w:val="00B168BC"/>
    <w:rsid w:val="00B169D8"/>
    <w:rsid w:val="00B17160"/>
    <w:rsid w:val="00B176D1"/>
    <w:rsid w:val="00B177C7"/>
    <w:rsid w:val="00B17819"/>
    <w:rsid w:val="00B20256"/>
    <w:rsid w:val="00B204E8"/>
    <w:rsid w:val="00B212F9"/>
    <w:rsid w:val="00B215C0"/>
    <w:rsid w:val="00B216AC"/>
    <w:rsid w:val="00B219EF"/>
    <w:rsid w:val="00B21E11"/>
    <w:rsid w:val="00B2263B"/>
    <w:rsid w:val="00B22D03"/>
    <w:rsid w:val="00B235A6"/>
    <w:rsid w:val="00B235A9"/>
    <w:rsid w:val="00B237F3"/>
    <w:rsid w:val="00B2398E"/>
    <w:rsid w:val="00B2474D"/>
    <w:rsid w:val="00B24B9B"/>
    <w:rsid w:val="00B24F4B"/>
    <w:rsid w:val="00B25737"/>
    <w:rsid w:val="00B25BA8"/>
    <w:rsid w:val="00B26A28"/>
    <w:rsid w:val="00B27187"/>
    <w:rsid w:val="00B27400"/>
    <w:rsid w:val="00B30279"/>
    <w:rsid w:val="00B30316"/>
    <w:rsid w:val="00B308A5"/>
    <w:rsid w:val="00B3137D"/>
    <w:rsid w:val="00B318BF"/>
    <w:rsid w:val="00B31FC4"/>
    <w:rsid w:val="00B3208A"/>
    <w:rsid w:val="00B32098"/>
    <w:rsid w:val="00B3224F"/>
    <w:rsid w:val="00B32285"/>
    <w:rsid w:val="00B32950"/>
    <w:rsid w:val="00B32C40"/>
    <w:rsid w:val="00B33D73"/>
    <w:rsid w:val="00B34E5B"/>
    <w:rsid w:val="00B34F6F"/>
    <w:rsid w:val="00B3510F"/>
    <w:rsid w:val="00B3541A"/>
    <w:rsid w:val="00B35630"/>
    <w:rsid w:val="00B356C6"/>
    <w:rsid w:val="00B35773"/>
    <w:rsid w:val="00B361E0"/>
    <w:rsid w:val="00B36382"/>
    <w:rsid w:val="00B363EE"/>
    <w:rsid w:val="00B36590"/>
    <w:rsid w:val="00B3670E"/>
    <w:rsid w:val="00B36DC2"/>
    <w:rsid w:val="00B36E1A"/>
    <w:rsid w:val="00B37CE8"/>
    <w:rsid w:val="00B37D9D"/>
    <w:rsid w:val="00B4009B"/>
    <w:rsid w:val="00B4242F"/>
    <w:rsid w:val="00B42638"/>
    <w:rsid w:val="00B429A8"/>
    <w:rsid w:val="00B42F18"/>
    <w:rsid w:val="00B42F54"/>
    <w:rsid w:val="00B4300F"/>
    <w:rsid w:val="00B43113"/>
    <w:rsid w:val="00B432CE"/>
    <w:rsid w:val="00B43367"/>
    <w:rsid w:val="00B435E2"/>
    <w:rsid w:val="00B437A1"/>
    <w:rsid w:val="00B43825"/>
    <w:rsid w:val="00B4388B"/>
    <w:rsid w:val="00B439C0"/>
    <w:rsid w:val="00B43C15"/>
    <w:rsid w:val="00B43C48"/>
    <w:rsid w:val="00B44CE5"/>
    <w:rsid w:val="00B45178"/>
    <w:rsid w:val="00B4535B"/>
    <w:rsid w:val="00B46E28"/>
    <w:rsid w:val="00B47319"/>
    <w:rsid w:val="00B47331"/>
    <w:rsid w:val="00B478AE"/>
    <w:rsid w:val="00B47B83"/>
    <w:rsid w:val="00B47EE2"/>
    <w:rsid w:val="00B50C91"/>
    <w:rsid w:val="00B510FD"/>
    <w:rsid w:val="00B51570"/>
    <w:rsid w:val="00B51688"/>
    <w:rsid w:val="00B5195C"/>
    <w:rsid w:val="00B51CF9"/>
    <w:rsid w:val="00B52AEA"/>
    <w:rsid w:val="00B52B71"/>
    <w:rsid w:val="00B533E3"/>
    <w:rsid w:val="00B53915"/>
    <w:rsid w:val="00B53E8C"/>
    <w:rsid w:val="00B53EA8"/>
    <w:rsid w:val="00B542FE"/>
    <w:rsid w:val="00B54976"/>
    <w:rsid w:val="00B54C4D"/>
    <w:rsid w:val="00B555F0"/>
    <w:rsid w:val="00B55AEF"/>
    <w:rsid w:val="00B55DD2"/>
    <w:rsid w:val="00B55EB8"/>
    <w:rsid w:val="00B5632D"/>
    <w:rsid w:val="00B608C4"/>
    <w:rsid w:val="00B60AC1"/>
    <w:rsid w:val="00B60AE0"/>
    <w:rsid w:val="00B60AF3"/>
    <w:rsid w:val="00B60B02"/>
    <w:rsid w:val="00B60D1D"/>
    <w:rsid w:val="00B611C7"/>
    <w:rsid w:val="00B614A4"/>
    <w:rsid w:val="00B61531"/>
    <w:rsid w:val="00B61E45"/>
    <w:rsid w:val="00B62B0B"/>
    <w:rsid w:val="00B6301B"/>
    <w:rsid w:val="00B630E3"/>
    <w:rsid w:val="00B63546"/>
    <w:rsid w:val="00B636AF"/>
    <w:rsid w:val="00B6383E"/>
    <w:rsid w:val="00B63EC5"/>
    <w:rsid w:val="00B649A7"/>
    <w:rsid w:val="00B64B23"/>
    <w:rsid w:val="00B64B29"/>
    <w:rsid w:val="00B64BA8"/>
    <w:rsid w:val="00B64F06"/>
    <w:rsid w:val="00B6590E"/>
    <w:rsid w:val="00B65FA8"/>
    <w:rsid w:val="00B6644D"/>
    <w:rsid w:val="00B66542"/>
    <w:rsid w:val="00B667CA"/>
    <w:rsid w:val="00B66CE4"/>
    <w:rsid w:val="00B67070"/>
    <w:rsid w:val="00B671B5"/>
    <w:rsid w:val="00B67325"/>
    <w:rsid w:val="00B701B0"/>
    <w:rsid w:val="00B701B1"/>
    <w:rsid w:val="00B70299"/>
    <w:rsid w:val="00B7073F"/>
    <w:rsid w:val="00B70D64"/>
    <w:rsid w:val="00B7179D"/>
    <w:rsid w:val="00B72407"/>
    <w:rsid w:val="00B726C9"/>
    <w:rsid w:val="00B727EB"/>
    <w:rsid w:val="00B73257"/>
    <w:rsid w:val="00B732CC"/>
    <w:rsid w:val="00B732F4"/>
    <w:rsid w:val="00B733E3"/>
    <w:rsid w:val="00B7386B"/>
    <w:rsid w:val="00B7419F"/>
    <w:rsid w:val="00B74C3F"/>
    <w:rsid w:val="00B75C01"/>
    <w:rsid w:val="00B75DA6"/>
    <w:rsid w:val="00B76C6F"/>
    <w:rsid w:val="00B77623"/>
    <w:rsid w:val="00B7791B"/>
    <w:rsid w:val="00B77B5F"/>
    <w:rsid w:val="00B77E48"/>
    <w:rsid w:val="00B77F5F"/>
    <w:rsid w:val="00B8083C"/>
    <w:rsid w:val="00B81073"/>
    <w:rsid w:val="00B81222"/>
    <w:rsid w:val="00B81D37"/>
    <w:rsid w:val="00B8210E"/>
    <w:rsid w:val="00B82B7E"/>
    <w:rsid w:val="00B8355E"/>
    <w:rsid w:val="00B83BF4"/>
    <w:rsid w:val="00B84217"/>
    <w:rsid w:val="00B850D6"/>
    <w:rsid w:val="00B85589"/>
    <w:rsid w:val="00B8568B"/>
    <w:rsid w:val="00B85B7D"/>
    <w:rsid w:val="00B85C74"/>
    <w:rsid w:val="00B86025"/>
    <w:rsid w:val="00B86BA0"/>
    <w:rsid w:val="00B872C5"/>
    <w:rsid w:val="00B874DA"/>
    <w:rsid w:val="00B90259"/>
    <w:rsid w:val="00B9031A"/>
    <w:rsid w:val="00B9082E"/>
    <w:rsid w:val="00B9189D"/>
    <w:rsid w:val="00B9236F"/>
    <w:rsid w:val="00B92C3F"/>
    <w:rsid w:val="00B92ED0"/>
    <w:rsid w:val="00B931B8"/>
    <w:rsid w:val="00B933E3"/>
    <w:rsid w:val="00B934A0"/>
    <w:rsid w:val="00B935E1"/>
    <w:rsid w:val="00B96217"/>
    <w:rsid w:val="00B96474"/>
    <w:rsid w:val="00B9681B"/>
    <w:rsid w:val="00B97023"/>
    <w:rsid w:val="00B971E2"/>
    <w:rsid w:val="00B9742D"/>
    <w:rsid w:val="00B9780B"/>
    <w:rsid w:val="00B97D17"/>
    <w:rsid w:val="00BA01DD"/>
    <w:rsid w:val="00BA097E"/>
    <w:rsid w:val="00BA13A7"/>
    <w:rsid w:val="00BA184F"/>
    <w:rsid w:val="00BA1B86"/>
    <w:rsid w:val="00BA2942"/>
    <w:rsid w:val="00BA312A"/>
    <w:rsid w:val="00BA3EE5"/>
    <w:rsid w:val="00BA415C"/>
    <w:rsid w:val="00BA4272"/>
    <w:rsid w:val="00BA4A01"/>
    <w:rsid w:val="00BA5A3E"/>
    <w:rsid w:val="00BA5AF3"/>
    <w:rsid w:val="00BA5B27"/>
    <w:rsid w:val="00BA6C5F"/>
    <w:rsid w:val="00BA6F1B"/>
    <w:rsid w:val="00BA74D1"/>
    <w:rsid w:val="00BA76C1"/>
    <w:rsid w:val="00BA7F50"/>
    <w:rsid w:val="00BB0101"/>
    <w:rsid w:val="00BB0180"/>
    <w:rsid w:val="00BB1201"/>
    <w:rsid w:val="00BB1875"/>
    <w:rsid w:val="00BB1C39"/>
    <w:rsid w:val="00BB3934"/>
    <w:rsid w:val="00BB61C2"/>
    <w:rsid w:val="00BB6681"/>
    <w:rsid w:val="00BB7E57"/>
    <w:rsid w:val="00BC07AF"/>
    <w:rsid w:val="00BC09DA"/>
    <w:rsid w:val="00BC1068"/>
    <w:rsid w:val="00BC11D6"/>
    <w:rsid w:val="00BC1653"/>
    <w:rsid w:val="00BC246E"/>
    <w:rsid w:val="00BC29E8"/>
    <w:rsid w:val="00BC5104"/>
    <w:rsid w:val="00BC52AC"/>
    <w:rsid w:val="00BC5440"/>
    <w:rsid w:val="00BC5E16"/>
    <w:rsid w:val="00BC6472"/>
    <w:rsid w:val="00BC65DB"/>
    <w:rsid w:val="00BC7AAB"/>
    <w:rsid w:val="00BD0917"/>
    <w:rsid w:val="00BD0F04"/>
    <w:rsid w:val="00BD1853"/>
    <w:rsid w:val="00BD1861"/>
    <w:rsid w:val="00BD1BA1"/>
    <w:rsid w:val="00BD1F18"/>
    <w:rsid w:val="00BD20A2"/>
    <w:rsid w:val="00BD20CC"/>
    <w:rsid w:val="00BD2142"/>
    <w:rsid w:val="00BD3AA2"/>
    <w:rsid w:val="00BD3C0B"/>
    <w:rsid w:val="00BD3E51"/>
    <w:rsid w:val="00BD3EDD"/>
    <w:rsid w:val="00BD417A"/>
    <w:rsid w:val="00BD435D"/>
    <w:rsid w:val="00BD44CC"/>
    <w:rsid w:val="00BD4B43"/>
    <w:rsid w:val="00BD4B56"/>
    <w:rsid w:val="00BD4C8E"/>
    <w:rsid w:val="00BD4EF8"/>
    <w:rsid w:val="00BD4FDE"/>
    <w:rsid w:val="00BD5072"/>
    <w:rsid w:val="00BD5436"/>
    <w:rsid w:val="00BD6449"/>
    <w:rsid w:val="00BD7B48"/>
    <w:rsid w:val="00BD7CF5"/>
    <w:rsid w:val="00BE059F"/>
    <w:rsid w:val="00BE061E"/>
    <w:rsid w:val="00BE1020"/>
    <w:rsid w:val="00BE13C9"/>
    <w:rsid w:val="00BE1564"/>
    <w:rsid w:val="00BE24E5"/>
    <w:rsid w:val="00BE2677"/>
    <w:rsid w:val="00BE2681"/>
    <w:rsid w:val="00BE3CA4"/>
    <w:rsid w:val="00BE40ED"/>
    <w:rsid w:val="00BE5369"/>
    <w:rsid w:val="00BE53F5"/>
    <w:rsid w:val="00BE55FA"/>
    <w:rsid w:val="00BE5961"/>
    <w:rsid w:val="00BE601F"/>
    <w:rsid w:val="00BE608D"/>
    <w:rsid w:val="00BE7506"/>
    <w:rsid w:val="00BE75CE"/>
    <w:rsid w:val="00BE7957"/>
    <w:rsid w:val="00BF0013"/>
    <w:rsid w:val="00BF07C0"/>
    <w:rsid w:val="00BF0BB0"/>
    <w:rsid w:val="00BF117B"/>
    <w:rsid w:val="00BF136D"/>
    <w:rsid w:val="00BF1461"/>
    <w:rsid w:val="00BF18CA"/>
    <w:rsid w:val="00BF210E"/>
    <w:rsid w:val="00BF3ADD"/>
    <w:rsid w:val="00BF3AF6"/>
    <w:rsid w:val="00BF4D38"/>
    <w:rsid w:val="00BF5463"/>
    <w:rsid w:val="00BF59EC"/>
    <w:rsid w:val="00BF5AD3"/>
    <w:rsid w:val="00BF5E6D"/>
    <w:rsid w:val="00BF61B0"/>
    <w:rsid w:val="00BF65DF"/>
    <w:rsid w:val="00BF6802"/>
    <w:rsid w:val="00BF6B6B"/>
    <w:rsid w:val="00BF7003"/>
    <w:rsid w:val="00BF72BB"/>
    <w:rsid w:val="00BF73D9"/>
    <w:rsid w:val="00BF7C91"/>
    <w:rsid w:val="00BF7C97"/>
    <w:rsid w:val="00C00CE7"/>
    <w:rsid w:val="00C021CD"/>
    <w:rsid w:val="00C029E6"/>
    <w:rsid w:val="00C02A86"/>
    <w:rsid w:val="00C03035"/>
    <w:rsid w:val="00C03692"/>
    <w:rsid w:val="00C03BD8"/>
    <w:rsid w:val="00C03C8C"/>
    <w:rsid w:val="00C04352"/>
    <w:rsid w:val="00C0486F"/>
    <w:rsid w:val="00C05422"/>
    <w:rsid w:val="00C06359"/>
    <w:rsid w:val="00C066F8"/>
    <w:rsid w:val="00C06708"/>
    <w:rsid w:val="00C067B2"/>
    <w:rsid w:val="00C06AA0"/>
    <w:rsid w:val="00C10086"/>
    <w:rsid w:val="00C102AB"/>
    <w:rsid w:val="00C10364"/>
    <w:rsid w:val="00C10E4D"/>
    <w:rsid w:val="00C1135C"/>
    <w:rsid w:val="00C11643"/>
    <w:rsid w:val="00C1219C"/>
    <w:rsid w:val="00C122A0"/>
    <w:rsid w:val="00C1280A"/>
    <w:rsid w:val="00C12F57"/>
    <w:rsid w:val="00C13050"/>
    <w:rsid w:val="00C1313D"/>
    <w:rsid w:val="00C140B3"/>
    <w:rsid w:val="00C14101"/>
    <w:rsid w:val="00C15406"/>
    <w:rsid w:val="00C15B7F"/>
    <w:rsid w:val="00C16D3C"/>
    <w:rsid w:val="00C16DFA"/>
    <w:rsid w:val="00C16EC7"/>
    <w:rsid w:val="00C21403"/>
    <w:rsid w:val="00C2176A"/>
    <w:rsid w:val="00C21C05"/>
    <w:rsid w:val="00C232F6"/>
    <w:rsid w:val="00C23E84"/>
    <w:rsid w:val="00C24999"/>
    <w:rsid w:val="00C24AB5"/>
    <w:rsid w:val="00C25663"/>
    <w:rsid w:val="00C257BE"/>
    <w:rsid w:val="00C25E15"/>
    <w:rsid w:val="00C26E8B"/>
    <w:rsid w:val="00C27461"/>
    <w:rsid w:val="00C277F3"/>
    <w:rsid w:val="00C321FA"/>
    <w:rsid w:val="00C325EA"/>
    <w:rsid w:val="00C32DFF"/>
    <w:rsid w:val="00C331B0"/>
    <w:rsid w:val="00C334F3"/>
    <w:rsid w:val="00C33518"/>
    <w:rsid w:val="00C337E1"/>
    <w:rsid w:val="00C33D77"/>
    <w:rsid w:val="00C34840"/>
    <w:rsid w:val="00C351FF"/>
    <w:rsid w:val="00C3588E"/>
    <w:rsid w:val="00C3605F"/>
    <w:rsid w:val="00C375DE"/>
    <w:rsid w:val="00C40281"/>
    <w:rsid w:val="00C4091E"/>
    <w:rsid w:val="00C40E8C"/>
    <w:rsid w:val="00C415E3"/>
    <w:rsid w:val="00C41A10"/>
    <w:rsid w:val="00C42948"/>
    <w:rsid w:val="00C42FAD"/>
    <w:rsid w:val="00C431A0"/>
    <w:rsid w:val="00C4386E"/>
    <w:rsid w:val="00C43A51"/>
    <w:rsid w:val="00C4411E"/>
    <w:rsid w:val="00C442E7"/>
    <w:rsid w:val="00C443C9"/>
    <w:rsid w:val="00C450A3"/>
    <w:rsid w:val="00C45691"/>
    <w:rsid w:val="00C4574A"/>
    <w:rsid w:val="00C45A85"/>
    <w:rsid w:val="00C45E18"/>
    <w:rsid w:val="00C46730"/>
    <w:rsid w:val="00C4677F"/>
    <w:rsid w:val="00C47263"/>
    <w:rsid w:val="00C47993"/>
    <w:rsid w:val="00C47C2A"/>
    <w:rsid w:val="00C50670"/>
    <w:rsid w:val="00C50831"/>
    <w:rsid w:val="00C50D41"/>
    <w:rsid w:val="00C50EAF"/>
    <w:rsid w:val="00C50FD6"/>
    <w:rsid w:val="00C511E8"/>
    <w:rsid w:val="00C52E4F"/>
    <w:rsid w:val="00C53862"/>
    <w:rsid w:val="00C53F60"/>
    <w:rsid w:val="00C5422A"/>
    <w:rsid w:val="00C54920"/>
    <w:rsid w:val="00C54C15"/>
    <w:rsid w:val="00C551A4"/>
    <w:rsid w:val="00C5530D"/>
    <w:rsid w:val="00C55676"/>
    <w:rsid w:val="00C55841"/>
    <w:rsid w:val="00C56318"/>
    <w:rsid w:val="00C56587"/>
    <w:rsid w:val="00C56B9C"/>
    <w:rsid w:val="00C56D4E"/>
    <w:rsid w:val="00C57076"/>
    <w:rsid w:val="00C5711D"/>
    <w:rsid w:val="00C5734F"/>
    <w:rsid w:val="00C57F26"/>
    <w:rsid w:val="00C60418"/>
    <w:rsid w:val="00C60A75"/>
    <w:rsid w:val="00C60F54"/>
    <w:rsid w:val="00C610CF"/>
    <w:rsid w:val="00C617FD"/>
    <w:rsid w:val="00C61C30"/>
    <w:rsid w:val="00C61E8F"/>
    <w:rsid w:val="00C62C23"/>
    <w:rsid w:val="00C62DAD"/>
    <w:rsid w:val="00C62DE0"/>
    <w:rsid w:val="00C62FE4"/>
    <w:rsid w:val="00C62FEC"/>
    <w:rsid w:val="00C630F7"/>
    <w:rsid w:val="00C6322C"/>
    <w:rsid w:val="00C63507"/>
    <w:rsid w:val="00C63757"/>
    <w:rsid w:val="00C64F77"/>
    <w:rsid w:val="00C64F94"/>
    <w:rsid w:val="00C65249"/>
    <w:rsid w:val="00C657DC"/>
    <w:rsid w:val="00C658D4"/>
    <w:rsid w:val="00C65AF7"/>
    <w:rsid w:val="00C65AF9"/>
    <w:rsid w:val="00C65D89"/>
    <w:rsid w:val="00C666D1"/>
    <w:rsid w:val="00C66A4E"/>
    <w:rsid w:val="00C66AEE"/>
    <w:rsid w:val="00C66DA0"/>
    <w:rsid w:val="00C678AC"/>
    <w:rsid w:val="00C70763"/>
    <w:rsid w:val="00C7146C"/>
    <w:rsid w:val="00C71ADA"/>
    <w:rsid w:val="00C7275A"/>
    <w:rsid w:val="00C72D28"/>
    <w:rsid w:val="00C735AA"/>
    <w:rsid w:val="00C73A13"/>
    <w:rsid w:val="00C73C07"/>
    <w:rsid w:val="00C7455A"/>
    <w:rsid w:val="00C746D3"/>
    <w:rsid w:val="00C74AF1"/>
    <w:rsid w:val="00C76814"/>
    <w:rsid w:val="00C76F01"/>
    <w:rsid w:val="00C7713D"/>
    <w:rsid w:val="00C77DCA"/>
    <w:rsid w:val="00C77E93"/>
    <w:rsid w:val="00C80021"/>
    <w:rsid w:val="00C8142C"/>
    <w:rsid w:val="00C82070"/>
    <w:rsid w:val="00C82367"/>
    <w:rsid w:val="00C82ADD"/>
    <w:rsid w:val="00C83223"/>
    <w:rsid w:val="00C83276"/>
    <w:rsid w:val="00C839CB"/>
    <w:rsid w:val="00C83A75"/>
    <w:rsid w:val="00C83C21"/>
    <w:rsid w:val="00C8482E"/>
    <w:rsid w:val="00C84A6A"/>
    <w:rsid w:val="00C85561"/>
    <w:rsid w:val="00C8632D"/>
    <w:rsid w:val="00C86799"/>
    <w:rsid w:val="00C86CC9"/>
    <w:rsid w:val="00C86F75"/>
    <w:rsid w:val="00C8762D"/>
    <w:rsid w:val="00C877B8"/>
    <w:rsid w:val="00C877E6"/>
    <w:rsid w:val="00C879DE"/>
    <w:rsid w:val="00C87FA9"/>
    <w:rsid w:val="00C90404"/>
    <w:rsid w:val="00C90E11"/>
    <w:rsid w:val="00C912A3"/>
    <w:rsid w:val="00C91683"/>
    <w:rsid w:val="00C91C5A"/>
    <w:rsid w:val="00C92533"/>
    <w:rsid w:val="00C929A4"/>
    <w:rsid w:val="00C92A0A"/>
    <w:rsid w:val="00C93076"/>
    <w:rsid w:val="00C93173"/>
    <w:rsid w:val="00C93437"/>
    <w:rsid w:val="00C93AC6"/>
    <w:rsid w:val="00C94453"/>
    <w:rsid w:val="00C9504D"/>
    <w:rsid w:val="00C956FF"/>
    <w:rsid w:val="00C96804"/>
    <w:rsid w:val="00C9759D"/>
    <w:rsid w:val="00C97923"/>
    <w:rsid w:val="00C97C57"/>
    <w:rsid w:val="00C97D37"/>
    <w:rsid w:val="00C97E55"/>
    <w:rsid w:val="00CA030B"/>
    <w:rsid w:val="00CA04CF"/>
    <w:rsid w:val="00CA0D11"/>
    <w:rsid w:val="00CA0D28"/>
    <w:rsid w:val="00CA1027"/>
    <w:rsid w:val="00CA1050"/>
    <w:rsid w:val="00CA1778"/>
    <w:rsid w:val="00CA1CF1"/>
    <w:rsid w:val="00CA249F"/>
    <w:rsid w:val="00CA25B8"/>
    <w:rsid w:val="00CA2940"/>
    <w:rsid w:val="00CA2FF9"/>
    <w:rsid w:val="00CA2FFF"/>
    <w:rsid w:val="00CA3042"/>
    <w:rsid w:val="00CA3731"/>
    <w:rsid w:val="00CA4B76"/>
    <w:rsid w:val="00CA4E52"/>
    <w:rsid w:val="00CA4F0B"/>
    <w:rsid w:val="00CA596B"/>
    <w:rsid w:val="00CA5DA3"/>
    <w:rsid w:val="00CA66E4"/>
    <w:rsid w:val="00CA6AAB"/>
    <w:rsid w:val="00CA7173"/>
    <w:rsid w:val="00CA7393"/>
    <w:rsid w:val="00CA7C6D"/>
    <w:rsid w:val="00CB06D0"/>
    <w:rsid w:val="00CB0856"/>
    <w:rsid w:val="00CB08C2"/>
    <w:rsid w:val="00CB0C3C"/>
    <w:rsid w:val="00CB0D77"/>
    <w:rsid w:val="00CB1539"/>
    <w:rsid w:val="00CB17D2"/>
    <w:rsid w:val="00CB17E7"/>
    <w:rsid w:val="00CB19EC"/>
    <w:rsid w:val="00CB1DE3"/>
    <w:rsid w:val="00CB3530"/>
    <w:rsid w:val="00CB3783"/>
    <w:rsid w:val="00CB3803"/>
    <w:rsid w:val="00CB38A4"/>
    <w:rsid w:val="00CB4457"/>
    <w:rsid w:val="00CB4D31"/>
    <w:rsid w:val="00CB4EC3"/>
    <w:rsid w:val="00CB5885"/>
    <w:rsid w:val="00CB5CB8"/>
    <w:rsid w:val="00CB615E"/>
    <w:rsid w:val="00CB6170"/>
    <w:rsid w:val="00CB686A"/>
    <w:rsid w:val="00CB6E53"/>
    <w:rsid w:val="00CB71D3"/>
    <w:rsid w:val="00CB756C"/>
    <w:rsid w:val="00CB7C20"/>
    <w:rsid w:val="00CB7D4D"/>
    <w:rsid w:val="00CC084D"/>
    <w:rsid w:val="00CC1424"/>
    <w:rsid w:val="00CC1672"/>
    <w:rsid w:val="00CC194A"/>
    <w:rsid w:val="00CC1F43"/>
    <w:rsid w:val="00CC2D03"/>
    <w:rsid w:val="00CC2E00"/>
    <w:rsid w:val="00CC37E8"/>
    <w:rsid w:val="00CC3D5E"/>
    <w:rsid w:val="00CC3E7B"/>
    <w:rsid w:val="00CC4793"/>
    <w:rsid w:val="00CC4A5C"/>
    <w:rsid w:val="00CC5D0E"/>
    <w:rsid w:val="00CC64D4"/>
    <w:rsid w:val="00CC6671"/>
    <w:rsid w:val="00CC70E0"/>
    <w:rsid w:val="00CC751F"/>
    <w:rsid w:val="00CC79F2"/>
    <w:rsid w:val="00CC7BD8"/>
    <w:rsid w:val="00CD0C10"/>
    <w:rsid w:val="00CD0DFB"/>
    <w:rsid w:val="00CD11CE"/>
    <w:rsid w:val="00CD28EB"/>
    <w:rsid w:val="00CD2990"/>
    <w:rsid w:val="00CD2B1B"/>
    <w:rsid w:val="00CD30B7"/>
    <w:rsid w:val="00CD39A1"/>
    <w:rsid w:val="00CD405E"/>
    <w:rsid w:val="00CD4158"/>
    <w:rsid w:val="00CD4503"/>
    <w:rsid w:val="00CD5547"/>
    <w:rsid w:val="00CD6A25"/>
    <w:rsid w:val="00CD7006"/>
    <w:rsid w:val="00CD7A6D"/>
    <w:rsid w:val="00CD7CC3"/>
    <w:rsid w:val="00CE0641"/>
    <w:rsid w:val="00CE0A46"/>
    <w:rsid w:val="00CE0B2F"/>
    <w:rsid w:val="00CE0C5D"/>
    <w:rsid w:val="00CE3AEF"/>
    <w:rsid w:val="00CE3F49"/>
    <w:rsid w:val="00CE4C58"/>
    <w:rsid w:val="00CE4C63"/>
    <w:rsid w:val="00CE5205"/>
    <w:rsid w:val="00CE525A"/>
    <w:rsid w:val="00CE5429"/>
    <w:rsid w:val="00CE5584"/>
    <w:rsid w:val="00CE570D"/>
    <w:rsid w:val="00CE5D3D"/>
    <w:rsid w:val="00CE669D"/>
    <w:rsid w:val="00CF0242"/>
    <w:rsid w:val="00CF0F3F"/>
    <w:rsid w:val="00CF11B8"/>
    <w:rsid w:val="00CF1852"/>
    <w:rsid w:val="00CF192E"/>
    <w:rsid w:val="00CF1F78"/>
    <w:rsid w:val="00CF288F"/>
    <w:rsid w:val="00CF2EC3"/>
    <w:rsid w:val="00CF3B0B"/>
    <w:rsid w:val="00CF3F24"/>
    <w:rsid w:val="00CF4308"/>
    <w:rsid w:val="00CF45EA"/>
    <w:rsid w:val="00CF4FD6"/>
    <w:rsid w:val="00CF5E29"/>
    <w:rsid w:val="00CF5EEB"/>
    <w:rsid w:val="00CF6D6E"/>
    <w:rsid w:val="00CF76F6"/>
    <w:rsid w:val="00CF7E2E"/>
    <w:rsid w:val="00D0035B"/>
    <w:rsid w:val="00D00BFC"/>
    <w:rsid w:val="00D00C9B"/>
    <w:rsid w:val="00D00EAF"/>
    <w:rsid w:val="00D00EBF"/>
    <w:rsid w:val="00D014DB"/>
    <w:rsid w:val="00D01544"/>
    <w:rsid w:val="00D022EF"/>
    <w:rsid w:val="00D026BB"/>
    <w:rsid w:val="00D029DF"/>
    <w:rsid w:val="00D02DC7"/>
    <w:rsid w:val="00D02E0C"/>
    <w:rsid w:val="00D02FAD"/>
    <w:rsid w:val="00D03802"/>
    <w:rsid w:val="00D0392F"/>
    <w:rsid w:val="00D03AD6"/>
    <w:rsid w:val="00D04661"/>
    <w:rsid w:val="00D04E9D"/>
    <w:rsid w:val="00D05A60"/>
    <w:rsid w:val="00D0665C"/>
    <w:rsid w:val="00D06A03"/>
    <w:rsid w:val="00D06E69"/>
    <w:rsid w:val="00D072EC"/>
    <w:rsid w:val="00D0730B"/>
    <w:rsid w:val="00D075D6"/>
    <w:rsid w:val="00D104CB"/>
    <w:rsid w:val="00D108CD"/>
    <w:rsid w:val="00D109D6"/>
    <w:rsid w:val="00D10C36"/>
    <w:rsid w:val="00D10C66"/>
    <w:rsid w:val="00D11118"/>
    <w:rsid w:val="00D1179B"/>
    <w:rsid w:val="00D12022"/>
    <w:rsid w:val="00D124FB"/>
    <w:rsid w:val="00D1286A"/>
    <w:rsid w:val="00D13D75"/>
    <w:rsid w:val="00D143D0"/>
    <w:rsid w:val="00D1495F"/>
    <w:rsid w:val="00D15289"/>
    <w:rsid w:val="00D159A1"/>
    <w:rsid w:val="00D15DA5"/>
    <w:rsid w:val="00D1622B"/>
    <w:rsid w:val="00D16415"/>
    <w:rsid w:val="00D16802"/>
    <w:rsid w:val="00D16D2D"/>
    <w:rsid w:val="00D172D0"/>
    <w:rsid w:val="00D176EF"/>
    <w:rsid w:val="00D20510"/>
    <w:rsid w:val="00D2077A"/>
    <w:rsid w:val="00D20EC3"/>
    <w:rsid w:val="00D2109F"/>
    <w:rsid w:val="00D21179"/>
    <w:rsid w:val="00D21974"/>
    <w:rsid w:val="00D2207D"/>
    <w:rsid w:val="00D22F1E"/>
    <w:rsid w:val="00D2351F"/>
    <w:rsid w:val="00D2458A"/>
    <w:rsid w:val="00D24DD3"/>
    <w:rsid w:val="00D2537B"/>
    <w:rsid w:val="00D25490"/>
    <w:rsid w:val="00D2595F"/>
    <w:rsid w:val="00D25CD7"/>
    <w:rsid w:val="00D25CD8"/>
    <w:rsid w:val="00D25E71"/>
    <w:rsid w:val="00D26241"/>
    <w:rsid w:val="00D26551"/>
    <w:rsid w:val="00D266C2"/>
    <w:rsid w:val="00D269E5"/>
    <w:rsid w:val="00D26CDC"/>
    <w:rsid w:val="00D30368"/>
    <w:rsid w:val="00D304CA"/>
    <w:rsid w:val="00D310F0"/>
    <w:rsid w:val="00D311A6"/>
    <w:rsid w:val="00D31E55"/>
    <w:rsid w:val="00D321AB"/>
    <w:rsid w:val="00D32C0C"/>
    <w:rsid w:val="00D32C9A"/>
    <w:rsid w:val="00D32FD0"/>
    <w:rsid w:val="00D341A2"/>
    <w:rsid w:val="00D34F1D"/>
    <w:rsid w:val="00D3597E"/>
    <w:rsid w:val="00D35E0A"/>
    <w:rsid w:val="00D365B7"/>
    <w:rsid w:val="00D367F1"/>
    <w:rsid w:val="00D36C2A"/>
    <w:rsid w:val="00D36DFC"/>
    <w:rsid w:val="00D371BE"/>
    <w:rsid w:val="00D373CB"/>
    <w:rsid w:val="00D37957"/>
    <w:rsid w:val="00D40629"/>
    <w:rsid w:val="00D40652"/>
    <w:rsid w:val="00D40BC7"/>
    <w:rsid w:val="00D40D0C"/>
    <w:rsid w:val="00D4125B"/>
    <w:rsid w:val="00D413C9"/>
    <w:rsid w:val="00D42264"/>
    <w:rsid w:val="00D42C2F"/>
    <w:rsid w:val="00D43038"/>
    <w:rsid w:val="00D4361B"/>
    <w:rsid w:val="00D43A95"/>
    <w:rsid w:val="00D441EB"/>
    <w:rsid w:val="00D44537"/>
    <w:rsid w:val="00D44812"/>
    <w:rsid w:val="00D451B2"/>
    <w:rsid w:val="00D46028"/>
    <w:rsid w:val="00D460EC"/>
    <w:rsid w:val="00D46599"/>
    <w:rsid w:val="00D4672E"/>
    <w:rsid w:val="00D46976"/>
    <w:rsid w:val="00D476CA"/>
    <w:rsid w:val="00D47EEF"/>
    <w:rsid w:val="00D47EFC"/>
    <w:rsid w:val="00D5046E"/>
    <w:rsid w:val="00D50732"/>
    <w:rsid w:val="00D50946"/>
    <w:rsid w:val="00D509D1"/>
    <w:rsid w:val="00D50A81"/>
    <w:rsid w:val="00D50C4B"/>
    <w:rsid w:val="00D51629"/>
    <w:rsid w:val="00D51EFB"/>
    <w:rsid w:val="00D52D7C"/>
    <w:rsid w:val="00D52E70"/>
    <w:rsid w:val="00D52FE5"/>
    <w:rsid w:val="00D5353F"/>
    <w:rsid w:val="00D535F8"/>
    <w:rsid w:val="00D536EE"/>
    <w:rsid w:val="00D538C5"/>
    <w:rsid w:val="00D549B5"/>
    <w:rsid w:val="00D5551C"/>
    <w:rsid w:val="00D55530"/>
    <w:rsid w:val="00D55C9A"/>
    <w:rsid w:val="00D56CAE"/>
    <w:rsid w:val="00D572CA"/>
    <w:rsid w:val="00D5742D"/>
    <w:rsid w:val="00D578F5"/>
    <w:rsid w:val="00D600EF"/>
    <w:rsid w:val="00D6022B"/>
    <w:rsid w:val="00D605A8"/>
    <w:rsid w:val="00D605D5"/>
    <w:rsid w:val="00D60617"/>
    <w:rsid w:val="00D61B71"/>
    <w:rsid w:val="00D6214F"/>
    <w:rsid w:val="00D62DA4"/>
    <w:rsid w:val="00D6303C"/>
    <w:rsid w:val="00D635D6"/>
    <w:rsid w:val="00D637EC"/>
    <w:rsid w:val="00D63C56"/>
    <w:rsid w:val="00D6493B"/>
    <w:rsid w:val="00D64CC3"/>
    <w:rsid w:val="00D65635"/>
    <w:rsid w:val="00D6574A"/>
    <w:rsid w:val="00D6679F"/>
    <w:rsid w:val="00D667DA"/>
    <w:rsid w:val="00D667EE"/>
    <w:rsid w:val="00D66DFD"/>
    <w:rsid w:val="00D6719D"/>
    <w:rsid w:val="00D67868"/>
    <w:rsid w:val="00D67CB8"/>
    <w:rsid w:val="00D702C8"/>
    <w:rsid w:val="00D7052E"/>
    <w:rsid w:val="00D70585"/>
    <w:rsid w:val="00D708AE"/>
    <w:rsid w:val="00D7101A"/>
    <w:rsid w:val="00D71838"/>
    <w:rsid w:val="00D72547"/>
    <w:rsid w:val="00D72F61"/>
    <w:rsid w:val="00D733B0"/>
    <w:rsid w:val="00D74173"/>
    <w:rsid w:val="00D743A5"/>
    <w:rsid w:val="00D749D6"/>
    <w:rsid w:val="00D75677"/>
    <w:rsid w:val="00D759A7"/>
    <w:rsid w:val="00D75F42"/>
    <w:rsid w:val="00D7624E"/>
    <w:rsid w:val="00D7660B"/>
    <w:rsid w:val="00D768BF"/>
    <w:rsid w:val="00D8007A"/>
    <w:rsid w:val="00D80CB7"/>
    <w:rsid w:val="00D81209"/>
    <w:rsid w:val="00D81269"/>
    <w:rsid w:val="00D8134A"/>
    <w:rsid w:val="00D818A6"/>
    <w:rsid w:val="00D81B6F"/>
    <w:rsid w:val="00D81ED2"/>
    <w:rsid w:val="00D81F85"/>
    <w:rsid w:val="00D82025"/>
    <w:rsid w:val="00D82F0F"/>
    <w:rsid w:val="00D82FEA"/>
    <w:rsid w:val="00D832BD"/>
    <w:rsid w:val="00D83525"/>
    <w:rsid w:val="00D839DF"/>
    <w:rsid w:val="00D83AF0"/>
    <w:rsid w:val="00D83B73"/>
    <w:rsid w:val="00D843CD"/>
    <w:rsid w:val="00D8485F"/>
    <w:rsid w:val="00D84884"/>
    <w:rsid w:val="00D85138"/>
    <w:rsid w:val="00D856F7"/>
    <w:rsid w:val="00D86030"/>
    <w:rsid w:val="00D865AB"/>
    <w:rsid w:val="00D87C1E"/>
    <w:rsid w:val="00D87CCF"/>
    <w:rsid w:val="00D87DD0"/>
    <w:rsid w:val="00D87E4D"/>
    <w:rsid w:val="00D90728"/>
    <w:rsid w:val="00D914E1"/>
    <w:rsid w:val="00D91C66"/>
    <w:rsid w:val="00D92B8C"/>
    <w:rsid w:val="00D92EF9"/>
    <w:rsid w:val="00D9326F"/>
    <w:rsid w:val="00D936CF"/>
    <w:rsid w:val="00D936D0"/>
    <w:rsid w:val="00D93B25"/>
    <w:rsid w:val="00D93D00"/>
    <w:rsid w:val="00D93E57"/>
    <w:rsid w:val="00D93E92"/>
    <w:rsid w:val="00D93FA9"/>
    <w:rsid w:val="00D94692"/>
    <w:rsid w:val="00D947B4"/>
    <w:rsid w:val="00D94C7F"/>
    <w:rsid w:val="00D96F1F"/>
    <w:rsid w:val="00D97449"/>
    <w:rsid w:val="00D9747C"/>
    <w:rsid w:val="00D976F5"/>
    <w:rsid w:val="00D97E30"/>
    <w:rsid w:val="00D97F9F"/>
    <w:rsid w:val="00DA09E7"/>
    <w:rsid w:val="00DA1B2C"/>
    <w:rsid w:val="00DA1C78"/>
    <w:rsid w:val="00DA1FBC"/>
    <w:rsid w:val="00DA1FDA"/>
    <w:rsid w:val="00DA2124"/>
    <w:rsid w:val="00DA2ECC"/>
    <w:rsid w:val="00DA36F0"/>
    <w:rsid w:val="00DA47F6"/>
    <w:rsid w:val="00DA48D8"/>
    <w:rsid w:val="00DA507C"/>
    <w:rsid w:val="00DA5CDE"/>
    <w:rsid w:val="00DA5E2A"/>
    <w:rsid w:val="00DA6415"/>
    <w:rsid w:val="00DA6536"/>
    <w:rsid w:val="00DA6567"/>
    <w:rsid w:val="00DA6FF4"/>
    <w:rsid w:val="00DA71B6"/>
    <w:rsid w:val="00DB0418"/>
    <w:rsid w:val="00DB053E"/>
    <w:rsid w:val="00DB1055"/>
    <w:rsid w:val="00DB19ED"/>
    <w:rsid w:val="00DB2F98"/>
    <w:rsid w:val="00DB32EA"/>
    <w:rsid w:val="00DB3ABE"/>
    <w:rsid w:val="00DB40F2"/>
    <w:rsid w:val="00DB42AE"/>
    <w:rsid w:val="00DB42D7"/>
    <w:rsid w:val="00DB4429"/>
    <w:rsid w:val="00DB4CF0"/>
    <w:rsid w:val="00DB59F1"/>
    <w:rsid w:val="00DB6166"/>
    <w:rsid w:val="00DB617F"/>
    <w:rsid w:val="00DB647E"/>
    <w:rsid w:val="00DB6E9C"/>
    <w:rsid w:val="00DB6EEE"/>
    <w:rsid w:val="00DB7081"/>
    <w:rsid w:val="00DC0084"/>
    <w:rsid w:val="00DC00D9"/>
    <w:rsid w:val="00DC0A78"/>
    <w:rsid w:val="00DC0DB9"/>
    <w:rsid w:val="00DC1477"/>
    <w:rsid w:val="00DC222C"/>
    <w:rsid w:val="00DC228A"/>
    <w:rsid w:val="00DC22D3"/>
    <w:rsid w:val="00DC2AEC"/>
    <w:rsid w:val="00DC2C66"/>
    <w:rsid w:val="00DC378C"/>
    <w:rsid w:val="00DC4207"/>
    <w:rsid w:val="00DC448B"/>
    <w:rsid w:val="00DC5420"/>
    <w:rsid w:val="00DC69C5"/>
    <w:rsid w:val="00DD0037"/>
    <w:rsid w:val="00DD0087"/>
    <w:rsid w:val="00DD0D6A"/>
    <w:rsid w:val="00DD1E78"/>
    <w:rsid w:val="00DD3876"/>
    <w:rsid w:val="00DD3AC7"/>
    <w:rsid w:val="00DD3CC0"/>
    <w:rsid w:val="00DD46BD"/>
    <w:rsid w:val="00DD5246"/>
    <w:rsid w:val="00DD525F"/>
    <w:rsid w:val="00DD621E"/>
    <w:rsid w:val="00DD638D"/>
    <w:rsid w:val="00DD72C7"/>
    <w:rsid w:val="00DD73C4"/>
    <w:rsid w:val="00DD7499"/>
    <w:rsid w:val="00DD7E72"/>
    <w:rsid w:val="00DE0133"/>
    <w:rsid w:val="00DE0265"/>
    <w:rsid w:val="00DE03E2"/>
    <w:rsid w:val="00DE0623"/>
    <w:rsid w:val="00DE19E9"/>
    <w:rsid w:val="00DE2133"/>
    <w:rsid w:val="00DE22B1"/>
    <w:rsid w:val="00DE277E"/>
    <w:rsid w:val="00DE2AEE"/>
    <w:rsid w:val="00DE38D3"/>
    <w:rsid w:val="00DE3ED1"/>
    <w:rsid w:val="00DE4267"/>
    <w:rsid w:val="00DE4E4B"/>
    <w:rsid w:val="00DE5094"/>
    <w:rsid w:val="00DE5462"/>
    <w:rsid w:val="00DE5E2D"/>
    <w:rsid w:val="00DE5E81"/>
    <w:rsid w:val="00DE5EE7"/>
    <w:rsid w:val="00DE6055"/>
    <w:rsid w:val="00DE6E16"/>
    <w:rsid w:val="00DE750C"/>
    <w:rsid w:val="00DE75DC"/>
    <w:rsid w:val="00DE7A34"/>
    <w:rsid w:val="00DE7D58"/>
    <w:rsid w:val="00DE7E1A"/>
    <w:rsid w:val="00DF031B"/>
    <w:rsid w:val="00DF0519"/>
    <w:rsid w:val="00DF13D5"/>
    <w:rsid w:val="00DF1E5C"/>
    <w:rsid w:val="00DF20B5"/>
    <w:rsid w:val="00DF241D"/>
    <w:rsid w:val="00DF2DD1"/>
    <w:rsid w:val="00DF2F61"/>
    <w:rsid w:val="00DF343B"/>
    <w:rsid w:val="00DF3471"/>
    <w:rsid w:val="00DF34F6"/>
    <w:rsid w:val="00DF4785"/>
    <w:rsid w:val="00DF479B"/>
    <w:rsid w:val="00DF48A5"/>
    <w:rsid w:val="00DF4CAE"/>
    <w:rsid w:val="00DF53D4"/>
    <w:rsid w:val="00DF60DE"/>
    <w:rsid w:val="00DF6149"/>
    <w:rsid w:val="00DF64A5"/>
    <w:rsid w:val="00DF65AF"/>
    <w:rsid w:val="00DF7112"/>
    <w:rsid w:val="00DF7959"/>
    <w:rsid w:val="00E0100A"/>
    <w:rsid w:val="00E01C0E"/>
    <w:rsid w:val="00E01D7F"/>
    <w:rsid w:val="00E021F5"/>
    <w:rsid w:val="00E0229E"/>
    <w:rsid w:val="00E022A5"/>
    <w:rsid w:val="00E0232B"/>
    <w:rsid w:val="00E0249D"/>
    <w:rsid w:val="00E0299C"/>
    <w:rsid w:val="00E02B5F"/>
    <w:rsid w:val="00E02E23"/>
    <w:rsid w:val="00E03156"/>
    <w:rsid w:val="00E03A84"/>
    <w:rsid w:val="00E03C1E"/>
    <w:rsid w:val="00E03DDA"/>
    <w:rsid w:val="00E044EF"/>
    <w:rsid w:val="00E04650"/>
    <w:rsid w:val="00E0539D"/>
    <w:rsid w:val="00E0594E"/>
    <w:rsid w:val="00E061C9"/>
    <w:rsid w:val="00E0642D"/>
    <w:rsid w:val="00E06484"/>
    <w:rsid w:val="00E0690D"/>
    <w:rsid w:val="00E10A0D"/>
    <w:rsid w:val="00E11E01"/>
    <w:rsid w:val="00E12443"/>
    <w:rsid w:val="00E1275C"/>
    <w:rsid w:val="00E1319F"/>
    <w:rsid w:val="00E13317"/>
    <w:rsid w:val="00E13D6C"/>
    <w:rsid w:val="00E1440A"/>
    <w:rsid w:val="00E1463D"/>
    <w:rsid w:val="00E15370"/>
    <w:rsid w:val="00E1563D"/>
    <w:rsid w:val="00E15B2B"/>
    <w:rsid w:val="00E15FA0"/>
    <w:rsid w:val="00E161EA"/>
    <w:rsid w:val="00E170E6"/>
    <w:rsid w:val="00E1739B"/>
    <w:rsid w:val="00E17A36"/>
    <w:rsid w:val="00E17A83"/>
    <w:rsid w:val="00E211CD"/>
    <w:rsid w:val="00E21C5A"/>
    <w:rsid w:val="00E21F4F"/>
    <w:rsid w:val="00E22F08"/>
    <w:rsid w:val="00E23035"/>
    <w:rsid w:val="00E2333E"/>
    <w:rsid w:val="00E237F7"/>
    <w:rsid w:val="00E23BDD"/>
    <w:rsid w:val="00E24344"/>
    <w:rsid w:val="00E2484C"/>
    <w:rsid w:val="00E249F5"/>
    <w:rsid w:val="00E24D8C"/>
    <w:rsid w:val="00E24E4F"/>
    <w:rsid w:val="00E24F81"/>
    <w:rsid w:val="00E25E76"/>
    <w:rsid w:val="00E2669A"/>
    <w:rsid w:val="00E26703"/>
    <w:rsid w:val="00E26C31"/>
    <w:rsid w:val="00E26ED4"/>
    <w:rsid w:val="00E27525"/>
    <w:rsid w:val="00E277CB"/>
    <w:rsid w:val="00E30025"/>
    <w:rsid w:val="00E30516"/>
    <w:rsid w:val="00E3094B"/>
    <w:rsid w:val="00E3114E"/>
    <w:rsid w:val="00E31363"/>
    <w:rsid w:val="00E314C3"/>
    <w:rsid w:val="00E314EE"/>
    <w:rsid w:val="00E316B0"/>
    <w:rsid w:val="00E31DEB"/>
    <w:rsid w:val="00E3338A"/>
    <w:rsid w:val="00E34BBB"/>
    <w:rsid w:val="00E34BFA"/>
    <w:rsid w:val="00E34CEF"/>
    <w:rsid w:val="00E3586F"/>
    <w:rsid w:val="00E35F4F"/>
    <w:rsid w:val="00E35FC3"/>
    <w:rsid w:val="00E3633D"/>
    <w:rsid w:val="00E36781"/>
    <w:rsid w:val="00E36A0D"/>
    <w:rsid w:val="00E37B10"/>
    <w:rsid w:val="00E37F03"/>
    <w:rsid w:val="00E4049B"/>
    <w:rsid w:val="00E41619"/>
    <w:rsid w:val="00E41834"/>
    <w:rsid w:val="00E4190F"/>
    <w:rsid w:val="00E41D36"/>
    <w:rsid w:val="00E41E5C"/>
    <w:rsid w:val="00E42366"/>
    <w:rsid w:val="00E42660"/>
    <w:rsid w:val="00E42E14"/>
    <w:rsid w:val="00E42FED"/>
    <w:rsid w:val="00E4362B"/>
    <w:rsid w:val="00E43A0F"/>
    <w:rsid w:val="00E43AC1"/>
    <w:rsid w:val="00E43FB8"/>
    <w:rsid w:val="00E444C0"/>
    <w:rsid w:val="00E447A3"/>
    <w:rsid w:val="00E44AC6"/>
    <w:rsid w:val="00E44FD3"/>
    <w:rsid w:val="00E45496"/>
    <w:rsid w:val="00E45A0D"/>
    <w:rsid w:val="00E45B7E"/>
    <w:rsid w:val="00E4655D"/>
    <w:rsid w:val="00E4678E"/>
    <w:rsid w:val="00E468EF"/>
    <w:rsid w:val="00E46E76"/>
    <w:rsid w:val="00E46F73"/>
    <w:rsid w:val="00E474A8"/>
    <w:rsid w:val="00E477A2"/>
    <w:rsid w:val="00E47DFC"/>
    <w:rsid w:val="00E47EFA"/>
    <w:rsid w:val="00E5039B"/>
    <w:rsid w:val="00E5147D"/>
    <w:rsid w:val="00E5244C"/>
    <w:rsid w:val="00E5342A"/>
    <w:rsid w:val="00E53814"/>
    <w:rsid w:val="00E53DD8"/>
    <w:rsid w:val="00E53E7B"/>
    <w:rsid w:val="00E53EE2"/>
    <w:rsid w:val="00E53F76"/>
    <w:rsid w:val="00E54A11"/>
    <w:rsid w:val="00E54AAA"/>
    <w:rsid w:val="00E54BCB"/>
    <w:rsid w:val="00E552C3"/>
    <w:rsid w:val="00E5546D"/>
    <w:rsid w:val="00E55572"/>
    <w:rsid w:val="00E55639"/>
    <w:rsid w:val="00E56196"/>
    <w:rsid w:val="00E56657"/>
    <w:rsid w:val="00E569C0"/>
    <w:rsid w:val="00E56E35"/>
    <w:rsid w:val="00E56FF6"/>
    <w:rsid w:val="00E57188"/>
    <w:rsid w:val="00E602B6"/>
    <w:rsid w:val="00E602C6"/>
    <w:rsid w:val="00E60681"/>
    <w:rsid w:val="00E60B86"/>
    <w:rsid w:val="00E60E9C"/>
    <w:rsid w:val="00E60FC3"/>
    <w:rsid w:val="00E610DA"/>
    <w:rsid w:val="00E611BA"/>
    <w:rsid w:val="00E61298"/>
    <w:rsid w:val="00E621AA"/>
    <w:rsid w:val="00E62445"/>
    <w:rsid w:val="00E626B4"/>
    <w:rsid w:val="00E64329"/>
    <w:rsid w:val="00E644C2"/>
    <w:rsid w:val="00E64C06"/>
    <w:rsid w:val="00E650FF"/>
    <w:rsid w:val="00E6534E"/>
    <w:rsid w:val="00E655DB"/>
    <w:rsid w:val="00E655FC"/>
    <w:rsid w:val="00E65733"/>
    <w:rsid w:val="00E6592B"/>
    <w:rsid w:val="00E660E4"/>
    <w:rsid w:val="00E66AA9"/>
    <w:rsid w:val="00E66D11"/>
    <w:rsid w:val="00E673E8"/>
    <w:rsid w:val="00E67533"/>
    <w:rsid w:val="00E67DC5"/>
    <w:rsid w:val="00E67F19"/>
    <w:rsid w:val="00E67FE9"/>
    <w:rsid w:val="00E706BF"/>
    <w:rsid w:val="00E71610"/>
    <w:rsid w:val="00E71A9F"/>
    <w:rsid w:val="00E72EE2"/>
    <w:rsid w:val="00E72FB8"/>
    <w:rsid w:val="00E7312B"/>
    <w:rsid w:val="00E73E3A"/>
    <w:rsid w:val="00E73ECB"/>
    <w:rsid w:val="00E742ED"/>
    <w:rsid w:val="00E7467B"/>
    <w:rsid w:val="00E7554F"/>
    <w:rsid w:val="00E756EF"/>
    <w:rsid w:val="00E760B3"/>
    <w:rsid w:val="00E7616E"/>
    <w:rsid w:val="00E764C9"/>
    <w:rsid w:val="00E776A7"/>
    <w:rsid w:val="00E777CD"/>
    <w:rsid w:val="00E77E3F"/>
    <w:rsid w:val="00E80236"/>
    <w:rsid w:val="00E81C9A"/>
    <w:rsid w:val="00E81E56"/>
    <w:rsid w:val="00E82C58"/>
    <w:rsid w:val="00E8373F"/>
    <w:rsid w:val="00E83C90"/>
    <w:rsid w:val="00E83CA1"/>
    <w:rsid w:val="00E84215"/>
    <w:rsid w:val="00E84579"/>
    <w:rsid w:val="00E856B8"/>
    <w:rsid w:val="00E85B80"/>
    <w:rsid w:val="00E85CD3"/>
    <w:rsid w:val="00E86D22"/>
    <w:rsid w:val="00E9060F"/>
    <w:rsid w:val="00E90704"/>
    <w:rsid w:val="00E91192"/>
    <w:rsid w:val="00E913EC"/>
    <w:rsid w:val="00E91456"/>
    <w:rsid w:val="00E915EF"/>
    <w:rsid w:val="00E919E4"/>
    <w:rsid w:val="00E9307D"/>
    <w:rsid w:val="00E9329C"/>
    <w:rsid w:val="00E93D7D"/>
    <w:rsid w:val="00E94C43"/>
    <w:rsid w:val="00E94F26"/>
    <w:rsid w:val="00E95039"/>
    <w:rsid w:val="00E9575C"/>
    <w:rsid w:val="00E959AC"/>
    <w:rsid w:val="00E960CA"/>
    <w:rsid w:val="00E972AC"/>
    <w:rsid w:val="00E97DFB"/>
    <w:rsid w:val="00EA04C6"/>
    <w:rsid w:val="00EA09E8"/>
    <w:rsid w:val="00EA1187"/>
    <w:rsid w:val="00EA122A"/>
    <w:rsid w:val="00EA22D2"/>
    <w:rsid w:val="00EA2402"/>
    <w:rsid w:val="00EA3326"/>
    <w:rsid w:val="00EA380A"/>
    <w:rsid w:val="00EA3B06"/>
    <w:rsid w:val="00EA4035"/>
    <w:rsid w:val="00EA478F"/>
    <w:rsid w:val="00EA48D9"/>
    <w:rsid w:val="00EA48F6"/>
    <w:rsid w:val="00EA54FF"/>
    <w:rsid w:val="00EA5559"/>
    <w:rsid w:val="00EA5634"/>
    <w:rsid w:val="00EA57BA"/>
    <w:rsid w:val="00EA5DB9"/>
    <w:rsid w:val="00EA5FC6"/>
    <w:rsid w:val="00EA6259"/>
    <w:rsid w:val="00EA6582"/>
    <w:rsid w:val="00EA6ECE"/>
    <w:rsid w:val="00EA7467"/>
    <w:rsid w:val="00EA7962"/>
    <w:rsid w:val="00EA797F"/>
    <w:rsid w:val="00EA7DB6"/>
    <w:rsid w:val="00EA7E6B"/>
    <w:rsid w:val="00EB045F"/>
    <w:rsid w:val="00EB13A7"/>
    <w:rsid w:val="00EB2072"/>
    <w:rsid w:val="00EB21D4"/>
    <w:rsid w:val="00EB2605"/>
    <w:rsid w:val="00EB29B8"/>
    <w:rsid w:val="00EB2FE7"/>
    <w:rsid w:val="00EB4A48"/>
    <w:rsid w:val="00EB53FE"/>
    <w:rsid w:val="00EB569B"/>
    <w:rsid w:val="00EB5B86"/>
    <w:rsid w:val="00EB5B96"/>
    <w:rsid w:val="00EB6E66"/>
    <w:rsid w:val="00EB7108"/>
    <w:rsid w:val="00EB77E4"/>
    <w:rsid w:val="00EB7FD8"/>
    <w:rsid w:val="00EC0218"/>
    <w:rsid w:val="00EC023D"/>
    <w:rsid w:val="00EC0C01"/>
    <w:rsid w:val="00EC0D9B"/>
    <w:rsid w:val="00EC0F06"/>
    <w:rsid w:val="00EC1043"/>
    <w:rsid w:val="00EC11AC"/>
    <w:rsid w:val="00EC13A8"/>
    <w:rsid w:val="00EC155E"/>
    <w:rsid w:val="00EC2121"/>
    <w:rsid w:val="00EC22BD"/>
    <w:rsid w:val="00EC294E"/>
    <w:rsid w:val="00EC29AF"/>
    <w:rsid w:val="00EC2C1C"/>
    <w:rsid w:val="00EC35D2"/>
    <w:rsid w:val="00EC38D5"/>
    <w:rsid w:val="00EC3D9C"/>
    <w:rsid w:val="00EC47A8"/>
    <w:rsid w:val="00EC4B2F"/>
    <w:rsid w:val="00EC5102"/>
    <w:rsid w:val="00EC5154"/>
    <w:rsid w:val="00EC59AB"/>
    <w:rsid w:val="00EC6173"/>
    <w:rsid w:val="00EC6438"/>
    <w:rsid w:val="00EC66F4"/>
    <w:rsid w:val="00EC6715"/>
    <w:rsid w:val="00EC67D8"/>
    <w:rsid w:val="00EC6ACB"/>
    <w:rsid w:val="00EC7F3C"/>
    <w:rsid w:val="00EC7FEE"/>
    <w:rsid w:val="00ED0A60"/>
    <w:rsid w:val="00ED1065"/>
    <w:rsid w:val="00ED149C"/>
    <w:rsid w:val="00ED173D"/>
    <w:rsid w:val="00ED1C33"/>
    <w:rsid w:val="00ED1CD9"/>
    <w:rsid w:val="00ED2D9A"/>
    <w:rsid w:val="00ED2F4C"/>
    <w:rsid w:val="00ED31D7"/>
    <w:rsid w:val="00ED332B"/>
    <w:rsid w:val="00ED3FEF"/>
    <w:rsid w:val="00ED4172"/>
    <w:rsid w:val="00ED4700"/>
    <w:rsid w:val="00ED489C"/>
    <w:rsid w:val="00ED4A68"/>
    <w:rsid w:val="00ED5598"/>
    <w:rsid w:val="00ED5CE4"/>
    <w:rsid w:val="00ED5FB2"/>
    <w:rsid w:val="00ED6474"/>
    <w:rsid w:val="00ED64DE"/>
    <w:rsid w:val="00ED7291"/>
    <w:rsid w:val="00ED761D"/>
    <w:rsid w:val="00ED789C"/>
    <w:rsid w:val="00ED7BD1"/>
    <w:rsid w:val="00EE2082"/>
    <w:rsid w:val="00EE266C"/>
    <w:rsid w:val="00EE2BD8"/>
    <w:rsid w:val="00EE447D"/>
    <w:rsid w:val="00EE4574"/>
    <w:rsid w:val="00EE4A84"/>
    <w:rsid w:val="00EE4B73"/>
    <w:rsid w:val="00EE4C46"/>
    <w:rsid w:val="00EE4EDD"/>
    <w:rsid w:val="00EE505C"/>
    <w:rsid w:val="00EE5FD1"/>
    <w:rsid w:val="00EE62ED"/>
    <w:rsid w:val="00EE6D5C"/>
    <w:rsid w:val="00EF034E"/>
    <w:rsid w:val="00EF084C"/>
    <w:rsid w:val="00EF0EEE"/>
    <w:rsid w:val="00EF0FEA"/>
    <w:rsid w:val="00EF132E"/>
    <w:rsid w:val="00EF17C5"/>
    <w:rsid w:val="00EF1A04"/>
    <w:rsid w:val="00EF1DB2"/>
    <w:rsid w:val="00EF1E7D"/>
    <w:rsid w:val="00EF3AC4"/>
    <w:rsid w:val="00EF3D20"/>
    <w:rsid w:val="00EF498C"/>
    <w:rsid w:val="00EF73A3"/>
    <w:rsid w:val="00EF743D"/>
    <w:rsid w:val="00EF7654"/>
    <w:rsid w:val="00EF7D48"/>
    <w:rsid w:val="00F0022A"/>
    <w:rsid w:val="00F014FB"/>
    <w:rsid w:val="00F01643"/>
    <w:rsid w:val="00F0177C"/>
    <w:rsid w:val="00F01E80"/>
    <w:rsid w:val="00F026E7"/>
    <w:rsid w:val="00F02905"/>
    <w:rsid w:val="00F02953"/>
    <w:rsid w:val="00F02D46"/>
    <w:rsid w:val="00F04FCB"/>
    <w:rsid w:val="00F0594C"/>
    <w:rsid w:val="00F06841"/>
    <w:rsid w:val="00F06B9C"/>
    <w:rsid w:val="00F06BBA"/>
    <w:rsid w:val="00F0701D"/>
    <w:rsid w:val="00F07A83"/>
    <w:rsid w:val="00F07DC3"/>
    <w:rsid w:val="00F10302"/>
    <w:rsid w:val="00F10986"/>
    <w:rsid w:val="00F109F0"/>
    <w:rsid w:val="00F109FB"/>
    <w:rsid w:val="00F10E1F"/>
    <w:rsid w:val="00F10E58"/>
    <w:rsid w:val="00F10FF2"/>
    <w:rsid w:val="00F11917"/>
    <w:rsid w:val="00F1235E"/>
    <w:rsid w:val="00F12CF3"/>
    <w:rsid w:val="00F139CE"/>
    <w:rsid w:val="00F13BE1"/>
    <w:rsid w:val="00F14344"/>
    <w:rsid w:val="00F146A2"/>
    <w:rsid w:val="00F14D87"/>
    <w:rsid w:val="00F1541B"/>
    <w:rsid w:val="00F15E96"/>
    <w:rsid w:val="00F166DF"/>
    <w:rsid w:val="00F16D43"/>
    <w:rsid w:val="00F1730F"/>
    <w:rsid w:val="00F17316"/>
    <w:rsid w:val="00F17783"/>
    <w:rsid w:val="00F17784"/>
    <w:rsid w:val="00F17DFF"/>
    <w:rsid w:val="00F20035"/>
    <w:rsid w:val="00F20476"/>
    <w:rsid w:val="00F20985"/>
    <w:rsid w:val="00F20A4C"/>
    <w:rsid w:val="00F20E50"/>
    <w:rsid w:val="00F210C9"/>
    <w:rsid w:val="00F2152B"/>
    <w:rsid w:val="00F21578"/>
    <w:rsid w:val="00F215EB"/>
    <w:rsid w:val="00F21609"/>
    <w:rsid w:val="00F22416"/>
    <w:rsid w:val="00F22855"/>
    <w:rsid w:val="00F22D0B"/>
    <w:rsid w:val="00F22DD5"/>
    <w:rsid w:val="00F22F49"/>
    <w:rsid w:val="00F2345D"/>
    <w:rsid w:val="00F2373E"/>
    <w:rsid w:val="00F2402B"/>
    <w:rsid w:val="00F242EF"/>
    <w:rsid w:val="00F24C60"/>
    <w:rsid w:val="00F24D34"/>
    <w:rsid w:val="00F25392"/>
    <w:rsid w:val="00F25C18"/>
    <w:rsid w:val="00F25E9F"/>
    <w:rsid w:val="00F2648F"/>
    <w:rsid w:val="00F26879"/>
    <w:rsid w:val="00F275C1"/>
    <w:rsid w:val="00F27BC9"/>
    <w:rsid w:val="00F27D3E"/>
    <w:rsid w:val="00F27DFB"/>
    <w:rsid w:val="00F27F0E"/>
    <w:rsid w:val="00F3018F"/>
    <w:rsid w:val="00F31268"/>
    <w:rsid w:val="00F3151B"/>
    <w:rsid w:val="00F3167A"/>
    <w:rsid w:val="00F31A53"/>
    <w:rsid w:val="00F31C96"/>
    <w:rsid w:val="00F321F0"/>
    <w:rsid w:val="00F32637"/>
    <w:rsid w:val="00F326CE"/>
    <w:rsid w:val="00F32DB3"/>
    <w:rsid w:val="00F32F7E"/>
    <w:rsid w:val="00F34909"/>
    <w:rsid w:val="00F34D87"/>
    <w:rsid w:val="00F34F13"/>
    <w:rsid w:val="00F358C2"/>
    <w:rsid w:val="00F35F3F"/>
    <w:rsid w:val="00F37699"/>
    <w:rsid w:val="00F37FA8"/>
    <w:rsid w:val="00F40645"/>
    <w:rsid w:val="00F407A1"/>
    <w:rsid w:val="00F40A62"/>
    <w:rsid w:val="00F40CD2"/>
    <w:rsid w:val="00F41361"/>
    <w:rsid w:val="00F4147A"/>
    <w:rsid w:val="00F4211E"/>
    <w:rsid w:val="00F42789"/>
    <w:rsid w:val="00F42DAF"/>
    <w:rsid w:val="00F4354B"/>
    <w:rsid w:val="00F43838"/>
    <w:rsid w:val="00F43E55"/>
    <w:rsid w:val="00F44F29"/>
    <w:rsid w:val="00F44FEA"/>
    <w:rsid w:val="00F4505E"/>
    <w:rsid w:val="00F45B2A"/>
    <w:rsid w:val="00F464A4"/>
    <w:rsid w:val="00F46E83"/>
    <w:rsid w:val="00F47A20"/>
    <w:rsid w:val="00F51B41"/>
    <w:rsid w:val="00F5230F"/>
    <w:rsid w:val="00F523D6"/>
    <w:rsid w:val="00F524B5"/>
    <w:rsid w:val="00F53536"/>
    <w:rsid w:val="00F542F2"/>
    <w:rsid w:val="00F54344"/>
    <w:rsid w:val="00F545D0"/>
    <w:rsid w:val="00F546FD"/>
    <w:rsid w:val="00F5487E"/>
    <w:rsid w:val="00F55B15"/>
    <w:rsid w:val="00F56B33"/>
    <w:rsid w:val="00F572F5"/>
    <w:rsid w:val="00F5778A"/>
    <w:rsid w:val="00F57F60"/>
    <w:rsid w:val="00F60242"/>
    <w:rsid w:val="00F60787"/>
    <w:rsid w:val="00F60C41"/>
    <w:rsid w:val="00F60F63"/>
    <w:rsid w:val="00F610BF"/>
    <w:rsid w:val="00F61894"/>
    <w:rsid w:val="00F618E2"/>
    <w:rsid w:val="00F6290C"/>
    <w:rsid w:val="00F6366D"/>
    <w:rsid w:val="00F643D7"/>
    <w:rsid w:val="00F6483E"/>
    <w:rsid w:val="00F64FD8"/>
    <w:rsid w:val="00F653F8"/>
    <w:rsid w:val="00F66AC1"/>
    <w:rsid w:val="00F67624"/>
    <w:rsid w:val="00F67874"/>
    <w:rsid w:val="00F708FF"/>
    <w:rsid w:val="00F70EEB"/>
    <w:rsid w:val="00F71132"/>
    <w:rsid w:val="00F714DA"/>
    <w:rsid w:val="00F718A6"/>
    <w:rsid w:val="00F71F66"/>
    <w:rsid w:val="00F72DBB"/>
    <w:rsid w:val="00F7375A"/>
    <w:rsid w:val="00F73AC1"/>
    <w:rsid w:val="00F752FD"/>
    <w:rsid w:val="00F7589A"/>
    <w:rsid w:val="00F75CC8"/>
    <w:rsid w:val="00F76892"/>
    <w:rsid w:val="00F76A88"/>
    <w:rsid w:val="00F76DCF"/>
    <w:rsid w:val="00F7788C"/>
    <w:rsid w:val="00F77EF9"/>
    <w:rsid w:val="00F80710"/>
    <w:rsid w:val="00F81271"/>
    <w:rsid w:val="00F8139C"/>
    <w:rsid w:val="00F8147E"/>
    <w:rsid w:val="00F81601"/>
    <w:rsid w:val="00F816D6"/>
    <w:rsid w:val="00F8272A"/>
    <w:rsid w:val="00F82C35"/>
    <w:rsid w:val="00F82D8E"/>
    <w:rsid w:val="00F83FEE"/>
    <w:rsid w:val="00F843E1"/>
    <w:rsid w:val="00F84DD8"/>
    <w:rsid w:val="00F8520F"/>
    <w:rsid w:val="00F85BD2"/>
    <w:rsid w:val="00F86389"/>
    <w:rsid w:val="00F86754"/>
    <w:rsid w:val="00F901C4"/>
    <w:rsid w:val="00F911DE"/>
    <w:rsid w:val="00F914D1"/>
    <w:rsid w:val="00F91598"/>
    <w:rsid w:val="00F92240"/>
    <w:rsid w:val="00F9257F"/>
    <w:rsid w:val="00F93452"/>
    <w:rsid w:val="00F93A6A"/>
    <w:rsid w:val="00F93D8F"/>
    <w:rsid w:val="00F93F80"/>
    <w:rsid w:val="00F9488D"/>
    <w:rsid w:val="00F95F00"/>
    <w:rsid w:val="00F96059"/>
    <w:rsid w:val="00F96256"/>
    <w:rsid w:val="00F96FEE"/>
    <w:rsid w:val="00F970A5"/>
    <w:rsid w:val="00F9734E"/>
    <w:rsid w:val="00F979FE"/>
    <w:rsid w:val="00FA107F"/>
    <w:rsid w:val="00FA210F"/>
    <w:rsid w:val="00FA2868"/>
    <w:rsid w:val="00FA2DD1"/>
    <w:rsid w:val="00FA2F8C"/>
    <w:rsid w:val="00FA472B"/>
    <w:rsid w:val="00FA475E"/>
    <w:rsid w:val="00FA4913"/>
    <w:rsid w:val="00FA50D5"/>
    <w:rsid w:val="00FA54A4"/>
    <w:rsid w:val="00FA5849"/>
    <w:rsid w:val="00FA5FD4"/>
    <w:rsid w:val="00FA663D"/>
    <w:rsid w:val="00FA67DF"/>
    <w:rsid w:val="00FA6BCD"/>
    <w:rsid w:val="00FA6D9B"/>
    <w:rsid w:val="00FA7163"/>
    <w:rsid w:val="00FA73B7"/>
    <w:rsid w:val="00FA75AD"/>
    <w:rsid w:val="00FA761C"/>
    <w:rsid w:val="00FA78DE"/>
    <w:rsid w:val="00FA790B"/>
    <w:rsid w:val="00FA7F04"/>
    <w:rsid w:val="00FB01A1"/>
    <w:rsid w:val="00FB130B"/>
    <w:rsid w:val="00FB1932"/>
    <w:rsid w:val="00FB20C8"/>
    <w:rsid w:val="00FB28EE"/>
    <w:rsid w:val="00FB2A85"/>
    <w:rsid w:val="00FB35DA"/>
    <w:rsid w:val="00FB385E"/>
    <w:rsid w:val="00FB3A94"/>
    <w:rsid w:val="00FB427C"/>
    <w:rsid w:val="00FB42CD"/>
    <w:rsid w:val="00FB441D"/>
    <w:rsid w:val="00FB4A6D"/>
    <w:rsid w:val="00FB4A8A"/>
    <w:rsid w:val="00FB4B9A"/>
    <w:rsid w:val="00FB50EC"/>
    <w:rsid w:val="00FB58C4"/>
    <w:rsid w:val="00FB73E0"/>
    <w:rsid w:val="00FC03DE"/>
    <w:rsid w:val="00FC0BB8"/>
    <w:rsid w:val="00FC0C61"/>
    <w:rsid w:val="00FC0F2A"/>
    <w:rsid w:val="00FC143C"/>
    <w:rsid w:val="00FC2691"/>
    <w:rsid w:val="00FC27BD"/>
    <w:rsid w:val="00FC2A0C"/>
    <w:rsid w:val="00FC2E14"/>
    <w:rsid w:val="00FC3770"/>
    <w:rsid w:val="00FC4931"/>
    <w:rsid w:val="00FC4C28"/>
    <w:rsid w:val="00FC4EE3"/>
    <w:rsid w:val="00FC5226"/>
    <w:rsid w:val="00FC59DA"/>
    <w:rsid w:val="00FC62E5"/>
    <w:rsid w:val="00FC6C63"/>
    <w:rsid w:val="00FC74EC"/>
    <w:rsid w:val="00FD0BE6"/>
    <w:rsid w:val="00FD140D"/>
    <w:rsid w:val="00FD1F52"/>
    <w:rsid w:val="00FD2D48"/>
    <w:rsid w:val="00FD2EDB"/>
    <w:rsid w:val="00FD2FB1"/>
    <w:rsid w:val="00FD36FB"/>
    <w:rsid w:val="00FD3CA2"/>
    <w:rsid w:val="00FD467F"/>
    <w:rsid w:val="00FD55D6"/>
    <w:rsid w:val="00FD5CF6"/>
    <w:rsid w:val="00FD5D82"/>
    <w:rsid w:val="00FD74A8"/>
    <w:rsid w:val="00FD7927"/>
    <w:rsid w:val="00FD7C0A"/>
    <w:rsid w:val="00FD7F6F"/>
    <w:rsid w:val="00FE0296"/>
    <w:rsid w:val="00FE0D76"/>
    <w:rsid w:val="00FE0E9F"/>
    <w:rsid w:val="00FE0F5F"/>
    <w:rsid w:val="00FE128A"/>
    <w:rsid w:val="00FE1371"/>
    <w:rsid w:val="00FE26EB"/>
    <w:rsid w:val="00FE2B0B"/>
    <w:rsid w:val="00FE3348"/>
    <w:rsid w:val="00FE3753"/>
    <w:rsid w:val="00FE3D9D"/>
    <w:rsid w:val="00FE40AA"/>
    <w:rsid w:val="00FE466F"/>
    <w:rsid w:val="00FE4814"/>
    <w:rsid w:val="00FE4BE4"/>
    <w:rsid w:val="00FE4FFB"/>
    <w:rsid w:val="00FE653E"/>
    <w:rsid w:val="00FE6645"/>
    <w:rsid w:val="00FE66AA"/>
    <w:rsid w:val="00FE6874"/>
    <w:rsid w:val="00FE6FF4"/>
    <w:rsid w:val="00FE7406"/>
    <w:rsid w:val="00FE7730"/>
    <w:rsid w:val="00FE7BDF"/>
    <w:rsid w:val="00FF19D4"/>
    <w:rsid w:val="00FF2195"/>
    <w:rsid w:val="00FF2789"/>
    <w:rsid w:val="00FF2BAE"/>
    <w:rsid w:val="00FF2DDA"/>
    <w:rsid w:val="00FF3B02"/>
    <w:rsid w:val="00FF41C1"/>
    <w:rsid w:val="00FF422A"/>
    <w:rsid w:val="00FF4473"/>
    <w:rsid w:val="00FF47FE"/>
    <w:rsid w:val="00FF5132"/>
    <w:rsid w:val="00FF5BAF"/>
    <w:rsid w:val="00FF5F91"/>
    <w:rsid w:val="00FF6D2F"/>
    <w:rsid w:val="00FF711A"/>
    <w:rsid w:val="00FF7143"/>
    <w:rsid w:val="00FF757F"/>
    <w:rsid w:val="00FF7599"/>
    <w:rsid w:val="00FF7725"/>
    <w:rsid w:val="00FF7E9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72380"/>
    <w:pPr>
      <w:spacing w:after="100" w:line="400" w:lineRule="exact"/>
      <w:jc w:val="both"/>
    </w:pPr>
    <w:rPr>
      <w:rFonts w:ascii="Century Schoolbook" w:hAnsi="Century Schoolbook"/>
      <w:sz w:val="27"/>
    </w:rPr>
  </w:style>
  <w:style w:type="paragraph" w:styleId="Heading1">
    <w:name w:val="heading 1"/>
    <w:basedOn w:val="Normal"/>
    <w:next w:val="Normal"/>
    <w:qFormat/>
    <w:rsid w:val="005D426B"/>
    <w:pPr>
      <w:keepNext/>
      <w:spacing w:before="140" w:line="240" w:lineRule="atLeast"/>
      <w:jc w:val="center"/>
      <w:outlineLvl w:val="0"/>
    </w:pPr>
    <w:rPr>
      <w:b/>
      <w:smallCaps/>
    </w:rPr>
  </w:style>
  <w:style w:type="paragraph" w:styleId="Heading2">
    <w:name w:val="heading 2"/>
    <w:basedOn w:val="Normal"/>
    <w:next w:val="Normal"/>
    <w:qFormat/>
    <w:rsid w:val="005D426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D426B"/>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5D426B"/>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5D426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D426B"/>
    <w:pPr>
      <w:ind w:left="720"/>
    </w:pPr>
  </w:style>
  <w:style w:type="paragraph" w:styleId="Footer">
    <w:name w:val="footer"/>
    <w:basedOn w:val="Normal"/>
    <w:qFormat/>
    <w:rsid w:val="005D426B"/>
    <w:pPr>
      <w:tabs>
        <w:tab w:val="center" w:pos="3960"/>
        <w:tab w:val="right" w:pos="10080"/>
      </w:tabs>
      <w:spacing w:after="0" w:line="240" w:lineRule="auto"/>
      <w:jc w:val="center"/>
    </w:pPr>
    <w:rPr>
      <w:sz w:val="22"/>
    </w:rPr>
  </w:style>
  <w:style w:type="paragraph" w:styleId="Header">
    <w:name w:val="header"/>
    <w:basedOn w:val="Normal"/>
    <w:qFormat/>
    <w:rsid w:val="005D426B"/>
    <w:pPr>
      <w:tabs>
        <w:tab w:val="center" w:pos="3960"/>
        <w:tab w:val="right" w:pos="10080"/>
      </w:tabs>
      <w:spacing w:after="80" w:line="240" w:lineRule="auto"/>
      <w:jc w:val="center"/>
    </w:pPr>
    <w:rPr>
      <w:sz w:val="22"/>
    </w:rPr>
  </w:style>
  <w:style w:type="character" w:styleId="FootnoteReference">
    <w:name w:val="footnote reference"/>
    <w:rsid w:val="005D426B"/>
    <w:rPr>
      <w:rFonts w:ascii="Century Schoolbook" w:hAnsi="Century Schoolbook"/>
      <w:b/>
      <w:i w:val="0"/>
      <w:position w:val="4"/>
      <w:sz w:val="27"/>
      <w:vertAlign w:val="superscript"/>
    </w:rPr>
  </w:style>
  <w:style w:type="paragraph" w:styleId="FootnoteText">
    <w:name w:val="footnote text"/>
    <w:basedOn w:val="Normal"/>
    <w:link w:val="FootnoteTextChar"/>
    <w:rsid w:val="005D426B"/>
    <w:pPr>
      <w:spacing w:line="300" w:lineRule="exact"/>
    </w:pPr>
  </w:style>
  <w:style w:type="paragraph" w:customStyle="1" w:styleId="Title1">
    <w:name w:val="Title1"/>
    <w:basedOn w:val="Normal"/>
    <w:rsid w:val="005D426B"/>
    <w:pPr>
      <w:tabs>
        <w:tab w:val="left" w:pos="5760"/>
        <w:tab w:val="left" w:pos="6480"/>
      </w:tabs>
      <w:spacing w:line="240" w:lineRule="atLeast"/>
    </w:pPr>
  </w:style>
  <w:style w:type="paragraph" w:customStyle="1" w:styleId="Recommend">
    <w:name w:val="Recommend"/>
    <w:basedOn w:val="Normal"/>
    <w:rsid w:val="005D426B"/>
  </w:style>
  <w:style w:type="paragraph" w:customStyle="1" w:styleId="Summary">
    <w:name w:val="Summary"/>
    <w:basedOn w:val="Normal"/>
    <w:rsid w:val="005D426B"/>
    <w:pPr>
      <w:ind w:left="2160" w:hanging="2160"/>
    </w:pPr>
  </w:style>
  <w:style w:type="paragraph" w:customStyle="1" w:styleId="Text">
    <w:name w:val="Text"/>
    <w:basedOn w:val="Normal"/>
    <w:rsid w:val="005D426B"/>
    <w:pPr>
      <w:tabs>
        <w:tab w:val="left" w:pos="720"/>
        <w:tab w:val="left" w:pos="1440"/>
        <w:tab w:val="left" w:pos="2160"/>
        <w:tab w:val="center" w:pos="4320"/>
      </w:tabs>
      <w:spacing w:line="480" w:lineRule="atLeast"/>
      <w:ind w:firstLine="540"/>
    </w:pPr>
  </w:style>
  <w:style w:type="paragraph" w:styleId="Date">
    <w:name w:val="Date"/>
    <w:basedOn w:val="Normal"/>
    <w:semiHidden/>
    <w:rsid w:val="005D426B"/>
    <w:pPr>
      <w:jc w:val="right"/>
    </w:pPr>
  </w:style>
  <w:style w:type="character" w:styleId="PageNumber">
    <w:name w:val="page number"/>
    <w:basedOn w:val="DefaultParagraphFont"/>
    <w:semiHidden/>
    <w:rsid w:val="005D426B"/>
  </w:style>
  <w:style w:type="paragraph" w:customStyle="1" w:styleId="subject">
    <w:name w:val="subject"/>
    <w:basedOn w:val="Normal"/>
    <w:rsid w:val="005D426B"/>
    <w:pPr>
      <w:tabs>
        <w:tab w:val="left" w:pos="1008"/>
      </w:tabs>
      <w:ind w:left="990" w:hanging="990"/>
    </w:pPr>
    <w:rPr>
      <w:b/>
    </w:rPr>
  </w:style>
  <w:style w:type="paragraph" w:customStyle="1" w:styleId="Titles">
    <w:name w:val="Titles"/>
    <w:basedOn w:val="Normal"/>
    <w:rsid w:val="005D426B"/>
    <w:pPr>
      <w:tabs>
        <w:tab w:val="left" w:pos="2160"/>
      </w:tabs>
      <w:ind w:left="2160" w:hanging="2160"/>
    </w:pPr>
    <w:rPr>
      <w:b/>
    </w:rPr>
  </w:style>
  <w:style w:type="paragraph" w:styleId="TOAHeading">
    <w:name w:val="toa heading"/>
    <w:basedOn w:val="Normal"/>
    <w:next w:val="Normal"/>
    <w:semiHidden/>
    <w:rsid w:val="005D426B"/>
    <w:pPr>
      <w:spacing w:before="120"/>
    </w:pPr>
    <w:rPr>
      <w:b/>
    </w:rPr>
  </w:style>
  <w:style w:type="paragraph" w:styleId="TOC1">
    <w:name w:val="toc 1"/>
    <w:basedOn w:val="Normal"/>
    <w:next w:val="Normal"/>
    <w:autoRedefine/>
    <w:semiHidden/>
    <w:rsid w:val="005D426B"/>
  </w:style>
  <w:style w:type="paragraph" w:styleId="TOC2">
    <w:name w:val="toc 2"/>
    <w:basedOn w:val="Normal"/>
    <w:next w:val="Normal"/>
    <w:autoRedefine/>
    <w:semiHidden/>
    <w:rsid w:val="005D426B"/>
    <w:pPr>
      <w:ind w:left="259"/>
    </w:pPr>
  </w:style>
  <w:style w:type="paragraph" w:styleId="TOC3">
    <w:name w:val="toc 3"/>
    <w:basedOn w:val="Normal"/>
    <w:next w:val="Normal"/>
    <w:autoRedefine/>
    <w:semiHidden/>
    <w:rsid w:val="005D426B"/>
    <w:pPr>
      <w:ind w:left="520"/>
    </w:pPr>
  </w:style>
  <w:style w:type="paragraph" w:styleId="TOC4">
    <w:name w:val="toc 4"/>
    <w:basedOn w:val="Normal"/>
    <w:next w:val="Normal"/>
    <w:autoRedefine/>
    <w:semiHidden/>
    <w:rsid w:val="005D426B"/>
    <w:pPr>
      <w:ind w:left="780"/>
    </w:pPr>
  </w:style>
  <w:style w:type="paragraph" w:styleId="TOC5">
    <w:name w:val="toc 5"/>
    <w:basedOn w:val="Normal"/>
    <w:next w:val="Normal"/>
    <w:autoRedefine/>
    <w:semiHidden/>
    <w:rsid w:val="005D426B"/>
    <w:pPr>
      <w:ind w:left="1040"/>
    </w:pPr>
  </w:style>
  <w:style w:type="paragraph" w:styleId="TOC6">
    <w:name w:val="toc 6"/>
    <w:basedOn w:val="Normal"/>
    <w:next w:val="Normal"/>
    <w:autoRedefine/>
    <w:semiHidden/>
    <w:rsid w:val="005D426B"/>
    <w:pPr>
      <w:ind w:left="1300"/>
    </w:pPr>
  </w:style>
  <w:style w:type="paragraph" w:styleId="TOC7">
    <w:name w:val="toc 7"/>
    <w:basedOn w:val="Normal"/>
    <w:next w:val="Normal"/>
    <w:autoRedefine/>
    <w:semiHidden/>
    <w:rsid w:val="005D426B"/>
    <w:pPr>
      <w:ind w:left="1560"/>
    </w:pPr>
  </w:style>
  <w:style w:type="paragraph" w:styleId="TOC8">
    <w:name w:val="toc 8"/>
    <w:basedOn w:val="Normal"/>
    <w:next w:val="Normal"/>
    <w:autoRedefine/>
    <w:semiHidden/>
    <w:rsid w:val="005D426B"/>
    <w:pPr>
      <w:ind w:left="1820"/>
    </w:pPr>
  </w:style>
  <w:style w:type="paragraph" w:styleId="TOC9">
    <w:name w:val="toc 9"/>
    <w:basedOn w:val="Normal"/>
    <w:next w:val="Normal"/>
    <w:autoRedefine/>
    <w:semiHidden/>
    <w:rsid w:val="005D426B"/>
    <w:pPr>
      <w:ind w:left="2080"/>
    </w:pPr>
  </w:style>
  <w:style w:type="paragraph" w:customStyle="1" w:styleId="Contents">
    <w:name w:val="Contents"/>
    <w:basedOn w:val="Normal"/>
    <w:rsid w:val="005D426B"/>
    <w:pPr>
      <w:jc w:val="center"/>
    </w:pPr>
    <w:rPr>
      <w:b/>
      <w:spacing w:val="100"/>
    </w:rPr>
  </w:style>
  <w:style w:type="character" w:customStyle="1" w:styleId="cohl">
    <w:name w:val="co_hl"/>
    <w:basedOn w:val="DefaultParagraphFont"/>
    <w:rsid w:val="00694702"/>
  </w:style>
  <w:style w:type="character" w:customStyle="1" w:styleId="costarpage">
    <w:name w:val="co_starpage"/>
    <w:basedOn w:val="DefaultParagraphFont"/>
    <w:rsid w:val="00C93AC6"/>
  </w:style>
  <w:style w:type="character" w:styleId="Emphasis">
    <w:name w:val="Emphasis"/>
    <w:uiPriority w:val="20"/>
    <w:qFormat/>
    <w:rsid w:val="00C93AC6"/>
    <w:rPr>
      <w:i/>
      <w:iCs/>
    </w:rPr>
  </w:style>
  <w:style w:type="character" w:styleId="Hyperlink">
    <w:name w:val="Hyperlink"/>
    <w:uiPriority w:val="99"/>
    <w:unhideWhenUsed/>
    <w:rsid w:val="003965B8"/>
    <w:rPr>
      <w:color w:val="0000FF"/>
      <w:u w:val="single"/>
    </w:rPr>
  </w:style>
  <w:style w:type="character" w:customStyle="1" w:styleId="UnresolvedMention1">
    <w:name w:val="Unresolved Mention1"/>
    <w:uiPriority w:val="99"/>
    <w:semiHidden/>
    <w:unhideWhenUsed/>
    <w:rsid w:val="008E0364"/>
    <w:rPr>
      <w:color w:val="605E5C"/>
      <w:shd w:val="clear" w:color="auto" w:fill="E1DFDD"/>
    </w:rPr>
  </w:style>
  <w:style w:type="paragraph" w:styleId="BalloonText">
    <w:name w:val="Balloon Text"/>
    <w:basedOn w:val="Normal"/>
    <w:link w:val="BalloonTextChar"/>
    <w:uiPriority w:val="99"/>
    <w:semiHidden/>
    <w:unhideWhenUsed/>
    <w:rsid w:val="003F2244"/>
    <w:rPr>
      <w:sz w:val="18"/>
      <w:szCs w:val="18"/>
    </w:rPr>
  </w:style>
  <w:style w:type="character" w:customStyle="1" w:styleId="BalloonTextChar">
    <w:name w:val="Balloon Text Char"/>
    <w:link w:val="BalloonText"/>
    <w:uiPriority w:val="99"/>
    <w:semiHidden/>
    <w:rsid w:val="003F2244"/>
    <w:rPr>
      <w:sz w:val="18"/>
      <w:szCs w:val="18"/>
    </w:rPr>
  </w:style>
  <w:style w:type="character" w:styleId="CommentReference">
    <w:name w:val="annotation reference"/>
    <w:uiPriority w:val="99"/>
    <w:semiHidden/>
    <w:unhideWhenUsed/>
    <w:rsid w:val="003F2244"/>
    <w:rPr>
      <w:sz w:val="16"/>
      <w:szCs w:val="16"/>
    </w:rPr>
  </w:style>
  <w:style w:type="paragraph" w:styleId="CommentText">
    <w:name w:val="annotation text"/>
    <w:basedOn w:val="Normal"/>
    <w:link w:val="CommentTextChar"/>
    <w:uiPriority w:val="99"/>
    <w:unhideWhenUsed/>
    <w:rsid w:val="003F2244"/>
    <w:rPr>
      <w:sz w:val="20"/>
    </w:rPr>
  </w:style>
  <w:style w:type="character" w:customStyle="1" w:styleId="CommentTextChar">
    <w:name w:val="Comment Text Char"/>
    <w:basedOn w:val="DefaultParagraphFont"/>
    <w:link w:val="CommentText"/>
    <w:uiPriority w:val="99"/>
    <w:rsid w:val="003F2244"/>
  </w:style>
  <w:style w:type="paragraph" w:styleId="CommentSubject">
    <w:name w:val="annotation subject"/>
    <w:basedOn w:val="CommentText"/>
    <w:next w:val="CommentText"/>
    <w:link w:val="CommentSubjectChar"/>
    <w:uiPriority w:val="99"/>
    <w:semiHidden/>
    <w:unhideWhenUsed/>
    <w:rsid w:val="003F2244"/>
    <w:rPr>
      <w:b/>
      <w:bCs/>
    </w:rPr>
  </w:style>
  <w:style w:type="character" w:customStyle="1" w:styleId="CommentSubjectChar">
    <w:name w:val="Comment Subject Char"/>
    <w:link w:val="CommentSubject"/>
    <w:uiPriority w:val="99"/>
    <w:semiHidden/>
    <w:rsid w:val="003F2244"/>
    <w:rPr>
      <w:b/>
      <w:bCs/>
    </w:rPr>
  </w:style>
  <w:style w:type="paragraph" w:customStyle="1" w:styleId="ColorfulShading-Accent11">
    <w:name w:val="Colorful Shading - Accent 11"/>
    <w:hidden/>
    <w:uiPriority w:val="99"/>
    <w:semiHidden/>
    <w:rsid w:val="00FC4931"/>
    <w:rPr>
      <w:sz w:val="26"/>
    </w:rPr>
  </w:style>
  <w:style w:type="paragraph" w:customStyle="1" w:styleId="MediumList2-Accent21">
    <w:name w:val="Medium List 2 - Accent 21"/>
    <w:hidden/>
    <w:uiPriority w:val="99"/>
    <w:semiHidden/>
    <w:rsid w:val="003965B8"/>
    <w:rPr>
      <w:sz w:val="26"/>
    </w:rPr>
  </w:style>
  <w:style w:type="character" w:customStyle="1" w:styleId="FootnoteTextChar">
    <w:name w:val="Footnote Text Char"/>
    <w:link w:val="FootnoteText"/>
    <w:rsid w:val="00AC564C"/>
    <w:rPr>
      <w:rFonts w:ascii="Century Schoolbook" w:hAnsi="Century Schoolbook"/>
      <w:sz w:val="27"/>
    </w:rPr>
  </w:style>
  <w:style w:type="paragraph" w:styleId="BodyText">
    <w:name w:val="Body Text"/>
    <w:basedOn w:val="Normal"/>
    <w:link w:val="BodyTextChar"/>
    <w:qFormat/>
    <w:rsid w:val="005D426B"/>
  </w:style>
  <w:style w:type="character" w:customStyle="1" w:styleId="BodyTextChar">
    <w:name w:val="Body Text Char"/>
    <w:link w:val="BodyText"/>
    <w:rsid w:val="005D426B"/>
    <w:rPr>
      <w:rFonts w:ascii="Century Schoolbook" w:hAnsi="Century Schoolbook"/>
      <w:sz w:val="27"/>
    </w:rPr>
  </w:style>
  <w:style w:type="paragraph" w:styleId="DocumentMap">
    <w:name w:val="Document Map"/>
    <w:basedOn w:val="Normal"/>
    <w:link w:val="DocumentMapChar"/>
    <w:uiPriority w:val="99"/>
    <w:semiHidden/>
    <w:unhideWhenUsed/>
    <w:rsid w:val="00B733E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733E3"/>
    <w:rPr>
      <w:sz w:val="24"/>
      <w:szCs w:val="24"/>
    </w:rPr>
  </w:style>
  <w:style w:type="paragraph" w:styleId="Revision">
    <w:name w:val="Revision"/>
    <w:hidden/>
    <w:uiPriority w:val="99"/>
    <w:unhideWhenUsed/>
    <w:rsid w:val="00B733E3"/>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customXml" Target="../customXml/item9.xml" /><Relationship Id="rId14" Type="http://schemas.openxmlformats.org/officeDocument/2006/relationships/customXml" Target="../customXml/item10.xml" /><Relationship Id="rId15" Type="http://schemas.openxmlformats.org/officeDocument/2006/relationships/customXml" Target="../customXml/item11.xml" /><Relationship Id="rId16" Type="http://schemas.openxmlformats.org/officeDocument/2006/relationships/customXml" Target="../customXml/item12.xml" /><Relationship Id="rId17" Type="http://schemas.openxmlformats.org/officeDocument/2006/relationships/customXml" Target="../customXml/item13.xml" /><Relationship Id="rId18" Type="http://schemas.openxmlformats.org/officeDocument/2006/relationships/customXml" Target="../customXml/item14.xml" /><Relationship Id="rId19" Type="http://schemas.openxmlformats.org/officeDocument/2006/relationships/customXml" Target="../customXml/item15.xml" /><Relationship Id="rId2" Type="http://schemas.openxmlformats.org/officeDocument/2006/relationships/settings" Target="settings.xml" /><Relationship Id="rId20" Type="http://schemas.openxmlformats.org/officeDocument/2006/relationships/customXml" Target="../customXml/item16.xml" /><Relationship Id="rId21" Type="http://schemas.openxmlformats.org/officeDocument/2006/relationships/customXml" Target="../customXml/item17.xml" /><Relationship Id="rId22" Type="http://schemas.openxmlformats.org/officeDocument/2006/relationships/customXml" Target="../customXml/item18.xml" /><Relationship Id="rId23" Type="http://schemas.openxmlformats.org/officeDocument/2006/relationships/customXml" Target="../customXml/item19.xml" /><Relationship Id="rId24" Type="http://schemas.openxmlformats.org/officeDocument/2006/relationships/customXml" Target="../customXml/item20.xml" /><Relationship Id="rId25" Type="http://schemas.openxmlformats.org/officeDocument/2006/relationships/customXml" Target="../customXml/item21.xml" /><Relationship Id="rId26" Type="http://schemas.openxmlformats.org/officeDocument/2006/relationships/customXml" Target="../customXml/item22.xml" /><Relationship Id="rId27" Type="http://schemas.openxmlformats.org/officeDocument/2006/relationships/customXml" Target="../customXml/item23.xml" /><Relationship Id="rId28" Type="http://schemas.openxmlformats.org/officeDocument/2006/relationships/customXml" Target="../customXml/item24.xml" /><Relationship Id="rId29" Type="http://schemas.openxmlformats.org/officeDocument/2006/relationships/customXml" Target="../customXml/item25.xml" /><Relationship Id="rId3" Type="http://schemas.openxmlformats.org/officeDocument/2006/relationships/webSettings" Target="webSettings.xml" /><Relationship Id="rId30" Type="http://schemas.openxmlformats.org/officeDocument/2006/relationships/customXml" Target="../customXml/item26.xml" /><Relationship Id="rId31" Type="http://schemas.openxmlformats.org/officeDocument/2006/relationships/customXml" Target="../customXml/item27.xml" /><Relationship Id="rId32" Type="http://schemas.openxmlformats.org/officeDocument/2006/relationships/customXml" Target="../customXml/item28.xml" /><Relationship Id="rId33" Type="http://schemas.openxmlformats.org/officeDocument/2006/relationships/customXml" Target="../customXml/item29.xml" /><Relationship Id="rId34" Type="http://schemas.openxmlformats.org/officeDocument/2006/relationships/customXml" Target="../customXml/item30.xml" /><Relationship Id="rId35" Type="http://schemas.openxmlformats.org/officeDocument/2006/relationships/customXml" Target="../customXml/item31.xml" /><Relationship Id="rId36" Type="http://schemas.openxmlformats.org/officeDocument/2006/relationships/customXml" Target="../customXml/item32.xml"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fontTable" Target="fontTable.xml" /><Relationship Id="rId40" Type="http://schemas.openxmlformats.org/officeDocument/2006/relationships/header" Target="header2.xml" /><Relationship Id="rId41" Type="http://schemas.openxmlformats.org/officeDocument/2006/relationships/footer" Target="footer3.xml" /><Relationship Id="rId42" Type="http://schemas.openxmlformats.org/officeDocument/2006/relationships/header" Target="header3.xml" /><Relationship Id="rId43" Type="http://schemas.openxmlformats.org/officeDocument/2006/relationships/header" Target="header4.xml" /><Relationship Id="rId44" Type="http://schemas.openxmlformats.org/officeDocument/2006/relationships/footer" Target="footer4.xml" /><Relationship Id="rId45" Type="http://schemas.openxmlformats.org/officeDocument/2006/relationships/footer" Target="footer5.xml" /><Relationship Id="rId46" Type="http://schemas.openxmlformats.org/officeDocument/2006/relationships/header" Target="header5.xml" /><Relationship Id="rId47" Type="http://schemas.openxmlformats.org/officeDocument/2006/relationships/footer" Target="footer6.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57A2-0D29-4A2A-A24B-DF205E701FDA}">
  <ds:schemaRefs>
    <ds:schemaRef ds:uri="http://schemas.openxmlformats.org/officeDocument/2006/bibliography"/>
  </ds:schemaRefs>
</ds:datastoreItem>
</file>

<file path=customXml/itemProps10.xml><?xml version="1.0" encoding="utf-8"?>
<ds:datastoreItem xmlns:ds="http://schemas.openxmlformats.org/officeDocument/2006/customXml" ds:itemID="{83E6B1AB-CA29-C244-8EF3-B8DBBAB4BD58}">
  <ds:schemaRefs>
    <ds:schemaRef ds:uri="http://schemas.openxmlformats.org/officeDocument/2006/bibliography"/>
  </ds:schemaRefs>
</ds:datastoreItem>
</file>

<file path=customXml/itemProps11.xml><?xml version="1.0" encoding="utf-8"?>
<ds:datastoreItem xmlns:ds="http://schemas.openxmlformats.org/officeDocument/2006/customXml" ds:itemID="{6938EA68-E9F9-D046-B0BE-64FF582C416B}">
  <ds:schemaRefs>
    <ds:schemaRef ds:uri="http://schemas.openxmlformats.org/officeDocument/2006/bibliography"/>
  </ds:schemaRefs>
</ds:datastoreItem>
</file>

<file path=customXml/itemProps12.xml><?xml version="1.0" encoding="utf-8"?>
<ds:datastoreItem xmlns:ds="http://schemas.openxmlformats.org/officeDocument/2006/customXml" ds:itemID="{4D1818DF-C87A-4240-A203-23B428C7B6D3}">
  <ds:schemaRefs>
    <ds:schemaRef ds:uri="http://schemas.openxmlformats.org/officeDocument/2006/bibliography"/>
  </ds:schemaRefs>
</ds:datastoreItem>
</file>

<file path=customXml/itemProps13.xml><?xml version="1.0" encoding="utf-8"?>
<ds:datastoreItem xmlns:ds="http://schemas.openxmlformats.org/officeDocument/2006/customXml" ds:itemID="{19EA8F60-4995-44CB-A43B-D45304307BCB}">
  <ds:schemaRefs>
    <ds:schemaRef ds:uri="http://schemas.openxmlformats.org/officeDocument/2006/bibliography"/>
  </ds:schemaRefs>
</ds:datastoreItem>
</file>

<file path=customXml/itemProps14.xml><?xml version="1.0" encoding="utf-8"?>
<ds:datastoreItem xmlns:ds="http://schemas.openxmlformats.org/officeDocument/2006/customXml" ds:itemID="{1D722D77-6FA1-4F9F-B98D-A510A993BF9E}">
  <ds:schemaRefs>
    <ds:schemaRef ds:uri="http://schemas.openxmlformats.org/officeDocument/2006/bibliography"/>
  </ds:schemaRefs>
</ds:datastoreItem>
</file>

<file path=customXml/itemProps15.xml><?xml version="1.0" encoding="utf-8"?>
<ds:datastoreItem xmlns:ds="http://schemas.openxmlformats.org/officeDocument/2006/customXml" ds:itemID="{4C447F56-5FD6-3046-A0F5-3682EEBE3C94}">
  <ds:schemaRefs>
    <ds:schemaRef ds:uri="http://schemas.openxmlformats.org/officeDocument/2006/bibliography"/>
  </ds:schemaRefs>
</ds:datastoreItem>
</file>

<file path=customXml/itemProps16.xml><?xml version="1.0" encoding="utf-8"?>
<ds:datastoreItem xmlns:ds="http://schemas.openxmlformats.org/officeDocument/2006/customXml" ds:itemID="{5296C0B2-8C0C-8649-B40B-29CE65B7475C}">
  <ds:schemaRefs>
    <ds:schemaRef ds:uri="http://schemas.openxmlformats.org/officeDocument/2006/bibliography"/>
  </ds:schemaRefs>
</ds:datastoreItem>
</file>

<file path=customXml/itemProps17.xml><?xml version="1.0" encoding="utf-8"?>
<ds:datastoreItem xmlns:ds="http://schemas.openxmlformats.org/officeDocument/2006/customXml" ds:itemID="{EA43AF92-E1B0-4971-A5F1-8E1935A5BCFA}">
  <ds:schemaRefs>
    <ds:schemaRef ds:uri="http://schemas.openxmlformats.org/officeDocument/2006/bibliography"/>
  </ds:schemaRefs>
</ds:datastoreItem>
</file>

<file path=customXml/itemProps18.xml><?xml version="1.0" encoding="utf-8"?>
<ds:datastoreItem xmlns:ds="http://schemas.openxmlformats.org/officeDocument/2006/customXml" ds:itemID="{4522DF9D-2745-5944-825E-71D5CEAE314D}">
  <ds:schemaRefs>
    <ds:schemaRef ds:uri="http://schemas.openxmlformats.org/officeDocument/2006/bibliography"/>
  </ds:schemaRefs>
</ds:datastoreItem>
</file>

<file path=customXml/itemProps19.xml><?xml version="1.0" encoding="utf-8"?>
<ds:datastoreItem xmlns:ds="http://schemas.openxmlformats.org/officeDocument/2006/customXml" ds:itemID="{16BAB480-F37C-419A-95A1-7F289F045107}">
  <ds:schemaRefs>
    <ds:schemaRef ds:uri="http://schemas.openxmlformats.org/officeDocument/2006/bibliography"/>
  </ds:schemaRefs>
</ds:datastoreItem>
</file>

<file path=customXml/itemProps2.xml><?xml version="1.0" encoding="utf-8"?>
<ds:datastoreItem xmlns:ds="http://schemas.openxmlformats.org/officeDocument/2006/customXml" ds:itemID="{52DE6072-1412-9541-8095-103D1FD5903C}">
  <ds:schemaRefs>
    <ds:schemaRef ds:uri="http://schemas.openxmlformats.org/officeDocument/2006/bibliography"/>
  </ds:schemaRefs>
</ds:datastoreItem>
</file>

<file path=customXml/itemProps20.xml><?xml version="1.0" encoding="utf-8"?>
<ds:datastoreItem xmlns:ds="http://schemas.openxmlformats.org/officeDocument/2006/customXml" ds:itemID="{23D9FA54-147D-744C-B2DA-DCB41C5C48E9}">
  <ds:schemaRefs>
    <ds:schemaRef ds:uri="http://schemas.openxmlformats.org/officeDocument/2006/bibliography"/>
  </ds:schemaRefs>
</ds:datastoreItem>
</file>

<file path=customXml/itemProps21.xml><?xml version="1.0" encoding="utf-8"?>
<ds:datastoreItem xmlns:ds="http://schemas.openxmlformats.org/officeDocument/2006/customXml" ds:itemID="{20F34FEA-35D2-4E68-93A6-8DC26D7BF1CE}">
  <ds:schemaRefs>
    <ds:schemaRef ds:uri="http://schemas.openxmlformats.org/officeDocument/2006/bibliography"/>
  </ds:schemaRefs>
</ds:datastoreItem>
</file>

<file path=customXml/itemProps22.xml><?xml version="1.0" encoding="utf-8"?>
<ds:datastoreItem xmlns:ds="http://schemas.openxmlformats.org/officeDocument/2006/customXml" ds:itemID="{5445967B-AFA4-0542-B0C5-FB9D0FCFEDA1}">
  <ds:schemaRefs>
    <ds:schemaRef ds:uri="http://schemas.openxmlformats.org/officeDocument/2006/bibliography"/>
  </ds:schemaRefs>
</ds:datastoreItem>
</file>

<file path=customXml/itemProps23.xml><?xml version="1.0" encoding="utf-8"?>
<ds:datastoreItem xmlns:ds="http://schemas.openxmlformats.org/officeDocument/2006/customXml" ds:itemID="{48FFE26C-B001-427C-A659-A67D8AF22981}">
  <ds:schemaRefs>
    <ds:schemaRef ds:uri="http://schemas.openxmlformats.org/officeDocument/2006/bibliography"/>
  </ds:schemaRefs>
</ds:datastoreItem>
</file>

<file path=customXml/itemProps24.xml><?xml version="1.0" encoding="utf-8"?>
<ds:datastoreItem xmlns:ds="http://schemas.openxmlformats.org/officeDocument/2006/customXml" ds:itemID="{28ECFD7F-4067-4AAF-ADBD-6B5887BB1234}">
  <ds:schemaRefs>
    <ds:schemaRef ds:uri="http://schemas.openxmlformats.org/officeDocument/2006/bibliography"/>
  </ds:schemaRefs>
</ds:datastoreItem>
</file>

<file path=customXml/itemProps25.xml><?xml version="1.0" encoding="utf-8"?>
<ds:datastoreItem xmlns:ds="http://schemas.openxmlformats.org/officeDocument/2006/customXml" ds:itemID="{A3DACFD8-CB66-4269-8BF4-8BC4FDD8AD41}">
  <ds:schemaRefs>
    <ds:schemaRef ds:uri="http://schemas.openxmlformats.org/officeDocument/2006/bibliography"/>
  </ds:schemaRefs>
</ds:datastoreItem>
</file>

<file path=customXml/itemProps26.xml><?xml version="1.0" encoding="utf-8"?>
<ds:datastoreItem xmlns:ds="http://schemas.openxmlformats.org/officeDocument/2006/customXml" ds:itemID="{DCD06FF2-D2C4-49A0-8202-10B6E4697000}">
  <ds:schemaRefs>
    <ds:schemaRef ds:uri="http://schemas.openxmlformats.org/officeDocument/2006/bibliography"/>
  </ds:schemaRefs>
</ds:datastoreItem>
</file>

<file path=customXml/itemProps27.xml><?xml version="1.0" encoding="utf-8"?>
<ds:datastoreItem xmlns:ds="http://schemas.openxmlformats.org/officeDocument/2006/customXml" ds:itemID="{4FF6235E-D7D6-3E41-80E7-3A272B82B423}">
  <ds:schemaRefs>
    <ds:schemaRef ds:uri="http://schemas.openxmlformats.org/officeDocument/2006/bibliography"/>
  </ds:schemaRefs>
</ds:datastoreItem>
</file>

<file path=customXml/itemProps28.xml><?xml version="1.0" encoding="utf-8"?>
<ds:datastoreItem xmlns:ds="http://schemas.openxmlformats.org/officeDocument/2006/customXml" ds:itemID="{783A0AA4-7C21-4F03-A7F9-60ECABF55635}">
  <ds:schemaRefs>
    <ds:schemaRef ds:uri="http://schemas.openxmlformats.org/officeDocument/2006/bibliography"/>
  </ds:schemaRefs>
</ds:datastoreItem>
</file>

<file path=customXml/itemProps29.xml><?xml version="1.0" encoding="utf-8"?>
<ds:datastoreItem xmlns:ds="http://schemas.openxmlformats.org/officeDocument/2006/customXml" ds:itemID="{A1BC455C-F595-C844-9F14-840092D67D80}">
  <ds:schemaRefs>
    <ds:schemaRef ds:uri="http://schemas.openxmlformats.org/officeDocument/2006/bibliography"/>
  </ds:schemaRefs>
</ds:datastoreItem>
</file>

<file path=customXml/itemProps3.xml><?xml version="1.0" encoding="utf-8"?>
<ds:datastoreItem xmlns:ds="http://schemas.openxmlformats.org/officeDocument/2006/customXml" ds:itemID="{F17E278F-D4CC-4991-B807-62C69E3E0404}">
  <ds:schemaRefs>
    <ds:schemaRef ds:uri="http://schemas.openxmlformats.org/officeDocument/2006/bibliography"/>
  </ds:schemaRefs>
</ds:datastoreItem>
</file>

<file path=customXml/itemProps30.xml><?xml version="1.0" encoding="utf-8"?>
<ds:datastoreItem xmlns:ds="http://schemas.openxmlformats.org/officeDocument/2006/customXml" ds:itemID="{E56E8645-E527-D34A-B055-25B3D3F8A75B}">
  <ds:schemaRefs>
    <ds:schemaRef ds:uri="http://schemas.openxmlformats.org/officeDocument/2006/bibliography"/>
  </ds:schemaRefs>
</ds:datastoreItem>
</file>

<file path=customXml/itemProps31.xml><?xml version="1.0" encoding="utf-8"?>
<ds:datastoreItem xmlns:ds="http://schemas.openxmlformats.org/officeDocument/2006/customXml" ds:itemID="{901816EB-6570-4943-9AE8-449C3DABEC32}">
  <ds:schemaRefs>
    <ds:schemaRef ds:uri="http://schemas.openxmlformats.org/officeDocument/2006/bibliography"/>
  </ds:schemaRefs>
</ds:datastoreItem>
</file>

<file path=customXml/itemProps32.xml><?xml version="1.0" encoding="utf-8"?>
<ds:datastoreItem xmlns:ds="http://schemas.openxmlformats.org/officeDocument/2006/customXml" ds:itemID="{77CEF3F7-1B7A-4D17-B307-B140DF6C6206}">
  <ds:schemaRefs>
    <ds:schemaRef ds:uri="http://schemas.openxmlformats.org/officeDocument/2006/bibliography"/>
  </ds:schemaRefs>
</ds:datastoreItem>
</file>

<file path=customXml/itemProps4.xml><?xml version="1.0" encoding="utf-8"?>
<ds:datastoreItem xmlns:ds="http://schemas.openxmlformats.org/officeDocument/2006/customXml" ds:itemID="{D6470C9F-865C-4979-A6B3-007FE3B3D9FF}">
  <ds:schemaRefs>
    <ds:schemaRef ds:uri="http://schemas.openxmlformats.org/officeDocument/2006/bibliography"/>
  </ds:schemaRefs>
</ds:datastoreItem>
</file>

<file path=customXml/itemProps5.xml><?xml version="1.0" encoding="utf-8"?>
<ds:datastoreItem xmlns:ds="http://schemas.openxmlformats.org/officeDocument/2006/customXml" ds:itemID="{93959DF4-5E98-4A56-B201-18FCDA273203}">
  <ds:schemaRefs>
    <ds:schemaRef ds:uri="http://schemas.openxmlformats.org/officeDocument/2006/bibliography"/>
  </ds:schemaRefs>
</ds:datastoreItem>
</file>

<file path=customXml/itemProps6.xml><?xml version="1.0" encoding="utf-8"?>
<ds:datastoreItem xmlns:ds="http://schemas.openxmlformats.org/officeDocument/2006/customXml" ds:itemID="{210D0DFB-71BE-7340-8AA0-B0AEBDC84BFB}">
  <ds:schemaRefs>
    <ds:schemaRef ds:uri="http://schemas.openxmlformats.org/officeDocument/2006/bibliography"/>
  </ds:schemaRefs>
</ds:datastoreItem>
</file>

<file path=customXml/itemProps7.xml><?xml version="1.0" encoding="utf-8"?>
<ds:datastoreItem xmlns:ds="http://schemas.openxmlformats.org/officeDocument/2006/customXml" ds:itemID="{433DAF00-B8EA-4672-A8C2-F7119FE0F7CB}">
  <ds:schemaRefs>
    <ds:schemaRef ds:uri="http://schemas.openxmlformats.org/officeDocument/2006/bibliography"/>
  </ds:schemaRefs>
</ds:datastoreItem>
</file>

<file path=customXml/itemProps8.xml><?xml version="1.0" encoding="utf-8"?>
<ds:datastoreItem xmlns:ds="http://schemas.openxmlformats.org/officeDocument/2006/customXml" ds:itemID="{6C1A3E16-B3AA-4B44-A568-EEF43FB108BA}">
  <ds:schemaRefs>
    <ds:schemaRef ds:uri="http://schemas.openxmlformats.org/officeDocument/2006/bibliography"/>
  </ds:schemaRefs>
</ds:datastoreItem>
</file>

<file path=customXml/itemProps9.xml><?xml version="1.0" encoding="utf-8"?>
<ds:datastoreItem xmlns:ds="http://schemas.openxmlformats.org/officeDocument/2006/customXml" ds:itemID="{39F5D365-348A-48DC-888F-D78F3EC4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2020-06-29T15:19:42Z</dcterms:created>
  <dcterms:modified xsi:type="dcterms:W3CDTF">2020-06-29T15:19:42Z</dcterms:modified>
</cp:coreProperties>
</file>