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5B0B8" w14:textId="06E71647" w:rsidR="00AC2B1F" w:rsidRDefault="00AC2B1F" w:rsidP="00AC2B1F">
      <w:pPr>
        <w:spacing w:after="0"/>
        <w:jc w:val="center"/>
        <w:rPr>
          <w:sz w:val="36"/>
        </w:rPr>
      </w:pPr>
      <w:r>
        <w:rPr>
          <w:b/>
          <w:sz w:val="36"/>
        </w:rPr>
        <w:t>IN THE SUPREME COURT OF CALIFORNIA</w:t>
      </w:r>
    </w:p>
    <w:p w14:paraId="39C08AE7" w14:textId="77777777" w:rsidR="00AC2B1F" w:rsidRDefault="00AC2B1F" w:rsidP="00AC2B1F">
      <w:pPr>
        <w:spacing w:after="0"/>
        <w:jc w:val="center"/>
      </w:pPr>
    </w:p>
    <w:p w14:paraId="7063827B" w14:textId="6528B658" w:rsidR="00AC2B1F" w:rsidRDefault="00AC2B1F" w:rsidP="00AC2B1F">
      <w:pPr>
        <w:spacing w:after="0"/>
        <w:jc w:val="center"/>
      </w:pPr>
      <w:r>
        <w:t>ROBERT E. WHITE</w:t>
      </w:r>
      <w:r w:rsidR="0005280B">
        <w:t>,</w:t>
      </w:r>
    </w:p>
    <w:p w14:paraId="11096637" w14:textId="65E83F09" w:rsidR="00AC2B1F" w:rsidRDefault="00AC2B1F" w:rsidP="00AC2B1F">
      <w:pPr>
        <w:spacing w:after="0"/>
        <w:jc w:val="center"/>
      </w:pPr>
      <w:r>
        <w:t>Plaintiff and Appellant</w:t>
      </w:r>
      <w:r w:rsidR="0005280B">
        <w:t>,</w:t>
      </w:r>
    </w:p>
    <w:p w14:paraId="6126ACF4" w14:textId="77777777" w:rsidR="00AC2B1F" w:rsidRDefault="00AC2B1F" w:rsidP="00AC2B1F">
      <w:pPr>
        <w:spacing w:after="0"/>
        <w:jc w:val="center"/>
      </w:pPr>
      <w:r>
        <w:t>v.</w:t>
      </w:r>
    </w:p>
    <w:p w14:paraId="4BDC4466" w14:textId="19C719C8" w:rsidR="00AC2B1F" w:rsidRDefault="00AC2B1F" w:rsidP="00AC2B1F">
      <w:pPr>
        <w:spacing w:after="0"/>
        <w:jc w:val="center"/>
      </w:pPr>
      <w:r>
        <w:t>SQUARE, INC.</w:t>
      </w:r>
      <w:r w:rsidR="0005280B">
        <w:t>,</w:t>
      </w:r>
    </w:p>
    <w:p w14:paraId="0CB80636" w14:textId="77777777" w:rsidR="00AC2B1F" w:rsidRDefault="00AC2B1F" w:rsidP="00AC2B1F">
      <w:pPr>
        <w:spacing w:after="0"/>
        <w:jc w:val="center"/>
      </w:pPr>
      <w:r>
        <w:t>Defendant and Respondent.</w:t>
      </w:r>
      <w:r>
        <w:tab/>
      </w:r>
    </w:p>
    <w:p w14:paraId="5BBBF31A" w14:textId="77777777" w:rsidR="00AC2B1F" w:rsidRDefault="00AC2B1F" w:rsidP="00AC2B1F">
      <w:pPr>
        <w:spacing w:after="0"/>
        <w:jc w:val="center"/>
      </w:pPr>
    </w:p>
    <w:p w14:paraId="3D7A3F59" w14:textId="53FED949" w:rsidR="00AC2B1F" w:rsidRDefault="00AC2B1F" w:rsidP="00AC2B1F">
      <w:pPr>
        <w:spacing w:after="0"/>
        <w:jc w:val="center"/>
      </w:pPr>
      <w:r>
        <w:t>S249248</w:t>
      </w:r>
    </w:p>
    <w:p w14:paraId="72E2BA08" w14:textId="77777777" w:rsidR="00CF417F" w:rsidRDefault="00CF417F" w:rsidP="00AC2B1F">
      <w:pPr>
        <w:spacing w:after="0"/>
        <w:jc w:val="center"/>
      </w:pPr>
    </w:p>
    <w:p w14:paraId="5AFC2A43" w14:textId="4F3C6DC4" w:rsidR="00AC2B1F" w:rsidRDefault="00840C5F" w:rsidP="00AC2B1F">
      <w:pPr>
        <w:spacing w:after="0"/>
        <w:jc w:val="center"/>
      </w:pPr>
      <w:r>
        <w:t>Ninth Circuit</w:t>
      </w:r>
    </w:p>
    <w:p w14:paraId="5C4BC5E7" w14:textId="6B107425" w:rsidR="00840C5F" w:rsidRDefault="00840C5F" w:rsidP="00AC2B1F">
      <w:pPr>
        <w:spacing w:after="0"/>
        <w:jc w:val="center"/>
      </w:pPr>
      <w:r>
        <w:t>16-17137</w:t>
      </w:r>
    </w:p>
    <w:p w14:paraId="71449CAF" w14:textId="77777777" w:rsidR="00840C5F" w:rsidRDefault="00840C5F" w:rsidP="00AC2B1F">
      <w:pPr>
        <w:spacing w:after="0"/>
        <w:jc w:val="center"/>
      </w:pPr>
    </w:p>
    <w:p w14:paraId="67A1168E" w14:textId="3B3A119A" w:rsidR="00AC2B1F" w:rsidRDefault="00AC2B1F" w:rsidP="00AC2B1F">
      <w:pPr>
        <w:spacing w:after="0"/>
        <w:jc w:val="center"/>
      </w:pPr>
      <w:r>
        <w:t xml:space="preserve"> Northern District of</w:t>
      </w:r>
      <w:r w:rsidR="00806A3A">
        <w:t xml:space="preserve"> California</w:t>
      </w:r>
    </w:p>
    <w:p w14:paraId="71DD953D" w14:textId="4F3087B3" w:rsidR="00AC2B1F" w:rsidRDefault="00AC2B1F" w:rsidP="00AC2B1F">
      <w:pPr>
        <w:pBdr>
          <w:bottom w:val="single" w:sz="4" w:space="1" w:color="auto"/>
        </w:pBdr>
        <w:spacing w:after="0"/>
        <w:jc w:val="center"/>
      </w:pPr>
      <w:r>
        <w:t>3:15-cv-04539</w:t>
      </w:r>
      <w:r w:rsidR="00840C5F">
        <w:t>-JST</w:t>
      </w:r>
    </w:p>
    <w:p w14:paraId="444CFF64" w14:textId="77777777" w:rsidR="00840C5F" w:rsidRDefault="00840C5F" w:rsidP="00AC2B1F">
      <w:pPr>
        <w:pBdr>
          <w:bottom w:val="single" w:sz="4" w:space="1" w:color="auto"/>
        </w:pBdr>
        <w:spacing w:after="0"/>
        <w:jc w:val="center"/>
      </w:pPr>
    </w:p>
    <w:p w14:paraId="372821C8" w14:textId="77777777" w:rsidR="00AC2B1F" w:rsidRDefault="00AC2B1F" w:rsidP="00736F5B">
      <w:pPr>
        <w:spacing w:after="0"/>
      </w:pPr>
    </w:p>
    <w:p w14:paraId="760103E2" w14:textId="7C0BD8A2" w:rsidR="00AC2B1F" w:rsidRDefault="00840C5F" w:rsidP="00AC2B1F">
      <w:pPr>
        <w:spacing w:after="0"/>
        <w:jc w:val="center"/>
      </w:pPr>
      <w:r>
        <w:t xml:space="preserve">August </w:t>
      </w:r>
      <w:r w:rsidR="0005280B">
        <w:t>12</w:t>
      </w:r>
      <w:r w:rsidR="00AC2B1F">
        <w:t>, 2019</w:t>
      </w:r>
    </w:p>
    <w:p w14:paraId="13C1FB54" w14:textId="77777777" w:rsidR="00AC2B1F" w:rsidRDefault="00AC2B1F" w:rsidP="00AC2B1F">
      <w:pPr>
        <w:spacing w:after="0"/>
        <w:jc w:val="center"/>
      </w:pPr>
    </w:p>
    <w:p w14:paraId="31402C2E" w14:textId="41CE5F9C" w:rsidR="00AC2B1F" w:rsidRDefault="00840C5F" w:rsidP="00AC2B1F">
      <w:pPr>
        <w:spacing w:after="0"/>
        <w:jc w:val="left"/>
      </w:pPr>
      <w:r>
        <w:t xml:space="preserve">Justice Liu authored the opinion of the Court, in which </w:t>
      </w:r>
      <w:r w:rsidR="0005280B">
        <w:t>Chief Justice Cantil-Sakauye and Justices Chin, Corrigan, Cuéllar, Kruger, and Groban concurred</w:t>
      </w:r>
      <w:r>
        <w:t xml:space="preserve">. </w:t>
      </w:r>
    </w:p>
    <w:p w14:paraId="4026DBF9" w14:textId="77777777" w:rsidR="00AC2B1F" w:rsidRDefault="00AC2B1F" w:rsidP="00AC2B1F">
      <w:pPr>
        <w:pBdr>
          <w:bottom w:val="single" w:sz="4" w:space="1" w:color="auto"/>
        </w:pBdr>
        <w:spacing w:after="0"/>
        <w:jc w:val="left"/>
      </w:pPr>
    </w:p>
    <w:p w14:paraId="139743DA" w14:textId="05EBBFB9" w:rsidR="00AC2B1F" w:rsidRPr="00AC2B1F" w:rsidRDefault="00AC2B1F" w:rsidP="00AC2B1F">
      <w:pPr>
        <w:pBdr>
          <w:bottom w:val="single" w:sz="4" w:space="1" w:color="auto"/>
        </w:pBdr>
        <w:jc w:val="left"/>
        <w:sectPr w:rsidR="00AC2B1F" w:rsidRPr="00AC2B1F" w:rsidSect="00AC2B1F">
          <w:headerReference w:type="default" r:id="rId6"/>
          <w:footerReference w:type="default" r:id="rId7"/>
          <w:pgSz w:w="12240" w:h="15840"/>
          <w:pgMar w:top="1800" w:right="2160" w:bottom="1440" w:left="2160" w:header="720" w:footer="720" w:gutter="0"/>
          <w:cols w:space="720"/>
          <w:titlePg/>
          <w:docGrid w:linePitch="367"/>
        </w:sectPr>
      </w:pPr>
      <w:bookmarkStart w:id="0" w:name="Return"/>
      <w:bookmarkEnd w:id="0"/>
    </w:p>
    <w:p w14:paraId="08CF49A6" w14:textId="537FF7C4" w:rsidR="00AC2B1F" w:rsidRDefault="00AC2B1F" w:rsidP="00AC2B1F">
      <w:pPr>
        <w:jc w:val="center"/>
      </w:pPr>
      <w:r>
        <w:lastRenderedPageBreak/>
        <w:t>WHITE v. SQUARE, INC.</w:t>
      </w:r>
    </w:p>
    <w:p w14:paraId="3B439AAC" w14:textId="0BC0FF27" w:rsidR="00AC2B1F" w:rsidRDefault="00AC2B1F" w:rsidP="00AC2B1F">
      <w:pPr>
        <w:jc w:val="center"/>
      </w:pPr>
      <w:r>
        <w:t>S249248</w:t>
      </w:r>
    </w:p>
    <w:p w14:paraId="06094055" w14:textId="2BF5A318" w:rsidR="00AC2B1F" w:rsidRDefault="00AC2B1F" w:rsidP="00AC2B1F">
      <w:pPr>
        <w:jc w:val="center"/>
      </w:pPr>
    </w:p>
    <w:p w14:paraId="097E9BA0" w14:textId="7AFE517C" w:rsidR="00AC2B1F" w:rsidRDefault="00AC2B1F" w:rsidP="00AC2B1F">
      <w:pPr>
        <w:jc w:val="center"/>
      </w:pPr>
      <w:r>
        <w:t>Opinion of the Court by Liu, J.</w:t>
      </w:r>
    </w:p>
    <w:p w14:paraId="13469A75" w14:textId="77777777" w:rsidR="00AC2B1F" w:rsidRDefault="00AC2B1F" w:rsidP="00AC2B1F">
      <w:pPr>
        <w:tabs>
          <w:tab w:val="left" w:pos="1440"/>
        </w:tabs>
      </w:pPr>
      <w:bookmarkStart w:id="1" w:name="mainstory"/>
      <w:bookmarkEnd w:id="1"/>
    </w:p>
    <w:p w14:paraId="06AF2F67" w14:textId="67D20579" w:rsidR="00EA0016" w:rsidRPr="00AC2B1F" w:rsidRDefault="006E47B0" w:rsidP="008271DA">
      <w:pPr>
        <w:rPr>
          <w:szCs w:val="26"/>
        </w:rPr>
      </w:pPr>
      <w:r>
        <w:rPr>
          <w:szCs w:val="26"/>
        </w:rPr>
        <w:tab/>
      </w:r>
      <w:r w:rsidR="00A1625D" w:rsidRPr="00AC2B1F">
        <w:rPr>
          <w:szCs w:val="26"/>
        </w:rPr>
        <w:t xml:space="preserve">Here we consider a question regarding California’s Unruh </w:t>
      </w:r>
      <w:r w:rsidR="00AF54EC" w:rsidRPr="00AC2B1F">
        <w:rPr>
          <w:szCs w:val="26"/>
        </w:rPr>
        <w:t xml:space="preserve">Civil Rights </w:t>
      </w:r>
      <w:r w:rsidR="00A1625D" w:rsidRPr="00AC2B1F">
        <w:rPr>
          <w:szCs w:val="26"/>
        </w:rPr>
        <w:t xml:space="preserve">Act </w:t>
      </w:r>
      <w:r w:rsidR="0003684B" w:rsidRPr="00AC2B1F">
        <w:rPr>
          <w:szCs w:val="26"/>
        </w:rPr>
        <w:t>(Civ. Code, § 51 et seq.</w:t>
      </w:r>
      <w:r w:rsidR="00882742">
        <w:rPr>
          <w:szCs w:val="26"/>
        </w:rPr>
        <w:t>)</w:t>
      </w:r>
      <w:r w:rsidR="0003684B" w:rsidRPr="00AC2B1F">
        <w:rPr>
          <w:szCs w:val="26"/>
        </w:rPr>
        <w:t xml:space="preserve"> (the Act)</w:t>
      </w:r>
      <w:r w:rsidR="00EA0016" w:rsidRPr="00AC2B1F">
        <w:rPr>
          <w:szCs w:val="26"/>
        </w:rPr>
        <w:t xml:space="preserve"> </w:t>
      </w:r>
      <w:r w:rsidR="00A1625D" w:rsidRPr="00AC2B1F">
        <w:rPr>
          <w:szCs w:val="26"/>
        </w:rPr>
        <w:t xml:space="preserve">posed by the United States Court of Appeals for the Ninth Circuit:  Does a plaintiff have standing to bring a claim under the Unruh </w:t>
      </w:r>
      <w:r w:rsidR="00882742">
        <w:rPr>
          <w:szCs w:val="26"/>
        </w:rPr>
        <w:t xml:space="preserve">Civil Rights </w:t>
      </w:r>
      <w:r w:rsidR="00A1625D" w:rsidRPr="00AC2B1F">
        <w:rPr>
          <w:szCs w:val="26"/>
        </w:rPr>
        <w:t xml:space="preserve">Act when the plaintiff visits a business’s website with the intent of using its services, encounters terms and conditions that </w:t>
      </w:r>
      <w:r w:rsidR="001255A2" w:rsidRPr="00AC2B1F">
        <w:rPr>
          <w:szCs w:val="26"/>
        </w:rPr>
        <w:t xml:space="preserve">allegedly </w:t>
      </w:r>
      <w:r w:rsidR="00A1625D" w:rsidRPr="00AC2B1F">
        <w:rPr>
          <w:szCs w:val="26"/>
        </w:rPr>
        <w:t xml:space="preserve">deny the </w:t>
      </w:r>
      <w:r w:rsidR="001255A2" w:rsidRPr="00AC2B1F">
        <w:rPr>
          <w:szCs w:val="26"/>
        </w:rPr>
        <w:t xml:space="preserve">plaintiff </w:t>
      </w:r>
      <w:r w:rsidR="00A1625D" w:rsidRPr="00AC2B1F">
        <w:rPr>
          <w:szCs w:val="26"/>
        </w:rPr>
        <w:t xml:space="preserve">full and equal access </w:t>
      </w:r>
      <w:r w:rsidR="001255A2" w:rsidRPr="00AC2B1F">
        <w:rPr>
          <w:szCs w:val="26"/>
        </w:rPr>
        <w:t xml:space="preserve">to </w:t>
      </w:r>
      <w:r w:rsidR="00A1625D" w:rsidRPr="00AC2B1F">
        <w:rPr>
          <w:szCs w:val="26"/>
        </w:rPr>
        <w:t xml:space="preserve">its services, and then </w:t>
      </w:r>
      <w:r w:rsidR="00160B7B" w:rsidRPr="00AC2B1F">
        <w:rPr>
          <w:szCs w:val="26"/>
        </w:rPr>
        <w:t xml:space="preserve">leaves the website </w:t>
      </w:r>
      <w:r w:rsidR="00A1625D" w:rsidRPr="00AC2B1F">
        <w:rPr>
          <w:szCs w:val="26"/>
        </w:rPr>
        <w:t>without entering into an agreement with the service provider?  (</w:t>
      </w:r>
      <w:r w:rsidR="00EA0016" w:rsidRPr="00AC2B1F">
        <w:rPr>
          <w:szCs w:val="26"/>
        </w:rPr>
        <w:t xml:space="preserve">See </w:t>
      </w:r>
      <w:r w:rsidR="00A1625D" w:rsidRPr="00AC2B1F">
        <w:rPr>
          <w:i/>
          <w:szCs w:val="26"/>
        </w:rPr>
        <w:t>White v. Square, Inc.</w:t>
      </w:r>
      <w:r w:rsidR="00A1625D" w:rsidRPr="00AC2B1F">
        <w:rPr>
          <w:szCs w:val="26"/>
        </w:rPr>
        <w:t> (9th Cir. 2018) 891 F.3d 1174, 1175</w:t>
      </w:r>
      <w:r w:rsidR="00EA0016" w:rsidRPr="00AC2B1F">
        <w:rPr>
          <w:szCs w:val="26"/>
        </w:rPr>
        <w:t xml:space="preserve">; </w:t>
      </w:r>
      <w:r w:rsidR="00EA0016" w:rsidRPr="00AC2B1F">
        <w:t>Cal. Rules of Court, rule 8.548, (a)</w:t>
      </w:r>
      <w:r w:rsidR="006420D3" w:rsidRPr="00AC2B1F">
        <w:t xml:space="preserve"> &amp;</w:t>
      </w:r>
      <w:r w:rsidR="00EA0016" w:rsidRPr="00AC2B1F">
        <w:t xml:space="preserve"> (f)(5)</w:t>
      </w:r>
      <w:r w:rsidR="00822671" w:rsidRPr="00AC2B1F">
        <w:rPr>
          <w:szCs w:val="26"/>
        </w:rPr>
        <w:t>.)</w:t>
      </w:r>
    </w:p>
    <w:p w14:paraId="5AF2BD49" w14:textId="5EAF5877" w:rsidR="00730ACF" w:rsidRPr="00AC2B1F" w:rsidRDefault="00AC2B1F" w:rsidP="00AC2B1F">
      <w:pPr>
        <w:tabs>
          <w:tab w:val="left" w:pos="1440"/>
        </w:tabs>
        <w:ind w:firstLine="720"/>
        <w:rPr>
          <w:szCs w:val="26"/>
        </w:rPr>
      </w:pPr>
      <w:r>
        <w:rPr>
          <w:szCs w:val="26"/>
        </w:rPr>
        <w:t>The</w:t>
      </w:r>
      <w:r w:rsidR="005954C5" w:rsidRPr="00AC2B1F">
        <w:rPr>
          <w:szCs w:val="26"/>
        </w:rPr>
        <w:t xml:space="preserve"> answer is yes. </w:t>
      </w:r>
      <w:r w:rsidR="004F6B9C" w:rsidRPr="00AC2B1F">
        <w:rPr>
          <w:szCs w:val="26"/>
        </w:rPr>
        <w:t xml:space="preserve"> </w:t>
      </w:r>
      <w:r w:rsidR="005954C5" w:rsidRPr="00AC2B1F">
        <w:rPr>
          <w:szCs w:val="26"/>
        </w:rPr>
        <w:t>W</w:t>
      </w:r>
      <w:r w:rsidR="004F6B9C" w:rsidRPr="00AC2B1F">
        <w:rPr>
          <w:szCs w:val="26"/>
        </w:rPr>
        <w:t xml:space="preserve">hen a plaintiff </w:t>
      </w:r>
      <w:r w:rsidR="00EA0016" w:rsidRPr="00AC2B1F">
        <w:rPr>
          <w:szCs w:val="26"/>
        </w:rPr>
        <w:t>has</w:t>
      </w:r>
      <w:r w:rsidR="004F6B9C" w:rsidRPr="00AC2B1F">
        <w:rPr>
          <w:szCs w:val="26"/>
        </w:rPr>
        <w:t xml:space="preserve"> visited a business’s website with intent to use its services</w:t>
      </w:r>
      <w:r w:rsidR="00AF6851" w:rsidRPr="00AC2B1F">
        <w:rPr>
          <w:szCs w:val="26"/>
        </w:rPr>
        <w:t xml:space="preserve"> and</w:t>
      </w:r>
      <w:r w:rsidR="004F6B9C" w:rsidRPr="00AC2B1F">
        <w:rPr>
          <w:szCs w:val="26"/>
        </w:rPr>
        <w:t xml:space="preserve"> alleges that the business’s terms and conditions </w:t>
      </w:r>
      <w:r w:rsidR="00AF6851" w:rsidRPr="00AC2B1F">
        <w:rPr>
          <w:szCs w:val="26"/>
        </w:rPr>
        <w:t>exclude</w:t>
      </w:r>
      <w:r w:rsidR="004F6B9C" w:rsidRPr="00AC2B1F">
        <w:rPr>
          <w:szCs w:val="26"/>
        </w:rPr>
        <w:t xml:space="preserve"> </w:t>
      </w:r>
      <w:r w:rsidR="00EA0016" w:rsidRPr="00AC2B1F">
        <w:rPr>
          <w:szCs w:val="26"/>
        </w:rPr>
        <w:t xml:space="preserve">him or her </w:t>
      </w:r>
      <w:r w:rsidR="00AF6851" w:rsidRPr="00AC2B1F">
        <w:rPr>
          <w:szCs w:val="26"/>
        </w:rPr>
        <w:t xml:space="preserve">from </w:t>
      </w:r>
      <w:r w:rsidR="004F6B9C" w:rsidRPr="00AC2B1F">
        <w:rPr>
          <w:szCs w:val="26"/>
        </w:rPr>
        <w:t>full and equal</w:t>
      </w:r>
      <w:r w:rsidR="007133BD" w:rsidRPr="00AC2B1F">
        <w:rPr>
          <w:szCs w:val="26"/>
        </w:rPr>
        <w:t xml:space="preserve"> access</w:t>
      </w:r>
      <w:r w:rsidR="004F6B9C" w:rsidRPr="00AC2B1F">
        <w:rPr>
          <w:szCs w:val="26"/>
        </w:rPr>
        <w:t xml:space="preserve"> to i</w:t>
      </w:r>
      <w:r w:rsidR="0025009F" w:rsidRPr="00AC2B1F">
        <w:rPr>
          <w:szCs w:val="26"/>
        </w:rPr>
        <w:t>ts</w:t>
      </w:r>
      <w:r w:rsidR="004F6B9C" w:rsidRPr="00AC2B1F">
        <w:rPr>
          <w:szCs w:val="26"/>
        </w:rPr>
        <w:t xml:space="preserve"> services, the plaintiff need not enter </w:t>
      </w:r>
      <w:r w:rsidR="00001883" w:rsidRPr="00AC2B1F">
        <w:rPr>
          <w:szCs w:val="26"/>
        </w:rPr>
        <w:t xml:space="preserve">into </w:t>
      </w:r>
      <w:r w:rsidR="004F6B9C" w:rsidRPr="00AC2B1F">
        <w:rPr>
          <w:szCs w:val="26"/>
        </w:rPr>
        <w:t xml:space="preserve">an agreement with the </w:t>
      </w:r>
      <w:r w:rsidR="003A509C" w:rsidRPr="00AC2B1F">
        <w:rPr>
          <w:szCs w:val="26"/>
        </w:rPr>
        <w:t>business</w:t>
      </w:r>
      <w:r w:rsidR="004F6B9C" w:rsidRPr="00AC2B1F">
        <w:rPr>
          <w:szCs w:val="26"/>
        </w:rPr>
        <w:t xml:space="preserve"> to establish standing under the Unruh </w:t>
      </w:r>
      <w:r w:rsidR="006A38A8">
        <w:rPr>
          <w:szCs w:val="26"/>
        </w:rPr>
        <w:t xml:space="preserve">Civil Rights </w:t>
      </w:r>
      <w:r w:rsidR="004F6B9C" w:rsidRPr="00AC2B1F">
        <w:rPr>
          <w:szCs w:val="26"/>
        </w:rPr>
        <w:t>Act.</w:t>
      </w:r>
      <w:r w:rsidR="00404965" w:rsidRPr="00AC2B1F">
        <w:rPr>
          <w:szCs w:val="26"/>
        </w:rPr>
        <w:t xml:space="preserve">  </w:t>
      </w:r>
      <w:r w:rsidR="007133BD" w:rsidRPr="00AC2B1F">
        <w:rPr>
          <w:szCs w:val="26"/>
        </w:rPr>
        <w:t xml:space="preserve">In general, </w:t>
      </w:r>
      <w:r w:rsidR="00EA0016" w:rsidRPr="00AC2B1F">
        <w:rPr>
          <w:szCs w:val="26"/>
        </w:rPr>
        <w:t xml:space="preserve">a person </w:t>
      </w:r>
      <w:r w:rsidR="00E3776B" w:rsidRPr="00AC2B1F">
        <w:rPr>
          <w:szCs w:val="26"/>
        </w:rPr>
        <w:t>suffer</w:t>
      </w:r>
      <w:r w:rsidR="00EA0016" w:rsidRPr="00AC2B1F">
        <w:rPr>
          <w:szCs w:val="26"/>
        </w:rPr>
        <w:t>s</w:t>
      </w:r>
      <w:r w:rsidR="005954C5" w:rsidRPr="00AC2B1F">
        <w:rPr>
          <w:szCs w:val="26"/>
        </w:rPr>
        <w:t xml:space="preserve"> discrimination under </w:t>
      </w:r>
      <w:r w:rsidR="00D22F68" w:rsidRPr="00AC2B1F">
        <w:rPr>
          <w:szCs w:val="26"/>
        </w:rPr>
        <w:t>the Act</w:t>
      </w:r>
      <w:r w:rsidR="005954C5" w:rsidRPr="00AC2B1F">
        <w:rPr>
          <w:szCs w:val="26"/>
        </w:rPr>
        <w:t xml:space="preserve"> when </w:t>
      </w:r>
      <w:r w:rsidR="00EA0016" w:rsidRPr="00AC2B1F">
        <w:rPr>
          <w:szCs w:val="26"/>
        </w:rPr>
        <w:t xml:space="preserve">the person </w:t>
      </w:r>
      <w:r w:rsidR="00F82F65" w:rsidRPr="00AC2B1F">
        <w:rPr>
          <w:szCs w:val="26"/>
        </w:rPr>
        <w:t>present</w:t>
      </w:r>
      <w:r w:rsidR="0059248F" w:rsidRPr="00AC2B1F">
        <w:rPr>
          <w:szCs w:val="26"/>
        </w:rPr>
        <w:t>s</w:t>
      </w:r>
      <w:r w:rsidR="00F82F65" w:rsidRPr="00AC2B1F">
        <w:rPr>
          <w:szCs w:val="26"/>
        </w:rPr>
        <w:t xml:space="preserve"> </w:t>
      </w:r>
      <w:r w:rsidR="00EA0016" w:rsidRPr="00AC2B1F">
        <w:rPr>
          <w:szCs w:val="26"/>
        </w:rPr>
        <w:t xml:space="preserve">himself or herself </w:t>
      </w:r>
      <w:r w:rsidR="00F82F65" w:rsidRPr="00AC2B1F">
        <w:rPr>
          <w:szCs w:val="26"/>
        </w:rPr>
        <w:t xml:space="preserve">to </w:t>
      </w:r>
      <w:r w:rsidR="007133BD" w:rsidRPr="00AC2B1F">
        <w:rPr>
          <w:szCs w:val="26"/>
        </w:rPr>
        <w:t>a</w:t>
      </w:r>
      <w:r w:rsidR="00F82F65" w:rsidRPr="00AC2B1F">
        <w:rPr>
          <w:szCs w:val="26"/>
        </w:rPr>
        <w:t xml:space="preserve"> business </w:t>
      </w:r>
      <w:r w:rsidR="00284DA6" w:rsidRPr="00AC2B1F">
        <w:rPr>
          <w:szCs w:val="26"/>
        </w:rPr>
        <w:t>with</w:t>
      </w:r>
      <w:r w:rsidR="00AF54EC" w:rsidRPr="00AC2B1F">
        <w:rPr>
          <w:szCs w:val="26"/>
        </w:rPr>
        <w:t xml:space="preserve"> an i</w:t>
      </w:r>
      <w:r w:rsidR="00F82F65" w:rsidRPr="00AC2B1F">
        <w:rPr>
          <w:szCs w:val="26"/>
        </w:rPr>
        <w:t>ntent to use it</w:t>
      </w:r>
      <w:r w:rsidR="00E36DC2" w:rsidRPr="00AC2B1F">
        <w:rPr>
          <w:szCs w:val="26"/>
        </w:rPr>
        <w:t>s</w:t>
      </w:r>
      <w:r w:rsidR="00F82F65" w:rsidRPr="00AC2B1F">
        <w:rPr>
          <w:szCs w:val="26"/>
        </w:rPr>
        <w:t xml:space="preserve"> services</w:t>
      </w:r>
      <w:r w:rsidR="005954C5" w:rsidRPr="00AC2B1F">
        <w:rPr>
          <w:szCs w:val="26"/>
        </w:rPr>
        <w:t xml:space="preserve"> </w:t>
      </w:r>
      <w:r w:rsidR="00E36DC2" w:rsidRPr="00AC2B1F">
        <w:rPr>
          <w:szCs w:val="26"/>
        </w:rPr>
        <w:t xml:space="preserve">but </w:t>
      </w:r>
      <w:r w:rsidR="005954C5" w:rsidRPr="00AC2B1F">
        <w:rPr>
          <w:szCs w:val="26"/>
        </w:rPr>
        <w:t>encounter</w:t>
      </w:r>
      <w:r w:rsidR="00EA0016" w:rsidRPr="00AC2B1F">
        <w:rPr>
          <w:szCs w:val="26"/>
        </w:rPr>
        <w:t>s</w:t>
      </w:r>
      <w:r w:rsidR="005954C5" w:rsidRPr="00AC2B1F">
        <w:rPr>
          <w:szCs w:val="26"/>
        </w:rPr>
        <w:t xml:space="preserve"> </w:t>
      </w:r>
      <w:r w:rsidR="00EA0016" w:rsidRPr="00AC2B1F">
        <w:rPr>
          <w:szCs w:val="26"/>
        </w:rPr>
        <w:t xml:space="preserve">an </w:t>
      </w:r>
      <w:r w:rsidR="005954C5" w:rsidRPr="00AC2B1F">
        <w:rPr>
          <w:szCs w:val="26"/>
        </w:rPr>
        <w:t xml:space="preserve">exclusionary </w:t>
      </w:r>
      <w:r w:rsidR="00EA0016" w:rsidRPr="00AC2B1F">
        <w:rPr>
          <w:szCs w:val="26"/>
        </w:rPr>
        <w:t xml:space="preserve">policy or </w:t>
      </w:r>
      <w:r w:rsidR="00E3776B" w:rsidRPr="00AC2B1F">
        <w:rPr>
          <w:szCs w:val="26"/>
        </w:rPr>
        <w:t>practice that prevent</w:t>
      </w:r>
      <w:r w:rsidR="00EA0016" w:rsidRPr="00AC2B1F">
        <w:rPr>
          <w:szCs w:val="26"/>
        </w:rPr>
        <w:t>s</w:t>
      </w:r>
      <w:r w:rsidR="00E3776B" w:rsidRPr="00AC2B1F">
        <w:rPr>
          <w:szCs w:val="26"/>
        </w:rPr>
        <w:t xml:space="preserve"> </w:t>
      </w:r>
      <w:r w:rsidR="00EA0016" w:rsidRPr="00AC2B1F">
        <w:rPr>
          <w:szCs w:val="26"/>
        </w:rPr>
        <w:t xml:space="preserve">him or her </w:t>
      </w:r>
      <w:r w:rsidR="00E3776B" w:rsidRPr="00AC2B1F">
        <w:rPr>
          <w:szCs w:val="26"/>
        </w:rPr>
        <w:t xml:space="preserve">from </w:t>
      </w:r>
      <w:r w:rsidR="00D0527C" w:rsidRPr="00AC2B1F">
        <w:rPr>
          <w:szCs w:val="26"/>
        </w:rPr>
        <w:t xml:space="preserve">using those services.  </w:t>
      </w:r>
      <w:r>
        <w:rPr>
          <w:szCs w:val="26"/>
        </w:rPr>
        <w:t>We conclude that</w:t>
      </w:r>
      <w:r w:rsidR="005D4437">
        <w:rPr>
          <w:szCs w:val="26"/>
        </w:rPr>
        <w:t xml:space="preserve"> </w:t>
      </w:r>
      <w:r w:rsidR="001255A2" w:rsidRPr="00AC2B1F">
        <w:rPr>
          <w:szCs w:val="26"/>
        </w:rPr>
        <w:t xml:space="preserve">this rule </w:t>
      </w:r>
      <w:r>
        <w:rPr>
          <w:szCs w:val="26"/>
        </w:rPr>
        <w:t xml:space="preserve">applies </w:t>
      </w:r>
      <w:r w:rsidR="001255A2" w:rsidRPr="00AC2B1F">
        <w:rPr>
          <w:szCs w:val="26"/>
        </w:rPr>
        <w:t xml:space="preserve">to online businesses and </w:t>
      </w:r>
      <w:r w:rsidR="0059248F" w:rsidRPr="00AC2B1F">
        <w:rPr>
          <w:szCs w:val="26"/>
        </w:rPr>
        <w:t>that visiting a website with intent to use its services</w:t>
      </w:r>
      <w:r w:rsidR="00F72296" w:rsidRPr="00AC2B1F">
        <w:rPr>
          <w:szCs w:val="26"/>
        </w:rPr>
        <w:t xml:space="preserve"> </w:t>
      </w:r>
      <w:r w:rsidR="0059248F" w:rsidRPr="00AC2B1F">
        <w:rPr>
          <w:szCs w:val="26"/>
        </w:rPr>
        <w:t>is, for purposes</w:t>
      </w:r>
      <w:r w:rsidR="001255A2" w:rsidRPr="00AC2B1F">
        <w:rPr>
          <w:szCs w:val="26"/>
        </w:rPr>
        <w:t xml:space="preserve"> of standing</w:t>
      </w:r>
      <w:r w:rsidR="0059248F" w:rsidRPr="00AC2B1F">
        <w:rPr>
          <w:szCs w:val="26"/>
        </w:rPr>
        <w:t>, equivalent to presenting oneself for services at a brick-and-mortar store</w:t>
      </w:r>
      <w:r w:rsidR="001255A2" w:rsidRPr="00AC2B1F">
        <w:rPr>
          <w:szCs w:val="26"/>
        </w:rPr>
        <w:t>.  Although m</w:t>
      </w:r>
      <w:r w:rsidR="00EA0016" w:rsidRPr="00AC2B1F">
        <w:rPr>
          <w:szCs w:val="26"/>
        </w:rPr>
        <w:t xml:space="preserve">ere </w:t>
      </w:r>
      <w:r w:rsidR="00730ACF" w:rsidRPr="00AC2B1F">
        <w:rPr>
          <w:szCs w:val="26"/>
        </w:rPr>
        <w:t>awareness</w:t>
      </w:r>
      <w:r w:rsidR="00EA0016" w:rsidRPr="00AC2B1F">
        <w:rPr>
          <w:szCs w:val="26"/>
        </w:rPr>
        <w:t xml:space="preserve"> of a business’s discriminatory</w:t>
      </w:r>
      <w:r w:rsidR="0059248F" w:rsidRPr="00AC2B1F">
        <w:rPr>
          <w:szCs w:val="26"/>
        </w:rPr>
        <w:t xml:space="preserve"> policy </w:t>
      </w:r>
      <w:r w:rsidR="0059248F" w:rsidRPr="00AC2B1F">
        <w:rPr>
          <w:szCs w:val="26"/>
        </w:rPr>
        <w:lastRenderedPageBreak/>
        <w:t>or</w:t>
      </w:r>
      <w:r w:rsidR="00EA0016" w:rsidRPr="00AC2B1F">
        <w:rPr>
          <w:szCs w:val="26"/>
        </w:rPr>
        <w:t xml:space="preserve"> practice is not enough</w:t>
      </w:r>
      <w:r w:rsidR="00EB07D8" w:rsidRPr="00AC2B1F">
        <w:rPr>
          <w:szCs w:val="26"/>
        </w:rPr>
        <w:t xml:space="preserve"> for standing</w:t>
      </w:r>
      <w:r w:rsidR="006A38A8">
        <w:rPr>
          <w:szCs w:val="26"/>
        </w:rPr>
        <w:t xml:space="preserve"> under the Act</w:t>
      </w:r>
      <w:r w:rsidR="001255A2" w:rsidRPr="00AC2B1F">
        <w:rPr>
          <w:szCs w:val="26"/>
        </w:rPr>
        <w:t>, entering into an agreement with the business is not required</w:t>
      </w:r>
      <w:r w:rsidR="00EB07D8" w:rsidRPr="00AC2B1F">
        <w:rPr>
          <w:szCs w:val="26"/>
        </w:rPr>
        <w:t>.</w:t>
      </w:r>
      <w:r>
        <w:rPr>
          <w:szCs w:val="26"/>
        </w:rPr>
        <w:t xml:space="preserve">  We express no view </w:t>
      </w:r>
      <w:r w:rsidR="000346C2">
        <w:rPr>
          <w:szCs w:val="26"/>
        </w:rPr>
        <w:t xml:space="preserve">on </w:t>
      </w:r>
      <w:r>
        <w:rPr>
          <w:szCs w:val="26"/>
        </w:rPr>
        <w:t>White’s occupational discrimination claims.</w:t>
      </w:r>
    </w:p>
    <w:p w14:paraId="1ED13FF4" w14:textId="7E7A11ED" w:rsidR="00730ACF" w:rsidRPr="00AC2B1F" w:rsidRDefault="00730ACF" w:rsidP="00EB7533">
      <w:pPr>
        <w:jc w:val="center"/>
        <w:rPr>
          <w:b/>
        </w:rPr>
      </w:pPr>
      <w:r w:rsidRPr="00AC2B1F">
        <w:rPr>
          <w:b/>
        </w:rPr>
        <w:t>I.</w:t>
      </w:r>
    </w:p>
    <w:p w14:paraId="6AC65502" w14:textId="78C198F7" w:rsidR="005954C5" w:rsidRPr="00AC2B1F" w:rsidRDefault="0059625E" w:rsidP="00AC2B1F">
      <w:pPr>
        <w:tabs>
          <w:tab w:val="left" w:pos="1440"/>
        </w:tabs>
        <w:ind w:firstLine="720"/>
        <w:rPr>
          <w:szCs w:val="26"/>
        </w:rPr>
      </w:pPr>
      <w:r w:rsidRPr="00AC2B1F">
        <w:t>Bankruptcy attorney Robert White sued Square, Inc.</w:t>
      </w:r>
      <w:r w:rsidR="00882742">
        <w:t xml:space="preserve"> (Square)</w:t>
      </w:r>
      <w:r w:rsidRPr="00AC2B1F">
        <w:t xml:space="preserve"> in October 2015, alleging that Square’s seller agreement discriminated against bankruptcy attorney</w:t>
      </w:r>
      <w:r w:rsidR="00D469C4" w:rsidRPr="00AC2B1F">
        <w:t>s</w:t>
      </w:r>
      <w:r w:rsidRPr="00AC2B1F">
        <w:t xml:space="preserve"> in violation of the Unruh </w:t>
      </w:r>
      <w:r w:rsidR="00882742">
        <w:t xml:space="preserve">Civil Rights </w:t>
      </w:r>
      <w:r w:rsidRPr="00AC2B1F">
        <w:t>Act</w:t>
      </w:r>
      <w:r w:rsidR="000346C2">
        <w:t xml:space="preserve">.  </w:t>
      </w:r>
      <w:r w:rsidRPr="00AC2B1F">
        <w:t>Square offers an internet service that allows individuals and merchants to “</w:t>
      </w:r>
      <w:r w:rsidR="00593B8A">
        <w:t> </w:t>
      </w:r>
      <w:r w:rsidR="00882742">
        <w:t>‘</w:t>
      </w:r>
      <w:r w:rsidR="00446E8E" w:rsidRPr="00AC2B1F">
        <w:t>accept electronic payments without themselves directly opening up a merchant account with any Visa or MasterCard member bank.</w:t>
      </w:r>
      <w:r w:rsidR="00882742">
        <w:t>’</w:t>
      </w:r>
      <w:r w:rsidR="00593B8A">
        <w:t> </w:t>
      </w:r>
      <w:r w:rsidR="00446E8E" w:rsidRPr="00AC2B1F">
        <w:t>”</w:t>
      </w:r>
      <w:r w:rsidR="00574AC2" w:rsidRPr="00AC2B1F">
        <w:t xml:space="preserve">  </w:t>
      </w:r>
      <w:r w:rsidR="00117BE6" w:rsidRPr="00AC2B1F">
        <w:t>(</w:t>
      </w:r>
      <w:r w:rsidR="00117BE6" w:rsidRPr="00AC2B1F">
        <w:rPr>
          <w:i/>
        </w:rPr>
        <w:t>White v. Square</w:t>
      </w:r>
      <w:r w:rsidR="00117BE6" w:rsidRPr="00736F5B">
        <w:t>,</w:t>
      </w:r>
      <w:r w:rsidR="00117BE6" w:rsidRPr="00AC2B1F">
        <w:rPr>
          <w:i/>
        </w:rPr>
        <w:t xml:space="preserve"> Inc.</w:t>
      </w:r>
      <w:r w:rsidR="00882742" w:rsidRPr="00736F5B">
        <w:t xml:space="preserve">, </w:t>
      </w:r>
      <w:r w:rsidR="00882742">
        <w:rPr>
          <w:i/>
        </w:rPr>
        <w:t>supra</w:t>
      </w:r>
      <w:r w:rsidR="00882742" w:rsidRPr="00736F5B">
        <w:t>,</w:t>
      </w:r>
      <w:r w:rsidR="00117BE6" w:rsidRPr="00593B8A">
        <w:t> </w:t>
      </w:r>
      <w:r w:rsidR="00117BE6" w:rsidRPr="00AC2B1F">
        <w:t xml:space="preserve">891 F.3d </w:t>
      </w:r>
      <w:r w:rsidR="00882742">
        <w:t>at p.</w:t>
      </w:r>
      <w:r w:rsidR="00593B8A">
        <w:t> </w:t>
      </w:r>
      <w:r w:rsidR="00117BE6" w:rsidRPr="00AC2B1F">
        <w:t xml:space="preserve">1175.) </w:t>
      </w:r>
      <w:r w:rsidR="00EB07D8" w:rsidRPr="00AC2B1F">
        <w:t xml:space="preserve"> </w:t>
      </w:r>
      <w:r w:rsidR="00446E8E" w:rsidRPr="00AC2B1F">
        <w:t>Square does not charge its users any fee</w:t>
      </w:r>
      <w:r w:rsidR="007812F7" w:rsidRPr="00AC2B1F">
        <w:t xml:space="preserve"> to register for its service</w:t>
      </w:r>
      <w:r w:rsidR="00882742">
        <w:t>s</w:t>
      </w:r>
      <w:r w:rsidR="00574AC2" w:rsidRPr="00AC2B1F">
        <w:t>;</w:t>
      </w:r>
      <w:r w:rsidR="00446E8E" w:rsidRPr="00AC2B1F">
        <w:t xml:space="preserve"> instead</w:t>
      </w:r>
      <w:r w:rsidR="00574AC2" w:rsidRPr="00AC2B1F">
        <w:t xml:space="preserve">, </w:t>
      </w:r>
      <w:r w:rsidR="007812F7" w:rsidRPr="00AC2B1F">
        <w:t xml:space="preserve">after a user has registered, Square </w:t>
      </w:r>
      <w:r w:rsidR="00446E8E" w:rsidRPr="00AC2B1F">
        <w:t xml:space="preserve">collects a percentage of every transaction as well as a flat fee </w:t>
      </w:r>
      <w:r w:rsidR="00574AC2" w:rsidRPr="00AC2B1F">
        <w:t xml:space="preserve">for </w:t>
      </w:r>
      <w:r w:rsidR="00446E8E" w:rsidRPr="00AC2B1F">
        <w:t>each transaction.  Square’s terms of service state that when a user creates an account</w:t>
      </w:r>
      <w:r w:rsidR="00574AC2" w:rsidRPr="00AC2B1F">
        <w:t>, the user</w:t>
      </w:r>
      <w:r w:rsidR="00446E8E" w:rsidRPr="00AC2B1F">
        <w:t xml:space="preserve"> must “</w:t>
      </w:r>
      <w:r w:rsidR="00574AC2" w:rsidRPr="00AC2B1F">
        <w:t> ‘</w:t>
      </w:r>
      <w:r w:rsidR="00446E8E" w:rsidRPr="00AC2B1F">
        <w:t xml:space="preserve">confirm that you will not accept payments in connection with the following businesses or business activities: </w:t>
      </w:r>
      <w:r w:rsidR="0016341B" w:rsidRPr="00AC2B1F">
        <w:t xml:space="preserve">. . . </w:t>
      </w:r>
      <w:r w:rsidR="00446E8E" w:rsidRPr="00AC2B1F">
        <w:t xml:space="preserve">(28) </w:t>
      </w:r>
      <w:bookmarkStart w:id="2" w:name="_Hlk3386280"/>
      <w:r w:rsidR="00446E8E" w:rsidRPr="00AC2B1F">
        <w:t>bankruptcy attorneys or collection agencies engaged in the collection of debt</w:t>
      </w:r>
      <w:bookmarkEnd w:id="2"/>
      <w:r w:rsidR="00446E8E" w:rsidRPr="00AC2B1F">
        <w:t>.</w:t>
      </w:r>
      <w:r w:rsidR="00574AC2" w:rsidRPr="00AC2B1F">
        <w:t>’ </w:t>
      </w:r>
      <w:r w:rsidR="00446E8E" w:rsidRPr="00AC2B1F">
        <w:t>”</w:t>
      </w:r>
      <w:r w:rsidR="00001883" w:rsidRPr="00AC2B1F">
        <w:t xml:space="preserve"> </w:t>
      </w:r>
      <w:r w:rsidR="009E3E61" w:rsidRPr="00AC2B1F">
        <w:t xml:space="preserve"> </w:t>
      </w:r>
      <w:r w:rsidR="005E1465" w:rsidRPr="00AC2B1F">
        <w:t>(</w:t>
      </w:r>
      <w:r w:rsidR="00882742">
        <w:rPr>
          <w:i/>
        </w:rPr>
        <w:t>Ibid</w:t>
      </w:r>
      <w:r w:rsidR="005E1465" w:rsidRPr="00AC2B1F">
        <w:t>.)</w:t>
      </w:r>
    </w:p>
    <w:p w14:paraId="55B824DD" w14:textId="40697192" w:rsidR="00B61DAB" w:rsidRPr="00AC2B1F" w:rsidRDefault="00446E8E" w:rsidP="00AC2B1F">
      <w:pPr>
        <w:tabs>
          <w:tab w:val="left" w:pos="1440"/>
        </w:tabs>
        <w:ind w:firstLine="720"/>
        <w:rPr>
          <w:szCs w:val="26"/>
        </w:rPr>
      </w:pPr>
      <w:r w:rsidRPr="00AC2B1F">
        <w:rPr>
          <w:szCs w:val="26"/>
        </w:rPr>
        <w:t xml:space="preserve">White’s second amended complaint </w:t>
      </w:r>
      <w:r w:rsidR="00574AC2" w:rsidRPr="00AC2B1F">
        <w:rPr>
          <w:szCs w:val="26"/>
        </w:rPr>
        <w:t xml:space="preserve">alleges </w:t>
      </w:r>
      <w:r w:rsidRPr="00AC2B1F">
        <w:rPr>
          <w:szCs w:val="26"/>
        </w:rPr>
        <w:t>that he “formed the strong, definite and specific intent” to sign</w:t>
      </w:r>
      <w:r w:rsidR="00932F2D" w:rsidRPr="00AC2B1F">
        <w:rPr>
          <w:szCs w:val="26"/>
        </w:rPr>
        <w:t xml:space="preserve"> </w:t>
      </w:r>
      <w:r w:rsidRPr="00AC2B1F">
        <w:rPr>
          <w:szCs w:val="26"/>
        </w:rPr>
        <w:t xml:space="preserve">up for and use Square’s services.  </w:t>
      </w:r>
      <w:r w:rsidR="00E332F4">
        <w:rPr>
          <w:szCs w:val="26"/>
        </w:rPr>
        <w:t xml:space="preserve">White familiarized himself with Square’s seller agreement by reviewing a separate lawsuit filed against Square by a bankruptcy law firm called shierkatz RLLP.  He then </w:t>
      </w:r>
      <w:r w:rsidR="00B61DAB" w:rsidRPr="00AC2B1F">
        <w:rPr>
          <w:szCs w:val="26"/>
        </w:rPr>
        <w:t>visited Square’s website on multiple occasions</w:t>
      </w:r>
      <w:r w:rsidR="00DE75DB" w:rsidRPr="00AC2B1F">
        <w:rPr>
          <w:szCs w:val="26"/>
        </w:rPr>
        <w:t xml:space="preserve"> and </w:t>
      </w:r>
      <w:r w:rsidR="000346C2" w:rsidRPr="00AC2B1F">
        <w:rPr>
          <w:szCs w:val="26"/>
        </w:rPr>
        <w:t xml:space="preserve">carefully </w:t>
      </w:r>
      <w:r w:rsidR="00DE75DB" w:rsidRPr="00AC2B1F">
        <w:rPr>
          <w:szCs w:val="26"/>
        </w:rPr>
        <w:t>reviewed its terms of service</w:t>
      </w:r>
      <w:r w:rsidR="00B61DAB" w:rsidRPr="00AC2B1F">
        <w:rPr>
          <w:szCs w:val="26"/>
        </w:rPr>
        <w:t>.  He proceed</w:t>
      </w:r>
      <w:r w:rsidR="00DE75DB" w:rsidRPr="00AC2B1F">
        <w:rPr>
          <w:szCs w:val="26"/>
        </w:rPr>
        <w:t>ed</w:t>
      </w:r>
      <w:r w:rsidR="00B61DAB" w:rsidRPr="00AC2B1F">
        <w:rPr>
          <w:szCs w:val="26"/>
        </w:rPr>
        <w:t xml:space="preserve"> to the page of Square’s website that allows a user to register for its services</w:t>
      </w:r>
      <w:r w:rsidR="002C72A2">
        <w:rPr>
          <w:szCs w:val="26"/>
        </w:rPr>
        <w:t>,</w:t>
      </w:r>
      <w:r w:rsidR="00B61DAB" w:rsidRPr="00AC2B1F">
        <w:rPr>
          <w:szCs w:val="26"/>
        </w:rPr>
        <w:t xml:space="preserve"> but </w:t>
      </w:r>
      <w:r w:rsidR="002C72A2">
        <w:rPr>
          <w:szCs w:val="26"/>
        </w:rPr>
        <w:t xml:space="preserve">he </w:t>
      </w:r>
      <w:r w:rsidR="00B61DAB" w:rsidRPr="00AC2B1F">
        <w:rPr>
          <w:szCs w:val="26"/>
        </w:rPr>
        <w:t xml:space="preserve">declined to click the button labeled “Continue.”  Because White intended to use Square’s services for his bankruptcy </w:t>
      </w:r>
      <w:r w:rsidR="00B61DAB" w:rsidRPr="00AC2B1F">
        <w:rPr>
          <w:szCs w:val="26"/>
        </w:rPr>
        <w:lastRenderedPageBreak/>
        <w:t xml:space="preserve">practice, he believed he could not sign the agreement without committing fraud.  </w:t>
      </w:r>
      <w:r w:rsidR="00A013B5">
        <w:rPr>
          <w:szCs w:val="26"/>
        </w:rPr>
        <w:t xml:space="preserve">In support of </w:t>
      </w:r>
      <w:r w:rsidR="00E332F4">
        <w:rPr>
          <w:szCs w:val="26"/>
        </w:rPr>
        <w:t>t</w:t>
      </w:r>
      <w:r w:rsidR="00A013B5">
        <w:rPr>
          <w:szCs w:val="26"/>
        </w:rPr>
        <w:t>his belief</w:t>
      </w:r>
      <w:r w:rsidR="000346C2">
        <w:rPr>
          <w:szCs w:val="26"/>
        </w:rPr>
        <w:t>,</w:t>
      </w:r>
      <w:r w:rsidR="00A013B5">
        <w:rPr>
          <w:szCs w:val="26"/>
        </w:rPr>
        <w:t xml:space="preserve"> White cites a letter from</w:t>
      </w:r>
      <w:r w:rsidR="00236FAF" w:rsidRPr="00AC2B1F">
        <w:rPr>
          <w:szCs w:val="26"/>
        </w:rPr>
        <w:t xml:space="preserve"> Square’s</w:t>
      </w:r>
      <w:r w:rsidR="00B61DAB" w:rsidRPr="00AC2B1F">
        <w:rPr>
          <w:szCs w:val="26"/>
        </w:rPr>
        <w:t xml:space="preserve"> counsel </w:t>
      </w:r>
      <w:r w:rsidR="00A013B5">
        <w:rPr>
          <w:szCs w:val="26"/>
        </w:rPr>
        <w:t>to</w:t>
      </w:r>
      <w:r w:rsidR="000346C2">
        <w:rPr>
          <w:szCs w:val="26"/>
        </w:rPr>
        <w:t xml:space="preserve"> </w:t>
      </w:r>
      <w:r w:rsidR="00A013B5">
        <w:rPr>
          <w:szCs w:val="26"/>
        </w:rPr>
        <w:t xml:space="preserve">shierkatz RLLP </w:t>
      </w:r>
      <w:r w:rsidR="000346C2">
        <w:rPr>
          <w:szCs w:val="26"/>
        </w:rPr>
        <w:t>in which</w:t>
      </w:r>
      <w:r w:rsidR="00A013B5">
        <w:rPr>
          <w:szCs w:val="26"/>
        </w:rPr>
        <w:t xml:space="preserve"> Squar</w:t>
      </w:r>
      <w:r w:rsidR="000346C2">
        <w:rPr>
          <w:szCs w:val="26"/>
        </w:rPr>
        <w:t>e stated that “ ‘signing up for Square’s service with the intent to violate the applicable terms of service would be fraudulent.’ ”</w:t>
      </w:r>
      <w:r w:rsidR="00DD653D" w:rsidRPr="00AC2B1F">
        <w:rPr>
          <w:szCs w:val="26"/>
        </w:rPr>
        <w:t xml:space="preserve">  </w:t>
      </w:r>
      <w:r w:rsidR="00AC7178" w:rsidRPr="00AC2B1F">
        <w:rPr>
          <w:szCs w:val="26"/>
        </w:rPr>
        <w:t>(</w:t>
      </w:r>
      <w:r w:rsidR="00AC7178" w:rsidRPr="00AC2B1F">
        <w:rPr>
          <w:i/>
          <w:szCs w:val="26"/>
        </w:rPr>
        <w:t>White</w:t>
      </w:r>
      <w:r w:rsidR="00AC7178" w:rsidRPr="00AC2B1F">
        <w:rPr>
          <w:szCs w:val="26"/>
        </w:rPr>
        <w:t xml:space="preserve">, </w:t>
      </w:r>
      <w:r w:rsidR="00AC7178" w:rsidRPr="00AC2B1F">
        <w:rPr>
          <w:i/>
          <w:szCs w:val="26"/>
        </w:rPr>
        <w:t>supra</w:t>
      </w:r>
      <w:r w:rsidR="00AC7178" w:rsidRPr="00AC2B1F">
        <w:rPr>
          <w:szCs w:val="26"/>
        </w:rPr>
        <w:t>, 891 F.3d at p.</w:t>
      </w:r>
      <w:r w:rsidR="000346C2">
        <w:rPr>
          <w:szCs w:val="26"/>
        </w:rPr>
        <w:t> </w:t>
      </w:r>
      <w:r w:rsidR="00AC7178" w:rsidRPr="00AC2B1F">
        <w:rPr>
          <w:szCs w:val="26"/>
        </w:rPr>
        <w:t>1176</w:t>
      </w:r>
      <w:r w:rsidR="00E332F4">
        <w:rPr>
          <w:szCs w:val="26"/>
        </w:rPr>
        <w:t>, fn. 3</w:t>
      </w:r>
      <w:r w:rsidR="00AC7178" w:rsidRPr="00AC2B1F">
        <w:rPr>
          <w:szCs w:val="26"/>
        </w:rPr>
        <w:t>.)</w:t>
      </w:r>
      <w:r w:rsidR="00665162" w:rsidRPr="00AC2B1F">
        <w:rPr>
          <w:szCs w:val="26"/>
        </w:rPr>
        <w:t xml:space="preserve"> </w:t>
      </w:r>
      <w:bookmarkStart w:id="3" w:name="_Hlk3288640"/>
      <w:r w:rsidR="007237B1" w:rsidRPr="00AC2B1F">
        <w:rPr>
          <w:szCs w:val="26"/>
        </w:rPr>
        <w:t xml:space="preserve"> </w:t>
      </w:r>
      <w:bookmarkEnd w:id="3"/>
    </w:p>
    <w:p w14:paraId="146B04EF" w14:textId="36162934" w:rsidR="009E3BEE" w:rsidRPr="00AC2B1F" w:rsidRDefault="00B61DAB" w:rsidP="00AC2B1F">
      <w:pPr>
        <w:tabs>
          <w:tab w:val="left" w:pos="1440"/>
        </w:tabs>
        <w:ind w:firstLine="720"/>
        <w:rPr>
          <w:szCs w:val="26"/>
        </w:rPr>
      </w:pPr>
      <w:r w:rsidRPr="00AC2B1F">
        <w:rPr>
          <w:szCs w:val="26"/>
        </w:rPr>
        <w:t>The</w:t>
      </w:r>
      <w:r w:rsidR="004D0410" w:rsidRPr="00AC2B1F">
        <w:rPr>
          <w:szCs w:val="26"/>
        </w:rPr>
        <w:t xml:space="preserve"> district court dismissed </w:t>
      </w:r>
      <w:proofErr w:type="gramStart"/>
      <w:r w:rsidR="004D0410" w:rsidRPr="00AC2B1F">
        <w:rPr>
          <w:szCs w:val="26"/>
        </w:rPr>
        <w:t>White’</w:t>
      </w:r>
      <w:r w:rsidRPr="00AC2B1F">
        <w:rPr>
          <w:szCs w:val="26"/>
        </w:rPr>
        <w:t>s</w:t>
      </w:r>
      <w:proofErr w:type="gramEnd"/>
      <w:r w:rsidRPr="00AC2B1F">
        <w:rPr>
          <w:szCs w:val="26"/>
        </w:rPr>
        <w:t xml:space="preserve"> second amended complaint with prejudice on the ground that he lacked standing </w:t>
      </w:r>
      <w:r w:rsidR="007237B1" w:rsidRPr="00AC2B1F">
        <w:rPr>
          <w:szCs w:val="26"/>
        </w:rPr>
        <w:t xml:space="preserve">under the Unruh </w:t>
      </w:r>
      <w:r w:rsidR="00882742">
        <w:rPr>
          <w:szCs w:val="26"/>
        </w:rPr>
        <w:t xml:space="preserve">Civil Rights </w:t>
      </w:r>
      <w:r w:rsidR="007237B1" w:rsidRPr="00AC2B1F">
        <w:rPr>
          <w:szCs w:val="26"/>
        </w:rPr>
        <w:t xml:space="preserve">Act </w:t>
      </w:r>
      <w:r w:rsidRPr="00AC2B1F">
        <w:rPr>
          <w:szCs w:val="26"/>
        </w:rPr>
        <w:t xml:space="preserve">to sue Square.  The district court concluded that White had not attempted to use Square’s services </w:t>
      </w:r>
      <w:r w:rsidR="007237B1" w:rsidRPr="00AC2B1F">
        <w:rPr>
          <w:szCs w:val="26"/>
        </w:rPr>
        <w:t xml:space="preserve">and </w:t>
      </w:r>
      <w:r w:rsidRPr="00AC2B1F">
        <w:rPr>
          <w:szCs w:val="26"/>
        </w:rPr>
        <w:t xml:space="preserve">only had “mere awareness” of its discriminatory terms of service.  White appealed to the </w:t>
      </w:r>
      <w:r w:rsidR="007237B1" w:rsidRPr="00AC2B1F">
        <w:rPr>
          <w:szCs w:val="26"/>
        </w:rPr>
        <w:t>U</w:t>
      </w:r>
      <w:r w:rsidR="00882742">
        <w:rPr>
          <w:szCs w:val="26"/>
        </w:rPr>
        <w:t xml:space="preserve">nited </w:t>
      </w:r>
      <w:r w:rsidR="007237B1" w:rsidRPr="00AC2B1F">
        <w:rPr>
          <w:szCs w:val="26"/>
        </w:rPr>
        <w:t>S</w:t>
      </w:r>
      <w:r w:rsidR="00882742">
        <w:rPr>
          <w:szCs w:val="26"/>
        </w:rPr>
        <w:t xml:space="preserve">tates </w:t>
      </w:r>
      <w:r w:rsidRPr="00AC2B1F">
        <w:rPr>
          <w:szCs w:val="26"/>
        </w:rPr>
        <w:t xml:space="preserve">Court of Appeals for the Ninth Circuit, </w:t>
      </w:r>
      <w:r w:rsidR="007237B1" w:rsidRPr="00AC2B1F">
        <w:rPr>
          <w:szCs w:val="26"/>
        </w:rPr>
        <w:t xml:space="preserve">which </w:t>
      </w:r>
      <w:r w:rsidRPr="00AC2B1F">
        <w:rPr>
          <w:szCs w:val="26"/>
        </w:rPr>
        <w:t xml:space="preserve">then </w:t>
      </w:r>
      <w:r w:rsidR="007237B1" w:rsidRPr="00AC2B1F">
        <w:rPr>
          <w:szCs w:val="26"/>
        </w:rPr>
        <w:t>issued the certification order at issue here.</w:t>
      </w:r>
      <w:r w:rsidR="00AC2B1F" w:rsidRPr="00AC2B1F" w:rsidDel="00AC2B1F">
        <w:rPr>
          <w:rStyle w:val="FootnoteReference"/>
          <w:szCs w:val="26"/>
        </w:rPr>
        <w:t xml:space="preserve"> </w:t>
      </w:r>
      <w:r w:rsidR="007237B1" w:rsidRPr="00AC2B1F">
        <w:rPr>
          <w:szCs w:val="26"/>
          <w:vertAlign w:val="superscript"/>
        </w:rPr>
        <w:t xml:space="preserve"> </w:t>
      </w:r>
      <w:r w:rsidR="007237B1" w:rsidRPr="00AC2B1F">
        <w:rPr>
          <w:szCs w:val="26"/>
        </w:rPr>
        <w:t xml:space="preserve"> </w:t>
      </w:r>
      <w:r w:rsidR="009E3BEE" w:rsidRPr="00AC2B1F">
        <w:rPr>
          <w:szCs w:val="26"/>
        </w:rPr>
        <w:t xml:space="preserve">In </w:t>
      </w:r>
      <w:r w:rsidR="007237B1" w:rsidRPr="00AC2B1F">
        <w:rPr>
          <w:szCs w:val="26"/>
        </w:rPr>
        <w:t xml:space="preserve">the </w:t>
      </w:r>
      <w:r w:rsidR="009E3BEE" w:rsidRPr="00AC2B1F">
        <w:rPr>
          <w:szCs w:val="26"/>
        </w:rPr>
        <w:t xml:space="preserve">order, the Ninth Circuit concluded that White’s allegations “satisfy Article III’s requirements for a concrete and particularized injury” and that he has met </w:t>
      </w:r>
      <w:r w:rsidR="007237B1" w:rsidRPr="00AC2B1F">
        <w:rPr>
          <w:szCs w:val="26"/>
        </w:rPr>
        <w:t xml:space="preserve">federal </w:t>
      </w:r>
      <w:r w:rsidR="009E3BEE" w:rsidRPr="00AC2B1F">
        <w:rPr>
          <w:szCs w:val="26"/>
        </w:rPr>
        <w:t>constitutional standing requirements.  (</w:t>
      </w:r>
      <w:r w:rsidR="009E3BEE" w:rsidRPr="00AC2B1F">
        <w:rPr>
          <w:i/>
          <w:szCs w:val="26"/>
        </w:rPr>
        <w:t>White</w:t>
      </w:r>
      <w:r w:rsidR="009E3BEE" w:rsidRPr="00AC2B1F">
        <w:rPr>
          <w:szCs w:val="26"/>
        </w:rPr>
        <w:t xml:space="preserve">, </w:t>
      </w:r>
      <w:r w:rsidR="009E3BEE" w:rsidRPr="00AC2B1F">
        <w:rPr>
          <w:i/>
          <w:szCs w:val="26"/>
        </w:rPr>
        <w:t>supra</w:t>
      </w:r>
      <w:r w:rsidR="009E3BEE" w:rsidRPr="00AC2B1F">
        <w:rPr>
          <w:szCs w:val="26"/>
        </w:rPr>
        <w:t xml:space="preserve">, 891 F.3d at </w:t>
      </w:r>
      <w:r w:rsidR="00375E55" w:rsidRPr="00AC2B1F">
        <w:rPr>
          <w:szCs w:val="26"/>
        </w:rPr>
        <w:t>p.</w:t>
      </w:r>
      <w:r w:rsidR="007237B1" w:rsidRPr="00AC2B1F">
        <w:rPr>
          <w:szCs w:val="26"/>
        </w:rPr>
        <w:t> </w:t>
      </w:r>
      <w:r w:rsidR="009E3BEE" w:rsidRPr="00AC2B1F">
        <w:rPr>
          <w:szCs w:val="26"/>
        </w:rPr>
        <w:t>1177.)</w:t>
      </w:r>
    </w:p>
    <w:p w14:paraId="1F7F64C3" w14:textId="77777777" w:rsidR="004F6B9C" w:rsidRPr="00AC2B1F" w:rsidRDefault="004F6B9C" w:rsidP="00EB7533">
      <w:pPr>
        <w:tabs>
          <w:tab w:val="left" w:pos="1440"/>
        </w:tabs>
        <w:jc w:val="center"/>
        <w:rPr>
          <w:b/>
          <w:szCs w:val="26"/>
        </w:rPr>
      </w:pPr>
      <w:r w:rsidRPr="00AC2B1F">
        <w:rPr>
          <w:b/>
          <w:szCs w:val="26"/>
        </w:rPr>
        <w:t>II.</w:t>
      </w:r>
    </w:p>
    <w:p w14:paraId="6071F622" w14:textId="5590F796" w:rsidR="0003684B" w:rsidRPr="00AC2B1F" w:rsidRDefault="00414D3B" w:rsidP="00AC2B1F">
      <w:pPr>
        <w:shd w:val="clear" w:color="auto" w:fill="FFFFFF"/>
        <w:ind w:firstLine="720"/>
        <w:rPr>
          <w:szCs w:val="26"/>
        </w:rPr>
      </w:pPr>
      <w:r w:rsidRPr="00AC2B1F">
        <w:rPr>
          <w:color w:val="000000"/>
          <w:szCs w:val="26"/>
        </w:rPr>
        <w:t>Standing rules for statute</w:t>
      </w:r>
      <w:r w:rsidR="006953E5" w:rsidRPr="00AC2B1F">
        <w:rPr>
          <w:color w:val="000000"/>
          <w:szCs w:val="26"/>
        </w:rPr>
        <w:t>s</w:t>
      </w:r>
      <w:r w:rsidRPr="00AC2B1F">
        <w:rPr>
          <w:color w:val="000000"/>
          <w:szCs w:val="26"/>
        </w:rPr>
        <w:t xml:space="preserve"> </w:t>
      </w:r>
      <w:r w:rsidR="008420F0" w:rsidRPr="00AC2B1F">
        <w:rPr>
          <w:color w:val="000000"/>
          <w:szCs w:val="26"/>
        </w:rPr>
        <w:t xml:space="preserve">must be viewed </w:t>
      </w:r>
      <w:proofErr w:type="gramStart"/>
      <w:r w:rsidR="008420F0" w:rsidRPr="00AC2B1F">
        <w:rPr>
          <w:color w:val="000000"/>
          <w:szCs w:val="26"/>
        </w:rPr>
        <w:t>in light of</w:t>
      </w:r>
      <w:proofErr w:type="gramEnd"/>
      <w:r w:rsidR="008420F0" w:rsidRPr="00AC2B1F">
        <w:rPr>
          <w:color w:val="000000"/>
          <w:szCs w:val="26"/>
        </w:rPr>
        <w:t xml:space="preserve"> the</w:t>
      </w:r>
      <w:r w:rsidRPr="00AC2B1F">
        <w:rPr>
          <w:color w:val="000000"/>
          <w:szCs w:val="26"/>
        </w:rPr>
        <w:t xml:space="preserve"> intent of the Legislature and the purpose of the enactment.</w:t>
      </w:r>
      <w:r w:rsidR="0016341B" w:rsidRPr="00AC2B1F">
        <w:rPr>
          <w:color w:val="000000"/>
          <w:szCs w:val="26"/>
        </w:rPr>
        <w:t xml:space="preserve"> </w:t>
      </w:r>
      <w:r w:rsidRPr="00AC2B1F">
        <w:rPr>
          <w:color w:val="000000"/>
          <w:szCs w:val="26"/>
        </w:rPr>
        <w:t xml:space="preserve"> (</w:t>
      </w:r>
      <w:r w:rsidRPr="00AC2B1F">
        <w:rPr>
          <w:i/>
          <w:iCs/>
          <w:color w:val="000000"/>
          <w:szCs w:val="26"/>
        </w:rPr>
        <w:t>Midpeninsula Citizens for Fair Housing v. Westwood Investors</w:t>
      </w:r>
      <w:r w:rsidRPr="00AC2B1F">
        <w:rPr>
          <w:color w:val="000000"/>
          <w:szCs w:val="26"/>
        </w:rPr>
        <w:t xml:space="preserve"> (1990) 221 Cal.App.3d 1377, 1385; </w:t>
      </w:r>
      <w:r w:rsidRPr="00AC2B1F">
        <w:rPr>
          <w:i/>
          <w:iCs/>
          <w:color w:val="000000"/>
          <w:szCs w:val="26"/>
        </w:rPr>
        <w:t>Librers v. Black</w:t>
      </w:r>
      <w:r w:rsidRPr="00AC2B1F">
        <w:rPr>
          <w:color w:val="000000"/>
          <w:szCs w:val="26"/>
        </w:rPr>
        <w:t xml:space="preserve"> (2005) 129 Cal.App.4th 114, 124.)</w:t>
      </w:r>
      <w:r w:rsidR="006953E5" w:rsidRPr="00AC2B1F">
        <w:rPr>
          <w:color w:val="000000"/>
          <w:szCs w:val="26"/>
        </w:rPr>
        <w:t xml:space="preserve">  </w:t>
      </w:r>
      <w:r w:rsidR="00427CAD" w:rsidRPr="00AC2B1F">
        <w:rPr>
          <w:szCs w:val="26"/>
        </w:rPr>
        <w:t xml:space="preserve">The Unruh </w:t>
      </w:r>
      <w:r w:rsidR="00882742">
        <w:rPr>
          <w:szCs w:val="26"/>
        </w:rPr>
        <w:t xml:space="preserve">Civil Rights </w:t>
      </w:r>
      <w:r w:rsidR="00427CAD" w:rsidRPr="00AC2B1F">
        <w:rPr>
          <w:szCs w:val="26"/>
        </w:rPr>
        <w:t xml:space="preserve">Act </w:t>
      </w:r>
      <w:r w:rsidR="00406CA1" w:rsidRPr="00AC2B1F">
        <w:rPr>
          <w:szCs w:val="26"/>
        </w:rPr>
        <w:t>provides</w:t>
      </w:r>
      <w:r w:rsidR="0016341B" w:rsidRPr="00AC2B1F">
        <w:rPr>
          <w:szCs w:val="26"/>
        </w:rPr>
        <w:t>:</w:t>
      </w:r>
      <w:r w:rsidR="00406CA1" w:rsidRPr="00AC2B1F">
        <w:rPr>
          <w:szCs w:val="26"/>
        </w:rPr>
        <w:t xml:space="preserve"> </w:t>
      </w:r>
      <w:r w:rsidR="0016341B" w:rsidRPr="00AC2B1F">
        <w:rPr>
          <w:szCs w:val="26"/>
        </w:rPr>
        <w:t xml:space="preserve"> </w:t>
      </w:r>
      <w:r w:rsidR="00427CAD" w:rsidRPr="00AC2B1F">
        <w:rPr>
          <w:szCs w:val="26"/>
        </w:rPr>
        <w:t>“</w:t>
      </w:r>
      <w:r w:rsidR="0016341B" w:rsidRPr="00AC2B1F">
        <w:rPr>
          <w:szCs w:val="26"/>
        </w:rPr>
        <w:t>A</w:t>
      </w:r>
      <w:r w:rsidR="00427CAD" w:rsidRPr="00AC2B1F">
        <w:rPr>
          <w:szCs w:val="26"/>
        </w:rPr>
        <w:t xml:space="preserve">ll persons within the jurisdiction of this state are free and equal, and no matter what their sex, race, color, religion, ancestry, national origin, disability, medical condition, genetic information, marital status, sexual orientation, citizenship, primary language, or immigration status are entitled to the full and equal accommodations, advantages, facilities, privileges, or </w:t>
      </w:r>
      <w:r w:rsidR="00427CAD" w:rsidRPr="00AC2B1F">
        <w:rPr>
          <w:szCs w:val="26"/>
        </w:rPr>
        <w:lastRenderedPageBreak/>
        <w:t>services in all business establishments of every kind whatsoever.”</w:t>
      </w:r>
      <w:r w:rsidR="0016341B" w:rsidRPr="00AC2B1F">
        <w:rPr>
          <w:szCs w:val="26"/>
        </w:rPr>
        <w:t xml:space="preserve"> </w:t>
      </w:r>
      <w:r w:rsidR="00427CAD" w:rsidRPr="00AC2B1F">
        <w:rPr>
          <w:szCs w:val="26"/>
        </w:rPr>
        <w:t xml:space="preserve"> (</w:t>
      </w:r>
      <w:r w:rsidR="0003684B" w:rsidRPr="00AC2B1F">
        <w:rPr>
          <w:szCs w:val="26"/>
        </w:rPr>
        <w:t xml:space="preserve">Civ. Code, </w:t>
      </w:r>
      <w:r w:rsidR="00427CAD" w:rsidRPr="00AC2B1F">
        <w:rPr>
          <w:szCs w:val="26"/>
        </w:rPr>
        <w:t>§</w:t>
      </w:r>
      <w:r w:rsidR="0016341B" w:rsidRPr="00AC2B1F">
        <w:rPr>
          <w:szCs w:val="26"/>
        </w:rPr>
        <w:t> </w:t>
      </w:r>
      <w:r w:rsidR="00427CAD" w:rsidRPr="00AC2B1F">
        <w:rPr>
          <w:szCs w:val="26"/>
        </w:rPr>
        <w:t>51, subd.</w:t>
      </w:r>
      <w:r w:rsidR="0016341B" w:rsidRPr="00AC2B1F">
        <w:rPr>
          <w:szCs w:val="26"/>
        </w:rPr>
        <w:t> </w:t>
      </w:r>
      <w:r w:rsidR="00427CAD" w:rsidRPr="00AC2B1F">
        <w:rPr>
          <w:szCs w:val="26"/>
        </w:rPr>
        <w:t>(b)</w:t>
      </w:r>
      <w:r w:rsidR="0003684B" w:rsidRPr="00AC2B1F">
        <w:rPr>
          <w:szCs w:val="26"/>
        </w:rPr>
        <w:t>; all undesignated statutory references are to this code</w:t>
      </w:r>
      <w:r w:rsidR="00427CAD" w:rsidRPr="00AC2B1F">
        <w:rPr>
          <w:szCs w:val="26"/>
        </w:rPr>
        <w:t>.)</w:t>
      </w:r>
      <w:r w:rsidR="00406CA1" w:rsidRPr="00AC2B1F">
        <w:rPr>
          <w:szCs w:val="26"/>
        </w:rPr>
        <w:t xml:space="preserve">  </w:t>
      </w:r>
      <w:r w:rsidR="0003684B" w:rsidRPr="00AC2B1F">
        <w:rPr>
          <w:szCs w:val="26"/>
        </w:rPr>
        <w:t>Section 52, subdivision (a) provides:  “Whoever denies, aids or incites a denial, or makes any discrimination or distinction contrary to Section 51 . . . is liable for each and every offense for the actual damages, and any amount that may be determined by a jury, or a court sitting without a jury, up to a maximum of three times the amount of actual damage but in no case less than four thousand dollars ($4,000), and any attorney’s fees that may be determined by the court in addition thereto, suffered by any person denied the rights provided in Section 51 . . . .”  And section 52, subdivision (c)(3) authorizes “any person aggrieved by</w:t>
      </w:r>
      <w:r w:rsidR="00882742">
        <w:rPr>
          <w:szCs w:val="26"/>
        </w:rPr>
        <w:t>”</w:t>
      </w:r>
      <w:r w:rsidR="0003684B" w:rsidRPr="00AC2B1F">
        <w:rPr>
          <w:szCs w:val="26"/>
        </w:rPr>
        <w:t xml:space="preserve"> conduct of resistance to the full enjoyment of any of the rights described in this section to request “preventive relief, including</w:t>
      </w:r>
      <w:r w:rsidR="00882742">
        <w:rPr>
          <w:szCs w:val="26"/>
        </w:rPr>
        <w:t xml:space="preserve"> an</w:t>
      </w:r>
      <w:r w:rsidR="0003684B" w:rsidRPr="00AC2B1F">
        <w:rPr>
          <w:szCs w:val="26"/>
        </w:rPr>
        <w:t xml:space="preserve"> application </w:t>
      </w:r>
      <w:r w:rsidR="00882742">
        <w:rPr>
          <w:szCs w:val="26"/>
        </w:rPr>
        <w:t>for</w:t>
      </w:r>
      <w:r w:rsidR="00882742" w:rsidRPr="00AC2B1F">
        <w:rPr>
          <w:szCs w:val="26"/>
        </w:rPr>
        <w:t xml:space="preserve"> </w:t>
      </w:r>
      <w:r w:rsidR="0003684B" w:rsidRPr="00AC2B1F">
        <w:rPr>
          <w:szCs w:val="26"/>
        </w:rPr>
        <w:t>a permanent or temporary injunction, restraining order, or other order . . . as the complainant deems necessary to ensure the full enjoyment of the rights described in this section.”</w:t>
      </w:r>
    </w:p>
    <w:p w14:paraId="14A002C9" w14:textId="31FEAEE1" w:rsidR="00097B3F" w:rsidRPr="00AC2B1F" w:rsidRDefault="0003684B" w:rsidP="00AC2B1F">
      <w:pPr>
        <w:shd w:val="clear" w:color="auto" w:fill="FFFFFF"/>
        <w:ind w:firstLine="720"/>
        <w:rPr>
          <w:szCs w:val="26"/>
        </w:rPr>
      </w:pPr>
      <w:r w:rsidRPr="00AC2B1F">
        <w:rPr>
          <w:iCs/>
          <w:szCs w:val="26"/>
        </w:rPr>
        <w:t>T</w:t>
      </w:r>
      <w:r w:rsidR="00D11E38" w:rsidRPr="00AC2B1F">
        <w:rPr>
          <w:iCs/>
          <w:szCs w:val="26"/>
        </w:rPr>
        <w:t xml:space="preserve">he purpose of the </w:t>
      </w:r>
      <w:r w:rsidRPr="00AC2B1F">
        <w:rPr>
          <w:iCs/>
          <w:szCs w:val="26"/>
        </w:rPr>
        <w:t>A</w:t>
      </w:r>
      <w:r w:rsidR="00D11E38" w:rsidRPr="00AC2B1F">
        <w:rPr>
          <w:iCs/>
          <w:szCs w:val="26"/>
        </w:rPr>
        <w:t xml:space="preserve">ct </w:t>
      </w:r>
      <w:r w:rsidRPr="00AC2B1F">
        <w:rPr>
          <w:iCs/>
          <w:szCs w:val="26"/>
        </w:rPr>
        <w:t xml:space="preserve">is to </w:t>
      </w:r>
      <w:r w:rsidR="00D11E38" w:rsidRPr="00AC2B1F">
        <w:rPr>
          <w:iCs/>
          <w:szCs w:val="26"/>
        </w:rPr>
        <w:t>creat</w:t>
      </w:r>
      <w:r w:rsidRPr="00AC2B1F">
        <w:rPr>
          <w:iCs/>
          <w:szCs w:val="26"/>
        </w:rPr>
        <w:t>e</w:t>
      </w:r>
      <w:r w:rsidR="00D11E38" w:rsidRPr="00AC2B1F">
        <w:rPr>
          <w:iCs/>
          <w:szCs w:val="26"/>
        </w:rPr>
        <w:t xml:space="preserve"> and preser</w:t>
      </w:r>
      <w:r w:rsidRPr="00AC2B1F">
        <w:rPr>
          <w:iCs/>
          <w:szCs w:val="26"/>
        </w:rPr>
        <w:t>ve</w:t>
      </w:r>
      <w:r w:rsidR="00D11E38" w:rsidRPr="00AC2B1F">
        <w:rPr>
          <w:iCs/>
          <w:szCs w:val="26"/>
        </w:rPr>
        <w:t xml:space="preserve"> “a nondiscriminatory environment in California business establishments by </w:t>
      </w:r>
      <w:r w:rsidR="00A60053" w:rsidRPr="00AC2B1F">
        <w:rPr>
          <w:iCs/>
          <w:szCs w:val="26"/>
        </w:rPr>
        <w:t>‘</w:t>
      </w:r>
      <w:r w:rsidR="00D11E38" w:rsidRPr="00AC2B1F">
        <w:rPr>
          <w:iCs/>
          <w:szCs w:val="26"/>
        </w:rPr>
        <w:t>banishing</w:t>
      </w:r>
      <w:r w:rsidR="00A60053" w:rsidRPr="00AC2B1F">
        <w:rPr>
          <w:iCs/>
          <w:szCs w:val="26"/>
        </w:rPr>
        <w:t>’</w:t>
      </w:r>
      <w:r w:rsidR="00D11E38" w:rsidRPr="00AC2B1F">
        <w:rPr>
          <w:iCs/>
          <w:szCs w:val="26"/>
        </w:rPr>
        <w:t xml:space="preserve"> or </w:t>
      </w:r>
      <w:r w:rsidR="00A60053" w:rsidRPr="00AC2B1F">
        <w:rPr>
          <w:iCs/>
          <w:szCs w:val="26"/>
        </w:rPr>
        <w:t>‘</w:t>
      </w:r>
      <w:r w:rsidR="00D11E38" w:rsidRPr="00AC2B1F">
        <w:rPr>
          <w:iCs/>
          <w:szCs w:val="26"/>
        </w:rPr>
        <w:t>eradicating</w:t>
      </w:r>
      <w:r w:rsidR="00A60053" w:rsidRPr="00AC2B1F">
        <w:rPr>
          <w:iCs/>
          <w:szCs w:val="26"/>
        </w:rPr>
        <w:t>’</w:t>
      </w:r>
      <w:r w:rsidR="00D11E38" w:rsidRPr="00AC2B1F">
        <w:rPr>
          <w:iCs/>
          <w:szCs w:val="26"/>
        </w:rPr>
        <w:t xml:space="preserve"> arbitrary, invidious discrimination by such establishments.”  (</w:t>
      </w:r>
      <w:r w:rsidR="00BD4890" w:rsidRPr="00AC2B1F">
        <w:rPr>
          <w:i/>
          <w:szCs w:val="26"/>
        </w:rPr>
        <w:t>Angelucci v. Century Supper</w:t>
      </w:r>
      <w:r w:rsidR="00BD4890" w:rsidRPr="00AC2B1F">
        <w:rPr>
          <w:szCs w:val="26"/>
        </w:rPr>
        <w:t xml:space="preserve"> </w:t>
      </w:r>
      <w:r w:rsidR="00BD4890" w:rsidRPr="00AC2B1F">
        <w:rPr>
          <w:i/>
          <w:szCs w:val="26"/>
        </w:rPr>
        <w:t>Club</w:t>
      </w:r>
      <w:r w:rsidR="00BD4890" w:rsidRPr="00AC2B1F">
        <w:rPr>
          <w:szCs w:val="26"/>
        </w:rPr>
        <w:t> (2007) 41 Cal.4th 160, 167 (</w:t>
      </w:r>
      <w:r w:rsidR="00BD4890" w:rsidRPr="00AC2B1F">
        <w:rPr>
          <w:i/>
          <w:szCs w:val="26"/>
        </w:rPr>
        <w:t>Angelucci</w:t>
      </w:r>
      <w:r w:rsidR="00BD4890" w:rsidRPr="00AC2B1F">
        <w:rPr>
          <w:szCs w:val="26"/>
        </w:rPr>
        <w:t>)</w:t>
      </w:r>
      <w:r w:rsidR="0037658D" w:rsidRPr="00AC2B1F">
        <w:rPr>
          <w:iCs/>
          <w:szCs w:val="26"/>
        </w:rPr>
        <w:t>, citing</w:t>
      </w:r>
      <w:r w:rsidR="00CD240B" w:rsidRPr="00AC2B1F">
        <w:rPr>
          <w:iCs/>
          <w:szCs w:val="26"/>
        </w:rPr>
        <w:t xml:space="preserve"> </w:t>
      </w:r>
      <w:r w:rsidR="00D11E38" w:rsidRPr="00AC2B1F">
        <w:rPr>
          <w:i/>
          <w:iCs/>
          <w:szCs w:val="26"/>
        </w:rPr>
        <w:t>Isbister v. Boys’ Club of Santa Cruz, Inc.</w:t>
      </w:r>
      <w:r w:rsidR="00D11E38" w:rsidRPr="00AC2B1F">
        <w:rPr>
          <w:iCs/>
          <w:szCs w:val="26"/>
        </w:rPr>
        <w:t> (1985) 40 Ca</w:t>
      </w:r>
      <w:r w:rsidR="008407F2" w:rsidRPr="00AC2B1F">
        <w:rPr>
          <w:iCs/>
          <w:szCs w:val="26"/>
        </w:rPr>
        <w:t>l.3d 72, 75–76</w:t>
      </w:r>
      <w:r w:rsidR="00A60053" w:rsidRPr="00AC2B1F">
        <w:rPr>
          <w:iCs/>
          <w:szCs w:val="26"/>
        </w:rPr>
        <w:t xml:space="preserve">.)  </w:t>
      </w:r>
      <w:r w:rsidR="0037658D" w:rsidRPr="00AC2B1F">
        <w:rPr>
          <w:iCs/>
          <w:szCs w:val="26"/>
        </w:rPr>
        <w:t>“The Act stands as a bulwark protecting each person’s inherent right to ‘full and equal’ a</w:t>
      </w:r>
      <w:r w:rsidR="00E332F4">
        <w:rPr>
          <w:iCs/>
          <w:szCs w:val="26"/>
        </w:rPr>
        <w:t>c</w:t>
      </w:r>
      <w:r w:rsidR="0037658D" w:rsidRPr="00AC2B1F">
        <w:rPr>
          <w:iCs/>
          <w:szCs w:val="26"/>
        </w:rPr>
        <w:t xml:space="preserve">cess to ‘all business establishments.’  (§ 51, subd. (b); </w:t>
      </w:r>
      <w:r w:rsidR="00882742">
        <w:rPr>
          <w:iCs/>
          <w:szCs w:val="26"/>
        </w:rPr>
        <w:t xml:space="preserve">see </w:t>
      </w:r>
      <w:r w:rsidR="0037658D" w:rsidRPr="00AC2B1F">
        <w:rPr>
          <w:i/>
          <w:iCs/>
          <w:szCs w:val="26"/>
        </w:rPr>
        <w:t>Isbister</w:t>
      </w:r>
      <w:r w:rsidR="0037658D" w:rsidRPr="00AC2B1F">
        <w:rPr>
          <w:iCs/>
          <w:szCs w:val="26"/>
        </w:rPr>
        <w:t xml:space="preserve">, </w:t>
      </w:r>
      <w:r w:rsidR="0037658D" w:rsidRPr="00AC2B1F">
        <w:rPr>
          <w:i/>
          <w:iCs/>
          <w:szCs w:val="26"/>
        </w:rPr>
        <w:t>supra</w:t>
      </w:r>
      <w:r w:rsidR="0037658D" w:rsidRPr="00AC2B1F">
        <w:rPr>
          <w:iCs/>
          <w:szCs w:val="26"/>
        </w:rPr>
        <w:t xml:space="preserve">, 40 Cal.3d at p. 75.)”  </w:t>
      </w:r>
      <w:r w:rsidR="009D34DA" w:rsidRPr="00AC2B1F">
        <w:rPr>
          <w:iCs/>
          <w:szCs w:val="26"/>
        </w:rPr>
        <w:t>(</w:t>
      </w:r>
      <w:r w:rsidR="009D34DA" w:rsidRPr="00AC2B1F">
        <w:rPr>
          <w:i/>
          <w:iCs/>
          <w:szCs w:val="26"/>
        </w:rPr>
        <w:t>Angelucci</w:t>
      </w:r>
      <w:r w:rsidR="009D34DA" w:rsidRPr="00AC2B1F">
        <w:rPr>
          <w:iCs/>
          <w:szCs w:val="26"/>
        </w:rPr>
        <w:t>, at p.</w:t>
      </w:r>
      <w:r w:rsidR="0037658D" w:rsidRPr="00AC2B1F">
        <w:rPr>
          <w:iCs/>
          <w:szCs w:val="26"/>
        </w:rPr>
        <w:t> </w:t>
      </w:r>
      <w:r w:rsidR="009D34DA" w:rsidRPr="00AC2B1F">
        <w:rPr>
          <w:iCs/>
          <w:szCs w:val="26"/>
        </w:rPr>
        <w:t>167.)  In enforcing the Act, courts must consider its broad remedial purpose and overarching goal of deterring discriminatory practices by businesses.  (</w:t>
      </w:r>
      <w:r w:rsidR="009D34DA" w:rsidRPr="00AC2B1F">
        <w:rPr>
          <w:i/>
          <w:iCs/>
          <w:szCs w:val="26"/>
        </w:rPr>
        <w:t>Ibid</w:t>
      </w:r>
      <w:r w:rsidR="009D34DA" w:rsidRPr="00AC2B1F">
        <w:rPr>
          <w:iCs/>
          <w:szCs w:val="26"/>
        </w:rPr>
        <w:t xml:space="preserve">.; see </w:t>
      </w:r>
      <w:r w:rsidR="009D34DA" w:rsidRPr="00AC2B1F">
        <w:rPr>
          <w:i/>
          <w:iCs/>
          <w:szCs w:val="26"/>
        </w:rPr>
        <w:lastRenderedPageBreak/>
        <w:t>Isbister</w:t>
      </w:r>
      <w:r w:rsidR="009D34DA" w:rsidRPr="00AC2B1F">
        <w:rPr>
          <w:iCs/>
          <w:szCs w:val="26"/>
        </w:rPr>
        <w:t>, at p. 75.)</w:t>
      </w:r>
      <w:r w:rsidR="00BD4890" w:rsidRPr="00AC2B1F">
        <w:rPr>
          <w:iCs/>
          <w:szCs w:val="26"/>
        </w:rPr>
        <w:t xml:space="preserve">  </w:t>
      </w:r>
      <w:r w:rsidR="00BD4890" w:rsidRPr="00AC2B1F">
        <w:rPr>
          <w:szCs w:val="26"/>
        </w:rPr>
        <w:t>We have consistently held that “the Act must be construed liberally in order to carry out its purpose.”  (</w:t>
      </w:r>
      <w:r w:rsidR="00BD4890" w:rsidRPr="00AC2B1F">
        <w:rPr>
          <w:i/>
          <w:szCs w:val="26"/>
        </w:rPr>
        <w:t>Angelucci</w:t>
      </w:r>
      <w:r w:rsidR="00BD4890" w:rsidRPr="00AC2B1F">
        <w:rPr>
          <w:szCs w:val="26"/>
        </w:rPr>
        <w:t>, at p. 167; see </w:t>
      </w:r>
      <w:r w:rsidR="00BD4890" w:rsidRPr="00AC2B1F">
        <w:rPr>
          <w:i/>
          <w:szCs w:val="26"/>
        </w:rPr>
        <w:t>Koire</w:t>
      </w:r>
      <w:r w:rsidR="00BD4890" w:rsidRPr="00AC2B1F">
        <w:rPr>
          <w:i/>
          <w:iCs/>
          <w:szCs w:val="26"/>
        </w:rPr>
        <w:t xml:space="preserve"> v. Metro Car Wash</w:t>
      </w:r>
      <w:r w:rsidR="00BD4890" w:rsidRPr="00AC2B1F">
        <w:rPr>
          <w:szCs w:val="26"/>
        </w:rPr>
        <w:t> (1985) 40 Cal.3d 24, 28 (</w:t>
      </w:r>
      <w:r w:rsidR="00BD4890" w:rsidRPr="00AC2B1F">
        <w:rPr>
          <w:i/>
          <w:iCs/>
          <w:szCs w:val="26"/>
        </w:rPr>
        <w:t>Koire</w:t>
      </w:r>
      <w:r w:rsidR="00BD4890" w:rsidRPr="00AC2B1F">
        <w:rPr>
          <w:iCs/>
          <w:szCs w:val="26"/>
        </w:rPr>
        <w:t>).)</w:t>
      </w:r>
    </w:p>
    <w:p w14:paraId="3B95D0BC" w14:textId="33F1A4F6" w:rsidR="00CB39DA" w:rsidRPr="00AC2B1F" w:rsidRDefault="002521A5" w:rsidP="00AC2B1F">
      <w:pPr>
        <w:shd w:val="clear" w:color="auto" w:fill="FFFFFF"/>
        <w:ind w:firstLine="720"/>
        <w:rPr>
          <w:szCs w:val="26"/>
        </w:rPr>
      </w:pPr>
      <w:proofErr w:type="gramStart"/>
      <w:r w:rsidRPr="00AC2B1F">
        <w:rPr>
          <w:szCs w:val="26"/>
        </w:rPr>
        <w:t>In light of</w:t>
      </w:r>
      <w:proofErr w:type="gramEnd"/>
      <w:r w:rsidRPr="00AC2B1F">
        <w:rPr>
          <w:szCs w:val="26"/>
        </w:rPr>
        <w:t xml:space="preserve"> its </w:t>
      </w:r>
      <w:r w:rsidR="00E36DC2" w:rsidRPr="00AC2B1F">
        <w:rPr>
          <w:szCs w:val="26"/>
        </w:rPr>
        <w:t xml:space="preserve">broad </w:t>
      </w:r>
      <w:r w:rsidR="0076262A" w:rsidRPr="00AC2B1F">
        <w:rPr>
          <w:szCs w:val="26"/>
        </w:rPr>
        <w:t>preventive and</w:t>
      </w:r>
      <w:r w:rsidRPr="00AC2B1F">
        <w:rPr>
          <w:szCs w:val="26"/>
        </w:rPr>
        <w:t xml:space="preserve"> remedial purpose</w:t>
      </w:r>
      <w:r w:rsidR="0076262A" w:rsidRPr="00AC2B1F">
        <w:rPr>
          <w:szCs w:val="26"/>
        </w:rPr>
        <w:t>s</w:t>
      </w:r>
      <w:r w:rsidRPr="00AC2B1F">
        <w:rPr>
          <w:szCs w:val="26"/>
        </w:rPr>
        <w:t>,</w:t>
      </w:r>
      <w:r w:rsidR="00157945" w:rsidRPr="00AC2B1F">
        <w:rPr>
          <w:szCs w:val="26"/>
        </w:rPr>
        <w:t xml:space="preserve"> c</w:t>
      </w:r>
      <w:r w:rsidR="009D34DA" w:rsidRPr="00AC2B1F">
        <w:rPr>
          <w:szCs w:val="26"/>
        </w:rPr>
        <w:t xml:space="preserve">ourts have recognized that “[s]tanding under the Unruh Civil Rights Act is broad.”  </w:t>
      </w:r>
      <w:r w:rsidR="00157945" w:rsidRPr="00AC2B1F">
        <w:rPr>
          <w:szCs w:val="26"/>
        </w:rPr>
        <w:t>(</w:t>
      </w:r>
      <w:r w:rsidR="00157945" w:rsidRPr="00AC2B1F">
        <w:rPr>
          <w:i/>
          <w:szCs w:val="26"/>
        </w:rPr>
        <w:t>Osborne v. Yasmeh</w:t>
      </w:r>
      <w:r w:rsidR="00157945" w:rsidRPr="00AC2B1F">
        <w:rPr>
          <w:szCs w:val="26"/>
        </w:rPr>
        <w:t> (2016) 1 Cal.App.5th 1118, 1127</w:t>
      </w:r>
      <w:r w:rsidR="00593B8A">
        <w:rPr>
          <w:szCs w:val="26"/>
        </w:rPr>
        <w:t xml:space="preserve"> (</w:t>
      </w:r>
      <w:r w:rsidR="00593B8A">
        <w:rPr>
          <w:i/>
          <w:szCs w:val="26"/>
        </w:rPr>
        <w:t>Osborne</w:t>
      </w:r>
      <w:r w:rsidR="00593B8A">
        <w:rPr>
          <w:szCs w:val="26"/>
        </w:rPr>
        <w:t>)</w:t>
      </w:r>
      <w:r w:rsidR="006449A3" w:rsidRPr="00AC2B1F">
        <w:rPr>
          <w:szCs w:val="26"/>
        </w:rPr>
        <w:t>.</w:t>
      </w:r>
      <w:r w:rsidR="006420D3" w:rsidRPr="00AC2B1F">
        <w:rPr>
          <w:szCs w:val="26"/>
        </w:rPr>
        <w:t>)</w:t>
      </w:r>
      <w:r w:rsidR="006449A3" w:rsidRPr="00AC2B1F">
        <w:rPr>
          <w:szCs w:val="26"/>
        </w:rPr>
        <w:t xml:space="preserve">  </w:t>
      </w:r>
      <w:r w:rsidR="00E36DC2" w:rsidRPr="00AC2B1F">
        <w:rPr>
          <w:szCs w:val="26"/>
        </w:rPr>
        <w:t xml:space="preserve">At the same time, we have </w:t>
      </w:r>
      <w:r w:rsidR="00E36DC2" w:rsidRPr="00AC2B1F">
        <w:rPr>
          <w:color w:val="000000"/>
          <w:szCs w:val="26"/>
          <w:shd w:val="clear" w:color="auto" w:fill="FFFFFF"/>
        </w:rPr>
        <w:t xml:space="preserve">acknowledged that </w:t>
      </w:r>
      <w:r w:rsidR="00E36DC2" w:rsidRPr="00AC2B1F">
        <w:rPr>
          <w:iCs/>
          <w:szCs w:val="26"/>
        </w:rPr>
        <w:t xml:space="preserve">“ ‘a plaintiff cannot sue for discrimination in the </w:t>
      </w:r>
      <w:proofErr w:type="gramStart"/>
      <w:r w:rsidR="00E36DC2" w:rsidRPr="00AC2B1F">
        <w:rPr>
          <w:iCs/>
          <w:szCs w:val="26"/>
        </w:rPr>
        <w:t>abstract, but</w:t>
      </w:r>
      <w:proofErr w:type="gramEnd"/>
      <w:r w:rsidR="00E36DC2" w:rsidRPr="00AC2B1F">
        <w:rPr>
          <w:iCs/>
          <w:szCs w:val="26"/>
        </w:rPr>
        <w:t xml:space="preserve"> must actually suffer the discriminatory conduct.’ ”  </w:t>
      </w:r>
      <w:r w:rsidR="00E36DC2" w:rsidRPr="00AC2B1F">
        <w:rPr>
          <w:color w:val="000000"/>
          <w:szCs w:val="26"/>
          <w:shd w:val="clear" w:color="auto" w:fill="FFFFFF"/>
        </w:rPr>
        <w:t>(</w:t>
      </w:r>
      <w:r w:rsidR="00E36DC2" w:rsidRPr="00AC2B1F">
        <w:rPr>
          <w:i/>
          <w:color w:val="000000"/>
          <w:szCs w:val="26"/>
          <w:shd w:val="clear" w:color="auto" w:fill="FFFFFF"/>
        </w:rPr>
        <w:t>Angelucci</w:t>
      </w:r>
      <w:r w:rsidR="00E36DC2" w:rsidRPr="00AC2B1F">
        <w:rPr>
          <w:color w:val="000000"/>
          <w:szCs w:val="26"/>
          <w:shd w:val="clear" w:color="auto" w:fill="FFFFFF"/>
        </w:rPr>
        <w:t xml:space="preserve">, </w:t>
      </w:r>
      <w:r w:rsidR="00E36DC2" w:rsidRPr="00AC2B1F">
        <w:rPr>
          <w:i/>
          <w:color w:val="000000"/>
          <w:szCs w:val="26"/>
          <w:shd w:val="clear" w:color="auto" w:fill="FFFFFF"/>
        </w:rPr>
        <w:t>supra</w:t>
      </w:r>
      <w:r w:rsidR="00E36DC2" w:rsidRPr="00AC2B1F">
        <w:rPr>
          <w:color w:val="000000"/>
          <w:szCs w:val="26"/>
          <w:shd w:val="clear" w:color="auto" w:fill="FFFFFF"/>
        </w:rPr>
        <w:t>, 41 Cal.4th at p. 175.)</w:t>
      </w:r>
      <w:r w:rsidR="00E36DC2" w:rsidRPr="00AC2B1F">
        <w:rPr>
          <w:iCs/>
          <w:szCs w:val="26"/>
        </w:rPr>
        <w:t xml:space="preserve">  </w:t>
      </w:r>
      <w:proofErr w:type="gramStart"/>
      <w:r w:rsidR="006449A3" w:rsidRPr="00AC2B1F">
        <w:rPr>
          <w:szCs w:val="26"/>
        </w:rPr>
        <w:t xml:space="preserve">“In </w:t>
      </w:r>
      <w:r w:rsidR="00E36DC2" w:rsidRPr="00AC2B1F">
        <w:rPr>
          <w:color w:val="000000"/>
          <w:szCs w:val="26"/>
          <w:shd w:val="clear" w:color="auto" w:fill="FFFFFF"/>
        </w:rPr>
        <w:t>essence, an</w:t>
      </w:r>
      <w:proofErr w:type="gramEnd"/>
      <w:r w:rsidR="00E36DC2" w:rsidRPr="00AC2B1F">
        <w:rPr>
          <w:color w:val="000000"/>
          <w:szCs w:val="26"/>
          <w:shd w:val="clear" w:color="auto" w:fill="FFFFFF"/>
        </w:rPr>
        <w:t xml:space="preserve"> individual plaintiff has standing under the Act if he or she has been the victim of the defendant’s discriminatory act.”  (</w:t>
      </w:r>
      <w:r w:rsidR="00E36DC2" w:rsidRPr="00AC2B1F">
        <w:rPr>
          <w:i/>
          <w:color w:val="000000"/>
          <w:szCs w:val="26"/>
          <w:shd w:val="clear" w:color="auto" w:fill="FFFFFF"/>
        </w:rPr>
        <w:t>Ibid.</w:t>
      </w:r>
      <w:r w:rsidR="00E36DC2" w:rsidRPr="00AC2B1F">
        <w:rPr>
          <w:color w:val="000000"/>
          <w:szCs w:val="26"/>
          <w:shd w:val="clear" w:color="auto" w:fill="FFFFFF"/>
        </w:rPr>
        <w:t xml:space="preserve"> [“plaintiff must be able to allege injury — that is, some ‘invasion of the plaintiff’s legally protected interests’ ”].)</w:t>
      </w:r>
    </w:p>
    <w:p w14:paraId="775E50F3" w14:textId="0DD2251F" w:rsidR="00CB39DA" w:rsidRPr="00AC2B1F" w:rsidRDefault="00E36DC2" w:rsidP="00EB7533">
      <w:pPr>
        <w:tabs>
          <w:tab w:val="left" w:pos="1440"/>
        </w:tabs>
        <w:jc w:val="center"/>
        <w:rPr>
          <w:b/>
          <w:szCs w:val="26"/>
        </w:rPr>
      </w:pPr>
      <w:r w:rsidRPr="00AC2B1F">
        <w:rPr>
          <w:b/>
          <w:szCs w:val="26"/>
        </w:rPr>
        <w:t>III.</w:t>
      </w:r>
    </w:p>
    <w:p w14:paraId="27DDE256" w14:textId="1F3E2F9F" w:rsidR="00F64412" w:rsidRDefault="004320D9" w:rsidP="00AC2B1F">
      <w:pPr>
        <w:ind w:firstLine="720"/>
        <w:rPr>
          <w:szCs w:val="26"/>
        </w:rPr>
      </w:pPr>
      <w:r w:rsidRPr="00AC2B1F">
        <w:rPr>
          <w:szCs w:val="26"/>
        </w:rPr>
        <w:t>O</w:t>
      </w:r>
      <w:r w:rsidR="00EF511A" w:rsidRPr="00AC2B1F">
        <w:rPr>
          <w:szCs w:val="26"/>
        </w:rPr>
        <w:t>ur</w:t>
      </w:r>
      <w:r w:rsidRPr="00AC2B1F">
        <w:rPr>
          <w:szCs w:val="26"/>
        </w:rPr>
        <w:t xml:space="preserve"> </w:t>
      </w:r>
      <w:r w:rsidR="008032C7" w:rsidRPr="00AC2B1F">
        <w:rPr>
          <w:szCs w:val="26"/>
        </w:rPr>
        <w:t xml:space="preserve">cases </w:t>
      </w:r>
      <w:r w:rsidR="001B200E" w:rsidRPr="00AC2B1F">
        <w:rPr>
          <w:szCs w:val="26"/>
        </w:rPr>
        <w:t xml:space="preserve">addressing </w:t>
      </w:r>
      <w:r w:rsidR="00763E3E" w:rsidRPr="00AC2B1F">
        <w:rPr>
          <w:szCs w:val="26"/>
        </w:rPr>
        <w:t>related</w:t>
      </w:r>
      <w:r w:rsidR="001B200E" w:rsidRPr="00AC2B1F">
        <w:rPr>
          <w:szCs w:val="26"/>
        </w:rPr>
        <w:t xml:space="preserve"> issues </w:t>
      </w:r>
      <w:r w:rsidR="007812F7" w:rsidRPr="00AC2B1F">
        <w:rPr>
          <w:szCs w:val="26"/>
        </w:rPr>
        <w:t xml:space="preserve">under the Unruh </w:t>
      </w:r>
      <w:r w:rsidR="00882742">
        <w:rPr>
          <w:szCs w:val="26"/>
        </w:rPr>
        <w:t xml:space="preserve">Civil Rights </w:t>
      </w:r>
      <w:r w:rsidR="007812F7" w:rsidRPr="00AC2B1F">
        <w:rPr>
          <w:szCs w:val="26"/>
        </w:rPr>
        <w:t xml:space="preserve">Act </w:t>
      </w:r>
      <w:r w:rsidR="008032C7" w:rsidRPr="00AC2B1F">
        <w:rPr>
          <w:szCs w:val="26"/>
        </w:rPr>
        <w:t>have involv</w:t>
      </w:r>
      <w:r w:rsidR="001B200E" w:rsidRPr="00AC2B1F">
        <w:rPr>
          <w:szCs w:val="26"/>
        </w:rPr>
        <w:t>ed</w:t>
      </w:r>
      <w:r w:rsidR="008032C7" w:rsidRPr="00AC2B1F">
        <w:rPr>
          <w:szCs w:val="26"/>
        </w:rPr>
        <w:t xml:space="preserve"> brick-and-mortar establishments, not online businesses</w:t>
      </w:r>
      <w:r w:rsidR="00032ACD">
        <w:rPr>
          <w:szCs w:val="26"/>
        </w:rPr>
        <w:t xml:space="preserve">, and </w:t>
      </w:r>
      <w:r w:rsidR="00F64412">
        <w:rPr>
          <w:szCs w:val="26"/>
        </w:rPr>
        <w:t>t</w:t>
      </w:r>
      <w:r w:rsidR="006E47B0">
        <w:rPr>
          <w:szCs w:val="26"/>
        </w:rPr>
        <w:t>h</w:t>
      </w:r>
      <w:r w:rsidR="00E332F4">
        <w:rPr>
          <w:szCs w:val="26"/>
        </w:rPr>
        <w:t>o</w:t>
      </w:r>
      <w:r w:rsidR="006E47B0">
        <w:rPr>
          <w:szCs w:val="26"/>
        </w:rPr>
        <w:t>se cases</w:t>
      </w:r>
      <w:r w:rsidR="00A013B5">
        <w:rPr>
          <w:szCs w:val="26"/>
        </w:rPr>
        <w:t xml:space="preserve"> </w:t>
      </w:r>
      <w:r w:rsidR="00032ACD">
        <w:rPr>
          <w:szCs w:val="26"/>
        </w:rPr>
        <w:t xml:space="preserve">make clear </w:t>
      </w:r>
      <w:r w:rsidR="00A013B5">
        <w:rPr>
          <w:szCs w:val="26"/>
        </w:rPr>
        <w:t xml:space="preserve">that </w:t>
      </w:r>
      <w:r w:rsidR="00032ACD">
        <w:rPr>
          <w:szCs w:val="26"/>
        </w:rPr>
        <w:t>a plaintiff</w:t>
      </w:r>
      <w:r w:rsidR="00A013B5">
        <w:rPr>
          <w:szCs w:val="26"/>
        </w:rPr>
        <w:t xml:space="preserve"> who has transacted with a defendant and </w:t>
      </w:r>
      <w:r w:rsidR="00E332F4">
        <w:rPr>
          <w:szCs w:val="26"/>
        </w:rPr>
        <w:t xml:space="preserve">who </w:t>
      </w:r>
      <w:r w:rsidR="00A013B5">
        <w:rPr>
          <w:szCs w:val="26"/>
        </w:rPr>
        <w:t xml:space="preserve">has been subject </w:t>
      </w:r>
      <w:r w:rsidR="00E332F4">
        <w:rPr>
          <w:szCs w:val="26"/>
        </w:rPr>
        <w:t>t</w:t>
      </w:r>
      <w:r w:rsidR="00A013B5">
        <w:rPr>
          <w:szCs w:val="26"/>
        </w:rPr>
        <w:t>o discrimination has standing under the Act.</w:t>
      </w:r>
      <w:r w:rsidR="00D07878">
        <w:rPr>
          <w:szCs w:val="26"/>
        </w:rPr>
        <w:t xml:space="preserve"> (</w:t>
      </w:r>
      <w:r w:rsidR="00032ACD">
        <w:rPr>
          <w:szCs w:val="26"/>
        </w:rPr>
        <w:t xml:space="preserve">See, e.g., </w:t>
      </w:r>
      <w:r w:rsidR="00032ACD" w:rsidRPr="00AC2B1F">
        <w:rPr>
          <w:i/>
          <w:szCs w:val="26"/>
          <w:shd w:val="clear" w:color="auto" w:fill="FFFFFF"/>
        </w:rPr>
        <w:t>Angelucci</w:t>
      </w:r>
      <w:r w:rsidR="00032ACD" w:rsidRPr="008271DA">
        <w:rPr>
          <w:shd w:val="clear" w:color="auto" w:fill="FFFFFF"/>
        </w:rPr>
        <w:t xml:space="preserve">, </w:t>
      </w:r>
      <w:r w:rsidR="00032ACD" w:rsidRPr="008271DA">
        <w:rPr>
          <w:i/>
          <w:shd w:val="clear" w:color="auto" w:fill="FFFFFF"/>
        </w:rPr>
        <w:t>supra</w:t>
      </w:r>
      <w:r w:rsidR="00032ACD" w:rsidRPr="008271DA">
        <w:rPr>
          <w:shd w:val="clear" w:color="auto" w:fill="FFFFFF"/>
        </w:rPr>
        <w:t xml:space="preserve">, </w:t>
      </w:r>
      <w:r w:rsidR="00032ACD" w:rsidRPr="00AC2B1F">
        <w:rPr>
          <w:szCs w:val="26"/>
          <w:shd w:val="clear" w:color="auto" w:fill="FFFFFF"/>
        </w:rPr>
        <w:t>41</w:t>
      </w:r>
      <w:r w:rsidR="00032ACD" w:rsidRPr="008271DA">
        <w:rPr>
          <w:shd w:val="clear" w:color="auto" w:fill="FFFFFF"/>
        </w:rPr>
        <w:t xml:space="preserve"> Cal.</w:t>
      </w:r>
      <w:r w:rsidR="00032ACD" w:rsidRPr="00AC2B1F">
        <w:rPr>
          <w:szCs w:val="26"/>
          <w:shd w:val="clear" w:color="auto" w:fill="FFFFFF"/>
        </w:rPr>
        <w:t>4th</w:t>
      </w:r>
      <w:r w:rsidR="00032ACD" w:rsidRPr="008271DA">
        <w:rPr>
          <w:shd w:val="clear" w:color="auto" w:fill="FFFFFF"/>
        </w:rPr>
        <w:t xml:space="preserve"> at </w:t>
      </w:r>
      <w:r w:rsidR="00032ACD" w:rsidRPr="00AC2B1F">
        <w:rPr>
          <w:szCs w:val="26"/>
          <w:shd w:val="clear" w:color="auto" w:fill="FFFFFF"/>
        </w:rPr>
        <w:t>pp. </w:t>
      </w:r>
      <w:r w:rsidR="00032ACD">
        <w:rPr>
          <w:szCs w:val="26"/>
          <w:shd w:val="clear" w:color="auto" w:fill="FFFFFF"/>
        </w:rPr>
        <w:t>175</w:t>
      </w:r>
      <w:r w:rsidR="00032ACD" w:rsidRPr="00AC2B1F">
        <w:rPr>
          <w:szCs w:val="26"/>
          <w:shd w:val="clear" w:color="auto" w:fill="FFFFFF"/>
        </w:rPr>
        <w:t>–</w:t>
      </w:r>
      <w:r w:rsidR="00032ACD">
        <w:rPr>
          <w:szCs w:val="26"/>
          <w:shd w:val="clear" w:color="auto" w:fill="FFFFFF"/>
        </w:rPr>
        <w:t>176</w:t>
      </w:r>
      <w:r w:rsidR="00D07878">
        <w:rPr>
          <w:szCs w:val="26"/>
        </w:rPr>
        <w:t xml:space="preserve">.)  </w:t>
      </w:r>
      <w:r w:rsidR="00F64412">
        <w:rPr>
          <w:szCs w:val="26"/>
        </w:rPr>
        <w:t xml:space="preserve">The question here </w:t>
      </w:r>
      <w:r w:rsidR="00032ACD">
        <w:rPr>
          <w:szCs w:val="26"/>
        </w:rPr>
        <w:t xml:space="preserve">is whether </w:t>
      </w:r>
      <w:r w:rsidR="00D07878">
        <w:rPr>
          <w:szCs w:val="26"/>
        </w:rPr>
        <w:t xml:space="preserve">standing </w:t>
      </w:r>
      <w:r w:rsidR="006A38A8">
        <w:rPr>
          <w:szCs w:val="26"/>
        </w:rPr>
        <w:t xml:space="preserve">under the Act </w:t>
      </w:r>
      <w:r w:rsidR="00D07878">
        <w:rPr>
          <w:szCs w:val="26"/>
        </w:rPr>
        <w:t>extends to</w:t>
      </w:r>
      <w:r w:rsidR="00A013B5">
        <w:rPr>
          <w:szCs w:val="26"/>
        </w:rPr>
        <w:t xml:space="preserve"> </w:t>
      </w:r>
      <w:r w:rsidR="00032ACD">
        <w:rPr>
          <w:szCs w:val="26"/>
        </w:rPr>
        <w:t>a plaintiff</w:t>
      </w:r>
      <w:r w:rsidR="00A013B5">
        <w:rPr>
          <w:szCs w:val="26"/>
        </w:rPr>
        <w:t xml:space="preserve"> </w:t>
      </w:r>
      <w:r w:rsidR="00D07878">
        <w:rPr>
          <w:szCs w:val="26"/>
        </w:rPr>
        <w:t>who</w:t>
      </w:r>
      <w:r w:rsidR="00A013B5">
        <w:rPr>
          <w:szCs w:val="26"/>
        </w:rPr>
        <w:t xml:space="preserve"> </w:t>
      </w:r>
      <w:r w:rsidR="00032ACD">
        <w:rPr>
          <w:szCs w:val="26"/>
        </w:rPr>
        <w:t xml:space="preserve">intends to transact, but </w:t>
      </w:r>
      <w:r w:rsidR="00A013B5">
        <w:rPr>
          <w:szCs w:val="26"/>
        </w:rPr>
        <w:t>ha</w:t>
      </w:r>
      <w:r w:rsidR="00032ACD">
        <w:rPr>
          <w:szCs w:val="26"/>
        </w:rPr>
        <w:t>s</w:t>
      </w:r>
      <w:r w:rsidR="00A013B5">
        <w:rPr>
          <w:szCs w:val="26"/>
        </w:rPr>
        <w:t xml:space="preserve"> not yet transacted</w:t>
      </w:r>
      <w:r w:rsidR="00032ACD">
        <w:rPr>
          <w:szCs w:val="26"/>
        </w:rPr>
        <w:t>,</w:t>
      </w:r>
      <w:r w:rsidR="00A013B5">
        <w:rPr>
          <w:szCs w:val="26"/>
        </w:rPr>
        <w:t xml:space="preserve"> with a</w:t>
      </w:r>
      <w:r w:rsidR="00032ACD">
        <w:rPr>
          <w:szCs w:val="26"/>
        </w:rPr>
        <w:t>n online business</w:t>
      </w:r>
      <w:r w:rsidR="00D07878">
        <w:rPr>
          <w:szCs w:val="26"/>
        </w:rPr>
        <w:t>.</w:t>
      </w:r>
    </w:p>
    <w:p w14:paraId="1872A9A4" w14:textId="2735FBDA" w:rsidR="00763E3E" w:rsidRPr="00AC2B1F" w:rsidRDefault="008032C7" w:rsidP="00AC2B1F">
      <w:pPr>
        <w:ind w:firstLine="720"/>
        <w:rPr>
          <w:color w:val="000000"/>
          <w:szCs w:val="26"/>
          <w:shd w:val="clear" w:color="auto" w:fill="FFFFFF"/>
        </w:rPr>
      </w:pPr>
      <w:r w:rsidRPr="00AC2B1F">
        <w:rPr>
          <w:szCs w:val="26"/>
        </w:rPr>
        <w:t xml:space="preserve">In </w:t>
      </w:r>
      <w:r w:rsidRPr="00AC2B1F">
        <w:rPr>
          <w:i/>
          <w:szCs w:val="26"/>
        </w:rPr>
        <w:t>Koire</w:t>
      </w:r>
      <w:r w:rsidRPr="00AC2B1F">
        <w:rPr>
          <w:szCs w:val="26"/>
        </w:rPr>
        <w:t xml:space="preserve">, a </w:t>
      </w:r>
      <w:r w:rsidR="001B200E" w:rsidRPr="00AC2B1F">
        <w:rPr>
          <w:szCs w:val="26"/>
        </w:rPr>
        <w:t xml:space="preserve">male plaintiff visited several “car washes </w:t>
      </w:r>
      <w:r w:rsidR="001B200E" w:rsidRPr="00AC2B1F">
        <w:rPr>
          <w:color w:val="000000"/>
          <w:szCs w:val="26"/>
          <w:shd w:val="clear" w:color="auto" w:fill="FFFFFF"/>
        </w:rPr>
        <w:t>on ‘Ladies’ Day’ and asked to be charged the same discount prices as were offered to females</w:t>
      </w:r>
      <w:r w:rsidR="001B200E" w:rsidRPr="00AC2B1F">
        <w:rPr>
          <w:szCs w:val="26"/>
        </w:rPr>
        <w:t>.  These businesses refused his request.”  (</w:t>
      </w:r>
      <w:r w:rsidR="00F64412">
        <w:rPr>
          <w:i/>
          <w:szCs w:val="26"/>
        </w:rPr>
        <w:t>Koire</w:t>
      </w:r>
      <w:r w:rsidR="00F64412">
        <w:rPr>
          <w:szCs w:val="26"/>
        </w:rPr>
        <w:t xml:space="preserve">, </w:t>
      </w:r>
      <w:r w:rsidR="00F64412">
        <w:rPr>
          <w:i/>
          <w:szCs w:val="26"/>
        </w:rPr>
        <w:t>supra</w:t>
      </w:r>
      <w:r w:rsidR="00F64412">
        <w:rPr>
          <w:szCs w:val="26"/>
        </w:rPr>
        <w:t>, 40 Cal.3d</w:t>
      </w:r>
      <w:r w:rsidR="001B200E" w:rsidRPr="00AC2B1F">
        <w:rPr>
          <w:szCs w:val="26"/>
        </w:rPr>
        <w:t xml:space="preserve"> at p. 27</w:t>
      </w:r>
      <w:r w:rsidR="00882742">
        <w:rPr>
          <w:szCs w:val="26"/>
        </w:rPr>
        <w:t>, fn. omitted</w:t>
      </w:r>
      <w:r w:rsidR="001B200E" w:rsidRPr="00AC2B1F">
        <w:rPr>
          <w:szCs w:val="26"/>
        </w:rPr>
        <w:t xml:space="preserve">.)  </w:t>
      </w:r>
      <w:r w:rsidR="001B200E" w:rsidRPr="00AC2B1F">
        <w:rPr>
          <w:color w:val="000000"/>
          <w:szCs w:val="26"/>
        </w:rPr>
        <w:t xml:space="preserve">Also, in response to a radio advertisement by a nightclub offering free </w:t>
      </w:r>
      <w:r w:rsidR="001B200E" w:rsidRPr="00AC2B1F">
        <w:rPr>
          <w:color w:val="000000"/>
          <w:szCs w:val="26"/>
        </w:rPr>
        <w:lastRenderedPageBreak/>
        <w:t xml:space="preserve">admission to “ ‘girls’ aged 18 to 21,” the plaintiff </w:t>
      </w:r>
      <w:r w:rsidR="001B200E" w:rsidRPr="00AC2B1F">
        <w:rPr>
          <w:szCs w:val="26"/>
        </w:rPr>
        <w:t>“w</w:t>
      </w:r>
      <w:r w:rsidR="001B200E" w:rsidRPr="00AC2B1F">
        <w:rPr>
          <w:color w:val="000000"/>
          <w:szCs w:val="26"/>
          <w:shd w:val="clear" w:color="auto" w:fill="FFFFFF"/>
        </w:rPr>
        <w:t>ent to [the nightclub] and requested free admission which was refused.”  (</w:t>
      </w:r>
      <w:r w:rsidR="001B200E" w:rsidRPr="00AC2B1F">
        <w:rPr>
          <w:i/>
          <w:color w:val="000000"/>
          <w:szCs w:val="26"/>
          <w:shd w:val="clear" w:color="auto" w:fill="FFFFFF"/>
        </w:rPr>
        <w:t>Ibid.</w:t>
      </w:r>
      <w:r w:rsidR="001B200E" w:rsidRPr="00AC2B1F">
        <w:rPr>
          <w:color w:val="000000"/>
          <w:szCs w:val="26"/>
          <w:shd w:val="clear" w:color="auto" w:fill="FFFFFF"/>
        </w:rPr>
        <w:t>)</w:t>
      </w:r>
      <w:r w:rsidR="00B27247" w:rsidRPr="00AC2B1F">
        <w:rPr>
          <w:color w:val="000000"/>
          <w:szCs w:val="26"/>
          <w:shd w:val="clear" w:color="auto" w:fill="FFFFFF"/>
        </w:rPr>
        <w:t xml:space="preserve">  </w:t>
      </w:r>
      <w:r w:rsidR="00763E3E" w:rsidRPr="00AC2B1F">
        <w:rPr>
          <w:color w:val="000000"/>
          <w:szCs w:val="26"/>
          <w:shd w:val="clear" w:color="auto" w:fill="FFFFFF"/>
        </w:rPr>
        <w:t xml:space="preserve">The plaintiff filed suit under the Unruh </w:t>
      </w:r>
      <w:r w:rsidR="00882742">
        <w:rPr>
          <w:color w:val="000000"/>
          <w:szCs w:val="26"/>
          <w:shd w:val="clear" w:color="auto" w:fill="FFFFFF"/>
        </w:rPr>
        <w:t xml:space="preserve">Civil Rights </w:t>
      </w:r>
      <w:r w:rsidR="00763E3E" w:rsidRPr="00AC2B1F">
        <w:rPr>
          <w:color w:val="000000"/>
          <w:szCs w:val="26"/>
          <w:shd w:val="clear" w:color="auto" w:fill="FFFFFF"/>
        </w:rPr>
        <w:t>Act, and t</w:t>
      </w:r>
      <w:r w:rsidR="00B27247" w:rsidRPr="00AC2B1F">
        <w:rPr>
          <w:color w:val="000000"/>
          <w:szCs w:val="26"/>
          <w:shd w:val="clear" w:color="auto" w:fill="FFFFFF"/>
        </w:rPr>
        <w:t>he defendants argued that the Act</w:t>
      </w:r>
      <w:r w:rsidR="00763E3E" w:rsidRPr="00AC2B1F">
        <w:rPr>
          <w:color w:val="000000"/>
          <w:szCs w:val="26"/>
          <w:shd w:val="clear" w:color="auto" w:fill="FFFFFF"/>
        </w:rPr>
        <w:t>, while</w:t>
      </w:r>
      <w:r w:rsidR="00B27247" w:rsidRPr="00AC2B1F">
        <w:rPr>
          <w:color w:val="000000"/>
          <w:szCs w:val="26"/>
          <w:shd w:val="clear" w:color="auto" w:fill="FFFFFF"/>
        </w:rPr>
        <w:t xml:space="preserve"> prohibit</w:t>
      </w:r>
      <w:r w:rsidR="00763E3E" w:rsidRPr="00AC2B1F">
        <w:rPr>
          <w:color w:val="000000"/>
          <w:szCs w:val="26"/>
          <w:shd w:val="clear" w:color="auto" w:fill="FFFFFF"/>
        </w:rPr>
        <w:t>ing</w:t>
      </w:r>
      <w:r w:rsidR="00B27247" w:rsidRPr="00AC2B1F">
        <w:rPr>
          <w:color w:val="000000"/>
          <w:szCs w:val="26"/>
          <w:shd w:val="clear" w:color="auto" w:fill="FFFFFF"/>
        </w:rPr>
        <w:t xml:space="preserve"> discriminatory exclusion of patrons from business establishments</w:t>
      </w:r>
      <w:r w:rsidR="00763E3E" w:rsidRPr="00AC2B1F">
        <w:rPr>
          <w:color w:val="000000"/>
          <w:szCs w:val="26"/>
          <w:shd w:val="clear" w:color="auto" w:fill="FFFFFF"/>
        </w:rPr>
        <w:t>,</w:t>
      </w:r>
      <w:r w:rsidR="00B27247" w:rsidRPr="00AC2B1F">
        <w:rPr>
          <w:color w:val="000000"/>
          <w:szCs w:val="26"/>
          <w:shd w:val="clear" w:color="auto" w:fill="FFFFFF"/>
        </w:rPr>
        <w:t xml:space="preserve"> does not extend to price discrimination.  We held that </w:t>
      </w:r>
      <w:r w:rsidR="00897A55" w:rsidRPr="00AC2B1F">
        <w:rPr>
          <w:color w:val="000000"/>
          <w:szCs w:val="26"/>
          <w:shd w:val="clear" w:color="auto" w:fill="FFFFFF"/>
        </w:rPr>
        <w:t>“</w:t>
      </w:r>
      <w:r w:rsidR="0059713F" w:rsidRPr="00AC2B1F">
        <w:rPr>
          <w:color w:val="000000"/>
          <w:szCs w:val="26"/>
          <w:shd w:val="clear" w:color="auto" w:fill="FFFFFF"/>
        </w:rPr>
        <w:t>[t]</w:t>
      </w:r>
      <w:r w:rsidR="00897A55" w:rsidRPr="00AC2B1F">
        <w:rPr>
          <w:color w:val="000000"/>
          <w:szCs w:val="26"/>
          <w:shd w:val="clear" w:color="auto" w:fill="FFFFFF"/>
        </w:rPr>
        <w:t>he Act</w:t>
      </w:r>
      <w:r w:rsidR="0059713F" w:rsidRPr="00AC2B1F">
        <w:rPr>
          <w:color w:val="000000"/>
          <w:szCs w:val="26"/>
          <w:shd w:val="clear" w:color="auto" w:fill="FFFFFF"/>
        </w:rPr>
        <w:t>’s</w:t>
      </w:r>
      <w:r w:rsidR="00897A55" w:rsidRPr="00AC2B1F">
        <w:rPr>
          <w:color w:val="000000"/>
          <w:szCs w:val="26"/>
          <w:shd w:val="clear" w:color="auto" w:fill="FFFFFF"/>
        </w:rPr>
        <w:t xml:space="preserve"> proscription is broad enough to include within its scope discrimination in the form of sex-based price discounts.</w:t>
      </w:r>
      <w:r w:rsidR="00763E3E" w:rsidRPr="00AC2B1F">
        <w:rPr>
          <w:color w:val="000000"/>
          <w:szCs w:val="26"/>
          <w:shd w:val="clear" w:color="auto" w:fill="FFFFFF"/>
        </w:rPr>
        <w:t>”  (</w:t>
      </w:r>
      <w:r w:rsidR="00882742">
        <w:rPr>
          <w:i/>
          <w:color w:val="000000"/>
          <w:szCs w:val="26"/>
          <w:shd w:val="clear" w:color="auto" w:fill="FFFFFF"/>
        </w:rPr>
        <w:t>Koire</w:t>
      </w:r>
      <w:r w:rsidR="00CF417F" w:rsidRPr="00736F5B">
        <w:rPr>
          <w:color w:val="000000"/>
          <w:szCs w:val="26"/>
          <w:shd w:val="clear" w:color="auto" w:fill="FFFFFF"/>
        </w:rPr>
        <w:t>,</w:t>
      </w:r>
      <w:r w:rsidR="00763E3E" w:rsidRPr="00593B8A">
        <w:rPr>
          <w:color w:val="000000"/>
          <w:szCs w:val="26"/>
          <w:shd w:val="clear" w:color="auto" w:fill="FFFFFF"/>
        </w:rPr>
        <w:t xml:space="preserve"> </w:t>
      </w:r>
      <w:r w:rsidR="00763E3E" w:rsidRPr="00AC2B1F">
        <w:rPr>
          <w:color w:val="000000"/>
          <w:szCs w:val="26"/>
          <w:shd w:val="clear" w:color="auto" w:fill="FFFFFF"/>
        </w:rPr>
        <w:t xml:space="preserve">at p. 30.)  There was no </w:t>
      </w:r>
      <w:r w:rsidR="00AC2B1F">
        <w:rPr>
          <w:color w:val="000000"/>
          <w:szCs w:val="26"/>
          <w:shd w:val="clear" w:color="auto" w:fill="FFFFFF"/>
        </w:rPr>
        <w:t xml:space="preserve">clear </w:t>
      </w:r>
      <w:r w:rsidR="00763E3E" w:rsidRPr="00AC2B1F">
        <w:rPr>
          <w:color w:val="000000"/>
          <w:szCs w:val="26"/>
          <w:shd w:val="clear" w:color="auto" w:fill="FFFFFF"/>
        </w:rPr>
        <w:t xml:space="preserve">indication that the plaintiff, beyond requesting the price discounts, had actually paid a discriminatory price, and </w:t>
      </w:r>
      <w:r w:rsidR="00AC2B1F">
        <w:rPr>
          <w:color w:val="000000"/>
          <w:szCs w:val="26"/>
          <w:shd w:val="clear" w:color="auto" w:fill="FFFFFF"/>
        </w:rPr>
        <w:t>in any event</w:t>
      </w:r>
      <w:r w:rsidR="00F64412">
        <w:rPr>
          <w:color w:val="000000"/>
          <w:szCs w:val="26"/>
          <w:shd w:val="clear" w:color="auto" w:fill="FFFFFF"/>
        </w:rPr>
        <w:t>, our</w:t>
      </w:r>
      <w:r w:rsidR="00AC2B1F" w:rsidRPr="00AC2B1F">
        <w:rPr>
          <w:color w:val="000000"/>
          <w:szCs w:val="26"/>
          <w:shd w:val="clear" w:color="auto" w:fill="FFFFFF"/>
        </w:rPr>
        <w:t xml:space="preserve"> </w:t>
      </w:r>
      <w:r w:rsidR="00763E3E" w:rsidRPr="00AC2B1F">
        <w:rPr>
          <w:color w:val="000000"/>
          <w:szCs w:val="26"/>
          <w:shd w:val="clear" w:color="auto" w:fill="FFFFFF"/>
        </w:rPr>
        <w:t xml:space="preserve">opinion </w:t>
      </w:r>
      <w:r w:rsidR="00AC2B1F">
        <w:rPr>
          <w:color w:val="000000"/>
          <w:szCs w:val="26"/>
          <w:shd w:val="clear" w:color="auto" w:fill="FFFFFF"/>
        </w:rPr>
        <w:t xml:space="preserve">did not </w:t>
      </w:r>
      <w:r w:rsidR="00F64412">
        <w:rPr>
          <w:color w:val="000000"/>
          <w:szCs w:val="26"/>
          <w:shd w:val="clear" w:color="auto" w:fill="FFFFFF"/>
        </w:rPr>
        <w:t>say</w:t>
      </w:r>
      <w:r w:rsidR="00763E3E" w:rsidRPr="00AC2B1F">
        <w:rPr>
          <w:color w:val="000000"/>
          <w:szCs w:val="26"/>
          <w:shd w:val="clear" w:color="auto" w:fill="FFFFFF"/>
        </w:rPr>
        <w:t xml:space="preserve"> such payment was required for standing.</w:t>
      </w:r>
    </w:p>
    <w:p w14:paraId="3C72914B" w14:textId="51F98253" w:rsidR="00623B6B" w:rsidRPr="00AC2B1F" w:rsidRDefault="0059713F" w:rsidP="00AC2B1F">
      <w:pPr>
        <w:ind w:firstLine="720"/>
        <w:rPr>
          <w:color w:val="000000"/>
          <w:szCs w:val="26"/>
          <w:shd w:val="clear" w:color="auto" w:fill="FFFFFF"/>
        </w:rPr>
      </w:pPr>
      <w:r w:rsidRPr="00AC2B1F">
        <w:rPr>
          <w:szCs w:val="26"/>
          <w:shd w:val="clear" w:color="auto" w:fill="FFFFFF"/>
        </w:rPr>
        <w:t xml:space="preserve">In </w:t>
      </w:r>
      <w:r w:rsidRPr="00AC2B1F">
        <w:rPr>
          <w:i/>
          <w:szCs w:val="26"/>
          <w:shd w:val="clear" w:color="auto" w:fill="FFFFFF"/>
        </w:rPr>
        <w:t>Angelucci</w:t>
      </w:r>
      <w:r w:rsidRPr="00AC2B1F">
        <w:rPr>
          <w:szCs w:val="26"/>
          <w:shd w:val="clear" w:color="auto" w:fill="FFFFFF"/>
        </w:rPr>
        <w:t xml:space="preserve">, four men sued a private club under the Unruh </w:t>
      </w:r>
      <w:r w:rsidR="00882742">
        <w:rPr>
          <w:szCs w:val="26"/>
          <w:shd w:val="clear" w:color="auto" w:fill="FFFFFF"/>
        </w:rPr>
        <w:t xml:space="preserve">Civil Rights </w:t>
      </w:r>
      <w:r w:rsidRPr="00AC2B1F">
        <w:rPr>
          <w:szCs w:val="26"/>
          <w:shd w:val="clear" w:color="auto" w:fill="FFFFFF"/>
        </w:rPr>
        <w:t>Act for charging them higher admission fees than it charged to women.  (</w:t>
      </w:r>
      <w:r w:rsidRPr="00AC2B1F">
        <w:rPr>
          <w:i/>
          <w:szCs w:val="26"/>
          <w:shd w:val="clear" w:color="auto" w:fill="FFFFFF"/>
        </w:rPr>
        <w:t>Angelucci</w:t>
      </w:r>
      <w:r w:rsidRPr="00AC2B1F">
        <w:rPr>
          <w:szCs w:val="26"/>
          <w:shd w:val="clear" w:color="auto" w:fill="FFFFFF"/>
        </w:rPr>
        <w:t xml:space="preserve">, </w:t>
      </w:r>
      <w:r w:rsidRPr="00AC2B1F">
        <w:rPr>
          <w:i/>
          <w:szCs w:val="26"/>
          <w:shd w:val="clear" w:color="auto" w:fill="FFFFFF"/>
        </w:rPr>
        <w:t>supra</w:t>
      </w:r>
      <w:r w:rsidRPr="00AC2B1F">
        <w:rPr>
          <w:szCs w:val="26"/>
          <w:shd w:val="clear" w:color="auto" w:fill="FFFFFF"/>
        </w:rPr>
        <w:t>, 41 Cal.4th at pp. 164–165.)  The plaintiffs had “patronized the club on several occasions” and had paid higher fees based on their gender.  (</w:t>
      </w:r>
      <w:r w:rsidRPr="00AC2B1F">
        <w:rPr>
          <w:i/>
          <w:szCs w:val="26"/>
          <w:shd w:val="clear" w:color="auto" w:fill="FFFFFF"/>
        </w:rPr>
        <w:t>Id.</w:t>
      </w:r>
      <w:r w:rsidRPr="00AC2B1F">
        <w:rPr>
          <w:szCs w:val="26"/>
          <w:shd w:val="clear" w:color="auto" w:fill="FFFFFF"/>
        </w:rPr>
        <w:t xml:space="preserve"> at p. 165.)  The club </w:t>
      </w:r>
      <w:r w:rsidR="00623B6B" w:rsidRPr="00AC2B1F">
        <w:rPr>
          <w:szCs w:val="26"/>
          <w:shd w:val="clear" w:color="auto" w:fill="FFFFFF"/>
        </w:rPr>
        <w:t xml:space="preserve">sought </w:t>
      </w:r>
      <w:r w:rsidRPr="00AC2B1F">
        <w:rPr>
          <w:szCs w:val="26"/>
          <w:shd w:val="clear" w:color="auto" w:fill="FFFFFF"/>
        </w:rPr>
        <w:t>dismissal on the ground that the plaintiffs “had not alleged they had asked the club to be charged at the same rate as female patrons.”  (</w:t>
      </w:r>
      <w:r w:rsidRPr="00AC2B1F">
        <w:rPr>
          <w:i/>
          <w:szCs w:val="26"/>
          <w:shd w:val="clear" w:color="auto" w:fill="FFFFFF"/>
        </w:rPr>
        <w:t>Ibid.</w:t>
      </w:r>
      <w:r w:rsidRPr="00AC2B1F">
        <w:rPr>
          <w:szCs w:val="26"/>
          <w:shd w:val="clear" w:color="auto" w:fill="FFFFFF"/>
        </w:rPr>
        <w:t xml:space="preserve">)  We </w:t>
      </w:r>
      <w:r w:rsidR="00623B6B" w:rsidRPr="00AC2B1F">
        <w:rPr>
          <w:szCs w:val="26"/>
          <w:shd w:val="clear" w:color="auto" w:fill="FFFFFF"/>
        </w:rPr>
        <w:t>held that nothing in the text of the Act requires that “before a legal action may be filed, the victim of the asserted discrimination must have demanded equal treatment and have been refused.”  (</w:t>
      </w:r>
      <w:r w:rsidR="00882742">
        <w:rPr>
          <w:i/>
          <w:szCs w:val="26"/>
          <w:shd w:val="clear" w:color="auto" w:fill="FFFFFF"/>
        </w:rPr>
        <w:t>Angelucci</w:t>
      </w:r>
      <w:r w:rsidR="00CF417F" w:rsidRPr="00736F5B">
        <w:rPr>
          <w:szCs w:val="26"/>
          <w:shd w:val="clear" w:color="auto" w:fill="FFFFFF"/>
        </w:rPr>
        <w:t>,</w:t>
      </w:r>
      <w:r w:rsidR="00623B6B" w:rsidRPr="00593B8A">
        <w:rPr>
          <w:szCs w:val="26"/>
          <w:shd w:val="clear" w:color="auto" w:fill="FFFFFF"/>
        </w:rPr>
        <w:t xml:space="preserve"> </w:t>
      </w:r>
      <w:r w:rsidR="00623B6B" w:rsidRPr="00AC2B1F">
        <w:rPr>
          <w:szCs w:val="26"/>
          <w:shd w:val="clear" w:color="auto" w:fill="FFFFFF"/>
        </w:rPr>
        <w:t>at p. 168.)  Such a requirement “would be inconsistent with the purpose of the Act to ‘eradicate’ or ‘eliminate’ arbitrary, invidious discrimination in places of public accommodation. . . .  If businesses are held not to violate the Act or inflict injury unless they are challenged by a patron, their ordinary practice may revert to discrimination, with special exceptions being made for individuals who happen to challenge the practice.”  (</w:t>
      </w:r>
      <w:r w:rsidR="00623B6B" w:rsidRPr="00AC2B1F">
        <w:rPr>
          <w:i/>
          <w:szCs w:val="26"/>
          <w:shd w:val="clear" w:color="auto" w:fill="FFFFFF"/>
        </w:rPr>
        <w:t>Id.</w:t>
      </w:r>
      <w:r w:rsidR="00623B6B" w:rsidRPr="00AC2B1F">
        <w:rPr>
          <w:szCs w:val="26"/>
          <w:shd w:val="clear" w:color="auto" w:fill="FFFFFF"/>
        </w:rPr>
        <w:t xml:space="preserve"> at p. 169.)  We declined to read the Act in a </w:t>
      </w:r>
      <w:r w:rsidR="00623B6B" w:rsidRPr="00AC2B1F">
        <w:rPr>
          <w:szCs w:val="26"/>
          <w:shd w:val="clear" w:color="auto" w:fill="FFFFFF"/>
        </w:rPr>
        <w:lastRenderedPageBreak/>
        <w:t>manner that would leave businesses free to discriminate “so long as these establishments agree to provide equal treatment to those customers knowledgeable and assertive enough to demand it.”  (</w:t>
      </w:r>
      <w:r w:rsidR="00882742" w:rsidRPr="00CF417F">
        <w:rPr>
          <w:i/>
          <w:szCs w:val="26"/>
          <w:shd w:val="clear" w:color="auto" w:fill="FFFFFF"/>
        </w:rPr>
        <w:t>Angelucci</w:t>
      </w:r>
      <w:r w:rsidR="00CF417F" w:rsidRPr="00736F5B">
        <w:rPr>
          <w:szCs w:val="26"/>
          <w:shd w:val="clear" w:color="auto" w:fill="FFFFFF"/>
        </w:rPr>
        <w:t>,</w:t>
      </w:r>
      <w:r w:rsidR="00882742">
        <w:rPr>
          <w:szCs w:val="26"/>
          <w:shd w:val="clear" w:color="auto" w:fill="FFFFFF"/>
        </w:rPr>
        <w:t xml:space="preserve"> at p. 169</w:t>
      </w:r>
      <w:r w:rsidR="00623B6B" w:rsidRPr="00AC2B1F">
        <w:rPr>
          <w:i/>
          <w:szCs w:val="26"/>
          <w:shd w:val="clear" w:color="auto" w:fill="FFFFFF"/>
        </w:rPr>
        <w:t>.</w:t>
      </w:r>
      <w:r w:rsidR="00623B6B" w:rsidRPr="00AC2B1F">
        <w:rPr>
          <w:szCs w:val="26"/>
          <w:shd w:val="clear" w:color="auto" w:fill="FFFFFF"/>
        </w:rPr>
        <w:t xml:space="preserve">)  We </w:t>
      </w:r>
      <w:r w:rsidR="00531562" w:rsidRPr="00AC2B1F">
        <w:rPr>
          <w:szCs w:val="26"/>
          <w:shd w:val="clear" w:color="auto" w:fill="FFFFFF"/>
        </w:rPr>
        <w:t xml:space="preserve">also </w:t>
      </w:r>
      <w:r w:rsidR="00623B6B" w:rsidRPr="00AC2B1F">
        <w:rPr>
          <w:szCs w:val="26"/>
          <w:shd w:val="clear" w:color="auto" w:fill="FFFFFF"/>
        </w:rPr>
        <w:t xml:space="preserve">observed that </w:t>
      </w:r>
      <w:r w:rsidR="00531562" w:rsidRPr="00AC2B1F">
        <w:rPr>
          <w:szCs w:val="26"/>
          <w:shd w:val="clear" w:color="auto" w:fill="FFFFFF"/>
        </w:rPr>
        <w:t>the Act must be understood to afford redress to “</w:t>
      </w:r>
      <w:r w:rsidR="00623B6B" w:rsidRPr="00AC2B1F">
        <w:rPr>
          <w:color w:val="000000"/>
          <w:szCs w:val="26"/>
          <w:shd w:val="clear" w:color="auto" w:fill="FFFFFF"/>
        </w:rPr>
        <w:t>persons discriminated against on an occasion when there was no one present to receive and answer a demand for equal treatment (for example, persons</w:t>
      </w:r>
      <w:r w:rsidR="00531562" w:rsidRPr="00AC2B1F">
        <w:rPr>
          <w:color w:val="000000"/>
          <w:szCs w:val="26"/>
          <w:shd w:val="clear" w:color="auto" w:fill="FFFFFF"/>
        </w:rPr>
        <w:t xml:space="preserve"> </w:t>
      </w:r>
      <w:r w:rsidR="00623B6B" w:rsidRPr="00AC2B1F">
        <w:rPr>
          <w:color w:val="000000"/>
          <w:szCs w:val="26"/>
          <w:shd w:val="clear" w:color="auto" w:fill="FFFFFF"/>
        </w:rPr>
        <w:t>encountering, as they did in past decades, racially segregated drinking fountains or restroom facilities at an unattended structure).</w:t>
      </w:r>
      <w:r w:rsidR="00531562" w:rsidRPr="00AC2B1F">
        <w:rPr>
          <w:color w:val="000000"/>
          <w:szCs w:val="26"/>
          <w:shd w:val="clear" w:color="auto" w:fill="FFFFFF"/>
        </w:rPr>
        <w:t>”  (</w:t>
      </w:r>
      <w:r w:rsidR="00270ECB">
        <w:rPr>
          <w:i/>
          <w:color w:val="000000"/>
          <w:szCs w:val="26"/>
          <w:shd w:val="clear" w:color="auto" w:fill="FFFFFF"/>
        </w:rPr>
        <w:t>Angelucci</w:t>
      </w:r>
      <w:r w:rsidR="00CF417F" w:rsidRPr="00736F5B">
        <w:rPr>
          <w:color w:val="000000"/>
          <w:szCs w:val="26"/>
          <w:shd w:val="clear" w:color="auto" w:fill="FFFFFF"/>
        </w:rPr>
        <w:t>,</w:t>
      </w:r>
      <w:r w:rsidR="00531562" w:rsidRPr="00AC2B1F">
        <w:rPr>
          <w:color w:val="000000"/>
          <w:szCs w:val="26"/>
          <w:shd w:val="clear" w:color="auto" w:fill="FFFFFF"/>
        </w:rPr>
        <w:t xml:space="preserve"> at p. 170.)  The plaintiffs had standing, we concluded, because each of them “was subjected to, and paid, defendant’s gender-based price differential.”  (</w:t>
      </w:r>
      <w:r w:rsidR="00531562" w:rsidRPr="00AC2B1F">
        <w:rPr>
          <w:i/>
          <w:color w:val="000000"/>
          <w:szCs w:val="26"/>
          <w:shd w:val="clear" w:color="auto" w:fill="FFFFFF"/>
        </w:rPr>
        <w:t>Id.</w:t>
      </w:r>
      <w:r w:rsidR="00531562" w:rsidRPr="00AC2B1F">
        <w:rPr>
          <w:color w:val="000000"/>
          <w:szCs w:val="26"/>
          <w:shd w:val="clear" w:color="auto" w:fill="FFFFFF"/>
        </w:rPr>
        <w:t xml:space="preserve"> at pp. 175–176</w:t>
      </w:r>
      <w:r w:rsidR="008E4A13" w:rsidRPr="00AC2B1F">
        <w:rPr>
          <w:color w:val="000000"/>
          <w:szCs w:val="26"/>
          <w:shd w:val="clear" w:color="auto" w:fill="FFFFFF"/>
        </w:rPr>
        <w:t xml:space="preserve">; see </w:t>
      </w:r>
      <w:r w:rsidR="008E4A13" w:rsidRPr="00AC2B1F">
        <w:rPr>
          <w:i/>
          <w:color w:val="000000"/>
          <w:szCs w:val="26"/>
          <w:shd w:val="clear" w:color="auto" w:fill="FFFFFF"/>
        </w:rPr>
        <w:t>id.</w:t>
      </w:r>
      <w:r w:rsidR="008E4A13" w:rsidRPr="00AC2B1F">
        <w:rPr>
          <w:color w:val="000000"/>
          <w:szCs w:val="26"/>
          <w:shd w:val="clear" w:color="auto" w:fill="FFFFFF"/>
        </w:rPr>
        <w:t xml:space="preserve"> at p. 170 [“each plaintiff presented himself for admittance, paid the price of admission, and entered the establishment”]</w:t>
      </w:r>
      <w:r w:rsidR="00531562" w:rsidRPr="00AC2B1F">
        <w:rPr>
          <w:color w:val="000000"/>
          <w:szCs w:val="26"/>
          <w:shd w:val="clear" w:color="auto" w:fill="FFFFFF"/>
        </w:rPr>
        <w:t>.)</w:t>
      </w:r>
    </w:p>
    <w:p w14:paraId="2AA905C5" w14:textId="152BE6FA" w:rsidR="00531562" w:rsidRPr="00AC2B1F" w:rsidRDefault="00F82BC3" w:rsidP="00AC2B1F">
      <w:pPr>
        <w:ind w:firstLine="720"/>
        <w:rPr>
          <w:szCs w:val="26"/>
          <w:shd w:val="clear" w:color="auto" w:fill="FFFFFF"/>
        </w:rPr>
      </w:pPr>
      <w:r w:rsidRPr="00AC2B1F">
        <w:rPr>
          <w:szCs w:val="26"/>
          <w:shd w:val="clear" w:color="auto" w:fill="FFFFFF"/>
        </w:rPr>
        <w:t xml:space="preserve">Thus, </w:t>
      </w:r>
      <w:r w:rsidR="00632E4B" w:rsidRPr="00AC2B1F">
        <w:rPr>
          <w:i/>
          <w:szCs w:val="26"/>
          <w:shd w:val="clear" w:color="auto" w:fill="FFFFFF"/>
        </w:rPr>
        <w:t>Koire</w:t>
      </w:r>
      <w:r w:rsidR="00632E4B" w:rsidRPr="00AC2B1F">
        <w:rPr>
          <w:szCs w:val="26"/>
          <w:shd w:val="clear" w:color="auto" w:fill="FFFFFF"/>
        </w:rPr>
        <w:t xml:space="preserve"> involved </w:t>
      </w:r>
      <w:r w:rsidRPr="00AC2B1F">
        <w:rPr>
          <w:szCs w:val="26"/>
          <w:shd w:val="clear" w:color="auto" w:fill="FFFFFF"/>
        </w:rPr>
        <w:t xml:space="preserve">a plaintiff who </w:t>
      </w:r>
      <w:r w:rsidR="00632E4B" w:rsidRPr="00AC2B1F">
        <w:rPr>
          <w:szCs w:val="26"/>
          <w:shd w:val="clear" w:color="auto" w:fill="FFFFFF"/>
        </w:rPr>
        <w:t>present</w:t>
      </w:r>
      <w:r w:rsidRPr="00AC2B1F">
        <w:rPr>
          <w:szCs w:val="26"/>
          <w:shd w:val="clear" w:color="auto" w:fill="FFFFFF"/>
        </w:rPr>
        <w:t>ed himself for admittance and requested equal treatment (without paying</w:t>
      </w:r>
      <w:r w:rsidR="00430458" w:rsidRPr="00AC2B1F">
        <w:rPr>
          <w:szCs w:val="26"/>
          <w:shd w:val="clear" w:color="auto" w:fill="FFFFFF"/>
        </w:rPr>
        <w:t xml:space="preserve"> the discriminatory price</w:t>
      </w:r>
      <w:r w:rsidRPr="00AC2B1F">
        <w:rPr>
          <w:szCs w:val="26"/>
          <w:shd w:val="clear" w:color="auto" w:fill="FFFFFF"/>
        </w:rPr>
        <w:t xml:space="preserve">), and </w:t>
      </w:r>
      <w:r w:rsidR="00632E4B" w:rsidRPr="00AC2B1F">
        <w:rPr>
          <w:i/>
          <w:szCs w:val="26"/>
          <w:shd w:val="clear" w:color="auto" w:fill="FFFFFF"/>
        </w:rPr>
        <w:t>Angelucci</w:t>
      </w:r>
      <w:r w:rsidR="00632E4B" w:rsidRPr="00AC2B1F">
        <w:rPr>
          <w:szCs w:val="26"/>
          <w:shd w:val="clear" w:color="auto" w:fill="FFFFFF"/>
        </w:rPr>
        <w:t xml:space="preserve"> involved </w:t>
      </w:r>
      <w:r w:rsidRPr="00AC2B1F">
        <w:rPr>
          <w:szCs w:val="26"/>
          <w:shd w:val="clear" w:color="auto" w:fill="FFFFFF"/>
        </w:rPr>
        <w:t xml:space="preserve">plaintiffs who </w:t>
      </w:r>
      <w:r w:rsidR="00632E4B" w:rsidRPr="00AC2B1F">
        <w:rPr>
          <w:szCs w:val="26"/>
          <w:shd w:val="clear" w:color="auto" w:fill="FFFFFF"/>
        </w:rPr>
        <w:t>presen</w:t>
      </w:r>
      <w:r w:rsidRPr="00AC2B1F">
        <w:rPr>
          <w:szCs w:val="26"/>
          <w:shd w:val="clear" w:color="auto" w:fill="FFFFFF"/>
        </w:rPr>
        <w:t>ted themselves for admittance</w:t>
      </w:r>
      <w:r w:rsidR="00632E4B" w:rsidRPr="00AC2B1F">
        <w:rPr>
          <w:szCs w:val="26"/>
          <w:shd w:val="clear" w:color="auto" w:fill="FFFFFF"/>
        </w:rPr>
        <w:t xml:space="preserve"> and pa</w:t>
      </w:r>
      <w:r w:rsidRPr="00AC2B1F">
        <w:rPr>
          <w:szCs w:val="26"/>
          <w:shd w:val="clear" w:color="auto" w:fill="FFFFFF"/>
        </w:rPr>
        <w:t>id the discriminatory price (without requesting equal treatment)</w:t>
      </w:r>
      <w:r w:rsidR="00632E4B" w:rsidRPr="00AC2B1F">
        <w:rPr>
          <w:szCs w:val="26"/>
          <w:shd w:val="clear" w:color="auto" w:fill="FFFFFF"/>
        </w:rPr>
        <w:t xml:space="preserve">.  </w:t>
      </w:r>
      <w:r w:rsidR="00632E4B" w:rsidRPr="00AC2B1F">
        <w:rPr>
          <w:i/>
          <w:szCs w:val="26"/>
          <w:shd w:val="clear" w:color="auto" w:fill="FFFFFF"/>
        </w:rPr>
        <w:t>Angelucci</w:t>
      </w:r>
      <w:r w:rsidR="00632E4B" w:rsidRPr="00AC2B1F">
        <w:rPr>
          <w:szCs w:val="26"/>
          <w:shd w:val="clear" w:color="auto" w:fill="FFFFFF"/>
        </w:rPr>
        <w:t xml:space="preserve"> confirmed </w:t>
      </w:r>
      <w:r w:rsidRPr="00AC2B1F">
        <w:rPr>
          <w:szCs w:val="26"/>
          <w:shd w:val="clear" w:color="auto" w:fill="FFFFFF"/>
        </w:rPr>
        <w:t xml:space="preserve">that the facts in </w:t>
      </w:r>
      <w:r w:rsidR="00632E4B" w:rsidRPr="00AC2B1F">
        <w:rPr>
          <w:szCs w:val="26"/>
          <w:shd w:val="clear" w:color="auto" w:fill="FFFFFF"/>
        </w:rPr>
        <w:t xml:space="preserve">both </w:t>
      </w:r>
      <w:r w:rsidRPr="00AC2B1F">
        <w:rPr>
          <w:szCs w:val="26"/>
          <w:shd w:val="clear" w:color="auto" w:fill="FFFFFF"/>
        </w:rPr>
        <w:t xml:space="preserve">contexts were </w:t>
      </w:r>
      <w:proofErr w:type="gramStart"/>
      <w:r w:rsidRPr="00AC2B1F">
        <w:rPr>
          <w:szCs w:val="26"/>
          <w:shd w:val="clear" w:color="auto" w:fill="FFFFFF"/>
        </w:rPr>
        <w:t>sufficient</w:t>
      </w:r>
      <w:proofErr w:type="gramEnd"/>
      <w:r w:rsidRPr="00AC2B1F">
        <w:rPr>
          <w:szCs w:val="26"/>
          <w:shd w:val="clear" w:color="auto" w:fill="FFFFFF"/>
        </w:rPr>
        <w:t xml:space="preserve"> for </w:t>
      </w:r>
      <w:r w:rsidR="00632E4B" w:rsidRPr="00AC2B1F">
        <w:rPr>
          <w:szCs w:val="26"/>
          <w:shd w:val="clear" w:color="auto" w:fill="FFFFFF"/>
        </w:rPr>
        <w:t>standing</w:t>
      </w:r>
      <w:r w:rsidRPr="00AC2B1F">
        <w:rPr>
          <w:szCs w:val="26"/>
          <w:shd w:val="clear" w:color="auto" w:fill="FFFFFF"/>
        </w:rPr>
        <w:t xml:space="preserve"> under the Unruh </w:t>
      </w:r>
      <w:r w:rsidR="00270ECB">
        <w:rPr>
          <w:szCs w:val="26"/>
          <w:shd w:val="clear" w:color="auto" w:fill="FFFFFF"/>
        </w:rPr>
        <w:t xml:space="preserve">Civil Rights </w:t>
      </w:r>
      <w:r w:rsidRPr="00AC2B1F">
        <w:rPr>
          <w:szCs w:val="26"/>
          <w:shd w:val="clear" w:color="auto" w:fill="FFFFFF"/>
        </w:rPr>
        <w:t>Act</w:t>
      </w:r>
      <w:r w:rsidR="00CC3C66" w:rsidRPr="00AC2B1F">
        <w:rPr>
          <w:szCs w:val="26"/>
          <w:shd w:val="clear" w:color="auto" w:fill="FFFFFF"/>
        </w:rPr>
        <w:t>.</w:t>
      </w:r>
      <w:r w:rsidRPr="00AC2B1F">
        <w:rPr>
          <w:szCs w:val="26"/>
          <w:shd w:val="clear" w:color="auto" w:fill="FFFFFF"/>
        </w:rPr>
        <w:t xml:space="preserve"> </w:t>
      </w:r>
      <w:r w:rsidR="00CC3C66" w:rsidRPr="00AC2B1F">
        <w:rPr>
          <w:szCs w:val="26"/>
          <w:shd w:val="clear" w:color="auto" w:fill="FFFFFF"/>
        </w:rPr>
        <w:t xml:space="preserve"> </w:t>
      </w:r>
      <w:r w:rsidRPr="00AC2B1F">
        <w:rPr>
          <w:szCs w:val="26"/>
          <w:shd w:val="clear" w:color="auto" w:fill="FFFFFF"/>
        </w:rPr>
        <w:t>(</w:t>
      </w:r>
      <w:r w:rsidRPr="00AC2B1F">
        <w:rPr>
          <w:i/>
          <w:szCs w:val="26"/>
          <w:shd w:val="clear" w:color="auto" w:fill="FFFFFF"/>
        </w:rPr>
        <w:t>Angelucci</w:t>
      </w:r>
      <w:r w:rsidRPr="00AC2B1F">
        <w:rPr>
          <w:szCs w:val="26"/>
          <w:shd w:val="clear" w:color="auto" w:fill="FFFFFF"/>
        </w:rPr>
        <w:t xml:space="preserve">, </w:t>
      </w:r>
      <w:r w:rsidRPr="00AC2B1F">
        <w:rPr>
          <w:i/>
          <w:szCs w:val="26"/>
          <w:shd w:val="clear" w:color="auto" w:fill="FFFFFF"/>
        </w:rPr>
        <w:t>supra</w:t>
      </w:r>
      <w:r w:rsidRPr="00AC2B1F">
        <w:rPr>
          <w:szCs w:val="26"/>
          <w:shd w:val="clear" w:color="auto" w:fill="FFFFFF"/>
        </w:rPr>
        <w:t>, 41 Cal.4th at pp. </w:t>
      </w:r>
      <w:r w:rsidR="00430458" w:rsidRPr="00AC2B1F">
        <w:rPr>
          <w:szCs w:val="26"/>
          <w:shd w:val="clear" w:color="auto" w:fill="FFFFFF"/>
        </w:rPr>
        <w:t xml:space="preserve">168–170, </w:t>
      </w:r>
      <w:r w:rsidRPr="00AC2B1F">
        <w:rPr>
          <w:szCs w:val="26"/>
          <w:shd w:val="clear" w:color="auto" w:fill="FFFFFF"/>
        </w:rPr>
        <w:t>173–</w:t>
      </w:r>
      <w:r w:rsidR="00430458" w:rsidRPr="00AC2B1F">
        <w:rPr>
          <w:szCs w:val="26"/>
          <w:shd w:val="clear" w:color="auto" w:fill="FFFFFF"/>
        </w:rPr>
        <w:t>175</w:t>
      </w:r>
      <w:r w:rsidR="008E2C2A" w:rsidRPr="00AC2B1F">
        <w:rPr>
          <w:szCs w:val="26"/>
          <w:shd w:val="clear" w:color="auto" w:fill="FFFFFF"/>
        </w:rPr>
        <w:t>.</w:t>
      </w:r>
      <w:r w:rsidR="00430458" w:rsidRPr="00AC2B1F">
        <w:rPr>
          <w:szCs w:val="26"/>
          <w:shd w:val="clear" w:color="auto" w:fill="FFFFFF"/>
        </w:rPr>
        <w:t>)</w:t>
      </w:r>
      <w:r w:rsidR="008E2C2A" w:rsidRPr="00AC2B1F">
        <w:rPr>
          <w:szCs w:val="26"/>
          <w:shd w:val="clear" w:color="auto" w:fill="FFFFFF"/>
        </w:rPr>
        <w:t xml:space="preserve">  As noted, we further acknowledged that</w:t>
      </w:r>
      <w:r w:rsidR="008E2C2A" w:rsidRPr="00AC2B1F">
        <w:rPr>
          <w:color w:val="000000"/>
          <w:szCs w:val="26"/>
          <w:shd w:val="clear" w:color="auto" w:fill="FFFFFF"/>
        </w:rPr>
        <w:t xml:space="preserve"> </w:t>
      </w:r>
      <w:r w:rsidR="008E2C2A" w:rsidRPr="00AC2B1F">
        <w:rPr>
          <w:iCs/>
          <w:szCs w:val="26"/>
        </w:rPr>
        <w:t xml:space="preserve">“ ‘a plaintiff cannot sue for discrimination in the </w:t>
      </w:r>
      <w:proofErr w:type="gramStart"/>
      <w:r w:rsidR="008E2C2A" w:rsidRPr="00AC2B1F">
        <w:rPr>
          <w:iCs/>
          <w:szCs w:val="26"/>
        </w:rPr>
        <w:t>abstract, but</w:t>
      </w:r>
      <w:proofErr w:type="gramEnd"/>
      <w:r w:rsidR="008E2C2A" w:rsidRPr="00AC2B1F">
        <w:rPr>
          <w:iCs/>
          <w:szCs w:val="26"/>
        </w:rPr>
        <w:t xml:space="preserve"> must actually suffer the discriminatory conduct.’ ”  </w:t>
      </w:r>
      <w:r w:rsidR="008E2C2A" w:rsidRPr="00AC2B1F">
        <w:rPr>
          <w:color w:val="000000"/>
          <w:szCs w:val="26"/>
          <w:shd w:val="clear" w:color="auto" w:fill="FFFFFF"/>
        </w:rPr>
        <w:t>(</w:t>
      </w:r>
      <w:r w:rsidR="008E2C2A" w:rsidRPr="00AC2B1F">
        <w:rPr>
          <w:i/>
          <w:color w:val="000000"/>
          <w:szCs w:val="26"/>
          <w:shd w:val="clear" w:color="auto" w:fill="FFFFFF"/>
        </w:rPr>
        <w:t>Id.</w:t>
      </w:r>
      <w:r w:rsidR="008E2C2A" w:rsidRPr="00AC2B1F">
        <w:rPr>
          <w:color w:val="000000"/>
          <w:szCs w:val="26"/>
          <w:shd w:val="clear" w:color="auto" w:fill="FFFFFF"/>
        </w:rPr>
        <w:t xml:space="preserve"> at p. 175.)</w:t>
      </w:r>
      <w:r w:rsidR="008E2C2A" w:rsidRPr="00AC2B1F">
        <w:rPr>
          <w:iCs/>
          <w:szCs w:val="26"/>
        </w:rPr>
        <w:t xml:space="preserve">  </w:t>
      </w:r>
      <w:r w:rsidR="004320D9" w:rsidRPr="00AC2B1F">
        <w:rPr>
          <w:iCs/>
          <w:szCs w:val="26"/>
        </w:rPr>
        <w:t>B</w:t>
      </w:r>
      <w:r w:rsidR="008E2C2A" w:rsidRPr="00AC2B1F">
        <w:rPr>
          <w:iCs/>
          <w:szCs w:val="26"/>
        </w:rPr>
        <w:t xml:space="preserve">eyond that, </w:t>
      </w:r>
      <w:r w:rsidR="008E2C2A" w:rsidRPr="00AC2B1F">
        <w:rPr>
          <w:szCs w:val="26"/>
          <w:shd w:val="clear" w:color="auto" w:fill="FFFFFF"/>
        </w:rPr>
        <w:t xml:space="preserve">our opinion in </w:t>
      </w:r>
      <w:r w:rsidR="008E2C2A" w:rsidRPr="00AC2B1F">
        <w:rPr>
          <w:i/>
          <w:szCs w:val="26"/>
          <w:shd w:val="clear" w:color="auto" w:fill="FFFFFF"/>
        </w:rPr>
        <w:t>Angelucci</w:t>
      </w:r>
      <w:r w:rsidR="008E2C2A" w:rsidRPr="00AC2B1F">
        <w:rPr>
          <w:szCs w:val="26"/>
          <w:shd w:val="clear" w:color="auto" w:fill="FFFFFF"/>
        </w:rPr>
        <w:t xml:space="preserve"> </w:t>
      </w:r>
      <w:r w:rsidRPr="00AC2B1F">
        <w:rPr>
          <w:szCs w:val="26"/>
          <w:shd w:val="clear" w:color="auto" w:fill="FFFFFF"/>
        </w:rPr>
        <w:t>expressed no view on the irreducible minimum required for standing.</w:t>
      </w:r>
    </w:p>
    <w:p w14:paraId="6A5CAD75" w14:textId="6C0980D8" w:rsidR="00751340" w:rsidRPr="00AC2B1F" w:rsidRDefault="007812F7" w:rsidP="00AC2B1F">
      <w:pPr>
        <w:ind w:firstLine="720"/>
        <w:rPr>
          <w:szCs w:val="26"/>
        </w:rPr>
      </w:pPr>
      <w:r w:rsidRPr="00AC2B1F">
        <w:rPr>
          <w:szCs w:val="26"/>
          <w:shd w:val="clear" w:color="auto" w:fill="FFFFFF"/>
        </w:rPr>
        <w:t xml:space="preserve">The case before us involves a plaintiff who neither paid </w:t>
      </w:r>
      <w:r w:rsidR="008E2C2A" w:rsidRPr="00AC2B1F">
        <w:rPr>
          <w:szCs w:val="26"/>
          <w:shd w:val="clear" w:color="auto" w:fill="FFFFFF"/>
        </w:rPr>
        <w:t xml:space="preserve">a </w:t>
      </w:r>
      <w:r w:rsidRPr="00AC2B1F">
        <w:rPr>
          <w:szCs w:val="26"/>
          <w:shd w:val="clear" w:color="auto" w:fill="FFFFFF"/>
        </w:rPr>
        <w:t xml:space="preserve">fee nor requested equal treatment before leaving the business establishment — </w:t>
      </w:r>
      <w:r w:rsidR="008E2C2A" w:rsidRPr="00AC2B1F">
        <w:rPr>
          <w:szCs w:val="26"/>
          <w:shd w:val="clear" w:color="auto" w:fill="FFFFFF"/>
        </w:rPr>
        <w:t xml:space="preserve">in this case, a website, not a brick-and-mortar </w:t>
      </w:r>
      <w:r w:rsidR="00751340" w:rsidRPr="00AC2B1F">
        <w:rPr>
          <w:szCs w:val="26"/>
          <w:shd w:val="clear" w:color="auto" w:fill="FFFFFF"/>
        </w:rPr>
        <w:lastRenderedPageBreak/>
        <w:t>vendor</w:t>
      </w:r>
      <w:r w:rsidR="008E2C2A" w:rsidRPr="00AC2B1F">
        <w:rPr>
          <w:szCs w:val="26"/>
          <w:shd w:val="clear" w:color="auto" w:fill="FFFFFF"/>
        </w:rPr>
        <w:t>.</w:t>
      </w:r>
      <w:r w:rsidR="00751340" w:rsidRPr="00AC2B1F">
        <w:rPr>
          <w:szCs w:val="26"/>
          <w:shd w:val="clear" w:color="auto" w:fill="FFFFFF"/>
        </w:rPr>
        <w:t xml:space="preserve">  </w:t>
      </w:r>
      <w:r w:rsidR="00751340" w:rsidRPr="00AC2B1F">
        <w:rPr>
          <w:szCs w:val="26"/>
        </w:rPr>
        <w:t xml:space="preserve">White contends that his interaction with Square is analogous to a plaintiff who intends to patronize a brick-and-mortar shop but, upon his attempted entry, sees a sign indicating that the business does not offer services to individuals based </w:t>
      </w:r>
      <w:r w:rsidR="00270ECB">
        <w:rPr>
          <w:szCs w:val="26"/>
        </w:rPr>
        <w:t xml:space="preserve">on </w:t>
      </w:r>
      <w:r w:rsidR="00751340" w:rsidRPr="00AC2B1F">
        <w:rPr>
          <w:szCs w:val="26"/>
        </w:rPr>
        <w:t xml:space="preserve">a protected category of which he is a member.  According to White, websites and apps on mobile devices are akin to “shopping malls” or other physical storefronts, and that visiting a website with the intention to use its services is equivalent to visiting a brick-and-mortar store with the same intention.  Square, by contrast, contends that White is a plaintiff with “mere knowledge” of a business’s allegedly discriminatory practice and is no different than any person who hears of discriminatory practices from a news article or through word of mouth.  </w:t>
      </w:r>
    </w:p>
    <w:p w14:paraId="6A0DE584" w14:textId="7B42C1CD" w:rsidR="00F45A67" w:rsidRPr="00AC2B1F" w:rsidRDefault="009E3E61" w:rsidP="00AC2B1F">
      <w:pPr>
        <w:shd w:val="clear" w:color="auto" w:fill="FFFFFF"/>
        <w:ind w:firstLine="720"/>
        <w:rPr>
          <w:color w:val="000000"/>
          <w:szCs w:val="26"/>
        </w:rPr>
      </w:pPr>
      <w:r w:rsidRPr="00AC2B1F">
        <w:rPr>
          <w:color w:val="000000"/>
          <w:szCs w:val="26"/>
        </w:rPr>
        <w:t>In resolving this issue</w:t>
      </w:r>
      <w:r w:rsidR="00751340" w:rsidRPr="00AC2B1F">
        <w:rPr>
          <w:color w:val="000000"/>
          <w:szCs w:val="26"/>
        </w:rPr>
        <w:t xml:space="preserve">, we </w:t>
      </w:r>
      <w:r w:rsidRPr="00AC2B1F">
        <w:rPr>
          <w:color w:val="000000"/>
          <w:szCs w:val="26"/>
        </w:rPr>
        <w:t xml:space="preserve">begin by </w:t>
      </w:r>
      <w:r w:rsidR="00751340" w:rsidRPr="00AC2B1F">
        <w:rPr>
          <w:color w:val="000000"/>
          <w:szCs w:val="26"/>
        </w:rPr>
        <w:t>observ</w:t>
      </w:r>
      <w:r w:rsidRPr="00AC2B1F">
        <w:rPr>
          <w:color w:val="000000"/>
          <w:szCs w:val="26"/>
        </w:rPr>
        <w:t>ing</w:t>
      </w:r>
      <w:r w:rsidR="00751340" w:rsidRPr="00AC2B1F">
        <w:rPr>
          <w:color w:val="000000"/>
          <w:szCs w:val="26"/>
        </w:rPr>
        <w:t xml:space="preserve"> that </w:t>
      </w:r>
      <w:r w:rsidRPr="00AC2B1F">
        <w:rPr>
          <w:color w:val="000000"/>
          <w:szCs w:val="26"/>
        </w:rPr>
        <w:t xml:space="preserve">when a person </w:t>
      </w:r>
      <w:r w:rsidR="00751340" w:rsidRPr="00AC2B1F">
        <w:rPr>
          <w:color w:val="000000"/>
          <w:szCs w:val="26"/>
        </w:rPr>
        <w:t>visit</w:t>
      </w:r>
      <w:r w:rsidRPr="00AC2B1F">
        <w:rPr>
          <w:color w:val="000000"/>
          <w:szCs w:val="26"/>
        </w:rPr>
        <w:t>s</w:t>
      </w:r>
      <w:r w:rsidR="00751340" w:rsidRPr="00AC2B1F">
        <w:rPr>
          <w:color w:val="000000"/>
          <w:szCs w:val="26"/>
        </w:rPr>
        <w:t xml:space="preserve"> a business’s website</w:t>
      </w:r>
      <w:r w:rsidRPr="00AC2B1F">
        <w:rPr>
          <w:color w:val="000000"/>
          <w:szCs w:val="26"/>
        </w:rPr>
        <w:t xml:space="preserve"> and encounters a discriminatory provision in the business’s terms of service, that person has experienced an interaction </w:t>
      </w:r>
      <w:r w:rsidR="00751340" w:rsidRPr="00AC2B1F">
        <w:rPr>
          <w:color w:val="000000"/>
          <w:szCs w:val="26"/>
        </w:rPr>
        <w:t xml:space="preserve">distinct from </w:t>
      </w:r>
      <w:r w:rsidRPr="00AC2B1F">
        <w:rPr>
          <w:color w:val="000000"/>
          <w:szCs w:val="26"/>
        </w:rPr>
        <w:t xml:space="preserve">merely </w:t>
      </w:r>
      <w:r w:rsidR="00751340" w:rsidRPr="00AC2B1F">
        <w:rPr>
          <w:color w:val="000000"/>
          <w:szCs w:val="26"/>
        </w:rPr>
        <w:t xml:space="preserve">learning about </w:t>
      </w:r>
      <w:r w:rsidRPr="00AC2B1F">
        <w:rPr>
          <w:color w:val="000000"/>
          <w:szCs w:val="26"/>
        </w:rPr>
        <w:t xml:space="preserve">a business’s </w:t>
      </w:r>
      <w:r w:rsidR="00751340" w:rsidRPr="00AC2B1F">
        <w:rPr>
          <w:color w:val="000000"/>
          <w:szCs w:val="26"/>
        </w:rPr>
        <w:t xml:space="preserve">discriminatory </w:t>
      </w:r>
      <w:r w:rsidRPr="00AC2B1F">
        <w:rPr>
          <w:color w:val="000000"/>
          <w:szCs w:val="26"/>
        </w:rPr>
        <w:t xml:space="preserve">policy or </w:t>
      </w:r>
      <w:r w:rsidR="00751340" w:rsidRPr="00AC2B1F">
        <w:rPr>
          <w:color w:val="000000"/>
          <w:szCs w:val="26"/>
        </w:rPr>
        <w:t>practices secondhand.  Whit</w:t>
      </w:r>
      <w:r w:rsidRPr="00AC2B1F">
        <w:rPr>
          <w:color w:val="000000"/>
          <w:szCs w:val="26"/>
        </w:rPr>
        <w:t xml:space="preserve">e </w:t>
      </w:r>
      <w:r w:rsidR="00751340" w:rsidRPr="00AC2B1F">
        <w:rPr>
          <w:color w:val="000000"/>
          <w:szCs w:val="26"/>
        </w:rPr>
        <w:t xml:space="preserve">does not allege that he </w:t>
      </w:r>
      <w:r w:rsidR="0084617D">
        <w:rPr>
          <w:color w:val="000000"/>
          <w:szCs w:val="26"/>
        </w:rPr>
        <w:t xml:space="preserve">merely </w:t>
      </w:r>
      <w:r w:rsidR="00751340" w:rsidRPr="00AC2B1F">
        <w:rPr>
          <w:color w:val="000000"/>
          <w:szCs w:val="26"/>
        </w:rPr>
        <w:t xml:space="preserve">heard or read about Square’s discriminatory </w:t>
      </w:r>
      <w:r w:rsidRPr="00AC2B1F">
        <w:rPr>
          <w:color w:val="000000"/>
          <w:szCs w:val="26"/>
        </w:rPr>
        <w:t xml:space="preserve">policy; he </w:t>
      </w:r>
      <w:r w:rsidR="00751340" w:rsidRPr="00AC2B1F">
        <w:rPr>
          <w:color w:val="000000"/>
          <w:szCs w:val="26"/>
        </w:rPr>
        <w:t xml:space="preserve">makes specific allegations detailing his repeated visits to Square’s webpage and his examination of its terms and conditions of service.  </w:t>
      </w:r>
      <w:r w:rsidR="004320D9" w:rsidRPr="00AC2B1F">
        <w:rPr>
          <w:color w:val="000000"/>
          <w:szCs w:val="26"/>
        </w:rPr>
        <w:t xml:space="preserve">Thus, although we agree with Square that mere </w:t>
      </w:r>
      <w:r w:rsidR="00730ACF" w:rsidRPr="00AC2B1F">
        <w:rPr>
          <w:color w:val="000000"/>
          <w:szCs w:val="26"/>
        </w:rPr>
        <w:t>awareness</w:t>
      </w:r>
      <w:r w:rsidR="004320D9" w:rsidRPr="00AC2B1F">
        <w:rPr>
          <w:color w:val="000000"/>
          <w:szCs w:val="26"/>
        </w:rPr>
        <w:t xml:space="preserve"> of a business’s discriminatory policy or practices is not enough for standing, White has alleged more than mere </w:t>
      </w:r>
      <w:r w:rsidR="00730ACF" w:rsidRPr="00AC2B1F">
        <w:rPr>
          <w:color w:val="000000"/>
          <w:szCs w:val="26"/>
        </w:rPr>
        <w:t>awareness</w:t>
      </w:r>
      <w:r w:rsidR="004320D9" w:rsidRPr="00AC2B1F">
        <w:rPr>
          <w:color w:val="000000"/>
          <w:szCs w:val="26"/>
        </w:rPr>
        <w:t xml:space="preserve"> here.</w:t>
      </w:r>
    </w:p>
    <w:p w14:paraId="7FA69B33" w14:textId="32F6B515" w:rsidR="007A1887" w:rsidRPr="00AC2B1F" w:rsidRDefault="009E3E61" w:rsidP="00AC2B1F">
      <w:pPr>
        <w:shd w:val="clear" w:color="auto" w:fill="FFFFFF"/>
        <w:ind w:firstLine="720"/>
        <w:rPr>
          <w:szCs w:val="26"/>
        </w:rPr>
      </w:pPr>
      <w:r w:rsidRPr="00AC2B1F">
        <w:rPr>
          <w:color w:val="000000"/>
          <w:szCs w:val="26"/>
        </w:rPr>
        <w:t xml:space="preserve">In addition, White </w:t>
      </w:r>
      <w:r w:rsidR="00751340" w:rsidRPr="00AC2B1F">
        <w:rPr>
          <w:color w:val="000000"/>
          <w:szCs w:val="26"/>
        </w:rPr>
        <w:t xml:space="preserve">alleges that he visited </w:t>
      </w:r>
      <w:r w:rsidRPr="00AC2B1F">
        <w:rPr>
          <w:color w:val="000000"/>
          <w:szCs w:val="26"/>
        </w:rPr>
        <w:t xml:space="preserve">Square’s </w:t>
      </w:r>
      <w:r w:rsidR="00751340" w:rsidRPr="00AC2B1F">
        <w:rPr>
          <w:color w:val="000000"/>
          <w:szCs w:val="26"/>
        </w:rPr>
        <w:t xml:space="preserve">website </w:t>
      </w:r>
      <w:r w:rsidRPr="00AC2B1F">
        <w:rPr>
          <w:color w:val="000000"/>
          <w:szCs w:val="26"/>
        </w:rPr>
        <w:t xml:space="preserve">and reviewed its terms of service </w:t>
      </w:r>
      <w:r w:rsidR="00751340" w:rsidRPr="00AC2B1F">
        <w:rPr>
          <w:color w:val="000000"/>
          <w:szCs w:val="26"/>
        </w:rPr>
        <w:t xml:space="preserve">with </w:t>
      </w:r>
      <w:r w:rsidR="00270ECB">
        <w:rPr>
          <w:color w:val="000000"/>
          <w:szCs w:val="26"/>
        </w:rPr>
        <w:t>the</w:t>
      </w:r>
      <w:r w:rsidR="00751340" w:rsidRPr="00AC2B1F">
        <w:rPr>
          <w:color w:val="000000"/>
          <w:szCs w:val="26"/>
        </w:rPr>
        <w:t xml:space="preserve"> specific intention to sign up for </w:t>
      </w:r>
      <w:r w:rsidRPr="00AC2B1F">
        <w:rPr>
          <w:color w:val="000000"/>
          <w:szCs w:val="26"/>
        </w:rPr>
        <w:t>Square’s</w:t>
      </w:r>
      <w:r w:rsidR="00751340" w:rsidRPr="00AC2B1F">
        <w:rPr>
          <w:color w:val="000000"/>
          <w:szCs w:val="26"/>
        </w:rPr>
        <w:t xml:space="preserve"> services and to use them </w:t>
      </w:r>
      <w:r w:rsidRPr="00AC2B1F">
        <w:rPr>
          <w:color w:val="000000"/>
          <w:szCs w:val="26"/>
        </w:rPr>
        <w:t>in</w:t>
      </w:r>
      <w:r w:rsidR="00751340" w:rsidRPr="00AC2B1F">
        <w:rPr>
          <w:color w:val="000000"/>
          <w:szCs w:val="26"/>
        </w:rPr>
        <w:t xml:space="preserve"> his bankruptcy law practice. </w:t>
      </w:r>
      <w:r w:rsidR="00E36426" w:rsidRPr="00AC2B1F">
        <w:rPr>
          <w:color w:val="000000"/>
          <w:szCs w:val="26"/>
        </w:rPr>
        <w:t xml:space="preserve"> </w:t>
      </w:r>
      <w:r w:rsidR="00990D9D" w:rsidRPr="00AC2B1F">
        <w:rPr>
          <w:i/>
          <w:color w:val="000000"/>
          <w:szCs w:val="26"/>
        </w:rPr>
        <w:t>Angelucci</w:t>
      </w:r>
      <w:r w:rsidR="00990D9D" w:rsidRPr="00AC2B1F">
        <w:rPr>
          <w:color w:val="000000"/>
          <w:szCs w:val="26"/>
        </w:rPr>
        <w:t xml:space="preserve"> does not squarely address whether this is </w:t>
      </w:r>
      <w:proofErr w:type="gramStart"/>
      <w:r w:rsidR="00990D9D" w:rsidRPr="00AC2B1F">
        <w:rPr>
          <w:color w:val="000000"/>
          <w:szCs w:val="26"/>
        </w:rPr>
        <w:t>sufficient</w:t>
      </w:r>
      <w:proofErr w:type="gramEnd"/>
      <w:r w:rsidR="00990D9D" w:rsidRPr="00AC2B1F">
        <w:rPr>
          <w:color w:val="000000"/>
          <w:szCs w:val="26"/>
        </w:rPr>
        <w:t xml:space="preserve"> to establish standing, but our reasoning is </w:t>
      </w:r>
      <w:r w:rsidR="00990D9D" w:rsidRPr="00AC2B1F">
        <w:rPr>
          <w:color w:val="000000"/>
          <w:szCs w:val="26"/>
        </w:rPr>
        <w:lastRenderedPageBreak/>
        <w:t>suggestive.</w:t>
      </w:r>
      <w:r w:rsidR="00B0489C" w:rsidRPr="00AC2B1F">
        <w:rPr>
          <w:color w:val="000000"/>
          <w:szCs w:val="26"/>
        </w:rPr>
        <w:t xml:space="preserve">  </w:t>
      </w:r>
      <w:r w:rsidR="005237CA" w:rsidRPr="00AC2B1F">
        <w:rPr>
          <w:color w:val="000000"/>
          <w:szCs w:val="26"/>
        </w:rPr>
        <w:t>W</w:t>
      </w:r>
      <w:r w:rsidR="00990D9D" w:rsidRPr="00AC2B1F">
        <w:rPr>
          <w:color w:val="000000"/>
          <w:szCs w:val="26"/>
        </w:rPr>
        <w:t xml:space="preserve">e made clear that standing under the Unruh </w:t>
      </w:r>
      <w:r w:rsidR="00270ECB">
        <w:rPr>
          <w:color w:val="000000"/>
          <w:szCs w:val="26"/>
        </w:rPr>
        <w:t xml:space="preserve">Civil Rights </w:t>
      </w:r>
      <w:r w:rsidR="00990D9D" w:rsidRPr="00AC2B1F">
        <w:rPr>
          <w:color w:val="000000"/>
          <w:szCs w:val="26"/>
        </w:rPr>
        <w:t>Act extends to “</w:t>
      </w:r>
      <w:r w:rsidR="00990D9D" w:rsidRPr="00AC2B1F">
        <w:rPr>
          <w:szCs w:val="26"/>
        </w:rPr>
        <w:t xml:space="preserve">persons encountering, as they did in past decades, racially segregated drinking fountains or restroom facilities at an unattended structure” — </w:t>
      </w:r>
      <w:r w:rsidR="006F4E7F" w:rsidRPr="00AC2B1F">
        <w:rPr>
          <w:szCs w:val="26"/>
        </w:rPr>
        <w:t>occasions “</w:t>
      </w:r>
      <w:r w:rsidR="005237CA" w:rsidRPr="00AC2B1F">
        <w:rPr>
          <w:szCs w:val="26"/>
        </w:rPr>
        <w:t>whe</w:t>
      </w:r>
      <w:r w:rsidR="006F4E7F" w:rsidRPr="00AC2B1F">
        <w:rPr>
          <w:szCs w:val="26"/>
        </w:rPr>
        <w:t>n</w:t>
      </w:r>
      <w:r w:rsidR="005237CA" w:rsidRPr="00AC2B1F">
        <w:rPr>
          <w:szCs w:val="26"/>
        </w:rPr>
        <w:t xml:space="preserve"> there was no one present to receive </w:t>
      </w:r>
      <w:r w:rsidR="00270ECB">
        <w:rPr>
          <w:szCs w:val="26"/>
        </w:rPr>
        <w:t>and</w:t>
      </w:r>
      <w:r w:rsidR="00270ECB" w:rsidRPr="00AC2B1F">
        <w:rPr>
          <w:szCs w:val="26"/>
        </w:rPr>
        <w:t xml:space="preserve"> </w:t>
      </w:r>
      <w:r w:rsidR="005237CA" w:rsidRPr="00AC2B1F">
        <w:rPr>
          <w:szCs w:val="26"/>
        </w:rPr>
        <w:t>answer a demand for equal treatment.”  (</w:t>
      </w:r>
      <w:r w:rsidR="005237CA" w:rsidRPr="00AC2B1F">
        <w:rPr>
          <w:i/>
          <w:szCs w:val="26"/>
        </w:rPr>
        <w:t>Angelucci</w:t>
      </w:r>
      <w:r w:rsidR="005237CA" w:rsidRPr="00AC2B1F">
        <w:rPr>
          <w:szCs w:val="26"/>
        </w:rPr>
        <w:t xml:space="preserve">, </w:t>
      </w:r>
      <w:r w:rsidR="005237CA" w:rsidRPr="00AC2B1F">
        <w:rPr>
          <w:i/>
          <w:szCs w:val="26"/>
        </w:rPr>
        <w:t>supra</w:t>
      </w:r>
      <w:r w:rsidR="005237CA" w:rsidRPr="00AC2B1F">
        <w:rPr>
          <w:szCs w:val="26"/>
        </w:rPr>
        <w:t xml:space="preserve">, 41 Cal.4th at p. 170.)  </w:t>
      </w:r>
      <w:r w:rsidR="00B0489C" w:rsidRPr="00AC2B1F">
        <w:rPr>
          <w:szCs w:val="26"/>
        </w:rPr>
        <w:t>T</w:t>
      </w:r>
      <w:r w:rsidR="005237CA" w:rsidRPr="00AC2B1F">
        <w:rPr>
          <w:szCs w:val="26"/>
        </w:rPr>
        <w:t xml:space="preserve">he Act </w:t>
      </w:r>
      <w:r w:rsidR="007A1887" w:rsidRPr="00AC2B1F">
        <w:rPr>
          <w:szCs w:val="26"/>
        </w:rPr>
        <w:t xml:space="preserve">does </w:t>
      </w:r>
      <w:r w:rsidR="005237CA" w:rsidRPr="00AC2B1F">
        <w:rPr>
          <w:szCs w:val="26"/>
        </w:rPr>
        <w:t xml:space="preserve">not require a black plaintiff </w:t>
      </w:r>
      <w:r w:rsidR="007A1887" w:rsidRPr="00AC2B1F">
        <w:rPr>
          <w:szCs w:val="26"/>
        </w:rPr>
        <w:t xml:space="preserve">in that situation </w:t>
      </w:r>
      <w:r w:rsidR="005237CA" w:rsidRPr="00AC2B1F">
        <w:rPr>
          <w:szCs w:val="26"/>
        </w:rPr>
        <w:t xml:space="preserve">to make use of the blacks-only facility (or make use of the whites-only facility in violation of the segregation policy) </w:t>
      </w:r>
      <w:proofErr w:type="gramStart"/>
      <w:r w:rsidR="005237CA" w:rsidRPr="00AC2B1F">
        <w:rPr>
          <w:szCs w:val="26"/>
        </w:rPr>
        <w:t>in order to</w:t>
      </w:r>
      <w:proofErr w:type="gramEnd"/>
      <w:r w:rsidR="005237CA" w:rsidRPr="00AC2B1F">
        <w:rPr>
          <w:szCs w:val="26"/>
        </w:rPr>
        <w:t xml:space="preserve"> </w:t>
      </w:r>
      <w:r w:rsidR="006F4E7F" w:rsidRPr="00AC2B1F">
        <w:rPr>
          <w:szCs w:val="26"/>
        </w:rPr>
        <w:t xml:space="preserve">have </w:t>
      </w:r>
      <w:r w:rsidR="005237CA" w:rsidRPr="00AC2B1F">
        <w:rPr>
          <w:szCs w:val="26"/>
        </w:rPr>
        <w:t xml:space="preserve">standing.  It </w:t>
      </w:r>
      <w:r w:rsidR="007A1887" w:rsidRPr="00AC2B1F">
        <w:rPr>
          <w:szCs w:val="26"/>
        </w:rPr>
        <w:t xml:space="preserve">is </w:t>
      </w:r>
      <w:proofErr w:type="gramStart"/>
      <w:r w:rsidR="005237CA" w:rsidRPr="00AC2B1F">
        <w:rPr>
          <w:szCs w:val="26"/>
        </w:rPr>
        <w:t>sufficient</w:t>
      </w:r>
      <w:proofErr w:type="gramEnd"/>
      <w:r w:rsidR="005237CA" w:rsidRPr="00AC2B1F">
        <w:rPr>
          <w:szCs w:val="26"/>
        </w:rPr>
        <w:t xml:space="preserve"> for a plaintiff to </w:t>
      </w:r>
      <w:r w:rsidR="004320D9" w:rsidRPr="00AC2B1F">
        <w:rPr>
          <w:szCs w:val="26"/>
        </w:rPr>
        <w:t>“encounter[]” (</w:t>
      </w:r>
      <w:r w:rsidR="00270ECB" w:rsidRPr="00CF417F">
        <w:rPr>
          <w:i/>
          <w:szCs w:val="26"/>
        </w:rPr>
        <w:t>Angelucci</w:t>
      </w:r>
      <w:r w:rsidR="00270ECB">
        <w:rPr>
          <w:szCs w:val="26"/>
        </w:rPr>
        <w:t>, at p.</w:t>
      </w:r>
      <w:r w:rsidR="00593B8A">
        <w:rPr>
          <w:szCs w:val="26"/>
        </w:rPr>
        <w:t> </w:t>
      </w:r>
      <w:r w:rsidR="00270ECB">
        <w:rPr>
          <w:szCs w:val="26"/>
        </w:rPr>
        <w:t>170</w:t>
      </w:r>
      <w:r w:rsidR="004320D9" w:rsidRPr="00AC2B1F">
        <w:rPr>
          <w:szCs w:val="26"/>
        </w:rPr>
        <w:t>)</w:t>
      </w:r>
      <w:r w:rsidR="005237CA" w:rsidRPr="00AC2B1F">
        <w:rPr>
          <w:szCs w:val="26"/>
        </w:rPr>
        <w:t xml:space="preserve"> an unattended facility with the intent to use it.</w:t>
      </w:r>
      <w:r w:rsidR="000C34F1" w:rsidRPr="00AC2B1F">
        <w:rPr>
          <w:szCs w:val="26"/>
        </w:rPr>
        <w:t xml:space="preserve">  There is no doubt that such a plaintiff</w:t>
      </w:r>
      <w:r w:rsidR="004320D9" w:rsidRPr="00AC2B1F">
        <w:rPr>
          <w:szCs w:val="26"/>
        </w:rPr>
        <w:t>, even if he or she departed without using the facility,</w:t>
      </w:r>
      <w:r w:rsidR="000C34F1" w:rsidRPr="00AC2B1F">
        <w:rPr>
          <w:szCs w:val="26"/>
        </w:rPr>
        <w:t xml:space="preserve"> could properly claim he </w:t>
      </w:r>
      <w:r w:rsidR="004320D9" w:rsidRPr="00AC2B1F">
        <w:rPr>
          <w:szCs w:val="26"/>
        </w:rPr>
        <w:t xml:space="preserve">or she </w:t>
      </w:r>
      <w:r w:rsidR="000C34F1" w:rsidRPr="00AC2B1F">
        <w:rPr>
          <w:szCs w:val="26"/>
        </w:rPr>
        <w:t>was “denied [equal] rights” and was “aggrieved by the [discriminatory] conduct.”  (§ 52, subd. (a), (c)</w:t>
      </w:r>
      <w:r w:rsidR="00730ACF" w:rsidRPr="00AC2B1F">
        <w:rPr>
          <w:szCs w:val="26"/>
        </w:rPr>
        <w:t>.</w:t>
      </w:r>
      <w:r w:rsidR="000C34F1" w:rsidRPr="00AC2B1F">
        <w:rPr>
          <w:szCs w:val="26"/>
        </w:rPr>
        <w:t>)</w:t>
      </w:r>
      <w:r w:rsidR="00D07878">
        <w:rPr>
          <w:szCs w:val="26"/>
        </w:rPr>
        <w:t xml:space="preserve">  </w:t>
      </w:r>
    </w:p>
    <w:p w14:paraId="73404A14" w14:textId="02E1047A" w:rsidR="0014045F" w:rsidRPr="00AC2B1F" w:rsidRDefault="005237CA">
      <w:pPr>
        <w:shd w:val="clear" w:color="auto" w:fill="FFFFFF"/>
        <w:ind w:firstLine="720"/>
        <w:rPr>
          <w:szCs w:val="26"/>
        </w:rPr>
      </w:pPr>
      <w:r w:rsidRPr="00AC2B1F">
        <w:rPr>
          <w:szCs w:val="26"/>
        </w:rPr>
        <w:t xml:space="preserve">The same rule would apply in the case of a person who </w:t>
      </w:r>
      <w:r w:rsidR="000D061F" w:rsidRPr="00AC2B1F">
        <w:rPr>
          <w:szCs w:val="26"/>
        </w:rPr>
        <w:t>visited and intended</w:t>
      </w:r>
      <w:r w:rsidRPr="00AC2B1F">
        <w:rPr>
          <w:szCs w:val="26"/>
        </w:rPr>
        <w:t xml:space="preserve"> to patronize an unattended establishment generally open to the public</w:t>
      </w:r>
      <w:r w:rsidR="000D061F" w:rsidRPr="00AC2B1F">
        <w:rPr>
          <w:szCs w:val="26"/>
        </w:rPr>
        <w:t xml:space="preserve"> (e.g., a self-serve kiosk)</w:t>
      </w:r>
      <w:r w:rsidRPr="00AC2B1F">
        <w:rPr>
          <w:szCs w:val="26"/>
        </w:rPr>
        <w:t xml:space="preserve"> but then encountered a sign prohibiting access on the basis of the person’s membership in a protected category.  </w:t>
      </w:r>
      <w:r w:rsidR="00B0489C" w:rsidRPr="00AC2B1F">
        <w:rPr>
          <w:szCs w:val="26"/>
        </w:rPr>
        <w:t>I</w:t>
      </w:r>
      <w:r w:rsidR="000D061F" w:rsidRPr="00AC2B1F">
        <w:rPr>
          <w:szCs w:val="26"/>
        </w:rPr>
        <w:t xml:space="preserve">n </w:t>
      </w:r>
      <w:r w:rsidRPr="00AC2B1F">
        <w:rPr>
          <w:szCs w:val="26"/>
        </w:rPr>
        <w:t>such circumstances</w:t>
      </w:r>
      <w:r w:rsidR="00B0489C" w:rsidRPr="00AC2B1F">
        <w:rPr>
          <w:szCs w:val="26"/>
        </w:rPr>
        <w:t>, the person</w:t>
      </w:r>
      <w:r w:rsidR="000D061F" w:rsidRPr="00AC2B1F">
        <w:rPr>
          <w:szCs w:val="26"/>
        </w:rPr>
        <w:t xml:space="preserve"> would not </w:t>
      </w:r>
      <w:r w:rsidR="00B0489C" w:rsidRPr="00AC2B1F">
        <w:rPr>
          <w:szCs w:val="26"/>
        </w:rPr>
        <w:t xml:space="preserve">need </w:t>
      </w:r>
      <w:r w:rsidRPr="00AC2B1F">
        <w:rPr>
          <w:szCs w:val="26"/>
        </w:rPr>
        <w:t xml:space="preserve">to violate </w:t>
      </w:r>
      <w:r w:rsidR="00B0489C" w:rsidRPr="00AC2B1F">
        <w:rPr>
          <w:szCs w:val="26"/>
        </w:rPr>
        <w:t xml:space="preserve">or attempt to violate </w:t>
      </w:r>
      <w:r w:rsidRPr="00AC2B1F">
        <w:rPr>
          <w:szCs w:val="26"/>
        </w:rPr>
        <w:t>the stated exclusionary policy before brin</w:t>
      </w:r>
      <w:r w:rsidR="000D061F" w:rsidRPr="00AC2B1F">
        <w:rPr>
          <w:szCs w:val="26"/>
        </w:rPr>
        <w:t>g</w:t>
      </w:r>
      <w:r w:rsidRPr="00AC2B1F">
        <w:rPr>
          <w:szCs w:val="26"/>
        </w:rPr>
        <w:t>ing a claim.</w:t>
      </w:r>
      <w:r w:rsidR="00B0489C" w:rsidRPr="00AC2B1F">
        <w:rPr>
          <w:szCs w:val="26"/>
        </w:rPr>
        <w:t xml:space="preserve">  The high court,</w:t>
      </w:r>
      <w:r w:rsidR="006F4E7F" w:rsidRPr="00AC2B1F">
        <w:rPr>
          <w:szCs w:val="26"/>
        </w:rPr>
        <w:t xml:space="preserve"> adopting a similar rule under </w:t>
      </w:r>
      <w:r w:rsidR="00270ECB">
        <w:rPr>
          <w:szCs w:val="26"/>
        </w:rPr>
        <w:t>t</w:t>
      </w:r>
      <w:r w:rsidR="00B0489C" w:rsidRPr="00AC2B1F">
        <w:rPr>
          <w:szCs w:val="26"/>
        </w:rPr>
        <w:t>itle VII of the Civil Rights Act of 1964, explained:  “I</w:t>
      </w:r>
      <w:r w:rsidRPr="00AC2B1F">
        <w:rPr>
          <w:szCs w:val="26"/>
        </w:rPr>
        <w:t xml:space="preserve">f an employer should announce his policy of discrimination by a sign reading </w:t>
      </w:r>
      <w:r w:rsidR="004320D9" w:rsidRPr="00AC2B1F">
        <w:rPr>
          <w:szCs w:val="26"/>
        </w:rPr>
        <w:t>‘</w:t>
      </w:r>
      <w:r w:rsidRPr="00AC2B1F">
        <w:rPr>
          <w:szCs w:val="26"/>
        </w:rPr>
        <w:t>Whites Only</w:t>
      </w:r>
      <w:r w:rsidR="004320D9" w:rsidRPr="00AC2B1F">
        <w:rPr>
          <w:szCs w:val="26"/>
        </w:rPr>
        <w:t>’</w:t>
      </w:r>
      <w:r w:rsidRPr="00AC2B1F">
        <w:rPr>
          <w:szCs w:val="26"/>
        </w:rPr>
        <w:t xml:space="preserve"> on the hiring-office door, his victims would not be limited to the few who ignored the sign and subjected themselves to personal rebuff</w:t>
      </w:r>
      <w:r w:rsidR="00B0489C" w:rsidRPr="00AC2B1F">
        <w:rPr>
          <w:szCs w:val="26"/>
        </w:rPr>
        <w:t>s</w:t>
      </w:r>
      <w:r w:rsidR="006F4E7F" w:rsidRPr="00AC2B1F">
        <w:rPr>
          <w:szCs w:val="26"/>
        </w:rPr>
        <w:t xml:space="preserve">. . . .  </w:t>
      </w:r>
      <w:r w:rsidRPr="00AC2B1F">
        <w:rPr>
          <w:szCs w:val="26"/>
        </w:rPr>
        <w:t xml:space="preserve">When a person’s desire for a job is not translated into a formal application solely because of his unwillingness to engage in a futile gesture he is as much a victim of discrimination as is he who goes through the motions </w:t>
      </w:r>
      <w:r w:rsidRPr="00AC2B1F">
        <w:rPr>
          <w:szCs w:val="26"/>
        </w:rPr>
        <w:lastRenderedPageBreak/>
        <w:t>of submitting an application.”</w:t>
      </w:r>
      <w:r w:rsidR="006F4E7F" w:rsidRPr="00AC2B1F">
        <w:rPr>
          <w:szCs w:val="26"/>
        </w:rPr>
        <w:t xml:space="preserve">  (</w:t>
      </w:r>
      <w:r w:rsidR="006F4E7F" w:rsidRPr="00AC2B1F">
        <w:rPr>
          <w:i/>
          <w:szCs w:val="26"/>
        </w:rPr>
        <w:t>Teamsters v. United States</w:t>
      </w:r>
      <w:r w:rsidR="006F4E7F" w:rsidRPr="00AC2B1F">
        <w:rPr>
          <w:szCs w:val="26"/>
        </w:rPr>
        <w:t xml:space="preserve"> (1977) 431 U.S. 324, 365–366.)</w:t>
      </w:r>
      <w:r w:rsidR="00D07878">
        <w:rPr>
          <w:szCs w:val="26"/>
        </w:rPr>
        <w:t xml:space="preserve"> </w:t>
      </w:r>
    </w:p>
    <w:p w14:paraId="52296AF3" w14:textId="373804C3" w:rsidR="00E72BDB" w:rsidRPr="00AC2B1F" w:rsidRDefault="004E34B7" w:rsidP="00AC2B1F">
      <w:pPr>
        <w:shd w:val="clear" w:color="auto" w:fill="FFFFFF"/>
        <w:ind w:firstLine="720"/>
        <w:rPr>
          <w:szCs w:val="26"/>
        </w:rPr>
      </w:pPr>
      <w:bookmarkStart w:id="4" w:name="_Hlk3559960"/>
      <w:r w:rsidRPr="00AC2B1F">
        <w:rPr>
          <w:szCs w:val="26"/>
        </w:rPr>
        <w:t xml:space="preserve">Square </w:t>
      </w:r>
      <w:r w:rsidR="00EB0CFB" w:rsidRPr="00AC2B1F">
        <w:rPr>
          <w:szCs w:val="26"/>
        </w:rPr>
        <w:t>notes</w:t>
      </w:r>
      <w:r w:rsidR="007A1887" w:rsidRPr="00AC2B1F">
        <w:rPr>
          <w:szCs w:val="26"/>
        </w:rPr>
        <w:t xml:space="preserve"> that </w:t>
      </w:r>
      <w:r w:rsidR="007A1887" w:rsidRPr="00AC2B1F">
        <w:rPr>
          <w:i/>
          <w:szCs w:val="26"/>
        </w:rPr>
        <w:t>Angelucci</w:t>
      </w:r>
      <w:r w:rsidR="00EB0CFB" w:rsidRPr="00AC2B1F">
        <w:rPr>
          <w:szCs w:val="26"/>
        </w:rPr>
        <w:t xml:space="preserve"> said “</w:t>
      </w:r>
      <w:r w:rsidR="00EB0CFB" w:rsidRPr="00AC2B1F">
        <w:rPr>
          <w:i/>
          <w:iCs/>
          <w:color w:val="000000"/>
          <w:szCs w:val="26"/>
          <w:bdr w:val="none" w:sz="0" w:space="0" w:color="auto" w:frame="1"/>
        </w:rPr>
        <w:t>Koire</w:t>
      </w:r>
      <w:r w:rsidR="00EB0CFB" w:rsidRPr="00AC2B1F">
        <w:rPr>
          <w:color w:val="000000"/>
          <w:szCs w:val="26"/>
          <w:shd w:val="clear" w:color="auto" w:fill="FFFFFF"/>
        </w:rPr>
        <w:t> determined that injury occurs when the discriminatory policy is </w:t>
      </w:r>
      <w:r w:rsidR="00EB0CFB" w:rsidRPr="00AC2B1F">
        <w:rPr>
          <w:i/>
          <w:iCs/>
          <w:color w:val="000000"/>
          <w:szCs w:val="26"/>
          <w:bdr w:val="none" w:sz="0" w:space="0" w:color="auto" w:frame="1"/>
        </w:rPr>
        <w:t>applied</w:t>
      </w:r>
      <w:r w:rsidR="00EB0CFB" w:rsidRPr="00AC2B1F">
        <w:rPr>
          <w:color w:val="000000"/>
          <w:szCs w:val="26"/>
          <w:shd w:val="clear" w:color="auto" w:fill="FFFFFF"/>
        </w:rPr>
        <w:t> to the plaintiff — that is, at the time the plaintiff patronizes the business establishment, tendering the nondiscounted price of admission.”  (</w:t>
      </w:r>
      <w:r w:rsidR="00EB0CFB" w:rsidRPr="00AC2B1F">
        <w:rPr>
          <w:i/>
          <w:color w:val="000000"/>
          <w:szCs w:val="26"/>
          <w:shd w:val="clear" w:color="auto" w:fill="FFFFFF"/>
        </w:rPr>
        <w:t>Angelucci</w:t>
      </w:r>
      <w:r w:rsidR="00EB0CFB" w:rsidRPr="00AC2B1F">
        <w:rPr>
          <w:color w:val="000000"/>
          <w:szCs w:val="26"/>
          <w:shd w:val="clear" w:color="auto" w:fill="FFFFFF"/>
        </w:rPr>
        <w:t xml:space="preserve">, </w:t>
      </w:r>
      <w:r w:rsidR="00EB0CFB" w:rsidRPr="00AC2B1F">
        <w:rPr>
          <w:i/>
          <w:color w:val="000000"/>
          <w:szCs w:val="26"/>
          <w:shd w:val="clear" w:color="auto" w:fill="FFFFFF"/>
        </w:rPr>
        <w:t>supra</w:t>
      </w:r>
      <w:r w:rsidR="00EB0CFB" w:rsidRPr="00AC2B1F">
        <w:rPr>
          <w:color w:val="000000"/>
          <w:szCs w:val="26"/>
          <w:shd w:val="clear" w:color="auto" w:fill="FFFFFF"/>
        </w:rPr>
        <w:t xml:space="preserve">, 41 Cal.4th at p. 175.)    In addition, Square </w:t>
      </w:r>
      <w:r w:rsidR="002D7F7E" w:rsidRPr="00AC2B1F">
        <w:rPr>
          <w:color w:val="000000"/>
          <w:szCs w:val="26"/>
          <w:shd w:val="clear" w:color="auto" w:fill="FFFFFF"/>
        </w:rPr>
        <w:t xml:space="preserve">relies </w:t>
      </w:r>
      <w:r w:rsidR="00EB0CFB" w:rsidRPr="00AC2B1F">
        <w:rPr>
          <w:szCs w:val="26"/>
        </w:rPr>
        <w:t xml:space="preserve">on </w:t>
      </w:r>
      <w:r w:rsidR="00EB0CFB" w:rsidRPr="00AC2B1F">
        <w:rPr>
          <w:i/>
          <w:szCs w:val="26"/>
        </w:rPr>
        <w:t>Surrey v. TrueBeginnings, LLC </w:t>
      </w:r>
      <w:r w:rsidR="00EB0CFB" w:rsidRPr="00AC2B1F">
        <w:rPr>
          <w:szCs w:val="26"/>
        </w:rPr>
        <w:t>(2008) 168 Cal.App.4th 414 (</w:t>
      </w:r>
      <w:r w:rsidR="00EB0CFB" w:rsidRPr="00AC2B1F">
        <w:rPr>
          <w:i/>
          <w:szCs w:val="26"/>
        </w:rPr>
        <w:t>Surrey</w:t>
      </w:r>
      <w:r w:rsidR="00EB0CFB" w:rsidRPr="00AC2B1F">
        <w:rPr>
          <w:szCs w:val="26"/>
        </w:rPr>
        <w:t xml:space="preserve">), which appears to be the only appellate case </w:t>
      </w:r>
      <w:r w:rsidR="00E2707A" w:rsidRPr="00AC2B1F">
        <w:rPr>
          <w:szCs w:val="26"/>
        </w:rPr>
        <w:t xml:space="preserve">to examine Unruh </w:t>
      </w:r>
      <w:r w:rsidR="00270ECB">
        <w:rPr>
          <w:szCs w:val="26"/>
        </w:rPr>
        <w:t xml:space="preserve">Civil Rights </w:t>
      </w:r>
      <w:r w:rsidR="00E2707A" w:rsidRPr="00AC2B1F">
        <w:rPr>
          <w:szCs w:val="26"/>
        </w:rPr>
        <w:t xml:space="preserve">Act standing in the context of an online business.  </w:t>
      </w:r>
      <w:r w:rsidR="00E2707A" w:rsidRPr="00AC2B1F">
        <w:rPr>
          <w:i/>
          <w:szCs w:val="26"/>
        </w:rPr>
        <w:t>Surrey</w:t>
      </w:r>
      <w:r w:rsidR="00EB0CFB" w:rsidRPr="00AC2B1F">
        <w:rPr>
          <w:szCs w:val="26"/>
        </w:rPr>
        <w:t xml:space="preserve"> involved </w:t>
      </w:r>
      <w:r w:rsidR="00E2707A" w:rsidRPr="00AC2B1F">
        <w:rPr>
          <w:szCs w:val="26"/>
        </w:rPr>
        <w:t xml:space="preserve">a </w:t>
      </w:r>
      <w:r w:rsidR="00EB0CFB" w:rsidRPr="00AC2B1F">
        <w:rPr>
          <w:szCs w:val="26"/>
        </w:rPr>
        <w:t xml:space="preserve">matchmaking </w:t>
      </w:r>
      <w:r w:rsidR="00E2707A" w:rsidRPr="00AC2B1F">
        <w:rPr>
          <w:szCs w:val="26"/>
        </w:rPr>
        <w:t xml:space="preserve">website </w:t>
      </w:r>
      <w:r w:rsidR="00EB0CFB" w:rsidRPr="00AC2B1F">
        <w:rPr>
          <w:szCs w:val="26"/>
        </w:rPr>
        <w:t>that “offer[ed] certain free services to women who joined.”  (</w:t>
      </w:r>
      <w:r w:rsidR="00EB0CFB" w:rsidRPr="00AC2B1F">
        <w:rPr>
          <w:i/>
          <w:szCs w:val="26"/>
        </w:rPr>
        <w:t>Id</w:t>
      </w:r>
      <w:r w:rsidR="00EB0CFB" w:rsidRPr="00AC2B1F">
        <w:rPr>
          <w:szCs w:val="26"/>
        </w:rPr>
        <w:t>. at p. 417.)  The plaintiff, Steven Surrey, “v</w:t>
      </w:r>
      <w:r w:rsidR="00EB0CFB" w:rsidRPr="00AC2B1F">
        <w:rPr>
          <w:color w:val="000000"/>
          <w:szCs w:val="26"/>
          <w:shd w:val="clear" w:color="auto" w:fill="FFFFFF"/>
        </w:rPr>
        <w:t>isited TrueBeginnings’</w:t>
      </w:r>
      <w:r w:rsidR="009F013D" w:rsidRPr="00AC2B1F">
        <w:rPr>
          <w:color w:val="000000"/>
          <w:szCs w:val="26"/>
          <w:shd w:val="clear" w:color="auto" w:fill="FFFFFF"/>
        </w:rPr>
        <w:t>s</w:t>
      </w:r>
      <w:r w:rsidR="00EB0CFB" w:rsidRPr="00AC2B1F">
        <w:rPr>
          <w:color w:val="000000"/>
          <w:szCs w:val="26"/>
          <w:shd w:val="clear" w:color="auto" w:fill="FFFFFF"/>
        </w:rPr>
        <w:t xml:space="preserve"> </w:t>
      </w:r>
      <w:r w:rsidR="00C128C7" w:rsidRPr="00AC2B1F">
        <w:rPr>
          <w:color w:val="000000"/>
          <w:szCs w:val="26"/>
          <w:shd w:val="clear" w:color="auto" w:fill="FFFFFF"/>
        </w:rPr>
        <w:t>W</w:t>
      </w:r>
      <w:r w:rsidR="00EB0CFB" w:rsidRPr="00AC2B1F">
        <w:rPr>
          <w:color w:val="000000"/>
          <w:szCs w:val="26"/>
          <w:shd w:val="clear" w:color="auto" w:fill="FFFFFF"/>
        </w:rPr>
        <w:t>eb</w:t>
      </w:r>
      <w:r w:rsidR="00C128C7" w:rsidRPr="00AC2B1F">
        <w:rPr>
          <w:color w:val="000000"/>
          <w:szCs w:val="26"/>
          <w:shd w:val="clear" w:color="auto" w:fill="FFFFFF"/>
        </w:rPr>
        <w:t xml:space="preserve"> </w:t>
      </w:r>
      <w:r w:rsidR="00EB0CFB" w:rsidRPr="00AC2B1F">
        <w:rPr>
          <w:color w:val="000000"/>
          <w:szCs w:val="26"/>
          <w:shd w:val="clear" w:color="auto" w:fill="FFFFFF"/>
        </w:rPr>
        <w:t>site</w:t>
      </w:r>
      <w:r w:rsidR="00C128C7" w:rsidRPr="00AC2B1F">
        <w:rPr>
          <w:color w:val="000000"/>
          <w:szCs w:val="26"/>
          <w:shd w:val="clear" w:color="auto" w:fill="FFFFFF"/>
        </w:rPr>
        <w:t xml:space="preserve"> </w:t>
      </w:r>
      <w:r w:rsidR="00EB0CFB" w:rsidRPr="00AC2B1F">
        <w:rPr>
          <w:color w:val="000000"/>
          <w:szCs w:val="26"/>
          <w:shd w:val="clear" w:color="auto" w:fill="FFFFFF"/>
        </w:rPr>
        <w:t>with the intent of utilizing its services; after discovering the discrepancy in its charges, he did not, however, subscribe to or pay for its services.”  (</w:t>
      </w:r>
      <w:r w:rsidR="00EB0CFB" w:rsidRPr="00AC2B1F">
        <w:rPr>
          <w:i/>
          <w:color w:val="000000"/>
          <w:szCs w:val="26"/>
          <w:shd w:val="clear" w:color="auto" w:fill="FFFFFF"/>
        </w:rPr>
        <w:t>Ibid.</w:t>
      </w:r>
      <w:r w:rsidR="00EB0CFB" w:rsidRPr="00AC2B1F">
        <w:rPr>
          <w:color w:val="000000"/>
          <w:szCs w:val="26"/>
          <w:shd w:val="clear" w:color="auto" w:fill="FFFFFF"/>
        </w:rPr>
        <w:t>)</w:t>
      </w:r>
      <w:r w:rsidR="00EB0CFB" w:rsidRPr="00AC2B1F">
        <w:rPr>
          <w:szCs w:val="26"/>
        </w:rPr>
        <w:t xml:space="preserve">  The Court of Appeal held that the plaintiff lacked standing </w:t>
      </w:r>
      <w:r w:rsidR="00E2707A" w:rsidRPr="00AC2B1F">
        <w:rPr>
          <w:szCs w:val="26"/>
        </w:rPr>
        <w:t xml:space="preserve">to claim gender discrimination </w:t>
      </w:r>
      <w:r w:rsidR="00EB0CFB" w:rsidRPr="00AC2B1F">
        <w:rPr>
          <w:szCs w:val="26"/>
        </w:rPr>
        <w:t>under the Act:  “</w:t>
      </w:r>
      <w:r w:rsidR="00EB0CFB" w:rsidRPr="00AC2B1F">
        <w:rPr>
          <w:color w:val="000000"/>
          <w:szCs w:val="26"/>
          <w:shd w:val="clear" w:color="auto" w:fill="FFFFFF"/>
        </w:rPr>
        <w:t>Because he did not attempt to or actually subscribe to TrueBeginnings’</w:t>
      </w:r>
      <w:r w:rsidR="000E207F" w:rsidRPr="00AC2B1F">
        <w:rPr>
          <w:color w:val="000000"/>
          <w:szCs w:val="26"/>
          <w:shd w:val="clear" w:color="auto" w:fill="FFFFFF"/>
        </w:rPr>
        <w:t>s</w:t>
      </w:r>
      <w:r w:rsidR="00EB0CFB" w:rsidRPr="00AC2B1F">
        <w:rPr>
          <w:color w:val="000000"/>
          <w:szCs w:val="26"/>
          <w:shd w:val="clear" w:color="auto" w:fill="FFFFFF"/>
        </w:rPr>
        <w:t xml:space="preserve"> services, Surrey did not suffer discrimination in any sense other than ‘in the abstract.’ ”  (</w:t>
      </w:r>
      <w:r w:rsidR="00270ECB">
        <w:rPr>
          <w:i/>
          <w:color w:val="000000"/>
          <w:szCs w:val="26"/>
          <w:shd w:val="clear" w:color="auto" w:fill="FFFFFF"/>
        </w:rPr>
        <w:t>Surrey</w:t>
      </w:r>
      <w:r w:rsidR="00270ECB" w:rsidRPr="00736F5B">
        <w:rPr>
          <w:color w:val="000000"/>
          <w:szCs w:val="26"/>
          <w:shd w:val="clear" w:color="auto" w:fill="FFFFFF"/>
        </w:rPr>
        <w:t>,</w:t>
      </w:r>
      <w:r w:rsidR="00EB0CFB" w:rsidRPr="00AC2B1F">
        <w:rPr>
          <w:szCs w:val="26"/>
        </w:rPr>
        <w:t xml:space="preserve"> at p. 420.)  “</w:t>
      </w:r>
      <w:r w:rsidR="00EB0CFB" w:rsidRPr="00AC2B1F">
        <w:rPr>
          <w:color w:val="000000"/>
          <w:szCs w:val="26"/>
          <w:shd w:val="clear" w:color="auto" w:fill="FFFFFF"/>
        </w:rPr>
        <w:t xml:space="preserve">The mere fact that Surrey became aware TrueBeginnings was offering a discount policy for women subscribers at the time he accessed its </w:t>
      </w:r>
      <w:r w:rsidR="00C128C7" w:rsidRPr="00AC2B1F">
        <w:rPr>
          <w:color w:val="000000"/>
          <w:szCs w:val="26"/>
          <w:shd w:val="clear" w:color="auto" w:fill="FFFFFF"/>
        </w:rPr>
        <w:t>W</w:t>
      </w:r>
      <w:r w:rsidR="00EB0CFB" w:rsidRPr="00AC2B1F">
        <w:rPr>
          <w:color w:val="000000"/>
          <w:szCs w:val="26"/>
          <w:shd w:val="clear" w:color="auto" w:fill="FFFFFF"/>
        </w:rPr>
        <w:t>eb</w:t>
      </w:r>
      <w:r w:rsidR="00C128C7" w:rsidRPr="00AC2B1F">
        <w:rPr>
          <w:color w:val="000000"/>
          <w:szCs w:val="26"/>
          <w:shd w:val="clear" w:color="auto" w:fill="FFFFFF"/>
        </w:rPr>
        <w:t xml:space="preserve"> </w:t>
      </w:r>
      <w:r w:rsidR="00EB0CFB" w:rsidRPr="00AC2B1F">
        <w:rPr>
          <w:color w:val="000000"/>
          <w:szCs w:val="26"/>
          <w:shd w:val="clear" w:color="auto" w:fill="FFFFFF"/>
        </w:rPr>
        <w:t xml:space="preserve">site did not constitute a denial of his antidiscrimination rights under those statutes. </w:t>
      </w:r>
      <w:r w:rsidR="00E2707A" w:rsidRPr="00AC2B1F">
        <w:rPr>
          <w:color w:val="000000"/>
          <w:szCs w:val="26"/>
          <w:shd w:val="clear" w:color="auto" w:fill="FFFFFF"/>
        </w:rPr>
        <w:t xml:space="preserve"> </w:t>
      </w:r>
      <w:r w:rsidR="00EB0CFB" w:rsidRPr="00AC2B1F">
        <w:rPr>
          <w:color w:val="000000"/>
          <w:szCs w:val="26"/>
          <w:shd w:val="clear" w:color="auto" w:fill="FFFFFF"/>
        </w:rPr>
        <w:t>Since Surrey did not attempt to subscribe to TrueBeginnings’</w:t>
      </w:r>
      <w:r w:rsidR="000E207F" w:rsidRPr="00AC2B1F">
        <w:rPr>
          <w:color w:val="000000"/>
          <w:szCs w:val="26"/>
          <w:shd w:val="clear" w:color="auto" w:fill="FFFFFF"/>
        </w:rPr>
        <w:t>s</w:t>
      </w:r>
      <w:r w:rsidR="00EB0CFB" w:rsidRPr="00AC2B1F">
        <w:rPr>
          <w:color w:val="000000"/>
          <w:szCs w:val="26"/>
          <w:shd w:val="clear" w:color="auto" w:fill="FFFFFF"/>
        </w:rPr>
        <w:t xml:space="preserve"> services, his interest in preventing discrimination is arguably no greater than the interest of the public at large.”  (</w:t>
      </w:r>
      <w:r w:rsidR="00EB0CFB" w:rsidRPr="00AC2B1F">
        <w:rPr>
          <w:i/>
          <w:color w:val="000000"/>
          <w:szCs w:val="26"/>
          <w:shd w:val="clear" w:color="auto" w:fill="FFFFFF"/>
        </w:rPr>
        <w:t>Id.</w:t>
      </w:r>
      <w:r w:rsidR="00EB0CFB" w:rsidRPr="00AC2B1F">
        <w:rPr>
          <w:color w:val="000000"/>
          <w:szCs w:val="26"/>
          <w:shd w:val="clear" w:color="auto" w:fill="FFFFFF"/>
        </w:rPr>
        <w:t xml:space="preserve"> at pp. 418–419.)</w:t>
      </w:r>
      <w:r w:rsidR="00E2707A" w:rsidRPr="00AC2B1F">
        <w:rPr>
          <w:color w:val="000000"/>
          <w:szCs w:val="26"/>
          <w:shd w:val="clear" w:color="auto" w:fill="FFFFFF"/>
        </w:rPr>
        <w:t xml:space="preserve">  According to Square,</w:t>
      </w:r>
      <w:r w:rsidR="00976513" w:rsidRPr="00AC2B1F">
        <w:rPr>
          <w:color w:val="000000"/>
          <w:szCs w:val="26"/>
          <w:shd w:val="clear" w:color="auto" w:fill="FFFFFF"/>
        </w:rPr>
        <w:t xml:space="preserve"> just as a plaintiff must “tender the purchase price” </w:t>
      </w:r>
      <w:proofErr w:type="gramStart"/>
      <w:r w:rsidR="00976513" w:rsidRPr="00AC2B1F">
        <w:rPr>
          <w:color w:val="000000"/>
          <w:szCs w:val="26"/>
          <w:shd w:val="clear" w:color="auto" w:fill="FFFFFF"/>
        </w:rPr>
        <w:t>in order to</w:t>
      </w:r>
      <w:proofErr w:type="gramEnd"/>
      <w:r w:rsidR="00976513" w:rsidRPr="00AC2B1F">
        <w:rPr>
          <w:color w:val="000000"/>
          <w:szCs w:val="26"/>
          <w:shd w:val="clear" w:color="auto" w:fill="FFFFFF"/>
        </w:rPr>
        <w:t xml:space="preserve"> challenge discriminatory pricing (</w:t>
      </w:r>
      <w:r w:rsidR="00976513" w:rsidRPr="00AC2B1F">
        <w:rPr>
          <w:i/>
          <w:color w:val="000000"/>
          <w:szCs w:val="26"/>
          <w:shd w:val="clear" w:color="auto" w:fill="FFFFFF"/>
        </w:rPr>
        <w:t>id.</w:t>
      </w:r>
      <w:r w:rsidR="00976513" w:rsidRPr="00AC2B1F">
        <w:rPr>
          <w:color w:val="000000"/>
          <w:szCs w:val="26"/>
          <w:shd w:val="clear" w:color="auto" w:fill="FFFFFF"/>
        </w:rPr>
        <w:t xml:space="preserve"> at p. 416),</w:t>
      </w:r>
      <w:r w:rsidR="00E2707A" w:rsidRPr="00AC2B1F">
        <w:rPr>
          <w:color w:val="000000"/>
          <w:szCs w:val="26"/>
          <w:shd w:val="clear" w:color="auto" w:fill="FFFFFF"/>
        </w:rPr>
        <w:t xml:space="preserve"> a plaintiff must show “</w:t>
      </w:r>
      <w:r w:rsidR="00E2707A" w:rsidRPr="00AC2B1F">
        <w:rPr>
          <w:szCs w:val="26"/>
        </w:rPr>
        <w:t xml:space="preserve">he patronized the defendant’s business by subscribing to, </w:t>
      </w:r>
      <w:r w:rsidR="00E2707A" w:rsidRPr="00AC2B1F">
        <w:rPr>
          <w:szCs w:val="26"/>
        </w:rPr>
        <w:lastRenderedPageBreak/>
        <w:t xml:space="preserve">or signing up for, its service, or by engaging in some other transaction making the </w:t>
      </w:r>
      <w:r w:rsidR="006C2759" w:rsidRPr="00AC2B1F">
        <w:rPr>
          <w:szCs w:val="26"/>
        </w:rPr>
        <w:t>[terms of service]</w:t>
      </w:r>
      <w:r w:rsidR="00E2707A" w:rsidRPr="00AC2B1F">
        <w:rPr>
          <w:szCs w:val="26"/>
        </w:rPr>
        <w:t xml:space="preserve"> applicable to him”</w:t>
      </w:r>
      <w:r w:rsidR="00976513" w:rsidRPr="00AC2B1F">
        <w:rPr>
          <w:szCs w:val="26"/>
        </w:rPr>
        <w:t xml:space="preserve"> in order to challenge discriminatory exclusion.</w:t>
      </w:r>
      <w:r w:rsidR="00E2707A" w:rsidRPr="00AC2B1F">
        <w:rPr>
          <w:szCs w:val="26"/>
        </w:rPr>
        <w:t xml:space="preserve">  </w:t>
      </w:r>
    </w:p>
    <w:p w14:paraId="01813FA8" w14:textId="2FB59A3D" w:rsidR="002B021F" w:rsidRPr="00AC2B1F" w:rsidRDefault="00E939DD" w:rsidP="00AC2B1F">
      <w:pPr>
        <w:shd w:val="clear" w:color="auto" w:fill="FFFFFF"/>
        <w:ind w:firstLine="720"/>
        <w:rPr>
          <w:color w:val="000000"/>
          <w:szCs w:val="26"/>
        </w:rPr>
      </w:pPr>
      <w:r w:rsidRPr="00AC2B1F">
        <w:rPr>
          <w:color w:val="000000"/>
          <w:szCs w:val="26"/>
          <w:shd w:val="clear" w:color="auto" w:fill="FFFFFF"/>
        </w:rPr>
        <w:t xml:space="preserve">The Court of Appeal in </w:t>
      </w:r>
      <w:r w:rsidRPr="00AC2B1F">
        <w:rPr>
          <w:i/>
          <w:color w:val="000000"/>
          <w:szCs w:val="26"/>
        </w:rPr>
        <w:t>Osborne</w:t>
      </w:r>
      <w:r w:rsidR="00A753B6" w:rsidRPr="00AC2B1F">
        <w:rPr>
          <w:color w:val="000000"/>
          <w:szCs w:val="26"/>
        </w:rPr>
        <w:t xml:space="preserve"> </w:t>
      </w:r>
      <w:r w:rsidRPr="00AC2B1F">
        <w:rPr>
          <w:color w:val="000000"/>
          <w:szCs w:val="26"/>
        </w:rPr>
        <w:t xml:space="preserve">declined to follow </w:t>
      </w:r>
      <w:r w:rsidRPr="00AC2B1F">
        <w:rPr>
          <w:i/>
          <w:color w:val="000000"/>
          <w:szCs w:val="26"/>
        </w:rPr>
        <w:t>Surrey</w:t>
      </w:r>
      <w:r w:rsidRPr="00AC2B1F">
        <w:rPr>
          <w:color w:val="000000"/>
          <w:szCs w:val="26"/>
        </w:rPr>
        <w:t xml:space="preserve">’s “bright-line rule” that </w:t>
      </w:r>
      <w:r w:rsidR="00A753B6" w:rsidRPr="00AC2B1F">
        <w:rPr>
          <w:color w:val="000000"/>
          <w:szCs w:val="26"/>
          <w:shd w:val="clear" w:color="auto" w:fill="FFFFFF"/>
        </w:rPr>
        <w:t>“ ‘a person must tender the purchase price for a business</w:t>
      </w:r>
      <w:r w:rsidR="002B021F" w:rsidRPr="00AC2B1F">
        <w:rPr>
          <w:color w:val="000000"/>
          <w:szCs w:val="26"/>
          <w:shd w:val="clear" w:color="auto" w:fill="FFFFFF"/>
        </w:rPr>
        <w:t>’s</w:t>
      </w:r>
      <w:r w:rsidR="00A753B6" w:rsidRPr="00AC2B1F">
        <w:rPr>
          <w:color w:val="000000"/>
          <w:szCs w:val="26"/>
          <w:shd w:val="clear" w:color="auto" w:fill="FFFFFF"/>
        </w:rPr>
        <w:t xml:space="preserve"> services or products in order to have standing to sue it for alleged discriminatory practices relating thereto</w:t>
      </w:r>
      <w:r w:rsidR="00593B8A">
        <w:rPr>
          <w:color w:val="000000"/>
          <w:szCs w:val="26"/>
          <w:shd w:val="clear" w:color="auto" w:fill="FFFFFF"/>
        </w:rPr>
        <w:t>.</w:t>
      </w:r>
      <w:r w:rsidR="00A753B6" w:rsidRPr="00AC2B1F">
        <w:rPr>
          <w:color w:val="000000"/>
          <w:szCs w:val="26"/>
          <w:shd w:val="clear" w:color="auto" w:fill="FFFFFF"/>
        </w:rPr>
        <w:t xml:space="preserve">’ ”  </w:t>
      </w:r>
      <w:r w:rsidR="00593B8A">
        <w:rPr>
          <w:color w:val="000000"/>
          <w:szCs w:val="26"/>
        </w:rPr>
        <w:t>(</w:t>
      </w:r>
      <w:r w:rsidR="00593B8A">
        <w:rPr>
          <w:i/>
          <w:color w:val="000000"/>
          <w:szCs w:val="26"/>
        </w:rPr>
        <w:t>Osborne</w:t>
      </w:r>
      <w:r w:rsidR="00593B8A">
        <w:rPr>
          <w:color w:val="000000"/>
          <w:szCs w:val="26"/>
        </w:rPr>
        <w:t xml:space="preserve">, </w:t>
      </w:r>
      <w:r w:rsidR="00593B8A">
        <w:rPr>
          <w:i/>
          <w:color w:val="000000"/>
          <w:szCs w:val="26"/>
        </w:rPr>
        <w:t>supra</w:t>
      </w:r>
      <w:r w:rsidR="00593B8A">
        <w:rPr>
          <w:color w:val="000000"/>
          <w:szCs w:val="26"/>
        </w:rPr>
        <w:t>, 1 Cal.App.5th at p. 1133</w:t>
      </w:r>
      <w:r w:rsidR="00A753B6" w:rsidRPr="00AC2B1F">
        <w:rPr>
          <w:color w:val="000000"/>
          <w:szCs w:val="26"/>
          <w:shd w:val="clear" w:color="auto" w:fill="FFFFFF"/>
        </w:rPr>
        <w:t xml:space="preserve">, quoting </w:t>
      </w:r>
      <w:r w:rsidR="00A753B6" w:rsidRPr="00AC2B1F">
        <w:rPr>
          <w:i/>
          <w:color w:val="000000"/>
          <w:szCs w:val="26"/>
          <w:shd w:val="clear" w:color="auto" w:fill="FFFFFF"/>
        </w:rPr>
        <w:t>Surrey</w:t>
      </w:r>
      <w:r w:rsidR="00A753B6" w:rsidRPr="00AC2B1F">
        <w:rPr>
          <w:color w:val="000000"/>
          <w:szCs w:val="26"/>
          <w:shd w:val="clear" w:color="auto" w:fill="FFFFFF"/>
        </w:rPr>
        <w:t xml:space="preserve">, </w:t>
      </w:r>
      <w:r w:rsidR="00A753B6" w:rsidRPr="00AC2B1F">
        <w:rPr>
          <w:i/>
          <w:color w:val="000000"/>
          <w:szCs w:val="26"/>
          <w:shd w:val="clear" w:color="auto" w:fill="FFFFFF"/>
        </w:rPr>
        <w:t>supra</w:t>
      </w:r>
      <w:r w:rsidR="00A753B6" w:rsidRPr="00AC2B1F">
        <w:rPr>
          <w:color w:val="000000"/>
          <w:szCs w:val="26"/>
          <w:shd w:val="clear" w:color="auto" w:fill="FFFFFF"/>
        </w:rPr>
        <w:t>, 168 Cal.App.4th at p. 416</w:t>
      </w:r>
      <w:r w:rsidR="00593B8A">
        <w:rPr>
          <w:color w:val="000000"/>
          <w:szCs w:val="26"/>
          <w:shd w:val="clear" w:color="auto" w:fill="FFFFFF"/>
        </w:rPr>
        <w:t>.</w:t>
      </w:r>
      <w:r w:rsidR="00A753B6" w:rsidRPr="00AC2B1F">
        <w:rPr>
          <w:color w:val="000000"/>
          <w:szCs w:val="26"/>
          <w:shd w:val="clear" w:color="auto" w:fill="FFFFFF"/>
        </w:rPr>
        <w:t xml:space="preserve">)  In </w:t>
      </w:r>
      <w:r w:rsidR="00A753B6" w:rsidRPr="00AC2B1F">
        <w:rPr>
          <w:i/>
          <w:color w:val="000000"/>
          <w:szCs w:val="26"/>
          <w:shd w:val="clear" w:color="auto" w:fill="FFFFFF"/>
        </w:rPr>
        <w:t>Osborne</w:t>
      </w:r>
      <w:r w:rsidR="00A753B6" w:rsidRPr="00AC2B1F">
        <w:rPr>
          <w:color w:val="000000"/>
          <w:szCs w:val="26"/>
          <w:shd w:val="clear" w:color="auto" w:fill="FFFFFF"/>
        </w:rPr>
        <w:t>, plaintiff John Flowers alleged he visited the defendants’ hotel and was refused a room because he was a disabled person who used a licensed service dog.</w:t>
      </w:r>
      <w:r w:rsidR="002B021F" w:rsidRPr="00AC2B1F">
        <w:rPr>
          <w:color w:val="000000"/>
          <w:szCs w:val="26"/>
          <w:shd w:val="clear" w:color="auto" w:fill="FFFFFF"/>
        </w:rPr>
        <w:t xml:space="preserve">  (</w:t>
      </w:r>
      <w:r w:rsidR="002B021F" w:rsidRPr="00AC2B1F">
        <w:rPr>
          <w:i/>
          <w:color w:val="000000"/>
          <w:szCs w:val="26"/>
          <w:shd w:val="clear" w:color="auto" w:fill="FFFFFF"/>
        </w:rPr>
        <w:t>Osborne</w:t>
      </w:r>
      <w:r w:rsidR="002B021F" w:rsidRPr="00AC2B1F">
        <w:rPr>
          <w:color w:val="000000"/>
          <w:szCs w:val="26"/>
          <w:shd w:val="clear" w:color="auto" w:fill="FFFFFF"/>
        </w:rPr>
        <w:t>, at p. 1123.)</w:t>
      </w:r>
      <w:r w:rsidR="00A753B6" w:rsidRPr="00AC2B1F">
        <w:rPr>
          <w:color w:val="000000"/>
          <w:szCs w:val="26"/>
          <w:shd w:val="clear" w:color="auto" w:fill="FFFFFF"/>
        </w:rPr>
        <w:t xml:space="preserve">  According to </w:t>
      </w:r>
      <w:r w:rsidR="002B021F" w:rsidRPr="00AC2B1F">
        <w:rPr>
          <w:color w:val="000000"/>
          <w:szCs w:val="26"/>
          <w:shd w:val="clear" w:color="auto" w:fill="FFFFFF"/>
        </w:rPr>
        <w:t>his</w:t>
      </w:r>
      <w:r w:rsidR="00A753B6" w:rsidRPr="00AC2B1F">
        <w:rPr>
          <w:color w:val="000000"/>
          <w:szCs w:val="26"/>
          <w:shd w:val="clear" w:color="auto" w:fill="FFFFFF"/>
        </w:rPr>
        <w:t xml:space="preserve"> complaint, the defendants insisted that he pay a $300 cleaning fee on top of the regular room fee of $80 charged to the </w:t>
      </w:r>
      <w:proofErr w:type="gramStart"/>
      <w:r w:rsidR="00A753B6" w:rsidRPr="00AC2B1F">
        <w:rPr>
          <w:color w:val="000000"/>
          <w:szCs w:val="26"/>
          <w:shd w:val="clear" w:color="auto" w:fill="FFFFFF"/>
        </w:rPr>
        <w:t>general public</w:t>
      </w:r>
      <w:proofErr w:type="gramEnd"/>
      <w:r w:rsidR="00A753B6" w:rsidRPr="00AC2B1F">
        <w:rPr>
          <w:color w:val="000000"/>
          <w:szCs w:val="26"/>
          <w:shd w:val="clear" w:color="auto" w:fill="FFFFFF"/>
        </w:rPr>
        <w:t>.</w:t>
      </w:r>
      <w:r w:rsidR="002B021F" w:rsidRPr="00AC2B1F">
        <w:rPr>
          <w:color w:val="000000"/>
          <w:szCs w:val="26"/>
          <w:shd w:val="clear" w:color="auto" w:fill="FFFFFF"/>
        </w:rPr>
        <w:t xml:space="preserve">  (</w:t>
      </w:r>
      <w:r w:rsidR="002B021F" w:rsidRPr="00AC2B1F">
        <w:rPr>
          <w:i/>
          <w:color w:val="000000"/>
          <w:szCs w:val="26"/>
          <w:shd w:val="clear" w:color="auto" w:fill="FFFFFF"/>
        </w:rPr>
        <w:t>Ibid.</w:t>
      </w:r>
      <w:r w:rsidR="002B021F" w:rsidRPr="00AC2B1F">
        <w:rPr>
          <w:color w:val="000000"/>
          <w:szCs w:val="26"/>
          <w:shd w:val="clear" w:color="auto" w:fill="FFFFFF"/>
        </w:rPr>
        <w:t>)</w:t>
      </w:r>
      <w:r w:rsidR="00A753B6" w:rsidRPr="00AC2B1F">
        <w:rPr>
          <w:color w:val="000000"/>
          <w:szCs w:val="26"/>
          <w:shd w:val="clear" w:color="auto" w:fill="FFFFFF"/>
        </w:rPr>
        <w:t xml:space="preserve">  Flowers did not pay or offer to pay the fee, and he sued</w:t>
      </w:r>
      <w:r w:rsidR="002B021F" w:rsidRPr="00AC2B1F">
        <w:rPr>
          <w:color w:val="000000"/>
          <w:szCs w:val="26"/>
          <w:shd w:val="clear" w:color="auto" w:fill="FFFFFF"/>
        </w:rPr>
        <w:t xml:space="preserve"> under the Unruh </w:t>
      </w:r>
      <w:r w:rsidR="00270ECB">
        <w:rPr>
          <w:color w:val="000000"/>
          <w:szCs w:val="26"/>
          <w:shd w:val="clear" w:color="auto" w:fill="FFFFFF"/>
        </w:rPr>
        <w:t xml:space="preserve">Civil Rights </w:t>
      </w:r>
      <w:r w:rsidR="002B021F" w:rsidRPr="00AC2B1F">
        <w:rPr>
          <w:color w:val="000000"/>
          <w:szCs w:val="26"/>
          <w:shd w:val="clear" w:color="auto" w:fill="FFFFFF"/>
        </w:rPr>
        <w:t xml:space="preserve">Act.  The Court of Appeal, upon reviewing the case law, concluded </w:t>
      </w:r>
      <w:r w:rsidR="00976513" w:rsidRPr="00AC2B1F">
        <w:rPr>
          <w:color w:val="000000" w:themeColor="text1"/>
          <w:szCs w:val="26"/>
          <w:shd w:val="clear" w:color="auto" w:fill="FFFFFF"/>
        </w:rPr>
        <w:t xml:space="preserve">that </w:t>
      </w:r>
      <w:r w:rsidR="002B021F" w:rsidRPr="00AC2B1F">
        <w:rPr>
          <w:color w:val="000000" w:themeColor="text1"/>
          <w:szCs w:val="26"/>
          <w:shd w:val="clear" w:color="auto" w:fill="FFFFFF"/>
        </w:rPr>
        <w:t xml:space="preserve">“[t]he application of section 51 has not historically turned on whether a plaintiff has paid a fee, or, as </w:t>
      </w:r>
      <w:r w:rsidR="002B021F" w:rsidRPr="00AC2B1F">
        <w:rPr>
          <w:i/>
          <w:color w:val="000000" w:themeColor="text1"/>
          <w:szCs w:val="26"/>
          <w:shd w:val="clear" w:color="auto" w:fill="FFFFFF"/>
        </w:rPr>
        <w:t>Surrey</w:t>
      </w:r>
      <w:r w:rsidR="002B021F" w:rsidRPr="00AC2B1F">
        <w:rPr>
          <w:color w:val="000000" w:themeColor="text1"/>
          <w:szCs w:val="26"/>
          <w:shd w:val="clear" w:color="auto" w:fill="FFFFFF"/>
        </w:rPr>
        <w:t xml:space="preserve"> stated, ‘tender[ed] the purchase price for a business’s services or products.’ ”  (</w:t>
      </w:r>
      <w:r w:rsidR="00270ECB">
        <w:rPr>
          <w:i/>
          <w:color w:val="000000" w:themeColor="text1"/>
          <w:szCs w:val="26"/>
          <w:shd w:val="clear" w:color="auto" w:fill="FFFFFF"/>
        </w:rPr>
        <w:t>Osborne</w:t>
      </w:r>
      <w:r w:rsidR="00270ECB" w:rsidRPr="00736F5B">
        <w:rPr>
          <w:color w:val="000000" w:themeColor="text1"/>
          <w:szCs w:val="26"/>
          <w:shd w:val="clear" w:color="auto" w:fill="FFFFFF"/>
        </w:rPr>
        <w:t>,</w:t>
      </w:r>
      <w:r w:rsidR="002B021F" w:rsidRPr="00AC2B1F">
        <w:rPr>
          <w:color w:val="000000" w:themeColor="text1"/>
          <w:szCs w:val="26"/>
          <w:shd w:val="clear" w:color="auto" w:fill="FFFFFF"/>
        </w:rPr>
        <w:t xml:space="preserve"> at p. 1128.)  Instead, </w:t>
      </w:r>
      <w:r w:rsidR="002B021F" w:rsidRPr="00AC2B1F">
        <w:rPr>
          <w:i/>
          <w:color w:val="000000" w:themeColor="text1"/>
          <w:szCs w:val="26"/>
          <w:shd w:val="clear" w:color="auto" w:fill="FFFFFF"/>
        </w:rPr>
        <w:t>Osborne</w:t>
      </w:r>
      <w:r w:rsidR="002B021F" w:rsidRPr="00AC2B1F">
        <w:rPr>
          <w:color w:val="000000" w:themeColor="text1"/>
          <w:szCs w:val="26"/>
          <w:shd w:val="clear" w:color="auto" w:fill="FFFFFF"/>
        </w:rPr>
        <w:t xml:space="preserve"> </w:t>
      </w:r>
      <w:r w:rsidR="006C2759" w:rsidRPr="00AC2B1F">
        <w:rPr>
          <w:color w:val="000000" w:themeColor="text1"/>
          <w:szCs w:val="26"/>
          <w:shd w:val="clear" w:color="auto" w:fill="FFFFFF"/>
        </w:rPr>
        <w:t>explained</w:t>
      </w:r>
      <w:r w:rsidR="002B021F" w:rsidRPr="00AC2B1F">
        <w:rPr>
          <w:color w:val="000000" w:themeColor="text1"/>
          <w:szCs w:val="26"/>
          <w:shd w:val="clear" w:color="auto" w:fill="FFFFFF"/>
        </w:rPr>
        <w:t xml:space="preserve">, </w:t>
      </w:r>
      <w:r w:rsidR="002B021F" w:rsidRPr="00AC2B1F">
        <w:rPr>
          <w:color w:val="000000" w:themeColor="text1"/>
          <w:szCs w:val="26"/>
        </w:rPr>
        <w:t>“</w:t>
      </w:r>
      <w:r w:rsidR="00270ECB">
        <w:rPr>
          <w:color w:val="000000"/>
          <w:szCs w:val="26"/>
        </w:rPr>
        <w:t>[w]</w:t>
      </w:r>
      <w:r w:rsidR="002B021F" w:rsidRPr="00AC2B1F">
        <w:rPr>
          <w:color w:val="000000"/>
          <w:szCs w:val="26"/>
        </w:rPr>
        <w:t>hen a person presents himself or herself to a business establishment, and is personally discriminated against based on one of the characteristics articulated in section 51, he or she has suffered a discriminatory act and therefore has standing under the Unruh Civil Rights Act. . . .  [¶]</w:t>
      </w:r>
      <w:r w:rsidR="006C2759" w:rsidRPr="00AC2B1F">
        <w:rPr>
          <w:color w:val="000000"/>
          <w:szCs w:val="26"/>
        </w:rPr>
        <w:t xml:space="preserve"> . . . </w:t>
      </w:r>
      <w:r w:rsidR="002B021F" w:rsidRPr="00AC2B1F">
        <w:rPr>
          <w:color w:val="000000"/>
          <w:szCs w:val="26"/>
        </w:rPr>
        <w:t xml:space="preserve">The cases discussing discrimination under sections 51 and 52 do not focus on whether patrons who were personally discriminated against have alleged or proved that they paid a fee or were subject to unfair pricing before bringing a lawsuit. </w:t>
      </w:r>
      <w:r w:rsidR="006C2759" w:rsidRPr="00AC2B1F">
        <w:rPr>
          <w:color w:val="000000"/>
          <w:szCs w:val="26"/>
        </w:rPr>
        <w:t xml:space="preserve"> </w:t>
      </w:r>
      <w:r w:rsidR="002B021F" w:rsidRPr="00AC2B1F">
        <w:rPr>
          <w:color w:val="000000"/>
          <w:szCs w:val="26"/>
        </w:rPr>
        <w:t xml:space="preserve">Indeed, </w:t>
      </w:r>
      <w:proofErr w:type="gramStart"/>
      <w:r w:rsidR="002B021F" w:rsidRPr="00AC2B1F">
        <w:rPr>
          <w:color w:val="000000"/>
          <w:szCs w:val="26"/>
        </w:rPr>
        <w:t>much</w:t>
      </w:r>
      <w:proofErr w:type="gramEnd"/>
      <w:r w:rsidR="002B021F" w:rsidRPr="00AC2B1F">
        <w:rPr>
          <w:color w:val="000000"/>
          <w:szCs w:val="26"/>
        </w:rPr>
        <w:t xml:space="preserve"> of the legal history surrounding sections 51 and 52 involve plaintiffs who</w:t>
      </w:r>
      <w:r w:rsidR="006C2759" w:rsidRPr="00AC2B1F">
        <w:rPr>
          <w:color w:val="000000"/>
          <w:szCs w:val="26"/>
        </w:rPr>
        <w:t xml:space="preserve"> </w:t>
      </w:r>
      <w:r w:rsidR="002B021F" w:rsidRPr="00AC2B1F">
        <w:rPr>
          <w:color w:val="000000"/>
          <w:szCs w:val="26"/>
        </w:rPr>
        <w:t>—</w:t>
      </w:r>
      <w:r w:rsidR="006C2759" w:rsidRPr="00AC2B1F">
        <w:rPr>
          <w:color w:val="000000"/>
          <w:szCs w:val="26"/>
        </w:rPr>
        <w:t xml:space="preserve"> </w:t>
      </w:r>
      <w:r w:rsidR="002B021F" w:rsidRPr="00AC2B1F">
        <w:rPr>
          <w:color w:val="000000"/>
          <w:szCs w:val="26"/>
        </w:rPr>
        <w:t xml:space="preserve">like </w:t>
      </w:r>
      <w:r w:rsidR="002B021F" w:rsidRPr="00AC2B1F">
        <w:rPr>
          <w:color w:val="000000"/>
          <w:szCs w:val="26"/>
        </w:rPr>
        <w:lastRenderedPageBreak/>
        <w:t>Flowers and his family</w:t>
      </w:r>
      <w:r w:rsidR="006C2759" w:rsidRPr="00AC2B1F">
        <w:rPr>
          <w:color w:val="000000"/>
          <w:szCs w:val="26"/>
        </w:rPr>
        <w:t xml:space="preserve"> </w:t>
      </w:r>
      <w:r w:rsidR="002B021F" w:rsidRPr="00AC2B1F">
        <w:rPr>
          <w:color w:val="000000"/>
          <w:szCs w:val="26"/>
        </w:rPr>
        <w:t>—</w:t>
      </w:r>
      <w:r w:rsidR="006C2759" w:rsidRPr="00AC2B1F">
        <w:rPr>
          <w:color w:val="000000"/>
          <w:szCs w:val="26"/>
        </w:rPr>
        <w:t xml:space="preserve"> </w:t>
      </w:r>
      <w:r w:rsidR="002B021F" w:rsidRPr="00AC2B1F">
        <w:rPr>
          <w:color w:val="000000"/>
          <w:szCs w:val="26"/>
        </w:rPr>
        <w:t xml:space="preserve">were refused services, thereby making a purchase impossible. </w:t>
      </w:r>
      <w:r w:rsidR="006C2759" w:rsidRPr="00AC2B1F">
        <w:rPr>
          <w:color w:val="000000"/>
          <w:szCs w:val="26"/>
        </w:rPr>
        <w:t xml:space="preserve"> </w:t>
      </w:r>
      <w:r w:rsidR="002B021F" w:rsidRPr="00AC2B1F">
        <w:rPr>
          <w:color w:val="000000"/>
          <w:szCs w:val="26"/>
        </w:rPr>
        <w:t>To hold that plaintiffs here lacked standing would contradict both the language and the intent of the Unruh Civil Rights Act.</w:t>
      </w:r>
      <w:r w:rsidR="006C2759" w:rsidRPr="00AC2B1F">
        <w:rPr>
          <w:color w:val="000000"/>
          <w:szCs w:val="26"/>
        </w:rPr>
        <w:t>”  (</w:t>
      </w:r>
      <w:r w:rsidR="006C2759" w:rsidRPr="00AC2B1F">
        <w:rPr>
          <w:i/>
          <w:color w:val="000000"/>
          <w:szCs w:val="26"/>
        </w:rPr>
        <w:t>Id.</w:t>
      </w:r>
      <w:r w:rsidR="006C2759" w:rsidRPr="00AC2B1F">
        <w:rPr>
          <w:color w:val="000000"/>
          <w:szCs w:val="26"/>
        </w:rPr>
        <w:t xml:space="preserve"> at pp. 1133–1134.)</w:t>
      </w:r>
    </w:p>
    <w:p w14:paraId="20F8F77F" w14:textId="43FED9B9" w:rsidR="0028010E" w:rsidRPr="00AC2B1F" w:rsidRDefault="006C2759" w:rsidP="00AC2B1F">
      <w:pPr>
        <w:shd w:val="clear" w:color="auto" w:fill="FFFFFF"/>
        <w:ind w:firstLine="720"/>
        <w:rPr>
          <w:color w:val="000000"/>
          <w:szCs w:val="26"/>
        </w:rPr>
      </w:pPr>
      <w:r w:rsidRPr="00AC2B1F">
        <w:rPr>
          <w:color w:val="000000"/>
          <w:szCs w:val="26"/>
        </w:rPr>
        <w:t xml:space="preserve">We believe </w:t>
      </w:r>
      <w:r w:rsidRPr="00AC2B1F">
        <w:rPr>
          <w:i/>
          <w:color w:val="000000"/>
          <w:szCs w:val="26"/>
        </w:rPr>
        <w:t>Osborne</w:t>
      </w:r>
      <w:r w:rsidRPr="00AC2B1F">
        <w:rPr>
          <w:color w:val="000000"/>
          <w:szCs w:val="26"/>
        </w:rPr>
        <w:t xml:space="preserve"> states the better view.  As noted, </w:t>
      </w:r>
      <w:r w:rsidR="00224541" w:rsidRPr="00AC2B1F">
        <w:rPr>
          <w:color w:val="000000"/>
          <w:szCs w:val="26"/>
        </w:rPr>
        <w:t xml:space="preserve">our opinion in </w:t>
      </w:r>
      <w:r w:rsidRPr="00AC2B1F">
        <w:rPr>
          <w:i/>
          <w:color w:val="000000"/>
          <w:szCs w:val="26"/>
        </w:rPr>
        <w:t>Koire</w:t>
      </w:r>
      <w:r w:rsidRPr="00AC2B1F">
        <w:rPr>
          <w:color w:val="000000"/>
          <w:szCs w:val="26"/>
        </w:rPr>
        <w:t xml:space="preserve"> </w:t>
      </w:r>
      <w:r w:rsidR="00224541" w:rsidRPr="00AC2B1F">
        <w:rPr>
          <w:color w:val="000000"/>
          <w:szCs w:val="26"/>
        </w:rPr>
        <w:t xml:space="preserve">contained no indication that the </w:t>
      </w:r>
      <w:r w:rsidRPr="00AC2B1F">
        <w:rPr>
          <w:color w:val="000000"/>
          <w:szCs w:val="26"/>
        </w:rPr>
        <w:t>plaintiff had tendered payment for the discriminatory prices of</w:t>
      </w:r>
      <w:r w:rsidR="00224541" w:rsidRPr="00AC2B1F">
        <w:rPr>
          <w:color w:val="000000"/>
          <w:szCs w:val="26"/>
        </w:rPr>
        <w:t xml:space="preserve"> which he complained.  (See </w:t>
      </w:r>
      <w:r w:rsidR="00224541" w:rsidRPr="00AC2B1F">
        <w:rPr>
          <w:i/>
          <w:color w:val="000000"/>
          <w:szCs w:val="26"/>
        </w:rPr>
        <w:t>Osborne</w:t>
      </w:r>
      <w:r w:rsidR="00224541" w:rsidRPr="00AC2B1F">
        <w:rPr>
          <w:color w:val="000000"/>
          <w:szCs w:val="26"/>
        </w:rPr>
        <w:t xml:space="preserve">, </w:t>
      </w:r>
      <w:r w:rsidR="00224541" w:rsidRPr="00AC2B1F">
        <w:rPr>
          <w:i/>
          <w:color w:val="000000"/>
          <w:szCs w:val="26"/>
        </w:rPr>
        <w:t>supra</w:t>
      </w:r>
      <w:r w:rsidR="00224541" w:rsidRPr="00AC2B1F">
        <w:rPr>
          <w:color w:val="000000"/>
          <w:szCs w:val="26"/>
        </w:rPr>
        <w:t xml:space="preserve">, 1 Cal.App.5th at p. 1132 [discussing </w:t>
      </w:r>
      <w:r w:rsidR="00224541" w:rsidRPr="00AC2B1F">
        <w:rPr>
          <w:i/>
          <w:color w:val="000000"/>
          <w:szCs w:val="26"/>
        </w:rPr>
        <w:t>Koire</w:t>
      </w:r>
      <w:r w:rsidR="00224541" w:rsidRPr="00AC2B1F">
        <w:rPr>
          <w:color w:val="000000"/>
          <w:szCs w:val="26"/>
        </w:rPr>
        <w:t xml:space="preserve">].)  And </w:t>
      </w:r>
      <w:r w:rsidR="00224541" w:rsidRPr="00AC2B1F">
        <w:rPr>
          <w:i/>
          <w:color w:val="000000"/>
          <w:szCs w:val="26"/>
        </w:rPr>
        <w:t>Angelucci</w:t>
      </w:r>
      <w:r w:rsidR="00224541" w:rsidRPr="00AC2B1F">
        <w:rPr>
          <w:color w:val="000000"/>
          <w:szCs w:val="26"/>
        </w:rPr>
        <w:t xml:space="preserve"> recognized that a plaintiff “encountering” unattended segregated facilities would have standing to sue</w:t>
      </w:r>
      <w:r w:rsidR="00ED301A" w:rsidRPr="00AC2B1F">
        <w:rPr>
          <w:color w:val="000000"/>
          <w:szCs w:val="26"/>
        </w:rPr>
        <w:t xml:space="preserve">; the plaintiff need not have made a request for equal treatment or </w:t>
      </w:r>
      <w:proofErr w:type="gramStart"/>
      <w:r w:rsidR="00ED301A" w:rsidRPr="00AC2B1F">
        <w:rPr>
          <w:color w:val="000000"/>
          <w:szCs w:val="26"/>
        </w:rPr>
        <w:t>actually used</w:t>
      </w:r>
      <w:proofErr w:type="gramEnd"/>
      <w:r w:rsidR="00ED301A" w:rsidRPr="00AC2B1F">
        <w:rPr>
          <w:color w:val="000000"/>
          <w:szCs w:val="26"/>
        </w:rPr>
        <w:t xml:space="preserve"> the facilities.  (</w:t>
      </w:r>
      <w:r w:rsidR="00ED301A" w:rsidRPr="00AC2B1F">
        <w:rPr>
          <w:i/>
          <w:color w:val="000000"/>
          <w:szCs w:val="26"/>
        </w:rPr>
        <w:t>Angelucci</w:t>
      </w:r>
      <w:r w:rsidR="00ED301A" w:rsidRPr="00AC2B1F">
        <w:rPr>
          <w:color w:val="000000"/>
          <w:szCs w:val="26"/>
        </w:rPr>
        <w:t xml:space="preserve">, </w:t>
      </w:r>
      <w:r w:rsidR="00ED301A" w:rsidRPr="00AC2B1F">
        <w:rPr>
          <w:i/>
          <w:color w:val="000000"/>
          <w:szCs w:val="26"/>
        </w:rPr>
        <w:t>supra</w:t>
      </w:r>
      <w:r w:rsidR="00ED301A" w:rsidRPr="00AC2B1F">
        <w:rPr>
          <w:color w:val="000000"/>
          <w:szCs w:val="26"/>
        </w:rPr>
        <w:t>, 41 Cal.4th at p. 170.)  Like the plaintiff</w:t>
      </w:r>
      <w:r w:rsidR="00CD240B" w:rsidRPr="00AC2B1F">
        <w:rPr>
          <w:color w:val="000000"/>
          <w:szCs w:val="26"/>
        </w:rPr>
        <w:t xml:space="preserve"> Flowers</w:t>
      </w:r>
      <w:r w:rsidR="00ED301A" w:rsidRPr="00AC2B1F">
        <w:rPr>
          <w:color w:val="000000"/>
          <w:szCs w:val="26"/>
        </w:rPr>
        <w:t xml:space="preserve"> in </w:t>
      </w:r>
      <w:r w:rsidR="00ED301A" w:rsidRPr="00AC2B1F">
        <w:rPr>
          <w:i/>
          <w:color w:val="000000"/>
          <w:szCs w:val="26"/>
        </w:rPr>
        <w:t>Osborne</w:t>
      </w:r>
      <w:r w:rsidR="00ED301A" w:rsidRPr="00AC2B1F">
        <w:rPr>
          <w:color w:val="000000"/>
          <w:szCs w:val="26"/>
        </w:rPr>
        <w:t xml:space="preserve">, White </w:t>
      </w:r>
      <w:r w:rsidR="00775D5F" w:rsidRPr="00AC2B1F">
        <w:rPr>
          <w:color w:val="000000"/>
          <w:szCs w:val="26"/>
        </w:rPr>
        <w:t xml:space="preserve">visited a </w:t>
      </w:r>
      <w:r w:rsidR="00ED301A" w:rsidRPr="00AC2B1F">
        <w:rPr>
          <w:color w:val="000000"/>
          <w:szCs w:val="26"/>
        </w:rPr>
        <w:t>busines</w:t>
      </w:r>
      <w:r w:rsidR="008C179E" w:rsidRPr="00AC2B1F">
        <w:rPr>
          <w:color w:val="000000"/>
          <w:szCs w:val="26"/>
        </w:rPr>
        <w:t xml:space="preserve">s </w:t>
      </w:r>
      <w:r w:rsidR="00732E21" w:rsidRPr="00AC2B1F">
        <w:rPr>
          <w:color w:val="000000"/>
          <w:szCs w:val="26"/>
        </w:rPr>
        <w:t xml:space="preserve">establishment </w:t>
      </w:r>
      <w:r w:rsidR="008C179E" w:rsidRPr="00AC2B1F">
        <w:rPr>
          <w:color w:val="000000"/>
          <w:szCs w:val="26"/>
        </w:rPr>
        <w:t xml:space="preserve">with </w:t>
      </w:r>
      <w:r w:rsidR="00732E21" w:rsidRPr="00AC2B1F">
        <w:rPr>
          <w:color w:val="000000"/>
          <w:szCs w:val="26"/>
        </w:rPr>
        <w:t>the intent to use its service</w:t>
      </w:r>
      <w:r w:rsidR="00270ECB">
        <w:rPr>
          <w:color w:val="000000"/>
          <w:szCs w:val="26"/>
        </w:rPr>
        <w:t>s</w:t>
      </w:r>
      <w:r w:rsidR="0028010E" w:rsidRPr="00AC2B1F">
        <w:rPr>
          <w:color w:val="000000"/>
          <w:szCs w:val="26"/>
        </w:rPr>
        <w:t xml:space="preserve">.  The </w:t>
      </w:r>
      <w:r w:rsidR="0028010E" w:rsidRPr="00AC2B1F">
        <w:rPr>
          <w:i/>
          <w:color w:val="000000"/>
          <w:szCs w:val="26"/>
        </w:rPr>
        <w:t>Osborne</w:t>
      </w:r>
      <w:r w:rsidR="0028010E" w:rsidRPr="00AC2B1F">
        <w:rPr>
          <w:color w:val="000000"/>
          <w:szCs w:val="26"/>
        </w:rPr>
        <w:t xml:space="preserve"> court required no </w:t>
      </w:r>
      <w:r w:rsidR="00732E21" w:rsidRPr="00AC2B1F">
        <w:rPr>
          <w:color w:val="000000"/>
          <w:szCs w:val="26"/>
        </w:rPr>
        <w:t xml:space="preserve">further step of </w:t>
      </w:r>
      <w:r w:rsidR="00ED301A" w:rsidRPr="00AC2B1F">
        <w:rPr>
          <w:color w:val="000000"/>
          <w:szCs w:val="26"/>
        </w:rPr>
        <w:t>entering into a transaction</w:t>
      </w:r>
      <w:r w:rsidR="00732E21" w:rsidRPr="00AC2B1F">
        <w:rPr>
          <w:color w:val="000000"/>
          <w:szCs w:val="26"/>
        </w:rPr>
        <w:t xml:space="preserve"> with the </w:t>
      </w:r>
      <w:r w:rsidR="00775D5F" w:rsidRPr="00AC2B1F">
        <w:rPr>
          <w:color w:val="000000"/>
          <w:szCs w:val="26"/>
        </w:rPr>
        <w:t>business</w:t>
      </w:r>
      <w:r w:rsidR="0028010E" w:rsidRPr="00AC2B1F">
        <w:rPr>
          <w:color w:val="000000"/>
          <w:szCs w:val="26"/>
        </w:rPr>
        <w:t>, and none is required here as well</w:t>
      </w:r>
      <w:r w:rsidR="00732E21" w:rsidRPr="00AC2B1F">
        <w:rPr>
          <w:color w:val="000000"/>
          <w:szCs w:val="26"/>
        </w:rPr>
        <w:t>.</w:t>
      </w:r>
    </w:p>
    <w:p w14:paraId="2B17780E" w14:textId="616E936F" w:rsidR="00775D5F" w:rsidRPr="00AC2B1F" w:rsidRDefault="0028010E" w:rsidP="00AC2B1F">
      <w:pPr>
        <w:shd w:val="clear" w:color="auto" w:fill="FFFFFF"/>
        <w:ind w:firstLine="720"/>
        <w:rPr>
          <w:color w:val="000000"/>
          <w:szCs w:val="26"/>
        </w:rPr>
      </w:pPr>
      <w:r w:rsidRPr="00AC2B1F">
        <w:rPr>
          <w:szCs w:val="26"/>
        </w:rPr>
        <w:t xml:space="preserve">Square contends that because its restriction “applies not to people, but to </w:t>
      </w:r>
      <w:r w:rsidRPr="00AC2B1F">
        <w:rPr>
          <w:i/>
          <w:szCs w:val="26"/>
        </w:rPr>
        <w:t>transactions</w:t>
      </w:r>
      <w:r w:rsidRPr="00AC2B1F">
        <w:rPr>
          <w:szCs w:val="26"/>
        </w:rPr>
        <w:t>,”</w:t>
      </w:r>
      <w:r w:rsidR="00A013B5" w:rsidRPr="00AC2B1F" w:rsidDel="00A013B5">
        <w:rPr>
          <w:rStyle w:val="FootnoteReference"/>
          <w:color w:val="212121"/>
          <w:szCs w:val="26"/>
        </w:rPr>
        <w:t xml:space="preserve"> </w:t>
      </w:r>
      <w:r w:rsidRPr="00AC2B1F">
        <w:rPr>
          <w:color w:val="000000"/>
          <w:szCs w:val="26"/>
        </w:rPr>
        <w:t xml:space="preserve"> White “could subscribe, become a patron, and stop short of undertaking the transactions specifically prohibited by the Seller Agreement.  This is not a case, then, where the allegedly discriminatory conduct actually barred the plaintiff from signing up.”  But </w:t>
      </w:r>
      <w:r w:rsidR="00C277D6" w:rsidRPr="00AC2B1F">
        <w:rPr>
          <w:color w:val="000000"/>
          <w:szCs w:val="26"/>
        </w:rPr>
        <w:t xml:space="preserve">according to </w:t>
      </w:r>
      <w:r w:rsidR="00775D5F" w:rsidRPr="00AC2B1F">
        <w:rPr>
          <w:color w:val="000000"/>
          <w:szCs w:val="26"/>
        </w:rPr>
        <w:t>White</w:t>
      </w:r>
      <w:r w:rsidR="00C277D6" w:rsidRPr="00AC2B1F">
        <w:rPr>
          <w:color w:val="000000"/>
          <w:szCs w:val="26"/>
        </w:rPr>
        <w:t xml:space="preserve">’s complaint, </w:t>
      </w:r>
      <w:r w:rsidR="00775D5F" w:rsidRPr="00AC2B1F">
        <w:rPr>
          <w:color w:val="000000"/>
          <w:szCs w:val="26"/>
        </w:rPr>
        <w:t xml:space="preserve">he believed </w:t>
      </w:r>
      <w:r w:rsidR="002D5DC4" w:rsidRPr="00AC2B1F">
        <w:rPr>
          <w:color w:val="000000"/>
          <w:szCs w:val="26"/>
        </w:rPr>
        <w:t xml:space="preserve">that </w:t>
      </w:r>
      <w:r w:rsidR="00775D5F" w:rsidRPr="00AC2B1F">
        <w:rPr>
          <w:color w:val="000000"/>
          <w:szCs w:val="26"/>
        </w:rPr>
        <w:t>signing up for Square’s service</w:t>
      </w:r>
      <w:r w:rsidR="00FE358F">
        <w:rPr>
          <w:color w:val="000000"/>
          <w:szCs w:val="26"/>
        </w:rPr>
        <w:t>s</w:t>
      </w:r>
      <w:r w:rsidR="00775D5F" w:rsidRPr="00AC2B1F">
        <w:rPr>
          <w:color w:val="000000"/>
          <w:szCs w:val="26"/>
        </w:rPr>
        <w:t xml:space="preserve"> with the intention of using it in his bankruptcy practice would have </w:t>
      </w:r>
      <w:r w:rsidR="005A7F1C" w:rsidRPr="00AC2B1F">
        <w:rPr>
          <w:color w:val="000000"/>
          <w:szCs w:val="26"/>
        </w:rPr>
        <w:t>resulted in “discriminatory termination” by Square</w:t>
      </w:r>
      <w:r w:rsidR="00775D5F" w:rsidRPr="00AC2B1F">
        <w:rPr>
          <w:color w:val="000000"/>
          <w:szCs w:val="26"/>
        </w:rPr>
        <w:t xml:space="preserve"> </w:t>
      </w:r>
      <w:r w:rsidR="005A7F1C" w:rsidRPr="00AC2B1F">
        <w:rPr>
          <w:color w:val="000000"/>
          <w:szCs w:val="26"/>
        </w:rPr>
        <w:t xml:space="preserve">and </w:t>
      </w:r>
      <w:r w:rsidR="002D7F7E" w:rsidRPr="00AC2B1F">
        <w:rPr>
          <w:color w:val="000000"/>
          <w:szCs w:val="26"/>
        </w:rPr>
        <w:t xml:space="preserve">would have </w:t>
      </w:r>
      <w:r w:rsidR="00882826" w:rsidRPr="00AC2B1F">
        <w:rPr>
          <w:color w:val="000000"/>
          <w:szCs w:val="26"/>
        </w:rPr>
        <w:t>caused him additional injury resulting from damage to his “professional reputation and commercial credit</w:t>
      </w:r>
      <w:r w:rsidR="00775D5F" w:rsidRPr="00AC2B1F">
        <w:rPr>
          <w:color w:val="000000"/>
          <w:szCs w:val="26"/>
        </w:rPr>
        <w:t>.</w:t>
      </w:r>
      <w:r w:rsidR="00882826" w:rsidRPr="00AC2B1F">
        <w:rPr>
          <w:color w:val="000000"/>
          <w:szCs w:val="26"/>
        </w:rPr>
        <w:t>”</w:t>
      </w:r>
      <w:r w:rsidR="00775D5F" w:rsidRPr="00AC2B1F">
        <w:rPr>
          <w:color w:val="000000"/>
          <w:szCs w:val="26"/>
        </w:rPr>
        <w:t xml:space="preserve"> </w:t>
      </w:r>
      <w:r w:rsidR="002D7F7E" w:rsidRPr="00AC2B1F">
        <w:rPr>
          <w:color w:val="000000"/>
          <w:szCs w:val="26"/>
        </w:rPr>
        <w:t xml:space="preserve"> </w:t>
      </w:r>
      <w:r w:rsidR="00A013B5">
        <w:rPr>
          <w:color w:val="000000"/>
          <w:szCs w:val="26"/>
        </w:rPr>
        <w:t xml:space="preserve">The letter from </w:t>
      </w:r>
      <w:r w:rsidR="00775D5F" w:rsidRPr="00AC2B1F">
        <w:rPr>
          <w:color w:val="000000"/>
          <w:szCs w:val="26"/>
        </w:rPr>
        <w:t>Square’s counsel</w:t>
      </w:r>
      <w:r w:rsidR="0084617D">
        <w:rPr>
          <w:color w:val="000000"/>
          <w:szCs w:val="26"/>
        </w:rPr>
        <w:t xml:space="preserve"> to shierkatz RLLP</w:t>
      </w:r>
      <w:r w:rsidR="00775D5F" w:rsidRPr="00AC2B1F">
        <w:rPr>
          <w:color w:val="000000"/>
          <w:szCs w:val="26"/>
        </w:rPr>
        <w:t xml:space="preserve"> that White</w:t>
      </w:r>
      <w:r w:rsidR="00A013B5">
        <w:rPr>
          <w:color w:val="000000"/>
          <w:szCs w:val="26"/>
        </w:rPr>
        <w:t xml:space="preserve"> cites also indicated that</w:t>
      </w:r>
      <w:r w:rsidR="00775D5F" w:rsidRPr="00AC2B1F">
        <w:rPr>
          <w:color w:val="000000"/>
          <w:szCs w:val="26"/>
        </w:rPr>
        <w:t xml:space="preserve"> subscription to Square’s service</w:t>
      </w:r>
      <w:r w:rsidR="00FE358F">
        <w:rPr>
          <w:color w:val="000000"/>
          <w:szCs w:val="26"/>
        </w:rPr>
        <w:t>s</w:t>
      </w:r>
      <w:r w:rsidR="00775D5F" w:rsidRPr="00AC2B1F">
        <w:rPr>
          <w:color w:val="000000"/>
          <w:szCs w:val="26"/>
        </w:rPr>
        <w:t xml:space="preserve"> under these conditions </w:t>
      </w:r>
      <w:r w:rsidR="007266F7" w:rsidRPr="00AC2B1F">
        <w:rPr>
          <w:color w:val="000000"/>
          <w:szCs w:val="26"/>
        </w:rPr>
        <w:t>“</w:t>
      </w:r>
      <w:r w:rsidR="00775D5F" w:rsidRPr="00AC2B1F">
        <w:rPr>
          <w:color w:val="000000"/>
          <w:szCs w:val="26"/>
        </w:rPr>
        <w:t xml:space="preserve">would </w:t>
      </w:r>
      <w:r w:rsidR="007266F7" w:rsidRPr="00AC2B1F">
        <w:rPr>
          <w:color w:val="000000"/>
          <w:szCs w:val="26"/>
        </w:rPr>
        <w:t>be fraud</w:t>
      </w:r>
      <w:r w:rsidR="002D7F7E" w:rsidRPr="00AC2B1F">
        <w:rPr>
          <w:color w:val="000000"/>
          <w:szCs w:val="26"/>
        </w:rPr>
        <w:t>u</w:t>
      </w:r>
      <w:r w:rsidR="007266F7" w:rsidRPr="00AC2B1F">
        <w:rPr>
          <w:color w:val="000000"/>
          <w:szCs w:val="26"/>
        </w:rPr>
        <w:t>lent.”</w:t>
      </w:r>
      <w:r w:rsidR="00775D5F" w:rsidRPr="00AC2B1F">
        <w:rPr>
          <w:color w:val="000000"/>
          <w:szCs w:val="26"/>
        </w:rPr>
        <w:t xml:space="preserve"> </w:t>
      </w:r>
      <w:r w:rsidR="00E83FE7" w:rsidRPr="00AC2B1F">
        <w:rPr>
          <w:color w:val="000000"/>
          <w:szCs w:val="26"/>
        </w:rPr>
        <w:t xml:space="preserve"> </w:t>
      </w:r>
      <w:r w:rsidR="002D7F7E" w:rsidRPr="00AC2B1F">
        <w:rPr>
          <w:color w:val="000000"/>
          <w:szCs w:val="26"/>
        </w:rPr>
        <w:t>I</w:t>
      </w:r>
      <w:r w:rsidR="00626BDF" w:rsidRPr="00AC2B1F">
        <w:rPr>
          <w:color w:val="000000"/>
          <w:szCs w:val="26"/>
        </w:rPr>
        <w:t xml:space="preserve">t </w:t>
      </w:r>
      <w:r w:rsidR="002D7F7E" w:rsidRPr="00AC2B1F">
        <w:rPr>
          <w:color w:val="000000"/>
          <w:szCs w:val="26"/>
        </w:rPr>
        <w:t xml:space="preserve">is </w:t>
      </w:r>
      <w:r w:rsidR="00626BDF" w:rsidRPr="00AC2B1F">
        <w:rPr>
          <w:color w:val="000000"/>
          <w:szCs w:val="26"/>
        </w:rPr>
        <w:t xml:space="preserve">not clear how White could </w:t>
      </w:r>
      <w:r w:rsidR="00626BDF" w:rsidRPr="00AC2B1F">
        <w:rPr>
          <w:color w:val="000000"/>
          <w:szCs w:val="26"/>
        </w:rPr>
        <w:lastRenderedPageBreak/>
        <w:t xml:space="preserve">have </w:t>
      </w:r>
      <w:r w:rsidR="002D7F7E" w:rsidRPr="00AC2B1F">
        <w:rPr>
          <w:color w:val="000000"/>
          <w:szCs w:val="26"/>
        </w:rPr>
        <w:t>subscribed to Square’s service</w:t>
      </w:r>
      <w:r w:rsidR="00FE358F">
        <w:rPr>
          <w:color w:val="000000"/>
          <w:szCs w:val="26"/>
        </w:rPr>
        <w:t>s</w:t>
      </w:r>
      <w:r w:rsidR="002D7F7E" w:rsidRPr="00AC2B1F">
        <w:rPr>
          <w:color w:val="000000"/>
          <w:szCs w:val="26"/>
        </w:rPr>
        <w:t xml:space="preserve"> in the circumstances here.  </w:t>
      </w:r>
      <w:proofErr w:type="gramStart"/>
      <w:r w:rsidR="00626BDF" w:rsidRPr="00AC2B1F">
        <w:rPr>
          <w:color w:val="000000"/>
          <w:szCs w:val="26"/>
        </w:rPr>
        <w:t>In essence, what</w:t>
      </w:r>
      <w:proofErr w:type="gramEnd"/>
      <w:r w:rsidR="00626BDF" w:rsidRPr="00AC2B1F">
        <w:rPr>
          <w:color w:val="000000"/>
          <w:szCs w:val="26"/>
        </w:rPr>
        <w:t xml:space="preserve"> White alleges is that because of the discriminatory policy stated in Square’s terms of service, he was “refused services, thereby making a [subscription] impossible.”  (</w:t>
      </w:r>
      <w:r w:rsidR="00626BDF" w:rsidRPr="00AC2B1F">
        <w:rPr>
          <w:i/>
          <w:color w:val="000000"/>
          <w:szCs w:val="26"/>
        </w:rPr>
        <w:t>Osborne</w:t>
      </w:r>
      <w:r w:rsidR="00626BDF" w:rsidRPr="00AC2B1F">
        <w:rPr>
          <w:color w:val="000000"/>
          <w:szCs w:val="26"/>
        </w:rPr>
        <w:t xml:space="preserve">, </w:t>
      </w:r>
      <w:r w:rsidR="00C277D6" w:rsidRPr="00AC2B1F">
        <w:rPr>
          <w:i/>
          <w:color w:val="000000"/>
          <w:szCs w:val="26"/>
        </w:rPr>
        <w:t>supra</w:t>
      </w:r>
      <w:r w:rsidR="00C277D6" w:rsidRPr="00AC2B1F">
        <w:rPr>
          <w:color w:val="000000"/>
          <w:szCs w:val="26"/>
        </w:rPr>
        <w:t xml:space="preserve">, 1 Cal.App.5th </w:t>
      </w:r>
      <w:r w:rsidR="00626BDF" w:rsidRPr="00AC2B1F">
        <w:rPr>
          <w:color w:val="000000"/>
          <w:szCs w:val="26"/>
        </w:rPr>
        <w:t>at p. 1134.)</w:t>
      </w:r>
    </w:p>
    <w:bookmarkEnd w:id="4"/>
    <w:p w14:paraId="61738604" w14:textId="5ED28C6E" w:rsidR="00CD5FB3" w:rsidRPr="00AC2B1F" w:rsidRDefault="00626BDF" w:rsidP="00AC2B1F">
      <w:pPr>
        <w:shd w:val="clear" w:color="auto" w:fill="FFFFFF"/>
        <w:ind w:firstLine="720"/>
        <w:rPr>
          <w:szCs w:val="26"/>
        </w:rPr>
      </w:pPr>
      <w:r w:rsidRPr="00AC2B1F">
        <w:rPr>
          <w:szCs w:val="26"/>
        </w:rPr>
        <w:t xml:space="preserve">Nor do we find persuasive Square’s </w:t>
      </w:r>
      <w:r w:rsidR="00CD5FB3" w:rsidRPr="00AC2B1F">
        <w:rPr>
          <w:szCs w:val="26"/>
        </w:rPr>
        <w:t>argument</w:t>
      </w:r>
      <w:r w:rsidRPr="00AC2B1F">
        <w:rPr>
          <w:szCs w:val="26"/>
        </w:rPr>
        <w:t xml:space="preserve"> that </w:t>
      </w:r>
      <w:r w:rsidR="00BE547E" w:rsidRPr="00AC2B1F">
        <w:rPr>
          <w:szCs w:val="26"/>
        </w:rPr>
        <w:t xml:space="preserve">because </w:t>
      </w:r>
      <w:r w:rsidRPr="00AC2B1F">
        <w:rPr>
          <w:szCs w:val="26"/>
        </w:rPr>
        <w:t xml:space="preserve">White </w:t>
      </w:r>
      <w:r w:rsidR="00BE547E" w:rsidRPr="00AC2B1F">
        <w:rPr>
          <w:szCs w:val="26"/>
        </w:rPr>
        <w:t xml:space="preserve">did not sign up, he </w:t>
      </w:r>
      <w:r w:rsidR="00C736DC" w:rsidRPr="00AC2B1F">
        <w:rPr>
          <w:szCs w:val="26"/>
        </w:rPr>
        <w:t xml:space="preserve">was not </w:t>
      </w:r>
      <w:r w:rsidR="005D3322" w:rsidRPr="00AC2B1F">
        <w:rPr>
          <w:szCs w:val="26"/>
        </w:rPr>
        <w:t xml:space="preserve">actually </w:t>
      </w:r>
      <w:r w:rsidR="00C736DC" w:rsidRPr="00AC2B1F">
        <w:rPr>
          <w:szCs w:val="26"/>
        </w:rPr>
        <w:t xml:space="preserve">subject to Square’s terms of service </w:t>
      </w:r>
      <w:r w:rsidR="00C277D6" w:rsidRPr="00AC2B1F">
        <w:rPr>
          <w:szCs w:val="26"/>
        </w:rPr>
        <w:t xml:space="preserve">and </w:t>
      </w:r>
      <w:r w:rsidR="00BE547E" w:rsidRPr="00AC2B1F">
        <w:rPr>
          <w:szCs w:val="26"/>
        </w:rPr>
        <w:t xml:space="preserve">therefore </w:t>
      </w:r>
      <w:r w:rsidR="00CD5FB3" w:rsidRPr="00AC2B1F">
        <w:rPr>
          <w:szCs w:val="26"/>
        </w:rPr>
        <w:t xml:space="preserve">suffered no actual or personal injury from any alleged discrimination.  This contention takes too narrow a view of the harms that the Unruh </w:t>
      </w:r>
      <w:r w:rsidR="00FE358F">
        <w:rPr>
          <w:szCs w:val="26"/>
        </w:rPr>
        <w:t xml:space="preserve">Civil Rights </w:t>
      </w:r>
      <w:r w:rsidR="00CD5FB3" w:rsidRPr="00AC2B1F">
        <w:rPr>
          <w:szCs w:val="26"/>
        </w:rPr>
        <w:t xml:space="preserve">Act is intended to deter and remedy.  White elucidates this point with the following hypothetical:  “Suppose an African-American person approaches a brick-and-mortar furniture store, intending to buy a bed, and sees a sign in the window that says, ‘We sell on credit.  (Black people must pay cash.)’  The person declines to enter the store. </w:t>
      </w:r>
      <w:r w:rsidR="00E36426" w:rsidRPr="00AC2B1F">
        <w:rPr>
          <w:szCs w:val="26"/>
        </w:rPr>
        <w:t xml:space="preserve"> </w:t>
      </w:r>
      <w:r w:rsidR="00CD5FB3" w:rsidRPr="00AC2B1F">
        <w:rPr>
          <w:szCs w:val="26"/>
        </w:rPr>
        <w:t xml:space="preserve">Does that person have standing?  Yes . . . .  And if this person instead goes to the store’s website with </w:t>
      </w:r>
      <w:proofErr w:type="gramStart"/>
      <w:r w:rsidR="00CD5FB3" w:rsidRPr="00AC2B1F">
        <w:rPr>
          <w:szCs w:val="26"/>
        </w:rPr>
        <w:t>exactly the same</w:t>
      </w:r>
      <w:proofErr w:type="gramEnd"/>
      <w:r w:rsidR="00CD5FB3" w:rsidRPr="00AC2B1F">
        <w:rPr>
          <w:szCs w:val="26"/>
        </w:rPr>
        <w:t xml:space="preserve"> intent, faces exactly the same restriction, and declines to agree to the discriminatory term . . . , there is no reason why the result should differ.  Square would require this plaintiff to enter the bricks-and-mortar store, enter into a contractual relationship with the owner, and then endure the further humiliation of denial of credit</w:t>
      </w:r>
      <w:r w:rsidR="00FE358F">
        <w:rPr>
          <w:szCs w:val="26"/>
        </w:rPr>
        <w:t xml:space="preserve"> </w:t>
      </w:r>
      <w:r w:rsidR="00CD5FB3" w:rsidRPr="00AC2B1F">
        <w:rPr>
          <w:szCs w:val="26"/>
        </w:rPr>
        <w:t>—</w:t>
      </w:r>
      <w:r w:rsidR="00FE358F">
        <w:rPr>
          <w:szCs w:val="26"/>
        </w:rPr>
        <w:t xml:space="preserve"> </w:t>
      </w:r>
      <w:r w:rsidR="00CD5FB3" w:rsidRPr="00AC2B1F">
        <w:rPr>
          <w:szCs w:val="26"/>
        </w:rPr>
        <w:t xml:space="preserve">or to sign up on the defendant’s website and face the same rebuff when she later asks for credit.  Neither the deterrent nor the compensatory purposes of the Unruh Act would be served by such requirements. </w:t>
      </w:r>
      <w:r w:rsidR="00BE547E" w:rsidRPr="00AC2B1F">
        <w:rPr>
          <w:szCs w:val="26"/>
        </w:rPr>
        <w:t xml:space="preserve"> </w:t>
      </w:r>
      <w:r w:rsidR="00CD5FB3" w:rsidRPr="00AC2B1F">
        <w:rPr>
          <w:szCs w:val="26"/>
        </w:rPr>
        <w:t xml:space="preserve">Indeed, both would be undermined.”  </w:t>
      </w:r>
    </w:p>
    <w:p w14:paraId="09F535CE" w14:textId="4E622F8D" w:rsidR="001C03CC" w:rsidRPr="00AC2B1F" w:rsidRDefault="005D3322" w:rsidP="00AC2B1F">
      <w:pPr>
        <w:shd w:val="clear" w:color="auto" w:fill="FFFFFF"/>
        <w:ind w:firstLine="720"/>
        <w:rPr>
          <w:szCs w:val="26"/>
        </w:rPr>
      </w:pPr>
      <w:r w:rsidRPr="00AC2B1F">
        <w:rPr>
          <w:szCs w:val="26"/>
        </w:rPr>
        <w:t xml:space="preserve">Square </w:t>
      </w:r>
      <w:r w:rsidR="00660089" w:rsidRPr="00AC2B1F">
        <w:rPr>
          <w:szCs w:val="26"/>
        </w:rPr>
        <w:t>further contends that if a plaintiff has not signed up for its service</w:t>
      </w:r>
      <w:r w:rsidR="00FE358F">
        <w:rPr>
          <w:szCs w:val="26"/>
        </w:rPr>
        <w:t>s</w:t>
      </w:r>
      <w:r w:rsidR="00660089" w:rsidRPr="00AC2B1F">
        <w:rPr>
          <w:szCs w:val="26"/>
        </w:rPr>
        <w:t xml:space="preserve">, then in order to have standing “the plaintiff must show that the defendant applied its discriminatory policy on a particular occasion to prevent him personally from </w:t>
      </w:r>
      <w:r w:rsidR="00660089" w:rsidRPr="00AC2B1F">
        <w:rPr>
          <w:szCs w:val="26"/>
        </w:rPr>
        <w:lastRenderedPageBreak/>
        <w:t xml:space="preserve">becoming a patron in the first place.”  But </w:t>
      </w:r>
      <w:r w:rsidR="001C03CC" w:rsidRPr="00AC2B1F">
        <w:rPr>
          <w:szCs w:val="26"/>
        </w:rPr>
        <w:t xml:space="preserve">an individual who intends to take a drink at a shopping mall and leaves upon encountering unattended segregated fountains, like the customer who walks away from the furniture store in White’s hypothetical above, has personally experienced the application of a discriminatory policy.  </w:t>
      </w:r>
      <w:proofErr w:type="gramStart"/>
      <w:r w:rsidR="00202474" w:rsidRPr="00AC2B1F">
        <w:rPr>
          <w:szCs w:val="26"/>
        </w:rPr>
        <w:t>Similarly</w:t>
      </w:r>
      <w:proofErr w:type="gramEnd"/>
      <w:r w:rsidR="00202474" w:rsidRPr="00AC2B1F">
        <w:rPr>
          <w:szCs w:val="26"/>
        </w:rPr>
        <w:t xml:space="preserve"> here, </w:t>
      </w:r>
      <w:r w:rsidR="00A808B3" w:rsidRPr="00AC2B1F">
        <w:rPr>
          <w:szCs w:val="26"/>
        </w:rPr>
        <w:t>W</w:t>
      </w:r>
      <w:r w:rsidR="00515A3B" w:rsidRPr="00AC2B1F">
        <w:rPr>
          <w:szCs w:val="26"/>
        </w:rPr>
        <w:t xml:space="preserve">hite alleges he was effectively refused service by Square </w:t>
      </w:r>
      <w:r w:rsidR="00A808B3" w:rsidRPr="00AC2B1F">
        <w:rPr>
          <w:szCs w:val="26"/>
        </w:rPr>
        <w:t xml:space="preserve">upon visiting </w:t>
      </w:r>
      <w:r w:rsidR="00515A3B" w:rsidRPr="00AC2B1F">
        <w:rPr>
          <w:szCs w:val="26"/>
        </w:rPr>
        <w:t xml:space="preserve">its </w:t>
      </w:r>
      <w:r w:rsidR="00A808B3" w:rsidRPr="00AC2B1F">
        <w:rPr>
          <w:szCs w:val="26"/>
        </w:rPr>
        <w:t xml:space="preserve">website with the intent of subscribing and then encountering </w:t>
      </w:r>
      <w:r w:rsidR="00E83FE7" w:rsidRPr="00AC2B1F">
        <w:rPr>
          <w:szCs w:val="26"/>
        </w:rPr>
        <w:t xml:space="preserve">its allegedly discriminatory </w:t>
      </w:r>
      <w:r w:rsidR="00A808B3" w:rsidRPr="00AC2B1F">
        <w:rPr>
          <w:szCs w:val="26"/>
        </w:rPr>
        <w:t>terms of service</w:t>
      </w:r>
      <w:r w:rsidR="001C03CC" w:rsidRPr="00AC2B1F">
        <w:rPr>
          <w:szCs w:val="26"/>
        </w:rPr>
        <w:t>.</w:t>
      </w:r>
      <w:r w:rsidR="00E83FE7" w:rsidRPr="00AC2B1F">
        <w:rPr>
          <w:szCs w:val="26"/>
        </w:rPr>
        <w:t xml:space="preserve">  Our reasoning in </w:t>
      </w:r>
      <w:r w:rsidR="00E83FE7" w:rsidRPr="00AC2B1F">
        <w:rPr>
          <w:i/>
          <w:szCs w:val="26"/>
        </w:rPr>
        <w:t>Angelucci</w:t>
      </w:r>
      <w:r w:rsidR="00E83FE7" w:rsidRPr="00AC2B1F">
        <w:rPr>
          <w:szCs w:val="26"/>
        </w:rPr>
        <w:t xml:space="preserve"> makes clear that </w:t>
      </w:r>
      <w:proofErr w:type="gramStart"/>
      <w:r w:rsidR="00202474" w:rsidRPr="00AC2B1F">
        <w:rPr>
          <w:szCs w:val="26"/>
        </w:rPr>
        <w:t>in order to</w:t>
      </w:r>
      <w:proofErr w:type="gramEnd"/>
      <w:r w:rsidR="00202474" w:rsidRPr="00AC2B1F">
        <w:rPr>
          <w:szCs w:val="26"/>
        </w:rPr>
        <w:t xml:space="preserve"> have standing, White did not need </w:t>
      </w:r>
      <w:r w:rsidR="00E83FE7" w:rsidRPr="00AC2B1F">
        <w:rPr>
          <w:szCs w:val="26"/>
        </w:rPr>
        <w:t xml:space="preserve">to contact Square </w:t>
      </w:r>
      <w:r w:rsidR="00261A43" w:rsidRPr="00AC2B1F">
        <w:rPr>
          <w:szCs w:val="26"/>
        </w:rPr>
        <w:t>to ask for an exception to the stated restriction or to verify that the restriction applied to him.  (</w:t>
      </w:r>
      <w:r w:rsidR="00261A43" w:rsidRPr="00AC2B1F">
        <w:rPr>
          <w:i/>
          <w:szCs w:val="26"/>
        </w:rPr>
        <w:t>Angelucci</w:t>
      </w:r>
      <w:r w:rsidR="00261A43" w:rsidRPr="00AC2B1F">
        <w:rPr>
          <w:szCs w:val="26"/>
        </w:rPr>
        <w:t xml:space="preserve">, </w:t>
      </w:r>
      <w:r w:rsidR="00261A43" w:rsidRPr="00AC2B1F">
        <w:rPr>
          <w:i/>
          <w:szCs w:val="26"/>
        </w:rPr>
        <w:t>supra</w:t>
      </w:r>
      <w:r w:rsidR="00261A43" w:rsidRPr="00AC2B1F">
        <w:rPr>
          <w:szCs w:val="26"/>
        </w:rPr>
        <w:t xml:space="preserve">, 41 Cal.4th at p. 170.)  Such a requirement would </w:t>
      </w:r>
      <w:r w:rsidR="006E7A50" w:rsidRPr="00AC2B1F">
        <w:rPr>
          <w:szCs w:val="26"/>
        </w:rPr>
        <w:t xml:space="preserve">limit a business’s liability only to individuals who inquire and would </w:t>
      </w:r>
      <w:r w:rsidR="00261A43" w:rsidRPr="00AC2B1F">
        <w:rPr>
          <w:szCs w:val="26"/>
        </w:rPr>
        <w:t xml:space="preserve">potentially enable </w:t>
      </w:r>
      <w:r w:rsidR="006E7A50" w:rsidRPr="00AC2B1F">
        <w:rPr>
          <w:szCs w:val="26"/>
        </w:rPr>
        <w:t xml:space="preserve">a </w:t>
      </w:r>
      <w:r w:rsidR="00261A43" w:rsidRPr="00AC2B1F">
        <w:rPr>
          <w:szCs w:val="26"/>
        </w:rPr>
        <w:t xml:space="preserve">business to make exceptions to </w:t>
      </w:r>
      <w:r w:rsidR="006E7A50" w:rsidRPr="00AC2B1F">
        <w:rPr>
          <w:szCs w:val="26"/>
        </w:rPr>
        <w:t xml:space="preserve">its </w:t>
      </w:r>
      <w:r w:rsidR="00261A43" w:rsidRPr="00AC2B1F">
        <w:rPr>
          <w:szCs w:val="26"/>
        </w:rPr>
        <w:t xml:space="preserve">stated policies in order to avoid suit, </w:t>
      </w:r>
      <w:r w:rsidR="00202474" w:rsidRPr="00AC2B1F">
        <w:rPr>
          <w:szCs w:val="26"/>
        </w:rPr>
        <w:t xml:space="preserve">even as </w:t>
      </w:r>
      <w:r w:rsidR="006E7A50" w:rsidRPr="00AC2B1F">
        <w:rPr>
          <w:szCs w:val="26"/>
        </w:rPr>
        <w:t xml:space="preserve">its </w:t>
      </w:r>
      <w:r w:rsidR="00202474" w:rsidRPr="00AC2B1F">
        <w:rPr>
          <w:szCs w:val="26"/>
        </w:rPr>
        <w:t>stated policies deter the lion’s share of customers belonging to a protected group.</w:t>
      </w:r>
    </w:p>
    <w:p w14:paraId="33E7F310" w14:textId="1C64971D" w:rsidR="00E06054" w:rsidRDefault="00881D93" w:rsidP="00AC2B1F">
      <w:pPr>
        <w:shd w:val="clear" w:color="auto" w:fill="FFFFFF"/>
        <w:ind w:firstLine="720"/>
        <w:rPr>
          <w:color w:val="000000"/>
          <w:szCs w:val="26"/>
          <w:shd w:val="clear" w:color="auto" w:fill="FFFFFF"/>
        </w:rPr>
      </w:pPr>
      <w:r w:rsidRPr="00AC2B1F">
        <w:rPr>
          <w:color w:val="000000"/>
          <w:szCs w:val="26"/>
        </w:rPr>
        <w:t xml:space="preserve">Finally, Square argues that allowing White to proceed would “radically expand the universe of ‘aggrieved’ persons” and lead to class actions that include “lead plaintiffs and absent class members who did not actually suffer any personal denial of equal rights.” </w:t>
      </w:r>
      <w:r w:rsidR="00843B32" w:rsidRPr="00AC2B1F">
        <w:rPr>
          <w:color w:val="000000"/>
          <w:szCs w:val="26"/>
        </w:rPr>
        <w:t xml:space="preserve"> In </w:t>
      </w:r>
      <w:r w:rsidR="00843B32" w:rsidRPr="00AC2B1F">
        <w:rPr>
          <w:i/>
          <w:color w:val="000000"/>
          <w:szCs w:val="26"/>
        </w:rPr>
        <w:t>Angelucci</w:t>
      </w:r>
      <w:r w:rsidR="00843B32" w:rsidRPr="00AC2B1F">
        <w:rPr>
          <w:color w:val="000000"/>
          <w:szCs w:val="26"/>
        </w:rPr>
        <w:t>, we rejected a similar argument concerning abusive litigation, boundless statutory damages, and extortionate settlements.  (</w:t>
      </w:r>
      <w:r w:rsidR="00843B32" w:rsidRPr="00AC2B1F">
        <w:rPr>
          <w:i/>
          <w:color w:val="000000"/>
          <w:szCs w:val="26"/>
        </w:rPr>
        <w:t>Angelucci</w:t>
      </w:r>
      <w:r w:rsidR="00843B32" w:rsidRPr="00AC2B1F">
        <w:rPr>
          <w:color w:val="000000"/>
          <w:szCs w:val="26"/>
        </w:rPr>
        <w:t xml:space="preserve">, </w:t>
      </w:r>
      <w:r w:rsidR="00843B32" w:rsidRPr="00AC2B1F">
        <w:rPr>
          <w:i/>
          <w:color w:val="000000"/>
          <w:szCs w:val="26"/>
        </w:rPr>
        <w:t>supra</w:t>
      </w:r>
      <w:r w:rsidR="00843B32" w:rsidRPr="00AC2B1F">
        <w:rPr>
          <w:color w:val="000000"/>
          <w:szCs w:val="26"/>
        </w:rPr>
        <w:t xml:space="preserve">, 41 Cal.4th at p. 178.)  While sharing these concerns “to some degree,” we said they </w:t>
      </w:r>
      <w:r w:rsidR="00843B32" w:rsidRPr="00AC2B1F">
        <w:rPr>
          <w:color w:val="000000"/>
          <w:szCs w:val="26"/>
          <w:shd w:val="clear" w:color="auto" w:fill="FFFFFF"/>
        </w:rPr>
        <w:t>“do not supply a justification for our inserting additional elements of proof into the cause of action defined by the statute.</w:t>
      </w:r>
      <w:r w:rsidR="00F15E49" w:rsidRPr="00AC2B1F">
        <w:rPr>
          <w:color w:val="000000"/>
          <w:szCs w:val="26"/>
          <w:shd w:val="clear" w:color="auto" w:fill="FFFFFF"/>
        </w:rPr>
        <w:t xml:space="preserve">  </w:t>
      </w:r>
      <w:r w:rsidR="00843B32" w:rsidRPr="00AC2B1F">
        <w:rPr>
          <w:color w:val="000000"/>
          <w:szCs w:val="26"/>
          <w:shd w:val="clear" w:color="auto" w:fill="FFFFFF"/>
        </w:rPr>
        <w:t xml:space="preserve">It is for the Legislature (or the People through the initiative process) to determine whether to alter the statutory elements of proof to afford business establishments protection against </w:t>
      </w:r>
      <w:r w:rsidR="00843B32" w:rsidRPr="00AC2B1F">
        <w:rPr>
          <w:color w:val="000000"/>
          <w:szCs w:val="26"/>
          <w:shd w:val="clear" w:color="auto" w:fill="FFFFFF"/>
        </w:rPr>
        <w:lastRenderedPageBreak/>
        <w:t xml:space="preserve">abusive private legal actions and settlement tactics. </w:t>
      </w:r>
      <w:r w:rsidR="00F15E49" w:rsidRPr="00AC2B1F">
        <w:rPr>
          <w:color w:val="000000"/>
          <w:szCs w:val="26"/>
          <w:shd w:val="clear" w:color="auto" w:fill="FFFFFF"/>
        </w:rPr>
        <w:t xml:space="preserve"> </w:t>
      </w:r>
      <w:r w:rsidR="00843B32" w:rsidRPr="00AC2B1F">
        <w:rPr>
          <w:color w:val="000000"/>
          <w:szCs w:val="26"/>
          <w:shd w:val="clear" w:color="auto" w:fill="FFFFFF"/>
        </w:rPr>
        <w:t>It is for the Legislature, too, to consider whether limitations on the current statutory private cause of action might unduly weaken enforcement of the</w:t>
      </w:r>
      <w:r w:rsidR="00F15E49" w:rsidRPr="00AC2B1F">
        <w:rPr>
          <w:color w:val="000000"/>
          <w:szCs w:val="26"/>
          <w:shd w:val="clear" w:color="auto" w:fill="FFFFFF"/>
        </w:rPr>
        <w:t xml:space="preserve"> </w:t>
      </w:r>
      <w:r w:rsidR="00843B32" w:rsidRPr="00AC2B1F">
        <w:rPr>
          <w:color w:val="000000"/>
          <w:szCs w:val="26"/>
          <w:shd w:val="clear" w:color="auto" w:fill="FFFFFF"/>
        </w:rPr>
        <w:t>Act or place unwarranted barriers in the way of those persons who suffer discrimination and whose interests were intended to be served by the Act.</w:t>
      </w:r>
      <w:r w:rsidR="00F15E49" w:rsidRPr="00AC2B1F">
        <w:rPr>
          <w:color w:val="000000"/>
          <w:szCs w:val="26"/>
          <w:shd w:val="clear" w:color="auto" w:fill="FFFFFF"/>
        </w:rPr>
        <w:t>”  (</w:t>
      </w:r>
      <w:r w:rsidR="00F15E49" w:rsidRPr="00AC2B1F">
        <w:rPr>
          <w:i/>
          <w:color w:val="000000"/>
          <w:szCs w:val="26"/>
          <w:shd w:val="clear" w:color="auto" w:fill="FFFFFF"/>
        </w:rPr>
        <w:t>Id.</w:t>
      </w:r>
      <w:r w:rsidR="00F15E49" w:rsidRPr="00AC2B1F">
        <w:rPr>
          <w:color w:val="000000"/>
          <w:szCs w:val="26"/>
          <w:shd w:val="clear" w:color="auto" w:fill="FFFFFF"/>
        </w:rPr>
        <w:t xml:space="preserve"> at p. 179.)  We also discussed equitable defenses and constitutional limitations on statutory penalties as important safeguards.  (</w:t>
      </w:r>
      <w:r w:rsidR="00F15E49" w:rsidRPr="00AC2B1F">
        <w:rPr>
          <w:i/>
          <w:color w:val="000000"/>
          <w:szCs w:val="26"/>
          <w:shd w:val="clear" w:color="auto" w:fill="FFFFFF"/>
        </w:rPr>
        <w:t>Id.</w:t>
      </w:r>
      <w:r w:rsidR="00F15E49" w:rsidRPr="00AC2B1F">
        <w:rPr>
          <w:color w:val="000000"/>
          <w:szCs w:val="26"/>
          <w:shd w:val="clear" w:color="auto" w:fill="FFFFFF"/>
        </w:rPr>
        <w:t xml:space="preserve"> at pp. 179–180.)</w:t>
      </w:r>
    </w:p>
    <w:p w14:paraId="6B2752F7" w14:textId="217FE6CB" w:rsidR="002D5DC4" w:rsidRPr="00AC2B1F" w:rsidRDefault="006E7A50" w:rsidP="00AC2B1F">
      <w:pPr>
        <w:shd w:val="clear" w:color="auto" w:fill="FFFFFF"/>
        <w:ind w:firstLine="720"/>
        <w:rPr>
          <w:color w:val="000000"/>
          <w:szCs w:val="26"/>
        </w:rPr>
      </w:pPr>
      <w:r w:rsidRPr="00AC2B1F">
        <w:rPr>
          <w:color w:val="000000"/>
          <w:szCs w:val="26"/>
        </w:rPr>
        <w:t xml:space="preserve">Under the rule proposed here, an individual </w:t>
      </w:r>
      <w:r w:rsidR="00915FBF" w:rsidRPr="00AC2B1F">
        <w:rPr>
          <w:color w:val="000000"/>
          <w:szCs w:val="26"/>
        </w:rPr>
        <w:t xml:space="preserve">bringing an Unruh </w:t>
      </w:r>
      <w:r w:rsidR="00FE358F">
        <w:rPr>
          <w:color w:val="000000"/>
          <w:szCs w:val="26"/>
        </w:rPr>
        <w:t xml:space="preserve">Civil Rights </w:t>
      </w:r>
      <w:r w:rsidR="00915FBF" w:rsidRPr="00AC2B1F">
        <w:rPr>
          <w:color w:val="000000"/>
          <w:szCs w:val="26"/>
        </w:rPr>
        <w:t xml:space="preserve">Act claim against an online business </w:t>
      </w:r>
      <w:r w:rsidRPr="00AC2B1F">
        <w:rPr>
          <w:color w:val="000000"/>
          <w:szCs w:val="26"/>
        </w:rPr>
        <w:t>must allege</w:t>
      </w:r>
      <w:r w:rsidR="00915FBF" w:rsidRPr="00AC2B1F">
        <w:rPr>
          <w:color w:val="000000"/>
          <w:szCs w:val="26"/>
        </w:rPr>
        <w:t>, for purposes of standing,</w:t>
      </w:r>
      <w:r w:rsidRPr="00AC2B1F">
        <w:rPr>
          <w:color w:val="000000"/>
          <w:szCs w:val="26"/>
        </w:rPr>
        <w:t xml:space="preserve"> that he or she visited the </w:t>
      </w:r>
      <w:r w:rsidR="00915FBF" w:rsidRPr="00AC2B1F">
        <w:rPr>
          <w:color w:val="000000"/>
          <w:szCs w:val="26"/>
        </w:rPr>
        <w:t xml:space="preserve">business’s </w:t>
      </w:r>
      <w:r w:rsidRPr="00AC2B1F">
        <w:rPr>
          <w:color w:val="000000"/>
          <w:szCs w:val="26"/>
        </w:rPr>
        <w:t xml:space="preserve">website, encountered </w:t>
      </w:r>
      <w:r w:rsidR="00915FBF" w:rsidRPr="00AC2B1F">
        <w:rPr>
          <w:color w:val="000000"/>
          <w:szCs w:val="26"/>
        </w:rPr>
        <w:t xml:space="preserve">discriminatory </w:t>
      </w:r>
      <w:r w:rsidRPr="00AC2B1F">
        <w:rPr>
          <w:color w:val="000000"/>
          <w:szCs w:val="26"/>
        </w:rPr>
        <w:t>terms</w:t>
      </w:r>
      <w:r w:rsidRPr="00AC2B1F">
        <w:rPr>
          <w:szCs w:val="26"/>
        </w:rPr>
        <w:t xml:space="preserve">, and </w:t>
      </w:r>
      <w:r w:rsidR="006A38A8">
        <w:rPr>
          <w:color w:val="000000"/>
          <w:szCs w:val="26"/>
        </w:rPr>
        <w:t>intended</w:t>
      </w:r>
      <w:r w:rsidRPr="00AC2B1F">
        <w:rPr>
          <w:color w:val="000000"/>
          <w:szCs w:val="26"/>
        </w:rPr>
        <w:t xml:space="preserve"> to make use of </w:t>
      </w:r>
      <w:r w:rsidR="00915FBF" w:rsidRPr="00AC2B1F">
        <w:rPr>
          <w:color w:val="000000"/>
          <w:szCs w:val="26"/>
        </w:rPr>
        <w:t>the business’s</w:t>
      </w:r>
      <w:r w:rsidRPr="00AC2B1F">
        <w:rPr>
          <w:color w:val="000000"/>
          <w:szCs w:val="26"/>
        </w:rPr>
        <w:t xml:space="preserve"> services.  These requirements </w:t>
      </w:r>
      <w:r w:rsidR="00915FBF" w:rsidRPr="00AC2B1F">
        <w:rPr>
          <w:color w:val="000000"/>
          <w:szCs w:val="26"/>
        </w:rPr>
        <w:t xml:space="preserve">are </w:t>
      </w:r>
      <w:proofErr w:type="gramStart"/>
      <w:r w:rsidR="00915FBF" w:rsidRPr="00AC2B1F">
        <w:rPr>
          <w:color w:val="000000"/>
          <w:szCs w:val="26"/>
        </w:rPr>
        <w:t>sufficient</w:t>
      </w:r>
      <w:proofErr w:type="gramEnd"/>
      <w:r w:rsidR="00915FBF" w:rsidRPr="00AC2B1F">
        <w:rPr>
          <w:color w:val="000000"/>
          <w:szCs w:val="26"/>
        </w:rPr>
        <w:t xml:space="preserve"> to </w:t>
      </w:r>
      <w:r w:rsidR="002D5DC4" w:rsidRPr="00AC2B1F">
        <w:rPr>
          <w:color w:val="000000"/>
          <w:szCs w:val="26"/>
        </w:rPr>
        <w:t xml:space="preserve">limit standing under the </w:t>
      </w:r>
      <w:r w:rsidR="00915FBF" w:rsidRPr="00AC2B1F">
        <w:rPr>
          <w:color w:val="000000"/>
          <w:szCs w:val="26"/>
        </w:rPr>
        <w:t xml:space="preserve">Unruh </w:t>
      </w:r>
      <w:r w:rsidR="00FE358F">
        <w:rPr>
          <w:color w:val="000000"/>
          <w:szCs w:val="26"/>
        </w:rPr>
        <w:t xml:space="preserve">Civil Rights </w:t>
      </w:r>
      <w:r w:rsidR="00915FBF" w:rsidRPr="00AC2B1F">
        <w:rPr>
          <w:color w:val="000000"/>
          <w:szCs w:val="26"/>
        </w:rPr>
        <w:t xml:space="preserve">Act </w:t>
      </w:r>
      <w:r w:rsidR="002D5DC4" w:rsidRPr="00AC2B1F">
        <w:rPr>
          <w:color w:val="000000"/>
          <w:szCs w:val="26"/>
        </w:rPr>
        <w:t xml:space="preserve">to persons with </w:t>
      </w:r>
      <w:r w:rsidRPr="00AC2B1F">
        <w:rPr>
          <w:color w:val="000000"/>
          <w:szCs w:val="26"/>
        </w:rPr>
        <w:t xml:space="preserve">a concrete </w:t>
      </w:r>
      <w:r w:rsidR="00915FBF" w:rsidRPr="00AC2B1F">
        <w:rPr>
          <w:color w:val="000000"/>
          <w:szCs w:val="26"/>
        </w:rPr>
        <w:t xml:space="preserve">and actual </w:t>
      </w:r>
      <w:r w:rsidRPr="00AC2B1F">
        <w:rPr>
          <w:color w:val="000000"/>
          <w:szCs w:val="26"/>
        </w:rPr>
        <w:t xml:space="preserve">interest that is not merely hypothetical or conjectural.  </w:t>
      </w:r>
      <w:r w:rsidR="00915FBF" w:rsidRPr="00AC2B1F">
        <w:rPr>
          <w:color w:val="000000"/>
          <w:szCs w:val="26"/>
        </w:rPr>
        <w:t xml:space="preserve">Square’s </w:t>
      </w:r>
      <w:r w:rsidRPr="00AC2B1F">
        <w:rPr>
          <w:color w:val="000000"/>
          <w:szCs w:val="26"/>
        </w:rPr>
        <w:t xml:space="preserve">alternative rule, which in this case may have required White to risk committing fraud before being able to bring a claim, </w:t>
      </w:r>
      <w:r w:rsidR="00915FBF" w:rsidRPr="00AC2B1F">
        <w:rPr>
          <w:color w:val="000000"/>
          <w:szCs w:val="26"/>
        </w:rPr>
        <w:t>would</w:t>
      </w:r>
      <w:r w:rsidRPr="00AC2B1F">
        <w:rPr>
          <w:color w:val="000000"/>
          <w:szCs w:val="26"/>
        </w:rPr>
        <w:t xml:space="preserve"> not adequately serve the Act’s </w:t>
      </w:r>
      <w:r w:rsidR="00915FBF" w:rsidRPr="00AC2B1F">
        <w:rPr>
          <w:color w:val="000000"/>
          <w:szCs w:val="26"/>
        </w:rPr>
        <w:t>broad</w:t>
      </w:r>
      <w:r w:rsidRPr="00AC2B1F">
        <w:rPr>
          <w:color w:val="000000"/>
          <w:szCs w:val="26"/>
        </w:rPr>
        <w:t xml:space="preserve"> </w:t>
      </w:r>
      <w:r w:rsidR="00915FBF" w:rsidRPr="00AC2B1F">
        <w:rPr>
          <w:color w:val="000000"/>
          <w:szCs w:val="26"/>
        </w:rPr>
        <w:t xml:space="preserve">purpose of eradicating </w:t>
      </w:r>
      <w:r w:rsidRPr="00AC2B1F">
        <w:rPr>
          <w:color w:val="000000"/>
          <w:szCs w:val="26"/>
        </w:rPr>
        <w:t>discriminatory business practices.</w:t>
      </w:r>
    </w:p>
    <w:p w14:paraId="119D5552" w14:textId="38368B7A" w:rsidR="0021544F" w:rsidRPr="008271DA" w:rsidRDefault="00382047" w:rsidP="00E06054">
      <w:pPr>
        <w:shd w:val="clear" w:color="auto" w:fill="FFFFFF"/>
        <w:ind w:firstLine="720"/>
        <w:rPr>
          <w:color w:val="000000"/>
          <w:shd w:val="clear" w:color="auto" w:fill="FFFFFF"/>
        </w:rPr>
      </w:pPr>
      <w:r w:rsidRPr="00AC2B1F">
        <w:rPr>
          <w:color w:val="000000"/>
          <w:szCs w:val="26"/>
        </w:rPr>
        <w:t xml:space="preserve">In concluding that White has sufficiently alleged injury for Unruh </w:t>
      </w:r>
      <w:r w:rsidR="00FE358F">
        <w:rPr>
          <w:color w:val="000000"/>
          <w:szCs w:val="26"/>
        </w:rPr>
        <w:t xml:space="preserve">Civil Rights </w:t>
      </w:r>
      <w:r w:rsidRPr="00AC2B1F">
        <w:rPr>
          <w:color w:val="000000"/>
          <w:szCs w:val="26"/>
        </w:rPr>
        <w:t xml:space="preserve">Act standing, </w:t>
      </w:r>
      <w:r w:rsidR="00E06054">
        <w:rPr>
          <w:color w:val="000000"/>
          <w:szCs w:val="26"/>
        </w:rPr>
        <w:t xml:space="preserve">our opinion does not preclude </w:t>
      </w:r>
      <w:r w:rsidR="00E06054" w:rsidRPr="00C5250B">
        <w:rPr>
          <w:color w:val="000000"/>
          <w:szCs w:val="26"/>
          <w:shd w:val="clear" w:color="auto" w:fill="FFFFFF"/>
        </w:rPr>
        <w:t xml:space="preserve">Square </w:t>
      </w:r>
      <w:r w:rsidR="00E06054">
        <w:rPr>
          <w:color w:val="000000"/>
          <w:szCs w:val="26"/>
          <w:shd w:val="clear" w:color="auto" w:fill="FFFFFF"/>
        </w:rPr>
        <w:t xml:space="preserve">from </w:t>
      </w:r>
      <w:r w:rsidR="00E06054" w:rsidRPr="00C5250B">
        <w:rPr>
          <w:color w:val="000000"/>
          <w:szCs w:val="26"/>
          <w:shd w:val="clear" w:color="auto" w:fill="FFFFFF"/>
        </w:rPr>
        <w:t>disput</w:t>
      </w:r>
      <w:r w:rsidR="00E06054">
        <w:rPr>
          <w:color w:val="000000"/>
          <w:szCs w:val="26"/>
          <w:shd w:val="clear" w:color="auto" w:fill="FFFFFF"/>
        </w:rPr>
        <w:t>ing</w:t>
      </w:r>
      <w:r w:rsidR="00E06054" w:rsidRPr="00C5250B">
        <w:rPr>
          <w:color w:val="000000"/>
          <w:szCs w:val="26"/>
          <w:shd w:val="clear" w:color="auto" w:fill="FFFFFF"/>
        </w:rPr>
        <w:t xml:space="preserve"> White’s factual allegations</w:t>
      </w:r>
      <w:r w:rsidR="00E06054">
        <w:rPr>
          <w:color w:val="000000"/>
          <w:szCs w:val="26"/>
          <w:shd w:val="clear" w:color="auto" w:fill="FFFFFF"/>
        </w:rPr>
        <w:t>.</w:t>
      </w:r>
      <w:r w:rsidR="00E06054" w:rsidRPr="00C5250B">
        <w:rPr>
          <w:color w:val="000000"/>
          <w:szCs w:val="26"/>
          <w:shd w:val="clear" w:color="auto" w:fill="FFFFFF"/>
        </w:rPr>
        <w:t xml:space="preserve"> </w:t>
      </w:r>
      <w:r w:rsidR="00E06054">
        <w:rPr>
          <w:color w:val="000000"/>
          <w:szCs w:val="26"/>
          <w:shd w:val="clear" w:color="auto" w:fill="FFFFFF"/>
        </w:rPr>
        <w:t xml:space="preserve"> Square</w:t>
      </w:r>
      <w:r w:rsidR="00E06054" w:rsidRPr="00C5250B">
        <w:rPr>
          <w:color w:val="000000"/>
          <w:szCs w:val="26"/>
          <w:shd w:val="clear" w:color="auto" w:fill="FFFFFF"/>
        </w:rPr>
        <w:t xml:space="preserve"> may argue </w:t>
      </w:r>
      <w:r w:rsidR="00E06054">
        <w:rPr>
          <w:color w:val="000000"/>
          <w:szCs w:val="26"/>
          <w:shd w:val="clear" w:color="auto" w:fill="FFFFFF"/>
        </w:rPr>
        <w:t xml:space="preserve">in a motion for summary judgment or </w:t>
      </w:r>
      <w:r w:rsidR="00E06054" w:rsidRPr="00C5250B">
        <w:rPr>
          <w:color w:val="000000"/>
          <w:szCs w:val="26"/>
          <w:shd w:val="clear" w:color="auto" w:fill="FFFFFF"/>
        </w:rPr>
        <w:t xml:space="preserve">at trial that </w:t>
      </w:r>
      <w:r w:rsidR="00E06054">
        <w:rPr>
          <w:color w:val="000000"/>
          <w:szCs w:val="26"/>
          <w:shd w:val="clear" w:color="auto" w:fill="FFFFFF"/>
        </w:rPr>
        <w:t>White</w:t>
      </w:r>
      <w:r w:rsidR="00E06054" w:rsidRPr="00C5250B">
        <w:rPr>
          <w:color w:val="000000"/>
          <w:szCs w:val="26"/>
          <w:shd w:val="clear" w:color="auto" w:fill="FFFFFF"/>
        </w:rPr>
        <w:t xml:space="preserve"> did not actually possess </w:t>
      </w:r>
      <w:r w:rsidR="00E06054">
        <w:rPr>
          <w:color w:val="000000"/>
          <w:szCs w:val="26"/>
          <w:shd w:val="clear" w:color="auto" w:fill="FFFFFF"/>
        </w:rPr>
        <w:t>a bona fide</w:t>
      </w:r>
      <w:r w:rsidR="00E06054" w:rsidRPr="00C5250B">
        <w:rPr>
          <w:color w:val="000000"/>
          <w:szCs w:val="26"/>
          <w:shd w:val="clear" w:color="auto" w:fill="FFFFFF"/>
        </w:rPr>
        <w:t xml:space="preserve"> intent to </w:t>
      </w:r>
      <w:r w:rsidR="00E06054">
        <w:rPr>
          <w:color w:val="000000"/>
          <w:szCs w:val="26"/>
          <w:shd w:val="clear" w:color="auto" w:fill="FFFFFF"/>
        </w:rPr>
        <w:t xml:space="preserve">sign up </w:t>
      </w:r>
      <w:r w:rsidR="00FE358F">
        <w:rPr>
          <w:color w:val="000000"/>
          <w:szCs w:val="26"/>
          <w:shd w:val="clear" w:color="auto" w:fill="FFFFFF"/>
        </w:rPr>
        <w:t xml:space="preserve">for </w:t>
      </w:r>
      <w:r w:rsidR="00E06054">
        <w:rPr>
          <w:color w:val="000000"/>
          <w:szCs w:val="26"/>
          <w:shd w:val="clear" w:color="auto" w:fill="FFFFFF"/>
        </w:rPr>
        <w:t xml:space="preserve">or </w:t>
      </w:r>
      <w:r w:rsidR="00E06054" w:rsidRPr="00C5250B">
        <w:rPr>
          <w:color w:val="000000"/>
          <w:szCs w:val="26"/>
          <w:shd w:val="clear" w:color="auto" w:fill="FFFFFF"/>
        </w:rPr>
        <w:t xml:space="preserve">use its services.  Our </w:t>
      </w:r>
      <w:r w:rsidR="00E06054">
        <w:rPr>
          <w:color w:val="000000"/>
          <w:szCs w:val="26"/>
          <w:shd w:val="clear" w:color="auto" w:fill="FFFFFF"/>
        </w:rPr>
        <w:t xml:space="preserve">standing </w:t>
      </w:r>
      <w:r w:rsidR="00E06054" w:rsidRPr="00C5250B">
        <w:rPr>
          <w:color w:val="000000"/>
          <w:szCs w:val="26"/>
          <w:shd w:val="clear" w:color="auto" w:fill="FFFFFF"/>
        </w:rPr>
        <w:t xml:space="preserve">analysis </w:t>
      </w:r>
      <w:r w:rsidR="00E06054">
        <w:rPr>
          <w:color w:val="000000"/>
          <w:szCs w:val="26"/>
          <w:shd w:val="clear" w:color="auto" w:fill="FFFFFF"/>
        </w:rPr>
        <w:t xml:space="preserve">is </w:t>
      </w:r>
      <w:r w:rsidR="00E06054" w:rsidRPr="00C5250B">
        <w:rPr>
          <w:color w:val="000000"/>
          <w:szCs w:val="26"/>
          <w:shd w:val="clear" w:color="auto" w:fill="FFFFFF"/>
        </w:rPr>
        <w:t>limited to the pleadings</w:t>
      </w:r>
      <w:r w:rsidR="00E06054">
        <w:rPr>
          <w:color w:val="000000"/>
          <w:szCs w:val="26"/>
          <w:shd w:val="clear" w:color="auto" w:fill="FFFFFF"/>
        </w:rPr>
        <w:t>, in which</w:t>
      </w:r>
      <w:r w:rsidR="00E06054" w:rsidRPr="00C5250B">
        <w:rPr>
          <w:color w:val="000000"/>
          <w:szCs w:val="26"/>
          <w:shd w:val="clear" w:color="auto" w:fill="FFFFFF"/>
        </w:rPr>
        <w:t xml:space="preserve"> White unequivocally alleges his intention to use Square’s services.</w:t>
      </w:r>
      <w:r w:rsidR="00E06054">
        <w:rPr>
          <w:color w:val="000000"/>
          <w:szCs w:val="26"/>
          <w:shd w:val="clear" w:color="auto" w:fill="FFFFFF"/>
        </w:rPr>
        <w:t xml:space="preserve">  </w:t>
      </w:r>
      <w:r w:rsidR="00E06054">
        <w:rPr>
          <w:color w:val="000000"/>
          <w:szCs w:val="26"/>
        </w:rPr>
        <w:t xml:space="preserve">Nor do we </w:t>
      </w:r>
      <w:r w:rsidRPr="00AC2B1F">
        <w:rPr>
          <w:color w:val="000000"/>
          <w:szCs w:val="26"/>
        </w:rPr>
        <w:t xml:space="preserve">express </w:t>
      </w:r>
      <w:r w:rsidR="00E06054">
        <w:rPr>
          <w:color w:val="000000"/>
          <w:szCs w:val="26"/>
        </w:rPr>
        <w:t xml:space="preserve">any </w:t>
      </w:r>
      <w:r w:rsidRPr="00AC2B1F">
        <w:rPr>
          <w:color w:val="000000"/>
          <w:szCs w:val="26"/>
        </w:rPr>
        <w:t xml:space="preserve">view on </w:t>
      </w:r>
      <w:r w:rsidR="006F3F78">
        <w:rPr>
          <w:color w:val="000000"/>
          <w:szCs w:val="26"/>
        </w:rPr>
        <w:t>whether a defendant violates the Act by discriminati</w:t>
      </w:r>
      <w:r w:rsidR="006A38A8">
        <w:rPr>
          <w:color w:val="000000"/>
          <w:szCs w:val="26"/>
        </w:rPr>
        <w:t>ng</w:t>
      </w:r>
      <w:r w:rsidR="006F3F78">
        <w:rPr>
          <w:color w:val="000000"/>
          <w:szCs w:val="26"/>
        </w:rPr>
        <w:t xml:space="preserve"> </w:t>
      </w:r>
      <w:proofErr w:type="gramStart"/>
      <w:r w:rsidR="006F3F78">
        <w:rPr>
          <w:color w:val="000000"/>
          <w:szCs w:val="26"/>
        </w:rPr>
        <w:t>on the basis of</w:t>
      </w:r>
      <w:proofErr w:type="gramEnd"/>
      <w:r w:rsidR="006F3F78">
        <w:rPr>
          <w:color w:val="000000"/>
          <w:szCs w:val="26"/>
        </w:rPr>
        <w:t xml:space="preserve"> occupation </w:t>
      </w:r>
      <w:r w:rsidRPr="00AC2B1F">
        <w:rPr>
          <w:color w:val="000000"/>
          <w:szCs w:val="26"/>
        </w:rPr>
        <w:t xml:space="preserve">or on </w:t>
      </w:r>
      <w:r w:rsidR="006F3F78">
        <w:rPr>
          <w:color w:val="000000"/>
          <w:szCs w:val="26"/>
        </w:rPr>
        <w:t xml:space="preserve">White’s </w:t>
      </w:r>
      <w:r w:rsidRPr="00AC2B1F">
        <w:rPr>
          <w:color w:val="000000"/>
          <w:szCs w:val="26"/>
        </w:rPr>
        <w:t xml:space="preserve">adequacy as a representative </w:t>
      </w:r>
      <w:r w:rsidR="00881D93" w:rsidRPr="00AC2B1F">
        <w:rPr>
          <w:color w:val="000000"/>
          <w:szCs w:val="26"/>
        </w:rPr>
        <w:t xml:space="preserve">for a class </w:t>
      </w:r>
      <w:r w:rsidR="00881D93" w:rsidRPr="00AC2B1F">
        <w:rPr>
          <w:color w:val="000000"/>
          <w:szCs w:val="26"/>
        </w:rPr>
        <w:lastRenderedPageBreak/>
        <w:t>of bankruptcy attorneys</w:t>
      </w:r>
      <w:r w:rsidRPr="00AC2B1F">
        <w:rPr>
          <w:color w:val="000000"/>
          <w:szCs w:val="26"/>
        </w:rPr>
        <w:t xml:space="preserve"> excluded from Square’s service</w:t>
      </w:r>
      <w:r w:rsidR="00FE358F">
        <w:rPr>
          <w:color w:val="000000"/>
          <w:szCs w:val="26"/>
        </w:rPr>
        <w:t>s</w:t>
      </w:r>
      <w:r w:rsidRPr="00AC2B1F">
        <w:rPr>
          <w:color w:val="000000"/>
          <w:szCs w:val="26"/>
        </w:rPr>
        <w:t xml:space="preserve">.  The question of </w:t>
      </w:r>
      <w:r w:rsidR="00881D93" w:rsidRPr="00AC2B1F">
        <w:rPr>
          <w:color w:val="000000"/>
          <w:szCs w:val="26"/>
        </w:rPr>
        <w:t xml:space="preserve">an individual plaintiff’s standing under the </w:t>
      </w:r>
      <w:r w:rsidRPr="00AC2B1F">
        <w:rPr>
          <w:color w:val="000000"/>
          <w:szCs w:val="26"/>
        </w:rPr>
        <w:t xml:space="preserve">Unruh </w:t>
      </w:r>
      <w:r w:rsidR="00FE358F">
        <w:rPr>
          <w:color w:val="000000"/>
          <w:szCs w:val="26"/>
        </w:rPr>
        <w:t xml:space="preserve">Civil Rights </w:t>
      </w:r>
      <w:r w:rsidR="00881D93" w:rsidRPr="00AC2B1F">
        <w:rPr>
          <w:color w:val="000000"/>
          <w:szCs w:val="26"/>
        </w:rPr>
        <w:t xml:space="preserve">Act is distinct from the question of </w:t>
      </w:r>
      <w:r w:rsidRPr="00AC2B1F">
        <w:rPr>
          <w:color w:val="000000"/>
          <w:szCs w:val="26"/>
        </w:rPr>
        <w:t xml:space="preserve">that plaintiff’s </w:t>
      </w:r>
      <w:r w:rsidR="00881D93" w:rsidRPr="00AC2B1F">
        <w:rPr>
          <w:color w:val="000000"/>
          <w:szCs w:val="26"/>
        </w:rPr>
        <w:t xml:space="preserve">ability to serve as a representative for a class of allegedly aggrieved individuals. </w:t>
      </w:r>
      <w:r w:rsidR="000A018A" w:rsidRPr="00AC2B1F">
        <w:rPr>
          <w:color w:val="000000"/>
          <w:szCs w:val="26"/>
        </w:rPr>
        <w:t xml:space="preserve"> </w:t>
      </w:r>
      <w:r w:rsidR="00881D93" w:rsidRPr="00AC2B1F">
        <w:rPr>
          <w:color w:val="000000"/>
          <w:szCs w:val="26"/>
        </w:rPr>
        <w:t>(See</w:t>
      </w:r>
      <w:r w:rsidRPr="00AC2B1F">
        <w:rPr>
          <w:color w:val="000000"/>
          <w:szCs w:val="26"/>
        </w:rPr>
        <w:t xml:space="preserve"> </w:t>
      </w:r>
      <w:r w:rsidRPr="00AC2B1F">
        <w:rPr>
          <w:i/>
          <w:color w:val="000000"/>
          <w:szCs w:val="26"/>
        </w:rPr>
        <w:t>Angelucci</w:t>
      </w:r>
      <w:r w:rsidRPr="00AC2B1F">
        <w:rPr>
          <w:color w:val="000000"/>
          <w:szCs w:val="26"/>
        </w:rPr>
        <w:t xml:space="preserve">, </w:t>
      </w:r>
      <w:r w:rsidRPr="00AC2B1F">
        <w:rPr>
          <w:i/>
          <w:color w:val="000000"/>
          <w:szCs w:val="26"/>
        </w:rPr>
        <w:t>supra</w:t>
      </w:r>
      <w:r w:rsidR="002C4949" w:rsidRPr="00AC2B1F">
        <w:rPr>
          <w:color w:val="000000"/>
          <w:szCs w:val="26"/>
        </w:rPr>
        <w:t>,</w:t>
      </w:r>
      <w:r w:rsidRPr="00AC2B1F">
        <w:rPr>
          <w:color w:val="000000"/>
          <w:szCs w:val="26"/>
        </w:rPr>
        <w:t xml:space="preserve"> 41 Cal.4th at pp. 170–171; </w:t>
      </w:r>
      <w:r w:rsidR="00F15E49" w:rsidRPr="00AC2B1F">
        <w:rPr>
          <w:i/>
          <w:color w:val="000000"/>
          <w:szCs w:val="26"/>
        </w:rPr>
        <w:t>Weaver v. Pasadena Tournament of Rose</w:t>
      </w:r>
      <w:r w:rsidR="000A018A" w:rsidRPr="00AC2B1F">
        <w:rPr>
          <w:i/>
          <w:color w:val="000000"/>
          <w:szCs w:val="26"/>
        </w:rPr>
        <w:t xml:space="preserve">s </w:t>
      </w:r>
      <w:r w:rsidR="000A018A" w:rsidRPr="00AC2B1F">
        <w:rPr>
          <w:color w:val="000000"/>
          <w:szCs w:val="26"/>
        </w:rPr>
        <w:t xml:space="preserve"> </w:t>
      </w:r>
      <w:r w:rsidR="00F15E49" w:rsidRPr="00AC2B1F">
        <w:rPr>
          <w:color w:val="000000"/>
          <w:szCs w:val="26"/>
        </w:rPr>
        <w:t xml:space="preserve">(1948) 32 Cal.2d 833, </w:t>
      </w:r>
      <w:r w:rsidR="002D5DC4" w:rsidRPr="00AC2B1F">
        <w:rPr>
          <w:color w:val="000000"/>
          <w:szCs w:val="26"/>
        </w:rPr>
        <w:t>839</w:t>
      </w:r>
      <w:r w:rsidR="00881D93" w:rsidRPr="00AC2B1F">
        <w:rPr>
          <w:color w:val="000000"/>
          <w:szCs w:val="26"/>
        </w:rPr>
        <w:t xml:space="preserve"> [</w:t>
      </w:r>
      <w:r w:rsidR="000A018A" w:rsidRPr="00AC2B1F">
        <w:rPr>
          <w:color w:val="000000"/>
          <w:szCs w:val="26"/>
        </w:rPr>
        <w:t>finding no actionable representative</w:t>
      </w:r>
      <w:r w:rsidRPr="00AC2B1F">
        <w:rPr>
          <w:color w:val="000000"/>
          <w:szCs w:val="26"/>
        </w:rPr>
        <w:t xml:space="preserve"> suit where the </w:t>
      </w:r>
      <w:r w:rsidR="00881D93" w:rsidRPr="00AC2B1F">
        <w:rPr>
          <w:color w:val="000000"/>
          <w:szCs w:val="26"/>
        </w:rPr>
        <w:t xml:space="preserve">plaintiff sought to </w:t>
      </w:r>
      <w:r w:rsidRPr="00AC2B1F">
        <w:rPr>
          <w:color w:val="000000"/>
          <w:szCs w:val="26"/>
        </w:rPr>
        <w:t xml:space="preserve">represent </w:t>
      </w:r>
      <w:r w:rsidR="00881D93" w:rsidRPr="00AC2B1F">
        <w:rPr>
          <w:color w:val="000000"/>
          <w:szCs w:val="26"/>
        </w:rPr>
        <w:t xml:space="preserve">all persons who stood in line for tickets but </w:t>
      </w:r>
      <w:r w:rsidR="000A018A" w:rsidRPr="00AC2B1F">
        <w:rPr>
          <w:color w:val="000000"/>
          <w:szCs w:val="26"/>
        </w:rPr>
        <w:t xml:space="preserve">could not buy one </w:t>
      </w:r>
      <w:r w:rsidR="00881D93" w:rsidRPr="00AC2B1F">
        <w:rPr>
          <w:color w:val="000000"/>
          <w:szCs w:val="26"/>
        </w:rPr>
        <w:t xml:space="preserve">because the question as to each individual plaintiff was whether </w:t>
      </w:r>
      <w:r w:rsidR="000A018A" w:rsidRPr="00AC2B1F">
        <w:rPr>
          <w:color w:val="000000"/>
          <w:szCs w:val="26"/>
        </w:rPr>
        <w:t>he or she</w:t>
      </w:r>
      <w:r w:rsidR="00881D93" w:rsidRPr="00AC2B1F">
        <w:rPr>
          <w:color w:val="000000"/>
          <w:szCs w:val="26"/>
        </w:rPr>
        <w:t xml:space="preserve"> presented </w:t>
      </w:r>
      <w:r w:rsidR="000A018A" w:rsidRPr="00AC2B1F">
        <w:rPr>
          <w:color w:val="000000"/>
          <w:szCs w:val="26"/>
        </w:rPr>
        <w:t>himself or herself</w:t>
      </w:r>
      <w:r w:rsidR="002D5DC4" w:rsidRPr="00AC2B1F">
        <w:rPr>
          <w:color w:val="000000"/>
          <w:szCs w:val="26"/>
        </w:rPr>
        <w:t xml:space="preserve"> as a “ ‘sober, moral person’ ”</w:t>
      </w:r>
      <w:r w:rsidR="00881D93" w:rsidRPr="00AC2B1F">
        <w:rPr>
          <w:color w:val="000000"/>
          <w:szCs w:val="26"/>
        </w:rPr>
        <w:t xml:space="preserve"> and sought admittance to the game]</w:t>
      </w:r>
      <w:r w:rsidR="000A018A" w:rsidRPr="00AC2B1F">
        <w:rPr>
          <w:color w:val="000000"/>
          <w:szCs w:val="26"/>
        </w:rPr>
        <w:t>.)</w:t>
      </w:r>
      <w:r w:rsidR="00881D93" w:rsidRPr="00AC2B1F">
        <w:rPr>
          <w:color w:val="000000"/>
          <w:szCs w:val="26"/>
        </w:rPr>
        <w:t xml:space="preserve"> </w:t>
      </w:r>
    </w:p>
    <w:p w14:paraId="197DD381" w14:textId="461A5957" w:rsidR="00A27DE6" w:rsidRPr="00AC2B1F" w:rsidRDefault="00A27DE6" w:rsidP="006A38A8">
      <w:pPr>
        <w:shd w:val="clear" w:color="auto" w:fill="FFFFFF"/>
        <w:jc w:val="center"/>
        <w:rPr>
          <w:color w:val="000000"/>
          <w:szCs w:val="26"/>
        </w:rPr>
      </w:pPr>
      <w:r w:rsidRPr="00AC2B1F">
        <w:rPr>
          <w:b/>
          <w:bCs/>
          <w:caps/>
          <w:color w:val="000000"/>
          <w:szCs w:val="26"/>
        </w:rPr>
        <w:t>Conclusion</w:t>
      </w:r>
    </w:p>
    <w:p w14:paraId="18743200" w14:textId="3C1F8871" w:rsidR="00A27DE6" w:rsidRPr="0005280B" w:rsidRDefault="00893FCA" w:rsidP="001754CA">
      <w:pPr>
        <w:tabs>
          <w:tab w:val="left" w:pos="1440"/>
        </w:tabs>
        <w:ind w:firstLine="720"/>
        <w:rPr>
          <w:szCs w:val="26"/>
        </w:rPr>
      </w:pPr>
      <w:r>
        <w:rPr>
          <w:color w:val="000000"/>
          <w:szCs w:val="26"/>
        </w:rPr>
        <w:t>W</w:t>
      </w:r>
      <w:r w:rsidR="001767AC" w:rsidRPr="00AC2B1F">
        <w:rPr>
          <w:color w:val="000000"/>
          <w:szCs w:val="26"/>
        </w:rPr>
        <w:t>e conclude that a</w:t>
      </w:r>
      <w:r w:rsidR="00A27DE6" w:rsidRPr="00AC2B1F">
        <w:rPr>
          <w:color w:val="000000"/>
          <w:szCs w:val="26"/>
        </w:rPr>
        <w:t xml:space="preserve"> </w:t>
      </w:r>
      <w:r w:rsidR="002D5DC4" w:rsidRPr="00AC2B1F">
        <w:rPr>
          <w:color w:val="000000"/>
          <w:szCs w:val="26"/>
        </w:rPr>
        <w:t xml:space="preserve">person </w:t>
      </w:r>
      <w:r w:rsidR="00A27DE6" w:rsidRPr="00AC2B1F">
        <w:rPr>
          <w:color w:val="000000"/>
          <w:szCs w:val="26"/>
        </w:rPr>
        <w:t>who visits a</w:t>
      </w:r>
      <w:r w:rsidR="002457B2" w:rsidRPr="00AC2B1F">
        <w:rPr>
          <w:szCs w:val="26"/>
        </w:rPr>
        <w:t xml:space="preserve"> business’s website with intent to use its services and </w:t>
      </w:r>
      <w:r w:rsidR="002D5DC4" w:rsidRPr="00AC2B1F">
        <w:rPr>
          <w:szCs w:val="26"/>
        </w:rPr>
        <w:t xml:space="preserve">encounters </w:t>
      </w:r>
      <w:r w:rsidR="002457B2" w:rsidRPr="00AC2B1F">
        <w:rPr>
          <w:szCs w:val="26"/>
        </w:rPr>
        <w:t xml:space="preserve">terms </w:t>
      </w:r>
      <w:r w:rsidR="002D5DC4" w:rsidRPr="00AC2B1F">
        <w:rPr>
          <w:szCs w:val="26"/>
        </w:rPr>
        <w:t xml:space="preserve">or </w:t>
      </w:r>
      <w:r w:rsidR="002457B2" w:rsidRPr="00AC2B1F">
        <w:rPr>
          <w:szCs w:val="26"/>
        </w:rPr>
        <w:t xml:space="preserve">conditions </w:t>
      </w:r>
      <w:r w:rsidR="002D5DC4" w:rsidRPr="00AC2B1F">
        <w:rPr>
          <w:szCs w:val="26"/>
        </w:rPr>
        <w:t xml:space="preserve">that </w:t>
      </w:r>
      <w:r w:rsidR="002457B2" w:rsidRPr="00AC2B1F">
        <w:rPr>
          <w:szCs w:val="26"/>
        </w:rPr>
        <w:t xml:space="preserve">exclude </w:t>
      </w:r>
      <w:r w:rsidR="002D5DC4" w:rsidRPr="00AC2B1F">
        <w:rPr>
          <w:szCs w:val="26"/>
        </w:rPr>
        <w:t xml:space="preserve">the person </w:t>
      </w:r>
      <w:r w:rsidR="002457B2" w:rsidRPr="00AC2B1F">
        <w:rPr>
          <w:szCs w:val="26"/>
        </w:rPr>
        <w:t xml:space="preserve">from full and equal access to its services has standing under the Unruh </w:t>
      </w:r>
      <w:r w:rsidR="00FE358F">
        <w:rPr>
          <w:szCs w:val="26"/>
        </w:rPr>
        <w:t xml:space="preserve">Civil Rights </w:t>
      </w:r>
      <w:r w:rsidR="002457B2" w:rsidRPr="00AC2B1F">
        <w:rPr>
          <w:szCs w:val="26"/>
        </w:rPr>
        <w:t>Act</w:t>
      </w:r>
      <w:r w:rsidR="002D5DC4" w:rsidRPr="00AC2B1F">
        <w:rPr>
          <w:szCs w:val="26"/>
        </w:rPr>
        <w:t xml:space="preserve">, with no further requirement that the person enter into an agreement or transaction with the business.  </w:t>
      </w:r>
      <w:r>
        <w:rPr>
          <w:szCs w:val="26"/>
        </w:rPr>
        <w:t>W</w:t>
      </w:r>
      <w:r w:rsidR="00E06054">
        <w:rPr>
          <w:szCs w:val="26"/>
        </w:rPr>
        <w:t>e</w:t>
      </w:r>
      <w:r w:rsidR="002D5DC4" w:rsidRPr="00AC2B1F">
        <w:rPr>
          <w:szCs w:val="26"/>
        </w:rPr>
        <w:t xml:space="preserve"> disapprove </w:t>
      </w:r>
      <w:r w:rsidR="002D5DC4" w:rsidRPr="00AC2B1F">
        <w:rPr>
          <w:i/>
          <w:szCs w:val="26"/>
        </w:rPr>
        <w:t>Surrey v. TrueBeginnings, LLC</w:t>
      </w:r>
      <w:r w:rsidR="002D5DC4" w:rsidRPr="00AC2B1F">
        <w:rPr>
          <w:szCs w:val="26"/>
        </w:rPr>
        <w:t xml:space="preserve">, </w:t>
      </w:r>
      <w:r w:rsidR="002D5DC4" w:rsidRPr="00AC2B1F">
        <w:rPr>
          <w:i/>
          <w:szCs w:val="26"/>
        </w:rPr>
        <w:t>supra</w:t>
      </w:r>
      <w:r w:rsidR="002D5DC4" w:rsidRPr="00AC2B1F">
        <w:rPr>
          <w:szCs w:val="26"/>
        </w:rPr>
        <w:t xml:space="preserve">, 168 Cal.App.4th 414, to the extent it is inconsistent with </w:t>
      </w:r>
      <w:r>
        <w:rPr>
          <w:szCs w:val="26"/>
        </w:rPr>
        <w:t>this</w:t>
      </w:r>
      <w:r w:rsidRPr="00AC2B1F">
        <w:rPr>
          <w:szCs w:val="26"/>
        </w:rPr>
        <w:t xml:space="preserve"> </w:t>
      </w:r>
      <w:r w:rsidR="002D5DC4" w:rsidRPr="00AC2B1F">
        <w:rPr>
          <w:szCs w:val="26"/>
        </w:rPr>
        <w:t>opinion.</w:t>
      </w:r>
    </w:p>
    <w:p w14:paraId="2288EC29" w14:textId="53747CA4" w:rsidR="00842219" w:rsidRPr="00736F5B" w:rsidRDefault="001767AC" w:rsidP="0005280B">
      <w:pPr>
        <w:shd w:val="clear" w:color="auto" w:fill="FFFFFF"/>
        <w:spacing w:line="240" w:lineRule="auto"/>
        <w:ind w:firstLine="720"/>
        <w:rPr>
          <w:b/>
          <w:color w:val="000000"/>
          <w:szCs w:val="26"/>
        </w:rPr>
      </w:pPr>
      <w:r w:rsidRPr="00AC2B1F">
        <w:rPr>
          <w:color w:val="000000"/>
          <w:szCs w:val="26"/>
        </w:rPr>
        <w:tab/>
      </w:r>
      <w:r w:rsidRPr="00AC2B1F">
        <w:rPr>
          <w:color w:val="000000"/>
          <w:szCs w:val="26"/>
        </w:rPr>
        <w:tab/>
      </w:r>
      <w:r w:rsidR="002D5DC4" w:rsidRPr="00AC2B1F">
        <w:rPr>
          <w:color w:val="000000"/>
          <w:szCs w:val="26"/>
        </w:rPr>
        <w:tab/>
      </w:r>
      <w:r w:rsidR="002D5DC4" w:rsidRPr="00AC2B1F">
        <w:rPr>
          <w:color w:val="000000"/>
          <w:szCs w:val="26"/>
        </w:rPr>
        <w:tab/>
      </w:r>
      <w:r w:rsidRPr="00AC2B1F">
        <w:rPr>
          <w:color w:val="000000"/>
          <w:szCs w:val="26"/>
        </w:rPr>
        <w:tab/>
      </w:r>
      <w:r w:rsidRPr="00AC2B1F">
        <w:rPr>
          <w:color w:val="000000"/>
          <w:szCs w:val="26"/>
        </w:rPr>
        <w:tab/>
      </w:r>
      <w:r w:rsidR="006F3278" w:rsidRPr="00736F5B">
        <w:rPr>
          <w:b/>
          <w:color w:val="000000"/>
          <w:szCs w:val="26"/>
        </w:rPr>
        <w:t>LIU, J.</w:t>
      </w:r>
    </w:p>
    <w:p w14:paraId="70BFB2AF" w14:textId="77777777" w:rsidR="0005280B" w:rsidRPr="0005280B" w:rsidRDefault="0005280B" w:rsidP="0005280B">
      <w:pPr>
        <w:spacing w:line="240" w:lineRule="auto"/>
        <w:rPr>
          <w:b/>
          <w:szCs w:val="27"/>
        </w:rPr>
      </w:pPr>
      <w:bookmarkStart w:id="5" w:name="calendar"/>
      <w:bookmarkStart w:id="6" w:name="plaintiff"/>
      <w:bookmarkStart w:id="7" w:name="initials"/>
      <w:bookmarkEnd w:id="5"/>
      <w:bookmarkEnd w:id="6"/>
      <w:bookmarkEnd w:id="7"/>
      <w:r w:rsidRPr="0005280B">
        <w:rPr>
          <w:b/>
          <w:szCs w:val="27"/>
        </w:rPr>
        <w:t>We Concur:</w:t>
      </w:r>
    </w:p>
    <w:p w14:paraId="0536CA88" w14:textId="7B4870C5" w:rsidR="0005280B" w:rsidRPr="0005280B" w:rsidRDefault="0005280B" w:rsidP="0005280B">
      <w:pPr>
        <w:spacing w:after="0" w:line="240" w:lineRule="auto"/>
        <w:rPr>
          <w:rFonts w:ascii="Calibri" w:hAnsi="Calibri"/>
          <w:b/>
          <w:szCs w:val="27"/>
          <w:lang w:val="it-IT"/>
        </w:rPr>
      </w:pPr>
      <w:r w:rsidRPr="0005280B">
        <w:rPr>
          <w:b/>
          <w:szCs w:val="27"/>
          <w:lang w:val="it-IT"/>
        </w:rPr>
        <w:t>CANTIL-SAKAUYE, C.</w:t>
      </w:r>
      <w:r w:rsidR="0014692B">
        <w:rPr>
          <w:b/>
          <w:szCs w:val="27"/>
          <w:lang w:val="it-IT"/>
        </w:rPr>
        <w:t xml:space="preserve"> </w:t>
      </w:r>
      <w:bookmarkStart w:id="8" w:name="_GoBack"/>
      <w:bookmarkEnd w:id="8"/>
      <w:r w:rsidRPr="0005280B">
        <w:rPr>
          <w:b/>
          <w:szCs w:val="27"/>
          <w:lang w:val="it-IT"/>
        </w:rPr>
        <w:t>J.</w:t>
      </w:r>
    </w:p>
    <w:p w14:paraId="220466B3" w14:textId="77777777" w:rsidR="0005280B" w:rsidRPr="0005280B" w:rsidRDefault="0005280B" w:rsidP="0005280B">
      <w:pPr>
        <w:spacing w:after="0" w:line="240" w:lineRule="auto"/>
        <w:rPr>
          <w:b/>
          <w:szCs w:val="27"/>
          <w:lang w:val="it-IT"/>
        </w:rPr>
      </w:pPr>
      <w:r w:rsidRPr="0005280B">
        <w:rPr>
          <w:b/>
          <w:szCs w:val="27"/>
          <w:lang w:val="it-IT"/>
        </w:rPr>
        <w:t>CHIN, J.</w:t>
      </w:r>
    </w:p>
    <w:p w14:paraId="1DE4A9B6" w14:textId="77777777" w:rsidR="0005280B" w:rsidRPr="0005280B" w:rsidRDefault="0005280B" w:rsidP="0005280B">
      <w:pPr>
        <w:spacing w:after="0" w:line="240" w:lineRule="auto"/>
        <w:rPr>
          <w:b/>
          <w:szCs w:val="27"/>
          <w:lang w:val="it-IT"/>
        </w:rPr>
      </w:pPr>
      <w:r w:rsidRPr="0005280B">
        <w:rPr>
          <w:b/>
          <w:szCs w:val="27"/>
          <w:lang w:val="it-IT"/>
        </w:rPr>
        <w:t>CORRIGAN, J.</w:t>
      </w:r>
    </w:p>
    <w:p w14:paraId="684F65EF" w14:textId="77777777" w:rsidR="0005280B" w:rsidRPr="0005280B" w:rsidRDefault="0005280B" w:rsidP="0005280B">
      <w:pPr>
        <w:spacing w:after="0" w:line="240" w:lineRule="auto"/>
        <w:rPr>
          <w:b/>
          <w:szCs w:val="27"/>
          <w:lang w:val="it-IT"/>
        </w:rPr>
      </w:pPr>
      <w:r w:rsidRPr="0005280B">
        <w:rPr>
          <w:b/>
          <w:szCs w:val="27"/>
          <w:lang w:val="it-IT"/>
        </w:rPr>
        <w:t>CUÉLLAR, J.</w:t>
      </w:r>
    </w:p>
    <w:p w14:paraId="49067237" w14:textId="77777777" w:rsidR="0005280B" w:rsidRPr="0005280B" w:rsidRDefault="0005280B" w:rsidP="0005280B">
      <w:pPr>
        <w:spacing w:after="0" w:line="240" w:lineRule="auto"/>
        <w:jc w:val="left"/>
        <w:rPr>
          <w:b/>
          <w:szCs w:val="27"/>
          <w:lang w:val="it-IT"/>
        </w:rPr>
      </w:pPr>
      <w:r w:rsidRPr="0005280B">
        <w:rPr>
          <w:b/>
          <w:szCs w:val="27"/>
          <w:lang w:val="it-IT"/>
        </w:rPr>
        <w:t>KRUGER, J.</w:t>
      </w:r>
    </w:p>
    <w:p w14:paraId="234A5359" w14:textId="5C73459E" w:rsidR="001C1716" w:rsidRDefault="0005280B">
      <w:pPr>
        <w:spacing w:after="0" w:line="240" w:lineRule="auto"/>
        <w:jc w:val="left"/>
        <w:rPr>
          <w:b/>
          <w:szCs w:val="27"/>
        </w:rPr>
      </w:pPr>
      <w:r w:rsidRPr="0005280B">
        <w:rPr>
          <w:b/>
          <w:szCs w:val="27"/>
        </w:rPr>
        <w:t>GROBAN, J.</w:t>
      </w:r>
    </w:p>
    <w:p w14:paraId="738F6012" w14:textId="77777777" w:rsidR="00DA4F39" w:rsidRDefault="00DA4F39">
      <w:pPr>
        <w:spacing w:after="0" w:line="240" w:lineRule="auto"/>
        <w:jc w:val="left"/>
        <w:rPr>
          <w:b/>
          <w:szCs w:val="27"/>
        </w:rPr>
        <w:sectPr w:rsidR="00DA4F39" w:rsidSect="00AC2B1F">
          <w:footerReference w:type="first" r:id="rId8"/>
          <w:pgSz w:w="12240" w:h="15840"/>
          <w:pgMar w:top="1800" w:right="2160" w:bottom="1440" w:left="2160" w:header="720" w:footer="720" w:gutter="0"/>
          <w:pgNumType w:start="1"/>
          <w:cols w:space="720"/>
          <w:titlePg/>
          <w:docGrid w:linePitch="367"/>
        </w:sectPr>
      </w:pPr>
    </w:p>
    <w:p w14:paraId="7879B686" w14:textId="77777777" w:rsidR="00DA4F39" w:rsidRPr="00DA4F39" w:rsidRDefault="00DA4F39" w:rsidP="00DA4F39">
      <w:pPr>
        <w:spacing w:after="0" w:line="240" w:lineRule="auto"/>
        <w:jc w:val="left"/>
        <w:rPr>
          <w:rFonts w:ascii="Times New Roman" w:hAnsi="Times New Roman"/>
          <w:i/>
          <w:sz w:val="20"/>
        </w:rPr>
      </w:pPr>
      <w:r w:rsidRPr="00DA4F39">
        <w:rPr>
          <w:rFonts w:ascii="Times New Roman" w:hAnsi="Times New Roman"/>
          <w:i/>
          <w:sz w:val="20"/>
        </w:rPr>
        <w:lastRenderedPageBreak/>
        <w:t>See next page for addresses and telephone numbers for counsel who argued in Supreme Court.</w:t>
      </w:r>
    </w:p>
    <w:p w14:paraId="705C222C" w14:textId="77777777" w:rsidR="00DA4F39" w:rsidRPr="00DA4F39" w:rsidRDefault="00DA4F39" w:rsidP="00DA4F39">
      <w:pPr>
        <w:spacing w:after="0" w:line="240" w:lineRule="auto"/>
        <w:jc w:val="left"/>
        <w:rPr>
          <w:rFonts w:ascii="Times New Roman" w:hAnsi="Times New Roman"/>
          <w:i/>
          <w:sz w:val="20"/>
        </w:rPr>
      </w:pPr>
    </w:p>
    <w:p w14:paraId="1997D69E" w14:textId="77777777" w:rsidR="00DA4F39" w:rsidRPr="00DA4F39" w:rsidRDefault="00DA4F39" w:rsidP="00DA4F39">
      <w:pPr>
        <w:spacing w:after="0" w:line="240" w:lineRule="auto"/>
        <w:jc w:val="left"/>
        <w:rPr>
          <w:rFonts w:ascii="Times New Roman" w:hAnsi="Times New Roman"/>
          <w:bCs/>
          <w:i/>
          <w:sz w:val="20"/>
        </w:rPr>
      </w:pPr>
      <w:r w:rsidRPr="00DA4F39">
        <w:rPr>
          <w:rFonts w:ascii="Times New Roman" w:hAnsi="Times New Roman"/>
          <w:b/>
          <w:sz w:val="20"/>
        </w:rPr>
        <w:t>Name of Opinion</w:t>
      </w:r>
      <w:r w:rsidRPr="00DA4F39">
        <w:rPr>
          <w:rFonts w:ascii="Times New Roman" w:hAnsi="Times New Roman"/>
          <w:sz w:val="20"/>
        </w:rPr>
        <w:t xml:space="preserve"> White v. Square, Inc.</w:t>
      </w:r>
    </w:p>
    <w:p w14:paraId="71111CC6"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__________________________________________________________________________________</w:t>
      </w:r>
    </w:p>
    <w:p w14:paraId="3889CCAB" w14:textId="77777777" w:rsidR="00DA4F39" w:rsidRPr="00DA4F39" w:rsidRDefault="00DA4F39" w:rsidP="00DA4F39">
      <w:pPr>
        <w:spacing w:after="0" w:line="240" w:lineRule="auto"/>
        <w:jc w:val="left"/>
        <w:rPr>
          <w:rFonts w:ascii="Times New Roman" w:hAnsi="Times New Roman"/>
          <w:b/>
          <w:sz w:val="20"/>
        </w:rPr>
      </w:pPr>
    </w:p>
    <w:p w14:paraId="197D95F6" w14:textId="77777777" w:rsidR="00DA4F39" w:rsidRPr="00DA4F39" w:rsidRDefault="00DA4F39" w:rsidP="00DA4F39">
      <w:pPr>
        <w:spacing w:after="0" w:line="240" w:lineRule="auto"/>
        <w:jc w:val="left"/>
        <w:rPr>
          <w:rFonts w:ascii="Times New Roman" w:hAnsi="Times New Roman"/>
          <w:bCs/>
          <w:sz w:val="20"/>
        </w:rPr>
      </w:pPr>
      <w:r w:rsidRPr="00DA4F39">
        <w:rPr>
          <w:rFonts w:ascii="Times New Roman" w:hAnsi="Times New Roman"/>
          <w:b/>
          <w:sz w:val="20"/>
        </w:rPr>
        <w:t>Unpublished Opinion</w:t>
      </w:r>
    </w:p>
    <w:p w14:paraId="01EED00B"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b/>
          <w:sz w:val="20"/>
        </w:rPr>
        <w:t>Original Appeal</w:t>
      </w:r>
    </w:p>
    <w:p w14:paraId="41AFE906"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 xml:space="preserve">Original Proceeding </w:t>
      </w:r>
      <w:r w:rsidRPr="00DA4F39">
        <w:rPr>
          <w:rFonts w:ascii="Times New Roman" w:hAnsi="Times New Roman"/>
          <w:sz w:val="20"/>
        </w:rPr>
        <w:t>XXX on request pursuant to rule 8.548, Cal. Rules of Court</w:t>
      </w:r>
    </w:p>
    <w:p w14:paraId="148B5969"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b/>
          <w:sz w:val="20"/>
        </w:rPr>
        <w:t>Review Granted</w:t>
      </w:r>
    </w:p>
    <w:p w14:paraId="40F1CD89"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Rehearing Granted</w:t>
      </w:r>
    </w:p>
    <w:p w14:paraId="1766EA0C" w14:textId="77777777" w:rsidR="00DA4F39" w:rsidRPr="00DA4F39" w:rsidRDefault="00DA4F39" w:rsidP="00DA4F39">
      <w:pPr>
        <w:spacing w:after="0" w:line="240" w:lineRule="auto"/>
        <w:jc w:val="left"/>
        <w:rPr>
          <w:rFonts w:ascii="Times New Roman" w:hAnsi="Times New Roman"/>
          <w:b/>
          <w:sz w:val="20"/>
        </w:rPr>
      </w:pPr>
    </w:p>
    <w:p w14:paraId="622D89B3"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__________________________________________________________________________________</w:t>
      </w:r>
    </w:p>
    <w:p w14:paraId="080892D7" w14:textId="77777777" w:rsidR="00DA4F39" w:rsidRPr="00DA4F39" w:rsidRDefault="00DA4F39" w:rsidP="00DA4F39">
      <w:pPr>
        <w:spacing w:after="0" w:line="240" w:lineRule="auto"/>
        <w:jc w:val="left"/>
        <w:rPr>
          <w:rFonts w:ascii="Times New Roman" w:hAnsi="Times New Roman"/>
          <w:b/>
          <w:sz w:val="20"/>
        </w:rPr>
      </w:pPr>
    </w:p>
    <w:p w14:paraId="4BF5EA6B" w14:textId="77777777" w:rsidR="00DA4F39" w:rsidRPr="00DA4F39" w:rsidRDefault="00DA4F39" w:rsidP="00DA4F39">
      <w:pPr>
        <w:spacing w:after="0" w:line="240" w:lineRule="auto"/>
        <w:jc w:val="left"/>
        <w:rPr>
          <w:rFonts w:ascii="Times New Roman" w:hAnsi="Times New Roman"/>
          <w:bCs/>
          <w:sz w:val="20"/>
        </w:rPr>
      </w:pPr>
      <w:r w:rsidRPr="00DA4F39">
        <w:rPr>
          <w:rFonts w:ascii="Times New Roman" w:hAnsi="Times New Roman"/>
          <w:b/>
          <w:sz w:val="20"/>
        </w:rPr>
        <w:t>Opinion No.</w:t>
      </w:r>
      <w:r w:rsidRPr="00DA4F39">
        <w:rPr>
          <w:rFonts w:ascii="Times New Roman" w:hAnsi="Times New Roman"/>
          <w:sz w:val="20"/>
        </w:rPr>
        <w:t xml:space="preserve"> S249248</w:t>
      </w:r>
    </w:p>
    <w:p w14:paraId="342EDA12" w14:textId="77777777" w:rsidR="00DA4F39" w:rsidRPr="00DA4F39" w:rsidRDefault="00DA4F39" w:rsidP="00DA4F39">
      <w:pPr>
        <w:spacing w:after="0" w:line="240" w:lineRule="auto"/>
        <w:jc w:val="left"/>
        <w:rPr>
          <w:rFonts w:ascii="Times New Roman" w:hAnsi="Times New Roman"/>
          <w:bCs/>
          <w:sz w:val="20"/>
        </w:rPr>
      </w:pPr>
      <w:r w:rsidRPr="00DA4F39">
        <w:rPr>
          <w:rFonts w:ascii="Times New Roman" w:hAnsi="Times New Roman"/>
          <w:b/>
          <w:sz w:val="20"/>
        </w:rPr>
        <w:t>Date Filed:</w:t>
      </w:r>
      <w:r w:rsidRPr="00DA4F39">
        <w:rPr>
          <w:rFonts w:ascii="Times New Roman" w:hAnsi="Times New Roman"/>
          <w:sz w:val="20"/>
        </w:rPr>
        <w:t xml:space="preserve"> August12, 2019</w:t>
      </w:r>
    </w:p>
    <w:p w14:paraId="0470BE28"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__________________________________________________________________________________</w:t>
      </w:r>
    </w:p>
    <w:p w14:paraId="743BC14C" w14:textId="77777777" w:rsidR="00DA4F39" w:rsidRPr="00DA4F39" w:rsidRDefault="00DA4F39" w:rsidP="00DA4F39">
      <w:pPr>
        <w:spacing w:after="0" w:line="240" w:lineRule="auto"/>
        <w:jc w:val="left"/>
        <w:rPr>
          <w:rFonts w:ascii="Times New Roman" w:hAnsi="Times New Roman"/>
          <w:b/>
          <w:sz w:val="20"/>
        </w:rPr>
      </w:pPr>
    </w:p>
    <w:p w14:paraId="3373665D" w14:textId="77777777" w:rsidR="00DA4F39" w:rsidRPr="00DA4F39" w:rsidRDefault="00DA4F39" w:rsidP="00DA4F39">
      <w:pPr>
        <w:spacing w:after="0" w:line="240" w:lineRule="auto"/>
        <w:jc w:val="left"/>
        <w:rPr>
          <w:rFonts w:ascii="Times New Roman" w:hAnsi="Times New Roman"/>
          <w:bCs/>
          <w:sz w:val="20"/>
        </w:rPr>
      </w:pPr>
      <w:r w:rsidRPr="00DA4F39">
        <w:rPr>
          <w:rFonts w:ascii="Times New Roman" w:hAnsi="Times New Roman"/>
          <w:b/>
          <w:sz w:val="20"/>
        </w:rPr>
        <w:t>Court:</w:t>
      </w:r>
    </w:p>
    <w:p w14:paraId="6D2ACB09" w14:textId="77777777" w:rsidR="00DA4F39" w:rsidRPr="00DA4F39" w:rsidRDefault="00DA4F39" w:rsidP="00DA4F39">
      <w:pPr>
        <w:spacing w:after="0" w:line="240" w:lineRule="auto"/>
        <w:jc w:val="left"/>
        <w:rPr>
          <w:rFonts w:ascii="Times New Roman" w:hAnsi="Times New Roman"/>
          <w:bCs/>
          <w:sz w:val="20"/>
        </w:rPr>
      </w:pPr>
      <w:r w:rsidRPr="00DA4F39">
        <w:rPr>
          <w:rFonts w:ascii="Times New Roman" w:hAnsi="Times New Roman"/>
          <w:b/>
          <w:sz w:val="20"/>
        </w:rPr>
        <w:t>County:</w:t>
      </w:r>
    </w:p>
    <w:p w14:paraId="1DBBFC87" w14:textId="77777777" w:rsidR="00DA4F39" w:rsidRPr="00DA4F39" w:rsidRDefault="00DA4F39" w:rsidP="00DA4F39">
      <w:pPr>
        <w:spacing w:after="0" w:line="240" w:lineRule="auto"/>
        <w:ind w:left="720" w:hanging="720"/>
        <w:jc w:val="left"/>
        <w:rPr>
          <w:rFonts w:ascii="Times New Roman" w:hAnsi="Times New Roman"/>
          <w:bCs/>
          <w:sz w:val="20"/>
        </w:rPr>
      </w:pPr>
      <w:r w:rsidRPr="00DA4F39">
        <w:rPr>
          <w:rFonts w:ascii="Times New Roman" w:hAnsi="Times New Roman"/>
          <w:b/>
          <w:sz w:val="20"/>
        </w:rPr>
        <w:t>Judge:</w:t>
      </w:r>
    </w:p>
    <w:p w14:paraId="4FD37C04" w14:textId="77777777" w:rsidR="00DA4F39" w:rsidRPr="00DA4F39" w:rsidRDefault="00DA4F39" w:rsidP="00DA4F39">
      <w:pPr>
        <w:spacing w:after="0" w:line="240" w:lineRule="auto"/>
        <w:jc w:val="left"/>
        <w:rPr>
          <w:rFonts w:ascii="Times New Roman" w:hAnsi="Times New Roman"/>
          <w:b/>
          <w:sz w:val="20"/>
        </w:rPr>
      </w:pPr>
    </w:p>
    <w:p w14:paraId="7F498F66"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__________________________________________________________________________________</w:t>
      </w:r>
    </w:p>
    <w:p w14:paraId="440F361D" w14:textId="77777777" w:rsidR="00DA4F39" w:rsidRPr="00DA4F39" w:rsidRDefault="00DA4F39" w:rsidP="00DA4F39">
      <w:pPr>
        <w:spacing w:after="0" w:line="240" w:lineRule="auto"/>
        <w:jc w:val="left"/>
        <w:rPr>
          <w:rFonts w:ascii="Times New Roman" w:hAnsi="Times New Roman"/>
          <w:b/>
          <w:sz w:val="20"/>
        </w:rPr>
      </w:pPr>
    </w:p>
    <w:p w14:paraId="169BCC55"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Counsel:</w:t>
      </w:r>
    </w:p>
    <w:p w14:paraId="71FA8B87" w14:textId="77777777" w:rsidR="00DA4F39" w:rsidRPr="00DA4F39" w:rsidRDefault="00DA4F39" w:rsidP="00DA4F39">
      <w:pPr>
        <w:spacing w:after="0" w:line="240" w:lineRule="auto"/>
        <w:jc w:val="left"/>
        <w:rPr>
          <w:rFonts w:ascii="Times New Roman" w:hAnsi="Times New Roman"/>
          <w:b/>
          <w:sz w:val="20"/>
        </w:rPr>
      </w:pPr>
    </w:p>
    <w:p w14:paraId="33C7B227"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Moskovitz Appellate Team, Myron Moskovitz, Christopher Hu; McGrane, William McGrane; Reallaw and Michael J. Hassen for Plaintiff and Appellant.</w:t>
      </w:r>
    </w:p>
    <w:p w14:paraId="0F0A629B" w14:textId="77777777" w:rsidR="00DA4F39" w:rsidRPr="00DA4F39" w:rsidRDefault="00DA4F39" w:rsidP="00DA4F39">
      <w:pPr>
        <w:spacing w:after="0" w:line="240" w:lineRule="auto"/>
        <w:jc w:val="left"/>
        <w:rPr>
          <w:rFonts w:ascii="Times New Roman" w:hAnsi="Times New Roman"/>
          <w:sz w:val="20"/>
        </w:rPr>
      </w:pPr>
    </w:p>
    <w:p w14:paraId="1C757F05"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John C. Colwell for National Association of Consumer Bankruptcy Attorneys as Amicus Curiae on behalf of Plaintiff and Appellant.</w:t>
      </w:r>
    </w:p>
    <w:p w14:paraId="6296AAD2" w14:textId="77777777" w:rsidR="00DA4F39" w:rsidRPr="00DA4F39" w:rsidRDefault="00DA4F39" w:rsidP="00DA4F39">
      <w:pPr>
        <w:spacing w:after="0" w:line="240" w:lineRule="auto"/>
        <w:jc w:val="left"/>
        <w:rPr>
          <w:rFonts w:ascii="Times New Roman" w:hAnsi="Times New Roman"/>
          <w:sz w:val="20"/>
        </w:rPr>
      </w:pPr>
    </w:p>
    <w:p w14:paraId="4924297B"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Melissa Riess; Linda Kilb; Lindsay Nako and Daniel Nesbit for Disability Rights Advocates, Disability Rights Education &amp; Defense Fund, Impact Fund, Civil Rights Education and Enforcement Center, Disability Rights California, Disability Rights Legal Center, Law Foundation of Silicon Valley, Legal Aid at Work, Legal Services for Prisoners with Children, National Federation of the Blind, National Federation of the Blind of California and Public Justice as Amici Curiae on behalf of Plaintiff and Appellant.</w:t>
      </w:r>
    </w:p>
    <w:p w14:paraId="0B5842CE" w14:textId="77777777" w:rsidR="00DA4F39" w:rsidRPr="00DA4F39" w:rsidRDefault="00DA4F39" w:rsidP="00DA4F39">
      <w:pPr>
        <w:spacing w:after="0" w:line="240" w:lineRule="auto"/>
        <w:jc w:val="left"/>
        <w:rPr>
          <w:rFonts w:ascii="Times New Roman" w:hAnsi="Times New Roman"/>
          <w:sz w:val="20"/>
        </w:rPr>
      </w:pPr>
    </w:p>
    <w:p w14:paraId="54079A9F"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Munger, Tolles &amp; Olson, Fred A. Rowley, Jr., Jeffrey Y. Wu, Jonathan H. Blavin, J. Max Rosen; Wilson Sonsini Goodrich &amp; Rosati, Colleen Bal and Joshua A. Baskin for Defendant and Respondent.</w:t>
      </w:r>
    </w:p>
    <w:p w14:paraId="42C3B209" w14:textId="77777777" w:rsidR="00DA4F39" w:rsidRPr="00DA4F39" w:rsidRDefault="00DA4F39" w:rsidP="00DA4F39">
      <w:pPr>
        <w:spacing w:after="0" w:line="240" w:lineRule="auto"/>
        <w:jc w:val="left"/>
        <w:rPr>
          <w:rFonts w:ascii="Times New Roman" w:hAnsi="Times New Roman"/>
          <w:sz w:val="20"/>
        </w:rPr>
      </w:pPr>
    </w:p>
    <w:p w14:paraId="6891C8CD"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 xml:space="preserve">Quinn Emanuel Urquhart &amp; Sullivan, Kathleen M. Sullivan, Diane M. </w:t>
      </w:r>
      <w:proofErr w:type="gramStart"/>
      <w:r w:rsidRPr="00DA4F39">
        <w:rPr>
          <w:rFonts w:ascii="Times New Roman" w:hAnsi="Times New Roman"/>
          <w:sz w:val="20"/>
        </w:rPr>
        <w:t>Doolittle</w:t>
      </w:r>
      <w:proofErr w:type="gramEnd"/>
      <w:r w:rsidRPr="00DA4F39">
        <w:rPr>
          <w:rFonts w:ascii="Times New Roman" w:hAnsi="Times New Roman"/>
          <w:sz w:val="20"/>
        </w:rPr>
        <w:t xml:space="preserve"> and Brett J. Arnold for Internet Association as Amicus Curiae on behalf of Defendant and Respondent.</w:t>
      </w:r>
    </w:p>
    <w:p w14:paraId="3BD14FE4" w14:textId="77777777" w:rsidR="00DA4F39" w:rsidRPr="00DA4F39" w:rsidRDefault="00DA4F39" w:rsidP="00DA4F39">
      <w:pPr>
        <w:spacing w:after="0" w:line="240" w:lineRule="auto"/>
        <w:jc w:val="left"/>
        <w:rPr>
          <w:rFonts w:ascii="Times New Roman" w:hAnsi="Times New Roman"/>
          <w:sz w:val="20"/>
        </w:rPr>
      </w:pPr>
    </w:p>
    <w:p w14:paraId="67F2BB7D" w14:textId="77777777" w:rsidR="00DA4F39" w:rsidRPr="00DA4F39" w:rsidRDefault="00DA4F39" w:rsidP="00DA4F39">
      <w:pPr>
        <w:spacing w:after="0" w:line="240" w:lineRule="auto"/>
        <w:jc w:val="left"/>
        <w:rPr>
          <w:rFonts w:ascii="Times New Roman" w:hAnsi="Times New Roman"/>
          <w:b/>
          <w:sz w:val="20"/>
        </w:rPr>
      </w:pPr>
    </w:p>
    <w:p w14:paraId="660F8632" w14:textId="77777777" w:rsidR="00DA4F39" w:rsidRPr="00DA4F39" w:rsidRDefault="00DA4F39" w:rsidP="00DA4F39">
      <w:pPr>
        <w:spacing w:after="0" w:line="240" w:lineRule="auto"/>
        <w:jc w:val="left"/>
        <w:rPr>
          <w:rFonts w:ascii="Times New Roman" w:hAnsi="Times New Roman"/>
          <w:b/>
          <w:sz w:val="20"/>
        </w:rPr>
      </w:pPr>
    </w:p>
    <w:p w14:paraId="7C9C198E" w14:textId="77777777" w:rsidR="00DA4F39" w:rsidRPr="00DA4F39" w:rsidRDefault="00DA4F39" w:rsidP="00DA4F39">
      <w:pPr>
        <w:spacing w:after="0" w:line="240" w:lineRule="auto"/>
        <w:jc w:val="left"/>
        <w:rPr>
          <w:rFonts w:ascii="Times New Roman" w:hAnsi="Times New Roman"/>
          <w:b/>
          <w:sz w:val="20"/>
        </w:rPr>
      </w:pPr>
    </w:p>
    <w:p w14:paraId="0B8D6449"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br w:type="page"/>
      </w:r>
    </w:p>
    <w:p w14:paraId="4A4CF632" w14:textId="77777777" w:rsidR="00DA4F39" w:rsidRPr="00DA4F39" w:rsidRDefault="00DA4F39" w:rsidP="00DA4F39">
      <w:pPr>
        <w:spacing w:after="0" w:line="240" w:lineRule="auto"/>
        <w:jc w:val="left"/>
        <w:rPr>
          <w:rFonts w:ascii="Times New Roman" w:hAnsi="Times New Roman"/>
          <w:b/>
          <w:sz w:val="20"/>
        </w:rPr>
      </w:pPr>
    </w:p>
    <w:p w14:paraId="058DC66B" w14:textId="77777777" w:rsidR="00DA4F39" w:rsidRPr="00DA4F39" w:rsidRDefault="00DA4F39" w:rsidP="00DA4F39">
      <w:pPr>
        <w:spacing w:after="0" w:line="240" w:lineRule="auto"/>
        <w:jc w:val="left"/>
        <w:rPr>
          <w:rFonts w:ascii="Times New Roman" w:hAnsi="Times New Roman"/>
          <w:b/>
          <w:sz w:val="20"/>
        </w:rPr>
      </w:pPr>
    </w:p>
    <w:p w14:paraId="2B0199B7" w14:textId="77777777" w:rsidR="00DA4F39" w:rsidRPr="00DA4F39" w:rsidRDefault="00DA4F39" w:rsidP="00DA4F39">
      <w:pPr>
        <w:spacing w:after="0" w:line="240" w:lineRule="auto"/>
        <w:jc w:val="left"/>
        <w:rPr>
          <w:rFonts w:ascii="Times New Roman" w:hAnsi="Times New Roman"/>
          <w:b/>
          <w:sz w:val="20"/>
        </w:rPr>
      </w:pPr>
    </w:p>
    <w:p w14:paraId="7772C6B6" w14:textId="77777777" w:rsidR="00DA4F39" w:rsidRPr="00DA4F39" w:rsidRDefault="00DA4F39" w:rsidP="00DA4F39">
      <w:pPr>
        <w:spacing w:after="0" w:line="240" w:lineRule="auto"/>
        <w:jc w:val="left"/>
        <w:rPr>
          <w:rFonts w:ascii="Times New Roman" w:hAnsi="Times New Roman"/>
          <w:b/>
          <w:sz w:val="20"/>
        </w:rPr>
      </w:pPr>
      <w:r w:rsidRPr="00DA4F39">
        <w:rPr>
          <w:rFonts w:ascii="Times New Roman" w:hAnsi="Times New Roman"/>
          <w:b/>
          <w:sz w:val="20"/>
        </w:rPr>
        <w:t>Counsel who argued in Supreme Court (not intended for publication with opinion):</w:t>
      </w:r>
    </w:p>
    <w:p w14:paraId="093E2E07" w14:textId="77777777" w:rsidR="00DA4F39" w:rsidRPr="00DA4F39" w:rsidRDefault="00DA4F39" w:rsidP="00DA4F39">
      <w:pPr>
        <w:spacing w:after="0" w:line="240" w:lineRule="auto"/>
        <w:jc w:val="left"/>
        <w:rPr>
          <w:rFonts w:ascii="Times New Roman" w:hAnsi="Times New Roman"/>
          <w:b/>
          <w:sz w:val="20"/>
        </w:rPr>
      </w:pPr>
    </w:p>
    <w:p w14:paraId="31788A67"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Myron Moskovitz</w:t>
      </w:r>
    </w:p>
    <w:p w14:paraId="78624C4F"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Moskovitz Appellate Team</w:t>
      </w:r>
    </w:p>
    <w:p w14:paraId="6E166A0F"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90 Crocker Avenue</w:t>
      </w:r>
    </w:p>
    <w:p w14:paraId="6CEFA8EC"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Oakland, CA  94611</w:t>
      </w:r>
    </w:p>
    <w:p w14:paraId="41306018"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(510) 384-0354</w:t>
      </w:r>
    </w:p>
    <w:p w14:paraId="77E34405" w14:textId="77777777" w:rsidR="00DA4F39" w:rsidRPr="00DA4F39" w:rsidRDefault="00DA4F39" w:rsidP="00DA4F39">
      <w:pPr>
        <w:spacing w:after="0" w:line="240" w:lineRule="auto"/>
        <w:jc w:val="left"/>
        <w:rPr>
          <w:rFonts w:ascii="Times New Roman" w:hAnsi="Times New Roman"/>
          <w:sz w:val="20"/>
        </w:rPr>
      </w:pPr>
    </w:p>
    <w:p w14:paraId="64B562B5"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Fred A. Rowley, Jr.,</w:t>
      </w:r>
    </w:p>
    <w:p w14:paraId="1D98B35D"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Munger, Tolles &amp; Olson</w:t>
      </w:r>
    </w:p>
    <w:p w14:paraId="0625C90F"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350 South Grand Avenue, 50th Floor</w:t>
      </w:r>
    </w:p>
    <w:p w14:paraId="729F08DB"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Los Angeles, CA  90071-3426</w:t>
      </w:r>
    </w:p>
    <w:p w14:paraId="5A23B38A" w14:textId="77777777" w:rsidR="00DA4F39" w:rsidRPr="00DA4F39" w:rsidRDefault="00DA4F39" w:rsidP="00DA4F39">
      <w:pPr>
        <w:spacing w:after="0" w:line="240" w:lineRule="auto"/>
        <w:jc w:val="left"/>
        <w:rPr>
          <w:rFonts w:ascii="Times New Roman" w:hAnsi="Times New Roman"/>
          <w:sz w:val="20"/>
        </w:rPr>
      </w:pPr>
      <w:r w:rsidRPr="00DA4F39">
        <w:rPr>
          <w:rFonts w:ascii="Times New Roman" w:hAnsi="Times New Roman"/>
          <w:sz w:val="20"/>
        </w:rPr>
        <w:t xml:space="preserve">(213) 683-9100 </w:t>
      </w:r>
    </w:p>
    <w:p w14:paraId="4D42A546" w14:textId="63E216BE" w:rsidR="00DA4F39" w:rsidRPr="0005280B" w:rsidRDefault="00DA4F39">
      <w:pPr>
        <w:spacing w:after="0" w:line="240" w:lineRule="auto"/>
        <w:jc w:val="left"/>
        <w:rPr>
          <w:b/>
          <w:szCs w:val="27"/>
        </w:rPr>
      </w:pPr>
    </w:p>
    <w:sectPr w:rsidR="00DA4F39" w:rsidRPr="0005280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D9EA" w14:textId="77777777" w:rsidR="00AC0C93" w:rsidRDefault="00AC0C93">
      <w:r>
        <w:separator/>
      </w:r>
    </w:p>
  </w:endnote>
  <w:endnote w:type="continuationSeparator" w:id="0">
    <w:p w14:paraId="585AACFA" w14:textId="77777777" w:rsidR="00AC0C93" w:rsidRDefault="00AC0C93">
      <w:r>
        <w:continuationSeparator/>
      </w:r>
    </w:p>
  </w:endnote>
  <w:endnote w:type="continuationNotice" w:id="1">
    <w:p w14:paraId="18B80E53" w14:textId="77777777" w:rsidR="00AC0C93" w:rsidRDefault="00AC0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2ACD" w14:textId="77777777" w:rsidR="00FC0C06" w:rsidRDefault="00FC0C06">
    <w:pPr>
      <w:pStyle w:val="Footer"/>
    </w:pPr>
    <w:r>
      <w:rPr>
        <w:noProof/>
      </w:rPr>
      <w:fldChar w:fldCharType="begin"/>
    </w:r>
    <w:r>
      <w:rPr>
        <w:noProof/>
      </w:rPr>
      <w:instrText>PAGE</w:instrText>
    </w:r>
    <w:r>
      <w:rPr>
        <w:noProof/>
      </w:rPr>
      <w:fldChar w:fldCharType="separate"/>
    </w:r>
    <w:r>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70372" w14:textId="77777777" w:rsidR="00FC0C06" w:rsidRDefault="00FC0C06">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714C" w14:textId="77777777" w:rsidR="00411E3F" w:rsidRDefault="001469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86CA" w14:textId="77777777" w:rsidR="00411E3F" w:rsidRDefault="001469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2868" w14:textId="77777777" w:rsidR="00411E3F" w:rsidRDefault="0014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7D82" w14:textId="77777777" w:rsidR="00AC0C93" w:rsidRDefault="00AC0C93">
      <w:r>
        <w:separator/>
      </w:r>
    </w:p>
  </w:footnote>
  <w:footnote w:type="continuationSeparator" w:id="0">
    <w:p w14:paraId="47BE2B40" w14:textId="77777777" w:rsidR="00AC0C93" w:rsidRDefault="00AC0C93">
      <w:pPr>
        <w:rPr>
          <w:sz w:val="22"/>
        </w:rPr>
      </w:pPr>
      <w:r>
        <w:continuationSeparator/>
      </w:r>
    </w:p>
  </w:footnote>
  <w:footnote w:type="continuationNotice" w:id="1">
    <w:p w14:paraId="157C5A7F" w14:textId="77777777" w:rsidR="00AC0C93" w:rsidRDefault="00AC0C93">
      <w:pPr>
        <w:jc w:val="right"/>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57CC" w14:textId="0506429C" w:rsidR="00FC0C06" w:rsidRDefault="00FC0C06">
    <w:pPr>
      <w:pStyle w:val="Header"/>
    </w:pPr>
    <w:r>
      <w:t>WHITE v. SQUARE, INC.</w:t>
    </w:r>
  </w:p>
  <w:p w14:paraId="7DB9FE42" w14:textId="633DC7B3" w:rsidR="00FC0C06" w:rsidRDefault="00FC0C06">
    <w:pPr>
      <w:pStyle w:val="Header"/>
    </w:pPr>
    <w:r>
      <w:t>Opinion of the Court by Liu, J.</w:t>
    </w:r>
  </w:p>
  <w:p w14:paraId="5422FCE3" w14:textId="77777777" w:rsidR="00FC0C06" w:rsidRDefault="00FC0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A3F" w14:textId="77777777" w:rsidR="00411E3F" w:rsidRDefault="00146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B3395" w14:textId="77777777" w:rsidR="00411E3F" w:rsidRDefault="001469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654E" w14:textId="77777777" w:rsidR="00411E3F" w:rsidRDefault="00146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proofState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5D"/>
    <w:rsid w:val="00001883"/>
    <w:rsid w:val="000023CC"/>
    <w:rsid w:val="00003CAA"/>
    <w:rsid w:val="000121D0"/>
    <w:rsid w:val="00012670"/>
    <w:rsid w:val="00015766"/>
    <w:rsid w:val="0002590F"/>
    <w:rsid w:val="00026BF4"/>
    <w:rsid w:val="00032190"/>
    <w:rsid w:val="00032ACD"/>
    <w:rsid w:val="000346C2"/>
    <w:rsid w:val="0003684B"/>
    <w:rsid w:val="00037AA7"/>
    <w:rsid w:val="00040598"/>
    <w:rsid w:val="0005280B"/>
    <w:rsid w:val="00055BD3"/>
    <w:rsid w:val="00066812"/>
    <w:rsid w:val="00066DCE"/>
    <w:rsid w:val="0007415D"/>
    <w:rsid w:val="00083D6B"/>
    <w:rsid w:val="00097B3F"/>
    <w:rsid w:val="000A018A"/>
    <w:rsid w:val="000A5312"/>
    <w:rsid w:val="000A55B7"/>
    <w:rsid w:val="000C34F1"/>
    <w:rsid w:val="000D061F"/>
    <w:rsid w:val="000D36F2"/>
    <w:rsid w:val="000D5049"/>
    <w:rsid w:val="000E207F"/>
    <w:rsid w:val="000E3F72"/>
    <w:rsid w:val="000E6222"/>
    <w:rsid w:val="000F76C7"/>
    <w:rsid w:val="0010521D"/>
    <w:rsid w:val="00110CDC"/>
    <w:rsid w:val="00111E6F"/>
    <w:rsid w:val="00117BE6"/>
    <w:rsid w:val="0012033E"/>
    <w:rsid w:val="0012124F"/>
    <w:rsid w:val="001255A2"/>
    <w:rsid w:val="00127D81"/>
    <w:rsid w:val="00134EA5"/>
    <w:rsid w:val="00135903"/>
    <w:rsid w:val="00136CD1"/>
    <w:rsid w:val="0014045F"/>
    <w:rsid w:val="001406AD"/>
    <w:rsid w:val="00142456"/>
    <w:rsid w:val="0014692B"/>
    <w:rsid w:val="00150774"/>
    <w:rsid w:val="001544D4"/>
    <w:rsid w:val="00154E82"/>
    <w:rsid w:val="00157945"/>
    <w:rsid w:val="00160B7B"/>
    <w:rsid w:val="001628D3"/>
    <w:rsid w:val="0016341B"/>
    <w:rsid w:val="001754CA"/>
    <w:rsid w:val="00175AD3"/>
    <w:rsid w:val="001767AC"/>
    <w:rsid w:val="00183764"/>
    <w:rsid w:val="001903EA"/>
    <w:rsid w:val="0019086E"/>
    <w:rsid w:val="00193AFB"/>
    <w:rsid w:val="001A0AE2"/>
    <w:rsid w:val="001A2E79"/>
    <w:rsid w:val="001A5F18"/>
    <w:rsid w:val="001B05F2"/>
    <w:rsid w:val="001B200E"/>
    <w:rsid w:val="001B3030"/>
    <w:rsid w:val="001C03CC"/>
    <w:rsid w:val="001C1716"/>
    <w:rsid w:val="001C2753"/>
    <w:rsid w:val="001C3B66"/>
    <w:rsid w:val="001D0073"/>
    <w:rsid w:val="001D77E6"/>
    <w:rsid w:val="001E40A8"/>
    <w:rsid w:val="001E527A"/>
    <w:rsid w:val="001E7B4F"/>
    <w:rsid w:val="001F1090"/>
    <w:rsid w:val="001F3C02"/>
    <w:rsid w:val="001F4CD2"/>
    <w:rsid w:val="00202474"/>
    <w:rsid w:val="00213B12"/>
    <w:rsid w:val="0021544F"/>
    <w:rsid w:val="00224541"/>
    <w:rsid w:val="00225662"/>
    <w:rsid w:val="00236FAF"/>
    <w:rsid w:val="00241B8E"/>
    <w:rsid w:val="00242127"/>
    <w:rsid w:val="002457B2"/>
    <w:rsid w:val="00247785"/>
    <w:rsid w:val="0025009F"/>
    <w:rsid w:val="002521A5"/>
    <w:rsid w:val="00261A43"/>
    <w:rsid w:val="00270ECB"/>
    <w:rsid w:val="00274068"/>
    <w:rsid w:val="0028010E"/>
    <w:rsid w:val="00280F38"/>
    <w:rsid w:val="00284DA6"/>
    <w:rsid w:val="00292751"/>
    <w:rsid w:val="002951A4"/>
    <w:rsid w:val="002A3247"/>
    <w:rsid w:val="002A3A2F"/>
    <w:rsid w:val="002A5765"/>
    <w:rsid w:val="002A74C5"/>
    <w:rsid w:val="002B021F"/>
    <w:rsid w:val="002B4D7B"/>
    <w:rsid w:val="002B4FB8"/>
    <w:rsid w:val="002C4949"/>
    <w:rsid w:val="002C72A2"/>
    <w:rsid w:val="002D1725"/>
    <w:rsid w:val="002D1D35"/>
    <w:rsid w:val="002D301C"/>
    <w:rsid w:val="002D5B16"/>
    <w:rsid w:val="002D5DC4"/>
    <w:rsid w:val="002D7F7E"/>
    <w:rsid w:val="002E68A3"/>
    <w:rsid w:val="002F62C9"/>
    <w:rsid w:val="003000AF"/>
    <w:rsid w:val="003011AA"/>
    <w:rsid w:val="00321CA6"/>
    <w:rsid w:val="003236D8"/>
    <w:rsid w:val="00336F2F"/>
    <w:rsid w:val="00340120"/>
    <w:rsid w:val="00341243"/>
    <w:rsid w:val="00343D69"/>
    <w:rsid w:val="00347AAB"/>
    <w:rsid w:val="0035468E"/>
    <w:rsid w:val="00354BF5"/>
    <w:rsid w:val="00355654"/>
    <w:rsid w:val="00375E55"/>
    <w:rsid w:val="0037658D"/>
    <w:rsid w:val="00382047"/>
    <w:rsid w:val="00383A79"/>
    <w:rsid w:val="003931A4"/>
    <w:rsid w:val="003A509C"/>
    <w:rsid w:val="003A7247"/>
    <w:rsid w:val="003B2DCF"/>
    <w:rsid w:val="003C4356"/>
    <w:rsid w:val="003D5CBE"/>
    <w:rsid w:val="0040007E"/>
    <w:rsid w:val="00404965"/>
    <w:rsid w:val="00406CA1"/>
    <w:rsid w:val="00414D3B"/>
    <w:rsid w:val="00427CAD"/>
    <w:rsid w:val="00430458"/>
    <w:rsid w:val="004320D9"/>
    <w:rsid w:val="00442B62"/>
    <w:rsid w:val="004435A0"/>
    <w:rsid w:val="00446E8E"/>
    <w:rsid w:val="004503CB"/>
    <w:rsid w:val="00467C62"/>
    <w:rsid w:val="004773E6"/>
    <w:rsid w:val="00480EAB"/>
    <w:rsid w:val="004907C6"/>
    <w:rsid w:val="004A27E2"/>
    <w:rsid w:val="004A4355"/>
    <w:rsid w:val="004A7EAA"/>
    <w:rsid w:val="004B0C01"/>
    <w:rsid w:val="004B281E"/>
    <w:rsid w:val="004C15D0"/>
    <w:rsid w:val="004C7302"/>
    <w:rsid w:val="004D0410"/>
    <w:rsid w:val="004D2B20"/>
    <w:rsid w:val="004D2FA4"/>
    <w:rsid w:val="004E33A9"/>
    <w:rsid w:val="004E34B7"/>
    <w:rsid w:val="004E43DC"/>
    <w:rsid w:val="004E4F89"/>
    <w:rsid w:val="004E5DFE"/>
    <w:rsid w:val="004E6660"/>
    <w:rsid w:val="004F56D5"/>
    <w:rsid w:val="004F6B9C"/>
    <w:rsid w:val="00504EF4"/>
    <w:rsid w:val="00515A3B"/>
    <w:rsid w:val="005237CA"/>
    <w:rsid w:val="00525DD0"/>
    <w:rsid w:val="00526E1F"/>
    <w:rsid w:val="00531287"/>
    <w:rsid w:val="00531562"/>
    <w:rsid w:val="00535D22"/>
    <w:rsid w:val="00542B8F"/>
    <w:rsid w:val="00546D04"/>
    <w:rsid w:val="00550355"/>
    <w:rsid w:val="00561FD0"/>
    <w:rsid w:val="00572ADA"/>
    <w:rsid w:val="00573FF2"/>
    <w:rsid w:val="00574AC2"/>
    <w:rsid w:val="00590BEC"/>
    <w:rsid w:val="0059248F"/>
    <w:rsid w:val="00593B8A"/>
    <w:rsid w:val="005954C5"/>
    <w:rsid w:val="0059625E"/>
    <w:rsid w:val="0059628A"/>
    <w:rsid w:val="0059713F"/>
    <w:rsid w:val="005A2197"/>
    <w:rsid w:val="005A4070"/>
    <w:rsid w:val="005A7F1C"/>
    <w:rsid w:val="005B51E9"/>
    <w:rsid w:val="005B6909"/>
    <w:rsid w:val="005B7513"/>
    <w:rsid w:val="005C0805"/>
    <w:rsid w:val="005C334F"/>
    <w:rsid w:val="005D278E"/>
    <w:rsid w:val="005D3322"/>
    <w:rsid w:val="005D4437"/>
    <w:rsid w:val="005D6CAC"/>
    <w:rsid w:val="005E1465"/>
    <w:rsid w:val="005E441F"/>
    <w:rsid w:val="00600B6D"/>
    <w:rsid w:val="0060520D"/>
    <w:rsid w:val="00611207"/>
    <w:rsid w:val="00613815"/>
    <w:rsid w:val="006164F7"/>
    <w:rsid w:val="0061726F"/>
    <w:rsid w:val="00620BD4"/>
    <w:rsid w:val="00622214"/>
    <w:rsid w:val="00623B6B"/>
    <w:rsid w:val="00626BDF"/>
    <w:rsid w:val="00632E4B"/>
    <w:rsid w:val="00640AD2"/>
    <w:rsid w:val="006420D3"/>
    <w:rsid w:val="006449A3"/>
    <w:rsid w:val="00644D7A"/>
    <w:rsid w:val="00650C98"/>
    <w:rsid w:val="00652B42"/>
    <w:rsid w:val="00655259"/>
    <w:rsid w:val="00660089"/>
    <w:rsid w:val="006630F9"/>
    <w:rsid w:val="00664220"/>
    <w:rsid w:val="00665162"/>
    <w:rsid w:val="00674E79"/>
    <w:rsid w:val="0067557E"/>
    <w:rsid w:val="00676B09"/>
    <w:rsid w:val="00677673"/>
    <w:rsid w:val="00681482"/>
    <w:rsid w:val="0068173F"/>
    <w:rsid w:val="006820FB"/>
    <w:rsid w:val="00682286"/>
    <w:rsid w:val="00686381"/>
    <w:rsid w:val="006953E5"/>
    <w:rsid w:val="0069757A"/>
    <w:rsid w:val="006A285C"/>
    <w:rsid w:val="006A38A8"/>
    <w:rsid w:val="006A6151"/>
    <w:rsid w:val="006C1487"/>
    <w:rsid w:val="006C2759"/>
    <w:rsid w:val="006D6804"/>
    <w:rsid w:val="006D68B6"/>
    <w:rsid w:val="006E35E6"/>
    <w:rsid w:val="006E44B6"/>
    <w:rsid w:val="006E47B0"/>
    <w:rsid w:val="006E7A50"/>
    <w:rsid w:val="006E7FD7"/>
    <w:rsid w:val="006F3278"/>
    <w:rsid w:val="006F3F78"/>
    <w:rsid w:val="006F4E7F"/>
    <w:rsid w:val="006F7D8C"/>
    <w:rsid w:val="007003B5"/>
    <w:rsid w:val="007133BD"/>
    <w:rsid w:val="007237B1"/>
    <w:rsid w:val="00726615"/>
    <w:rsid w:val="007266F7"/>
    <w:rsid w:val="00730ACF"/>
    <w:rsid w:val="007324BA"/>
    <w:rsid w:val="00732E21"/>
    <w:rsid w:val="0073377C"/>
    <w:rsid w:val="00735047"/>
    <w:rsid w:val="00736F5B"/>
    <w:rsid w:val="00740FD7"/>
    <w:rsid w:val="0074385A"/>
    <w:rsid w:val="00751340"/>
    <w:rsid w:val="0076262A"/>
    <w:rsid w:val="00763E3E"/>
    <w:rsid w:val="00775D5F"/>
    <w:rsid w:val="007812F7"/>
    <w:rsid w:val="007846C4"/>
    <w:rsid w:val="007A1887"/>
    <w:rsid w:val="007A4C51"/>
    <w:rsid w:val="007A6D6C"/>
    <w:rsid w:val="007A7ACE"/>
    <w:rsid w:val="007B5602"/>
    <w:rsid w:val="007B7401"/>
    <w:rsid w:val="007C430D"/>
    <w:rsid w:val="007D162C"/>
    <w:rsid w:val="007F02AC"/>
    <w:rsid w:val="007F4424"/>
    <w:rsid w:val="008032C7"/>
    <w:rsid w:val="00806A3A"/>
    <w:rsid w:val="0081160D"/>
    <w:rsid w:val="00815D54"/>
    <w:rsid w:val="008207DB"/>
    <w:rsid w:val="00822671"/>
    <w:rsid w:val="008243C1"/>
    <w:rsid w:val="008271DA"/>
    <w:rsid w:val="00833992"/>
    <w:rsid w:val="00835D41"/>
    <w:rsid w:val="008407F2"/>
    <w:rsid w:val="00840C5F"/>
    <w:rsid w:val="008420F0"/>
    <w:rsid w:val="00842219"/>
    <w:rsid w:val="00843B32"/>
    <w:rsid w:val="0084617D"/>
    <w:rsid w:val="008521D8"/>
    <w:rsid w:val="0085315E"/>
    <w:rsid w:val="00853DCF"/>
    <w:rsid w:val="00856959"/>
    <w:rsid w:val="00857E15"/>
    <w:rsid w:val="00872C0F"/>
    <w:rsid w:val="008811C1"/>
    <w:rsid w:val="00881D93"/>
    <w:rsid w:val="00882742"/>
    <w:rsid w:val="00882826"/>
    <w:rsid w:val="00887972"/>
    <w:rsid w:val="008904C2"/>
    <w:rsid w:val="0089311D"/>
    <w:rsid w:val="00893FCA"/>
    <w:rsid w:val="008942F9"/>
    <w:rsid w:val="00897A55"/>
    <w:rsid w:val="00897D2E"/>
    <w:rsid w:val="008A5003"/>
    <w:rsid w:val="008C179E"/>
    <w:rsid w:val="008C274E"/>
    <w:rsid w:val="008C3DF6"/>
    <w:rsid w:val="008C502B"/>
    <w:rsid w:val="008C745A"/>
    <w:rsid w:val="008C7EA4"/>
    <w:rsid w:val="008D5710"/>
    <w:rsid w:val="008E0CBD"/>
    <w:rsid w:val="008E2BC3"/>
    <w:rsid w:val="008E2C2A"/>
    <w:rsid w:val="008E4A13"/>
    <w:rsid w:val="008F5E81"/>
    <w:rsid w:val="00915FBF"/>
    <w:rsid w:val="009248A9"/>
    <w:rsid w:val="00925BC6"/>
    <w:rsid w:val="009302DD"/>
    <w:rsid w:val="00932F2D"/>
    <w:rsid w:val="009361F7"/>
    <w:rsid w:val="00951A80"/>
    <w:rsid w:val="00953EBC"/>
    <w:rsid w:val="0096084D"/>
    <w:rsid w:val="0096727D"/>
    <w:rsid w:val="00967BCF"/>
    <w:rsid w:val="009725EB"/>
    <w:rsid w:val="00976513"/>
    <w:rsid w:val="00984D49"/>
    <w:rsid w:val="00987D12"/>
    <w:rsid w:val="009908E4"/>
    <w:rsid w:val="00990D9D"/>
    <w:rsid w:val="00992268"/>
    <w:rsid w:val="009A4819"/>
    <w:rsid w:val="009B699A"/>
    <w:rsid w:val="009C7004"/>
    <w:rsid w:val="009C7222"/>
    <w:rsid w:val="009D2238"/>
    <w:rsid w:val="009D2932"/>
    <w:rsid w:val="009D34DA"/>
    <w:rsid w:val="009D6939"/>
    <w:rsid w:val="009D75B4"/>
    <w:rsid w:val="009D7CDD"/>
    <w:rsid w:val="009E3BEE"/>
    <w:rsid w:val="009E3E61"/>
    <w:rsid w:val="009F013D"/>
    <w:rsid w:val="009F31E0"/>
    <w:rsid w:val="009F4258"/>
    <w:rsid w:val="00A013B5"/>
    <w:rsid w:val="00A01C47"/>
    <w:rsid w:val="00A0635B"/>
    <w:rsid w:val="00A1015A"/>
    <w:rsid w:val="00A160A2"/>
    <w:rsid w:val="00A1625D"/>
    <w:rsid w:val="00A16440"/>
    <w:rsid w:val="00A26838"/>
    <w:rsid w:val="00A27DE6"/>
    <w:rsid w:val="00A31217"/>
    <w:rsid w:val="00A36655"/>
    <w:rsid w:val="00A37C97"/>
    <w:rsid w:val="00A416D2"/>
    <w:rsid w:val="00A451E6"/>
    <w:rsid w:val="00A453BE"/>
    <w:rsid w:val="00A4634B"/>
    <w:rsid w:val="00A51978"/>
    <w:rsid w:val="00A5392F"/>
    <w:rsid w:val="00A60053"/>
    <w:rsid w:val="00A63560"/>
    <w:rsid w:val="00A71CF0"/>
    <w:rsid w:val="00A72E47"/>
    <w:rsid w:val="00A747DD"/>
    <w:rsid w:val="00A753B6"/>
    <w:rsid w:val="00A76E82"/>
    <w:rsid w:val="00A808B3"/>
    <w:rsid w:val="00A96481"/>
    <w:rsid w:val="00AB18E9"/>
    <w:rsid w:val="00AB7F87"/>
    <w:rsid w:val="00AC0C93"/>
    <w:rsid w:val="00AC2B1F"/>
    <w:rsid w:val="00AC7178"/>
    <w:rsid w:val="00AD201F"/>
    <w:rsid w:val="00AD4847"/>
    <w:rsid w:val="00AD4DD2"/>
    <w:rsid w:val="00AE07D0"/>
    <w:rsid w:val="00AE2866"/>
    <w:rsid w:val="00AE4A1C"/>
    <w:rsid w:val="00AF15AD"/>
    <w:rsid w:val="00AF38B6"/>
    <w:rsid w:val="00AF54EC"/>
    <w:rsid w:val="00AF6851"/>
    <w:rsid w:val="00B0489C"/>
    <w:rsid w:val="00B0542D"/>
    <w:rsid w:val="00B141C5"/>
    <w:rsid w:val="00B26EFD"/>
    <w:rsid w:val="00B27247"/>
    <w:rsid w:val="00B373B4"/>
    <w:rsid w:val="00B41B21"/>
    <w:rsid w:val="00B425A5"/>
    <w:rsid w:val="00B4350A"/>
    <w:rsid w:val="00B4460F"/>
    <w:rsid w:val="00B44B70"/>
    <w:rsid w:val="00B473F2"/>
    <w:rsid w:val="00B522B5"/>
    <w:rsid w:val="00B52933"/>
    <w:rsid w:val="00B544DA"/>
    <w:rsid w:val="00B608E4"/>
    <w:rsid w:val="00B61DAB"/>
    <w:rsid w:val="00B62711"/>
    <w:rsid w:val="00B67440"/>
    <w:rsid w:val="00B9161F"/>
    <w:rsid w:val="00B94603"/>
    <w:rsid w:val="00B95431"/>
    <w:rsid w:val="00BA087E"/>
    <w:rsid w:val="00BA5AB7"/>
    <w:rsid w:val="00BD4890"/>
    <w:rsid w:val="00BD68AD"/>
    <w:rsid w:val="00BD773D"/>
    <w:rsid w:val="00BE146E"/>
    <w:rsid w:val="00BE547E"/>
    <w:rsid w:val="00BF2B3A"/>
    <w:rsid w:val="00C00429"/>
    <w:rsid w:val="00C00920"/>
    <w:rsid w:val="00C044CF"/>
    <w:rsid w:val="00C05392"/>
    <w:rsid w:val="00C07438"/>
    <w:rsid w:val="00C10930"/>
    <w:rsid w:val="00C128C7"/>
    <w:rsid w:val="00C21680"/>
    <w:rsid w:val="00C23557"/>
    <w:rsid w:val="00C26252"/>
    <w:rsid w:val="00C277D6"/>
    <w:rsid w:val="00C3177E"/>
    <w:rsid w:val="00C43DA8"/>
    <w:rsid w:val="00C4791C"/>
    <w:rsid w:val="00C5250B"/>
    <w:rsid w:val="00C664F4"/>
    <w:rsid w:val="00C70F92"/>
    <w:rsid w:val="00C71A5D"/>
    <w:rsid w:val="00C736DC"/>
    <w:rsid w:val="00C90F1C"/>
    <w:rsid w:val="00CA4C6D"/>
    <w:rsid w:val="00CB39DA"/>
    <w:rsid w:val="00CB63FA"/>
    <w:rsid w:val="00CB7E1B"/>
    <w:rsid w:val="00CC3C66"/>
    <w:rsid w:val="00CC4A7F"/>
    <w:rsid w:val="00CD240B"/>
    <w:rsid w:val="00CD396A"/>
    <w:rsid w:val="00CD5FB3"/>
    <w:rsid w:val="00CD64A0"/>
    <w:rsid w:val="00CD79D3"/>
    <w:rsid w:val="00CF0822"/>
    <w:rsid w:val="00CF2DAC"/>
    <w:rsid w:val="00CF417F"/>
    <w:rsid w:val="00D0527C"/>
    <w:rsid w:val="00D07878"/>
    <w:rsid w:val="00D11E38"/>
    <w:rsid w:val="00D12247"/>
    <w:rsid w:val="00D151BE"/>
    <w:rsid w:val="00D22F68"/>
    <w:rsid w:val="00D3206E"/>
    <w:rsid w:val="00D37019"/>
    <w:rsid w:val="00D450EE"/>
    <w:rsid w:val="00D469C4"/>
    <w:rsid w:val="00D46D11"/>
    <w:rsid w:val="00D52EDC"/>
    <w:rsid w:val="00D61ACB"/>
    <w:rsid w:val="00D66D1D"/>
    <w:rsid w:val="00D70AEF"/>
    <w:rsid w:val="00D75205"/>
    <w:rsid w:val="00D7547E"/>
    <w:rsid w:val="00D9363B"/>
    <w:rsid w:val="00DA4F39"/>
    <w:rsid w:val="00DB6C90"/>
    <w:rsid w:val="00DC0733"/>
    <w:rsid w:val="00DD4442"/>
    <w:rsid w:val="00DD653D"/>
    <w:rsid w:val="00DE0E6B"/>
    <w:rsid w:val="00DE75DB"/>
    <w:rsid w:val="00DE7FA3"/>
    <w:rsid w:val="00E05A47"/>
    <w:rsid w:val="00E06054"/>
    <w:rsid w:val="00E20880"/>
    <w:rsid w:val="00E20EF2"/>
    <w:rsid w:val="00E25823"/>
    <w:rsid w:val="00E2707A"/>
    <w:rsid w:val="00E332F4"/>
    <w:rsid w:val="00E33CF7"/>
    <w:rsid w:val="00E36426"/>
    <w:rsid w:val="00E36DC2"/>
    <w:rsid w:val="00E3776B"/>
    <w:rsid w:val="00E42649"/>
    <w:rsid w:val="00E6164B"/>
    <w:rsid w:val="00E66ADD"/>
    <w:rsid w:val="00E71917"/>
    <w:rsid w:val="00E72BDB"/>
    <w:rsid w:val="00E75570"/>
    <w:rsid w:val="00E7742B"/>
    <w:rsid w:val="00E77F46"/>
    <w:rsid w:val="00E82A45"/>
    <w:rsid w:val="00E83FE7"/>
    <w:rsid w:val="00E91EFC"/>
    <w:rsid w:val="00E939DD"/>
    <w:rsid w:val="00EA0016"/>
    <w:rsid w:val="00EA23E1"/>
    <w:rsid w:val="00EB07D8"/>
    <w:rsid w:val="00EB0CFB"/>
    <w:rsid w:val="00EB66D8"/>
    <w:rsid w:val="00EB7533"/>
    <w:rsid w:val="00EB7C7B"/>
    <w:rsid w:val="00EC5E30"/>
    <w:rsid w:val="00EC6603"/>
    <w:rsid w:val="00ED301A"/>
    <w:rsid w:val="00EE54EC"/>
    <w:rsid w:val="00EF2935"/>
    <w:rsid w:val="00EF511A"/>
    <w:rsid w:val="00F04CC8"/>
    <w:rsid w:val="00F05331"/>
    <w:rsid w:val="00F14CAE"/>
    <w:rsid w:val="00F15E49"/>
    <w:rsid w:val="00F15F04"/>
    <w:rsid w:val="00F20C5B"/>
    <w:rsid w:val="00F2226A"/>
    <w:rsid w:val="00F244D4"/>
    <w:rsid w:val="00F25365"/>
    <w:rsid w:val="00F368F2"/>
    <w:rsid w:val="00F458E9"/>
    <w:rsid w:val="00F45A67"/>
    <w:rsid w:val="00F52C17"/>
    <w:rsid w:val="00F543A5"/>
    <w:rsid w:val="00F55E31"/>
    <w:rsid w:val="00F55F86"/>
    <w:rsid w:val="00F56DEA"/>
    <w:rsid w:val="00F601F9"/>
    <w:rsid w:val="00F62505"/>
    <w:rsid w:val="00F64412"/>
    <w:rsid w:val="00F72296"/>
    <w:rsid w:val="00F82BC3"/>
    <w:rsid w:val="00F82F65"/>
    <w:rsid w:val="00F910C1"/>
    <w:rsid w:val="00FA37CA"/>
    <w:rsid w:val="00FA4432"/>
    <w:rsid w:val="00FA5CF9"/>
    <w:rsid w:val="00FC077A"/>
    <w:rsid w:val="00FC0C06"/>
    <w:rsid w:val="00FC48C7"/>
    <w:rsid w:val="00FD665A"/>
    <w:rsid w:val="00FE2A2C"/>
    <w:rsid w:val="00FE358F"/>
    <w:rsid w:val="00FF6DDD"/>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F6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B1F"/>
    <w:pPr>
      <w:spacing w:after="100" w:line="400" w:lineRule="exact"/>
      <w:jc w:val="both"/>
    </w:pPr>
    <w:rPr>
      <w:rFonts w:ascii="Century Schoolbook" w:hAnsi="Century Schoolbook"/>
      <w:sz w:val="27"/>
    </w:rPr>
  </w:style>
  <w:style w:type="paragraph" w:styleId="Heading1">
    <w:name w:val="heading 1"/>
    <w:basedOn w:val="Normal"/>
    <w:next w:val="Normal"/>
    <w:qFormat/>
    <w:rsid w:val="00AC2B1F"/>
    <w:pPr>
      <w:keepNext/>
      <w:spacing w:before="140" w:line="240" w:lineRule="atLeast"/>
      <w:jc w:val="center"/>
      <w:outlineLvl w:val="0"/>
    </w:pPr>
    <w:rPr>
      <w:b/>
      <w:smallCaps/>
    </w:rPr>
  </w:style>
  <w:style w:type="paragraph" w:styleId="Heading2">
    <w:name w:val="heading 2"/>
    <w:basedOn w:val="Normal"/>
    <w:next w:val="Normal"/>
    <w:qFormat/>
    <w:rsid w:val="00AC2B1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C2B1F"/>
    <w:pPr>
      <w:keepNext/>
      <w:tabs>
        <w:tab w:val="left" w:pos="1584"/>
      </w:tabs>
      <w:spacing w:before="140" w:line="240" w:lineRule="atLeast"/>
      <w:ind w:left="1584" w:hanging="432"/>
      <w:jc w:val="left"/>
      <w:outlineLvl w:val="2"/>
    </w:pPr>
    <w:rPr>
      <w:i/>
    </w:rPr>
  </w:style>
  <w:style w:type="paragraph" w:styleId="Heading4">
    <w:name w:val="heading 4"/>
    <w:basedOn w:val="Normal"/>
    <w:rsid w:val="00AC2B1F"/>
    <w:pPr>
      <w:keepNext/>
      <w:tabs>
        <w:tab w:val="left" w:pos="2016"/>
      </w:tabs>
      <w:spacing w:before="140" w:line="240" w:lineRule="atLeast"/>
      <w:ind w:left="2016" w:hanging="432"/>
      <w:jc w:val="left"/>
      <w:outlineLvl w:val="3"/>
    </w:pPr>
    <w:rPr>
      <w:i/>
    </w:rPr>
  </w:style>
  <w:style w:type="paragraph" w:styleId="Heading5">
    <w:name w:val="heading 5"/>
    <w:basedOn w:val="Normal"/>
    <w:rsid w:val="00AC2B1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C2B1F"/>
    <w:pPr>
      <w:ind w:left="720"/>
    </w:pPr>
  </w:style>
  <w:style w:type="paragraph" w:styleId="Footer">
    <w:name w:val="footer"/>
    <w:basedOn w:val="Normal"/>
    <w:qFormat/>
    <w:rsid w:val="00AC2B1F"/>
    <w:pPr>
      <w:tabs>
        <w:tab w:val="center" w:pos="3960"/>
        <w:tab w:val="right" w:pos="10080"/>
      </w:tabs>
      <w:spacing w:after="0" w:line="240" w:lineRule="auto"/>
      <w:jc w:val="center"/>
    </w:pPr>
    <w:rPr>
      <w:sz w:val="22"/>
    </w:rPr>
  </w:style>
  <w:style w:type="paragraph" w:styleId="Header">
    <w:name w:val="header"/>
    <w:basedOn w:val="Normal"/>
    <w:qFormat/>
    <w:rsid w:val="00AC2B1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C2B1F"/>
    <w:rPr>
      <w:rFonts w:ascii="Century Schoolbook" w:hAnsi="Century Schoolbook"/>
      <w:b/>
      <w:i w:val="0"/>
      <w:position w:val="4"/>
      <w:sz w:val="27"/>
      <w:vertAlign w:val="superscript"/>
    </w:rPr>
  </w:style>
  <w:style w:type="paragraph" w:styleId="FootnoteText">
    <w:name w:val="footnote text"/>
    <w:basedOn w:val="Normal"/>
    <w:link w:val="FootnoteTextChar"/>
    <w:rsid w:val="00AC2B1F"/>
    <w:pPr>
      <w:spacing w:line="300" w:lineRule="exact"/>
    </w:pPr>
  </w:style>
  <w:style w:type="paragraph" w:customStyle="1" w:styleId="Title1">
    <w:name w:val="Title1"/>
    <w:basedOn w:val="Normal"/>
    <w:rsid w:val="00AC2B1F"/>
    <w:pPr>
      <w:tabs>
        <w:tab w:val="left" w:pos="5760"/>
        <w:tab w:val="left" w:pos="6480"/>
      </w:tabs>
      <w:spacing w:line="240" w:lineRule="atLeast"/>
    </w:pPr>
  </w:style>
  <w:style w:type="paragraph" w:customStyle="1" w:styleId="Recommend">
    <w:name w:val="Recommend"/>
    <w:basedOn w:val="Normal"/>
    <w:rsid w:val="00AC2B1F"/>
  </w:style>
  <w:style w:type="paragraph" w:customStyle="1" w:styleId="Summary">
    <w:name w:val="Summary"/>
    <w:basedOn w:val="Normal"/>
    <w:rsid w:val="00AC2B1F"/>
    <w:pPr>
      <w:ind w:left="2160" w:hanging="2160"/>
    </w:pPr>
  </w:style>
  <w:style w:type="paragraph" w:customStyle="1" w:styleId="Text">
    <w:name w:val="Text"/>
    <w:basedOn w:val="Normal"/>
    <w:rsid w:val="00AC2B1F"/>
    <w:pPr>
      <w:tabs>
        <w:tab w:val="left" w:pos="720"/>
        <w:tab w:val="left" w:pos="1440"/>
        <w:tab w:val="left" w:pos="2160"/>
        <w:tab w:val="center" w:pos="4320"/>
      </w:tabs>
      <w:spacing w:line="480" w:lineRule="atLeast"/>
      <w:ind w:firstLine="540"/>
    </w:pPr>
  </w:style>
  <w:style w:type="paragraph" w:styleId="Date">
    <w:name w:val="Date"/>
    <w:basedOn w:val="Normal"/>
    <w:semiHidden/>
    <w:rsid w:val="00AC2B1F"/>
    <w:pPr>
      <w:jc w:val="right"/>
    </w:pPr>
  </w:style>
  <w:style w:type="character" w:styleId="PageNumber">
    <w:name w:val="page number"/>
    <w:basedOn w:val="DefaultParagraphFont"/>
    <w:rsid w:val="00AC2B1F"/>
  </w:style>
  <w:style w:type="paragraph" w:customStyle="1" w:styleId="subject">
    <w:name w:val="subject"/>
    <w:basedOn w:val="Normal"/>
    <w:rsid w:val="00AC2B1F"/>
    <w:pPr>
      <w:tabs>
        <w:tab w:val="left" w:pos="1008"/>
      </w:tabs>
      <w:ind w:left="990" w:hanging="990"/>
    </w:pPr>
    <w:rPr>
      <w:b/>
    </w:rPr>
  </w:style>
  <w:style w:type="paragraph" w:customStyle="1" w:styleId="Titles">
    <w:name w:val="Titles"/>
    <w:basedOn w:val="Normal"/>
    <w:rsid w:val="00AC2B1F"/>
    <w:pPr>
      <w:tabs>
        <w:tab w:val="left" w:pos="2160"/>
      </w:tabs>
      <w:ind w:left="2160" w:hanging="2160"/>
    </w:pPr>
    <w:rPr>
      <w:b/>
    </w:rPr>
  </w:style>
  <w:style w:type="paragraph" w:styleId="TOAHeading">
    <w:name w:val="toa heading"/>
    <w:basedOn w:val="Normal"/>
    <w:next w:val="Normal"/>
    <w:semiHidden/>
    <w:rsid w:val="00AC2B1F"/>
    <w:pPr>
      <w:spacing w:before="120"/>
    </w:pPr>
    <w:rPr>
      <w:b/>
    </w:rPr>
  </w:style>
  <w:style w:type="paragraph" w:styleId="TOC1">
    <w:name w:val="toc 1"/>
    <w:basedOn w:val="Normal"/>
    <w:next w:val="Normal"/>
    <w:autoRedefine/>
    <w:semiHidden/>
    <w:rsid w:val="00AC2B1F"/>
  </w:style>
  <w:style w:type="paragraph" w:styleId="TOC2">
    <w:name w:val="toc 2"/>
    <w:basedOn w:val="Normal"/>
    <w:next w:val="Normal"/>
    <w:autoRedefine/>
    <w:semiHidden/>
    <w:rsid w:val="00AC2B1F"/>
    <w:pPr>
      <w:ind w:left="259"/>
    </w:pPr>
  </w:style>
  <w:style w:type="paragraph" w:styleId="TOC3">
    <w:name w:val="toc 3"/>
    <w:basedOn w:val="Normal"/>
    <w:next w:val="Normal"/>
    <w:autoRedefine/>
    <w:semiHidden/>
    <w:rsid w:val="00AC2B1F"/>
    <w:pPr>
      <w:ind w:left="520"/>
    </w:pPr>
  </w:style>
  <w:style w:type="paragraph" w:styleId="TOC4">
    <w:name w:val="toc 4"/>
    <w:basedOn w:val="Normal"/>
    <w:next w:val="Normal"/>
    <w:autoRedefine/>
    <w:semiHidden/>
    <w:rsid w:val="00AC2B1F"/>
    <w:pPr>
      <w:ind w:left="780"/>
    </w:pPr>
  </w:style>
  <w:style w:type="paragraph" w:styleId="TOC5">
    <w:name w:val="toc 5"/>
    <w:basedOn w:val="Normal"/>
    <w:next w:val="Normal"/>
    <w:autoRedefine/>
    <w:semiHidden/>
    <w:rsid w:val="00AC2B1F"/>
    <w:pPr>
      <w:ind w:left="1040"/>
    </w:pPr>
  </w:style>
  <w:style w:type="paragraph" w:styleId="TOC6">
    <w:name w:val="toc 6"/>
    <w:basedOn w:val="Normal"/>
    <w:next w:val="Normal"/>
    <w:autoRedefine/>
    <w:semiHidden/>
    <w:rsid w:val="00AC2B1F"/>
    <w:pPr>
      <w:ind w:left="1300"/>
    </w:pPr>
  </w:style>
  <w:style w:type="paragraph" w:styleId="TOC7">
    <w:name w:val="toc 7"/>
    <w:basedOn w:val="Normal"/>
    <w:next w:val="Normal"/>
    <w:autoRedefine/>
    <w:semiHidden/>
    <w:rsid w:val="00AC2B1F"/>
    <w:pPr>
      <w:ind w:left="1560"/>
    </w:pPr>
  </w:style>
  <w:style w:type="paragraph" w:styleId="TOC8">
    <w:name w:val="toc 8"/>
    <w:basedOn w:val="Normal"/>
    <w:next w:val="Normal"/>
    <w:autoRedefine/>
    <w:semiHidden/>
    <w:rsid w:val="00AC2B1F"/>
    <w:pPr>
      <w:ind w:left="1820"/>
    </w:pPr>
  </w:style>
  <w:style w:type="paragraph" w:styleId="TOC9">
    <w:name w:val="toc 9"/>
    <w:basedOn w:val="Normal"/>
    <w:next w:val="Normal"/>
    <w:autoRedefine/>
    <w:semiHidden/>
    <w:rsid w:val="00AC2B1F"/>
    <w:pPr>
      <w:ind w:left="2080"/>
    </w:pPr>
  </w:style>
  <w:style w:type="paragraph" w:customStyle="1" w:styleId="Contents">
    <w:name w:val="Contents"/>
    <w:basedOn w:val="Normal"/>
    <w:rsid w:val="00AC2B1F"/>
    <w:pPr>
      <w:jc w:val="center"/>
    </w:pPr>
    <w:rPr>
      <w:b/>
      <w:spacing w:val="100"/>
    </w:rPr>
  </w:style>
  <w:style w:type="character" w:styleId="Hyperlink">
    <w:name w:val="Hyperlink"/>
    <w:basedOn w:val="DefaultParagraphFont"/>
    <w:uiPriority w:val="99"/>
    <w:unhideWhenUsed/>
    <w:rsid w:val="00427CAD"/>
    <w:rPr>
      <w:color w:val="0000FF" w:themeColor="hyperlink"/>
      <w:u w:val="single"/>
    </w:rPr>
  </w:style>
  <w:style w:type="character" w:customStyle="1" w:styleId="UnresolvedMention1">
    <w:name w:val="Unresolved Mention1"/>
    <w:basedOn w:val="DefaultParagraphFont"/>
    <w:uiPriority w:val="99"/>
    <w:semiHidden/>
    <w:unhideWhenUsed/>
    <w:rsid w:val="00427CAD"/>
    <w:rPr>
      <w:color w:val="605E5C"/>
      <w:shd w:val="clear" w:color="auto" w:fill="E1DFDD"/>
    </w:rPr>
  </w:style>
  <w:style w:type="character" w:styleId="Emphasis">
    <w:name w:val="Emphasis"/>
    <w:basedOn w:val="DefaultParagraphFont"/>
    <w:uiPriority w:val="20"/>
    <w:qFormat/>
    <w:rsid w:val="00664220"/>
    <w:rPr>
      <w:i/>
      <w:iCs/>
    </w:rPr>
  </w:style>
  <w:style w:type="character" w:customStyle="1" w:styleId="cohl">
    <w:name w:val="co_hl"/>
    <w:basedOn w:val="DefaultParagraphFont"/>
    <w:rsid w:val="001E7B4F"/>
  </w:style>
  <w:style w:type="character" w:customStyle="1" w:styleId="costarpage">
    <w:name w:val="co_starpage"/>
    <w:basedOn w:val="DefaultParagraphFont"/>
    <w:rsid w:val="00887972"/>
  </w:style>
  <w:style w:type="character" w:customStyle="1" w:styleId="UnresolvedMention2">
    <w:name w:val="Unresolved Mention2"/>
    <w:basedOn w:val="DefaultParagraphFont"/>
    <w:uiPriority w:val="99"/>
    <w:semiHidden/>
    <w:unhideWhenUsed/>
    <w:rsid w:val="00AD4847"/>
    <w:rPr>
      <w:color w:val="605E5C"/>
      <w:shd w:val="clear" w:color="auto" w:fill="E1DFDD"/>
    </w:rPr>
  </w:style>
  <w:style w:type="character" w:styleId="CommentReference">
    <w:name w:val="annotation reference"/>
    <w:basedOn w:val="DefaultParagraphFont"/>
    <w:uiPriority w:val="99"/>
    <w:semiHidden/>
    <w:unhideWhenUsed/>
    <w:rsid w:val="008C274E"/>
    <w:rPr>
      <w:sz w:val="18"/>
      <w:szCs w:val="18"/>
    </w:rPr>
  </w:style>
  <w:style w:type="paragraph" w:styleId="CommentText">
    <w:name w:val="annotation text"/>
    <w:basedOn w:val="Normal"/>
    <w:link w:val="CommentTextChar"/>
    <w:uiPriority w:val="99"/>
    <w:semiHidden/>
    <w:unhideWhenUsed/>
    <w:rsid w:val="008C274E"/>
    <w:rPr>
      <w:sz w:val="24"/>
      <w:szCs w:val="24"/>
    </w:rPr>
  </w:style>
  <w:style w:type="character" w:customStyle="1" w:styleId="CommentTextChar">
    <w:name w:val="Comment Text Char"/>
    <w:basedOn w:val="DefaultParagraphFont"/>
    <w:link w:val="CommentText"/>
    <w:uiPriority w:val="99"/>
    <w:semiHidden/>
    <w:rsid w:val="008C274E"/>
    <w:rPr>
      <w:sz w:val="24"/>
      <w:szCs w:val="24"/>
    </w:rPr>
  </w:style>
  <w:style w:type="paragraph" w:styleId="CommentSubject">
    <w:name w:val="annotation subject"/>
    <w:basedOn w:val="CommentText"/>
    <w:next w:val="CommentText"/>
    <w:link w:val="CommentSubjectChar"/>
    <w:uiPriority w:val="99"/>
    <w:semiHidden/>
    <w:unhideWhenUsed/>
    <w:rsid w:val="008C274E"/>
    <w:rPr>
      <w:b/>
      <w:bCs/>
      <w:sz w:val="20"/>
      <w:szCs w:val="20"/>
    </w:rPr>
  </w:style>
  <w:style w:type="character" w:customStyle="1" w:styleId="CommentSubjectChar">
    <w:name w:val="Comment Subject Char"/>
    <w:basedOn w:val="CommentTextChar"/>
    <w:link w:val="CommentSubject"/>
    <w:uiPriority w:val="99"/>
    <w:semiHidden/>
    <w:rsid w:val="008C274E"/>
    <w:rPr>
      <w:b/>
      <w:bCs/>
      <w:sz w:val="24"/>
      <w:szCs w:val="24"/>
    </w:rPr>
  </w:style>
  <w:style w:type="paragraph" w:styleId="BalloonText">
    <w:name w:val="Balloon Text"/>
    <w:basedOn w:val="Normal"/>
    <w:link w:val="BalloonTextChar"/>
    <w:uiPriority w:val="99"/>
    <w:semiHidden/>
    <w:unhideWhenUsed/>
    <w:rsid w:val="008C2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74E"/>
    <w:rPr>
      <w:rFonts w:ascii="Lucida Grande" w:hAnsi="Lucida Grande" w:cs="Lucida Grande"/>
      <w:sz w:val="18"/>
      <w:szCs w:val="18"/>
    </w:rPr>
  </w:style>
  <w:style w:type="paragraph" w:styleId="Revision">
    <w:name w:val="Revision"/>
    <w:hidden/>
    <w:uiPriority w:val="99"/>
    <w:semiHidden/>
    <w:rsid w:val="001D0073"/>
    <w:rPr>
      <w:sz w:val="26"/>
    </w:rPr>
  </w:style>
  <w:style w:type="character" w:customStyle="1" w:styleId="UnresolvedMention3">
    <w:name w:val="Unresolved Mention3"/>
    <w:basedOn w:val="DefaultParagraphFont"/>
    <w:uiPriority w:val="99"/>
    <w:semiHidden/>
    <w:unhideWhenUsed/>
    <w:rsid w:val="001F4CD2"/>
    <w:rPr>
      <w:color w:val="605E5C"/>
      <w:shd w:val="clear" w:color="auto" w:fill="E1DFDD"/>
    </w:rPr>
  </w:style>
  <w:style w:type="character" w:customStyle="1" w:styleId="FootnoteTextChar">
    <w:name w:val="Footnote Text Char"/>
    <w:basedOn w:val="DefaultParagraphFont"/>
    <w:link w:val="FootnoteText"/>
    <w:rsid w:val="00E83FE7"/>
    <w:rPr>
      <w:rFonts w:ascii="Century Schoolbook" w:hAnsi="Century Schoolbook"/>
      <w:sz w:val="27"/>
    </w:rPr>
  </w:style>
  <w:style w:type="paragraph" w:styleId="PlainText">
    <w:name w:val="Plain Text"/>
    <w:basedOn w:val="Normal"/>
    <w:link w:val="PlainTextChar"/>
    <w:uiPriority w:val="99"/>
    <w:semiHidden/>
    <w:unhideWhenUsed/>
    <w:rsid w:val="00F45A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45A67"/>
    <w:rPr>
      <w:rFonts w:ascii="Calibri" w:eastAsiaTheme="minorHAnsi" w:hAnsi="Calibri" w:cstheme="minorBidi"/>
      <w:sz w:val="22"/>
      <w:szCs w:val="21"/>
    </w:rPr>
  </w:style>
  <w:style w:type="paragraph" w:styleId="BodyText">
    <w:name w:val="Body Text"/>
    <w:basedOn w:val="Normal"/>
    <w:link w:val="BodyTextChar"/>
    <w:qFormat/>
    <w:rsid w:val="00AC2B1F"/>
  </w:style>
  <w:style w:type="character" w:customStyle="1" w:styleId="BodyTextChar">
    <w:name w:val="Body Text Char"/>
    <w:basedOn w:val="DefaultParagraphFont"/>
    <w:link w:val="BodyText"/>
    <w:rsid w:val="00AC2B1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106">
      <w:bodyDiv w:val="1"/>
      <w:marLeft w:val="0"/>
      <w:marRight w:val="0"/>
      <w:marTop w:val="0"/>
      <w:marBottom w:val="0"/>
      <w:divBdr>
        <w:top w:val="none" w:sz="0" w:space="0" w:color="auto"/>
        <w:left w:val="none" w:sz="0" w:space="0" w:color="auto"/>
        <w:bottom w:val="none" w:sz="0" w:space="0" w:color="auto"/>
        <w:right w:val="none" w:sz="0" w:space="0" w:color="auto"/>
      </w:divBdr>
      <w:divsChild>
        <w:div w:id="1998730517">
          <w:marLeft w:val="0"/>
          <w:marRight w:val="0"/>
          <w:marTop w:val="0"/>
          <w:marBottom w:val="0"/>
          <w:divBdr>
            <w:top w:val="none" w:sz="0" w:space="0" w:color="auto"/>
            <w:left w:val="none" w:sz="0" w:space="0" w:color="auto"/>
            <w:bottom w:val="none" w:sz="0" w:space="0" w:color="auto"/>
            <w:right w:val="none" w:sz="0" w:space="0" w:color="auto"/>
          </w:divBdr>
          <w:divsChild>
            <w:div w:id="1289165185">
              <w:marLeft w:val="0"/>
              <w:marRight w:val="0"/>
              <w:marTop w:val="0"/>
              <w:marBottom w:val="0"/>
              <w:divBdr>
                <w:top w:val="none" w:sz="0" w:space="0" w:color="auto"/>
                <w:left w:val="none" w:sz="0" w:space="0" w:color="auto"/>
                <w:bottom w:val="none" w:sz="0" w:space="0" w:color="auto"/>
                <w:right w:val="none" w:sz="0" w:space="0" w:color="auto"/>
              </w:divBdr>
              <w:divsChild>
                <w:div w:id="5429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0755">
      <w:bodyDiv w:val="1"/>
      <w:marLeft w:val="0"/>
      <w:marRight w:val="0"/>
      <w:marTop w:val="0"/>
      <w:marBottom w:val="0"/>
      <w:divBdr>
        <w:top w:val="none" w:sz="0" w:space="0" w:color="auto"/>
        <w:left w:val="none" w:sz="0" w:space="0" w:color="auto"/>
        <w:bottom w:val="none" w:sz="0" w:space="0" w:color="auto"/>
        <w:right w:val="none" w:sz="0" w:space="0" w:color="auto"/>
      </w:divBdr>
    </w:div>
    <w:div w:id="27223358">
      <w:bodyDiv w:val="1"/>
      <w:marLeft w:val="0"/>
      <w:marRight w:val="0"/>
      <w:marTop w:val="0"/>
      <w:marBottom w:val="0"/>
      <w:divBdr>
        <w:top w:val="none" w:sz="0" w:space="0" w:color="auto"/>
        <w:left w:val="none" w:sz="0" w:space="0" w:color="auto"/>
        <w:bottom w:val="none" w:sz="0" w:space="0" w:color="auto"/>
        <w:right w:val="none" w:sz="0" w:space="0" w:color="auto"/>
      </w:divBdr>
      <w:divsChild>
        <w:div w:id="738284333">
          <w:marLeft w:val="0"/>
          <w:marRight w:val="0"/>
          <w:marTop w:val="0"/>
          <w:marBottom w:val="0"/>
          <w:divBdr>
            <w:top w:val="none" w:sz="0" w:space="0" w:color="auto"/>
            <w:left w:val="none" w:sz="0" w:space="0" w:color="auto"/>
            <w:bottom w:val="none" w:sz="0" w:space="0" w:color="auto"/>
            <w:right w:val="none" w:sz="0" w:space="0" w:color="auto"/>
          </w:divBdr>
          <w:divsChild>
            <w:div w:id="922565894">
              <w:marLeft w:val="0"/>
              <w:marRight w:val="0"/>
              <w:marTop w:val="0"/>
              <w:marBottom w:val="0"/>
              <w:divBdr>
                <w:top w:val="none" w:sz="0" w:space="0" w:color="auto"/>
                <w:left w:val="none" w:sz="0" w:space="0" w:color="auto"/>
                <w:bottom w:val="none" w:sz="0" w:space="0" w:color="auto"/>
                <w:right w:val="none" w:sz="0" w:space="0" w:color="auto"/>
              </w:divBdr>
              <w:divsChild>
                <w:div w:id="12397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5245">
      <w:bodyDiv w:val="1"/>
      <w:marLeft w:val="0"/>
      <w:marRight w:val="0"/>
      <w:marTop w:val="0"/>
      <w:marBottom w:val="0"/>
      <w:divBdr>
        <w:top w:val="none" w:sz="0" w:space="0" w:color="auto"/>
        <w:left w:val="none" w:sz="0" w:space="0" w:color="auto"/>
        <w:bottom w:val="none" w:sz="0" w:space="0" w:color="auto"/>
        <w:right w:val="none" w:sz="0" w:space="0" w:color="auto"/>
      </w:divBdr>
    </w:div>
    <w:div w:id="92867005">
      <w:bodyDiv w:val="1"/>
      <w:marLeft w:val="0"/>
      <w:marRight w:val="0"/>
      <w:marTop w:val="0"/>
      <w:marBottom w:val="0"/>
      <w:divBdr>
        <w:top w:val="none" w:sz="0" w:space="0" w:color="auto"/>
        <w:left w:val="none" w:sz="0" w:space="0" w:color="auto"/>
        <w:bottom w:val="none" w:sz="0" w:space="0" w:color="auto"/>
        <w:right w:val="none" w:sz="0" w:space="0" w:color="auto"/>
      </w:divBdr>
    </w:div>
    <w:div w:id="170460186">
      <w:bodyDiv w:val="1"/>
      <w:marLeft w:val="0"/>
      <w:marRight w:val="0"/>
      <w:marTop w:val="0"/>
      <w:marBottom w:val="0"/>
      <w:divBdr>
        <w:top w:val="none" w:sz="0" w:space="0" w:color="auto"/>
        <w:left w:val="none" w:sz="0" w:space="0" w:color="auto"/>
        <w:bottom w:val="none" w:sz="0" w:space="0" w:color="auto"/>
        <w:right w:val="none" w:sz="0" w:space="0" w:color="auto"/>
      </w:divBdr>
    </w:div>
    <w:div w:id="183324797">
      <w:bodyDiv w:val="1"/>
      <w:marLeft w:val="0"/>
      <w:marRight w:val="0"/>
      <w:marTop w:val="0"/>
      <w:marBottom w:val="0"/>
      <w:divBdr>
        <w:top w:val="none" w:sz="0" w:space="0" w:color="auto"/>
        <w:left w:val="none" w:sz="0" w:space="0" w:color="auto"/>
        <w:bottom w:val="none" w:sz="0" w:space="0" w:color="auto"/>
        <w:right w:val="none" w:sz="0" w:space="0" w:color="auto"/>
      </w:divBdr>
      <w:divsChild>
        <w:div w:id="1017537153">
          <w:marLeft w:val="0"/>
          <w:marRight w:val="0"/>
          <w:marTop w:val="0"/>
          <w:marBottom w:val="0"/>
          <w:divBdr>
            <w:top w:val="none" w:sz="0" w:space="0" w:color="auto"/>
            <w:left w:val="none" w:sz="0" w:space="0" w:color="auto"/>
            <w:bottom w:val="none" w:sz="0" w:space="0" w:color="auto"/>
            <w:right w:val="none" w:sz="0" w:space="0" w:color="auto"/>
          </w:divBdr>
          <w:divsChild>
            <w:div w:id="1104151507">
              <w:marLeft w:val="0"/>
              <w:marRight w:val="0"/>
              <w:marTop w:val="0"/>
              <w:marBottom w:val="0"/>
              <w:divBdr>
                <w:top w:val="none" w:sz="0" w:space="0" w:color="auto"/>
                <w:left w:val="none" w:sz="0" w:space="0" w:color="auto"/>
                <w:bottom w:val="none" w:sz="0" w:space="0" w:color="auto"/>
                <w:right w:val="none" w:sz="0" w:space="0" w:color="auto"/>
              </w:divBdr>
              <w:divsChild>
                <w:div w:id="15487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3834">
      <w:bodyDiv w:val="1"/>
      <w:marLeft w:val="0"/>
      <w:marRight w:val="0"/>
      <w:marTop w:val="0"/>
      <w:marBottom w:val="0"/>
      <w:divBdr>
        <w:top w:val="none" w:sz="0" w:space="0" w:color="auto"/>
        <w:left w:val="none" w:sz="0" w:space="0" w:color="auto"/>
        <w:bottom w:val="none" w:sz="0" w:space="0" w:color="auto"/>
        <w:right w:val="none" w:sz="0" w:space="0" w:color="auto"/>
      </w:divBdr>
    </w:div>
    <w:div w:id="253057248">
      <w:bodyDiv w:val="1"/>
      <w:marLeft w:val="0"/>
      <w:marRight w:val="0"/>
      <w:marTop w:val="0"/>
      <w:marBottom w:val="0"/>
      <w:divBdr>
        <w:top w:val="none" w:sz="0" w:space="0" w:color="auto"/>
        <w:left w:val="none" w:sz="0" w:space="0" w:color="auto"/>
        <w:bottom w:val="none" w:sz="0" w:space="0" w:color="auto"/>
        <w:right w:val="none" w:sz="0" w:space="0" w:color="auto"/>
      </w:divBdr>
      <w:divsChild>
        <w:div w:id="851728407">
          <w:marLeft w:val="0"/>
          <w:marRight w:val="0"/>
          <w:marTop w:val="0"/>
          <w:marBottom w:val="0"/>
          <w:divBdr>
            <w:top w:val="none" w:sz="0" w:space="0" w:color="auto"/>
            <w:left w:val="none" w:sz="0" w:space="0" w:color="auto"/>
            <w:bottom w:val="none" w:sz="0" w:space="0" w:color="auto"/>
            <w:right w:val="none" w:sz="0" w:space="0" w:color="auto"/>
          </w:divBdr>
          <w:divsChild>
            <w:div w:id="1006832725">
              <w:marLeft w:val="0"/>
              <w:marRight w:val="0"/>
              <w:marTop w:val="0"/>
              <w:marBottom w:val="0"/>
              <w:divBdr>
                <w:top w:val="none" w:sz="0" w:space="0" w:color="auto"/>
                <w:left w:val="none" w:sz="0" w:space="0" w:color="auto"/>
                <w:bottom w:val="none" w:sz="0" w:space="0" w:color="auto"/>
                <w:right w:val="none" w:sz="0" w:space="0" w:color="auto"/>
              </w:divBdr>
              <w:divsChild>
                <w:div w:id="12534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80795">
      <w:bodyDiv w:val="1"/>
      <w:marLeft w:val="0"/>
      <w:marRight w:val="0"/>
      <w:marTop w:val="0"/>
      <w:marBottom w:val="0"/>
      <w:divBdr>
        <w:top w:val="none" w:sz="0" w:space="0" w:color="auto"/>
        <w:left w:val="none" w:sz="0" w:space="0" w:color="auto"/>
        <w:bottom w:val="none" w:sz="0" w:space="0" w:color="auto"/>
        <w:right w:val="none" w:sz="0" w:space="0" w:color="auto"/>
      </w:divBdr>
      <w:divsChild>
        <w:div w:id="128058202">
          <w:marLeft w:val="0"/>
          <w:marRight w:val="0"/>
          <w:marTop w:val="0"/>
          <w:marBottom w:val="0"/>
          <w:divBdr>
            <w:top w:val="none" w:sz="0" w:space="0" w:color="auto"/>
            <w:left w:val="none" w:sz="0" w:space="0" w:color="auto"/>
            <w:bottom w:val="none" w:sz="0" w:space="0" w:color="auto"/>
            <w:right w:val="none" w:sz="0" w:space="0" w:color="auto"/>
          </w:divBdr>
          <w:divsChild>
            <w:div w:id="2102290926">
              <w:marLeft w:val="0"/>
              <w:marRight w:val="0"/>
              <w:marTop w:val="0"/>
              <w:marBottom w:val="0"/>
              <w:divBdr>
                <w:top w:val="none" w:sz="0" w:space="0" w:color="auto"/>
                <w:left w:val="none" w:sz="0" w:space="0" w:color="auto"/>
                <w:bottom w:val="none" w:sz="0" w:space="0" w:color="auto"/>
                <w:right w:val="none" w:sz="0" w:space="0" w:color="auto"/>
              </w:divBdr>
              <w:divsChild>
                <w:div w:id="126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2741">
      <w:bodyDiv w:val="1"/>
      <w:marLeft w:val="0"/>
      <w:marRight w:val="0"/>
      <w:marTop w:val="0"/>
      <w:marBottom w:val="0"/>
      <w:divBdr>
        <w:top w:val="none" w:sz="0" w:space="0" w:color="auto"/>
        <w:left w:val="none" w:sz="0" w:space="0" w:color="auto"/>
        <w:bottom w:val="none" w:sz="0" w:space="0" w:color="auto"/>
        <w:right w:val="none" w:sz="0" w:space="0" w:color="auto"/>
      </w:divBdr>
    </w:div>
    <w:div w:id="439186650">
      <w:bodyDiv w:val="1"/>
      <w:marLeft w:val="0"/>
      <w:marRight w:val="0"/>
      <w:marTop w:val="0"/>
      <w:marBottom w:val="0"/>
      <w:divBdr>
        <w:top w:val="none" w:sz="0" w:space="0" w:color="auto"/>
        <w:left w:val="none" w:sz="0" w:space="0" w:color="auto"/>
        <w:bottom w:val="none" w:sz="0" w:space="0" w:color="auto"/>
        <w:right w:val="none" w:sz="0" w:space="0" w:color="auto"/>
      </w:divBdr>
    </w:div>
    <w:div w:id="499273102">
      <w:bodyDiv w:val="1"/>
      <w:marLeft w:val="0"/>
      <w:marRight w:val="0"/>
      <w:marTop w:val="0"/>
      <w:marBottom w:val="0"/>
      <w:divBdr>
        <w:top w:val="none" w:sz="0" w:space="0" w:color="auto"/>
        <w:left w:val="none" w:sz="0" w:space="0" w:color="auto"/>
        <w:bottom w:val="none" w:sz="0" w:space="0" w:color="auto"/>
        <w:right w:val="none" w:sz="0" w:space="0" w:color="auto"/>
      </w:divBdr>
    </w:div>
    <w:div w:id="539829397">
      <w:bodyDiv w:val="1"/>
      <w:marLeft w:val="0"/>
      <w:marRight w:val="0"/>
      <w:marTop w:val="0"/>
      <w:marBottom w:val="0"/>
      <w:divBdr>
        <w:top w:val="none" w:sz="0" w:space="0" w:color="auto"/>
        <w:left w:val="none" w:sz="0" w:space="0" w:color="auto"/>
        <w:bottom w:val="none" w:sz="0" w:space="0" w:color="auto"/>
        <w:right w:val="none" w:sz="0" w:space="0" w:color="auto"/>
      </w:divBdr>
    </w:div>
    <w:div w:id="622227924">
      <w:bodyDiv w:val="1"/>
      <w:marLeft w:val="0"/>
      <w:marRight w:val="0"/>
      <w:marTop w:val="0"/>
      <w:marBottom w:val="0"/>
      <w:divBdr>
        <w:top w:val="none" w:sz="0" w:space="0" w:color="auto"/>
        <w:left w:val="none" w:sz="0" w:space="0" w:color="auto"/>
        <w:bottom w:val="none" w:sz="0" w:space="0" w:color="auto"/>
        <w:right w:val="none" w:sz="0" w:space="0" w:color="auto"/>
      </w:divBdr>
      <w:divsChild>
        <w:div w:id="747574167">
          <w:marLeft w:val="0"/>
          <w:marRight w:val="0"/>
          <w:marTop w:val="0"/>
          <w:marBottom w:val="0"/>
          <w:divBdr>
            <w:top w:val="none" w:sz="0" w:space="0" w:color="auto"/>
            <w:left w:val="none" w:sz="0" w:space="0" w:color="auto"/>
            <w:bottom w:val="none" w:sz="0" w:space="0" w:color="auto"/>
            <w:right w:val="none" w:sz="0" w:space="0" w:color="auto"/>
          </w:divBdr>
          <w:divsChild>
            <w:div w:id="1466042346">
              <w:marLeft w:val="0"/>
              <w:marRight w:val="0"/>
              <w:marTop w:val="0"/>
              <w:marBottom w:val="0"/>
              <w:divBdr>
                <w:top w:val="none" w:sz="0" w:space="0" w:color="auto"/>
                <w:left w:val="none" w:sz="0" w:space="0" w:color="auto"/>
                <w:bottom w:val="none" w:sz="0" w:space="0" w:color="auto"/>
                <w:right w:val="none" w:sz="0" w:space="0" w:color="auto"/>
              </w:divBdr>
              <w:divsChild>
                <w:div w:id="6692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8766">
      <w:bodyDiv w:val="1"/>
      <w:marLeft w:val="0"/>
      <w:marRight w:val="0"/>
      <w:marTop w:val="0"/>
      <w:marBottom w:val="0"/>
      <w:divBdr>
        <w:top w:val="none" w:sz="0" w:space="0" w:color="auto"/>
        <w:left w:val="none" w:sz="0" w:space="0" w:color="auto"/>
        <w:bottom w:val="none" w:sz="0" w:space="0" w:color="auto"/>
        <w:right w:val="none" w:sz="0" w:space="0" w:color="auto"/>
      </w:divBdr>
    </w:div>
    <w:div w:id="757139784">
      <w:bodyDiv w:val="1"/>
      <w:marLeft w:val="0"/>
      <w:marRight w:val="0"/>
      <w:marTop w:val="0"/>
      <w:marBottom w:val="0"/>
      <w:divBdr>
        <w:top w:val="none" w:sz="0" w:space="0" w:color="auto"/>
        <w:left w:val="none" w:sz="0" w:space="0" w:color="auto"/>
        <w:bottom w:val="none" w:sz="0" w:space="0" w:color="auto"/>
        <w:right w:val="none" w:sz="0" w:space="0" w:color="auto"/>
      </w:divBdr>
    </w:div>
    <w:div w:id="758017755">
      <w:bodyDiv w:val="1"/>
      <w:marLeft w:val="0"/>
      <w:marRight w:val="0"/>
      <w:marTop w:val="0"/>
      <w:marBottom w:val="0"/>
      <w:divBdr>
        <w:top w:val="none" w:sz="0" w:space="0" w:color="auto"/>
        <w:left w:val="none" w:sz="0" w:space="0" w:color="auto"/>
        <w:bottom w:val="none" w:sz="0" w:space="0" w:color="auto"/>
        <w:right w:val="none" w:sz="0" w:space="0" w:color="auto"/>
      </w:divBdr>
    </w:div>
    <w:div w:id="825169328">
      <w:bodyDiv w:val="1"/>
      <w:marLeft w:val="0"/>
      <w:marRight w:val="0"/>
      <w:marTop w:val="0"/>
      <w:marBottom w:val="0"/>
      <w:divBdr>
        <w:top w:val="none" w:sz="0" w:space="0" w:color="auto"/>
        <w:left w:val="none" w:sz="0" w:space="0" w:color="auto"/>
        <w:bottom w:val="none" w:sz="0" w:space="0" w:color="auto"/>
        <w:right w:val="none" w:sz="0" w:space="0" w:color="auto"/>
      </w:divBdr>
    </w:div>
    <w:div w:id="846867917">
      <w:bodyDiv w:val="1"/>
      <w:marLeft w:val="0"/>
      <w:marRight w:val="0"/>
      <w:marTop w:val="0"/>
      <w:marBottom w:val="0"/>
      <w:divBdr>
        <w:top w:val="none" w:sz="0" w:space="0" w:color="auto"/>
        <w:left w:val="none" w:sz="0" w:space="0" w:color="auto"/>
        <w:bottom w:val="none" w:sz="0" w:space="0" w:color="auto"/>
        <w:right w:val="none" w:sz="0" w:space="0" w:color="auto"/>
      </w:divBdr>
    </w:div>
    <w:div w:id="890073260">
      <w:bodyDiv w:val="1"/>
      <w:marLeft w:val="0"/>
      <w:marRight w:val="0"/>
      <w:marTop w:val="0"/>
      <w:marBottom w:val="0"/>
      <w:divBdr>
        <w:top w:val="none" w:sz="0" w:space="0" w:color="auto"/>
        <w:left w:val="none" w:sz="0" w:space="0" w:color="auto"/>
        <w:bottom w:val="none" w:sz="0" w:space="0" w:color="auto"/>
        <w:right w:val="none" w:sz="0" w:space="0" w:color="auto"/>
      </w:divBdr>
    </w:div>
    <w:div w:id="896938616">
      <w:bodyDiv w:val="1"/>
      <w:marLeft w:val="0"/>
      <w:marRight w:val="0"/>
      <w:marTop w:val="0"/>
      <w:marBottom w:val="0"/>
      <w:divBdr>
        <w:top w:val="none" w:sz="0" w:space="0" w:color="auto"/>
        <w:left w:val="none" w:sz="0" w:space="0" w:color="auto"/>
        <w:bottom w:val="none" w:sz="0" w:space="0" w:color="auto"/>
        <w:right w:val="none" w:sz="0" w:space="0" w:color="auto"/>
      </w:divBdr>
    </w:div>
    <w:div w:id="908614951">
      <w:bodyDiv w:val="1"/>
      <w:marLeft w:val="0"/>
      <w:marRight w:val="0"/>
      <w:marTop w:val="0"/>
      <w:marBottom w:val="0"/>
      <w:divBdr>
        <w:top w:val="none" w:sz="0" w:space="0" w:color="auto"/>
        <w:left w:val="none" w:sz="0" w:space="0" w:color="auto"/>
        <w:bottom w:val="none" w:sz="0" w:space="0" w:color="auto"/>
        <w:right w:val="none" w:sz="0" w:space="0" w:color="auto"/>
      </w:divBdr>
    </w:div>
    <w:div w:id="936792491">
      <w:bodyDiv w:val="1"/>
      <w:marLeft w:val="0"/>
      <w:marRight w:val="0"/>
      <w:marTop w:val="0"/>
      <w:marBottom w:val="0"/>
      <w:divBdr>
        <w:top w:val="none" w:sz="0" w:space="0" w:color="auto"/>
        <w:left w:val="none" w:sz="0" w:space="0" w:color="auto"/>
        <w:bottom w:val="none" w:sz="0" w:space="0" w:color="auto"/>
        <w:right w:val="none" w:sz="0" w:space="0" w:color="auto"/>
      </w:divBdr>
    </w:div>
    <w:div w:id="957638912">
      <w:bodyDiv w:val="1"/>
      <w:marLeft w:val="0"/>
      <w:marRight w:val="0"/>
      <w:marTop w:val="0"/>
      <w:marBottom w:val="0"/>
      <w:divBdr>
        <w:top w:val="none" w:sz="0" w:space="0" w:color="auto"/>
        <w:left w:val="none" w:sz="0" w:space="0" w:color="auto"/>
        <w:bottom w:val="none" w:sz="0" w:space="0" w:color="auto"/>
        <w:right w:val="none" w:sz="0" w:space="0" w:color="auto"/>
      </w:divBdr>
    </w:div>
    <w:div w:id="1046485391">
      <w:bodyDiv w:val="1"/>
      <w:marLeft w:val="0"/>
      <w:marRight w:val="0"/>
      <w:marTop w:val="0"/>
      <w:marBottom w:val="0"/>
      <w:divBdr>
        <w:top w:val="none" w:sz="0" w:space="0" w:color="auto"/>
        <w:left w:val="none" w:sz="0" w:space="0" w:color="auto"/>
        <w:bottom w:val="none" w:sz="0" w:space="0" w:color="auto"/>
        <w:right w:val="none" w:sz="0" w:space="0" w:color="auto"/>
      </w:divBdr>
    </w:div>
    <w:div w:id="1099905448">
      <w:bodyDiv w:val="1"/>
      <w:marLeft w:val="0"/>
      <w:marRight w:val="0"/>
      <w:marTop w:val="0"/>
      <w:marBottom w:val="0"/>
      <w:divBdr>
        <w:top w:val="none" w:sz="0" w:space="0" w:color="auto"/>
        <w:left w:val="none" w:sz="0" w:space="0" w:color="auto"/>
        <w:bottom w:val="none" w:sz="0" w:space="0" w:color="auto"/>
        <w:right w:val="none" w:sz="0" w:space="0" w:color="auto"/>
      </w:divBdr>
    </w:div>
    <w:div w:id="1105345826">
      <w:bodyDiv w:val="1"/>
      <w:marLeft w:val="0"/>
      <w:marRight w:val="0"/>
      <w:marTop w:val="0"/>
      <w:marBottom w:val="0"/>
      <w:divBdr>
        <w:top w:val="none" w:sz="0" w:space="0" w:color="auto"/>
        <w:left w:val="none" w:sz="0" w:space="0" w:color="auto"/>
        <w:bottom w:val="none" w:sz="0" w:space="0" w:color="auto"/>
        <w:right w:val="none" w:sz="0" w:space="0" w:color="auto"/>
      </w:divBdr>
      <w:divsChild>
        <w:div w:id="1608466969">
          <w:marLeft w:val="0"/>
          <w:marRight w:val="0"/>
          <w:marTop w:val="0"/>
          <w:marBottom w:val="0"/>
          <w:divBdr>
            <w:top w:val="none" w:sz="0" w:space="0" w:color="auto"/>
            <w:left w:val="none" w:sz="0" w:space="0" w:color="auto"/>
            <w:bottom w:val="none" w:sz="0" w:space="0" w:color="auto"/>
            <w:right w:val="none" w:sz="0" w:space="0" w:color="auto"/>
          </w:divBdr>
          <w:divsChild>
            <w:div w:id="203948715">
              <w:marLeft w:val="0"/>
              <w:marRight w:val="0"/>
              <w:marTop w:val="0"/>
              <w:marBottom w:val="0"/>
              <w:divBdr>
                <w:top w:val="none" w:sz="0" w:space="0" w:color="auto"/>
                <w:left w:val="none" w:sz="0" w:space="0" w:color="auto"/>
                <w:bottom w:val="none" w:sz="0" w:space="0" w:color="auto"/>
                <w:right w:val="none" w:sz="0" w:space="0" w:color="auto"/>
              </w:divBdr>
              <w:divsChild>
                <w:div w:id="13400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4490">
      <w:bodyDiv w:val="1"/>
      <w:marLeft w:val="0"/>
      <w:marRight w:val="0"/>
      <w:marTop w:val="0"/>
      <w:marBottom w:val="0"/>
      <w:divBdr>
        <w:top w:val="none" w:sz="0" w:space="0" w:color="auto"/>
        <w:left w:val="none" w:sz="0" w:space="0" w:color="auto"/>
        <w:bottom w:val="none" w:sz="0" w:space="0" w:color="auto"/>
        <w:right w:val="none" w:sz="0" w:space="0" w:color="auto"/>
      </w:divBdr>
      <w:divsChild>
        <w:div w:id="1202130983">
          <w:marLeft w:val="0"/>
          <w:marRight w:val="0"/>
          <w:marTop w:val="0"/>
          <w:marBottom w:val="0"/>
          <w:divBdr>
            <w:top w:val="none" w:sz="0" w:space="0" w:color="auto"/>
            <w:left w:val="none" w:sz="0" w:space="0" w:color="auto"/>
            <w:bottom w:val="none" w:sz="0" w:space="0" w:color="auto"/>
            <w:right w:val="none" w:sz="0" w:space="0" w:color="auto"/>
          </w:divBdr>
          <w:divsChild>
            <w:div w:id="2091274361">
              <w:marLeft w:val="0"/>
              <w:marRight w:val="0"/>
              <w:marTop w:val="0"/>
              <w:marBottom w:val="0"/>
              <w:divBdr>
                <w:top w:val="none" w:sz="0" w:space="0" w:color="auto"/>
                <w:left w:val="none" w:sz="0" w:space="0" w:color="auto"/>
                <w:bottom w:val="none" w:sz="0" w:space="0" w:color="auto"/>
                <w:right w:val="none" w:sz="0" w:space="0" w:color="auto"/>
              </w:divBdr>
              <w:divsChild>
                <w:div w:id="11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4750">
      <w:bodyDiv w:val="1"/>
      <w:marLeft w:val="0"/>
      <w:marRight w:val="0"/>
      <w:marTop w:val="0"/>
      <w:marBottom w:val="0"/>
      <w:divBdr>
        <w:top w:val="none" w:sz="0" w:space="0" w:color="auto"/>
        <w:left w:val="none" w:sz="0" w:space="0" w:color="auto"/>
        <w:bottom w:val="none" w:sz="0" w:space="0" w:color="auto"/>
        <w:right w:val="none" w:sz="0" w:space="0" w:color="auto"/>
      </w:divBdr>
      <w:divsChild>
        <w:div w:id="1832912545">
          <w:marLeft w:val="0"/>
          <w:marRight w:val="0"/>
          <w:marTop w:val="0"/>
          <w:marBottom w:val="0"/>
          <w:divBdr>
            <w:top w:val="none" w:sz="0" w:space="0" w:color="auto"/>
            <w:left w:val="none" w:sz="0" w:space="0" w:color="auto"/>
            <w:bottom w:val="none" w:sz="0" w:space="0" w:color="auto"/>
            <w:right w:val="none" w:sz="0" w:space="0" w:color="auto"/>
          </w:divBdr>
          <w:divsChild>
            <w:div w:id="1065760808">
              <w:marLeft w:val="0"/>
              <w:marRight w:val="0"/>
              <w:marTop w:val="0"/>
              <w:marBottom w:val="0"/>
              <w:divBdr>
                <w:top w:val="none" w:sz="0" w:space="0" w:color="auto"/>
                <w:left w:val="none" w:sz="0" w:space="0" w:color="auto"/>
                <w:bottom w:val="none" w:sz="0" w:space="0" w:color="auto"/>
                <w:right w:val="none" w:sz="0" w:space="0" w:color="auto"/>
              </w:divBdr>
              <w:divsChild>
                <w:div w:id="13973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68073">
      <w:bodyDiv w:val="1"/>
      <w:marLeft w:val="0"/>
      <w:marRight w:val="0"/>
      <w:marTop w:val="0"/>
      <w:marBottom w:val="0"/>
      <w:divBdr>
        <w:top w:val="none" w:sz="0" w:space="0" w:color="auto"/>
        <w:left w:val="none" w:sz="0" w:space="0" w:color="auto"/>
        <w:bottom w:val="none" w:sz="0" w:space="0" w:color="auto"/>
        <w:right w:val="none" w:sz="0" w:space="0" w:color="auto"/>
      </w:divBdr>
    </w:div>
    <w:div w:id="1345550884">
      <w:bodyDiv w:val="1"/>
      <w:marLeft w:val="0"/>
      <w:marRight w:val="0"/>
      <w:marTop w:val="0"/>
      <w:marBottom w:val="0"/>
      <w:divBdr>
        <w:top w:val="none" w:sz="0" w:space="0" w:color="auto"/>
        <w:left w:val="none" w:sz="0" w:space="0" w:color="auto"/>
        <w:bottom w:val="none" w:sz="0" w:space="0" w:color="auto"/>
        <w:right w:val="none" w:sz="0" w:space="0" w:color="auto"/>
      </w:divBdr>
    </w:div>
    <w:div w:id="1398748509">
      <w:bodyDiv w:val="1"/>
      <w:marLeft w:val="0"/>
      <w:marRight w:val="0"/>
      <w:marTop w:val="0"/>
      <w:marBottom w:val="0"/>
      <w:divBdr>
        <w:top w:val="none" w:sz="0" w:space="0" w:color="auto"/>
        <w:left w:val="none" w:sz="0" w:space="0" w:color="auto"/>
        <w:bottom w:val="none" w:sz="0" w:space="0" w:color="auto"/>
        <w:right w:val="none" w:sz="0" w:space="0" w:color="auto"/>
      </w:divBdr>
    </w:div>
    <w:div w:id="1461193240">
      <w:bodyDiv w:val="1"/>
      <w:marLeft w:val="0"/>
      <w:marRight w:val="0"/>
      <w:marTop w:val="0"/>
      <w:marBottom w:val="0"/>
      <w:divBdr>
        <w:top w:val="none" w:sz="0" w:space="0" w:color="auto"/>
        <w:left w:val="none" w:sz="0" w:space="0" w:color="auto"/>
        <w:bottom w:val="none" w:sz="0" w:space="0" w:color="auto"/>
        <w:right w:val="none" w:sz="0" w:space="0" w:color="auto"/>
      </w:divBdr>
    </w:div>
    <w:div w:id="1473593158">
      <w:bodyDiv w:val="1"/>
      <w:marLeft w:val="0"/>
      <w:marRight w:val="0"/>
      <w:marTop w:val="0"/>
      <w:marBottom w:val="0"/>
      <w:divBdr>
        <w:top w:val="none" w:sz="0" w:space="0" w:color="auto"/>
        <w:left w:val="none" w:sz="0" w:space="0" w:color="auto"/>
        <w:bottom w:val="none" w:sz="0" w:space="0" w:color="auto"/>
        <w:right w:val="none" w:sz="0" w:space="0" w:color="auto"/>
      </w:divBdr>
      <w:divsChild>
        <w:div w:id="1652900524">
          <w:marLeft w:val="0"/>
          <w:marRight w:val="0"/>
          <w:marTop w:val="0"/>
          <w:marBottom w:val="0"/>
          <w:divBdr>
            <w:top w:val="none" w:sz="0" w:space="0" w:color="auto"/>
            <w:left w:val="none" w:sz="0" w:space="0" w:color="auto"/>
            <w:bottom w:val="none" w:sz="0" w:space="0" w:color="auto"/>
            <w:right w:val="none" w:sz="0" w:space="0" w:color="auto"/>
          </w:divBdr>
          <w:divsChild>
            <w:div w:id="2108958729">
              <w:marLeft w:val="0"/>
              <w:marRight w:val="0"/>
              <w:marTop w:val="0"/>
              <w:marBottom w:val="0"/>
              <w:divBdr>
                <w:top w:val="none" w:sz="0" w:space="0" w:color="auto"/>
                <w:left w:val="none" w:sz="0" w:space="0" w:color="auto"/>
                <w:bottom w:val="none" w:sz="0" w:space="0" w:color="auto"/>
                <w:right w:val="none" w:sz="0" w:space="0" w:color="auto"/>
              </w:divBdr>
              <w:divsChild>
                <w:div w:id="882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5859">
      <w:bodyDiv w:val="1"/>
      <w:marLeft w:val="0"/>
      <w:marRight w:val="0"/>
      <w:marTop w:val="0"/>
      <w:marBottom w:val="0"/>
      <w:divBdr>
        <w:top w:val="none" w:sz="0" w:space="0" w:color="auto"/>
        <w:left w:val="none" w:sz="0" w:space="0" w:color="auto"/>
        <w:bottom w:val="none" w:sz="0" w:space="0" w:color="auto"/>
        <w:right w:val="none" w:sz="0" w:space="0" w:color="auto"/>
      </w:divBdr>
    </w:div>
    <w:div w:id="1531802589">
      <w:bodyDiv w:val="1"/>
      <w:marLeft w:val="0"/>
      <w:marRight w:val="0"/>
      <w:marTop w:val="0"/>
      <w:marBottom w:val="0"/>
      <w:divBdr>
        <w:top w:val="none" w:sz="0" w:space="0" w:color="auto"/>
        <w:left w:val="none" w:sz="0" w:space="0" w:color="auto"/>
        <w:bottom w:val="none" w:sz="0" w:space="0" w:color="auto"/>
        <w:right w:val="none" w:sz="0" w:space="0" w:color="auto"/>
      </w:divBdr>
    </w:div>
    <w:div w:id="1542785472">
      <w:bodyDiv w:val="1"/>
      <w:marLeft w:val="0"/>
      <w:marRight w:val="0"/>
      <w:marTop w:val="0"/>
      <w:marBottom w:val="0"/>
      <w:divBdr>
        <w:top w:val="none" w:sz="0" w:space="0" w:color="auto"/>
        <w:left w:val="none" w:sz="0" w:space="0" w:color="auto"/>
        <w:bottom w:val="none" w:sz="0" w:space="0" w:color="auto"/>
        <w:right w:val="none" w:sz="0" w:space="0" w:color="auto"/>
      </w:divBdr>
      <w:divsChild>
        <w:div w:id="916524689">
          <w:marLeft w:val="0"/>
          <w:marRight w:val="0"/>
          <w:marTop w:val="0"/>
          <w:marBottom w:val="0"/>
          <w:divBdr>
            <w:top w:val="none" w:sz="0" w:space="0" w:color="auto"/>
            <w:left w:val="none" w:sz="0" w:space="0" w:color="auto"/>
            <w:bottom w:val="none" w:sz="0" w:space="0" w:color="auto"/>
            <w:right w:val="none" w:sz="0" w:space="0" w:color="auto"/>
          </w:divBdr>
          <w:divsChild>
            <w:div w:id="2123642748">
              <w:marLeft w:val="0"/>
              <w:marRight w:val="0"/>
              <w:marTop w:val="0"/>
              <w:marBottom w:val="0"/>
              <w:divBdr>
                <w:top w:val="none" w:sz="0" w:space="0" w:color="auto"/>
                <w:left w:val="none" w:sz="0" w:space="0" w:color="auto"/>
                <w:bottom w:val="none" w:sz="0" w:space="0" w:color="auto"/>
                <w:right w:val="none" w:sz="0" w:space="0" w:color="auto"/>
              </w:divBdr>
              <w:divsChild>
                <w:div w:id="19208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4931">
      <w:bodyDiv w:val="1"/>
      <w:marLeft w:val="0"/>
      <w:marRight w:val="0"/>
      <w:marTop w:val="0"/>
      <w:marBottom w:val="0"/>
      <w:divBdr>
        <w:top w:val="none" w:sz="0" w:space="0" w:color="auto"/>
        <w:left w:val="none" w:sz="0" w:space="0" w:color="auto"/>
        <w:bottom w:val="none" w:sz="0" w:space="0" w:color="auto"/>
        <w:right w:val="none" w:sz="0" w:space="0" w:color="auto"/>
      </w:divBdr>
    </w:div>
    <w:div w:id="1647777661">
      <w:bodyDiv w:val="1"/>
      <w:marLeft w:val="0"/>
      <w:marRight w:val="0"/>
      <w:marTop w:val="0"/>
      <w:marBottom w:val="0"/>
      <w:divBdr>
        <w:top w:val="none" w:sz="0" w:space="0" w:color="auto"/>
        <w:left w:val="none" w:sz="0" w:space="0" w:color="auto"/>
        <w:bottom w:val="none" w:sz="0" w:space="0" w:color="auto"/>
        <w:right w:val="none" w:sz="0" w:space="0" w:color="auto"/>
      </w:divBdr>
      <w:divsChild>
        <w:div w:id="1353994535">
          <w:marLeft w:val="0"/>
          <w:marRight w:val="0"/>
          <w:marTop w:val="0"/>
          <w:marBottom w:val="0"/>
          <w:divBdr>
            <w:top w:val="none" w:sz="0" w:space="0" w:color="auto"/>
            <w:left w:val="none" w:sz="0" w:space="0" w:color="auto"/>
            <w:bottom w:val="none" w:sz="0" w:space="0" w:color="auto"/>
            <w:right w:val="none" w:sz="0" w:space="0" w:color="auto"/>
          </w:divBdr>
          <w:divsChild>
            <w:div w:id="1145241855">
              <w:marLeft w:val="0"/>
              <w:marRight w:val="0"/>
              <w:marTop w:val="0"/>
              <w:marBottom w:val="0"/>
              <w:divBdr>
                <w:top w:val="none" w:sz="0" w:space="0" w:color="auto"/>
                <w:left w:val="none" w:sz="0" w:space="0" w:color="auto"/>
                <w:bottom w:val="none" w:sz="0" w:space="0" w:color="auto"/>
                <w:right w:val="none" w:sz="0" w:space="0" w:color="auto"/>
              </w:divBdr>
              <w:divsChild>
                <w:div w:id="12992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49923">
      <w:bodyDiv w:val="1"/>
      <w:marLeft w:val="0"/>
      <w:marRight w:val="0"/>
      <w:marTop w:val="0"/>
      <w:marBottom w:val="0"/>
      <w:divBdr>
        <w:top w:val="none" w:sz="0" w:space="0" w:color="auto"/>
        <w:left w:val="none" w:sz="0" w:space="0" w:color="auto"/>
        <w:bottom w:val="none" w:sz="0" w:space="0" w:color="auto"/>
        <w:right w:val="none" w:sz="0" w:space="0" w:color="auto"/>
      </w:divBdr>
      <w:divsChild>
        <w:div w:id="790125704">
          <w:marLeft w:val="0"/>
          <w:marRight w:val="0"/>
          <w:marTop w:val="0"/>
          <w:marBottom w:val="0"/>
          <w:divBdr>
            <w:top w:val="none" w:sz="0" w:space="0" w:color="auto"/>
            <w:left w:val="none" w:sz="0" w:space="0" w:color="auto"/>
            <w:bottom w:val="none" w:sz="0" w:space="0" w:color="auto"/>
            <w:right w:val="none" w:sz="0" w:space="0" w:color="auto"/>
          </w:divBdr>
          <w:divsChild>
            <w:div w:id="1806006752">
              <w:marLeft w:val="0"/>
              <w:marRight w:val="0"/>
              <w:marTop w:val="0"/>
              <w:marBottom w:val="0"/>
              <w:divBdr>
                <w:top w:val="none" w:sz="0" w:space="0" w:color="auto"/>
                <w:left w:val="none" w:sz="0" w:space="0" w:color="auto"/>
                <w:bottom w:val="none" w:sz="0" w:space="0" w:color="auto"/>
                <w:right w:val="none" w:sz="0" w:space="0" w:color="auto"/>
              </w:divBdr>
              <w:divsChild>
                <w:div w:id="1796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6978">
      <w:bodyDiv w:val="1"/>
      <w:marLeft w:val="0"/>
      <w:marRight w:val="0"/>
      <w:marTop w:val="0"/>
      <w:marBottom w:val="0"/>
      <w:divBdr>
        <w:top w:val="none" w:sz="0" w:space="0" w:color="auto"/>
        <w:left w:val="none" w:sz="0" w:space="0" w:color="auto"/>
        <w:bottom w:val="none" w:sz="0" w:space="0" w:color="auto"/>
        <w:right w:val="none" w:sz="0" w:space="0" w:color="auto"/>
      </w:divBdr>
    </w:div>
    <w:div w:id="1774861685">
      <w:bodyDiv w:val="1"/>
      <w:marLeft w:val="0"/>
      <w:marRight w:val="0"/>
      <w:marTop w:val="0"/>
      <w:marBottom w:val="0"/>
      <w:divBdr>
        <w:top w:val="none" w:sz="0" w:space="0" w:color="auto"/>
        <w:left w:val="none" w:sz="0" w:space="0" w:color="auto"/>
        <w:bottom w:val="none" w:sz="0" w:space="0" w:color="auto"/>
        <w:right w:val="none" w:sz="0" w:space="0" w:color="auto"/>
      </w:divBdr>
      <w:divsChild>
        <w:div w:id="497615507">
          <w:marLeft w:val="0"/>
          <w:marRight w:val="0"/>
          <w:marTop w:val="0"/>
          <w:marBottom w:val="0"/>
          <w:divBdr>
            <w:top w:val="none" w:sz="0" w:space="0" w:color="auto"/>
            <w:left w:val="none" w:sz="0" w:space="0" w:color="auto"/>
            <w:bottom w:val="none" w:sz="0" w:space="0" w:color="auto"/>
            <w:right w:val="none" w:sz="0" w:space="0" w:color="auto"/>
          </w:divBdr>
        </w:div>
        <w:div w:id="1484008480">
          <w:marLeft w:val="0"/>
          <w:marRight w:val="0"/>
          <w:marTop w:val="0"/>
          <w:marBottom w:val="0"/>
          <w:divBdr>
            <w:top w:val="none" w:sz="0" w:space="0" w:color="auto"/>
            <w:left w:val="none" w:sz="0" w:space="0" w:color="auto"/>
            <w:bottom w:val="none" w:sz="0" w:space="0" w:color="auto"/>
            <w:right w:val="none" w:sz="0" w:space="0" w:color="auto"/>
          </w:divBdr>
        </w:div>
      </w:divsChild>
    </w:div>
    <w:div w:id="1849447850">
      <w:bodyDiv w:val="1"/>
      <w:marLeft w:val="0"/>
      <w:marRight w:val="0"/>
      <w:marTop w:val="0"/>
      <w:marBottom w:val="0"/>
      <w:divBdr>
        <w:top w:val="none" w:sz="0" w:space="0" w:color="auto"/>
        <w:left w:val="none" w:sz="0" w:space="0" w:color="auto"/>
        <w:bottom w:val="none" w:sz="0" w:space="0" w:color="auto"/>
        <w:right w:val="none" w:sz="0" w:space="0" w:color="auto"/>
      </w:divBdr>
    </w:div>
    <w:div w:id="1888253189">
      <w:bodyDiv w:val="1"/>
      <w:marLeft w:val="0"/>
      <w:marRight w:val="0"/>
      <w:marTop w:val="0"/>
      <w:marBottom w:val="0"/>
      <w:divBdr>
        <w:top w:val="none" w:sz="0" w:space="0" w:color="auto"/>
        <w:left w:val="none" w:sz="0" w:space="0" w:color="auto"/>
        <w:bottom w:val="none" w:sz="0" w:space="0" w:color="auto"/>
        <w:right w:val="none" w:sz="0" w:space="0" w:color="auto"/>
      </w:divBdr>
      <w:divsChild>
        <w:div w:id="2115127641">
          <w:marLeft w:val="0"/>
          <w:marRight w:val="0"/>
          <w:marTop w:val="0"/>
          <w:marBottom w:val="0"/>
          <w:divBdr>
            <w:top w:val="none" w:sz="0" w:space="0" w:color="auto"/>
            <w:left w:val="none" w:sz="0" w:space="0" w:color="auto"/>
            <w:bottom w:val="none" w:sz="0" w:space="0" w:color="auto"/>
            <w:right w:val="none" w:sz="0" w:space="0" w:color="auto"/>
          </w:divBdr>
          <w:divsChild>
            <w:div w:id="468940441">
              <w:marLeft w:val="0"/>
              <w:marRight w:val="0"/>
              <w:marTop w:val="0"/>
              <w:marBottom w:val="0"/>
              <w:divBdr>
                <w:top w:val="none" w:sz="0" w:space="0" w:color="auto"/>
                <w:left w:val="none" w:sz="0" w:space="0" w:color="auto"/>
                <w:bottom w:val="none" w:sz="0" w:space="0" w:color="auto"/>
                <w:right w:val="none" w:sz="0" w:space="0" w:color="auto"/>
              </w:divBdr>
              <w:divsChild>
                <w:div w:id="1301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7848">
      <w:bodyDiv w:val="1"/>
      <w:marLeft w:val="0"/>
      <w:marRight w:val="0"/>
      <w:marTop w:val="0"/>
      <w:marBottom w:val="0"/>
      <w:divBdr>
        <w:top w:val="none" w:sz="0" w:space="0" w:color="auto"/>
        <w:left w:val="none" w:sz="0" w:space="0" w:color="auto"/>
        <w:bottom w:val="none" w:sz="0" w:space="0" w:color="auto"/>
        <w:right w:val="none" w:sz="0" w:space="0" w:color="auto"/>
      </w:divBdr>
    </w:div>
    <w:div w:id="1939557056">
      <w:bodyDiv w:val="1"/>
      <w:marLeft w:val="0"/>
      <w:marRight w:val="0"/>
      <w:marTop w:val="0"/>
      <w:marBottom w:val="0"/>
      <w:divBdr>
        <w:top w:val="none" w:sz="0" w:space="0" w:color="auto"/>
        <w:left w:val="none" w:sz="0" w:space="0" w:color="auto"/>
        <w:bottom w:val="none" w:sz="0" w:space="0" w:color="auto"/>
        <w:right w:val="none" w:sz="0" w:space="0" w:color="auto"/>
      </w:divBdr>
    </w:div>
    <w:div w:id="1941715664">
      <w:bodyDiv w:val="1"/>
      <w:marLeft w:val="0"/>
      <w:marRight w:val="0"/>
      <w:marTop w:val="0"/>
      <w:marBottom w:val="0"/>
      <w:divBdr>
        <w:top w:val="none" w:sz="0" w:space="0" w:color="auto"/>
        <w:left w:val="none" w:sz="0" w:space="0" w:color="auto"/>
        <w:bottom w:val="none" w:sz="0" w:space="0" w:color="auto"/>
        <w:right w:val="none" w:sz="0" w:space="0" w:color="auto"/>
      </w:divBdr>
    </w:div>
    <w:div w:id="2127238250">
      <w:bodyDiv w:val="1"/>
      <w:marLeft w:val="0"/>
      <w:marRight w:val="0"/>
      <w:marTop w:val="0"/>
      <w:marBottom w:val="0"/>
      <w:divBdr>
        <w:top w:val="none" w:sz="0" w:space="0" w:color="auto"/>
        <w:left w:val="none" w:sz="0" w:space="0" w:color="auto"/>
        <w:bottom w:val="none" w:sz="0" w:space="0" w:color="auto"/>
        <w:right w:val="none" w:sz="0" w:space="0" w:color="auto"/>
      </w:divBdr>
      <w:divsChild>
        <w:div w:id="294458466">
          <w:marLeft w:val="0"/>
          <w:marRight w:val="0"/>
          <w:marTop w:val="0"/>
          <w:marBottom w:val="0"/>
          <w:divBdr>
            <w:top w:val="none" w:sz="0" w:space="0" w:color="auto"/>
            <w:left w:val="none" w:sz="0" w:space="0" w:color="auto"/>
            <w:bottom w:val="none" w:sz="0" w:space="0" w:color="auto"/>
            <w:right w:val="none" w:sz="0" w:space="0" w:color="auto"/>
          </w:divBdr>
          <w:divsChild>
            <w:div w:id="115413884">
              <w:marLeft w:val="0"/>
              <w:marRight w:val="0"/>
              <w:marTop w:val="0"/>
              <w:marBottom w:val="0"/>
              <w:divBdr>
                <w:top w:val="none" w:sz="0" w:space="0" w:color="auto"/>
                <w:left w:val="none" w:sz="0" w:space="0" w:color="auto"/>
                <w:bottom w:val="none" w:sz="0" w:space="0" w:color="auto"/>
                <w:right w:val="none" w:sz="0" w:space="0" w:color="auto"/>
              </w:divBdr>
              <w:divsChild>
                <w:div w:id="7286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6745">
      <w:bodyDiv w:val="1"/>
      <w:marLeft w:val="0"/>
      <w:marRight w:val="0"/>
      <w:marTop w:val="0"/>
      <w:marBottom w:val="0"/>
      <w:divBdr>
        <w:top w:val="none" w:sz="0" w:space="0" w:color="auto"/>
        <w:left w:val="none" w:sz="0" w:space="0" w:color="auto"/>
        <w:bottom w:val="none" w:sz="0" w:space="0" w:color="auto"/>
        <w:right w:val="none" w:sz="0" w:space="0" w:color="auto"/>
      </w:divBdr>
      <w:divsChild>
        <w:div w:id="1681009717">
          <w:marLeft w:val="0"/>
          <w:marRight w:val="0"/>
          <w:marTop w:val="0"/>
          <w:marBottom w:val="0"/>
          <w:divBdr>
            <w:top w:val="none" w:sz="0" w:space="0" w:color="auto"/>
            <w:left w:val="none" w:sz="0" w:space="0" w:color="auto"/>
            <w:bottom w:val="none" w:sz="0" w:space="0" w:color="auto"/>
            <w:right w:val="none" w:sz="0" w:space="0" w:color="auto"/>
          </w:divBdr>
          <w:divsChild>
            <w:div w:id="915898189">
              <w:marLeft w:val="0"/>
              <w:marRight w:val="0"/>
              <w:marTop w:val="0"/>
              <w:marBottom w:val="0"/>
              <w:divBdr>
                <w:top w:val="none" w:sz="0" w:space="0" w:color="auto"/>
                <w:left w:val="none" w:sz="0" w:space="0" w:color="auto"/>
                <w:bottom w:val="none" w:sz="0" w:space="0" w:color="auto"/>
                <w:right w:val="none" w:sz="0" w:space="0" w:color="auto"/>
              </w:divBdr>
              <w:divsChild>
                <w:div w:id="7940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4683</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2019-08-09T18:23:00Z</cp:lastPrinted>
  <dcterms:created xsi:type="dcterms:W3CDTF">2019-08-09T19:04:00Z</dcterms:created>
  <dcterms:modified xsi:type="dcterms:W3CDTF">2019-08-09T20:33:00Z</dcterms:modified>
</cp:coreProperties>
</file>