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2731" w14:textId="095A34A2" w:rsidR="00AF5911" w:rsidRDefault="00AF5911" w:rsidP="00443888">
      <w:pPr>
        <w:pStyle w:val="NormalIndent"/>
        <w:spacing w:after="0" w:line="400" w:lineRule="atLeast"/>
        <w:ind w:left="0"/>
        <w:jc w:val="center"/>
        <w:rPr>
          <w:b/>
          <w:sz w:val="36"/>
        </w:rPr>
      </w:pPr>
      <w:r>
        <w:rPr>
          <w:b/>
          <w:sz w:val="36"/>
        </w:rPr>
        <w:t>IN THE SUPREME COURT OF CALIFORNIA</w:t>
      </w:r>
    </w:p>
    <w:p w14:paraId="5887546B" w14:textId="70DA3DB6" w:rsidR="00AF5911" w:rsidRDefault="00AF5911" w:rsidP="00443888">
      <w:pPr>
        <w:pStyle w:val="NormalIndent"/>
        <w:spacing w:after="0" w:line="400" w:lineRule="atLeast"/>
        <w:ind w:left="0"/>
        <w:jc w:val="center"/>
        <w:rPr>
          <w:sz w:val="36"/>
        </w:rPr>
      </w:pPr>
    </w:p>
    <w:p w14:paraId="3A75477A" w14:textId="77777777" w:rsidR="00AF5911" w:rsidRDefault="00AF5911" w:rsidP="00443888">
      <w:pPr>
        <w:pStyle w:val="NormalIndent"/>
        <w:spacing w:after="0" w:line="400" w:lineRule="atLeast"/>
        <w:ind w:left="0"/>
        <w:jc w:val="center"/>
      </w:pPr>
      <w:r>
        <w:t>THE PEOPLE,</w:t>
      </w:r>
    </w:p>
    <w:p w14:paraId="4043F853" w14:textId="75D71FA2" w:rsidR="00AF5911" w:rsidRDefault="00AF5911" w:rsidP="00443888">
      <w:pPr>
        <w:pStyle w:val="NormalIndent"/>
        <w:spacing w:after="0" w:line="400" w:lineRule="atLeast"/>
        <w:ind w:left="0"/>
        <w:jc w:val="center"/>
      </w:pPr>
      <w:r>
        <w:t>Plaintiff and Appellant,</w:t>
      </w:r>
    </w:p>
    <w:p w14:paraId="0A9A5C4D" w14:textId="77777777" w:rsidR="00AF5911" w:rsidRDefault="00AF5911" w:rsidP="00443888">
      <w:pPr>
        <w:pStyle w:val="NormalIndent"/>
        <w:spacing w:after="0" w:line="400" w:lineRule="atLeast"/>
        <w:ind w:left="0"/>
        <w:jc w:val="center"/>
      </w:pPr>
      <w:r>
        <w:t>v.</w:t>
      </w:r>
    </w:p>
    <w:p w14:paraId="5ED3A8C6" w14:textId="2E90DAE8" w:rsidR="00AF5911" w:rsidRDefault="00814ED8" w:rsidP="00443888">
      <w:pPr>
        <w:pStyle w:val="NormalIndent"/>
        <w:spacing w:after="0" w:line="400" w:lineRule="atLeast"/>
        <w:ind w:left="0"/>
        <w:jc w:val="center"/>
      </w:pPr>
      <w:r>
        <w:t>MIGUEL ANGEL JIMENEZ</w:t>
      </w:r>
      <w:r w:rsidR="00AF5911">
        <w:t>,</w:t>
      </w:r>
    </w:p>
    <w:p w14:paraId="78FE939C" w14:textId="0C99C5C7" w:rsidR="00AF5911" w:rsidRDefault="00AF5911" w:rsidP="00443888">
      <w:pPr>
        <w:pStyle w:val="NormalIndent"/>
        <w:spacing w:after="0" w:line="400" w:lineRule="atLeast"/>
        <w:ind w:left="0"/>
        <w:jc w:val="center"/>
      </w:pPr>
      <w:r>
        <w:t>Defendant and Respondent.</w:t>
      </w:r>
    </w:p>
    <w:p w14:paraId="5971C626" w14:textId="77777777" w:rsidR="00AF5911" w:rsidRDefault="00AF5911" w:rsidP="00443888">
      <w:pPr>
        <w:pStyle w:val="NormalIndent"/>
        <w:spacing w:after="0" w:line="400" w:lineRule="atLeast"/>
        <w:ind w:left="0"/>
        <w:jc w:val="center"/>
      </w:pPr>
    </w:p>
    <w:p w14:paraId="7CCB9105" w14:textId="0A05F5F6" w:rsidR="00AF5911" w:rsidRDefault="00AF5911" w:rsidP="00443888">
      <w:pPr>
        <w:pStyle w:val="NormalIndent"/>
        <w:spacing w:after="0" w:line="400" w:lineRule="atLeast"/>
        <w:ind w:left="0"/>
        <w:jc w:val="center"/>
      </w:pPr>
      <w:r>
        <w:t>S</w:t>
      </w:r>
      <w:r w:rsidR="00814ED8">
        <w:t>249397</w:t>
      </w:r>
    </w:p>
    <w:p w14:paraId="28875844" w14:textId="2A9F7FD6" w:rsidR="00AF5911" w:rsidRDefault="00AF5911" w:rsidP="00443888">
      <w:pPr>
        <w:pStyle w:val="NormalIndent"/>
        <w:spacing w:after="0" w:line="400" w:lineRule="atLeast"/>
        <w:ind w:left="0"/>
        <w:jc w:val="center"/>
      </w:pPr>
    </w:p>
    <w:p w14:paraId="43F8043E" w14:textId="2BBEF3C0" w:rsidR="00F0177C" w:rsidRDefault="00814ED8" w:rsidP="00443888">
      <w:pPr>
        <w:pStyle w:val="NormalIndent"/>
        <w:spacing w:after="0" w:line="400" w:lineRule="atLeast"/>
        <w:ind w:left="0"/>
        <w:jc w:val="center"/>
      </w:pPr>
      <w:r>
        <w:t>Second</w:t>
      </w:r>
      <w:r w:rsidR="00F0177C">
        <w:t xml:space="preserve"> Appellate District</w:t>
      </w:r>
      <w:r w:rsidR="002D5CF6">
        <w:t>, Division Six</w:t>
      </w:r>
    </w:p>
    <w:p w14:paraId="0522003C" w14:textId="59DA75B6" w:rsidR="00F0177C" w:rsidRDefault="00814ED8" w:rsidP="00443888">
      <w:pPr>
        <w:pStyle w:val="NormalIndent"/>
        <w:spacing w:after="0" w:line="400" w:lineRule="atLeast"/>
        <w:ind w:left="0"/>
        <w:jc w:val="center"/>
      </w:pPr>
      <w:r w:rsidRPr="00814ED8">
        <w:t>B283858</w:t>
      </w:r>
    </w:p>
    <w:p w14:paraId="7192A403" w14:textId="77777777" w:rsidR="00F0177C" w:rsidRDefault="00F0177C" w:rsidP="00443888">
      <w:pPr>
        <w:pStyle w:val="NormalIndent"/>
        <w:spacing w:after="0" w:line="400" w:lineRule="atLeast"/>
        <w:ind w:left="0"/>
        <w:jc w:val="center"/>
      </w:pPr>
    </w:p>
    <w:p w14:paraId="6B51EE76" w14:textId="3E8C5132" w:rsidR="00AF5911" w:rsidRDefault="00814ED8" w:rsidP="00443888">
      <w:pPr>
        <w:pStyle w:val="NormalIndent"/>
        <w:spacing w:after="0" w:line="400" w:lineRule="atLeast"/>
        <w:ind w:left="0"/>
        <w:jc w:val="center"/>
      </w:pPr>
      <w:r>
        <w:t>Ventura</w:t>
      </w:r>
      <w:r w:rsidR="00AF5911">
        <w:t xml:space="preserve"> County Superior Court</w:t>
      </w:r>
    </w:p>
    <w:p w14:paraId="413602D4" w14:textId="50CB9213" w:rsidR="00AF5911" w:rsidRDefault="00814ED8" w:rsidP="00443888">
      <w:pPr>
        <w:pStyle w:val="NormalIndent"/>
        <w:spacing w:after="0" w:line="400" w:lineRule="atLeast"/>
        <w:ind w:left="0"/>
        <w:jc w:val="center"/>
      </w:pPr>
      <w:r>
        <w:t>2016041618</w:t>
      </w:r>
    </w:p>
    <w:p w14:paraId="2CDE0FE5" w14:textId="02B8B6DD" w:rsidR="00BA03DF" w:rsidRDefault="00BA03DF" w:rsidP="00443888">
      <w:pPr>
        <w:pStyle w:val="NormalIndent"/>
        <w:pBdr>
          <w:bottom w:val="single" w:sz="4" w:space="1" w:color="auto"/>
        </w:pBdr>
        <w:spacing w:after="0" w:line="400" w:lineRule="atLeast"/>
        <w:ind w:left="0"/>
        <w:jc w:val="center"/>
      </w:pPr>
    </w:p>
    <w:p w14:paraId="034BDD55" w14:textId="77777777" w:rsidR="00B52762" w:rsidRDefault="00B52762" w:rsidP="00443888">
      <w:pPr>
        <w:pStyle w:val="NormalIndent"/>
        <w:pBdr>
          <w:bottom w:val="single" w:sz="4" w:space="1" w:color="auto"/>
        </w:pBdr>
        <w:spacing w:after="0" w:line="400" w:lineRule="atLeast"/>
        <w:ind w:left="0"/>
        <w:jc w:val="center"/>
      </w:pPr>
    </w:p>
    <w:p w14:paraId="2976A9B7" w14:textId="77777777" w:rsidR="00AF5911" w:rsidRDefault="00AF5911" w:rsidP="00443888">
      <w:pPr>
        <w:pStyle w:val="NormalIndent"/>
        <w:spacing w:after="0" w:line="400" w:lineRule="atLeast"/>
        <w:ind w:left="0"/>
        <w:jc w:val="center"/>
      </w:pPr>
    </w:p>
    <w:p w14:paraId="4859AC12" w14:textId="471C39B5" w:rsidR="00AF5911" w:rsidRDefault="00DE2B30" w:rsidP="00443888">
      <w:pPr>
        <w:pStyle w:val="NormalIndent"/>
        <w:spacing w:after="0" w:line="400" w:lineRule="atLeast"/>
        <w:ind w:left="0"/>
        <w:jc w:val="center"/>
      </w:pPr>
      <w:r>
        <w:t xml:space="preserve">March 2, </w:t>
      </w:r>
      <w:r w:rsidR="00AF5911">
        <w:t>20</w:t>
      </w:r>
      <w:r w:rsidR="00814ED8">
        <w:t>20</w:t>
      </w:r>
    </w:p>
    <w:p w14:paraId="332AF92B" w14:textId="77777777" w:rsidR="00AF5911" w:rsidRDefault="00AF5911" w:rsidP="00443888">
      <w:pPr>
        <w:pStyle w:val="NormalIndent"/>
        <w:spacing w:after="0" w:line="400" w:lineRule="atLeast"/>
        <w:ind w:left="-90"/>
        <w:jc w:val="center"/>
      </w:pPr>
    </w:p>
    <w:p w14:paraId="12A5BD2B" w14:textId="4DCEB8DB" w:rsidR="00AF5911" w:rsidRDefault="00AF5911" w:rsidP="00443888">
      <w:pPr>
        <w:pStyle w:val="NormalIndent"/>
        <w:spacing w:after="0" w:line="400" w:lineRule="atLeast"/>
        <w:ind w:left="0"/>
        <w:jc w:val="left"/>
      </w:pPr>
      <w:r>
        <w:t xml:space="preserve">Justice </w:t>
      </w:r>
      <w:r w:rsidR="00814ED8" w:rsidRPr="00814ED8">
        <w:t xml:space="preserve">Cuéllar </w:t>
      </w:r>
      <w:r>
        <w:t xml:space="preserve">authored the opinion of the </w:t>
      </w:r>
      <w:r w:rsidR="00A366E7">
        <w:t>C</w:t>
      </w:r>
      <w:r>
        <w:t xml:space="preserve">ourt, in which </w:t>
      </w:r>
      <w:r w:rsidR="00DE2B30">
        <w:t xml:space="preserve">Chief Justice Cantil-Sakauye and Justices Chin, Corrigan, Liu, Kruger, and Groban </w:t>
      </w:r>
      <w:r>
        <w:t>concurred.</w:t>
      </w:r>
    </w:p>
    <w:p w14:paraId="7B56C63A" w14:textId="77777777" w:rsidR="00AF5911" w:rsidRPr="007204F1" w:rsidRDefault="00AF5911" w:rsidP="00443888">
      <w:pPr>
        <w:pStyle w:val="NormalIndent"/>
        <w:pBdr>
          <w:bottom w:val="single" w:sz="4" w:space="1" w:color="auto"/>
        </w:pBdr>
        <w:spacing w:line="400" w:lineRule="atLeast"/>
        <w:ind w:left="0"/>
        <w:jc w:val="left"/>
      </w:pPr>
      <w:bookmarkStart w:id="0" w:name="Return"/>
      <w:bookmarkEnd w:id="0"/>
    </w:p>
    <w:p w14:paraId="3EC2E4E3" w14:textId="77777777" w:rsidR="00AF5911" w:rsidRDefault="00AF5911" w:rsidP="00443888">
      <w:pPr>
        <w:pStyle w:val="NormalIndent"/>
        <w:spacing w:line="400" w:lineRule="atLeast"/>
      </w:pPr>
    </w:p>
    <w:p w14:paraId="470A72D8" w14:textId="76E4B363" w:rsidR="00AF5911" w:rsidRDefault="00AF5911" w:rsidP="00443888">
      <w:pPr>
        <w:pStyle w:val="NormalIndent"/>
        <w:spacing w:line="400" w:lineRule="atLeast"/>
        <w:sectPr w:rsidR="00AF5911" w:rsidSect="00396608">
          <w:headerReference w:type="default" r:id="rId8"/>
          <w:footerReference w:type="even" r:id="rId9"/>
          <w:footerReference w:type="default" r:id="rId10"/>
          <w:footerReference w:type="first" r:id="rId11"/>
          <w:pgSz w:w="12240" w:h="15840"/>
          <w:pgMar w:top="1800" w:right="2160" w:bottom="1440" w:left="2160" w:header="720" w:footer="720" w:gutter="0"/>
          <w:pgNumType w:start="1"/>
          <w:cols w:space="720"/>
          <w:titlePg/>
          <w:docGrid w:linePitch="367"/>
        </w:sectPr>
      </w:pPr>
    </w:p>
    <w:p w14:paraId="40E24618" w14:textId="3F6BECBE" w:rsidR="00AF5911" w:rsidRDefault="00BA03DF" w:rsidP="00443888">
      <w:pPr>
        <w:pStyle w:val="NormalIndent"/>
        <w:spacing w:line="400" w:lineRule="atLeast"/>
        <w:ind w:left="0"/>
        <w:jc w:val="center"/>
      </w:pPr>
      <w:r>
        <w:lastRenderedPageBreak/>
        <w:t xml:space="preserve">PEOPLE v. </w:t>
      </w:r>
      <w:r w:rsidR="00814ED8">
        <w:t>JIMENEZ</w:t>
      </w:r>
    </w:p>
    <w:p w14:paraId="40FF4C33" w14:textId="46BCC2EE" w:rsidR="00BA03DF" w:rsidRDefault="00BA03DF" w:rsidP="00443888">
      <w:pPr>
        <w:pStyle w:val="NormalIndent"/>
        <w:spacing w:line="400" w:lineRule="atLeast"/>
        <w:ind w:left="0"/>
        <w:jc w:val="center"/>
      </w:pPr>
      <w:r>
        <w:t>S</w:t>
      </w:r>
      <w:r w:rsidR="00814ED8">
        <w:t>249397</w:t>
      </w:r>
    </w:p>
    <w:p w14:paraId="43A7D9D0" w14:textId="341AF1C8" w:rsidR="00AF5911" w:rsidRDefault="00AF5911" w:rsidP="00443888">
      <w:pPr>
        <w:pStyle w:val="NormalIndent"/>
        <w:spacing w:line="400" w:lineRule="atLeast"/>
        <w:ind w:left="0"/>
        <w:jc w:val="center"/>
      </w:pPr>
    </w:p>
    <w:p w14:paraId="195BEB43" w14:textId="7D6A64D5" w:rsidR="00AF5911" w:rsidRDefault="00AF5911" w:rsidP="00443888">
      <w:pPr>
        <w:pStyle w:val="NormalIndent"/>
        <w:spacing w:line="400" w:lineRule="atLeast"/>
        <w:ind w:left="0"/>
        <w:jc w:val="center"/>
      </w:pPr>
      <w:r>
        <w:t xml:space="preserve">Opinion of the Court by </w:t>
      </w:r>
      <w:r w:rsidR="00814ED8" w:rsidRPr="00814ED8">
        <w:t>Cuéllar</w:t>
      </w:r>
      <w:r>
        <w:t>, J.</w:t>
      </w:r>
    </w:p>
    <w:p w14:paraId="6130A42C" w14:textId="18561F19" w:rsidR="00AF5911" w:rsidRPr="00AF5911" w:rsidRDefault="00AF5911" w:rsidP="00443888">
      <w:pPr>
        <w:tabs>
          <w:tab w:val="left" w:pos="1440"/>
          <w:tab w:val="left" w:pos="4680"/>
          <w:tab w:val="center" w:pos="7200"/>
        </w:tabs>
        <w:spacing w:line="400" w:lineRule="atLeast"/>
      </w:pPr>
    </w:p>
    <w:p w14:paraId="729985EB" w14:textId="28C310F3" w:rsidR="003372C4" w:rsidRPr="00AF5911" w:rsidRDefault="00814ED8" w:rsidP="00443888">
      <w:pPr>
        <w:spacing w:line="400" w:lineRule="atLeast"/>
        <w:ind w:firstLine="720"/>
      </w:pPr>
      <w:r>
        <w:t xml:space="preserve">Consumers today entrust businesses </w:t>
      </w:r>
      <w:r w:rsidR="008A70C7">
        <w:t xml:space="preserve">with </w:t>
      </w:r>
      <w:r>
        <w:t>more personal data than ever</w:t>
      </w:r>
      <w:r w:rsidR="00DE1AFF">
        <w:t xml:space="preserve"> before</w:t>
      </w:r>
      <w:r>
        <w:t xml:space="preserve">.  Residing on remote servers and secured by protocols of varying strength, that trove of data is increasingly susceptible to breach and misuse.  (See generally </w:t>
      </w:r>
      <w:r w:rsidR="00053339">
        <w:t xml:space="preserve">Douglas, </w:t>
      </w:r>
      <w:r w:rsidR="005B08C7">
        <w:rPr>
          <w:i/>
        </w:rPr>
        <w:t xml:space="preserve">2020 </w:t>
      </w:r>
      <w:r>
        <w:rPr>
          <w:i/>
        </w:rPr>
        <w:t>Identity Theft Statistics</w:t>
      </w:r>
      <w:r>
        <w:t xml:space="preserve"> (</w:t>
      </w:r>
      <w:r w:rsidR="00B91315">
        <w:t>January</w:t>
      </w:r>
      <w:r>
        <w:t xml:space="preserve"> 20</w:t>
      </w:r>
      <w:r w:rsidR="00B91315">
        <w:t>20</w:t>
      </w:r>
      <w:r>
        <w:t xml:space="preserve">) </w:t>
      </w:r>
      <w:r w:rsidR="00053339">
        <w:t>Consumer</w:t>
      </w:r>
      <w:r w:rsidR="00B91315">
        <w:t xml:space="preserve"> </w:t>
      </w:r>
      <w:r w:rsidR="00053339">
        <w:t>Affairs</w:t>
      </w:r>
      <w:r w:rsidR="00B91315">
        <w:t xml:space="preserve"> </w:t>
      </w:r>
      <w:r>
        <w:t>&lt;</w:t>
      </w:r>
      <w:r w:rsidRPr="00F543B7">
        <w:t>https://www.consumeraffairs.com/</w:t>
      </w:r>
      <w:r w:rsidR="00AF2FDD">
        <w:t>‌</w:t>
      </w:r>
      <w:r w:rsidRPr="00F543B7">
        <w:t>finance/identity-theft-statistics.html</w:t>
      </w:r>
      <w:r>
        <w:t xml:space="preserve">&gt; [as of </w:t>
      </w:r>
      <w:r w:rsidR="00DE2B30">
        <w:t>Mar</w:t>
      </w:r>
      <w:r w:rsidR="00294170">
        <w:t xml:space="preserve">. </w:t>
      </w:r>
      <w:r w:rsidR="00DE2B30">
        <w:t>2</w:t>
      </w:r>
      <w:r w:rsidR="002710AF">
        <w:t>, 20</w:t>
      </w:r>
      <w:r w:rsidR="00053339">
        <w:t>20</w:t>
      </w:r>
      <w:r w:rsidR="002710AF">
        <w:t>].)</w:t>
      </w:r>
      <w:r w:rsidR="00DE2B30">
        <w:rPr>
          <w:rStyle w:val="FootnoteReference"/>
        </w:rPr>
        <w:footnoteReference w:id="2"/>
      </w:r>
      <w:r w:rsidR="002710AF">
        <w:t xml:space="preserve">  </w:t>
      </w:r>
      <w:r>
        <w:t>Like many states, California criminalizes not only the nefarious ends enabled by information misuse —</w:t>
      </w:r>
      <w:r w:rsidR="000E1715">
        <w:t xml:space="preserve"> </w:t>
      </w:r>
      <w:r>
        <w:t>credit card fraud</w:t>
      </w:r>
      <w:r w:rsidR="00CB1F30">
        <w:t xml:space="preserve">, for instance, </w:t>
      </w:r>
      <w:r>
        <w:t>and tax fraud — but also the act of using personal identifying information without authorization.  (Pen</w:t>
      </w:r>
      <w:r w:rsidR="00367C38">
        <w:t>.</w:t>
      </w:r>
      <w:r>
        <w:t xml:space="preserve"> Code</w:t>
      </w:r>
      <w:r w:rsidR="008748E5">
        <w:t>,</w:t>
      </w:r>
      <w:r>
        <w:t xml:space="preserve"> § 530.5, subd. (a).)</w:t>
      </w:r>
      <w:r w:rsidR="00570DCA">
        <w:rPr>
          <w:rStyle w:val="FootnoteReference"/>
        </w:rPr>
        <w:footnoteReference w:id="3"/>
      </w:r>
      <w:r w:rsidR="00570DCA">
        <w:t xml:space="preserve"> </w:t>
      </w:r>
      <w:r>
        <w:t xml:space="preserve"> </w:t>
      </w:r>
      <w:r w:rsidR="006372E7">
        <w:t>That</w:t>
      </w:r>
      <w:r>
        <w:t xml:space="preserve"> distinction matters in this case.</w:t>
      </w:r>
    </w:p>
    <w:p w14:paraId="7DD687A3" w14:textId="389DECD4" w:rsidR="00814ED8" w:rsidRDefault="00814ED8" w:rsidP="00443888">
      <w:pPr>
        <w:tabs>
          <w:tab w:val="left" w:pos="1440"/>
        </w:tabs>
        <w:spacing w:line="400" w:lineRule="atLeast"/>
        <w:ind w:firstLine="720"/>
      </w:pPr>
      <w:r>
        <w:t>What we must decide here is whether a felony conviction for misuse of personal identifying information under section 530.5</w:t>
      </w:r>
      <w:r w:rsidR="00570DCA">
        <w:t>, subdivision (a)</w:t>
      </w:r>
      <w:r>
        <w:t xml:space="preserve"> can be reduced to misdemeanor shoplifting under Proposition 47</w:t>
      </w:r>
      <w:r w:rsidR="00205BE5">
        <w:t>, which was approved by voters in the November 4, 2014 General Election</w:t>
      </w:r>
      <w:r>
        <w:t xml:space="preserve">. </w:t>
      </w:r>
      <w:r w:rsidR="002B6E4B">
        <w:t>W</w:t>
      </w:r>
      <w:r>
        <w:t>e hold</w:t>
      </w:r>
      <w:r w:rsidR="002B6E4B">
        <w:t xml:space="preserve"> that</w:t>
      </w:r>
      <w:r>
        <w:t xml:space="preserve"> it cannot.  </w:t>
      </w:r>
      <w:r w:rsidR="00573F65">
        <w:t xml:space="preserve">Proposition 47 </w:t>
      </w:r>
      <w:r w:rsidR="003F1C16">
        <w:t>added section 459</w:t>
      </w:r>
      <w:r w:rsidR="009C7D02">
        <w:t>.</w:t>
      </w:r>
      <w:r w:rsidR="003F1C16">
        <w:t>5 to the Penal Code</w:t>
      </w:r>
      <w:r w:rsidR="009C7D02">
        <w:t>,</w:t>
      </w:r>
      <w:r w:rsidR="003F1C16">
        <w:t xml:space="preserve"> </w:t>
      </w:r>
      <w:r w:rsidR="009C7D02">
        <w:t>which</w:t>
      </w:r>
      <w:r w:rsidR="003F1C16">
        <w:t xml:space="preserve"> </w:t>
      </w:r>
      <w:r w:rsidR="00573F65">
        <w:t>dictate</w:t>
      </w:r>
      <w:r w:rsidR="009C7D02">
        <w:t>s</w:t>
      </w:r>
      <w:r w:rsidR="00573F65">
        <w:t xml:space="preserve"> that an “act of shoplifting . . . shall be charged as shoplifting,” and that “[n]o person who is charged with </w:t>
      </w:r>
      <w:r w:rsidR="00573F65">
        <w:lastRenderedPageBreak/>
        <w:t xml:space="preserve">shoplifting may also be charged with burglary or theft of the same property.”  (§ 459.5, subd. (b).)  </w:t>
      </w:r>
      <w:r w:rsidR="0058209F">
        <w:t>Its</w:t>
      </w:r>
      <w:r w:rsidR="00573F65">
        <w:t xml:space="preserve"> prohibition applies only to “burglary o</w:t>
      </w:r>
      <w:r w:rsidR="00514B9F">
        <w:t>r</w:t>
      </w:r>
      <w:r w:rsidR="00573F65">
        <w:t xml:space="preserve"> theft”</w:t>
      </w:r>
      <w:r w:rsidR="00514B9F">
        <w:t xml:space="preserve"> offenses.</w:t>
      </w:r>
      <w:r w:rsidR="00573F65">
        <w:t xml:space="preserve">  </w:t>
      </w:r>
      <w:r w:rsidR="003F1C16">
        <w:t>(</w:t>
      </w:r>
      <w:r w:rsidR="003F1C16">
        <w:rPr>
          <w:i/>
        </w:rPr>
        <w:t>Ibid</w:t>
      </w:r>
      <w:r w:rsidR="003F1C16">
        <w:t xml:space="preserve">.)  </w:t>
      </w:r>
      <w:r>
        <w:t xml:space="preserve">Although misuse of identifying information is sometimes colloquially described as “identity theft,” </w:t>
      </w:r>
      <w:r w:rsidR="00746C9C">
        <w:t>the language, context, and history of section 530.5</w:t>
      </w:r>
      <w:r w:rsidR="00570DCA">
        <w:t>, subdivision (a)</w:t>
      </w:r>
      <w:r w:rsidR="00746C9C">
        <w:t xml:space="preserve"> tells us no “burglary or theft” offense is committed </w:t>
      </w:r>
      <w:r w:rsidR="00F452B2">
        <w:t xml:space="preserve">by virtue of </w:t>
      </w:r>
      <w:r w:rsidR="00746C9C">
        <w:t>a defendant violat</w:t>
      </w:r>
      <w:r w:rsidR="0019030D">
        <w:t>ing</w:t>
      </w:r>
      <w:r w:rsidR="00746C9C">
        <w:t xml:space="preserve"> that statute.  </w:t>
      </w:r>
    </w:p>
    <w:p w14:paraId="27185001" w14:textId="1D87D2E7" w:rsidR="00237BD8" w:rsidRDefault="00814ED8" w:rsidP="00443888">
      <w:pPr>
        <w:tabs>
          <w:tab w:val="left" w:pos="1440"/>
        </w:tabs>
        <w:spacing w:line="400" w:lineRule="atLeast"/>
        <w:ind w:firstLine="720"/>
      </w:pPr>
      <w:r>
        <w:t xml:space="preserve">Reaching the opposite conclusion, the Court of Appeal </w:t>
      </w:r>
      <w:r w:rsidR="003F1C16">
        <w:t xml:space="preserve">below in </w:t>
      </w:r>
      <w:r w:rsidR="003F1C16">
        <w:rPr>
          <w:i/>
        </w:rPr>
        <w:t>People v. Jimenez</w:t>
      </w:r>
      <w:r w:rsidR="003F1C16">
        <w:t xml:space="preserve"> (2018) 22 Cal.App.5th 1282 </w:t>
      </w:r>
      <w:r w:rsidR="00E4792A">
        <w:t>(</w:t>
      </w:r>
      <w:r w:rsidR="00E4792A">
        <w:rPr>
          <w:i/>
        </w:rPr>
        <w:t>Jimenez</w:t>
      </w:r>
      <w:r w:rsidR="00E4792A">
        <w:t xml:space="preserve">) </w:t>
      </w:r>
      <w:r>
        <w:t xml:space="preserve">relied on the similarity between defendant’s conduct here — cashing a false check — and the conduct of the defendant in </w:t>
      </w:r>
      <w:r>
        <w:rPr>
          <w:i/>
        </w:rPr>
        <w:t>People v. Gonzales</w:t>
      </w:r>
      <w:r>
        <w:t xml:space="preserve"> (2017) 2 Cal.5th 858 (</w:t>
      </w:r>
      <w:r>
        <w:rPr>
          <w:i/>
        </w:rPr>
        <w:t>Gonzales</w:t>
      </w:r>
      <w:r>
        <w:t>)</w:t>
      </w:r>
      <w:r w:rsidR="00746C9C">
        <w:t>.  What w</w:t>
      </w:r>
      <w:r>
        <w:t xml:space="preserve">e held </w:t>
      </w:r>
      <w:r w:rsidR="003F1C16">
        <w:t xml:space="preserve">in </w:t>
      </w:r>
      <w:r w:rsidR="003F1C16">
        <w:rPr>
          <w:i/>
        </w:rPr>
        <w:t>Gonzales</w:t>
      </w:r>
      <w:r w:rsidR="00746C9C">
        <w:t xml:space="preserve"> is </w:t>
      </w:r>
      <w:r>
        <w:t xml:space="preserve">that a burglary conviction </w:t>
      </w:r>
      <w:r w:rsidR="00237BD8">
        <w:t>based on conduct</w:t>
      </w:r>
      <w:r w:rsidR="007862CD">
        <w:t xml:space="preserve"> meeting the requirements for shoplifting under section 459.5</w:t>
      </w:r>
      <w:r w:rsidR="00237BD8">
        <w:t xml:space="preserve"> </w:t>
      </w:r>
      <w:r>
        <w:t>could be reduced to shoplifting under Proposition 47.  (</w:t>
      </w:r>
      <w:r w:rsidR="003F1C16">
        <w:rPr>
          <w:i/>
        </w:rPr>
        <w:t>Gonzales</w:t>
      </w:r>
      <w:r w:rsidR="003F1C16">
        <w:t xml:space="preserve">, </w:t>
      </w:r>
      <w:r w:rsidR="003F1C16" w:rsidRPr="00050431">
        <w:rPr>
          <w:i/>
        </w:rPr>
        <w:t>supra</w:t>
      </w:r>
      <w:r w:rsidR="003F1C16">
        <w:t>, 2 Cal.5th at p. 862.</w:t>
      </w:r>
      <w:r>
        <w:t>)</w:t>
      </w:r>
      <w:r>
        <w:rPr>
          <w:i/>
        </w:rPr>
        <w:t xml:space="preserve"> </w:t>
      </w:r>
      <w:r>
        <w:t xml:space="preserve"> </w:t>
      </w:r>
      <w:r w:rsidR="008A70C7">
        <w:t>Our</w:t>
      </w:r>
      <w:r w:rsidR="00237BD8">
        <w:t xml:space="preserve"> </w:t>
      </w:r>
      <w:r w:rsidR="007862CD">
        <w:t>holding</w:t>
      </w:r>
      <w:r w:rsidR="00237BD8">
        <w:t xml:space="preserve"> </w:t>
      </w:r>
      <w:r w:rsidR="00DA1DE6">
        <w:t>gave effect to</w:t>
      </w:r>
      <w:r w:rsidR="00237BD8">
        <w:t xml:space="preserve"> section 459.5, subdivision (b)</w:t>
      </w:r>
      <w:r w:rsidR="00DA1DE6">
        <w:t xml:space="preserve">, which provides that </w:t>
      </w:r>
      <w:r w:rsidR="00237BD8">
        <w:t xml:space="preserve">a person who commits “[a]ny act of shoplifting” cannot “be charged with </w:t>
      </w:r>
      <w:r w:rsidR="00237BD8" w:rsidRPr="001F22A2">
        <w:rPr>
          <w:i/>
        </w:rPr>
        <w:t>burglary</w:t>
      </w:r>
      <w:r w:rsidR="00237BD8">
        <w:t xml:space="preserve"> or theft of the same property.”  (Italics added.)  But Jimenez was not charged with burglary</w:t>
      </w:r>
      <w:r w:rsidR="009F3F93">
        <w:t>, and in any event</w:t>
      </w:r>
      <w:r w:rsidR="008A70C7">
        <w:t>,</w:t>
      </w:r>
      <w:r w:rsidR="00E70C89">
        <w:t xml:space="preserve"> our inquiry </w:t>
      </w:r>
      <w:r w:rsidR="008A70C7">
        <w:t xml:space="preserve">here </w:t>
      </w:r>
      <w:r w:rsidR="00E70C89">
        <w:t xml:space="preserve">is not whether Jimenez’s conduct could conceivably be called </w:t>
      </w:r>
      <w:r w:rsidR="007672DA">
        <w:t>“</w:t>
      </w:r>
      <w:r>
        <w:t>shopliftin</w:t>
      </w:r>
      <w:r w:rsidR="00880C2D">
        <w:t>g.</w:t>
      </w:r>
      <w:r w:rsidR="007672DA">
        <w:t>”</w:t>
      </w:r>
      <w:r w:rsidR="00880C2D">
        <w:t xml:space="preserve">  </w:t>
      </w:r>
      <w:r w:rsidR="00F47C97">
        <w:t>W</w:t>
      </w:r>
      <w:r w:rsidR="00880C2D">
        <w:t xml:space="preserve">e must address </w:t>
      </w:r>
      <w:r w:rsidR="008A70C7">
        <w:t xml:space="preserve">instead </w:t>
      </w:r>
      <w:r>
        <w:t xml:space="preserve">whether the public offense </w:t>
      </w:r>
      <w:r w:rsidR="003247AA">
        <w:t xml:space="preserve">defined </w:t>
      </w:r>
      <w:r>
        <w:t>in section 530.5</w:t>
      </w:r>
      <w:r w:rsidR="00570DCA">
        <w:t>, subdivision (a)</w:t>
      </w:r>
      <w:r>
        <w:t xml:space="preserve">, of which he was convicted, </w:t>
      </w:r>
      <w:r w:rsidR="00B35165">
        <w:t xml:space="preserve">qualifies as a “theft” offense under section 459.5, subdivision (b).  </w:t>
      </w:r>
    </w:p>
    <w:p w14:paraId="2A1E7067" w14:textId="592CA4BB" w:rsidR="00814ED8" w:rsidRDefault="00134FB7" w:rsidP="00443888">
      <w:pPr>
        <w:tabs>
          <w:tab w:val="left" w:pos="1440"/>
        </w:tabs>
        <w:spacing w:line="400" w:lineRule="atLeast"/>
        <w:ind w:firstLine="720"/>
      </w:pPr>
      <w:r>
        <w:t xml:space="preserve">It </w:t>
      </w:r>
      <w:r w:rsidR="00B35165">
        <w:t>does</w:t>
      </w:r>
      <w:r>
        <w:t xml:space="preserve"> not.  S</w:t>
      </w:r>
      <w:r w:rsidR="00814ED8">
        <w:t>ection 530.5</w:t>
      </w:r>
      <w:r w:rsidR="009C7D02">
        <w:t xml:space="preserve"> </w:t>
      </w:r>
      <w:r w:rsidR="00814ED8">
        <w:t xml:space="preserve">criminalizes the willful </w:t>
      </w:r>
      <w:r w:rsidR="00814ED8" w:rsidRPr="001E73DE">
        <w:rPr>
          <w:i/>
        </w:rPr>
        <w:t>use</w:t>
      </w:r>
      <w:r w:rsidR="00814ED8">
        <w:t xml:space="preserve"> of someone’s personal identifying information for an unlawful purpose</w:t>
      </w:r>
      <w:r w:rsidR="001E73DE">
        <w:t xml:space="preserve">, not an unlawful </w:t>
      </w:r>
      <w:r w:rsidR="001E73DE" w:rsidRPr="001E73DE">
        <w:rPr>
          <w:i/>
        </w:rPr>
        <w:t>taking</w:t>
      </w:r>
      <w:r w:rsidR="00814ED8">
        <w:t xml:space="preserve">.  </w:t>
      </w:r>
      <w:r w:rsidR="00814ED8" w:rsidRPr="00443888">
        <w:t xml:space="preserve">It is not a theft offense because criminal liability pivots on how </w:t>
      </w:r>
      <w:r w:rsidR="00F47C97">
        <w:t>the information</w:t>
      </w:r>
      <w:r w:rsidR="004D7CCB">
        <w:t xml:space="preserve"> was</w:t>
      </w:r>
      <w:r w:rsidR="00814ED8" w:rsidRPr="00443888">
        <w:t xml:space="preserve"> used</w:t>
      </w:r>
      <w:r w:rsidR="00F47C97">
        <w:t xml:space="preserve"> rather than how it was acquired</w:t>
      </w:r>
      <w:r w:rsidR="00814ED8" w:rsidRPr="00443888">
        <w:t>.</w:t>
      </w:r>
      <w:r w:rsidR="00814ED8">
        <w:t xml:space="preserve">  The offense therefore </w:t>
      </w:r>
      <w:r w:rsidR="0058209F">
        <w:t xml:space="preserve">evinces a </w:t>
      </w:r>
      <w:r w:rsidR="00814ED8">
        <w:lastRenderedPageBreak/>
        <w:t xml:space="preserve">concern with the panoply of harms </w:t>
      </w:r>
      <w:r w:rsidR="0058209F">
        <w:t>occurring</w:t>
      </w:r>
      <w:r w:rsidR="00814ED8">
        <w:t xml:space="preserve"> when personal information is no longer personal.</w:t>
      </w:r>
    </w:p>
    <w:p w14:paraId="6CCAE061" w14:textId="0CFC94C4" w:rsidR="00814ED8" w:rsidRDefault="00746C9C" w:rsidP="00443888">
      <w:pPr>
        <w:tabs>
          <w:tab w:val="left" w:pos="1440"/>
        </w:tabs>
        <w:spacing w:line="400" w:lineRule="atLeast"/>
        <w:ind w:firstLine="720"/>
      </w:pPr>
      <w:r>
        <w:t xml:space="preserve">A </w:t>
      </w:r>
      <w:r w:rsidR="00814ED8">
        <w:t xml:space="preserve">conviction for misuse of identifying information is not subject to reclassification as misdemeanor shoplifting.  Because the Court of Appeal held otherwise, we reverse </w:t>
      </w:r>
      <w:r w:rsidR="00E253E4">
        <w:t>its</w:t>
      </w:r>
      <w:r w:rsidR="00814ED8">
        <w:t xml:space="preserve"> judgment</w:t>
      </w:r>
      <w:r w:rsidR="00EF5006">
        <w:t xml:space="preserve"> and remand</w:t>
      </w:r>
      <w:r w:rsidR="00814ED8">
        <w:t xml:space="preserve">.  </w:t>
      </w:r>
    </w:p>
    <w:p w14:paraId="3E0ED596" w14:textId="77777777" w:rsidR="00814ED8" w:rsidRDefault="00814ED8" w:rsidP="00443888">
      <w:pPr>
        <w:keepNext/>
        <w:tabs>
          <w:tab w:val="left" w:pos="1440"/>
        </w:tabs>
        <w:spacing w:line="400" w:lineRule="atLeast"/>
        <w:jc w:val="center"/>
      </w:pPr>
      <w:r>
        <w:rPr>
          <w:b/>
        </w:rPr>
        <w:t>I.</w:t>
      </w:r>
    </w:p>
    <w:p w14:paraId="5A24A824" w14:textId="4ADEBC32" w:rsidR="00814ED8" w:rsidRDefault="00814ED8" w:rsidP="00443888">
      <w:pPr>
        <w:keepNext/>
        <w:spacing w:line="400" w:lineRule="atLeast"/>
      </w:pPr>
      <w:r>
        <w:tab/>
        <w:t>In June 2016</w:t>
      </w:r>
      <w:r w:rsidRPr="002C6FCF">
        <w:t xml:space="preserve">, </w:t>
      </w:r>
      <w:r w:rsidR="003F1C16">
        <w:t xml:space="preserve">defendant </w:t>
      </w:r>
      <w:r w:rsidRPr="002C6FCF">
        <w:t xml:space="preserve">Miguel Angel Jimenez </w:t>
      </w:r>
      <w:r>
        <w:t xml:space="preserve">twice </w:t>
      </w:r>
      <w:r w:rsidRPr="002C6FCF">
        <w:t>entered Loans Plus, a commercial check-cashing store</w:t>
      </w:r>
      <w:r>
        <w:t xml:space="preserve"> in Oxnard,</w:t>
      </w:r>
      <w:r w:rsidRPr="002C6FCF">
        <w:t xml:space="preserve"> </w:t>
      </w:r>
      <w:r w:rsidR="0002662B">
        <w:t>to cash a</w:t>
      </w:r>
      <w:r w:rsidRPr="002C6FCF">
        <w:t xml:space="preserve"> check from OuterWall, Inc.</w:t>
      </w:r>
      <w:r w:rsidR="003F1C16">
        <w:t>,</w:t>
      </w:r>
      <w:r w:rsidRPr="002C6FCF">
        <w:t xml:space="preserve"> made payable to himself.  </w:t>
      </w:r>
      <w:r>
        <w:t>The first check sought $632.47, and the second, $596.60.  Each contained OuterWall’s personal identifying information in the form of an account number.  On both occasions</w:t>
      </w:r>
      <w:r w:rsidRPr="002C6FCF">
        <w:t xml:space="preserve">, Loans Plus was open for business.  </w:t>
      </w:r>
      <w:r>
        <w:t>And on both occasions, OuterWall had not issued the checks in Jimenez’s name</w:t>
      </w:r>
      <w:r w:rsidR="00484C00">
        <w:t>, nor did Jimenez have permission to possess, issue, or use the checks</w:t>
      </w:r>
      <w:r>
        <w:t xml:space="preserve">.  </w:t>
      </w:r>
    </w:p>
    <w:p w14:paraId="4B536650" w14:textId="156E73FB" w:rsidR="00814ED8" w:rsidRDefault="00814ED8" w:rsidP="00443888">
      <w:pPr>
        <w:spacing w:line="400" w:lineRule="atLeast"/>
      </w:pPr>
      <w:r>
        <w:tab/>
        <w:t xml:space="preserve">The People charged Jimenez with two felony counts of misusing personal identifying information </w:t>
      </w:r>
      <w:r w:rsidR="00746C9C">
        <w:t>in violation of section 530.5</w:t>
      </w:r>
      <w:r w:rsidR="00BB7919">
        <w:t>, subdivision (a)</w:t>
      </w:r>
      <w:r w:rsidR="00746C9C">
        <w:t xml:space="preserve"> </w:t>
      </w:r>
      <w:r>
        <w:t>–– an offense the prosecution informally calls “misuse of identity” and the defendant colloquially terms “identity theft</w:t>
      </w:r>
      <w:r w:rsidR="00746C9C">
        <w:t>.</w:t>
      </w:r>
      <w:r>
        <w:t>” That section prohibits “willfully obtain[ing] personal identifying information” of another person “and us[ing] that information for any unlawful purpose, including to obtain</w:t>
      </w:r>
      <w:r w:rsidR="00F26223">
        <w:t>,</w:t>
      </w:r>
      <w:r>
        <w:t xml:space="preserve"> or attempt to obtain, credit, goods, services, real property, or medical information without the consent of that person.</w:t>
      </w:r>
      <w:r w:rsidR="00367C38">
        <w:t>” (§</w:t>
      </w:r>
      <w:r w:rsidR="000E1715">
        <w:t> </w:t>
      </w:r>
      <w:r w:rsidR="00367C38">
        <w:t>530.5, subd. (a)</w:t>
      </w:r>
      <w:r w:rsidR="00DA1630">
        <w:t>.</w:t>
      </w:r>
      <w:r w:rsidR="00367C38">
        <w:t>)</w:t>
      </w:r>
      <w:r>
        <w:t xml:space="preserve">  The jury instructions provided the unlawful purpose for which Jimenez used OuterWall’s account information:  “unlawfully obtaining or attempting to obtain </w:t>
      </w:r>
      <w:r>
        <w:lastRenderedPageBreak/>
        <w:t xml:space="preserve">money in the form of cash in exchange for a presented check without the consent of the other person.”  The jury convicted Jimenez of both counts. </w:t>
      </w:r>
    </w:p>
    <w:p w14:paraId="5988E0DB" w14:textId="054CDB4A" w:rsidR="00814ED8" w:rsidRDefault="00814ED8" w:rsidP="00443888">
      <w:pPr>
        <w:spacing w:line="400" w:lineRule="atLeast"/>
      </w:pPr>
      <w:r>
        <w:tab/>
        <w:t>In May 2017, Jimenez moved to reclassify his felony convictions to misdemeanors under Proposition 47:  The Safe Neighborhoods and Schools Act.  To decrease the number of people in prison for nonviolent crimes, Proposition 47 reclassified certain drug- and theft-related offenses from felonies or “wobblers” to misdemeanors.  It did this by amending the statutes that defined those crimes and redefining the way terms are understood throughout the Penal Code.  (See Voter Information Guide, Gen. Elec. (Nov. 4, 2014) text of Prop. 47, §</w:t>
      </w:r>
      <w:r w:rsidR="006C0BC4">
        <w:t> </w:t>
      </w:r>
      <w:r w:rsidR="00D66BBE">
        <w:t>8</w:t>
      </w:r>
      <w:r>
        <w:t xml:space="preserve">, p. 72 (Voter Information Guide) [adding, for instance, </w:t>
      </w:r>
      <w:r w:rsidR="003F1C16">
        <w:t>§ </w:t>
      </w:r>
      <w:r>
        <w:t>490.2 to lower the punishment for certain categories of grand theft “[n]otwithstanding</w:t>
      </w:r>
      <w:r w:rsidR="007D599A">
        <w:t> . . . </w:t>
      </w:r>
      <w:r>
        <w:t xml:space="preserve">any other provision of law defining grand theft”].) </w:t>
      </w:r>
    </w:p>
    <w:p w14:paraId="73270A92" w14:textId="032DC063" w:rsidR="00814ED8" w:rsidRPr="00FF5A5E" w:rsidRDefault="00814ED8" w:rsidP="00443888">
      <w:pPr>
        <w:spacing w:line="400" w:lineRule="atLeast"/>
        <w:rPr>
          <w:u w:val="double"/>
        </w:rPr>
      </w:pPr>
      <w:r>
        <w:tab/>
      </w:r>
      <w:r w:rsidR="00746C9C">
        <w:t>One such amendment enshrined in California law a</w:t>
      </w:r>
      <w:r w:rsidR="0058209F">
        <w:t xml:space="preserve"> new misdemeanor shoplifting offense</w:t>
      </w:r>
      <w:r w:rsidR="00780162">
        <w:t>.</w:t>
      </w:r>
      <w:r>
        <w:t xml:space="preserve"> (§ 459.5</w:t>
      </w:r>
      <w:r w:rsidR="00780162">
        <w:t>.</w:t>
      </w:r>
      <w:r>
        <w:t>)</w:t>
      </w:r>
      <w:r w:rsidR="0058209F">
        <w:t xml:space="preserve">  </w:t>
      </w:r>
      <w:r w:rsidR="00356F57">
        <w:t xml:space="preserve">Distinct </w:t>
      </w:r>
      <w:r>
        <w:t>from felony burglary based on the value of the goods</w:t>
      </w:r>
      <w:r w:rsidR="00E253E4">
        <w:t>, the</w:t>
      </w:r>
      <w:r w:rsidR="00B36491">
        <w:t xml:space="preserve"> structure entered</w:t>
      </w:r>
      <w:r w:rsidR="009E7D62">
        <w:t xml:space="preserve">, </w:t>
      </w:r>
      <w:r w:rsidR="00E253E4">
        <w:t xml:space="preserve">and </w:t>
      </w:r>
      <w:r w:rsidR="00B36491">
        <w:t xml:space="preserve">the </w:t>
      </w:r>
      <w:r>
        <w:t xml:space="preserve">time of </w:t>
      </w:r>
      <w:r w:rsidR="00B36491">
        <w:t>entry</w:t>
      </w:r>
      <w:r w:rsidR="00356F57">
        <w:t>, the new shoplifting offense</w:t>
      </w:r>
      <w:r>
        <w:t xml:space="preserve"> </w:t>
      </w:r>
      <w:r w:rsidR="00746C9C">
        <w:t>prohibits</w:t>
      </w:r>
      <w:r>
        <w:t xml:space="preserve"> entering a commercial establishment “with intent to commit larceny” while the establishment is open during business hours, and where the value of the property taken or intended to be taken is $950 or less.  </w:t>
      </w:r>
      <w:r w:rsidR="00271E4D">
        <w:t>(</w:t>
      </w:r>
      <w:r>
        <w:t xml:space="preserve">§ 459.5, subd. (a).) </w:t>
      </w:r>
      <w:r w:rsidR="002057A4">
        <w:t xml:space="preserve"> </w:t>
      </w:r>
      <w:r w:rsidR="004D0CC2">
        <w:t xml:space="preserve">Also </w:t>
      </w:r>
      <w:r w:rsidR="00D97AA5">
        <w:t xml:space="preserve">affecting the </w:t>
      </w:r>
      <w:r w:rsidR="00B35F6A">
        <w:t xml:space="preserve">scope of this new offense </w:t>
      </w:r>
      <w:r w:rsidR="004D0CC2">
        <w:t>is</w:t>
      </w:r>
      <w:r w:rsidR="002057A4">
        <w:t xml:space="preserve"> the</w:t>
      </w:r>
      <w:r w:rsidR="004D0CC2">
        <w:t xml:space="preserve"> </w:t>
      </w:r>
      <w:r w:rsidR="00FF5A5E">
        <w:t xml:space="preserve">following limitation: </w:t>
      </w:r>
      <w:r w:rsidR="00194B53">
        <w:t xml:space="preserve"> </w:t>
      </w:r>
      <w:r w:rsidR="00CF45AA">
        <w:t xml:space="preserve">Any </w:t>
      </w:r>
      <w:r w:rsidR="00FF5A5E">
        <w:t>act of shoplifting “shall be charged as shoplifting,” and, “[n]o person who is charged with shoplifting may also be charged with burglary or theft of the same property.”  (</w:t>
      </w:r>
      <w:r w:rsidR="00FF5A5E">
        <w:rPr>
          <w:i/>
        </w:rPr>
        <w:t>Id</w:t>
      </w:r>
      <w:r w:rsidR="00FF5A5E">
        <w:t xml:space="preserve">., subd. (b).) </w:t>
      </w:r>
    </w:p>
    <w:p w14:paraId="3BCD7B26" w14:textId="51505C68" w:rsidR="00814ED8" w:rsidRDefault="00814ED8" w:rsidP="00443888">
      <w:pPr>
        <w:spacing w:line="400" w:lineRule="atLeast"/>
      </w:pPr>
      <w:r>
        <w:tab/>
        <w:t xml:space="preserve">Jimenez </w:t>
      </w:r>
      <w:r w:rsidR="00746C9C">
        <w:t xml:space="preserve">made the case for </w:t>
      </w:r>
      <w:r>
        <w:t xml:space="preserve">relief </w:t>
      </w:r>
      <w:r w:rsidR="00746C9C">
        <w:t xml:space="preserve">relying </w:t>
      </w:r>
      <w:r>
        <w:t xml:space="preserve">on our recent opinion in </w:t>
      </w:r>
      <w:r>
        <w:rPr>
          <w:i/>
        </w:rPr>
        <w:t>Gonzales</w:t>
      </w:r>
      <w:r>
        <w:t xml:space="preserve">, </w:t>
      </w:r>
      <w:r>
        <w:rPr>
          <w:i/>
        </w:rPr>
        <w:t>supra</w:t>
      </w:r>
      <w:r>
        <w:t>,</w:t>
      </w:r>
      <w:r>
        <w:rPr>
          <w:i/>
        </w:rPr>
        <w:t xml:space="preserve"> </w:t>
      </w:r>
      <w:r>
        <w:t>2 Cal.5th at p</w:t>
      </w:r>
      <w:r w:rsidR="00E4792A">
        <w:t>age</w:t>
      </w:r>
      <w:r>
        <w:t xml:space="preserve"> 862, in which we </w:t>
      </w:r>
      <w:r>
        <w:lastRenderedPageBreak/>
        <w:t xml:space="preserve">held that the shoplifting statute applied to an entry with intent to commit nonlarcenous theft.  Like Jimenez, the defendant in </w:t>
      </w:r>
      <w:r>
        <w:rPr>
          <w:i/>
        </w:rPr>
        <w:t xml:space="preserve">Gonzales </w:t>
      </w:r>
      <w:r>
        <w:t>had entered a commercial establishment and cashed two checks containing another person’s bank account information.  (</w:t>
      </w:r>
      <w:r w:rsidR="00780162">
        <w:rPr>
          <w:i/>
        </w:rPr>
        <w:t>Ibid</w:t>
      </w:r>
      <w:r>
        <w:t xml:space="preserve">.)  Because Jimenez committed </w:t>
      </w:r>
      <w:r w:rsidR="00E4792A">
        <w:t>essentially</w:t>
      </w:r>
      <w:r>
        <w:t xml:space="preserve"> the same conduct as Gonzales, </w:t>
      </w:r>
      <w:r w:rsidR="00AE659E">
        <w:t>Jimenez</w:t>
      </w:r>
      <w:r>
        <w:t xml:space="preserve"> argued his conduct, too, constituted misdemeanor shoplifting under section 459.5</w:t>
      </w:r>
      <w:r w:rsidR="00BB7919">
        <w:t>, subdivision (a)</w:t>
      </w:r>
      <w:r>
        <w:t xml:space="preserve">.  The trial court granted Jimenez’s motion.  It concluded that between </w:t>
      </w:r>
      <w:r>
        <w:rPr>
          <w:i/>
        </w:rPr>
        <w:t>Gonzales</w:t>
      </w:r>
      <w:r>
        <w:t xml:space="preserve"> and our earlier opinion in </w:t>
      </w:r>
      <w:r>
        <w:rPr>
          <w:i/>
        </w:rPr>
        <w:t>People v. Romanowski</w:t>
      </w:r>
      <w:r>
        <w:t xml:space="preserve"> (2017) 2 Cal.5th 903 (</w:t>
      </w:r>
      <w:r>
        <w:rPr>
          <w:i/>
        </w:rPr>
        <w:t>Romanowski</w:t>
      </w:r>
      <w:r>
        <w:t>), its “</w:t>
      </w:r>
      <w:r w:rsidR="00643F1A">
        <w:t> ‘</w:t>
      </w:r>
      <w:r>
        <w:t>hands ha[d] been somewhat tied.</w:t>
      </w:r>
      <w:r w:rsidR="00643F1A">
        <w:t>’ </w:t>
      </w:r>
      <w:r>
        <w:t xml:space="preserve">”  </w:t>
      </w:r>
      <w:r w:rsidR="00D66BBE">
        <w:t>(</w:t>
      </w:r>
      <w:r w:rsidR="00D66BBE" w:rsidRPr="00D66BBE">
        <w:rPr>
          <w:i/>
        </w:rPr>
        <w:t>Jimenez</w:t>
      </w:r>
      <w:r w:rsidR="00D66BBE">
        <w:t xml:space="preserve">, </w:t>
      </w:r>
      <w:r w:rsidR="00D66BBE" w:rsidRPr="00D66BBE">
        <w:rPr>
          <w:i/>
        </w:rPr>
        <w:t>supra</w:t>
      </w:r>
      <w:r w:rsidR="00D66BBE">
        <w:t xml:space="preserve">, 22 Cal.App.5th at p. 1286.) </w:t>
      </w:r>
      <w:r w:rsidR="00573CC3">
        <w:t xml:space="preserve"> </w:t>
      </w:r>
      <w:r w:rsidR="00DF5EBF">
        <w:t>What we held in</w:t>
      </w:r>
      <w:r w:rsidR="00573CC3">
        <w:t xml:space="preserve"> </w:t>
      </w:r>
      <w:r w:rsidR="00573CC3">
        <w:rPr>
          <w:i/>
        </w:rPr>
        <w:t>Romanowski</w:t>
      </w:r>
      <w:r w:rsidR="00573CC3">
        <w:t xml:space="preserve"> </w:t>
      </w:r>
      <w:r w:rsidR="00DF5EBF">
        <w:t xml:space="preserve">is </w:t>
      </w:r>
      <w:r w:rsidR="00573CC3">
        <w:t>that</w:t>
      </w:r>
      <w:r w:rsidR="00D20648">
        <w:t xml:space="preserve"> theft of access card information could be reduced to a misdemeanor </w:t>
      </w:r>
      <w:r w:rsidR="00441517">
        <w:t xml:space="preserve">under </w:t>
      </w:r>
      <w:r w:rsidR="00D20648">
        <w:t>another provision of Proposition 47</w:t>
      </w:r>
      <w:r w:rsidR="00586C23">
        <w:t>, codified at Penal Code section 490.2.</w:t>
      </w:r>
      <w:r w:rsidR="00D20648">
        <w:t xml:space="preserve"> </w:t>
      </w:r>
      <w:r w:rsidR="00AE659E">
        <w:t xml:space="preserve"> (</w:t>
      </w:r>
      <w:r w:rsidR="00AE659E">
        <w:rPr>
          <w:i/>
        </w:rPr>
        <w:t>Romanowski</w:t>
      </w:r>
      <w:r w:rsidR="00AE659E">
        <w:t xml:space="preserve">, </w:t>
      </w:r>
      <w:r w:rsidR="00AE659E">
        <w:rPr>
          <w:i/>
        </w:rPr>
        <w:t>supra</w:t>
      </w:r>
      <w:r w:rsidR="00AE659E">
        <w:t>, 2 Cal.5th at p</w:t>
      </w:r>
      <w:r w:rsidR="000D755E">
        <w:t>p</w:t>
      </w:r>
      <w:r w:rsidR="00AE659E">
        <w:t xml:space="preserve">. </w:t>
      </w:r>
      <w:r w:rsidR="000D755E">
        <w:t>905–</w:t>
      </w:r>
      <w:r w:rsidR="00AE659E">
        <w:t xml:space="preserve">906.) </w:t>
      </w:r>
      <w:r w:rsidR="00927646">
        <w:t xml:space="preserve"> </w:t>
      </w:r>
      <w:r w:rsidR="00275278">
        <w:rPr>
          <w:i/>
        </w:rPr>
        <w:t xml:space="preserve">Romanowski </w:t>
      </w:r>
      <w:r w:rsidR="00275278">
        <w:t xml:space="preserve">and </w:t>
      </w:r>
      <w:r w:rsidR="00275278">
        <w:rPr>
          <w:i/>
        </w:rPr>
        <w:t>Gonzales</w:t>
      </w:r>
      <w:r>
        <w:t>, the court said, mandated reduction of “</w:t>
      </w:r>
      <w:r w:rsidR="00A66226">
        <w:t xml:space="preserve"> ‘</w:t>
      </w:r>
      <w:r>
        <w:t>conduct that has been described in Proposition 47 as a shoplifting type of offense</w:t>
      </w:r>
      <w:r w:rsidR="00A66226">
        <w:t xml:space="preserve">.’ </w:t>
      </w:r>
      <w:r>
        <w:t>”</w:t>
      </w:r>
      <w:r w:rsidR="00A66226">
        <w:t xml:space="preserve">  (</w:t>
      </w:r>
      <w:r w:rsidR="00AE659E" w:rsidRPr="00D66BBE">
        <w:rPr>
          <w:i/>
        </w:rPr>
        <w:t>Jimenez</w:t>
      </w:r>
      <w:r w:rsidR="00AE659E">
        <w:t>, at p. 1286</w:t>
      </w:r>
      <w:r w:rsidR="00D20648">
        <w:t>.</w:t>
      </w:r>
      <w:r w:rsidR="001E1F5E">
        <w:t>)</w:t>
      </w:r>
      <w:r>
        <w:t xml:space="preserve">  “</w:t>
      </w:r>
      <w:r w:rsidR="001E1F5E">
        <w:t xml:space="preserve"> ‘</w:t>
      </w:r>
      <w:r>
        <w:t>And even though [this case] involves a different charge,</w:t>
      </w:r>
      <w:r w:rsidR="00EE7C61">
        <w:t>’</w:t>
      </w:r>
      <w:r>
        <w:t xml:space="preserve"> it observed, </w:t>
      </w:r>
      <w:r w:rsidR="00EE7C61">
        <w:t>‘</w:t>
      </w:r>
      <w:r>
        <w:t xml:space="preserve">it appears to be somewhat of a theft charge which was the focus of </w:t>
      </w:r>
      <w:r>
        <w:rPr>
          <w:i/>
        </w:rPr>
        <w:t>Gonzale</w:t>
      </w:r>
      <w:r>
        <w:t>[</w:t>
      </w:r>
      <w:r>
        <w:rPr>
          <w:i/>
        </w:rPr>
        <w:t>s</w:t>
      </w:r>
      <w:r>
        <w:t xml:space="preserve">] and </w:t>
      </w:r>
      <w:r>
        <w:rPr>
          <w:i/>
        </w:rPr>
        <w:t>Romanowski</w:t>
      </w:r>
      <w:r>
        <w:t>.</w:t>
      </w:r>
      <w:r w:rsidR="001E1F5E">
        <w:t xml:space="preserve">’ </w:t>
      </w:r>
      <w:r>
        <w:t xml:space="preserve">” </w:t>
      </w:r>
      <w:r w:rsidR="007626F4">
        <w:t>(</w:t>
      </w:r>
      <w:r w:rsidR="007626F4">
        <w:rPr>
          <w:i/>
        </w:rPr>
        <w:t>Ibid</w:t>
      </w:r>
      <w:r w:rsidR="007626F4">
        <w:t>.)</w:t>
      </w:r>
      <w:r>
        <w:t xml:space="preserve"> </w:t>
      </w:r>
    </w:p>
    <w:p w14:paraId="54FA413D" w14:textId="441C20DD" w:rsidR="00814ED8" w:rsidRPr="00AD27BF" w:rsidRDefault="00814ED8" w:rsidP="00443888">
      <w:pPr>
        <w:spacing w:line="400" w:lineRule="atLeast"/>
      </w:pPr>
      <w:r>
        <w:tab/>
        <w:t>The People appealed the trial court’s decision to reduce Jimenez’s conviction, and the Court of Appeal affirmed, reasoning that Jimenez’s criminal conduct is “identical to Gonzales’s conduct.”  (</w:t>
      </w:r>
      <w:r w:rsidR="00050431" w:rsidRPr="00D66BBE">
        <w:rPr>
          <w:i/>
        </w:rPr>
        <w:t>Jimenez</w:t>
      </w:r>
      <w:r w:rsidR="00050431">
        <w:t xml:space="preserve">, </w:t>
      </w:r>
      <w:r w:rsidR="00050431" w:rsidRPr="00D66BBE">
        <w:rPr>
          <w:i/>
        </w:rPr>
        <w:t>supra</w:t>
      </w:r>
      <w:r w:rsidR="00050431">
        <w:t>, 22 Cal.App.5th at p.</w:t>
      </w:r>
      <w:r>
        <w:t xml:space="preserve"> 1289.)  It observed that “both entered a commercial establishment during business hours for the purpose of cashing stolen checks valued at less than $950 each.  Both defendants </w:t>
      </w:r>
      <w:r w:rsidR="00475139">
        <w:t>[entered with intent to commit]</w:t>
      </w:r>
      <w:r w:rsidR="00475139" w:rsidDel="00475139">
        <w:t xml:space="preserve"> </w:t>
      </w:r>
      <w:r>
        <w:t>‘theft by false pretenses,’ which ‘now constitutes shoplifting under [section 459.5</w:t>
      </w:r>
      <w:r w:rsidR="00BB7919">
        <w:t xml:space="preserve">, subdivision </w:t>
      </w:r>
      <w:r w:rsidR="00BB7919">
        <w:lastRenderedPageBreak/>
        <w:t>(a)</w:t>
      </w:r>
      <w:r>
        <w:t>].’ ”  (</w:t>
      </w:r>
      <w:r>
        <w:rPr>
          <w:i/>
        </w:rPr>
        <w:t>Ibid</w:t>
      </w:r>
      <w:r>
        <w:t xml:space="preserve">., quoting </w:t>
      </w:r>
      <w:r>
        <w:rPr>
          <w:i/>
        </w:rPr>
        <w:t>Gonzales</w:t>
      </w:r>
      <w:r>
        <w:t xml:space="preserve">, </w:t>
      </w:r>
      <w:r>
        <w:rPr>
          <w:i/>
        </w:rPr>
        <w:t>supra</w:t>
      </w:r>
      <w:r>
        <w:t>, 2 Cal.5th at p. 862.)  And, the court explained, where a defendant’s “underlying conduct constituted shoplifting,” the preclusive effect of section 459.5, subdivision (b) — which provides that “[a]ny act of shoplifting as defined in subdivision (a) shall be charged as shoplifting” (§ 459.5</w:t>
      </w:r>
      <w:r w:rsidR="00BB7919">
        <w:t>, subd. (b)</w:t>
      </w:r>
      <w:r>
        <w:t>) — barred a charge of identity theft.  (</w:t>
      </w:r>
      <w:r w:rsidR="00927646" w:rsidRPr="00D66BBE">
        <w:rPr>
          <w:i/>
        </w:rPr>
        <w:t>Jimenez</w:t>
      </w:r>
      <w:r w:rsidR="00927646">
        <w:t xml:space="preserve">, </w:t>
      </w:r>
      <w:r w:rsidR="00927646" w:rsidRPr="00D66BBE">
        <w:rPr>
          <w:i/>
        </w:rPr>
        <w:t>supra</w:t>
      </w:r>
      <w:r w:rsidR="00927646">
        <w:t>, 22 Cal.App.5th</w:t>
      </w:r>
      <w:r w:rsidR="00E073F7">
        <w:t xml:space="preserve"> at </w:t>
      </w:r>
      <w:r>
        <w:t>p. 1291.)  In sum, the court said, “[t]hat Jimenez committed identity theft in the course of the shoplifting does not alter the fact that he committed shoplifting.”  (</w:t>
      </w:r>
      <w:r>
        <w:rPr>
          <w:i/>
        </w:rPr>
        <w:t>Id.</w:t>
      </w:r>
      <w:r>
        <w:t xml:space="preserve"> at p. 1290.) </w:t>
      </w:r>
    </w:p>
    <w:p w14:paraId="1FA5923C" w14:textId="0625A1F2" w:rsidR="00814ED8" w:rsidRDefault="00814ED8" w:rsidP="00443888">
      <w:pPr>
        <w:tabs>
          <w:tab w:val="left" w:pos="720"/>
        </w:tabs>
        <w:spacing w:line="400" w:lineRule="atLeast"/>
      </w:pPr>
      <w:r>
        <w:tab/>
        <w:t>The District Attorney filed a petition for review</w:t>
      </w:r>
      <w:r w:rsidR="00AD6914">
        <w:t>.  W</w:t>
      </w:r>
      <w:r>
        <w:t xml:space="preserve">e granted review to determine whether a felony conviction for misuse of </w:t>
      </w:r>
      <w:r w:rsidR="00E5131F">
        <w:t xml:space="preserve">personal </w:t>
      </w:r>
      <w:r>
        <w:t>identifying information can be reduced to misdemeanor shoplifting under Proposition 47.</w:t>
      </w:r>
    </w:p>
    <w:p w14:paraId="2DE7CFCE" w14:textId="77777777" w:rsidR="00814ED8" w:rsidRDefault="00814ED8" w:rsidP="00443888">
      <w:pPr>
        <w:keepNext/>
        <w:tabs>
          <w:tab w:val="left" w:pos="0"/>
        </w:tabs>
        <w:spacing w:line="400" w:lineRule="atLeast"/>
        <w:jc w:val="center"/>
      </w:pPr>
      <w:r w:rsidRPr="003E325D">
        <w:rPr>
          <w:b/>
        </w:rPr>
        <w:t>II.</w:t>
      </w:r>
    </w:p>
    <w:p w14:paraId="311BDAAB" w14:textId="6CC2645A" w:rsidR="00814ED8" w:rsidRDefault="00814ED8" w:rsidP="00443888">
      <w:pPr>
        <w:keepNext/>
        <w:tabs>
          <w:tab w:val="left" w:pos="720"/>
        </w:tabs>
        <w:spacing w:line="400" w:lineRule="atLeast"/>
      </w:pPr>
      <w:r>
        <w:tab/>
        <w:t xml:space="preserve">As with most cases arising from Proposition 47, this one requires that we understand the interaction between a statutory scheme enacted by the Legislature and one enacted by the public.  Because the scope of these statutory schemes is a question of law, </w:t>
      </w:r>
      <w:r w:rsidRPr="00CB0D70">
        <w:t>we review de novo the Court of Appeal’s interpretation of both the shoplifting statute enacted through Proposition 47 and the preexisting section 530.5</w:t>
      </w:r>
      <w:r w:rsidR="0019030D">
        <w:t>, subdivision (a)</w:t>
      </w:r>
      <w:r w:rsidRPr="00CB0D70">
        <w:t>, of which Jimenez was convicted.  (</w:t>
      </w:r>
      <w:r w:rsidRPr="00CB0D70">
        <w:rPr>
          <w:i/>
        </w:rPr>
        <w:t>Apple Inc. v. Superior Court</w:t>
      </w:r>
      <w:r w:rsidRPr="00CB0D70">
        <w:t xml:space="preserve"> (2013) 56 Cal.4th 128, 135.)  We look first to </w:t>
      </w:r>
      <w:r w:rsidR="00E5131F">
        <w:t>“ ‘</w:t>
      </w:r>
      <w:r w:rsidRPr="00CB0D70">
        <w:t>the language of the statute, affording the words their ordinary and usual meaning and viewing them in their statutory context.’ ”  (</w:t>
      </w:r>
      <w:r w:rsidRPr="00CB0D70">
        <w:rPr>
          <w:i/>
        </w:rPr>
        <w:t>People v. Gonzales</w:t>
      </w:r>
      <w:r w:rsidRPr="00CB0D70">
        <w:t xml:space="preserve"> (2018) 6 Cal.5th 44, </w:t>
      </w:r>
      <w:r w:rsidR="00B91538">
        <w:t>49–</w:t>
      </w:r>
      <w:r w:rsidRPr="00CB0D70">
        <w:t xml:space="preserve">50.)  We </w:t>
      </w:r>
      <w:r w:rsidR="00746C9C">
        <w:t xml:space="preserve">must </w:t>
      </w:r>
      <w:r w:rsidRPr="00CB0D70">
        <w:t>construe statutory language in context, bearing in mind the statutory purpose</w:t>
      </w:r>
      <w:r w:rsidR="008A6262">
        <w:t>,</w:t>
      </w:r>
      <w:r w:rsidRPr="00CB0D70">
        <w:t xml:space="preserve"> and</w:t>
      </w:r>
      <w:r w:rsidR="008A6262">
        <w:t xml:space="preserve"> </w:t>
      </w:r>
      <w:r w:rsidRPr="00CB0D70">
        <w:t>giving effect to the intended purpose of an initiative’s provisions.  (</w:t>
      </w:r>
      <w:r w:rsidRPr="00CB0D70">
        <w:rPr>
          <w:i/>
        </w:rPr>
        <w:t>I</w:t>
      </w:r>
      <w:r w:rsidR="00D10A86">
        <w:rPr>
          <w:i/>
        </w:rPr>
        <w:t>d</w:t>
      </w:r>
      <w:r w:rsidR="00D10A86">
        <w:t>. at p. 50</w:t>
      </w:r>
      <w:r w:rsidRPr="00CB0D70">
        <w:t xml:space="preserve">; see </w:t>
      </w:r>
      <w:r w:rsidRPr="00CB0D70">
        <w:rPr>
          <w:i/>
        </w:rPr>
        <w:t xml:space="preserve">California Cannabis </w:t>
      </w:r>
      <w:r w:rsidRPr="00CB0D70">
        <w:rPr>
          <w:i/>
        </w:rPr>
        <w:lastRenderedPageBreak/>
        <w:t>Coalition v. City of Upland</w:t>
      </w:r>
      <w:r w:rsidRPr="00CB0D70">
        <w:t xml:space="preserve"> (2017) 3 Cal.5th 924, 933 [explaining that our “primary concern is giving effect to the intended purpose of the provisions at issue”].)  We may also consider extrinsic sources, “such as an initiative’s election materials, to glean the electorate’s intended purpose.”  (</w:t>
      </w:r>
      <w:r w:rsidR="00E5131F" w:rsidRPr="00CB0D70">
        <w:rPr>
          <w:i/>
        </w:rPr>
        <w:t>People v. Gonzales</w:t>
      </w:r>
      <w:r w:rsidR="00E5131F">
        <w:t xml:space="preserve">, </w:t>
      </w:r>
      <w:r w:rsidR="00E5131F" w:rsidRPr="00BC7A73">
        <w:rPr>
          <w:i/>
        </w:rPr>
        <w:t>supra</w:t>
      </w:r>
      <w:r w:rsidR="00E5131F">
        <w:t>,</w:t>
      </w:r>
      <w:r w:rsidR="00E5131F" w:rsidRPr="00CB0D70">
        <w:t xml:space="preserve"> 6 Cal.5th</w:t>
      </w:r>
      <w:r w:rsidRPr="00CB0D70">
        <w:t xml:space="preserve"> at p. 50; </w:t>
      </w:r>
      <w:r w:rsidRPr="00CB0D70">
        <w:rPr>
          <w:i/>
        </w:rPr>
        <w:t>Larkin v. W</w:t>
      </w:r>
      <w:r w:rsidR="00D10A86">
        <w:rPr>
          <w:i/>
        </w:rPr>
        <w:t>orkers’ Comp. Appeals Bd.</w:t>
      </w:r>
      <w:r w:rsidRPr="00CB0D70">
        <w:t xml:space="preserve"> (2015) 62 Cal.4th 152, 158 [“[W]e may look to various extrinsic sources</w:t>
      </w:r>
      <w:r w:rsidR="00AF5DDB">
        <w:t> . . . </w:t>
      </w:r>
      <w:r w:rsidRPr="00CB0D70">
        <w:t>to assist us in gleaning the [voters’] intended purpose”].)</w:t>
      </w:r>
    </w:p>
    <w:p w14:paraId="14A09AE1" w14:textId="662F3EC9" w:rsidR="00814ED8" w:rsidRPr="00721F92" w:rsidRDefault="00814ED8" w:rsidP="00443888">
      <w:pPr>
        <w:tabs>
          <w:tab w:val="left" w:pos="720"/>
        </w:tabs>
        <w:spacing w:line="400" w:lineRule="atLeast"/>
      </w:pPr>
      <w:r>
        <w:tab/>
        <w:t xml:space="preserve">Applying these principles, we conclude that section 459.5 does </w:t>
      </w:r>
      <w:r w:rsidRPr="00023C7C">
        <w:rPr>
          <w:i/>
          <w:iCs/>
        </w:rPr>
        <w:t>not</w:t>
      </w:r>
      <w:r>
        <w:t xml:space="preserve"> encompass misuse of identifying information.  </w:t>
      </w:r>
      <w:r w:rsidR="00B55E38">
        <w:t>T</w:t>
      </w:r>
      <w:r>
        <w:t>he preclusive language of section 459.5</w:t>
      </w:r>
      <w:r w:rsidR="00BB7919">
        <w:t>, subdivision (b)</w:t>
      </w:r>
      <w:r>
        <w:t xml:space="preserve"> — that “[a]ny act of shoplifting as defined in subdivision (a) shall be charged as shoplifting,” and “[n]o person who is charged with shoplifting may also be charged with theft</w:t>
      </w:r>
      <w:r w:rsidR="009D2E10" w:rsidRPr="009D2E10">
        <w:t xml:space="preserve"> </w:t>
      </w:r>
      <w:r w:rsidR="009D2E10">
        <w:t>or burglary</w:t>
      </w:r>
      <w:r>
        <w:t xml:space="preserve"> of the same property” — </w:t>
      </w:r>
      <w:r w:rsidR="00A565D6">
        <w:t>applies</w:t>
      </w:r>
      <w:r>
        <w:t xml:space="preserve"> only </w:t>
      </w:r>
      <w:r w:rsidR="00217D05">
        <w:t xml:space="preserve">as </w:t>
      </w:r>
      <w:r w:rsidR="00217D05" w:rsidRPr="00217D05">
        <w:t>to</w:t>
      </w:r>
      <w:r>
        <w:rPr>
          <w:i/>
        </w:rPr>
        <w:t xml:space="preserve"> </w:t>
      </w:r>
      <w:r w:rsidRPr="00217D05">
        <w:t xml:space="preserve">theft </w:t>
      </w:r>
      <w:r w:rsidR="00217D05" w:rsidRPr="00217D05">
        <w:t xml:space="preserve">or burglary </w:t>
      </w:r>
      <w:r w:rsidRPr="00217D05">
        <w:t>offenses</w:t>
      </w:r>
      <w:r>
        <w:t>.  Section 530.5</w:t>
      </w:r>
      <w:r w:rsidR="00BB7919">
        <w:t>, subdivision (a)</w:t>
      </w:r>
      <w:r>
        <w:t xml:space="preserve"> does not define such an offense.</w:t>
      </w:r>
    </w:p>
    <w:p w14:paraId="70626B86" w14:textId="77777777" w:rsidR="00814ED8" w:rsidRDefault="00814ED8" w:rsidP="009420A6">
      <w:pPr>
        <w:keepNext/>
        <w:tabs>
          <w:tab w:val="left" w:pos="720"/>
        </w:tabs>
        <w:spacing w:line="400" w:lineRule="atLeast"/>
        <w:jc w:val="center"/>
      </w:pPr>
      <w:r>
        <w:t>A.</w:t>
      </w:r>
    </w:p>
    <w:p w14:paraId="0AC3DFF4" w14:textId="1827C2CE" w:rsidR="00814ED8" w:rsidRPr="00E96820" w:rsidRDefault="00814ED8" w:rsidP="009420A6">
      <w:pPr>
        <w:keepNext/>
        <w:tabs>
          <w:tab w:val="left" w:pos="720"/>
        </w:tabs>
        <w:spacing w:line="400" w:lineRule="atLeast"/>
      </w:pPr>
      <w:r>
        <w:tab/>
        <w:t>We first consider the statutory scheme approved by voters five years ago.  The misdemeanor shoplifting statute under which Jimenez seeks a reduction is section 459.5.  It is one of two new theft crimes reflecting the electorate’s decision to downgrade certain felonies; the other is section 490.2, which defines petty theft.  (</w:t>
      </w:r>
      <w:r>
        <w:rPr>
          <w:i/>
        </w:rPr>
        <w:t>Romanowski</w:t>
      </w:r>
      <w:r>
        <w:t xml:space="preserve">, </w:t>
      </w:r>
      <w:r>
        <w:rPr>
          <w:i/>
        </w:rPr>
        <w:t>supra</w:t>
      </w:r>
      <w:r>
        <w:t>,</w:t>
      </w:r>
      <w:r>
        <w:rPr>
          <w:i/>
        </w:rPr>
        <w:t xml:space="preserve"> </w:t>
      </w:r>
      <w:r>
        <w:t xml:space="preserve">2 Cal.5th at p. 907.)  Section 459.5, subdivision (a), provides:  “Notwithstanding Section 459, shoplifting is defined as entering a commercial establishment with intent to commit larceny while that establishment is open during regular business hours, where the value of the property that is taken or intended to be taken does not exceed nine hundred fifty dollars ($950).”  Subdivision (b) </w:t>
      </w:r>
      <w:r>
        <w:lastRenderedPageBreak/>
        <w:t>next provides the preclusive language on which Jimenez primarily relies:  “Any act of shoplifting as defined in subdivision (a) shall be charged as shoplifting.  No person who is charged with shoplifting may also be charged with burglary or theft of the same property.”  (</w:t>
      </w:r>
      <w:r w:rsidR="00271E4D">
        <w:rPr>
          <w:i/>
        </w:rPr>
        <w:t>Id.</w:t>
      </w:r>
      <w:r w:rsidR="00BB7919">
        <w:t>, subd. (b)</w:t>
      </w:r>
      <w:r>
        <w:t>.)</w:t>
      </w:r>
    </w:p>
    <w:p w14:paraId="17735940" w14:textId="3BF8673F" w:rsidR="00814ED8" w:rsidRDefault="0062680B" w:rsidP="00443888">
      <w:pPr>
        <w:tabs>
          <w:tab w:val="left" w:pos="720"/>
        </w:tabs>
        <w:spacing w:line="400" w:lineRule="atLeast"/>
      </w:pPr>
      <w:r>
        <w:tab/>
      </w:r>
      <w:r w:rsidR="009A56B2">
        <w:t xml:space="preserve">We granted review to determine whether Jimenez </w:t>
      </w:r>
      <w:r w:rsidR="008A70C7">
        <w:t>can</w:t>
      </w:r>
      <w:r w:rsidR="009A56B2">
        <w:t xml:space="preserve"> </w:t>
      </w:r>
      <w:r w:rsidR="008A70C7">
        <w:t>secure</w:t>
      </w:r>
      <w:r>
        <w:t xml:space="preserve"> relief </w:t>
      </w:r>
      <w:r w:rsidR="00746C9C">
        <w:t>under</w:t>
      </w:r>
      <w:r>
        <w:t xml:space="preserve"> section 1170.18, subdivision (a), which allows defendants “serving a sentence </w:t>
      </w:r>
      <w:r w:rsidRPr="00D621AB">
        <w:rPr>
          <w:szCs w:val="26"/>
        </w:rPr>
        <w:t>for a conviction . . .</w:t>
      </w:r>
      <w:r w:rsidR="003247AA">
        <w:rPr>
          <w:szCs w:val="26"/>
        </w:rPr>
        <w:t> </w:t>
      </w:r>
      <w:r w:rsidRPr="00D621AB">
        <w:rPr>
          <w:szCs w:val="26"/>
        </w:rPr>
        <w:t xml:space="preserve">of a felony or </w:t>
      </w:r>
      <w:proofErr w:type="gramStart"/>
      <w:r w:rsidRPr="00D621AB">
        <w:rPr>
          <w:szCs w:val="26"/>
        </w:rPr>
        <w:t>felonies”</w:t>
      </w:r>
      <w:proofErr w:type="gramEnd"/>
      <w:r w:rsidRPr="00D621AB">
        <w:rPr>
          <w:szCs w:val="26"/>
        </w:rPr>
        <w:t xml:space="preserve"> on Proposition 47’s effective date of November 5, 2014</w:t>
      </w:r>
      <w:r w:rsidR="00435DD5">
        <w:rPr>
          <w:szCs w:val="26"/>
        </w:rPr>
        <w:t>,</w:t>
      </w:r>
      <w:r>
        <w:t xml:space="preserve"> to petition to reclassify</w:t>
      </w:r>
      <w:r w:rsidR="003F4637">
        <w:t xml:space="preserve"> their eligible felony offenses to misdemeanor shoplifting. (§ 1170.18, subd. (a)</w:t>
      </w:r>
      <w:r w:rsidR="008314C1">
        <w:t>, added by Prop. 47, § 14</w:t>
      </w:r>
      <w:r w:rsidR="003F4637">
        <w:t xml:space="preserve">; </w:t>
      </w:r>
      <w:r w:rsidR="003F4637">
        <w:rPr>
          <w:i/>
        </w:rPr>
        <w:t>People v. Martinez</w:t>
      </w:r>
      <w:r w:rsidR="003F4637">
        <w:t xml:space="preserve"> (2018) 4 Cal.5th 647, </w:t>
      </w:r>
      <w:r w:rsidR="007626F4">
        <w:t>654</w:t>
      </w:r>
      <w:r w:rsidR="003F4637">
        <w:t xml:space="preserve"> (</w:t>
      </w:r>
      <w:r w:rsidR="003F4637">
        <w:rPr>
          <w:i/>
        </w:rPr>
        <w:t>Martinez</w:t>
      </w:r>
      <w:r w:rsidR="003F4637">
        <w:t xml:space="preserve">).)  </w:t>
      </w:r>
      <w:r w:rsidR="00746C9C">
        <w:t>But</w:t>
      </w:r>
      <w:r w:rsidR="003F4637">
        <w:t xml:space="preserve"> Jimenez was not a person “serving a sentence” for his conviction on November 5, 2014.  Indeed, he did not even commit the relevant crime until 2016.  He is ineligible for relief under section 1170.18.  Jimenez, however, is not out of luck.  We have previously held that </w:t>
      </w:r>
      <w:r>
        <w:t>“</w:t>
      </w:r>
      <w:r w:rsidR="003F4637">
        <w:t>[d]</w:t>
      </w:r>
      <w:r w:rsidRPr="00D05AD5">
        <w:t xml:space="preserve">efendants who had not yet been sentenced as of Proposition 47’s effective date </w:t>
      </w:r>
      <w:proofErr w:type="gramStart"/>
      <w:r w:rsidRPr="00D05AD5">
        <w:t>are</w:t>
      </w:r>
      <w:proofErr w:type="gramEnd"/>
      <w:r w:rsidRPr="00D05AD5">
        <w:t xml:space="preserve"> entitled to initial sentencing under Proposition 47’s amended penalty provisions</w:t>
      </w:r>
      <w:r>
        <w:t xml:space="preserve">.”  </w:t>
      </w:r>
      <w:r w:rsidR="00BE4ED5">
        <w:t>(</w:t>
      </w:r>
      <w:r>
        <w:rPr>
          <w:i/>
        </w:rPr>
        <w:t>People v. Lara</w:t>
      </w:r>
      <w:r>
        <w:t xml:space="preserve"> (2019) 6 Cal.5th 1128, 1131.</w:t>
      </w:r>
      <w:r w:rsidR="00BE4ED5">
        <w:t>)</w:t>
      </w:r>
      <w:r>
        <w:t xml:space="preserve">  </w:t>
      </w:r>
      <w:r w:rsidR="003F4637">
        <w:t xml:space="preserve">This seems the more appropriate framework for </w:t>
      </w:r>
      <w:r w:rsidR="003663D4">
        <w:t>Jimenez</w:t>
      </w:r>
      <w:r w:rsidR="003F4637">
        <w:t xml:space="preserve">, who was neither sentenced nor convicted as of Proposition 47’s effective date.  Under either section 1170.18 or the standard in </w:t>
      </w:r>
      <w:r w:rsidR="003F4637">
        <w:rPr>
          <w:i/>
        </w:rPr>
        <w:t>People v. Lara</w:t>
      </w:r>
      <w:r w:rsidR="003F4637">
        <w:t xml:space="preserve">, </w:t>
      </w:r>
      <w:r w:rsidR="003663D4">
        <w:t>Jimenez’s</w:t>
      </w:r>
      <w:r w:rsidR="003F4637">
        <w:t xml:space="preserve"> entitlement to relief</w:t>
      </w:r>
      <w:r w:rsidR="00814ED8">
        <w:t xml:space="preserve"> turns on whether the new shoplifting statute at section 459.5 altered or redefined the offense set forth in section 530.5</w:t>
      </w:r>
      <w:r w:rsidR="006F4C82">
        <w:t>, subdivision (a)</w:t>
      </w:r>
      <w:r w:rsidR="00814ED8">
        <w:t xml:space="preserve"> — in other words, </w:t>
      </w:r>
      <w:r w:rsidR="008F5C3A" w:rsidRPr="008F5C3A">
        <w:t>whether section 459.5 permitted the prosecutor to charge Jimenez with misuse of personal identifying information, or only with shoplifting</w:t>
      </w:r>
      <w:r w:rsidR="00B25B82">
        <w:t>.</w:t>
      </w:r>
    </w:p>
    <w:p w14:paraId="3F33BC46" w14:textId="0D3A525C" w:rsidR="00814ED8" w:rsidRDefault="00814ED8" w:rsidP="007626F4">
      <w:pPr>
        <w:tabs>
          <w:tab w:val="left" w:pos="720"/>
        </w:tabs>
        <w:spacing w:before="240" w:line="400" w:lineRule="atLeast"/>
      </w:pPr>
      <w:r>
        <w:lastRenderedPageBreak/>
        <w:tab/>
        <w:t>The People charged</w:t>
      </w:r>
      <w:r w:rsidR="00CF69F3">
        <w:t xml:space="preserve"> a violation of</w:t>
      </w:r>
      <w:r w:rsidR="00367B6A">
        <w:t xml:space="preserve">, and </w:t>
      </w:r>
      <w:r w:rsidR="007C5F4F">
        <w:t>Jimenez</w:t>
      </w:r>
      <w:r w:rsidR="00367B6A">
        <w:t xml:space="preserve"> was convicted</w:t>
      </w:r>
      <w:r w:rsidR="00F24653">
        <w:t xml:space="preserve"> of violating</w:t>
      </w:r>
      <w:r w:rsidR="007C5F4F">
        <w:t>,</w:t>
      </w:r>
      <w:r w:rsidR="00F24653">
        <w:t xml:space="preserve"> </w:t>
      </w:r>
      <w:r>
        <w:t>section 530.5</w:t>
      </w:r>
      <w:r w:rsidR="00F24653">
        <w:t>, subdivision (a)</w:t>
      </w:r>
      <w:r>
        <w:t>.</w:t>
      </w:r>
      <w:r w:rsidR="00F24653">
        <w:t xml:space="preserve">  E</w:t>
      </w:r>
      <w:r>
        <w:t>ntitled “Unauthorized use of personal identifying information of another person,” it provides:</w:t>
      </w:r>
      <w:r w:rsidR="00F96DD9">
        <w:t xml:space="preserve"> </w:t>
      </w:r>
      <w:r w:rsidR="00194B53">
        <w:t xml:space="preserve"> </w:t>
      </w:r>
      <w:r>
        <w:t>“Every person who willfully obtains personal identifying information</w:t>
      </w:r>
      <w:r w:rsidR="00EE369E">
        <w:t> . . . </w:t>
      </w:r>
      <w:r>
        <w:t>of another person, and uses that information for any unlawful purpose, including to obtain, or attempt to obtain, credit, goods, services, real property, or medical information without the consent of that person, is guilty of a public offense</w:t>
      </w:r>
      <w:r w:rsidR="00EE369E">
        <w:t> . . . .</w:t>
      </w:r>
      <w:r>
        <w:t>”  (§ 530.5</w:t>
      </w:r>
      <w:r w:rsidR="006F4C82">
        <w:t>, subd. (a)</w:t>
      </w:r>
      <w:r>
        <w:t>.)  Personal identifying information is elsewhere defined to include “any name, address, [or</w:t>
      </w:r>
      <w:r w:rsidR="00A021C6">
        <w:t>]</w:t>
      </w:r>
      <w:r>
        <w:t xml:space="preserve"> telephone number,” as well as any “checking account number” and a host of other</w:t>
      </w:r>
      <w:r w:rsidR="00223A47">
        <w:t xml:space="preserve"> personal</w:t>
      </w:r>
      <w:r>
        <w:t xml:space="preserve"> identifying information — from medical information and social security numbers to telecommunications data and mothers</w:t>
      </w:r>
      <w:r w:rsidR="006F4C82">
        <w:t>’</w:t>
      </w:r>
      <w:r>
        <w:t xml:space="preserve"> maiden name</w:t>
      </w:r>
      <w:r w:rsidR="006F4C82">
        <w:t>s</w:t>
      </w:r>
      <w:r>
        <w:t>.  (§ 530.55, subd. (b).)  In short, a conviction under section 530.5</w:t>
      </w:r>
      <w:r w:rsidR="006F4C82">
        <w:t>, subdivision (a)</w:t>
      </w:r>
      <w:r>
        <w:t xml:space="preserve"> requires proof “(1) that the person willfully obtain[ed] personal identifying information belonging to someone else; (2) that the person use[d] that information for any unlawful purpose; and (3) that the person who use</w:t>
      </w:r>
      <w:r w:rsidR="002544F5">
        <w:t>[d]</w:t>
      </w:r>
      <w:r>
        <w:t xml:space="preserve"> the personal identifying information d[id] so without the consent of the person whose personal identifying information [was] being used.”  (</w:t>
      </w:r>
      <w:r>
        <w:rPr>
          <w:i/>
        </w:rPr>
        <w:t>People v. Bollaert</w:t>
      </w:r>
      <w:r>
        <w:t xml:space="preserve"> (2016) 248 Cal.App.4th 699, 708–709</w:t>
      </w:r>
      <w:r w:rsidR="007626F4">
        <w:t xml:space="preserve">, quoting </w:t>
      </w:r>
      <w:r w:rsidR="007626F4" w:rsidRPr="007626F4">
        <w:rPr>
          <w:i/>
        </w:rPr>
        <w:t>People v. Barba</w:t>
      </w:r>
      <w:r w:rsidR="007626F4">
        <w:t xml:space="preserve"> (2012</w:t>
      </w:r>
      <w:r>
        <w:t>)</w:t>
      </w:r>
      <w:r w:rsidR="007626F4">
        <w:t xml:space="preserve"> 211 Cal.Ap</w:t>
      </w:r>
      <w:r w:rsidR="00160E72">
        <w:t>p</w:t>
      </w:r>
      <w:r w:rsidR="007626F4">
        <w:t>.4th 214</w:t>
      </w:r>
      <w:r w:rsidR="00160E72">
        <w:t>,</w:t>
      </w:r>
      <w:r w:rsidR="007626F4">
        <w:t xml:space="preserve"> 223 (</w:t>
      </w:r>
      <w:r w:rsidR="007626F4">
        <w:rPr>
          <w:i/>
        </w:rPr>
        <w:t>Barba</w:t>
      </w:r>
      <w:r w:rsidR="007626F4">
        <w:t>).)</w:t>
      </w:r>
      <w:r>
        <w:t xml:space="preserve">  </w:t>
      </w:r>
    </w:p>
    <w:p w14:paraId="6A557EFD" w14:textId="774D6B5B" w:rsidR="00CB0D70" w:rsidRDefault="00CB0D70" w:rsidP="00443888">
      <w:pPr>
        <w:tabs>
          <w:tab w:val="left" w:pos="720"/>
        </w:tabs>
        <w:spacing w:line="400" w:lineRule="atLeast"/>
      </w:pPr>
      <w:r>
        <w:tab/>
        <w:t>Although lawmakers and the public sometimes refer to section 530.5</w:t>
      </w:r>
      <w:r w:rsidR="006F4C82">
        <w:t>, subdivision (a)</w:t>
      </w:r>
      <w:r>
        <w:t>’s prohibition on the misuse of personally identifying information as “identity theft,” section 530.5</w:t>
      </w:r>
      <w:r w:rsidR="005B1357">
        <w:t xml:space="preserve">, subdivision </w:t>
      </w:r>
      <w:r>
        <w:t xml:space="preserve">(a) makes no mention of theft.  It makes no reference to the consolidated theft offenses in section 484.  (See </w:t>
      </w:r>
      <w:r>
        <w:rPr>
          <w:i/>
        </w:rPr>
        <w:t>Gonzales</w:t>
      </w:r>
      <w:r>
        <w:t xml:space="preserve">, </w:t>
      </w:r>
      <w:r>
        <w:rPr>
          <w:i/>
        </w:rPr>
        <w:t>supra</w:t>
      </w:r>
      <w:r>
        <w:t xml:space="preserve">, 2 Cal.5th at p. 865.)  It contains no </w:t>
      </w:r>
      <w:r>
        <w:lastRenderedPageBreak/>
        <w:t>requirement, “central to the crime of theft[,] that the information be stolen at all” (</w:t>
      </w:r>
      <w:r>
        <w:rPr>
          <w:i/>
        </w:rPr>
        <w:t>People v. Truong</w:t>
      </w:r>
      <w:r>
        <w:t xml:space="preserve"> (2017) 10 Cal.App.5th 551, 562 (</w:t>
      </w:r>
      <w:r>
        <w:rPr>
          <w:i/>
        </w:rPr>
        <w:t>Truong</w:t>
      </w:r>
      <w:r>
        <w:t>)), or that the victim’s information was taken with “the intent to permanent</w:t>
      </w:r>
      <w:r w:rsidR="007626F4">
        <w:t>ly</w:t>
      </w:r>
      <w:r>
        <w:t xml:space="preserve"> deprive the owner of its possession” (</w:t>
      </w:r>
      <w:r w:rsidR="00EE7C61">
        <w:rPr>
          <w:i/>
        </w:rPr>
        <w:t xml:space="preserve">People v. </w:t>
      </w:r>
      <w:r>
        <w:rPr>
          <w:i/>
        </w:rPr>
        <w:t>Page</w:t>
      </w:r>
      <w:r w:rsidR="00EE7C61">
        <w:t xml:space="preserve"> (2017)</w:t>
      </w:r>
      <w:r>
        <w:t xml:space="preserve"> 3 Cal.5th </w:t>
      </w:r>
      <w:r w:rsidR="00EE7C61">
        <w:t>1175,</w:t>
      </w:r>
      <w:r>
        <w:t xml:space="preserve"> 1182</w:t>
      </w:r>
      <w:r w:rsidR="00B52762">
        <w:t xml:space="preserve"> (</w:t>
      </w:r>
      <w:r w:rsidR="00B52762" w:rsidRPr="00B52762">
        <w:rPr>
          <w:i/>
        </w:rPr>
        <w:t>Page</w:t>
      </w:r>
      <w:r w:rsidR="00B52762">
        <w:t>)</w:t>
      </w:r>
      <w:r>
        <w:t xml:space="preserve">).  Indeed, </w:t>
      </w:r>
      <w:r w:rsidR="00CB1180">
        <w:t xml:space="preserve">by its </w:t>
      </w:r>
      <w:r w:rsidR="008A70C7">
        <w:t xml:space="preserve">very </w:t>
      </w:r>
      <w:r w:rsidR="00CB1180">
        <w:t xml:space="preserve">terms, </w:t>
      </w:r>
      <w:r w:rsidR="00D60190">
        <w:t xml:space="preserve">the </w:t>
      </w:r>
      <w:r w:rsidR="00F96DD9">
        <w:t>offense of misuse of personal identifying information</w:t>
      </w:r>
      <w:r>
        <w:t xml:space="preserve"> </w:t>
      </w:r>
      <w:r w:rsidR="008A70C7">
        <w:t>can</w:t>
      </w:r>
      <w:r w:rsidR="00CB1180">
        <w:t xml:space="preserve"> </w:t>
      </w:r>
      <w:r w:rsidR="00F96DD9">
        <w:t>be accomplished by</w:t>
      </w:r>
      <w:r>
        <w:t xml:space="preserve"> </w:t>
      </w:r>
      <w:r w:rsidR="008A70C7">
        <w:t xml:space="preserve">acquiring </w:t>
      </w:r>
      <w:r>
        <w:t xml:space="preserve">the information with </w:t>
      </w:r>
      <w:r w:rsidR="00BD02BF">
        <w:t xml:space="preserve">valid </w:t>
      </w:r>
      <w:r>
        <w:t xml:space="preserve">consent, using it for an unlawful purpose, and returning it. </w:t>
      </w:r>
      <w:r w:rsidR="00746C9C">
        <w:t xml:space="preserve"> </w:t>
      </w:r>
    </w:p>
    <w:p w14:paraId="1C11E1E3" w14:textId="4AC3AF4F" w:rsidR="00FB0DCB" w:rsidRDefault="00FB0DCB" w:rsidP="00443888">
      <w:pPr>
        <w:tabs>
          <w:tab w:val="left" w:pos="720"/>
        </w:tabs>
        <w:spacing w:line="400" w:lineRule="atLeast"/>
      </w:pPr>
      <w:r>
        <w:tab/>
      </w:r>
      <w:r w:rsidR="00746C9C">
        <w:t xml:space="preserve">The </w:t>
      </w:r>
      <w:r>
        <w:t>structure and history of section 530.5 reinforce our understanding that “[t]he grav</w:t>
      </w:r>
      <w:r w:rsidR="007626F4">
        <w:t>a</w:t>
      </w:r>
      <w:r>
        <w:t>men of the</w:t>
      </w:r>
      <w:r w:rsidR="008E3B29">
        <w:t> . . . </w:t>
      </w:r>
      <w:r>
        <w:t>offense is the unlawful use of a victim’s identity.”  (</w:t>
      </w:r>
      <w:r w:rsidR="00857D57">
        <w:rPr>
          <w:i/>
        </w:rPr>
        <w:t>People v. Sanders</w:t>
      </w:r>
      <w:r w:rsidR="00857D57">
        <w:t xml:space="preserve"> (2018) 22 Cal.App.5th 397,</w:t>
      </w:r>
      <w:r>
        <w:t xml:space="preserve"> 400</w:t>
      </w:r>
      <w:r w:rsidR="005E231B">
        <w:t xml:space="preserve"> (</w:t>
      </w:r>
      <w:r w:rsidR="005E231B">
        <w:rPr>
          <w:i/>
        </w:rPr>
        <w:t>Sanders</w:t>
      </w:r>
      <w:r w:rsidR="005E231B">
        <w:t>)</w:t>
      </w:r>
      <w:r>
        <w:t>.)  The Legislature enacted section 530.5 in 1997 as part of a slate of changes to California’s Consumer Credit Reporting Agencies Act.  (</w:t>
      </w:r>
      <w:r w:rsidR="0018735C">
        <w:t>Stats. 1997, ch. 768, § 6, p. 5205</w:t>
      </w:r>
      <w:r>
        <w:t>.)  Until section 530.5 took effect, “law enforcement agencies generally considered the defrauded business entity . . . to be the victim of identity theft, not the person whose identity was stolen so that the fraud could be committed.”  (Sen. Com. on Pub</w:t>
      </w:r>
      <w:r w:rsidR="0018735C">
        <w:t>lic</w:t>
      </w:r>
      <w:r>
        <w:t xml:space="preserve"> Safety</w:t>
      </w:r>
      <w:r w:rsidR="0018735C">
        <w:t>,</w:t>
      </w:r>
      <w:r>
        <w:t xml:space="preserve"> Analysis</w:t>
      </w:r>
      <w:r w:rsidR="0018735C">
        <w:t xml:space="preserve"> of</w:t>
      </w:r>
      <w:r>
        <w:t xml:space="preserve"> Assem. Bill </w:t>
      </w:r>
      <w:r w:rsidR="0018735C">
        <w:t xml:space="preserve">No. </w:t>
      </w:r>
      <w:r>
        <w:t>245 (2001–2002 Reg. Sess.)</w:t>
      </w:r>
      <w:r w:rsidR="00AA64F8">
        <w:t xml:space="preserve"> as amended May 1, 2000</w:t>
      </w:r>
      <w:r w:rsidR="0018735C">
        <w:t>.</w:t>
      </w:r>
      <w:r>
        <w:t xml:space="preserve">)  As a result, victims found it difficult to report </w:t>
      </w:r>
      <w:r w:rsidR="00696DB2">
        <w:t>the crime</w:t>
      </w:r>
      <w:r>
        <w:t>, seek damages, and clear their names.  (</w:t>
      </w:r>
      <w:r>
        <w:rPr>
          <w:i/>
        </w:rPr>
        <w:t>Ibid.</w:t>
      </w:r>
      <w:r>
        <w:t xml:space="preserve">)  </w:t>
      </w:r>
    </w:p>
    <w:p w14:paraId="75137ADB" w14:textId="7A5CC195" w:rsidR="00FB0DCB" w:rsidRPr="00D12C7A" w:rsidRDefault="00FB0DCB" w:rsidP="00443888">
      <w:pPr>
        <w:tabs>
          <w:tab w:val="left" w:pos="720"/>
        </w:tabs>
        <w:spacing w:line="400" w:lineRule="atLeast"/>
      </w:pPr>
      <w:r>
        <w:tab/>
      </w:r>
      <w:r w:rsidR="00746C9C">
        <w:t>T</w:t>
      </w:r>
      <w:r>
        <w:t xml:space="preserve">his vexing </w:t>
      </w:r>
      <w:r w:rsidR="00AD2D6A">
        <w:t>problem</w:t>
      </w:r>
      <w:r w:rsidR="00746C9C">
        <w:t xml:space="preserve"> </w:t>
      </w:r>
      <w:r w:rsidR="00E109C6">
        <w:t>b</w:t>
      </w:r>
      <w:r w:rsidR="00F96DD9">
        <w:t xml:space="preserve">allooned </w:t>
      </w:r>
      <w:r w:rsidR="000D5BB6">
        <w:t>as</w:t>
      </w:r>
      <w:r w:rsidR="00F96DD9">
        <w:t xml:space="preserve"> the</w:t>
      </w:r>
      <w:r w:rsidR="000D5BB6">
        <w:t xml:space="preserve"> expansion of the</w:t>
      </w:r>
      <w:r w:rsidR="00F96DD9">
        <w:t xml:space="preserve"> </w:t>
      </w:r>
      <w:r w:rsidR="0018735C">
        <w:t>I</w:t>
      </w:r>
      <w:r w:rsidR="00F96DD9">
        <w:t>nternet</w:t>
      </w:r>
      <w:r w:rsidR="000D5BB6">
        <w:t xml:space="preserve"> made it easier than ever before to access and misuse personal information</w:t>
      </w:r>
      <w:r w:rsidR="00746C9C">
        <w:t xml:space="preserve">.  As part of a comprehensive attack on </w:t>
      </w:r>
      <w:r w:rsidR="00757A1F">
        <w:t>this growing problem</w:t>
      </w:r>
      <w:r w:rsidR="00746C9C">
        <w:t xml:space="preserve">, </w:t>
      </w:r>
      <w:r>
        <w:t>the bill’s sponsor lobbied to create section 530.5</w:t>
      </w:r>
      <w:r w:rsidR="00746C9C">
        <w:t xml:space="preserve">.  In contrast, </w:t>
      </w:r>
      <w:r>
        <w:t>“existing law [did] not provide any remedy for the real victim:  the person whose credit has been damaged or ruined.”  (</w:t>
      </w:r>
      <w:r w:rsidR="005059AB">
        <w:t xml:space="preserve">Sen. Com. on Public Safety, Analysis of Assem. Bill </w:t>
      </w:r>
      <w:r w:rsidR="005059AB">
        <w:lastRenderedPageBreak/>
        <w:t xml:space="preserve">No. </w:t>
      </w:r>
      <w:r w:rsidR="00A44E69">
        <w:t>156</w:t>
      </w:r>
      <w:r w:rsidR="00D733C1">
        <w:t xml:space="preserve"> (1997–1998 Reg. Sess.)</w:t>
      </w:r>
      <w:r w:rsidR="00757865">
        <w:t xml:space="preserve"> as amended July 3, 1997</w:t>
      </w:r>
      <w:r w:rsidR="00254F37">
        <w:t>, p. 8</w:t>
      </w:r>
      <w:r w:rsidR="00D733C1">
        <w:t>.)</w:t>
      </w:r>
      <w:r>
        <w:t xml:space="preserve">  Instead, </w:t>
      </w:r>
      <w:r w:rsidR="00757865">
        <w:t>the sponsor</w:t>
      </w:r>
      <w:r>
        <w:t xml:space="preserve"> said, “all existing related crimes, such as grand theft (</w:t>
      </w:r>
      <w:r w:rsidR="005E7647">
        <w:t xml:space="preserve">§ </w:t>
      </w:r>
      <w:r>
        <w:t>484), fraudulent use of access cards (</w:t>
      </w:r>
      <w:r w:rsidR="005E7647">
        <w:t xml:space="preserve">§§ </w:t>
      </w:r>
      <w:r>
        <w:t>484d–484i) and using another person’s identification in a financial statement (</w:t>
      </w:r>
      <w:r w:rsidR="005E7647">
        <w:t xml:space="preserve">§ </w:t>
      </w:r>
      <w:r>
        <w:t>532) are crimes against parties other than the person whose identity has been used.”  (</w:t>
      </w:r>
      <w:r w:rsidR="007E1A9A">
        <w:t xml:space="preserve">Sen. Com. on Public Safety, Analysis of Assem. Bill No. 156 (1997–1998 Reg. Sess.) as amended July 3, 1997, </w:t>
      </w:r>
      <w:r w:rsidR="00254F37">
        <w:t xml:space="preserve"> pp. 7–8.</w:t>
      </w:r>
      <w:r>
        <w:t xml:space="preserve">)  </w:t>
      </w:r>
      <w:proofErr w:type="gramStart"/>
      <w:r>
        <w:t>Thus</w:t>
      </w:r>
      <w:proofErr w:type="gramEnd"/>
      <w:r>
        <w:t xml:space="preserve"> was born the offense we now call “identity theft.”  It accompanied a set of reporting and verification requirements for consumer credit agencies, a series of police investigation protocols for identity theft reports, and new procedures by which victims could clear their names and block inaccurate information from their credit files.  (</w:t>
      </w:r>
      <w:r w:rsidR="007626F4">
        <w:rPr>
          <w:i/>
        </w:rPr>
        <w:t>Id</w:t>
      </w:r>
      <w:r>
        <w:rPr>
          <w:i/>
        </w:rPr>
        <w:t>.</w:t>
      </w:r>
      <w:r w:rsidR="007626F4">
        <w:t xml:space="preserve"> at p</w:t>
      </w:r>
      <w:r w:rsidR="00194B53">
        <w:t>p</w:t>
      </w:r>
      <w:r w:rsidR="007626F4">
        <w:t>. 2–3.</w:t>
      </w:r>
      <w:r>
        <w:t>)</w:t>
      </w:r>
      <w:r>
        <w:rPr>
          <w:i/>
        </w:rPr>
        <w:t xml:space="preserve"> </w:t>
      </w:r>
    </w:p>
    <w:p w14:paraId="075D2902" w14:textId="294646DB" w:rsidR="00FB0DCB" w:rsidRPr="00BD7E18" w:rsidRDefault="00FB0DCB" w:rsidP="00443888">
      <w:pPr>
        <w:tabs>
          <w:tab w:val="left" w:pos="720"/>
        </w:tabs>
        <w:spacing w:line="400" w:lineRule="atLeast"/>
      </w:pPr>
      <w:r>
        <w:tab/>
        <w:t xml:space="preserve">Perhaps reflecting legislative concern </w:t>
      </w:r>
      <w:r w:rsidR="00746C9C">
        <w:t>to right-size the</w:t>
      </w:r>
      <w:r>
        <w:t xml:space="preserve"> offense </w:t>
      </w:r>
      <w:r w:rsidR="00746C9C">
        <w:t xml:space="preserve">relative to the </w:t>
      </w:r>
      <w:r>
        <w:t xml:space="preserve">perceived societal harms at issue, </w:t>
      </w:r>
      <w:r w:rsidR="00746C9C">
        <w:t>the Legislature</w:t>
      </w:r>
      <w:r w:rsidR="00757865">
        <w:t xml:space="preserve"> has</w:t>
      </w:r>
      <w:r w:rsidR="00746C9C">
        <w:t xml:space="preserve"> amended </w:t>
      </w:r>
      <w:r>
        <w:t xml:space="preserve">section 530.5 nearly a dozen times since </w:t>
      </w:r>
      <w:r w:rsidR="00746C9C">
        <w:t>its enactment</w:t>
      </w:r>
      <w:r>
        <w:t xml:space="preserve">.  </w:t>
      </w:r>
      <w:r w:rsidR="00757865">
        <w:t>That section</w:t>
      </w:r>
      <w:r w:rsidR="00746C9C">
        <w:t xml:space="preserve"> </w:t>
      </w:r>
      <w:r>
        <w:t xml:space="preserve">currently </w:t>
      </w:r>
      <w:r w:rsidR="00757865">
        <w:t>provides</w:t>
      </w:r>
      <w:r w:rsidR="00023C7C">
        <w:t xml:space="preserve"> </w:t>
      </w:r>
      <w:r w:rsidR="00746C9C">
        <w:t xml:space="preserve">that </w:t>
      </w:r>
      <w:r>
        <w:t>court records “shall reflect that [a] person whose identity was falsely used to commit [a] crime did not commit the crime” (§ 530.5, subd. (b)); creates separate offenses for acquisition or retention (</w:t>
      </w:r>
      <w:r w:rsidR="009C7D02">
        <w:rPr>
          <w:i/>
        </w:rPr>
        <w:t>i</w:t>
      </w:r>
      <w:r w:rsidR="00271E4D">
        <w:rPr>
          <w:i/>
        </w:rPr>
        <w:t>d</w:t>
      </w:r>
      <w:r w:rsidR="00271E4D">
        <w:t>.</w:t>
      </w:r>
      <w:r>
        <w:t>, subd. (c)), and sale or transfer of personal identifying information “with intent to defraud” (</w:t>
      </w:r>
      <w:r w:rsidR="009C7D02">
        <w:rPr>
          <w:i/>
        </w:rPr>
        <w:t>i</w:t>
      </w:r>
      <w:r w:rsidR="00271E4D">
        <w:rPr>
          <w:i/>
        </w:rPr>
        <w:t>d</w:t>
      </w:r>
      <w:r w:rsidR="00271E4D">
        <w:t>.</w:t>
      </w:r>
      <w:r>
        <w:t>, subd. (d)); prohibits mail theft as defined in the United States Code (</w:t>
      </w:r>
      <w:r w:rsidR="009C7D02">
        <w:rPr>
          <w:i/>
        </w:rPr>
        <w:t>i</w:t>
      </w:r>
      <w:r w:rsidR="00271E4D">
        <w:rPr>
          <w:i/>
        </w:rPr>
        <w:t>d</w:t>
      </w:r>
      <w:r w:rsidR="00271E4D">
        <w:t>.</w:t>
      </w:r>
      <w:r>
        <w:t xml:space="preserve">, subd. (e)); and immunizes </w:t>
      </w:r>
      <w:r w:rsidR="0018735C">
        <w:t>I</w:t>
      </w:r>
      <w:r>
        <w:t>nternet service providers from liability for the defined offenses (</w:t>
      </w:r>
      <w:r w:rsidR="009C7D02">
        <w:rPr>
          <w:i/>
        </w:rPr>
        <w:t>i</w:t>
      </w:r>
      <w:r w:rsidR="00271E4D">
        <w:rPr>
          <w:i/>
        </w:rPr>
        <w:t>d</w:t>
      </w:r>
      <w:r w:rsidR="00271E4D">
        <w:t>.</w:t>
      </w:r>
      <w:r>
        <w:t>, subd. (f))</w:t>
      </w:r>
      <w:r w:rsidR="00AE659E">
        <w:t>.</w:t>
      </w:r>
      <w:r>
        <w:t xml:space="preserve"> </w:t>
      </w:r>
    </w:p>
    <w:p w14:paraId="1BFAF889" w14:textId="0818FB48" w:rsidR="00FB0DCB" w:rsidRPr="00D12C7A" w:rsidRDefault="00FB0DCB" w:rsidP="00443888">
      <w:pPr>
        <w:tabs>
          <w:tab w:val="left" w:pos="720"/>
        </w:tabs>
        <w:spacing w:line="400" w:lineRule="atLeast"/>
      </w:pPr>
      <w:r>
        <w:tab/>
        <w:t xml:space="preserve">What this history reflects is a concern for the “ripples of harm” that “flow from the initial misappropriation” of identifying information — harm that often goes “well beyond the actual property obtained.”  (Sen. Com. on Public Safety, </w:t>
      </w:r>
      <w:r>
        <w:lastRenderedPageBreak/>
        <w:t xml:space="preserve">Analysis of Assem. Bill </w:t>
      </w:r>
      <w:r w:rsidR="00AA64F8">
        <w:t xml:space="preserve">No. </w:t>
      </w:r>
      <w:r>
        <w:t>2886 (2005–200</w:t>
      </w:r>
      <w:r w:rsidR="00AA64F8">
        <w:t>6</w:t>
      </w:r>
      <w:r>
        <w:t xml:space="preserve"> Reg. Sess.)</w:t>
      </w:r>
      <w:r w:rsidR="00AA64F8">
        <w:t xml:space="preserve"> as amended May 26, 2006</w:t>
      </w:r>
      <w:r>
        <w:t>.)  Legislators recognized that “[v]ictims cannot easily change their name, birth date, social security number or address, and they should not have to do so.”  (</w:t>
      </w:r>
      <w:r w:rsidRPr="00543366">
        <w:t>Sen. Com. on Pub</w:t>
      </w:r>
      <w:r w:rsidR="00AA64F8">
        <w:t>lic</w:t>
      </w:r>
      <w:r w:rsidRPr="00543366">
        <w:t xml:space="preserve"> Safety, Analysis of Sen. Bill </w:t>
      </w:r>
      <w:r w:rsidR="00AA64F8">
        <w:t xml:space="preserve">No. </w:t>
      </w:r>
      <w:r>
        <w:t>1254 (2001–2002 Reg. Sess.)</w:t>
      </w:r>
      <w:r w:rsidR="00AA64F8">
        <w:t xml:space="preserve"> as amended Mar. 11, 2002, p. 8</w:t>
      </w:r>
      <w:r>
        <w:t>.)  And the Legislature’s continued revision of the statute — generally by broadening its scope — “shows that the felony hinged on the seriousness of the crime and of its consequences, rather than on the type or value of property involved” as in section 459.5.  (</w:t>
      </w:r>
      <w:r w:rsidR="005E7B14">
        <w:rPr>
          <w:i/>
        </w:rPr>
        <w:t>People v. Weir</w:t>
      </w:r>
      <w:r w:rsidR="005E7B14">
        <w:t xml:space="preserve"> (2019) 33 Cal.App.5th 868,</w:t>
      </w:r>
      <w:r>
        <w:t xml:space="preserve"> 875</w:t>
      </w:r>
      <w:r w:rsidR="005E231B">
        <w:t xml:space="preserve"> (</w:t>
      </w:r>
      <w:r w:rsidR="005E231B">
        <w:rPr>
          <w:i/>
        </w:rPr>
        <w:t>Weir</w:t>
      </w:r>
      <w:r w:rsidR="005E231B">
        <w:t>)</w:t>
      </w:r>
      <w:r>
        <w:t xml:space="preserve">.)  Appropriately, then, section 530.5 — unlike the theft offense at issue in </w:t>
      </w:r>
      <w:r>
        <w:rPr>
          <w:i/>
        </w:rPr>
        <w:t>Romanowski</w:t>
      </w:r>
      <w:r w:rsidR="000E1715">
        <w:rPr>
          <w:i/>
        </w:rPr>
        <w:t xml:space="preserve"> </w:t>
      </w:r>
      <w:r>
        <w:t xml:space="preserve">— resides in the chapter of the Penal Code titled “False Personation </w:t>
      </w:r>
      <w:r w:rsidR="00AA64F8">
        <w:t>and</w:t>
      </w:r>
      <w:r>
        <w:t xml:space="preserve"> Cheats,” rather than the chapter titled “Larceny.”  (Cf. </w:t>
      </w:r>
      <w:r>
        <w:rPr>
          <w:i/>
        </w:rPr>
        <w:t>Romanowski</w:t>
      </w:r>
      <w:r>
        <w:t xml:space="preserve">, </w:t>
      </w:r>
      <w:r>
        <w:rPr>
          <w:i/>
        </w:rPr>
        <w:t>supra</w:t>
      </w:r>
      <w:r>
        <w:t xml:space="preserve">, 2 Cal.5th at p. 908; see </w:t>
      </w:r>
      <w:r>
        <w:rPr>
          <w:i/>
        </w:rPr>
        <w:t>Truong</w:t>
      </w:r>
      <w:r>
        <w:t xml:space="preserve">, </w:t>
      </w:r>
      <w:r>
        <w:rPr>
          <w:i/>
        </w:rPr>
        <w:t>supra</w:t>
      </w:r>
      <w:r>
        <w:t xml:space="preserve">, 10 Cal.App.5th at p. 561 [“Although commonly referred to as ‘identity theft’ [citation], the Legislature did not categorize the crime as a theft offense”].) </w:t>
      </w:r>
    </w:p>
    <w:p w14:paraId="6CF5A7CB" w14:textId="5FF93A8D" w:rsidR="00CB0D70" w:rsidRDefault="00CB0D70" w:rsidP="00443888">
      <w:pPr>
        <w:tabs>
          <w:tab w:val="left" w:pos="720"/>
        </w:tabs>
        <w:spacing w:line="400" w:lineRule="atLeast"/>
      </w:pPr>
      <w:r>
        <w:tab/>
      </w:r>
      <w:r w:rsidR="00746C9C">
        <w:t xml:space="preserve">That distinction is no accident. The </w:t>
      </w:r>
      <w:r>
        <w:t>new shoplifting offenses are ill</w:t>
      </w:r>
      <w:r w:rsidR="00AA64F8">
        <w:t>-</w:t>
      </w:r>
      <w:r>
        <w:t xml:space="preserve">suited to punish misuse of identifying information.  (See, e.g., </w:t>
      </w:r>
      <w:r>
        <w:rPr>
          <w:i/>
        </w:rPr>
        <w:t>Weir</w:t>
      </w:r>
      <w:r w:rsidR="005E7B14">
        <w:t>,</w:t>
      </w:r>
      <w:r w:rsidR="005E7B14">
        <w:rPr>
          <w:i/>
        </w:rPr>
        <w:t xml:space="preserve"> supra</w:t>
      </w:r>
      <w:r w:rsidR="005E7B14">
        <w:t>,</w:t>
      </w:r>
      <w:r>
        <w:t xml:space="preserve"> 33 Cal.App.5th 868; </w:t>
      </w:r>
      <w:r w:rsidR="005E231B">
        <w:rPr>
          <w:i/>
        </w:rPr>
        <w:t>Sanders</w:t>
      </w:r>
      <w:r w:rsidR="005E231B">
        <w:t xml:space="preserve">, </w:t>
      </w:r>
      <w:r w:rsidR="005E231B">
        <w:rPr>
          <w:i/>
        </w:rPr>
        <w:t>supra</w:t>
      </w:r>
      <w:r w:rsidR="005E231B">
        <w:t>, 22 Cal.App.5th 397</w:t>
      </w:r>
      <w:r>
        <w:t>;</w:t>
      </w:r>
      <w:r>
        <w:rPr>
          <w:i/>
        </w:rPr>
        <w:t xml:space="preserve"> </w:t>
      </w:r>
      <w:r w:rsidR="002544F5">
        <w:rPr>
          <w:i/>
        </w:rPr>
        <w:t>Truong</w:t>
      </w:r>
      <w:r w:rsidR="002544F5" w:rsidRPr="002544F5">
        <w:t>,</w:t>
      </w:r>
      <w:r w:rsidR="002544F5">
        <w:t xml:space="preserve"> </w:t>
      </w:r>
      <w:r w:rsidR="002544F5">
        <w:rPr>
          <w:i/>
        </w:rPr>
        <w:t>supra</w:t>
      </w:r>
      <w:r w:rsidR="002544F5">
        <w:t>,</w:t>
      </w:r>
      <w:r>
        <w:t xml:space="preserve"> 10 Cal.App.5th 551.)  The offenses are fundamentally different, and they reflect different legislative rationales.  Consider shoplifting, whose rationale we recently discussed in </w:t>
      </w:r>
      <w:r w:rsidR="001F4EC8">
        <w:rPr>
          <w:i/>
        </w:rPr>
        <w:t>People v. Colbert</w:t>
      </w:r>
      <w:r w:rsidR="001F4EC8">
        <w:t xml:space="preserve"> (2019) 6 Cal.5th 596</w:t>
      </w:r>
      <w:r>
        <w:t>.  We explained that unauthorized entries — of the sort still chargeable as burglary — present an increased danger of violence because the entry is unwelcome, unexpected, and results in panic and risk to personal safety.  (</w:t>
      </w:r>
      <w:r w:rsidR="001F4EC8">
        <w:rPr>
          <w:i/>
        </w:rPr>
        <w:t>Id</w:t>
      </w:r>
      <w:r w:rsidR="001F4EC8">
        <w:t>. at p.</w:t>
      </w:r>
      <w:r>
        <w:t xml:space="preserve"> 607.)  In enacting the shoplifting statute, “the electorate </w:t>
      </w:r>
      <w:r>
        <w:lastRenderedPageBreak/>
        <w:t xml:space="preserve">signaled that these interests do not apply in the same way” during the day, when a person is stealing </w:t>
      </w:r>
      <w:r w:rsidR="00CB1180">
        <w:t xml:space="preserve">property worth $950 or less </w:t>
      </w:r>
      <w:r>
        <w:t>“</w:t>
      </w:r>
      <w:r w:rsidR="00793778">
        <w:t>in</w:t>
      </w:r>
      <w:r>
        <w:t xml:space="preserve"> a place where he or she has been </w:t>
      </w:r>
      <w:r w:rsidRPr="00793778">
        <w:rPr>
          <w:i/>
        </w:rPr>
        <w:t>invited</w:t>
      </w:r>
      <w:r>
        <w:t xml:space="preserve"> to peruse the goods and services that are on offer.”  (</w:t>
      </w:r>
      <w:r>
        <w:rPr>
          <w:i/>
        </w:rPr>
        <w:t>Ibid.</w:t>
      </w:r>
      <w:r>
        <w:t xml:space="preserve">)  The physical intrusion element is missing, and with it the danger that makes burglary more culpable than shoplifting.  </w:t>
      </w:r>
    </w:p>
    <w:p w14:paraId="27330890" w14:textId="33E8E56B" w:rsidR="00CB0D70" w:rsidRPr="00CB2455" w:rsidRDefault="00CB0D70" w:rsidP="00443888">
      <w:pPr>
        <w:tabs>
          <w:tab w:val="left" w:pos="720"/>
        </w:tabs>
        <w:spacing w:line="400" w:lineRule="atLeast"/>
        <w:rPr>
          <w:i/>
        </w:rPr>
      </w:pPr>
      <w:r>
        <w:tab/>
        <w:t>Section 530.5</w:t>
      </w:r>
      <w:r w:rsidR="00D733C1">
        <w:t>, subdivision (a)</w:t>
      </w:r>
      <w:r>
        <w:t>, meanwhile, evinces a lack of concern with the time of day, the method of acquiring the information, its value, or even what –– precisely –– is done with it.  The statute prohibits a person from “acquiring, retaining, or using information, rather than taking it,” — itself a fair indicator that the Legislature was concerned with use, not theft.  (</w:t>
      </w:r>
      <w:r w:rsidRPr="00375397">
        <w:rPr>
          <w:i/>
        </w:rPr>
        <w:t>Weir</w:t>
      </w:r>
      <w:r>
        <w:t xml:space="preserve">, </w:t>
      </w:r>
      <w:r>
        <w:rPr>
          <w:i/>
        </w:rPr>
        <w:t>supra</w:t>
      </w:r>
      <w:r>
        <w:t>, 33 Cal.App.5th at p. 874.)</w:t>
      </w:r>
      <w:r>
        <w:rPr>
          <w:i/>
        </w:rPr>
        <w:t xml:space="preserve">  </w:t>
      </w:r>
      <w:r>
        <w:t xml:space="preserve">And on its face, it addresses harms </w:t>
      </w:r>
      <w:r w:rsidR="004551F0">
        <w:t>reaching well beyond</w:t>
      </w:r>
      <w:r>
        <w:t xml:space="preserve"> theft, implicating issues of privacy and control of personal data.  (See </w:t>
      </w:r>
      <w:r w:rsidRPr="004460A9">
        <w:rPr>
          <w:i/>
        </w:rPr>
        <w:t>Barba</w:t>
      </w:r>
      <w:r w:rsidR="007626F4">
        <w:t xml:space="preserve">, </w:t>
      </w:r>
      <w:r w:rsidR="007626F4">
        <w:rPr>
          <w:i/>
        </w:rPr>
        <w:t>supra</w:t>
      </w:r>
      <w:r w:rsidR="00697E89">
        <w:t>,</w:t>
      </w:r>
      <w:r w:rsidR="007626F4">
        <w:t xml:space="preserve"> 211</w:t>
      </w:r>
      <w:r w:rsidR="00023524">
        <w:t xml:space="preserve"> Cal.App.4th</w:t>
      </w:r>
      <w:r w:rsidR="007626F4">
        <w:t xml:space="preserve"> at</w:t>
      </w:r>
      <w:r w:rsidR="00023524">
        <w:t xml:space="preserve"> </w:t>
      </w:r>
      <w:r w:rsidR="007626F4">
        <w:t xml:space="preserve">p. </w:t>
      </w:r>
      <w:r>
        <w:t xml:space="preserve">226 [explaining that the statute aims to “address[] disruptions caused in victims’ lives when their personal identifying information is used”].) </w:t>
      </w:r>
    </w:p>
    <w:p w14:paraId="0F2B04F5" w14:textId="11F995F7" w:rsidR="00CB0D70" w:rsidRDefault="00CB0D70" w:rsidP="00443888">
      <w:pPr>
        <w:tabs>
          <w:tab w:val="left" w:pos="720"/>
        </w:tabs>
        <w:spacing w:line="400" w:lineRule="atLeast"/>
      </w:pPr>
      <w:r>
        <w:tab/>
        <w:t xml:space="preserve">From the language, structure, and history of section 530.5, we glean that its purpose </w:t>
      </w:r>
      <w:r w:rsidR="00746C9C">
        <w:t xml:space="preserve">reaches </w:t>
      </w:r>
      <w:r>
        <w:t>far beyond what Proposition 47 pulled into its orbit.  It is not a theft offense, but “an essentially unique crime.”  (</w:t>
      </w:r>
      <w:r w:rsidR="00A849A7">
        <w:t xml:space="preserve">Sen. Com. on Public Safety, Analysis of Assem. Bill No. 2886, </w:t>
      </w:r>
      <w:r w:rsidR="00A849A7" w:rsidRPr="00A849A7">
        <w:rPr>
          <w:i/>
        </w:rPr>
        <w:t>supra</w:t>
      </w:r>
      <w:r w:rsidR="00A849A7">
        <w:t>, as amended May 26, 2006</w:t>
      </w:r>
      <w:r>
        <w:t xml:space="preserve">.)  </w:t>
      </w:r>
    </w:p>
    <w:p w14:paraId="5194BEB8" w14:textId="77777777" w:rsidR="00E84DB3" w:rsidRPr="00E84DB3" w:rsidRDefault="00E84DB3" w:rsidP="00443888">
      <w:pPr>
        <w:keepNext/>
        <w:tabs>
          <w:tab w:val="left" w:pos="720"/>
        </w:tabs>
        <w:spacing w:line="400" w:lineRule="atLeast"/>
        <w:jc w:val="center"/>
      </w:pPr>
      <w:r w:rsidRPr="00E84DB3">
        <w:t>B.</w:t>
      </w:r>
    </w:p>
    <w:p w14:paraId="3ECAA2F8" w14:textId="29D9EAE5" w:rsidR="00814ED8" w:rsidRDefault="00814ED8" w:rsidP="00443888">
      <w:pPr>
        <w:tabs>
          <w:tab w:val="left" w:pos="720"/>
        </w:tabs>
        <w:spacing w:line="400" w:lineRule="atLeast"/>
      </w:pPr>
      <w:r>
        <w:tab/>
      </w:r>
      <w:r w:rsidR="00D51133">
        <w:t>Perhaps r</w:t>
      </w:r>
      <w:r w:rsidR="00D206F4">
        <w:t xml:space="preserve">ecognizing </w:t>
      </w:r>
      <w:r w:rsidR="00D51133">
        <w:t xml:space="preserve">the mismatch between section 530.5 and Proposition 47, Jimenez focuses his argument on the similarity between his </w:t>
      </w:r>
      <w:r w:rsidR="00D51133">
        <w:rPr>
          <w:i/>
        </w:rPr>
        <w:t xml:space="preserve">conduct </w:t>
      </w:r>
      <w:r w:rsidR="00D51133">
        <w:t xml:space="preserve">and that of the defendant in </w:t>
      </w:r>
      <w:r w:rsidR="00D51133">
        <w:rPr>
          <w:i/>
        </w:rPr>
        <w:t>Gonzales</w:t>
      </w:r>
      <w:r w:rsidR="00D51133">
        <w:t xml:space="preserve">.   The argument is intuitively appealing:  Jimenez did, after all, enter a commercial establishment (Loans Plus) with </w:t>
      </w:r>
      <w:r w:rsidR="00D51133">
        <w:lastRenderedPageBreak/>
        <w:t xml:space="preserve">intent to commit theft by false pretenses — a course of conduct </w:t>
      </w:r>
      <w:r w:rsidR="00746C9C">
        <w:t xml:space="preserve">analogous to what we decided was enough </w:t>
      </w:r>
      <w:r w:rsidR="00D51133">
        <w:t xml:space="preserve">to constitute shoplifting in </w:t>
      </w:r>
      <w:r w:rsidR="00D51133">
        <w:rPr>
          <w:i/>
        </w:rPr>
        <w:t>Gonzales.</w:t>
      </w:r>
      <w:r w:rsidR="00D51133">
        <w:t xml:space="preserve">  (See </w:t>
      </w:r>
      <w:r w:rsidR="00D51133">
        <w:rPr>
          <w:i/>
        </w:rPr>
        <w:t>Gonzales</w:t>
      </w:r>
      <w:r w:rsidR="00D51133">
        <w:t xml:space="preserve">, </w:t>
      </w:r>
      <w:r w:rsidR="00D51133">
        <w:rPr>
          <w:i/>
        </w:rPr>
        <w:t>supra</w:t>
      </w:r>
      <w:r w:rsidR="00D51133">
        <w:t xml:space="preserve">, 2 Cal.5th at p. 862 [holding that because cashing a stolen check is a form of larceny under </w:t>
      </w:r>
      <w:r w:rsidR="00697E89">
        <w:t xml:space="preserve">§ </w:t>
      </w:r>
      <w:r w:rsidR="0088553B">
        <w:t>490, subd</w:t>
      </w:r>
      <w:r w:rsidR="00697E89">
        <w:t>.</w:t>
      </w:r>
      <w:r w:rsidR="0088553B">
        <w:t xml:space="preserve"> (a)</w:t>
      </w:r>
      <w:r w:rsidR="00D51133">
        <w:t xml:space="preserve">, </w:t>
      </w:r>
      <w:r w:rsidR="00AF0548">
        <w:t>a defendant’s conviction for burglary for</w:t>
      </w:r>
      <w:r w:rsidR="00D51133">
        <w:t xml:space="preserve"> </w:t>
      </w:r>
      <w:r w:rsidR="00AF0548">
        <w:t>“</w:t>
      </w:r>
      <w:r w:rsidR="00D51133">
        <w:t>entering a bank to cash a stolen check for less than $950</w:t>
      </w:r>
      <w:r w:rsidR="007022B0">
        <w:t> . . . </w:t>
      </w:r>
      <w:r w:rsidR="00D51133">
        <w:t>constitutes shoplifting under the statute”].)</w:t>
      </w:r>
      <w:r w:rsidR="00D51133">
        <w:rPr>
          <w:i/>
        </w:rPr>
        <w:t xml:space="preserve"> </w:t>
      </w:r>
      <w:r>
        <w:t xml:space="preserve">Jimenez </w:t>
      </w:r>
      <w:r w:rsidR="00D51133">
        <w:t xml:space="preserve">thus </w:t>
      </w:r>
      <w:r>
        <w:t>contends he also committed shoplifting, and, under section 459.5</w:t>
      </w:r>
      <w:r w:rsidR="0088553B">
        <w:t>, subdivision (b)</w:t>
      </w:r>
      <w:r>
        <w:t xml:space="preserve">, an act of shoplifting “shall” be charged as shoplifting.  To Jimenez, this means any conduct that a prosecutor could reasonably treat as fulfilling the elements of shoplifting </w:t>
      </w:r>
      <w:r w:rsidR="00CA5050">
        <w:t xml:space="preserve">must be charged as shoplifting, and </w:t>
      </w:r>
      <w:r>
        <w:t xml:space="preserve">cannot be charged as anything else, including misuse of identifying information.  </w:t>
      </w:r>
    </w:p>
    <w:p w14:paraId="23DA6FC8" w14:textId="7BA89DA5" w:rsidR="00746C9C" w:rsidRDefault="00814ED8" w:rsidP="00443888">
      <w:pPr>
        <w:tabs>
          <w:tab w:val="left" w:pos="720"/>
        </w:tabs>
        <w:spacing w:line="400" w:lineRule="atLeast"/>
      </w:pPr>
      <w:r>
        <w:tab/>
      </w:r>
      <w:r w:rsidR="007F6B8D">
        <w:t xml:space="preserve">Jimenez </w:t>
      </w:r>
      <w:r>
        <w:t xml:space="preserve">builds </w:t>
      </w:r>
      <w:r w:rsidR="00746C9C">
        <w:t xml:space="preserve">scaffolding </w:t>
      </w:r>
      <w:r>
        <w:t xml:space="preserve">on </w:t>
      </w:r>
      <w:r w:rsidR="00746C9C">
        <w:t xml:space="preserve">a </w:t>
      </w:r>
      <w:r>
        <w:t xml:space="preserve">tenuous </w:t>
      </w:r>
      <w:r w:rsidR="00746C9C">
        <w:t>foundation</w:t>
      </w:r>
      <w:r>
        <w:t>.</w:t>
      </w:r>
      <w:r w:rsidR="00746C9C">
        <w:t xml:space="preserve">  </w:t>
      </w:r>
      <w:r w:rsidR="007F6B8D">
        <w:t>His</w:t>
      </w:r>
      <w:r>
        <w:t xml:space="preserve"> argument presumes a defendant’s </w:t>
      </w:r>
      <w:r w:rsidRPr="00431ABF">
        <w:rPr>
          <w:i/>
        </w:rPr>
        <w:t>conduct</w:t>
      </w:r>
      <w:r>
        <w:t xml:space="preserve">, not his crime of conviction, is what Proposition 47 sought to reclassify. </w:t>
      </w:r>
      <w:r w:rsidR="00283A89">
        <w:t xml:space="preserve"> </w:t>
      </w:r>
      <w:r>
        <w:t xml:space="preserve">The Court of Appeal seems to have shared this view when it affirmed the reduction to shoplifting.  It explained:  “Jimenez’s </w:t>
      </w:r>
      <w:r w:rsidRPr="007D4AC4">
        <w:rPr>
          <w:i/>
          <w:iCs/>
        </w:rPr>
        <w:t>conduct</w:t>
      </w:r>
      <w:r>
        <w:t xml:space="preserve"> is identical to Gonzales’s conduct.  They both entered a commercial establishment during business hours for the purpose of cashing stolen checks valued at less than $950 each.”  (</w:t>
      </w:r>
      <w:r>
        <w:rPr>
          <w:i/>
        </w:rPr>
        <w:t>Jimenez</w:t>
      </w:r>
      <w:r>
        <w:t xml:space="preserve">, </w:t>
      </w:r>
      <w:r>
        <w:rPr>
          <w:i/>
        </w:rPr>
        <w:t>supra</w:t>
      </w:r>
      <w:r>
        <w:t xml:space="preserve">, 22 Cal.App.5th at p. 1289, italics added.)  </w:t>
      </w:r>
      <w:r w:rsidR="00496C95">
        <w:t>Yet</w:t>
      </w:r>
      <w:r w:rsidR="00C71A0A">
        <w:t xml:space="preserve"> Jimenez’s conduct, though unquestionably relevant, </w:t>
      </w:r>
      <w:r w:rsidR="003022B0">
        <w:t>bears on only one aspect</w:t>
      </w:r>
      <w:r w:rsidR="00CB1180">
        <w:t xml:space="preserve"> </w:t>
      </w:r>
      <w:r w:rsidR="003022B0">
        <w:t>of our analysis.</w:t>
      </w:r>
      <w:r w:rsidR="00CB1180">
        <w:t xml:space="preserve"> </w:t>
      </w:r>
      <w:r w:rsidR="003022B0">
        <w:t xml:space="preserve"> </w:t>
      </w:r>
      <w:r w:rsidR="00E41DED">
        <w:t>What triggers s</w:t>
      </w:r>
      <w:r w:rsidR="00CB1180">
        <w:t>ection 459.5</w:t>
      </w:r>
      <w:r w:rsidR="00695094">
        <w:t xml:space="preserve">, subdivision </w:t>
      </w:r>
      <w:r w:rsidR="00CB1180">
        <w:t>(b</w:t>
      </w:r>
      <w:r w:rsidR="00E41DED">
        <w:t xml:space="preserve">)’s bar is not only </w:t>
      </w:r>
      <w:r w:rsidR="00CB1180">
        <w:t xml:space="preserve">whether a defendant’s course of conduct includes an act of shoplifting, </w:t>
      </w:r>
      <w:r w:rsidR="007F6E8F">
        <w:t>but</w:t>
      </w:r>
      <w:r w:rsidR="000E1715">
        <w:t xml:space="preserve"> also</w:t>
      </w:r>
      <w:r w:rsidR="007F6E8F">
        <w:t xml:space="preserve"> </w:t>
      </w:r>
      <w:r w:rsidR="00CB1180">
        <w:t xml:space="preserve">whether the charged crime is burglary or theft of the same property.  </w:t>
      </w:r>
      <w:r w:rsidR="00F319DC">
        <w:t>C</w:t>
      </w:r>
      <w:r w:rsidR="00B77E53">
        <w:t>onduct</w:t>
      </w:r>
      <w:r w:rsidR="007F6E8F">
        <w:t xml:space="preserve"> indeed </w:t>
      </w:r>
      <w:r w:rsidR="00B77E53">
        <w:t xml:space="preserve">bears on </w:t>
      </w:r>
      <w:r w:rsidR="00B77E53" w:rsidRPr="00856D61">
        <w:t>whether</w:t>
      </w:r>
      <w:r w:rsidR="00B77E53">
        <w:t xml:space="preserve"> a defendant “may . . .</w:t>
      </w:r>
      <w:r w:rsidR="000E1715">
        <w:t> </w:t>
      </w:r>
      <w:r w:rsidR="00B77E53">
        <w:t xml:space="preserve">be charged with burglary or theft of the </w:t>
      </w:r>
      <w:r w:rsidR="00B77E53">
        <w:lastRenderedPageBreak/>
        <w:t xml:space="preserve">same property,” </w:t>
      </w:r>
      <w:r w:rsidR="00A97B0C">
        <w:t xml:space="preserve">but </w:t>
      </w:r>
      <w:r w:rsidR="00B77E53">
        <w:t>not on whether section 530.5 creates a “theft” offense.  (§ 459.5, subd. (b).)</w:t>
      </w:r>
    </w:p>
    <w:p w14:paraId="2DDA077D" w14:textId="11765657" w:rsidR="00814ED8" w:rsidRPr="00D61ED7" w:rsidRDefault="00746C9C" w:rsidP="00443888">
      <w:pPr>
        <w:tabs>
          <w:tab w:val="left" w:pos="720"/>
        </w:tabs>
        <w:spacing w:line="400" w:lineRule="atLeast"/>
      </w:pPr>
      <w:r>
        <w:tab/>
      </w:r>
      <w:r w:rsidR="00E15156">
        <w:t>As we conveyed in</w:t>
      </w:r>
      <w:r w:rsidR="00814ED8">
        <w:t xml:space="preserve"> </w:t>
      </w:r>
      <w:r w:rsidR="00814ED8">
        <w:rPr>
          <w:i/>
        </w:rPr>
        <w:t>Martinez</w:t>
      </w:r>
      <w:r w:rsidR="008A70C7">
        <w:t>,</w:t>
      </w:r>
      <w:r w:rsidR="00E15156">
        <w:t xml:space="preserve"> </w:t>
      </w:r>
      <w:r w:rsidR="00814ED8">
        <w:t xml:space="preserve">similarity of conduct is not </w:t>
      </w:r>
      <w:r w:rsidR="00DC345A">
        <w:t>pivotal</w:t>
      </w:r>
      <w:r w:rsidR="00814ED8">
        <w:t xml:space="preserve">.  The critical question </w:t>
      </w:r>
      <w:r w:rsidR="00276B32">
        <w:t xml:space="preserve">for reclassification </w:t>
      </w:r>
      <w:r w:rsidR="00814ED8">
        <w:t xml:space="preserve">is whether the felony </w:t>
      </w:r>
      <w:r w:rsidR="00814ED8">
        <w:rPr>
          <w:i/>
        </w:rPr>
        <w:t>offense</w:t>
      </w:r>
      <w:r w:rsidR="00814ED8">
        <w:t xml:space="preserve"> “</w:t>
      </w:r>
      <w:r w:rsidR="00AE659E">
        <w:t> </w:t>
      </w:r>
      <w:r w:rsidR="00814ED8">
        <w:t>‘would have been . . . a misdemeanor under [Proposition 47] had [it] been in effect at the time of the offense.’</w:t>
      </w:r>
      <w:r w:rsidR="00AE659E">
        <w:t> </w:t>
      </w:r>
      <w:r w:rsidR="00814ED8">
        <w:t>”  (</w:t>
      </w:r>
      <w:r w:rsidR="00814ED8">
        <w:rPr>
          <w:i/>
        </w:rPr>
        <w:t>Martinez</w:t>
      </w:r>
      <w:r w:rsidR="00814ED8">
        <w:t xml:space="preserve">, </w:t>
      </w:r>
      <w:r w:rsidR="00814ED8">
        <w:rPr>
          <w:i/>
        </w:rPr>
        <w:t>supra</w:t>
      </w:r>
      <w:r w:rsidR="00814ED8">
        <w:t xml:space="preserve">, 4 Cal.5th at p. 652, </w:t>
      </w:r>
      <w:r w:rsidR="00D17930">
        <w:t>quoting</w:t>
      </w:r>
      <w:r w:rsidR="00814ED8">
        <w:t xml:space="preserve"> § 1170.18, subd. (a).)  </w:t>
      </w:r>
      <w:r w:rsidR="00F96DD9">
        <w:t xml:space="preserve">Under </w:t>
      </w:r>
      <w:r w:rsidR="00F96DD9">
        <w:rPr>
          <w:i/>
        </w:rPr>
        <w:t>People v. Lara</w:t>
      </w:r>
      <w:r w:rsidR="00F96DD9">
        <w:t>, the</w:t>
      </w:r>
      <w:r w:rsidR="00276B32">
        <w:t xml:space="preserve"> question varies only in verb tense:</w:t>
      </w:r>
      <w:r w:rsidR="00194B53">
        <w:t xml:space="preserve"> </w:t>
      </w:r>
      <w:r w:rsidR="00276B32">
        <w:t xml:space="preserve"> Is the felony offense now a misdemeanor under Proposition 47? </w:t>
      </w:r>
      <w:r w:rsidR="00F96DD9">
        <w:t xml:space="preserve">In </w:t>
      </w:r>
      <w:r w:rsidR="00F96DD9">
        <w:rPr>
          <w:i/>
        </w:rPr>
        <w:t>Martinez</w:t>
      </w:r>
      <w:r w:rsidR="00F96DD9">
        <w:t>,</w:t>
      </w:r>
      <w:r w:rsidR="00814ED8">
        <w:t xml:space="preserve"> </w:t>
      </w:r>
      <w:r w:rsidR="00F96DD9">
        <w:t xml:space="preserve">although </w:t>
      </w:r>
      <w:r w:rsidR="00814ED8">
        <w:t>the defendant committed conduct that, under another statute, may well have been reduced to a misdemeanor, we found him ineligible for resentencing because “none of the statutes amended or enacted by Proposition 47 altered the offense [of which he was convicted].”  (</w:t>
      </w:r>
      <w:r w:rsidR="00B95914">
        <w:rPr>
          <w:i/>
        </w:rPr>
        <w:t>Martinez</w:t>
      </w:r>
      <w:r w:rsidR="00B95914">
        <w:t xml:space="preserve">, </w:t>
      </w:r>
      <w:r w:rsidR="00B95914">
        <w:rPr>
          <w:i/>
        </w:rPr>
        <w:t>supra</w:t>
      </w:r>
      <w:r w:rsidR="00B95914">
        <w:t>, 4 Cal.5th at</w:t>
      </w:r>
      <w:r w:rsidR="00814ED8">
        <w:t xml:space="preserve"> p. 653.)  Conversely, though the defendant in </w:t>
      </w:r>
      <w:r w:rsidR="00814ED8">
        <w:rPr>
          <w:i/>
        </w:rPr>
        <w:t>Gonzales</w:t>
      </w:r>
      <w:r w:rsidR="00814ED8">
        <w:t xml:space="preserve"> committed conduct that could have been charged as misuse of identifying information — and, in Jimenez’s case, was — we found him eligible for a reduction because he was charged and convicted of burglary, which Proposition 47 did alter.  (</w:t>
      </w:r>
      <w:r w:rsidR="00814ED8">
        <w:rPr>
          <w:i/>
        </w:rPr>
        <w:t>Gonzales</w:t>
      </w:r>
      <w:r w:rsidR="00814ED8">
        <w:t xml:space="preserve">, </w:t>
      </w:r>
      <w:r w:rsidR="00814ED8">
        <w:rPr>
          <w:i/>
        </w:rPr>
        <w:t>supra</w:t>
      </w:r>
      <w:r w:rsidR="00814ED8">
        <w:t>, 2 Cal.5th at pp. 872, 876.)</w:t>
      </w:r>
      <w:r w:rsidR="00B4236B">
        <w:t xml:space="preserve">  Only if the offense is eligible for reclassification must a court consider whether a defendant’s conduct fulfills the elements of shoplifting, bringing it within Proposition 47’s scope. </w:t>
      </w:r>
    </w:p>
    <w:p w14:paraId="205E1337" w14:textId="704A415A" w:rsidR="00814ED8" w:rsidRPr="00422F49" w:rsidRDefault="00814ED8" w:rsidP="00443888">
      <w:pPr>
        <w:tabs>
          <w:tab w:val="left" w:pos="720"/>
        </w:tabs>
        <w:spacing w:line="400" w:lineRule="atLeast"/>
      </w:pPr>
      <w:r>
        <w:tab/>
        <w:t>We can confirm this categorical understanding of Proposition</w:t>
      </w:r>
      <w:r w:rsidRPr="007022B0">
        <w:rPr>
          <w:szCs w:val="27"/>
        </w:rPr>
        <w:t xml:space="preserve"> 47’s scope through the initiative’s express “purpose and intent”</w:t>
      </w:r>
      <w:r w:rsidR="00130338" w:rsidRPr="007022B0">
        <w:rPr>
          <w:szCs w:val="27"/>
        </w:rPr>
        <w:t xml:space="preserve"> to “[r]</w:t>
      </w:r>
      <w:r w:rsidR="00276B32" w:rsidRPr="007022B0">
        <w:rPr>
          <w:szCs w:val="27"/>
          <w:bdr w:val="none" w:sz="0" w:space="0" w:color="auto" w:frame="1"/>
          <w:lang w:val="en"/>
        </w:rPr>
        <w:t>equire misdemeanors instead of felonies for nonserious, nonviolent crimes like petty theft and drug possession” absent a disqualifying prior.  (Prop. 47, § 3(3).)</w:t>
      </w:r>
      <w:r w:rsidRPr="007022B0">
        <w:rPr>
          <w:szCs w:val="27"/>
        </w:rPr>
        <w:t xml:space="preserve">  In the same terms, the Legislative Analyst explained </w:t>
      </w:r>
      <w:r w:rsidR="00427A2C" w:rsidRPr="007022B0">
        <w:rPr>
          <w:szCs w:val="27"/>
        </w:rPr>
        <w:t xml:space="preserve">that </w:t>
      </w:r>
      <w:r w:rsidRPr="007022B0">
        <w:rPr>
          <w:szCs w:val="27"/>
        </w:rPr>
        <w:t xml:space="preserve">the </w:t>
      </w:r>
      <w:r w:rsidRPr="007022B0">
        <w:rPr>
          <w:szCs w:val="27"/>
        </w:rPr>
        <w:lastRenderedPageBreak/>
        <w:t>initi</w:t>
      </w:r>
      <w:r>
        <w:t xml:space="preserve">ative </w:t>
      </w:r>
      <w:r w:rsidR="00427A2C">
        <w:t xml:space="preserve">applied only to certain kinds of offenses, noting that it </w:t>
      </w:r>
      <w:r>
        <w:t xml:space="preserve">“[r]equires misdemeanor sentenc[ing] instead of felony </w:t>
      </w:r>
      <w:r w:rsidRPr="00A63DC9">
        <w:t xml:space="preserve">for </w:t>
      </w:r>
      <w:r w:rsidR="00A63DC9">
        <w:t>[specified crimes] when</w:t>
      </w:r>
      <w:r w:rsidRPr="00A63DC9">
        <w:t xml:space="preserve"> </w:t>
      </w:r>
      <w:r w:rsidR="00FE38EE" w:rsidRPr="00A63DC9">
        <w:t xml:space="preserve"> </w:t>
      </w:r>
      <w:r>
        <w:t xml:space="preserve">[the] amount involved is $950 or less” and “[r]equires resentencing for persons serving felony sentences </w:t>
      </w:r>
      <w:r w:rsidRPr="00A63DC9">
        <w:t xml:space="preserve">for </w:t>
      </w:r>
      <w:r w:rsidR="00427A2C">
        <w:t>[specified]</w:t>
      </w:r>
      <w:r w:rsidRPr="00A63DC9">
        <w:t xml:space="preserve"> offenses</w:t>
      </w:r>
      <w:r>
        <w:t xml:space="preserve"> unless [a] court finds [an] unreasonable public safety risk.”  (Voter Information Guide,</w:t>
      </w:r>
      <w:r w:rsidR="00B95914">
        <w:t xml:space="preserve"> </w:t>
      </w:r>
      <w:r w:rsidR="00B95914">
        <w:rPr>
          <w:i/>
        </w:rPr>
        <w:t>supra</w:t>
      </w:r>
      <w:r w:rsidR="00B95914">
        <w:t>, analysis of Prop. 47 by Legis. Analyst,</w:t>
      </w:r>
      <w:r>
        <w:t xml:space="preserve"> at p. 34.) </w:t>
      </w:r>
      <w:r w:rsidR="00FE38EE">
        <w:t xml:space="preserve"> While we must be guided by Proposition 47’s intended purpose to </w:t>
      </w:r>
      <w:r w:rsidR="00422F49">
        <w:t xml:space="preserve">reduce punishment for certain nonserious, nonviolent offenses, we are not free to read into it </w:t>
      </w:r>
      <w:r w:rsidR="00422F49">
        <w:rPr>
          <w:i/>
        </w:rPr>
        <w:t>any</w:t>
      </w:r>
      <w:r w:rsidR="00422F49">
        <w:t xml:space="preserve"> offense we </w:t>
      </w:r>
      <w:r w:rsidR="00E475AA">
        <w:t xml:space="preserve">might </w:t>
      </w:r>
      <w:r w:rsidR="00422F49">
        <w:t xml:space="preserve">deem nonserious and nonviolent.  </w:t>
      </w:r>
    </w:p>
    <w:p w14:paraId="11C168A0" w14:textId="01BF5743" w:rsidR="00970589" w:rsidRDefault="00970589" w:rsidP="00443888">
      <w:pPr>
        <w:tabs>
          <w:tab w:val="left" w:pos="720"/>
        </w:tabs>
        <w:spacing w:line="400" w:lineRule="atLeast"/>
      </w:pPr>
      <w:r>
        <w:tab/>
        <w:t xml:space="preserve"> </w:t>
      </w:r>
      <w:r w:rsidR="00617A5C">
        <w:t>“</w:t>
      </w:r>
      <w:r w:rsidR="00873228">
        <w:t>I</w:t>
      </w:r>
      <w:r w:rsidR="00617A5C">
        <w:t xml:space="preserve">dentity theft” is explicitly mentioned only once in Proposition 47: </w:t>
      </w:r>
      <w:r w:rsidR="00194B53">
        <w:t xml:space="preserve"> </w:t>
      </w:r>
      <w:r w:rsidR="00617A5C">
        <w:t>to create an exception to the Proposition’s new rule allowing certain convictions for forgery to be reduced to misdemeanors.  (</w:t>
      </w:r>
      <w:r w:rsidR="001347D6" w:rsidRPr="00AD74F3">
        <w:rPr>
          <w:sz w:val="26"/>
          <w:szCs w:val="26"/>
          <w:bdr w:val="none" w:sz="0" w:space="0" w:color="auto" w:frame="1"/>
          <w:lang w:val="en"/>
        </w:rPr>
        <w:t>Prop. 47, § </w:t>
      </w:r>
      <w:r w:rsidR="001347D6">
        <w:rPr>
          <w:sz w:val="26"/>
          <w:szCs w:val="26"/>
          <w:bdr w:val="none" w:sz="0" w:space="0" w:color="auto" w:frame="1"/>
          <w:lang w:val="en"/>
        </w:rPr>
        <w:t>6</w:t>
      </w:r>
      <w:r w:rsidR="001347D6" w:rsidRPr="00AD74F3">
        <w:rPr>
          <w:sz w:val="26"/>
          <w:szCs w:val="26"/>
          <w:bdr w:val="none" w:sz="0" w:space="0" w:color="auto" w:frame="1"/>
          <w:lang w:val="en"/>
        </w:rPr>
        <w:t>.)</w:t>
      </w:r>
      <w:r w:rsidR="00F139D4">
        <w:rPr>
          <w:sz w:val="26"/>
          <w:szCs w:val="26"/>
          <w:bdr w:val="none" w:sz="0" w:space="0" w:color="auto" w:frame="1"/>
          <w:lang w:val="en"/>
        </w:rPr>
        <w:t xml:space="preserve">  </w:t>
      </w:r>
      <w:r w:rsidR="00504ADD">
        <w:rPr>
          <w:sz w:val="26"/>
          <w:szCs w:val="26"/>
          <w:bdr w:val="none" w:sz="0" w:space="0" w:color="auto" w:frame="1"/>
          <w:lang w:val="en"/>
        </w:rPr>
        <w:t xml:space="preserve">The Legislative Analyst explained: </w:t>
      </w:r>
      <w:r w:rsidR="00194B53">
        <w:rPr>
          <w:sz w:val="26"/>
          <w:szCs w:val="26"/>
          <w:bdr w:val="none" w:sz="0" w:space="0" w:color="auto" w:frame="1"/>
          <w:lang w:val="en"/>
        </w:rPr>
        <w:t xml:space="preserve"> </w:t>
      </w:r>
      <w:r w:rsidR="00504ADD">
        <w:rPr>
          <w:sz w:val="26"/>
          <w:szCs w:val="26"/>
          <w:bdr w:val="none" w:sz="0" w:space="0" w:color="auto" w:frame="1"/>
          <w:lang w:val="en"/>
        </w:rPr>
        <w:t>“</w:t>
      </w:r>
      <w:r w:rsidR="00504ADD" w:rsidRPr="000669D6">
        <w:t xml:space="preserve">Under current law, it is a wobbler crime to forge a check of any amount.  Under this measure, forging a check worth $950 or less would always be a misdemeanor, except that it would remain a wobbler crime if the offender commits </w:t>
      </w:r>
      <w:r w:rsidR="00504ADD" w:rsidRPr="0024447D">
        <w:rPr>
          <w:i/>
        </w:rPr>
        <w:t>identity theft</w:t>
      </w:r>
      <w:r w:rsidR="00504ADD" w:rsidRPr="000669D6">
        <w:t xml:space="preserve"> in connection with forging a check.”  (Voter Information Guide</w:t>
      </w:r>
      <w:r w:rsidR="00B95914">
        <w:t>,</w:t>
      </w:r>
      <w:r w:rsidR="00FF38E4">
        <w:t xml:space="preserve"> </w:t>
      </w:r>
      <w:r w:rsidR="00B95914">
        <w:rPr>
          <w:i/>
        </w:rPr>
        <w:t>supra</w:t>
      </w:r>
      <w:r w:rsidR="00B95914">
        <w:t>, analysis of Prop. 47 by Legis. Analyst, at</w:t>
      </w:r>
      <w:r w:rsidR="00FF38E4">
        <w:t xml:space="preserve"> </w:t>
      </w:r>
      <w:r w:rsidR="00504ADD" w:rsidRPr="000669D6">
        <w:t>p. 35</w:t>
      </w:r>
      <w:r w:rsidR="0024447D">
        <w:t>, italics added</w:t>
      </w:r>
      <w:r w:rsidR="00504ADD" w:rsidRPr="000669D6">
        <w:t>.)</w:t>
      </w:r>
      <w:r w:rsidR="00EE345A">
        <w:t xml:space="preserve">  The voters thus considered misuse of personal identifying information solely in the context of maintaining felony treatment for offenses that otherwise would be reducible to misdemeanors.  </w:t>
      </w:r>
      <w:r w:rsidR="00C15A28">
        <w:t xml:space="preserve">This strongly suggests voters did not intend for “identity theft” convictions to be reduced to misdemeanors under Proposition 47.  </w:t>
      </w:r>
    </w:p>
    <w:p w14:paraId="5413DF6C" w14:textId="72A88B91" w:rsidR="00814ED8" w:rsidRDefault="00814ED8" w:rsidP="00443888">
      <w:pPr>
        <w:tabs>
          <w:tab w:val="left" w:pos="720"/>
        </w:tabs>
        <w:spacing w:line="400" w:lineRule="atLeast"/>
      </w:pPr>
      <w:r>
        <w:tab/>
        <w:t xml:space="preserve">The cases on which Jimenez relies underscore the centrality of the offense charged by the prosecution in the Proposition 47 analysis.  In </w:t>
      </w:r>
      <w:r>
        <w:rPr>
          <w:i/>
        </w:rPr>
        <w:t>Romanowski</w:t>
      </w:r>
      <w:r>
        <w:t xml:space="preserve">, for instance, we </w:t>
      </w:r>
      <w:r>
        <w:lastRenderedPageBreak/>
        <w:t>considered whether section 484e, subdivision (d) — prohibiting theft of access card information — qualifies for resentencing as petty theft under section 490.2.  (</w:t>
      </w:r>
      <w:r>
        <w:rPr>
          <w:i/>
        </w:rPr>
        <w:t>Romanowski</w:t>
      </w:r>
      <w:r>
        <w:t xml:space="preserve">, </w:t>
      </w:r>
      <w:r>
        <w:rPr>
          <w:i/>
        </w:rPr>
        <w:t>supra</w:t>
      </w:r>
      <w:r>
        <w:t xml:space="preserve">, 2 Cal.5th at p. 908.)  It was no small part of our analysis that section 484e explicitly defined theft of access card information as </w:t>
      </w:r>
      <w:r w:rsidRPr="00B95914">
        <w:t>grand theft</w:t>
      </w:r>
      <w:r>
        <w:t>, which pulled it within the ambit of the new petty theft statute.  (</w:t>
      </w:r>
      <w:r w:rsidR="00B95914">
        <w:rPr>
          <w:i/>
        </w:rPr>
        <w:t>Romanowski</w:t>
      </w:r>
      <w:r w:rsidR="00B95914">
        <w:t xml:space="preserve">, </w:t>
      </w:r>
      <w:r w:rsidR="00B95914">
        <w:rPr>
          <w:i/>
        </w:rPr>
        <w:t>supra</w:t>
      </w:r>
      <w:r w:rsidR="00B95914">
        <w:t>, 2 Cal.5th at p. 908.</w:t>
      </w:r>
      <w:r>
        <w:t>)  But we confirmed that the offense also sounded in theft and sat comfortably in the “Larceny” chapter of the Penal Code.  (</w:t>
      </w:r>
      <w:r>
        <w:rPr>
          <w:i/>
        </w:rPr>
        <w:t>Id.</w:t>
      </w:r>
      <w:r>
        <w:t xml:space="preserve"> at pp. 908–909.)  </w:t>
      </w:r>
    </w:p>
    <w:p w14:paraId="196F2627" w14:textId="7BA51EEB" w:rsidR="00814ED8" w:rsidRPr="00B67FA0" w:rsidRDefault="00814ED8" w:rsidP="00443888">
      <w:pPr>
        <w:tabs>
          <w:tab w:val="left" w:pos="720"/>
        </w:tabs>
        <w:spacing w:line="400" w:lineRule="atLeast"/>
      </w:pPr>
      <w:r>
        <w:tab/>
        <w:t xml:space="preserve"> </w:t>
      </w:r>
      <w:r w:rsidR="00EE4472">
        <w:t xml:space="preserve">We did much the same in </w:t>
      </w:r>
      <w:r>
        <w:rPr>
          <w:i/>
        </w:rPr>
        <w:t>Page</w:t>
      </w:r>
      <w:r>
        <w:t xml:space="preserve">, </w:t>
      </w:r>
      <w:r w:rsidR="0070202E">
        <w:rPr>
          <w:i/>
        </w:rPr>
        <w:t>supra</w:t>
      </w:r>
      <w:r w:rsidR="0070202E">
        <w:t xml:space="preserve">, 3 Cal.5th at </w:t>
      </w:r>
      <w:r w:rsidR="005243A2">
        <w:t>page</w:t>
      </w:r>
      <w:r w:rsidR="0070202E">
        <w:t xml:space="preserve"> 1180</w:t>
      </w:r>
      <w:r w:rsidR="00C60C9D">
        <w:t>.  W</w:t>
      </w:r>
      <w:r w:rsidR="00EE4472">
        <w:t xml:space="preserve">hat we </w:t>
      </w:r>
      <w:r>
        <w:t>decided</w:t>
      </w:r>
      <w:r w:rsidR="00EE4472">
        <w:t xml:space="preserve"> is</w:t>
      </w:r>
      <w:r>
        <w:t xml:space="preserve"> that one version of Vehicle Code section 10851 — “taking or driving a vehicle without the owner’s consent” — established an offense qualifying as petty theft under the new </w:t>
      </w:r>
      <w:r w:rsidR="0070202E">
        <w:t xml:space="preserve">Penal Code </w:t>
      </w:r>
      <w:r>
        <w:t>section 490.2.  As a carve-out for offenses otherwise deemed grand theft, that section mandates misdemeanor punishment for a defendant who “obtain[ed] any property by theft” where the value of the property was $950 or less.  (</w:t>
      </w:r>
      <w:r>
        <w:rPr>
          <w:i/>
        </w:rPr>
        <w:t>Page</w:t>
      </w:r>
      <w:r>
        <w:t xml:space="preserve">, </w:t>
      </w:r>
      <w:r>
        <w:rPr>
          <w:i/>
        </w:rPr>
        <w:t>supra</w:t>
      </w:r>
      <w:r>
        <w:t>, 3 Cal.5th at pp. 1180, 1183.)  Although Vehicle Code section 10851 did not “expressly designate the offense as ‘grand theft’</w:t>
      </w:r>
      <w:r w:rsidR="009C7D02">
        <w:t> </w:t>
      </w:r>
      <w:r>
        <w:t>” and its prohibitions swept more broadly than “theft,” we had previously identified a theft and non-theft way to commit the offense.  (</w:t>
      </w:r>
      <w:r>
        <w:rPr>
          <w:i/>
        </w:rPr>
        <w:t>Id.</w:t>
      </w:r>
      <w:r>
        <w:t xml:space="preserve"> at p. 1182.)  The theft version of the vehicular offense fully mapped on to the new petty theft statute, and we thus concluded that version, alone, was eligible for reduction:  “</w:t>
      </w:r>
      <w:r w:rsidR="00757A1F">
        <w:t> </w:t>
      </w:r>
      <w:r>
        <w:t xml:space="preserve">‘[A] defendant convicted under section 10851(a) of unlawfully </w:t>
      </w:r>
      <w:r>
        <w:rPr>
          <w:i/>
        </w:rPr>
        <w:t xml:space="preserve">taking </w:t>
      </w:r>
      <w:r>
        <w:t>a vehicle with the intent to permanently deprive the owner of possession’ has been convicted of stealing the vehicle.”  (</w:t>
      </w:r>
      <w:r>
        <w:rPr>
          <w:i/>
        </w:rPr>
        <w:t>Id.</w:t>
      </w:r>
      <w:r>
        <w:t xml:space="preserve"> at p. 1184.)  </w:t>
      </w:r>
    </w:p>
    <w:p w14:paraId="58175991" w14:textId="6766AFA0" w:rsidR="00814ED8" w:rsidRPr="00FB421C" w:rsidRDefault="00814ED8" w:rsidP="00443888">
      <w:pPr>
        <w:tabs>
          <w:tab w:val="left" w:pos="720"/>
        </w:tabs>
        <w:spacing w:line="400" w:lineRule="atLeast"/>
      </w:pPr>
      <w:r>
        <w:tab/>
        <w:t xml:space="preserve">The same doesn’t hold for Jimenez’s offense.  Where Vehicle Code section 10851 contemplates two permutations — </w:t>
      </w:r>
      <w:r>
        <w:lastRenderedPageBreak/>
        <w:t xml:space="preserve">one fully satisfying the elements of petty theft after Proposition 47 — </w:t>
      </w:r>
      <w:r w:rsidR="004B6704">
        <w:t xml:space="preserve">Penal Code </w:t>
      </w:r>
      <w:r>
        <w:t>section 530.5</w:t>
      </w:r>
      <w:r w:rsidR="004E7EC8">
        <w:t>, subdivision (a)</w:t>
      </w:r>
      <w:r>
        <w:t xml:space="preserve"> contains no separate provision that, when violated, exclusively constitutes shoplifting or even theft.  Instead the offense defined in section 530.5</w:t>
      </w:r>
      <w:r w:rsidR="004E7EC8">
        <w:t>, subdivision (a)</w:t>
      </w:r>
      <w:r>
        <w:t xml:space="preserve"> always requires more than “entering a commercial establishment with intent to commit larceny” during business hours — so proving shoplifting is not sufficient to prove misuse of identifying information under section 530.5</w:t>
      </w:r>
      <w:r w:rsidR="004E7EC8">
        <w:t>, subdivision (a)</w:t>
      </w:r>
      <w:r>
        <w:t>.  (See</w:t>
      </w:r>
      <w:r w:rsidR="00570DCA">
        <w:t xml:space="preserve"> </w:t>
      </w:r>
      <w:r>
        <w:t>§ 459.5</w:t>
      </w:r>
      <w:r w:rsidR="004E7EC8">
        <w:t>, subd. (a)</w:t>
      </w:r>
      <w:r>
        <w:t xml:space="preserve">; </w:t>
      </w:r>
      <w:r>
        <w:rPr>
          <w:i/>
        </w:rPr>
        <w:t>People v. Soto</w:t>
      </w:r>
      <w:r>
        <w:t xml:space="preserve"> (2018) 23 Cal.App.5th 813, 822 [distinguishing </w:t>
      </w:r>
      <w:r>
        <w:rPr>
          <w:i/>
        </w:rPr>
        <w:t>Page</w:t>
      </w:r>
      <w:r>
        <w:t xml:space="preserve"> and </w:t>
      </w:r>
      <w:r>
        <w:rPr>
          <w:i/>
        </w:rPr>
        <w:t>Romanowski</w:t>
      </w:r>
      <w:r>
        <w:t xml:space="preserve"> from offenses that are “not identified as grand theft and require[] </w:t>
      </w:r>
      <w:r>
        <w:rPr>
          <w:i/>
        </w:rPr>
        <w:t>additional necessary elements</w:t>
      </w:r>
      <w:r>
        <w:t xml:space="preserve"> beyond</w:t>
      </w:r>
      <w:r w:rsidR="00A67E1D">
        <w:t> . . . </w:t>
      </w:r>
      <w:r>
        <w:t>theft”</w:t>
      </w:r>
      <w:r w:rsidR="00A67E1D">
        <w:t>]</w:t>
      </w:r>
      <w:r>
        <w:t xml:space="preserve">.)  </w:t>
      </w:r>
      <w:r w:rsidR="006330E3">
        <w:t>Section 530.5</w:t>
      </w:r>
      <w:r w:rsidR="004E7EC8">
        <w:t>, subdivision (a)</w:t>
      </w:r>
      <w:r w:rsidR="006330E3">
        <w:t xml:space="preserve"> also requires much </w:t>
      </w:r>
      <w:r w:rsidR="006330E3">
        <w:rPr>
          <w:i/>
        </w:rPr>
        <w:t>less</w:t>
      </w:r>
      <w:r w:rsidR="006330E3">
        <w:t xml:space="preserve"> than t</w:t>
      </w:r>
      <w:r w:rsidR="00F96DD9">
        <w:t>he elements specified in section 459.5</w:t>
      </w:r>
      <w:r w:rsidR="00FB421C">
        <w:t>; indeed</w:t>
      </w:r>
      <w:r w:rsidR="00E55CE0">
        <w:t>,</w:t>
      </w:r>
      <w:r w:rsidR="00FB421C">
        <w:t xml:space="preserve"> misuse of personal identifying information contains </w:t>
      </w:r>
      <w:r w:rsidR="00FB421C">
        <w:rPr>
          <w:i/>
        </w:rPr>
        <w:t>none</w:t>
      </w:r>
      <w:r w:rsidR="00FB421C">
        <w:t xml:space="preserve"> of the elements of section 459.5</w:t>
      </w:r>
      <w:r w:rsidR="004E7EC8">
        <w:t>, subdivision (a)</w:t>
      </w:r>
      <w:r w:rsidR="00FB421C">
        <w:t>.  (Compare</w:t>
      </w:r>
      <w:r w:rsidR="00570DCA">
        <w:t xml:space="preserve"> </w:t>
      </w:r>
      <w:r w:rsidR="00FB421C">
        <w:t>§ 530.5</w:t>
      </w:r>
      <w:r w:rsidR="004E7EC8">
        <w:t>, subd. (a)</w:t>
      </w:r>
      <w:r w:rsidR="00FB421C">
        <w:t xml:space="preserve"> [“</w:t>
      </w:r>
      <w:r w:rsidR="00FB421C" w:rsidRPr="00FB421C">
        <w:t>Every person who willfully obtains personal identifying information</w:t>
      </w:r>
      <w:r w:rsidR="00FB421C">
        <w:t> . . . </w:t>
      </w:r>
      <w:r w:rsidR="00FB421C" w:rsidRPr="00FB421C">
        <w:t xml:space="preserve">of another </w:t>
      </w:r>
      <w:proofErr w:type="gramStart"/>
      <w:r w:rsidR="00FB421C" w:rsidRPr="00FB421C">
        <w:t>person, and</w:t>
      </w:r>
      <w:proofErr w:type="gramEnd"/>
      <w:r w:rsidR="00FB421C" w:rsidRPr="00FB421C">
        <w:t xml:space="preserve"> uses that information for any unlawful purpose</w:t>
      </w:r>
      <w:r w:rsidR="00FB421C">
        <w:t> . . . </w:t>
      </w:r>
      <w:r w:rsidR="00FB421C" w:rsidRPr="00FB421C">
        <w:t>is guilty of a public offense</w:t>
      </w:r>
      <w:r w:rsidR="00FB421C">
        <w:t>”] with § 459.5</w:t>
      </w:r>
      <w:r w:rsidR="004E7EC8">
        <w:t>, subd. (a)</w:t>
      </w:r>
      <w:r w:rsidR="00FB421C">
        <w:t xml:space="preserve"> [“</w:t>
      </w:r>
      <w:r w:rsidR="00FB421C" w:rsidRPr="00FB421C">
        <w:t>shoplifting is defined as entering a commercial establishment with intent to commit larceny while that establishment is open during regular business hours, where the value of the property that is taken or intended to be taken does not exceed nine hundred fifty dollars ($950)</w:t>
      </w:r>
      <w:r w:rsidR="00FB421C">
        <w:t>”].)</w:t>
      </w:r>
    </w:p>
    <w:p w14:paraId="48A17D2C" w14:textId="7F936BE9" w:rsidR="00746C9C" w:rsidRDefault="00814ED8" w:rsidP="00443888">
      <w:pPr>
        <w:tabs>
          <w:tab w:val="left" w:pos="720"/>
        </w:tabs>
        <w:spacing w:line="400" w:lineRule="atLeast"/>
        <w:rPr>
          <w:szCs w:val="27"/>
        </w:rPr>
      </w:pPr>
      <w:r w:rsidRPr="007E1184">
        <w:rPr>
          <w:szCs w:val="27"/>
        </w:rPr>
        <w:tab/>
        <w:t xml:space="preserve">Jimenez nonetheless maintains that we used unequivocal language in </w:t>
      </w:r>
      <w:r w:rsidRPr="007E1184">
        <w:rPr>
          <w:i/>
          <w:szCs w:val="27"/>
        </w:rPr>
        <w:t>Gonzales</w:t>
      </w:r>
      <w:r w:rsidRPr="007E1184">
        <w:rPr>
          <w:iCs/>
          <w:szCs w:val="27"/>
        </w:rPr>
        <w:t xml:space="preserve"> </w:t>
      </w:r>
      <w:r w:rsidR="007E1184">
        <w:rPr>
          <w:iCs/>
          <w:szCs w:val="27"/>
        </w:rPr>
        <w:t xml:space="preserve">to </w:t>
      </w:r>
      <w:r w:rsidR="00746C9C">
        <w:rPr>
          <w:iCs/>
          <w:szCs w:val="27"/>
        </w:rPr>
        <w:t xml:space="preserve">hold </w:t>
      </w:r>
      <w:r w:rsidR="007E1184">
        <w:rPr>
          <w:iCs/>
          <w:szCs w:val="27"/>
        </w:rPr>
        <w:t>that</w:t>
      </w:r>
      <w:r w:rsidRPr="007E1184">
        <w:rPr>
          <w:iCs/>
          <w:szCs w:val="27"/>
        </w:rPr>
        <w:t xml:space="preserve"> the only permissible charge in a case with facts </w:t>
      </w:r>
      <w:r w:rsidR="00746C9C">
        <w:rPr>
          <w:iCs/>
          <w:szCs w:val="27"/>
        </w:rPr>
        <w:t xml:space="preserve">analogous to those in this case </w:t>
      </w:r>
      <w:r w:rsidRPr="007E1184">
        <w:rPr>
          <w:iCs/>
          <w:szCs w:val="27"/>
        </w:rPr>
        <w:t>is shoplifting.</w:t>
      </w:r>
      <w:r w:rsidRPr="007E1184">
        <w:rPr>
          <w:szCs w:val="27"/>
        </w:rPr>
        <w:t xml:space="preserve"> “A defendant must be charged only with shoplifting when the statute applies,” we wrote, because “[i]t expressly prohibits alternate charging and ensures only misdemeanor treatment for </w:t>
      </w:r>
      <w:r w:rsidRPr="007E1184">
        <w:rPr>
          <w:szCs w:val="27"/>
        </w:rPr>
        <w:lastRenderedPageBreak/>
        <w:t>the underlying described conduct.”  (</w:t>
      </w:r>
      <w:r w:rsidRPr="007E1184">
        <w:rPr>
          <w:i/>
          <w:szCs w:val="27"/>
        </w:rPr>
        <w:t>Gonzales</w:t>
      </w:r>
      <w:r w:rsidRPr="007E1184">
        <w:rPr>
          <w:szCs w:val="27"/>
        </w:rPr>
        <w:t xml:space="preserve">, </w:t>
      </w:r>
      <w:r w:rsidRPr="007E1184">
        <w:rPr>
          <w:i/>
          <w:szCs w:val="27"/>
        </w:rPr>
        <w:t>supra</w:t>
      </w:r>
      <w:r w:rsidRPr="007E1184">
        <w:rPr>
          <w:szCs w:val="27"/>
        </w:rPr>
        <w:t xml:space="preserve">, 2 Cal.5th at p. 876.)  </w:t>
      </w:r>
      <w:r w:rsidR="0002642C" w:rsidRPr="007E1184">
        <w:rPr>
          <w:szCs w:val="27"/>
        </w:rPr>
        <w:t xml:space="preserve">Jimenez </w:t>
      </w:r>
      <w:r w:rsidR="007E1184">
        <w:rPr>
          <w:szCs w:val="27"/>
        </w:rPr>
        <w:t xml:space="preserve">further </w:t>
      </w:r>
      <w:r w:rsidR="0002642C" w:rsidRPr="007E1184">
        <w:rPr>
          <w:szCs w:val="27"/>
        </w:rPr>
        <w:t xml:space="preserve">argues that </w:t>
      </w:r>
      <w:r w:rsidR="0002642C" w:rsidRPr="007E1184">
        <w:rPr>
          <w:i/>
          <w:szCs w:val="27"/>
        </w:rPr>
        <w:t xml:space="preserve">Gonzales </w:t>
      </w:r>
      <w:r w:rsidR="007E1184">
        <w:rPr>
          <w:szCs w:val="27"/>
        </w:rPr>
        <w:t>stands for the proposition that</w:t>
      </w:r>
      <w:r w:rsidR="0002642C" w:rsidRPr="007E1184">
        <w:rPr>
          <w:szCs w:val="27"/>
        </w:rPr>
        <w:t xml:space="preserve"> </w:t>
      </w:r>
      <w:r w:rsidR="007E1184">
        <w:rPr>
          <w:szCs w:val="27"/>
        </w:rPr>
        <w:t>whenever</w:t>
      </w:r>
      <w:r w:rsidR="0002642C" w:rsidRPr="007E1184">
        <w:rPr>
          <w:szCs w:val="27"/>
        </w:rPr>
        <w:t xml:space="preserve"> </w:t>
      </w:r>
      <w:r w:rsidR="007E1184">
        <w:rPr>
          <w:szCs w:val="27"/>
        </w:rPr>
        <w:t>a</w:t>
      </w:r>
      <w:r w:rsidR="0002642C" w:rsidRPr="007E1184">
        <w:rPr>
          <w:szCs w:val="27"/>
        </w:rPr>
        <w:t xml:space="preserve"> defendant’s conduct constitutes shoplifting, it can only be </w:t>
      </w:r>
      <w:r w:rsidR="004E7EC8" w:rsidRPr="007E1184">
        <w:rPr>
          <w:szCs w:val="27"/>
        </w:rPr>
        <w:t>cha</w:t>
      </w:r>
      <w:r w:rsidR="004E7EC8">
        <w:rPr>
          <w:szCs w:val="27"/>
        </w:rPr>
        <w:t>r</w:t>
      </w:r>
      <w:r w:rsidR="004E7EC8" w:rsidRPr="007E1184">
        <w:rPr>
          <w:szCs w:val="27"/>
        </w:rPr>
        <w:t xml:space="preserve">ged </w:t>
      </w:r>
      <w:r w:rsidR="0002642C" w:rsidRPr="007E1184">
        <w:rPr>
          <w:szCs w:val="27"/>
        </w:rPr>
        <w:t xml:space="preserve">as shoplifting.  </w:t>
      </w:r>
    </w:p>
    <w:p w14:paraId="673806D4" w14:textId="22B3C811" w:rsidR="00B45845" w:rsidRDefault="00746C9C" w:rsidP="00B45845">
      <w:pPr>
        <w:tabs>
          <w:tab w:val="left" w:pos="720"/>
        </w:tabs>
        <w:spacing w:line="400" w:lineRule="atLeast"/>
        <w:rPr>
          <w:szCs w:val="27"/>
        </w:rPr>
      </w:pPr>
      <w:r>
        <w:rPr>
          <w:szCs w:val="27"/>
        </w:rPr>
        <w:tab/>
      </w:r>
      <w:r w:rsidR="00F571A0">
        <w:rPr>
          <w:szCs w:val="27"/>
        </w:rPr>
        <w:t xml:space="preserve">This argument misses the mark.  </w:t>
      </w:r>
      <w:r w:rsidR="0002642C" w:rsidRPr="007E1184">
        <w:rPr>
          <w:i/>
          <w:szCs w:val="27"/>
        </w:rPr>
        <w:t>Gonzales</w:t>
      </w:r>
      <w:r>
        <w:rPr>
          <w:szCs w:val="27"/>
        </w:rPr>
        <w:t xml:space="preserve"> </w:t>
      </w:r>
      <w:r w:rsidR="0023609A">
        <w:rPr>
          <w:szCs w:val="27"/>
        </w:rPr>
        <w:t>resolved</w:t>
      </w:r>
      <w:r>
        <w:rPr>
          <w:szCs w:val="27"/>
        </w:rPr>
        <w:t xml:space="preserve"> </w:t>
      </w:r>
      <w:r w:rsidR="0002642C" w:rsidRPr="007E1184">
        <w:rPr>
          <w:szCs w:val="27"/>
        </w:rPr>
        <w:t xml:space="preserve">a different question: </w:t>
      </w:r>
      <w:r w:rsidR="00194B53">
        <w:rPr>
          <w:szCs w:val="27"/>
        </w:rPr>
        <w:t xml:space="preserve"> </w:t>
      </w:r>
      <w:r w:rsidR="0002642C" w:rsidRPr="007E1184">
        <w:rPr>
          <w:szCs w:val="27"/>
        </w:rPr>
        <w:t xml:space="preserve">whether </w:t>
      </w:r>
      <w:r w:rsidR="00023C7C">
        <w:rPr>
          <w:szCs w:val="27"/>
        </w:rPr>
        <w:t xml:space="preserve">a </w:t>
      </w:r>
      <w:r>
        <w:rPr>
          <w:szCs w:val="27"/>
        </w:rPr>
        <w:t>defendant was eligible for misdemeanor shoplifting resentencing under Proposition 47 when his</w:t>
      </w:r>
      <w:r w:rsidRPr="007E1184">
        <w:rPr>
          <w:szCs w:val="27"/>
        </w:rPr>
        <w:t xml:space="preserve"> </w:t>
      </w:r>
      <w:r w:rsidR="0002642C" w:rsidRPr="007E1184">
        <w:rPr>
          <w:szCs w:val="27"/>
        </w:rPr>
        <w:t xml:space="preserve">conviction </w:t>
      </w:r>
      <w:r w:rsidR="008A6368">
        <w:rPr>
          <w:szCs w:val="27"/>
        </w:rPr>
        <w:t xml:space="preserve">was </w:t>
      </w:r>
      <w:r w:rsidR="0002642C" w:rsidRPr="007E1184">
        <w:rPr>
          <w:szCs w:val="27"/>
        </w:rPr>
        <w:t>for burglary</w:t>
      </w:r>
      <w:r>
        <w:rPr>
          <w:szCs w:val="27"/>
        </w:rPr>
        <w:t xml:space="preserve"> </w:t>
      </w:r>
      <w:r w:rsidR="00B22413" w:rsidRPr="007E1184">
        <w:rPr>
          <w:szCs w:val="27"/>
        </w:rPr>
        <w:t xml:space="preserve">based on a course of conduct involving entering a store to cash a fraudulent check.  Our decision in </w:t>
      </w:r>
      <w:r w:rsidR="00B22413" w:rsidRPr="007E1184">
        <w:rPr>
          <w:i/>
          <w:szCs w:val="27"/>
        </w:rPr>
        <w:t>Gonzales</w:t>
      </w:r>
      <w:r w:rsidR="00B22413" w:rsidRPr="007E1184">
        <w:rPr>
          <w:szCs w:val="27"/>
        </w:rPr>
        <w:t xml:space="preserve"> explained that</w:t>
      </w:r>
      <w:r w:rsidR="004333B8" w:rsidRPr="007E1184">
        <w:rPr>
          <w:szCs w:val="27"/>
        </w:rPr>
        <w:t xml:space="preserve"> </w:t>
      </w:r>
      <w:r w:rsidR="00B22413" w:rsidRPr="007E1184">
        <w:rPr>
          <w:szCs w:val="27"/>
        </w:rPr>
        <w:t xml:space="preserve">the defendant </w:t>
      </w:r>
      <w:r w:rsidR="004333B8" w:rsidRPr="007E1184">
        <w:rPr>
          <w:szCs w:val="27"/>
        </w:rPr>
        <w:t xml:space="preserve">was eligible for resentencing </w:t>
      </w:r>
      <w:r>
        <w:rPr>
          <w:szCs w:val="27"/>
        </w:rPr>
        <w:t xml:space="preserve">on those facts </w:t>
      </w:r>
      <w:r w:rsidR="004333B8" w:rsidRPr="007E1184">
        <w:rPr>
          <w:szCs w:val="27"/>
        </w:rPr>
        <w:t xml:space="preserve">because </w:t>
      </w:r>
      <w:r>
        <w:rPr>
          <w:szCs w:val="27"/>
        </w:rPr>
        <w:t xml:space="preserve">of </w:t>
      </w:r>
      <w:r w:rsidR="00D96920">
        <w:rPr>
          <w:szCs w:val="27"/>
        </w:rPr>
        <w:t>what was essentially a</w:t>
      </w:r>
      <w:r>
        <w:rPr>
          <w:szCs w:val="27"/>
        </w:rPr>
        <w:t xml:space="preserve"> perfect overlap between the</w:t>
      </w:r>
      <w:r w:rsidR="004333B8" w:rsidRPr="007E1184">
        <w:rPr>
          <w:szCs w:val="27"/>
        </w:rPr>
        <w:t xml:space="preserve"> </w:t>
      </w:r>
      <w:r>
        <w:rPr>
          <w:szCs w:val="27"/>
        </w:rPr>
        <w:t xml:space="preserve">charged </w:t>
      </w:r>
      <w:r w:rsidR="004333B8" w:rsidRPr="007E1184">
        <w:rPr>
          <w:szCs w:val="27"/>
        </w:rPr>
        <w:t xml:space="preserve">burglary </w:t>
      </w:r>
      <w:r>
        <w:rPr>
          <w:szCs w:val="27"/>
        </w:rPr>
        <w:t xml:space="preserve">and the facts that would have supported the shoplifting charge:  </w:t>
      </w:r>
      <w:r w:rsidR="00194B53">
        <w:rPr>
          <w:szCs w:val="27"/>
        </w:rPr>
        <w:t>The</w:t>
      </w:r>
      <w:r w:rsidR="00194B53" w:rsidRPr="007E1184">
        <w:rPr>
          <w:szCs w:val="27"/>
        </w:rPr>
        <w:t xml:space="preserve"> </w:t>
      </w:r>
      <w:r w:rsidR="00B22413" w:rsidRPr="007E1184">
        <w:rPr>
          <w:szCs w:val="27"/>
        </w:rPr>
        <w:t xml:space="preserve">course of conduct rested on </w:t>
      </w:r>
      <w:r>
        <w:rPr>
          <w:szCs w:val="27"/>
        </w:rPr>
        <w:t xml:space="preserve">precisely </w:t>
      </w:r>
      <w:r w:rsidR="00B22413" w:rsidRPr="007E1184">
        <w:rPr>
          <w:szCs w:val="27"/>
        </w:rPr>
        <w:t>the same entry, with the same intent</w:t>
      </w:r>
      <w:r>
        <w:rPr>
          <w:szCs w:val="27"/>
        </w:rPr>
        <w:t>,</w:t>
      </w:r>
      <w:r w:rsidR="00B22413" w:rsidRPr="007E1184">
        <w:rPr>
          <w:szCs w:val="27"/>
        </w:rPr>
        <w:t xml:space="preserve"> to take the same property, as </w:t>
      </w:r>
      <w:r w:rsidR="004333B8" w:rsidRPr="007E1184">
        <w:rPr>
          <w:szCs w:val="27"/>
        </w:rPr>
        <w:t xml:space="preserve">would have supported a </w:t>
      </w:r>
      <w:r w:rsidR="00B22413" w:rsidRPr="007E1184">
        <w:rPr>
          <w:szCs w:val="27"/>
        </w:rPr>
        <w:t xml:space="preserve">shoplifting charge.  </w:t>
      </w:r>
      <w:proofErr w:type="gramStart"/>
      <w:r>
        <w:rPr>
          <w:szCs w:val="27"/>
        </w:rPr>
        <w:t>So</w:t>
      </w:r>
      <w:proofErr w:type="gramEnd"/>
      <w:r w:rsidR="004333B8" w:rsidRPr="007E1184">
        <w:rPr>
          <w:szCs w:val="27"/>
        </w:rPr>
        <w:t xml:space="preserve"> Proposition 47’s mandate that “[a]ny act of shoplifting . . . be charged as shoplifting” and “[n]o person who is charged with shoplifting may also be charged with burglary or theft of the same property” applied with full force.  </w:t>
      </w:r>
      <w:r w:rsidR="009863E0">
        <w:rPr>
          <w:szCs w:val="27"/>
        </w:rPr>
        <w:t xml:space="preserve">When we explained that a “defendant must be charged only with shoplifting when the statute applies” </w:t>
      </w:r>
      <w:r w:rsidR="005243A2">
        <w:rPr>
          <w:szCs w:val="27"/>
        </w:rPr>
        <w:t>(</w:t>
      </w:r>
      <w:r w:rsidR="009863E0">
        <w:rPr>
          <w:i/>
          <w:szCs w:val="27"/>
        </w:rPr>
        <w:t>Gonzales</w:t>
      </w:r>
      <w:r w:rsidR="009863E0">
        <w:rPr>
          <w:szCs w:val="27"/>
        </w:rPr>
        <w:t xml:space="preserve">, </w:t>
      </w:r>
      <w:r w:rsidR="009863E0">
        <w:rPr>
          <w:i/>
          <w:szCs w:val="27"/>
        </w:rPr>
        <w:t>supra</w:t>
      </w:r>
      <w:r w:rsidR="009863E0">
        <w:rPr>
          <w:szCs w:val="27"/>
        </w:rPr>
        <w:t>, 2 Cal.5th at p. 876), w</w:t>
      </w:r>
      <w:r w:rsidR="00175D7D">
        <w:rPr>
          <w:szCs w:val="27"/>
        </w:rPr>
        <w:t xml:space="preserve">hat we meant is </w:t>
      </w:r>
      <w:r w:rsidR="009863E0">
        <w:rPr>
          <w:szCs w:val="27"/>
        </w:rPr>
        <w:t xml:space="preserve">simply that a person whose conduct constitutes shoplifting could not be charged with burglary or a theft crime for that same conduct instead of shoplifting, as occurred in </w:t>
      </w:r>
      <w:r w:rsidR="009863E0">
        <w:rPr>
          <w:i/>
          <w:szCs w:val="27"/>
        </w:rPr>
        <w:t>Gonzales</w:t>
      </w:r>
      <w:r w:rsidR="009863E0">
        <w:rPr>
          <w:szCs w:val="27"/>
        </w:rPr>
        <w:t xml:space="preserve">.  </w:t>
      </w:r>
      <w:r w:rsidR="006B313D">
        <w:rPr>
          <w:szCs w:val="27"/>
        </w:rPr>
        <w:t>I</w:t>
      </w:r>
      <w:r w:rsidR="009863E0">
        <w:rPr>
          <w:szCs w:val="27"/>
        </w:rPr>
        <w:t>t</w:t>
      </w:r>
      <w:r w:rsidR="004333B8" w:rsidRPr="007E1184">
        <w:rPr>
          <w:szCs w:val="27"/>
        </w:rPr>
        <w:t xml:space="preserve"> does not follow that </w:t>
      </w:r>
      <w:r w:rsidR="007E1184">
        <w:rPr>
          <w:szCs w:val="27"/>
        </w:rPr>
        <w:t>similar</w:t>
      </w:r>
      <w:r w:rsidR="004333B8" w:rsidRPr="007E1184">
        <w:rPr>
          <w:szCs w:val="27"/>
        </w:rPr>
        <w:t xml:space="preserve"> conduct</w:t>
      </w:r>
      <w:r w:rsidR="000128D0">
        <w:rPr>
          <w:szCs w:val="27"/>
        </w:rPr>
        <w:t>,</w:t>
      </w:r>
      <w:r>
        <w:rPr>
          <w:szCs w:val="27"/>
        </w:rPr>
        <w:t xml:space="preserve"> including conduct that fulfills the elements of the misuse of personal identifying information under section 530.5</w:t>
      </w:r>
      <w:r w:rsidR="004E7EC8">
        <w:rPr>
          <w:szCs w:val="27"/>
        </w:rPr>
        <w:t>, subdivision (a)</w:t>
      </w:r>
      <w:r w:rsidR="000128D0">
        <w:rPr>
          <w:szCs w:val="27"/>
        </w:rPr>
        <w:t>,</w:t>
      </w:r>
      <w:r>
        <w:rPr>
          <w:szCs w:val="27"/>
        </w:rPr>
        <w:t xml:space="preserve"> </w:t>
      </w:r>
      <w:r w:rsidR="004333B8" w:rsidRPr="007E1184">
        <w:rPr>
          <w:szCs w:val="27"/>
        </w:rPr>
        <w:t>must always be charged only as shoplifting, even if no conviction for burglary or theft</w:t>
      </w:r>
      <w:r w:rsidR="009863E0" w:rsidRPr="007E1184">
        <w:rPr>
          <w:szCs w:val="27"/>
        </w:rPr>
        <w:t xml:space="preserve"> </w:t>
      </w:r>
      <w:r w:rsidR="009863E0">
        <w:rPr>
          <w:szCs w:val="27"/>
        </w:rPr>
        <w:t xml:space="preserve">— the only crimes barred under section 459.5, subdivision (b) — </w:t>
      </w:r>
      <w:r w:rsidR="004333B8" w:rsidRPr="007E1184">
        <w:rPr>
          <w:szCs w:val="27"/>
        </w:rPr>
        <w:t xml:space="preserve"> is at issue.  </w:t>
      </w:r>
      <w:r>
        <w:rPr>
          <w:szCs w:val="27"/>
        </w:rPr>
        <w:t xml:space="preserve">In fact, no </w:t>
      </w:r>
      <w:r>
        <w:rPr>
          <w:szCs w:val="27"/>
        </w:rPr>
        <w:lastRenderedPageBreak/>
        <w:t xml:space="preserve">conviction for personal identifying information misuse even occurred in </w:t>
      </w:r>
      <w:r>
        <w:rPr>
          <w:i/>
          <w:iCs/>
          <w:szCs w:val="27"/>
        </w:rPr>
        <w:t>Gonzales</w:t>
      </w:r>
      <w:r>
        <w:rPr>
          <w:szCs w:val="27"/>
        </w:rPr>
        <w:t>.</w:t>
      </w:r>
    </w:p>
    <w:p w14:paraId="10894CF9" w14:textId="2F54619F" w:rsidR="00B45845" w:rsidRPr="00C462B4" w:rsidRDefault="00B45845" w:rsidP="006101B1">
      <w:pPr>
        <w:tabs>
          <w:tab w:val="left" w:pos="720"/>
        </w:tabs>
        <w:spacing w:line="400" w:lineRule="atLeast"/>
        <w:rPr>
          <w:szCs w:val="27"/>
        </w:rPr>
      </w:pPr>
      <w:r>
        <w:rPr>
          <w:szCs w:val="27"/>
        </w:rPr>
        <w:tab/>
      </w:r>
      <w:r w:rsidR="008A70C7">
        <w:t>The</w:t>
      </w:r>
      <w:r>
        <w:t xml:space="preserve"> Attorney General </w:t>
      </w:r>
      <w:r w:rsidR="008A70C7">
        <w:t xml:space="preserve">also </w:t>
      </w:r>
      <w:r>
        <w:t xml:space="preserve">made another </w:t>
      </w:r>
      <w:r w:rsidR="008A70C7">
        <w:t xml:space="preserve">relevant </w:t>
      </w:r>
      <w:r>
        <w:t xml:space="preserve">argument </w:t>
      </w:r>
      <w:r w:rsidR="008A70C7">
        <w:t xml:space="preserve">in </w:t>
      </w:r>
      <w:r w:rsidR="008A70C7">
        <w:rPr>
          <w:i/>
          <w:iCs/>
        </w:rPr>
        <w:t>Gonzales</w:t>
      </w:r>
      <w:r>
        <w:t xml:space="preserve">: </w:t>
      </w:r>
      <w:r w:rsidR="00194B53">
        <w:t xml:space="preserve"> </w:t>
      </w:r>
      <w:r>
        <w:t>that Gonzales’</w:t>
      </w:r>
      <w:r w:rsidR="008A70C7">
        <w:t>s</w:t>
      </w:r>
      <w:r>
        <w:t xml:space="preserve"> burglary conviction was ineligible for resentencing because </w:t>
      </w:r>
      <w:r w:rsidR="008A70C7">
        <w:t xml:space="preserve">of the possibility that </w:t>
      </w:r>
      <w:r>
        <w:t>Gonzales might have entered with intent to violate section 530.5.  In addressing this contention, we explained that a burglary charge might be permitted for entry with intent to commit acts other than theft of an amount equal to or less than $950</w:t>
      </w:r>
      <w:r w:rsidR="008A70C7">
        <w:t>.  But section 459.5, subdivision (b)’s</w:t>
      </w:r>
      <w:r>
        <w:t xml:space="preserve"> bar against burglary charges applied with full force to Gonzales because the only proof was of entry with the intent to steal property in an amount below the shoplifting threshold.  (See </w:t>
      </w:r>
      <w:r>
        <w:rPr>
          <w:i/>
        </w:rPr>
        <w:t>Gonzales</w:t>
      </w:r>
      <w:r>
        <w:t xml:space="preserve">, </w:t>
      </w:r>
      <w:r>
        <w:rPr>
          <w:i/>
        </w:rPr>
        <w:t>supra</w:t>
      </w:r>
      <w:r>
        <w:t xml:space="preserve">, 2 Cal.5th at pp. 876–877.)  No similar bar </w:t>
      </w:r>
      <w:r w:rsidR="008A70C7">
        <w:t>applies</w:t>
      </w:r>
      <w:r>
        <w:t xml:space="preserve"> here</w:t>
      </w:r>
      <w:r w:rsidR="008A70C7">
        <w:t xml:space="preserve">.  </w:t>
      </w:r>
      <w:r>
        <w:t xml:space="preserve">Jimenez was charged </w:t>
      </w:r>
      <w:r w:rsidR="008A70C7">
        <w:t>with</w:t>
      </w:r>
      <w:r>
        <w:t xml:space="preserve"> a violation of section 530.5</w:t>
      </w:r>
      <w:r w:rsidR="008A70C7">
        <w:t xml:space="preserve"> –– </w:t>
      </w:r>
      <w:r>
        <w:t xml:space="preserve">neither </w:t>
      </w:r>
      <w:r w:rsidR="008A70C7">
        <w:t xml:space="preserve">a </w:t>
      </w:r>
      <w:r>
        <w:t>burglary nor theft offense.</w:t>
      </w:r>
    </w:p>
    <w:p w14:paraId="1422FED2" w14:textId="4AF8B97A" w:rsidR="00F42CD4" w:rsidRDefault="00B45845" w:rsidP="00443888">
      <w:pPr>
        <w:tabs>
          <w:tab w:val="left" w:pos="720"/>
        </w:tabs>
        <w:spacing w:line="400" w:lineRule="atLeast"/>
      </w:pPr>
      <w:r w:rsidDel="00B45845">
        <w:rPr>
          <w:rStyle w:val="CommentReference"/>
        </w:rPr>
        <w:t xml:space="preserve"> </w:t>
      </w:r>
      <w:r w:rsidR="00814ED8">
        <w:tab/>
        <w:t xml:space="preserve">To </w:t>
      </w:r>
      <w:r w:rsidR="00746C9C">
        <w:t xml:space="preserve">therefore </w:t>
      </w:r>
      <w:r w:rsidR="00814ED8">
        <w:t xml:space="preserve">read the language of </w:t>
      </w:r>
      <w:r w:rsidR="00814ED8">
        <w:rPr>
          <w:i/>
        </w:rPr>
        <w:t xml:space="preserve">Gonzales </w:t>
      </w:r>
      <w:r w:rsidR="00746C9C">
        <w:rPr>
          <w:iCs/>
        </w:rPr>
        <w:t xml:space="preserve">as forcing the prosecution </w:t>
      </w:r>
      <w:r w:rsidR="00023C7C">
        <w:rPr>
          <w:iCs/>
        </w:rPr>
        <w:t xml:space="preserve">to charge only misdemeanor shoplifting for </w:t>
      </w:r>
      <w:r w:rsidR="00746C9C">
        <w:rPr>
          <w:iCs/>
        </w:rPr>
        <w:t xml:space="preserve">any </w:t>
      </w:r>
      <w:r w:rsidR="00023C7C">
        <w:rPr>
          <w:iCs/>
        </w:rPr>
        <w:t xml:space="preserve">misuse of </w:t>
      </w:r>
      <w:r w:rsidR="00746C9C">
        <w:rPr>
          <w:iCs/>
        </w:rPr>
        <w:t xml:space="preserve">personal identifying information </w:t>
      </w:r>
      <w:r w:rsidR="00023C7C">
        <w:rPr>
          <w:iCs/>
        </w:rPr>
        <w:t>involving</w:t>
      </w:r>
      <w:r w:rsidR="00746C9C">
        <w:rPr>
          <w:iCs/>
        </w:rPr>
        <w:t xml:space="preserve"> $950 or less </w:t>
      </w:r>
      <w:r w:rsidR="00814ED8">
        <w:t>would lead to odd results</w:t>
      </w:r>
      <w:r w:rsidR="00746C9C">
        <w:t xml:space="preserve"> –– ones</w:t>
      </w:r>
      <w:r w:rsidR="00814ED8">
        <w:t xml:space="preserve"> that </w:t>
      </w:r>
      <w:r w:rsidR="00746C9C">
        <w:t>make for an awkward fit with the</w:t>
      </w:r>
      <w:r w:rsidR="00814ED8">
        <w:t xml:space="preserve"> statutes at issue.  </w:t>
      </w:r>
      <w:r w:rsidR="00C7335A">
        <w:t>C</w:t>
      </w:r>
      <w:r w:rsidR="00814ED8">
        <w:t xml:space="preserve">onsider a person </w:t>
      </w:r>
      <w:r w:rsidR="00C7335A">
        <w:t xml:space="preserve">who </w:t>
      </w:r>
      <w:r w:rsidR="00814ED8">
        <w:t>enter</w:t>
      </w:r>
      <w:r w:rsidR="00C7335A">
        <w:t>s</w:t>
      </w:r>
      <w:r w:rsidR="00814ED8">
        <w:t xml:space="preserve"> a commercial establishment during the day with the intent to steal a particular video game from the shelf.  If a child were holding the video game and the person simply took the child along with the game, the course of conduct would likely be chargeable as kidnapping.  (See</w:t>
      </w:r>
      <w:r w:rsidR="00E67656">
        <w:t xml:space="preserve"> </w:t>
      </w:r>
      <w:r w:rsidR="00814ED8">
        <w:t xml:space="preserve">§ 207.)  </w:t>
      </w:r>
      <w:r w:rsidR="00C7335A">
        <w:t>I</w:t>
      </w:r>
      <w:r w:rsidR="00814ED8">
        <w:t xml:space="preserve">t defies </w:t>
      </w:r>
      <w:r w:rsidR="00FB1776">
        <w:t>logic</w:t>
      </w:r>
      <w:r w:rsidR="00814ED8">
        <w:t xml:space="preserve"> to argue that Proposition 47 mandates only a misdemeanor shoplifting charge on those facts.  </w:t>
      </w:r>
      <w:r w:rsidR="00C7335A">
        <w:t>W</w:t>
      </w:r>
      <w:r w:rsidR="00814ED8">
        <w:t xml:space="preserve">e have no reason to believe Proposition 47 “extends to any course of conduct that happens to include” entry into a commercial establishment with intent to commit </w:t>
      </w:r>
      <w:r w:rsidR="00814ED8">
        <w:lastRenderedPageBreak/>
        <w:t xml:space="preserve">larceny.  </w:t>
      </w:r>
      <w:r w:rsidR="00F42CD4">
        <w:t xml:space="preserve">At oral argument, Jimenez attempted to address this concern by contending that additional offenses could be charged with shoplifting, but only if the other offenses involved force or violence.  To adopt such a test would be to write into the statute a limitation which is simply not there.   </w:t>
      </w:r>
      <w:r w:rsidR="00AF70D0">
        <w:t>Voters made clear that section 459.5’s prohibition extends only to “burglary o</w:t>
      </w:r>
      <w:r w:rsidR="00790943">
        <w:t>r</w:t>
      </w:r>
      <w:r w:rsidR="00AF70D0">
        <w:t xml:space="preserve"> theft” offenses.  Because misuse of personal identifying information is neither, this proscription simply does not apply.  </w:t>
      </w:r>
    </w:p>
    <w:p w14:paraId="685D939E" w14:textId="42F066AB" w:rsidR="00814ED8" w:rsidRPr="00CE09EC" w:rsidRDefault="00814ED8" w:rsidP="00443888">
      <w:pPr>
        <w:tabs>
          <w:tab w:val="left" w:pos="720"/>
        </w:tabs>
        <w:spacing w:line="400" w:lineRule="atLeast"/>
      </w:pPr>
      <w:r>
        <w:tab/>
        <w:t>True:  People who violate section 530.5</w:t>
      </w:r>
      <w:r w:rsidR="004E7EC8">
        <w:t>, subdivision (a)</w:t>
      </w:r>
      <w:r>
        <w:t xml:space="preserve"> will often use the information to commit some manner of theft, making the theft an important element of th</w:t>
      </w:r>
      <w:r w:rsidR="009B77BD">
        <w:t>at</w:t>
      </w:r>
      <w:r>
        <w:t xml:space="preserve"> </w:t>
      </w:r>
      <w:r w:rsidR="002E1688">
        <w:t xml:space="preserve">second </w:t>
      </w:r>
      <w:r>
        <w:t xml:space="preserve">crime.  </w:t>
      </w:r>
      <w:r w:rsidR="009B77BD">
        <w:t>This is</w:t>
      </w:r>
      <w:r>
        <w:t xml:space="preserve"> what Gonzales was charged with doing when he stole his grandmother’s checkbook and cashed two checks without her consent (</w:t>
      </w:r>
      <w:r>
        <w:rPr>
          <w:i/>
        </w:rPr>
        <w:t>Gonzales</w:t>
      </w:r>
      <w:r>
        <w:t xml:space="preserve">, </w:t>
      </w:r>
      <w:r>
        <w:rPr>
          <w:i/>
        </w:rPr>
        <w:t>supra</w:t>
      </w:r>
      <w:r>
        <w:t xml:space="preserve">, 2 Cal.5th at p. 862), and </w:t>
      </w:r>
      <w:r w:rsidR="009B77BD">
        <w:t>it</w:t>
      </w:r>
      <w:r>
        <w:t xml:space="preserve"> bears some resemblance to the facts at issue here.  No doubt it was this realization that prompted the Court of Appeal to conclude:  “That Jimenez committed identity theft in the course of the shoplifting does not alter the fact that he committed shoplifting.”  (</w:t>
      </w:r>
      <w:r>
        <w:rPr>
          <w:i/>
        </w:rPr>
        <w:t>Jimenez</w:t>
      </w:r>
      <w:r>
        <w:t xml:space="preserve">, </w:t>
      </w:r>
      <w:r>
        <w:rPr>
          <w:i/>
        </w:rPr>
        <w:t>supra</w:t>
      </w:r>
      <w:r>
        <w:t xml:space="preserve">, 22 Cal.App.5th at p. 1290.)  What would be more accurate, however, is to put it this way:  That Jimenez committed shoplifting in the course of identity theft does not alter the fact that he committed identity theft. </w:t>
      </w:r>
    </w:p>
    <w:p w14:paraId="68F50A09" w14:textId="7B67A0E7" w:rsidR="00814ED8" w:rsidRPr="00E84DB3" w:rsidRDefault="00E84DB3" w:rsidP="00443888">
      <w:pPr>
        <w:keepNext/>
        <w:tabs>
          <w:tab w:val="left" w:pos="720"/>
        </w:tabs>
        <w:spacing w:line="400" w:lineRule="atLeast"/>
        <w:jc w:val="center"/>
      </w:pPr>
      <w:r>
        <w:t>C</w:t>
      </w:r>
      <w:r w:rsidR="00814ED8" w:rsidRPr="00E84DB3">
        <w:t>.</w:t>
      </w:r>
    </w:p>
    <w:p w14:paraId="7360CAAD" w14:textId="7A2A05FD" w:rsidR="00746C9C" w:rsidRDefault="00D81FA6" w:rsidP="00443888">
      <w:pPr>
        <w:keepNext/>
        <w:tabs>
          <w:tab w:val="left" w:pos="720"/>
        </w:tabs>
        <w:spacing w:line="400" w:lineRule="atLeast"/>
      </w:pPr>
      <w:r>
        <w:tab/>
        <w:t xml:space="preserve">Jimenez also </w:t>
      </w:r>
      <w:r w:rsidR="00746C9C">
        <w:t xml:space="preserve">posits that </w:t>
      </w:r>
      <w:r>
        <w:t>his conviction can be reduced to misdemeanor petty theft, the other new misdemeanor theft offense created by Proposition 47.  (See § 490.2</w:t>
      </w:r>
      <w:r w:rsidR="004E7EC8">
        <w:t>, subd. (a)</w:t>
      </w:r>
      <w:r>
        <w:t>.)  Section 490.2 provides:</w:t>
      </w:r>
      <w:r w:rsidR="00EE7C61">
        <w:t xml:space="preserve"> </w:t>
      </w:r>
      <w:r>
        <w:t xml:space="preserve"> “</w:t>
      </w:r>
      <w:r w:rsidRPr="000669D6">
        <w:t xml:space="preserve">Notwithstanding Section 487 or any other provision of law defining grand theft, obtaining any property by theft where the value of the money, labor, real or personal property taken does not exceed nine hundred fifty </w:t>
      </w:r>
      <w:r w:rsidRPr="000669D6">
        <w:lastRenderedPageBreak/>
        <w:t>dollars ($950) shall be considered petty theft and shall be punished as a misdemeanor</w:t>
      </w:r>
      <w:r>
        <w:t> . . .</w:t>
      </w:r>
      <w:r w:rsidR="009472F9">
        <w:t> .</w:t>
      </w:r>
      <w:r>
        <w:t xml:space="preserve">”  </w:t>
      </w:r>
    </w:p>
    <w:p w14:paraId="6038D191" w14:textId="3934ACBA" w:rsidR="001B36DA" w:rsidRDefault="00746C9C" w:rsidP="00443888">
      <w:pPr>
        <w:keepNext/>
        <w:tabs>
          <w:tab w:val="left" w:pos="720"/>
        </w:tabs>
        <w:spacing w:line="400" w:lineRule="atLeast"/>
      </w:pPr>
      <w:r>
        <w:tab/>
      </w:r>
      <w:r w:rsidR="0006693D">
        <w:t>This argument fails</w:t>
      </w:r>
      <w:r>
        <w:t>, too.</w:t>
      </w:r>
      <w:r w:rsidR="00023C7C">
        <w:t xml:space="preserve"> </w:t>
      </w:r>
      <w:r w:rsidR="0006693D">
        <w:t xml:space="preserve"> </w:t>
      </w:r>
      <w:r>
        <w:t xml:space="preserve">It falters </w:t>
      </w:r>
      <w:r w:rsidR="0006693D">
        <w:t xml:space="preserve">for the same reason his conviction cannot be reclassified as shoplifting: </w:t>
      </w:r>
      <w:r w:rsidR="00EE7C61">
        <w:t xml:space="preserve"> </w:t>
      </w:r>
      <w:r w:rsidR="005243A2">
        <w:t xml:space="preserve">Misuse </w:t>
      </w:r>
      <w:r w:rsidR="0006693D">
        <w:t xml:space="preserve">of personal identifying information is not a theft offense.  </w:t>
      </w:r>
      <w:r w:rsidR="002D4747">
        <w:t xml:space="preserve">The offense described by section 530.5 criminalizes the improper </w:t>
      </w:r>
      <w:r w:rsidR="002D4747">
        <w:rPr>
          <w:i/>
        </w:rPr>
        <w:t>use</w:t>
      </w:r>
      <w:r w:rsidR="002D4747">
        <w:t>, not the illegal taking, of information.  Like shoplifting, misuse of personal identifying information shares no common elements with petty theft.  (Compare § 530.5</w:t>
      </w:r>
      <w:r w:rsidR="004E7EC8">
        <w:t>, subd. (a)</w:t>
      </w:r>
      <w:r w:rsidR="002D4747">
        <w:t xml:space="preserve"> [“</w:t>
      </w:r>
      <w:r w:rsidR="00A90385" w:rsidRPr="00A90385">
        <w:t>Every person who willfully obtains personal identifying information</w:t>
      </w:r>
      <w:r w:rsidR="00A90385">
        <w:t> . . . </w:t>
      </w:r>
      <w:r w:rsidR="00A90385" w:rsidRPr="00A90385">
        <w:t xml:space="preserve">of another </w:t>
      </w:r>
      <w:proofErr w:type="gramStart"/>
      <w:r w:rsidR="00A90385" w:rsidRPr="00A90385">
        <w:t>person, and</w:t>
      </w:r>
      <w:proofErr w:type="gramEnd"/>
      <w:r w:rsidR="00A90385" w:rsidRPr="00A90385">
        <w:t xml:space="preserve"> uses that information for any unlawful purpose</w:t>
      </w:r>
      <w:r w:rsidR="00A90385">
        <w:t> . . . </w:t>
      </w:r>
      <w:r w:rsidR="00A90385" w:rsidRPr="00A90385">
        <w:t>is guilty of a public offense</w:t>
      </w:r>
      <w:r w:rsidR="002D4747">
        <w:t>”] with § 490.2 [“</w:t>
      </w:r>
      <w:r w:rsidR="00A90385">
        <w:t>[O]</w:t>
      </w:r>
      <w:r w:rsidR="00A90385" w:rsidRPr="00A90385">
        <w:t>btaining any property by theft where the value of the money, labor, real or personal property taken does not exceed nine hundred fifty dollars ($950) shall be considered petty theft</w:t>
      </w:r>
      <w:r w:rsidR="002D4747">
        <w:t xml:space="preserve">”].) </w:t>
      </w:r>
      <w:r w:rsidR="00BF1910">
        <w:t xml:space="preserve"> </w:t>
      </w:r>
    </w:p>
    <w:p w14:paraId="5C201EBB" w14:textId="5676D15F" w:rsidR="00D81FA6" w:rsidRPr="002D4747" w:rsidRDefault="001B36DA" w:rsidP="00443888">
      <w:pPr>
        <w:keepNext/>
        <w:tabs>
          <w:tab w:val="left" w:pos="720"/>
        </w:tabs>
        <w:spacing w:line="400" w:lineRule="atLeast"/>
      </w:pPr>
      <w:r>
        <w:tab/>
      </w:r>
      <w:r w:rsidR="00746C9C">
        <w:t>Endeavoring</w:t>
      </w:r>
      <w:r w:rsidR="00356F57">
        <w:t xml:space="preserve"> to support his expansive interpretation of section 490.2</w:t>
      </w:r>
      <w:r w:rsidR="00746C9C">
        <w:t>, Jimenez</w:t>
      </w:r>
      <w:r w:rsidR="00356F57">
        <w:t xml:space="preserve"> </w:t>
      </w:r>
      <w:r w:rsidR="00746C9C">
        <w:t>relies</w:t>
      </w:r>
      <w:r w:rsidR="00356F57">
        <w:t xml:space="preserve"> </w:t>
      </w:r>
      <w:r>
        <w:t xml:space="preserve">on two </w:t>
      </w:r>
      <w:r w:rsidR="00356F57">
        <w:t xml:space="preserve">of our earlier </w:t>
      </w:r>
      <w:r>
        <w:t xml:space="preserve">cases, </w:t>
      </w:r>
      <w:r>
        <w:rPr>
          <w:i/>
        </w:rPr>
        <w:t>Romanowski</w:t>
      </w:r>
      <w:r>
        <w:t xml:space="preserve"> and </w:t>
      </w:r>
      <w:r>
        <w:rPr>
          <w:i/>
        </w:rPr>
        <w:t>Page</w:t>
      </w:r>
      <w:r>
        <w:t xml:space="preserve">.  As we have already explained, however, both </w:t>
      </w:r>
      <w:r w:rsidR="00687D93">
        <w:t>of those cases</w:t>
      </w:r>
      <w:r>
        <w:t xml:space="preserve"> involved crimes that could readily be classified as theft offe</w:t>
      </w:r>
      <w:r w:rsidR="00B26769">
        <w:t>nses</w:t>
      </w:r>
      <w:r w:rsidR="0085754F">
        <w:t>.  I</w:t>
      </w:r>
      <w:r w:rsidR="00B26769">
        <w:t xml:space="preserve">n </w:t>
      </w:r>
      <w:r w:rsidR="00B26769">
        <w:rPr>
          <w:i/>
        </w:rPr>
        <w:t>Romanowski</w:t>
      </w:r>
      <w:r w:rsidR="00B26769">
        <w:t xml:space="preserve"> we noted that section 484</w:t>
      </w:r>
      <w:r w:rsidR="004E7EC8">
        <w:t xml:space="preserve">, </w:t>
      </w:r>
      <w:r w:rsidR="00F757B7">
        <w:t>subdivision</w:t>
      </w:r>
      <w:r w:rsidR="004E7EC8">
        <w:t xml:space="preserve"> (a)</w:t>
      </w:r>
      <w:r w:rsidR="00B26769">
        <w:t>, theft of access card information, is explicitly defined as grand theft (</w:t>
      </w:r>
      <w:r w:rsidR="00B26769">
        <w:rPr>
          <w:i/>
        </w:rPr>
        <w:t>Romanowski</w:t>
      </w:r>
      <w:r w:rsidR="00B26769">
        <w:t xml:space="preserve">, </w:t>
      </w:r>
      <w:r w:rsidR="00B26769">
        <w:rPr>
          <w:i/>
        </w:rPr>
        <w:t>supra</w:t>
      </w:r>
      <w:r w:rsidR="00B26769">
        <w:t>, 2 Cal.5th at p. 908)</w:t>
      </w:r>
      <w:r w:rsidR="006238E5">
        <w:t>,</w:t>
      </w:r>
      <w:r w:rsidR="00B26769">
        <w:t xml:space="preserve"> clearly moving it into the scope of </w:t>
      </w:r>
      <w:r w:rsidR="00570DCA">
        <w:t xml:space="preserve">section </w:t>
      </w:r>
      <w:r w:rsidR="00B26769">
        <w:t xml:space="preserve">490.2 (see </w:t>
      </w:r>
      <w:r w:rsidR="00570DCA">
        <w:t>§</w:t>
      </w:r>
      <w:r w:rsidR="003419A9">
        <w:t> </w:t>
      </w:r>
      <w:r w:rsidR="00B26769">
        <w:t>490.2</w:t>
      </w:r>
      <w:r w:rsidR="00570DCA">
        <w:t>, subd. (a)</w:t>
      </w:r>
      <w:r w:rsidR="00B26769">
        <w:t xml:space="preserve"> [“Notwithstanding Section 487 or any other provision of law defining grand theft, </w:t>
      </w:r>
      <w:r w:rsidR="00B26769" w:rsidRPr="00B26769">
        <w:t>obtaining any property by theft where the value</w:t>
      </w:r>
      <w:r w:rsidR="00B26769">
        <w:t> . . . </w:t>
      </w:r>
      <w:r w:rsidR="00B26769" w:rsidRPr="00B26769">
        <w:t>does not exceed nine hundred fifty dollars ($950) shall be considered petty theft</w:t>
      </w:r>
      <w:r w:rsidR="00B26769">
        <w:t>”]</w:t>
      </w:r>
      <w:r w:rsidR="006238E5">
        <w:t>)</w:t>
      </w:r>
      <w:r w:rsidR="00B26769">
        <w:t xml:space="preserve">. </w:t>
      </w:r>
      <w:r w:rsidR="0085754F">
        <w:t xml:space="preserve"> In </w:t>
      </w:r>
      <w:r w:rsidR="0085754F">
        <w:rPr>
          <w:i/>
        </w:rPr>
        <w:t>Page</w:t>
      </w:r>
      <w:r w:rsidR="0085754F">
        <w:t xml:space="preserve"> we relied on our previous identification of a “theft” and “nontheft” way to commit the offense.  (</w:t>
      </w:r>
      <w:r w:rsidR="0085754F">
        <w:rPr>
          <w:i/>
        </w:rPr>
        <w:t>Page</w:t>
      </w:r>
      <w:r w:rsidR="0085754F">
        <w:t xml:space="preserve">, </w:t>
      </w:r>
      <w:r w:rsidR="0085754F">
        <w:rPr>
          <w:i/>
        </w:rPr>
        <w:t>supra</w:t>
      </w:r>
      <w:r w:rsidR="0085754F">
        <w:t>, 3 Cal.5th at pp. 1182–</w:t>
      </w:r>
      <w:r w:rsidR="0085754F">
        <w:lastRenderedPageBreak/>
        <w:t>1183.)</w:t>
      </w:r>
      <w:r w:rsidR="00E55668">
        <w:t xml:space="preserve">  There is no similar reason to conclude that misuse of personal identifying information is a theft offense.  </w:t>
      </w:r>
      <w:r w:rsidR="00BF1910">
        <w:t xml:space="preserve">  </w:t>
      </w:r>
    </w:p>
    <w:p w14:paraId="132F91E0" w14:textId="77777777" w:rsidR="00814ED8" w:rsidRPr="00C92E8E" w:rsidRDefault="00814ED8" w:rsidP="00E55668">
      <w:pPr>
        <w:keepNext/>
        <w:tabs>
          <w:tab w:val="left" w:pos="720"/>
        </w:tabs>
        <w:spacing w:line="400" w:lineRule="atLeast"/>
        <w:jc w:val="center"/>
        <w:rPr>
          <w:b/>
        </w:rPr>
      </w:pPr>
      <w:bookmarkStart w:id="1" w:name="_GoBack"/>
      <w:r w:rsidRPr="00C92E8E">
        <w:rPr>
          <w:b/>
        </w:rPr>
        <w:t>III.</w:t>
      </w:r>
    </w:p>
    <w:bookmarkEnd w:id="1"/>
    <w:p w14:paraId="22FC0AF4" w14:textId="34D3321D" w:rsidR="00814ED8" w:rsidRDefault="00814ED8" w:rsidP="00E55668">
      <w:pPr>
        <w:keepNext/>
        <w:tabs>
          <w:tab w:val="left" w:pos="720"/>
        </w:tabs>
        <w:spacing w:line="400" w:lineRule="atLeast"/>
      </w:pPr>
      <w:r>
        <w:tab/>
        <w:t>The prohibitions on shoplifting and misuse of personal identifying information protect potential victims from different harms.  The shoplifting offense</w:t>
      </w:r>
      <w:r w:rsidR="00356F57">
        <w:t xml:space="preserve"> is</w:t>
      </w:r>
      <w:r>
        <w:t xml:space="preserve"> like forgery and other nonviolent theft crimes</w:t>
      </w:r>
      <w:r w:rsidR="00356F57">
        <w:t xml:space="preserve">: </w:t>
      </w:r>
      <w:r w:rsidR="00EE7C61">
        <w:t xml:space="preserve"> </w:t>
      </w:r>
      <w:r w:rsidR="00CC5312">
        <w:t xml:space="preserve">It </w:t>
      </w:r>
      <w:r>
        <w:t>protects the entity with which the shoplifter is (in a manner of speaking) engaging — here, Loans Plus.  Section 530.5</w:t>
      </w:r>
      <w:r w:rsidR="004E7EC8">
        <w:t>, subdivision (a)</w:t>
      </w:r>
      <w:r w:rsidR="00356F57">
        <w:t xml:space="preserve"> is different.  It</w:t>
      </w:r>
      <w:r>
        <w:t xml:space="preserve"> protects primarily the person or entity whose information was unlawfully used without consent — here, OuterWall, who may have suffered repercussions from the misuse of its financial account information.  (See </w:t>
      </w:r>
      <w:r>
        <w:rPr>
          <w:i/>
        </w:rPr>
        <w:t>Sanders</w:t>
      </w:r>
      <w:r>
        <w:t xml:space="preserve">, </w:t>
      </w:r>
      <w:r>
        <w:rPr>
          <w:i/>
        </w:rPr>
        <w:t>supra</w:t>
      </w:r>
      <w:r>
        <w:t>, 22 Cal.App.5th at p. 403 [noting the “basic problem</w:t>
      </w:r>
      <w:r w:rsidR="00784351">
        <w:t xml:space="preserve"> is </w:t>
      </w:r>
      <w:r>
        <w:t xml:space="preserve">that appellant’s acts of stealing from merchants do not amount to a theft from the cardholder” because the </w:t>
      </w:r>
      <w:r w:rsidR="00F46287">
        <w:t>“</w:t>
      </w:r>
      <w:r>
        <w:t xml:space="preserve">cardholder was harmed by the unlawful use of her card and thefts from the merchants do not make the cardholder a victim of those thefts”].) </w:t>
      </w:r>
    </w:p>
    <w:p w14:paraId="3A3CFE8B" w14:textId="076CDB99" w:rsidR="00814ED8" w:rsidRPr="006E081D" w:rsidRDefault="00814ED8" w:rsidP="00443888">
      <w:pPr>
        <w:tabs>
          <w:tab w:val="left" w:pos="720"/>
        </w:tabs>
        <w:spacing w:line="400" w:lineRule="atLeast"/>
      </w:pPr>
      <w:r>
        <w:tab/>
        <w:t xml:space="preserve">Ultimately, use of the shorthand “identity theft” to describe the offense in section 530.5 </w:t>
      </w:r>
      <w:r w:rsidR="00356F57">
        <w:t xml:space="preserve">doesn’t somehow make the misuse of personal identifying information swallow up elements of the theft offense, nor does it otherwise </w:t>
      </w:r>
      <w:r>
        <w:t>“provide a reason to read into the statute an additional element</w:t>
      </w:r>
      <w:r w:rsidR="00356F57">
        <w:t xml:space="preserve"> </w:t>
      </w:r>
      <w:r>
        <w:t>that cannot be found by referring to the language of the statute.”  (</w:t>
      </w:r>
      <w:r>
        <w:rPr>
          <w:i/>
        </w:rPr>
        <w:t>Barba</w:t>
      </w:r>
      <w:r>
        <w:t xml:space="preserve">, </w:t>
      </w:r>
      <w:r>
        <w:rPr>
          <w:i/>
        </w:rPr>
        <w:t>supra</w:t>
      </w:r>
      <w:r>
        <w:t>,</w:t>
      </w:r>
      <w:r>
        <w:rPr>
          <w:i/>
        </w:rPr>
        <w:t xml:space="preserve"> </w:t>
      </w:r>
      <w:r>
        <w:t xml:space="preserve">211 Cal.App.4th at p. 227.)  </w:t>
      </w:r>
      <w:r w:rsidR="00BC5157">
        <w:t>Section 459.5 proscribes charging “burglary or theft of the same property”</w:t>
      </w:r>
      <w:r w:rsidR="007F650E" w:rsidRPr="007F650E">
        <w:t xml:space="preserve"> </w:t>
      </w:r>
      <w:r w:rsidR="007F650E">
        <w:t>for shoplifting conduct</w:t>
      </w:r>
      <w:r w:rsidR="00BC5157">
        <w:t xml:space="preserve">  (§ 459.5</w:t>
      </w:r>
      <w:r w:rsidR="00570DCA">
        <w:t>, subd. (b)</w:t>
      </w:r>
      <w:r w:rsidR="00BC5157">
        <w:t>.)</w:t>
      </w:r>
      <w:r>
        <w:t xml:space="preserve">  But </w:t>
      </w:r>
      <w:r w:rsidR="00BC5157">
        <w:t xml:space="preserve">misuse of personal identifying information </w:t>
      </w:r>
      <w:r>
        <w:t xml:space="preserve">is not a </w:t>
      </w:r>
      <w:r w:rsidR="00BC5157">
        <w:t>“</w:t>
      </w:r>
      <w:r>
        <w:t>theft</w:t>
      </w:r>
      <w:r w:rsidR="00BC5157">
        <w:t>”</w:t>
      </w:r>
      <w:r>
        <w:t xml:space="preserve"> offense, so it </w:t>
      </w:r>
      <w:r w:rsidR="00746C9C">
        <w:t xml:space="preserve">remains </w:t>
      </w:r>
      <w:r>
        <w:t xml:space="preserve">a perfectly valid charge </w:t>
      </w:r>
      <w:r w:rsidR="00746C9C">
        <w:t xml:space="preserve">where a defendant engages in actions including conduct overlapping with </w:t>
      </w:r>
      <w:r>
        <w:t>misdemeanor shoplifting but</w:t>
      </w:r>
      <w:r w:rsidR="00746C9C">
        <w:t xml:space="preserve"> where </w:t>
      </w:r>
      <w:r w:rsidR="00746C9C">
        <w:lastRenderedPageBreak/>
        <w:t>the course of conduct also</w:t>
      </w:r>
      <w:r>
        <w:t xml:space="preserve"> </w:t>
      </w:r>
      <w:r w:rsidR="00746C9C">
        <w:t>fulfill</w:t>
      </w:r>
      <w:r w:rsidR="00CC5312">
        <w:t>s</w:t>
      </w:r>
      <w:r>
        <w:t xml:space="preserve"> elements — </w:t>
      </w:r>
      <w:r w:rsidR="00746C9C">
        <w:t>such as the misuse of personal identifying information that is all too common in the digital economy</w:t>
      </w:r>
      <w:r>
        <w:t xml:space="preserve"> — </w:t>
      </w:r>
      <w:r w:rsidR="00746C9C">
        <w:t xml:space="preserve"> </w:t>
      </w:r>
      <w:r w:rsidR="00813D9A">
        <w:t>wholly distinct from</w:t>
      </w:r>
      <w:r w:rsidR="00746C9C">
        <w:t xml:space="preserve"> what a shoplifting conviction would require</w:t>
      </w:r>
      <w:r>
        <w:t xml:space="preserve">. </w:t>
      </w:r>
    </w:p>
    <w:p w14:paraId="27B77AA1" w14:textId="13320EB2" w:rsidR="00C525F4" w:rsidRPr="00AF5911" w:rsidRDefault="007F4F01" w:rsidP="00443888">
      <w:pPr>
        <w:keepNext/>
        <w:spacing w:line="400" w:lineRule="atLeast"/>
        <w:ind w:firstLine="720"/>
        <w:rPr>
          <w:color w:val="000000"/>
          <w:szCs w:val="26"/>
          <w:lang w:eastAsia="zh-CN"/>
        </w:rPr>
      </w:pPr>
      <w:r w:rsidRPr="00AF5911">
        <w:rPr>
          <w:color w:val="000000"/>
          <w:szCs w:val="26"/>
          <w:lang w:eastAsia="zh-CN"/>
        </w:rPr>
        <w:t xml:space="preserve">The judgment of the Court of Appeal is reversed, and this case is remanded </w:t>
      </w:r>
      <w:r w:rsidR="000C077D">
        <w:rPr>
          <w:color w:val="000000"/>
          <w:szCs w:val="26"/>
          <w:lang w:eastAsia="zh-CN"/>
        </w:rPr>
        <w:t xml:space="preserve">to the Court of Appeal with instructions to send the case back to the trial court for sentencing </w:t>
      </w:r>
      <w:r w:rsidRPr="00AF5911">
        <w:rPr>
          <w:color w:val="000000"/>
          <w:szCs w:val="26"/>
          <w:lang w:eastAsia="zh-CN"/>
        </w:rPr>
        <w:t>not inconsistent with this opinion.</w:t>
      </w:r>
      <w:r>
        <w:rPr>
          <w:color w:val="000000"/>
          <w:szCs w:val="26"/>
          <w:lang w:eastAsia="zh-CN"/>
        </w:rPr>
        <w:t xml:space="preserve"> </w:t>
      </w:r>
      <w:r w:rsidR="00882375">
        <w:rPr>
          <w:color w:val="000000"/>
          <w:szCs w:val="26"/>
          <w:lang w:eastAsia="zh-CN"/>
        </w:rPr>
        <w:t xml:space="preserve"> </w:t>
      </w:r>
      <w:r w:rsidR="00622C9C">
        <w:rPr>
          <w:color w:val="000000"/>
          <w:szCs w:val="26"/>
          <w:lang w:eastAsia="zh-CN"/>
        </w:rPr>
        <w:t xml:space="preserve">To the extent it conflicts with this holding, </w:t>
      </w:r>
      <w:r w:rsidR="00814ED8">
        <w:rPr>
          <w:i/>
        </w:rPr>
        <w:t>People v. Brayton</w:t>
      </w:r>
      <w:r w:rsidR="00814ED8">
        <w:t xml:space="preserve"> (2018) 25 Cal.App.5th 734 (review granted Oct. 10, 2018, S251122)</w:t>
      </w:r>
      <w:r w:rsidR="00622C9C">
        <w:t xml:space="preserve"> is </w:t>
      </w:r>
      <w:r w:rsidR="005327EE">
        <w:t>disapproved</w:t>
      </w:r>
      <w:r w:rsidR="00C525F4" w:rsidRPr="00AF5911">
        <w:rPr>
          <w:color w:val="000000"/>
          <w:szCs w:val="26"/>
          <w:lang w:eastAsia="zh-CN"/>
        </w:rPr>
        <w:t>.</w:t>
      </w:r>
    </w:p>
    <w:p w14:paraId="44E8407D" w14:textId="7F040204" w:rsidR="00C525F4" w:rsidRDefault="00C525F4" w:rsidP="00443888">
      <w:pPr>
        <w:spacing w:line="400" w:lineRule="atLeast"/>
        <w:ind w:firstLine="720"/>
        <w:rPr>
          <w:b/>
        </w:rPr>
      </w:pPr>
      <w:r w:rsidRPr="00AF5911">
        <w:tab/>
      </w:r>
      <w:r w:rsidRPr="00AF5911">
        <w:tab/>
      </w:r>
      <w:r w:rsidRPr="00AF5911">
        <w:tab/>
      </w:r>
      <w:r w:rsidRPr="00AF5911">
        <w:tab/>
      </w:r>
      <w:r w:rsidR="008E2347">
        <w:tab/>
      </w:r>
      <w:r w:rsidR="00AF5911">
        <w:tab/>
      </w:r>
      <w:r w:rsidR="00AF5911">
        <w:tab/>
      </w:r>
      <w:r w:rsidR="00814ED8" w:rsidRPr="00814ED8">
        <w:rPr>
          <w:b/>
        </w:rPr>
        <w:t>CUÉLLAR</w:t>
      </w:r>
      <w:r w:rsidRPr="00AF5911">
        <w:rPr>
          <w:b/>
        </w:rPr>
        <w:t>, J.</w:t>
      </w:r>
    </w:p>
    <w:p w14:paraId="57CE50A8" w14:textId="77777777" w:rsidR="00EE7C61" w:rsidRPr="00AF5911" w:rsidRDefault="00EE7C61" w:rsidP="00443888">
      <w:pPr>
        <w:spacing w:line="400" w:lineRule="atLeast"/>
        <w:ind w:firstLine="720"/>
        <w:rPr>
          <w:b/>
        </w:rPr>
      </w:pPr>
    </w:p>
    <w:p w14:paraId="3054CE21" w14:textId="18D6EBD0" w:rsidR="00EE7C61" w:rsidRPr="00AF5911" w:rsidRDefault="00C525F4" w:rsidP="00443888">
      <w:pPr>
        <w:spacing w:line="400" w:lineRule="atLeast"/>
        <w:rPr>
          <w:b/>
        </w:rPr>
      </w:pPr>
      <w:r w:rsidRPr="00AF5911">
        <w:rPr>
          <w:b/>
        </w:rPr>
        <w:t>We Concur:</w:t>
      </w:r>
    </w:p>
    <w:p w14:paraId="509DE559" w14:textId="63733457" w:rsidR="00EE7C61" w:rsidRDefault="00EE7C61" w:rsidP="00EE7C61">
      <w:pPr>
        <w:spacing w:after="0" w:line="240" w:lineRule="auto"/>
        <w:jc w:val="left"/>
        <w:rPr>
          <w:b/>
        </w:rPr>
      </w:pPr>
      <w:r>
        <w:rPr>
          <w:b/>
        </w:rPr>
        <w:t>CANTIL-SAKAUYE, C. J.</w:t>
      </w:r>
    </w:p>
    <w:p w14:paraId="55ABE737" w14:textId="56F33A0E" w:rsidR="00EE7C61" w:rsidRDefault="00EE7C61" w:rsidP="00EE7C61">
      <w:pPr>
        <w:spacing w:after="0" w:line="240" w:lineRule="auto"/>
        <w:jc w:val="left"/>
        <w:rPr>
          <w:b/>
        </w:rPr>
      </w:pPr>
      <w:r>
        <w:rPr>
          <w:b/>
        </w:rPr>
        <w:t>CHIN, J.</w:t>
      </w:r>
    </w:p>
    <w:p w14:paraId="4C07121D" w14:textId="77A13891" w:rsidR="00EE7C61" w:rsidRDefault="00EE7C61" w:rsidP="00EE7C61">
      <w:pPr>
        <w:spacing w:after="0" w:line="240" w:lineRule="auto"/>
        <w:jc w:val="left"/>
        <w:rPr>
          <w:b/>
        </w:rPr>
      </w:pPr>
      <w:r>
        <w:rPr>
          <w:b/>
        </w:rPr>
        <w:t>CORRIGAN, J.</w:t>
      </w:r>
    </w:p>
    <w:p w14:paraId="54747181" w14:textId="77777777" w:rsidR="00EE7C61" w:rsidRDefault="00EE7C61" w:rsidP="00EE7C61">
      <w:pPr>
        <w:spacing w:after="0" w:line="240" w:lineRule="auto"/>
        <w:jc w:val="left"/>
        <w:rPr>
          <w:b/>
        </w:rPr>
      </w:pPr>
      <w:r>
        <w:rPr>
          <w:b/>
        </w:rPr>
        <w:t>LIU, J.</w:t>
      </w:r>
    </w:p>
    <w:p w14:paraId="12334A77" w14:textId="77777777" w:rsidR="00EE7C61" w:rsidRDefault="00EE7C61" w:rsidP="00EE7C61">
      <w:pPr>
        <w:spacing w:after="0" w:line="240" w:lineRule="auto"/>
        <w:jc w:val="left"/>
        <w:rPr>
          <w:b/>
        </w:rPr>
      </w:pPr>
      <w:r>
        <w:rPr>
          <w:b/>
        </w:rPr>
        <w:t>KRUGER, J.</w:t>
      </w:r>
    </w:p>
    <w:p w14:paraId="54BC8096" w14:textId="77777777" w:rsidR="00EE7C61" w:rsidRDefault="00EE7C61" w:rsidP="00EE7C61">
      <w:pPr>
        <w:spacing w:after="0" w:line="240" w:lineRule="auto"/>
        <w:jc w:val="left"/>
        <w:rPr>
          <w:b/>
        </w:rPr>
      </w:pPr>
      <w:r>
        <w:rPr>
          <w:b/>
        </w:rPr>
        <w:t>GROBAN, J.</w:t>
      </w:r>
    </w:p>
    <w:p w14:paraId="16BF05BA" w14:textId="77777777" w:rsidR="00546551" w:rsidRDefault="00546551" w:rsidP="00B52762">
      <w:pPr>
        <w:spacing w:line="400" w:lineRule="atLeast"/>
        <w:sectPr w:rsidR="00546551" w:rsidSect="009F3878">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720" w:footer="720" w:gutter="0"/>
          <w:pgNumType w:start="1"/>
          <w:cols w:space="720"/>
          <w:titlePg/>
          <w:docGrid w:linePitch="367"/>
        </w:sectPr>
      </w:pPr>
    </w:p>
    <w:p w14:paraId="2424B0F5" w14:textId="77777777" w:rsidR="00F738A3" w:rsidRPr="00F738A3" w:rsidRDefault="00F738A3" w:rsidP="00F738A3">
      <w:pPr>
        <w:spacing w:after="0" w:line="240" w:lineRule="auto"/>
        <w:jc w:val="left"/>
        <w:rPr>
          <w:rFonts w:ascii="Times New Roman" w:hAnsi="Times New Roman"/>
          <w:i/>
          <w:sz w:val="20"/>
        </w:rPr>
      </w:pPr>
      <w:r w:rsidRPr="00F738A3">
        <w:rPr>
          <w:rFonts w:ascii="Times New Roman" w:hAnsi="Times New Roman"/>
          <w:i/>
          <w:sz w:val="20"/>
        </w:rPr>
        <w:lastRenderedPageBreak/>
        <w:t>See next page for addresses and telephone numbers for counsel who argued in Supreme Court.</w:t>
      </w:r>
    </w:p>
    <w:p w14:paraId="2EA5790D" w14:textId="77777777" w:rsidR="00F738A3" w:rsidRPr="00F738A3" w:rsidRDefault="00F738A3" w:rsidP="00F738A3">
      <w:pPr>
        <w:spacing w:after="0" w:line="240" w:lineRule="auto"/>
        <w:jc w:val="left"/>
        <w:rPr>
          <w:rFonts w:ascii="Times New Roman" w:hAnsi="Times New Roman"/>
          <w:i/>
          <w:sz w:val="20"/>
        </w:rPr>
      </w:pPr>
    </w:p>
    <w:p w14:paraId="1D21BD98"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 xml:space="preserve">Name of Opinion </w:t>
      </w:r>
      <w:r w:rsidRPr="00F738A3">
        <w:rPr>
          <w:rFonts w:ascii="Times New Roman" w:hAnsi="Times New Roman"/>
          <w:sz w:val="20"/>
        </w:rPr>
        <w:t xml:space="preserve">People v. Jimenez </w:t>
      </w:r>
      <w:r w:rsidRPr="00F738A3">
        <w:rPr>
          <w:rFonts w:ascii="Times New Roman" w:hAnsi="Times New Roman"/>
          <w:b/>
          <w:sz w:val="20"/>
        </w:rPr>
        <w:t>__________________________________________________________________________________</w:t>
      </w:r>
    </w:p>
    <w:p w14:paraId="327329D7" w14:textId="77777777" w:rsidR="00F738A3" w:rsidRPr="00F738A3" w:rsidRDefault="00F738A3" w:rsidP="00F738A3">
      <w:pPr>
        <w:spacing w:after="0" w:line="240" w:lineRule="auto"/>
        <w:jc w:val="left"/>
        <w:rPr>
          <w:rFonts w:ascii="Times New Roman" w:hAnsi="Times New Roman"/>
          <w:b/>
          <w:sz w:val="20"/>
        </w:rPr>
      </w:pPr>
    </w:p>
    <w:p w14:paraId="0718EABC" w14:textId="77777777" w:rsidR="00F738A3" w:rsidRPr="00F738A3" w:rsidRDefault="00F738A3" w:rsidP="00F738A3">
      <w:pPr>
        <w:spacing w:after="0" w:line="240" w:lineRule="auto"/>
        <w:jc w:val="left"/>
        <w:rPr>
          <w:rFonts w:ascii="Times New Roman" w:hAnsi="Times New Roman"/>
          <w:bCs/>
          <w:sz w:val="20"/>
        </w:rPr>
      </w:pPr>
      <w:r w:rsidRPr="00F738A3">
        <w:rPr>
          <w:rFonts w:ascii="Times New Roman" w:hAnsi="Times New Roman"/>
          <w:b/>
          <w:sz w:val="20"/>
        </w:rPr>
        <w:t>Unpublished Opinion</w:t>
      </w:r>
    </w:p>
    <w:p w14:paraId="61F1E8AA"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b/>
          <w:sz w:val="20"/>
        </w:rPr>
        <w:t>Original Appeal</w:t>
      </w:r>
    </w:p>
    <w:p w14:paraId="1877AEB5"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 xml:space="preserve">Original Proceeding </w:t>
      </w:r>
    </w:p>
    <w:p w14:paraId="42760D47"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b/>
          <w:sz w:val="20"/>
        </w:rPr>
        <w:t xml:space="preserve">Review Granted </w:t>
      </w:r>
      <w:r w:rsidRPr="00F738A3">
        <w:rPr>
          <w:rFonts w:ascii="Times New Roman" w:hAnsi="Times New Roman"/>
          <w:sz w:val="20"/>
        </w:rPr>
        <w:t>XXX 22 Cal.App.5th 1282</w:t>
      </w:r>
    </w:p>
    <w:p w14:paraId="45E8271F"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Rehearing Granted</w:t>
      </w:r>
    </w:p>
    <w:p w14:paraId="7631B14A" w14:textId="77777777" w:rsidR="00F738A3" w:rsidRPr="00F738A3" w:rsidRDefault="00F738A3" w:rsidP="00F738A3">
      <w:pPr>
        <w:spacing w:after="0" w:line="240" w:lineRule="auto"/>
        <w:jc w:val="left"/>
        <w:rPr>
          <w:rFonts w:ascii="Times New Roman" w:hAnsi="Times New Roman"/>
          <w:b/>
          <w:sz w:val="20"/>
        </w:rPr>
      </w:pPr>
    </w:p>
    <w:p w14:paraId="6B6B6CB3"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__________________________________________________________________________________</w:t>
      </w:r>
    </w:p>
    <w:p w14:paraId="133602F2" w14:textId="77777777" w:rsidR="00F738A3" w:rsidRPr="00F738A3" w:rsidRDefault="00F738A3" w:rsidP="00F738A3">
      <w:pPr>
        <w:spacing w:after="0" w:line="240" w:lineRule="auto"/>
        <w:jc w:val="left"/>
        <w:rPr>
          <w:rFonts w:ascii="Times New Roman" w:hAnsi="Times New Roman"/>
          <w:b/>
          <w:sz w:val="20"/>
        </w:rPr>
      </w:pPr>
    </w:p>
    <w:p w14:paraId="1A1BB164" w14:textId="77777777" w:rsidR="00F738A3" w:rsidRPr="00F738A3" w:rsidRDefault="00F738A3" w:rsidP="00F738A3">
      <w:pPr>
        <w:spacing w:after="0" w:line="240" w:lineRule="auto"/>
        <w:jc w:val="left"/>
        <w:rPr>
          <w:rFonts w:ascii="Times New Roman" w:hAnsi="Times New Roman"/>
          <w:bCs/>
          <w:sz w:val="20"/>
        </w:rPr>
      </w:pPr>
      <w:r w:rsidRPr="00F738A3">
        <w:rPr>
          <w:rFonts w:ascii="Times New Roman" w:hAnsi="Times New Roman"/>
          <w:b/>
          <w:sz w:val="20"/>
        </w:rPr>
        <w:t>Opinion No.</w:t>
      </w:r>
      <w:r w:rsidRPr="00F738A3">
        <w:rPr>
          <w:rFonts w:ascii="Times New Roman" w:hAnsi="Times New Roman"/>
          <w:sz w:val="20"/>
        </w:rPr>
        <w:t xml:space="preserve"> S249397</w:t>
      </w:r>
    </w:p>
    <w:p w14:paraId="33711B00" w14:textId="77777777" w:rsidR="00F738A3" w:rsidRPr="00F738A3" w:rsidRDefault="00F738A3" w:rsidP="00F738A3">
      <w:pPr>
        <w:spacing w:after="0" w:line="240" w:lineRule="auto"/>
        <w:jc w:val="left"/>
        <w:rPr>
          <w:rFonts w:ascii="Times New Roman" w:hAnsi="Times New Roman"/>
          <w:bCs/>
          <w:sz w:val="20"/>
        </w:rPr>
      </w:pPr>
      <w:r w:rsidRPr="00F738A3">
        <w:rPr>
          <w:rFonts w:ascii="Times New Roman" w:hAnsi="Times New Roman"/>
          <w:b/>
          <w:sz w:val="20"/>
        </w:rPr>
        <w:t>Date Filed:</w:t>
      </w:r>
      <w:r w:rsidRPr="00F738A3">
        <w:rPr>
          <w:rFonts w:ascii="Times New Roman" w:hAnsi="Times New Roman"/>
          <w:sz w:val="20"/>
        </w:rPr>
        <w:t xml:space="preserve">  March 2, 2020</w:t>
      </w:r>
    </w:p>
    <w:p w14:paraId="1525A864"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__________________________________________________________________________________</w:t>
      </w:r>
    </w:p>
    <w:p w14:paraId="60B9D28D" w14:textId="77777777" w:rsidR="00F738A3" w:rsidRPr="00F738A3" w:rsidRDefault="00F738A3" w:rsidP="00F738A3">
      <w:pPr>
        <w:spacing w:after="0" w:line="240" w:lineRule="auto"/>
        <w:jc w:val="left"/>
        <w:rPr>
          <w:rFonts w:ascii="Times New Roman" w:hAnsi="Times New Roman"/>
          <w:b/>
          <w:sz w:val="20"/>
        </w:rPr>
      </w:pPr>
    </w:p>
    <w:p w14:paraId="53CF5D56" w14:textId="77777777" w:rsidR="00F738A3" w:rsidRPr="00F738A3" w:rsidRDefault="00F738A3" w:rsidP="00F738A3">
      <w:pPr>
        <w:spacing w:after="0" w:line="240" w:lineRule="auto"/>
        <w:jc w:val="left"/>
        <w:rPr>
          <w:rFonts w:ascii="Times New Roman" w:hAnsi="Times New Roman"/>
          <w:bCs/>
          <w:sz w:val="20"/>
        </w:rPr>
      </w:pPr>
      <w:r w:rsidRPr="00F738A3">
        <w:rPr>
          <w:rFonts w:ascii="Times New Roman" w:hAnsi="Times New Roman"/>
          <w:b/>
          <w:sz w:val="20"/>
        </w:rPr>
        <w:t xml:space="preserve">Court:  </w:t>
      </w:r>
      <w:r w:rsidRPr="00F738A3">
        <w:rPr>
          <w:rFonts w:ascii="Times New Roman" w:hAnsi="Times New Roman"/>
          <w:sz w:val="20"/>
        </w:rPr>
        <w:t>Superior</w:t>
      </w:r>
    </w:p>
    <w:p w14:paraId="553C9E95" w14:textId="77777777" w:rsidR="00F738A3" w:rsidRPr="00F738A3" w:rsidRDefault="00F738A3" w:rsidP="00F738A3">
      <w:pPr>
        <w:spacing w:after="0" w:line="240" w:lineRule="auto"/>
        <w:jc w:val="left"/>
        <w:rPr>
          <w:rFonts w:ascii="Times New Roman" w:hAnsi="Times New Roman"/>
          <w:bCs/>
          <w:sz w:val="20"/>
        </w:rPr>
      </w:pPr>
      <w:r w:rsidRPr="00F738A3">
        <w:rPr>
          <w:rFonts w:ascii="Times New Roman" w:hAnsi="Times New Roman"/>
          <w:b/>
          <w:sz w:val="20"/>
        </w:rPr>
        <w:t xml:space="preserve">County:  </w:t>
      </w:r>
      <w:r w:rsidRPr="00F738A3">
        <w:rPr>
          <w:rFonts w:ascii="Times New Roman" w:hAnsi="Times New Roman"/>
          <w:sz w:val="20"/>
        </w:rPr>
        <w:t>Ventura</w:t>
      </w:r>
    </w:p>
    <w:p w14:paraId="119C9B04" w14:textId="77777777" w:rsidR="00F738A3" w:rsidRPr="00F738A3" w:rsidRDefault="00F738A3" w:rsidP="00F738A3">
      <w:pPr>
        <w:spacing w:after="0" w:line="240" w:lineRule="auto"/>
        <w:ind w:left="720" w:hanging="720"/>
        <w:jc w:val="left"/>
        <w:rPr>
          <w:rFonts w:ascii="Times New Roman" w:hAnsi="Times New Roman"/>
          <w:bCs/>
          <w:sz w:val="20"/>
        </w:rPr>
      </w:pPr>
      <w:r w:rsidRPr="00F738A3">
        <w:rPr>
          <w:rFonts w:ascii="Times New Roman" w:hAnsi="Times New Roman"/>
          <w:b/>
          <w:sz w:val="20"/>
        </w:rPr>
        <w:t xml:space="preserve">Judge:  </w:t>
      </w:r>
      <w:r w:rsidRPr="00F738A3">
        <w:rPr>
          <w:rFonts w:ascii="Times New Roman" w:hAnsi="Times New Roman"/>
          <w:sz w:val="20"/>
        </w:rPr>
        <w:t>Manuel J. Covarrubias</w:t>
      </w:r>
    </w:p>
    <w:p w14:paraId="3FF3969C" w14:textId="77777777" w:rsidR="00F738A3" w:rsidRPr="00F738A3" w:rsidRDefault="00F738A3" w:rsidP="00F738A3">
      <w:pPr>
        <w:spacing w:after="0" w:line="240" w:lineRule="auto"/>
        <w:jc w:val="left"/>
        <w:rPr>
          <w:rFonts w:ascii="Times New Roman" w:hAnsi="Times New Roman"/>
          <w:b/>
          <w:sz w:val="20"/>
        </w:rPr>
      </w:pPr>
    </w:p>
    <w:p w14:paraId="7EE5B450"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__________________________________________________________________________________</w:t>
      </w:r>
    </w:p>
    <w:p w14:paraId="4D435281" w14:textId="77777777" w:rsidR="00F738A3" w:rsidRPr="00F738A3" w:rsidRDefault="00F738A3" w:rsidP="00F738A3">
      <w:pPr>
        <w:spacing w:after="0" w:line="240" w:lineRule="auto"/>
        <w:jc w:val="left"/>
        <w:rPr>
          <w:rFonts w:ascii="Times New Roman" w:hAnsi="Times New Roman"/>
          <w:b/>
          <w:sz w:val="20"/>
        </w:rPr>
      </w:pPr>
    </w:p>
    <w:p w14:paraId="2AC0F901"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Counsel:</w:t>
      </w:r>
    </w:p>
    <w:p w14:paraId="481D628C" w14:textId="77777777" w:rsidR="00F738A3" w:rsidRPr="00F738A3" w:rsidRDefault="00F738A3" w:rsidP="00F738A3">
      <w:pPr>
        <w:spacing w:after="0" w:line="240" w:lineRule="auto"/>
        <w:jc w:val="left"/>
        <w:rPr>
          <w:rFonts w:ascii="Times New Roman" w:hAnsi="Times New Roman"/>
          <w:b/>
          <w:sz w:val="20"/>
        </w:rPr>
      </w:pPr>
    </w:p>
    <w:p w14:paraId="2A5A5DC4"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Gregory D. Totten, District Attorney, Lisa O. Lyytikainen and Michelle J. Contois, Deputy District Attorneys, for Plaintiff and Appellant.</w:t>
      </w:r>
      <w:r w:rsidRPr="00F738A3">
        <w:rPr>
          <w:rFonts w:ascii="Times New Roman" w:hAnsi="Times New Roman"/>
          <w:sz w:val="20"/>
        </w:rPr>
        <w:br/>
      </w:r>
      <w:r w:rsidRPr="00F738A3">
        <w:rPr>
          <w:rFonts w:ascii="Times New Roman" w:hAnsi="Times New Roman"/>
          <w:sz w:val="20"/>
        </w:rPr>
        <w:br/>
        <w:t>Todd W. Howeth, Public Defender, and William M. Quest, Deputy Public Defender, for Defendant and Respondent.</w:t>
      </w:r>
    </w:p>
    <w:p w14:paraId="67CBF7ED" w14:textId="77777777" w:rsidR="00F738A3" w:rsidRPr="00F738A3" w:rsidRDefault="00F738A3" w:rsidP="00F738A3">
      <w:pPr>
        <w:spacing w:after="0" w:line="240" w:lineRule="auto"/>
        <w:jc w:val="left"/>
        <w:rPr>
          <w:rFonts w:ascii="Times New Roman" w:hAnsi="Times New Roman"/>
          <w:sz w:val="26"/>
        </w:rPr>
      </w:pPr>
    </w:p>
    <w:p w14:paraId="16F32321" w14:textId="77777777" w:rsidR="00F738A3" w:rsidRPr="00F738A3" w:rsidRDefault="00F738A3" w:rsidP="00F738A3">
      <w:pPr>
        <w:spacing w:after="0" w:line="240" w:lineRule="auto"/>
        <w:jc w:val="left"/>
        <w:rPr>
          <w:rFonts w:ascii="Times New Roman" w:hAnsi="Times New Roman"/>
          <w:sz w:val="20"/>
        </w:rPr>
      </w:pPr>
    </w:p>
    <w:p w14:paraId="08976F46" w14:textId="77777777" w:rsidR="00F738A3" w:rsidRPr="00F738A3" w:rsidRDefault="00F738A3" w:rsidP="00F738A3">
      <w:pPr>
        <w:spacing w:after="0" w:line="240" w:lineRule="auto"/>
        <w:jc w:val="left"/>
        <w:rPr>
          <w:rFonts w:ascii="Times New Roman" w:hAnsi="Times New Roman"/>
          <w:sz w:val="20"/>
        </w:rPr>
      </w:pPr>
    </w:p>
    <w:p w14:paraId="34949271" w14:textId="77777777" w:rsidR="00F738A3" w:rsidRPr="00F738A3" w:rsidRDefault="00F738A3" w:rsidP="00F738A3">
      <w:pPr>
        <w:spacing w:after="0" w:line="240" w:lineRule="auto"/>
        <w:jc w:val="left"/>
        <w:rPr>
          <w:rFonts w:ascii="Times New Roman" w:hAnsi="Times New Roman"/>
          <w:sz w:val="20"/>
        </w:rPr>
      </w:pPr>
    </w:p>
    <w:p w14:paraId="42C2D3DD" w14:textId="77777777" w:rsidR="00F738A3" w:rsidRPr="00F738A3" w:rsidRDefault="00F738A3" w:rsidP="00F738A3">
      <w:pPr>
        <w:spacing w:after="0" w:line="240" w:lineRule="auto"/>
        <w:jc w:val="left"/>
        <w:rPr>
          <w:rFonts w:ascii="Times New Roman" w:hAnsi="Times New Roman"/>
          <w:b/>
          <w:sz w:val="20"/>
        </w:rPr>
      </w:pPr>
    </w:p>
    <w:p w14:paraId="4746A4D2" w14:textId="77777777" w:rsidR="00F738A3" w:rsidRPr="00F738A3" w:rsidRDefault="00F738A3" w:rsidP="00F738A3">
      <w:pPr>
        <w:spacing w:after="0" w:line="240" w:lineRule="auto"/>
        <w:jc w:val="left"/>
        <w:rPr>
          <w:rFonts w:ascii="Times New Roman" w:hAnsi="Times New Roman"/>
          <w:b/>
          <w:sz w:val="20"/>
        </w:rPr>
      </w:pPr>
    </w:p>
    <w:p w14:paraId="7C2DD677" w14:textId="77777777" w:rsidR="00F738A3" w:rsidRPr="00F738A3" w:rsidRDefault="00F738A3" w:rsidP="00F738A3">
      <w:pPr>
        <w:spacing w:after="0" w:line="240" w:lineRule="auto"/>
        <w:jc w:val="left"/>
        <w:rPr>
          <w:rFonts w:ascii="Times New Roman" w:hAnsi="Times New Roman"/>
          <w:b/>
          <w:sz w:val="20"/>
        </w:rPr>
      </w:pPr>
    </w:p>
    <w:p w14:paraId="05898CB1"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br w:type="page"/>
      </w:r>
    </w:p>
    <w:p w14:paraId="08E726B7" w14:textId="77777777" w:rsidR="00F738A3" w:rsidRPr="00F738A3" w:rsidRDefault="00F738A3" w:rsidP="00F738A3">
      <w:pPr>
        <w:spacing w:after="0" w:line="240" w:lineRule="auto"/>
        <w:jc w:val="left"/>
        <w:rPr>
          <w:rFonts w:ascii="Times New Roman" w:hAnsi="Times New Roman"/>
          <w:b/>
          <w:sz w:val="20"/>
        </w:rPr>
      </w:pPr>
    </w:p>
    <w:p w14:paraId="26C4E7BD" w14:textId="77777777" w:rsidR="00F738A3" w:rsidRPr="00F738A3" w:rsidRDefault="00F738A3" w:rsidP="00F738A3">
      <w:pPr>
        <w:spacing w:after="0" w:line="240" w:lineRule="auto"/>
        <w:jc w:val="left"/>
        <w:rPr>
          <w:rFonts w:ascii="Times New Roman" w:hAnsi="Times New Roman"/>
          <w:b/>
          <w:sz w:val="20"/>
        </w:rPr>
      </w:pPr>
    </w:p>
    <w:p w14:paraId="6AFB0C68" w14:textId="77777777" w:rsidR="00F738A3" w:rsidRPr="00F738A3" w:rsidRDefault="00F738A3" w:rsidP="00F738A3">
      <w:pPr>
        <w:spacing w:after="0" w:line="240" w:lineRule="auto"/>
        <w:jc w:val="left"/>
        <w:rPr>
          <w:rFonts w:ascii="Times New Roman" w:hAnsi="Times New Roman"/>
          <w:b/>
          <w:sz w:val="20"/>
        </w:rPr>
      </w:pPr>
    </w:p>
    <w:p w14:paraId="3C17EE50" w14:textId="77777777" w:rsidR="00F738A3" w:rsidRPr="00F738A3" w:rsidRDefault="00F738A3" w:rsidP="00F738A3">
      <w:pPr>
        <w:spacing w:after="0" w:line="240" w:lineRule="auto"/>
        <w:jc w:val="left"/>
        <w:rPr>
          <w:rFonts w:ascii="Times New Roman" w:hAnsi="Times New Roman"/>
          <w:b/>
          <w:sz w:val="20"/>
        </w:rPr>
      </w:pPr>
      <w:r w:rsidRPr="00F738A3">
        <w:rPr>
          <w:rFonts w:ascii="Times New Roman" w:hAnsi="Times New Roman"/>
          <w:b/>
          <w:sz w:val="20"/>
        </w:rPr>
        <w:t>Counsel who argued in Supreme Court (not intended for publication with opinion):</w:t>
      </w:r>
    </w:p>
    <w:p w14:paraId="7D1E48B4" w14:textId="77777777" w:rsidR="00F738A3" w:rsidRPr="00F738A3" w:rsidRDefault="00F738A3" w:rsidP="00F738A3">
      <w:pPr>
        <w:spacing w:after="0" w:line="240" w:lineRule="auto"/>
        <w:jc w:val="left"/>
        <w:rPr>
          <w:rFonts w:ascii="Times New Roman" w:hAnsi="Times New Roman"/>
          <w:b/>
          <w:sz w:val="20"/>
        </w:rPr>
      </w:pPr>
    </w:p>
    <w:p w14:paraId="0DD812D6"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Michelle J. Contois</w:t>
      </w:r>
    </w:p>
    <w:p w14:paraId="35574F85"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Deputy District Attorney</w:t>
      </w:r>
    </w:p>
    <w:p w14:paraId="7192687F"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800 South Victoria Avenue</w:t>
      </w:r>
    </w:p>
    <w:p w14:paraId="18BFBF68"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Ventura, CA 93009</w:t>
      </w:r>
    </w:p>
    <w:p w14:paraId="0F1EC895"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(805) 654-3078</w:t>
      </w:r>
    </w:p>
    <w:p w14:paraId="2B01C0C4" w14:textId="77777777" w:rsidR="00F738A3" w:rsidRPr="00F738A3" w:rsidRDefault="00F738A3" w:rsidP="00F738A3">
      <w:pPr>
        <w:spacing w:after="0" w:line="240" w:lineRule="auto"/>
        <w:jc w:val="left"/>
        <w:rPr>
          <w:rFonts w:ascii="Times New Roman" w:hAnsi="Times New Roman"/>
          <w:sz w:val="20"/>
        </w:rPr>
      </w:pPr>
    </w:p>
    <w:p w14:paraId="7D4CE15D"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William M. Quest</w:t>
      </w:r>
    </w:p>
    <w:p w14:paraId="096E958A"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Senior Deputy Public Defender</w:t>
      </w:r>
    </w:p>
    <w:p w14:paraId="726B8035"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800 South Victoria Avenue, HOJ-207</w:t>
      </w:r>
    </w:p>
    <w:p w14:paraId="2122707C"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Ventura, CA 93009</w:t>
      </w:r>
    </w:p>
    <w:p w14:paraId="41420902" w14:textId="77777777" w:rsidR="00F738A3" w:rsidRPr="00F738A3" w:rsidRDefault="00F738A3" w:rsidP="00F738A3">
      <w:pPr>
        <w:spacing w:after="0" w:line="240" w:lineRule="auto"/>
        <w:jc w:val="left"/>
        <w:rPr>
          <w:rFonts w:ascii="Times New Roman" w:hAnsi="Times New Roman"/>
          <w:sz w:val="20"/>
        </w:rPr>
      </w:pPr>
      <w:r w:rsidRPr="00F738A3">
        <w:rPr>
          <w:rFonts w:ascii="Times New Roman" w:hAnsi="Times New Roman"/>
          <w:sz w:val="20"/>
        </w:rPr>
        <w:t>(805) 654-3032</w:t>
      </w:r>
    </w:p>
    <w:p w14:paraId="55EB7F20" w14:textId="33106352" w:rsidR="00C525F4" w:rsidRPr="00AF5911" w:rsidRDefault="00C525F4" w:rsidP="00B52762">
      <w:pPr>
        <w:spacing w:line="400" w:lineRule="atLeast"/>
      </w:pPr>
    </w:p>
    <w:sectPr w:rsidR="00C525F4" w:rsidRPr="00AF5911">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E84F" w14:textId="77777777" w:rsidR="00F35956" w:rsidRDefault="00F35956">
      <w:r>
        <w:separator/>
      </w:r>
    </w:p>
  </w:endnote>
  <w:endnote w:type="continuationSeparator" w:id="0">
    <w:p w14:paraId="708BB8F7" w14:textId="77777777" w:rsidR="00F35956" w:rsidRDefault="00F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3978504"/>
      <w:docPartObj>
        <w:docPartGallery w:val="Page Numbers (Bottom of Page)"/>
        <w:docPartUnique/>
      </w:docPartObj>
    </w:sdtPr>
    <w:sdtEndPr>
      <w:rPr>
        <w:rStyle w:val="PageNumber"/>
      </w:rPr>
    </w:sdtEndPr>
    <w:sdtContent>
      <w:p w14:paraId="4E212270" w14:textId="77777777" w:rsidR="00AF5911" w:rsidRDefault="00AF5911" w:rsidP="00CB05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2F987" w14:textId="77777777" w:rsidR="00AF5911" w:rsidRDefault="00AF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506792"/>
      <w:docPartObj>
        <w:docPartGallery w:val="Page Numbers (Bottom of Page)"/>
        <w:docPartUnique/>
      </w:docPartObj>
    </w:sdtPr>
    <w:sdtEndPr>
      <w:rPr>
        <w:rStyle w:val="PageNumber"/>
      </w:rPr>
    </w:sdtEndPr>
    <w:sdtContent>
      <w:p w14:paraId="1B04F23F" w14:textId="77777777" w:rsidR="00AF5911" w:rsidRDefault="00AF5911" w:rsidP="00CB05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7CE1A21" w14:textId="77777777" w:rsidR="00AF5911" w:rsidRDefault="00AF5911" w:rsidP="007A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6DBA" w14:textId="4B93D2B5" w:rsidR="00AF5911" w:rsidRDefault="00AF5911" w:rsidP="00396608">
    <w:pPr>
      <w:pStyle w:val="Footer"/>
      <w:jc w:val="both"/>
    </w:pPr>
  </w:p>
  <w:p w14:paraId="50E05B40" w14:textId="77777777" w:rsidR="00AF5911" w:rsidRDefault="00AF59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4E9E" w14:textId="77777777" w:rsidR="00AF5911" w:rsidRDefault="00AF59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8533" w14:textId="77777777" w:rsidR="000912E9" w:rsidRDefault="000912E9">
    <w:pPr>
      <w:pStyle w:val="Footer"/>
    </w:pPr>
    <w:r>
      <w:fldChar w:fldCharType="begin"/>
    </w:r>
    <w:r>
      <w:instrText>PAGE</w:instrText>
    </w:r>
    <w:r>
      <w:fldChar w:fldCharType="separate"/>
    </w:r>
    <w:r>
      <w:rPr>
        <w:noProof/>
      </w:rPr>
      <w:t>24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A027" w14:textId="29A427BC" w:rsidR="00AF5911" w:rsidRDefault="006D293C">
    <w:pPr>
      <w:pStyle w:val="Footer"/>
    </w:pPr>
    <w:r>
      <w:t>1</w:t>
    </w:r>
  </w:p>
  <w:p w14:paraId="52892A66" w14:textId="77777777" w:rsidR="00AF5911" w:rsidRDefault="00AF59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F079" w14:textId="77777777" w:rsidR="008C3BB1" w:rsidRDefault="003457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857B" w14:textId="77777777" w:rsidR="008C3BB1" w:rsidRDefault="0034575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3298" w14:textId="77777777" w:rsidR="008C3BB1" w:rsidRDefault="0034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CF88" w14:textId="77777777" w:rsidR="00F35956" w:rsidRDefault="00F35956">
      <w:r>
        <w:separator/>
      </w:r>
    </w:p>
  </w:footnote>
  <w:footnote w:type="continuationSeparator" w:id="0">
    <w:p w14:paraId="0E6EE6C5" w14:textId="77777777" w:rsidR="00F35956" w:rsidRDefault="00F35956">
      <w:pPr>
        <w:rPr>
          <w:sz w:val="22"/>
        </w:rPr>
      </w:pPr>
      <w:r>
        <w:continuationSeparator/>
      </w:r>
    </w:p>
  </w:footnote>
  <w:footnote w:type="continuationNotice" w:id="1">
    <w:p w14:paraId="105C38E6" w14:textId="77777777" w:rsidR="00F35956" w:rsidRDefault="00F35956" w:rsidP="003002C0">
      <w:pPr>
        <w:rPr>
          <w:i/>
          <w:sz w:val="20"/>
        </w:rPr>
      </w:pPr>
    </w:p>
  </w:footnote>
  <w:footnote w:id="2">
    <w:p w14:paraId="44BEDADD" w14:textId="0ED6D303" w:rsidR="00DE2B30" w:rsidRDefault="00DE2B30">
      <w:pPr>
        <w:pStyle w:val="FootnoteText"/>
      </w:pPr>
      <w:r>
        <w:rPr>
          <w:rStyle w:val="FootnoteReference"/>
        </w:rPr>
        <w:footnoteRef/>
      </w:r>
      <w:r>
        <w:t xml:space="preserve"> All Internet citations in this opinion are archived by year, docket number and case name at &lt;http://www.courts.ca.gov/38324.htm&gt;.</w:t>
      </w:r>
    </w:p>
  </w:footnote>
  <w:footnote w:id="3">
    <w:p w14:paraId="3421AA9C" w14:textId="281B5E9F" w:rsidR="00570DCA" w:rsidRDefault="00570DCA" w:rsidP="00570DCA">
      <w:pPr>
        <w:pStyle w:val="FootnoteText"/>
      </w:pPr>
      <w:r>
        <w:rPr>
          <w:rStyle w:val="FootnoteReference"/>
        </w:rPr>
        <w:footnoteRef/>
      </w:r>
      <w:r>
        <w:t xml:space="preserve"> All </w:t>
      </w:r>
      <w:r w:rsidR="0037155B">
        <w:t xml:space="preserve">further </w:t>
      </w:r>
      <w:r>
        <w:t xml:space="preserve">unlabeled statutory references </w:t>
      </w:r>
      <w:r w:rsidR="003F1C16">
        <w:t>are</w:t>
      </w:r>
      <w:r>
        <w:t xml:space="preserve"> to the Penal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C4AB" w14:textId="77777777" w:rsidR="00AF5911" w:rsidRDefault="00AF5911">
    <w:pPr>
      <w:pStyle w:val="Header"/>
    </w:pPr>
    <w:r>
      <w:t>PEOPLE v. BUENROSTRO</w:t>
    </w:r>
  </w:p>
  <w:p w14:paraId="1D0CB442" w14:textId="77777777" w:rsidR="00AF5911" w:rsidRDefault="00AF5911">
    <w:pPr>
      <w:pStyle w:val="Header"/>
    </w:pPr>
    <w:r>
      <w:t>Opinion of the Court by Kruger, J.</w:t>
    </w:r>
  </w:p>
  <w:p w14:paraId="0B6BFD2E" w14:textId="77777777" w:rsidR="00AF5911" w:rsidRDefault="00AF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196C" w14:textId="77777777" w:rsidR="00AF5911" w:rsidRDefault="00AF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365B" w14:textId="1AC75874" w:rsidR="00AF5911" w:rsidRDefault="00AF5911" w:rsidP="00AF5911">
    <w:pPr>
      <w:pStyle w:val="Header"/>
    </w:pPr>
    <w:r>
      <w:t xml:space="preserve">PEOPLE v. </w:t>
    </w:r>
    <w:r w:rsidR="00814ED8">
      <w:t>JIMENEZ</w:t>
    </w:r>
  </w:p>
  <w:p w14:paraId="7AD4EE16" w14:textId="70182803" w:rsidR="00AF5911" w:rsidRDefault="00AF5911" w:rsidP="00AF5911">
    <w:pPr>
      <w:pStyle w:val="Header"/>
    </w:pPr>
    <w:r>
      <w:t xml:space="preserve">Opinion of the Court by </w:t>
    </w:r>
    <w:r w:rsidR="00814ED8" w:rsidRPr="00814ED8">
      <w:t>Cuéllar</w:t>
    </w:r>
    <w:r>
      <w:t>, J.</w:t>
    </w:r>
  </w:p>
  <w:p w14:paraId="1DE40076" w14:textId="32A0BD11" w:rsidR="00AF5911" w:rsidRDefault="00AF5911">
    <w:pPr>
      <w:pStyle w:val="Header"/>
    </w:pPr>
  </w:p>
  <w:p w14:paraId="0A84208F" w14:textId="77777777" w:rsidR="00AF5911" w:rsidRDefault="00AF5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1A81" w14:textId="77777777" w:rsidR="00AF5911" w:rsidRDefault="00AF5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61E7" w14:textId="77777777" w:rsidR="008C3BB1" w:rsidRDefault="003457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B2D4" w14:textId="77777777" w:rsidR="008C3BB1" w:rsidRDefault="003457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6B1" w14:textId="77777777" w:rsidR="008C3BB1" w:rsidRDefault="0034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84164C"/>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removePersonalInformation/>
  <w:removeDateAndTime/>
  <w:printFractionalCharacterWidth/>
  <w:activeWritingStyle w:appName="MSWord" w:lang="en-US" w:vendorID="64" w:dllVersion="0" w:nlCheck="1" w:checkStyle="1"/>
  <w:activeWritingStyle w:appName="MSWord" w:lang="en-US" w:vendorID="64" w:dllVersion="4096" w:nlCheck="1" w:checkStyle="0"/>
  <w:activeWritingStyle w:appName="MSWord" w:lang="pt-BR" w:vendorID="64" w:dllVersion="4096" w:nlCheck="1" w:checkStyle="0"/>
  <w:activeWritingStyle w:appName="MSWord" w:lang="nb-NO" w:vendorID="64" w:dllVersion="4096"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A2"/>
    <w:rsid w:val="00000534"/>
    <w:rsid w:val="0000068B"/>
    <w:rsid w:val="00001740"/>
    <w:rsid w:val="0000192C"/>
    <w:rsid w:val="00002CB4"/>
    <w:rsid w:val="00002EB5"/>
    <w:rsid w:val="00003780"/>
    <w:rsid w:val="00003DD6"/>
    <w:rsid w:val="00004486"/>
    <w:rsid w:val="0000501A"/>
    <w:rsid w:val="00005948"/>
    <w:rsid w:val="00005E29"/>
    <w:rsid w:val="000064D9"/>
    <w:rsid w:val="000064E3"/>
    <w:rsid w:val="00006A22"/>
    <w:rsid w:val="00007884"/>
    <w:rsid w:val="00007C5A"/>
    <w:rsid w:val="0001088B"/>
    <w:rsid w:val="00011434"/>
    <w:rsid w:val="00011D56"/>
    <w:rsid w:val="00011D9C"/>
    <w:rsid w:val="00012053"/>
    <w:rsid w:val="000122E5"/>
    <w:rsid w:val="000128D0"/>
    <w:rsid w:val="00013E76"/>
    <w:rsid w:val="00014311"/>
    <w:rsid w:val="000146CB"/>
    <w:rsid w:val="00014955"/>
    <w:rsid w:val="00015349"/>
    <w:rsid w:val="00015372"/>
    <w:rsid w:val="000160C9"/>
    <w:rsid w:val="00016E79"/>
    <w:rsid w:val="00017DCC"/>
    <w:rsid w:val="000201D1"/>
    <w:rsid w:val="00020846"/>
    <w:rsid w:val="00021813"/>
    <w:rsid w:val="00021B42"/>
    <w:rsid w:val="00021E8C"/>
    <w:rsid w:val="00022412"/>
    <w:rsid w:val="00023524"/>
    <w:rsid w:val="000238B2"/>
    <w:rsid w:val="00023C7C"/>
    <w:rsid w:val="00023D01"/>
    <w:rsid w:val="00023DA8"/>
    <w:rsid w:val="00024A8D"/>
    <w:rsid w:val="00024C60"/>
    <w:rsid w:val="000254B3"/>
    <w:rsid w:val="00025D79"/>
    <w:rsid w:val="00025DFC"/>
    <w:rsid w:val="0002642C"/>
    <w:rsid w:val="00026558"/>
    <w:rsid w:val="0002662B"/>
    <w:rsid w:val="000269F6"/>
    <w:rsid w:val="00026E4A"/>
    <w:rsid w:val="0002733F"/>
    <w:rsid w:val="000278C8"/>
    <w:rsid w:val="00027F6C"/>
    <w:rsid w:val="00030327"/>
    <w:rsid w:val="000304F7"/>
    <w:rsid w:val="0003089C"/>
    <w:rsid w:val="00031648"/>
    <w:rsid w:val="0003196F"/>
    <w:rsid w:val="00033004"/>
    <w:rsid w:val="00033D65"/>
    <w:rsid w:val="0003460A"/>
    <w:rsid w:val="00035170"/>
    <w:rsid w:val="0003594A"/>
    <w:rsid w:val="00036452"/>
    <w:rsid w:val="0003680F"/>
    <w:rsid w:val="000373E9"/>
    <w:rsid w:val="0003748E"/>
    <w:rsid w:val="00037963"/>
    <w:rsid w:val="00037C0E"/>
    <w:rsid w:val="000405C2"/>
    <w:rsid w:val="00040CE5"/>
    <w:rsid w:val="00041272"/>
    <w:rsid w:val="000414B5"/>
    <w:rsid w:val="000419FC"/>
    <w:rsid w:val="00041AEC"/>
    <w:rsid w:val="00041D1A"/>
    <w:rsid w:val="00041DA1"/>
    <w:rsid w:val="00041E6B"/>
    <w:rsid w:val="000420A6"/>
    <w:rsid w:val="00042CC0"/>
    <w:rsid w:val="0004348D"/>
    <w:rsid w:val="000439BC"/>
    <w:rsid w:val="00043B51"/>
    <w:rsid w:val="00044183"/>
    <w:rsid w:val="00044689"/>
    <w:rsid w:val="000449AF"/>
    <w:rsid w:val="00044E2A"/>
    <w:rsid w:val="00046B29"/>
    <w:rsid w:val="00046B5A"/>
    <w:rsid w:val="00047358"/>
    <w:rsid w:val="000474AA"/>
    <w:rsid w:val="0004782C"/>
    <w:rsid w:val="00047E8F"/>
    <w:rsid w:val="0005008C"/>
    <w:rsid w:val="000502DD"/>
    <w:rsid w:val="00050431"/>
    <w:rsid w:val="00050849"/>
    <w:rsid w:val="00051725"/>
    <w:rsid w:val="000522B8"/>
    <w:rsid w:val="00052412"/>
    <w:rsid w:val="0005243D"/>
    <w:rsid w:val="00052E74"/>
    <w:rsid w:val="00053339"/>
    <w:rsid w:val="0005365A"/>
    <w:rsid w:val="00053D0A"/>
    <w:rsid w:val="00053D64"/>
    <w:rsid w:val="00053DDD"/>
    <w:rsid w:val="0005401F"/>
    <w:rsid w:val="00054205"/>
    <w:rsid w:val="00054B58"/>
    <w:rsid w:val="00054C88"/>
    <w:rsid w:val="000571F9"/>
    <w:rsid w:val="00057D27"/>
    <w:rsid w:val="00060FBC"/>
    <w:rsid w:val="00061F4F"/>
    <w:rsid w:val="0006342B"/>
    <w:rsid w:val="00063CD8"/>
    <w:rsid w:val="0006413F"/>
    <w:rsid w:val="00064CCC"/>
    <w:rsid w:val="000659D2"/>
    <w:rsid w:val="00065FEB"/>
    <w:rsid w:val="00066436"/>
    <w:rsid w:val="000668E8"/>
    <w:rsid w:val="0006693D"/>
    <w:rsid w:val="00066C1D"/>
    <w:rsid w:val="00066F2C"/>
    <w:rsid w:val="00070BEE"/>
    <w:rsid w:val="0007173B"/>
    <w:rsid w:val="000719CD"/>
    <w:rsid w:val="000726D3"/>
    <w:rsid w:val="00072DEC"/>
    <w:rsid w:val="00072E40"/>
    <w:rsid w:val="00072F21"/>
    <w:rsid w:val="0007364A"/>
    <w:rsid w:val="0007398F"/>
    <w:rsid w:val="00073DE4"/>
    <w:rsid w:val="00073EDA"/>
    <w:rsid w:val="0007413C"/>
    <w:rsid w:val="00075842"/>
    <w:rsid w:val="00075918"/>
    <w:rsid w:val="0007681E"/>
    <w:rsid w:val="0007712E"/>
    <w:rsid w:val="00077DDC"/>
    <w:rsid w:val="0008036F"/>
    <w:rsid w:val="000806CF"/>
    <w:rsid w:val="000807DF"/>
    <w:rsid w:val="00080842"/>
    <w:rsid w:val="00081162"/>
    <w:rsid w:val="00081533"/>
    <w:rsid w:val="00081648"/>
    <w:rsid w:val="000816CE"/>
    <w:rsid w:val="000824D8"/>
    <w:rsid w:val="000834E4"/>
    <w:rsid w:val="0008377D"/>
    <w:rsid w:val="00083798"/>
    <w:rsid w:val="00083858"/>
    <w:rsid w:val="00083ABC"/>
    <w:rsid w:val="00084323"/>
    <w:rsid w:val="000847BD"/>
    <w:rsid w:val="000850E3"/>
    <w:rsid w:val="0008541A"/>
    <w:rsid w:val="00087074"/>
    <w:rsid w:val="000870CB"/>
    <w:rsid w:val="00087A54"/>
    <w:rsid w:val="00087F69"/>
    <w:rsid w:val="0009080E"/>
    <w:rsid w:val="000912E9"/>
    <w:rsid w:val="00093B41"/>
    <w:rsid w:val="00093F89"/>
    <w:rsid w:val="000940F7"/>
    <w:rsid w:val="00094AE7"/>
    <w:rsid w:val="000963BB"/>
    <w:rsid w:val="00096908"/>
    <w:rsid w:val="00096981"/>
    <w:rsid w:val="00096A52"/>
    <w:rsid w:val="000A0FE2"/>
    <w:rsid w:val="000A1494"/>
    <w:rsid w:val="000A1F91"/>
    <w:rsid w:val="000A313E"/>
    <w:rsid w:val="000A3267"/>
    <w:rsid w:val="000A347B"/>
    <w:rsid w:val="000A4C60"/>
    <w:rsid w:val="000A593A"/>
    <w:rsid w:val="000A62EF"/>
    <w:rsid w:val="000A6F9E"/>
    <w:rsid w:val="000B1DE0"/>
    <w:rsid w:val="000B2E0A"/>
    <w:rsid w:val="000B3E56"/>
    <w:rsid w:val="000B4A9C"/>
    <w:rsid w:val="000B5489"/>
    <w:rsid w:val="000B59AC"/>
    <w:rsid w:val="000B61CF"/>
    <w:rsid w:val="000B61DC"/>
    <w:rsid w:val="000B694F"/>
    <w:rsid w:val="000B695B"/>
    <w:rsid w:val="000B6C3E"/>
    <w:rsid w:val="000B6E2D"/>
    <w:rsid w:val="000B7347"/>
    <w:rsid w:val="000B76B2"/>
    <w:rsid w:val="000B7810"/>
    <w:rsid w:val="000B7929"/>
    <w:rsid w:val="000B79EB"/>
    <w:rsid w:val="000B7DC6"/>
    <w:rsid w:val="000C036D"/>
    <w:rsid w:val="000C077D"/>
    <w:rsid w:val="000C358E"/>
    <w:rsid w:val="000C3BE9"/>
    <w:rsid w:val="000C463B"/>
    <w:rsid w:val="000C4690"/>
    <w:rsid w:val="000C50FC"/>
    <w:rsid w:val="000C5431"/>
    <w:rsid w:val="000C67AA"/>
    <w:rsid w:val="000C6869"/>
    <w:rsid w:val="000C7368"/>
    <w:rsid w:val="000C7675"/>
    <w:rsid w:val="000D000C"/>
    <w:rsid w:val="000D0C0E"/>
    <w:rsid w:val="000D0E63"/>
    <w:rsid w:val="000D13D5"/>
    <w:rsid w:val="000D1524"/>
    <w:rsid w:val="000D242B"/>
    <w:rsid w:val="000D25BE"/>
    <w:rsid w:val="000D2B40"/>
    <w:rsid w:val="000D3954"/>
    <w:rsid w:val="000D42E2"/>
    <w:rsid w:val="000D568B"/>
    <w:rsid w:val="000D576C"/>
    <w:rsid w:val="000D5BB6"/>
    <w:rsid w:val="000D64D3"/>
    <w:rsid w:val="000D6593"/>
    <w:rsid w:val="000D677A"/>
    <w:rsid w:val="000D6CDF"/>
    <w:rsid w:val="000D755E"/>
    <w:rsid w:val="000D77E1"/>
    <w:rsid w:val="000E01E9"/>
    <w:rsid w:val="000E12D5"/>
    <w:rsid w:val="000E1715"/>
    <w:rsid w:val="000E17B4"/>
    <w:rsid w:val="000E1BC4"/>
    <w:rsid w:val="000E1CFB"/>
    <w:rsid w:val="000E235B"/>
    <w:rsid w:val="000E2CC4"/>
    <w:rsid w:val="000E316D"/>
    <w:rsid w:val="000E4255"/>
    <w:rsid w:val="000E4441"/>
    <w:rsid w:val="000E4744"/>
    <w:rsid w:val="000E4776"/>
    <w:rsid w:val="000E4934"/>
    <w:rsid w:val="000E4D59"/>
    <w:rsid w:val="000E5AED"/>
    <w:rsid w:val="000E5FA9"/>
    <w:rsid w:val="000E6689"/>
    <w:rsid w:val="000E69E2"/>
    <w:rsid w:val="000E6EA9"/>
    <w:rsid w:val="000E713D"/>
    <w:rsid w:val="000F09FE"/>
    <w:rsid w:val="000F1146"/>
    <w:rsid w:val="000F1269"/>
    <w:rsid w:val="000F23E0"/>
    <w:rsid w:val="000F25DB"/>
    <w:rsid w:val="000F2619"/>
    <w:rsid w:val="000F36B3"/>
    <w:rsid w:val="000F3AB1"/>
    <w:rsid w:val="000F55E3"/>
    <w:rsid w:val="000F57DD"/>
    <w:rsid w:val="000F584D"/>
    <w:rsid w:val="000F6018"/>
    <w:rsid w:val="000F68F8"/>
    <w:rsid w:val="000F751C"/>
    <w:rsid w:val="000F7697"/>
    <w:rsid w:val="001001B6"/>
    <w:rsid w:val="00100405"/>
    <w:rsid w:val="00100848"/>
    <w:rsid w:val="00100C83"/>
    <w:rsid w:val="0010118E"/>
    <w:rsid w:val="001013C7"/>
    <w:rsid w:val="001019C6"/>
    <w:rsid w:val="001022A0"/>
    <w:rsid w:val="001027F7"/>
    <w:rsid w:val="0010338E"/>
    <w:rsid w:val="0010375A"/>
    <w:rsid w:val="00104047"/>
    <w:rsid w:val="0010449C"/>
    <w:rsid w:val="00104ACF"/>
    <w:rsid w:val="001054C9"/>
    <w:rsid w:val="001059B7"/>
    <w:rsid w:val="00106159"/>
    <w:rsid w:val="00106722"/>
    <w:rsid w:val="00106880"/>
    <w:rsid w:val="00107430"/>
    <w:rsid w:val="001074FB"/>
    <w:rsid w:val="00107CB7"/>
    <w:rsid w:val="00107E9E"/>
    <w:rsid w:val="0011046C"/>
    <w:rsid w:val="001114CB"/>
    <w:rsid w:val="001118E0"/>
    <w:rsid w:val="00112182"/>
    <w:rsid w:val="00112196"/>
    <w:rsid w:val="001125BF"/>
    <w:rsid w:val="0011273E"/>
    <w:rsid w:val="00113EC8"/>
    <w:rsid w:val="00114002"/>
    <w:rsid w:val="001143A3"/>
    <w:rsid w:val="00114473"/>
    <w:rsid w:val="00114E2F"/>
    <w:rsid w:val="00115458"/>
    <w:rsid w:val="00116244"/>
    <w:rsid w:val="0011709A"/>
    <w:rsid w:val="0011716D"/>
    <w:rsid w:val="001174FE"/>
    <w:rsid w:val="00117784"/>
    <w:rsid w:val="001177D7"/>
    <w:rsid w:val="00117C26"/>
    <w:rsid w:val="00117FCE"/>
    <w:rsid w:val="0012045F"/>
    <w:rsid w:val="00120496"/>
    <w:rsid w:val="001208CF"/>
    <w:rsid w:val="001208F9"/>
    <w:rsid w:val="00120A78"/>
    <w:rsid w:val="0012137E"/>
    <w:rsid w:val="00121696"/>
    <w:rsid w:val="00122030"/>
    <w:rsid w:val="0012221E"/>
    <w:rsid w:val="00122EE1"/>
    <w:rsid w:val="001230E2"/>
    <w:rsid w:val="00125D40"/>
    <w:rsid w:val="00126D76"/>
    <w:rsid w:val="0012757C"/>
    <w:rsid w:val="00130338"/>
    <w:rsid w:val="00131F74"/>
    <w:rsid w:val="001328DA"/>
    <w:rsid w:val="00133232"/>
    <w:rsid w:val="001332CE"/>
    <w:rsid w:val="0013369C"/>
    <w:rsid w:val="00133B8B"/>
    <w:rsid w:val="001347D6"/>
    <w:rsid w:val="00134CEA"/>
    <w:rsid w:val="00134FB7"/>
    <w:rsid w:val="00135C6D"/>
    <w:rsid w:val="00135CE1"/>
    <w:rsid w:val="00135DA9"/>
    <w:rsid w:val="001367AD"/>
    <w:rsid w:val="00136843"/>
    <w:rsid w:val="00136A23"/>
    <w:rsid w:val="001373B9"/>
    <w:rsid w:val="001378D3"/>
    <w:rsid w:val="0014009B"/>
    <w:rsid w:val="0014072C"/>
    <w:rsid w:val="00140BCC"/>
    <w:rsid w:val="00140C26"/>
    <w:rsid w:val="00140C64"/>
    <w:rsid w:val="00140E45"/>
    <w:rsid w:val="00140FFA"/>
    <w:rsid w:val="001419F5"/>
    <w:rsid w:val="0014241E"/>
    <w:rsid w:val="00142923"/>
    <w:rsid w:val="00142D08"/>
    <w:rsid w:val="00142FAB"/>
    <w:rsid w:val="001438CF"/>
    <w:rsid w:val="00144E4F"/>
    <w:rsid w:val="00144F43"/>
    <w:rsid w:val="0014502A"/>
    <w:rsid w:val="001461D0"/>
    <w:rsid w:val="0014697C"/>
    <w:rsid w:val="00146DC5"/>
    <w:rsid w:val="001474E8"/>
    <w:rsid w:val="00147C95"/>
    <w:rsid w:val="0015012A"/>
    <w:rsid w:val="001508EC"/>
    <w:rsid w:val="00150FDA"/>
    <w:rsid w:val="001519D2"/>
    <w:rsid w:val="00151CFB"/>
    <w:rsid w:val="00152002"/>
    <w:rsid w:val="001525F4"/>
    <w:rsid w:val="00152F34"/>
    <w:rsid w:val="00152F52"/>
    <w:rsid w:val="00153BA9"/>
    <w:rsid w:val="0015426E"/>
    <w:rsid w:val="00154C6D"/>
    <w:rsid w:val="00154D61"/>
    <w:rsid w:val="001553B5"/>
    <w:rsid w:val="00155FA1"/>
    <w:rsid w:val="00156831"/>
    <w:rsid w:val="00160957"/>
    <w:rsid w:val="00160A72"/>
    <w:rsid w:val="00160E72"/>
    <w:rsid w:val="0016311B"/>
    <w:rsid w:val="00163543"/>
    <w:rsid w:val="00163A37"/>
    <w:rsid w:val="00164764"/>
    <w:rsid w:val="00164A63"/>
    <w:rsid w:val="0016551D"/>
    <w:rsid w:val="00165AC4"/>
    <w:rsid w:val="0016683C"/>
    <w:rsid w:val="00166A76"/>
    <w:rsid w:val="00166E75"/>
    <w:rsid w:val="0016707B"/>
    <w:rsid w:val="001677FB"/>
    <w:rsid w:val="00167C1F"/>
    <w:rsid w:val="0017064A"/>
    <w:rsid w:val="00170706"/>
    <w:rsid w:val="00171D82"/>
    <w:rsid w:val="00172033"/>
    <w:rsid w:val="00172771"/>
    <w:rsid w:val="00174B32"/>
    <w:rsid w:val="00175707"/>
    <w:rsid w:val="00175A78"/>
    <w:rsid w:val="00175D7D"/>
    <w:rsid w:val="00176F00"/>
    <w:rsid w:val="00177C92"/>
    <w:rsid w:val="001804FB"/>
    <w:rsid w:val="00180F2C"/>
    <w:rsid w:val="0018111B"/>
    <w:rsid w:val="00181165"/>
    <w:rsid w:val="00181190"/>
    <w:rsid w:val="00181547"/>
    <w:rsid w:val="00181726"/>
    <w:rsid w:val="00181862"/>
    <w:rsid w:val="00181CB0"/>
    <w:rsid w:val="001820DF"/>
    <w:rsid w:val="00182BC0"/>
    <w:rsid w:val="00182DB1"/>
    <w:rsid w:val="00182DC7"/>
    <w:rsid w:val="001841CA"/>
    <w:rsid w:val="00184572"/>
    <w:rsid w:val="00185A2C"/>
    <w:rsid w:val="00185D36"/>
    <w:rsid w:val="00185E7F"/>
    <w:rsid w:val="00186487"/>
    <w:rsid w:val="00186928"/>
    <w:rsid w:val="00186A3B"/>
    <w:rsid w:val="0018735C"/>
    <w:rsid w:val="0018777B"/>
    <w:rsid w:val="00187804"/>
    <w:rsid w:val="0019030D"/>
    <w:rsid w:val="00190EA6"/>
    <w:rsid w:val="0019129C"/>
    <w:rsid w:val="00191967"/>
    <w:rsid w:val="001920A7"/>
    <w:rsid w:val="00192405"/>
    <w:rsid w:val="001925AD"/>
    <w:rsid w:val="00192A60"/>
    <w:rsid w:val="00193447"/>
    <w:rsid w:val="0019357E"/>
    <w:rsid w:val="001944D2"/>
    <w:rsid w:val="0019459C"/>
    <w:rsid w:val="001949FD"/>
    <w:rsid w:val="00194B53"/>
    <w:rsid w:val="00195098"/>
    <w:rsid w:val="00195A27"/>
    <w:rsid w:val="001960C5"/>
    <w:rsid w:val="00196171"/>
    <w:rsid w:val="00197180"/>
    <w:rsid w:val="001979D0"/>
    <w:rsid w:val="00197DBE"/>
    <w:rsid w:val="001A0040"/>
    <w:rsid w:val="001A0DE9"/>
    <w:rsid w:val="001A1D43"/>
    <w:rsid w:val="001A1D6B"/>
    <w:rsid w:val="001A20B3"/>
    <w:rsid w:val="001A23CF"/>
    <w:rsid w:val="001A2C9E"/>
    <w:rsid w:val="001A3BDB"/>
    <w:rsid w:val="001A3C5D"/>
    <w:rsid w:val="001A3EB5"/>
    <w:rsid w:val="001A473D"/>
    <w:rsid w:val="001A4D97"/>
    <w:rsid w:val="001A5300"/>
    <w:rsid w:val="001A5A91"/>
    <w:rsid w:val="001A5D60"/>
    <w:rsid w:val="001A5DEA"/>
    <w:rsid w:val="001A6F5A"/>
    <w:rsid w:val="001A76A0"/>
    <w:rsid w:val="001A7896"/>
    <w:rsid w:val="001A7A4B"/>
    <w:rsid w:val="001B04BD"/>
    <w:rsid w:val="001B1311"/>
    <w:rsid w:val="001B1934"/>
    <w:rsid w:val="001B208C"/>
    <w:rsid w:val="001B234F"/>
    <w:rsid w:val="001B23F2"/>
    <w:rsid w:val="001B2843"/>
    <w:rsid w:val="001B30C1"/>
    <w:rsid w:val="001B3555"/>
    <w:rsid w:val="001B36DA"/>
    <w:rsid w:val="001B3996"/>
    <w:rsid w:val="001B4086"/>
    <w:rsid w:val="001B4121"/>
    <w:rsid w:val="001B4162"/>
    <w:rsid w:val="001B42FC"/>
    <w:rsid w:val="001B44C4"/>
    <w:rsid w:val="001B4A8D"/>
    <w:rsid w:val="001B5DEB"/>
    <w:rsid w:val="001B63F7"/>
    <w:rsid w:val="001B7735"/>
    <w:rsid w:val="001B7E63"/>
    <w:rsid w:val="001C0C20"/>
    <w:rsid w:val="001C10DC"/>
    <w:rsid w:val="001C1223"/>
    <w:rsid w:val="001C26AC"/>
    <w:rsid w:val="001C271A"/>
    <w:rsid w:val="001C2994"/>
    <w:rsid w:val="001C320A"/>
    <w:rsid w:val="001C3311"/>
    <w:rsid w:val="001C3CAD"/>
    <w:rsid w:val="001C4A22"/>
    <w:rsid w:val="001C4BA1"/>
    <w:rsid w:val="001C5057"/>
    <w:rsid w:val="001C5B88"/>
    <w:rsid w:val="001C5F4E"/>
    <w:rsid w:val="001C646D"/>
    <w:rsid w:val="001C672F"/>
    <w:rsid w:val="001C6B78"/>
    <w:rsid w:val="001C79F4"/>
    <w:rsid w:val="001C7F9E"/>
    <w:rsid w:val="001D0713"/>
    <w:rsid w:val="001D1925"/>
    <w:rsid w:val="001D1F3D"/>
    <w:rsid w:val="001D283D"/>
    <w:rsid w:val="001D38E1"/>
    <w:rsid w:val="001D398E"/>
    <w:rsid w:val="001D3D2D"/>
    <w:rsid w:val="001D4559"/>
    <w:rsid w:val="001D4DCE"/>
    <w:rsid w:val="001D4F40"/>
    <w:rsid w:val="001D552A"/>
    <w:rsid w:val="001D5CEF"/>
    <w:rsid w:val="001D673B"/>
    <w:rsid w:val="001D73DB"/>
    <w:rsid w:val="001D77D2"/>
    <w:rsid w:val="001D7C41"/>
    <w:rsid w:val="001D7F34"/>
    <w:rsid w:val="001E05D2"/>
    <w:rsid w:val="001E088D"/>
    <w:rsid w:val="001E16A7"/>
    <w:rsid w:val="001E1913"/>
    <w:rsid w:val="001E19E4"/>
    <w:rsid w:val="001E1BCB"/>
    <w:rsid w:val="001E1F5E"/>
    <w:rsid w:val="001E36AE"/>
    <w:rsid w:val="001E387A"/>
    <w:rsid w:val="001E396F"/>
    <w:rsid w:val="001E3BFA"/>
    <w:rsid w:val="001E56D2"/>
    <w:rsid w:val="001E5AA6"/>
    <w:rsid w:val="001E6168"/>
    <w:rsid w:val="001E6363"/>
    <w:rsid w:val="001E6C18"/>
    <w:rsid w:val="001E6D6E"/>
    <w:rsid w:val="001E6FEA"/>
    <w:rsid w:val="001E705C"/>
    <w:rsid w:val="001E73DE"/>
    <w:rsid w:val="001E76D8"/>
    <w:rsid w:val="001F0E96"/>
    <w:rsid w:val="001F1DB8"/>
    <w:rsid w:val="001F1E7E"/>
    <w:rsid w:val="001F25C6"/>
    <w:rsid w:val="001F3662"/>
    <w:rsid w:val="001F37B6"/>
    <w:rsid w:val="001F3C80"/>
    <w:rsid w:val="001F4747"/>
    <w:rsid w:val="001F4EC8"/>
    <w:rsid w:val="001F4F08"/>
    <w:rsid w:val="001F591A"/>
    <w:rsid w:val="001F71BB"/>
    <w:rsid w:val="002019B1"/>
    <w:rsid w:val="00201E9F"/>
    <w:rsid w:val="00202168"/>
    <w:rsid w:val="0020231C"/>
    <w:rsid w:val="002024E1"/>
    <w:rsid w:val="002029E4"/>
    <w:rsid w:val="002038F0"/>
    <w:rsid w:val="00203D81"/>
    <w:rsid w:val="00204BCD"/>
    <w:rsid w:val="00204DD8"/>
    <w:rsid w:val="0020562D"/>
    <w:rsid w:val="002057A4"/>
    <w:rsid w:val="00205A62"/>
    <w:rsid w:val="00205BE5"/>
    <w:rsid w:val="002063F4"/>
    <w:rsid w:val="0020670D"/>
    <w:rsid w:val="00206CF8"/>
    <w:rsid w:val="002071BB"/>
    <w:rsid w:val="00207298"/>
    <w:rsid w:val="002075EB"/>
    <w:rsid w:val="00210D7D"/>
    <w:rsid w:val="00212D5A"/>
    <w:rsid w:val="002136AA"/>
    <w:rsid w:val="00213A6F"/>
    <w:rsid w:val="00213CD0"/>
    <w:rsid w:val="002164C1"/>
    <w:rsid w:val="00216F02"/>
    <w:rsid w:val="00217D05"/>
    <w:rsid w:val="002206D6"/>
    <w:rsid w:val="00220D05"/>
    <w:rsid w:val="00221E45"/>
    <w:rsid w:val="002222CB"/>
    <w:rsid w:val="00222EED"/>
    <w:rsid w:val="00223279"/>
    <w:rsid w:val="002235EB"/>
    <w:rsid w:val="00223871"/>
    <w:rsid w:val="00223A47"/>
    <w:rsid w:val="00224430"/>
    <w:rsid w:val="00224885"/>
    <w:rsid w:val="00224B41"/>
    <w:rsid w:val="00224BE7"/>
    <w:rsid w:val="00225045"/>
    <w:rsid w:val="002253FE"/>
    <w:rsid w:val="0022544D"/>
    <w:rsid w:val="00225A0F"/>
    <w:rsid w:val="00225B30"/>
    <w:rsid w:val="00226FB4"/>
    <w:rsid w:val="002279F6"/>
    <w:rsid w:val="00227B9C"/>
    <w:rsid w:val="00230121"/>
    <w:rsid w:val="00230AED"/>
    <w:rsid w:val="00230D34"/>
    <w:rsid w:val="00230EDF"/>
    <w:rsid w:val="00231149"/>
    <w:rsid w:val="00231BB2"/>
    <w:rsid w:val="00232177"/>
    <w:rsid w:val="0023276A"/>
    <w:rsid w:val="00232A76"/>
    <w:rsid w:val="002331D9"/>
    <w:rsid w:val="00233373"/>
    <w:rsid w:val="0023361B"/>
    <w:rsid w:val="00234490"/>
    <w:rsid w:val="00234908"/>
    <w:rsid w:val="0023545A"/>
    <w:rsid w:val="002354E9"/>
    <w:rsid w:val="0023555A"/>
    <w:rsid w:val="00235780"/>
    <w:rsid w:val="0023609A"/>
    <w:rsid w:val="002370AE"/>
    <w:rsid w:val="00237491"/>
    <w:rsid w:val="0023795B"/>
    <w:rsid w:val="00237A19"/>
    <w:rsid w:val="00237BD8"/>
    <w:rsid w:val="00241453"/>
    <w:rsid w:val="002419F3"/>
    <w:rsid w:val="00242907"/>
    <w:rsid w:val="00242DCD"/>
    <w:rsid w:val="00243342"/>
    <w:rsid w:val="00243460"/>
    <w:rsid w:val="0024350E"/>
    <w:rsid w:val="0024402C"/>
    <w:rsid w:val="0024445E"/>
    <w:rsid w:val="0024447D"/>
    <w:rsid w:val="00244E71"/>
    <w:rsid w:val="00245238"/>
    <w:rsid w:val="00245BC8"/>
    <w:rsid w:val="0024629F"/>
    <w:rsid w:val="0024669D"/>
    <w:rsid w:val="00246AD4"/>
    <w:rsid w:val="00246CD3"/>
    <w:rsid w:val="00246E1A"/>
    <w:rsid w:val="00247202"/>
    <w:rsid w:val="002479F1"/>
    <w:rsid w:val="00250554"/>
    <w:rsid w:val="002505F4"/>
    <w:rsid w:val="00251401"/>
    <w:rsid w:val="00251591"/>
    <w:rsid w:val="0025163D"/>
    <w:rsid w:val="00252177"/>
    <w:rsid w:val="00252D71"/>
    <w:rsid w:val="00253079"/>
    <w:rsid w:val="00253497"/>
    <w:rsid w:val="002537F5"/>
    <w:rsid w:val="002544F5"/>
    <w:rsid w:val="00254F37"/>
    <w:rsid w:val="002554B7"/>
    <w:rsid w:val="00255E14"/>
    <w:rsid w:val="00256826"/>
    <w:rsid w:val="00256B49"/>
    <w:rsid w:val="0025735F"/>
    <w:rsid w:val="002579D6"/>
    <w:rsid w:val="00260BB4"/>
    <w:rsid w:val="00261489"/>
    <w:rsid w:val="00261B8B"/>
    <w:rsid w:val="0026228C"/>
    <w:rsid w:val="002625E3"/>
    <w:rsid w:val="002628EA"/>
    <w:rsid w:val="00262C4E"/>
    <w:rsid w:val="00262D4D"/>
    <w:rsid w:val="00262DCB"/>
    <w:rsid w:val="0026357C"/>
    <w:rsid w:val="0026439E"/>
    <w:rsid w:val="0026497C"/>
    <w:rsid w:val="00264A26"/>
    <w:rsid w:val="00265095"/>
    <w:rsid w:val="00265560"/>
    <w:rsid w:val="00265A23"/>
    <w:rsid w:val="00265A62"/>
    <w:rsid w:val="00266AE7"/>
    <w:rsid w:val="00267651"/>
    <w:rsid w:val="002679EE"/>
    <w:rsid w:val="002710AF"/>
    <w:rsid w:val="00271A38"/>
    <w:rsid w:val="00271E4D"/>
    <w:rsid w:val="00272459"/>
    <w:rsid w:val="00272928"/>
    <w:rsid w:val="00272B8D"/>
    <w:rsid w:val="00272CAC"/>
    <w:rsid w:val="00273027"/>
    <w:rsid w:val="00273A81"/>
    <w:rsid w:val="00273D4D"/>
    <w:rsid w:val="002746D1"/>
    <w:rsid w:val="00275278"/>
    <w:rsid w:val="0027564A"/>
    <w:rsid w:val="00275C3F"/>
    <w:rsid w:val="00276708"/>
    <w:rsid w:val="0027696F"/>
    <w:rsid w:val="00276999"/>
    <w:rsid w:val="00276B32"/>
    <w:rsid w:val="00276D59"/>
    <w:rsid w:val="0027707C"/>
    <w:rsid w:val="00277292"/>
    <w:rsid w:val="00277362"/>
    <w:rsid w:val="00277380"/>
    <w:rsid w:val="002776A9"/>
    <w:rsid w:val="002779E5"/>
    <w:rsid w:val="00277CCF"/>
    <w:rsid w:val="002803BC"/>
    <w:rsid w:val="002807E5"/>
    <w:rsid w:val="00281E8D"/>
    <w:rsid w:val="0028282E"/>
    <w:rsid w:val="00282BE3"/>
    <w:rsid w:val="00282E1A"/>
    <w:rsid w:val="002835FB"/>
    <w:rsid w:val="0028364C"/>
    <w:rsid w:val="00283688"/>
    <w:rsid w:val="00283A74"/>
    <w:rsid w:val="00283A89"/>
    <w:rsid w:val="00283EE9"/>
    <w:rsid w:val="00284388"/>
    <w:rsid w:val="00284789"/>
    <w:rsid w:val="00284DFE"/>
    <w:rsid w:val="00284ECC"/>
    <w:rsid w:val="00284F98"/>
    <w:rsid w:val="002852F6"/>
    <w:rsid w:val="00285B76"/>
    <w:rsid w:val="00286198"/>
    <w:rsid w:val="00286370"/>
    <w:rsid w:val="00287033"/>
    <w:rsid w:val="00287293"/>
    <w:rsid w:val="00287808"/>
    <w:rsid w:val="00287B05"/>
    <w:rsid w:val="00287D7D"/>
    <w:rsid w:val="0029013D"/>
    <w:rsid w:val="0029033E"/>
    <w:rsid w:val="00290B21"/>
    <w:rsid w:val="00290B72"/>
    <w:rsid w:val="00290CCB"/>
    <w:rsid w:val="00290CDD"/>
    <w:rsid w:val="00290DAB"/>
    <w:rsid w:val="00291A5C"/>
    <w:rsid w:val="00292174"/>
    <w:rsid w:val="0029256C"/>
    <w:rsid w:val="002925E8"/>
    <w:rsid w:val="002926CC"/>
    <w:rsid w:val="00292CA8"/>
    <w:rsid w:val="00292D49"/>
    <w:rsid w:val="002932AD"/>
    <w:rsid w:val="00293416"/>
    <w:rsid w:val="00293644"/>
    <w:rsid w:val="00293C4A"/>
    <w:rsid w:val="00293EDF"/>
    <w:rsid w:val="00294170"/>
    <w:rsid w:val="00294760"/>
    <w:rsid w:val="00294E5B"/>
    <w:rsid w:val="00294FC6"/>
    <w:rsid w:val="00296022"/>
    <w:rsid w:val="002967A3"/>
    <w:rsid w:val="00296C71"/>
    <w:rsid w:val="00296DD8"/>
    <w:rsid w:val="0029794B"/>
    <w:rsid w:val="002A035D"/>
    <w:rsid w:val="002A07F1"/>
    <w:rsid w:val="002A0B39"/>
    <w:rsid w:val="002A0EC4"/>
    <w:rsid w:val="002A0FC7"/>
    <w:rsid w:val="002A18F4"/>
    <w:rsid w:val="002A3DEE"/>
    <w:rsid w:val="002A423A"/>
    <w:rsid w:val="002A4841"/>
    <w:rsid w:val="002A4FF7"/>
    <w:rsid w:val="002A5077"/>
    <w:rsid w:val="002A59D7"/>
    <w:rsid w:val="002A59EA"/>
    <w:rsid w:val="002A6E23"/>
    <w:rsid w:val="002A7C86"/>
    <w:rsid w:val="002B1193"/>
    <w:rsid w:val="002B1233"/>
    <w:rsid w:val="002B127C"/>
    <w:rsid w:val="002B1451"/>
    <w:rsid w:val="002B15EE"/>
    <w:rsid w:val="002B1901"/>
    <w:rsid w:val="002B25ED"/>
    <w:rsid w:val="002B27A9"/>
    <w:rsid w:val="002B3CD3"/>
    <w:rsid w:val="002B3D31"/>
    <w:rsid w:val="002B4370"/>
    <w:rsid w:val="002B4DA3"/>
    <w:rsid w:val="002B4E33"/>
    <w:rsid w:val="002B5177"/>
    <w:rsid w:val="002B52FD"/>
    <w:rsid w:val="002B541F"/>
    <w:rsid w:val="002B5441"/>
    <w:rsid w:val="002B5656"/>
    <w:rsid w:val="002B59B9"/>
    <w:rsid w:val="002B6E4B"/>
    <w:rsid w:val="002B7036"/>
    <w:rsid w:val="002B735B"/>
    <w:rsid w:val="002B7496"/>
    <w:rsid w:val="002C0890"/>
    <w:rsid w:val="002C14B3"/>
    <w:rsid w:val="002C1E0A"/>
    <w:rsid w:val="002C240E"/>
    <w:rsid w:val="002C26F1"/>
    <w:rsid w:val="002C2A01"/>
    <w:rsid w:val="002C34A3"/>
    <w:rsid w:val="002C4371"/>
    <w:rsid w:val="002C4696"/>
    <w:rsid w:val="002C6A45"/>
    <w:rsid w:val="002C6B30"/>
    <w:rsid w:val="002C6DA1"/>
    <w:rsid w:val="002C7952"/>
    <w:rsid w:val="002C7D9E"/>
    <w:rsid w:val="002C7E66"/>
    <w:rsid w:val="002D00E8"/>
    <w:rsid w:val="002D08AE"/>
    <w:rsid w:val="002D13F5"/>
    <w:rsid w:val="002D155A"/>
    <w:rsid w:val="002D1DDB"/>
    <w:rsid w:val="002D1E1B"/>
    <w:rsid w:val="002D21BD"/>
    <w:rsid w:val="002D23EA"/>
    <w:rsid w:val="002D2DFB"/>
    <w:rsid w:val="002D2F84"/>
    <w:rsid w:val="002D44AD"/>
    <w:rsid w:val="002D4747"/>
    <w:rsid w:val="002D497F"/>
    <w:rsid w:val="002D4EAC"/>
    <w:rsid w:val="002D5481"/>
    <w:rsid w:val="002D57B9"/>
    <w:rsid w:val="002D5CF6"/>
    <w:rsid w:val="002D6454"/>
    <w:rsid w:val="002D650A"/>
    <w:rsid w:val="002D7207"/>
    <w:rsid w:val="002D728A"/>
    <w:rsid w:val="002D7639"/>
    <w:rsid w:val="002D7C3B"/>
    <w:rsid w:val="002D7E4D"/>
    <w:rsid w:val="002D7F2A"/>
    <w:rsid w:val="002E0080"/>
    <w:rsid w:val="002E0120"/>
    <w:rsid w:val="002E1688"/>
    <w:rsid w:val="002E1D75"/>
    <w:rsid w:val="002E1F7F"/>
    <w:rsid w:val="002E2703"/>
    <w:rsid w:val="002E2AEE"/>
    <w:rsid w:val="002E2E87"/>
    <w:rsid w:val="002E3621"/>
    <w:rsid w:val="002E5486"/>
    <w:rsid w:val="002E5AD5"/>
    <w:rsid w:val="002E63E0"/>
    <w:rsid w:val="002E65B4"/>
    <w:rsid w:val="002E6DD8"/>
    <w:rsid w:val="002E72FB"/>
    <w:rsid w:val="002E7357"/>
    <w:rsid w:val="002E7D27"/>
    <w:rsid w:val="002F00CA"/>
    <w:rsid w:val="002F0564"/>
    <w:rsid w:val="002F0AC7"/>
    <w:rsid w:val="002F0D0A"/>
    <w:rsid w:val="002F0FA5"/>
    <w:rsid w:val="002F1283"/>
    <w:rsid w:val="002F161E"/>
    <w:rsid w:val="002F1E3A"/>
    <w:rsid w:val="002F1E74"/>
    <w:rsid w:val="002F211B"/>
    <w:rsid w:val="002F3DD6"/>
    <w:rsid w:val="002F409B"/>
    <w:rsid w:val="002F475F"/>
    <w:rsid w:val="002F4E68"/>
    <w:rsid w:val="002F5266"/>
    <w:rsid w:val="002F68E8"/>
    <w:rsid w:val="002F78C4"/>
    <w:rsid w:val="002F7C38"/>
    <w:rsid w:val="002F7CC1"/>
    <w:rsid w:val="00300200"/>
    <w:rsid w:val="003002C0"/>
    <w:rsid w:val="0030044C"/>
    <w:rsid w:val="0030054E"/>
    <w:rsid w:val="00300835"/>
    <w:rsid w:val="003022B0"/>
    <w:rsid w:val="003026D1"/>
    <w:rsid w:val="00302B05"/>
    <w:rsid w:val="00302DD8"/>
    <w:rsid w:val="0030311A"/>
    <w:rsid w:val="00303377"/>
    <w:rsid w:val="0030351C"/>
    <w:rsid w:val="00303F22"/>
    <w:rsid w:val="0030441F"/>
    <w:rsid w:val="0030479F"/>
    <w:rsid w:val="00304902"/>
    <w:rsid w:val="00304FBA"/>
    <w:rsid w:val="003054F3"/>
    <w:rsid w:val="00305A05"/>
    <w:rsid w:val="00306E11"/>
    <w:rsid w:val="00306F94"/>
    <w:rsid w:val="003073FD"/>
    <w:rsid w:val="003079F0"/>
    <w:rsid w:val="00307D5F"/>
    <w:rsid w:val="00307D9A"/>
    <w:rsid w:val="00307F10"/>
    <w:rsid w:val="0031080F"/>
    <w:rsid w:val="0031082E"/>
    <w:rsid w:val="00310AB3"/>
    <w:rsid w:val="0031100F"/>
    <w:rsid w:val="003111A1"/>
    <w:rsid w:val="00311453"/>
    <w:rsid w:val="00312094"/>
    <w:rsid w:val="0031248F"/>
    <w:rsid w:val="00313D6B"/>
    <w:rsid w:val="00313E39"/>
    <w:rsid w:val="0031401B"/>
    <w:rsid w:val="00314D9F"/>
    <w:rsid w:val="0031514B"/>
    <w:rsid w:val="00315F7F"/>
    <w:rsid w:val="003161C7"/>
    <w:rsid w:val="00316BF4"/>
    <w:rsid w:val="00316F36"/>
    <w:rsid w:val="0031766C"/>
    <w:rsid w:val="00317EC9"/>
    <w:rsid w:val="0032089A"/>
    <w:rsid w:val="003213C4"/>
    <w:rsid w:val="00321D6C"/>
    <w:rsid w:val="00321EF9"/>
    <w:rsid w:val="00322291"/>
    <w:rsid w:val="00322B8B"/>
    <w:rsid w:val="00322C66"/>
    <w:rsid w:val="00322EB7"/>
    <w:rsid w:val="00323524"/>
    <w:rsid w:val="003238C2"/>
    <w:rsid w:val="00323A0F"/>
    <w:rsid w:val="00323B74"/>
    <w:rsid w:val="00323CB1"/>
    <w:rsid w:val="003247AA"/>
    <w:rsid w:val="00325D18"/>
    <w:rsid w:val="00325D7D"/>
    <w:rsid w:val="003265E8"/>
    <w:rsid w:val="00326CC1"/>
    <w:rsid w:val="003305C8"/>
    <w:rsid w:val="00330638"/>
    <w:rsid w:val="0033238C"/>
    <w:rsid w:val="0033285B"/>
    <w:rsid w:val="003335FD"/>
    <w:rsid w:val="00333AD9"/>
    <w:rsid w:val="00333D3E"/>
    <w:rsid w:val="00334520"/>
    <w:rsid w:val="003347C6"/>
    <w:rsid w:val="003347E9"/>
    <w:rsid w:val="00334968"/>
    <w:rsid w:val="00334F94"/>
    <w:rsid w:val="003355F7"/>
    <w:rsid w:val="00335629"/>
    <w:rsid w:val="00337245"/>
    <w:rsid w:val="003372C4"/>
    <w:rsid w:val="00337659"/>
    <w:rsid w:val="00337C76"/>
    <w:rsid w:val="00337D47"/>
    <w:rsid w:val="0034097B"/>
    <w:rsid w:val="00340A40"/>
    <w:rsid w:val="00340B2F"/>
    <w:rsid w:val="00340F69"/>
    <w:rsid w:val="00341008"/>
    <w:rsid w:val="0034165B"/>
    <w:rsid w:val="003416AB"/>
    <w:rsid w:val="003419A9"/>
    <w:rsid w:val="00341E15"/>
    <w:rsid w:val="00342466"/>
    <w:rsid w:val="00342D35"/>
    <w:rsid w:val="00342DC0"/>
    <w:rsid w:val="00343016"/>
    <w:rsid w:val="0034329F"/>
    <w:rsid w:val="0034408F"/>
    <w:rsid w:val="00344128"/>
    <w:rsid w:val="00345750"/>
    <w:rsid w:val="00345BA2"/>
    <w:rsid w:val="00346A7B"/>
    <w:rsid w:val="00347DF1"/>
    <w:rsid w:val="00347ECE"/>
    <w:rsid w:val="003503A5"/>
    <w:rsid w:val="00350504"/>
    <w:rsid w:val="00350A23"/>
    <w:rsid w:val="00350E88"/>
    <w:rsid w:val="00351A2F"/>
    <w:rsid w:val="00351B4A"/>
    <w:rsid w:val="00351BC0"/>
    <w:rsid w:val="00351EE0"/>
    <w:rsid w:val="00352446"/>
    <w:rsid w:val="003531C1"/>
    <w:rsid w:val="00353631"/>
    <w:rsid w:val="00354C39"/>
    <w:rsid w:val="00354DAD"/>
    <w:rsid w:val="0035515A"/>
    <w:rsid w:val="0035545C"/>
    <w:rsid w:val="00355AFC"/>
    <w:rsid w:val="0035634A"/>
    <w:rsid w:val="003567EF"/>
    <w:rsid w:val="00356A0E"/>
    <w:rsid w:val="00356F57"/>
    <w:rsid w:val="003577CE"/>
    <w:rsid w:val="00357C7A"/>
    <w:rsid w:val="00360193"/>
    <w:rsid w:val="00360641"/>
    <w:rsid w:val="00360CCA"/>
    <w:rsid w:val="00360E5A"/>
    <w:rsid w:val="0036170A"/>
    <w:rsid w:val="003618EB"/>
    <w:rsid w:val="003626BA"/>
    <w:rsid w:val="003626C0"/>
    <w:rsid w:val="00362ADA"/>
    <w:rsid w:val="003635BF"/>
    <w:rsid w:val="003639A0"/>
    <w:rsid w:val="00363A8D"/>
    <w:rsid w:val="00363E26"/>
    <w:rsid w:val="0036420B"/>
    <w:rsid w:val="00364274"/>
    <w:rsid w:val="0036438C"/>
    <w:rsid w:val="00364B02"/>
    <w:rsid w:val="00366024"/>
    <w:rsid w:val="003663D4"/>
    <w:rsid w:val="0036652E"/>
    <w:rsid w:val="003668DD"/>
    <w:rsid w:val="00366A2D"/>
    <w:rsid w:val="00367025"/>
    <w:rsid w:val="00367A17"/>
    <w:rsid w:val="00367B6A"/>
    <w:rsid w:val="00367C38"/>
    <w:rsid w:val="003701A9"/>
    <w:rsid w:val="00370479"/>
    <w:rsid w:val="00370A26"/>
    <w:rsid w:val="00371529"/>
    <w:rsid w:val="0037155B"/>
    <w:rsid w:val="00372576"/>
    <w:rsid w:val="003725F5"/>
    <w:rsid w:val="00372786"/>
    <w:rsid w:val="003736B8"/>
    <w:rsid w:val="00374765"/>
    <w:rsid w:val="00374A40"/>
    <w:rsid w:val="00374EF7"/>
    <w:rsid w:val="00375071"/>
    <w:rsid w:val="0037558D"/>
    <w:rsid w:val="0037562E"/>
    <w:rsid w:val="00376192"/>
    <w:rsid w:val="003775E9"/>
    <w:rsid w:val="00377E27"/>
    <w:rsid w:val="003801DB"/>
    <w:rsid w:val="003809CC"/>
    <w:rsid w:val="00380B03"/>
    <w:rsid w:val="00381223"/>
    <w:rsid w:val="00381232"/>
    <w:rsid w:val="00381263"/>
    <w:rsid w:val="0038157A"/>
    <w:rsid w:val="003818E9"/>
    <w:rsid w:val="00381C39"/>
    <w:rsid w:val="00381D40"/>
    <w:rsid w:val="003823DB"/>
    <w:rsid w:val="0038293D"/>
    <w:rsid w:val="00383454"/>
    <w:rsid w:val="003841AA"/>
    <w:rsid w:val="00384519"/>
    <w:rsid w:val="00384FF9"/>
    <w:rsid w:val="0038532E"/>
    <w:rsid w:val="00385EB9"/>
    <w:rsid w:val="00386E7C"/>
    <w:rsid w:val="00386F57"/>
    <w:rsid w:val="003873DC"/>
    <w:rsid w:val="003900D5"/>
    <w:rsid w:val="00390365"/>
    <w:rsid w:val="00390FCD"/>
    <w:rsid w:val="003915A4"/>
    <w:rsid w:val="00391850"/>
    <w:rsid w:val="00392662"/>
    <w:rsid w:val="00392748"/>
    <w:rsid w:val="00392C71"/>
    <w:rsid w:val="0039304E"/>
    <w:rsid w:val="00393FFD"/>
    <w:rsid w:val="003940A0"/>
    <w:rsid w:val="00394C0D"/>
    <w:rsid w:val="003955BF"/>
    <w:rsid w:val="00395B88"/>
    <w:rsid w:val="003967B3"/>
    <w:rsid w:val="00396A13"/>
    <w:rsid w:val="00396CC8"/>
    <w:rsid w:val="00396FFC"/>
    <w:rsid w:val="003A0E5E"/>
    <w:rsid w:val="003A0EA7"/>
    <w:rsid w:val="003A1546"/>
    <w:rsid w:val="003A25EE"/>
    <w:rsid w:val="003A2BA0"/>
    <w:rsid w:val="003A42B4"/>
    <w:rsid w:val="003A487C"/>
    <w:rsid w:val="003A592E"/>
    <w:rsid w:val="003A664A"/>
    <w:rsid w:val="003B0233"/>
    <w:rsid w:val="003B08F4"/>
    <w:rsid w:val="003B1C65"/>
    <w:rsid w:val="003B3666"/>
    <w:rsid w:val="003B48B8"/>
    <w:rsid w:val="003B5077"/>
    <w:rsid w:val="003B513A"/>
    <w:rsid w:val="003B5A61"/>
    <w:rsid w:val="003B6A72"/>
    <w:rsid w:val="003B6C26"/>
    <w:rsid w:val="003B7030"/>
    <w:rsid w:val="003C0A65"/>
    <w:rsid w:val="003C243E"/>
    <w:rsid w:val="003C2760"/>
    <w:rsid w:val="003C312E"/>
    <w:rsid w:val="003C343C"/>
    <w:rsid w:val="003C41DC"/>
    <w:rsid w:val="003C4625"/>
    <w:rsid w:val="003C50F2"/>
    <w:rsid w:val="003C55C8"/>
    <w:rsid w:val="003C589C"/>
    <w:rsid w:val="003C66E1"/>
    <w:rsid w:val="003C6FE7"/>
    <w:rsid w:val="003D2513"/>
    <w:rsid w:val="003D282B"/>
    <w:rsid w:val="003D336A"/>
    <w:rsid w:val="003D3810"/>
    <w:rsid w:val="003D417A"/>
    <w:rsid w:val="003D4496"/>
    <w:rsid w:val="003D4DF8"/>
    <w:rsid w:val="003D520B"/>
    <w:rsid w:val="003D5854"/>
    <w:rsid w:val="003D595C"/>
    <w:rsid w:val="003D5AFE"/>
    <w:rsid w:val="003D5C40"/>
    <w:rsid w:val="003D6441"/>
    <w:rsid w:val="003D6D57"/>
    <w:rsid w:val="003D71CB"/>
    <w:rsid w:val="003D726B"/>
    <w:rsid w:val="003D7559"/>
    <w:rsid w:val="003D7DBF"/>
    <w:rsid w:val="003E10EF"/>
    <w:rsid w:val="003E2313"/>
    <w:rsid w:val="003E2407"/>
    <w:rsid w:val="003E464B"/>
    <w:rsid w:val="003E68A5"/>
    <w:rsid w:val="003E716A"/>
    <w:rsid w:val="003E729B"/>
    <w:rsid w:val="003E7588"/>
    <w:rsid w:val="003E768A"/>
    <w:rsid w:val="003F003F"/>
    <w:rsid w:val="003F084D"/>
    <w:rsid w:val="003F0E9F"/>
    <w:rsid w:val="003F1121"/>
    <w:rsid w:val="003F15AF"/>
    <w:rsid w:val="003F1C16"/>
    <w:rsid w:val="003F2317"/>
    <w:rsid w:val="003F237C"/>
    <w:rsid w:val="003F257F"/>
    <w:rsid w:val="003F2CD1"/>
    <w:rsid w:val="003F2E79"/>
    <w:rsid w:val="003F3F29"/>
    <w:rsid w:val="003F417F"/>
    <w:rsid w:val="003F41FC"/>
    <w:rsid w:val="003F4346"/>
    <w:rsid w:val="003F4637"/>
    <w:rsid w:val="003F5163"/>
    <w:rsid w:val="003F566B"/>
    <w:rsid w:val="003F5F3F"/>
    <w:rsid w:val="003F611F"/>
    <w:rsid w:val="003F61E5"/>
    <w:rsid w:val="003F6370"/>
    <w:rsid w:val="003F6AC2"/>
    <w:rsid w:val="003F6BF7"/>
    <w:rsid w:val="003F73C5"/>
    <w:rsid w:val="003F795B"/>
    <w:rsid w:val="00400BDA"/>
    <w:rsid w:val="004012DF"/>
    <w:rsid w:val="00401B91"/>
    <w:rsid w:val="00401C0D"/>
    <w:rsid w:val="00401DB0"/>
    <w:rsid w:val="00401E00"/>
    <w:rsid w:val="00402CE6"/>
    <w:rsid w:val="00402DA7"/>
    <w:rsid w:val="0040398A"/>
    <w:rsid w:val="00404338"/>
    <w:rsid w:val="00405624"/>
    <w:rsid w:val="00406085"/>
    <w:rsid w:val="00406E87"/>
    <w:rsid w:val="00410283"/>
    <w:rsid w:val="004108C6"/>
    <w:rsid w:val="00410E0C"/>
    <w:rsid w:val="00410FB9"/>
    <w:rsid w:val="00411ACE"/>
    <w:rsid w:val="004127EF"/>
    <w:rsid w:val="00412CBD"/>
    <w:rsid w:val="00412D77"/>
    <w:rsid w:val="00413199"/>
    <w:rsid w:val="00413F7F"/>
    <w:rsid w:val="0041429C"/>
    <w:rsid w:val="00414DAD"/>
    <w:rsid w:val="0041523B"/>
    <w:rsid w:val="004165B2"/>
    <w:rsid w:val="00416D16"/>
    <w:rsid w:val="004174C4"/>
    <w:rsid w:val="00417BA3"/>
    <w:rsid w:val="00417CEE"/>
    <w:rsid w:val="00420935"/>
    <w:rsid w:val="00421BF6"/>
    <w:rsid w:val="00421DA1"/>
    <w:rsid w:val="0042204C"/>
    <w:rsid w:val="004222A7"/>
    <w:rsid w:val="00422BDA"/>
    <w:rsid w:val="00422F49"/>
    <w:rsid w:val="00423191"/>
    <w:rsid w:val="004245F3"/>
    <w:rsid w:val="0042490E"/>
    <w:rsid w:val="00425D7C"/>
    <w:rsid w:val="00426919"/>
    <w:rsid w:val="00426BDA"/>
    <w:rsid w:val="00427A2C"/>
    <w:rsid w:val="00431036"/>
    <w:rsid w:val="00431A9F"/>
    <w:rsid w:val="00431DE0"/>
    <w:rsid w:val="00432353"/>
    <w:rsid w:val="00432EAD"/>
    <w:rsid w:val="00432F92"/>
    <w:rsid w:val="004333B8"/>
    <w:rsid w:val="0043394A"/>
    <w:rsid w:val="00434980"/>
    <w:rsid w:val="00434C4D"/>
    <w:rsid w:val="004359AA"/>
    <w:rsid w:val="00435DD5"/>
    <w:rsid w:val="00436175"/>
    <w:rsid w:val="004361CE"/>
    <w:rsid w:val="00437CB4"/>
    <w:rsid w:val="00437EA1"/>
    <w:rsid w:val="004409B6"/>
    <w:rsid w:val="00441033"/>
    <w:rsid w:val="00441517"/>
    <w:rsid w:val="00441FA4"/>
    <w:rsid w:val="004432DA"/>
    <w:rsid w:val="00443888"/>
    <w:rsid w:val="00443A0A"/>
    <w:rsid w:val="0044464E"/>
    <w:rsid w:val="00444A25"/>
    <w:rsid w:val="0044518B"/>
    <w:rsid w:val="00445535"/>
    <w:rsid w:val="00445732"/>
    <w:rsid w:val="00445A62"/>
    <w:rsid w:val="0044631E"/>
    <w:rsid w:val="00446FD2"/>
    <w:rsid w:val="004470E8"/>
    <w:rsid w:val="004472CC"/>
    <w:rsid w:val="004502AC"/>
    <w:rsid w:val="004509B0"/>
    <w:rsid w:val="00450BF5"/>
    <w:rsid w:val="00450CDB"/>
    <w:rsid w:val="0045187B"/>
    <w:rsid w:val="00452059"/>
    <w:rsid w:val="00452361"/>
    <w:rsid w:val="00452961"/>
    <w:rsid w:val="00452ADE"/>
    <w:rsid w:val="00452C7C"/>
    <w:rsid w:val="00452E33"/>
    <w:rsid w:val="004535C2"/>
    <w:rsid w:val="00454C4E"/>
    <w:rsid w:val="004551F0"/>
    <w:rsid w:val="004552DE"/>
    <w:rsid w:val="00455876"/>
    <w:rsid w:val="00456A1C"/>
    <w:rsid w:val="00456D3D"/>
    <w:rsid w:val="004618B4"/>
    <w:rsid w:val="004618C1"/>
    <w:rsid w:val="00461AC3"/>
    <w:rsid w:val="004624A6"/>
    <w:rsid w:val="00462F53"/>
    <w:rsid w:val="00463753"/>
    <w:rsid w:val="004647AA"/>
    <w:rsid w:val="00465D8C"/>
    <w:rsid w:val="0046606A"/>
    <w:rsid w:val="0047098D"/>
    <w:rsid w:val="00470B7E"/>
    <w:rsid w:val="00471178"/>
    <w:rsid w:val="00471380"/>
    <w:rsid w:val="004714FB"/>
    <w:rsid w:val="00471506"/>
    <w:rsid w:val="004716CC"/>
    <w:rsid w:val="00471B9E"/>
    <w:rsid w:val="00471D10"/>
    <w:rsid w:val="0047220C"/>
    <w:rsid w:val="0047268F"/>
    <w:rsid w:val="00472AE4"/>
    <w:rsid w:val="00472F88"/>
    <w:rsid w:val="004733ED"/>
    <w:rsid w:val="0047408B"/>
    <w:rsid w:val="00474337"/>
    <w:rsid w:val="00474AFF"/>
    <w:rsid w:val="00475139"/>
    <w:rsid w:val="00475B39"/>
    <w:rsid w:val="00475D72"/>
    <w:rsid w:val="004763D8"/>
    <w:rsid w:val="00476A30"/>
    <w:rsid w:val="0047745F"/>
    <w:rsid w:val="00477CBB"/>
    <w:rsid w:val="00477DF1"/>
    <w:rsid w:val="0048150B"/>
    <w:rsid w:val="0048194E"/>
    <w:rsid w:val="00481BCB"/>
    <w:rsid w:val="00482B8D"/>
    <w:rsid w:val="00482D66"/>
    <w:rsid w:val="00482FF7"/>
    <w:rsid w:val="00484C00"/>
    <w:rsid w:val="00484C51"/>
    <w:rsid w:val="00484DF8"/>
    <w:rsid w:val="004861A8"/>
    <w:rsid w:val="0048653B"/>
    <w:rsid w:val="004865BA"/>
    <w:rsid w:val="0048738F"/>
    <w:rsid w:val="0048762E"/>
    <w:rsid w:val="00487CB5"/>
    <w:rsid w:val="004903C3"/>
    <w:rsid w:val="00490BA2"/>
    <w:rsid w:val="0049119D"/>
    <w:rsid w:val="00491330"/>
    <w:rsid w:val="0049187D"/>
    <w:rsid w:val="00491A21"/>
    <w:rsid w:val="00492311"/>
    <w:rsid w:val="00492684"/>
    <w:rsid w:val="004930D0"/>
    <w:rsid w:val="00493254"/>
    <w:rsid w:val="00493A17"/>
    <w:rsid w:val="00494001"/>
    <w:rsid w:val="00495002"/>
    <w:rsid w:val="00495506"/>
    <w:rsid w:val="0049641E"/>
    <w:rsid w:val="00496887"/>
    <w:rsid w:val="004969AD"/>
    <w:rsid w:val="00496C95"/>
    <w:rsid w:val="004A10A1"/>
    <w:rsid w:val="004A10E4"/>
    <w:rsid w:val="004A1975"/>
    <w:rsid w:val="004A24BF"/>
    <w:rsid w:val="004A25B9"/>
    <w:rsid w:val="004A2896"/>
    <w:rsid w:val="004A3A85"/>
    <w:rsid w:val="004A40B6"/>
    <w:rsid w:val="004A46EF"/>
    <w:rsid w:val="004A4F72"/>
    <w:rsid w:val="004A5CA6"/>
    <w:rsid w:val="004A60EE"/>
    <w:rsid w:val="004A701C"/>
    <w:rsid w:val="004A7AEF"/>
    <w:rsid w:val="004A7C46"/>
    <w:rsid w:val="004B05AB"/>
    <w:rsid w:val="004B082F"/>
    <w:rsid w:val="004B0859"/>
    <w:rsid w:val="004B1011"/>
    <w:rsid w:val="004B122C"/>
    <w:rsid w:val="004B1CC0"/>
    <w:rsid w:val="004B1E28"/>
    <w:rsid w:val="004B2676"/>
    <w:rsid w:val="004B2A91"/>
    <w:rsid w:val="004B34E8"/>
    <w:rsid w:val="004B3B52"/>
    <w:rsid w:val="004B42B1"/>
    <w:rsid w:val="004B5204"/>
    <w:rsid w:val="004B66A3"/>
    <w:rsid w:val="004B6704"/>
    <w:rsid w:val="004B6AEC"/>
    <w:rsid w:val="004B70C7"/>
    <w:rsid w:val="004B71FD"/>
    <w:rsid w:val="004B77F4"/>
    <w:rsid w:val="004B7BD6"/>
    <w:rsid w:val="004C077C"/>
    <w:rsid w:val="004C0D1E"/>
    <w:rsid w:val="004C0D75"/>
    <w:rsid w:val="004C0F8A"/>
    <w:rsid w:val="004C229D"/>
    <w:rsid w:val="004C2D57"/>
    <w:rsid w:val="004C2F14"/>
    <w:rsid w:val="004C3591"/>
    <w:rsid w:val="004C3626"/>
    <w:rsid w:val="004C3B4F"/>
    <w:rsid w:val="004C4AA4"/>
    <w:rsid w:val="004C5936"/>
    <w:rsid w:val="004C6A2F"/>
    <w:rsid w:val="004C6BCE"/>
    <w:rsid w:val="004C7410"/>
    <w:rsid w:val="004C7680"/>
    <w:rsid w:val="004C7B35"/>
    <w:rsid w:val="004D0CC2"/>
    <w:rsid w:val="004D1065"/>
    <w:rsid w:val="004D1263"/>
    <w:rsid w:val="004D1A28"/>
    <w:rsid w:val="004D23C1"/>
    <w:rsid w:val="004D30AB"/>
    <w:rsid w:val="004D4537"/>
    <w:rsid w:val="004D5F49"/>
    <w:rsid w:val="004D6218"/>
    <w:rsid w:val="004D74A3"/>
    <w:rsid w:val="004D7A15"/>
    <w:rsid w:val="004D7CCB"/>
    <w:rsid w:val="004E00A4"/>
    <w:rsid w:val="004E034B"/>
    <w:rsid w:val="004E0491"/>
    <w:rsid w:val="004E090E"/>
    <w:rsid w:val="004E0BFD"/>
    <w:rsid w:val="004E0FA4"/>
    <w:rsid w:val="004E1041"/>
    <w:rsid w:val="004E144D"/>
    <w:rsid w:val="004E1825"/>
    <w:rsid w:val="004E22F6"/>
    <w:rsid w:val="004E2AE5"/>
    <w:rsid w:val="004E541E"/>
    <w:rsid w:val="004E5745"/>
    <w:rsid w:val="004E5A5F"/>
    <w:rsid w:val="004E61AC"/>
    <w:rsid w:val="004E61C7"/>
    <w:rsid w:val="004E72DE"/>
    <w:rsid w:val="004E78E0"/>
    <w:rsid w:val="004E7E56"/>
    <w:rsid w:val="004E7EC8"/>
    <w:rsid w:val="004F0712"/>
    <w:rsid w:val="004F0C0F"/>
    <w:rsid w:val="004F1397"/>
    <w:rsid w:val="004F177C"/>
    <w:rsid w:val="004F17B9"/>
    <w:rsid w:val="004F17D1"/>
    <w:rsid w:val="004F17FA"/>
    <w:rsid w:val="004F3413"/>
    <w:rsid w:val="004F3A70"/>
    <w:rsid w:val="004F460D"/>
    <w:rsid w:val="004F4982"/>
    <w:rsid w:val="004F4CE0"/>
    <w:rsid w:val="004F5CE2"/>
    <w:rsid w:val="004F678D"/>
    <w:rsid w:val="004F6812"/>
    <w:rsid w:val="004F6DB9"/>
    <w:rsid w:val="004F7512"/>
    <w:rsid w:val="0050082C"/>
    <w:rsid w:val="005008CB"/>
    <w:rsid w:val="00500BDB"/>
    <w:rsid w:val="00501777"/>
    <w:rsid w:val="0050297C"/>
    <w:rsid w:val="00502BD0"/>
    <w:rsid w:val="00504ADD"/>
    <w:rsid w:val="00505474"/>
    <w:rsid w:val="005059AB"/>
    <w:rsid w:val="00506075"/>
    <w:rsid w:val="005068DD"/>
    <w:rsid w:val="0050722E"/>
    <w:rsid w:val="00512E99"/>
    <w:rsid w:val="00512FF0"/>
    <w:rsid w:val="005130F1"/>
    <w:rsid w:val="005146FC"/>
    <w:rsid w:val="00514995"/>
    <w:rsid w:val="00514B9F"/>
    <w:rsid w:val="00515574"/>
    <w:rsid w:val="005157F4"/>
    <w:rsid w:val="0051609E"/>
    <w:rsid w:val="00516FAF"/>
    <w:rsid w:val="00517666"/>
    <w:rsid w:val="005176B1"/>
    <w:rsid w:val="00517987"/>
    <w:rsid w:val="005201F7"/>
    <w:rsid w:val="0052053C"/>
    <w:rsid w:val="00520B3A"/>
    <w:rsid w:val="00521A53"/>
    <w:rsid w:val="00521BCB"/>
    <w:rsid w:val="00521F14"/>
    <w:rsid w:val="00522709"/>
    <w:rsid w:val="00522DAC"/>
    <w:rsid w:val="005233F5"/>
    <w:rsid w:val="005243A2"/>
    <w:rsid w:val="00524EA9"/>
    <w:rsid w:val="00525A8A"/>
    <w:rsid w:val="005266AE"/>
    <w:rsid w:val="005266D2"/>
    <w:rsid w:val="0052689A"/>
    <w:rsid w:val="00526D8E"/>
    <w:rsid w:val="00530155"/>
    <w:rsid w:val="0053162E"/>
    <w:rsid w:val="00531664"/>
    <w:rsid w:val="005318C1"/>
    <w:rsid w:val="00531A51"/>
    <w:rsid w:val="00531A69"/>
    <w:rsid w:val="00531C5F"/>
    <w:rsid w:val="005327A9"/>
    <w:rsid w:val="005327EE"/>
    <w:rsid w:val="00533816"/>
    <w:rsid w:val="0053502A"/>
    <w:rsid w:val="00535443"/>
    <w:rsid w:val="00535D97"/>
    <w:rsid w:val="00540980"/>
    <w:rsid w:val="005409A8"/>
    <w:rsid w:val="00540AF9"/>
    <w:rsid w:val="00540B94"/>
    <w:rsid w:val="00540FFF"/>
    <w:rsid w:val="00541155"/>
    <w:rsid w:val="00541A4F"/>
    <w:rsid w:val="00541BC6"/>
    <w:rsid w:val="00542646"/>
    <w:rsid w:val="00542A69"/>
    <w:rsid w:val="00542EA1"/>
    <w:rsid w:val="0054306C"/>
    <w:rsid w:val="0054335F"/>
    <w:rsid w:val="00543532"/>
    <w:rsid w:val="00543B1C"/>
    <w:rsid w:val="0054520F"/>
    <w:rsid w:val="00545C64"/>
    <w:rsid w:val="00546551"/>
    <w:rsid w:val="00546BAF"/>
    <w:rsid w:val="00546CB8"/>
    <w:rsid w:val="00547A1C"/>
    <w:rsid w:val="00550602"/>
    <w:rsid w:val="005507B1"/>
    <w:rsid w:val="005507F9"/>
    <w:rsid w:val="005511EA"/>
    <w:rsid w:val="00552737"/>
    <w:rsid w:val="005535C2"/>
    <w:rsid w:val="00553821"/>
    <w:rsid w:val="00554B5C"/>
    <w:rsid w:val="00555118"/>
    <w:rsid w:val="005556A5"/>
    <w:rsid w:val="00556EF5"/>
    <w:rsid w:val="00556F4C"/>
    <w:rsid w:val="005571C6"/>
    <w:rsid w:val="00557369"/>
    <w:rsid w:val="00557BB5"/>
    <w:rsid w:val="005607A9"/>
    <w:rsid w:val="005610A6"/>
    <w:rsid w:val="0056149F"/>
    <w:rsid w:val="0056168D"/>
    <w:rsid w:val="0056358E"/>
    <w:rsid w:val="005636D4"/>
    <w:rsid w:val="00563B40"/>
    <w:rsid w:val="00563E93"/>
    <w:rsid w:val="00565456"/>
    <w:rsid w:val="00565AB8"/>
    <w:rsid w:val="0056634D"/>
    <w:rsid w:val="005671A5"/>
    <w:rsid w:val="005677F1"/>
    <w:rsid w:val="00567A04"/>
    <w:rsid w:val="0057004E"/>
    <w:rsid w:val="0057096C"/>
    <w:rsid w:val="00570D0F"/>
    <w:rsid w:val="00570DCA"/>
    <w:rsid w:val="00571619"/>
    <w:rsid w:val="005716B5"/>
    <w:rsid w:val="00572B9D"/>
    <w:rsid w:val="00572DEC"/>
    <w:rsid w:val="005734EE"/>
    <w:rsid w:val="00573CC3"/>
    <w:rsid w:val="00573E15"/>
    <w:rsid w:val="00573F65"/>
    <w:rsid w:val="00574CBC"/>
    <w:rsid w:val="0057510E"/>
    <w:rsid w:val="00575984"/>
    <w:rsid w:val="00575C3D"/>
    <w:rsid w:val="00576D8F"/>
    <w:rsid w:val="00576E9F"/>
    <w:rsid w:val="005770C2"/>
    <w:rsid w:val="0057788B"/>
    <w:rsid w:val="00577D79"/>
    <w:rsid w:val="0058018C"/>
    <w:rsid w:val="00580A36"/>
    <w:rsid w:val="00580F0B"/>
    <w:rsid w:val="00581D5A"/>
    <w:rsid w:val="0058209F"/>
    <w:rsid w:val="0058249A"/>
    <w:rsid w:val="00582DE2"/>
    <w:rsid w:val="005831E5"/>
    <w:rsid w:val="00583CE5"/>
    <w:rsid w:val="0058489A"/>
    <w:rsid w:val="00584F51"/>
    <w:rsid w:val="00585CFA"/>
    <w:rsid w:val="005865FE"/>
    <w:rsid w:val="005869CA"/>
    <w:rsid w:val="00586C23"/>
    <w:rsid w:val="00587004"/>
    <w:rsid w:val="0058714D"/>
    <w:rsid w:val="00587408"/>
    <w:rsid w:val="005877C4"/>
    <w:rsid w:val="00590D15"/>
    <w:rsid w:val="00593437"/>
    <w:rsid w:val="00595012"/>
    <w:rsid w:val="0059537F"/>
    <w:rsid w:val="005956F8"/>
    <w:rsid w:val="005959B4"/>
    <w:rsid w:val="00595EFE"/>
    <w:rsid w:val="00596006"/>
    <w:rsid w:val="00597269"/>
    <w:rsid w:val="005974DD"/>
    <w:rsid w:val="005A0EEF"/>
    <w:rsid w:val="005A141F"/>
    <w:rsid w:val="005A22F7"/>
    <w:rsid w:val="005A2C40"/>
    <w:rsid w:val="005A2D3D"/>
    <w:rsid w:val="005A3040"/>
    <w:rsid w:val="005A434E"/>
    <w:rsid w:val="005A481C"/>
    <w:rsid w:val="005A488B"/>
    <w:rsid w:val="005A6AE5"/>
    <w:rsid w:val="005A7311"/>
    <w:rsid w:val="005A79F6"/>
    <w:rsid w:val="005B08C7"/>
    <w:rsid w:val="005B0D80"/>
    <w:rsid w:val="005B1357"/>
    <w:rsid w:val="005B1B47"/>
    <w:rsid w:val="005B25E6"/>
    <w:rsid w:val="005B2CE3"/>
    <w:rsid w:val="005B492E"/>
    <w:rsid w:val="005B49FC"/>
    <w:rsid w:val="005B4E1D"/>
    <w:rsid w:val="005B4E25"/>
    <w:rsid w:val="005B5534"/>
    <w:rsid w:val="005B5FD0"/>
    <w:rsid w:val="005B6D2C"/>
    <w:rsid w:val="005B7FE1"/>
    <w:rsid w:val="005C01A9"/>
    <w:rsid w:val="005C01BC"/>
    <w:rsid w:val="005C1700"/>
    <w:rsid w:val="005C1EFD"/>
    <w:rsid w:val="005C2145"/>
    <w:rsid w:val="005C2C1A"/>
    <w:rsid w:val="005C4807"/>
    <w:rsid w:val="005C48FF"/>
    <w:rsid w:val="005C4C70"/>
    <w:rsid w:val="005C5352"/>
    <w:rsid w:val="005C5E06"/>
    <w:rsid w:val="005C60C7"/>
    <w:rsid w:val="005C6268"/>
    <w:rsid w:val="005C650B"/>
    <w:rsid w:val="005C67A6"/>
    <w:rsid w:val="005C7140"/>
    <w:rsid w:val="005C7178"/>
    <w:rsid w:val="005D0627"/>
    <w:rsid w:val="005D13CD"/>
    <w:rsid w:val="005D14B6"/>
    <w:rsid w:val="005D15DC"/>
    <w:rsid w:val="005D21D3"/>
    <w:rsid w:val="005D2680"/>
    <w:rsid w:val="005D2A98"/>
    <w:rsid w:val="005D4160"/>
    <w:rsid w:val="005D4390"/>
    <w:rsid w:val="005D46E3"/>
    <w:rsid w:val="005D47C3"/>
    <w:rsid w:val="005D4B90"/>
    <w:rsid w:val="005D4CEB"/>
    <w:rsid w:val="005D4FD5"/>
    <w:rsid w:val="005D50C8"/>
    <w:rsid w:val="005D55EA"/>
    <w:rsid w:val="005D5AB9"/>
    <w:rsid w:val="005D6440"/>
    <w:rsid w:val="005D68B4"/>
    <w:rsid w:val="005D6C78"/>
    <w:rsid w:val="005D6F59"/>
    <w:rsid w:val="005D7FF6"/>
    <w:rsid w:val="005E0EE1"/>
    <w:rsid w:val="005E1B00"/>
    <w:rsid w:val="005E1F34"/>
    <w:rsid w:val="005E231B"/>
    <w:rsid w:val="005E29B3"/>
    <w:rsid w:val="005E2B5D"/>
    <w:rsid w:val="005E2DCF"/>
    <w:rsid w:val="005E3029"/>
    <w:rsid w:val="005E312B"/>
    <w:rsid w:val="005E3231"/>
    <w:rsid w:val="005E32A9"/>
    <w:rsid w:val="005E49CB"/>
    <w:rsid w:val="005E4A3F"/>
    <w:rsid w:val="005E4E13"/>
    <w:rsid w:val="005E4EAA"/>
    <w:rsid w:val="005E5569"/>
    <w:rsid w:val="005E5BF1"/>
    <w:rsid w:val="005E6708"/>
    <w:rsid w:val="005E6895"/>
    <w:rsid w:val="005E6FC2"/>
    <w:rsid w:val="005E715C"/>
    <w:rsid w:val="005E72AD"/>
    <w:rsid w:val="005E74E4"/>
    <w:rsid w:val="005E7647"/>
    <w:rsid w:val="005E7A86"/>
    <w:rsid w:val="005E7B14"/>
    <w:rsid w:val="005E7CF9"/>
    <w:rsid w:val="005E7EAC"/>
    <w:rsid w:val="005E7EC5"/>
    <w:rsid w:val="005E7F8F"/>
    <w:rsid w:val="005F0196"/>
    <w:rsid w:val="005F072A"/>
    <w:rsid w:val="005F0749"/>
    <w:rsid w:val="005F1D3F"/>
    <w:rsid w:val="005F29B7"/>
    <w:rsid w:val="005F34D6"/>
    <w:rsid w:val="005F44F8"/>
    <w:rsid w:val="005F4F6B"/>
    <w:rsid w:val="005F51B2"/>
    <w:rsid w:val="005F5374"/>
    <w:rsid w:val="005F53BB"/>
    <w:rsid w:val="005F55A7"/>
    <w:rsid w:val="005F58B8"/>
    <w:rsid w:val="005F5E75"/>
    <w:rsid w:val="005F61ED"/>
    <w:rsid w:val="005F6A93"/>
    <w:rsid w:val="005F6EA1"/>
    <w:rsid w:val="005F7597"/>
    <w:rsid w:val="005F7BCF"/>
    <w:rsid w:val="006000E8"/>
    <w:rsid w:val="006002D1"/>
    <w:rsid w:val="00600345"/>
    <w:rsid w:val="00600784"/>
    <w:rsid w:val="006011AC"/>
    <w:rsid w:val="0060160B"/>
    <w:rsid w:val="0060361D"/>
    <w:rsid w:val="0060432B"/>
    <w:rsid w:val="0060434F"/>
    <w:rsid w:val="006047F9"/>
    <w:rsid w:val="00605906"/>
    <w:rsid w:val="00605B19"/>
    <w:rsid w:val="00606224"/>
    <w:rsid w:val="006062C8"/>
    <w:rsid w:val="006066CC"/>
    <w:rsid w:val="006069CC"/>
    <w:rsid w:val="00606BFB"/>
    <w:rsid w:val="00607FBB"/>
    <w:rsid w:val="00607FE7"/>
    <w:rsid w:val="006101B1"/>
    <w:rsid w:val="006104DA"/>
    <w:rsid w:val="006104E7"/>
    <w:rsid w:val="00610750"/>
    <w:rsid w:val="006116A4"/>
    <w:rsid w:val="00611758"/>
    <w:rsid w:val="00611C69"/>
    <w:rsid w:val="00612D80"/>
    <w:rsid w:val="00613505"/>
    <w:rsid w:val="006137DE"/>
    <w:rsid w:val="006142BA"/>
    <w:rsid w:val="00615C84"/>
    <w:rsid w:val="00616158"/>
    <w:rsid w:val="0061754C"/>
    <w:rsid w:val="006175EB"/>
    <w:rsid w:val="00617A5C"/>
    <w:rsid w:val="00617E8B"/>
    <w:rsid w:val="006229A3"/>
    <w:rsid w:val="00622B43"/>
    <w:rsid w:val="00622C9C"/>
    <w:rsid w:val="00622DBE"/>
    <w:rsid w:val="006238E5"/>
    <w:rsid w:val="006245AD"/>
    <w:rsid w:val="00624A7E"/>
    <w:rsid w:val="006250EB"/>
    <w:rsid w:val="00626450"/>
    <w:rsid w:val="0062680B"/>
    <w:rsid w:val="00627532"/>
    <w:rsid w:val="00627AEB"/>
    <w:rsid w:val="00627BB7"/>
    <w:rsid w:val="0063030B"/>
    <w:rsid w:val="00630384"/>
    <w:rsid w:val="00630B23"/>
    <w:rsid w:val="00631185"/>
    <w:rsid w:val="00631BEB"/>
    <w:rsid w:val="00632373"/>
    <w:rsid w:val="00632455"/>
    <w:rsid w:val="00632700"/>
    <w:rsid w:val="00632732"/>
    <w:rsid w:val="006330E3"/>
    <w:rsid w:val="00633477"/>
    <w:rsid w:val="006338B5"/>
    <w:rsid w:val="006338E3"/>
    <w:rsid w:val="00633B52"/>
    <w:rsid w:val="00634BAD"/>
    <w:rsid w:val="00634BBD"/>
    <w:rsid w:val="006354A5"/>
    <w:rsid w:val="006357D5"/>
    <w:rsid w:val="00635EBF"/>
    <w:rsid w:val="00635F63"/>
    <w:rsid w:val="006372E7"/>
    <w:rsid w:val="00637363"/>
    <w:rsid w:val="00637CBF"/>
    <w:rsid w:val="00640215"/>
    <w:rsid w:val="00640D42"/>
    <w:rsid w:val="006412DA"/>
    <w:rsid w:val="00641364"/>
    <w:rsid w:val="00641897"/>
    <w:rsid w:val="00641936"/>
    <w:rsid w:val="00643F1A"/>
    <w:rsid w:val="00644112"/>
    <w:rsid w:val="006441B9"/>
    <w:rsid w:val="00644B6D"/>
    <w:rsid w:val="00644BA1"/>
    <w:rsid w:val="00645159"/>
    <w:rsid w:val="006451D8"/>
    <w:rsid w:val="006453E8"/>
    <w:rsid w:val="00646136"/>
    <w:rsid w:val="0064695C"/>
    <w:rsid w:val="00646D9F"/>
    <w:rsid w:val="00646DB2"/>
    <w:rsid w:val="0065011C"/>
    <w:rsid w:val="006505BA"/>
    <w:rsid w:val="0065155E"/>
    <w:rsid w:val="00652640"/>
    <w:rsid w:val="00652A34"/>
    <w:rsid w:val="0065396B"/>
    <w:rsid w:val="00654610"/>
    <w:rsid w:val="00654B14"/>
    <w:rsid w:val="0065509A"/>
    <w:rsid w:val="00655D3D"/>
    <w:rsid w:val="00656B5C"/>
    <w:rsid w:val="00656C9C"/>
    <w:rsid w:val="00656D59"/>
    <w:rsid w:val="00660089"/>
    <w:rsid w:val="0066040D"/>
    <w:rsid w:val="006607F0"/>
    <w:rsid w:val="00660BD1"/>
    <w:rsid w:val="00660C10"/>
    <w:rsid w:val="00661272"/>
    <w:rsid w:val="00662583"/>
    <w:rsid w:val="00663D44"/>
    <w:rsid w:val="00663D4A"/>
    <w:rsid w:val="00665321"/>
    <w:rsid w:val="006658CC"/>
    <w:rsid w:val="00665F2F"/>
    <w:rsid w:val="0066601E"/>
    <w:rsid w:val="00666658"/>
    <w:rsid w:val="0066679C"/>
    <w:rsid w:val="00666C88"/>
    <w:rsid w:val="00666D72"/>
    <w:rsid w:val="006672B3"/>
    <w:rsid w:val="00667626"/>
    <w:rsid w:val="0066772C"/>
    <w:rsid w:val="00670370"/>
    <w:rsid w:val="00671215"/>
    <w:rsid w:val="00671369"/>
    <w:rsid w:val="0067186F"/>
    <w:rsid w:val="00671D53"/>
    <w:rsid w:val="00671FCA"/>
    <w:rsid w:val="00672357"/>
    <w:rsid w:val="006735F7"/>
    <w:rsid w:val="00673CD3"/>
    <w:rsid w:val="00673D0A"/>
    <w:rsid w:val="0067470F"/>
    <w:rsid w:val="00674FCA"/>
    <w:rsid w:val="00675048"/>
    <w:rsid w:val="0067555E"/>
    <w:rsid w:val="00675933"/>
    <w:rsid w:val="00676102"/>
    <w:rsid w:val="00676611"/>
    <w:rsid w:val="00676893"/>
    <w:rsid w:val="00676DCD"/>
    <w:rsid w:val="00677035"/>
    <w:rsid w:val="00677C5C"/>
    <w:rsid w:val="00677EF7"/>
    <w:rsid w:val="006807A9"/>
    <w:rsid w:val="00681649"/>
    <w:rsid w:val="006816BD"/>
    <w:rsid w:val="00681A5C"/>
    <w:rsid w:val="00681D5E"/>
    <w:rsid w:val="00681FE6"/>
    <w:rsid w:val="00682216"/>
    <w:rsid w:val="00683064"/>
    <w:rsid w:val="0068347D"/>
    <w:rsid w:val="00685AE8"/>
    <w:rsid w:val="006869DE"/>
    <w:rsid w:val="006876D6"/>
    <w:rsid w:val="006876F5"/>
    <w:rsid w:val="006879D7"/>
    <w:rsid w:val="00687CC3"/>
    <w:rsid w:val="00687D93"/>
    <w:rsid w:val="006904E1"/>
    <w:rsid w:val="0069196C"/>
    <w:rsid w:val="00691E18"/>
    <w:rsid w:val="00691F18"/>
    <w:rsid w:val="006920B9"/>
    <w:rsid w:val="00692F60"/>
    <w:rsid w:val="00693183"/>
    <w:rsid w:val="00693DA8"/>
    <w:rsid w:val="006941D9"/>
    <w:rsid w:val="0069424D"/>
    <w:rsid w:val="0069438D"/>
    <w:rsid w:val="006946F6"/>
    <w:rsid w:val="0069477C"/>
    <w:rsid w:val="00695094"/>
    <w:rsid w:val="006956C4"/>
    <w:rsid w:val="00695827"/>
    <w:rsid w:val="00695912"/>
    <w:rsid w:val="00695AEF"/>
    <w:rsid w:val="00696729"/>
    <w:rsid w:val="00696DB2"/>
    <w:rsid w:val="00697186"/>
    <w:rsid w:val="00697BA1"/>
    <w:rsid w:val="00697E89"/>
    <w:rsid w:val="006A0424"/>
    <w:rsid w:val="006A094F"/>
    <w:rsid w:val="006A118A"/>
    <w:rsid w:val="006A1C40"/>
    <w:rsid w:val="006A1D68"/>
    <w:rsid w:val="006A2561"/>
    <w:rsid w:val="006A26A0"/>
    <w:rsid w:val="006A4256"/>
    <w:rsid w:val="006A451F"/>
    <w:rsid w:val="006A4748"/>
    <w:rsid w:val="006A4DFE"/>
    <w:rsid w:val="006A4F0C"/>
    <w:rsid w:val="006A5929"/>
    <w:rsid w:val="006A6008"/>
    <w:rsid w:val="006A6E63"/>
    <w:rsid w:val="006A785F"/>
    <w:rsid w:val="006B0557"/>
    <w:rsid w:val="006B061C"/>
    <w:rsid w:val="006B0691"/>
    <w:rsid w:val="006B132A"/>
    <w:rsid w:val="006B13E6"/>
    <w:rsid w:val="006B1C25"/>
    <w:rsid w:val="006B2033"/>
    <w:rsid w:val="006B20C5"/>
    <w:rsid w:val="006B2343"/>
    <w:rsid w:val="006B238D"/>
    <w:rsid w:val="006B2711"/>
    <w:rsid w:val="006B28F1"/>
    <w:rsid w:val="006B313D"/>
    <w:rsid w:val="006B3579"/>
    <w:rsid w:val="006B4231"/>
    <w:rsid w:val="006B492A"/>
    <w:rsid w:val="006B5361"/>
    <w:rsid w:val="006B62DE"/>
    <w:rsid w:val="006B636E"/>
    <w:rsid w:val="006B63F9"/>
    <w:rsid w:val="006B6F73"/>
    <w:rsid w:val="006B7255"/>
    <w:rsid w:val="006B7474"/>
    <w:rsid w:val="006B7A26"/>
    <w:rsid w:val="006B7F30"/>
    <w:rsid w:val="006B7FB4"/>
    <w:rsid w:val="006C05B6"/>
    <w:rsid w:val="006C0BC4"/>
    <w:rsid w:val="006C0EDA"/>
    <w:rsid w:val="006C145A"/>
    <w:rsid w:val="006C1B2D"/>
    <w:rsid w:val="006C2130"/>
    <w:rsid w:val="006C3037"/>
    <w:rsid w:val="006C3A58"/>
    <w:rsid w:val="006C440E"/>
    <w:rsid w:val="006C4553"/>
    <w:rsid w:val="006C57AF"/>
    <w:rsid w:val="006C5E16"/>
    <w:rsid w:val="006C6007"/>
    <w:rsid w:val="006C6317"/>
    <w:rsid w:val="006C6843"/>
    <w:rsid w:val="006C7A13"/>
    <w:rsid w:val="006C7CA0"/>
    <w:rsid w:val="006C7CC4"/>
    <w:rsid w:val="006C7E6C"/>
    <w:rsid w:val="006C7F3F"/>
    <w:rsid w:val="006D0C57"/>
    <w:rsid w:val="006D293C"/>
    <w:rsid w:val="006D2E54"/>
    <w:rsid w:val="006D3B0B"/>
    <w:rsid w:val="006D3B60"/>
    <w:rsid w:val="006D67AB"/>
    <w:rsid w:val="006D6931"/>
    <w:rsid w:val="006D6D4E"/>
    <w:rsid w:val="006D7CDE"/>
    <w:rsid w:val="006D7F75"/>
    <w:rsid w:val="006E0056"/>
    <w:rsid w:val="006E025C"/>
    <w:rsid w:val="006E03B5"/>
    <w:rsid w:val="006E1148"/>
    <w:rsid w:val="006E117C"/>
    <w:rsid w:val="006E15C1"/>
    <w:rsid w:val="006E1C39"/>
    <w:rsid w:val="006E1DE4"/>
    <w:rsid w:val="006E23A1"/>
    <w:rsid w:val="006E279B"/>
    <w:rsid w:val="006E30CF"/>
    <w:rsid w:val="006E39D5"/>
    <w:rsid w:val="006E3A38"/>
    <w:rsid w:val="006E3D98"/>
    <w:rsid w:val="006E4354"/>
    <w:rsid w:val="006E448A"/>
    <w:rsid w:val="006E4B2F"/>
    <w:rsid w:val="006E50D9"/>
    <w:rsid w:val="006E5DFC"/>
    <w:rsid w:val="006E5EF0"/>
    <w:rsid w:val="006E5F88"/>
    <w:rsid w:val="006E6407"/>
    <w:rsid w:val="006E656C"/>
    <w:rsid w:val="006E76BE"/>
    <w:rsid w:val="006E771F"/>
    <w:rsid w:val="006E7877"/>
    <w:rsid w:val="006F0C8D"/>
    <w:rsid w:val="006F24F2"/>
    <w:rsid w:val="006F2A3E"/>
    <w:rsid w:val="006F4C82"/>
    <w:rsid w:val="006F5D6F"/>
    <w:rsid w:val="006F62F2"/>
    <w:rsid w:val="006F643A"/>
    <w:rsid w:val="006F7125"/>
    <w:rsid w:val="006F7CE9"/>
    <w:rsid w:val="00700CDF"/>
    <w:rsid w:val="007011EE"/>
    <w:rsid w:val="007011FA"/>
    <w:rsid w:val="00701717"/>
    <w:rsid w:val="007018C0"/>
    <w:rsid w:val="0070202E"/>
    <w:rsid w:val="007022B0"/>
    <w:rsid w:val="0070264B"/>
    <w:rsid w:val="00702F49"/>
    <w:rsid w:val="00703283"/>
    <w:rsid w:val="00703A53"/>
    <w:rsid w:val="00704123"/>
    <w:rsid w:val="007054B9"/>
    <w:rsid w:val="00705650"/>
    <w:rsid w:val="00705C57"/>
    <w:rsid w:val="00706119"/>
    <w:rsid w:val="007069C6"/>
    <w:rsid w:val="00707393"/>
    <w:rsid w:val="007075B0"/>
    <w:rsid w:val="00707858"/>
    <w:rsid w:val="00707C15"/>
    <w:rsid w:val="00710717"/>
    <w:rsid w:val="00711EF9"/>
    <w:rsid w:val="0071337A"/>
    <w:rsid w:val="00713B13"/>
    <w:rsid w:val="00713C9B"/>
    <w:rsid w:val="00714173"/>
    <w:rsid w:val="00714A4F"/>
    <w:rsid w:val="00714B8C"/>
    <w:rsid w:val="00715087"/>
    <w:rsid w:val="007158CE"/>
    <w:rsid w:val="00715FE5"/>
    <w:rsid w:val="00716DB8"/>
    <w:rsid w:val="00717185"/>
    <w:rsid w:val="007171DB"/>
    <w:rsid w:val="007172E1"/>
    <w:rsid w:val="0071793A"/>
    <w:rsid w:val="007207BF"/>
    <w:rsid w:val="00720D17"/>
    <w:rsid w:val="007215AB"/>
    <w:rsid w:val="00721C97"/>
    <w:rsid w:val="00721E0E"/>
    <w:rsid w:val="0072294A"/>
    <w:rsid w:val="0072295C"/>
    <w:rsid w:val="007232D2"/>
    <w:rsid w:val="0072360F"/>
    <w:rsid w:val="00723D19"/>
    <w:rsid w:val="00723E1A"/>
    <w:rsid w:val="00724BB5"/>
    <w:rsid w:val="00724D30"/>
    <w:rsid w:val="00725EEA"/>
    <w:rsid w:val="00726313"/>
    <w:rsid w:val="00726E84"/>
    <w:rsid w:val="00727A31"/>
    <w:rsid w:val="00727B01"/>
    <w:rsid w:val="0073023D"/>
    <w:rsid w:val="007303CC"/>
    <w:rsid w:val="007307B4"/>
    <w:rsid w:val="00730CAB"/>
    <w:rsid w:val="00731272"/>
    <w:rsid w:val="00731662"/>
    <w:rsid w:val="00733A36"/>
    <w:rsid w:val="00733DCE"/>
    <w:rsid w:val="007341E3"/>
    <w:rsid w:val="00734369"/>
    <w:rsid w:val="00735AAA"/>
    <w:rsid w:val="0073647A"/>
    <w:rsid w:val="007375FB"/>
    <w:rsid w:val="00737B4B"/>
    <w:rsid w:val="00737FCC"/>
    <w:rsid w:val="00740683"/>
    <w:rsid w:val="007406A8"/>
    <w:rsid w:val="007407A5"/>
    <w:rsid w:val="007408BE"/>
    <w:rsid w:val="00740AC3"/>
    <w:rsid w:val="00741035"/>
    <w:rsid w:val="007414FA"/>
    <w:rsid w:val="007415A7"/>
    <w:rsid w:val="007420C2"/>
    <w:rsid w:val="00742E2D"/>
    <w:rsid w:val="00743CA7"/>
    <w:rsid w:val="00743EAA"/>
    <w:rsid w:val="007441A8"/>
    <w:rsid w:val="007444B0"/>
    <w:rsid w:val="007446CE"/>
    <w:rsid w:val="00744A0B"/>
    <w:rsid w:val="00744AC8"/>
    <w:rsid w:val="00744D20"/>
    <w:rsid w:val="00746C9C"/>
    <w:rsid w:val="00747C52"/>
    <w:rsid w:val="00747D50"/>
    <w:rsid w:val="007500DE"/>
    <w:rsid w:val="00750545"/>
    <w:rsid w:val="00750C0A"/>
    <w:rsid w:val="00751C1D"/>
    <w:rsid w:val="00752065"/>
    <w:rsid w:val="00752284"/>
    <w:rsid w:val="00752640"/>
    <w:rsid w:val="007529C5"/>
    <w:rsid w:val="00752CBB"/>
    <w:rsid w:val="00752F8C"/>
    <w:rsid w:val="0075327B"/>
    <w:rsid w:val="0075336F"/>
    <w:rsid w:val="007533DC"/>
    <w:rsid w:val="007537E3"/>
    <w:rsid w:val="00754049"/>
    <w:rsid w:val="007559EA"/>
    <w:rsid w:val="007560C3"/>
    <w:rsid w:val="00756516"/>
    <w:rsid w:val="007569D0"/>
    <w:rsid w:val="00756C5F"/>
    <w:rsid w:val="00757865"/>
    <w:rsid w:val="00757A1F"/>
    <w:rsid w:val="00757BEA"/>
    <w:rsid w:val="00757F82"/>
    <w:rsid w:val="007626F4"/>
    <w:rsid w:val="00762B10"/>
    <w:rsid w:val="00762D3C"/>
    <w:rsid w:val="007633EE"/>
    <w:rsid w:val="00763D5B"/>
    <w:rsid w:val="007661C3"/>
    <w:rsid w:val="007669C7"/>
    <w:rsid w:val="00766B29"/>
    <w:rsid w:val="00766FF8"/>
    <w:rsid w:val="007672DA"/>
    <w:rsid w:val="00767FC0"/>
    <w:rsid w:val="0077040E"/>
    <w:rsid w:val="00770A9D"/>
    <w:rsid w:val="00770BCC"/>
    <w:rsid w:val="00771A86"/>
    <w:rsid w:val="0077208E"/>
    <w:rsid w:val="007720EA"/>
    <w:rsid w:val="0077296F"/>
    <w:rsid w:val="00773125"/>
    <w:rsid w:val="007735A0"/>
    <w:rsid w:val="007739A6"/>
    <w:rsid w:val="00773AC3"/>
    <w:rsid w:val="007741C0"/>
    <w:rsid w:val="0077441E"/>
    <w:rsid w:val="00774789"/>
    <w:rsid w:val="0077479E"/>
    <w:rsid w:val="0077496C"/>
    <w:rsid w:val="00775358"/>
    <w:rsid w:val="00775673"/>
    <w:rsid w:val="00777040"/>
    <w:rsid w:val="00777441"/>
    <w:rsid w:val="00777612"/>
    <w:rsid w:val="007776E4"/>
    <w:rsid w:val="00777B0E"/>
    <w:rsid w:val="00777F05"/>
    <w:rsid w:val="00780162"/>
    <w:rsid w:val="00780BF2"/>
    <w:rsid w:val="007810D7"/>
    <w:rsid w:val="00781C02"/>
    <w:rsid w:val="00782267"/>
    <w:rsid w:val="0078288E"/>
    <w:rsid w:val="007834D7"/>
    <w:rsid w:val="00784351"/>
    <w:rsid w:val="0078566F"/>
    <w:rsid w:val="007862CD"/>
    <w:rsid w:val="0078683F"/>
    <w:rsid w:val="00786D92"/>
    <w:rsid w:val="00787360"/>
    <w:rsid w:val="00790767"/>
    <w:rsid w:val="00790943"/>
    <w:rsid w:val="007917C9"/>
    <w:rsid w:val="00791F9E"/>
    <w:rsid w:val="0079222C"/>
    <w:rsid w:val="0079247D"/>
    <w:rsid w:val="00792DF6"/>
    <w:rsid w:val="00793778"/>
    <w:rsid w:val="00793B00"/>
    <w:rsid w:val="00794187"/>
    <w:rsid w:val="007942F1"/>
    <w:rsid w:val="007945D8"/>
    <w:rsid w:val="00795945"/>
    <w:rsid w:val="007968BD"/>
    <w:rsid w:val="00797C68"/>
    <w:rsid w:val="007A0002"/>
    <w:rsid w:val="007A046E"/>
    <w:rsid w:val="007A05FE"/>
    <w:rsid w:val="007A088A"/>
    <w:rsid w:val="007A088B"/>
    <w:rsid w:val="007A09E2"/>
    <w:rsid w:val="007A0B6B"/>
    <w:rsid w:val="007A1171"/>
    <w:rsid w:val="007A142F"/>
    <w:rsid w:val="007A1817"/>
    <w:rsid w:val="007A1EF7"/>
    <w:rsid w:val="007A1F6F"/>
    <w:rsid w:val="007A260C"/>
    <w:rsid w:val="007A260F"/>
    <w:rsid w:val="007A282C"/>
    <w:rsid w:val="007A3212"/>
    <w:rsid w:val="007A385D"/>
    <w:rsid w:val="007A3B6C"/>
    <w:rsid w:val="007A3BCC"/>
    <w:rsid w:val="007A3F4E"/>
    <w:rsid w:val="007A6656"/>
    <w:rsid w:val="007A68E6"/>
    <w:rsid w:val="007B0659"/>
    <w:rsid w:val="007B06F4"/>
    <w:rsid w:val="007B25FD"/>
    <w:rsid w:val="007B27F4"/>
    <w:rsid w:val="007B29DD"/>
    <w:rsid w:val="007B2B60"/>
    <w:rsid w:val="007B3B0C"/>
    <w:rsid w:val="007B3BD9"/>
    <w:rsid w:val="007B3C86"/>
    <w:rsid w:val="007B4BC1"/>
    <w:rsid w:val="007B5B9B"/>
    <w:rsid w:val="007B5E44"/>
    <w:rsid w:val="007B66F0"/>
    <w:rsid w:val="007B6835"/>
    <w:rsid w:val="007B6D18"/>
    <w:rsid w:val="007B708F"/>
    <w:rsid w:val="007B745F"/>
    <w:rsid w:val="007B749A"/>
    <w:rsid w:val="007B7533"/>
    <w:rsid w:val="007C28C0"/>
    <w:rsid w:val="007C2936"/>
    <w:rsid w:val="007C2A29"/>
    <w:rsid w:val="007C2E85"/>
    <w:rsid w:val="007C3578"/>
    <w:rsid w:val="007C407B"/>
    <w:rsid w:val="007C4687"/>
    <w:rsid w:val="007C4B6E"/>
    <w:rsid w:val="007C5CD2"/>
    <w:rsid w:val="007C5DF9"/>
    <w:rsid w:val="007C5ECB"/>
    <w:rsid w:val="007C5F4F"/>
    <w:rsid w:val="007C663C"/>
    <w:rsid w:val="007C66F3"/>
    <w:rsid w:val="007C6ACD"/>
    <w:rsid w:val="007C6CE5"/>
    <w:rsid w:val="007C7C34"/>
    <w:rsid w:val="007C7D3C"/>
    <w:rsid w:val="007D016C"/>
    <w:rsid w:val="007D0647"/>
    <w:rsid w:val="007D0F9B"/>
    <w:rsid w:val="007D1040"/>
    <w:rsid w:val="007D169A"/>
    <w:rsid w:val="007D179E"/>
    <w:rsid w:val="007D1CD5"/>
    <w:rsid w:val="007D2DB0"/>
    <w:rsid w:val="007D3337"/>
    <w:rsid w:val="007D3408"/>
    <w:rsid w:val="007D35EB"/>
    <w:rsid w:val="007D3685"/>
    <w:rsid w:val="007D37CF"/>
    <w:rsid w:val="007D39FF"/>
    <w:rsid w:val="007D3ACF"/>
    <w:rsid w:val="007D3C32"/>
    <w:rsid w:val="007D45B7"/>
    <w:rsid w:val="007D4836"/>
    <w:rsid w:val="007D4D7A"/>
    <w:rsid w:val="007D541E"/>
    <w:rsid w:val="007D5745"/>
    <w:rsid w:val="007D599A"/>
    <w:rsid w:val="007D5D52"/>
    <w:rsid w:val="007D5F39"/>
    <w:rsid w:val="007D660E"/>
    <w:rsid w:val="007D6E23"/>
    <w:rsid w:val="007D7060"/>
    <w:rsid w:val="007D7646"/>
    <w:rsid w:val="007E035C"/>
    <w:rsid w:val="007E1184"/>
    <w:rsid w:val="007E1A9A"/>
    <w:rsid w:val="007E1B54"/>
    <w:rsid w:val="007E1EFE"/>
    <w:rsid w:val="007E210F"/>
    <w:rsid w:val="007E2A24"/>
    <w:rsid w:val="007E3A8D"/>
    <w:rsid w:val="007E4113"/>
    <w:rsid w:val="007E44C9"/>
    <w:rsid w:val="007E492A"/>
    <w:rsid w:val="007E4FDB"/>
    <w:rsid w:val="007E5241"/>
    <w:rsid w:val="007E68EA"/>
    <w:rsid w:val="007E6BA5"/>
    <w:rsid w:val="007E6F3D"/>
    <w:rsid w:val="007E7603"/>
    <w:rsid w:val="007E7ADC"/>
    <w:rsid w:val="007F0101"/>
    <w:rsid w:val="007F0220"/>
    <w:rsid w:val="007F0411"/>
    <w:rsid w:val="007F1CFC"/>
    <w:rsid w:val="007F1EF4"/>
    <w:rsid w:val="007F2478"/>
    <w:rsid w:val="007F27B6"/>
    <w:rsid w:val="007F32B5"/>
    <w:rsid w:val="007F345F"/>
    <w:rsid w:val="007F39BF"/>
    <w:rsid w:val="007F3A66"/>
    <w:rsid w:val="007F499B"/>
    <w:rsid w:val="007F49AB"/>
    <w:rsid w:val="007F4F01"/>
    <w:rsid w:val="007F5936"/>
    <w:rsid w:val="007F599E"/>
    <w:rsid w:val="007F650E"/>
    <w:rsid w:val="007F6B8D"/>
    <w:rsid w:val="007F6CAB"/>
    <w:rsid w:val="007F6E8F"/>
    <w:rsid w:val="007F731C"/>
    <w:rsid w:val="007F74DA"/>
    <w:rsid w:val="008007C3"/>
    <w:rsid w:val="00800D78"/>
    <w:rsid w:val="00800F3F"/>
    <w:rsid w:val="0080107D"/>
    <w:rsid w:val="0080254C"/>
    <w:rsid w:val="008028A2"/>
    <w:rsid w:val="008029DB"/>
    <w:rsid w:val="008030B0"/>
    <w:rsid w:val="00804A5B"/>
    <w:rsid w:val="00805204"/>
    <w:rsid w:val="00805647"/>
    <w:rsid w:val="00805D3A"/>
    <w:rsid w:val="0080612E"/>
    <w:rsid w:val="0080640D"/>
    <w:rsid w:val="00807496"/>
    <w:rsid w:val="00807E49"/>
    <w:rsid w:val="0081000B"/>
    <w:rsid w:val="00810413"/>
    <w:rsid w:val="00810ED0"/>
    <w:rsid w:val="00811998"/>
    <w:rsid w:val="00811EA5"/>
    <w:rsid w:val="0081292A"/>
    <w:rsid w:val="00812AFF"/>
    <w:rsid w:val="008133D7"/>
    <w:rsid w:val="00813556"/>
    <w:rsid w:val="008136B1"/>
    <w:rsid w:val="00813D9A"/>
    <w:rsid w:val="0081468B"/>
    <w:rsid w:val="008147BD"/>
    <w:rsid w:val="00814ED8"/>
    <w:rsid w:val="008155D3"/>
    <w:rsid w:val="00815840"/>
    <w:rsid w:val="008158F6"/>
    <w:rsid w:val="00815C83"/>
    <w:rsid w:val="00820737"/>
    <w:rsid w:val="0082142A"/>
    <w:rsid w:val="00821470"/>
    <w:rsid w:val="008215D3"/>
    <w:rsid w:val="00821E98"/>
    <w:rsid w:val="008236E6"/>
    <w:rsid w:val="008240D8"/>
    <w:rsid w:val="00825679"/>
    <w:rsid w:val="00825B0D"/>
    <w:rsid w:val="00825E6A"/>
    <w:rsid w:val="00826906"/>
    <w:rsid w:val="00826A36"/>
    <w:rsid w:val="00826FD7"/>
    <w:rsid w:val="0083045B"/>
    <w:rsid w:val="00830A9D"/>
    <w:rsid w:val="00830F2C"/>
    <w:rsid w:val="008314C1"/>
    <w:rsid w:val="00831950"/>
    <w:rsid w:val="00831BBB"/>
    <w:rsid w:val="00831C28"/>
    <w:rsid w:val="00832D55"/>
    <w:rsid w:val="00833440"/>
    <w:rsid w:val="00833706"/>
    <w:rsid w:val="008338CC"/>
    <w:rsid w:val="00833BC1"/>
    <w:rsid w:val="00833CD8"/>
    <w:rsid w:val="0083414B"/>
    <w:rsid w:val="00834179"/>
    <w:rsid w:val="00834798"/>
    <w:rsid w:val="00834871"/>
    <w:rsid w:val="008349D1"/>
    <w:rsid w:val="00834D19"/>
    <w:rsid w:val="00835018"/>
    <w:rsid w:val="00835B34"/>
    <w:rsid w:val="00835C8D"/>
    <w:rsid w:val="00835CE0"/>
    <w:rsid w:val="00835F50"/>
    <w:rsid w:val="0083751A"/>
    <w:rsid w:val="00840D02"/>
    <w:rsid w:val="00841001"/>
    <w:rsid w:val="00841837"/>
    <w:rsid w:val="0084198E"/>
    <w:rsid w:val="0084200C"/>
    <w:rsid w:val="008427F1"/>
    <w:rsid w:val="00842B47"/>
    <w:rsid w:val="00843488"/>
    <w:rsid w:val="0084378F"/>
    <w:rsid w:val="00843C49"/>
    <w:rsid w:val="00843FA2"/>
    <w:rsid w:val="00844BC9"/>
    <w:rsid w:val="00844D29"/>
    <w:rsid w:val="00845226"/>
    <w:rsid w:val="00845487"/>
    <w:rsid w:val="0084558C"/>
    <w:rsid w:val="00845EA5"/>
    <w:rsid w:val="0084666C"/>
    <w:rsid w:val="008479E8"/>
    <w:rsid w:val="00847A69"/>
    <w:rsid w:val="008518BB"/>
    <w:rsid w:val="008519EA"/>
    <w:rsid w:val="00851BC1"/>
    <w:rsid w:val="00851CA0"/>
    <w:rsid w:val="00851D80"/>
    <w:rsid w:val="008520DD"/>
    <w:rsid w:val="0085220E"/>
    <w:rsid w:val="00852452"/>
    <w:rsid w:val="008525DE"/>
    <w:rsid w:val="00852772"/>
    <w:rsid w:val="00852C87"/>
    <w:rsid w:val="00852D54"/>
    <w:rsid w:val="00853210"/>
    <w:rsid w:val="00853379"/>
    <w:rsid w:val="0085385B"/>
    <w:rsid w:val="00853A61"/>
    <w:rsid w:val="0085551D"/>
    <w:rsid w:val="00855973"/>
    <w:rsid w:val="00855D51"/>
    <w:rsid w:val="00855DF8"/>
    <w:rsid w:val="00856466"/>
    <w:rsid w:val="00856FFD"/>
    <w:rsid w:val="008570C3"/>
    <w:rsid w:val="00857168"/>
    <w:rsid w:val="008571D9"/>
    <w:rsid w:val="0085754F"/>
    <w:rsid w:val="00857D57"/>
    <w:rsid w:val="008610AA"/>
    <w:rsid w:val="008626A3"/>
    <w:rsid w:val="0086361C"/>
    <w:rsid w:val="00863BCD"/>
    <w:rsid w:val="008649F5"/>
    <w:rsid w:val="00864C72"/>
    <w:rsid w:val="008652CA"/>
    <w:rsid w:val="0086570C"/>
    <w:rsid w:val="00865BC8"/>
    <w:rsid w:val="00866B39"/>
    <w:rsid w:val="0086769C"/>
    <w:rsid w:val="00867944"/>
    <w:rsid w:val="00870243"/>
    <w:rsid w:val="008706DC"/>
    <w:rsid w:val="00870FF8"/>
    <w:rsid w:val="008712EB"/>
    <w:rsid w:val="00871953"/>
    <w:rsid w:val="00871E3A"/>
    <w:rsid w:val="00872587"/>
    <w:rsid w:val="00872A04"/>
    <w:rsid w:val="00872C3F"/>
    <w:rsid w:val="00872DF3"/>
    <w:rsid w:val="008730E3"/>
    <w:rsid w:val="00873228"/>
    <w:rsid w:val="008746F8"/>
    <w:rsid w:val="008748E5"/>
    <w:rsid w:val="00874B3D"/>
    <w:rsid w:val="00875C4B"/>
    <w:rsid w:val="00876CCC"/>
    <w:rsid w:val="00877624"/>
    <w:rsid w:val="00877B15"/>
    <w:rsid w:val="00877B6E"/>
    <w:rsid w:val="00880C2D"/>
    <w:rsid w:val="008811E7"/>
    <w:rsid w:val="00881D6A"/>
    <w:rsid w:val="0088223A"/>
    <w:rsid w:val="00882375"/>
    <w:rsid w:val="0088295C"/>
    <w:rsid w:val="00883389"/>
    <w:rsid w:val="00884005"/>
    <w:rsid w:val="0088520B"/>
    <w:rsid w:val="0088553B"/>
    <w:rsid w:val="008855F0"/>
    <w:rsid w:val="008867A9"/>
    <w:rsid w:val="00886AAD"/>
    <w:rsid w:val="00886B14"/>
    <w:rsid w:val="00886BE2"/>
    <w:rsid w:val="00886E4D"/>
    <w:rsid w:val="00886F37"/>
    <w:rsid w:val="00887A23"/>
    <w:rsid w:val="00887AA7"/>
    <w:rsid w:val="00887E98"/>
    <w:rsid w:val="008904C1"/>
    <w:rsid w:val="008912EA"/>
    <w:rsid w:val="008913F1"/>
    <w:rsid w:val="00891566"/>
    <w:rsid w:val="00891DB0"/>
    <w:rsid w:val="0089266C"/>
    <w:rsid w:val="00892767"/>
    <w:rsid w:val="008929F3"/>
    <w:rsid w:val="00892A2B"/>
    <w:rsid w:val="00892DC5"/>
    <w:rsid w:val="008932D5"/>
    <w:rsid w:val="00894DE3"/>
    <w:rsid w:val="00894F08"/>
    <w:rsid w:val="00895567"/>
    <w:rsid w:val="00896091"/>
    <w:rsid w:val="00896F15"/>
    <w:rsid w:val="0089776C"/>
    <w:rsid w:val="00897D4D"/>
    <w:rsid w:val="00897DCF"/>
    <w:rsid w:val="00897E6C"/>
    <w:rsid w:val="00897F07"/>
    <w:rsid w:val="008A1908"/>
    <w:rsid w:val="008A1A4C"/>
    <w:rsid w:val="008A1F7B"/>
    <w:rsid w:val="008A2362"/>
    <w:rsid w:val="008A267A"/>
    <w:rsid w:val="008A357C"/>
    <w:rsid w:val="008A3911"/>
    <w:rsid w:val="008A3C6C"/>
    <w:rsid w:val="008A3EFA"/>
    <w:rsid w:val="008A4138"/>
    <w:rsid w:val="008A57EE"/>
    <w:rsid w:val="008A5AEF"/>
    <w:rsid w:val="008A5B20"/>
    <w:rsid w:val="008A5F0F"/>
    <w:rsid w:val="008A6262"/>
    <w:rsid w:val="008A6368"/>
    <w:rsid w:val="008A66B7"/>
    <w:rsid w:val="008A70C7"/>
    <w:rsid w:val="008A7643"/>
    <w:rsid w:val="008B2158"/>
    <w:rsid w:val="008B217E"/>
    <w:rsid w:val="008B2975"/>
    <w:rsid w:val="008B3453"/>
    <w:rsid w:val="008B3942"/>
    <w:rsid w:val="008B4E6B"/>
    <w:rsid w:val="008B5A2E"/>
    <w:rsid w:val="008B5DBE"/>
    <w:rsid w:val="008B61FD"/>
    <w:rsid w:val="008B6A72"/>
    <w:rsid w:val="008B7306"/>
    <w:rsid w:val="008B74D6"/>
    <w:rsid w:val="008B7F6E"/>
    <w:rsid w:val="008C0C53"/>
    <w:rsid w:val="008C11BE"/>
    <w:rsid w:val="008C123B"/>
    <w:rsid w:val="008C150C"/>
    <w:rsid w:val="008C1C45"/>
    <w:rsid w:val="008C21AB"/>
    <w:rsid w:val="008C25E6"/>
    <w:rsid w:val="008C2792"/>
    <w:rsid w:val="008C2C8B"/>
    <w:rsid w:val="008C37AA"/>
    <w:rsid w:val="008C3991"/>
    <w:rsid w:val="008C3AE1"/>
    <w:rsid w:val="008C481B"/>
    <w:rsid w:val="008C4E0D"/>
    <w:rsid w:val="008C4EA8"/>
    <w:rsid w:val="008C5589"/>
    <w:rsid w:val="008C6160"/>
    <w:rsid w:val="008C64E1"/>
    <w:rsid w:val="008C6E8F"/>
    <w:rsid w:val="008C71FE"/>
    <w:rsid w:val="008C7727"/>
    <w:rsid w:val="008C79B6"/>
    <w:rsid w:val="008C7BB5"/>
    <w:rsid w:val="008D08CB"/>
    <w:rsid w:val="008D108D"/>
    <w:rsid w:val="008D16F1"/>
    <w:rsid w:val="008D1BEE"/>
    <w:rsid w:val="008D1C32"/>
    <w:rsid w:val="008D2CF9"/>
    <w:rsid w:val="008D30E1"/>
    <w:rsid w:val="008D37DE"/>
    <w:rsid w:val="008D45FC"/>
    <w:rsid w:val="008D4F2D"/>
    <w:rsid w:val="008D51CA"/>
    <w:rsid w:val="008D5687"/>
    <w:rsid w:val="008D59FC"/>
    <w:rsid w:val="008D5DBA"/>
    <w:rsid w:val="008D5F41"/>
    <w:rsid w:val="008D615A"/>
    <w:rsid w:val="008D621A"/>
    <w:rsid w:val="008D6505"/>
    <w:rsid w:val="008D6F70"/>
    <w:rsid w:val="008D7396"/>
    <w:rsid w:val="008D7544"/>
    <w:rsid w:val="008D77B8"/>
    <w:rsid w:val="008D7A29"/>
    <w:rsid w:val="008E030B"/>
    <w:rsid w:val="008E089C"/>
    <w:rsid w:val="008E1A4A"/>
    <w:rsid w:val="008E1BAB"/>
    <w:rsid w:val="008E1C1C"/>
    <w:rsid w:val="008E2197"/>
    <w:rsid w:val="008E2347"/>
    <w:rsid w:val="008E243F"/>
    <w:rsid w:val="008E24EC"/>
    <w:rsid w:val="008E2617"/>
    <w:rsid w:val="008E2656"/>
    <w:rsid w:val="008E2C31"/>
    <w:rsid w:val="008E31BA"/>
    <w:rsid w:val="008E37C5"/>
    <w:rsid w:val="008E3967"/>
    <w:rsid w:val="008E3B29"/>
    <w:rsid w:val="008E46E5"/>
    <w:rsid w:val="008E4F5D"/>
    <w:rsid w:val="008E52AC"/>
    <w:rsid w:val="008E542F"/>
    <w:rsid w:val="008E6E78"/>
    <w:rsid w:val="008E7A36"/>
    <w:rsid w:val="008E7E95"/>
    <w:rsid w:val="008F1363"/>
    <w:rsid w:val="008F14D8"/>
    <w:rsid w:val="008F16C0"/>
    <w:rsid w:val="008F1CCC"/>
    <w:rsid w:val="008F1CD9"/>
    <w:rsid w:val="008F2583"/>
    <w:rsid w:val="008F3096"/>
    <w:rsid w:val="008F3680"/>
    <w:rsid w:val="008F3820"/>
    <w:rsid w:val="008F3873"/>
    <w:rsid w:val="008F3915"/>
    <w:rsid w:val="008F3B38"/>
    <w:rsid w:val="008F3B70"/>
    <w:rsid w:val="008F4387"/>
    <w:rsid w:val="008F50C8"/>
    <w:rsid w:val="008F5C3A"/>
    <w:rsid w:val="008F6AD1"/>
    <w:rsid w:val="008F7547"/>
    <w:rsid w:val="008F76C5"/>
    <w:rsid w:val="008F7E0E"/>
    <w:rsid w:val="00900200"/>
    <w:rsid w:val="009004D5"/>
    <w:rsid w:val="009007E9"/>
    <w:rsid w:val="00900A44"/>
    <w:rsid w:val="00901229"/>
    <w:rsid w:val="00901617"/>
    <w:rsid w:val="0090174F"/>
    <w:rsid w:val="0090177A"/>
    <w:rsid w:val="009024AA"/>
    <w:rsid w:val="00902621"/>
    <w:rsid w:val="0090263A"/>
    <w:rsid w:val="00902B59"/>
    <w:rsid w:val="00902DD2"/>
    <w:rsid w:val="00902E56"/>
    <w:rsid w:val="00902F8C"/>
    <w:rsid w:val="00903A32"/>
    <w:rsid w:val="009046E4"/>
    <w:rsid w:val="009047EB"/>
    <w:rsid w:val="009048F7"/>
    <w:rsid w:val="00904EFF"/>
    <w:rsid w:val="0090531B"/>
    <w:rsid w:val="00905B67"/>
    <w:rsid w:val="009062CC"/>
    <w:rsid w:val="00910375"/>
    <w:rsid w:val="0091104F"/>
    <w:rsid w:val="009116A7"/>
    <w:rsid w:val="00911D96"/>
    <w:rsid w:val="00912196"/>
    <w:rsid w:val="0091283F"/>
    <w:rsid w:val="009129C7"/>
    <w:rsid w:val="00912F44"/>
    <w:rsid w:val="009132E1"/>
    <w:rsid w:val="009136C4"/>
    <w:rsid w:val="00913C26"/>
    <w:rsid w:val="00915229"/>
    <w:rsid w:val="009154D2"/>
    <w:rsid w:val="0091667E"/>
    <w:rsid w:val="00917684"/>
    <w:rsid w:val="00920B0C"/>
    <w:rsid w:val="00921E91"/>
    <w:rsid w:val="00922C5E"/>
    <w:rsid w:val="00923A7C"/>
    <w:rsid w:val="00923E75"/>
    <w:rsid w:val="00924C61"/>
    <w:rsid w:val="00924DF7"/>
    <w:rsid w:val="00924FF2"/>
    <w:rsid w:val="0092519E"/>
    <w:rsid w:val="00925312"/>
    <w:rsid w:val="00926039"/>
    <w:rsid w:val="0092629E"/>
    <w:rsid w:val="00926BC5"/>
    <w:rsid w:val="009273A8"/>
    <w:rsid w:val="0092740D"/>
    <w:rsid w:val="00927459"/>
    <w:rsid w:val="00927646"/>
    <w:rsid w:val="009277FB"/>
    <w:rsid w:val="00927C39"/>
    <w:rsid w:val="00927EA5"/>
    <w:rsid w:val="00927F10"/>
    <w:rsid w:val="00930118"/>
    <w:rsid w:val="009302E2"/>
    <w:rsid w:val="00930988"/>
    <w:rsid w:val="009310C6"/>
    <w:rsid w:val="00931511"/>
    <w:rsid w:val="00931D96"/>
    <w:rsid w:val="0093206C"/>
    <w:rsid w:val="00932452"/>
    <w:rsid w:val="00932982"/>
    <w:rsid w:val="00932C49"/>
    <w:rsid w:val="00934949"/>
    <w:rsid w:val="00934E83"/>
    <w:rsid w:val="009353D7"/>
    <w:rsid w:val="009357E2"/>
    <w:rsid w:val="009359A1"/>
    <w:rsid w:val="00935B1C"/>
    <w:rsid w:val="00935C0F"/>
    <w:rsid w:val="0093628F"/>
    <w:rsid w:val="009364C5"/>
    <w:rsid w:val="00936567"/>
    <w:rsid w:val="0093754C"/>
    <w:rsid w:val="009420A6"/>
    <w:rsid w:val="00943BEA"/>
    <w:rsid w:val="009441BE"/>
    <w:rsid w:val="00944409"/>
    <w:rsid w:val="00944F66"/>
    <w:rsid w:val="0094501F"/>
    <w:rsid w:val="00946167"/>
    <w:rsid w:val="009469C3"/>
    <w:rsid w:val="009469DF"/>
    <w:rsid w:val="009472F9"/>
    <w:rsid w:val="009500AA"/>
    <w:rsid w:val="009510E7"/>
    <w:rsid w:val="00951215"/>
    <w:rsid w:val="009514A8"/>
    <w:rsid w:val="0095253B"/>
    <w:rsid w:val="00952B35"/>
    <w:rsid w:val="00952E54"/>
    <w:rsid w:val="00953380"/>
    <w:rsid w:val="00953972"/>
    <w:rsid w:val="0095502E"/>
    <w:rsid w:val="009557D4"/>
    <w:rsid w:val="009562F6"/>
    <w:rsid w:val="0095727C"/>
    <w:rsid w:val="00957912"/>
    <w:rsid w:val="0095797E"/>
    <w:rsid w:val="00960017"/>
    <w:rsid w:val="0096016A"/>
    <w:rsid w:val="00960537"/>
    <w:rsid w:val="009608B2"/>
    <w:rsid w:val="00960E63"/>
    <w:rsid w:val="00960EAC"/>
    <w:rsid w:val="009610D8"/>
    <w:rsid w:val="0096190C"/>
    <w:rsid w:val="0096196B"/>
    <w:rsid w:val="009619B7"/>
    <w:rsid w:val="00962037"/>
    <w:rsid w:val="00963B08"/>
    <w:rsid w:val="00964974"/>
    <w:rsid w:val="0096538A"/>
    <w:rsid w:val="00965BC8"/>
    <w:rsid w:val="0097003E"/>
    <w:rsid w:val="0097042E"/>
    <w:rsid w:val="00970589"/>
    <w:rsid w:val="0097072B"/>
    <w:rsid w:val="009708CA"/>
    <w:rsid w:val="00971449"/>
    <w:rsid w:val="00972937"/>
    <w:rsid w:val="00973DB1"/>
    <w:rsid w:val="0097412B"/>
    <w:rsid w:val="009751B9"/>
    <w:rsid w:val="00975C31"/>
    <w:rsid w:val="00976C2D"/>
    <w:rsid w:val="00977173"/>
    <w:rsid w:val="009776DB"/>
    <w:rsid w:val="00977DF5"/>
    <w:rsid w:val="009805F0"/>
    <w:rsid w:val="009811C5"/>
    <w:rsid w:val="009817F9"/>
    <w:rsid w:val="00981C68"/>
    <w:rsid w:val="00982310"/>
    <w:rsid w:val="009824D1"/>
    <w:rsid w:val="00982892"/>
    <w:rsid w:val="00982BD7"/>
    <w:rsid w:val="00982C07"/>
    <w:rsid w:val="0098353C"/>
    <w:rsid w:val="009844FC"/>
    <w:rsid w:val="009848EC"/>
    <w:rsid w:val="00984A59"/>
    <w:rsid w:val="00985C39"/>
    <w:rsid w:val="00986182"/>
    <w:rsid w:val="009863E0"/>
    <w:rsid w:val="00986877"/>
    <w:rsid w:val="00986ECB"/>
    <w:rsid w:val="00986FEF"/>
    <w:rsid w:val="00987319"/>
    <w:rsid w:val="0098764A"/>
    <w:rsid w:val="00987B32"/>
    <w:rsid w:val="00987B5A"/>
    <w:rsid w:val="009912C9"/>
    <w:rsid w:val="00991BF7"/>
    <w:rsid w:val="00991C30"/>
    <w:rsid w:val="00991DC4"/>
    <w:rsid w:val="00992317"/>
    <w:rsid w:val="00993CDE"/>
    <w:rsid w:val="00994A41"/>
    <w:rsid w:val="00994D1C"/>
    <w:rsid w:val="00995D2B"/>
    <w:rsid w:val="00995FCC"/>
    <w:rsid w:val="00996082"/>
    <w:rsid w:val="0099650D"/>
    <w:rsid w:val="00996A1D"/>
    <w:rsid w:val="0099765C"/>
    <w:rsid w:val="009978D6"/>
    <w:rsid w:val="009A0285"/>
    <w:rsid w:val="009A04B8"/>
    <w:rsid w:val="009A07E0"/>
    <w:rsid w:val="009A087C"/>
    <w:rsid w:val="009A08E2"/>
    <w:rsid w:val="009A0A58"/>
    <w:rsid w:val="009A0C0A"/>
    <w:rsid w:val="009A0F0B"/>
    <w:rsid w:val="009A11DE"/>
    <w:rsid w:val="009A2133"/>
    <w:rsid w:val="009A2233"/>
    <w:rsid w:val="009A24E6"/>
    <w:rsid w:val="009A2D35"/>
    <w:rsid w:val="009A3468"/>
    <w:rsid w:val="009A3543"/>
    <w:rsid w:val="009A3D36"/>
    <w:rsid w:val="009A3E00"/>
    <w:rsid w:val="009A4A59"/>
    <w:rsid w:val="009A5543"/>
    <w:rsid w:val="009A56B2"/>
    <w:rsid w:val="009A5A8E"/>
    <w:rsid w:val="009A613F"/>
    <w:rsid w:val="009A625F"/>
    <w:rsid w:val="009A7A93"/>
    <w:rsid w:val="009A7CFB"/>
    <w:rsid w:val="009A7CFD"/>
    <w:rsid w:val="009A7E87"/>
    <w:rsid w:val="009B0BD2"/>
    <w:rsid w:val="009B0FC2"/>
    <w:rsid w:val="009B19EE"/>
    <w:rsid w:val="009B2D97"/>
    <w:rsid w:val="009B372C"/>
    <w:rsid w:val="009B37F7"/>
    <w:rsid w:val="009B389C"/>
    <w:rsid w:val="009B3A89"/>
    <w:rsid w:val="009B3B82"/>
    <w:rsid w:val="009B3DE1"/>
    <w:rsid w:val="009B46F1"/>
    <w:rsid w:val="009B4729"/>
    <w:rsid w:val="009B476F"/>
    <w:rsid w:val="009B4AF1"/>
    <w:rsid w:val="009B4D5A"/>
    <w:rsid w:val="009B54B3"/>
    <w:rsid w:val="009B58A7"/>
    <w:rsid w:val="009B5EDE"/>
    <w:rsid w:val="009B69EE"/>
    <w:rsid w:val="009B6C6F"/>
    <w:rsid w:val="009B70D0"/>
    <w:rsid w:val="009B7434"/>
    <w:rsid w:val="009B77BD"/>
    <w:rsid w:val="009C099D"/>
    <w:rsid w:val="009C1065"/>
    <w:rsid w:val="009C12C6"/>
    <w:rsid w:val="009C1CE2"/>
    <w:rsid w:val="009C1DB2"/>
    <w:rsid w:val="009C21CA"/>
    <w:rsid w:val="009C24E2"/>
    <w:rsid w:val="009C2FF6"/>
    <w:rsid w:val="009C324A"/>
    <w:rsid w:val="009C447F"/>
    <w:rsid w:val="009C4D56"/>
    <w:rsid w:val="009C5333"/>
    <w:rsid w:val="009C6363"/>
    <w:rsid w:val="009C681B"/>
    <w:rsid w:val="009C70B2"/>
    <w:rsid w:val="009C7D02"/>
    <w:rsid w:val="009D08B9"/>
    <w:rsid w:val="009D0CB8"/>
    <w:rsid w:val="009D15D7"/>
    <w:rsid w:val="009D23F8"/>
    <w:rsid w:val="009D2E10"/>
    <w:rsid w:val="009D3772"/>
    <w:rsid w:val="009D3967"/>
    <w:rsid w:val="009D3994"/>
    <w:rsid w:val="009D3DA4"/>
    <w:rsid w:val="009D4D24"/>
    <w:rsid w:val="009D5627"/>
    <w:rsid w:val="009D5A1B"/>
    <w:rsid w:val="009D6CF5"/>
    <w:rsid w:val="009D783A"/>
    <w:rsid w:val="009D7D42"/>
    <w:rsid w:val="009D7D7A"/>
    <w:rsid w:val="009E00B2"/>
    <w:rsid w:val="009E0906"/>
    <w:rsid w:val="009E095D"/>
    <w:rsid w:val="009E0D0D"/>
    <w:rsid w:val="009E236F"/>
    <w:rsid w:val="009E275F"/>
    <w:rsid w:val="009E2D37"/>
    <w:rsid w:val="009E3035"/>
    <w:rsid w:val="009E4526"/>
    <w:rsid w:val="009E4974"/>
    <w:rsid w:val="009E564E"/>
    <w:rsid w:val="009E5736"/>
    <w:rsid w:val="009E5757"/>
    <w:rsid w:val="009E5973"/>
    <w:rsid w:val="009E63BD"/>
    <w:rsid w:val="009E650E"/>
    <w:rsid w:val="009E7242"/>
    <w:rsid w:val="009E773B"/>
    <w:rsid w:val="009E7D62"/>
    <w:rsid w:val="009E7E49"/>
    <w:rsid w:val="009F016C"/>
    <w:rsid w:val="009F0E62"/>
    <w:rsid w:val="009F0F58"/>
    <w:rsid w:val="009F113A"/>
    <w:rsid w:val="009F1E77"/>
    <w:rsid w:val="009F1FCB"/>
    <w:rsid w:val="009F313A"/>
    <w:rsid w:val="009F3878"/>
    <w:rsid w:val="009F3C36"/>
    <w:rsid w:val="009F3F93"/>
    <w:rsid w:val="009F5220"/>
    <w:rsid w:val="009F53FD"/>
    <w:rsid w:val="009F5628"/>
    <w:rsid w:val="009F5AE4"/>
    <w:rsid w:val="009F5B63"/>
    <w:rsid w:val="009F5CF2"/>
    <w:rsid w:val="009F68A1"/>
    <w:rsid w:val="009F6D04"/>
    <w:rsid w:val="009F7B3F"/>
    <w:rsid w:val="009F7DF1"/>
    <w:rsid w:val="009F7FEA"/>
    <w:rsid w:val="00A00076"/>
    <w:rsid w:val="00A00BD2"/>
    <w:rsid w:val="00A00D45"/>
    <w:rsid w:val="00A0131E"/>
    <w:rsid w:val="00A013D9"/>
    <w:rsid w:val="00A021C6"/>
    <w:rsid w:val="00A021D9"/>
    <w:rsid w:val="00A02809"/>
    <w:rsid w:val="00A0289F"/>
    <w:rsid w:val="00A04389"/>
    <w:rsid w:val="00A04503"/>
    <w:rsid w:val="00A04A83"/>
    <w:rsid w:val="00A05ED3"/>
    <w:rsid w:val="00A06BAA"/>
    <w:rsid w:val="00A105E1"/>
    <w:rsid w:val="00A10837"/>
    <w:rsid w:val="00A10A22"/>
    <w:rsid w:val="00A10E64"/>
    <w:rsid w:val="00A11070"/>
    <w:rsid w:val="00A11444"/>
    <w:rsid w:val="00A11A49"/>
    <w:rsid w:val="00A122D8"/>
    <w:rsid w:val="00A12397"/>
    <w:rsid w:val="00A12434"/>
    <w:rsid w:val="00A12BFC"/>
    <w:rsid w:val="00A13D3A"/>
    <w:rsid w:val="00A13FAB"/>
    <w:rsid w:val="00A14065"/>
    <w:rsid w:val="00A1482D"/>
    <w:rsid w:val="00A149E9"/>
    <w:rsid w:val="00A15003"/>
    <w:rsid w:val="00A1558B"/>
    <w:rsid w:val="00A159C6"/>
    <w:rsid w:val="00A1623A"/>
    <w:rsid w:val="00A17115"/>
    <w:rsid w:val="00A178DC"/>
    <w:rsid w:val="00A206F9"/>
    <w:rsid w:val="00A20B8D"/>
    <w:rsid w:val="00A20DF0"/>
    <w:rsid w:val="00A20F48"/>
    <w:rsid w:val="00A21FEB"/>
    <w:rsid w:val="00A235F1"/>
    <w:rsid w:val="00A23A56"/>
    <w:rsid w:val="00A23A74"/>
    <w:rsid w:val="00A2420F"/>
    <w:rsid w:val="00A247FE"/>
    <w:rsid w:val="00A25108"/>
    <w:rsid w:val="00A2530B"/>
    <w:rsid w:val="00A26547"/>
    <w:rsid w:val="00A26773"/>
    <w:rsid w:val="00A2712D"/>
    <w:rsid w:val="00A27E2A"/>
    <w:rsid w:val="00A30726"/>
    <w:rsid w:val="00A30F79"/>
    <w:rsid w:val="00A3106C"/>
    <w:rsid w:val="00A3133B"/>
    <w:rsid w:val="00A31704"/>
    <w:rsid w:val="00A31959"/>
    <w:rsid w:val="00A326F5"/>
    <w:rsid w:val="00A3316C"/>
    <w:rsid w:val="00A3318C"/>
    <w:rsid w:val="00A33B97"/>
    <w:rsid w:val="00A34626"/>
    <w:rsid w:val="00A34642"/>
    <w:rsid w:val="00A3477A"/>
    <w:rsid w:val="00A35769"/>
    <w:rsid w:val="00A3628B"/>
    <w:rsid w:val="00A366E7"/>
    <w:rsid w:val="00A3719D"/>
    <w:rsid w:val="00A3796C"/>
    <w:rsid w:val="00A4153D"/>
    <w:rsid w:val="00A41700"/>
    <w:rsid w:val="00A41D51"/>
    <w:rsid w:val="00A42FE0"/>
    <w:rsid w:val="00A43724"/>
    <w:rsid w:val="00A43EBB"/>
    <w:rsid w:val="00A440AB"/>
    <w:rsid w:val="00A44346"/>
    <w:rsid w:val="00A443AA"/>
    <w:rsid w:val="00A44E69"/>
    <w:rsid w:val="00A4586A"/>
    <w:rsid w:val="00A45C32"/>
    <w:rsid w:val="00A46005"/>
    <w:rsid w:val="00A46E38"/>
    <w:rsid w:val="00A475C6"/>
    <w:rsid w:val="00A50493"/>
    <w:rsid w:val="00A50A76"/>
    <w:rsid w:val="00A51D2F"/>
    <w:rsid w:val="00A529AA"/>
    <w:rsid w:val="00A52F24"/>
    <w:rsid w:val="00A5313D"/>
    <w:rsid w:val="00A53780"/>
    <w:rsid w:val="00A537C1"/>
    <w:rsid w:val="00A54797"/>
    <w:rsid w:val="00A54B14"/>
    <w:rsid w:val="00A55282"/>
    <w:rsid w:val="00A558C8"/>
    <w:rsid w:val="00A55EA9"/>
    <w:rsid w:val="00A56381"/>
    <w:rsid w:val="00A565D6"/>
    <w:rsid w:val="00A56928"/>
    <w:rsid w:val="00A56C5A"/>
    <w:rsid w:val="00A572A9"/>
    <w:rsid w:val="00A57D99"/>
    <w:rsid w:val="00A6091F"/>
    <w:rsid w:val="00A60D51"/>
    <w:rsid w:val="00A61332"/>
    <w:rsid w:val="00A613BD"/>
    <w:rsid w:val="00A631BC"/>
    <w:rsid w:val="00A63314"/>
    <w:rsid w:val="00A63DC9"/>
    <w:rsid w:val="00A641D8"/>
    <w:rsid w:val="00A64376"/>
    <w:rsid w:val="00A643E4"/>
    <w:rsid w:val="00A646CC"/>
    <w:rsid w:val="00A648EF"/>
    <w:rsid w:val="00A64E18"/>
    <w:rsid w:val="00A64EB7"/>
    <w:rsid w:val="00A6521D"/>
    <w:rsid w:val="00A66226"/>
    <w:rsid w:val="00A66317"/>
    <w:rsid w:val="00A66510"/>
    <w:rsid w:val="00A67074"/>
    <w:rsid w:val="00A67307"/>
    <w:rsid w:val="00A67760"/>
    <w:rsid w:val="00A67E1D"/>
    <w:rsid w:val="00A67E8E"/>
    <w:rsid w:val="00A703CD"/>
    <w:rsid w:val="00A70422"/>
    <w:rsid w:val="00A70724"/>
    <w:rsid w:val="00A70C2B"/>
    <w:rsid w:val="00A71898"/>
    <w:rsid w:val="00A719C9"/>
    <w:rsid w:val="00A720E9"/>
    <w:rsid w:val="00A72149"/>
    <w:rsid w:val="00A7371A"/>
    <w:rsid w:val="00A74BF9"/>
    <w:rsid w:val="00A75F1F"/>
    <w:rsid w:val="00A76335"/>
    <w:rsid w:val="00A766F0"/>
    <w:rsid w:val="00A7677D"/>
    <w:rsid w:val="00A770B7"/>
    <w:rsid w:val="00A7774D"/>
    <w:rsid w:val="00A77905"/>
    <w:rsid w:val="00A81385"/>
    <w:rsid w:val="00A81613"/>
    <w:rsid w:val="00A81A93"/>
    <w:rsid w:val="00A81E10"/>
    <w:rsid w:val="00A8248E"/>
    <w:rsid w:val="00A825A9"/>
    <w:rsid w:val="00A829AF"/>
    <w:rsid w:val="00A82AEA"/>
    <w:rsid w:val="00A82BD1"/>
    <w:rsid w:val="00A8434F"/>
    <w:rsid w:val="00A843C2"/>
    <w:rsid w:val="00A849A7"/>
    <w:rsid w:val="00A84B86"/>
    <w:rsid w:val="00A84EB0"/>
    <w:rsid w:val="00A84F7A"/>
    <w:rsid w:val="00A857F2"/>
    <w:rsid w:val="00A85DC8"/>
    <w:rsid w:val="00A8701E"/>
    <w:rsid w:val="00A901B2"/>
    <w:rsid w:val="00A90385"/>
    <w:rsid w:val="00A907AB"/>
    <w:rsid w:val="00A91220"/>
    <w:rsid w:val="00A912E5"/>
    <w:rsid w:val="00A9130E"/>
    <w:rsid w:val="00A91487"/>
    <w:rsid w:val="00A91EB1"/>
    <w:rsid w:val="00A9397A"/>
    <w:rsid w:val="00A93B8F"/>
    <w:rsid w:val="00A93C48"/>
    <w:rsid w:val="00A945FA"/>
    <w:rsid w:val="00A946C8"/>
    <w:rsid w:val="00A94850"/>
    <w:rsid w:val="00A95160"/>
    <w:rsid w:val="00A97409"/>
    <w:rsid w:val="00A976B1"/>
    <w:rsid w:val="00A97700"/>
    <w:rsid w:val="00A97B0C"/>
    <w:rsid w:val="00A97DAD"/>
    <w:rsid w:val="00AA01E7"/>
    <w:rsid w:val="00AA075D"/>
    <w:rsid w:val="00AA086B"/>
    <w:rsid w:val="00AA0E47"/>
    <w:rsid w:val="00AA1091"/>
    <w:rsid w:val="00AA1BFD"/>
    <w:rsid w:val="00AA217F"/>
    <w:rsid w:val="00AA247A"/>
    <w:rsid w:val="00AA2E25"/>
    <w:rsid w:val="00AA30A7"/>
    <w:rsid w:val="00AA343B"/>
    <w:rsid w:val="00AA383D"/>
    <w:rsid w:val="00AA593E"/>
    <w:rsid w:val="00AA5CCE"/>
    <w:rsid w:val="00AA618F"/>
    <w:rsid w:val="00AA61ED"/>
    <w:rsid w:val="00AA64F8"/>
    <w:rsid w:val="00AA671B"/>
    <w:rsid w:val="00AA6C77"/>
    <w:rsid w:val="00AA6E17"/>
    <w:rsid w:val="00AA7FF6"/>
    <w:rsid w:val="00AB017B"/>
    <w:rsid w:val="00AB0723"/>
    <w:rsid w:val="00AB1041"/>
    <w:rsid w:val="00AB173B"/>
    <w:rsid w:val="00AB1B2B"/>
    <w:rsid w:val="00AB1C24"/>
    <w:rsid w:val="00AB1E58"/>
    <w:rsid w:val="00AB20F5"/>
    <w:rsid w:val="00AB24D5"/>
    <w:rsid w:val="00AB28E8"/>
    <w:rsid w:val="00AB2B7D"/>
    <w:rsid w:val="00AB36EC"/>
    <w:rsid w:val="00AB3711"/>
    <w:rsid w:val="00AB397A"/>
    <w:rsid w:val="00AB3D9D"/>
    <w:rsid w:val="00AB3FB6"/>
    <w:rsid w:val="00AB4A4E"/>
    <w:rsid w:val="00AB4E26"/>
    <w:rsid w:val="00AB57F0"/>
    <w:rsid w:val="00AB58D5"/>
    <w:rsid w:val="00AB63B6"/>
    <w:rsid w:val="00AB6B16"/>
    <w:rsid w:val="00AB72BD"/>
    <w:rsid w:val="00AB7429"/>
    <w:rsid w:val="00AC1030"/>
    <w:rsid w:val="00AC11B8"/>
    <w:rsid w:val="00AC14EA"/>
    <w:rsid w:val="00AC210D"/>
    <w:rsid w:val="00AC2BC2"/>
    <w:rsid w:val="00AC2D25"/>
    <w:rsid w:val="00AC30B0"/>
    <w:rsid w:val="00AC380E"/>
    <w:rsid w:val="00AC39C4"/>
    <w:rsid w:val="00AC3DA5"/>
    <w:rsid w:val="00AC401D"/>
    <w:rsid w:val="00AC444D"/>
    <w:rsid w:val="00AC52A0"/>
    <w:rsid w:val="00AC53C4"/>
    <w:rsid w:val="00AC5804"/>
    <w:rsid w:val="00AC5A71"/>
    <w:rsid w:val="00AC5A75"/>
    <w:rsid w:val="00AC5EDF"/>
    <w:rsid w:val="00AC630F"/>
    <w:rsid w:val="00AC66A7"/>
    <w:rsid w:val="00AD1672"/>
    <w:rsid w:val="00AD180C"/>
    <w:rsid w:val="00AD197F"/>
    <w:rsid w:val="00AD1B73"/>
    <w:rsid w:val="00AD24FC"/>
    <w:rsid w:val="00AD2D6A"/>
    <w:rsid w:val="00AD3CBF"/>
    <w:rsid w:val="00AD4110"/>
    <w:rsid w:val="00AD47A8"/>
    <w:rsid w:val="00AD54FA"/>
    <w:rsid w:val="00AD672F"/>
    <w:rsid w:val="00AD67B4"/>
    <w:rsid w:val="00AD6914"/>
    <w:rsid w:val="00AD6B67"/>
    <w:rsid w:val="00AD6C26"/>
    <w:rsid w:val="00AD7751"/>
    <w:rsid w:val="00AE00CF"/>
    <w:rsid w:val="00AE0B2E"/>
    <w:rsid w:val="00AE1131"/>
    <w:rsid w:val="00AE1382"/>
    <w:rsid w:val="00AE297F"/>
    <w:rsid w:val="00AE2CF4"/>
    <w:rsid w:val="00AE2FF3"/>
    <w:rsid w:val="00AE3052"/>
    <w:rsid w:val="00AE33DE"/>
    <w:rsid w:val="00AE35E4"/>
    <w:rsid w:val="00AE444E"/>
    <w:rsid w:val="00AE459E"/>
    <w:rsid w:val="00AE4722"/>
    <w:rsid w:val="00AE4DAC"/>
    <w:rsid w:val="00AE5475"/>
    <w:rsid w:val="00AE5562"/>
    <w:rsid w:val="00AE6049"/>
    <w:rsid w:val="00AE659E"/>
    <w:rsid w:val="00AE6654"/>
    <w:rsid w:val="00AE6E2B"/>
    <w:rsid w:val="00AE7B94"/>
    <w:rsid w:val="00AE7F8B"/>
    <w:rsid w:val="00AF0431"/>
    <w:rsid w:val="00AF0507"/>
    <w:rsid w:val="00AF0548"/>
    <w:rsid w:val="00AF08D5"/>
    <w:rsid w:val="00AF097A"/>
    <w:rsid w:val="00AF135E"/>
    <w:rsid w:val="00AF17E9"/>
    <w:rsid w:val="00AF2793"/>
    <w:rsid w:val="00AF2FDD"/>
    <w:rsid w:val="00AF3895"/>
    <w:rsid w:val="00AF3B2B"/>
    <w:rsid w:val="00AF4116"/>
    <w:rsid w:val="00AF42D8"/>
    <w:rsid w:val="00AF4BE8"/>
    <w:rsid w:val="00AF4D9D"/>
    <w:rsid w:val="00AF57BD"/>
    <w:rsid w:val="00AF5911"/>
    <w:rsid w:val="00AF5DDB"/>
    <w:rsid w:val="00AF6497"/>
    <w:rsid w:val="00AF70D0"/>
    <w:rsid w:val="00AF7140"/>
    <w:rsid w:val="00B01141"/>
    <w:rsid w:val="00B01203"/>
    <w:rsid w:val="00B01298"/>
    <w:rsid w:val="00B01522"/>
    <w:rsid w:val="00B01802"/>
    <w:rsid w:val="00B018EB"/>
    <w:rsid w:val="00B03857"/>
    <w:rsid w:val="00B04128"/>
    <w:rsid w:val="00B043FD"/>
    <w:rsid w:val="00B0459A"/>
    <w:rsid w:val="00B05868"/>
    <w:rsid w:val="00B05D5F"/>
    <w:rsid w:val="00B05E79"/>
    <w:rsid w:val="00B06938"/>
    <w:rsid w:val="00B06A7F"/>
    <w:rsid w:val="00B075C4"/>
    <w:rsid w:val="00B07C13"/>
    <w:rsid w:val="00B1074C"/>
    <w:rsid w:val="00B1097C"/>
    <w:rsid w:val="00B10D37"/>
    <w:rsid w:val="00B1157E"/>
    <w:rsid w:val="00B11E4D"/>
    <w:rsid w:val="00B1251C"/>
    <w:rsid w:val="00B1313F"/>
    <w:rsid w:val="00B1340F"/>
    <w:rsid w:val="00B1492A"/>
    <w:rsid w:val="00B1492E"/>
    <w:rsid w:val="00B15BC1"/>
    <w:rsid w:val="00B15CDB"/>
    <w:rsid w:val="00B1671C"/>
    <w:rsid w:val="00B16E57"/>
    <w:rsid w:val="00B17273"/>
    <w:rsid w:val="00B17DFA"/>
    <w:rsid w:val="00B2069B"/>
    <w:rsid w:val="00B208CC"/>
    <w:rsid w:val="00B209ED"/>
    <w:rsid w:val="00B21A37"/>
    <w:rsid w:val="00B21D24"/>
    <w:rsid w:val="00B22413"/>
    <w:rsid w:val="00B23547"/>
    <w:rsid w:val="00B23632"/>
    <w:rsid w:val="00B236B4"/>
    <w:rsid w:val="00B2389C"/>
    <w:rsid w:val="00B24C05"/>
    <w:rsid w:val="00B24EA6"/>
    <w:rsid w:val="00B25364"/>
    <w:rsid w:val="00B25671"/>
    <w:rsid w:val="00B25B82"/>
    <w:rsid w:val="00B25D31"/>
    <w:rsid w:val="00B26769"/>
    <w:rsid w:val="00B271EA"/>
    <w:rsid w:val="00B27503"/>
    <w:rsid w:val="00B27DC6"/>
    <w:rsid w:val="00B306BE"/>
    <w:rsid w:val="00B31352"/>
    <w:rsid w:val="00B3279C"/>
    <w:rsid w:val="00B32EE2"/>
    <w:rsid w:val="00B33948"/>
    <w:rsid w:val="00B341C5"/>
    <w:rsid w:val="00B34819"/>
    <w:rsid w:val="00B34C6C"/>
    <w:rsid w:val="00B35165"/>
    <w:rsid w:val="00B3518A"/>
    <w:rsid w:val="00B35899"/>
    <w:rsid w:val="00B35F6A"/>
    <w:rsid w:val="00B36491"/>
    <w:rsid w:val="00B36FD9"/>
    <w:rsid w:val="00B37BB2"/>
    <w:rsid w:val="00B4006D"/>
    <w:rsid w:val="00B41D84"/>
    <w:rsid w:val="00B41F94"/>
    <w:rsid w:val="00B4236B"/>
    <w:rsid w:val="00B42CF6"/>
    <w:rsid w:val="00B43754"/>
    <w:rsid w:val="00B44669"/>
    <w:rsid w:val="00B44743"/>
    <w:rsid w:val="00B44CB8"/>
    <w:rsid w:val="00B4544D"/>
    <w:rsid w:val="00B45845"/>
    <w:rsid w:val="00B4588F"/>
    <w:rsid w:val="00B459E5"/>
    <w:rsid w:val="00B46210"/>
    <w:rsid w:val="00B4640D"/>
    <w:rsid w:val="00B469DD"/>
    <w:rsid w:val="00B46E67"/>
    <w:rsid w:val="00B473B5"/>
    <w:rsid w:val="00B476BA"/>
    <w:rsid w:val="00B479C2"/>
    <w:rsid w:val="00B47B3A"/>
    <w:rsid w:val="00B47FDB"/>
    <w:rsid w:val="00B50E81"/>
    <w:rsid w:val="00B50F14"/>
    <w:rsid w:val="00B513C4"/>
    <w:rsid w:val="00B51652"/>
    <w:rsid w:val="00B51BE3"/>
    <w:rsid w:val="00B52762"/>
    <w:rsid w:val="00B52A1E"/>
    <w:rsid w:val="00B52B2B"/>
    <w:rsid w:val="00B52B6F"/>
    <w:rsid w:val="00B52F1C"/>
    <w:rsid w:val="00B5376E"/>
    <w:rsid w:val="00B53A4D"/>
    <w:rsid w:val="00B5458F"/>
    <w:rsid w:val="00B55B49"/>
    <w:rsid w:val="00B55E38"/>
    <w:rsid w:val="00B56000"/>
    <w:rsid w:val="00B56130"/>
    <w:rsid w:val="00B56796"/>
    <w:rsid w:val="00B56F47"/>
    <w:rsid w:val="00B578C4"/>
    <w:rsid w:val="00B57A41"/>
    <w:rsid w:val="00B601D4"/>
    <w:rsid w:val="00B6073F"/>
    <w:rsid w:val="00B60C6A"/>
    <w:rsid w:val="00B615C5"/>
    <w:rsid w:val="00B637AD"/>
    <w:rsid w:val="00B64213"/>
    <w:rsid w:val="00B64BC4"/>
    <w:rsid w:val="00B64DC5"/>
    <w:rsid w:val="00B65FD9"/>
    <w:rsid w:val="00B66886"/>
    <w:rsid w:val="00B66A3B"/>
    <w:rsid w:val="00B673C4"/>
    <w:rsid w:val="00B67B4C"/>
    <w:rsid w:val="00B7073B"/>
    <w:rsid w:val="00B70C50"/>
    <w:rsid w:val="00B713E6"/>
    <w:rsid w:val="00B72DD3"/>
    <w:rsid w:val="00B7385E"/>
    <w:rsid w:val="00B7463A"/>
    <w:rsid w:val="00B74963"/>
    <w:rsid w:val="00B75397"/>
    <w:rsid w:val="00B75746"/>
    <w:rsid w:val="00B75CD6"/>
    <w:rsid w:val="00B76BF1"/>
    <w:rsid w:val="00B7771A"/>
    <w:rsid w:val="00B7772C"/>
    <w:rsid w:val="00B77E53"/>
    <w:rsid w:val="00B8010D"/>
    <w:rsid w:val="00B804FD"/>
    <w:rsid w:val="00B8114C"/>
    <w:rsid w:val="00B81407"/>
    <w:rsid w:val="00B81760"/>
    <w:rsid w:val="00B818AC"/>
    <w:rsid w:val="00B819FC"/>
    <w:rsid w:val="00B81DFD"/>
    <w:rsid w:val="00B81E79"/>
    <w:rsid w:val="00B81FCD"/>
    <w:rsid w:val="00B82061"/>
    <w:rsid w:val="00B8266E"/>
    <w:rsid w:val="00B82860"/>
    <w:rsid w:val="00B834BF"/>
    <w:rsid w:val="00B83976"/>
    <w:rsid w:val="00B84EE1"/>
    <w:rsid w:val="00B84FCE"/>
    <w:rsid w:val="00B85023"/>
    <w:rsid w:val="00B85330"/>
    <w:rsid w:val="00B8615B"/>
    <w:rsid w:val="00B8781E"/>
    <w:rsid w:val="00B8792D"/>
    <w:rsid w:val="00B87CB4"/>
    <w:rsid w:val="00B909B9"/>
    <w:rsid w:val="00B90B0E"/>
    <w:rsid w:val="00B90DDF"/>
    <w:rsid w:val="00B91158"/>
    <w:rsid w:val="00B91315"/>
    <w:rsid w:val="00B91538"/>
    <w:rsid w:val="00B915DC"/>
    <w:rsid w:val="00B9182D"/>
    <w:rsid w:val="00B919C5"/>
    <w:rsid w:val="00B91E2B"/>
    <w:rsid w:val="00B92A72"/>
    <w:rsid w:val="00B92B41"/>
    <w:rsid w:val="00B935F6"/>
    <w:rsid w:val="00B947A1"/>
    <w:rsid w:val="00B94C5D"/>
    <w:rsid w:val="00B952B9"/>
    <w:rsid w:val="00B957D1"/>
    <w:rsid w:val="00B95914"/>
    <w:rsid w:val="00B96A92"/>
    <w:rsid w:val="00B97784"/>
    <w:rsid w:val="00BA02C5"/>
    <w:rsid w:val="00BA03DF"/>
    <w:rsid w:val="00BA0522"/>
    <w:rsid w:val="00BA0654"/>
    <w:rsid w:val="00BA094D"/>
    <w:rsid w:val="00BA0957"/>
    <w:rsid w:val="00BA10B5"/>
    <w:rsid w:val="00BA226D"/>
    <w:rsid w:val="00BA2382"/>
    <w:rsid w:val="00BA2B5B"/>
    <w:rsid w:val="00BA31A1"/>
    <w:rsid w:val="00BA3394"/>
    <w:rsid w:val="00BA365F"/>
    <w:rsid w:val="00BA44A6"/>
    <w:rsid w:val="00BA4881"/>
    <w:rsid w:val="00BA5BAF"/>
    <w:rsid w:val="00BB01F7"/>
    <w:rsid w:val="00BB06BB"/>
    <w:rsid w:val="00BB074B"/>
    <w:rsid w:val="00BB323A"/>
    <w:rsid w:val="00BB3B35"/>
    <w:rsid w:val="00BB4B3A"/>
    <w:rsid w:val="00BB4F9D"/>
    <w:rsid w:val="00BB51B3"/>
    <w:rsid w:val="00BB5723"/>
    <w:rsid w:val="00BB605D"/>
    <w:rsid w:val="00BB6991"/>
    <w:rsid w:val="00BB70EF"/>
    <w:rsid w:val="00BB75E6"/>
    <w:rsid w:val="00BB7894"/>
    <w:rsid w:val="00BB7919"/>
    <w:rsid w:val="00BC0EEC"/>
    <w:rsid w:val="00BC1501"/>
    <w:rsid w:val="00BC250C"/>
    <w:rsid w:val="00BC3478"/>
    <w:rsid w:val="00BC4194"/>
    <w:rsid w:val="00BC5157"/>
    <w:rsid w:val="00BC536A"/>
    <w:rsid w:val="00BC6941"/>
    <w:rsid w:val="00BC6BB3"/>
    <w:rsid w:val="00BC6D2F"/>
    <w:rsid w:val="00BC7830"/>
    <w:rsid w:val="00BC79FC"/>
    <w:rsid w:val="00BC7A73"/>
    <w:rsid w:val="00BD02BF"/>
    <w:rsid w:val="00BD1251"/>
    <w:rsid w:val="00BD142B"/>
    <w:rsid w:val="00BD144B"/>
    <w:rsid w:val="00BD184F"/>
    <w:rsid w:val="00BD2641"/>
    <w:rsid w:val="00BD2E8E"/>
    <w:rsid w:val="00BD351B"/>
    <w:rsid w:val="00BD3B48"/>
    <w:rsid w:val="00BD3B5C"/>
    <w:rsid w:val="00BD4BEC"/>
    <w:rsid w:val="00BD4C28"/>
    <w:rsid w:val="00BD52D9"/>
    <w:rsid w:val="00BD5712"/>
    <w:rsid w:val="00BD5D5A"/>
    <w:rsid w:val="00BD6694"/>
    <w:rsid w:val="00BD6B7C"/>
    <w:rsid w:val="00BD721E"/>
    <w:rsid w:val="00BD7395"/>
    <w:rsid w:val="00BD7AE9"/>
    <w:rsid w:val="00BD7CF3"/>
    <w:rsid w:val="00BD7DBF"/>
    <w:rsid w:val="00BE0524"/>
    <w:rsid w:val="00BE096E"/>
    <w:rsid w:val="00BE1540"/>
    <w:rsid w:val="00BE1E79"/>
    <w:rsid w:val="00BE2EBD"/>
    <w:rsid w:val="00BE37F5"/>
    <w:rsid w:val="00BE4396"/>
    <w:rsid w:val="00BE4886"/>
    <w:rsid w:val="00BE4C4A"/>
    <w:rsid w:val="00BE4ED5"/>
    <w:rsid w:val="00BE53D3"/>
    <w:rsid w:val="00BE588B"/>
    <w:rsid w:val="00BE627D"/>
    <w:rsid w:val="00BE6542"/>
    <w:rsid w:val="00BE6D0F"/>
    <w:rsid w:val="00BE7601"/>
    <w:rsid w:val="00BF02C8"/>
    <w:rsid w:val="00BF0A22"/>
    <w:rsid w:val="00BF115A"/>
    <w:rsid w:val="00BF1672"/>
    <w:rsid w:val="00BF1910"/>
    <w:rsid w:val="00BF199E"/>
    <w:rsid w:val="00BF1D13"/>
    <w:rsid w:val="00BF22A3"/>
    <w:rsid w:val="00BF2FE9"/>
    <w:rsid w:val="00BF41CC"/>
    <w:rsid w:val="00BF4231"/>
    <w:rsid w:val="00BF4282"/>
    <w:rsid w:val="00BF48D9"/>
    <w:rsid w:val="00BF4ECA"/>
    <w:rsid w:val="00BF58FF"/>
    <w:rsid w:val="00BF6AD7"/>
    <w:rsid w:val="00BF70B6"/>
    <w:rsid w:val="00BF78DA"/>
    <w:rsid w:val="00C00042"/>
    <w:rsid w:val="00C02629"/>
    <w:rsid w:val="00C029CA"/>
    <w:rsid w:val="00C03F52"/>
    <w:rsid w:val="00C04282"/>
    <w:rsid w:val="00C04EE8"/>
    <w:rsid w:val="00C053C9"/>
    <w:rsid w:val="00C05DF9"/>
    <w:rsid w:val="00C05E19"/>
    <w:rsid w:val="00C069D8"/>
    <w:rsid w:val="00C071D0"/>
    <w:rsid w:val="00C10515"/>
    <w:rsid w:val="00C109C9"/>
    <w:rsid w:val="00C10AC9"/>
    <w:rsid w:val="00C11961"/>
    <w:rsid w:val="00C11DF0"/>
    <w:rsid w:val="00C11EB7"/>
    <w:rsid w:val="00C1220D"/>
    <w:rsid w:val="00C12A24"/>
    <w:rsid w:val="00C12E51"/>
    <w:rsid w:val="00C14338"/>
    <w:rsid w:val="00C148B6"/>
    <w:rsid w:val="00C14E2C"/>
    <w:rsid w:val="00C15A28"/>
    <w:rsid w:val="00C1637F"/>
    <w:rsid w:val="00C16ED4"/>
    <w:rsid w:val="00C1738D"/>
    <w:rsid w:val="00C17638"/>
    <w:rsid w:val="00C179A1"/>
    <w:rsid w:val="00C2078C"/>
    <w:rsid w:val="00C20834"/>
    <w:rsid w:val="00C2102F"/>
    <w:rsid w:val="00C21D2C"/>
    <w:rsid w:val="00C22C30"/>
    <w:rsid w:val="00C22E6C"/>
    <w:rsid w:val="00C23276"/>
    <w:rsid w:val="00C23902"/>
    <w:rsid w:val="00C24523"/>
    <w:rsid w:val="00C24CFB"/>
    <w:rsid w:val="00C24DB3"/>
    <w:rsid w:val="00C25EB0"/>
    <w:rsid w:val="00C262EB"/>
    <w:rsid w:val="00C26652"/>
    <w:rsid w:val="00C26CB8"/>
    <w:rsid w:val="00C2722C"/>
    <w:rsid w:val="00C272F1"/>
    <w:rsid w:val="00C27497"/>
    <w:rsid w:val="00C27632"/>
    <w:rsid w:val="00C2771D"/>
    <w:rsid w:val="00C30BF9"/>
    <w:rsid w:val="00C30F7B"/>
    <w:rsid w:val="00C32540"/>
    <w:rsid w:val="00C32841"/>
    <w:rsid w:val="00C32E75"/>
    <w:rsid w:val="00C337EB"/>
    <w:rsid w:val="00C33ED0"/>
    <w:rsid w:val="00C342B0"/>
    <w:rsid w:val="00C34997"/>
    <w:rsid w:val="00C354D5"/>
    <w:rsid w:val="00C35761"/>
    <w:rsid w:val="00C3593C"/>
    <w:rsid w:val="00C35EAC"/>
    <w:rsid w:val="00C3636D"/>
    <w:rsid w:val="00C36934"/>
    <w:rsid w:val="00C36ABE"/>
    <w:rsid w:val="00C36B49"/>
    <w:rsid w:val="00C36C76"/>
    <w:rsid w:val="00C36F85"/>
    <w:rsid w:val="00C36FCE"/>
    <w:rsid w:val="00C37842"/>
    <w:rsid w:val="00C40383"/>
    <w:rsid w:val="00C404D6"/>
    <w:rsid w:val="00C40BEB"/>
    <w:rsid w:val="00C40CAE"/>
    <w:rsid w:val="00C410C1"/>
    <w:rsid w:val="00C4161E"/>
    <w:rsid w:val="00C41848"/>
    <w:rsid w:val="00C42D46"/>
    <w:rsid w:val="00C43902"/>
    <w:rsid w:val="00C43E3A"/>
    <w:rsid w:val="00C44025"/>
    <w:rsid w:val="00C440AE"/>
    <w:rsid w:val="00C454CE"/>
    <w:rsid w:val="00C4576C"/>
    <w:rsid w:val="00C4629F"/>
    <w:rsid w:val="00C462B4"/>
    <w:rsid w:val="00C46FE6"/>
    <w:rsid w:val="00C476C6"/>
    <w:rsid w:val="00C478EA"/>
    <w:rsid w:val="00C47C3F"/>
    <w:rsid w:val="00C5026D"/>
    <w:rsid w:val="00C502A3"/>
    <w:rsid w:val="00C50373"/>
    <w:rsid w:val="00C50B84"/>
    <w:rsid w:val="00C52429"/>
    <w:rsid w:val="00C525F4"/>
    <w:rsid w:val="00C54504"/>
    <w:rsid w:val="00C54D05"/>
    <w:rsid w:val="00C567FC"/>
    <w:rsid w:val="00C56D71"/>
    <w:rsid w:val="00C603CD"/>
    <w:rsid w:val="00C6069E"/>
    <w:rsid w:val="00C6071E"/>
    <w:rsid w:val="00C60C9D"/>
    <w:rsid w:val="00C60F31"/>
    <w:rsid w:val="00C61591"/>
    <w:rsid w:val="00C615A7"/>
    <w:rsid w:val="00C618E0"/>
    <w:rsid w:val="00C6197A"/>
    <w:rsid w:val="00C6246A"/>
    <w:rsid w:val="00C626F6"/>
    <w:rsid w:val="00C62B2A"/>
    <w:rsid w:val="00C62CAE"/>
    <w:rsid w:val="00C62CFF"/>
    <w:rsid w:val="00C62E29"/>
    <w:rsid w:val="00C63105"/>
    <w:rsid w:val="00C6554C"/>
    <w:rsid w:val="00C65B41"/>
    <w:rsid w:val="00C65E31"/>
    <w:rsid w:val="00C6735A"/>
    <w:rsid w:val="00C67634"/>
    <w:rsid w:val="00C67A8B"/>
    <w:rsid w:val="00C70006"/>
    <w:rsid w:val="00C7015E"/>
    <w:rsid w:val="00C702F2"/>
    <w:rsid w:val="00C70F78"/>
    <w:rsid w:val="00C7132A"/>
    <w:rsid w:val="00C71485"/>
    <w:rsid w:val="00C71541"/>
    <w:rsid w:val="00C71909"/>
    <w:rsid w:val="00C71A0A"/>
    <w:rsid w:val="00C7335A"/>
    <w:rsid w:val="00C735F0"/>
    <w:rsid w:val="00C73F87"/>
    <w:rsid w:val="00C74084"/>
    <w:rsid w:val="00C752DF"/>
    <w:rsid w:val="00C763B4"/>
    <w:rsid w:val="00C76E29"/>
    <w:rsid w:val="00C7788B"/>
    <w:rsid w:val="00C80216"/>
    <w:rsid w:val="00C81AB3"/>
    <w:rsid w:val="00C81AC1"/>
    <w:rsid w:val="00C81C40"/>
    <w:rsid w:val="00C81DA7"/>
    <w:rsid w:val="00C8222F"/>
    <w:rsid w:val="00C82732"/>
    <w:rsid w:val="00C830C9"/>
    <w:rsid w:val="00C831D4"/>
    <w:rsid w:val="00C83641"/>
    <w:rsid w:val="00C83CFB"/>
    <w:rsid w:val="00C84C8E"/>
    <w:rsid w:val="00C8515B"/>
    <w:rsid w:val="00C855D4"/>
    <w:rsid w:val="00C8664D"/>
    <w:rsid w:val="00C8665F"/>
    <w:rsid w:val="00C870C7"/>
    <w:rsid w:val="00C87E62"/>
    <w:rsid w:val="00C91081"/>
    <w:rsid w:val="00C9195E"/>
    <w:rsid w:val="00C92E8E"/>
    <w:rsid w:val="00C92F4D"/>
    <w:rsid w:val="00C945C4"/>
    <w:rsid w:val="00C948B3"/>
    <w:rsid w:val="00C95394"/>
    <w:rsid w:val="00C95846"/>
    <w:rsid w:val="00C966C2"/>
    <w:rsid w:val="00C968A0"/>
    <w:rsid w:val="00C96C62"/>
    <w:rsid w:val="00C97B0E"/>
    <w:rsid w:val="00CA02FC"/>
    <w:rsid w:val="00CA03E9"/>
    <w:rsid w:val="00CA24F5"/>
    <w:rsid w:val="00CA2E1A"/>
    <w:rsid w:val="00CA3FB3"/>
    <w:rsid w:val="00CA5050"/>
    <w:rsid w:val="00CA5637"/>
    <w:rsid w:val="00CA6DFA"/>
    <w:rsid w:val="00CA707E"/>
    <w:rsid w:val="00CA73C4"/>
    <w:rsid w:val="00CA759D"/>
    <w:rsid w:val="00CA75D8"/>
    <w:rsid w:val="00CA7C9B"/>
    <w:rsid w:val="00CA7E0C"/>
    <w:rsid w:val="00CB041C"/>
    <w:rsid w:val="00CB0B69"/>
    <w:rsid w:val="00CB0D4E"/>
    <w:rsid w:val="00CB0D70"/>
    <w:rsid w:val="00CB1180"/>
    <w:rsid w:val="00CB122F"/>
    <w:rsid w:val="00CB1B7A"/>
    <w:rsid w:val="00CB1F30"/>
    <w:rsid w:val="00CB2091"/>
    <w:rsid w:val="00CB2F34"/>
    <w:rsid w:val="00CB32CE"/>
    <w:rsid w:val="00CB385C"/>
    <w:rsid w:val="00CB3C9D"/>
    <w:rsid w:val="00CB4F5E"/>
    <w:rsid w:val="00CB4FA2"/>
    <w:rsid w:val="00CB505D"/>
    <w:rsid w:val="00CB5513"/>
    <w:rsid w:val="00CB58B1"/>
    <w:rsid w:val="00CB5A21"/>
    <w:rsid w:val="00CB5C2F"/>
    <w:rsid w:val="00CB61B1"/>
    <w:rsid w:val="00CB63EE"/>
    <w:rsid w:val="00CB7C07"/>
    <w:rsid w:val="00CC0250"/>
    <w:rsid w:val="00CC13EA"/>
    <w:rsid w:val="00CC1E8C"/>
    <w:rsid w:val="00CC291B"/>
    <w:rsid w:val="00CC3736"/>
    <w:rsid w:val="00CC4789"/>
    <w:rsid w:val="00CC5312"/>
    <w:rsid w:val="00CC568A"/>
    <w:rsid w:val="00CC6115"/>
    <w:rsid w:val="00CC6D56"/>
    <w:rsid w:val="00CD0EBE"/>
    <w:rsid w:val="00CD21AE"/>
    <w:rsid w:val="00CD2544"/>
    <w:rsid w:val="00CD28F9"/>
    <w:rsid w:val="00CD293C"/>
    <w:rsid w:val="00CD2A87"/>
    <w:rsid w:val="00CD3D98"/>
    <w:rsid w:val="00CD4320"/>
    <w:rsid w:val="00CD4A44"/>
    <w:rsid w:val="00CD4BEA"/>
    <w:rsid w:val="00CE0613"/>
    <w:rsid w:val="00CE08AA"/>
    <w:rsid w:val="00CE0F94"/>
    <w:rsid w:val="00CE1736"/>
    <w:rsid w:val="00CE1DC8"/>
    <w:rsid w:val="00CE2045"/>
    <w:rsid w:val="00CE2146"/>
    <w:rsid w:val="00CE2B8E"/>
    <w:rsid w:val="00CE2C45"/>
    <w:rsid w:val="00CE358F"/>
    <w:rsid w:val="00CE3702"/>
    <w:rsid w:val="00CE3AFB"/>
    <w:rsid w:val="00CE41E7"/>
    <w:rsid w:val="00CE428D"/>
    <w:rsid w:val="00CE587A"/>
    <w:rsid w:val="00CE5EBE"/>
    <w:rsid w:val="00CE64D3"/>
    <w:rsid w:val="00CE681C"/>
    <w:rsid w:val="00CE6E98"/>
    <w:rsid w:val="00CE7811"/>
    <w:rsid w:val="00CF1BBC"/>
    <w:rsid w:val="00CF24F8"/>
    <w:rsid w:val="00CF2631"/>
    <w:rsid w:val="00CF2B86"/>
    <w:rsid w:val="00CF45AA"/>
    <w:rsid w:val="00CF5157"/>
    <w:rsid w:val="00CF5E63"/>
    <w:rsid w:val="00CF5FB7"/>
    <w:rsid w:val="00CF68D5"/>
    <w:rsid w:val="00CF69F3"/>
    <w:rsid w:val="00D009FB"/>
    <w:rsid w:val="00D00D89"/>
    <w:rsid w:val="00D00DBB"/>
    <w:rsid w:val="00D0115A"/>
    <w:rsid w:val="00D016A1"/>
    <w:rsid w:val="00D01990"/>
    <w:rsid w:val="00D021F3"/>
    <w:rsid w:val="00D0337E"/>
    <w:rsid w:val="00D03A7A"/>
    <w:rsid w:val="00D03B18"/>
    <w:rsid w:val="00D04070"/>
    <w:rsid w:val="00D045B5"/>
    <w:rsid w:val="00D04672"/>
    <w:rsid w:val="00D04F57"/>
    <w:rsid w:val="00D05E33"/>
    <w:rsid w:val="00D063A6"/>
    <w:rsid w:val="00D0694B"/>
    <w:rsid w:val="00D0696C"/>
    <w:rsid w:val="00D06AC7"/>
    <w:rsid w:val="00D07049"/>
    <w:rsid w:val="00D07AD2"/>
    <w:rsid w:val="00D07B39"/>
    <w:rsid w:val="00D07E67"/>
    <w:rsid w:val="00D10435"/>
    <w:rsid w:val="00D1085F"/>
    <w:rsid w:val="00D10A86"/>
    <w:rsid w:val="00D11638"/>
    <w:rsid w:val="00D11800"/>
    <w:rsid w:val="00D118D9"/>
    <w:rsid w:val="00D124C4"/>
    <w:rsid w:val="00D125FC"/>
    <w:rsid w:val="00D12794"/>
    <w:rsid w:val="00D130CF"/>
    <w:rsid w:val="00D13570"/>
    <w:rsid w:val="00D139BC"/>
    <w:rsid w:val="00D14138"/>
    <w:rsid w:val="00D14791"/>
    <w:rsid w:val="00D14FB2"/>
    <w:rsid w:val="00D1548B"/>
    <w:rsid w:val="00D16005"/>
    <w:rsid w:val="00D178EA"/>
    <w:rsid w:val="00D17930"/>
    <w:rsid w:val="00D17CA3"/>
    <w:rsid w:val="00D17DFF"/>
    <w:rsid w:val="00D2006B"/>
    <w:rsid w:val="00D20299"/>
    <w:rsid w:val="00D202B5"/>
    <w:rsid w:val="00D20648"/>
    <w:rsid w:val="00D206F4"/>
    <w:rsid w:val="00D209FB"/>
    <w:rsid w:val="00D20C03"/>
    <w:rsid w:val="00D20E1C"/>
    <w:rsid w:val="00D20FDF"/>
    <w:rsid w:val="00D21F4A"/>
    <w:rsid w:val="00D22AEC"/>
    <w:rsid w:val="00D22DE8"/>
    <w:rsid w:val="00D232E4"/>
    <w:rsid w:val="00D23378"/>
    <w:rsid w:val="00D23449"/>
    <w:rsid w:val="00D23927"/>
    <w:rsid w:val="00D24651"/>
    <w:rsid w:val="00D24CEB"/>
    <w:rsid w:val="00D26DB9"/>
    <w:rsid w:val="00D26E33"/>
    <w:rsid w:val="00D274C5"/>
    <w:rsid w:val="00D275BF"/>
    <w:rsid w:val="00D27605"/>
    <w:rsid w:val="00D2772E"/>
    <w:rsid w:val="00D3008E"/>
    <w:rsid w:val="00D302E8"/>
    <w:rsid w:val="00D30673"/>
    <w:rsid w:val="00D3084B"/>
    <w:rsid w:val="00D30E57"/>
    <w:rsid w:val="00D321C2"/>
    <w:rsid w:val="00D3229A"/>
    <w:rsid w:val="00D32833"/>
    <w:rsid w:val="00D33387"/>
    <w:rsid w:val="00D334FE"/>
    <w:rsid w:val="00D33F52"/>
    <w:rsid w:val="00D34E7B"/>
    <w:rsid w:val="00D3525F"/>
    <w:rsid w:val="00D36124"/>
    <w:rsid w:val="00D37D2D"/>
    <w:rsid w:val="00D40874"/>
    <w:rsid w:val="00D40E01"/>
    <w:rsid w:val="00D40FDD"/>
    <w:rsid w:val="00D41DA8"/>
    <w:rsid w:val="00D41DDE"/>
    <w:rsid w:val="00D41E8B"/>
    <w:rsid w:val="00D42852"/>
    <w:rsid w:val="00D429E4"/>
    <w:rsid w:val="00D430C2"/>
    <w:rsid w:val="00D438B0"/>
    <w:rsid w:val="00D438C5"/>
    <w:rsid w:val="00D43BBD"/>
    <w:rsid w:val="00D45006"/>
    <w:rsid w:val="00D451F4"/>
    <w:rsid w:val="00D45406"/>
    <w:rsid w:val="00D45C32"/>
    <w:rsid w:val="00D46D90"/>
    <w:rsid w:val="00D47819"/>
    <w:rsid w:val="00D4785F"/>
    <w:rsid w:val="00D479DF"/>
    <w:rsid w:val="00D50321"/>
    <w:rsid w:val="00D50E73"/>
    <w:rsid w:val="00D51133"/>
    <w:rsid w:val="00D51762"/>
    <w:rsid w:val="00D51E2F"/>
    <w:rsid w:val="00D520F4"/>
    <w:rsid w:val="00D52509"/>
    <w:rsid w:val="00D5266D"/>
    <w:rsid w:val="00D52B4D"/>
    <w:rsid w:val="00D531E9"/>
    <w:rsid w:val="00D532A6"/>
    <w:rsid w:val="00D5476B"/>
    <w:rsid w:val="00D55187"/>
    <w:rsid w:val="00D55C69"/>
    <w:rsid w:val="00D56211"/>
    <w:rsid w:val="00D5659E"/>
    <w:rsid w:val="00D56A56"/>
    <w:rsid w:val="00D56D70"/>
    <w:rsid w:val="00D576AA"/>
    <w:rsid w:val="00D57D6C"/>
    <w:rsid w:val="00D57E24"/>
    <w:rsid w:val="00D57E29"/>
    <w:rsid w:val="00D60125"/>
    <w:rsid w:val="00D60190"/>
    <w:rsid w:val="00D609EF"/>
    <w:rsid w:val="00D61418"/>
    <w:rsid w:val="00D61836"/>
    <w:rsid w:val="00D6258C"/>
    <w:rsid w:val="00D62726"/>
    <w:rsid w:val="00D63732"/>
    <w:rsid w:val="00D63B1C"/>
    <w:rsid w:val="00D63C4A"/>
    <w:rsid w:val="00D63DC2"/>
    <w:rsid w:val="00D6486C"/>
    <w:rsid w:val="00D652AE"/>
    <w:rsid w:val="00D66BBE"/>
    <w:rsid w:val="00D676C3"/>
    <w:rsid w:val="00D67B2E"/>
    <w:rsid w:val="00D7099B"/>
    <w:rsid w:val="00D71305"/>
    <w:rsid w:val="00D71A89"/>
    <w:rsid w:val="00D71FEC"/>
    <w:rsid w:val="00D731E6"/>
    <w:rsid w:val="00D73353"/>
    <w:rsid w:val="00D733C1"/>
    <w:rsid w:val="00D7395A"/>
    <w:rsid w:val="00D73F05"/>
    <w:rsid w:val="00D74065"/>
    <w:rsid w:val="00D74172"/>
    <w:rsid w:val="00D7426D"/>
    <w:rsid w:val="00D7456A"/>
    <w:rsid w:val="00D74631"/>
    <w:rsid w:val="00D748AF"/>
    <w:rsid w:val="00D748D5"/>
    <w:rsid w:val="00D74C00"/>
    <w:rsid w:val="00D7541C"/>
    <w:rsid w:val="00D754CD"/>
    <w:rsid w:val="00D75B8A"/>
    <w:rsid w:val="00D75DE2"/>
    <w:rsid w:val="00D777E5"/>
    <w:rsid w:val="00D777EE"/>
    <w:rsid w:val="00D77F61"/>
    <w:rsid w:val="00D8007E"/>
    <w:rsid w:val="00D80510"/>
    <w:rsid w:val="00D80770"/>
    <w:rsid w:val="00D80844"/>
    <w:rsid w:val="00D81FA6"/>
    <w:rsid w:val="00D82410"/>
    <w:rsid w:val="00D825E1"/>
    <w:rsid w:val="00D82F99"/>
    <w:rsid w:val="00D83825"/>
    <w:rsid w:val="00D83DB5"/>
    <w:rsid w:val="00D83FB0"/>
    <w:rsid w:val="00D847FB"/>
    <w:rsid w:val="00D85740"/>
    <w:rsid w:val="00D85ED1"/>
    <w:rsid w:val="00D85FEB"/>
    <w:rsid w:val="00D86C10"/>
    <w:rsid w:val="00D87785"/>
    <w:rsid w:val="00D87A7D"/>
    <w:rsid w:val="00D87B87"/>
    <w:rsid w:val="00D9053F"/>
    <w:rsid w:val="00D90A07"/>
    <w:rsid w:val="00D91879"/>
    <w:rsid w:val="00D91AF3"/>
    <w:rsid w:val="00D924EB"/>
    <w:rsid w:val="00D92964"/>
    <w:rsid w:val="00D93611"/>
    <w:rsid w:val="00D936DD"/>
    <w:rsid w:val="00D949D1"/>
    <w:rsid w:val="00D94A4E"/>
    <w:rsid w:val="00D951BE"/>
    <w:rsid w:val="00D95877"/>
    <w:rsid w:val="00D95A63"/>
    <w:rsid w:val="00D96343"/>
    <w:rsid w:val="00D96920"/>
    <w:rsid w:val="00D97589"/>
    <w:rsid w:val="00D97AA5"/>
    <w:rsid w:val="00D97ACA"/>
    <w:rsid w:val="00D97E70"/>
    <w:rsid w:val="00DA0744"/>
    <w:rsid w:val="00DA0851"/>
    <w:rsid w:val="00DA08C9"/>
    <w:rsid w:val="00DA09C8"/>
    <w:rsid w:val="00DA1630"/>
    <w:rsid w:val="00DA1B0C"/>
    <w:rsid w:val="00DA1C09"/>
    <w:rsid w:val="00DA1DE6"/>
    <w:rsid w:val="00DA1FCB"/>
    <w:rsid w:val="00DA2547"/>
    <w:rsid w:val="00DA2657"/>
    <w:rsid w:val="00DA267C"/>
    <w:rsid w:val="00DA3374"/>
    <w:rsid w:val="00DA3864"/>
    <w:rsid w:val="00DA3C07"/>
    <w:rsid w:val="00DA4167"/>
    <w:rsid w:val="00DA4A03"/>
    <w:rsid w:val="00DA57E1"/>
    <w:rsid w:val="00DA5CE4"/>
    <w:rsid w:val="00DA68B5"/>
    <w:rsid w:val="00DA69B8"/>
    <w:rsid w:val="00DA6F6B"/>
    <w:rsid w:val="00DA715A"/>
    <w:rsid w:val="00DA7529"/>
    <w:rsid w:val="00DA7550"/>
    <w:rsid w:val="00DA78A6"/>
    <w:rsid w:val="00DA78E3"/>
    <w:rsid w:val="00DA7B09"/>
    <w:rsid w:val="00DB0293"/>
    <w:rsid w:val="00DB0432"/>
    <w:rsid w:val="00DB07BF"/>
    <w:rsid w:val="00DB0A8D"/>
    <w:rsid w:val="00DB0ACD"/>
    <w:rsid w:val="00DB0C97"/>
    <w:rsid w:val="00DB183F"/>
    <w:rsid w:val="00DB31B6"/>
    <w:rsid w:val="00DB35D4"/>
    <w:rsid w:val="00DB3E72"/>
    <w:rsid w:val="00DB4177"/>
    <w:rsid w:val="00DB4BD3"/>
    <w:rsid w:val="00DB585B"/>
    <w:rsid w:val="00DB59FA"/>
    <w:rsid w:val="00DB6083"/>
    <w:rsid w:val="00DB6150"/>
    <w:rsid w:val="00DB6461"/>
    <w:rsid w:val="00DB64AE"/>
    <w:rsid w:val="00DB74AF"/>
    <w:rsid w:val="00DC048D"/>
    <w:rsid w:val="00DC3074"/>
    <w:rsid w:val="00DC345A"/>
    <w:rsid w:val="00DC3861"/>
    <w:rsid w:val="00DC3BD6"/>
    <w:rsid w:val="00DC41FE"/>
    <w:rsid w:val="00DC44BE"/>
    <w:rsid w:val="00DC5687"/>
    <w:rsid w:val="00DC6B94"/>
    <w:rsid w:val="00DD0211"/>
    <w:rsid w:val="00DD101E"/>
    <w:rsid w:val="00DD13A6"/>
    <w:rsid w:val="00DD15BC"/>
    <w:rsid w:val="00DD245D"/>
    <w:rsid w:val="00DD24B2"/>
    <w:rsid w:val="00DD2D70"/>
    <w:rsid w:val="00DD3B16"/>
    <w:rsid w:val="00DD3D34"/>
    <w:rsid w:val="00DD4F73"/>
    <w:rsid w:val="00DD4FC2"/>
    <w:rsid w:val="00DD5575"/>
    <w:rsid w:val="00DD571C"/>
    <w:rsid w:val="00DD5F9F"/>
    <w:rsid w:val="00DD603A"/>
    <w:rsid w:val="00DD609F"/>
    <w:rsid w:val="00DD7818"/>
    <w:rsid w:val="00DD7D94"/>
    <w:rsid w:val="00DE0681"/>
    <w:rsid w:val="00DE1709"/>
    <w:rsid w:val="00DE1AFF"/>
    <w:rsid w:val="00DE1D56"/>
    <w:rsid w:val="00DE1E8D"/>
    <w:rsid w:val="00DE2B30"/>
    <w:rsid w:val="00DE485A"/>
    <w:rsid w:val="00DE4BCD"/>
    <w:rsid w:val="00DE517B"/>
    <w:rsid w:val="00DE53C1"/>
    <w:rsid w:val="00DE5615"/>
    <w:rsid w:val="00DE5B4C"/>
    <w:rsid w:val="00DE6480"/>
    <w:rsid w:val="00DE65CE"/>
    <w:rsid w:val="00DE678E"/>
    <w:rsid w:val="00DE68DD"/>
    <w:rsid w:val="00DE69B7"/>
    <w:rsid w:val="00DE6CA8"/>
    <w:rsid w:val="00DE74B9"/>
    <w:rsid w:val="00DE77A4"/>
    <w:rsid w:val="00DF21FF"/>
    <w:rsid w:val="00DF2287"/>
    <w:rsid w:val="00DF348E"/>
    <w:rsid w:val="00DF4294"/>
    <w:rsid w:val="00DF45F1"/>
    <w:rsid w:val="00DF4677"/>
    <w:rsid w:val="00DF5BAD"/>
    <w:rsid w:val="00DF5EBF"/>
    <w:rsid w:val="00DF5F72"/>
    <w:rsid w:val="00DF6687"/>
    <w:rsid w:val="00DF6BCF"/>
    <w:rsid w:val="00DF71B5"/>
    <w:rsid w:val="00DF7274"/>
    <w:rsid w:val="00DF79D1"/>
    <w:rsid w:val="00DF7EF6"/>
    <w:rsid w:val="00E00812"/>
    <w:rsid w:val="00E0096D"/>
    <w:rsid w:val="00E00CCD"/>
    <w:rsid w:val="00E01324"/>
    <w:rsid w:val="00E01703"/>
    <w:rsid w:val="00E01FAC"/>
    <w:rsid w:val="00E02156"/>
    <w:rsid w:val="00E02CAD"/>
    <w:rsid w:val="00E03205"/>
    <w:rsid w:val="00E0365F"/>
    <w:rsid w:val="00E0377C"/>
    <w:rsid w:val="00E03FA4"/>
    <w:rsid w:val="00E0461C"/>
    <w:rsid w:val="00E04945"/>
    <w:rsid w:val="00E04A62"/>
    <w:rsid w:val="00E04C6B"/>
    <w:rsid w:val="00E05C3A"/>
    <w:rsid w:val="00E069F0"/>
    <w:rsid w:val="00E073F7"/>
    <w:rsid w:val="00E075D9"/>
    <w:rsid w:val="00E10546"/>
    <w:rsid w:val="00E109C6"/>
    <w:rsid w:val="00E109C7"/>
    <w:rsid w:val="00E10B21"/>
    <w:rsid w:val="00E10C38"/>
    <w:rsid w:val="00E11672"/>
    <w:rsid w:val="00E11827"/>
    <w:rsid w:val="00E123A8"/>
    <w:rsid w:val="00E12546"/>
    <w:rsid w:val="00E127E7"/>
    <w:rsid w:val="00E12B86"/>
    <w:rsid w:val="00E12E16"/>
    <w:rsid w:val="00E13204"/>
    <w:rsid w:val="00E13CB0"/>
    <w:rsid w:val="00E13CED"/>
    <w:rsid w:val="00E13DCA"/>
    <w:rsid w:val="00E149DB"/>
    <w:rsid w:val="00E15156"/>
    <w:rsid w:val="00E15C32"/>
    <w:rsid w:val="00E17D9D"/>
    <w:rsid w:val="00E20141"/>
    <w:rsid w:val="00E20236"/>
    <w:rsid w:val="00E2278F"/>
    <w:rsid w:val="00E22E7C"/>
    <w:rsid w:val="00E23CAF"/>
    <w:rsid w:val="00E25184"/>
    <w:rsid w:val="00E251E6"/>
    <w:rsid w:val="00E253E4"/>
    <w:rsid w:val="00E2572D"/>
    <w:rsid w:val="00E26414"/>
    <w:rsid w:val="00E265A9"/>
    <w:rsid w:val="00E26A05"/>
    <w:rsid w:val="00E305CD"/>
    <w:rsid w:val="00E306AA"/>
    <w:rsid w:val="00E307F4"/>
    <w:rsid w:val="00E30998"/>
    <w:rsid w:val="00E3158A"/>
    <w:rsid w:val="00E31AEF"/>
    <w:rsid w:val="00E32500"/>
    <w:rsid w:val="00E326AF"/>
    <w:rsid w:val="00E327F7"/>
    <w:rsid w:val="00E329A0"/>
    <w:rsid w:val="00E32C4E"/>
    <w:rsid w:val="00E33718"/>
    <w:rsid w:val="00E33887"/>
    <w:rsid w:val="00E34AAC"/>
    <w:rsid w:val="00E35256"/>
    <w:rsid w:val="00E35299"/>
    <w:rsid w:val="00E358BE"/>
    <w:rsid w:val="00E35AB0"/>
    <w:rsid w:val="00E35D46"/>
    <w:rsid w:val="00E361CA"/>
    <w:rsid w:val="00E36C83"/>
    <w:rsid w:val="00E3774F"/>
    <w:rsid w:val="00E378BB"/>
    <w:rsid w:val="00E379AD"/>
    <w:rsid w:val="00E37CFB"/>
    <w:rsid w:val="00E4195A"/>
    <w:rsid w:val="00E41DED"/>
    <w:rsid w:val="00E42C28"/>
    <w:rsid w:val="00E43011"/>
    <w:rsid w:val="00E439B5"/>
    <w:rsid w:val="00E4472D"/>
    <w:rsid w:val="00E45CEB"/>
    <w:rsid w:val="00E4606D"/>
    <w:rsid w:val="00E4656C"/>
    <w:rsid w:val="00E46E70"/>
    <w:rsid w:val="00E475AA"/>
    <w:rsid w:val="00E4792A"/>
    <w:rsid w:val="00E479AB"/>
    <w:rsid w:val="00E5131F"/>
    <w:rsid w:val="00E51355"/>
    <w:rsid w:val="00E51A18"/>
    <w:rsid w:val="00E52B59"/>
    <w:rsid w:val="00E52BEA"/>
    <w:rsid w:val="00E535B4"/>
    <w:rsid w:val="00E53626"/>
    <w:rsid w:val="00E543CE"/>
    <w:rsid w:val="00E551C2"/>
    <w:rsid w:val="00E555FF"/>
    <w:rsid w:val="00E55668"/>
    <w:rsid w:val="00E557E5"/>
    <w:rsid w:val="00E558DF"/>
    <w:rsid w:val="00E55CE0"/>
    <w:rsid w:val="00E569B2"/>
    <w:rsid w:val="00E56DD2"/>
    <w:rsid w:val="00E604D9"/>
    <w:rsid w:val="00E60B73"/>
    <w:rsid w:val="00E612FD"/>
    <w:rsid w:val="00E62140"/>
    <w:rsid w:val="00E622C0"/>
    <w:rsid w:val="00E62577"/>
    <w:rsid w:val="00E6287E"/>
    <w:rsid w:val="00E62ABD"/>
    <w:rsid w:val="00E633EC"/>
    <w:rsid w:val="00E638FD"/>
    <w:rsid w:val="00E65A3B"/>
    <w:rsid w:val="00E65B01"/>
    <w:rsid w:val="00E6621C"/>
    <w:rsid w:val="00E664FE"/>
    <w:rsid w:val="00E67656"/>
    <w:rsid w:val="00E679BE"/>
    <w:rsid w:val="00E67BE2"/>
    <w:rsid w:val="00E7020F"/>
    <w:rsid w:val="00E70747"/>
    <w:rsid w:val="00E70985"/>
    <w:rsid w:val="00E70C89"/>
    <w:rsid w:val="00E71415"/>
    <w:rsid w:val="00E715D7"/>
    <w:rsid w:val="00E71E58"/>
    <w:rsid w:val="00E729C9"/>
    <w:rsid w:val="00E73EF0"/>
    <w:rsid w:val="00E740B5"/>
    <w:rsid w:val="00E743B0"/>
    <w:rsid w:val="00E74B54"/>
    <w:rsid w:val="00E74F1B"/>
    <w:rsid w:val="00E76D77"/>
    <w:rsid w:val="00E76E8E"/>
    <w:rsid w:val="00E77CF8"/>
    <w:rsid w:val="00E77F5C"/>
    <w:rsid w:val="00E8131E"/>
    <w:rsid w:val="00E813A7"/>
    <w:rsid w:val="00E827C3"/>
    <w:rsid w:val="00E828F5"/>
    <w:rsid w:val="00E83060"/>
    <w:rsid w:val="00E831C7"/>
    <w:rsid w:val="00E83C7D"/>
    <w:rsid w:val="00E842B1"/>
    <w:rsid w:val="00E84806"/>
    <w:rsid w:val="00E84DB3"/>
    <w:rsid w:val="00E85B90"/>
    <w:rsid w:val="00E85FA0"/>
    <w:rsid w:val="00E87DAF"/>
    <w:rsid w:val="00E90296"/>
    <w:rsid w:val="00E907BC"/>
    <w:rsid w:val="00E918F2"/>
    <w:rsid w:val="00E9383C"/>
    <w:rsid w:val="00E93BDC"/>
    <w:rsid w:val="00E94364"/>
    <w:rsid w:val="00E94BD0"/>
    <w:rsid w:val="00E951C4"/>
    <w:rsid w:val="00E9544D"/>
    <w:rsid w:val="00E95EAA"/>
    <w:rsid w:val="00E9661A"/>
    <w:rsid w:val="00E96EEC"/>
    <w:rsid w:val="00E973FD"/>
    <w:rsid w:val="00E97790"/>
    <w:rsid w:val="00E97B23"/>
    <w:rsid w:val="00EA0EDE"/>
    <w:rsid w:val="00EA15F0"/>
    <w:rsid w:val="00EA18DF"/>
    <w:rsid w:val="00EA1990"/>
    <w:rsid w:val="00EA2940"/>
    <w:rsid w:val="00EA2949"/>
    <w:rsid w:val="00EA3E92"/>
    <w:rsid w:val="00EA3FA4"/>
    <w:rsid w:val="00EA4A86"/>
    <w:rsid w:val="00EA5D81"/>
    <w:rsid w:val="00EA6432"/>
    <w:rsid w:val="00EA7B25"/>
    <w:rsid w:val="00EB0B92"/>
    <w:rsid w:val="00EB0D56"/>
    <w:rsid w:val="00EB10B9"/>
    <w:rsid w:val="00EB186F"/>
    <w:rsid w:val="00EB233D"/>
    <w:rsid w:val="00EB259E"/>
    <w:rsid w:val="00EB2CB8"/>
    <w:rsid w:val="00EB3456"/>
    <w:rsid w:val="00EB3D63"/>
    <w:rsid w:val="00EB4107"/>
    <w:rsid w:val="00EB4748"/>
    <w:rsid w:val="00EB494A"/>
    <w:rsid w:val="00EB49FF"/>
    <w:rsid w:val="00EB511B"/>
    <w:rsid w:val="00EB51E9"/>
    <w:rsid w:val="00EB5869"/>
    <w:rsid w:val="00EB59DB"/>
    <w:rsid w:val="00EB5A27"/>
    <w:rsid w:val="00EB5F94"/>
    <w:rsid w:val="00EB64B6"/>
    <w:rsid w:val="00EB6AD6"/>
    <w:rsid w:val="00EB7693"/>
    <w:rsid w:val="00EB77D5"/>
    <w:rsid w:val="00EC0735"/>
    <w:rsid w:val="00EC0E9D"/>
    <w:rsid w:val="00EC3306"/>
    <w:rsid w:val="00EC330C"/>
    <w:rsid w:val="00EC48AE"/>
    <w:rsid w:val="00EC4FEC"/>
    <w:rsid w:val="00EC5E6C"/>
    <w:rsid w:val="00EC5F71"/>
    <w:rsid w:val="00EC5F97"/>
    <w:rsid w:val="00EC664E"/>
    <w:rsid w:val="00EC7015"/>
    <w:rsid w:val="00EC7BC5"/>
    <w:rsid w:val="00ED093A"/>
    <w:rsid w:val="00ED1580"/>
    <w:rsid w:val="00ED19A4"/>
    <w:rsid w:val="00ED1AE2"/>
    <w:rsid w:val="00ED249C"/>
    <w:rsid w:val="00ED255E"/>
    <w:rsid w:val="00ED3075"/>
    <w:rsid w:val="00ED33A4"/>
    <w:rsid w:val="00ED3DE1"/>
    <w:rsid w:val="00ED4307"/>
    <w:rsid w:val="00ED45D4"/>
    <w:rsid w:val="00ED5071"/>
    <w:rsid w:val="00ED51FD"/>
    <w:rsid w:val="00ED5452"/>
    <w:rsid w:val="00ED5725"/>
    <w:rsid w:val="00ED5DAF"/>
    <w:rsid w:val="00ED5DCB"/>
    <w:rsid w:val="00ED6E1C"/>
    <w:rsid w:val="00EE061D"/>
    <w:rsid w:val="00EE0DD8"/>
    <w:rsid w:val="00EE1734"/>
    <w:rsid w:val="00EE17EC"/>
    <w:rsid w:val="00EE1CDC"/>
    <w:rsid w:val="00EE31F1"/>
    <w:rsid w:val="00EE345A"/>
    <w:rsid w:val="00EE369E"/>
    <w:rsid w:val="00EE376B"/>
    <w:rsid w:val="00EE3816"/>
    <w:rsid w:val="00EE41CD"/>
    <w:rsid w:val="00EE4472"/>
    <w:rsid w:val="00EE46DF"/>
    <w:rsid w:val="00EE49D1"/>
    <w:rsid w:val="00EE56B9"/>
    <w:rsid w:val="00EE7502"/>
    <w:rsid w:val="00EE767C"/>
    <w:rsid w:val="00EE79CB"/>
    <w:rsid w:val="00EE7C61"/>
    <w:rsid w:val="00EF02E6"/>
    <w:rsid w:val="00EF0CB8"/>
    <w:rsid w:val="00EF1D80"/>
    <w:rsid w:val="00EF21A8"/>
    <w:rsid w:val="00EF257B"/>
    <w:rsid w:val="00EF3144"/>
    <w:rsid w:val="00EF3414"/>
    <w:rsid w:val="00EF35D9"/>
    <w:rsid w:val="00EF5006"/>
    <w:rsid w:val="00EF56B7"/>
    <w:rsid w:val="00EF5F06"/>
    <w:rsid w:val="00EF6334"/>
    <w:rsid w:val="00EF6B6C"/>
    <w:rsid w:val="00EF7DD4"/>
    <w:rsid w:val="00EF7FDB"/>
    <w:rsid w:val="00F01694"/>
    <w:rsid w:val="00F0177C"/>
    <w:rsid w:val="00F02191"/>
    <w:rsid w:val="00F02D7F"/>
    <w:rsid w:val="00F03078"/>
    <w:rsid w:val="00F03653"/>
    <w:rsid w:val="00F03F44"/>
    <w:rsid w:val="00F04516"/>
    <w:rsid w:val="00F05180"/>
    <w:rsid w:val="00F06589"/>
    <w:rsid w:val="00F067DC"/>
    <w:rsid w:val="00F06E49"/>
    <w:rsid w:val="00F0773F"/>
    <w:rsid w:val="00F07890"/>
    <w:rsid w:val="00F07B5E"/>
    <w:rsid w:val="00F07FFB"/>
    <w:rsid w:val="00F10346"/>
    <w:rsid w:val="00F10525"/>
    <w:rsid w:val="00F10D79"/>
    <w:rsid w:val="00F11D51"/>
    <w:rsid w:val="00F12191"/>
    <w:rsid w:val="00F128EA"/>
    <w:rsid w:val="00F12DAE"/>
    <w:rsid w:val="00F137BA"/>
    <w:rsid w:val="00F139D4"/>
    <w:rsid w:val="00F13F97"/>
    <w:rsid w:val="00F152D7"/>
    <w:rsid w:val="00F15D6D"/>
    <w:rsid w:val="00F166C1"/>
    <w:rsid w:val="00F16857"/>
    <w:rsid w:val="00F170D7"/>
    <w:rsid w:val="00F178CD"/>
    <w:rsid w:val="00F20ED3"/>
    <w:rsid w:val="00F20FA9"/>
    <w:rsid w:val="00F21514"/>
    <w:rsid w:val="00F21C18"/>
    <w:rsid w:val="00F2236B"/>
    <w:rsid w:val="00F22398"/>
    <w:rsid w:val="00F22CD4"/>
    <w:rsid w:val="00F2356E"/>
    <w:rsid w:val="00F236BE"/>
    <w:rsid w:val="00F23FFA"/>
    <w:rsid w:val="00F24442"/>
    <w:rsid w:val="00F2459A"/>
    <w:rsid w:val="00F24653"/>
    <w:rsid w:val="00F249EC"/>
    <w:rsid w:val="00F24B90"/>
    <w:rsid w:val="00F25FEE"/>
    <w:rsid w:val="00F26223"/>
    <w:rsid w:val="00F262C3"/>
    <w:rsid w:val="00F270D5"/>
    <w:rsid w:val="00F27367"/>
    <w:rsid w:val="00F27BEF"/>
    <w:rsid w:val="00F30114"/>
    <w:rsid w:val="00F304CB"/>
    <w:rsid w:val="00F30765"/>
    <w:rsid w:val="00F308EF"/>
    <w:rsid w:val="00F309D7"/>
    <w:rsid w:val="00F309E5"/>
    <w:rsid w:val="00F3101D"/>
    <w:rsid w:val="00F319BA"/>
    <w:rsid w:val="00F319DC"/>
    <w:rsid w:val="00F3280F"/>
    <w:rsid w:val="00F33017"/>
    <w:rsid w:val="00F33675"/>
    <w:rsid w:val="00F33F53"/>
    <w:rsid w:val="00F3433A"/>
    <w:rsid w:val="00F34FD3"/>
    <w:rsid w:val="00F3528A"/>
    <w:rsid w:val="00F35668"/>
    <w:rsid w:val="00F35956"/>
    <w:rsid w:val="00F35C23"/>
    <w:rsid w:val="00F35DE8"/>
    <w:rsid w:val="00F37181"/>
    <w:rsid w:val="00F37421"/>
    <w:rsid w:val="00F37A0E"/>
    <w:rsid w:val="00F40209"/>
    <w:rsid w:val="00F41AB1"/>
    <w:rsid w:val="00F41DD3"/>
    <w:rsid w:val="00F42B13"/>
    <w:rsid w:val="00F42CD4"/>
    <w:rsid w:val="00F42D0A"/>
    <w:rsid w:val="00F4301E"/>
    <w:rsid w:val="00F43C14"/>
    <w:rsid w:val="00F440D2"/>
    <w:rsid w:val="00F44E08"/>
    <w:rsid w:val="00F452B2"/>
    <w:rsid w:val="00F460EF"/>
    <w:rsid w:val="00F46287"/>
    <w:rsid w:val="00F46350"/>
    <w:rsid w:val="00F463F7"/>
    <w:rsid w:val="00F4660A"/>
    <w:rsid w:val="00F467EB"/>
    <w:rsid w:val="00F46B9C"/>
    <w:rsid w:val="00F47338"/>
    <w:rsid w:val="00F47C97"/>
    <w:rsid w:val="00F5017E"/>
    <w:rsid w:val="00F50600"/>
    <w:rsid w:val="00F50814"/>
    <w:rsid w:val="00F50B2F"/>
    <w:rsid w:val="00F51ECD"/>
    <w:rsid w:val="00F51FE9"/>
    <w:rsid w:val="00F52922"/>
    <w:rsid w:val="00F530D1"/>
    <w:rsid w:val="00F5467C"/>
    <w:rsid w:val="00F54CD0"/>
    <w:rsid w:val="00F555AD"/>
    <w:rsid w:val="00F55B25"/>
    <w:rsid w:val="00F56820"/>
    <w:rsid w:val="00F568FF"/>
    <w:rsid w:val="00F571A0"/>
    <w:rsid w:val="00F5788D"/>
    <w:rsid w:val="00F5789E"/>
    <w:rsid w:val="00F57D22"/>
    <w:rsid w:val="00F57D29"/>
    <w:rsid w:val="00F60616"/>
    <w:rsid w:val="00F60958"/>
    <w:rsid w:val="00F61C7C"/>
    <w:rsid w:val="00F62079"/>
    <w:rsid w:val="00F62668"/>
    <w:rsid w:val="00F6283F"/>
    <w:rsid w:val="00F63D94"/>
    <w:rsid w:val="00F6675E"/>
    <w:rsid w:val="00F66ADA"/>
    <w:rsid w:val="00F66B8C"/>
    <w:rsid w:val="00F676C4"/>
    <w:rsid w:val="00F67748"/>
    <w:rsid w:val="00F6787D"/>
    <w:rsid w:val="00F679C8"/>
    <w:rsid w:val="00F7017D"/>
    <w:rsid w:val="00F717EE"/>
    <w:rsid w:val="00F71A9C"/>
    <w:rsid w:val="00F72056"/>
    <w:rsid w:val="00F7226F"/>
    <w:rsid w:val="00F723B1"/>
    <w:rsid w:val="00F7270E"/>
    <w:rsid w:val="00F727D9"/>
    <w:rsid w:val="00F728EF"/>
    <w:rsid w:val="00F73383"/>
    <w:rsid w:val="00F73588"/>
    <w:rsid w:val="00F736CE"/>
    <w:rsid w:val="00F73871"/>
    <w:rsid w:val="00F738A3"/>
    <w:rsid w:val="00F7390E"/>
    <w:rsid w:val="00F73F1D"/>
    <w:rsid w:val="00F75562"/>
    <w:rsid w:val="00F757B7"/>
    <w:rsid w:val="00F75EBA"/>
    <w:rsid w:val="00F77B4C"/>
    <w:rsid w:val="00F802D3"/>
    <w:rsid w:val="00F8194F"/>
    <w:rsid w:val="00F82803"/>
    <w:rsid w:val="00F835DC"/>
    <w:rsid w:val="00F836AE"/>
    <w:rsid w:val="00F83AD3"/>
    <w:rsid w:val="00F847DD"/>
    <w:rsid w:val="00F85CB0"/>
    <w:rsid w:val="00F87133"/>
    <w:rsid w:val="00F87383"/>
    <w:rsid w:val="00F901E5"/>
    <w:rsid w:val="00F91025"/>
    <w:rsid w:val="00F9125C"/>
    <w:rsid w:val="00F91E56"/>
    <w:rsid w:val="00F920E6"/>
    <w:rsid w:val="00F9376E"/>
    <w:rsid w:val="00F94785"/>
    <w:rsid w:val="00F94EA0"/>
    <w:rsid w:val="00F95485"/>
    <w:rsid w:val="00F957A0"/>
    <w:rsid w:val="00F95D2E"/>
    <w:rsid w:val="00F96077"/>
    <w:rsid w:val="00F96204"/>
    <w:rsid w:val="00F96656"/>
    <w:rsid w:val="00F969FB"/>
    <w:rsid w:val="00F96DD9"/>
    <w:rsid w:val="00F96F0C"/>
    <w:rsid w:val="00F9795A"/>
    <w:rsid w:val="00FA0496"/>
    <w:rsid w:val="00FA0712"/>
    <w:rsid w:val="00FA0983"/>
    <w:rsid w:val="00FA1567"/>
    <w:rsid w:val="00FA1719"/>
    <w:rsid w:val="00FA1782"/>
    <w:rsid w:val="00FA19A2"/>
    <w:rsid w:val="00FA2032"/>
    <w:rsid w:val="00FA20D7"/>
    <w:rsid w:val="00FA2510"/>
    <w:rsid w:val="00FA2BE6"/>
    <w:rsid w:val="00FA2D93"/>
    <w:rsid w:val="00FA2F06"/>
    <w:rsid w:val="00FA3187"/>
    <w:rsid w:val="00FA5006"/>
    <w:rsid w:val="00FA56E7"/>
    <w:rsid w:val="00FA5755"/>
    <w:rsid w:val="00FA59F3"/>
    <w:rsid w:val="00FA6006"/>
    <w:rsid w:val="00FA65B7"/>
    <w:rsid w:val="00FA7924"/>
    <w:rsid w:val="00FA7975"/>
    <w:rsid w:val="00FA7AB2"/>
    <w:rsid w:val="00FB0DCB"/>
    <w:rsid w:val="00FB1776"/>
    <w:rsid w:val="00FB1A2A"/>
    <w:rsid w:val="00FB1BF4"/>
    <w:rsid w:val="00FB3C32"/>
    <w:rsid w:val="00FB41B9"/>
    <w:rsid w:val="00FB421C"/>
    <w:rsid w:val="00FB51F1"/>
    <w:rsid w:val="00FB6CAD"/>
    <w:rsid w:val="00FB6D75"/>
    <w:rsid w:val="00FB7604"/>
    <w:rsid w:val="00FB788D"/>
    <w:rsid w:val="00FC2609"/>
    <w:rsid w:val="00FC2637"/>
    <w:rsid w:val="00FC2929"/>
    <w:rsid w:val="00FC32F8"/>
    <w:rsid w:val="00FC3448"/>
    <w:rsid w:val="00FC373C"/>
    <w:rsid w:val="00FC4C0A"/>
    <w:rsid w:val="00FC531D"/>
    <w:rsid w:val="00FC5554"/>
    <w:rsid w:val="00FC7245"/>
    <w:rsid w:val="00FC7780"/>
    <w:rsid w:val="00FD07AA"/>
    <w:rsid w:val="00FD0D38"/>
    <w:rsid w:val="00FD1A76"/>
    <w:rsid w:val="00FD3147"/>
    <w:rsid w:val="00FD32B6"/>
    <w:rsid w:val="00FD3882"/>
    <w:rsid w:val="00FD3C7E"/>
    <w:rsid w:val="00FD4172"/>
    <w:rsid w:val="00FD4D23"/>
    <w:rsid w:val="00FD51E8"/>
    <w:rsid w:val="00FD6857"/>
    <w:rsid w:val="00FD78C9"/>
    <w:rsid w:val="00FD79C7"/>
    <w:rsid w:val="00FD7A27"/>
    <w:rsid w:val="00FD7AF8"/>
    <w:rsid w:val="00FE021D"/>
    <w:rsid w:val="00FE02BE"/>
    <w:rsid w:val="00FE02F2"/>
    <w:rsid w:val="00FE0B22"/>
    <w:rsid w:val="00FE0E3F"/>
    <w:rsid w:val="00FE1D84"/>
    <w:rsid w:val="00FE201E"/>
    <w:rsid w:val="00FE38EE"/>
    <w:rsid w:val="00FE3F8A"/>
    <w:rsid w:val="00FE44E1"/>
    <w:rsid w:val="00FE472A"/>
    <w:rsid w:val="00FE47B8"/>
    <w:rsid w:val="00FE48CF"/>
    <w:rsid w:val="00FE507C"/>
    <w:rsid w:val="00FE608A"/>
    <w:rsid w:val="00FE65B4"/>
    <w:rsid w:val="00FE7330"/>
    <w:rsid w:val="00FE7CDC"/>
    <w:rsid w:val="00FF15B1"/>
    <w:rsid w:val="00FF2990"/>
    <w:rsid w:val="00FF35B8"/>
    <w:rsid w:val="00FF3663"/>
    <w:rsid w:val="00FF38E4"/>
    <w:rsid w:val="00FF3C5C"/>
    <w:rsid w:val="00FF3EAC"/>
    <w:rsid w:val="00FF453F"/>
    <w:rsid w:val="00FF4F95"/>
    <w:rsid w:val="00FF5A5E"/>
    <w:rsid w:val="00FF5C42"/>
    <w:rsid w:val="00FF7027"/>
    <w:rsid w:val="00FF7C97"/>
    <w:rsid w:val="00FF7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1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911"/>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AF5911"/>
    <w:pPr>
      <w:keepNext/>
      <w:spacing w:before="140" w:line="240" w:lineRule="atLeast"/>
      <w:jc w:val="center"/>
      <w:outlineLvl w:val="0"/>
    </w:pPr>
    <w:rPr>
      <w:b/>
      <w:smallCaps/>
    </w:rPr>
  </w:style>
  <w:style w:type="paragraph" w:styleId="Heading2">
    <w:name w:val="heading 2"/>
    <w:basedOn w:val="Normal"/>
    <w:next w:val="Normal"/>
    <w:qFormat/>
    <w:rsid w:val="00AF591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F5911"/>
    <w:pPr>
      <w:keepNext/>
      <w:tabs>
        <w:tab w:val="left" w:pos="1584"/>
      </w:tabs>
      <w:spacing w:before="140" w:line="240" w:lineRule="atLeast"/>
      <w:ind w:left="1584" w:hanging="432"/>
      <w:jc w:val="left"/>
      <w:outlineLvl w:val="2"/>
    </w:pPr>
    <w:rPr>
      <w:i/>
    </w:rPr>
  </w:style>
  <w:style w:type="paragraph" w:styleId="Heading4">
    <w:name w:val="heading 4"/>
    <w:basedOn w:val="Normal"/>
    <w:rsid w:val="00AF5911"/>
    <w:pPr>
      <w:keepNext/>
      <w:tabs>
        <w:tab w:val="left" w:pos="2016"/>
      </w:tabs>
      <w:spacing w:before="140" w:line="240" w:lineRule="atLeast"/>
      <w:ind w:left="2016" w:hanging="432"/>
      <w:jc w:val="left"/>
      <w:outlineLvl w:val="3"/>
    </w:pPr>
    <w:rPr>
      <w:i/>
    </w:rPr>
  </w:style>
  <w:style w:type="paragraph" w:styleId="Heading5">
    <w:name w:val="heading 5"/>
    <w:basedOn w:val="Normal"/>
    <w:rsid w:val="00AF591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AF5911"/>
    <w:pPr>
      <w:ind w:left="720"/>
    </w:pPr>
  </w:style>
  <w:style w:type="paragraph" w:styleId="Footer">
    <w:name w:val="footer"/>
    <w:basedOn w:val="Normal"/>
    <w:link w:val="FooterChar"/>
    <w:uiPriority w:val="99"/>
    <w:qFormat/>
    <w:rsid w:val="00AF5911"/>
    <w:pPr>
      <w:tabs>
        <w:tab w:val="center" w:pos="3960"/>
        <w:tab w:val="right" w:pos="10080"/>
      </w:tabs>
      <w:spacing w:after="0" w:line="240" w:lineRule="auto"/>
      <w:jc w:val="center"/>
    </w:pPr>
    <w:rPr>
      <w:sz w:val="22"/>
    </w:rPr>
  </w:style>
  <w:style w:type="paragraph" w:styleId="Header">
    <w:name w:val="header"/>
    <w:basedOn w:val="Normal"/>
    <w:link w:val="HeaderChar"/>
    <w:qFormat/>
    <w:rsid w:val="00AF5911"/>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AF591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AF5911"/>
    <w:pPr>
      <w:spacing w:line="300" w:lineRule="exact"/>
    </w:pPr>
  </w:style>
  <w:style w:type="paragraph" w:customStyle="1" w:styleId="Title1">
    <w:name w:val="Title1"/>
    <w:basedOn w:val="Normal"/>
    <w:rsid w:val="00AF5911"/>
    <w:pPr>
      <w:tabs>
        <w:tab w:val="left" w:pos="5760"/>
        <w:tab w:val="left" w:pos="6480"/>
      </w:tabs>
      <w:spacing w:line="240" w:lineRule="atLeast"/>
    </w:pPr>
  </w:style>
  <w:style w:type="paragraph" w:customStyle="1" w:styleId="Recommend">
    <w:name w:val="Recommend"/>
    <w:basedOn w:val="Normal"/>
    <w:rsid w:val="00AF5911"/>
  </w:style>
  <w:style w:type="paragraph" w:customStyle="1" w:styleId="Summary">
    <w:name w:val="Summary"/>
    <w:basedOn w:val="Normal"/>
    <w:rsid w:val="00AF5911"/>
    <w:pPr>
      <w:ind w:left="2160" w:hanging="2160"/>
    </w:pPr>
  </w:style>
  <w:style w:type="paragraph" w:customStyle="1" w:styleId="Text">
    <w:name w:val="Text"/>
    <w:basedOn w:val="Normal"/>
    <w:rsid w:val="00AF5911"/>
    <w:pPr>
      <w:tabs>
        <w:tab w:val="left" w:pos="720"/>
        <w:tab w:val="left" w:pos="1440"/>
        <w:tab w:val="left" w:pos="2160"/>
        <w:tab w:val="center" w:pos="4320"/>
      </w:tabs>
      <w:spacing w:line="480" w:lineRule="atLeast"/>
      <w:ind w:firstLine="540"/>
    </w:pPr>
  </w:style>
  <w:style w:type="paragraph" w:styleId="Date">
    <w:name w:val="Date"/>
    <w:basedOn w:val="Normal"/>
    <w:semiHidden/>
    <w:rsid w:val="00AF5911"/>
    <w:pPr>
      <w:jc w:val="right"/>
    </w:pPr>
  </w:style>
  <w:style w:type="character" w:styleId="PageNumber">
    <w:name w:val="page number"/>
    <w:basedOn w:val="DefaultParagraphFont"/>
    <w:rsid w:val="00AF5911"/>
  </w:style>
  <w:style w:type="paragraph" w:customStyle="1" w:styleId="subject">
    <w:name w:val="subject"/>
    <w:basedOn w:val="Normal"/>
    <w:rsid w:val="00AF5911"/>
    <w:pPr>
      <w:tabs>
        <w:tab w:val="left" w:pos="1008"/>
      </w:tabs>
      <w:ind w:left="990" w:hanging="990"/>
    </w:pPr>
    <w:rPr>
      <w:b/>
    </w:rPr>
  </w:style>
  <w:style w:type="paragraph" w:customStyle="1" w:styleId="Titles">
    <w:name w:val="Titles"/>
    <w:basedOn w:val="Normal"/>
    <w:rsid w:val="00AF5911"/>
    <w:pPr>
      <w:tabs>
        <w:tab w:val="left" w:pos="2160"/>
      </w:tabs>
      <w:ind w:left="2160" w:hanging="2160"/>
    </w:pPr>
    <w:rPr>
      <w:b/>
    </w:rPr>
  </w:style>
  <w:style w:type="paragraph" w:styleId="TOAHeading">
    <w:name w:val="toa heading"/>
    <w:basedOn w:val="Normal"/>
    <w:next w:val="Normal"/>
    <w:semiHidden/>
    <w:rsid w:val="00AF5911"/>
    <w:pPr>
      <w:spacing w:before="120"/>
    </w:pPr>
    <w:rPr>
      <w:b/>
    </w:rPr>
  </w:style>
  <w:style w:type="paragraph" w:styleId="TOC1">
    <w:name w:val="toc 1"/>
    <w:basedOn w:val="Normal"/>
    <w:next w:val="Normal"/>
    <w:autoRedefine/>
    <w:semiHidden/>
    <w:rsid w:val="00AF5911"/>
  </w:style>
  <w:style w:type="paragraph" w:styleId="TOC2">
    <w:name w:val="toc 2"/>
    <w:basedOn w:val="Normal"/>
    <w:next w:val="Normal"/>
    <w:autoRedefine/>
    <w:semiHidden/>
    <w:rsid w:val="00AF5911"/>
    <w:pPr>
      <w:ind w:left="259"/>
    </w:pPr>
  </w:style>
  <w:style w:type="paragraph" w:styleId="TOC3">
    <w:name w:val="toc 3"/>
    <w:basedOn w:val="Normal"/>
    <w:next w:val="Normal"/>
    <w:autoRedefine/>
    <w:semiHidden/>
    <w:rsid w:val="00AF5911"/>
    <w:pPr>
      <w:ind w:left="520"/>
    </w:pPr>
  </w:style>
  <w:style w:type="paragraph" w:styleId="TOC4">
    <w:name w:val="toc 4"/>
    <w:basedOn w:val="Normal"/>
    <w:next w:val="Normal"/>
    <w:autoRedefine/>
    <w:semiHidden/>
    <w:rsid w:val="00AF5911"/>
    <w:pPr>
      <w:ind w:left="780"/>
    </w:pPr>
  </w:style>
  <w:style w:type="paragraph" w:styleId="TOC5">
    <w:name w:val="toc 5"/>
    <w:basedOn w:val="Normal"/>
    <w:next w:val="Normal"/>
    <w:autoRedefine/>
    <w:semiHidden/>
    <w:rsid w:val="00AF5911"/>
    <w:pPr>
      <w:ind w:left="1040"/>
    </w:pPr>
  </w:style>
  <w:style w:type="paragraph" w:styleId="TOC6">
    <w:name w:val="toc 6"/>
    <w:basedOn w:val="Normal"/>
    <w:next w:val="Normal"/>
    <w:autoRedefine/>
    <w:semiHidden/>
    <w:rsid w:val="00AF5911"/>
    <w:pPr>
      <w:ind w:left="1300"/>
    </w:pPr>
  </w:style>
  <w:style w:type="paragraph" w:styleId="TOC7">
    <w:name w:val="toc 7"/>
    <w:basedOn w:val="Normal"/>
    <w:next w:val="Normal"/>
    <w:autoRedefine/>
    <w:semiHidden/>
    <w:rsid w:val="00AF5911"/>
    <w:pPr>
      <w:ind w:left="1560"/>
    </w:pPr>
  </w:style>
  <w:style w:type="paragraph" w:styleId="TOC8">
    <w:name w:val="toc 8"/>
    <w:basedOn w:val="Normal"/>
    <w:next w:val="Normal"/>
    <w:autoRedefine/>
    <w:semiHidden/>
    <w:rsid w:val="00AF5911"/>
    <w:pPr>
      <w:ind w:left="1820"/>
    </w:pPr>
  </w:style>
  <w:style w:type="paragraph" w:styleId="TOC9">
    <w:name w:val="toc 9"/>
    <w:basedOn w:val="Normal"/>
    <w:next w:val="Normal"/>
    <w:autoRedefine/>
    <w:semiHidden/>
    <w:rsid w:val="00AF5911"/>
    <w:pPr>
      <w:ind w:left="2080"/>
    </w:pPr>
  </w:style>
  <w:style w:type="paragraph" w:customStyle="1" w:styleId="Contents">
    <w:name w:val="Contents"/>
    <w:basedOn w:val="Normal"/>
    <w:rsid w:val="00AF5911"/>
    <w:pPr>
      <w:jc w:val="center"/>
    </w:pPr>
    <w:rPr>
      <w:b/>
      <w:spacing w:val="100"/>
    </w:rPr>
  </w:style>
  <w:style w:type="character" w:customStyle="1" w:styleId="costarpage">
    <w:name w:val="co_starpage"/>
    <w:basedOn w:val="DefaultParagraphFont"/>
    <w:rsid w:val="001230E2"/>
  </w:style>
  <w:style w:type="character" w:styleId="Hyperlink">
    <w:name w:val="Hyperlink"/>
    <w:basedOn w:val="DefaultParagraphFont"/>
    <w:uiPriority w:val="99"/>
    <w:semiHidden/>
    <w:unhideWhenUsed/>
    <w:rsid w:val="00D23927"/>
    <w:rPr>
      <w:color w:val="0000FF"/>
      <w:u w:val="single"/>
    </w:rPr>
  </w:style>
  <w:style w:type="character" w:customStyle="1" w:styleId="ssit">
    <w:name w:val="ss_it"/>
    <w:basedOn w:val="DefaultParagraphFont"/>
    <w:rsid w:val="00D23927"/>
  </w:style>
  <w:style w:type="paragraph" w:styleId="NormalWeb">
    <w:name w:val="Normal (Web)"/>
    <w:basedOn w:val="Normal"/>
    <w:uiPriority w:val="99"/>
    <w:unhideWhenUsed/>
    <w:rsid w:val="00F7226F"/>
    <w:pPr>
      <w:spacing w:before="100" w:beforeAutospacing="1" w:afterAutospacing="1"/>
    </w:pPr>
    <w:rPr>
      <w:sz w:val="24"/>
    </w:rPr>
  </w:style>
  <w:style w:type="character" w:customStyle="1" w:styleId="ssrfcpassagedeactivated">
    <w:name w:val="ss_rfcpassage_deactivated"/>
    <w:basedOn w:val="DefaultParagraphFont"/>
    <w:rsid w:val="00F7226F"/>
  </w:style>
  <w:style w:type="character" w:customStyle="1" w:styleId="ssib">
    <w:name w:val="ss_ib"/>
    <w:basedOn w:val="DefaultParagraphFont"/>
    <w:rsid w:val="00B915DC"/>
  </w:style>
  <w:style w:type="character" w:customStyle="1" w:styleId="sssh">
    <w:name w:val="ss_sh"/>
    <w:basedOn w:val="DefaultParagraphFont"/>
    <w:rsid w:val="00011D56"/>
  </w:style>
  <w:style w:type="character" w:customStyle="1" w:styleId="sscrbhighlight">
    <w:name w:val="ss_crbhighlight"/>
    <w:basedOn w:val="DefaultParagraphFont"/>
    <w:rsid w:val="004A60EE"/>
  </w:style>
  <w:style w:type="character" w:customStyle="1" w:styleId="ssbf">
    <w:name w:val="ss_bf"/>
    <w:basedOn w:val="DefaultParagraphFont"/>
    <w:rsid w:val="000B7810"/>
  </w:style>
  <w:style w:type="character" w:customStyle="1" w:styleId="ssun">
    <w:name w:val="ss_un"/>
    <w:basedOn w:val="DefaultParagraphFont"/>
    <w:rsid w:val="00FA7924"/>
  </w:style>
  <w:style w:type="character" w:styleId="CommentReference">
    <w:name w:val="annotation reference"/>
    <w:basedOn w:val="DefaultParagraphFont"/>
    <w:uiPriority w:val="99"/>
    <w:semiHidden/>
    <w:unhideWhenUsed/>
    <w:rsid w:val="00F87133"/>
    <w:rPr>
      <w:sz w:val="16"/>
      <w:szCs w:val="16"/>
    </w:rPr>
  </w:style>
  <w:style w:type="paragraph" w:styleId="CommentText">
    <w:name w:val="annotation text"/>
    <w:basedOn w:val="Normal"/>
    <w:link w:val="CommentTextChar"/>
    <w:uiPriority w:val="99"/>
    <w:unhideWhenUsed/>
    <w:rsid w:val="00F87133"/>
    <w:rPr>
      <w:sz w:val="20"/>
    </w:rPr>
  </w:style>
  <w:style w:type="character" w:customStyle="1" w:styleId="CommentTextChar">
    <w:name w:val="Comment Text Char"/>
    <w:basedOn w:val="DefaultParagraphFont"/>
    <w:link w:val="CommentText"/>
    <w:uiPriority w:val="99"/>
    <w:rsid w:val="00F87133"/>
    <w:rPr>
      <w:sz w:val="20"/>
      <w:szCs w:val="20"/>
    </w:rPr>
  </w:style>
  <w:style w:type="paragraph" w:styleId="CommentSubject">
    <w:name w:val="annotation subject"/>
    <w:basedOn w:val="CommentText"/>
    <w:next w:val="CommentText"/>
    <w:link w:val="CommentSubjectChar"/>
    <w:uiPriority w:val="99"/>
    <w:semiHidden/>
    <w:unhideWhenUsed/>
    <w:rsid w:val="00F87133"/>
    <w:rPr>
      <w:b/>
      <w:bCs/>
    </w:rPr>
  </w:style>
  <w:style w:type="character" w:customStyle="1" w:styleId="CommentSubjectChar">
    <w:name w:val="Comment Subject Char"/>
    <w:basedOn w:val="CommentTextChar"/>
    <w:link w:val="CommentSubject"/>
    <w:uiPriority w:val="99"/>
    <w:semiHidden/>
    <w:rsid w:val="00F87133"/>
    <w:rPr>
      <w:b/>
      <w:bCs/>
      <w:sz w:val="20"/>
      <w:szCs w:val="20"/>
    </w:rPr>
  </w:style>
  <w:style w:type="paragraph" w:styleId="Revision">
    <w:name w:val="Revision"/>
    <w:hidden/>
    <w:uiPriority w:val="99"/>
    <w:semiHidden/>
    <w:rsid w:val="00F87133"/>
    <w:rPr>
      <w:sz w:val="26"/>
    </w:rPr>
  </w:style>
  <w:style w:type="paragraph" w:styleId="BalloonText">
    <w:name w:val="Balloon Text"/>
    <w:basedOn w:val="Normal"/>
    <w:link w:val="BalloonTextChar"/>
    <w:uiPriority w:val="99"/>
    <w:semiHidden/>
    <w:unhideWhenUsed/>
    <w:rsid w:val="00F87133"/>
    <w:rPr>
      <w:rFonts w:ascii="Tahoma" w:hAnsi="Tahoma" w:cs="Tahoma"/>
      <w:sz w:val="16"/>
      <w:szCs w:val="16"/>
    </w:rPr>
  </w:style>
  <w:style w:type="character" w:customStyle="1" w:styleId="BalloonTextChar">
    <w:name w:val="Balloon Text Char"/>
    <w:basedOn w:val="DefaultParagraphFont"/>
    <w:link w:val="BalloonText"/>
    <w:uiPriority w:val="99"/>
    <w:semiHidden/>
    <w:rsid w:val="00F87133"/>
    <w:rPr>
      <w:rFonts w:ascii="Tahoma" w:hAnsi="Tahoma" w:cs="Tahoma"/>
      <w:sz w:val="16"/>
      <w:szCs w:val="16"/>
    </w:rPr>
  </w:style>
  <w:style w:type="character" w:customStyle="1" w:styleId="FootnoteTextChar">
    <w:name w:val="Footnote Text Char"/>
    <w:basedOn w:val="DefaultParagraphFont"/>
    <w:link w:val="FootnoteText"/>
    <w:uiPriority w:val="99"/>
    <w:rsid w:val="007C5CD2"/>
    <w:rPr>
      <w:rFonts w:ascii="Century Schoolbook" w:hAnsi="Century Schoolbook"/>
      <w:sz w:val="27"/>
      <w:szCs w:val="20"/>
    </w:rPr>
  </w:style>
  <w:style w:type="paragraph" w:styleId="PlainText">
    <w:name w:val="Plain Text"/>
    <w:basedOn w:val="Normal"/>
    <w:link w:val="PlainTextChar"/>
    <w:uiPriority w:val="99"/>
    <w:semiHidden/>
    <w:unhideWhenUsed/>
    <w:rsid w:val="00B7385E"/>
    <w:rPr>
      <w:rFonts w:ascii="Georgia" w:eastAsiaTheme="minorHAnsi" w:hAnsi="Georgia" w:cstheme="minorBidi"/>
      <w:szCs w:val="26"/>
    </w:rPr>
  </w:style>
  <w:style w:type="character" w:customStyle="1" w:styleId="PlainTextChar">
    <w:name w:val="Plain Text Char"/>
    <w:basedOn w:val="DefaultParagraphFont"/>
    <w:link w:val="PlainText"/>
    <w:uiPriority w:val="99"/>
    <w:semiHidden/>
    <w:rsid w:val="00B7385E"/>
    <w:rPr>
      <w:rFonts w:ascii="Georgia" w:eastAsiaTheme="minorHAnsi" w:hAnsi="Georgia" w:cstheme="minorBidi"/>
      <w:sz w:val="26"/>
      <w:szCs w:val="26"/>
    </w:rPr>
  </w:style>
  <w:style w:type="paragraph" w:styleId="ListParagraph">
    <w:name w:val="List Paragraph"/>
    <w:basedOn w:val="Normal"/>
    <w:uiPriority w:val="34"/>
    <w:rsid w:val="00AA618F"/>
    <w:pPr>
      <w:ind w:left="720"/>
      <w:contextualSpacing/>
    </w:pPr>
    <w:rPr>
      <w:sz w:val="24"/>
      <w:lang w:eastAsia="zh-CN"/>
    </w:rPr>
  </w:style>
  <w:style w:type="character" w:customStyle="1" w:styleId="injectednode">
    <w:name w:val="injectednode"/>
    <w:basedOn w:val="DefaultParagraphFont"/>
    <w:rsid w:val="0099765C"/>
  </w:style>
  <w:style w:type="paragraph" w:styleId="BodyText">
    <w:name w:val="Body Text"/>
    <w:basedOn w:val="Normal"/>
    <w:link w:val="BodyTextChar"/>
    <w:qFormat/>
    <w:rsid w:val="00AF5911"/>
  </w:style>
  <w:style w:type="character" w:customStyle="1" w:styleId="BodyTextChar">
    <w:name w:val="Body Text Char"/>
    <w:basedOn w:val="DefaultParagraphFont"/>
    <w:link w:val="BodyText"/>
    <w:rsid w:val="00AF5911"/>
    <w:rPr>
      <w:rFonts w:ascii="Century Schoolbook" w:hAnsi="Century Schoolbook"/>
      <w:sz w:val="27"/>
      <w:szCs w:val="20"/>
    </w:rPr>
  </w:style>
  <w:style w:type="character" w:customStyle="1" w:styleId="FooterChar">
    <w:name w:val="Footer Char"/>
    <w:basedOn w:val="DefaultParagraphFont"/>
    <w:link w:val="Footer"/>
    <w:uiPriority w:val="99"/>
    <w:rsid w:val="00AF5911"/>
    <w:rPr>
      <w:rFonts w:ascii="Century Schoolbook" w:hAnsi="Century Schoolbook"/>
      <w:sz w:val="22"/>
      <w:szCs w:val="20"/>
    </w:rPr>
  </w:style>
  <w:style w:type="character" w:customStyle="1" w:styleId="HeaderChar">
    <w:name w:val="Header Char"/>
    <w:basedOn w:val="DefaultParagraphFont"/>
    <w:link w:val="Header"/>
    <w:rsid w:val="00AF5911"/>
    <w:rPr>
      <w:rFonts w:ascii="Century Schoolbook" w:hAnsi="Century Schoolbook"/>
      <w:sz w:val="22"/>
      <w:szCs w:val="20"/>
    </w:rPr>
  </w:style>
  <w:style w:type="character" w:customStyle="1" w:styleId="NormalIndentChar">
    <w:name w:val="Normal Indent Char"/>
    <w:link w:val="NormalIndent"/>
    <w:rsid w:val="00AF5911"/>
    <w:rPr>
      <w:rFonts w:ascii="Century Schoolbook" w:hAnsi="Century Schoolbook"/>
      <w:sz w:val="27"/>
      <w:szCs w:val="20"/>
    </w:rPr>
  </w:style>
  <w:style w:type="paragraph" w:customStyle="1" w:styleId="PRComments">
    <w:name w:val="PR Comments"/>
    <w:basedOn w:val="Normal"/>
    <w:rsid w:val="00814ED8"/>
    <w:pPr>
      <w:spacing w:after="0" w:line="360" w:lineRule="atLeast"/>
      <w:ind w:right="-360"/>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0856">
      <w:bodyDiv w:val="1"/>
      <w:marLeft w:val="0"/>
      <w:marRight w:val="0"/>
      <w:marTop w:val="0"/>
      <w:marBottom w:val="0"/>
      <w:divBdr>
        <w:top w:val="none" w:sz="0" w:space="0" w:color="auto"/>
        <w:left w:val="none" w:sz="0" w:space="0" w:color="auto"/>
        <w:bottom w:val="none" w:sz="0" w:space="0" w:color="auto"/>
        <w:right w:val="none" w:sz="0" w:space="0" w:color="auto"/>
      </w:divBdr>
    </w:div>
    <w:div w:id="719204659">
      <w:bodyDiv w:val="1"/>
      <w:marLeft w:val="0"/>
      <w:marRight w:val="0"/>
      <w:marTop w:val="0"/>
      <w:marBottom w:val="0"/>
      <w:divBdr>
        <w:top w:val="none" w:sz="0" w:space="0" w:color="auto"/>
        <w:left w:val="none" w:sz="0" w:space="0" w:color="auto"/>
        <w:bottom w:val="none" w:sz="0" w:space="0" w:color="auto"/>
        <w:right w:val="none" w:sz="0" w:space="0" w:color="auto"/>
      </w:divBdr>
    </w:div>
    <w:div w:id="884951945">
      <w:bodyDiv w:val="1"/>
      <w:marLeft w:val="0"/>
      <w:marRight w:val="0"/>
      <w:marTop w:val="0"/>
      <w:marBottom w:val="0"/>
      <w:divBdr>
        <w:top w:val="none" w:sz="0" w:space="0" w:color="auto"/>
        <w:left w:val="none" w:sz="0" w:space="0" w:color="auto"/>
        <w:bottom w:val="none" w:sz="0" w:space="0" w:color="auto"/>
        <w:right w:val="none" w:sz="0" w:space="0" w:color="auto"/>
      </w:divBdr>
    </w:div>
    <w:div w:id="1076244036">
      <w:bodyDiv w:val="1"/>
      <w:marLeft w:val="0"/>
      <w:marRight w:val="0"/>
      <w:marTop w:val="0"/>
      <w:marBottom w:val="0"/>
      <w:divBdr>
        <w:top w:val="none" w:sz="0" w:space="0" w:color="auto"/>
        <w:left w:val="none" w:sz="0" w:space="0" w:color="auto"/>
        <w:bottom w:val="none" w:sz="0" w:space="0" w:color="auto"/>
        <w:right w:val="none" w:sz="0" w:space="0" w:color="auto"/>
      </w:divBdr>
    </w:div>
    <w:div w:id="1343318473">
      <w:bodyDiv w:val="1"/>
      <w:marLeft w:val="0"/>
      <w:marRight w:val="0"/>
      <w:marTop w:val="0"/>
      <w:marBottom w:val="0"/>
      <w:divBdr>
        <w:top w:val="none" w:sz="0" w:space="0" w:color="auto"/>
        <w:left w:val="none" w:sz="0" w:space="0" w:color="auto"/>
        <w:bottom w:val="none" w:sz="0" w:space="0" w:color="auto"/>
        <w:right w:val="none" w:sz="0" w:space="0" w:color="auto"/>
      </w:divBdr>
    </w:div>
    <w:div w:id="1421369526">
      <w:bodyDiv w:val="1"/>
      <w:marLeft w:val="0"/>
      <w:marRight w:val="0"/>
      <w:marTop w:val="0"/>
      <w:marBottom w:val="0"/>
      <w:divBdr>
        <w:top w:val="none" w:sz="0" w:space="0" w:color="auto"/>
        <w:left w:val="none" w:sz="0" w:space="0" w:color="auto"/>
        <w:bottom w:val="none" w:sz="0" w:space="0" w:color="auto"/>
        <w:right w:val="none" w:sz="0" w:space="0" w:color="auto"/>
      </w:divBdr>
    </w:div>
    <w:div w:id="1720087288">
      <w:bodyDiv w:val="1"/>
      <w:marLeft w:val="0"/>
      <w:marRight w:val="0"/>
      <w:marTop w:val="0"/>
      <w:marBottom w:val="0"/>
      <w:divBdr>
        <w:top w:val="none" w:sz="0" w:space="0" w:color="auto"/>
        <w:left w:val="none" w:sz="0" w:space="0" w:color="auto"/>
        <w:bottom w:val="none" w:sz="0" w:space="0" w:color="auto"/>
        <w:right w:val="none" w:sz="0" w:space="0" w:color="auto"/>
      </w:divBdr>
    </w:div>
    <w:div w:id="1818451632">
      <w:bodyDiv w:val="1"/>
      <w:marLeft w:val="0"/>
      <w:marRight w:val="0"/>
      <w:marTop w:val="0"/>
      <w:marBottom w:val="0"/>
      <w:divBdr>
        <w:top w:val="none" w:sz="0" w:space="0" w:color="auto"/>
        <w:left w:val="none" w:sz="0" w:space="0" w:color="auto"/>
        <w:bottom w:val="none" w:sz="0" w:space="0" w:color="auto"/>
        <w:right w:val="none" w:sz="0" w:space="0" w:color="auto"/>
      </w:divBdr>
    </w:div>
    <w:div w:id="20332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5C8F4A-2668-4BAA-9823-363A3736F34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DD4C-3284-4C86-B708-1AC61221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6379</Words>
  <Characters>36363</Characters>
  <Application>Microsoft Office Word</Application>
  <DocSecurity>0</DocSecurity>
  <Lines>303</Lines>
  <Paragraphs>85</Paragraphs>
  <ScaleCrop>false</ScaleCrop>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2020-02-28T22:30:00Z</dcterms:created>
  <dcterms:modified xsi:type="dcterms:W3CDTF">2020-02-28T22:33:00Z</dcterms:modified>
</cp:coreProperties>
</file>